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8B" w:rsidRPr="00E47183" w:rsidRDefault="009C608B" w:rsidP="00E47183">
      <w:pPr>
        <w:spacing w:after="0" w:line="240" w:lineRule="auto"/>
        <w:contextualSpacing/>
        <w:rPr>
          <w:rFonts w:ascii="Arial" w:eastAsia="Times New Roman" w:hAnsi="Arial" w:cs="Arial"/>
          <w:b/>
          <w:color w:val="000000"/>
          <w:spacing w:val="6"/>
          <w:sz w:val="20"/>
          <w:szCs w:val="20"/>
          <w:lang w:val="en-ZA" w:eastAsia="en-GB"/>
        </w:rPr>
      </w:pPr>
      <w:bookmarkStart w:id="0" w:name="_GoBack"/>
      <w:bookmarkEnd w:id="0"/>
      <w:r w:rsidRPr="00E47183">
        <w:rPr>
          <w:rFonts w:ascii="Arial" w:hAnsi="Arial" w:cs="Arial"/>
          <w:b/>
          <w:noProof/>
          <w:sz w:val="20"/>
          <w:szCs w:val="20"/>
        </w:rPr>
        <w:t xml:space="preserve">                                                       </w:t>
      </w:r>
    </w:p>
    <w:p w:rsidR="004302F5" w:rsidRPr="00E47183" w:rsidRDefault="004302F5" w:rsidP="00E47183">
      <w:pPr>
        <w:spacing w:after="0" w:line="240" w:lineRule="auto"/>
        <w:contextualSpacing/>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BUDGETARY REVIEW AND RECOMMENDATION</w:t>
      </w:r>
      <w:r w:rsidR="004C21EE" w:rsidRPr="00E47183">
        <w:rPr>
          <w:rFonts w:ascii="Arial" w:eastAsia="Times New Roman" w:hAnsi="Arial" w:cs="Arial"/>
          <w:b/>
          <w:color w:val="000000"/>
          <w:spacing w:val="6"/>
          <w:sz w:val="20"/>
          <w:szCs w:val="20"/>
          <w:lang w:val="en-ZA" w:eastAsia="en-GB"/>
        </w:rPr>
        <w:t>S</w:t>
      </w:r>
      <w:r w:rsidRPr="00E47183">
        <w:rPr>
          <w:rFonts w:ascii="Arial" w:eastAsia="Times New Roman" w:hAnsi="Arial" w:cs="Arial"/>
          <w:b/>
          <w:color w:val="000000"/>
          <w:spacing w:val="6"/>
          <w:sz w:val="20"/>
          <w:szCs w:val="20"/>
          <w:lang w:val="en-ZA" w:eastAsia="en-GB"/>
        </w:rPr>
        <w:t xml:space="preserve"> REPORT (BRRR) OF THE PORTFOLIO COMMITTEE O</w:t>
      </w:r>
      <w:r w:rsidR="0076011F" w:rsidRPr="00E47183">
        <w:rPr>
          <w:rFonts w:ascii="Arial" w:eastAsia="Times New Roman" w:hAnsi="Arial" w:cs="Arial"/>
          <w:b/>
          <w:color w:val="000000"/>
          <w:spacing w:val="6"/>
          <w:sz w:val="20"/>
          <w:szCs w:val="20"/>
          <w:lang w:val="en-ZA" w:eastAsia="en-GB"/>
        </w:rPr>
        <w:t>N HUMAN SETTLEMENTS,</w:t>
      </w:r>
      <w:r w:rsidR="004E6C76" w:rsidRPr="00E47183">
        <w:rPr>
          <w:rFonts w:ascii="Arial" w:eastAsia="Times New Roman" w:hAnsi="Arial" w:cs="Arial"/>
          <w:b/>
          <w:color w:val="000000"/>
          <w:spacing w:val="6"/>
          <w:sz w:val="20"/>
          <w:szCs w:val="20"/>
          <w:lang w:val="en-ZA" w:eastAsia="en-GB"/>
        </w:rPr>
        <w:t xml:space="preserve"> Dated 26 October 2022.</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Portfolio Committee on Human S</w:t>
      </w:r>
      <w:r w:rsidR="008A71A4" w:rsidRPr="00E47183">
        <w:rPr>
          <w:rFonts w:ascii="Arial" w:eastAsia="Times New Roman" w:hAnsi="Arial" w:cs="Arial"/>
          <w:color w:val="000000"/>
          <w:spacing w:val="6"/>
          <w:sz w:val="20"/>
          <w:szCs w:val="20"/>
          <w:lang w:val="en-ZA" w:eastAsia="en-GB"/>
        </w:rPr>
        <w:t>ettlements</w:t>
      </w:r>
      <w:r w:rsidRPr="00E47183">
        <w:rPr>
          <w:rFonts w:ascii="Arial" w:eastAsia="Times New Roman" w:hAnsi="Arial" w:cs="Arial"/>
          <w:color w:val="000000"/>
          <w:spacing w:val="6"/>
          <w:sz w:val="20"/>
          <w:szCs w:val="20"/>
          <w:lang w:val="en-ZA" w:eastAsia="en-GB"/>
        </w:rPr>
        <w:t xml:space="preserve"> (</w:t>
      </w:r>
      <w:r w:rsidR="002B3657" w:rsidRPr="00E47183">
        <w:rPr>
          <w:rFonts w:ascii="Arial" w:eastAsia="Times New Roman" w:hAnsi="Arial" w:cs="Arial"/>
          <w:color w:val="000000"/>
          <w:spacing w:val="6"/>
          <w:sz w:val="20"/>
          <w:szCs w:val="20"/>
          <w:lang w:val="en-ZA" w:eastAsia="en-GB"/>
        </w:rPr>
        <w:t xml:space="preserve">hereinafter, </w:t>
      </w:r>
      <w:r w:rsidRPr="00E47183">
        <w:rPr>
          <w:rFonts w:ascii="Arial" w:eastAsia="Times New Roman" w:hAnsi="Arial" w:cs="Arial"/>
          <w:color w:val="000000"/>
          <w:spacing w:val="6"/>
          <w:sz w:val="20"/>
          <w:szCs w:val="20"/>
          <w:lang w:val="en-ZA" w:eastAsia="en-GB"/>
        </w:rPr>
        <w:t>the Committee), having considered and assessed the performance of the Department of Human Settlements</w:t>
      </w:r>
      <w:r w:rsidR="007A1819" w:rsidRPr="00E47183">
        <w:rPr>
          <w:rFonts w:ascii="Arial" w:eastAsia="Times New Roman" w:hAnsi="Arial" w:cs="Arial"/>
          <w:color w:val="000000"/>
          <w:spacing w:val="6"/>
          <w:sz w:val="20"/>
          <w:szCs w:val="20"/>
          <w:lang w:val="en-ZA" w:eastAsia="en-GB"/>
        </w:rPr>
        <w:t xml:space="preserve"> (hereinafter, the Department)</w:t>
      </w:r>
      <w:r w:rsidRPr="00E47183">
        <w:rPr>
          <w:rFonts w:ascii="Arial" w:eastAsia="Times New Roman" w:hAnsi="Arial" w:cs="Arial"/>
          <w:color w:val="000000"/>
          <w:spacing w:val="6"/>
          <w:sz w:val="20"/>
          <w:szCs w:val="20"/>
          <w:lang w:val="en-ZA" w:eastAsia="en-GB"/>
        </w:rPr>
        <w:t xml:space="preserve"> and its Entities</w:t>
      </w:r>
      <w:r w:rsidR="003D7ADA" w:rsidRPr="00E47183">
        <w:rPr>
          <w:rFonts w:ascii="Arial" w:eastAsia="Times New Roman" w:hAnsi="Arial" w:cs="Arial"/>
          <w:color w:val="000000"/>
          <w:spacing w:val="6"/>
          <w:sz w:val="20"/>
          <w:szCs w:val="20"/>
          <w:lang w:val="en-ZA" w:eastAsia="en-GB"/>
        </w:rPr>
        <w:t xml:space="preserve"> for the 2021/22</w:t>
      </w:r>
      <w:r w:rsidR="004C21EE" w:rsidRPr="00E47183">
        <w:rPr>
          <w:rFonts w:ascii="Arial" w:eastAsia="Times New Roman" w:hAnsi="Arial" w:cs="Arial"/>
          <w:color w:val="000000"/>
          <w:spacing w:val="6"/>
          <w:sz w:val="20"/>
          <w:szCs w:val="20"/>
          <w:lang w:val="en-ZA" w:eastAsia="en-GB"/>
        </w:rPr>
        <w:t xml:space="preserve"> Financial Year</w:t>
      </w:r>
      <w:r w:rsidRPr="00E47183">
        <w:rPr>
          <w:rFonts w:ascii="Arial" w:eastAsia="Times New Roman" w:hAnsi="Arial" w:cs="Arial"/>
          <w:color w:val="000000"/>
          <w:spacing w:val="6"/>
          <w:sz w:val="20"/>
          <w:szCs w:val="20"/>
          <w:lang w:val="en-ZA" w:eastAsia="en-GB"/>
        </w:rPr>
        <w:t xml:space="preserve">, and </w:t>
      </w:r>
      <w:r w:rsidR="004C21EE" w:rsidRPr="00E47183">
        <w:rPr>
          <w:rFonts w:ascii="Arial" w:eastAsia="Times New Roman" w:hAnsi="Arial" w:cs="Arial"/>
          <w:color w:val="000000"/>
          <w:spacing w:val="6"/>
          <w:sz w:val="20"/>
          <w:szCs w:val="20"/>
          <w:lang w:val="en-ZA" w:eastAsia="en-GB"/>
        </w:rPr>
        <w:t xml:space="preserve">the </w:t>
      </w:r>
      <w:r w:rsidR="008E24C2" w:rsidRPr="00E47183">
        <w:rPr>
          <w:rFonts w:ascii="Arial" w:eastAsia="Times New Roman" w:hAnsi="Arial" w:cs="Arial"/>
          <w:color w:val="000000"/>
          <w:spacing w:val="6"/>
          <w:sz w:val="20"/>
          <w:szCs w:val="20"/>
          <w:lang w:val="en-ZA" w:eastAsia="en-GB"/>
        </w:rPr>
        <w:t>associated</w:t>
      </w:r>
      <w:r w:rsidR="004C21EE" w:rsidRPr="00E47183">
        <w:rPr>
          <w:rFonts w:ascii="Arial" w:eastAsia="Times New Roman" w:hAnsi="Arial" w:cs="Arial"/>
          <w:color w:val="000000"/>
          <w:spacing w:val="6"/>
          <w:sz w:val="20"/>
          <w:szCs w:val="20"/>
          <w:lang w:val="en-ZA" w:eastAsia="en-GB"/>
        </w:rPr>
        <w:t xml:space="preserve"> briefs </w:t>
      </w:r>
      <w:r w:rsidR="00061917" w:rsidRPr="00E47183">
        <w:rPr>
          <w:rFonts w:ascii="Arial" w:eastAsia="Times New Roman" w:hAnsi="Arial" w:cs="Arial"/>
          <w:color w:val="000000"/>
          <w:spacing w:val="6"/>
          <w:sz w:val="20"/>
          <w:szCs w:val="20"/>
          <w:lang w:val="en-ZA" w:eastAsia="en-GB"/>
        </w:rPr>
        <w:t>from the</w:t>
      </w:r>
      <w:r w:rsidRPr="00E47183">
        <w:rPr>
          <w:rFonts w:ascii="Arial" w:eastAsia="Times New Roman" w:hAnsi="Arial" w:cs="Arial"/>
          <w:color w:val="000000"/>
          <w:spacing w:val="6"/>
          <w:sz w:val="20"/>
          <w:szCs w:val="20"/>
          <w:lang w:val="en-ZA" w:eastAsia="en-GB"/>
        </w:rPr>
        <w:t xml:space="preserve"> office of the Auditor-General</w:t>
      </w:r>
      <w:r w:rsidR="00EE765B" w:rsidRPr="00E47183">
        <w:rPr>
          <w:rFonts w:ascii="Arial" w:eastAsia="Times New Roman" w:hAnsi="Arial" w:cs="Arial"/>
          <w:color w:val="000000"/>
          <w:spacing w:val="6"/>
          <w:sz w:val="20"/>
          <w:szCs w:val="20"/>
          <w:lang w:val="en-ZA" w:eastAsia="en-GB"/>
        </w:rPr>
        <w:t xml:space="preserve"> </w:t>
      </w:r>
      <w:r w:rsidR="00C90A96" w:rsidRPr="00E47183">
        <w:rPr>
          <w:rFonts w:ascii="Arial" w:eastAsia="Times New Roman" w:hAnsi="Arial" w:cs="Arial"/>
          <w:color w:val="000000"/>
          <w:spacing w:val="6"/>
          <w:sz w:val="20"/>
          <w:szCs w:val="20"/>
          <w:lang w:val="en-ZA" w:eastAsia="en-GB"/>
        </w:rPr>
        <w:t xml:space="preserve">South Africa </w:t>
      </w:r>
      <w:r w:rsidR="00EE765B" w:rsidRPr="00E47183">
        <w:rPr>
          <w:rFonts w:ascii="Arial" w:eastAsia="Times New Roman" w:hAnsi="Arial" w:cs="Arial"/>
          <w:color w:val="000000"/>
          <w:spacing w:val="6"/>
          <w:sz w:val="20"/>
          <w:szCs w:val="20"/>
          <w:lang w:val="en-ZA" w:eastAsia="en-GB"/>
        </w:rPr>
        <w:t>(AG</w:t>
      </w:r>
      <w:r w:rsidR="00C90A96" w:rsidRPr="00E47183">
        <w:rPr>
          <w:rFonts w:ascii="Arial" w:eastAsia="Times New Roman" w:hAnsi="Arial" w:cs="Arial"/>
          <w:color w:val="000000"/>
          <w:spacing w:val="6"/>
          <w:sz w:val="20"/>
          <w:szCs w:val="20"/>
          <w:lang w:val="en-ZA" w:eastAsia="en-GB"/>
        </w:rPr>
        <w:t>SA</w:t>
      </w:r>
      <w:r w:rsidR="00EE765B" w:rsidRPr="00E47183">
        <w:rPr>
          <w:rFonts w:ascii="Arial" w:eastAsia="Times New Roman" w:hAnsi="Arial" w:cs="Arial"/>
          <w:color w:val="000000"/>
          <w:spacing w:val="6"/>
          <w:sz w:val="20"/>
          <w:szCs w:val="20"/>
          <w:lang w:val="en-ZA" w:eastAsia="en-GB"/>
        </w:rPr>
        <w:t>)</w:t>
      </w:r>
      <w:r w:rsidRPr="00E47183">
        <w:rPr>
          <w:rFonts w:ascii="Arial" w:eastAsia="Times New Roman" w:hAnsi="Arial" w:cs="Arial"/>
          <w:color w:val="000000"/>
          <w:spacing w:val="6"/>
          <w:sz w:val="20"/>
          <w:szCs w:val="20"/>
          <w:lang w:val="en-ZA" w:eastAsia="en-GB"/>
        </w:rPr>
        <w:t xml:space="preserve"> and the Department of Planning,</w:t>
      </w:r>
      <w:r w:rsidR="003E3449" w:rsidRPr="00E47183">
        <w:rPr>
          <w:rFonts w:ascii="Arial" w:eastAsia="Times New Roman" w:hAnsi="Arial" w:cs="Arial"/>
          <w:color w:val="000000"/>
          <w:spacing w:val="6"/>
          <w:sz w:val="20"/>
          <w:szCs w:val="20"/>
          <w:lang w:val="en-ZA" w:eastAsia="en-GB"/>
        </w:rPr>
        <w:t xml:space="preserve"> Monitoring and Evaluation</w:t>
      </w:r>
      <w:r w:rsidR="00EE765B" w:rsidRPr="00E47183">
        <w:rPr>
          <w:rFonts w:ascii="Arial" w:eastAsia="Times New Roman" w:hAnsi="Arial" w:cs="Arial"/>
          <w:color w:val="000000"/>
          <w:spacing w:val="6"/>
          <w:sz w:val="20"/>
          <w:szCs w:val="20"/>
          <w:lang w:val="en-ZA" w:eastAsia="en-GB"/>
        </w:rPr>
        <w:t xml:space="preserve"> (DPME)</w:t>
      </w:r>
      <w:r w:rsidR="003E3449" w:rsidRPr="00E47183">
        <w:rPr>
          <w:rFonts w:ascii="Arial" w:eastAsia="Times New Roman" w:hAnsi="Arial" w:cs="Arial"/>
          <w:color w:val="000000"/>
          <w:spacing w:val="6"/>
          <w:sz w:val="20"/>
          <w:szCs w:val="20"/>
          <w:lang w:val="en-ZA" w:eastAsia="en-GB"/>
        </w:rPr>
        <w:t xml:space="preserve"> on </w:t>
      </w:r>
      <w:r w:rsidR="009C608B" w:rsidRPr="00E47183">
        <w:rPr>
          <w:rFonts w:ascii="Arial" w:eastAsia="Times New Roman" w:hAnsi="Arial" w:cs="Arial"/>
          <w:spacing w:val="6"/>
          <w:sz w:val="20"/>
          <w:szCs w:val="20"/>
          <w:lang w:val="en-ZA" w:eastAsia="en-GB"/>
        </w:rPr>
        <w:t>12</w:t>
      </w:r>
      <w:r w:rsidR="007D6F42" w:rsidRPr="00E47183">
        <w:rPr>
          <w:rFonts w:ascii="Arial" w:eastAsia="Times New Roman" w:hAnsi="Arial" w:cs="Arial"/>
          <w:spacing w:val="6"/>
          <w:sz w:val="20"/>
          <w:szCs w:val="20"/>
          <w:lang w:val="en-ZA" w:eastAsia="en-GB"/>
        </w:rPr>
        <w:t>,</w:t>
      </w:r>
      <w:r w:rsidR="004B649F" w:rsidRPr="00E47183">
        <w:rPr>
          <w:rFonts w:ascii="Arial" w:eastAsia="Times New Roman" w:hAnsi="Arial" w:cs="Arial"/>
          <w:spacing w:val="6"/>
          <w:sz w:val="20"/>
          <w:szCs w:val="20"/>
          <w:lang w:val="en-ZA" w:eastAsia="en-GB"/>
        </w:rPr>
        <w:t xml:space="preserve"> </w:t>
      </w:r>
      <w:r w:rsidR="009C608B" w:rsidRPr="00E47183">
        <w:rPr>
          <w:rFonts w:ascii="Arial" w:eastAsia="Times New Roman" w:hAnsi="Arial" w:cs="Arial"/>
          <w:spacing w:val="6"/>
          <w:sz w:val="20"/>
          <w:szCs w:val="20"/>
          <w:lang w:val="en-ZA" w:eastAsia="en-GB"/>
        </w:rPr>
        <w:t>14 and 19 October 2022</w:t>
      </w:r>
      <w:r w:rsidRPr="00E47183">
        <w:rPr>
          <w:rFonts w:ascii="Arial" w:eastAsia="Times New Roman" w:hAnsi="Arial" w:cs="Arial"/>
          <w:spacing w:val="6"/>
          <w:sz w:val="20"/>
          <w:szCs w:val="20"/>
          <w:lang w:val="en-ZA" w:eastAsia="en-GB"/>
        </w:rPr>
        <w:t xml:space="preserve">, </w:t>
      </w:r>
      <w:r w:rsidRPr="00E47183">
        <w:rPr>
          <w:rFonts w:ascii="Arial" w:eastAsia="Times New Roman" w:hAnsi="Arial" w:cs="Arial"/>
          <w:color w:val="000000"/>
          <w:spacing w:val="6"/>
          <w:sz w:val="20"/>
          <w:szCs w:val="20"/>
          <w:lang w:val="en-ZA" w:eastAsia="en-GB"/>
        </w:rPr>
        <w:t>reports as follows:</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C90A96" w:rsidRPr="00E47183" w:rsidRDefault="00C90A96"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 xml:space="preserve">1. </w:t>
      </w:r>
      <w:r w:rsidRPr="00E47183">
        <w:rPr>
          <w:rFonts w:ascii="Arial" w:eastAsia="Times New Roman" w:hAnsi="Arial" w:cs="Arial"/>
          <w:b/>
          <w:color w:val="000000"/>
          <w:spacing w:val="6"/>
          <w:sz w:val="20"/>
          <w:szCs w:val="20"/>
          <w:lang w:val="en-ZA" w:eastAsia="en-GB"/>
        </w:rPr>
        <w:tab/>
        <w:t>INTRODUCTION</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w:t>
      </w:r>
      <w:r w:rsidR="00F07BBD" w:rsidRPr="00E47183">
        <w:rPr>
          <w:rFonts w:ascii="Arial" w:eastAsia="Times New Roman" w:hAnsi="Arial" w:cs="Arial"/>
          <w:color w:val="000000"/>
          <w:spacing w:val="6"/>
          <w:sz w:val="20"/>
          <w:szCs w:val="20"/>
          <w:lang w:val="en-ZA" w:eastAsia="en-GB"/>
        </w:rPr>
        <w:t>e Department’</w:t>
      </w:r>
      <w:r w:rsidRPr="00E47183">
        <w:rPr>
          <w:rFonts w:ascii="Arial" w:eastAsia="Times New Roman" w:hAnsi="Arial" w:cs="Arial"/>
          <w:color w:val="000000"/>
          <w:spacing w:val="6"/>
          <w:sz w:val="20"/>
          <w:szCs w:val="20"/>
          <w:lang w:val="en-ZA" w:eastAsia="en-GB"/>
        </w:rPr>
        <w:t xml:space="preserve"> mission is to facilitate the creation of sustainable human settlements and improved quality of household life. The vision of the Department is a nation housed in sustainable human settlements. Its mandate and core business is derived from section 26 of the Constitution, 1996 (which guarantees the right to adequate housing), policies applicable to government, such as Breaking New Ground, and legislation such as the Housing Act</w:t>
      </w:r>
      <w:r w:rsidR="004C21EE" w:rsidRPr="00E47183">
        <w:rPr>
          <w:rFonts w:ascii="Arial" w:eastAsia="Times New Roman" w:hAnsi="Arial" w:cs="Arial"/>
          <w:color w:val="000000"/>
          <w:spacing w:val="6"/>
          <w:sz w:val="20"/>
          <w:szCs w:val="20"/>
          <w:lang w:val="en-ZA" w:eastAsia="en-GB"/>
        </w:rPr>
        <w:t>,</w:t>
      </w:r>
      <w:r w:rsidRPr="00E47183">
        <w:rPr>
          <w:rFonts w:ascii="Arial" w:eastAsia="Times New Roman" w:hAnsi="Arial" w:cs="Arial"/>
          <w:color w:val="000000"/>
          <w:spacing w:val="6"/>
          <w:sz w:val="20"/>
          <w:szCs w:val="20"/>
          <w:lang w:val="en-ZA" w:eastAsia="en-GB"/>
        </w:rPr>
        <w:t xml:space="preserve"> (</w:t>
      </w:r>
      <w:r w:rsidR="004C21EE" w:rsidRPr="00E47183">
        <w:rPr>
          <w:rFonts w:ascii="Arial" w:eastAsia="Times New Roman" w:hAnsi="Arial" w:cs="Arial"/>
          <w:color w:val="000000"/>
          <w:spacing w:val="6"/>
          <w:sz w:val="20"/>
          <w:szCs w:val="20"/>
          <w:lang w:val="en-ZA" w:eastAsia="en-GB"/>
        </w:rPr>
        <w:t xml:space="preserve">Act No. </w:t>
      </w:r>
      <w:r w:rsidRPr="00E47183">
        <w:rPr>
          <w:rFonts w:ascii="Arial" w:eastAsia="Times New Roman" w:hAnsi="Arial" w:cs="Arial"/>
          <w:color w:val="000000"/>
          <w:spacing w:val="6"/>
          <w:sz w:val="20"/>
          <w:szCs w:val="20"/>
          <w:lang w:val="en-ZA" w:eastAsia="en-GB"/>
        </w:rPr>
        <w:t xml:space="preserve">107 of 1997). </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CD791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Department has two approaches to addressing housing needs, namely, through the scaled delivery of subsidised housing for low-income households, and through striving to create an environment conducive for operations of the subsidised housing market within the larger economy. The Medium Term Strategic Framework (MTSF) 2019</w:t>
      </w:r>
      <w:r w:rsidR="008E24C2" w:rsidRPr="00E47183">
        <w:rPr>
          <w:rFonts w:ascii="Arial" w:eastAsia="Times New Roman" w:hAnsi="Arial" w:cs="Arial"/>
          <w:color w:val="000000"/>
          <w:spacing w:val="6"/>
          <w:sz w:val="20"/>
          <w:szCs w:val="20"/>
          <w:lang w:val="en-ZA" w:eastAsia="en-GB"/>
        </w:rPr>
        <w:t>- 2024</w:t>
      </w:r>
      <w:r w:rsidRPr="00E47183">
        <w:rPr>
          <w:rFonts w:ascii="Arial" w:eastAsia="Times New Roman" w:hAnsi="Arial" w:cs="Arial"/>
          <w:color w:val="000000"/>
          <w:spacing w:val="6"/>
          <w:sz w:val="20"/>
          <w:szCs w:val="20"/>
          <w:lang w:val="en-ZA" w:eastAsia="en-GB"/>
        </w:rPr>
        <w:t xml:space="preserve"> identified a number of priorities in relation to human settlements in order to realise the vision of sustainable human settlements and an imp</w:t>
      </w:r>
      <w:r w:rsidR="00B76C3F" w:rsidRPr="00E47183">
        <w:rPr>
          <w:rFonts w:ascii="Arial" w:eastAsia="Times New Roman" w:hAnsi="Arial" w:cs="Arial"/>
          <w:color w:val="000000"/>
          <w:spacing w:val="6"/>
          <w:sz w:val="20"/>
          <w:szCs w:val="20"/>
          <w:lang w:val="en-ZA" w:eastAsia="en-GB"/>
        </w:rPr>
        <w:t>roved quality of household life.</w:t>
      </w:r>
    </w:p>
    <w:p w:rsidR="003D7ADA" w:rsidRPr="00E47183" w:rsidRDefault="003D7ADA" w:rsidP="00E47183">
      <w:pPr>
        <w:spacing w:after="0" w:line="240" w:lineRule="auto"/>
        <w:rPr>
          <w:rFonts w:ascii="Arial" w:eastAsia="Times New Roman" w:hAnsi="Arial" w:cs="Arial"/>
          <w:b/>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 xml:space="preserve">1.1 </w:t>
      </w:r>
      <w:r w:rsidRPr="00E47183">
        <w:rPr>
          <w:rFonts w:ascii="Arial" w:eastAsia="Times New Roman" w:hAnsi="Arial" w:cs="Arial"/>
          <w:b/>
          <w:color w:val="000000"/>
          <w:spacing w:val="6"/>
          <w:sz w:val="20"/>
          <w:szCs w:val="20"/>
          <w:lang w:val="en-ZA" w:eastAsia="en-GB"/>
        </w:rPr>
        <w:tab/>
        <w:t>MANDATE OF THE COMMITTEE</w:t>
      </w:r>
    </w:p>
    <w:p w:rsidR="004302F5" w:rsidRPr="00E47183" w:rsidRDefault="004302F5" w:rsidP="00E47183">
      <w:pPr>
        <w:spacing w:after="0" w:line="240" w:lineRule="auto"/>
        <w:ind w:left="720"/>
        <w:rPr>
          <w:rFonts w:ascii="Arial" w:eastAsia="Times New Roman" w:hAnsi="Arial" w:cs="Arial"/>
          <w:color w:val="000000"/>
          <w:spacing w:val="6"/>
          <w:sz w:val="20"/>
          <w:szCs w:val="20"/>
          <w:lang w:val="en-GB"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Committee’s mandate is to maintain an oversight responsibility that ensures a quality process of scrutinising and overseeing government’s action.  It is driven by the ideal of realising a better quality of life for all people in South Africa.  It is also required to facilitate public participation as well as oversee compliance with regulatory legislative frameworks related to human settlements.</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In brief, the Committee:</w:t>
      </w:r>
    </w:p>
    <w:p w:rsidR="004302F5" w:rsidRPr="00E47183" w:rsidRDefault="004302F5" w:rsidP="00E47183">
      <w:pPr>
        <w:numPr>
          <w:ilvl w:val="0"/>
          <w:numId w:val="1"/>
        </w:num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Considers legislation referred to it;</w:t>
      </w:r>
    </w:p>
    <w:p w:rsidR="004302F5" w:rsidRPr="00E47183" w:rsidRDefault="004302F5" w:rsidP="00E47183">
      <w:pPr>
        <w:numPr>
          <w:ilvl w:val="0"/>
          <w:numId w:val="1"/>
        </w:num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Conducts oversight of any organ (s) of state and constitutional institution (s); falling within its portfolio;</w:t>
      </w:r>
    </w:p>
    <w:p w:rsidR="004302F5" w:rsidRPr="00E47183" w:rsidRDefault="004302F5" w:rsidP="00E47183">
      <w:pPr>
        <w:numPr>
          <w:ilvl w:val="0"/>
          <w:numId w:val="1"/>
        </w:num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Considers international agreements; and</w:t>
      </w:r>
    </w:p>
    <w:p w:rsidR="004302F5" w:rsidRPr="00E47183" w:rsidRDefault="004302F5" w:rsidP="00E47183">
      <w:pPr>
        <w:numPr>
          <w:ilvl w:val="0"/>
          <w:numId w:val="1"/>
        </w:numPr>
        <w:spacing w:after="0" w:line="240" w:lineRule="auto"/>
        <w:contextualSpacing/>
        <w:rPr>
          <w:rFonts w:ascii="Arial" w:eastAsia="Times New Roman" w:hAnsi="Arial" w:cs="Arial"/>
          <w:b/>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 xml:space="preserve">Considers </w:t>
      </w:r>
      <w:r w:rsidR="008E24C2" w:rsidRPr="00E47183">
        <w:rPr>
          <w:rFonts w:ascii="Arial" w:eastAsia="Times New Roman" w:hAnsi="Arial" w:cs="Arial"/>
          <w:color w:val="000000"/>
          <w:spacing w:val="6"/>
          <w:sz w:val="20"/>
          <w:szCs w:val="20"/>
          <w:lang w:val="en-ZA" w:eastAsia="en-GB"/>
        </w:rPr>
        <w:t>budget of D</w:t>
      </w:r>
      <w:r w:rsidRPr="00E47183">
        <w:rPr>
          <w:rFonts w:ascii="Arial" w:eastAsia="Times New Roman" w:hAnsi="Arial" w:cs="Arial"/>
          <w:color w:val="000000"/>
          <w:spacing w:val="6"/>
          <w:sz w:val="20"/>
          <w:szCs w:val="20"/>
          <w:lang w:val="en-ZA" w:eastAsia="en-GB"/>
        </w:rPr>
        <w:t>epartment and Entities falling within its portfolio</w:t>
      </w:r>
      <w:r w:rsidR="00DE3EC9" w:rsidRPr="00E47183">
        <w:rPr>
          <w:rFonts w:ascii="Arial" w:eastAsia="Times New Roman" w:hAnsi="Arial" w:cs="Arial"/>
          <w:color w:val="000000"/>
          <w:spacing w:val="6"/>
          <w:sz w:val="20"/>
          <w:szCs w:val="20"/>
          <w:lang w:val="en-ZA" w:eastAsia="en-GB"/>
        </w:rPr>
        <w:t>.</w:t>
      </w:r>
    </w:p>
    <w:p w:rsidR="004302F5" w:rsidRPr="00E47183" w:rsidRDefault="004302F5" w:rsidP="00E47183">
      <w:pPr>
        <w:spacing w:after="0" w:line="240" w:lineRule="auto"/>
        <w:ind w:left="920"/>
        <w:contextualSpacing/>
        <w:rPr>
          <w:rFonts w:ascii="Arial" w:eastAsia="Times New Roman" w:hAnsi="Arial" w:cs="Arial"/>
          <w:b/>
          <w:color w:val="000000"/>
          <w:spacing w:val="6"/>
          <w:sz w:val="20"/>
          <w:szCs w:val="20"/>
          <w:lang w:val="en-ZA" w:eastAsia="en-GB"/>
        </w:rPr>
      </w:pPr>
    </w:p>
    <w:p w:rsidR="00433CA0" w:rsidRPr="00E47183" w:rsidRDefault="00433CA0" w:rsidP="00E47183">
      <w:pPr>
        <w:spacing w:after="0" w:line="240" w:lineRule="auto"/>
        <w:ind w:left="920"/>
        <w:contextualSpacing/>
        <w:rPr>
          <w:rFonts w:ascii="Arial" w:eastAsia="Times New Roman" w:hAnsi="Arial" w:cs="Arial"/>
          <w:b/>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1.2</w:t>
      </w:r>
      <w:r w:rsidRPr="00E47183">
        <w:rPr>
          <w:rFonts w:ascii="Arial" w:eastAsia="Times New Roman" w:hAnsi="Arial" w:cs="Arial"/>
          <w:b/>
          <w:color w:val="000000"/>
          <w:spacing w:val="6"/>
          <w:sz w:val="20"/>
          <w:szCs w:val="20"/>
          <w:lang w:val="en-ZA" w:eastAsia="en-GB"/>
        </w:rPr>
        <w:tab/>
        <w:t xml:space="preserve">MANDATE OF THE DEPARTMENT OF HUMAN SETTLEMENTS </w:t>
      </w:r>
    </w:p>
    <w:p w:rsidR="004302F5" w:rsidRPr="00E47183" w:rsidRDefault="004302F5" w:rsidP="00E47183">
      <w:pPr>
        <w:spacing w:after="0" w:line="240" w:lineRule="auto"/>
        <w:ind w:left="780"/>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mandate of the</w:t>
      </w:r>
      <w:r w:rsidR="008E24C2" w:rsidRPr="00E47183">
        <w:rPr>
          <w:rFonts w:ascii="Arial" w:eastAsia="Times New Roman" w:hAnsi="Arial" w:cs="Arial"/>
          <w:color w:val="000000"/>
          <w:spacing w:val="6"/>
          <w:sz w:val="20"/>
          <w:szCs w:val="20"/>
          <w:lang w:val="en-ZA" w:eastAsia="en-GB"/>
        </w:rPr>
        <w:t xml:space="preserve"> Department</w:t>
      </w:r>
      <w:r w:rsidRPr="00E47183">
        <w:rPr>
          <w:rFonts w:ascii="Arial" w:eastAsia="Times New Roman" w:hAnsi="Arial" w:cs="Arial"/>
          <w:color w:val="000000"/>
          <w:spacing w:val="6"/>
          <w:sz w:val="20"/>
          <w:szCs w:val="20"/>
          <w:lang w:val="en-ZA" w:eastAsia="en-GB"/>
        </w:rPr>
        <w:t xml:space="preserve"> is to determine, finance, promote, co-ordinate, communicate and monitor the implementation of housing policy and the provision of human settlements. </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Since the formulation of the Comprehensive Housing Plan in 2004, the Department has conducted various initiatives to enhance the creation of comprehensive, integrated, co-ordinated, sustainable human settlements and quality housing. These initiatives include the review of the National Housing Code which determines national norms and standards in respect of housing development. In keeping with this responsibility, the Department has set short, medium, and long term human settlements development goals towards breaking of apartheid spatial patterns while promoting access to adequate housing, affordable services in better living environments and a more functional equitable residential property market.</w:t>
      </w:r>
    </w:p>
    <w:p w:rsidR="004302F5" w:rsidRPr="00E47183" w:rsidRDefault="004302F5" w:rsidP="00E47183">
      <w:pPr>
        <w:spacing w:after="0" w:line="240" w:lineRule="auto"/>
        <w:outlineLvl w:val="0"/>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As mentioned in the introduction to this report, Outcome 8 of the government’s outcome-based service delivery approach is focused on the mandate of the</w:t>
      </w:r>
      <w:r w:rsidR="008E24C2" w:rsidRPr="00E47183">
        <w:rPr>
          <w:rFonts w:ascii="Arial" w:eastAsia="Times New Roman" w:hAnsi="Arial" w:cs="Arial"/>
          <w:color w:val="000000"/>
          <w:spacing w:val="6"/>
          <w:sz w:val="20"/>
          <w:szCs w:val="20"/>
          <w:lang w:val="en-ZA" w:eastAsia="en-GB"/>
        </w:rPr>
        <w:t xml:space="preserve"> Department</w:t>
      </w:r>
      <w:r w:rsidRPr="00E47183">
        <w:rPr>
          <w:rFonts w:ascii="Arial" w:eastAsia="Times New Roman" w:hAnsi="Arial" w:cs="Arial"/>
          <w:color w:val="000000"/>
          <w:spacing w:val="6"/>
          <w:sz w:val="20"/>
          <w:szCs w:val="20"/>
          <w:lang w:val="en-ZA" w:eastAsia="en-GB"/>
        </w:rPr>
        <w:t xml:space="preserve">. This mandate is to create sustainable human settlements and work towards improving the quality of household life. Section 26 of the Constitution of the Republic of South Africa (1996) and the Housing Act (No. 107 of 1997) are still considered the foundation for the operational models and the spending focus of the Department. </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1.3</w:t>
      </w:r>
      <w:r w:rsidRPr="00E47183">
        <w:rPr>
          <w:rFonts w:ascii="Arial" w:eastAsia="Times New Roman" w:hAnsi="Arial" w:cs="Arial"/>
          <w:b/>
          <w:color w:val="000000"/>
          <w:spacing w:val="6"/>
          <w:sz w:val="20"/>
          <w:szCs w:val="20"/>
          <w:lang w:val="en-ZA" w:eastAsia="en-GB"/>
        </w:rPr>
        <w:tab/>
        <w:t>AIMS OF THE DEPARTMENT OF HUMAN SETTLEME</w:t>
      </w:r>
      <w:r w:rsidR="008E24C2" w:rsidRPr="00E47183">
        <w:rPr>
          <w:rFonts w:ascii="Arial" w:eastAsia="Times New Roman" w:hAnsi="Arial" w:cs="Arial"/>
          <w:b/>
          <w:color w:val="000000"/>
          <w:spacing w:val="6"/>
          <w:sz w:val="20"/>
          <w:szCs w:val="20"/>
          <w:lang w:val="en-ZA" w:eastAsia="en-GB"/>
        </w:rPr>
        <w:t>N</w:t>
      </w:r>
      <w:r w:rsidRPr="00E47183">
        <w:rPr>
          <w:rFonts w:ascii="Arial" w:eastAsia="Times New Roman" w:hAnsi="Arial" w:cs="Arial"/>
          <w:b/>
          <w:color w:val="000000"/>
          <w:spacing w:val="6"/>
          <w:sz w:val="20"/>
          <w:szCs w:val="20"/>
          <w:lang w:val="en-ZA" w:eastAsia="en-GB"/>
        </w:rPr>
        <w:t>TS</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kinsoku w:val="0"/>
        <w:overflowPunct w:val="0"/>
        <w:spacing w:after="0" w:line="240" w:lineRule="auto"/>
        <w:textAlignment w:val="baseline"/>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In line with the National Development Plan (NDP), the Human Settlements aims at achieving visible results from effectively coordinated spatial planning systems by 2030 and this is done through:</w:t>
      </w:r>
    </w:p>
    <w:p w:rsidR="004C4EEC" w:rsidRPr="00E47183" w:rsidRDefault="004302F5" w:rsidP="00E47183">
      <w:pPr>
        <w:pStyle w:val="ListParagraph"/>
        <w:numPr>
          <w:ilvl w:val="0"/>
          <w:numId w:val="4"/>
        </w:numPr>
        <w:kinsoku w:val="0"/>
        <w:overflowPunct w:val="0"/>
        <w:spacing w:line="240" w:lineRule="auto"/>
        <w:textAlignment w:val="baseline"/>
        <w:rPr>
          <w:rFonts w:cs="Arial"/>
          <w:sz w:val="20"/>
          <w:szCs w:val="20"/>
          <w:lang w:val="en-ZA"/>
        </w:rPr>
      </w:pPr>
      <w:r w:rsidRPr="00E47183">
        <w:rPr>
          <w:rFonts w:cs="Arial"/>
          <w:sz w:val="20"/>
          <w:szCs w:val="20"/>
          <w:lang w:val="en-ZA"/>
        </w:rPr>
        <w:t>The development of the Spatial Master Plan for Human Settlements that would direct investments to the priority precincts;</w:t>
      </w:r>
    </w:p>
    <w:p w:rsidR="004C4EEC" w:rsidRPr="00E47183" w:rsidRDefault="004302F5" w:rsidP="00E47183">
      <w:pPr>
        <w:pStyle w:val="ListParagraph"/>
        <w:numPr>
          <w:ilvl w:val="0"/>
          <w:numId w:val="4"/>
        </w:numPr>
        <w:kinsoku w:val="0"/>
        <w:overflowPunct w:val="0"/>
        <w:spacing w:line="240" w:lineRule="auto"/>
        <w:textAlignment w:val="baseline"/>
        <w:rPr>
          <w:rFonts w:cs="Arial"/>
          <w:sz w:val="20"/>
          <w:szCs w:val="20"/>
          <w:lang w:val="en-ZA"/>
        </w:rPr>
      </w:pPr>
      <w:r w:rsidRPr="00E47183">
        <w:rPr>
          <w:rFonts w:cs="Arial"/>
          <w:sz w:val="20"/>
          <w:szCs w:val="20"/>
          <w:lang w:val="en-ZA"/>
        </w:rPr>
        <w:t>Implementation of Catalytic Projects;</w:t>
      </w:r>
    </w:p>
    <w:p w:rsidR="004C4EEC" w:rsidRPr="00E47183" w:rsidRDefault="004302F5" w:rsidP="00E47183">
      <w:pPr>
        <w:pStyle w:val="ListParagraph"/>
        <w:numPr>
          <w:ilvl w:val="0"/>
          <w:numId w:val="4"/>
        </w:numPr>
        <w:kinsoku w:val="0"/>
        <w:overflowPunct w:val="0"/>
        <w:spacing w:line="240" w:lineRule="auto"/>
        <w:textAlignment w:val="baseline"/>
        <w:rPr>
          <w:rFonts w:cs="Arial"/>
          <w:sz w:val="20"/>
          <w:szCs w:val="20"/>
          <w:lang w:val="en-ZA"/>
        </w:rPr>
      </w:pPr>
      <w:r w:rsidRPr="00E47183">
        <w:rPr>
          <w:rFonts w:cs="Arial"/>
          <w:sz w:val="20"/>
          <w:szCs w:val="20"/>
          <w:lang w:val="en-ZA"/>
        </w:rPr>
        <w:t>Prioritising, targeting and focusing resources (financial and other</w:t>
      </w:r>
      <w:r w:rsidR="00260601" w:rsidRPr="00E47183">
        <w:rPr>
          <w:rFonts w:cs="Arial"/>
          <w:sz w:val="20"/>
          <w:szCs w:val="20"/>
          <w:lang w:val="en-ZA"/>
        </w:rPr>
        <w:t>s</w:t>
      </w:r>
      <w:r w:rsidRPr="00E47183">
        <w:rPr>
          <w:rFonts w:cs="Arial"/>
          <w:sz w:val="20"/>
          <w:szCs w:val="20"/>
          <w:lang w:val="en-ZA"/>
        </w:rPr>
        <w:t>) towards upscaling delivery;</w:t>
      </w:r>
    </w:p>
    <w:p w:rsidR="004C4EEC" w:rsidRPr="00E47183" w:rsidRDefault="004302F5" w:rsidP="00E47183">
      <w:pPr>
        <w:pStyle w:val="ListParagraph"/>
        <w:numPr>
          <w:ilvl w:val="0"/>
          <w:numId w:val="4"/>
        </w:numPr>
        <w:kinsoku w:val="0"/>
        <w:overflowPunct w:val="0"/>
        <w:spacing w:line="240" w:lineRule="auto"/>
        <w:textAlignment w:val="baseline"/>
        <w:rPr>
          <w:rFonts w:cs="Arial"/>
          <w:sz w:val="20"/>
          <w:szCs w:val="20"/>
          <w:lang w:val="en-ZA"/>
        </w:rPr>
      </w:pPr>
      <w:r w:rsidRPr="00E47183">
        <w:rPr>
          <w:rFonts w:cs="Arial"/>
          <w:sz w:val="20"/>
          <w:szCs w:val="20"/>
          <w:lang w:val="en-ZA"/>
        </w:rPr>
        <w:t>Supporting and encouraging government and private sector collaboration and integration;</w:t>
      </w:r>
    </w:p>
    <w:p w:rsidR="004C4EEC" w:rsidRPr="00E47183" w:rsidRDefault="004302F5" w:rsidP="00E47183">
      <w:pPr>
        <w:pStyle w:val="ListParagraph"/>
        <w:numPr>
          <w:ilvl w:val="0"/>
          <w:numId w:val="4"/>
        </w:numPr>
        <w:kinsoku w:val="0"/>
        <w:overflowPunct w:val="0"/>
        <w:spacing w:line="240" w:lineRule="auto"/>
        <w:textAlignment w:val="baseline"/>
        <w:rPr>
          <w:rFonts w:cs="Arial"/>
          <w:sz w:val="20"/>
          <w:szCs w:val="20"/>
          <w:lang w:val="en-ZA"/>
        </w:rPr>
      </w:pPr>
      <w:r w:rsidRPr="00E47183">
        <w:rPr>
          <w:rFonts w:cs="Arial"/>
          <w:sz w:val="20"/>
          <w:szCs w:val="20"/>
          <w:lang w:val="en-ZA"/>
        </w:rPr>
        <w:t>Promoting the participation of Youth and Women in human settlements development programmes;</w:t>
      </w:r>
    </w:p>
    <w:p w:rsidR="004302F5" w:rsidRPr="00E47183" w:rsidRDefault="004302F5" w:rsidP="00E47183">
      <w:pPr>
        <w:pStyle w:val="ListParagraph"/>
        <w:numPr>
          <w:ilvl w:val="0"/>
          <w:numId w:val="4"/>
        </w:numPr>
        <w:kinsoku w:val="0"/>
        <w:overflowPunct w:val="0"/>
        <w:spacing w:line="240" w:lineRule="auto"/>
        <w:textAlignment w:val="baseline"/>
        <w:rPr>
          <w:rFonts w:cs="Arial"/>
          <w:sz w:val="20"/>
          <w:szCs w:val="20"/>
          <w:lang w:val="en-ZA"/>
        </w:rPr>
      </w:pPr>
      <w:r w:rsidRPr="00E47183">
        <w:rPr>
          <w:rFonts w:cs="Arial"/>
          <w:sz w:val="20"/>
          <w:szCs w:val="20"/>
          <w:lang w:val="en-ZA"/>
        </w:rPr>
        <w:t>Scaling up delivery on the informal Settlements Upgrading Programme.</w:t>
      </w:r>
    </w:p>
    <w:p w:rsidR="004302F5" w:rsidRPr="00E47183" w:rsidRDefault="004302F5" w:rsidP="00E47183">
      <w:pPr>
        <w:kinsoku w:val="0"/>
        <w:overflowPunct w:val="0"/>
        <w:spacing w:after="0" w:line="240" w:lineRule="auto"/>
        <w:contextualSpacing/>
        <w:textAlignment w:val="baseline"/>
        <w:rPr>
          <w:rFonts w:ascii="Arial" w:eastAsia="Times New Roman" w:hAnsi="Arial" w:cs="Arial"/>
          <w:color w:val="000000"/>
          <w:spacing w:val="6"/>
          <w:sz w:val="20"/>
          <w:szCs w:val="20"/>
          <w:lang w:val="en-ZA" w:eastAsia="en-GB"/>
        </w:rPr>
      </w:pPr>
    </w:p>
    <w:p w:rsidR="004302F5" w:rsidRPr="00E47183" w:rsidRDefault="004302F5" w:rsidP="00E47183">
      <w:pPr>
        <w:kinsoku w:val="0"/>
        <w:overflowPunct w:val="0"/>
        <w:spacing w:after="0" w:line="240" w:lineRule="auto"/>
        <w:ind w:left="1253"/>
        <w:contextualSpacing/>
        <w:textAlignment w:val="baseline"/>
        <w:rPr>
          <w:rFonts w:ascii="Arial" w:eastAsia="Times New Roman" w:hAnsi="Arial" w:cs="Arial"/>
          <w:color w:val="000000"/>
          <w:spacing w:val="6"/>
          <w:sz w:val="20"/>
          <w:szCs w:val="20"/>
          <w:lang w:val="en-ZA" w:eastAsia="en-GB"/>
        </w:rPr>
      </w:pPr>
    </w:p>
    <w:p w:rsidR="004302F5" w:rsidRPr="00E47183" w:rsidRDefault="00401944" w:rsidP="00E47183">
      <w:pPr>
        <w:spacing w:after="0" w:line="240" w:lineRule="auto"/>
        <w:ind w:left="851" w:hanging="851"/>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2.</w:t>
      </w:r>
      <w:r w:rsidRPr="00E47183">
        <w:rPr>
          <w:rFonts w:ascii="Arial" w:eastAsia="Times New Roman" w:hAnsi="Arial" w:cs="Arial"/>
          <w:b/>
          <w:color w:val="000000"/>
          <w:spacing w:val="6"/>
          <w:sz w:val="20"/>
          <w:szCs w:val="20"/>
          <w:lang w:val="en-ZA" w:eastAsia="en-GB"/>
        </w:rPr>
        <w:tab/>
        <w:t>PURPOSE OF THE BRRR</w:t>
      </w:r>
    </w:p>
    <w:p w:rsidR="004302F5" w:rsidRPr="00E47183" w:rsidRDefault="004302F5" w:rsidP="00E47183">
      <w:pPr>
        <w:spacing w:after="0" w:line="240" w:lineRule="auto"/>
        <w:contextualSpacing/>
        <w:rPr>
          <w:rFonts w:ascii="Arial" w:eastAsia="Times New Roman" w:hAnsi="Arial" w:cs="Arial"/>
          <w:color w:val="000000"/>
          <w:spacing w:val="6"/>
          <w:sz w:val="20"/>
          <w:szCs w:val="20"/>
          <w:lang w:val="en-ZA" w:eastAsia="en-GB"/>
        </w:rPr>
      </w:pPr>
    </w:p>
    <w:p w:rsidR="003D7ADA" w:rsidRPr="00E47183" w:rsidRDefault="004302F5" w:rsidP="00E47183">
      <w:p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 xml:space="preserve">In terms of Section 5 of the Money Bills Amendment Procedures and Related Matters Act, </w:t>
      </w:r>
      <w:r w:rsidR="00260601" w:rsidRPr="00E47183">
        <w:rPr>
          <w:rFonts w:ascii="Arial" w:eastAsia="Times New Roman" w:hAnsi="Arial" w:cs="Arial"/>
          <w:color w:val="000000"/>
          <w:spacing w:val="6"/>
          <w:sz w:val="20"/>
          <w:szCs w:val="20"/>
          <w:lang w:val="en-ZA" w:eastAsia="en-GB"/>
        </w:rPr>
        <w:t>(</w:t>
      </w:r>
      <w:r w:rsidRPr="00E47183">
        <w:rPr>
          <w:rFonts w:ascii="Arial" w:eastAsia="Times New Roman" w:hAnsi="Arial" w:cs="Arial"/>
          <w:color w:val="000000"/>
          <w:spacing w:val="6"/>
          <w:sz w:val="20"/>
          <w:szCs w:val="20"/>
          <w:lang w:val="en-ZA" w:eastAsia="en-GB"/>
        </w:rPr>
        <w:t>No. 9 of 2009</w:t>
      </w:r>
      <w:r w:rsidR="00260601" w:rsidRPr="00E47183">
        <w:rPr>
          <w:rFonts w:ascii="Arial" w:eastAsia="Times New Roman" w:hAnsi="Arial" w:cs="Arial"/>
          <w:color w:val="000000"/>
          <w:spacing w:val="6"/>
          <w:sz w:val="20"/>
          <w:szCs w:val="20"/>
          <w:lang w:val="en-ZA" w:eastAsia="en-GB"/>
        </w:rPr>
        <w:t>)</w:t>
      </w:r>
      <w:r w:rsidRPr="00E47183">
        <w:rPr>
          <w:rFonts w:ascii="Arial" w:eastAsia="Times New Roman" w:hAnsi="Arial" w:cs="Arial"/>
          <w:color w:val="000000"/>
          <w:spacing w:val="6"/>
          <w:sz w:val="20"/>
          <w:szCs w:val="20"/>
          <w:lang w:val="en-ZA" w:eastAsia="en-GB"/>
        </w:rPr>
        <w:t xml:space="preserve"> the National Assembly, through its Committees, mus</w:t>
      </w:r>
      <w:r w:rsidR="008E24C2" w:rsidRPr="00E47183">
        <w:rPr>
          <w:rFonts w:ascii="Arial" w:eastAsia="Times New Roman" w:hAnsi="Arial" w:cs="Arial"/>
          <w:color w:val="000000"/>
          <w:spacing w:val="6"/>
          <w:sz w:val="20"/>
          <w:szCs w:val="20"/>
          <w:lang w:val="en-ZA" w:eastAsia="en-GB"/>
        </w:rPr>
        <w:t>t annually compile BRRRs</w:t>
      </w:r>
      <w:r w:rsidRPr="00E47183">
        <w:rPr>
          <w:rFonts w:ascii="Arial" w:eastAsia="Times New Roman" w:hAnsi="Arial" w:cs="Arial"/>
          <w:color w:val="000000"/>
          <w:spacing w:val="6"/>
          <w:sz w:val="20"/>
          <w:szCs w:val="20"/>
          <w:lang w:val="en-ZA" w:eastAsia="en-GB"/>
        </w:rPr>
        <w:t xml:space="preserve"> that assess service delivery and financial performance of Departments and may provide recommendations on forward use of resources. The BRRR is also a source document for the Committees on Appropriations when considering and making recommendations on the Medium Term Budget Policy Statement (MTBPS).</w:t>
      </w:r>
    </w:p>
    <w:p w:rsidR="00401944" w:rsidRPr="00E47183" w:rsidRDefault="00401944" w:rsidP="00E47183">
      <w:pPr>
        <w:spacing w:after="0" w:line="240" w:lineRule="auto"/>
        <w:contextualSpacing/>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ind w:left="851" w:hanging="851"/>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2.1</w:t>
      </w:r>
      <w:r w:rsidRPr="00E47183">
        <w:rPr>
          <w:rFonts w:ascii="Arial" w:eastAsia="Times New Roman" w:hAnsi="Arial" w:cs="Arial"/>
          <w:b/>
          <w:color w:val="000000"/>
          <w:spacing w:val="6"/>
          <w:sz w:val="20"/>
          <w:szCs w:val="20"/>
          <w:lang w:val="en-ZA" w:eastAsia="en-GB"/>
        </w:rPr>
        <w:tab/>
        <w:t xml:space="preserve">METHODOLOGY </w:t>
      </w:r>
    </w:p>
    <w:p w:rsidR="004302F5" w:rsidRPr="00E47183" w:rsidRDefault="004302F5" w:rsidP="00E47183">
      <w:pPr>
        <w:spacing w:after="0" w:line="240" w:lineRule="auto"/>
        <w:contextualSpacing/>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Portfolio Committee on Hum</w:t>
      </w:r>
      <w:r w:rsidR="009C608B" w:rsidRPr="00E47183">
        <w:rPr>
          <w:rFonts w:ascii="Arial" w:eastAsia="Times New Roman" w:hAnsi="Arial" w:cs="Arial"/>
          <w:color w:val="000000"/>
          <w:spacing w:val="6"/>
          <w:sz w:val="20"/>
          <w:szCs w:val="20"/>
          <w:lang w:val="en-ZA" w:eastAsia="en-GB"/>
        </w:rPr>
        <w:t>an Settlements compiled the 2021/22</w:t>
      </w:r>
      <w:r w:rsidR="00CE6CF1" w:rsidRPr="00E47183">
        <w:rPr>
          <w:rFonts w:ascii="Arial" w:eastAsia="Times New Roman" w:hAnsi="Arial" w:cs="Arial"/>
          <w:color w:val="000000"/>
          <w:spacing w:val="6"/>
          <w:sz w:val="20"/>
          <w:szCs w:val="20"/>
          <w:lang w:val="en-ZA" w:eastAsia="en-GB"/>
        </w:rPr>
        <w:t xml:space="preserve"> </w:t>
      </w:r>
      <w:r w:rsidRPr="00E47183">
        <w:rPr>
          <w:rFonts w:ascii="Arial" w:eastAsia="Times New Roman" w:hAnsi="Arial" w:cs="Arial"/>
          <w:color w:val="000000"/>
          <w:spacing w:val="6"/>
          <w:sz w:val="20"/>
          <w:szCs w:val="20"/>
          <w:lang w:val="en-ZA" w:eastAsia="en-GB"/>
        </w:rPr>
        <w:t>BRRR using the following documents:</w:t>
      </w:r>
    </w:p>
    <w:p w:rsidR="004302F5" w:rsidRPr="00E47183" w:rsidRDefault="002B3657"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NDP</w:t>
      </w:r>
      <w:r w:rsidR="004302F5" w:rsidRPr="00E47183">
        <w:rPr>
          <w:rFonts w:ascii="Arial" w:eastAsia="Times New Roman" w:hAnsi="Arial" w:cs="Arial"/>
          <w:color w:val="000000"/>
          <w:spacing w:val="6"/>
          <w:sz w:val="20"/>
          <w:szCs w:val="20"/>
          <w:lang w:val="en-ZA" w:eastAsia="en-GB"/>
        </w:rPr>
        <w:t>: Vision for 2030;</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Medium Term Strategic Framework;</w:t>
      </w:r>
    </w:p>
    <w:p w:rsidR="004302F5" w:rsidRPr="00E47183" w:rsidRDefault="003E3449" w:rsidP="00E47183">
      <w:pPr>
        <w:numPr>
          <w:ilvl w:val="0"/>
          <w:numId w:val="2"/>
        </w:numPr>
        <w:spacing w:after="0" w:line="240" w:lineRule="auto"/>
        <w:contextualSpacing/>
        <w:rPr>
          <w:rFonts w:ascii="Arial" w:eastAsia="Times New Roman" w:hAnsi="Arial" w:cs="Arial"/>
          <w:spacing w:val="6"/>
          <w:sz w:val="20"/>
          <w:szCs w:val="20"/>
          <w:lang w:val="en-ZA" w:eastAsia="en-GB"/>
        </w:rPr>
      </w:pPr>
      <w:r w:rsidRPr="00E47183">
        <w:rPr>
          <w:rFonts w:ascii="Arial" w:eastAsia="Times New Roman" w:hAnsi="Arial" w:cs="Arial"/>
          <w:spacing w:val="6"/>
          <w:sz w:val="20"/>
          <w:szCs w:val="20"/>
          <w:lang w:val="en-ZA" w:eastAsia="en-GB"/>
        </w:rPr>
        <w:t>20</w:t>
      </w:r>
      <w:r w:rsidR="00B34A0F" w:rsidRPr="00E47183">
        <w:rPr>
          <w:rFonts w:ascii="Arial" w:eastAsia="Times New Roman" w:hAnsi="Arial" w:cs="Arial"/>
          <w:spacing w:val="6"/>
          <w:sz w:val="20"/>
          <w:szCs w:val="20"/>
          <w:lang w:val="en-ZA" w:eastAsia="en-GB"/>
        </w:rPr>
        <w:t>21</w:t>
      </w:r>
      <w:r w:rsidR="004C4EEC" w:rsidRPr="00E47183">
        <w:rPr>
          <w:rFonts w:ascii="Arial" w:eastAsia="Times New Roman" w:hAnsi="Arial" w:cs="Arial"/>
          <w:spacing w:val="6"/>
          <w:sz w:val="20"/>
          <w:szCs w:val="20"/>
          <w:lang w:val="en-ZA" w:eastAsia="en-GB"/>
        </w:rPr>
        <w:t>/</w:t>
      </w:r>
      <w:r w:rsidR="003D7ADA" w:rsidRPr="00E47183">
        <w:rPr>
          <w:rFonts w:ascii="Arial" w:eastAsia="Times New Roman" w:hAnsi="Arial" w:cs="Arial"/>
          <w:spacing w:val="6"/>
          <w:sz w:val="20"/>
          <w:szCs w:val="20"/>
          <w:lang w:val="en-ZA" w:eastAsia="en-GB"/>
        </w:rPr>
        <w:t>22</w:t>
      </w:r>
      <w:r w:rsidR="004302F5" w:rsidRPr="00E47183">
        <w:rPr>
          <w:rFonts w:ascii="Arial" w:eastAsia="Times New Roman" w:hAnsi="Arial" w:cs="Arial"/>
          <w:spacing w:val="6"/>
          <w:sz w:val="20"/>
          <w:szCs w:val="20"/>
          <w:lang w:val="en-ZA" w:eastAsia="en-GB"/>
        </w:rPr>
        <w:t xml:space="preserve"> State of the Nation Address;</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Strategic Plans of the</w:t>
      </w:r>
      <w:r w:rsidR="002B3657" w:rsidRPr="00E47183">
        <w:rPr>
          <w:rFonts w:ascii="Arial" w:eastAsia="Times New Roman" w:hAnsi="Arial" w:cs="Arial"/>
          <w:color w:val="000000"/>
          <w:spacing w:val="6"/>
          <w:sz w:val="20"/>
          <w:szCs w:val="20"/>
          <w:lang w:val="en-ZA" w:eastAsia="en-GB"/>
        </w:rPr>
        <w:t xml:space="preserve"> Department</w:t>
      </w:r>
      <w:r w:rsidRPr="00E47183">
        <w:rPr>
          <w:rFonts w:ascii="Arial" w:eastAsia="Times New Roman" w:hAnsi="Arial" w:cs="Arial"/>
          <w:color w:val="000000"/>
          <w:spacing w:val="6"/>
          <w:sz w:val="20"/>
          <w:szCs w:val="20"/>
          <w:lang w:val="en-ZA" w:eastAsia="en-GB"/>
        </w:rPr>
        <w:t xml:space="preserve"> and its Entities;</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Annual Performance Plans</w:t>
      </w:r>
      <w:r w:rsidR="00260601" w:rsidRPr="00E47183">
        <w:rPr>
          <w:rFonts w:ascii="Arial" w:eastAsia="Times New Roman" w:hAnsi="Arial" w:cs="Arial"/>
          <w:color w:val="000000"/>
          <w:spacing w:val="6"/>
          <w:sz w:val="20"/>
          <w:szCs w:val="20"/>
          <w:lang w:val="en-ZA" w:eastAsia="en-GB"/>
        </w:rPr>
        <w:t xml:space="preserve"> and Annual Reports</w:t>
      </w:r>
      <w:r w:rsidRPr="00E47183">
        <w:rPr>
          <w:rFonts w:ascii="Arial" w:eastAsia="Times New Roman" w:hAnsi="Arial" w:cs="Arial"/>
          <w:color w:val="000000"/>
          <w:spacing w:val="6"/>
          <w:sz w:val="20"/>
          <w:szCs w:val="20"/>
          <w:lang w:val="en-ZA" w:eastAsia="en-GB"/>
        </w:rPr>
        <w:t xml:space="preserve"> of the</w:t>
      </w:r>
      <w:r w:rsidR="002B3657" w:rsidRPr="00E47183">
        <w:rPr>
          <w:rFonts w:ascii="Arial" w:eastAsia="Times New Roman" w:hAnsi="Arial" w:cs="Arial"/>
          <w:color w:val="000000"/>
          <w:spacing w:val="6"/>
          <w:sz w:val="20"/>
          <w:szCs w:val="20"/>
          <w:lang w:val="en-ZA" w:eastAsia="en-GB"/>
        </w:rPr>
        <w:t xml:space="preserve"> Department</w:t>
      </w:r>
      <w:r w:rsidR="00260601" w:rsidRPr="00E47183">
        <w:rPr>
          <w:rFonts w:ascii="Arial" w:eastAsia="Times New Roman" w:hAnsi="Arial" w:cs="Arial"/>
          <w:color w:val="000000"/>
          <w:spacing w:val="6"/>
          <w:sz w:val="20"/>
          <w:szCs w:val="20"/>
          <w:lang w:val="en-ZA" w:eastAsia="en-GB"/>
        </w:rPr>
        <w:t xml:space="preserve"> and its Entities</w:t>
      </w:r>
      <w:r w:rsidRPr="00E47183">
        <w:rPr>
          <w:rFonts w:ascii="Arial" w:eastAsia="Times New Roman" w:hAnsi="Arial" w:cs="Arial"/>
          <w:color w:val="000000"/>
          <w:spacing w:val="6"/>
          <w:sz w:val="20"/>
          <w:szCs w:val="20"/>
          <w:lang w:val="en-ZA" w:eastAsia="en-GB"/>
        </w:rPr>
        <w:t>, assessm</w:t>
      </w:r>
      <w:r w:rsidR="00EE765B" w:rsidRPr="00E47183">
        <w:rPr>
          <w:rFonts w:ascii="Arial" w:eastAsia="Times New Roman" w:hAnsi="Arial" w:cs="Arial"/>
          <w:color w:val="000000"/>
          <w:spacing w:val="6"/>
          <w:sz w:val="20"/>
          <w:szCs w:val="20"/>
          <w:lang w:val="en-ZA" w:eastAsia="en-GB"/>
        </w:rPr>
        <w:t xml:space="preserve">ent made by the DPME </w:t>
      </w:r>
      <w:r w:rsidRPr="00E47183">
        <w:rPr>
          <w:rFonts w:ascii="Arial" w:eastAsia="Times New Roman" w:hAnsi="Arial" w:cs="Arial"/>
          <w:color w:val="000000"/>
          <w:spacing w:val="6"/>
          <w:sz w:val="20"/>
          <w:szCs w:val="20"/>
          <w:lang w:val="en-ZA" w:eastAsia="en-GB"/>
        </w:rPr>
        <w:t xml:space="preserve">and </w:t>
      </w:r>
      <w:r w:rsidR="00EE765B" w:rsidRPr="00E47183">
        <w:rPr>
          <w:rFonts w:ascii="Arial" w:eastAsia="Times New Roman" w:hAnsi="Arial" w:cs="Arial"/>
          <w:color w:val="000000"/>
          <w:spacing w:val="6"/>
          <w:sz w:val="20"/>
          <w:szCs w:val="20"/>
          <w:lang w:val="en-ZA" w:eastAsia="en-GB"/>
        </w:rPr>
        <w:t>the AG</w:t>
      </w:r>
      <w:r w:rsidR="00401944" w:rsidRPr="00E47183">
        <w:rPr>
          <w:rFonts w:ascii="Arial" w:eastAsia="Times New Roman" w:hAnsi="Arial" w:cs="Arial"/>
          <w:color w:val="000000"/>
          <w:spacing w:val="6"/>
          <w:sz w:val="20"/>
          <w:szCs w:val="20"/>
          <w:lang w:val="en-ZA" w:eastAsia="en-GB"/>
        </w:rPr>
        <w:t>SA</w:t>
      </w:r>
      <w:r w:rsidRPr="00E47183">
        <w:rPr>
          <w:rFonts w:ascii="Arial" w:eastAsia="Times New Roman" w:hAnsi="Arial" w:cs="Arial"/>
          <w:color w:val="000000"/>
          <w:spacing w:val="6"/>
          <w:sz w:val="20"/>
          <w:szCs w:val="20"/>
          <w:lang w:val="en-ZA" w:eastAsia="en-GB"/>
        </w:rPr>
        <w:t xml:space="preserve"> outcomes of audit findings. </w:t>
      </w:r>
    </w:p>
    <w:p w:rsidR="004302F5" w:rsidRPr="00E47183" w:rsidRDefault="004302F5" w:rsidP="00E47183">
      <w:pPr>
        <w:spacing w:after="0" w:line="240" w:lineRule="auto"/>
        <w:ind w:left="720"/>
        <w:contextualSpacing/>
        <w:rPr>
          <w:rFonts w:ascii="Arial" w:eastAsia="Times New Roman" w:hAnsi="Arial" w:cs="Arial"/>
          <w:color w:val="000000"/>
          <w:spacing w:val="6"/>
          <w:sz w:val="20"/>
          <w:szCs w:val="20"/>
          <w:lang w:val="en-ZA" w:eastAsia="en-GB"/>
        </w:rPr>
      </w:pPr>
    </w:p>
    <w:p w:rsidR="004302F5" w:rsidRPr="00E47183" w:rsidRDefault="004302F5" w:rsidP="00E47183">
      <w:pPr>
        <w:autoSpaceDE w:val="0"/>
        <w:autoSpaceDN w:val="0"/>
        <w:adjustRightInd w:val="0"/>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3.</w:t>
      </w:r>
      <w:r w:rsidRPr="00E47183">
        <w:rPr>
          <w:rFonts w:ascii="Arial" w:eastAsia="Times New Roman" w:hAnsi="Arial" w:cs="Arial"/>
          <w:b/>
          <w:color w:val="000000"/>
          <w:spacing w:val="6"/>
          <w:sz w:val="20"/>
          <w:szCs w:val="20"/>
          <w:lang w:val="en-ZA" w:eastAsia="en-GB"/>
        </w:rPr>
        <w:tab/>
        <w:t>NATIONAL DEVELOPMENT PLAN VISION 2030</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In relation to</w:t>
      </w:r>
      <w:r w:rsidR="002B3657" w:rsidRPr="00E47183">
        <w:rPr>
          <w:rFonts w:ascii="Arial" w:eastAsia="Times New Roman" w:hAnsi="Arial" w:cs="Arial"/>
          <w:color w:val="000000"/>
          <w:spacing w:val="6"/>
          <w:sz w:val="20"/>
          <w:szCs w:val="20"/>
          <w:lang w:val="en-ZA" w:eastAsia="en-GB"/>
        </w:rPr>
        <w:t xml:space="preserve"> the NDP</w:t>
      </w:r>
      <w:r w:rsidRPr="00E47183">
        <w:rPr>
          <w:rFonts w:ascii="Arial" w:eastAsia="Times New Roman" w:hAnsi="Arial" w:cs="Arial"/>
          <w:color w:val="000000"/>
          <w:spacing w:val="6"/>
          <w:sz w:val="20"/>
          <w:szCs w:val="20"/>
          <w:lang w:val="en-ZA" w:eastAsia="en-GB"/>
        </w:rPr>
        <w:t xml:space="preserve"> 2030, the Department has the following strategic priorities:</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Respond systematically, to</w:t>
      </w:r>
      <w:r w:rsidR="00FB3B7A" w:rsidRPr="00E47183">
        <w:rPr>
          <w:rFonts w:ascii="Arial" w:eastAsia="Times New Roman" w:hAnsi="Arial" w:cs="Arial"/>
          <w:color w:val="000000"/>
          <w:spacing w:val="6"/>
          <w:sz w:val="20"/>
          <w:szCs w:val="20"/>
          <w:lang w:val="en-ZA" w:eastAsia="en-GB"/>
        </w:rPr>
        <w:t xml:space="preserve"> the</w:t>
      </w:r>
      <w:r w:rsidRPr="00E47183">
        <w:rPr>
          <w:rFonts w:ascii="Arial" w:eastAsia="Times New Roman" w:hAnsi="Arial" w:cs="Arial"/>
          <w:color w:val="000000"/>
          <w:spacing w:val="6"/>
          <w:sz w:val="20"/>
          <w:szCs w:val="20"/>
          <w:lang w:val="en-ZA" w:eastAsia="en-GB"/>
        </w:rPr>
        <w:t xml:space="preserve"> entrenched spatial patterns across all geographic scales that perpetuates social inequality and economic inefficiency;</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Implement strategically the chosen catalytic interventions to achieve spatial governance;</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Achieve a creative balance between spatial equity, economic competitiveness and environmental sustainability;</w:t>
      </w:r>
    </w:p>
    <w:p w:rsidR="004302F5"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Expand personal freedoms by providing the residents of South Africa with greater choice of where to live;</w:t>
      </w:r>
    </w:p>
    <w:p w:rsidR="003B249F" w:rsidRPr="00E47183" w:rsidRDefault="004302F5" w:rsidP="00E47183">
      <w:pPr>
        <w:numPr>
          <w:ilvl w:val="0"/>
          <w:numId w:val="2"/>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Support individuals, communities and the private sector in engaging with the state on the future of the spaces and settlements in which they live and work while streamlining processes to enable local governments to implement strategic spatial intervention.</w:t>
      </w:r>
    </w:p>
    <w:p w:rsidR="003B249F" w:rsidRPr="00E47183" w:rsidRDefault="003B249F" w:rsidP="00E47183">
      <w:pPr>
        <w:spacing w:after="0" w:line="240" w:lineRule="auto"/>
        <w:contextualSpacing/>
        <w:rPr>
          <w:rFonts w:ascii="Arial" w:eastAsia="Times New Roman" w:hAnsi="Arial" w:cs="Arial"/>
          <w:color w:val="000000"/>
          <w:spacing w:val="6"/>
          <w:sz w:val="20"/>
          <w:szCs w:val="20"/>
          <w:lang w:val="en-ZA" w:eastAsia="en-GB"/>
        </w:rPr>
      </w:pPr>
    </w:p>
    <w:p w:rsidR="00CD7915" w:rsidRPr="00E47183" w:rsidRDefault="00CD7915" w:rsidP="00E47183">
      <w:pPr>
        <w:spacing w:after="0" w:line="240" w:lineRule="auto"/>
        <w:rPr>
          <w:rFonts w:ascii="Arial" w:eastAsia="Times New Roman" w:hAnsi="Arial" w:cs="Arial"/>
          <w:color w:val="000000"/>
          <w:spacing w:val="6"/>
          <w:sz w:val="20"/>
          <w:szCs w:val="20"/>
          <w:lang w:val="en-ZA" w:eastAsia="en-GB"/>
        </w:rPr>
      </w:pPr>
    </w:p>
    <w:p w:rsidR="006150AD"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4.</w:t>
      </w:r>
      <w:r w:rsidRPr="00E47183">
        <w:rPr>
          <w:rFonts w:ascii="Arial" w:eastAsia="Times New Roman" w:hAnsi="Arial" w:cs="Arial"/>
          <w:b/>
          <w:color w:val="000000"/>
          <w:spacing w:val="6"/>
          <w:sz w:val="20"/>
          <w:szCs w:val="20"/>
          <w:lang w:val="en-ZA" w:eastAsia="en-GB"/>
        </w:rPr>
        <w:tab/>
        <w:t>MEDIUM TERM STRATEGIC FRAMEW</w:t>
      </w:r>
      <w:r w:rsidR="004C4EEC" w:rsidRPr="00E47183">
        <w:rPr>
          <w:rFonts w:ascii="Arial" w:eastAsia="Times New Roman" w:hAnsi="Arial" w:cs="Arial"/>
          <w:b/>
          <w:color w:val="000000"/>
          <w:spacing w:val="6"/>
          <w:sz w:val="20"/>
          <w:szCs w:val="20"/>
          <w:lang w:val="en-ZA" w:eastAsia="en-GB"/>
        </w:rPr>
        <w:t>ORK (2019-2024)</w:t>
      </w:r>
    </w:p>
    <w:p w:rsidR="002B3657" w:rsidRPr="00E47183" w:rsidRDefault="002B3657" w:rsidP="00E47183">
      <w:pPr>
        <w:spacing w:after="0" w:line="240" w:lineRule="auto"/>
        <w:ind w:left="720" w:hanging="720"/>
        <w:rPr>
          <w:rFonts w:ascii="Arial" w:eastAsia="Times New Roman" w:hAnsi="Arial" w:cs="Arial"/>
          <w:b/>
          <w:color w:val="000000"/>
          <w:spacing w:val="6"/>
          <w:sz w:val="20"/>
          <w:szCs w:val="20"/>
          <w:lang w:val="en-ZA" w:eastAsia="en-GB"/>
        </w:rPr>
      </w:pPr>
    </w:p>
    <w:p w:rsidR="00033539" w:rsidRPr="00E47183" w:rsidRDefault="006150AD" w:rsidP="00E47183">
      <w:p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 xml:space="preserve">The </w:t>
      </w:r>
      <w:r w:rsidR="00DF4CDE" w:rsidRPr="00E47183">
        <w:rPr>
          <w:rFonts w:ascii="Arial" w:eastAsia="Times New Roman" w:hAnsi="Arial" w:cs="Arial"/>
          <w:color w:val="000000"/>
          <w:spacing w:val="6"/>
          <w:sz w:val="20"/>
          <w:szCs w:val="20"/>
          <w:lang w:val="en-ZA" w:eastAsia="en-GB"/>
        </w:rPr>
        <w:t xml:space="preserve">2019- 2024 MTSF is both a five-year plan implementation plan and an integrated monitoring framework. The plan focuses on the seven priorities and related interventions of the sixth administration of government. The integrated monitoring framework focuses on monitoring and outcomes, indicators and targets towards the achievement of priorities. The MTSF promotes alignment, coordination and ultimately full integration of all development planning instruments into an integrated framework without duplication, role conflict and </w:t>
      </w:r>
      <w:r w:rsidR="00DF4CDE" w:rsidRPr="00E47183">
        <w:rPr>
          <w:rFonts w:ascii="Arial" w:eastAsia="Times New Roman" w:hAnsi="Arial" w:cs="Arial"/>
          <w:color w:val="000000"/>
          <w:spacing w:val="6"/>
          <w:sz w:val="20"/>
          <w:szCs w:val="20"/>
          <w:lang w:val="en-ZA" w:eastAsia="en-GB"/>
        </w:rPr>
        <w:lastRenderedPageBreak/>
        <w:t xml:space="preserve">coordinated development in all spheres of government. </w:t>
      </w:r>
      <w:r w:rsidR="00D36CA5" w:rsidRPr="00E47183">
        <w:rPr>
          <w:rFonts w:ascii="Arial" w:eastAsia="Times New Roman" w:hAnsi="Arial" w:cs="Arial"/>
          <w:color w:val="000000"/>
          <w:spacing w:val="6"/>
          <w:sz w:val="20"/>
          <w:szCs w:val="20"/>
          <w:lang w:val="en-ZA" w:eastAsia="en-GB"/>
        </w:rPr>
        <w:t>The MTSF is structured into priority outcomes which cover the focus areas identified in the NDP Chapters.</w:t>
      </w:r>
      <w:r w:rsidR="00432CA9" w:rsidRPr="00E47183">
        <w:rPr>
          <w:rFonts w:ascii="Arial" w:eastAsia="Times New Roman" w:hAnsi="Arial" w:cs="Arial"/>
          <w:color w:val="000000"/>
          <w:spacing w:val="6"/>
          <w:sz w:val="20"/>
          <w:szCs w:val="20"/>
          <w:lang w:val="en-ZA" w:eastAsia="en-GB"/>
        </w:rPr>
        <w:t xml:space="preserve"> </w:t>
      </w:r>
    </w:p>
    <w:p w:rsidR="00432CA9" w:rsidRPr="00E47183" w:rsidRDefault="00432CA9" w:rsidP="00E47183">
      <w:pPr>
        <w:spacing w:after="0" w:line="240" w:lineRule="auto"/>
        <w:contextualSpacing/>
        <w:rPr>
          <w:rFonts w:ascii="Arial" w:eastAsia="Times New Roman" w:hAnsi="Arial" w:cs="Arial"/>
          <w:color w:val="000000"/>
          <w:spacing w:val="6"/>
          <w:sz w:val="20"/>
          <w:szCs w:val="20"/>
          <w:lang w:val="en-ZA" w:eastAsia="en-GB"/>
        </w:rPr>
      </w:pPr>
    </w:p>
    <w:p w:rsidR="00432CA9" w:rsidRPr="00E47183" w:rsidRDefault="00432CA9" w:rsidP="00E47183">
      <w:p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focus of the MTSF 2019-2024 for the Human Settlements Sector is to implement a coherent programme to transform human settlements and to ensure that delivery of housing is used to restructure towns and cities, and strengthen the livelihood prospects of households and overcome spatial apartheid patterns. To advance this vision, the MTSF 2019-2024 has three interrelated outcomes with clear targets:</w:t>
      </w:r>
    </w:p>
    <w:p w:rsidR="00432CA9" w:rsidRPr="00E47183" w:rsidRDefault="00432CA9" w:rsidP="00E47183">
      <w:pPr>
        <w:numPr>
          <w:ilvl w:val="0"/>
          <w:numId w:val="3"/>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Spatial transformation through multi-programme integration in priority development areas (PDA’s);</w:t>
      </w:r>
    </w:p>
    <w:p w:rsidR="00432CA9" w:rsidRPr="00E47183" w:rsidRDefault="00432CA9" w:rsidP="00E47183">
      <w:pPr>
        <w:numPr>
          <w:ilvl w:val="0"/>
          <w:numId w:val="3"/>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Adequate housing and improved quality living environment;</w:t>
      </w:r>
    </w:p>
    <w:p w:rsidR="00432CA9" w:rsidRPr="00E47183" w:rsidRDefault="00432CA9" w:rsidP="00E47183">
      <w:pPr>
        <w:numPr>
          <w:ilvl w:val="0"/>
          <w:numId w:val="3"/>
        </w:num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Security of tenure through the provision of title deeds.</w:t>
      </w:r>
    </w:p>
    <w:p w:rsidR="00714468" w:rsidRPr="00E47183" w:rsidRDefault="00714468" w:rsidP="00E47183">
      <w:pPr>
        <w:spacing w:after="0" w:line="240" w:lineRule="auto"/>
        <w:contextualSpacing/>
        <w:rPr>
          <w:rFonts w:ascii="Arial" w:eastAsia="Times New Roman" w:hAnsi="Arial" w:cs="Arial"/>
          <w:color w:val="000000"/>
          <w:spacing w:val="6"/>
          <w:sz w:val="20"/>
          <w:szCs w:val="20"/>
          <w:lang w:val="en-ZA" w:eastAsia="en-GB"/>
        </w:rPr>
      </w:pPr>
    </w:p>
    <w:p w:rsidR="00714468" w:rsidRPr="00E47183" w:rsidRDefault="00714468" w:rsidP="00E47183">
      <w:p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following are specific MTSF 2019-2024 targets</w:t>
      </w:r>
      <w:r w:rsidR="00CA2281" w:rsidRPr="00E47183">
        <w:rPr>
          <w:rFonts w:ascii="Arial" w:eastAsia="Times New Roman" w:hAnsi="Arial" w:cs="Arial"/>
          <w:color w:val="000000"/>
          <w:spacing w:val="6"/>
          <w:sz w:val="20"/>
          <w:szCs w:val="20"/>
          <w:lang w:val="en-ZA" w:eastAsia="en-GB"/>
        </w:rPr>
        <w:t xml:space="preserve"> for the Human Settlements Sector</w:t>
      </w:r>
      <w:r w:rsidRPr="00E47183">
        <w:rPr>
          <w:rFonts w:ascii="Arial" w:eastAsia="Times New Roman" w:hAnsi="Arial" w:cs="Arial"/>
          <w:color w:val="000000"/>
          <w:spacing w:val="6"/>
          <w:sz w:val="20"/>
          <w:szCs w:val="20"/>
          <w:lang w:val="en-ZA" w:eastAsia="en-GB"/>
        </w:rPr>
        <w:t xml:space="preserve">: </w:t>
      </w:r>
    </w:p>
    <w:p w:rsidR="00714468" w:rsidRPr="00E47183" w:rsidRDefault="00714468" w:rsidP="00E47183">
      <w:pPr>
        <w:pStyle w:val="ListParagraph"/>
        <w:numPr>
          <w:ilvl w:val="0"/>
          <w:numId w:val="8"/>
        </w:numPr>
        <w:spacing w:line="240" w:lineRule="auto"/>
        <w:rPr>
          <w:rFonts w:cs="Arial"/>
          <w:sz w:val="20"/>
          <w:szCs w:val="20"/>
          <w:lang w:val="en-ZA"/>
        </w:rPr>
      </w:pPr>
      <w:r w:rsidRPr="00E47183">
        <w:rPr>
          <w:rFonts w:cs="Arial"/>
          <w:sz w:val="20"/>
          <w:szCs w:val="20"/>
          <w:lang w:val="en-ZA"/>
        </w:rPr>
        <w:t>Deliver 4</w:t>
      </w:r>
      <w:r w:rsidR="00DE3EC9" w:rsidRPr="00E47183">
        <w:rPr>
          <w:rFonts w:cs="Arial"/>
          <w:sz w:val="20"/>
          <w:szCs w:val="20"/>
          <w:lang w:val="en-ZA"/>
        </w:rPr>
        <w:t>50 000 subsidised housing units;</w:t>
      </w:r>
    </w:p>
    <w:p w:rsidR="00714468" w:rsidRPr="00E47183" w:rsidRDefault="00714468" w:rsidP="00E47183">
      <w:pPr>
        <w:pStyle w:val="ListParagraph"/>
        <w:numPr>
          <w:ilvl w:val="0"/>
          <w:numId w:val="8"/>
        </w:numPr>
        <w:spacing w:line="240" w:lineRule="auto"/>
        <w:rPr>
          <w:rFonts w:cs="Arial"/>
          <w:sz w:val="20"/>
          <w:szCs w:val="20"/>
          <w:lang w:val="en-ZA"/>
        </w:rPr>
      </w:pPr>
      <w:r w:rsidRPr="00E47183">
        <w:rPr>
          <w:rFonts w:cs="Arial"/>
          <w:sz w:val="20"/>
          <w:szCs w:val="20"/>
          <w:lang w:val="en-ZA"/>
        </w:rPr>
        <w:t>Approve 20 000 applications to   purchase units for Finance Linked Individual Subsidy Programme (FLISP)</w:t>
      </w:r>
      <w:r w:rsidR="00DE3EC9" w:rsidRPr="00E47183">
        <w:rPr>
          <w:rFonts w:cs="Arial"/>
          <w:sz w:val="20"/>
          <w:szCs w:val="20"/>
          <w:lang w:val="en-ZA"/>
        </w:rPr>
        <w:t>;</w:t>
      </w:r>
    </w:p>
    <w:p w:rsidR="00714468" w:rsidRPr="00E47183" w:rsidRDefault="00714468" w:rsidP="00E47183">
      <w:pPr>
        <w:pStyle w:val="ListParagraph"/>
        <w:numPr>
          <w:ilvl w:val="0"/>
          <w:numId w:val="9"/>
        </w:numPr>
        <w:spacing w:line="240" w:lineRule="auto"/>
        <w:rPr>
          <w:rFonts w:cs="Arial"/>
          <w:sz w:val="20"/>
          <w:szCs w:val="20"/>
          <w:lang w:val="en-ZA"/>
        </w:rPr>
      </w:pPr>
      <w:r w:rsidRPr="00E47183">
        <w:rPr>
          <w:rFonts w:cs="Arial"/>
          <w:sz w:val="20"/>
          <w:szCs w:val="20"/>
          <w:lang w:val="en-ZA"/>
        </w:rPr>
        <w:t>Deliver 300 000 serviced sites</w:t>
      </w:r>
      <w:r w:rsidR="00DE3EC9" w:rsidRPr="00E47183">
        <w:rPr>
          <w:rFonts w:cs="Arial"/>
          <w:sz w:val="20"/>
          <w:szCs w:val="20"/>
          <w:lang w:val="en-ZA"/>
        </w:rPr>
        <w:t>;</w:t>
      </w:r>
    </w:p>
    <w:p w:rsidR="00714468" w:rsidRPr="00E47183" w:rsidRDefault="00714468" w:rsidP="00E47183">
      <w:pPr>
        <w:pStyle w:val="ListParagraph"/>
        <w:numPr>
          <w:ilvl w:val="0"/>
          <w:numId w:val="9"/>
        </w:numPr>
        <w:spacing w:line="240" w:lineRule="auto"/>
        <w:rPr>
          <w:rFonts w:cs="Arial"/>
          <w:sz w:val="20"/>
          <w:szCs w:val="20"/>
          <w:lang w:val="en-ZA"/>
        </w:rPr>
      </w:pPr>
      <w:r w:rsidRPr="00E47183">
        <w:rPr>
          <w:rFonts w:cs="Arial"/>
          <w:sz w:val="20"/>
          <w:szCs w:val="20"/>
          <w:lang w:val="en-ZA"/>
        </w:rPr>
        <w:t>Deliver 30 000 social housing/ rental housing units in PDAs</w:t>
      </w:r>
      <w:r w:rsidR="00DE3EC9" w:rsidRPr="00E47183">
        <w:rPr>
          <w:rFonts w:cs="Arial"/>
          <w:sz w:val="20"/>
          <w:szCs w:val="20"/>
          <w:lang w:val="en-ZA"/>
        </w:rPr>
        <w:t>;</w:t>
      </w:r>
    </w:p>
    <w:p w:rsidR="00714468" w:rsidRPr="00E47183" w:rsidRDefault="00714468" w:rsidP="00E47183">
      <w:pPr>
        <w:pStyle w:val="ListParagraph"/>
        <w:numPr>
          <w:ilvl w:val="0"/>
          <w:numId w:val="9"/>
        </w:numPr>
        <w:spacing w:line="240" w:lineRule="auto"/>
        <w:rPr>
          <w:rFonts w:cs="Arial"/>
          <w:sz w:val="20"/>
          <w:szCs w:val="20"/>
          <w:lang w:val="en-ZA"/>
        </w:rPr>
      </w:pPr>
      <w:r w:rsidRPr="00E47183">
        <w:rPr>
          <w:rFonts w:cs="Arial"/>
          <w:sz w:val="20"/>
          <w:szCs w:val="20"/>
          <w:lang w:val="en-ZA"/>
        </w:rPr>
        <w:t>Deliver 12 000 Community Residential Units (CRU)/ rental housing units in PDA’s</w:t>
      </w:r>
      <w:r w:rsidR="00DE3EC9" w:rsidRPr="00E47183">
        <w:rPr>
          <w:rFonts w:cs="Arial"/>
          <w:sz w:val="20"/>
          <w:szCs w:val="20"/>
          <w:lang w:val="en-ZA"/>
        </w:rPr>
        <w:t>;</w:t>
      </w:r>
    </w:p>
    <w:p w:rsidR="00714468" w:rsidRPr="00E47183" w:rsidRDefault="00714468" w:rsidP="00E47183">
      <w:pPr>
        <w:pStyle w:val="ListParagraph"/>
        <w:numPr>
          <w:ilvl w:val="0"/>
          <w:numId w:val="9"/>
        </w:numPr>
        <w:spacing w:line="240" w:lineRule="auto"/>
        <w:rPr>
          <w:rFonts w:cs="Arial"/>
          <w:sz w:val="20"/>
          <w:szCs w:val="20"/>
          <w:lang w:val="en-ZA"/>
        </w:rPr>
      </w:pPr>
      <w:r w:rsidRPr="00E47183">
        <w:rPr>
          <w:rFonts w:cs="Arial"/>
          <w:sz w:val="20"/>
          <w:szCs w:val="20"/>
          <w:lang w:val="en-ZA"/>
        </w:rPr>
        <w:t>Upgrade 1 500</w:t>
      </w:r>
      <w:r w:rsidR="00DE3EC9" w:rsidRPr="00E47183">
        <w:rPr>
          <w:rFonts w:cs="Arial"/>
          <w:sz w:val="20"/>
          <w:szCs w:val="20"/>
          <w:lang w:val="en-ZA"/>
        </w:rPr>
        <w:t xml:space="preserve"> Informal Settlements to Phase 3.</w:t>
      </w:r>
    </w:p>
    <w:p w:rsidR="00415351" w:rsidRPr="00E47183" w:rsidRDefault="00415351" w:rsidP="00E47183">
      <w:pPr>
        <w:spacing w:after="0" w:line="240" w:lineRule="auto"/>
        <w:contextualSpacing/>
        <w:rPr>
          <w:rFonts w:ascii="Arial" w:eastAsia="Times New Roman" w:hAnsi="Arial" w:cs="Arial"/>
          <w:color w:val="000000"/>
          <w:spacing w:val="6"/>
          <w:sz w:val="20"/>
          <w:szCs w:val="20"/>
          <w:lang w:val="en-ZA" w:eastAsia="en-GB"/>
        </w:rPr>
      </w:pPr>
    </w:p>
    <w:p w:rsidR="00714468" w:rsidRPr="00E47183" w:rsidRDefault="00714468" w:rsidP="00E47183">
      <w:pPr>
        <w:spacing w:after="0" w:line="240" w:lineRule="auto"/>
        <w:contextualSpacing/>
        <w:rPr>
          <w:rFonts w:ascii="Arial" w:eastAsia="Times New Roman" w:hAnsi="Arial" w:cs="Arial"/>
          <w:color w:val="000000"/>
          <w:spacing w:val="6"/>
          <w:sz w:val="20"/>
          <w:szCs w:val="20"/>
          <w:lang w:val="en-ZA" w:eastAsia="en-GB"/>
        </w:rPr>
      </w:pPr>
    </w:p>
    <w:p w:rsidR="00415351" w:rsidRPr="00E47183" w:rsidRDefault="00415351" w:rsidP="00E47183">
      <w:pPr>
        <w:spacing w:after="0" w:line="240" w:lineRule="auto"/>
        <w:contextualSpacing/>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4</w:t>
      </w:r>
      <w:r w:rsidR="00B80909" w:rsidRPr="00E47183">
        <w:rPr>
          <w:rFonts w:ascii="Arial" w:eastAsia="Times New Roman" w:hAnsi="Arial" w:cs="Arial"/>
          <w:b/>
          <w:color w:val="000000"/>
          <w:spacing w:val="6"/>
          <w:sz w:val="20"/>
          <w:szCs w:val="20"/>
          <w:lang w:val="en-ZA" w:eastAsia="en-GB"/>
        </w:rPr>
        <w:t>.1</w:t>
      </w:r>
      <w:r w:rsidRPr="00E47183">
        <w:rPr>
          <w:rFonts w:ascii="Arial" w:eastAsia="Times New Roman" w:hAnsi="Arial" w:cs="Arial"/>
          <w:b/>
          <w:color w:val="000000"/>
          <w:spacing w:val="6"/>
          <w:sz w:val="20"/>
          <w:szCs w:val="20"/>
          <w:lang w:val="en-ZA" w:eastAsia="en-GB"/>
        </w:rPr>
        <w:tab/>
        <w:t xml:space="preserve">THE STRATEGIC FOCUS FOR HUMAN SETTLEMENTS </w:t>
      </w:r>
    </w:p>
    <w:p w:rsidR="00B80909" w:rsidRPr="00E47183" w:rsidRDefault="00B80909" w:rsidP="00E47183">
      <w:pPr>
        <w:spacing w:after="0" w:line="240" w:lineRule="auto"/>
        <w:contextualSpacing/>
        <w:rPr>
          <w:rFonts w:ascii="Arial" w:eastAsia="Times New Roman" w:hAnsi="Arial" w:cs="Arial"/>
          <w:b/>
          <w:color w:val="000000"/>
          <w:spacing w:val="6"/>
          <w:sz w:val="20"/>
          <w:szCs w:val="20"/>
          <w:lang w:val="en-ZA" w:eastAsia="en-GB"/>
        </w:rPr>
      </w:pPr>
    </w:p>
    <w:p w:rsidR="00B80909" w:rsidRPr="00E47183" w:rsidRDefault="00B80909" w:rsidP="00E47183">
      <w:pPr>
        <w:spacing w:after="0" w:line="240" w:lineRule="auto"/>
        <w:contextualSpacing/>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Targeted infrastructure investment is critical for economic growth as well as contributing towards social protection and community development. The focus is on infrastructure development to support economic growth and enhance social protection. The human settlements strategy is grounded on the following:</w:t>
      </w:r>
    </w:p>
    <w:p w:rsidR="00B80909" w:rsidRPr="00E47183" w:rsidRDefault="00B80909" w:rsidP="00E47183">
      <w:pPr>
        <w:pStyle w:val="ListParagraph"/>
        <w:numPr>
          <w:ilvl w:val="0"/>
          <w:numId w:val="6"/>
        </w:numPr>
        <w:spacing w:line="240" w:lineRule="auto"/>
        <w:rPr>
          <w:rFonts w:cs="Arial"/>
          <w:sz w:val="20"/>
          <w:szCs w:val="20"/>
          <w:lang w:val="en-ZA"/>
        </w:rPr>
      </w:pPr>
      <w:r w:rsidRPr="00E47183">
        <w:rPr>
          <w:rFonts w:cs="Arial"/>
          <w:sz w:val="20"/>
          <w:szCs w:val="20"/>
          <w:lang w:val="en-ZA"/>
        </w:rPr>
        <w:t>Amassing government investment through investment in identified areas.</w:t>
      </w:r>
    </w:p>
    <w:p w:rsidR="00B80909" w:rsidRPr="00E47183" w:rsidRDefault="00B80909" w:rsidP="00E47183">
      <w:pPr>
        <w:pStyle w:val="ListParagraph"/>
        <w:numPr>
          <w:ilvl w:val="0"/>
          <w:numId w:val="6"/>
        </w:numPr>
        <w:spacing w:line="240" w:lineRule="auto"/>
        <w:rPr>
          <w:rFonts w:cs="Arial"/>
          <w:sz w:val="20"/>
          <w:szCs w:val="20"/>
          <w:lang w:val="en-ZA"/>
        </w:rPr>
      </w:pPr>
      <w:r w:rsidRPr="00E47183">
        <w:rPr>
          <w:rFonts w:cs="Arial"/>
          <w:sz w:val="20"/>
          <w:szCs w:val="20"/>
          <w:lang w:val="en-ZA"/>
        </w:rPr>
        <w:t xml:space="preserve">Infrastructure development to support both economic growth and enhance </w:t>
      </w:r>
      <w:r w:rsidR="00133C13" w:rsidRPr="00E47183">
        <w:rPr>
          <w:rFonts w:cs="Arial"/>
          <w:sz w:val="20"/>
          <w:szCs w:val="20"/>
          <w:lang w:val="en-ZA"/>
        </w:rPr>
        <w:t>social protection.</w:t>
      </w:r>
    </w:p>
    <w:p w:rsidR="00133C13" w:rsidRPr="00E47183" w:rsidRDefault="00133C13" w:rsidP="00E47183">
      <w:pPr>
        <w:pStyle w:val="ListParagraph"/>
        <w:numPr>
          <w:ilvl w:val="0"/>
          <w:numId w:val="6"/>
        </w:numPr>
        <w:spacing w:line="240" w:lineRule="auto"/>
        <w:rPr>
          <w:rFonts w:cs="Arial"/>
          <w:sz w:val="20"/>
          <w:szCs w:val="20"/>
          <w:lang w:val="en-ZA"/>
        </w:rPr>
      </w:pPr>
      <w:r w:rsidRPr="00E47183">
        <w:rPr>
          <w:rFonts w:cs="Arial"/>
          <w:sz w:val="20"/>
          <w:szCs w:val="20"/>
          <w:lang w:val="en-ZA"/>
        </w:rPr>
        <w:t>Improve neighbourhood design to contribute to a better quality of health and well-being of households.</w:t>
      </w:r>
    </w:p>
    <w:p w:rsidR="00133C13" w:rsidRPr="00E47183" w:rsidRDefault="00133C13" w:rsidP="00E47183">
      <w:pPr>
        <w:pStyle w:val="ListParagraph"/>
        <w:numPr>
          <w:ilvl w:val="0"/>
          <w:numId w:val="6"/>
        </w:numPr>
        <w:spacing w:line="240" w:lineRule="auto"/>
        <w:rPr>
          <w:rFonts w:cs="Arial"/>
          <w:sz w:val="20"/>
          <w:szCs w:val="20"/>
          <w:lang w:val="en-ZA"/>
        </w:rPr>
      </w:pPr>
      <w:r w:rsidRPr="00E47183">
        <w:rPr>
          <w:rFonts w:cs="Arial"/>
          <w:sz w:val="20"/>
          <w:szCs w:val="20"/>
          <w:lang w:val="en-ZA"/>
        </w:rPr>
        <w:t>Investment in public spaces (walkways, public transport stops, streets, squares, parks, trading spaces, food gardens and the like).</w:t>
      </w:r>
    </w:p>
    <w:p w:rsidR="00133C13" w:rsidRPr="00E47183" w:rsidRDefault="00133C13" w:rsidP="00E47183">
      <w:pPr>
        <w:pStyle w:val="ListParagraph"/>
        <w:numPr>
          <w:ilvl w:val="0"/>
          <w:numId w:val="6"/>
        </w:numPr>
        <w:spacing w:line="240" w:lineRule="auto"/>
        <w:rPr>
          <w:rFonts w:cs="Arial"/>
          <w:sz w:val="20"/>
          <w:szCs w:val="20"/>
          <w:lang w:val="en-ZA"/>
        </w:rPr>
      </w:pPr>
      <w:r w:rsidRPr="00E47183">
        <w:rPr>
          <w:rFonts w:cs="Arial"/>
          <w:sz w:val="20"/>
          <w:szCs w:val="20"/>
          <w:lang w:val="en-ZA"/>
        </w:rPr>
        <w:t>Supporting the South African construction industry and the real estate industry.</w:t>
      </w:r>
    </w:p>
    <w:p w:rsidR="00133C13" w:rsidRPr="00E47183" w:rsidRDefault="00433CA0" w:rsidP="00E47183">
      <w:pPr>
        <w:pStyle w:val="ListParagraph"/>
        <w:numPr>
          <w:ilvl w:val="0"/>
          <w:numId w:val="6"/>
        </w:numPr>
        <w:spacing w:line="240" w:lineRule="auto"/>
        <w:rPr>
          <w:rFonts w:cs="Arial"/>
          <w:sz w:val="20"/>
          <w:szCs w:val="20"/>
          <w:lang w:val="en-ZA"/>
        </w:rPr>
      </w:pPr>
      <w:r w:rsidRPr="00E47183">
        <w:rPr>
          <w:rFonts w:cs="Arial"/>
          <w:sz w:val="20"/>
          <w:szCs w:val="20"/>
          <w:lang w:val="en-ZA"/>
        </w:rPr>
        <w:t>Supporting job creation and transformation through the appointment of local designated groups.</w:t>
      </w:r>
    </w:p>
    <w:p w:rsidR="00B76C3F" w:rsidRPr="00E47183" w:rsidRDefault="00433CA0" w:rsidP="00E47183">
      <w:pPr>
        <w:pStyle w:val="ListParagraph"/>
        <w:numPr>
          <w:ilvl w:val="0"/>
          <w:numId w:val="6"/>
        </w:numPr>
        <w:spacing w:line="240" w:lineRule="auto"/>
        <w:rPr>
          <w:rFonts w:cs="Arial"/>
          <w:sz w:val="20"/>
          <w:szCs w:val="20"/>
          <w:lang w:val="en-ZA"/>
        </w:rPr>
      </w:pPr>
      <w:r w:rsidRPr="00E47183">
        <w:rPr>
          <w:rFonts w:cs="Arial"/>
          <w:sz w:val="20"/>
          <w:szCs w:val="20"/>
          <w:lang w:val="en-ZA"/>
        </w:rPr>
        <w:t>Evidence-based directed and big data management.</w:t>
      </w:r>
    </w:p>
    <w:p w:rsidR="00714468" w:rsidRPr="00E47183" w:rsidRDefault="00714468" w:rsidP="00E47183">
      <w:pPr>
        <w:pStyle w:val="ListParagraph"/>
        <w:spacing w:line="240" w:lineRule="auto"/>
        <w:rPr>
          <w:rFonts w:cs="Arial"/>
          <w:sz w:val="20"/>
          <w:szCs w:val="20"/>
          <w:lang w:val="en-ZA"/>
        </w:rPr>
      </w:pPr>
    </w:p>
    <w:p w:rsidR="00033539" w:rsidRPr="00E47183" w:rsidRDefault="00033539" w:rsidP="00E47183">
      <w:pPr>
        <w:spacing w:after="0" w:line="240" w:lineRule="auto"/>
        <w:ind w:left="360"/>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ind w:left="720" w:hanging="720"/>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5.</w:t>
      </w:r>
      <w:r w:rsidRPr="00E47183">
        <w:rPr>
          <w:rFonts w:ascii="Arial" w:eastAsia="Times New Roman" w:hAnsi="Arial" w:cs="Arial"/>
          <w:b/>
          <w:color w:val="000000"/>
          <w:spacing w:val="6"/>
          <w:sz w:val="20"/>
          <w:szCs w:val="20"/>
          <w:lang w:val="en-ZA" w:eastAsia="en-GB"/>
        </w:rPr>
        <w:tab/>
      </w:r>
      <w:r w:rsidR="007C0619" w:rsidRPr="00E47183">
        <w:rPr>
          <w:rFonts w:ascii="Arial" w:eastAsia="Times New Roman" w:hAnsi="Arial" w:cs="Arial"/>
          <w:b/>
          <w:spacing w:val="6"/>
          <w:sz w:val="20"/>
          <w:szCs w:val="20"/>
          <w:lang w:val="en-ZA" w:eastAsia="en-GB"/>
        </w:rPr>
        <w:t>SONA 2021/22</w:t>
      </w:r>
      <w:r w:rsidRPr="00E47183">
        <w:rPr>
          <w:rFonts w:ascii="Arial" w:eastAsia="Times New Roman" w:hAnsi="Arial" w:cs="Arial"/>
          <w:b/>
          <w:spacing w:val="6"/>
          <w:sz w:val="20"/>
          <w:szCs w:val="20"/>
          <w:lang w:val="en-ZA" w:eastAsia="en-GB"/>
        </w:rPr>
        <w:t xml:space="preserve">: ANALYSIS OF KEY PRIORITIES PERTAINING TO THE DEPARTMENT </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0A2A0E" w:rsidRPr="00E47183" w:rsidRDefault="007C0619"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During the State of the Nation Address in February 2022, the President referenced the human settlements sector in three respects, namely:</w:t>
      </w:r>
    </w:p>
    <w:p w:rsidR="00B34A0F" w:rsidRPr="00E47183" w:rsidRDefault="00B34A0F" w:rsidP="00E47183">
      <w:pPr>
        <w:spacing w:after="0" w:line="240" w:lineRule="auto"/>
        <w:rPr>
          <w:rFonts w:ascii="Arial" w:eastAsia="Times New Roman" w:hAnsi="Arial" w:cs="Arial"/>
          <w:color w:val="000000"/>
          <w:spacing w:val="6"/>
          <w:sz w:val="20"/>
          <w:szCs w:val="20"/>
          <w:lang w:eastAsia="en-GB"/>
        </w:rPr>
      </w:pPr>
    </w:p>
    <w:p w:rsidR="00B34A0F" w:rsidRPr="00E47183" w:rsidRDefault="00B34A0F" w:rsidP="00E47183">
      <w:pPr>
        <w:pStyle w:val="ListParagraph"/>
        <w:numPr>
          <w:ilvl w:val="0"/>
          <w:numId w:val="13"/>
        </w:numPr>
        <w:spacing w:line="240" w:lineRule="auto"/>
        <w:rPr>
          <w:rFonts w:cs="Arial"/>
          <w:sz w:val="20"/>
          <w:szCs w:val="20"/>
        </w:rPr>
      </w:pPr>
      <w:r w:rsidRPr="00E47183">
        <w:rPr>
          <w:rFonts w:cs="Arial"/>
          <w:sz w:val="20"/>
          <w:szCs w:val="20"/>
        </w:rPr>
        <w:t>The Infrastructure Fund was working with state entities to prepare a pipeline of projects with an investment value of about R96 billion in student accommodation, social housing, telecommunications, water and sanitation and transport.</w:t>
      </w:r>
    </w:p>
    <w:p w:rsidR="00B34A0F" w:rsidRPr="00E47183" w:rsidRDefault="00B34A0F" w:rsidP="00E47183">
      <w:pPr>
        <w:pStyle w:val="ListParagraph"/>
        <w:numPr>
          <w:ilvl w:val="0"/>
          <w:numId w:val="13"/>
        </w:numPr>
        <w:spacing w:line="240" w:lineRule="auto"/>
        <w:rPr>
          <w:rFonts w:cs="Arial"/>
          <w:sz w:val="20"/>
          <w:szCs w:val="20"/>
        </w:rPr>
      </w:pPr>
      <w:r w:rsidRPr="00E47183">
        <w:rPr>
          <w:rFonts w:cs="Arial"/>
          <w:sz w:val="20"/>
          <w:szCs w:val="20"/>
          <w:lang w:val="en-US"/>
        </w:rPr>
        <w:t>A number of catalytic projects to the value of R21 billion were anticipated to commence with construction during 2022/23. Of th</w:t>
      </w:r>
      <w:r w:rsidR="007F7374" w:rsidRPr="00E47183">
        <w:rPr>
          <w:rFonts w:cs="Arial"/>
          <w:sz w:val="20"/>
          <w:szCs w:val="20"/>
          <w:lang w:val="en-US"/>
        </w:rPr>
        <w:t>is amount, R2.6 billion was</w:t>
      </w:r>
      <w:r w:rsidRPr="00E47183">
        <w:rPr>
          <w:rFonts w:cs="Arial"/>
          <w:sz w:val="20"/>
          <w:szCs w:val="20"/>
          <w:lang w:val="en-US"/>
        </w:rPr>
        <w:t xml:space="preserve"> contributed by government, with the rest of the funding coming from private sector and development finance institutions. </w:t>
      </w:r>
    </w:p>
    <w:p w:rsidR="00B34A0F" w:rsidRPr="00E47183" w:rsidRDefault="00B34A0F" w:rsidP="00E47183">
      <w:pPr>
        <w:pStyle w:val="ListParagraph"/>
        <w:numPr>
          <w:ilvl w:val="0"/>
          <w:numId w:val="13"/>
        </w:numPr>
        <w:spacing w:line="240" w:lineRule="auto"/>
        <w:rPr>
          <w:rFonts w:cs="Arial"/>
          <w:sz w:val="20"/>
          <w:szCs w:val="20"/>
        </w:rPr>
      </w:pPr>
      <w:r w:rsidRPr="00E47183">
        <w:rPr>
          <w:rFonts w:cs="Arial"/>
          <w:sz w:val="20"/>
          <w:szCs w:val="20"/>
          <w:lang w:val="en-US"/>
        </w:rPr>
        <w:t xml:space="preserve">The Department of Public Works and Infrastructure would finalize the transfer of 14 000 hectares of state land to the Housing Development Agency (HDA). </w:t>
      </w:r>
    </w:p>
    <w:p w:rsidR="007C0619" w:rsidRPr="00E47183" w:rsidRDefault="007C0619" w:rsidP="00E47183">
      <w:pPr>
        <w:spacing w:after="0" w:line="240" w:lineRule="auto"/>
        <w:rPr>
          <w:rFonts w:ascii="Arial" w:eastAsia="Times New Roman" w:hAnsi="Arial" w:cs="Arial"/>
          <w:color w:val="000000"/>
          <w:spacing w:val="6"/>
          <w:sz w:val="20"/>
          <w:szCs w:val="20"/>
          <w:lang w:val="en-ZA" w:eastAsia="en-GB"/>
        </w:rPr>
      </w:pPr>
    </w:p>
    <w:p w:rsidR="004B2228" w:rsidRPr="00E47183" w:rsidRDefault="004B2228" w:rsidP="00E47183">
      <w:pPr>
        <w:spacing w:after="0" w:line="240" w:lineRule="auto"/>
        <w:rPr>
          <w:rFonts w:ascii="Arial" w:eastAsia="Times New Roman" w:hAnsi="Arial" w:cs="Arial"/>
          <w:b/>
          <w:color w:val="000000"/>
          <w:spacing w:val="6"/>
          <w:sz w:val="20"/>
          <w:szCs w:val="20"/>
          <w:lang w:val="en-ZA" w:eastAsia="en-GB"/>
        </w:rPr>
      </w:pPr>
    </w:p>
    <w:p w:rsidR="004302F5" w:rsidRPr="00E47183" w:rsidRDefault="004302F5" w:rsidP="00E47183">
      <w:pPr>
        <w:spacing w:after="0" w:line="240" w:lineRule="auto"/>
        <w:ind w:left="360" w:hanging="360"/>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6.</w:t>
      </w:r>
      <w:r w:rsidRPr="00E47183">
        <w:rPr>
          <w:rFonts w:ascii="Arial" w:eastAsia="Times New Roman" w:hAnsi="Arial" w:cs="Arial"/>
          <w:b/>
          <w:color w:val="000000"/>
          <w:spacing w:val="6"/>
          <w:sz w:val="20"/>
          <w:szCs w:val="20"/>
          <w:lang w:val="en-ZA" w:eastAsia="en-GB"/>
        </w:rPr>
        <w:tab/>
        <w:t>DEPAR</w:t>
      </w:r>
      <w:r w:rsidR="002C64E6" w:rsidRPr="00E47183">
        <w:rPr>
          <w:rFonts w:ascii="Arial" w:eastAsia="Times New Roman" w:hAnsi="Arial" w:cs="Arial"/>
          <w:b/>
          <w:color w:val="000000"/>
          <w:spacing w:val="6"/>
          <w:sz w:val="20"/>
          <w:szCs w:val="20"/>
          <w:lang w:val="en-ZA" w:eastAsia="en-GB"/>
        </w:rPr>
        <w:t xml:space="preserve">TMENT AND ENTITIES PERFORMANCE </w:t>
      </w:r>
    </w:p>
    <w:p w:rsidR="00BA4AB7" w:rsidRPr="00E47183" w:rsidRDefault="00BA4AB7" w:rsidP="00E47183">
      <w:pPr>
        <w:spacing w:after="0" w:line="240" w:lineRule="auto"/>
        <w:rPr>
          <w:rFonts w:ascii="Arial" w:eastAsia="Times New Roman" w:hAnsi="Arial" w:cs="Arial"/>
          <w:b/>
          <w:color w:val="000000"/>
          <w:spacing w:val="6"/>
          <w:sz w:val="20"/>
          <w:szCs w:val="20"/>
          <w:lang w:val="en-ZA" w:eastAsia="en-GB"/>
        </w:rPr>
      </w:pPr>
    </w:p>
    <w:p w:rsidR="00BA4AB7" w:rsidRPr="00E47183" w:rsidRDefault="00E51232"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 xml:space="preserve">Overall, the Department achieved 56.6% of its targets. </w:t>
      </w:r>
      <w:r w:rsidR="00BA4AB7" w:rsidRPr="00E47183">
        <w:rPr>
          <w:rFonts w:ascii="Arial" w:eastAsia="Times New Roman" w:hAnsi="Arial" w:cs="Arial"/>
          <w:color w:val="000000"/>
          <w:spacing w:val="6"/>
          <w:sz w:val="20"/>
          <w:szCs w:val="20"/>
          <w:lang w:val="en-ZA" w:eastAsia="en-GB"/>
        </w:rPr>
        <w:t xml:space="preserve">The Department reported on a number of factors that hampered the delivery of sustainable human settlements during 2020/21, including the impact of the COVID-19 pandemic, a lack of well-located land for </w:t>
      </w:r>
      <w:r w:rsidR="00BA4AB7" w:rsidRPr="00E47183">
        <w:rPr>
          <w:rFonts w:ascii="Arial" w:eastAsia="Times New Roman" w:hAnsi="Arial" w:cs="Arial"/>
          <w:color w:val="000000"/>
          <w:spacing w:val="6"/>
          <w:sz w:val="20"/>
          <w:szCs w:val="20"/>
          <w:lang w:val="en-ZA" w:eastAsia="en-GB"/>
        </w:rPr>
        <w:lastRenderedPageBreak/>
        <w:t xml:space="preserve">housing developments and scarce fiscal resources. Furthermore, during 2021/22, KwaZulu-Natal and Gauteng were affected by service disruptions and damage to infrastructure during the riots of July 2021. A number of provinces also experienced natural disasters, including floods and fires. Several houses were damaged and many people were displaced as a result. This highlighted </w:t>
      </w:r>
      <w:r w:rsidR="00BA4AB7" w:rsidRPr="00E47183">
        <w:rPr>
          <w:rFonts w:ascii="Arial" w:eastAsia="Times New Roman" w:hAnsi="Arial" w:cs="Arial"/>
          <w:color w:val="000000"/>
          <w:spacing w:val="6"/>
          <w:sz w:val="20"/>
          <w:szCs w:val="20"/>
          <w:lang w:eastAsia="en-GB"/>
        </w:rPr>
        <w:t>the vulnerability of South Africa’s human settlements sector to natural disasters and the anticipated escalating impact of climate change.</w:t>
      </w:r>
    </w:p>
    <w:p w:rsidR="00BA4AB7" w:rsidRPr="00E47183" w:rsidRDefault="00BA4AB7" w:rsidP="00E47183">
      <w:pPr>
        <w:spacing w:after="0" w:line="240" w:lineRule="auto"/>
        <w:rPr>
          <w:rFonts w:ascii="Arial" w:eastAsia="Times New Roman" w:hAnsi="Arial" w:cs="Arial"/>
          <w:color w:val="000000"/>
          <w:spacing w:val="6"/>
          <w:sz w:val="20"/>
          <w:szCs w:val="20"/>
          <w:lang w:eastAsia="en-GB"/>
        </w:rPr>
      </w:pPr>
    </w:p>
    <w:p w:rsidR="00BA4AB7" w:rsidRPr="00E47183" w:rsidRDefault="002B544D" w:rsidP="00E47183">
      <w:pPr>
        <w:spacing w:after="0" w:line="240" w:lineRule="auto"/>
        <w:rPr>
          <w:rFonts w:ascii="Arial" w:eastAsia="Times New Roman" w:hAnsi="Arial" w:cs="Arial"/>
          <w:color w:val="000000"/>
          <w:spacing w:val="6"/>
          <w:sz w:val="20"/>
          <w:szCs w:val="20"/>
          <w:lang w:eastAsia="en-GB"/>
        </w:rPr>
      </w:pPr>
      <w:r w:rsidRPr="00E47183">
        <w:rPr>
          <w:rFonts w:ascii="Arial" w:eastAsia="Times New Roman" w:hAnsi="Arial" w:cs="Arial"/>
          <w:color w:val="000000"/>
          <w:spacing w:val="6"/>
          <w:sz w:val="20"/>
          <w:szCs w:val="20"/>
          <w:lang w:eastAsia="en-GB"/>
        </w:rPr>
        <w:t>Progress was made in providing temporary accommodation, relief efforts and the identification of land for constructing permanent structures, although there is a clear need for more dedicated capacity and systems to respond to disasters effectively. The Department has since resolved to review all its policies related to disasters and emergencies to streamline processes and resource allocation towards disasters. An update can be anticipated during the fourth quarter of 2022/23 in this regard.</w:t>
      </w:r>
    </w:p>
    <w:p w:rsidR="008243B0" w:rsidRPr="00E47183" w:rsidRDefault="008243B0" w:rsidP="00E47183">
      <w:pPr>
        <w:spacing w:after="0" w:line="240" w:lineRule="auto"/>
        <w:rPr>
          <w:rFonts w:ascii="Arial" w:eastAsia="Times New Roman" w:hAnsi="Arial" w:cs="Arial"/>
          <w:color w:val="000000"/>
          <w:spacing w:val="6"/>
          <w:sz w:val="20"/>
          <w:szCs w:val="20"/>
          <w:lang w:eastAsia="en-GB"/>
        </w:rPr>
      </w:pPr>
    </w:p>
    <w:p w:rsidR="008243B0" w:rsidRPr="00E47183" w:rsidRDefault="008243B0" w:rsidP="00E47183">
      <w:pPr>
        <w:spacing w:after="0" w:line="240" w:lineRule="auto"/>
        <w:rPr>
          <w:rFonts w:ascii="Arial" w:eastAsia="Times New Roman" w:hAnsi="Arial" w:cs="Arial"/>
          <w:color w:val="000000"/>
          <w:spacing w:val="6"/>
          <w:sz w:val="20"/>
          <w:szCs w:val="20"/>
          <w:lang w:eastAsia="en-GB"/>
        </w:rPr>
      </w:pPr>
      <w:r w:rsidRPr="00E47183">
        <w:rPr>
          <w:rFonts w:ascii="Arial" w:eastAsia="Times New Roman" w:hAnsi="Arial" w:cs="Arial"/>
          <w:color w:val="000000"/>
          <w:spacing w:val="6"/>
          <w:sz w:val="20"/>
          <w:szCs w:val="20"/>
          <w:lang w:eastAsia="en-GB"/>
        </w:rPr>
        <w:t xml:space="preserve">The service delivery environment was characterized by a </w:t>
      </w:r>
      <w:r w:rsidR="00FB3B7A" w:rsidRPr="00E47183">
        <w:rPr>
          <w:rFonts w:ascii="Arial" w:eastAsia="Times New Roman" w:hAnsi="Arial" w:cs="Arial"/>
          <w:color w:val="000000"/>
          <w:spacing w:val="6"/>
          <w:sz w:val="20"/>
          <w:szCs w:val="20"/>
          <w:lang w:eastAsia="en-GB"/>
        </w:rPr>
        <w:t xml:space="preserve">number of </w:t>
      </w:r>
      <w:r w:rsidR="003B249F" w:rsidRPr="00E47183">
        <w:rPr>
          <w:rFonts w:ascii="Arial" w:eastAsia="Times New Roman" w:hAnsi="Arial" w:cs="Arial"/>
          <w:color w:val="000000"/>
          <w:spacing w:val="6"/>
          <w:sz w:val="20"/>
          <w:szCs w:val="20"/>
          <w:lang w:eastAsia="en-GB"/>
        </w:rPr>
        <w:t>challenges</w:t>
      </w:r>
      <w:r w:rsidRPr="00E47183">
        <w:rPr>
          <w:rFonts w:ascii="Arial" w:eastAsia="Times New Roman" w:hAnsi="Arial" w:cs="Arial"/>
          <w:color w:val="000000"/>
          <w:spacing w:val="6"/>
          <w:sz w:val="20"/>
          <w:szCs w:val="20"/>
          <w:lang w:eastAsia="en-GB"/>
        </w:rPr>
        <w:t>, including:</w:t>
      </w:r>
    </w:p>
    <w:p w:rsidR="008243B0" w:rsidRPr="00E47183" w:rsidRDefault="008243B0" w:rsidP="00E47183">
      <w:pPr>
        <w:pStyle w:val="ListParagraph"/>
        <w:numPr>
          <w:ilvl w:val="0"/>
          <w:numId w:val="25"/>
        </w:numPr>
        <w:spacing w:line="240" w:lineRule="auto"/>
        <w:rPr>
          <w:rFonts w:cs="Arial"/>
          <w:sz w:val="20"/>
          <w:szCs w:val="20"/>
        </w:rPr>
      </w:pPr>
      <w:r w:rsidRPr="00E47183">
        <w:rPr>
          <w:rFonts w:cs="Arial"/>
          <w:sz w:val="20"/>
          <w:szCs w:val="20"/>
        </w:rPr>
        <w:t xml:space="preserve">An increase in households living in informal settlements. </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rPr>
        <w:t xml:space="preserve">The lack of and inadequate capacity in bulk infrastructure. </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lang w:val="en-US"/>
        </w:rPr>
        <w:t xml:space="preserve">Delays in the procurement processes. </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lang w:val="en-US"/>
        </w:rPr>
        <w:t>Regulatory and governance incapacity in the land planning process.</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lang w:val="en-US"/>
        </w:rPr>
        <w:t xml:space="preserve">The constraints associated with availability of funding. </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lang w:val="en-US"/>
        </w:rPr>
        <w:t xml:space="preserve">The impact of rapid urbanization. </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lang w:val="en-US"/>
        </w:rPr>
        <w:t xml:space="preserve">Increasing inequality. </w:t>
      </w:r>
    </w:p>
    <w:p w:rsidR="008243B0" w:rsidRPr="00E47183" w:rsidRDefault="008243B0" w:rsidP="00E47183">
      <w:pPr>
        <w:pStyle w:val="ListParagraph"/>
        <w:numPr>
          <w:ilvl w:val="0"/>
          <w:numId w:val="11"/>
        </w:numPr>
        <w:spacing w:line="240" w:lineRule="auto"/>
        <w:rPr>
          <w:rFonts w:cs="Arial"/>
          <w:sz w:val="20"/>
          <w:szCs w:val="20"/>
        </w:rPr>
      </w:pPr>
      <w:r w:rsidRPr="00E47183">
        <w:rPr>
          <w:rFonts w:cs="Arial"/>
          <w:sz w:val="20"/>
          <w:szCs w:val="20"/>
          <w:lang w:val="en-US"/>
        </w:rPr>
        <w:t xml:space="preserve">A high level of indebtedness of households. </w:t>
      </w:r>
    </w:p>
    <w:p w:rsidR="008243B0" w:rsidRPr="00E47183" w:rsidRDefault="008243B0" w:rsidP="00E47183">
      <w:pPr>
        <w:spacing w:after="0" w:line="240" w:lineRule="auto"/>
        <w:rPr>
          <w:rFonts w:ascii="Arial" w:eastAsia="Times New Roman" w:hAnsi="Arial" w:cs="Arial"/>
          <w:color w:val="000000"/>
          <w:spacing w:val="6"/>
          <w:sz w:val="20"/>
          <w:szCs w:val="20"/>
          <w:lang w:val="en-ZA" w:eastAsia="en-GB"/>
        </w:rPr>
      </w:pPr>
    </w:p>
    <w:p w:rsidR="008243B0" w:rsidRPr="00E47183" w:rsidRDefault="008243B0" w:rsidP="00E47183">
      <w:pPr>
        <w:spacing w:after="0" w:line="240" w:lineRule="auto"/>
        <w:rPr>
          <w:rFonts w:ascii="Arial" w:eastAsia="Times New Roman" w:hAnsi="Arial" w:cs="Arial"/>
          <w:color w:val="000000"/>
          <w:spacing w:val="6"/>
          <w:sz w:val="20"/>
          <w:szCs w:val="20"/>
          <w:lang w:eastAsia="en-GB"/>
        </w:rPr>
      </w:pPr>
      <w:r w:rsidRPr="00E47183">
        <w:rPr>
          <w:rFonts w:ascii="Arial" w:eastAsia="Times New Roman" w:hAnsi="Arial" w:cs="Arial"/>
          <w:color w:val="000000"/>
          <w:spacing w:val="6"/>
          <w:sz w:val="20"/>
          <w:szCs w:val="20"/>
          <w:lang w:eastAsia="en-GB"/>
        </w:rPr>
        <w:t>The Department concluded its initial steps to strengthen governance systems at its entities. The appointment of permanent executives at t</w:t>
      </w:r>
      <w:r w:rsidR="00793F21" w:rsidRPr="00E47183">
        <w:rPr>
          <w:rFonts w:ascii="Arial" w:eastAsia="Times New Roman" w:hAnsi="Arial" w:cs="Arial"/>
          <w:color w:val="000000"/>
          <w:spacing w:val="6"/>
          <w:sz w:val="20"/>
          <w:szCs w:val="20"/>
          <w:lang w:eastAsia="en-GB"/>
        </w:rPr>
        <w:t>he HDA, the CSOS, the NHBRC had</w:t>
      </w:r>
      <w:r w:rsidRPr="00E47183">
        <w:rPr>
          <w:rFonts w:ascii="Arial" w:eastAsia="Times New Roman" w:hAnsi="Arial" w:cs="Arial"/>
          <w:color w:val="000000"/>
          <w:spacing w:val="6"/>
          <w:sz w:val="20"/>
          <w:szCs w:val="20"/>
          <w:lang w:eastAsia="en-GB"/>
        </w:rPr>
        <w:t xml:space="preserve"> b</w:t>
      </w:r>
      <w:r w:rsidR="00793F21" w:rsidRPr="00E47183">
        <w:rPr>
          <w:rFonts w:ascii="Arial" w:eastAsia="Times New Roman" w:hAnsi="Arial" w:cs="Arial"/>
          <w:color w:val="000000"/>
          <w:spacing w:val="6"/>
          <w:sz w:val="20"/>
          <w:szCs w:val="20"/>
          <w:lang w:eastAsia="en-GB"/>
        </w:rPr>
        <w:t>een concluded and the process was</w:t>
      </w:r>
      <w:r w:rsidR="00A4663A" w:rsidRPr="00E47183">
        <w:rPr>
          <w:rFonts w:ascii="Arial" w:eastAsia="Times New Roman" w:hAnsi="Arial" w:cs="Arial"/>
          <w:color w:val="000000"/>
          <w:spacing w:val="6"/>
          <w:sz w:val="20"/>
          <w:szCs w:val="20"/>
          <w:lang w:eastAsia="en-GB"/>
        </w:rPr>
        <w:t xml:space="preserve"> at an advanced stag</w:t>
      </w:r>
      <w:r w:rsidRPr="00E47183">
        <w:rPr>
          <w:rFonts w:ascii="Arial" w:eastAsia="Times New Roman" w:hAnsi="Arial" w:cs="Arial"/>
          <w:color w:val="000000"/>
          <w:spacing w:val="6"/>
          <w:sz w:val="20"/>
          <w:szCs w:val="20"/>
          <w:lang w:eastAsia="en-GB"/>
        </w:rPr>
        <w:t xml:space="preserve">e at the SHRA and the NHFC, while there were challenges at the </w:t>
      </w:r>
      <w:r w:rsidRPr="00E47183">
        <w:rPr>
          <w:rFonts w:ascii="Arial" w:eastAsia="Times New Roman" w:hAnsi="Arial" w:cs="Arial"/>
          <w:bCs/>
          <w:color w:val="000000"/>
          <w:spacing w:val="6"/>
          <w:sz w:val="20"/>
          <w:szCs w:val="20"/>
          <w:lang w:eastAsia="en-GB"/>
        </w:rPr>
        <w:t>PPRA</w:t>
      </w:r>
      <w:r w:rsidRPr="00E47183">
        <w:rPr>
          <w:rFonts w:ascii="Arial" w:eastAsia="Times New Roman" w:hAnsi="Arial" w:cs="Arial"/>
          <w:color w:val="000000"/>
          <w:spacing w:val="6"/>
          <w:sz w:val="20"/>
          <w:szCs w:val="20"/>
          <w:lang w:eastAsia="en-GB"/>
        </w:rPr>
        <w:t>. There was, however, concern around significant resistance at some entities against efforts to intervene and stabilize struggling entities.</w:t>
      </w:r>
    </w:p>
    <w:p w:rsidR="008243B0" w:rsidRPr="00E47183" w:rsidRDefault="008243B0" w:rsidP="00E47183">
      <w:pPr>
        <w:spacing w:after="0" w:line="240" w:lineRule="auto"/>
        <w:rPr>
          <w:rFonts w:ascii="Arial" w:eastAsia="Times New Roman" w:hAnsi="Arial" w:cs="Arial"/>
          <w:color w:val="000000"/>
          <w:spacing w:val="6"/>
          <w:sz w:val="20"/>
          <w:szCs w:val="20"/>
          <w:lang w:eastAsia="en-GB"/>
        </w:rPr>
      </w:pPr>
    </w:p>
    <w:p w:rsidR="008243B0" w:rsidRPr="00E47183" w:rsidRDefault="008243B0" w:rsidP="00E47183">
      <w:pPr>
        <w:spacing w:after="0" w:line="240" w:lineRule="auto"/>
        <w:rPr>
          <w:rFonts w:ascii="Arial" w:eastAsia="Times New Roman" w:hAnsi="Arial" w:cs="Arial"/>
          <w:color w:val="000000"/>
          <w:spacing w:val="6"/>
          <w:sz w:val="20"/>
          <w:szCs w:val="20"/>
          <w:lang w:eastAsia="en-GB"/>
        </w:rPr>
      </w:pPr>
      <w:r w:rsidRPr="00E47183">
        <w:rPr>
          <w:rFonts w:ascii="Arial" w:eastAsia="Times New Roman" w:hAnsi="Arial" w:cs="Arial"/>
          <w:color w:val="000000"/>
          <w:spacing w:val="6"/>
          <w:sz w:val="20"/>
          <w:szCs w:val="20"/>
          <w:lang w:eastAsia="en-GB"/>
        </w:rPr>
        <w:t>All of the new interventions announced in the 2019/20 Annual Report (for implementation in the 2022/23 financial year) are in the implementation phase, with some already being in the monitoring phase. These include:</w:t>
      </w:r>
    </w:p>
    <w:p w:rsidR="008243B0" w:rsidRPr="00E47183" w:rsidRDefault="008243B0" w:rsidP="00E47183">
      <w:pPr>
        <w:pStyle w:val="ListParagraph"/>
        <w:numPr>
          <w:ilvl w:val="0"/>
          <w:numId w:val="12"/>
        </w:numPr>
        <w:spacing w:line="240" w:lineRule="auto"/>
        <w:rPr>
          <w:rFonts w:cs="Arial"/>
          <w:sz w:val="20"/>
          <w:szCs w:val="20"/>
          <w:lang w:val="en-US"/>
        </w:rPr>
      </w:pPr>
      <w:r w:rsidRPr="00E47183">
        <w:rPr>
          <w:rFonts w:cs="Arial"/>
          <w:sz w:val="20"/>
          <w:szCs w:val="20"/>
          <w:lang w:val="en-US"/>
        </w:rPr>
        <w:t xml:space="preserve">The structure of the </w:t>
      </w:r>
      <w:r w:rsidRPr="00E47183">
        <w:rPr>
          <w:rFonts w:cs="Arial"/>
          <w:bCs/>
          <w:sz w:val="20"/>
          <w:szCs w:val="20"/>
          <w:lang w:val="en-US"/>
        </w:rPr>
        <w:t>Human</w:t>
      </w:r>
      <w:r w:rsidRPr="00E47183">
        <w:rPr>
          <w:rFonts w:cs="Arial"/>
          <w:b/>
          <w:bCs/>
          <w:sz w:val="20"/>
          <w:szCs w:val="20"/>
          <w:lang w:val="en-US"/>
        </w:rPr>
        <w:t xml:space="preserve"> </w:t>
      </w:r>
      <w:r w:rsidRPr="00E47183">
        <w:rPr>
          <w:rFonts w:cs="Arial"/>
          <w:bCs/>
          <w:sz w:val="20"/>
          <w:szCs w:val="20"/>
          <w:lang w:val="en-US"/>
        </w:rPr>
        <w:t xml:space="preserve">Settlements Development Grant </w:t>
      </w:r>
      <w:r w:rsidRPr="00E47183">
        <w:rPr>
          <w:rFonts w:cs="Arial"/>
          <w:sz w:val="20"/>
          <w:szCs w:val="20"/>
          <w:lang w:val="en-US"/>
        </w:rPr>
        <w:t>(HSDG) was configured to allow for the delivery of bulk infrastructure for up to 30% of the grant, especially in rural provinces.</w:t>
      </w:r>
    </w:p>
    <w:p w:rsidR="008243B0" w:rsidRPr="00E47183" w:rsidRDefault="008243B0" w:rsidP="00E47183">
      <w:pPr>
        <w:pStyle w:val="ListParagraph"/>
        <w:numPr>
          <w:ilvl w:val="0"/>
          <w:numId w:val="12"/>
        </w:numPr>
        <w:spacing w:line="240" w:lineRule="auto"/>
        <w:rPr>
          <w:rFonts w:cs="Arial"/>
          <w:sz w:val="20"/>
          <w:szCs w:val="20"/>
          <w:lang w:val="en-ZA"/>
        </w:rPr>
      </w:pPr>
      <w:r w:rsidRPr="00E47183">
        <w:rPr>
          <w:rFonts w:cs="Arial"/>
          <w:sz w:val="20"/>
          <w:szCs w:val="20"/>
          <w:lang w:val="en-ZA"/>
        </w:rPr>
        <w:t>Front-loading would start in the Northern Cape and Eastern Cape in 2022/23, which allows the significant increase in the scale of housing delivery in a short space of time.</w:t>
      </w:r>
    </w:p>
    <w:p w:rsidR="008243B0" w:rsidRPr="00E47183" w:rsidRDefault="008243B0" w:rsidP="00E47183">
      <w:pPr>
        <w:pStyle w:val="ListParagraph"/>
        <w:numPr>
          <w:ilvl w:val="0"/>
          <w:numId w:val="12"/>
        </w:numPr>
        <w:spacing w:line="240" w:lineRule="auto"/>
        <w:rPr>
          <w:rFonts w:cs="Arial"/>
          <w:sz w:val="20"/>
          <w:szCs w:val="20"/>
          <w:lang w:val="en-ZA"/>
        </w:rPr>
      </w:pPr>
      <w:r w:rsidRPr="00E47183">
        <w:rPr>
          <w:rFonts w:cs="Arial"/>
          <w:sz w:val="20"/>
          <w:szCs w:val="20"/>
          <w:lang w:val="en-ZA"/>
        </w:rPr>
        <w:t>The Department had partnered with the Infrastructure Fund to accelerate the delivery of large scale social housing projects</w:t>
      </w:r>
      <w:r w:rsidR="00793F21" w:rsidRPr="00E47183">
        <w:rPr>
          <w:rFonts w:cs="Arial"/>
          <w:sz w:val="20"/>
          <w:szCs w:val="20"/>
          <w:lang w:val="en-ZA"/>
        </w:rPr>
        <w:t>.</w:t>
      </w:r>
    </w:p>
    <w:p w:rsidR="007C0619" w:rsidRPr="00E47183" w:rsidRDefault="007C0619" w:rsidP="00E47183">
      <w:pPr>
        <w:pStyle w:val="ListParagraph"/>
        <w:numPr>
          <w:ilvl w:val="0"/>
          <w:numId w:val="12"/>
        </w:numPr>
        <w:spacing w:line="240" w:lineRule="auto"/>
        <w:rPr>
          <w:rFonts w:cs="Arial"/>
          <w:sz w:val="20"/>
          <w:szCs w:val="20"/>
          <w:lang w:val="en-ZA"/>
        </w:rPr>
      </w:pPr>
      <w:r w:rsidRPr="00E47183">
        <w:rPr>
          <w:rFonts w:cs="Arial"/>
          <w:sz w:val="20"/>
          <w:szCs w:val="20"/>
          <w:lang w:val="en-ZA"/>
        </w:rPr>
        <w:t>The Department would intervene directly in municipalities for capacity building around human settlements delivery.</w:t>
      </w:r>
    </w:p>
    <w:p w:rsidR="007C0619" w:rsidRPr="00E47183" w:rsidRDefault="007C0619" w:rsidP="00E47183">
      <w:pPr>
        <w:pStyle w:val="ListParagraph"/>
        <w:numPr>
          <w:ilvl w:val="0"/>
          <w:numId w:val="12"/>
        </w:numPr>
        <w:spacing w:line="240" w:lineRule="auto"/>
        <w:rPr>
          <w:rFonts w:cs="Arial"/>
          <w:sz w:val="20"/>
          <w:szCs w:val="20"/>
          <w:lang w:val="en-ZA"/>
        </w:rPr>
      </w:pPr>
      <w:r w:rsidRPr="00E47183">
        <w:rPr>
          <w:rFonts w:cs="Arial"/>
          <w:sz w:val="20"/>
          <w:szCs w:val="20"/>
          <w:lang w:val="en-ZA"/>
        </w:rPr>
        <w:t>The Finance-Linked Individual Subsidy Programme (FLISP) was expanded to include rural areas’ “permission to occupy” (PTO), Government Employee Housing Scheme, housing loans supported by Employer-Assisted Housing Scheme and Cooperatives or community-based schemes such as stokvels.</w:t>
      </w:r>
    </w:p>
    <w:p w:rsidR="007C0619" w:rsidRPr="00E47183" w:rsidRDefault="007C0619" w:rsidP="00E47183">
      <w:pPr>
        <w:pStyle w:val="ListParagraph"/>
        <w:numPr>
          <w:ilvl w:val="0"/>
          <w:numId w:val="12"/>
        </w:numPr>
        <w:spacing w:line="240" w:lineRule="auto"/>
        <w:rPr>
          <w:rFonts w:cs="Arial"/>
          <w:sz w:val="20"/>
          <w:szCs w:val="20"/>
          <w:lang w:val="en-ZA"/>
        </w:rPr>
      </w:pPr>
      <w:r w:rsidRPr="00E47183">
        <w:rPr>
          <w:rFonts w:cs="Arial"/>
          <w:sz w:val="20"/>
          <w:szCs w:val="20"/>
          <w:lang w:val="en-ZA"/>
        </w:rPr>
        <w:t>The intervention in areas affected by disasters had been reconfigured to include fast-tracking repairs through a voucher system and also allow provinces and metros to utilise available funds from the HSDG and Informal Settlements Upgrading Programme (ISUP) to intervene in dealing with the damages.</w:t>
      </w:r>
    </w:p>
    <w:p w:rsidR="007C0619" w:rsidRPr="00E47183" w:rsidRDefault="007C0619" w:rsidP="00E47183">
      <w:pPr>
        <w:pStyle w:val="ListParagraph"/>
        <w:spacing w:line="240" w:lineRule="auto"/>
        <w:rPr>
          <w:rFonts w:cs="Arial"/>
          <w:sz w:val="20"/>
          <w:szCs w:val="20"/>
          <w:lang w:val="en-ZA"/>
        </w:rPr>
      </w:pPr>
    </w:p>
    <w:p w:rsidR="004302F5" w:rsidRPr="00E47183" w:rsidRDefault="0051369D" w:rsidP="00E47183">
      <w:pPr>
        <w:spacing w:after="0" w:line="240" w:lineRule="auto"/>
        <w:rPr>
          <w:rFonts w:ascii="Arial" w:eastAsia="Times New Roman" w:hAnsi="Arial" w:cs="Arial"/>
          <w:b/>
          <w:bCs/>
          <w:color w:val="FF0000"/>
          <w:spacing w:val="6"/>
          <w:sz w:val="20"/>
          <w:szCs w:val="20"/>
          <w:lang w:val="en-GB" w:eastAsia="en-GB"/>
        </w:rPr>
      </w:pPr>
      <w:r w:rsidRPr="00E47183">
        <w:rPr>
          <w:rFonts w:ascii="Arial" w:eastAsia="Times New Roman" w:hAnsi="Arial" w:cs="Arial"/>
          <w:b/>
          <w:bCs/>
          <w:color w:val="000000"/>
          <w:spacing w:val="6"/>
          <w:sz w:val="20"/>
          <w:szCs w:val="20"/>
          <w:lang w:val="en-GB" w:eastAsia="en-GB"/>
        </w:rPr>
        <w:t>7</w:t>
      </w:r>
      <w:r w:rsidR="004302F5" w:rsidRPr="00E47183">
        <w:rPr>
          <w:rFonts w:ascii="Arial" w:eastAsia="Times New Roman" w:hAnsi="Arial" w:cs="Arial"/>
          <w:b/>
          <w:bCs/>
          <w:color w:val="000000"/>
          <w:spacing w:val="6"/>
          <w:sz w:val="20"/>
          <w:szCs w:val="20"/>
          <w:lang w:val="en-GB" w:eastAsia="en-GB"/>
        </w:rPr>
        <w:t>.</w:t>
      </w:r>
      <w:r w:rsidR="004302F5" w:rsidRPr="00E47183">
        <w:rPr>
          <w:rFonts w:ascii="Arial" w:eastAsia="Times New Roman" w:hAnsi="Arial" w:cs="Arial"/>
          <w:b/>
          <w:bCs/>
          <w:color w:val="000000"/>
          <w:spacing w:val="6"/>
          <w:sz w:val="20"/>
          <w:szCs w:val="20"/>
          <w:lang w:val="en-GB" w:eastAsia="en-GB"/>
        </w:rPr>
        <w:tab/>
      </w:r>
      <w:r w:rsidR="004302F5" w:rsidRPr="00E47183">
        <w:rPr>
          <w:rFonts w:ascii="Arial" w:eastAsia="Times New Roman" w:hAnsi="Arial" w:cs="Arial"/>
          <w:b/>
          <w:bCs/>
          <w:spacing w:val="6"/>
          <w:sz w:val="20"/>
          <w:szCs w:val="20"/>
          <w:lang w:val="en-GB" w:eastAsia="en-GB"/>
        </w:rPr>
        <w:t xml:space="preserve">HUMAN SETTLEMENTS ALLOCATIONS - MTEF ALLOCATIONS </w:t>
      </w:r>
    </w:p>
    <w:p w:rsidR="00033539" w:rsidRPr="00E47183" w:rsidRDefault="00033539" w:rsidP="00E47183">
      <w:pPr>
        <w:spacing w:after="0" w:line="240" w:lineRule="auto"/>
        <w:rPr>
          <w:rFonts w:ascii="Arial" w:eastAsia="Times New Roman" w:hAnsi="Arial" w:cs="Arial"/>
          <w:b/>
          <w:bCs/>
          <w:i/>
          <w:color w:val="000000"/>
          <w:spacing w:val="6"/>
          <w:sz w:val="20"/>
          <w:szCs w:val="20"/>
          <w:lang w:val="en-GB" w:eastAsia="en-GB"/>
        </w:rPr>
      </w:pPr>
    </w:p>
    <w:p w:rsidR="004302F5" w:rsidRPr="00E47183" w:rsidRDefault="0051369D" w:rsidP="00E47183">
      <w:pPr>
        <w:spacing w:after="0" w:line="240" w:lineRule="auto"/>
        <w:rPr>
          <w:rFonts w:ascii="Arial" w:eastAsia="Times New Roman" w:hAnsi="Arial" w:cs="Arial"/>
          <w:b/>
          <w:bCs/>
          <w:color w:val="000000"/>
          <w:spacing w:val="6"/>
          <w:sz w:val="20"/>
          <w:szCs w:val="20"/>
          <w:lang w:val="en-GB" w:eastAsia="en-GB"/>
        </w:rPr>
      </w:pPr>
      <w:r w:rsidRPr="00E47183">
        <w:rPr>
          <w:rFonts w:ascii="Arial" w:eastAsia="Times New Roman" w:hAnsi="Arial" w:cs="Arial"/>
          <w:b/>
          <w:bCs/>
          <w:color w:val="000000"/>
          <w:spacing w:val="6"/>
          <w:sz w:val="20"/>
          <w:szCs w:val="20"/>
          <w:lang w:val="en-GB" w:eastAsia="en-GB"/>
        </w:rPr>
        <w:t>7</w:t>
      </w:r>
      <w:r w:rsidR="008F7EFC" w:rsidRPr="00E47183">
        <w:rPr>
          <w:rFonts w:ascii="Arial" w:eastAsia="Times New Roman" w:hAnsi="Arial" w:cs="Arial"/>
          <w:b/>
          <w:bCs/>
          <w:color w:val="000000"/>
          <w:spacing w:val="6"/>
          <w:sz w:val="20"/>
          <w:szCs w:val="20"/>
          <w:lang w:val="en-GB" w:eastAsia="en-GB"/>
        </w:rPr>
        <w:t>.2.</w:t>
      </w:r>
      <w:r w:rsidR="00C37ED2" w:rsidRPr="00E47183">
        <w:rPr>
          <w:rFonts w:ascii="Arial" w:eastAsia="Times New Roman" w:hAnsi="Arial" w:cs="Arial"/>
          <w:b/>
          <w:bCs/>
          <w:color w:val="000000"/>
          <w:spacing w:val="6"/>
          <w:sz w:val="20"/>
          <w:szCs w:val="20"/>
          <w:lang w:val="en-GB" w:eastAsia="en-GB"/>
        </w:rPr>
        <w:t xml:space="preserve"> </w:t>
      </w:r>
      <w:r w:rsidR="00033539" w:rsidRPr="00E47183">
        <w:rPr>
          <w:rFonts w:ascii="Arial" w:eastAsia="Times New Roman" w:hAnsi="Arial" w:cs="Arial"/>
          <w:b/>
          <w:bCs/>
          <w:color w:val="000000"/>
          <w:spacing w:val="6"/>
          <w:sz w:val="20"/>
          <w:szCs w:val="20"/>
          <w:lang w:val="en-GB" w:eastAsia="en-GB"/>
        </w:rPr>
        <w:t xml:space="preserve"> </w:t>
      </w:r>
      <w:r w:rsidR="004302F5" w:rsidRPr="00E47183">
        <w:rPr>
          <w:rFonts w:ascii="Arial" w:eastAsia="Times New Roman" w:hAnsi="Arial" w:cs="Arial"/>
          <w:b/>
          <w:bCs/>
          <w:color w:val="000000"/>
          <w:spacing w:val="6"/>
          <w:sz w:val="20"/>
          <w:szCs w:val="20"/>
          <w:lang w:val="en-GB" w:eastAsia="en-GB"/>
        </w:rPr>
        <w:t>Expenditure</w:t>
      </w:r>
      <w:r w:rsidR="00903988" w:rsidRPr="00E47183">
        <w:rPr>
          <w:rFonts w:ascii="Arial" w:eastAsia="Times New Roman" w:hAnsi="Arial" w:cs="Arial"/>
          <w:b/>
          <w:bCs/>
          <w:color w:val="000000"/>
          <w:spacing w:val="6"/>
          <w:sz w:val="20"/>
          <w:szCs w:val="20"/>
          <w:lang w:val="en-GB" w:eastAsia="en-GB"/>
        </w:rPr>
        <w:t xml:space="preserve"> of the Department</w:t>
      </w:r>
    </w:p>
    <w:p w:rsidR="00033539" w:rsidRPr="00E47183" w:rsidRDefault="00033539" w:rsidP="00E47183">
      <w:pPr>
        <w:spacing w:after="0" w:line="240" w:lineRule="auto"/>
        <w:rPr>
          <w:rFonts w:ascii="Arial" w:eastAsia="Times New Roman" w:hAnsi="Arial" w:cs="Arial"/>
          <w:b/>
          <w:bCs/>
          <w:color w:val="000000"/>
          <w:spacing w:val="6"/>
          <w:sz w:val="20"/>
          <w:szCs w:val="20"/>
          <w:lang w:val="en-GB" w:eastAsia="en-GB"/>
        </w:rPr>
      </w:pPr>
    </w:p>
    <w:p w:rsidR="00C37ED2" w:rsidRPr="00E47183" w:rsidRDefault="008B317E" w:rsidP="00E47183">
      <w:pPr>
        <w:spacing w:after="0" w:line="240" w:lineRule="auto"/>
        <w:rPr>
          <w:rFonts w:ascii="Arial" w:eastAsia="Times New Roman" w:hAnsi="Arial" w:cs="Arial"/>
          <w:bCs/>
          <w:color w:val="000000"/>
          <w:spacing w:val="6"/>
          <w:sz w:val="20"/>
          <w:szCs w:val="20"/>
          <w:lang w:val="en-GB" w:eastAsia="en-GB"/>
        </w:rPr>
      </w:pPr>
      <w:r w:rsidRPr="00E47183">
        <w:rPr>
          <w:rFonts w:ascii="Arial" w:eastAsia="Times New Roman" w:hAnsi="Arial" w:cs="Arial"/>
          <w:bCs/>
          <w:color w:val="000000"/>
          <w:spacing w:val="6"/>
          <w:sz w:val="20"/>
          <w:szCs w:val="20"/>
          <w:lang w:eastAsia="en-GB"/>
        </w:rPr>
        <w:t>By the end of the 2021/22 fi</w:t>
      </w:r>
      <w:r w:rsidR="00A81DD4" w:rsidRPr="00E47183">
        <w:rPr>
          <w:rFonts w:ascii="Arial" w:eastAsia="Times New Roman" w:hAnsi="Arial" w:cs="Arial"/>
          <w:bCs/>
          <w:color w:val="000000"/>
          <w:spacing w:val="6"/>
          <w:sz w:val="20"/>
          <w:szCs w:val="20"/>
          <w:lang w:eastAsia="en-GB"/>
        </w:rPr>
        <w:t>nancial year, the Department</w:t>
      </w:r>
      <w:r w:rsidRPr="00E47183">
        <w:rPr>
          <w:rFonts w:ascii="Arial" w:eastAsia="Times New Roman" w:hAnsi="Arial" w:cs="Arial"/>
          <w:bCs/>
          <w:color w:val="000000"/>
          <w:spacing w:val="6"/>
          <w:sz w:val="20"/>
          <w:szCs w:val="20"/>
          <w:lang w:eastAsia="en-GB"/>
        </w:rPr>
        <w:t xml:space="preserve"> spent R30.96 billion out of the final appropriation of R31.68 billion (97.73%). The Department therefore underspent by R720.26 million (2.27% of the</w:t>
      </w:r>
      <w:r w:rsidR="00A81DD4" w:rsidRPr="00E47183">
        <w:rPr>
          <w:rFonts w:ascii="Arial" w:eastAsia="Times New Roman" w:hAnsi="Arial" w:cs="Arial"/>
          <w:bCs/>
          <w:color w:val="000000"/>
          <w:spacing w:val="6"/>
          <w:sz w:val="20"/>
          <w:szCs w:val="20"/>
          <w:lang w:eastAsia="en-GB"/>
        </w:rPr>
        <w:t xml:space="preserve"> total appropriation). This was</w:t>
      </w:r>
      <w:r w:rsidRPr="00E47183">
        <w:rPr>
          <w:rFonts w:ascii="Arial" w:eastAsia="Times New Roman" w:hAnsi="Arial" w:cs="Arial"/>
          <w:bCs/>
          <w:color w:val="000000"/>
          <w:spacing w:val="6"/>
          <w:sz w:val="20"/>
          <w:szCs w:val="20"/>
          <w:lang w:eastAsia="en-GB"/>
        </w:rPr>
        <w:t xml:space="preserve"> compared to an underspending of 0.9% in the previous financial year.</w:t>
      </w:r>
    </w:p>
    <w:p w:rsidR="00D25337" w:rsidRPr="00E47183" w:rsidRDefault="00D25337" w:rsidP="00E47183">
      <w:pPr>
        <w:spacing w:after="0" w:line="240" w:lineRule="auto"/>
        <w:rPr>
          <w:rFonts w:ascii="Arial" w:eastAsia="Times New Roman" w:hAnsi="Arial" w:cs="Arial"/>
          <w:b/>
          <w:bCs/>
          <w:color w:val="000000"/>
          <w:spacing w:val="6"/>
          <w:sz w:val="20"/>
          <w:szCs w:val="20"/>
          <w:lang w:val="en-GB" w:eastAsia="en-GB"/>
        </w:rPr>
      </w:pPr>
    </w:p>
    <w:p w:rsidR="00C37ED2" w:rsidRPr="00E47183" w:rsidRDefault="00C37ED2" w:rsidP="00E47183">
      <w:pPr>
        <w:spacing w:after="0" w:line="240" w:lineRule="auto"/>
        <w:rPr>
          <w:rFonts w:ascii="Arial" w:eastAsia="Times New Roman" w:hAnsi="Arial" w:cs="Arial"/>
          <w:b/>
          <w:bCs/>
          <w:color w:val="000000"/>
          <w:spacing w:val="6"/>
          <w:sz w:val="20"/>
          <w:szCs w:val="20"/>
          <w:lang w:val="en-GB" w:eastAsia="en-GB"/>
        </w:rPr>
      </w:pPr>
      <w:r w:rsidRPr="00E47183">
        <w:rPr>
          <w:rFonts w:ascii="Arial" w:eastAsia="Times New Roman" w:hAnsi="Arial" w:cs="Arial"/>
          <w:b/>
          <w:bCs/>
          <w:color w:val="000000"/>
          <w:spacing w:val="6"/>
          <w:sz w:val="20"/>
          <w:szCs w:val="20"/>
          <w:lang w:val="en-GB" w:eastAsia="en-GB"/>
        </w:rPr>
        <w:t>7.3.  Quarterly Performance per Programme</w:t>
      </w:r>
    </w:p>
    <w:p w:rsidR="00162818" w:rsidRPr="00E47183" w:rsidRDefault="00162818" w:rsidP="00E47183">
      <w:pPr>
        <w:spacing w:after="0" w:line="240" w:lineRule="auto"/>
        <w:rPr>
          <w:rFonts w:ascii="Arial" w:eastAsia="Times New Roman" w:hAnsi="Arial" w:cs="Arial"/>
          <w:b/>
          <w:bCs/>
          <w:color w:val="000000"/>
          <w:spacing w:val="6"/>
          <w:sz w:val="20"/>
          <w:szCs w:val="20"/>
          <w:lang w:val="en-GB" w:eastAsia="en-GB"/>
        </w:rPr>
      </w:pPr>
    </w:p>
    <w:p w:rsidR="00A81DD4" w:rsidRPr="00E47183" w:rsidRDefault="00A81DD4" w:rsidP="00E47183">
      <w:pPr>
        <w:spacing w:after="0" w:line="240" w:lineRule="auto"/>
        <w:rPr>
          <w:rFonts w:ascii="Arial" w:eastAsia="Times New Roman" w:hAnsi="Arial" w:cs="Arial"/>
          <w:b/>
          <w:bCs/>
          <w:color w:val="000000"/>
          <w:spacing w:val="6"/>
          <w:sz w:val="20"/>
          <w:szCs w:val="20"/>
          <w:lang w:eastAsia="en-GB"/>
        </w:rPr>
      </w:pPr>
      <w:r w:rsidRPr="00E47183">
        <w:rPr>
          <w:rFonts w:ascii="Arial" w:eastAsia="Times New Roman" w:hAnsi="Arial" w:cs="Arial"/>
          <w:b/>
          <w:bCs/>
          <w:color w:val="000000"/>
          <w:spacing w:val="6"/>
          <w:sz w:val="20"/>
          <w:szCs w:val="20"/>
          <w:lang w:val="en-GB" w:eastAsia="en-GB"/>
        </w:rPr>
        <w:t xml:space="preserve">7.3.1. </w:t>
      </w:r>
      <w:r w:rsidRPr="00E47183">
        <w:rPr>
          <w:rFonts w:ascii="Arial" w:eastAsia="Times New Roman" w:hAnsi="Arial" w:cs="Arial"/>
          <w:b/>
          <w:bCs/>
          <w:color w:val="000000"/>
          <w:spacing w:val="6"/>
          <w:sz w:val="20"/>
          <w:szCs w:val="20"/>
          <w:lang w:eastAsia="en-GB"/>
        </w:rPr>
        <w:t>Programme 1 (Administration)</w:t>
      </w:r>
    </w:p>
    <w:p w:rsidR="00162818" w:rsidRPr="00E47183" w:rsidRDefault="00162818" w:rsidP="00E47183">
      <w:pPr>
        <w:spacing w:after="0" w:line="240" w:lineRule="auto"/>
        <w:rPr>
          <w:rFonts w:ascii="Arial" w:eastAsia="Times New Roman" w:hAnsi="Arial" w:cs="Arial"/>
          <w:bCs/>
          <w:color w:val="000000"/>
          <w:spacing w:val="6"/>
          <w:sz w:val="20"/>
          <w:szCs w:val="20"/>
          <w:lang w:eastAsia="en-GB"/>
        </w:rPr>
      </w:pPr>
    </w:p>
    <w:p w:rsidR="00A81DD4" w:rsidRPr="00E47183" w:rsidRDefault="00A81DD4" w:rsidP="00E47183">
      <w:pPr>
        <w:spacing w:after="0" w:line="240" w:lineRule="auto"/>
        <w:rPr>
          <w:rFonts w:ascii="Arial" w:eastAsia="Times New Roman" w:hAnsi="Arial" w:cs="Arial"/>
          <w:bCs/>
          <w:color w:val="000000"/>
          <w:spacing w:val="6"/>
          <w:sz w:val="20"/>
          <w:szCs w:val="20"/>
          <w:lang w:eastAsia="en-GB"/>
        </w:rPr>
      </w:pPr>
      <w:r w:rsidRPr="00E47183">
        <w:rPr>
          <w:rFonts w:ascii="Arial" w:eastAsia="Times New Roman" w:hAnsi="Arial" w:cs="Arial"/>
          <w:bCs/>
          <w:color w:val="000000"/>
          <w:spacing w:val="6"/>
          <w:sz w:val="20"/>
          <w:szCs w:val="20"/>
          <w:lang w:eastAsia="en-GB"/>
        </w:rPr>
        <w:lastRenderedPageBreak/>
        <w:t>This programme</w:t>
      </w:r>
      <w:r w:rsidRPr="00E47183">
        <w:rPr>
          <w:rFonts w:ascii="Arial" w:eastAsia="Times New Roman" w:hAnsi="Arial" w:cs="Arial"/>
          <w:b/>
          <w:bCs/>
          <w:color w:val="000000"/>
          <w:spacing w:val="6"/>
          <w:sz w:val="20"/>
          <w:szCs w:val="20"/>
          <w:lang w:eastAsia="en-GB"/>
        </w:rPr>
        <w:t xml:space="preserve"> </w:t>
      </w:r>
      <w:r w:rsidRPr="00E47183">
        <w:rPr>
          <w:rFonts w:ascii="Arial" w:eastAsia="Times New Roman" w:hAnsi="Arial" w:cs="Arial"/>
          <w:bCs/>
          <w:color w:val="000000"/>
          <w:spacing w:val="6"/>
          <w:sz w:val="20"/>
          <w:szCs w:val="20"/>
          <w:lang w:eastAsia="en-GB"/>
        </w:rPr>
        <w:t>received an appropriation of R495.61 million, of which it spent 84.09% (compared to 82.58% in 2020/21). It therefore underspent by R78.86 million (15.91%).</w:t>
      </w:r>
    </w:p>
    <w:p w:rsidR="004E290C" w:rsidRPr="00E47183" w:rsidRDefault="004E290C" w:rsidP="00E47183">
      <w:pPr>
        <w:spacing w:after="0" w:line="240" w:lineRule="auto"/>
        <w:rPr>
          <w:rFonts w:ascii="Arial" w:eastAsia="Times New Roman" w:hAnsi="Arial" w:cs="Arial"/>
          <w:bCs/>
          <w:color w:val="000000"/>
          <w:spacing w:val="6"/>
          <w:sz w:val="20"/>
          <w:szCs w:val="20"/>
          <w:lang w:val="en-GB" w:eastAsia="en-GB"/>
        </w:rPr>
      </w:pPr>
    </w:p>
    <w:p w:rsidR="00162818" w:rsidRPr="00E47183" w:rsidRDefault="00162818" w:rsidP="00E47183">
      <w:pPr>
        <w:spacing w:after="0" w:line="240" w:lineRule="auto"/>
        <w:rPr>
          <w:rFonts w:ascii="Arial" w:eastAsia="Times New Roman" w:hAnsi="Arial" w:cs="Arial"/>
          <w:bCs/>
          <w:color w:val="000000"/>
          <w:spacing w:val="6"/>
          <w:sz w:val="20"/>
          <w:szCs w:val="20"/>
          <w:lang w:val="en-GB" w:eastAsia="en-GB"/>
        </w:rPr>
      </w:pPr>
    </w:p>
    <w:p w:rsidR="00A81DD4" w:rsidRPr="00E47183" w:rsidRDefault="00A81DD4" w:rsidP="00E47183">
      <w:pPr>
        <w:spacing w:after="0" w:line="240" w:lineRule="auto"/>
        <w:rPr>
          <w:rFonts w:ascii="Arial" w:eastAsia="Times New Roman" w:hAnsi="Arial" w:cs="Arial"/>
          <w:b/>
          <w:bCs/>
          <w:color w:val="000000"/>
          <w:spacing w:val="6"/>
          <w:sz w:val="20"/>
          <w:szCs w:val="20"/>
          <w:lang w:eastAsia="en-GB"/>
        </w:rPr>
      </w:pPr>
      <w:r w:rsidRPr="00E47183">
        <w:rPr>
          <w:rFonts w:ascii="Arial" w:eastAsia="Times New Roman" w:hAnsi="Arial" w:cs="Arial"/>
          <w:b/>
          <w:bCs/>
          <w:color w:val="000000"/>
          <w:spacing w:val="6"/>
          <w:sz w:val="20"/>
          <w:szCs w:val="20"/>
          <w:lang w:val="en-GB" w:eastAsia="en-GB"/>
        </w:rPr>
        <w:t xml:space="preserve">7.3.2. </w:t>
      </w:r>
      <w:r w:rsidRPr="00E47183">
        <w:rPr>
          <w:rFonts w:ascii="Arial" w:eastAsia="Times New Roman" w:hAnsi="Arial" w:cs="Arial"/>
          <w:b/>
          <w:bCs/>
          <w:color w:val="000000"/>
          <w:spacing w:val="6"/>
          <w:sz w:val="20"/>
          <w:szCs w:val="20"/>
          <w:lang w:eastAsia="en-GB"/>
        </w:rPr>
        <w:t>Programme 2 (Integrated Human Settlements Planning and Development)</w:t>
      </w:r>
    </w:p>
    <w:p w:rsidR="00162818" w:rsidRPr="00E47183" w:rsidRDefault="00162818" w:rsidP="00E47183">
      <w:pPr>
        <w:spacing w:after="0" w:line="240" w:lineRule="auto"/>
        <w:rPr>
          <w:rFonts w:ascii="Arial" w:eastAsia="Times New Roman" w:hAnsi="Arial" w:cs="Arial"/>
          <w:bCs/>
          <w:color w:val="000000"/>
          <w:spacing w:val="6"/>
          <w:sz w:val="20"/>
          <w:szCs w:val="20"/>
          <w:lang w:eastAsia="en-GB"/>
        </w:rPr>
      </w:pPr>
    </w:p>
    <w:p w:rsidR="00D24D7C" w:rsidRPr="00E47183" w:rsidRDefault="00A81DD4" w:rsidP="00E47183">
      <w:pPr>
        <w:spacing w:after="0" w:line="240" w:lineRule="auto"/>
        <w:rPr>
          <w:rFonts w:ascii="Arial" w:eastAsia="Times New Roman" w:hAnsi="Arial" w:cs="Arial"/>
          <w:bCs/>
          <w:color w:val="000000"/>
          <w:spacing w:val="6"/>
          <w:sz w:val="20"/>
          <w:szCs w:val="20"/>
          <w:lang w:eastAsia="en-GB"/>
        </w:rPr>
      </w:pPr>
      <w:r w:rsidRPr="00E47183">
        <w:rPr>
          <w:rFonts w:ascii="Arial" w:eastAsia="Times New Roman" w:hAnsi="Arial" w:cs="Arial"/>
          <w:bCs/>
          <w:color w:val="000000"/>
          <w:spacing w:val="6"/>
          <w:sz w:val="20"/>
          <w:szCs w:val="20"/>
          <w:lang w:eastAsia="en-GB"/>
        </w:rPr>
        <w:t>This programme received an appropriation of R21.24 billion, which is 67.03% of the total appropriation of the Department (compared to 89.5% in 2020/21). The Department spent 99.73% of its available budget by the end of the 2021/22 financial year under this programme. Actual expenditure was therefore R56.07 million less than projected (0.27%). Underspending in Programme 2 was attributed to three main areas, namely Compensation of Employees, Goods and Services and Expenditure for Capital Assets.</w:t>
      </w:r>
    </w:p>
    <w:p w:rsidR="001D081D" w:rsidRPr="00E47183" w:rsidRDefault="001D081D" w:rsidP="00E47183">
      <w:pPr>
        <w:spacing w:after="0" w:line="240" w:lineRule="auto"/>
        <w:rPr>
          <w:rFonts w:ascii="Arial" w:eastAsia="Times New Roman" w:hAnsi="Arial" w:cs="Arial"/>
          <w:bCs/>
          <w:color w:val="000000"/>
          <w:spacing w:val="6"/>
          <w:sz w:val="20"/>
          <w:szCs w:val="20"/>
          <w:lang w:eastAsia="en-GB"/>
        </w:rPr>
      </w:pPr>
    </w:p>
    <w:p w:rsidR="00162818" w:rsidRPr="00E47183" w:rsidRDefault="00162818" w:rsidP="00E47183">
      <w:pPr>
        <w:spacing w:after="0" w:line="240" w:lineRule="auto"/>
        <w:rPr>
          <w:rFonts w:ascii="Arial" w:eastAsia="Times New Roman" w:hAnsi="Arial" w:cs="Arial"/>
          <w:b/>
          <w:bCs/>
          <w:color w:val="000000"/>
          <w:spacing w:val="6"/>
          <w:sz w:val="20"/>
          <w:szCs w:val="20"/>
          <w:lang w:val="en-GB" w:eastAsia="en-GB"/>
        </w:rPr>
      </w:pPr>
    </w:p>
    <w:p w:rsidR="001D081D" w:rsidRPr="00E47183" w:rsidRDefault="001D081D" w:rsidP="00E47183">
      <w:pPr>
        <w:spacing w:after="0" w:line="240" w:lineRule="auto"/>
        <w:rPr>
          <w:rFonts w:ascii="Arial" w:eastAsia="Times New Roman" w:hAnsi="Arial" w:cs="Arial"/>
          <w:b/>
          <w:bCs/>
          <w:color w:val="000000"/>
          <w:spacing w:val="6"/>
          <w:sz w:val="20"/>
          <w:szCs w:val="20"/>
          <w:lang w:eastAsia="en-GB"/>
        </w:rPr>
      </w:pPr>
      <w:r w:rsidRPr="00E47183">
        <w:rPr>
          <w:rFonts w:ascii="Arial" w:eastAsia="Times New Roman" w:hAnsi="Arial" w:cs="Arial"/>
          <w:b/>
          <w:bCs/>
          <w:color w:val="000000"/>
          <w:spacing w:val="6"/>
          <w:sz w:val="20"/>
          <w:szCs w:val="20"/>
          <w:lang w:val="en-GB" w:eastAsia="en-GB"/>
        </w:rPr>
        <w:t xml:space="preserve">7.3.3. </w:t>
      </w:r>
      <w:r w:rsidRPr="00E47183">
        <w:rPr>
          <w:rFonts w:ascii="Arial" w:eastAsia="Times New Roman" w:hAnsi="Arial" w:cs="Arial"/>
          <w:b/>
          <w:bCs/>
          <w:color w:val="000000"/>
          <w:spacing w:val="6"/>
          <w:sz w:val="20"/>
          <w:szCs w:val="20"/>
          <w:lang w:eastAsia="en-GB"/>
        </w:rPr>
        <w:t>Programme 3 (Informal Settlements)</w:t>
      </w:r>
    </w:p>
    <w:p w:rsidR="00162818" w:rsidRPr="00E47183" w:rsidRDefault="00162818" w:rsidP="00E47183">
      <w:pPr>
        <w:spacing w:after="0" w:line="240" w:lineRule="auto"/>
        <w:rPr>
          <w:rFonts w:ascii="Arial" w:eastAsia="Times New Roman" w:hAnsi="Arial" w:cs="Arial"/>
          <w:bCs/>
          <w:color w:val="000000"/>
          <w:spacing w:val="6"/>
          <w:sz w:val="20"/>
          <w:szCs w:val="20"/>
          <w:lang w:eastAsia="en-GB"/>
        </w:rPr>
      </w:pPr>
    </w:p>
    <w:p w:rsidR="001D081D" w:rsidRPr="00E47183" w:rsidRDefault="001D081D" w:rsidP="00E47183">
      <w:pPr>
        <w:spacing w:after="0" w:line="240" w:lineRule="auto"/>
        <w:rPr>
          <w:rFonts w:ascii="Arial" w:eastAsia="Times New Roman" w:hAnsi="Arial" w:cs="Arial"/>
          <w:bCs/>
          <w:color w:val="000000"/>
          <w:spacing w:val="6"/>
          <w:sz w:val="20"/>
          <w:szCs w:val="20"/>
          <w:lang w:eastAsia="en-GB"/>
        </w:rPr>
      </w:pPr>
      <w:r w:rsidRPr="00E47183">
        <w:rPr>
          <w:rFonts w:ascii="Arial" w:eastAsia="Times New Roman" w:hAnsi="Arial" w:cs="Arial"/>
          <w:bCs/>
          <w:color w:val="000000"/>
          <w:spacing w:val="6"/>
          <w:sz w:val="20"/>
          <w:szCs w:val="20"/>
          <w:lang w:eastAsia="en-GB"/>
        </w:rPr>
        <w:t>This programme received a total appropriation of R8.42 billion (compared to R633.6 million in 2020/21), of which it spent R7.97 billion (94.65%). The programme therefore underspent by R450.14 million (5.45%). Underspending was mainly attributed to underspending on Compensation of Employees, Goods and Services, Transfers and Subsidies and Expenditure for Capital Assets.</w:t>
      </w:r>
    </w:p>
    <w:p w:rsidR="001D081D" w:rsidRPr="00E47183" w:rsidRDefault="001D081D" w:rsidP="00E47183">
      <w:pPr>
        <w:spacing w:after="0" w:line="240" w:lineRule="auto"/>
        <w:rPr>
          <w:rFonts w:ascii="Arial" w:eastAsia="Times New Roman" w:hAnsi="Arial" w:cs="Arial"/>
          <w:bCs/>
          <w:color w:val="000000"/>
          <w:spacing w:val="6"/>
          <w:sz w:val="20"/>
          <w:szCs w:val="20"/>
          <w:lang w:eastAsia="en-GB"/>
        </w:rPr>
      </w:pPr>
    </w:p>
    <w:p w:rsidR="00162818" w:rsidRPr="00E47183" w:rsidRDefault="00162818" w:rsidP="00E47183">
      <w:pPr>
        <w:spacing w:after="0" w:line="240" w:lineRule="auto"/>
        <w:rPr>
          <w:rFonts w:ascii="Arial" w:eastAsia="Times New Roman" w:hAnsi="Arial" w:cs="Arial"/>
          <w:b/>
          <w:bCs/>
          <w:color w:val="000000"/>
          <w:spacing w:val="6"/>
          <w:sz w:val="20"/>
          <w:szCs w:val="20"/>
          <w:lang w:val="en-GB" w:eastAsia="en-GB"/>
        </w:rPr>
      </w:pPr>
    </w:p>
    <w:p w:rsidR="001D081D" w:rsidRPr="00E47183" w:rsidRDefault="001D081D" w:rsidP="00E47183">
      <w:pPr>
        <w:spacing w:after="0" w:line="240" w:lineRule="auto"/>
        <w:rPr>
          <w:rFonts w:ascii="Arial" w:eastAsia="Times New Roman" w:hAnsi="Arial" w:cs="Arial"/>
          <w:b/>
          <w:bCs/>
          <w:color w:val="000000"/>
          <w:spacing w:val="6"/>
          <w:sz w:val="20"/>
          <w:szCs w:val="20"/>
          <w:lang w:eastAsia="en-GB"/>
        </w:rPr>
      </w:pPr>
      <w:r w:rsidRPr="00E47183">
        <w:rPr>
          <w:rFonts w:ascii="Arial" w:eastAsia="Times New Roman" w:hAnsi="Arial" w:cs="Arial"/>
          <w:b/>
          <w:bCs/>
          <w:color w:val="000000"/>
          <w:spacing w:val="6"/>
          <w:sz w:val="20"/>
          <w:szCs w:val="20"/>
          <w:lang w:val="en-GB" w:eastAsia="en-GB"/>
        </w:rPr>
        <w:t xml:space="preserve">7.3.4. </w:t>
      </w:r>
      <w:r w:rsidRPr="00E47183">
        <w:rPr>
          <w:rFonts w:ascii="Arial" w:eastAsia="Times New Roman" w:hAnsi="Arial" w:cs="Arial"/>
          <w:b/>
          <w:bCs/>
          <w:color w:val="000000"/>
          <w:spacing w:val="6"/>
          <w:sz w:val="20"/>
          <w:szCs w:val="20"/>
          <w:lang w:eastAsia="en-GB"/>
        </w:rPr>
        <w:t>Programme 4 (Rental and Social Housing)</w:t>
      </w:r>
    </w:p>
    <w:p w:rsidR="00162818" w:rsidRPr="00E47183" w:rsidRDefault="00162818" w:rsidP="00E47183">
      <w:pPr>
        <w:spacing w:after="0" w:line="240" w:lineRule="auto"/>
        <w:rPr>
          <w:rFonts w:ascii="Arial" w:eastAsia="Times New Roman" w:hAnsi="Arial" w:cs="Arial"/>
          <w:bCs/>
          <w:color w:val="000000"/>
          <w:spacing w:val="6"/>
          <w:sz w:val="20"/>
          <w:szCs w:val="20"/>
          <w:lang w:eastAsia="en-GB"/>
        </w:rPr>
      </w:pPr>
    </w:p>
    <w:p w:rsidR="00C51165" w:rsidRPr="00E47183" w:rsidRDefault="001D081D" w:rsidP="00E47183">
      <w:pPr>
        <w:spacing w:after="0" w:line="240" w:lineRule="auto"/>
        <w:rPr>
          <w:rFonts w:ascii="Arial" w:eastAsia="Times New Roman" w:hAnsi="Arial" w:cs="Arial"/>
          <w:bCs/>
          <w:color w:val="000000"/>
          <w:spacing w:val="6"/>
          <w:sz w:val="20"/>
          <w:szCs w:val="20"/>
          <w:lang w:eastAsia="en-GB"/>
        </w:rPr>
      </w:pPr>
      <w:r w:rsidRPr="00E47183">
        <w:rPr>
          <w:rFonts w:ascii="Arial" w:eastAsia="Times New Roman" w:hAnsi="Arial" w:cs="Arial"/>
          <w:bCs/>
          <w:color w:val="000000"/>
          <w:spacing w:val="6"/>
          <w:sz w:val="20"/>
          <w:szCs w:val="20"/>
          <w:lang w:eastAsia="en-GB"/>
        </w:rPr>
        <w:t>This programme received an appropriation of R936.76 million for the 2021/22 financial year (compared to R1.16 billion in 2020/21), of which it spent R850.89 million (90.83%). The programme therefore underspent by R85.87 million (9.17%)</w:t>
      </w:r>
      <w:r w:rsidRPr="00E47183">
        <w:rPr>
          <w:rFonts w:ascii="Arial" w:eastAsia="Times New Roman" w:hAnsi="Arial" w:cs="Arial"/>
          <w:b/>
          <w:bCs/>
          <w:color w:val="000000"/>
          <w:spacing w:val="6"/>
          <w:sz w:val="20"/>
          <w:szCs w:val="20"/>
          <w:lang w:eastAsia="en-GB"/>
        </w:rPr>
        <w:t xml:space="preserve"> </w:t>
      </w:r>
      <w:r w:rsidRPr="00E47183">
        <w:rPr>
          <w:rFonts w:ascii="Arial" w:eastAsia="Times New Roman" w:hAnsi="Arial" w:cs="Arial"/>
          <w:bCs/>
          <w:color w:val="000000"/>
          <w:spacing w:val="6"/>
          <w:sz w:val="20"/>
          <w:szCs w:val="20"/>
          <w:lang w:eastAsia="en-GB"/>
        </w:rPr>
        <w:t>in 2021/22, primarily due to underspending on Goods and Services and Expenditure for Capital Assets.</w:t>
      </w:r>
    </w:p>
    <w:p w:rsidR="004E290C" w:rsidRPr="00E47183" w:rsidRDefault="004E290C" w:rsidP="00E47183">
      <w:pPr>
        <w:spacing w:after="0" w:line="240" w:lineRule="auto"/>
        <w:rPr>
          <w:rFonts w:ascii="Arial" w:eastAsia="Times New Roman" w:hAnsi="Arial" w:cs="Arial"/>
          <w:bCs/>
          <w:color w:val="000000"/>
          <w:spacing w:val="6"/>
          <w:sz w:val="20"/>
          <w:szCs w:val="20"/>
          <w:lang w:eastAsia="en-GB"/>
        </w:rPr>
      </w:pPr>
    </w:p>
    <w:p w:rsidR="00162818" w:rsidRPr="00E47183" w:rsidRDefault="00162818" w:rsidP="00E47183">
      <w:pPr>
        <w:spacing w:after="0" w:line="240" w:lineRule="auto"/>
        <w:rPr>
          <w:rFonts w:ascii="Arial" w:eastAsia="Times New Roman" w:hAnsi="Arial" w:cs="Arial"/>
          <w:b/>
          <w:bCs/>
          <w:color w:val="000000"/>
          <w:spacing w:val="6"/>
          <w:sz w:val="20"/>
          <w:szCs w:val="20"/>
          <w:lang w:eastAsia="en-GB"/>
        </w:rPr>
      </w:pPr>
    </w:p>
    <w:p w:rsidR="003F1C73" w:rsidRPr="00E47183" w:rsidRDefault="00C51165" w:rsidP="00E47183">
      <w:pPr>
        <w:spacing w:after="0" w:line="240" w:lineRule="auto"/>
        <w:rPr>
          <w:rFonts w:ascii="Arial" w:eastAsia="Times New Roman" w:hAnsi="Arial" w:cs="Arial"/>
          <w:b/>
          <w:bCs/>
          <w:color w:val="000000"/>
          <w:spacing w:val="6"/>
          <w:sz w:val="20"/>
          <w:szCs w:val="20"/>
          <w:lang w:eastAsia="en-GB"/>
        </w:rPr>
      </w:pPr>
      <w:r w:rsidRPr="00E47183">
        <w:rPr>
          <w:rFonts w:ascii="Arial" w:eastAsia="Times New Roman" w:hAnsi="Arial" w:cs="Arial"/>
          <w:b/>
          <w:bCs/>
          <w:color w:val="000000"/>
          <w:spacing w:val="6"/>
          <w:sz w:val="20"/>
          <w:szCs w:val="20"/>
          <w:lang w:eastAsia="en-GB"/>
        </w:rPr>
        <w:t xml:space="preserve">7.3.5. Programme 5 (Affordable Housing) </w:t>
      </w:r>
    </w:p>
    <w:p w:rsidR="00162818" w:rsidRPr="00E47183" w:rsidRDefault="00162818" w:rsidP="00E47183">
      <w:pPr>
        <w:spacing w:after="0" w:line="240" w:lineRule="auto"/>
        <w:rPr>
          <w:rFonts w:ascii="Arial" w:eastAsia="Times New Roman" w:hAnsi="Arial" w:cs="Arial"/>
          <w:bCs/>
          <w:color w:val="000000"/>
          <w:spacing w:val="6"/>
          <w:sz w:val="20"/>
          <w:szCs w:val="20"/>
          <w:lang w:eastAsia="en-GB"/>
        </w:rPr>
      </w:pPr>
    </w:p>
    <w:p w:rsidR="00C51165" w:rsidRPr="00E47183" w:rsidRDefault="003F1C73" w:rsidP="00E47183">
      <w:pPr>
        <w:spacing w:after="0" w:line="240" w:lineRule="auto"/>
        <w:rPr>
          <w:rFonts w:ascii="Arial" w:eastAsia="Times New Roman" w:hAnsi="Arial" w:cs="Arial"/>
          <w:bCs/>
          <w:color w:val="000000"/>
          <w:spacing w:val="6"/>
          <w:sz w:val="20"/>
          <w:szCs w:val="20"/>
          <w:lang w:eastAsia="en-GB"/>
        </w:rPr>
      </w:pPr>
      <w:r w:rsidRPr="00E47183">
        <w:rPr>
          <w:rFonts w:ascii="Arial" w:eastAsia="Times New Roman" w:hAnsi="Arial" w:cs="Arial"/>
          <w:bCs/>
          <w:color w:val="000000"/>
          <w:spacing w:val="6"/>
          <w:sz w:val="20"/>
          <w:szCs w:val="20"/>
          <w:lang w:eastAsia="en-GB"/>
        </w:rPr>
        <w:t xml:space="preserve">This programme </w:t>
      </w:r>
      <w:r w:rsidR="00C51165" w:rsidRPr="00E47183">
        <w:rPr>
          <w:rFonts w:ascii="Arial" w:eastAsia="Times New Roman" w:hAnsi="Arial" w:cs="Arial"/>
          <w:bCs/>
          <w:color w:val="000000"/>
          <w:spacing w:val="6"/>
          <w:sz w:val="20"/>
          <w:szCs w:val="20"/>
          <w:lang w:eastAsia="en-GB"/>
        </w:rPr>
        <w:t>received a total appropriation of R588.83 million in 2021/22, of which it spent R539.52 million (91.62%). The programme underspent by R49.31 million (8.48%), primarily due to underspending on Compensation of Employees, Goods and Services, Transfers and Subsidies and Expenditure for capital assets.</w:t>
      </w:r>
    </w:p>
    <w:p w:rsidR="00D25337" w:rsidRPr="00E47183" w:rsidRDefault="00D25337" w:rsidP="00E47183">
      <w:pPr>
        <w:spacing w:after="0" w:line="240" w:lineRule="auto"/>
        <w:rPr>
          <w:rFonts w:ascii="Arial" w:hAnsi="Arial" w:cs="Arial"/>
          <w:bCs/>
          <w:sz w:val="20"/>
          <w:szCs w:val="20"/>
        </w:rPr>
      </w:pPr>
    </w:p>
    <w:p w:rsidR="008001F1" w:rsidRPr="00E47183" w:rsidRDefault="00DA47CA" w:rsidP="00E47183">
      <w:pPr>
        <w:spacing w:after="0" w:line="240" w:lineRule="auto"/>
        <w:rPr>
          <w:rFonts w:ascii="Arial" w:hAnsi="Arial" w:cs="Arial"/>
          <w:bCs/>
          <w:sz w:val="20"/>
          <w:szCs w:val="20"/>
        </w:rPr>
      </w:pPr>
      <w:r w:rsidRPr="00E47183">
        <w:rPr>
          <w:rFonts w:ascii="Arial" w:hAnsi="Arial" w:cs="Arial"/>
          <w:bCs/>
          <w:sz w:val="20"/>
          <w:szCs w:val="20"/>
        </w:rPr>
        <w:t>The overall audit outcomes of the Department remained unchanged from the previous audit cycles, as for the past five years the Department had been receiving an unqualified audit opinion on the annual financial statements as well as no material findings on compliance with legislation, but with material findings on reported performance information. Concerning reported performance information; in the current year, the usefulness issues were finally resolved and the audit outcome on performance information has improved with an unqualified opinion on programme 2. The current year’s audit outcome is an unqualified audit opinion with findings on only compliance with legislation.</w:t>
      </w:r>
      <w:r w:rsidR="000153C4" w:rsidRPr="00E47183">
        <w:rPr>
          <w:rFonts w:ascii="Arial" w:hAnsi="Arial" w:cs="Arial"/>
          <w:bCs/>
          <w:sz w:val="20"/>
          <w:szCs w:val="20"/>
        </w:rPr>
        <w:t xml:space="preserve"> </w:t>
      </w:r>
      <w:r w:rsidR="008001F1" w:rsidRPr="00E47183">
        <w:rPr>
          <w:rFonts w:ascii="Arial" w:hAnsi="Arial" w:cs="Arial"/>
          <w:bCs/>
          <w:sz w:val="20"/>
          <w:szCs w:val="20"/>
        </w:rPr>
        <w:t xml:space="preserve">The Department also reported that the Director General was redeployed to a different department within the ambit of the Department of Public Service and Administration (DPSA). </w:t>
      </w:r>
    </w:p>
    <w:p w:rsidR="00DA47CA" w:rsidRPr="00E47183" w:rsidRDefault="00DA47CA" w:rsidP="00E47183">
      <w:pPr>
        <w:spacing w:after="0" w:line="240" w:lineRule="auto"/>
        <w:rPr>
          <w:rFonts w:ascii="Arial" w:eastAsia="Times New Roman" w:hAnsi="Arial" w:cs="Arial"/>
          <w:b/>
          <w:bCs/>
          <w:color w:val="000000"/>
          <w:spacing w:val="6"/>
          <w:sz w:val="20"/>
          <w:szCs w:val="20"/>
          <w:lang w:eastAsia="en-GB"/>
        </w:rPr>
      </w:pPr>
    </w:p>
    <w:p w:rsidR="001D081D" w:rsidRPr="00E47183" w:rsidRDefault="005E4644" w:rsidP="00E47183">
      <w:pPr>
        <w:spacing w:after="0" w:line="240" w:lineRule="auto"/>
        <w:rPr>
          <w:rFonts w:ascii="Arial" w:eastAsia="Times New Roman" w:hAnsi="Arial" w:cs="Arial"/>
          <w:b/>
          <w:bCs/>
          <w:color w:val="000000"/>
          <w:spacing w:val="6"/>
          <w:sz w:val="20"/>
          <w:szCs w:val="20"/>
          <w:lang w:eastAsia="en-GB"/>
        </w:rPr>
      </w:pPr>
      <w:r w:rsidRPr="00E47183">
        <w:rPr>
          <w:rFonts w:ascii="Arial" w:eastAsia="Times New Roman" w:hAnsi="Arial" w:cs="Arial"/>
          <w:b/>
          <w:bCs/>
          <w:color w:val="000000"/>
          <w:spacing w:val="6"/>
          <w:sz w:val="20"/>
          <w:szCs w:val="20"/>
          <w:lang w:eastAsia="en-GB"/>
        </w:rPr>
        <w:t>7.4. The Department achieved the following:</w:t>
      </w:r>
    </w:p>
    <w:p w:rsidR="00D86CE3" w:rsidRPr="00E47183" w:rsidRDefault="00D86CE3" w:rsidP="00E47183">
      <w:pPr>
        <w:spacing w:after="0" w:line="240" w:lineRule="auto"/>
        <w:rPr>
          <w:rFonts w:ascii="Arial" w:eastAsia="Times New Roman" w:hAnsi="Arial" w:cs="Arial"/>
          <w:b/>
          <w:bCs/>
          <w:color w:val="000000"/>
          <w:spacing w:val="6"/>
          <w:sz w:val="20"/>
          <w:szCs w:val="20"/>
          <w:lang w:eastAsia="en-GB"/>
        </w:rPr>
      </w:pPr>
    </w:p>
    <w:p w:rsidR="005E4644" w:rsidRPr="00E47183" w:rsidRDefault="005734BD" w:rsidP="00E47183">
      <w:pPr>
        <w:pStyle w:val="ListParagraph"/>
        <w:numPr>
          <w:ilvl w:val="0"/>
          <w:numId w:val="14"/>
        </w:numPr>
        <w:spacing w:line="240" w:lineRule="auto"/>
        <w:rPr>
          <w:rFonts w:cs="Arial"/>
          <w:bCs/>
          <w:sz w:val="20"/>
          <w:szCs w:val="20"/>
        </w:rPr>
      </w:pPr>
      <w:r w:rsidRPr="00E47183">
        <w:rPr>
          <w:rFonts w:cs="Arial"/>
          <w:bCs/>
          <w:sz w:val="20"/>
          <w:szCs w:val="20"/>
        </w:rPr>
        <w:t>The Department, with the HDA’s involvement,</w:t>
      </w:r>
      <w:r w:rsidR="005E4644" w:rsidRPr="00E47183">
        <w:rPr>
          <w:rFonts w:cs="Arial"/>
          <w:bCs/>
          <w:sz w:val="20"/>
          <w:szCs w:val="20"/>
        </w:rPr>
        <w:t xml:space="preserve"> prepared a total of 49 integrated implementation programmes for Priority Development Areas (PDAs). </w:t>
      </w:r>
    </w:p>
    <w:p w:rsidR="005E4644" w:rsidRPr="00E47183" w:rsidRDefault="005E4644" w:rsidP="00E47183">
      <w:pPr>
        <w:pStyle w:val="ListParagraph"/>
        <w:numPr>
          <w:ilvl w:val="0"/>
          <w:numId w:val="14"/>
        </w:numPr>
        <w:spacing w:line="240" w:lineRule="auto"/>
        <w:rPr>
          <w:rFonts w:cs="Arial"/>
          <w:bCs/>
          <w:sz w:val="20"/>
          <w:szCs w:val="20"/>
        </w:rPr>
      </w:pPr>
      <w:r w:rsidRPr="00E47183">
        <w:rPr>
          <w:rFonts w:cs="Arial"/>
          <w:bCs/>
          <w:sz w:val="20"/>
          <w:szCs w:val="20"/>
        </w:rPr>
        <w:t xml:space="preserve">A total of 1 162 informal settlements upgrading projects were in progress across nine provinces and eight metropolitan municipalities, with a total of 610 informal settlements upgraded by provinces and 552 by metropolitan municipalities. </w:t>
      </w:r>
    </w:p>
    <w:p w:rsidR="005E4644" w:rsidRPr="00E47183" w:rsidRDefault="005E4644" w:rsidP="00E47183">
      <w:pPr>
        <w:pStyle w:val="ListParagraph"/>
        <w:numPr>
          <w:ilvl w:val="0"/>
          <w:numId w:val="14"/>
        </w:numPr>
        <w:spacing w:line="240" w:lineRule="auto"/>
        <w:rPr>
          <w:rFonts w:cs="Arial"/>
          <w:bCs/>
          <w:sz w:val="20"/>
          <w:szCs w:val="20"/>
        </w:rPr>
      </w:pPr>
      <w:r w:rsidRPr="00E47183">
        <w:rPr>
          <w:rFonts w:cs="Arial"/>
          <w:bCs/>
          <w:sz w:val="20"/>
          <w:szCs w:val="20"/>
        </w:rPr>
        <w:t xml:space="preserve">A total of 22 822 serviced sites were delivered during 2021/22, of which 20 213 were delivered by provinces and 2 609 by metropolitan municipalities. </w:t>
      </w:r>
    </w:p>
    <w:p w:rsidR="005E4644" w:rsidRPr="00E47183" w:rsidRDefault="005E4644" w:rsidP="00E47183">
      <w:pPr>
        <w:pStyle w:val="ListParagraph"/>
        <w:numPr>
          <w:ilvl w:val="0"/>
          <w:numId w:val="14"/>
        </w:numPr>
        <w:spacing w:line="240" w:lineRule="auto"/>
        <w:rPr>
          <w:rFonts w:cs="Arial"/>
          <w:bCs/>
          <w:sz w:val="20"/>
          <w:szCs w:val="20"/>
        </w:rPr>
      </w:pPr>
      <w:r w:rsidRPr="00E47183">
        <w:rPr>
          <w:rFonts w:cs="Arial"/>
          <w:bCs/>
          <w:sz w:val="20"/>
          <w:szCs w:val="20"/>
        </w:rPr>
        <w:t xml:space="preserve">The deployment of service delivery facilitators in the Eastern Cape, KwaZulu-Natal, Limpopo, Mpumalanga and North West delivered improved outcomes in addressing the title deed backlogs in these provinces. </w:t>
      </w:r>
    </w:p>
    <w:p w:rsidR="005E4644" w:rsidRPr="00E47183" w:rsidRDefault="005E4644" w:rsidP="00E47183">
      <w:pPr>
        <w:pStyle w:val="ListParagraph"/>
        <w:numPr>
          <w:ilvl w:val="0"/>
          <w:numId w:val="14"/>
        </w:numPr>
        <w:spacing w:line="240" w:lineRule="auto"/>
        <w:rPr>
          <w:rFonts w:cs="Arial"/>
          <w:bCs/>
          <w:sz w:val="20"/>
          <w:szCs w:val="20"/>
        </w:rPr>
      </w:pPr>
      <w:r w:rsidRPr="00E47183">
        <w:rPr>
          <w:rFonts w:cs="Arial"/>
          <w:bCs/>
          <w:sz w:val="20"/>
          <w:szCs w:val="20"/>
        </w:rPr>
        <w:t xml:space="preserve">Provinces performed better than anticipated in assisting applicants of the FLISP, with a total of 2 985 applicants assisted (compared to an anticipated 2 396), while NHFC underperformed in this regard, assisting only 3 268 out of a planned 5 762 applicants to be assisted during 2021/22. A total of 6 253 households received </w:t>
      </w:r>
      <w:r w:rsidRPr="00E47183">
        <w:rPr>
          <w:rFonts w:cs="Arial"/>
          <w:bCs/>
          <w:sz w:val="20"/>
          <w:szCs w:val="20"/>
        </w:rPr>
        <w:lastRenderedPageBreak/>
        <w:t>financial assistance and purchased housing units through FLISP, with the performance of FLISP totalling 13 414 households, against the Medium Terms Strategic Framework (MTSF) target of 20 000 households.</w:t>
      </w:r>
    </w:p>
    <w:p w:rsidR="005E4644" w:rsidRPr="00E47183" w:rsidRDefault="005E4644" w:rsidP="00E47183">
      <w:pPr>
        <w:pStyle w:val="ListParagraph"/>
        <w:numPr>
          <w:ilvl w:val="0"/>
          <w:numId w:val="14"/>
        </w:numPr>
        <w:spacing w:line="240" w:lineRule="auto"/>
        <w:rPr>
          <w:rFonts w:cs="Arial"/>
          <w:bCs/>
          <w:sz w:val="20"/>
          <w:szCs w:val="20"/>
        </w:rPr>
      </w:pPr>
      <w:r w:rsidRPr="00E47183">
        <w:rPr>
          <w:rFonts w:cs="Arial"/>
          <w:bCs/>
          <w:sz w:val="20"/>
          <w:szCs w:val="20"/>
        </w:rPr>
        <w:t>In terms of the revitalization of mining towns, affected provinces and municipalities reported that their main challenges result from a lack of bulk infrastructure to support the provision of basic services for future human settlements developments. The Department assisted six provinces and the relevant municipalities in each (Limpopo, North West, Mpumalanga, Gauteng, Free State and the Northern Cape) to develop costed multi-year project pipeline reports where the provinces prioritise bulk infrastructure projects.</w:t>
      </w:r>
    </w:p>
    <w:p w:rsidR="00BE4612" w:rsidRPr="00E47183" w:rsidRDefault="005E4644" w:rsidP="00E47183">
      <w:pPr>
        <w:pStyle w:val="ListParagraph"/>
        <w:numPr>
          <w:ilvl w:val="0"/>
          <w:numId w:val="14"/>
        </w:numPr>
        <w:spacing w:line="240" w:lineRule="auto"/>
        <w:rPr>
          <w:rFonts w:cs="Arial"/>
          <w:bCs/>
          <w:sz w:val="20"/>
          <w:szCs w:val="20"/>
        </w:rPr>
      </w:pPr>
      <w:r w:rsidRPr="00E47183">
        <w:rPr>
          <w:rFonts w:cs="Arial"/>
          <w:bCs/>
          <w:sz w:val="20"/>
          <w:szCs w:val="20"/>
        </w:rPr>
        <w:t>The Department identified more than 1 200 blocked projects and intends to close off these projects over a three-year period in partnership with the provincial departments, starting in 2022/23. Projects affected by bulk infrastructure and poor performi</w:t>
      </w:r>
      <w:r w:rsidR="003216C4" w:rsidRPr="00E47183">
        <w:rPr>
          <w:rFonts w:cs="Arial"/>
          <w:bCs/>
          <w:sz w:val="20"/>
          <w:szCs w:val="20"/>
        </w:rPr>
        <w:t>ng contractors would</w:t>
      </w:r>
      <w:r w:rsidRPr="00E47183">
        <w:rPr>
          <w:rFonts w:cs="Arial"/>
          <w:bCs/>
          <w:sz w:val="20"/>
          <w:szCs w:val="20"/>
        </w:rPr>
        <w:t xml:space="preserve"> be prioritized. </w:t>
      </w:r>
    </w:p>
    <w:p w:rsidR="00BE4612" w:rsidRPr="00E47183" w:rsidRDefault="005734BD" w:rsidP="00E47183">
      <w:pPr>
        <w:pStyle w:val="ListParagraph"/>
        <w:numPr>
          <w:ilvl w:val="0"/>
          <w:numId w:val="14"/>
        </w:numPr>
        <w:spacing w:line="240" w:lineRule="auto"/>
        <w:rPr>
          <w:rFonts w:cs="Arial"/>
          <w:bCs/>
          <w:sz w:val="20"/>
          <w:szCs w:val="20"/>
        </w:rPr>
      </w:pPr>
      <w:r w:rsidRPr="00E47183">
        <w:rPr>
          <w:rFonts w:cs="Arial"/>
          <w:bCs/>
          <w:sz w:val="20"/>
          <w:szCs w:val="20"/>
        </w:rPr>
        <w:t>A total of 33 One Plans</w:t>
      </w:r>
      <w:r w:rsidR="00BE4612" w:rsidRPr="00E47183">
        <w:rPr>
          <w:rFonts w:cs="Arial"/>
          <w:bCs/>
          <w:sz w:val="20"/>
          <w:szCs w:val="20"/>
        </w:rPr>
        <w:t xml:space="preserve"> for District and Metropolitan Municipalities were assessed and reviewed across all provinces. This was in order to subject the One Plan to the quality assurance framework and verify the alignment of the One Plan with the District Development Model (DDM) to produce improved plans. Technical support was also provided where necessary, especially where under-performance was noted, before invoking the provisions of the Division of Revenue Act.</w:t>
      </w:r>
    </w:p>
    <w:p w:rsidR="00BE4612" w:rsidRPr="00E47183" w:rsidRDefault="00BE4612" w:rsidP="00E47183">
      <w:pPr>
        <w:pStyle w:val="ListParagraph"/>
        <w:numPr>
          <w:ilvl w:val="0"/>
          <w:numId w:val="14"/>
        </w:numPr>
        <w:spacing w:line="240" w:lineRule="auto"/>
        <w:rPr>
          <w:rFonts w:cs="Arial"/>
          <w:bCs/>
          <w:sz w:val="20"/>
          <w:szCs w:val="20"/>
        </w:rPr>
      </w:pPr>
      <w:r w:rsidRPr="00E47183">
        <w:rPr>
          <w:rFonts w:cs="Arial"/>
          <w:bCs/>
          <w:sz w:val="20"/>
          <w:szCs w:val="20"/>
        </w:rPr>
        <w:t xml:space="preserve">The Property Practitioners Regulatory Authority Act (PPRAA) (which establishes the Property Practitioners Regulatory Authority (PPRA) came into effect in February 2022, which makes provision for the replacement of the Estate Agency Affairs Board by the PPRA. </w:t>
      </w:r>
    </w:p>
    <w:p w:rsidR="00BE4612" w:rsidRPr="00E47183" w:rsidRDefault="00BE4612" w:rsidP="00E47183">
      <w:pPr>
        <w:pStyle w:val="ListParagraph"/>
        <w:numPr>
          <w:ilvl w:val="0"/>
          <w:numId w:val="14"/>
        </w:numPr>
        <w:spacing w:line="240" w:lineRule="auto"/>
        <w:rPr>
          <w:rFonts w:cs="Arial"/>
          <w:bCs/>
          <w:sz w:val="20"/>
          <w:szCs w:val="20"/>
        </w:rPr>
      </w:pPr>
      <w:r w:rsidRPr="00E47183">
        <w:rPr>
          <w:rFonts w:cs="Arial"/>
          <w:bCs/>
          <w:sz w:val="20"/>
          <w:szCs w:val="20"/>
        </w:rPr>
        <w:t xml:space="preserve">The Department developed a number of policies, seeking to respond to the injunction of Section 26 of the Constitution, including: </w:t>
      </w:r>
    </w:p>
    <w:p w:rsidR="00BE4612" w:rsidRPr="00E47183" w:rsidRDefault="00BE4612" w:rsidP="00E47183">
      <w:pPr>
        <w:pStyle w:val="ListParagraph"/>
        <w:numPr>
          <w:ilvl w:val="1"/>
          <w:numId w:val="14"/>
        </w:numPr>
        <w:spacing w:line="240" w:lineRule="auto"/>
        <w:rPr>
          <w:rFonts w:cs="Arial"/>
          <w:bCs/>
          <w:sz w:val="20"/>
          <w:szCs w:val="20"/>
        </w:rPr>
      </w:pPr>
      <w:r w:rsidRPr="00E47183">
        <w:rPr>
          <w:rFonts w:cs="Arial"/>
          <w:bCs/>
          <w:sz w:val="20"/>
          <w:szCs w:val="20"/>
        </w:rPr>
        <w:t>Remodelling the FLISP</w:t>
      </w:r>
      <w:r w:rsidRPr="00E47183">
        <w:rPr>
          <w:rFonts w:cs="Arial"/>
          <w:b/>
          <w:bCs/>
          <w:sz w:val="20"/>
          <w:szCs w:val="20"/>
        </w:rPr>
        <w:t xml:space="preserve"> </w:t>
      </w:r>
      <w:r w:rsidRPr="00E47183">
        <w:rPr>
          <w:rFonts w:cs="Arial"/>
          <w:bCs/>
          <w:sz w:val="20"/>
          <w:szCs w:val="20"/>
        </w:rPr>
        <w:t>to effectively address the “GAP” housing market and provide for non-mortgage product offerings and alternative tenure options; and</w:t>
      </w:r>
    </w:p>
    <w:p w:rsidR="005E4644" w:rsidRPr="00E47183" w:rsidRDefault="00BE4612" w:rsidP="00E47183">
      <w:pPr>
        <w:pStyle w:val="ListParagraph"/>
        <w:numPr>
          <w:ilvl w:val="1"/>
          <w:numId w:val="14"/>
        </w:numPr>
        <w:spacing w:line="240" w:lineRule="auto"/>
        <w:rPr>
          <w:rFonts w:cs="Arial"/>
          <w:bCs/>
          <w:sz w:val="20"/>
          <w:szCs w:val="20"/>
        </w:rPr>
      </w:pPr>
      <w:r w:rsidRPr="00E47183">
        <w:rPr>
          <w:rFonts w:cs="Arial"/>
          <w:bCs/>
          <w:sz w:val="20"/>
          <w:szCs w:val="20"/>
        </w:rPr>
        <w:t>The Policy on Empowerment of Designated Groups (designed to support the achievement of improved social and economic impacts through human settlements construction projects) seeks to provide for setting targets and implementation measures to create jobs, promote small enterprises and to further provide for training opportunities during construction projects implemented or funded by the Department. The primary aim of this policy is to make sure that these opportunities are first made available to unemployed people, youth, women and people with disabilities.</w:t>
      </w:r>
    </w:p>
    <w:p w:rsidR="0004240E" w:rsidRPr="00E47183" w:rsidRDefault="0004240E" w:rsidP="00E47183">
      <w:pPr>
        <w:spacing w:after="0" w:line="240" w:lineRule="auto"/>
        <w:rPr>
          <w:rFonts w:ascii="Arial" w:hAnsi="Arial" w:cs="Arial"/>
          <w:bCs/>
          <w:sz w:val="20"/>
          <w:szCs w:val="20"/>
        </w:rPr>
      </w:pPr>
    </w:p>
    <w:p w:rsidR="00234ED8" w:rsidRPr="00E47183" w:rsidRDefault="00234ED8" w:rsidP="00E47183">
      <w:pPr>
        <w:spacing w:after="0" w:line="240" w:lineRule="auto"/>
        <w:rPr>
          <w:rFonts w:ascii="Arial" w:eastAsia="Times New Roman" w:hAnsi="Arial" w:cs="Arial"/>
          <w:bCs/>
          <w:color w:val="FF0000"/>
          <w:spacing w:val="6"/>
          <w:sz w:val="20"/>
          <w:szCs w:val="20"/>
          <w:lang w:val="en-GB" w:eastAsia="en-GB"/>
        </w:rPr>
      </w:pPr>
    </w:p>
    <w:p w:rsidR="00033539" w:rsidRPr="00E47183" w:rsidRDefault="000248DC" w:rsidP="00E47183">
      <w:pPr>
        <w:spacing w:after="0" w:line="240" w:lineRule="auto"/>
        <w:ind w:left="720" w:hanging="720"/>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8</w:t>
      </w:r>
      <w:r w:rsidR="004302F5" w:rsidRPr="00E47183">
        <w:rPr>
          <w:rFonts w:ascii="Arial" w:eastAsia="Times New Roman" w:hAnsi="Arial" w:cs="Arial"/>
          <w:b/>
          <w:color w:val="000000"/>
          <w:spacing w:val="6"/>
          <w:sz w:val="20"/>
          <w:szCs w:val="20"/>
          <w:lang w:val="en-ZA" w:eastAsia="en-GB"/>
        </w:rPr>
        <w:t>.</w:t>
      </w:r>
      <w:r w:rsidR="004302F5" w:rsidRPr="00E47183">
        <w:rPr>
          <w:rFonts w:ascii="Arial" w:eastAsia="Times New Roman" w:hAnsi="Arial" w:cs="Arial"/>
          <w:b/>
          <w:color w:val="000000"/>
          <w:spacing w:val="6"/>
          <w:sz w:val="20"/>
          <w:szCs w:val="20"/>
          <w:lang w:val="en-ZA" w:eastAsia="en-GB"/>
        </w:rPr>
        <w:tab/>
        <w:t xml:space="preserve"> HUMAN SETTLEMENTS ENTITI</w:t>
      </w:r>
      <w:r w:rsidR="0081686A" w:rsidRPr="00E47183">
        <w:rPr>
          <w:rFonts w:ascii="Arial" w:eastAsia="Times New Roman" w:hAnsi="Arial" w:cs="Arial"/>
          <w:b/>
          <w:color w:val="000000"/>
          <w:spacing w:val="6"/>
          <w:sz w:val="20"/>
          <w:szCs w:val="20"/>
          <w:lang w:val="en-ZA" w:eastAsia="en-GB"/>
        </w:rPr>
        <w:t>ES</w:t>
      </w:r>
    </w:p>
    <w:p w:rsidR="00CD7915" w:rsidRPr="00E47183" w:rsidRDefault="00CD7915" w:rsidP="00E47183">
      <w:pPr>
        <w:spacing w:after="0" w:line="240" w:lineRule="auto"/>
        <w:ind w:left="720" w:hanging="720"/>
        <w:rPr>
          <w:rFonts w:ascii="Arial" w:eastAsia="Times New Roman" w:hAnsi="Arial" w:cs="Arial"/>
          <w:b/>
          <w:color w:val="000000"/>
          <w:spacing w:val="6"/>
          <w:sz w:val="20"/>
          <w:szCs w:val="20"/>
          <w:lang w:val="en-ZA" w:eastAsia="en-GB"/>
        </w:rPr>
      </w:pPr>
    </w:p>
    <w:p w:rsidR="00AD4570" w:rsidRPr="00E47183" w:rsidRDefault="000248DC" w:rsidP="00E47183">
      <w:pPr>
        <w:spacing w:after="0" w:line="240" w:lineRule="auto"/>
        <w:ind w:left="720" w:hanging="720"/>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8</w:t>
      </w:r>
      <w:r w:rsidR="004302F5" w:rsidRPr="00E47183">
        <w:rPr>
          <w:rFonts w:ascii="Arial" w:eastAsia="Times New Roman" w:hAnsi="Arial" w:cs="Arial"/>
          <w:b/>
          <w:color w:val="000000"/>
          <w:spacing w:val="6"/>
          <w:sz w:val="20"/>
          <w:szCs w:val="20"/>
          <w:lang w:val="en-ZA" w:eastAsia="en-GB"/>
        </w:rPr>
        <w:t>.1</w:t>
      </w:r>
      <w:r w:rsidR="00F677D9" w:rsidRPr="00E47183">
        <w:rPr>
          <w:rFonts w:ascii="Arial" w:eastAsia="Times New Roman" w:hAnsi="Arial" w:cs="Arial"/>
          <w:b/>
          <w:color w:val="000000"/>
          <w:spacing w:val="6"/>
          <w:sz w:val="20"/>
          <w:szCs w:val="20"/>
          <w:lang w:val="en-ZA" w:eastAsia="en-GB"/>
        </w:rPr>
        <w:t>.</w:t>
      </w:r>
      <w:r w:rsidR="00316F2D" w:rsidRPr="00E47183">
        <w:rPr>
          <w:rFonts w:ascii="Arial" w:eastAsia="Times New Roman" w:hAnsi="Arial" w:cs="Arial"/>
          <w:b/>
          <w:color w:val="000000"/>
          <w:spacing w:val="6"/>
          <w:sz w:val="20"/>
          <w:szCs w:val="20"/>
          <w:lang w:val="en-ZA" w:eastAsia="en-GB"/>
        </w:rPr>
        <w:t xml:space="preserve"> </w:t>
      </w:r>
      <w:r w:rsidR="00AD4570" w:rsidRPr="00E47183">
        <w:rPr>
          <w:rFonts w:ascii="Arial" w:eastAsia="Times New Roman" w:hAnsi="Arial" w:cs="Arial"/>
          <w:b/>
          <w:color w:val="000000"/>
          <w:spacing w:val="6"/>
          <w:sz w:val="20"/>
          <w:szCs w:val="20"/>
          <w:lang w:val="en-ZA" w:eastAsia="en-GB"/>
        </w:rPr>
        <w:t>National Home Builders Registration Council (NHBRC)</w:t>
      </w:r>
    </w:p>
    <w:p w:rsidR="00D86CE3" w:rsidRPr="00E47183" w:rsidRDefault="00D86CE3" w:rsidP="00E47183">
      <w:pPr>
        <w:spacing w:after="0" w:line="240" w:lineRule="auto"/>
        <w:rPr>
          <w:rFonts w:ascii="Arial" w:hAnsi="Arial" w:cs="Arial"/>
          <w:sz w:val="20"/>
          <w:szCs w:val="20"/>
          <w:lang w:val="en-ZA"/>
        </w:rPr>
      </w:pPr>
    </w:p>
    <w:p w:rsidR="00876E4A" w:rsidRPr="00E47183" w:rsidRDefault="00E930D5" w:rsidP="00E47183">
      <w:pPr>
        <w:spacing w:after="0" w:line="240" w:lineRule="auto"/>
        <w:rPr>
          <w:rFonts w:ascii="Arial" w:hAnsi="Arial" w:cs="Arial"/>
          <w:sz w:val="20"/>
          <w:szCs w:val="20"/>
          <w:lang w:val="en-ZA"/>
        </w:rPr>
      </w:pPr>
      <w:r w:rsidRPr="00E47183">
        <w:rPr>
          <w:rFonts w:ascii="Arial" w:hAnsi="Arial" w:cs="Arial"/>
          <w:sz w:val="20"/>
          <w:szCs w:val="20"/>
          <w:lang w:val="en-ZA"/>
        </w:rPr>
        <w:t>T</w:t>
      </w:r>
      <w:r w:rsidR="00B11993" w:rsidRPr="00E47183">
        <w:rPr>
          <w:rFonts w:ascii="Arial" w:hAnsi="Arial" w:cs="Arial"/>
          <w:sz w:val="20"/>
          <w:szCs w:val="20"/>
          <w:lang w:val="en-ZA"/>
        </w:rPr>
        <w:t>he NHBRC’s net surplus for the</w:t>
      </w:r>
      <w:r w:rsidRPr="00E47183">
        <w:rPr>
          <w:rFonts w:ascii="Arial" w:hAnsi="Arial" w:cs="Arial"/>
          <w:sz w:val="20"/>
          <w:szCs w:val="20"/>
          <w:lang w:val="en-ZA"/>
        </w:rPr>
        <w:t xml:space="preserve"> year was R 1.2 billion. This was</w:t>
      </w:r>
      <w:r w:rsidR="00B11993" w:rsidRPr="00E47183">
        <w:rPr>
          <w:rFonts w:ascii="Arial" w:hAnsi="Arial" w:cs="Arial"/>
          <w:sz w:val="20"/>
          <w:szCs w:val="20"/>
          <w:lang w:val="en-ZA"/>
        </w:rPr>
        <w:t xml:space="preserve"> largely as a result of the reversal of Additional Unexpired Risk Provision of R 571 million which was a requirement of the Auditor General. This was questioned by the NHBRC but ultimately the Auditor General had concluded that this provision was not required. In so far as the overall financial and supply chain aspects are concerned, the NHBRC spent an average of 75% of its budget on BEE suppliers and, on average, took 21 days to facilitate supplier payments.</w:t>
      </w:r>
    </w:p>
    <w:p w:rsidR="00B11993" w:rsidRPr="00E47183" w:rsidRDefault="00B11993" w:rsidP="00E47183">
      <w:pPr>
        <w:spacing w:after="0" w:line="240" w:lineRule="auto"/>
        <w:rPr>
          <w:rFonts w:ascii="Arial" w:hAnsi="Arial" w:cs="Arial"/>
          <w:sz w:val="20"/>
          <w:szCs w:val="20"/>
          <w:lang w:val="en-ZA"/>
        </w:rPr>
      </w:pPr>
    </w:p>
    <w:p w:rsidR="00C37ED2" w:rsidRPr="00E47183" w:rsidRDefault="00DF583F" w:rsidP="00E47183">
      <w:pPr>
        <w:spacing w:after="0" w:line="240" w:lineRule="auto"/>
        <w:rPr>
          <w:rFonts w:ascii="Arial" w:hAnsi="Arial" w:cs="Arial"/>
          <w:sz w:val="20"/>
          <w:szCs w:val="20"/>
          <w:lang w:val="en-ZA"/>
        </w:rPr>
      </w:pPr>
      <w:r w:rsidRPr="00E47183">
        <w:rPr>
          <w:rFonts w:ascii="Arial" w:hAnsi="Arial" w:cs="Arial"/>
          <w:sz w:val="20"/>
          <w:szCs w:val="20"/>
          <w:lang w:val="en-ZA"/>
        </w:rPr>
        <w:t>The overall audit outcomes of the entity have remained unchanged from the previous three audit cycles, with the entity receiving an unqualified audit opinion on the annual financial statements and compliance with legislation. Material misstatements were identified in some key balances of the entity such as actuarial provisions as well as the investments and financial instruments disclosures, which have been adjusted. The disclosures made in the notes for investments and financial instruments were not accurate and these were not identified through the review processes undertaken by the entity over financial reporting. The differences identified in actuarial provisions were a result of differences in the application of the selected methodology for calculating the actuarial provisions. The overall outcomes on performance reporting have remained fairly the same, with a slight increase in the number of indicators receiving a modified opinion. The misstatements identified were a result of inadequate controls over the collection and collation of information that supports performance reporting. As similar issues were raised in the previous financial years, this indicates that the action plans developed are inadequate to address the findings and/or were not effectively monitored to yield the desired impact.</w:t>
      </w:r>
    </w:p>
    <w:p w:rsidR="00B87EFD" w:rsidRPr="00E47183" w:rsidRDefault="00B87EFD" w:rsidP="00E47183">
      <w:pPr>
        <w:spacing w:after="0" w:line="240" w:lineRule="auto"/>
        <w:rPr>
          <w:rFonts w:ascii="Arial" w:hAnsi="Arial" w:cs="Arial"/>
          <w:b/>
          <w:sz w:val="20"/>
          <w:szCs w:val="20"/>
          <w:lang w:val="en-ZA"/>
        </w:rPr>
      </w:pPr>
    </w:p>
    <w:p w:rsidR="00051D15" w:rsidRPr="00E47183" w:rsidRDefault="00AD4570" w:rsidP="00E47183">
      <w:pPr>
        <w:spacing w:after="0" w:line="240" w:lineRule="auto"/>
        <w:rPr>
          <w:rFonts w:ascii="Arial" w:hAnsi="Arial" w:cs="Arial"/>
          <w:b/>
          <w:sz w:val="20"/>
          <w:szCs w:val="20"/>
          <w:lang w:val="en-ZA"/>
        </w:rPr>
      </w:pPr>
      <w:r w:rsidRPr="00E47183">
        <w:rPr>
          <w:rFonts w:ascii="Arial" w:hAnsi="Arial" w:cs="Arial"/>
          <w:b/>
          <w:sz w:val="20"/>
          <w:szCs w:val="20"/>
          <w:lang w:val="en-ZA"/>
        </w:rPr>
        <w:lastRenderedPageBreak/>
        <w:t>The</w:t>
      </w:r>
      <w:r w:rsidRPr="00E47183">
        <w:rPr>
          <w:rFonts w:ascii="Arial" w:hAnsi="Arial" w:cs="Arial"/>
          <w:sz w:val="20"/>
          <w:szCs w:val="20"/>
        </w:rPr>
        <w:t xml:space="preserve"> </w:t>
      </w:r>
      <w:r w:rsidRPr="00E47183">
        <w:rPr>
          <w:rFonts w:ascii="Arial" w:hAnsi="Arial" w:cs="Arial"/>
          <w:b/>
          <w:sz w:val="20"/>
          <w:szCs w:val="20"/>
          <w:lang w:val="en-ZA"/>
        </w:rPr>
        <w:t xml:space="preserve">NHBRC </w:t>
      </w:r>
      <w:r w:rsidR="00051D15" w:rsidRPr="00E47183">
        <w:rPr>
          <w:rFonts w:ascii="Arial" w:hAnsi="Arial" w:cs="Arial"/>
          <w:b/>
          <w:sz w:val="20"/>
          <w:szCs w:val="20"/>
          <w:lang w:val="en-ZA"/>
        </w:rPr>
        <w:t>achieved the following:</w:t>
      </w:r>
    </w:p>
    <w:p w:rsidR="00D86CE3" w:rsidRPr="00E47183" w:rsidRDefault="00D86CE3" w:rsidP="00E47183">
      <w:pPr>
        <w:spacing w:after="0" w:line="240" w:lineRule="auto"/>
        <w:rPr>
          <w:rFonts w:ascii="Arial" w:hAnsi="Arial" w:cs="Arial"/>
          <w:b/>
          <w:sz w:val="20"/>
          <w:szCs w:val="20"/>
          <w:lang w:val="en-ZA"/>
        </w:rPr>
      </w:pPr>
    </w:p>
    <w:p w:rsidR="00AD4570" w:rsidRPr="00E47183" w:rsidRDefault="00AD4570" w:rsidP="00E47183">
      <w:pPr>
        <w:pStyle w:val="ListParagraph"/>
        <w:numPr>
          <w:ilvl w:val="0"/>
          <w:numId w:val="15"/>
        </w:numPr>
        <w:spacing w:line="240" w:lineRule="auto"/>
        <w:rPr>
          <w:rFonts w:cs="Arial"/>
          <w:sz w:val="20"/>
          <w:szCs w:val="20"/>
          <w:lang w:val="en-ZA"/>
        </w:rPr>
      </w:pPr>
      <w:r w:rsidRPr="00E47183">
        <w:rPr>
          <w:rFonts w:cs="Arial"/>
          <w:sz w:val="20"/>
          <w:szCs w:val="20"/>
          <w:lang w:val="en-ZA"/>
        </w:rPr>
        <w:t xml:space="preserve">NHBRC heeded the National Treasury’s call for State Entities to tighten their purses in response to the COVID-19 pandemic and to exercise prudence in managing public funds. Cost containment measures, as guided by the cost containment measures issued by National Treasury were implemented during the reporting period. </w:t>
      </w:r>
    </w:p>
    <w:p w:rsidR="00AD4570" w:rsidRPr="00E47183" w:rsidRDefault="00AD4570" w:rsidP="00E47183">
      <w:pPr>
        <w:pStyle w:val="ListParagraph"/>
        <w:numPr>
          <w:ilvl w:val="0"/>
          <w:numId w:val="15"/>
        </w:numPr>
        <w:spacing w:line="240" w:lineRule="auto"/>
        <w:rPr>
          <w:rFonts w:cs="Arial"/>
          <w:sz w:val="20"/>
          <w:szCs w:val="20"/>
          <w:lang w:val="en-ZA"/>
        </w:rPr>
      </w:pPr>
      <w:r w:rsidRPr="00E47183">
        <w:rPr>
          <w:rFonts w:cs="Arial"/>
          <w:sz w:val="20"/>
          <w:szCs w:val="20"/>
          <w:lang w:val="en-ZA"/>
        </w:rPr>
        <w:t>NHBRC spent 75% of its budget on Black Economic Empowerment (BEE) suppliers and, on average, it took 21 days to facilitate supplier payments.</w:t>
      </w:r>
    </w:p>
    <w:p w:rsidR="00AD4570" w:rsidRPr="00E47183" w:rsidRDefault="00AD4570" w:rsidP="00E47183">
      <w:pPr>
        <w:pStyle w:val="ListParagraph"/>
        <w:numPr>
          <w:ilvl w:val="0"/>
          <w:numId w:val="15"/>
        </w:numPr>
        <w:spacing w:line="240" w:lineRule="auto"/>
        <w:rPr>
          <w:rFonts w:cs="Arial"/>
          <w:sz w:val="20"/>
          <w:szCs w:val="20"/>
          <w:lang w:val="en-ZA"/>
        </w:rPr>
      </w:pPr>
      <w:r w:rsidRPr="00E47183">
        <w:rPr>
          <w:rFonts w:cs="Arial"/>
          <w:sz w:val="20"/>
          <w:szCs w:val="20"/>
          <w:lang w:val="en-ZA"/>
        </w:rPr>
        <w:t>NHBRC received unqualified audit outcome.</w:t>
      </w:r>
    </w:p>
    <w:p w:rsidR="00CF3172" w:rsidRPr="00E47183" w:rsidRDefault="00AD4570" w:rsidP="00E47183">
      <w:pPr>
        <w:pStyle w:val="ListParagraph"/>
        <w:numPr>
          <w:ilvl w:val="0"/>
          <w:numId w:val="15"/>
        </w:numPr>
        <w:spacing w:line="240" w:lineRule="auto"/>
        <w:rPr>
          <w:rFonts w:cs="Arial"/>
          <w:sz w:val="20"/>
          <w:szCs w:val="20"/>
          <w:lang w:val="en-ZA"/>
        </w:rPr>
      </w:pPr>
      <w:r w:rsidRPr="00E47183">
        <w:rPr>
          <w:rFonts w:cs="Arial"/>
          <w:sz w:val="20"/>
          <w:szCs w:val="20"/>
          <w:lang w:val="en-ZA"/>
        </w:rPr>
        <w:t>NHBRC achieved 93% of its performance targets which was an improvement from the prior year (83% in 2020/21).</w:t>
      </w:r>
    </w:p>
    <w:p w:rsidR="00AD4570" w:rsidRPr="00E47183" w:rsidRDefault="00CF3172" w:rsidP="00E47183">
      <w:pPr>
        <w:pStyle w:val="ListParagraph"/>
        <w:numPr>
          <w:ilvl w:val="0"/>
          <w:numId w:val="15"/>
        </w:numPr>
        <w:spacing w:line="240" w:lineRule="auto"/>
        <w:rPr>
          <w:rFonts w:cs="Arial"/>
          <w:sz w:val="20"/>
          <w:szCs w:val="20"/>
          <w:lang w:val="en-ZA"/>
        </w:rPr>
      </w:pPr>
      <w:r w:rsidRPr="00E47183">
        <w:rPr>
          <w:rFonts w:cs="Arial"/>
          <w:sz w:val="20"/>
          <w:szCs w:val="20"/>
          <w:lang w:val="en-ZA"/>
        </w:rPr>
        <w:t>NHBRC</w:t>
      </w:r>
      <w:r w:rsidR="00AD4570" w:rsidRPr="00E47183">
        <w:rPr>
          <w:rFonts w:cs="Arial"/>
          <w:sz w:val="20"/>
          <w:szCs w:val="20"/>
          <w:lang w:val="en-ZA"/>
        </w:rPr>
        <w:t xml:space="preserve"> launched an online registration and renewal pilot project which enables new and existing homebuilders to access the NHBRC services from anywhere in the country through online platforms.</w:t>
      </w:r>
    </w:p>
    <w:p w:rsidR="00AD4570" w:rsidRPr="00E47183" w:rsidRDefault="00AD4570" w:rsidP="00E47183">
      <w:pPr>
        <w:spacing w:after="0" w:line="240" w:lineRule="auto"/>
        <w:rPr>
          <w:rFonts w:ascii="Arial" w:hAnsi="Arial" w:cs="Arial"/>
          <w:b/>
          <w:sz w:val="20"/>
          <w:szCs w:val="20"/>
          <w:lang w:val="en-ZA"/>
        </w:rPr>
      </w:pPr>
    </w:p>
    <w:p w:rsidR="00D86CE3" w:rsidRPr="00E47183" w:rsidRDefault="00D86CE3" w:rsidP="00E47183">
      <w:pPr>
        <w:spacing w:after="0" w:line="240" w:lineRule="auto"/>
        <w:rPr>
          <w:rFonts w:ascii="Arial" w:hAnsi="Arial" w:cs="Arial"/>
          <w:b/>
          <w:sz w:val="20"/>
          <w:szCs w:val="20"/>
          <w:lang w:val="en-ZA"/>
        </w:rPr>
      </w:pPr>
    </w:p>
    <w:p w:rsidR="00316F2D" w:rsidRPr="00E47183" w:rsidRDefault="00316F2D" w:rsidP="00E47183">
      <w:pPr>
        <w:spacing w:after="0" w:line="240" w:lineRule="auto"/>
        <w:rPr>
          <w:rFonts w:ascii="Arial" w:hAnsi="Arial" w:cs="Arial"/>
          <w:b/>
          <w:sz w:val="20"/>
          <w:szCs w:val="20"/>
          <w:lang w:val="en-ZA"/>
        </w:rPr>
      </w:pPr>
      <w:r w:rsidRPr="00E47183">
        <w:rPr>
          <w:rFonts w:ascii="Arial" w:hAnsi="Arial" w:cs="Arial"/>
          <w:b/>
          <w:sz w:val="20"/>
          <w:szCs w:val="20"/>
          <w:lang w:val="en-ZA"/>
        </w:rPr>
        <w:t xml:space="preserve">8.2. </w:t>
      </w:r>
      <w:r w:rsidR="00AD4570" w:rsidRPr="00E47183">
        <w:rPr>
          <w:rFonts w:ascii="Arial" w:hAnsi="Arial" w:cs="Arial"/>
          <w:b/>
          <w:sz w:val="20"/>
          <w:szCs w:val="20"/>
          <w:lang w:val="en-ZA"/>
        </w:rPr>
        <w:t>National Housing Finance Institution (NHFC)</w:t>
      </w:r>
    </w:p>
    <w:p w:rsidR="00D86CE3" w:rsidRPr="00E47183" w:rsidRDefault="00D86CE3" w:rsidP="00E47183">
      <w:pPr>
        <w:spacing w:after="0" w:line="240" w:lineRule="auto"/>
        <w:rPr>
          <w:rFonts w:ascii="Arial" w:hAnsi="Arial" w:cs="Arial"/>
          <w:sz w:val="20"/>
          <w:szCs w:val="20"/>
          <w:lang w:val="en-ZA"/>
        </w:rPr>
      </w:pPr>
    </w:p>
    <w:p w:rsidR="00E930D5" w:rsidRPr="00E47183" w:rsidRDefault="00E930D5" w:rsidP="00E47183">
      <w:pPr>
        <w:spacing w:after="0" w:line="240" w:lineRule="auto"/>
        <w:rPr>
          <w:rFonts w:ascii="Arial" w:hAnsi="Arial" w:cs="Arial"/>
          <w:sz w:val="20"/>
          <w:szCs w:val="20"/>
          <w:lang w:val="en-ZA"/>
        </w:rPr>
      </w:pPr>
      <w:r w:rsidRPr="00E47183">
        <w:rPr>
          <w:rFonts w:ascii="Arial" w:hAnsi="Arial" w:cs="Arial"/>
          <w:sz w:val="20"/>
          <w:szCs w:val="20"/>
          <w:lang w:val="en-ZA"/>
        </w:rPr>
        <w:t>NHFC reported a consolidated surplus for the year of R73.9 million against a budgeted surplus of R16.6 million. The primary contributors to this positive variance were lower than budgeted impairments and operating costs. The NHFC’s financial performance was heavily dependent on the growth of its loan book and the prevailing interest rates. The total group interest on advances for the 2021/22 financial year is at R377.3 million which is under budget by R60</w:t>
      </w:r>
      <w:r w:rsidR="00533B3D" w:rsidRPr="00E47183">
        <w:rPr>
          <w:rFonts w:ascii="Arial" w:hAnsi="Arial" w:cs="Arial"/>
          <w:sz w:val="20"/>
          <w:szCs w:val="20"/>
          <w:lang w:val="en-ZA"/>
        </w:rPr>
        <w:t xml:space="preserve"> </w:t>
      </w:r>
      <w:r w:rsidRPr="00E47183">
        <w:rPr>
          <w:rFonts w:ascii="Arial" w:hAnsi="Arial" w:cs="Arial"/>
          <w:sz w:val="20"/>
          <w:szCs w:val="20"/>
          <w:lang w:val="en-ZA"/>
        </w:rPr>
        <w:t>m</w:t>
      </w:r>
      <w:r w:rsidR="00533B3D" w:rsidRPr="00E47183">
        <w:rPr>
          <w:rFonts w:ascii="Arial" w:hAnsi="Arial" w:cs="Arial"/>
          <w:sz w:val="20"/>
          <w:szCs w:val="20"/>
          <w:lang w:val="en-ZA"/>
        </w:rPr>
        <w:t>illion</w:t>
      </w:r>
      <w:r w:rsidRPr="00E47183">
        <w:rPr>
          <w:rFonts w:ascii="Arial" w:hAnsi="Arial" w:cs="Arial"/>
          <w:sz w:val="20"/>
          <w:szCs w:val="20"/>
          <w:lang w:val="en-ZA"/>
        </w:rPr>
        <w:t xml:space="preserve"> and has decreased by 6% from the 2020/21 financial year, this was due to:</w:t>
      </w:r>
    </w:p>
    <w:p w:rsidR="00533B3D" w:rsidRPr="00E47183" w:rsidRDefault="00E930D5" w:rsidP="00E47183">
      <w:pPr>
        <w:pStyle w:val="ListParagraph"/>
        <w:numPr>
          <w:ilvl w:val="0"/>
          <w:numId w:val="16"/>
        </w:numPr>
        <w:spacing w:line="240" w:lineRule="auto"/>
        <w:rPr>
          <w:rFonts w:cs="Arial"/>
          <w:sz w:val="20"/>
          <w:szCs w:val="20"/>
          <w:lang w:val="en-ZA"/>
        </w:rPr>
      </w:pPr>
      <w:r w:rsidRPr="00E47183">
        <w:rPr>
          <w:rFonts w:cs="Arial"/>
          <w:sz w:val="20"/>
          <w:szCs w:val="20"/>
          <w:lang w:val="en-ZA"/>
        </w:rPr>
        <w:t>Disbursements being primarily in short-term products,</w:t>
      </w:r>
      <w:r w:rsidR="00533B3D" w:rsidRPr="00E47183">
        <w:rPr>
          <w:rFonts w:cs="Arial"/>
          <w:sz w:val="20"/>
          <w:szCs w:val="20"/>
          <w:lang w:val="en-ZA"/>
        </w:rPr>
        <w:t xml:space="preserve"> </w:t>
      </w:r>
      <w:r w:rsidRPr="00E47183">
        <w:rPr>
          <w:rFonts w:cs="Arial"/>
          <w:sz w:val="20"/>
          <w:szCs w:val="20"/>
          <w:lang w:val="en-ZA"/>
        </w:rPr>
        <w:t>leading to a lower book budgeted from the start of the</w:t>
      </w:r>
      <w:r w:rsidR="00533B3D" w:rsidRPr="00E47183">
        <w:rPr>
          <w:rFonts w:cs="Arial"/>
          <w:sz w:val="20"/>
          <w:szCs w:val="20"/>
          <w:lang w:val="en-ZA"/>
        </w:rPr>
        <w:t xml:space="preserve"> </w:t>
      </w:r>
      <w:r w:rsidRPr="00E47183">
        <w:rPr>
          <w:rFonts w:cs="Arial"/>
          <w:sz w:val="20"/>
          <w:szCs w:val="20"/>
          <w:lang w:val="en-ZA"/>
        </w:rPr>
        <w:t>year and</w:t>
      </w:r>
      <w:r w:rsidR="00533B3D" w:rsidRPr="00E47183">
        <w:rPr>
          <w:rFonts w:cs="Arial"/>
          <w:sz w:val="20"/>
          <w:szCs w:val="20"/>
          <w:lang w:val="en-ZA"/>
        </w:rPr>
        <w:t xml:space="preserve"> continuing throughout the year.</w:t>
      </w:r>
    </w:p>
    <w:p w:rsidR="00533B3D" w:rsidRPr="00E47183" w:rsidRDefault="00E930D5" w:rsidP="00E47183">
      <w:pPr>
        <w:pStyle w:val="ListParagraph"/>
        <w:numPr>
          <w:ilvl w:val="0"/>
          <w:numId w:val="16"/>
        </w:numPr>
        <w:spacing w:line="240" w:lineRule="auto"/>
        <w:rPr>
          <w:rFonts w:cs="Arial"/>
          <w:sz w:val="20"/>
          <w:szCs w:val="20"/>
          <w:lang w:val="en-ZA"/>
        </w:rPr>
      </w:pPr>
      <w:r w:rsidRPr="00E47183">
        <w:rPr>
          <w:rFonts w:cs="Arial"/>
          <w:sz w:val="20"/>
          <w:szCs w:val="20"/>
          <w:lang w:val="en-ZA"/>
        </w:rPr>
        <w:t>Lower interest rates throughout the year, budgeted</w:t>
      </w:r>
      <w:r w:rsidR="00533B3D" w:rsidRPr="00E47183">
        <w:rPr>
          <w:rFonts w:cs="Arial"/>
          <w:sz w:val="20"/>
          <w:szCs w:val="20"/>
          <w:lang w:val="en-ZA"/>
        </w:rPr>
        <w:t xml:space="preserve"> </w:t>
      </w:r>
      <w:r w:rsidRPr="00E47183">
        <w:rPr>
          <w:rFonts w:cs="Arial"/>
          <w:sz w:val="20"/>
          <w:szCs w:val="20"/>
          <w:lang w:val="en-ZA"/>
        </w:rPr>
        <w:t>interest rates were projected to increase from the</w:t>
      </w:r>
      <w:r w:rsidR="00533B3D" w:rsidRPr="00E47183">
        <w:rPr>
          <w:rFonts w:cs="Arial"/>
          <w:sz w:val="20"/>
          <w:szCs w:val="20"/>
          <w:lang w:val="en-ZA"/>
        </w:rPr>
        <w:t xml:space="preserve"> </w:t>
      </w:r>
      <w:r w:rsidRPr="00E47183">
        <w:rPr>
          <w:rFonts w:cs="Arial"/>
          <w:sz w:val="20"/>
          <w:szCs w:val="20"/>
          <w:lang w:val="en-ZA"/>
        </w:rPr>
        <w:t>beginning of the year. Unfortunately, they only actually</w:t>
      </w:r>
      <w:r w:rsidR="00533B3D" w:rsidRPr="00E47183">
        <w:rPr>
          <w:rFonts w:cs="Arial"/>
          <w:sz w:val="20"/>
          <w:szCs w:val="20"/>
          <w:lang w:val="en-ZA"/>
        </w:rPr>
        <w:t xml:space="preserve"> </w:t>
      </w:r>
      <w:r w:rsidRPr="00E47183">
        <w:rPr>
          <w:rFonts w:cs="Arial"/>
          <w:sz w:val="20"/>
          <w:szCs w:val="20"/>
          <w:lang w:val="en-ZA"/>
        </w:rPr>
        <w:t>started increasing from November 2021.</w:t>
      </w:r>
    </w:p>
    <w:p w:rsidR="004B649F" w:rsidRPr="00E47183" w:rsidRDefault="00533B3D" w:rsidP="00E47183">
      <w:pPr>
        <w:pStyle w:val="ListParagraph"/>
        <w:numPr>
          <w:ilvl w:val="0"/>
          <w:numId w:val="16"/>
        </w:numPr>
        <w:spacing w:line="240" w:lineRule="auto"/>
        <w:rPr>
          <w:rFonts w:cs="Arial"/>
          <w:sz w:val="20"/>
          <w:szCs w:val="20"/>
          <w:lang w:val="en-ZA"/>
        </w:rPr>
      </w:pPr>
      <w:r w:rsidRPr="00E47183">
        <w:rPr>
          <w:rFonts w:cs="Arial"/>
          <w:sz w:val="20"/>
          <w:szCs w:val="20"/>
          <w:lang w:val="en-ZA"/>
        </w:rPr>
        <w:t>The impairments were</w:t>
      </w:r>
      <w:r w:rsidR="00E930D5" w:rsidRPr="00E47183">
        <w:rPr>
          <w:rFonts w:cs="Arial"/>
          <w:sz w:val="20"/>
          <w:szCs w:val="20"/>
          <w:lang w:val="en-ZA"/>
        </w:rPr>
        <w:t xml:space="preserve"> lower than budgeted mainly due to impairment policy now more realistically calculating</w:t>
      </w:r>
      <w:r w:rsidRPr="00E47183">
        <w:rPr>
          <w:rFonts w:cs="Arial"/>
          <w:sz w:val="20"/>
          <w:szCs w:val="20"/>
          <w:lang w:val="en-ZA"/>
        </w:rPr>
        <w:t xml:space="preserve"> the security held against NHFC</w:t>
      </w:r>
      <w:r w:rsidR="00E930D5" w:rsidRPr="00E47183">
        <w:rPr>
          <w:rFonts w:cs="Arial"/>
          <w:sz w:val="20"/>
          <w:szCs w:val="20"/>
          <w:lang w:val="en-ZA"/>
        </w:rPr>
        <w:t xml:space="preserve"> products.</w:t>
      </w:r>
      <w:r w:rsidRPr="00E47183">
        <w:rPr>
          <w:rFonts w:cs="Arial"/>
          <w:sz w:val="20"/>
          <w:szCs w:val="20"/>
          <w:lang w:val="en-ZA"/>
        </w:rPr>
        <w:t xml:space="preserve"> </w:t>
      </w:r>
      <w:r w:rsidR="00E930D5" w:rsidRPr="00E47183">
        <w:rPr>
          <w:rFonts w:cs="Arial"/>
          <w:sz w:val="20"/>
          <w:szCs w:val="20"/>
          <w:lang w:val="en-ZA"/>
        </w:rPr>
        <w:t>The budgeted company cost to income ratio of 71.8%</w:t>
      </w:r>
      <w:r w:rsidRPr="00E47183">
        <w:rPr>
          <w:rFonts w:cs="Arial"/>
          <w:sz w:val="20"/>
          <w:szCs w:val="20"/>
          <w:lang w:val="en-ZA"/>
        </w:rPr>
        <w:t xml:space="preserve"> </w:t>
      </w:r>
      <w:r w:rsidR="00E930D5" w:rsidRPr="00E47183">
        <w:rPr>
          <w:rFonts w:cs="Arial"/>
          <w:sz w:val="20"/>
          <w:szCs w:val="20"/>
          <w:lang w:val="en-ZA"/>
        </w:rPr>
        <w:t>included the costs of transitioning into the HSDB. As the</w:t>
      </w:r>
      <w:r w:rsidRPr="00E47183">
        <w:rPr>
          <w:rFonts w:cs="Arial"/>
          <w:sz w:val="20"/>
          <w:szCs w:val="20"/>
          <w:lang w:val="en-ZA"/>
        </w:rPr>
        <w:t xml:space="preserve"> </w:t>
      </w:r>
      <w:r w:rsidR="00E930D5" w:rsidRPr="00E47183">
        <w:rPr>
          <w:rFonts w:cs="Arial"/>
          <w:sz w:val="20"/>
          <w:szCs w:val="20"/>
          <w:lang w:val="en-ZA"/>
        </w:rPr>
        <w:t>legislation has not been presented to Parliament, many of</w:t>
      </w:r>
      <w:r w:rsidRPr="00E47183">
        <w:rPr>
          <w:rFonts w:cs="Arial"/>
          <w:sz w:val="20"/>
          <w:szCs w:val="20"/>
          <w:lang w:val="en-ZA"/>
        </w:rPr>
        <w:t xml:space="preserve"> </w:t>
      </w:r>
      <w:r w:rsidR="00E930D5" w:rsidRPr="00E47183">
        <w:rPr>
          <w:rFonts w:cs="Arial"/>
          <w:sz w:val="20"/>
          <w:szCs w:val="20"/>
          <w:lang w:val="en-ZA"/>
        </w:rPr>
        <w:t>these expenses were not incurred resulting in the positive</w:t>
      </w:r>
      <w:r w:rsidRPr="00E47183">
        <w:rPr>
          <w:rFonts w:cs="Arial"/>
          <w:sz w:val="20"/>
          <w:szCs w:val="20"/>
          <w:lang w:val="en-ZA"/>
        </w:rPr>
        <w:t xml:space="preserve"> </w:t>
      </w:r>
      <w:r w:rsidR="00E930D5" w:rsidRPr="00E47183">
        <w:rPr>
          <w:rFonts w:cs="Arial"/>
          <w:sz w:val="20"/>
          <w:szCs w:val="20"/>
          <w:lang w:val="en-ZA"/>
        </w:rPr>
        <w:t>variance with actual cost to income ratio of 63.0%.</w:t>
      </w:r>
    </w:p>
    <w:p w:rsidR="00533B3D" w:rsidRPr="00E47183" w:rsidRDefault="00533B3D" w:rsidP="00E47183">
      <w:pPr>
        <w:spacing w:after="0" w:line="240" w:lineRule="auto"/>
        <w:rPr>
          <w:rFonts w:ascii="Arial" w:hAnsi="Arial" w:cs="Arial"/>
          <w:sz w:val="20"/>
          <w:szCs w:val="20"/>
          <w:lang w:val="en-ZA"/>
        </w:rPr>
      </w:pPr>
    </w:p>
    <w:p w:rsidR="003B249F" w:rsidRPr="00E47183" w:rsidRDefault="00E930D5" w:rsidP="00E47183">
      <w:pPr>
        <w:spacing w:after="0" w:line="240" w:lineRule="auto"/>
        <w:rPr>
          <w:rFonts w:ascii="Arial" w:hAnsi="Arial" w:cs="Arial"/>
          <w:sz w:val="20"/>
          <w:szCs w:val="20"/>
          <w:lang w:val="en-ZA"/>
        </w:rPr>
      </w:pPr>
      <w:r w:rsidRPr="00E47183">
        <w:rPr>
          <w:rFonts w:ascii="Arial" w:hAnsi="Arial" w:cs="Arial"/>
          <w:sz w:val="20"/>
          <w:szCs w:val="20"/>
          <w:lang w:val="en-ZA"/>
        </w:rPr>
        <w:t xml:space="preserve">The NHFC remained the same for the past three years, while some improvements have been noted in some areas of the audit. However, the audit outcome achieved is the unqualified audit opinion with findings on compliance with legislation, predominantly due to material misstatements that are identified in the financial statements submitted for audit and non-compliance identified with relevant legislation. The nature of the misstatements has varied over the years, but common to all has been the inaccurate underlying documents that support the amounts disclosed in the annual financial statements and misinterpretation of legislation, which result in material non-compliance. </w:t>
      </w:r>
    </w:p>
    <w:p w:rsidR="003B249F" w:rsidRPr="00E47183" w:rsidRDefault="003B249F" w:rsidP="00E47183">
      <w:pPr>
        <w:spacing w:after="0" w:line="240" w:lineRule="auto"/>
        <w:rPr>
          <w:rFonts w:ascii="Arial" w:hAnsi="Arial" w:cs="Arial"/>
          <w:sz w:val="20"/>
          <w:szCs w:val="20"/>
          <w:lang w:val="en-ZA"/>
        </w:rPr>
      </w:pPr>
    </w:p>
    <w:p w:rsidR="00E930D5" w:rsidRPr="00E47183" w:rsidRDefault="00E930D5" w:rsidP="00E47183">
      <w:pPr>
        <w:spacing w:after="0" w:line="240" w:lineRule="auto"/>
        <w:rPr>
          <w:rFonts w:ascii="Arial" w:hAnsi="Arial" w:cs="Arial"/>
          <w:sz w:val="20"/>
          <w:szCs w:val="20"/>
          <w:lang w:val="en-ZA"/>
        </w:rPr>
      </w:pPr>
      <w:r w:rsidRPr="00E47183">
        <w:rPr>
          <w:rFonts w:ascii="Arial" w:hAnsi="Arial" w:cs="Arial"/>
          <w:sz w:val="20"/>
          <w:szCs w:val="20"/>
          <w:lang w:val="en-ZA"/>
        </w:rPr>
        <w:t>The above can be attributed to management’s slow response in addressing and improving the key risk areas through their audit action plan. This is also caused by the instability in the finance leadership that has occurred over the years. Management is urged to ensure that adequate controls are put in place to address the material findings identified on the financial statements and compliance with legislation. Furthermore, management should ensure that the recommendations by external auditors are implemented timely and the key finance leadership</w:t>
      </w:r>
      <w:r w:rsidR="009F18D0" w:rsidRPr="00E47183">
        <w:rPr>
          <w:rFonts w:ascii="Arial" w:hAnsi="Arial" w:cs="Arial"/>
          <w:sz w:val="20"/>
          <w:szCs w:val="20"/>
          <w:lang w:val="en-ZA"/>
        </w:rPr>
        <w:t xml:space="preserve"> vacancies</w:t>
      </w:r>
      <w:r w:rsidRPr="00E47183">
        <w:rPr>
          <w:rFonts w:ascii="Arial" w:hAnsi="Arial" w:cs="Arial"/>
          <w:sz w:val="20"/>
          <w:szCs w:val="20"/>
          <w:lang w:val="en-ZA"/>
        </w:rPr>
        <w:t xml:space="preserve"> are filled.</w:t>
      </w:r>
    </w:p>
    <w:p w:rsidR="00E930D5" w:rsidRPr="00E47183" w:rsidRDefault="00E930D5" w:rsidP="00E47183">
      <w:pPr>
        <w:spacing w:after="0" w:line="240" w:lineRule="auto"/>
        <w:ind w:left="360"/>
        <w:rPr>
          <w:rFonts w:ascii="Arial" w:hAnsi="Arial" w:cs="Arial"/>
          <w:b/>
          <w:sz w:val="20"/>
          <w:szCs w:val="20"/>
          <w:lang w:val="en-ZA"/>
        </w:rPr>
      </w:pPr>
    </w:p>
    <w:p w:rsidR="004B649F" w:rsidRPr="00E47183" w:rsidRDefault="00533B3D"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NHFC</w:t>
      </w:r>
      <w:r w:rsidR="00FB6407" w:rsidRPr="00E47183">
        <w:rPr>
          <w:rFonts w:ascii="Arial" w:hAnsi="Arial" w:cs="Arial"/>
          <w:b/>
          <w:sz w:val="20"/>
          <w:szCs w:val="20"/>
          <w:lang w:val="en-ZA"/>
        </w:rPr>
        <w:t xml:space="preserve"> achieved the following:</w:t>
      </w:r>
    </w:p>
    <w:p w:rsidR="00D86CE3" w:rsidRPr="00E47183" w:rsidRDefault="00D86CE3" w:rsidP="00E47183">
      <w:pPr>
        <w:spacing w:after="0" w:line="240" w:lineRule="auto"/>
        <w:ind w:left="360"/>
        <w:rPr>
          <w:rFonts w:ascii="Arial" w:hAnsi="Arial" w:cs="Arial"/>
          <w:b/>
          <w:sz w:val="20"/>
          <w:szCs w:val="20"/>
          <w:lang w:val="en-ZA"/>
        </w:rPr>
      </w:pPr>
    </w:p>
    <w:p w:rsidR="00961396" w:rsidRPr="00E47183" w:rsidRDefault="00961396" w:rsidP="00E47183">
      <w:pPr>
        <w:pStyle w:val="ListParagraph"/>
        <w:numPr>
          <w:ilvl w:val="0"/>
          <w:numId w:val="17"/>
        </w:numPr>
        <w:spacing w:line="240" w:lineRule="auto"/>
        <w:rPr>
          <w:rFonts w:cs="Arial"/>
          <w:sz w:val="20"/>
          <w:szCs w:val="20"/>
          <w:lang w:val="en-ZA"/>
        </w:rPr>
      </w:pPr>
      <w:r w:rsidRPr="00E47183">
        <w:rPr>
          <w:rFonts w:cs="Arial"/>
          <w:sz w:val="20"/>
          <w:szCs w:val="20"/>
          <w:lang w:val="en-ZA"/>
        </w:rPr>
        <w:t>The FLISP would, as of the 2022/2023 Financial Year, extend to nonmortgage housing finance</w:t>
      </w:r>
      <w:r w:rsidR="008F1F1C" w:rsidRPr="00E47183">
        <w:rPr>
          <w:rFonts w:cs="Arial"/>
          <w:sz w:val="20"/>
          <w:szCs w:val="20"/>
          <w:lang w:val="en-ZA"/>
        </w:rPr>
        <w:t xml:space="preserve"> facilities. It was important to </w:t>
      </w:r>
      <w:r w:rsidRPr="00E47183">
        <w:rPr>
          <w:rFonts w:cs="Arial"/>
          <w:sz w:val="20"/>
          <w:szCs w:val="20"/>
          <w:lang w:val="en-ZA"/>
        </w:rPr>
        <w:t>note</w:t>
      </w:r>
      <w:r w:rsidR="008F1F1C" w:rsidRPr="00E47183">
        <w:rPr>
          <w:rFonts w:cs="Arial"/>
          <w:sz w:val="20"/>
          <w:szCs w:val="20"/>
          <w:lang w:val="en-ZA"/>
        </w:rPr>
        <w:t xml:space="preserve"> </w:t>
      </w:r>
      <w:r w:rsidRPr="00E47183">
        <w:rPr>
          <w:rFonts w:cs="Arial"/>
          <w:sz w:val="20"/>
          <w:szCs w:val="20"/>
          <w:lang w:val="en-ZA"/>
        </w:rPr>
        <w:t>that, during the review period, the FLISP benefitted a high</w:t>
      </w:r>
      <w:r w:rsidR="008F1F1C" w:rsidRPr="00E47183">
        <w:rPr>
          <w:rFonts w:cs="Arial"/>
          <w:sz w:val="20"/>
          <w:szCs w:val="20"/>
          <w:lang w:val="en-ZA"/>
        </w:rPr>
        <w:t xml:space="preserve"> </w:t>
      </w:r>
      <w:r w:rsidRPr="00E47183">
        <w:rPr>
          <w:rFonts w:cs="Arial"/>
          <w:sz w:val="20"/>
          <w:szCs w:val="20"/>
          <w:lang w:val="en-ZA"/>
        </w:rPr>
        <w:t>percentage of women – suppo</w:t>
      </w:r>
      <w:r w:rsidR="008F1F1C" w:rsidRPr="00E47183">
        <w:rPr>
          <w:rFonts w:cs="Arial"/>
          <w:sz w:val="20"/>
          <w:szCs w:val="20"/>
          <w:lang w:val="en-ZA"/>
        </w:rPr>
        <w:t>rting objectives of the NDP</w:t>
      </w:r>
      <w:r w:rsidRPr="00E47183">
        <w:rPr>
          <w:rFonts w:cs="Arial"/>
          <w:sz w:val="20"/>
          <w:szCs w:val="20"/>
          <w:lang w:val="en-ZA"/>
        </w:rPr>
        <w:t xml:space="preserve"> in this regard. The digitisation of the FLISP</w:t>
      </w:r>
      <w:r w:rsidR="008F1F1C" w:rsidRPr="00E47183">
        <w:rPr>
          <w:rFonts w:cs="Arial"/>
          <w:sz w:val="20"/>
          <w:szCs w:val="20"/>
          <w:lang w:val="en-ZA"/>
        </w:rPr>
        <w:t xml:space="preserve"> </w:t>
      </w:r>
      <w:r w:rsidRPr="00E47183">
        <w:rPr>
          <w:rFonts w:cs="Arial"/>
          <w:sz w:val="20"/>
          <w:szCs w:val="20"/>
          <w:lang w:val="en-ZA"/>
        </w:rPr>
        <w:t>and Customer Relationship Management (CRM) systems</w:t>
      </w:r>
      <w:r w:rsidR="008F1F1C" w:rsidRPr="00E47183">
        <w:rPr>
          <w:rFonts w:cs="Arial"/>
          <w:sz w:val="20"/>
          <w:szCs w:val="20"/>
          <w:lang w:val="en-ZA"/>
        </w:rPr>
        <w:t xml:space="preserve"> had</w:t>
      </w:r>
      <w:r w:rsidRPr="00E47183">
        <w:rPr>
          <w:rFonts w:cs="Arial"/>
          <w:sz w:val="20"/>
          <w:szCs w:val="20"/>
          <w:lang w:val="en-ZA"/>
        </w:rPr>
        <w:t xml:space="preserve"> been fully implemented during the period, enabling</w:t>
      </w:r>
      <w:r w:rsidR="008F1F1C" w:rsidRPr="00E47183">
        <w:rPr>
          <w:rFonts w:cs="Arial"/>
          <w:sz w:val="20"/>
          <w:szCs w:val="20"/>
          <w:lang w:val="en-ZA"/>
        </w:rPr>
        <w:t xml:space="preserve"> </w:t>
      </w:r>
      <w:r w:rsidRPr="00E47183">
        <w:rPr>
          <w:rFonts w:cs="Arial"/>
          <w:sz w:val="20"/>
          <w:szCs w:val="20"/>
          <w:lang w:val="en-ZA"/>
        </w:rPr>
        <w:t>beneficiaries to submit online applications for subsidy. This</w:t>
      </w:r>
      <w:r w:rsidR="008F1F1C" w:rsidRPr="00E47183">
        <w:rPr>
          <w:rFonts w:cs="Arial"/>
          <w:sz w:val="20"/>
          <w:szCs w:val="20"/>
          <w:lang w:val="en-ZA"/>
        </w:rPr>
        <w:t xml:space="preserve"> </w:t>
      </w:r>
      <w:r w:rsidRPr="00E47183">
        <w:rPr>
          <w:rFonts w:cs="Arial"/>
          <w:sz w:val="20"/>
          <w:szCs w:val="20"/>
          <w:lang w:val="en-ZA"/>
        </w:rPr>
        <w:t>devel</w:t>
      </w:r>
      <w:r w:rsidR="008F1F1C" w:rsidRPr="00E47183">
        <w:rPr>
          <w:rFonts w:cs="Arial"/>
          <w:sz w:val="20"/>
          <w:szCs w:val="20"/>
          <w:lang w:val="en-ZA"/>
        </w:rPr>
        <w:t>opment means that NHFC</w:t>
      </w:r>
      <w:r w:rsidRPr="00E47183">
        <w:rPr>
          <w:rFonts w:cs="Arial"/>
          <w:sz w:val="20"/>
          <w:szCs w:val="20"/>
          <w:lang w:val="en-ZA"/>
        </w:rPr>
        <w:t xml:space="preserve"> reach an extended</w:t>
      </w:r>
      <w:r w:rsidR="008F1F1C" w:rsidRPr="00E47183">
        <w:rPr>
          <w:rFonts w:cs="Arial"/>
          <w:sz w:val="20"/>
          <w:szCs w:val="20"/>
          <w:lang w:val="en-ZA"/>
        </w:rPr>
        <w:t xml:space="preserve"> </w:t>
      </w:r>
      <w:r w:rsidRPr="00E47183">
        <w:rPr>
          <w:rFonts w:cs="Arial"/>
          <w:sz w:val="20"/>
          <w:szCs w:val="20"/>
          <w:lang w:val="en-ZA"/>
        </w:rPr>
        <w:t>gap market by availing the services in a more convenient</w:t>
      </w:r>
      <w:r w:rsidR="008F1F1C" w:rsidRPr="00E47183">
        <w:rPr>
          <w:rFonts w:cs="Arial"/>
          <w:sz w:val="20"/>
          <w:szCs w:val="20"/>
          <w:lang w:val="en-ZA"/>
        </w:rPr>
        <w:t xml:space="preserve"> </w:t>
      </w:r>
      <w:r w:rsidRPr="00E47183">
        <w:rPr>
          <w:rFonts w:cs="Arial"/>
          <w:sz w:val="20"/>
          <w:szCs w:val="20"/>
          <w:lang w:val="en-ZA"/>
        </w:rPr>
        <w:t>manner.</w:t>
      </w:r>
    </w:p>
    <w:p w:rsidR="008F1F1C" w:rsidRPr="00E47183" w:rsidRDefault="008F1F1C" w:rsidP="00E47183">
      <w:pPr>
        <w:pStyle w:val="ListParagraph"/>
        <w:numPr>
          <w:ilvl w:val="0"/>
          <w:numId w:val="17"/>
        </w:numPr>
        <w:spacing w:line="240" w:lineRule="auto"/>
        <w:rPr>
          <w:rFonts w:cs="Arial"/>
          <w:sz w:val="20"/>
          <w:szCs w:val="20"/>
          <w:lang w:val="en-ZA"/>
        </w:rPr>
      </w:pPr>
      <w:r w:rsidRPr="00E47183">
        <w:rPr>
          <w:rFonts w:cs="Arial"/>
          <w:sz w:val="20"/>
          <w:szCs w:val="20"/>
          <w:lang w:val="en-ZA"/>
        </w:rPr>
        <w:lastRenderedPageBreak/>
        <w:t>The governance of the NHFC had</w:t>
      </w:r>
      <w:r w:rsidR="00961396" w:rsidRPr="00E47183">
        <w:rPr>
          <w:rFonts w:cs="Arial"/>
          <w:sz w:val="20"/>
          <w:szCs w:val="20"/>
          <w:lang w:val="en-ZA"/>
        </w:rPr>
        <w:t xml:space="preserve"> been closely monitored</w:t>
      </w:r>
      <w:r w:rsidRPr="00E47183">
        <w:rPr>
          <w:rFonts w:cs="Arial"/>
          <w:sz w:val="20"/>
          <w:szCs w:val="20"/>
          <w:lang w:val="en-ZA"/>
        </w:rPr>
        <w:t xml:space="preserve"> </w:t>
      </w:r>
      <w:r w:rsidR="00961396" w:rsidRPr="00E47183">
        <w:rPr>
          <w:rFonts w:cs="Arial"/>
          <w:sz w:val="20"/>
          <w:szCs w:val="20"/>
          <w:lang w:val="en-ZA"/>
        </w:rPr>
        <w:t>by the Board, who have provided sufficient assurance that</w:t>
      </w:r>
      <w:r w:rsidRPr="00E47183">
        <w:rPr>
          <w:rFonts w:cs="Arial"/>
          <w:sz w:val="20"/>
          <w:szCs w:val="20"/>
          <w:lang w:val="en-ZA"/>
        </w:rPr>
        <w:t xml:space="preserve"> </w:t>
      </w:r>
      <w:r w:rsidR="00961396" w:rsidRPr="00E47183">
        <w:rPr>
          <w:rFonts w:cs="Arial"/>
          <w:sz w:val="20"/>
          <w:szCs w:val="20"/>
          <w:lang w:val="en-ZA"/>
        </w:rPr>
        <w:t>the necessary mitigations and actions plans are in place</w:t>
      </w:r>
      <w:r w:rsidRPr="00E47183">
        <w:rPr>
          <w:rFonts w:cs="Arial"/>
          <w:sz w:val="20"/>
          <w:szCs w:val="20"/>
          <w:lang w:val="en-ZA"/>
        </w:rPr>
        <w:t xml:space="preserve"> </w:t>
      </w:r>
      <w:r w:rsidR="00961396" w:rsidRPr="00E47183">
        <w:rPr>
          <w:rFonts w:cs="Arial"/>
          <w:sz w:val="20"/>
          <w:szCs w:val="20"/>
          <w:lang w:val="en-ZA"/>
        </w:rPr>
        <w:t>following the previous year’s findings by the Auditor-General.</w:t>
      </w:r>
      <w:r w:rsidRPr="00E47183">
        <w:rPr>
          <w:rFonts w:cs="Arial"/>
          <w:sz w:val="20"/>
          <w:szCs w:val="20"/>
          <w:lang w:val="en-ZA"/>
        </w:rPr>
        <w:t xml:space="preserve"> </w:t>
      </w:r>
      <w:r w:rsidR="00961396" w:rsidRPr="00E47183">
        <w:rPr>
          <w:rFonts w:cs="Arial"/>
          <w:sz w:val="20"/>
          <w:szCs w:val="20"/>
          <w:lang w:val="en-ZA"/>
        </w:rPr>
        <w:t>The reconstitution of the NHFC Board was concluded on</w:t>
      </w:r>
      <w:r w:rsidRPr="00E47183">
        <w:rPr>
          <w:rFonts w:cs="Arial"/>
          <w:sz w:val="20"/>
          <w:szCs w:val="20"/>
          <w:lang w:val="en-ZA"/>
        </w:rPr>
        <w:t xml:space="preserve"> </w:t>
      </w:r>
      <w:r w:rsidR="00961396" w:rsidRPr="00E47183">
        <w:rPr>
          <w:rFonts w:cs="Arial"/>
          <w:sz w:val="20"/>
          <w:szCs w:val="20"/>
          <w:lang w:val="en-ZA"/>
        </w:rPr>
        <w:t>29 March 2022, and saw many new appointments being</w:t>
      </w:r>
      <w:r w:rsidRPr="00E47183">
        <w:rPr>
          <w:rFonts w:cs="Arial"/>
          <w:sz w:val="20"/>
          <w:szCs w:val="20"/>
          <w:lang w:val="en-ZA"/>
        </w:rPr>
        <w:t xml:space="preserve"> </w:t>
      </w:r>
      <w:r w:rsidR="00961396" w:rsidRPr="00E47183">
        <w:rPr>
          <w:rFonts w:cs="Arial"/>
          <w:sz w:val="20"/>
          <w:szCs w:val="20"/>
          <w:lang w:val="en-ZA"/>
        </w:rPr>
        <w:t xml:space="preserve">made. </w:t>
      </w:r>
    </w:p>
    <w:p w:rsidR="008F1F1C" w:rsidRPr="00E47183" w:rsidRDefault="00961396" w:rsidP="00E47183">
      <w:pPr>
        <w:pStyle w:val="ListParagraph"/>
        <w:numPr>
          <w:ilvl w:val="0"/>
          <w:numId w:val="17"/>
        </w:numPr>
        <w:spacing w:line="240" w:lineRule="auto"/>
        <w:rPr>
          <w:rFonts w:cs="Arial"/>
          <w:sz w:val="20"/>
          <w:szCs w:val="20"/>
          <w:lang w:val="en-ZA"/>
        </w:rPr>
      </w:pPr>
      <w:r w:rsidRPr="00E47183">
        <w:rPr>
          <w:rFonts w:cs="Arial"/>
          <w:sz w:val="20"/>
          <w:szCs w:val="20"/>
          <w:lang w:val="en-ZA"/>
        </w:rPr>
        <w:t>NHFC approved loans of R1.488</w:t>
      </w:r>
      <w:r w:rsidR="008F1F1C" w:rsidRPr="00E47183">
        <w:rPr>
          <w:rFonts w:cs="Arial"/>
          <w:sz w:val="20"/>
          <w:szCs w:val="20"/>
          <w:lang w:val="en-ZA"/>
        </w:rPr>
        <w:t xml:space="preserve"> </w:t>
      </w:r>
      <w:r w:rsidRPr="00E47183">
        <w:rPr>
          <w:rFonts w:cs="Arial"/>
          <w:sz w:val="20"/>
          <w:szCs w:val="20"/>
          <w:lang w:val="en-ZA"/>
        </w:rPr>
        <w:t>billion and has already disbursed about 65% of the approvals.</w:t>
      </w:r>
      <w:r w:rsidR="008F1F1C" w:rsidRPr="00E47183">
        <w:rPr>
          <w:rFonts w:cs="Arial"/>
          <w:sz w:val="20"/>
          <w:szCs w:val="20"/>
          <w:lang w:val="en-ZA"/>
        </w:rPr>
        <w:t xml:space="preserve"> </w:t>
      </w:r>
      <w:r w:rsidRPr="00E47183">
        <w:rPr>
          <w:rFonts w:cs="Arial"/>
          <w:sz w:val="20"/>
          <w:szCs w:val="20"/>
          <w:lang w:val="en-ZA"/>
        </w:rPr>
        <w:t>The approved loans provided 26,300 incremental finance</w:t>
      </w:r>
      <w:r w:rsidR="008F1F1C" w:rsidRPr="00E47183">
        <w:rPr>
          <w:rFonts w:cs="Arial"/>
          <w:sz w:val="20"/>
          <w:szCs w:val="20"/>
          <w:lang w:val="en-ZA"/>
        </w:rPr>
        <w:t xml:space="preserve"> </w:t>
      </w:r>
      <w:r w:rsidRPr="00E47183">
        <w:rPr>
          <w:rFonts w:cs="Arial"/>
          <w:sz w:val="20"/>
          <w:szCs w:val="20"/>
          <w:lang w:val="en-ZA"/>
        </w:rPr>
        <w:t>opportunities with 5,264 housing units. The empowerment</w:t>
      </w:r>
      <w:r w:rsidR="008F1F1C" w:rsidRPr="00E47183">
        <w:rPr>
          <w:rFonts w:cs="Arial"/>
          <w:sz w:val="20"/>
          <w:szCs w:val="20"/>
          <w:lang w:val="en-ZA"/>
        </w:rPr>
        <w:t xml:space="preserve"> </w:t>
      </w:r>
      <w:r w:rsidRPr="00E47183">
        <w:rPr>
          <w:rFonts w:cs="Arial"/>
          <w:sz w:val="20"/>
          <w:szCs w:val="20"/>
          <w:lang w:val="en-ZA"/>
        </w:rPr>
        <w:t>of women, youth</w:t>
      </w:r>
      <w:r w:rsidR="008F1F1C" w:rsidRPr="00E47183">
        <w:rPr>
          <w:rFonts w:cs="Arial"/>
          <w:sz w:val="20"/>
          <w:szCs w:val="20"/>
          <w:lang w:val="en-ZA"/>
        </w:rPr>
        <w:t xml:space="preserve"> and people with disabilities is still</w:t>
      </w:r>
      <w:r w:rsidRPr="00E47183">
        <w:rPr>
          <w:rFonts w:cs="Arial"/>
          <w:sz w:val="20"/>
          <w:szCs w:val="20"/>
          <w:lang w:val="en-ZA"/>
        </w:rPr>
        <w:t xml:space="preserve"> a key socioeconomic</w:t>
      </w:r>
      <w:r w:rsidR="008F1F1C" w:rsidRPr="00E47183">
        <w:rPr>
          <w:rFonts w:cs="Arial"/>
          <w:sz w:val="20"/>
          <w:szCs w:val="20"/>
          <w:lang w:val="en-ZA"/>
        </w:rPr>
        <w:t xml:space="preserve"> </w:t>
      </w:r>
      <w:r w:rsidRPr="00E47183">
        <w:rPr>
          <w:rFonts w:cs="Arial"/>
          <w:sz w:val="20"/>
          <w:szCs w:val="20"/>
          <w:lang w:val="en-ZA"/>
        </w:rPr>
        <w:t>transformation impact target of government. In</w:t>
      </w:r>
      <w:r w:rsidR="008F1F1C" w:rsidRPr="00E47183">
        <w:rPr>
          <w:rFonts w:cs="Arial"/>
          <w:sz w:val="20"/>
          <w:szCs w:val="20"/>
          <w:lang w:val="en-ZA"/>
        </w:rPr>
        <w:t xml:space="preserve"> </w:t>
      </w:r>
      <w:r w:rsidRPr="00E47183">
        <w:rPr>
          <w:rFonts w:cs="Arial"/>
          <w:sz w:val="20"/>
          <w:szCs w:val="20"/>
          <w:lang w:val="en-ZA"/>
        </w:rPr>
        <w:t>this regard, NHFC must be applauded for disbursing R284</w:t>
      </w:r>
      <w:r w:rsidR="008F1F1C" w:rsidRPr="00E47183">
        <w:rPr>
          <w:rFonts w:cs="Arial"/>
          <w:sz w:val="20"/>
          <w:szCs w:val="20"/>
          <w:lang w:val="en-ZA"/>
        </w:rPr>
        <w:t xml:space="preserve"> millions</w:t>
      </w:r>
      <w:r w:rsidRPr="00E47183">
        <w:rPr>
          <w:rFonts w:cs="Arial"/>
          <w:sz w:val="20"/>
          <w:szCs w:val="20"/>
          <w:lang w:val="en-ZA"/>
        </w:rPr>
        <w:t xml:space="preserve"> of approved loans to women beneficiaries.</w:t>
      </w:r>
      <w:r w:rsidR="008F1F1C" w:rsidRPr="00E47183">
        <w:rPr>
          <w:rFonts w:cs="Arial"/>
          <w:sz w:val="20"/>
          <w:szCs w:val="20"/>
          <w:lang w:val="en-ZA"/>
        </w:rPr>
        <w:t xml:space="preserve"> </w:t>
      </w:r>
    </w:p>
    <w:p w:rsidR="00961396" w:rsidRPr="00E47183" w:rsidRDefault="00961396" w:rsidP="00E47183">
      <w:pPr>
        <w:pStyle w:val="ListParagraph"/>
        <w:numPr>
          <w:ilvl w:val="0"/>
          <w:numId w:val="17"/>
        </w:numPr>
        <w:spacing w:line="240" w:lineRule="auto"/>
        <w:rPr>
          <w:rFonts w:cs="Arial"/>
          <w:sz w:val="20"/>
          <w:szCs w:val="20"/>
          <w:lang w:val="en-ZA"/>
        </w:rPr>
      </w:pPr>
      <w:r w:rsidRPr="00E47183">
        <w:rPr>
          <w:rFonts w:cs="Arial"/>
          <w:sz w:val="20"/>
          <w:szCs w:val="20"/>
          <w:lang w:val="en-ZA"/>
        </w:rPr>
        <w:t>The work towards the establishment of the Human</w:t>
      </w:r>
      <w:r w:rsidR="008F1F1C" w:rsidRPr="00E47183">
        <w:rPr>
          <w:rFonts w:cs="Arial"/>
          <w:sz w:val="20"/>
          <w:szCs w:val="20"/>
          <w:lang w:val="en-ZA"/>
        </w:rPr>
        <w:t xml:space="preserve"> </w:t>
      </w:r>
      <w:r w:rsidRPr="00E47183">
        <w:rPr>
          <w:rFonts w:cs="Arial"/>
          <w:sz w:val="20"/>
          <w:szCs w:val="20"/>
          <w:lang w:val="en-ZA"/>
        </w:rPr>
        <w:t>Settlements Development Bank remains on course though</w:t>
      </w:r>
      <w:r w:rsidR="008F1F1C" w:rsidRPr="00E47183">
        <w:rPr>
          <w:rFonts w:cs="Arial"/>
          <w:sz w:val="20"/>
          <w:szCs w:val="20"/>
          <w:lang w:val="en-ZA"/>
        </w:rPr>
        <w:t xml:space="preserve"> at a slow place. This was an area that NHFC</w:t>
      </w:r>
      <w:r w:rsidRPr="00E47183">
        <w:rPr>
          <w:rFonts w:cs="Arial"/>
          <w:sz w:val="20"/>
          <w:szCs w:val="20"/>
          <w:lang w:val="en-ZA"/>
        </w:rPr>
        <w:t xml:space="preserve"> need</w:t>
      </w:r>
      <w:r w:rsidR="008F1F1C" w:rsidRPr="00E47183">
        <w:rPr>
          <w:rFonts w:cs="Arial"/>
          <w:sz w:val="20"/>
          <w:szCs w:val="20"/>
          <w:lang w:val="en-ZA"/>
        </w:rPr>
        <w:t>ed</w:t>
      </w:r>
      <w:r w:rsidRPr="00E47183">
        <w:rPr>
          <w:rFonts w:cs="Arial"/>
          <w:sz w:val="20"/>
          <w:szCs w:val="20"/>
          <w:lang w:val="en-ZA"/>
        </w:rPr>
        <w:t xml:space="preserve"> to pick up pace</w:t>
      </w:r>
      <w:r w:rsidR="008F1F1C" w:rsidRPr="00E47183">
        <w:rPr>
          <w:rFonts w:cs="Arial"/>
          <w:sz w:val="20"/>
          <w:szCs w:val="20"/>
          <w:lang w:val="en-ZA"/>
        </w:rPr>
        <w:t xml:space="preserve"> </w:t>
      </w:r>
      <w:r w:rsidRPr="00E47183">
        <w:rPr>
          <w:rFonts w:cs="Arial"/>
          <w:sz w:val="20"/>
          <w:szCs w:val="20"/>
          <w:lang w:val="en-ZA"/>
        </w:rPr>
        <w:t>and improve on to support the much needed institution that</w:t>
      </w:r>
      <w:r w:rsidR="008F1F1C" w:rsidRPr="00E47183">
        <w:rPr>
          <w:rFonts w:cs="Arial"/>
          <w:sz w:val="20"/>
          <w:szCs w:val="20"/>
          <w:lang w:val="en-ZA"/>
        </w:rPr>
        <w:t xml:space="preserve"> </w:t>
      </w:r>
      <w:r w:rsidRPr="00E47183">
        <w:rPr>
          <w:rFonts w:cs="Arial"/>
          <w:sz w:val="20"/>
          <w:szCs w:val="20"/>
          <w:lang w:val="en-ZA"/>
        </w:rPr>
        <w:t>is classified correctly to support the demands of the sector.</w:t>
      </w:r>
    </w:p>
    <w:p w:rsidR="00316F2D" w:rsidRPr="00E47183" w:rsidRDefault="00316F2D" w:rsidP="00E47183">
      <w:pPr>
        <w:spacing w:after="0" w:line="240" w:lineRule="auto"/>
        <w:rPr>
          <w:rFonts w:ascii="Arial" w:hAnsi="Arial" w:cs="Arial"/>
          <w:b/>
          <w:sz w:val="20"/>
          <w:szCs w:val="20"/>
          <w:lang w:val="en-ZA"/>
        </w:rPr>
      </w:pPr>
    </w:p>
    <w:p w:rsidR="00316F2D" w:rsidRPr="00E47183" w:rsidRDefault="00316F2D" w:rsidP="00E47183">
      <w:pPr>
        <w:spacing w:after="0" w:line="240" w:lineRule="auto"/>
        <w:rPr>
          <w:rFonts w:ascii="Arial" w:hAnsi="Arial" w:cs="Arial"/>
          <w:b/>
          <w:sz w:val="20"/>
          <w:szCs w:val="20"/>
          <w:lang w:val="en-ZA"/>
        </w:rPr>
      </w:pPr>
      <w:r w:rsidRPr="00E47183">
        <w:rPr>
          <w:rFonts w:ascii="Arial" w:hAnsi="Arial" w:cs="Arial"/>
          <w:b/>
          <w:sz w:val="20"/>
          <w:szCs w:val="20"/>
          <w:lang w:val="en-ZA"/>
        </w:rPr>
        <w:t xml:space="preserve">8.3. </w:t>
      </w:r>
      <w:r w:rsidR="00AD4570" w:rsidRPr="00E47183">
        <w:rPr>
          <w:rFonts w:ascii="Arial" w:hAnsi="Arial" w:cs="Arial"/>
          <w:b/>
          <w:sz w:val="20"/>
          <w:szCs w:val="20"/>
          <w:lang w:val="en-ZA"/>
        </w:rPr>
        <w:t>Social Housing Regulatory Authority (SHRA)</w:t>
      </w:r>
    </w:p>
    <w:p w:rsidR="00D86CE3" w:rsidRPr="00E47183" w:rsidRDefault="00D86CE3" w:rsidP="00E47183">
      <w:pPr>
        <w:spacing w:after="0" w:line="240" w:lineRule="auto"/>
        <w:rPr>
          <w:rFonts w:ascii="Arial" w:hAnsi="Arial" w:cs="Arial"/>
          <w:sz w:val="20"/>
          <w:szCs w:val="20"/>
          <w:lang w:val="en-ZA"/>
        </w:rPr>
      </w:pPr>
    </w:p>
    <w:p w:rsidR="00FA711C" w:rsidRPr="00E47183" w:rsidRDefault="007F3C1D" w:rsidP="00E47183">
      <w:pPr>
        <w:spacing w:after="0" w:line="240" w:lineRule="auto"/>
        <w:rPr>
          <w:rFonts w:ascii="Arial" w:hAnsi="Arial" w:cs="Arial"/>
          <w:sz w:val="20"/>
          <w:szCs w:val="20"/>
          <w:lang w:val="en-ZA"/>
        </w:rPr>
      </w:pPr>
      <w:r w:rsidRPr="00E47183">
        <w:rPr>
          <w:rFonts w:ascii="Arial" w:hAnsi="Arial" w:cs="Arial"/>
          <w:sz w:val="20"/>
          <w:szCs w:val="20"/>
          <w:lang w:val="en-ZA"/>
        </w:rPr>
        <w:t>Expenditure on the Consolidated Capital Grant as part of the Project Development and Funding Programme increased from R587 227 628 in the previous financial year to R744 790 731 in the period under review against R713 146 000 allocation received (104% spent against receipts).</w:t>
      </w:r>
    </w:p>
    <w:p w:rsidR="00C37ED2" w:rsidRPr="00E47183" w:rsidRDefault="00C37ED2" w:rsidP="00E47183">
      <w:pPr>
        <w:spacing w:after="0" w:line="240" w:lineRule="auto"/>
        <w:ind w:left="720" w:hanging="720"/>
        <w:rPr>
          <w:rFonts w:ascii="Arial" w:eastAsia="Times New Roman" w:hAnsi="Arial" w:cs="Arial"/>
          <w:color w:val="000000"/>
          <w:spacing w:val="6"/>
          <w:sz w:val="20"/>
          <w:szCs w:val="20"/>
          <w:lang w:val="en-ZA" w:eastAsia="en-GB"/>
        </w:rPr>
      </w:pPr>
    </w:p>
    <w:p w:rsidR="007F3C1D" w:rsidRPr="00E47183" w:rsidRDefault="007F3C1D" w:rsidP="00E47183">
      <w:pPr>
        <w:spacing w:after="0" w:line="240" w:lineRule="auto"/>
        <w:rPr>
          <w:rFonts w:ascii="Arial" w:hAnsi="Arial" w:cs="Arial"/>
          <w:sz w:val="20"/>
          <w:szCs w:val="20"/>
          <w:lang w:val="en-ZA"/>
        </w:rPr>
      </w:pPr>
      <w:r w:rsidRPr="00E47183">
        <w:rPr>
          <w:rFonts w:ascii="Arial" w:hAnsi="Arial" w:cs="Arial"/>
          <w:sz w:val="20"/>
          <w:szCs w:val="20"/>
          <w:lang w:val="en-ZA"/>
        </w:rPr>
        <w:t xml:space="preserve">The overall audit outcome has remained the same, as the entity has received an unqualified audit opinion with findings issued for the 2021-22 and 2020-21 financial years. However, internal control deficiencies identified during the audit resulted in the following: </w:t>
      </w:r>
    </w:p>
    <w:p w:rsidR="007F3C1D" w:rsidRPr="00E47183" w:rsidRDefault="007F3C1D" w:rsidP="00E47183">
      <w:pPr>
        <w:pStyle w:val="ListParagraph"/>
        <w:numPr>
          <w:ilvl w:val="0"/>
          <w:numId w:val="18"/>
        </w:numPr>
        <w:spacing w:line="240" w:lineRule="auto"/>
        <w:rPr>
          <w:rFonts w:cs="Arial"/>
          <w:sz w:val="20"/>
          <w:szCs w:val="20"/>
          <w:lang w:val="en-ZA"/>
        </w:rPr>
      </w:pPr>
      <w:r w:rsidRPr="00E47183">
        <w:rPr>
          <w:rFonts w:cs="Arial"/>
          <w:sz w:val="20"/>
          <w:szCs w:val="20"/>
          <w:lang w:val="en-ZA"/>
        </w:rPr>
        <w:t>Non-compliance with relevant laws and regulations in the following area:</w:t>
      </w:r>
    </w:p>
    <w:p w:rsidR="007F3C1D" w:rsidRPr="00E47183" w:rsidRDefault="007F3C1D" w:rsidP="00E47183">
      <w:pPr>
        <w:pStyle w:val="ListParagraph"/>
        <w:numPr>
          <w:ilvl w:val="1"/>
          <w:numId w:val="18"/>
        </w:numPr>
        <w:spacing w:line="240" w:lineRule="auto"/>
        <w:rPr>
          <w:rFonts w:cs="Arial"/>
          <w:sz w:val="20"/>
          <w:szCs w:val="20"/>
          <w:lang w:val="en-ZA"/>
        </w:rPr>
      </w:pPr>
      <w:r w:rsidRPr="00E47183">
        <w:rPr>
          <w:rFonts w:cs="Arial"/>
          <w:sz w:val="20"/>
          <w:szCs w:val="20"/>
          <w:lang w:val="en-ZA"/>
        </w:rPr>
        <w:t>Material amendments made to the financial statements.</w:t>
      </w:r>
    </w:p>
    <w:p w:rsidR="007F3C1D" w:rsidRPr="00E47183" w:rsidRDefault="007F3C1D" w:rsidP="00E47183">
      <w:pPr>
        <w:pStyle w:val="ListParagraph"/>
        <w:numPr>
          <w:ilvl w:val="1"/>
          <w:numId w:val="18"/>
        </w:numPr>
        <w:spacing w:line="240" w:lineRule="auto"/>
        <w:rPr>
          <w:rFonts w:cs="Arial"/>
          <w:sz w:val="20"/>
          <w:szCs w:val="20"/>
          <w:lang w:val="en-ZA"/>
        </w:rPr>
      </w:pPr>
      <w:r w:rsidRPr="00E47183">
        <w:rPr>
          <w:rFonts w:cs="Arial"/>
          <w:sz w:val="20"/>
          <w:szCs w:val="20"/>
          <w:lang w:val="en-ZA"/>
        </w:rPr>
        <w:t>Material amendments made to the annual performance report.</w:t>
      </w:r>
    </w:p>
    <w:p w:rsidR="00D86CE3" w:rsidRPr="00E47183" w:rsidRDefault="00D86CE3" w:rsidP="00E47183">
      <w:pPr>
        <w:spacing w:after="0" w:line="240" w:lineRule="auto"/>
        <w:rPr>
          <w:rFonts w:ascii="Arial" w:hAnsi="Arial" w:cs="Arial"/>
          <w:b/>
          <w:sz w:val="20"/>
          <w:szCs w:val="20"/>
          <w:lang w:val="en-ZA"/>
        </w:rPr>
      </w:pPr>
    </w:p>
    <w:p w:rsidR="00045248" w:rsidRPr="00E47183" w:rsidRDefault="007F3C1D" w:rsidP="00E47183">
      <w:pPr>
        <w:spacing w:after="0" w:line="240" w:lineRule="auto"/>
        <w:rPr>
          <w:rFonts w:ascii="Arial" w:hAnsi="Arial" w:cs="Arial"/>
          <w:b/>
          <w:sz w:val="20"/>
          <w:szCs w:val="20"/>
          <w:lang w:val="en-ZA"/>
        </w:rPr>
      </w:pPr>
      <w:r w:rsidRPr="00E47183">
        <w:rPr>
          <w:rFonts w:ascii="Arial" w:hAnsi="Arial" w:cs="Arial"/>
          <w:b/>
          <w:sz w:val="20"/>
          <w:szCs w:val="20"/>
          <w:lang w:val="en-ZA"/>
        </w:rPr>
        <w:t>SHRA</w:t>
      </w:r>
      <w:r w:rsidR="00045248" w:rsidRPr="00E47183">
        <w:rPr>
          <w:rFonts w:ascii="Arial" w:hAnsi="Arial" w:cs="Arial"/>
          <w:b/>
          <w:sz w:val="20"/>
          <w:szCs w:val="20"/>
          <w:lang w:val="en-ZA"/>
        </w:rPr>
        <w:t xml:space="preserve"> achieved the following:</w:t>
      </w:r>
    </w:p>
    <w:p w:rsidR="00D86CE3" w:rsidRPr="00E47183" w:rsidRDefault="00D86CE3" w:rsidP="00E47183">
      <w:pPr>
        <w:spacing w:after="0" w:line="240" w:lineRule="auto"/>
        <w:rPr>
          <w:rFonts w:ascii="Arial" w:hAnsi="Arial" w:cs="Arial"/>
          <w:b/>
          <w:sz w:val="20"/>
          <w:szCs w:val="20"/>
          <w:lang w:val="en-ZA"/>
        </w:rPr>
      </w:pPr>
    </w:p>
    <w:p w:rsidR="003341B1" w:rsidRPr="00E47183" w:rsidRDefault="002B0FCE" w:rsidP="00E47183">
      <w:pPr>
        <w:pStyle w:val="ListParagraph"/>
        <w:numPr>
          <w:ilvl w:val="0"/>
          <w:numId w:val="18"/>
        </w:numPr>
        <w:spacing w:line="240" w:lineRule="auto"/>
        <w:rPr>
          <w:rFonts w:cs="Arial"/>
          <w:sz w:val="20"/>
          <w:szCs w:val="20"/>
          <w:lang w:val="en-ZA"/>
        </w:rPr>
      </w:pPr>
      <w:r w:rsidRPr="00E47183">
        <w:rPr>
          <w:rFonts w:cs="Arial"/>
          <w:sz w:val="20"/>
          <w:szCs w:val="20"/>
          <w:lang w:val="en-ZA"/>
        </w:rPr>
        <w:t>SHRA’s performance achievement was 61% (19/31) for the 2021/22 year. Regular monitoring of in-year performance with remedial action plans to i</w:t>
      </w:r>
      <w:r w:rsidR="003341B1" w:rsidRPr="00E47183">
        <w:rPr>
          <w:rFonts w:cs="Arial"/>
          <w:sz w:val="20"/>
          <w:szCs w:val="20"/>
          <w:lang w:val="en-ZA"/>
        </w:rPr>
        <w:t>mprove levels of performance were</w:t>
      </w:r>
      <w:r w:rsidRPr="00E47183">
        <w:rPr>
          <w:rFonts w:cs="Arial"/>
          <w:sz w:val="20"/>
          <w:szCs w:val="20"/>
          <w:lang w:val="en-ZA"/>
        </w:rPr>
        <w:t xml:space="preserve"> being implemented.</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eastAsia="Arial" w:cs="Arial"/>
          <w:color w:val="000000" w:themeColor="text1"/>
          <w:kern w:val="24"/>
          <w:sz w:val="20"/>
          <w:szCs w:val="20"/>
        </w:rPr>
        <w:t xml:space="preserve">There are 90 accredited institutions on the SHRA Accreditation </w:t>
      </w:r>
      <w:r w:rsidRPr="00E47183">
        <w:rPr>
          <w:rFonts w:eastAsiaTheme="minorEastAsia" w:cs="Arial"/>
          <w:color w:val="000000" w:themeColor="text1"/>
          <w:kern w:val="24"/>
          <w:sz w:val="20"/>
          <w:szCs w:val="20"/>
        </w:rPr>
        <w:t>Register, eight of which are fully accredited, and 82 were conditionally accredited. Thirty-six had stock under management or approved projects and seventeen had projects in the pipeline.</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eastAsia="Arial" w:cs="Arial"/>
          <w:color w:val="000000" w:themeColor="text1"/>
          <w:kern w:val="24"/>
          <w:sz w:val="20"/>
          <w:szCs w:val="20"/>
        </w:rPr>
        <w:t>2 771 units were completed in 2021/22 and a total of 7 637 units completed (42% of the revised 18 000 MTSF target).</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eastAsia="Arial" w:cs="Arial"/>
          <w:color w:val="auto"/>
          <w:kern w:val="24"/>
          <w:sz w:val="20"/>
          <w:szCs w:val="20"/>
        </w:rPr>
        <w:t xml:space="preserve">There are 90 accredited institutions on the SHRA Accreditation </w:t>
      </w:r>
      <w:r w:rsidR="000153C4" w:rsidRPr="00E47183">
        <w:rPr>
          <w:rFonts w:eastAsiaTheme="minorEastAsia" w:cs="Arial"/>
          <w:color w:val="auto"/>
          <w:kern w:val="24"/>
          <w:sz w:val="20"/>
          <w:szCs w:val="20"/>
        </w:rPr>
        <w:t xml:space="preserve">Register, eight </w:t>
      </w:r>
      <w:r w:rsidRPr="00E47183">
        <w:rPr>
          <w:rFonts w:eastAsiaTheme="minorEastAsia" w:cs="Arial"/>
          <w:color w:val="auto"/>
          <w:kern w:val="24"/>
          <w:sz w:val="20"/>
          <w:szCs w:val="20"/>
        </w:rPr>
        <w:t>of which were fully accredited, and 82 were conditionally accr</w:t>
      </w:r>
      <w:r w:rsidR="000153C4" w:rsidRPr="00E47183">
        <w:rPr>
          <w:rFonts w:eastAsiaTheme="minorEastAsia" w:cs="Arial"/>
          <w:color w:val="auto"/>
          <w:kern w:val="24"/>
          <w:sz w:val="20"/>
          <w:szCs w:val="20"/>
        </w:rPr>
        <w:t>edited. Thirty-six had</w:t>
      </w:r>
      <w:r w:rsidRPr="00E47183">
        <w:rPr>
          <w:rFonts w:eastAsiaTheme="minorEastAsia" w:cs="Arial"/>
          <w:color w:val="auto"/>
          <w:kern w:val="24"/>
          <w:sz w:val="20"/>
          <w:szCs w:val="20"/>
        </w:rPr>
        <w:t xml:space="preserve"> stock under management or approved projects and seventeen had projects in the pipeline.</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eastAsiaTheme="minorEastAsia" w:cs="Arial"/>
          <w:color w:val="000000" w:themeColor="text1"/>
          <w:kern w:val="24"/>
          <w:sz w:val="20"/>
          <w:szCs w:val="20"/>
        </w:rPr>
        <w:t>Indexation of the grant quantum and income bands (R1 850 – R22 000 gross household income) were approved in the year for implementation in the 2022/23 financial year.</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cs="Arial"/>
          <w:sz w:val="20"/>
          <w:szCs w:val="20"/>
          <w:lang w:val="en-ZA"/>
        </w:rPr>
        <w:t>Inclusion of six Social Housing projects in the Infrastructure Fund. An additional R305 million for the Social Housing Programme (SHP) with the Budget Facility for Infrastructure (BFI) was approved over the MTEF.</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eastAsiaTheme="minorEastAsia" w:cs="Arial"/>
          <w:color w:val="000000" w:themeColor="text1"/>
          <w:kern w:val="24"/>
          <w:sz w:val="20"/>
          <w:szCs w:val="20"/>
        </w:rPr>
        <w:t xml:space="preserve">The last quarter of the year under review was the last quarter for the implementation of the Covid-19 Rent Relief Fund. By the end of March 2022, a total amount of </w:t>
      </w:r>
      <w:r w:rsidRPr="00E47183">
        <w:rPr>
          <w:rFonts w:eastAsiaTheme="minorEastAsia" w:cs="Arial"/>
          <w:color w:val="auto"/>
          <w:kern w:val="24"/>
          <w:sz w:val="20"/>
          <w:szCs w:val="20"/>
        </w:rPr>
        <w:t xml:space="preserve">R2 069 172 </w:t>
      </w:r>
      <w:r w:rsidRPr="00E47183">
        <w:rPr>
          <w:rFonts w:eastAsiaTheme="minorEastAsia" w:cs="Arial"/>
          <w:color w:val="000000" w:themeColor="text1"/>
          <w:kern w:val="24"/>
          <w:sz w:val="20"/>
          <w:szCs w:val="20"/>
        </w:rPr>
        <w:t>was disbursed (0.7% of the R300m allocation). Policy changes would support the motivation for optimal utilization and the retention of cash surplus.</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eastAsiaTheme="minorEastAsia" w:cs="Arial"/>
          <w:color w:val="000000" w:themeColor="text1"/>
          <w:kern w:val="24"/>
          <w:sz w:val="20"/>
          <w:szCs w:val="20"/>
        </w:rPr>
        <w:t>There were two findings raised in 2021/22 relating to minuting of bid specification meetings and terms of reference. These supply chain matters had been resolved.</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cs="Arial"/>
          <w:sz w:val="20"/>
          <w:szCs w:val="20"/>
          <w:lang w:val="en-ZA"/>
        </w:rPr>
        <w:t xml:space="preserve">Five audit findings raised during 2020/21 - three fully and two partially addressed during the period under review with the most important the appointment of the SHRA Council on 26 November 2021.  </w:t>
      </w:r>
    </w:p>
    <w:p w:rsidR="003341B1" w:rsidRPr="00E47183" w:rsidRDefault="003341B1" w:rsidP="00E47183">
      <w:pPr>
        <w:pStyle w:val="ListParagraph"/>
        <w:numPr>
          <w:ilvl w:val="0"/>
          <w:numId w:val="18"/>
        </w:numPr>
        <w:spacing w:line="240" w:lineRule="auto"/>
        <w:rPr>
          <w:rFonts w:cs="Arial"/>
          <w:sz w:val="20"/>
          <w:szCs w:val="20"/>
          <w:lang w:val="en-ZA"/>
        </w:rPr>
      </w:pPr>
      <w:r w:rsidRPr="00E47183">
        <w:rPr>
          <w:rFonts w:cs="Arial"/>
          <w:sz w:val="20"/>
          <w:szCs w:val="20"/>
          <w:lang w:val="en-ZA"/>
        </w:rPr>
        <w:t>Of the 31 performance indicators, 11 indicators related to transformation, eight of these were achieved. The remedial action plans to target designated groups and support transformed entities would be implemented in the ensuing financial year.</w:t>
      </w:r>
    </w:p>
    <w:p w:rsidR="00DC5CB8" w:rsidRPr="00E47183" w:rsidRDefault="007E2600" w:rsidP="00E47183">
      <w:pPr>
        <w:pStyle w:val="ListParagraph"/>
        <w:numPr>
          <w:ilvl w:val="0"/>
          <w:numId w:val="18"/>
        </w:numPr>
        <w:spacing w:line="240" w:lineRule="auto"/>
        <w:rPr>
          <w:rFonts w:cs="Arial"/>
          <w:sz w:val="20"/>
          <w:szCs w:val="20"/>
          <w:lang w:val="en-US"/>
        </w:rPr>
      </w:pPr>
      <w:r w:rsidRPr="00E47183">
        <w:rPr>
          <w:rFonts w:cs="Arial"/>
          <w:sz w:val="20"/>
          <w:szCs w:val="20"/>
          <w:lang w:val="en-US"/>
        </w:rPr>
        <w:t xml:space="preserve">Staff vacancy rate as of March 2022 was 19.64% with a headcount of 45 full time staff. </w:t>
      </w:r>
    </w:p>
    <w:p w:rsidR="00DC5CB8" w:rsidRPr="00E47183" w:rsidRDefault="007E2600" w:rsidP="00E47183">
      <w:pPr>
        <w:pStyle w:val="ListParagraph"/>
        <w:numPr>
          <w:ilvl w:val="0"/>
          <w:numId w:val="18"/>
        </w:numPr>
        <w:spacing w:line="240" w:lineRule="auto"/>
        <w:rPr>
          <w:rFonts w:cs="Arial"/>
          <w:sz w:val="20"/>
          <w:szCs w:val="20"/>
          <w:lang w:val="en-US"/>
        </w:rPr>
      </w:pPr>
      <w:r w:rsidRPr="00E47183">
        <w:rPr>
          <w:rFonts w:cs="Arial"/>
          <w:sz w:val="20"/>
          <w:szCs w:val="20"/>
          <w:lang w:val="en-US"/>
        </w:rPr>
        <w:lastRenderedPageBreak/>
        <w:t xml:space="preserve">Commencement of an </w:t>
      </w:r>
      <w:r w:rsidR="001F1BC6" w:rsidRPr="00E47183">
        <w:rPr>
          <w:rFonts w:cs="Arial"/>
          <w:sz w:val="20"/>
          <w:szCs w:val="20"/>
          <w:lang w:val="en-US"/>
        </w:rPr>
        <w:t>organizational</w:t>
      </w:r>
      <w:r w:rsidRPr="00E47183">
        <w:rPr>
          <w:rFonts w:cs="Arial"/>
          <w:sz w:val="20"/>
          <w:szCs w:val="20"/>
          <w:lang w:val="en-US"/>
        </w:rPr>
        <w:t xml:space="preserve"> design and review undertaken in the year.</w:t>
      </w:r>
    </w:p>
    <w:p w:rsidR="00F7739C" w:rsidRPr="00E47183" w:rsidRDefault="00F7739C" w:rsidP="00E47183">
      <w:pPr>
        <w:spacing w:after="0" w:line="240" w:lineRule="auto"/>
        <w:rPr>
          <w:rFonts w:ascii="Arial" w:hAnsi="Arial" w:cs="Arial"/>
          <w:sz w:val="20"/>
          <w:szCs w:val="20"/>
          <w:lang w:val="en-ZA"/>
        </w:rPr>
      </w:pPr>
    </w:p>
    <w:p w:rsidR="00316F2D" w:rsidRPr="00E47183" w:rsidRDefault="00316F2D" w:rsidP="00E47183">
      <w:pPr>
        <w:spacing w:after="0" w:line="240" w:lineRule="auto"/>
        <w:rPr>
          <w:rFonts w:ascii="Arial" w:hAnsi="Arial" w:cs="Arial"/>
          <w:b/>
          <w:sz w:val="20"/>
          <w:szCs w:val="20"/>
          <w:lang w:val="en-ZA"/>
        </w:rPr>
      </w:pPr>
      <w:r w:rsidRPr="00E47183">
        <w:rPr>
          <w:rFonts w:ascii="Arial" w:hAnsi="Arial" w:cs="Arial"/>
          <w:b/>
          <w:sz w:val="20"/>
          <w:szCs w:val="20"/>
          <w:lang w:val="en-ZA"/>
        </w:rPr>
        <w:t xml:space="preserve">8.4. </w:t>
      </w:r>
      <w:r w:rsidR="00F7739C" w:rsidRPr="00E47183">
        <w:rPr>
          <w:rFonts w:ascii="Arial" w:hAnsi="Arial" w:cs="Arial"/>
          <w:b/>
          <w:sz w:val="20"/>
          <w:szCs w:val="20"/>
          <w:lang w:val="en-ZA"/>
        </w:rPr>
        <w:t>Housing Development Agency (HDA)</w:t>
      </w:r>
    </w:p>
    <w:p w:rsidR="00D86CE3" w:rsidRPr="00E47183" w:rsidRDefault="00D86CE3" w:rsidP="00E47183">
      <w:pPr>
        <w:spacing w:after="0" w:line="240" w:lineRule="auto"/>
        <w:rPr>
          <w:rFonts w:ascii="Arial" w:eastAsia="Times New Roman" w:hAnsi="Arial" w:cs="Arial"/>
          <w:color w:val="000000"/>
          <w:spacing w:val="6"/>
          <w:sz w:val="20"/>
          <w:szCs w:val="20"/>
          <w:lang w:val="en-ZA" w:eastAsia="en-GB"/>
        </w:rPr>
      </w:pPr>
    </w:p>
    <w:p w:rsidR="00841F44" w:rsidRPr="00E47183" w:rsidRDefault="001310A1"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HDA reported of R109 million surplus</w:t>
      </w:r>
      <w:r w:rsidR="00A17608" w:rsidRPr="00E47183">
        <w:rPr>
          <w:rFonts w:ascii="Arial" w:eastAsia="Times New Roman" w:hAnsi="Arial" w:cs="Arial"/>
          <w:color w:val="000000"/>
          <w:spacing w:val="6"/>
          <w:sz w:val="20"/>
          <w:szCs w:val="20"/>
          <w:lang w:val="en-ZA" w:eastAsia="en-GB"/>
        </w:rPr>
        <w:t xml:space="preserve">, and revenue collected was </w:t>
      </w:r>
      <w:r w:rsidR="009510CE" w:rsidRPr="00E47183">
        <w:rPr>
          <w:rFonts w:ascii="Arial" w:eastAsia="Times New Roman" w:hAnsi="Arial" w:cs="Arial"/>
          <w:color w:val="000000"/>
          <w:spacing w:val="6"/>
          <w:sz w:val="20"/>
          <w:szCs w:val="20"/>
          <w:lang w:val="en-ZA" w:eastAsia="en-GB"/>
        </w:rPr>
        <w:t>R380 million.</w:t>
      </w:r>
      <w:r w:rsidR="0004240E" w:rsidRPr="00E47183">
        <w:rPr>
          <w:rFonts w:ascii="Arial" w:eastAsia="Times New Roman" w:hAnsi="Arial" w:cs="Arial"/>
          <w:color w:val="000000"/>
          <w:spacing w:val="6"/>
          <w:sz w:val="20"/>
          <w:szCs w:val="20"/>
          <w:lang w:val="en-ZA" w:eastAsia="en-GB"/>
        </w:rPr>
        <w:t xml:space="preserve"> </w:t>
      </w:r>
      <w:r w:rsidR="003F4E70" w:rsidRPr="00E47183">
        <w:rPr>
          <w:rFonts w:ascii="Arial" w:hAnsi="Arial" w:cs="Arial"/>
          <w:sz w:val="20"/>
          <w:szCs w:val="20"/>
          <w:lang w:val="en-ZA"/>
        </w:rPr>
        <w:t>The HDA audit outcome remained stagnant from the previous financial year as a result of the significant material misstatements and the weakened control environment which had seen an increased number of control deficiencies that had been identified during the audit and ultimately resulting in a qualified opinion on the financial statements. The entity was without a functioning and effective accounting authority for eight months of the financial period, with a board being appointed in November 2021. This left the public entity operating without the board and effectively leaderless, to some extent. The entity continued to have significant positions of senior and key management personnel vacant, which resulted in employees filling these roles in an acting capacity for long periods of time. This impacted continuity and the general internal control environment, which had a significant impact on the audit outcomes.</w:t>
      </w:r>
    </w:p>
    <w:p w:rsidR="00F96F30" w:rsidRPr="00E47183" w:rsidRDefault="00F96F30" w:rsidP="00E47183">
      <w:pPr>
        <w:spacing w:after="0" w:line="240" w:lineRule="auto"/>
        <w:rPr>
          <w:rFonts w:ascii="Arial" w:hAnsi="Arial" w:cs="Arial"/>
          <w:b/>
          <w:sz w:val="20"/>
          <w:szCs w:val="20"/>
          <w:lang w:val="en-ZA"/>
        </w:rPr>
      </w:pPr>
    </w:p>
    <w:p w:rsidR="00841F44" w:rsidRPr="00E47183" w:rsidRDefault="003F4E70" w:rsidP="00E47183">
      <w:pPr>
        <w:spacing w:after="0" w:line="240" w:lineRule="auto"/>
        <w:rPr>
          <w:rFonts w:ascii="Arial" w:hAnsi="Arial" w:cs="Arial"/>
          <w:b/>
          <w:sz w:val="20"/>
          <w:szCs w:val="20"/>
          <w:lang w:val="en-ZA"/>
        </w:rPr>
      </w:pPr>
      <w:r w:rsidRPr="00E47183">
        <w:rPr>
          <w:rFonts w:ascii="Arial" w:hAnsi="Arial" w:cs="Arial"/>
          <w:b/>
          <w:sz w:val="20"/>
          <w:szCs w:val="20"/>
          <w:lang w:val="en-ZA"/>
        </w:rPr>
        <w:t>HDA</w:t>
      </w:r>
      <w:r w:rsidR="00841F44" w:rsidRPr="00E47183">
        <w:rPr>
          <w:rFonts w:ascii="Arial" w:hAnsi="Arial" w:cs="Arial"/>
          <w:b/>
          <w:sz w:val="20"/>
          <w:szCs w:val="20"/>
          <w:lang w:val="en-ZA"/>
        </w:rPr>
        <w:t xml:space="preserve"> achieved the following:</w:t>
      </w:r>
    </w:p>
    <w:p w:rsidR="00D86CE3" w:rsidRPr="00E47183" w:rsidRDefault="00D86CE3" w:rsidP="00E47183">
      <w:pPr>
        <w:spacing w:after="0" w:line="240" w:lineRule="auto"/>
        <w:rPr>
          <w:rFonts w:ascii="Arial" w:hAnsi="Arial" w:cs="Arial"/>
          <w:b/>
          <w:sz w:val="20"/>
          <w:szCs w:val="20"/>
          <w:lang w:val="en-ZA"/>
        </w:rPr>
      </w:pPr>
    </w:p>
    <w:p w:rsidR="009510CE" w:rsidRPr="00E47183" w:rsidRDefault="009510CE" w:rsidP="00E47183">
      <w:pPr>
        <w:pStyle w:val="ListParagraph"/>
        <w:numPr>
          <w:ilvl w:val="0"/>
          <w:numId w:val="19"/>
        </w:numPr>
        <w:spacing w:line="240" w:lineRule="auto"/>
        <w:rPr>
          <w:rFonts w:cs="Arial"/>
          <w:sz w:val="20"/>
          <w:szCs w:val="20"/>
        </w:rPr>
      </w:pPr>
      <w:r w:rsidRPr="00E47183">
        <w:rPr>
          <w:rFonts w:eastAsiaTheme="minorEastAsia" w:cs="Arial"/>
          <w:kern w:val="24"/>
          <w:sz w:val="20"/>
          <w:szCs w:val="20"/>
          <w:lang w:val="en-ZA"/>
        </w:rPr>
        <w:t>During the period under review the former Minister of Human Settlements appointed Mr. Neville Chainee as Administrator effective 17 February 2021.  Mr Chainee was replaced by Dr Mahapa as the Administrator in July 2021</w:t>
      </w:r>
      <w:r w:rsidR="00D25337" w:rsidRPr="00E47183">
        <w:rPr>
          <w:rFonts w:eastAsiaTheme="minorEastAsia" w:cs="Arial"/>
          <w:kern w:val="24"/>
          <w:sz w:val="20"/>
          <w:szCs w:val="20"/>
          <w:lang w:val="en-ZA"/>
        </w:rPr>
        <w:t>, in order to stabilize the entity</w:t>
      </w:r>
      <w:r w:rsidRPr="00E47183">
        <w:rPr>
          <w:rFonts w:eastAsiaTheme="minorEastAsia" w:cs="Arial"/>
          <w:kern w:val="24"/>
          <w:sz w:val="20"/>
          <w:szCs w:val="20"/>
          <w:lang w:val="en-ZA"/>
        </w:rPr>
        <w:t>.</w:t>
      </w:r>
    </w:p>
    <w:p w:rsidR="009510CE" w:rsidRPr="00E47183" w:rsidRDefault="009510CE" w:rsidP="00E47183">
      <w:pPr>
        <w:pStyle w:val="ListParagraph"/>
        <w:numPr>
          <w:ilvl w:val="0"/>
          <w:numId w:val="19"/>
        </w:numPr>
        <w:spacing w:line="240" w:lineRule="auto"/>
        <w:rPr>
          <w:rFonts w:cs="Arial"/>
          <w:sz w:val="20"/>
          <w:szCs w:val="20"/>
        </w:rPr>
      </w:pPr>
      <w:r w:rsidRPr="00E47183">
        <w:rPr>
          <w:rFonts w:eastAsiaTheme="minorEastAsia" w:cs="Arial"/>
          <w:kern w:val="24"/>
          <w:sz w:val="20"/>
          <w:szCs w:val="20"/>
          <w:lang w:val="en-ZA"/>
        </w:rPr>
        <w:t>The Audit and Risk Committee remained the only functional committee to support the organisation under the leadership of the Administrator.</w:t>
      </w:r>
    </w:p>
    <w:p w:rsidR="009510CE" w:rsidRPr="00E47183" w:rsidRDefault="009510CE" w:rsidP="00E47183">
      <w:pPr>
        <w:pStyle w:val="ListParagraph"/>
        <w:numPr>
          <w:ilvl w:val="0"/>
          <w:numId w:val="19"/>
        </w:numPr>
        <w:spacing w:line="240" w:lineRule="auto"/>
        <w:rPr>
          <w:rFonts w:cs="Arial"/>
          <w:sz w:val="20"/>
          <w:szCs w:val="20"/>
        </w:rPr>
      </w:pPr>
      <w:r w:rsidRPr="00E47183">
        <w:rPr>
          <w:rFonts w:eastAsiaTheme="minorEastAsia" w:cs="Arial"/>
          <w:kern w:val="24"/>
          <w:sz w:val="20"/>
          <w:szCs w:val="20"/>
          <w:lang w:val="en-ZA"/>
        </w:rPr>
        <w:t>The Board was appointed by the Minister in November 2021.</w:t>
      </w:r>
    </w:p>
    <w:p w:rsidR="009510CE" w:rsidRPr="00E47183" w:rsidRDefault="009510CE" w:rsidP="00E47183">
      <w:pPr>
        <w:pStyle w:val="ListParagraph"/>
        <w:numPr>
          <w:ilvl w:val="0"/>
          <w:numId w:val="19"/>
        </w:numPr>
        <w:spacing w:line="240" w:lineRule="auto"/>
        <w:rPr>
          <w:rFonts w:cs="Arial"/>
          <w:sz w:val="20"/>
          <w:szCs w:val="20"/>
        </w:rPr>
      </w:pPr>
      <w:r w:rsidRPr="00E47183">
        <w:rPr>
          <w:rFonts w:eastAsiaTheme="minorEastAsia" w:cs="Arial"/>
          <w:kern w:val="24"/>
          <w:sz w:val="20"/>
          <w:szCs w:val="20"/>
          <w:lang w:val="en-ZA"/>
        </w:rPr>
        <w:t>Mr. Stephen Poya was appointed as Acting 17th of February in 2021 to 27</w:t>
      </w:r>
      <w:r w:rsidRPr="00E47183">
        <w:rPr>
          <w:rFonts w:eastAsiaTheme="minorEastAsia" w:cs="Arial"/>
          <w:kern w:val="24"/>
          <w:sz w:val="20"/>
          <w:szCs w:val="20"/>
          <w:vertAlign w:val="superscript"/>
          <w:lang w:val="en-ZA"/>
        </w:rPr>
        <w:t>th</w:t>
      </w:r>
      <w:r w:rsidRPr="00E47183">
        <w:rPr>
          <w:rFonts w:eastAsiaTheme="minorEastAsia" w:cs="Arial"/>
          <w:kern w:val="24"/>
          <w:sz w:val="20"/>
          <w:szCs w:val="20"/>
          <w:lang w:val="en-ZA"/>
        </w:rPr>
        <w:t xml:space="preserve"> of August   2021.</w:t>
      </w:r>
    </w:p>
    <w:p w:rsidR="009510CE" w:rsidRPr="00E47183" w:rsidRDefault="009510CE" w:rsidP="00E47183">
      <w:pPr>
        <w:pStyle w:val="ListParagraph"/>
        <w:numPr>
          <w:ilvl w:val="0"/>
          <w:numId w:val="19"/>
        </w:numPr>
        <w:spacing w:line="240" w:lineRule="auto"/>
        <w:rPr>
          <w:rFonts w:cs="Arial"/>
          <w:sz w:val="20"/>
          <w:szCs w:val="20"/>
        </w:rPr>
      </w:pPr>
      <w:r w:rsidRPr="00E47183">
        <w:rPr>
          <w:rFonts w:eastAsiaTheme="minorEastAsia" w:cs="Arial"/>
          <w:kern w:val="24"/>
          <w:sz w:val="20"/>
          <w:szCs w:val="20"/>
          <w:lang w:val="en-ZA"/>
        </w:rPr>
        <w:t>Ms Daphney Ngoasheng was appointed Acting CEO from 27th August 2021 to 31st May 2022.</w:t>
      </w:r>
    </w:p>
    <w:p w:rsidR="009510CE" w:rsidRPr="00E47183" w:rsidRDefault="009510CE" w:rsidP="00E47183">
      <w:pPr>
        <w:pStyle w:val="ListParagraph"/>
        <w:numPr>
          <w:ilvl w:val="0"/>
          <w:numId w:val="19"/>
        </w:numPr>
        <w:spacing w:line="240" w:lineRule="auto"/>
        <w:rPr>
          <w:rFonts w:cs="Arial"/>
          <w:sz w:val="20"/>
          <w:szCs w:val="20"/>
        </w:rPr>
      </w:pPr>
      <w:r w:rsidRPr="00E47183">
        <w:rPr>
          <w:rFonts w:eastAsiaTheme="minorEastAsia" w:cs="Arial"/>
          <w:kern w:val="24"/>
          <w:sz w:val="20"/>
          <w:szCs w:val="20"/>
          <w:lang w:val="en-ZA"/>
        </w:rPr>
        <w:t>The Board with the support of the Minister expedited the appointment of the CEO and CFO who resumed their duties in June and July 2022 respectively.</w:t>
      </w:r>
    </w:p>
    <w:p w:rsidR="009510CE" w:rsidRPr="00E47183" w:rsidRDefault="009510CE" w:rsidP="00E47183">
      <w:pPr>
        <w:pStyle w:val="ListParagraph"/>
        <w:numPr>
          <w:ilvl w:val="0"/>
          <w:numId w:val="19"/>
        </w:numPr>
        <w:spacing w:line="240" w:lineRule="auto"/>
        <w:rPr>
          <w:rFonts w:cs="Arial"/>
          <w:sz w:val="20"/>
          <w:szCs w:val="20"/>
        </w:rPr>
      </w:pPr>
      <w:r w:rsidRPr="00E47183">
        <w:rPr>
          <w:rFonts w:cs="Arial"/>
          <w:bCs/>
          <w:sz w:val="20"/>
          <w:szCs w:val="20"/>
          <w:lang w:val="en-ZA"/>
        </w:rPr>
        <w:t>2</w:t>
      </w:r>
      <w:r w:rsidR="00701E98" w:rsidRPr="00E47183">
        <w:rPr>
          <w:rFonts w:cs="Arial"/>
          <w:bCs/>
          <w:sz w:val="20"/>
          <w:szCs w:val="20"/>
          <w:lang w:val="en-ZA"/>
        </w:rPr>
        <w:t xml:space="preserve"> </w:t>
      </w:r>
      <w:r w:rsidRPr="00E47183">
        <w:rPr>
          <w:rFonts w:cs="Arial"/>
          <w:bCs/>
          <w:sz w:val="20"/>
          <w:szCs w:val="20"/>
          <w:lang w:val="en-ZA"/>
        </w:rPr>
        <w:t>451</w:t>
      </w:r>
      <w:r w:rsidRPr="00E47183">
        <w:rPr>
          <w:rFonts w:cs="Arial"/>
          <w:sz w:val="20"/>
          <w:szCs w:val="20"/>
          <w:lang w:val="en-ZA"/>
        </w:rPr>
        <w:t xml:space="preserve"> </w:t>
      </w:r>
      <w:r w:rsidRPr="00E47183">
        <w:rPr>
          <w:rFonts w:cs="Arial"/>
          <w:bCs/>
          <w:sz w:val="20"/>
          <w:szCs w:val="20"/>
        </w:rPr>
        <w:t>housing units</w:t>
      </w:r>
      <w:r w:rsidRPr="00E47183">
        <w:rPr>
          <w:rFonts w:cs="Arial"/>
          <w:sz w:val="20"/>
          <w:szCs w:val="20"/>
        </w:rPr>
        <w:t xml:space="preserve"> were delivered. </w:t>
      </w:r>
    </w:p>
    <w:p w:rsidR="00DC5CB8" w:rsidRPr="00E47183" w:rsidRDefault="009510CE" w:rsidP="00E47183">
      <w:pPr>
        <w:pStyle w:val="ListParagraph"/>
        <w:numPr>
          <w:ilvl w:val="0"/>
          <w:numId w:val="19"/>
        </w:numPr>
        <w:spacing w:line="240" w:lineRule="auto"/>
        <w:rPr>
          <w:rFonts w:cs="Arial"/>
          <w:sz w:val="20"/>
          <w:szCs w:val="20"/>
        </w:rPr>
      </w:pPr>
      <w:r w:rsidRPr="00E47183">
        <w:rPr>
          <w:rFonts w:cs="Arial"/>
          <w:color w:val="auto"/>
          <w:sz w:val="20"/>
          <w:szCs w:val="20"/>
        </w:rPr>
        <w:t xml:space="preserve">1765,5591 </w:t>
      </w:r>
      <w:r w:rsidRPr="00E47183">
        <w:rPr>
          <w:rFonts w:cs="Arial"/>
          <w:sz w:val="20"/>
          <w:szCs w:val="20"/>
        </w:rPr>
        <w:t>Hectares was acquired.</w:t>
      </w:r>
    </w:p>
    <w:p w:rsidR="009510CE" w:rsidRPr="00E47183" w:rsidRDefault="009510CE" w:rsidP="00E47183">
      <w:pPr>
        <w:pStyle w:val="ListParagraph"/>
        <w:numPr>
          <w:ilvl w:val="0"/>
          <w:numId w:val="19"/>
        </w:numPr>
        <w:spacing w:line="240" w:lineRule="auto"/>
        <w:rPr>
          <w:rFonts w:cs="Arial"/>
          <w:sz w:val="20"/>
          <w:szCs w:val="20"/>
        </w:rPr>
      </w:pPr>
      <w:r w:rsidRPr="00E47183">
        <w:rPr>
          <w:rFonts w:cs="Arial"/>
          <w:bCs/>
          <w:sz w:val="20"/>
          <w:szCs w:val="20"/>
        </w:rPr>
        <w:t>40 Development Plans for PHSHDA completed.</w:t>
      </w:r>
    </w:p>
    <w:p w:rsidR="009510CE" w:rsidRPr="00E47183" w:rsidRDefault="009510CE" w:rsidP="00E47183">
      <w:pPr>
        <w:pStyle w:val="ListParagraph"/>
        <w:numPr>
          <w:ilvl w:val="0"/>
          <w:numId w:val="19"/>
        </w:numPr>
        <w:spacing w:line="240" w:lineRule="auto"/>
        <w:rPr>
          <w:rFonts w:cs="Arial"/>
          <w:sz w:val="20"/>
          <w:szCs w:val="20"/>
        </w:rPr>
      </w:pPr>
      <w:r w:rsidRPr="00E47183">
        <w:rPr>
          <w:rFonts w:cs="Arial"/>
          <w:bCs/>
          <w:sz w:val="20"/>
          <w:szCs w:val="20"/>
        </w:rPr>
        <w:t>2</w:t>
      </w:r>
      <w:r w:rsidR="00701E98" w:rsidRPr="00E47183">
        <w:rPr>
          <w:rFonts w:cs="Arial"/>
          <w:bCs/>
          <w:sz w:val="20"/>
          <w:szCs w:val="20"/>
        </w:rPr>
        <w:t xml:space="preserve"> </w:t>
      </w:r>
      <w:r w:rsidRPr="00E47183">
        <w:rPr>
          <w:rFonts w:cs="Arial"/>
          <w:bCs/>
          <w:sz w:val="20"/>
          <w:szCs w:val="20"/>
        </w:rPr>
        <w:t>806 Serviced Sites were developed.</w:t>
      </w:r>
    </w:p>
    <w:p w:rsidR="009510CE" w:rsidRPr="00E47183" w:rsidRDefault="00316153" w:rsidP="00E47183">
      <w:pPr>
        <w:pStyle w:val="ListParagraph"/>
        <w:numPr>
          <w:ilvl w:val="0"/>
          <w:numId w:val="19"/>
        </w:numPr>
        <w:spacing w:line="240" w:lineRule="auto"/>
        <w:rPr>
          <w:rFonts w:cs="Arial"/>
          <w:sz w:val="20"/>
          <w:szCs w:val="20"/>
        </w:rPr>
      </w:pPr>
      <w:r w:rsidRPr="00E47183">
        <w:rPr>
          <w:rFonts w:cs="Arial"/>
          <w:sz w:val="20"/>
          <w:szCs w:val="20"/>
        </w:rPr>
        <w:t>1</w:t>
      </w:r>
      <w:r w:rsidR="00701E98" w:rsidRPr="00E47183">
        <w:rPr>
          <w:rFonts w:cs="Arial"/>
          <w:sz w:val="20"/>
          <w:szCs w:val="20"/>
        </w:rPr>
        <w:t xml:space="preserve"> </w:t>
      </w:r>
      <w:r w:rsidRPr="00E47183">
        <w:rPr>
          <w:rFonts w:cs="Arial"/>
          <w:sz w:val="20"/>
          <w:szCs w:val="20"/>
        </w:rPr>
        <w:t>566 Title Deeds were issued.</w:t>
      </w:r>
    </w:p>
    <w:p w:rsidR="00F7739C" w:rsidRPr="00E47183" w:rsidRDefault="00F7739C" w:rsidP="00E47183">
      <w:pPr>
        <w:pStyle w:val="ListParagraph"/>
        <w:spacing w:line="240" w:lineRule="auto"/>
        <w:rPr>
          <w:rFonts w:cs="Arial"/>
          <w:sz w:val="20"/>
          <w:szCs w:val="20"/>
        </w:rPr>
      </w:pPr>
    </w:p>
    <w:p w:rsidR="00D86CE3" w:rsidRPr="00E47183" w:rsidRDefault="00D86CE3" w:rsidP="00E47183">
      <w:pPr>
        <w:spacing w:after="0" w:line="240" w:lineRule="auto"/>
        <w:rPr>
          <w:rFonts w:ascii="Arial" w:eastAsia="Times New Roman" w:hAnsi="Arial" w:cs="Arial"/>
          <w:b/>
          <w:color w:val="000000"/>
          <w:spacing w:val="6"/>
          <w:sz w:val="20"/>
          <w:szCs w:val="20"/>
          <w:lang w:val="en-ZA" w:eastAsia="en-GB"/>
        </w:rPr>
      </w:pPr>
    </w:p>
    <w:p w:rsidR="00316F2D" w:rsidRPr="00E47183" w:rsidRDefault="00316F2D"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 xml:space="preserve">8.5. </w:t>
      </w:r>
      <w:r w:rsidR="00F7739C" w:rsidRPr="00E47183">
        <w:rPr>
          <w:rFonts w:ascii="Arial" w:eastAsia="Times New Roman" w:hAnsi="Arial" w:cs="Arial"/>
          <w:b/>
          <w:color w:val="000000"/>
          <w:spacing w:val="6"/>
          <w:sz w:val="20"/>
          <w:szCs w:val="20"/>
          <w:lang w:val="en-ZA" w:eastAsia="en-GB"/>
        </w:rPr>
        <w:t>Property Practitioners Regulatory Authority (PPRA)</w:t>
      </w:r>
    </w:p>
    <w:p w:rsidR="00D86CE3" w:rsidRPr="00E47183" w:rsidRDefault="00D86CE3" w:rsidP="00E47183">
      <w:pPr>
        <w:spacing w:after="0" w:line="240" w:lineRule="auto"/>
        <w:rPr>
          <w:rFonts w:ascii="Arial" w:eastAsia="Times New Roman" w:hAnsi="Arial" w:cs="Arial"/>
          <w:spacing w:val="6"/>
          <w:sz w:val="20"/>
          <w:szCs w:val="20"/>
          <w:lang w:val="en-GB" w:eastAsia="en-GB"/>
        </w:rPr>
      </w:pPr>
    </w:p>
    <w:p w:rsidR="00E72F88" w:rsidRPr="00E47183" w:rsidRDefault="00BA5029" w:rsidP="00E47183">
      <w:pPr>
        <w:spacing w:after="0" w:line="240" w:lineRule="auto"/>
        <w:rPr>
          <w:rFonts w:ascii="Arial" w:eastAsia="Times New Roman" w:hAnsi="Arial" w:cs="Arial"/>
          <w:spacing w:val="6"/>
          <w:sz w:val="20"/>
          <w:szCs w:val="20"/>
          <w:lang w:val="en-GB" w:eastAsia="en-GB"/>
        </w:rPr>
      </w:pPr>
      <w:r w:rsidRPr="00E47183">
        <w:rPr>
          <w:rFonts w:ascii="Arial" w:eastAsia="Times New Roman" w:hAnsi="Arial" w:cs="Arial"/>
          <w:spacing w:val="6"/>
          <w:sz w:val="20"/>
          <w:szCs w:val="20"/>
          <w:lang w:val="en-GB" w:eastAsia="en-GB"/>
        </w:rPr>
        <w:t xml:space="preserve">The 10 months 2021/22 operations resulted in a surplus of R23.8m, an indication that the revenue was sufficient to cover all operating expenses in the normal course of business. The above resulting in R18.5m (R26.4m budget) cash generated from operations, to cover for capital investment, and growth in investments. </w:t>
      </w:r>
    </w:p>
    <w:p w:rsidR="00DB342E" w:rsidRPr="00E47183" w:rsidRDefault="00DB342E" w:rsidP="00E47183">
      <w:pPr>
        <w:spacing w:after="0" w:line="240" w:lineRule="auto"/>
        <w:rPr>
          <w:rFonts w:ascii="Arial" w:eastAsia="Times New Roman" w:hAnsi="Arial" w:cs="Arial"/>
          <w:spacing w:val="6"/>
          <w:sz w:val="20"/>
          <w:szCs w:val="20"/>
          <w:lang w:val="en-GB" w:eastAsia="en-GB"/>
        </w:rPr>
      </w:pPr>
    </w:p>
    <w:p w:rsidR="00DB342E" w:rsidRPr="00E47183" w:rsidRDefault="00E72F88" w:rsidP="00E47183">
      <w:pPr>
        <w:spacing w:after="0" w:line="240" w:lineRule="auto"/>
        <w:rPr>
          <w:rFonts w:ascii="Arial" w:eastAsia="Times New Roman" w:hAnsi="Arial" w:cs="Arial"/>
          <w:spacing w:val="6"/>
          <w:sz w:val="20"/>
          <w:szCs w:val="20"/>
          <w:lang w:val="en-GB" w:eastAsia="en-GB"/>
        </w:rPr>
      </w:pPr>
      <w:r w:rsidRPr="00E47183">
        <w:rPr>
          <w:rFonts w:ascii="Arial" w:eastAsia="Times New Roman" w:hAnsi="Arial" w:cs="Arial"/>
          <w:spacing w:val="6"/>
          <w:sz w:val="20"/>
          <w:szCs w:val="20"/>
          <w:lang w:val="en-GB" w:eastAsia="en-GB"/>
        </w:rPr>
        <w:t>The overall audit outcome for the PPRA was a qualified opinion</w:t>
      </w:r>
      <w:r w:rsidR="00701E98" w:rsidRPr="00E47183">
        <w:rPr>
          <w:rFonts w:ascii="Arial" w:eastAsia="Times New Roman" w:hAnsi="Arial" w:cs="Arial"/>
          <w:spacing w:val="6"/>
          <w:sz w:val="20"/>
          <w:szCs w:val="20"/>
          <w:lang w:val="en-GB" w:eastAsia="en-GB"/>
        </w:rPr>
        <w:t xml:space="preserve"> regressed from unqualified in the last financial year to qualified audit opinion in the year under review due</w:t>
      </w:r>
      <w:r w:rsidRPr="00E47183">
        <w:rPr>
          <w:rFonts w:ascii="Arial" w:eastAsia="Times New Roman" w:hAnsi="Arial" w:cs="Arial"/>
          <w:spacing w:val="6"/>
          <w:sz w:val="20"/>
          <w:szCs w:val="20"/>
          <w:lang w:val="en-GB" w:eastAsia="en-GB"/>
        </w:rPr>
        <w:t xml:space="preserve"> to the material misstatements on opening balances of receivables from exchange, receivables from non-exchange, payables from exchange and payables from exchange which were not supported by reliable underlying records.</w:t>
      </w:r>
    </w:p>
    <w:p w:rsidR="005734BD" w:rsidRPr="00E47183" w:rsidRDefault="005734BD" w:rsidP="00E47183">
      <w:pPr>
        <w:spacing w:after="0" w:line="240" w:lineRule="auto"/>
        <w:rPr>
          <w:rFonts w:ascii="Arial" w:eastAsia="Times New Roman" w:hAnsi="Arial" w:cs="Arial"/>
          <w:spacing w:val="6"/>
          <w:sz w:val="20"/>
          <w:szCs w:val="20"/>
          <w:lang w:val="en-GB" w:eastAsia="en-GB"/>
        </w:rPr>
      </w:pPr>
    </w:p>
    <w:p w:rsidR="004B6F4A" w:rsidRPr="00E47183" w:rsidRDefault="004B6F4A" w:rsidP="00E47183">
      <w:pPr>
        <w:spacing w:after="0" w:line="240" w:lineRule="auto"/>
        <w:rPr>
          <w:rFonts w:ascii="Arial" w:eastAsia="Times New Roman" w:hAnsi="Arial" w:cs="Arial"/>
          <w:spacing w:val="6"/>
          <w:sz w:val="20"/>
          <w:szCs w:val="20"/>
          <w:lang w:val="en-GB" w:eastAsia="en-GB"/>
        </w:rPr>
      </w:pPr>
      <w:r w:rsidRPr="00E47183">
        <w:rPr>
          <w:rFonts w:ascii="Arial" w:eastAsia="Times New Roman" w:hAnsi="Arial" w:cs="Arial"/>
          <w:spacing w:val="6"/>
          <w:sz w:val="20"/>
          <w:szCs w:val="20"/>
          <w:lang w:val="en-GB" w:eastAsia="en-GB"/>
        </w:rPr>
        <w:t>The Property Practitioners Fidelity Fund (PPFF) regressed due to non-compliance findings noted; these non-compliances were mainly due to non-compliance with supply chain management processes. There were instances of non-compliance findings noted that were in relation to the supply chain’s management policy; however, the procurement process was conducted by the PPRA, previously known as Estate Agency Affairs Board. The accounting authority needs to urgently and adequately conduct an investigation into the causes of the non-compliance.</w:t>
      </w:r>
    </w:p>
    <w:p w:rsidR="003B249F" w:rsidRPr="00E47183" w:rsidRDefault="003B249F" w:rsidP="00E47183">
      <w:pPr>
        <w:spacing w:after="0" w:line="240" w:lineRule="auto"/>
        <w:rPr>
          <w:rFonts w:ascii="Arial" w:hAnsi="Arial" w:cs="Arial"/>
          <w:b/>
          <w:sz w:val="20"/>
          <w:szCs w:val="20"/>
        </w:rPr>
      </w:pPr>
    </w:p>
    <w:p w:rsidR="00223A33" w:rsidRPr="00E47183" w:rsidRDefault="00F7739C" w:rsidP="00E47183">
      <w:pPr>
        <w:spacing w:after="0" w:line="240" w:lineRule="auto"/>
        <w:rPr>
          <w:rFonts w:ascii="Arial" w:hAnsi="Arial" w:cs="Arial"/>
          <w:b/>
          <w:sz w:val="20"/>
          <w:szCs w:val="20"/>
        </w:rPr>
      </w:pPr>
      <w:r w:rsidRPr="00E47183">
        <w:rPr>
          <w:rFonts w:ascii="Arial" w:hAnsi="Arial" w:cs="Arial"/>
          <w:b/>
          <w:sz w:val="20"/>
          <w:szCs w:val="20"/>
        </w:rPr>
        <w:t>PPRA</w:t>
      </w:r>
      <w:r w:rsidR="00223A33" w:rsidRPr="00E47183">
        <w:rPr>
          <w:rFonts w:ascii="Arial" w:hAnsi="Arial" w:cs="Arial"/>
          <w:b/>
          <w:sz w:val="20"/>
          <w:szCs w:val="20"/>
        </w:rPr>
        <w:t xml:space="preserve"> achieved the following:</w:t>
      </w:r>
    </w:p>
    <w:p w:rsidR="00D86CE3" w:rsidRPr="00E47183" w:rsidRDefault="00D86CE3" w:rsidP="00E47183">
      <w:pPr>
        <w:spacing w:after="0" w:line="240" w:lineRule="auto"/>
        <w:rPr>
          <w:rFonts w:ascii="Arial" w:hAnsi="Arial" w:cs="Arial"/>
          <w:b/>
          <w:sz w:val="20"/>
          <w:szCs w:val="20"/>
        </w:rPr>
      </w:pPr>
    </w:p>
    <w:p w:rsidR="00EF70D5" w:rsidRPr="00E47183" w:rsidRDefault="007E2600" w:rsidP="00E47183">
      <w:pPr>
        <w:pStyle w:val="ListParagraph"/>
        <w:numPr>
          <w:ilvl w:val="0"/>
          <w:numId w:val="20"/>
        </w:numPr>
        <w:spacing w:line="240" w:lineRule="auto"/>
        <w:rPr>
          <w:rFonts w:cs="Arial"/>
          <w:sz w:val="20"/>
          <w:szCs w:val="20"/>
        </w:rPr>
      </w:pPr>
      <w:r w:rsidRPr="00E47183">
        <w:rPr>
          <w:rFonts w:cs="Arial"/>
          <w:sz w:val="20"/>
          <w:szCs w:val="20"/>
        </w:rPr>
        <w:t>A key change in the operating environment of the EAAB was the repealing of the legislation that governed the entity, namely the Estate Agency Affairs Act no. 112 of 1976 ushering in the Property Practitioners Regula</w:t>
      </w:r>
      <w:r w:rsidR="00EF70D5" w:rsidRPr="00E47183">
        <w:rPr>
          <w:rFonts w:cs="Arial"/>
          <w:sz w:val="20"/>
          <w:szCs w:val="20"/>
        </w:rPr>
        <w:t>tory Authority. The reports would</w:t>
      </w:r>
      <w:r w:rsidRPr="00E47183">
        <w:rPr>
          <w:rFonts w:cs="Arial"/>
          <w:sz w:val="20"/>
          <w:szCs w:val="20"/>
        </w:rPr>
        <w:t xml:space="preserve"> be based on 10 months under the EAAB and 2 months under the PPRA.</w:t>
      </w:r>
    </w:p>
    <w:p w:rsidR="00EF70D5" w:rsidRPr="00E47183" w:rsidRDefault="007E2600" w:rsidP="00E47183">
      <w:pPr>
        <w:pStyle w:val="ListParagraph"/>
        <w:numPr>
          <w:ilvl w:val="0"/>
          <w:numId w:val="20"/>
        </w:numPr>
        <w:spacing w:line="240" w:lineRule="auto"/>
        <w:rPr>
          <w:rFonts w:cs="Arial"/>
          <w:sz w:val="20"/>
          <w:szCs w:val="20"/>
        </w:rPr>
      </w:pPr>
      <w:r w:rsidRPr="00E47183">
        <w:rPr>
          <w:rFonts w:cs="Arial"/>
          <w:sz w:val="20"/>
          <w:szCs w:val="20"/>
          <w:lang w:val="en-US"/>
        </w:rPr>
        <w:lastRenderedPageBreak/>
        <w:t>The EAAB received qualified audit finding for the 2021/22</w:t>
      </w:r>
      <w:r w:rsidR="00EF70D5" w:rsidRPr="00E47183">
        <w:rPr>
          <w:rFonts w:cs="Arial"/>
          <w:sz w:val="20"/>
          <w:szCs w:val="20"/>
        </w:rPr>
        <w:t xml:space="preserve"> financial year and the entity</w:t>
      </w:r>
      <w:r w:rsidR="00EF70D5" w:rsidRPr="00E47183">
        <w:rPr>
          <w:rFonts w:cs="Arial"/>
          <w:sz w:val="20"/>
          <w:szCs w:val="20"/>
          <w:lang w:val="en-US"/>
        </w:rPr>
        <w:t xml:space="preserve"> prioritized</w:t>
      </w:r>
      <w:r w:rsidRPr="00E47183">
        <w:rPr>
          <w:rFonts w:cs="Arial"/>
          <w:sz w:val="20"/>
          <w:szCs w:val="20"/>
          <w:lang w:val="en-US"/>
        </w:rPr>
        <w:t xml:space="preserve"> action plans to address the root ca</w:t>
      </w:r>
      <w:r w:rsidR="00EF70D5" w:rsidRPr="00E47183">
        <w:rPr>
          <w:rFonts w:cs="Arial"/>
          <w:sz w:val="20"/>
          <w:szCs w:val="20"/>
          <w:lang w:val="en-US"/>
        </w:rPr>
        <w:t>use of the key findings that le</w:t>
      </w:r>
      <w:r w:rsidRPr="00E47183">
        <w:rPr>
          <w:rFonts w:cs="Arial"/>
          <w:sz w:val="20"/>
          <w:szCs w:val="20"/>
          <w:lang w:val="en-US"/>
        </w:rPr>
        <w:t>d to undesirable audit outcome.</w:t>
      </w:r>
    </w:p>
    <w:p w:rsidR="00EF70D5" w:rsidRPr="00E47183" w:rsidRDefault="007E2600" w:rsidP="00E47183">
      <w:pPr>
        <w:pStyle w:val="ListParagraph"/>
        <w:numPr>
          <w:ilvl w:val="0"/>
          <w:numId w:val="20"/>
        </w:numPr>
        <w:spacing w:line="240" w:lineRule="auto"/>
        <w:rPr>
          <w:rFonts w:cs="Arial"/>
          <w:sz w:val="20"/>
          <w:szCs w:val="20"/>
        </w:rPr>
      </w:pPr>
      <w:r w:rsidRPr="00E47183">
        <w:rPr>
          <w:rFonts w:cs="Arial"/>
          <w:sz w:val="20"/>
          <w:szCs w:val="20"/>
          <w:lang w:val="en-US"/>
        </w:rPr>
        <w:t>A concern raised by external auditors in the past financial year audit report was the lack of the internal auditor function. A milestone was achieved and the internal audit function was appointed and the Audit and Risk Committee has reported their satisfaction with progress made on the internal audit plan.</w:t>
      </w:r>
    </w:p>
    <w:p w:rsidR="00EF70D5" w:rsidRPr="00E47183" w:rsidRDefault="007E2600" w:rsidP="00E47183">
      <w:pPr>
        <w:pStyle w:val="ListParagraph"/>
        <w:numPr>
          <w:ilvl w:val="0"/>
          <w:numId w:val="20"/>
        </w:numPr>
        <w:spacing w:line="240" w:lineRule="auto"/>
        <w:rPr>
          <w:rFonts w:cs="Arial"/>
          <w:sz w:val="20"/>
          <w:szCs w:val="20"/>
        </w:rPr>
      </w:pPr>
      <w:r w:rsidRPr="00E47183">
        <w:rPr>
          <w:rFonts w:cs="Arial"/>
          <w:sz w:val="20"/>
          <w:szCs w:val="20"/>
          <w:lang w:val="en-US"/>
        </w:rPr>
        <w:t>Core programmes of Fidelity Fund, Education and Training a</w:t>
      </w:r>
      <w:r w:rsidR="00DB342E" w:rsidRPr="00E47183">
        <w:rPr>
          <w:rFonts w:cs="Arial"/>
          <w:sz w:val="20"/>
          <w:szCs w:val="20"/>
        </w:rPr>
        <w:t xml:space="preserve">s well as Transformation under </w:t>
      </w:r>
      <w:r w:rsidRPr="00E47183">
        <w:rPr>
          <w:rFonts w:cs="Arial"/>
          <w:sz w:val="20"/>
          <w:szCs w:val="20"/>
          <w:lang w:val="en-US"/>
        </w:rPr>
        <w:t xml:space="preserve">the EAAB achieved 100%, 67% and 43% </w:t>
      </w:r>
      <w:r w:rsidRPr="00E47183">
        <w:rPr>
          <w:rFonts w:cs="Arial"/>
          <w:sz w:val="20"/>
          <w:szCs w:val="20"/>
          <w:lang w:val="en-ZA"/>
        </w:rPr>
        <w:t>of its targets, respectively.</w:t>
      </w:r>
    </w:p>
    <w:p w:rsidR="00EF70D5" w:rsidRPr="00E47183" w:rsidRDefault="007E2600" w:rsidP="00E47183">
      <w:pPr>
        <w:pStyle w:val="ListParagraph"/>
        <w:numPr>
          <w:ilvl w:val="0"/>
          <w:numId w:val="20"/>
        </w:numPr>
        <w:spacing w:line="240" w:lineRule="auto"/>
        <w:rPr>
          <w:rFonts w:cs="Arial"/>
          <w:sz w:val="20"/>
          <w:szCs w:val="20"/>
        </w:rPr>
      </w:pPr>
      <w:r w:rsidRPr="00E47183">
        <w:rPr>
          <w:rFonts w:cs="Arial"/>
          <w:sz w:val="20"/>
          <w:szCs w:val="20"/>
          <w:lang w:val="en-US"/>
        </w:rPr>
        <w:t>Despite the economic downturn estate agents continued to register and renew their license and the total FFC’s issued for the 10 months of this financial year was 53 739 compared to a total of 51 063 issued the previous year.</w:t>
      </w:r>
    </w:p>
    <w:p w:rsidR="00DC5CB8" w:rsidRPr="00E47183" w:rsidRDefault="007E2600" w:rsidP="00E47183">
      <w:pPr>
        <w:pStyle w:val="ListParagraph"/>
        <w:numPr>
          <w:ilvl w:val="0"/>
          <w:numId w:val="20"/>
        </w:numPr>
        <w:spacing w:line="240" w:lineRule="auto"/>
        <w:rPr>
          <w:rFonts w:cs="Arial"/>
          <w:sz w:val="20"/>
          <w:szCs w:val="20"/>
        </w:rPr>
      </w:pPr>
      <w:r w:rsidRPr="00E47183">
        <w:rPr>
          <w:rFonts w:cs="Arial"/>
          <w:sz w:val="20"/>
          <w:szCs w:val="20"/>
          <w:lang w:val="en-US"/>
        </w:rPr>
        <w:t xml:space="preserve">The transformation initiatives aimed assisting Previously Disadvantaged Individuals (PDI) Under the year in review assisted just over 308 applicants, a 23% increase from the previous year which saw 250 PDI applicants </w:t>
      </w:r>
      <w:r w:rsidRPr="00E47183">
        <w:rPr>
          <w:rFonts w:cs="Arial"/>
          <w:sz w:val="20"/>
          <w:szCs w:val="20"/>
          <w:lang w:val="en-ZA"/>
        </w:rPr>
        <w:t>being exempted.</w:t>
      </w:r>
      <w:r w:rsidRPr="00E47183">
        <w:rPr>
          <w:rFonts w:cs="Arial"/>
          <w:sz w:val="20"/>
          <w:szCs w:val="20"/>
          <w:lang w:val="en-US"/>
        </w:rPr>
        <w:t xml:space="preserve"> Transformation of the property sector remains </w:t>
      </w:r>
      <w:r w:rsidR="00EF70D5" w:rsidRPr="00E47183">
        <w:rPr>
          <w:rFonts w:cs="Arial"/>
          <w:sz w:val="20"/>
          <w:szCs w:val="20"/>
          <w:lang w:val="en-US"/>
        </w:rPr>
        <w:t>an imperative that the PPRA would</w:t>
      </w:r>
      <w:r w:rsidRPr="00E47183">
        <w:rPr>
          <w:rFonts w:cs="Arial"/>
          <w:sz w:val="20"/>
          <w:szCs w:val="20"/>
          <w:lang w:val="en-US"/>
        </w:rPr>
        <w:t xml:space="preserve"> continue to support in order to build a sector that is reflective of the society it serves.</w:t>
      </w:r>
    </w:p>
    <w:p w:rsidR="00316F2D" w:rsidRPr="00E47183" w:rsidRDefault="00316F2D" w:rsidP="00E47183">
      <w:pPr>
        <w:spacing w:after="0" w:line="240" w:lineRule="auto"/>
        <w:rPr>
          <w:rFonts w:ascii="Arial" w:eastAsia="Times New Roman" w:hAnsi="Arial" w:cs="Arial"/>
          <w:b/>
          <w:color w:val="000000"/>
          <w:spacing w:val="6"/>
          <w:sz w:val="20"/>
          <w:szCs w:val="20"/>
          <w:lang w:val="en-ZA" w:eastAsia="en-GB"/>
        </w:rPr>
      </w:pPr>
    </w:p>
    <w:p w:rsidR="00CD7915" w:rsidRPr="00E47183" w:rsidRDefault="00CD7915" w:rsidP="00E47183">
      <w:pPr>
        <w:spacing w:after="0" w:line="240" w:lineRule="auto"/>
        <w:rPr>
          <w:rFonts w:ascii="Arial" w:eastAsia="Times New Roman" w:hAnsi="Arial" w:cs="Arial"/>
          <w:b/>
          <w:color w:val="000000"/>
          <w:spacing w:val="6"/>
          <w:sz w:val="20"/>
          <w:szCs w:val="20"/>
          <w:lang w:val="en-GB" w:eastAsia="en-GB"/>
        </w:rPr>
      </w:pPr>
    </w:p>
    <w:p w:rsidR="00CD7915" w:rsidRPr="00E47183" w:rsidRDefault="00BB0BCB" w:rsidP="00E47183">
      <w:pPr>
        <w:spacing w:after="0" w:line="240" w:lineRule="auto"/>
        <w:rPr>
          <w:rFonts w:ascii="Arial" w:eastAsia="Times New Roman" w:hAnsi="Arial" w:cs="Arial"/>
          <w:b/>
          <w:color w:val="000000"/>
          <w:spacing w:val="6"/>
          <w:sz w:val="20"/>
          <w:szCs w:val="20"/>
          <w:lang w:val="en-GB" w:eastAsia="en-GB"/>
        </w:rPr>
      </w:pPr>
      <w:r w:rsidRPr="00E47183">
        <w:rPr>
          <w:rFonts w:ascii="Arial" w:eastAsia="Times New Roman" w:hAnsi="Arial" w:cs="Arial"/>
          <w:b/>
          <w:color w:val="000000"/>
          <w:spacing w:val="6"/>
          <w:sz w:val="20"/>
          <w:szCs w:val="20"/>
          <w:lang w:val="en-GB" w:eastAsia="en-GB"/>
        </w:rPr>
        <w:t>8.6. Community Schemes Ombud Services (CSOS)</w:t>
      </w:r>
    </w:p>
    <w:p w:rsidR="00D86CE3" w:rsidRPr="00E47183" w:rsidRDefault="00D86CE3" w:rsidP="00E47183">
      <w:pPr>
        <w:spacing w:after="0" w:line="240" w:lineRule="auto"/>
        <w:rPr>
          <w:rFonts w:ascii="Arial" w:eastAsia="Times New Roman" w:hAnsi="Arial" w:cs="Arial"/>
          <w:color w:val="000000"/>
          <w:spacing w:val="6"/>
          <w:sz w:val="20"/>
          <w:szCs w:val="20"/>
          <w:lang w:val="en-GB" w:eastAsia="en-GB"/>
        </w:rPr>
      </w:pPr>
    </w:p>
    <w:p w:rsidR="002D72AF" w:rsidRPr="00E47183" w:rsidRDefault="002D72AF" w:rsidP="00E47183">
      <w:pPr>
        <w:spacing w:after="0" w:line="240" w:lineRule="auto"/>
        <w:rPr>
          <w:rFonts w:ascii="Arial" w:eastAsia="Times New Roman" w:hAnsi="Arial" w:cs="Arial"/>
          <w:color w:val="000000"/>
          <w:spacing w:val="6"/>
          <w:sz w:val="20"/>
          <w:szCs w:val="20"/>
          <w:lang w:val="en-GB" w:eastAsia="en-GB"/>
        </w:rPr>
      </w:pPr>
      <w:r w:rsidRPr="00E47183">
        <w:rPr>
          <w:rFonts w:ascii="Arial" w:eastAsia="Times New Roman" w:hAnsi="Arial" w:cs="Arial"/>
          <w:color w:val="000000"/>
          <w:spacing w:val="6"/>
          <w:sz w:val="20"/>
          <w:szCs w:val="20"/>
          <w:lang w:val="en-GB" w:eastAsia="en-GB"/>
        </w:rPr>
        <w:t xml:space="preserve">Though there was underspending overall in the CSOS, this had improved compared to prior periods and CSOS intends to apply for roll overs or retention of surpluses from National Treasury. </w:t>
      </w:r>
      <w:r w:rsidR="007B5946" w:rsidRPr="00E47183">
        <w:rPr>
          <w:rFonts w:ascii="Arial" w:eastAsia="Times New Roman" w:hAnsi="Arial" w:cs="Arial"/>
          <w:color w:val="000000"/>
          <w:spacing w:val="6"/>
          <w:sz w:val="20"/>
          <w:szCs w:val="20"/>
          <w:lang w:val="en-GB" w:eastAsia="en-GB"/>
        </w:rPr>
        <w:t xml:space="preserve">The CSOS was granted approval by the National Treasury to retain R170 million of the 247.6 million in 2020/21 financial year and the balance of R77.6 million balance was still under </w:t>
      </w:r>
      <w:r w:rsidR="007B5946" w:rsidRPr="00E47183">
        <w:rPr>
          <w:rFonts w:ascii="Arial" w:eastAsia="Times New Roman" w:hAnsi="Arial" w:cs="Arial"/>
          <w:spacing w:val="6"/>
          <w:sz w:val="20"/>
          <w:szCs w:val="20"/>
          <w:lang w:val="en-GB" w:eastAsia="en-GB"/>
        </w:rPr>
        <w:t>negation</w:t>
      </w:r>
      <w:r w:rsidR="007B5946" w:rsidRPr="00E47183">
        <w:rPr>
          <w:rFonts w:ascii="Arial" w:eastAsia="Times New Roman" w:hAnsi="Arial" w:cs="Arial"/>
          <w:color w:val="000000"/>
          <w:spacing w:val="6"/>
          <w:sz w:val="20"/>
          <w:szCs w:val="20"/>
          <w:lang w:val="en-GB" w:eastAsia="en-GB"/>
        </w:rPr>
        <w:t xml:space="preserve"> as at year end and not surrendered.</w:t>
      </w:r>
    </w:p>
    <w:p w:rsidR="00EF70D5" w:rsidRPr="00E47183" w:rsidRDefault="006728F7" w:rsidP="00E47183">
      <w:pPr>
        <w:spacing w:after="0" w:line="240" w:lineRule="auto"/>
        <w:rPr>
          <w:rFonts w:ascii="Arial" w:eastAsia="Times New Roman" w:hAnsi="Arial" w:cs="Arial"/>
          <w:color w:val="000000"/>
          <w:spacing w:val="6"/>
          <w:sz w:val="20"/>
          <w:szCs w:val="20"/>
          <w:lang w:val="en-GB" w:eastAsia="en-GB"/>
        </w:rPr>
      </w:pPr>
      <w:r w:rsidRPr="00E47183">
        <w:rPr>
          <w:rFonts w:ascii="Arial" w:eastAsia="Times New Roman" w:hAnsi="Arial" w:cs="Arial"/>
          <w:color w:val="000000"/>
          <w:spacing w:val="6"/>
          <w:sz w:val="20"/>
          <w:szCs w:val="20"/>
          <w:lang w:val="en-GB" w:eastAsia="en-GB"/>
        </w:rPr>
        <w:t>Improvement of the audit outcome from the baseline which was a qualified to Unqualified audit opinion. The oversight role and Management’s resolve to institute adequate controls started to yield positive results</w:t>
      </w:r>
      <w:r w:rsidR="002D72AF" w:rsidRPr="00E47183">
        <w:rPr>
          <w:rFonts w:ascii="Arial" w:eastAsia="Times New Roman" w:hAnsi="Arial" w:cs="Arial"/>
          <w:color w:val="000000"/>
          <w:spacing w:val="6"/>
          <w:sz w:val="20"/>
          <w:szCs w:val="20"/>
          <w:lang w:val="en-GB" w:eastAsia="en-GB"/>
        </w:rPr>
        <w:t>.</w:t>
      </w:r>
      <w:r w:rsidRPr="00E47183">
        <w:rPr>
          <w:rFonts w:ascii="Arial" w:eastAsia="Times New Roman" w:hAnsi="Arial" w:cs="Arial"/>
          <w:color w:val="000000"/>
          <w:spacing w:val="6"/>
          <w:sz w:val="20"/>
          <w:szCs w:val="20"/>
          <w:lang w:val="en-GB" w:eastAsia="en-GB"/>
        </w:rPr>
        <w:t xml:space="preserve"> </w:t>
      </w:r>
      <w:r w:rsidR="00232DD4" w:rsidRPr="00E47183">
        <w:rPr>
          <w:rFonts w:ascii="Arial" w:eastAsia="Times New Roman" w:hAnsi="Arial" w:cs="Arial"/>
          <w:color w:val="000000"/>
          <w:spacing w:val="6"/>
          <w:sz w:val="20"/>
          <w:szCs w:val="20"/>
          <w:lang w:val="en-GB" w:eastAsia="en-GB"/>
        </w:rPr>
        <w:t>CSOS was</w:t>
      </w:r>
      <w:r w:rsidR="002D72AF" w:rsidRPr="00E47183">
        <w:rPr>
          <w:rFonts w:ascii="Arial" w:eastAsia="Times New Roman" w:hAnsi="Arial" w:cs="Arial"/>
          <w:color w:val="000000"/>
          <w:spacing w:val="6"/>
          <w:sz w:val="20"/>
          <w:szCs w:val="20"/>
          <w:lang w:val="en-GB" w:eastAsia="en-GB"/>
        </w:rPr>
        <w:t xml:space="preserve"> in the process of</w:t>
      </w:r>
      <w:r w:rsidRPr="00E47183">
        <w:rPr>
          <w:rFonts w:ascii="Arial" w:eastAsia="Times New Roman" w:hAnsi="Arial" w:cs="Arial"/>
          <w:color w:val="000000"/>
          <w:spacing w:val="6"/>
          <w:sz w:val="20"/>
          <w:szCs w:val="20"/>
          <w:lang w:val="en-GB" w:eastAsia="en-GB"/>
        </w:rPr>
        <w:t xml:space="preserve"> attend</w:t>
      </w:r>
      <w:r w:rsidR="002D72AF" w:rsidRPr="00E47183">
        <w:rPr>
          <w:rFonts w:ascii="Arial" w:eastAsia="Times New Roman" w:hAnsi="Arial" w:cs="Arial"/>
          <w:color w:val="000000"/>
          <w:spacing w:val="6"/>
          <w:sz w:val="20"/>
          <w:szCs w:val="20"/>
          <w:lang w:val="en-GB" w:eastAsia="en-GB"/>
        </w:rPr>
        <w:t>ing</w:t>
      </w:r>
      <w:r w:rsidRPr="00E47183">
        <w:rPr>
          <w:rFonts w:ascii="Arial" w:eastAsia="Times New Roman" w:hAnsi="Arial" w:cs="Arial"/>
          <w:color w:val="000000"/>
          <w:spacing w:val="6"/>
          <w:sz w:val="20"/>
          <w:szCs w:val="20"/>
          <w:lang w:val="en-GB" w:eastAsia="en-GB"/>
        </w:rPr>
        <w:t xml:space="preserve"> to the identified mater</w:t>
      </w:r>
      <w:r w:rsidR="002D72AF" w:rsidRPr="00E47183">
        <w:rPr>
          <w:rFonts w:ascii="Arial" w:eastAsia="Times New Roman" w:hAnsi="Arial" w:cs="Arial"/>
          <w:color w:val="000000"/>
          <w:spacing w:val="6"/>
          <w:sz w:val="20"/>
          <w:szCs w:val="20"/>
          <w:lang w:val="en-GB" w:eastAsia="en-GB"/>
        </w:rPr>
        <w:t>ial findings which relate to the</w:t>
      </w:r>
      <w:r w:rsidRPr="00E47183">
        <w:rPr>
          <w:rFonts w:ascii="Arial" w:eastAsia="Times New Roman" w:hAnsi="Arial" w:cs="Arial"/>
          <w:color w:val="000000"/>
          <w:spacing w:val="6"/>
          <w:sz w:val="20"/>
          <w:szCs w:val="20"/>
          <w:lang w:val="en-GB" w:eastAsia="en-GB"/>
        </w:rPr>
        <w:t xml:space="preserve"> historical problems with revenue collection and recognition.</w:t>
      </w:r>
    </w:p>
    <w:p w:rsidR="006728F7" w:rsidRPr="00E47183" w:rsidRDefault="006728F7" w:rsidP="00E47183">
      <w:pPr>
        <w:spacing w:after="0" w:line="240" w:lineRule="auto"/>
        <w:rPr>
          <w:rFonts w:ascii="Arial" w:eastAsia="Times New Roman" w:hAnsi="Arial" w:cs="Arial"/>
          <w:b/>
          <w:color w:val="000000"/>
          <w:spacing w:val="6"/>
          <w:sz w:val="20"/>
          <w:szCs w:val="20"/>
          <w:lang w:val="en-GB" w:eastAsia="en-GB"/>
        </w:rPr>
      </w:pPr>
    </w:p>
    <w:p w:rsidR="008B51D7" w:rsidRPr="00E47183" w:rsidRDefault="00EF70D5" w:rsidP="00E47183">
      <w:pPr>
        <w:spacing w:after="0" w:line="240" w:lineRule="auto"/>
        <w:rPr>
          <w:rFonts w:ascii="Arial" w:eastAsia="Times New Roman" w:hAnsi="Arial" w:cs="Arial"/>
          <w:b/>
          <w:color w:val="000000"/>
          <w:spacing w:val="6"/>
          <w:sz w:val="20"/>
          <w:szCs w:val="20"/>
          <w:lang w:val="en-GB" w:eastAsia="en-GB"/>
        </w:rPr>
      </w:pPr>
      <w:r w:rsidRPr="00E47183">
        <w:rPr>
          <w:rFonts w:ascii="Arial" w:eastAsia="Times New Roman" w:hAnsi="Arial" w:cs="Arial"/>
          <w:b/>
          <w:color w:val="000000"/>
          <w:spacing w:val="6"/>
          <w:sz w:val="20"/>
          <w:szCs w:val="20"/>
          <w:lang w:val="en-GB" w:eastAsia="en-GB"/>
        </w:rPr>
        <w:t>CSOS achieved the following:</w:t>
      </w:r>
    </w:p>
    <w:p w:rsidR="00D86CE3" w:rsidRPr="00E47183" w:rsidRDefault="00D86CE3" w:rsidP="00E47183">
      <w:pPr>
        <w:spacing w:after="0" w:line="240" w:lineRule="auto"/>
        <w:rPr>
          <w:rFonts w:ascii="Arial" w:eastAsia="Times New Roman" w:hAnsi="Arial" w:cs="Arial"/>
          <w:b/>
          <w:color w:val="000000"/>
          <w:spacing w:val="6"/>
          <w:sz w:val="20"/>
          <w:szCs w:val="20"/>
          <w:lang w:val="en-GB" w:eastAsia="en-GB"/>
        </w:rPr>
      </w:pPr>
    </w:p>
    <w:p w:rsidR="00EF70D5" w:rsidRPr="00E47183" w:rsidRDefault="00EF70D5" w:rsidP="00E47183">
      <w:pPr>
        <w:pStyle w:val="ListParagraph"/>
        <w:numPr>
          <w:ilvl w:val="0"/>
          <w:numId w:val="21"/>
        </w:numPr>
        <w:spacing w:line="240" w:lineRule="auto"/>
        <w:rPr>
          <w:rFonts w:cs="Arial"/>
          <w:sz w:val="20"/>
          <w:szCs w:val="20"/>
        </w:rPr>
      </w:pPr>
      <w:r w:rsidRPr="00E47183">
        <w:rPr>
          <w:rFonts w:cs="Arial"/>
          <w:sz w:val="20"/>
          <w:szCs w:val="20"/>
        </w:rPr>
        <w:t xml:space="preserve">The new Board hit the ground running, seeking to build on the foundation that the previous board had laid to ensure continuous quality improvements and that performance targets are met. </w:t>
      </w:r>
    </w:p>
    <w:p w:rsidR="003A3B50" w:rsidRPr="00E47183" w:rsidRDefault="003A3B50" w:rsidP="00E47183">
      <w:pPr>
        <w:pStyle w:val="ListParagraph"/>
        <w:numPr>
          <w:ilvl w:val="0"/>
          <w:numId w:val="21"/>
        </w:numPr>
        <w:spacing w:line="240" w:lineRule="auto"/>
        <w:rPr>
          <w:rFonts w:cs="Arial"/>
          <w:sz w:val="20"/>
          <w:szCs w:val="20"/>
        </w:rPr>
      </w:pPr>
      <w:r w:rsidRPr="00E47183">
        <w:rPr>
          <w:rFonts w:cs="Arial"/>
          <w:sz w:val="20"/>
          <w:szCs w:val="20"/>
        </w:rPr>
        <w:t>The organisation did</w:t>
      </w:r>
      <w:r w:rsidR="00EF70D5" w:rsidRPr="00E47183">
        <w:rPr>
          <w:rFonts w:cs="Arial"/>
          <w:sz w:val="20"/>
          <w:szCs w:val="20"/>
        </w:rPr>
        <w:t xml:space="preserve"> phenomenally well in terms of achieving its set annual performance targets, registering 82% performance thus exceeding its previous year performance by 22%. </w:t>
      </w:r>
    </w:p>
    <w:p w:rsidR="008B51D7" w:rsidRPr="00E47183" w:rsidRDefault="00EF70D5" w:rsidP="00E47183">
      <w:pPr>
        <w:pStyle w:val="ListParagraph"/>
        <w:numPr>
          <w:ilvl w:val="0"/>
          <w:numId w:val="21"/>
        </w:numPr>
        <w:spacing w:line="240" w:lineRule="auto"/>
        <w:rPr>
          <w:rFonts w:cs="Arial"/>
          <w:sz w:val="20"/>
          <w:szCs w:val="20"/>
        </w:rPr>
      </w:pPr>
      <w:r w:rsidRPr="00E47183">
        <w:rPr>
          <w:rFonts w:cs="Arial"/>
          <w:sz w:val="20"/>
          <w:szCs w:val="20"/>
        </w:rPr>
        <w:t>The Board also reports on the progress made with regards to implementation of the key priority areas that had been identified:</w:t>
      </w:r>
    </w:p>
    <w:p w:rsidR="00F25B28" w:rsidRPr="00E47183" w:rsidRDefault="00F25B28" w:rsidP="00E47183">
      <w:pPr>
        <w:pStyle w:val="ListParagraph"/>
        <w:numPr>
          <w:ilvl w:val="1"/>
          <w:numId w:val="21"/>
        </w:numPr>
        <w:spacing w:line="240" w:lineRule="auto"/>
        <w:rPr>
          <w:rFonts w:cs="Arial"/>
          <w:sz w:val="20"/>
          <w:szCs w:val="20"/>
        </w:rPr>
      </w:pPr>
      <w:r w:rsidRPr="00E47183">
        <w:rPr>
          <w:rFonts w:cs="Arial"/>
          <w:sz w:val="20"/>
          <w:szCs w:val="20"/>
          <w:lang w:val="en-US"/>
        </w:rPr>
        <w:t>Approved a process to analyze, verify, and cleanse data of all registered schemes, in order to identify schemes not registered with CSOS to enable the implementation of the Compliance and Enforcement Strategy.</w:t>
      </w:r>
    </w:p>
    <w:p w:rsidR="006E06C7" w:rsidRPr="00E47183" w:rsidRDefault="006E06C7" w:rsidP="00E47183">
      <w:pPr>
        <w:pStyle w:val="ListParagraph"/>
        <w:numPr>
          <w:ilvl w:val="1"/>
          <w:numId w:val="21"/>
        </w:numPr>
        <w:spacing w:line="240" w:lineRule="auto"/>
        <w:rPr>
          <w:rFonts w:cs="Arial"/>
          <w:sz w:val="20"/>
          <w:szCs w:val="20"/>
        </w:rPr>
      </w:pPr>
      <w:r w:rsidRPr="00E47183">
        <w:rPr>
          <w:rFonts w:cs="Arial"/>
          <w:sz w:val="20"/>
          <w:szCs w:val="20"/>
          <w:lang w:val="en-US"/>
        </w:rPr>
        <w:t xml:space="preserve">In collaboration with the Department the process of amending the CSOS’s Act and STSMA for purpose of enhancing the CSOS mandate, regulatory powers, and operational efficiencies had also progressed somewhat, although at very slow pace, and the amended regulations were submitted for processing to the Department. </w:t>
      </w:r>
    </w:p>
    <w:p w:rsidR="00DC5EA9" w:rsidRPr="00E47183" w:rsidRDefault="00DC5EA9" w:rsidP="00E47183">
      <w:pPr>
        <w:pStyle w:val="ListParagraph"/>
        <w:numPr>
          <w:ilvl w:val="1"/>
          <w:numId w:val="21"/>
        </w:numPr>
        <w:spacing w:line="240" w:lineRule="auto"/>
        <w:rPr>
          <w:rFonts w:cs="Arial"/>
          <w:sz w:val="20"/>
          <w:szCs w:val="20"/>
        </w:rPr>
      </w:pPr>
      <w:r w:rsidRPr="00E47183">
        <w:rPr>
          <w:rFonts w:cs="Arial"/>
          <w:sz w:val="20"/>
          <w:szCs w:val="20"/>
          <w:lang w:val="en-US"/>
        </w:rPr>
        <w:t>Business Automation project was launched, code-named “CSOS Connect” to fully digitize the CSOS environment and business platforms.</w:t>
      </w:r>
    </w:p>
    <w:p w:rsidR="00DC5EA9" w:rsidRPr="00E47183" w:rsidRDefault="00DC5EA9" w:rsidP="00E47183">
      <w:pPr>
        <w:pStyle w:val="ListParagraph"/>
        <w:numPr>
          <w:ilvl w:val="1"/>
          <w:numId w:val="21"/>
        </w:numPr>
        <w:spacing w:line="240" w:lineRule="auto"/>
        <w:rPr>
          <w:rFonts w:cs="Arial"/>
          <w:sz w:val="20"/>
          <w:szCs w:val="20"/>
        </w:rPr>
      </w:pPr>
      <w:r w:rsidRPr="00E47183">
        <w:rPr>
          <w:rFonts w:cs="Arial"/>
          <w:sz w:val="20"/>
          <w:szCs w:val="20"/>
          <w:lang w:val="en-US"/>
        </w:rPr>
        <w:t>The historical backlog was cleared, and Regions ensured that there would be tight controls on turnaround times for current disputes in order to avert a relapse into the backlog once again.</w:t>
      </w:r>
    </w:p>
    <w:p w:rsidR="0067793D" w:rsidRPr="00E47183" w:rsidRDefault="00B52530" w:rsidP="00E47183">
      <w:pPr>
        <w:pStyle w:val="ListParagraph"/>
        <w:numPr>
          <w:ilvl w:val="1"/>
          <w:numId w:val="21"/>
        </w:numPr>
        <w:spacing w:line="240" w:lineRule="auto"/>
        <w:rPr>
          <w:rFonts w:cs="Arial"/>
          <w:sz w:val="20"/>
          <w:szCs w:val="20"/>
        </w:rPr>
      </w:pPr>
      <w:r w:rsidRPr="00E47183">
        <w:rPr>
          <w:rFonts w:cs="Arial"/>
          <w:sz w:val="20"/>
          <w:szCs w:val="20"/>
          <w:lang w:val="en-US"/>
        </w:rPr>
        <w:t>There was also an improvement in the dispute resolution process as some of disputes were concluded and handled via virtual platforms.</w:t>
      </w:r>
    </w:p>
    <w:p w:rsidR="006C12D1" w:rsidRPr="00E47183" w:rsidRDefault="006C12D1" w:rsidP="00E47183">
      <w:pPr>
        <w:pStyle w:val="ListParagraph"/>
        <w:spacing w:line="240" w:lineRule="auto"/>
        <w:ind w:left="1440"/>
        <w:rPr>
          <w:rFonts w:cs="Arial"/>
          <w:sz w:val="20"/>
          <w:szCs w:val="20"/>
        </w:rPr>
      </w:pPr>
    </w:p>
    <w:p w:rsidR="00D86CE3" w:rsidRPr="00E47183" w:rsidRDefault="00D86CE3" w:rsidP="00E47183">
      <w:pPr>
        <w:spacing w:after="0" w:line="240" w:lineRule="auto"/>
        <w:rPr>
          <w:rFonts w:ascii="Arial" w:eastAsia="Times New Roman" w:hAnsi="Arial" w:cs="Arial"/>
          <w:b/>
          <w:color w:val="000000"/>
          <w:spacing w:val="6"/>
          <w:sz w:val="20"/>
          <w:szCs w:val="20"/>
          <w:lang w:val="en-GB" w:eastAsia="en-GB"/>
        </w:rPr>
      </w:pPr>
    </w:p>
    <w:p w:rsidR="00510AF4" w:rsidRPr="00E47183" w:rsidRDefault="000248DC" w:rsidP="00E47183">
      <w:pPr>
        <w:spacing w:after="0" w:line="240" w:lineRule="auto"/>
        <w:rPr>
          <w:rFonts w:ascii="Arial" w:eastAsia="Times New Roman" w:hAnsi="Arial" w:cs="Arial"/>
          <w:b/>
          <w:color w:val="000000"/>
          <w:spacing w:val="6"/>
          <w:sz w:val="20"/>
          <w:szCs w:val="20"/>
          <w:lang w:val="en-GB" w:eastAsia="en-GB"/>
        </w:rPr>
      </w:pPr>
      <w:r w:rsidRPr="00E47183">
        <w:rPr>
          <w:rFonts w:ascii="Arial" w:eastAsia="Times New Roman" w:hAnsi="Arial" w:cs="Arial"/>
          <w:b/>
          <w:color w:val="000000"/>
          <w:spacing w:val="6"/>
          <w:sz w:val="20"/>
          <w:szCs w:val="20"/>
          <w:lang w:val="en-GB" w:eastAsia="en-GB"/>
        </w:rPr>
        <w:t>9</w:t>
      </w:r>
      <w:r w:rsidR="00C90A96" w:rsidRPr="00E47183">
        <w:rPr>
          <w:rFonts w:ascii="Arial" w:eastAsia="Times New Roman" w:hAnsi="Arial" w:cs="Arial"/>
          <w:b/>
          <w:color w:val="000000"/>
          <w:spacing w:val="6"/>
          <w:sz w:val="20"/>
          <w:szCs w:val="20"/>
          <w:lang w:val="en-GB" w:eastAsia="en-GB"/>
        </w:rPr>
        <w:t>.  REFLECTION BY AUDIT</w:t>
      </w:r>
      <w:r w:rsidR="004302F5" w:rsidRPr="00E47183">
        <w:rPr>
          <w:rFonts w:ascii="Arial" w:eastAsia="Times New Roman" w:hAnsi="Arial" w:cs="Arial"/>
          <w:b/>
          <w:color w:val="000000"/>
          <w:spacing w:val="6"/>
          <w:sz w:val="20"/>
          <w:szCs w:val="20"/>
          <w:lang w:val="en-GB" w:eastAsia="en-GB"/>
        </w:rPr>
        <w:t>O</w:t>
      </w:r>
      <w:r w:rsidR="003C4E1E" w:rsidRPr="00E47183">
        <w:rPr>
          <w:rFonts w:ascii="Arial" w:eastAsia="Times New Roman" w:hAnsi="Arial" w:cs="Arial"/>
          <w:b/>
          <w:color w:val="000000"/>
          <w:spacing w:val="6"/>
          <w:sz w:val="20"/>
          <w:szCs w:val="20"/>
          <w:lang w:val="en-GB" w:eastAsia="en-GB"/>
        </w:rPr>
        <w:t>R- GENERAL SOUTH AFRICA</w:t>
      </w:r>
      <w:r w:rsidR="00EE765B" w:rsidRPr="00E47183">
        <w:rPr>
          <w:rFonts w:ascii="Arial" w:eastAsia="Times New Roman" w:hAnsi="Arial" w:cs="Arial"/>
          <w:b/>
          <w:color w:val="000000"/>
          <w:spacing w:val="6"/>
          <w:sz w:val="20"/>
          <w:szCs w:val="20"/>
          <w:lang w:val="en-GB" w:eastAsia="en-GB"/>
        </w:rPr>
        <w:t>(AG</w:t>
      </w:r>
      <w:r w:rsidR="003A3B50" w:rsidRPr="00E47183">
        <w:rPr>
          <w:rFonts w:ascii="Arial" w:eastAsia="Times New Roman" w:hAnsi="Arial" w:cs="Arial"/>
          <w:b/>
          <w:color w:val="000000"/>
          <w:spacing w:val="6"/>
          <w:sz w:val="20"/>
          <w:szCs w:val="20"/>
          <w:lang w:val="en-GB" w:eastAsia="en-GB"/>
        </w:rPr>
        <w:t>SA</w:t>
      </w:r>
      <w:r w:rsidR="00F30714" w:rsidRPr="00E47183">
        <w:rPr>
          <w:rFonts w:ascii="Arial" w:eastAsia="Times New Roman" w:hAnsi="Arial" w:cs="Arial"/>
          <w:b/>
          <w:color w:val="000000"/>
          <w:spacing w:val="6"/>
          <w:sz w:val="20"/>
          <w:szCs w:val="20"/>
          <w:lang w:val="en-GB" w:eastAsia="en-GB"/>
        </w:rPr>
        <w:t>) FOR 2021/22</w:t>
      </w:r>
      <w:r w:rsidR="00510AF4" w:rsidRPr="00E47183">
        <w:rPr>
          <w:rFonts w:ascii="Arial" w:eastAsia="Times New Roman" w:hAnsi="Arial" w:cs="Arial"/>
          <w:spacing w:val="6"/>
          <w:sz w:val="20"/>
          <w:szCs w:val="20"/>
          <w:lang w:val="en-GB" w:eastAsia="en-GB"/>
        </w:rPr>
        <w:t xml:space="preserve"> </w:t>
      </w:r>
    </w:p>
    <w:p w:rsidR="006C12D1" w:rsidRPr="00E47183" w:rsidRDefault="006C12D1" w:rsidP="00E47183">
      <w:pPr>
        <w:spacing w:after="0" w:line="240" w:lineRule="auto"/>
        <w:rPr>
          <w:rFonts w:ascii="Arial" w:eastAsia="Times New Roman" w:hAnsi="Arial" w:cs="Arial"/>
          <w:spacing w:val="6"/>
          <w:sz w:val="20"/>
          <w:szCs w:val="20"/>
          <w:lang w:val="en-GB" w:eastAsia="en-GB"/>
        </w:rPr>
      </w:pPr>
    </w:p>
    <w:p w:rsidR="00C90A96" w:rsidRPr="00E47183" w:rsidRDefault="00C00524" w:rsidP="00E47183">
      <w:pPr>
        <w:spacing w:after="0" w:line="240" w:lineRule="auto"/>
        <w:rPr>
          <w:rFonts w:ascii="Arial" w:eastAsia="Times New Roman" w:hAnsi="Arial" w:cs="Arial"/>
          <w:spacing w:val="6"/>
          <w:sz w:val="20"/>
          <w:szCs w:val="20"/>
          <w:lang w:val="en-GB" w:eastAsia="en-GB"/>
        </w:rPr>
      </w:pPr>
      <w:r w:rsidRPr="00E47183">
        <w:rPr>
          <w:rFonts w:ascii="Arial" w:eastAsia="Times New Roman" w:hAnsi="Arial" w:cs="Arial"/>
          <w:spacing w:val="6"/>
          <w:sz w:val="20"/>
          <w:szCs w:val="20"/>
          <w:lang w:val="en-GB" w:eastAsia="en-GB"/>
        </w:rPr>
        <w:t>The Committee was briefed in a</w:t>
      </w:r>
      <w:r w:rsidR="00EE765B" w:rsidRPr="00E47183">
        <w:rPr>
          <w:rFonts w:ascii="Arial" w:eastAsia="Times New Roman" w:hAnsi="Arial" w:cs="Arial"/>
          <w:spacing w:val="6"/>
          <w:sz w:val="20"/>
          <w:szCs w:val="20"/>
          <w:lang w:val="en-GB" w:eastAsia="en-GB"/>
        </w:rPr>
        <w:t xml:space="preserve"> virtual meeting by the AG</w:t>
      </w:r>
      <w:r w:rsidR="00F30714" w:rsidRPr="00E47183">
        <w:rPr>
          <w:rFonts w:ascii="Arial" w:eastAsia="Times New Roman" w:hAnsi="Arial" w:cs="Arial"/>
          <w:spacing w:val="6"/>
          <w:sz w:val="20"/>
          <w:szCs w:val="20"/>
          <w:lang w:val="en-GB" w:eastAsia="en-GB"/>
        </w:rPr>
        <w:t>SA</w:t>
      </w:r>
      <w:r w:rsidRPr="00E47183">
        <w:rPr>
          <w:rFonts w:ascii="Arial" w:eastAsia="Times New Roman" w:hAnsi="Arial" w:cs="Arial"/>
          <w:spacing w:val="6"/>
          <w:sz w:val="20"/>
          <w:szCs w:val="20"/>
          <w:lang w:val="en-GB" w:eastAsia="en-GB"/>
        </w:rPr>
        <w:t xml:space="preserve"> on the audit opinion. </w:t>
      </w:r>
      <w:r w:rsidR="00F30714" w:rsidRPr="00E47183">
        <w:rPr>
          <w:rFonts w:ascii="Arial" w:eastAsia="Times New Roman" w:hAnsi="Arial" w:cs="Arial"/>
          <w:spacing w:val="6"/>
          <w:sz w:val="20"/>
          <w:szCs w:val="20"/>
          <w:lang w:val="en-GB" w:eastAsia="en-GB"/>
        </w:rPr>
        <w:t>The AGSA indicated that o</w:t>
      </w:r>
      <w:r w:rsidR="00C90A96" w:rsidRPr="00E47183">
        <w:rPr>
          <w:rFonts w:ascii="Arial" w:eastAsia="Times New Roman" w:hAnsi="Arial" w:cs="Arial"/>
          <w:spacing w:val="6"/>
          <w:sz w:val="20"/>
          <w:szCs w:val="20"/>
          <w:lang w:val="en-GB" w:eastAsia="en-GB"/>
        </w:rPr>
        <w:t xml:space="preserve">verall, three years into the current administration, the human </w:t>
      </w:r>
      <w:r w:rsidR="00C90A96" w:rsidRPr="00E47183">
        <w:rPr>
          <w:rFonts w:ascii="Arial" w:eastAsia="Times New Roman" w:hAnsi="Arial" w:cs="Arial"/>
          <w:spacing w:val="6"/>
          <w:sz w:val="20"/>
          <w:szCs w:val="20"/>
          <w:lang w:val="en-GB" w:eastAsia="en-GB"/>
        </w:rPr>
        <w:lastRenderedPageBreak/>
        <w:t>settleme</w:t>
      </w:r>
      <w:r w:rsidR="00F30714" w:rsidRPr="00E47183">
        <w:rPr>
          <w:rFonts w:ascii="Arial" w:eastAsia="Times New Roman" w:hAnsi="Arial" w:cs="Arial"/>
          <w:spacing w:val="6"/>
          <w:sz w:val="20"/>
          <w:szCs w:val="20"/>
          <w:lang w:val="en-GB" w:eastAsia="en-GB"/>
        </w:rPr>
        <w:t>nts sector had</w:t>
      </w:r>
      <w:r w:rsidR="00C90A96" w:rsidRPr="00E47183">
        <w:rPr>
          <w:rFonts w:ascii="Arial" w:eastAsia="Times New Roman" w:hAnsi="Arial" w:cs="Arial"/>
          <w:spacing w:val="6"/>
          <w:sz w:val="20"/>
          <w:szCs w:val="20"/>
          <w:lang w:val="en-GB" w:eastAsia="en-GB"/>
        </w:rPr>
        <w:t xml:space="preserve"> shown no sign of improvement in overall audit outcomes, performance targets, consequence management and coordination. </w:t>
      </w:r>
      <w:r w:rsidR="00F30714" w:rsidRPr="00E47183">
        <w:rPr>
          <w:rFonts w:ascii="Arial" w:eastAsia="Times New Roman" w:hAnsi="Arial" w:cs="Arial"/>
          <w:spacing w:val="6"/>
          <w:sz w:val="20"/>
          <w:szCs w:val="20"/>
          <w:lang w:val="en-GB" w:eastAsia="en-GB"/>
        </w:rPr>
        <w:t>This was</w:t>
      </w:r>
      <w:r w:rsidR="00C90A96" w:rsidRPr="00E47183">
        <w:rPr>
          <w:rFonts w:ascii="Arial" w:eastAsia="Times New Roman" w:hAnsi="Arial" w:cs="Arial"/>
          <w:spacing w:val="6"/>
          <w:sz w:val="20"/>
          <w:szCs w:val="20"/>
          <w:lang w:val="en-GB" w:eastAsia="en-GB"/>
        </w:rPr>
        <w:t xml:space="preserve"> characterised by stagnant audit outcomes wh</w:t>
      </w:r>
      <w:r w:rsidR="00F30714" w:rsidRPr="00E47183">
        <w:rPr>
          <w:rFonts w:ascii="Arial" w:eastAsia="Times New Roman" w:hAnsi="Arial" w:cs="Arial"/>
          <w:spacing w:val="6"/>
          <w:sz w:val="20"/>
          <w:szCs w:val="20"/>
          <w:lang w:val="en-GB" w:eastAsia="en-GB"/>
        </w:rPr>
        <w:t>ere material findings were</w:t>
      </w:r>
      <w:r w:rsidR="00C90A96" w:rsidRPr="00E47183">
        <w:rPr>
          <w:rFonts w:ascii="Arial" w:eastAsia="Times New Roman" w:hAnsi="Arial" w:cs="Arial"/>
          <w:spacing w:val="6"/>
          <w:sz w:val="20"/>
          <w:szCs w:val="20"/>
          <w:lang w:val="en-GB" w:eastAsia="en-GB"/>
        </w:rPr>
        <w:t xml:space="preserve"> reported for most entities, as well as poor per</w:t>
      </w:r>
      <w:r w:rsidR="00F30714" w:rsidRPr="00E47183">
        <w:rPr>
          <w:rFonts w:ascii="Arial" w:eastAsia="Times New Roman" w:hAnsi="Arial" w:cs="Arial"/>
          <w:spacing w:val="6"/>
          <w:sz w:val="20"/>
          <w:szCs w:val="20"/>
          <w:lang w:val="en-GB" w:eastAsia="en-GB"/>
        </w:rPr>
        <w:t>formance against set targets. AGSA identified</w:t>
      </w:r>
      <w:r w:rsidR="00C90A96" w:rsidRPr="00E47183">
        <w:rPr>
          <w:rFonts w:ascii="Arial" w:eastAsia="Times New Roman" w:hAnsi="Arial" w:cs="Arial"/>
          <w:spacing w:val="6"/>
          <w:sz w:val="20"/>
          <w:szCs w:val="20"/>
          <w:lang w:val="en-GB" w:eastAsia="en-GB"/>
        </w:rPr>
        <w:t xml:space="preserve"> proj</w:t>
      </w:r>
      <w:r w:rsidR="00F30714" w:rsidRPr="00E47183">
        <w:rPr>
          <w:rFonts w:ascii="Arial" w:eastAsia="Times New Roman" w:hAnsi="Arial" w:cs="Arial"/>
          <w:spacing w:val="6"/>
          <w:sz w:val="20"/>
          <w:szCs w:val="20"/>
          <w:lang w:val="en-GB" w:eastAsia="en-GB"/>
        </w:rPr>
        <w:t>ects that were</w:t>
      </w:r>
      <w:r w:rsidR="00C90A96" w:rsidRPr="00E47183">
        <w:rPr>
          <w:rFonts w:ascii="Arial" w:eastAsia="Times New Roman" w:hAnsi="Arial" w:cs="Arial"/>
          <w:spacing w:val="6"/>
          <w:sz w:val="20"/>
          <w:szCs w:val="20"/>
          <w:lang w:val="en-GB" w:eastAsia="en-GB"/>
        </w:rPr>
        <w:t xml:space="preserve"> incomplete due to insufficient and inadequate project management skills </w:t>
      </w:r>
      <w:r w:rsidR="00F30714" w:rsidRPr="00E47183">
        <w:rPr>
          <w:rFonts w:ascii="Arial" w:eastAsia="Times New Roman" w:hAnsi="Arial" w:cs="Arial"/>
          <w:spacing w:val="6"/>
          <w:sz w:val="20"/>
          <w:szCs w:val="20"/>
          <w:lang w:val="en-GB" w:eastAsia="en-GB"/>
        </w:rPr>
        <w:t xml:space="preserve">within implementing entitles. AGSA </w:t>
      </w:r>
      <w:r w:rsidR="00C90A96" w:rsidRPr="00E47183">
        <w:rPr>
          <w:rFonts w:ascii="Arial" w:eastAsia="Times New Roman" w:hAnsi="Arial" w:cs="Arial"/>
          <w:spacing w:val="6"/>
          <w:sz w:val="20"/>
          <w:szCs w:val="20"/>
          <w:lang w:val="en-GB" w:eastAsia="en-GB"/>
        </w:rPr>
        <w:t>observed that the current processes in place remain</w:t>
      </w:r>
      <w:r w:rsidR="00F30714" w:rsidRPr="00E47183">
        <w:rPr>
          <w:rFonts w:ascii="Arial" w:eastAsia="Times New Roman" w:hAnsi="Arial" w:cs="Arial"/>
          <w:spacing w:val="6"/>
          <w:sz w:val="20"/>
          <w:szCs w:val="20"/>
          <w:lang w:val="en-GB" w:eastAsia="en-GB"/>
        </w:rPr>
        <w:t>ed</w:t>
      </w:r>
      <w:r w:rsidR="00C90A96" w:rsidRPr="00E47183">
        <w:rPr>
          <w:rFonts w:ascii="Arial" w:eastAsia="Times New Roman" w:hAnsi="Arial" w:cs="Arial"/>
          <w:spacing w:val="6"/>
          <w:sz w:val="20"/>
          <w:szCs w:val="20"/>
          <w:lang w:val="en-GB" w:eastAsia="en-GB"/>
        </w:rPr>
        <w:t xml:space="preserve"> inadequate, leading to ineffective coordination of efforts towards mi</w:t>
      </w:r>
      <w:r w:rsidR="00F30714" w:rsidRPr="00E47183">
        <w:rPr>
          <w:rFonts w:ascii="Arial" w:eastAsia="Times New Roman" w:hAnsi="Arial" w:cs="Arial"/>
          <w:spacing w:val="6"/>
          <w:sz w:val="20"/>
          <w:szCs w:val="20"/>
          <w:lang w:val="en-GB" w:eastAsia="en-GB"/>
        </w:rPr>
        <w:t>lestones. This, in turn, created</w:t>
      </w:r>
      <w:r w:rsidR="00C90A96" w:rsidRPr="00E47183">
        <w:rPr>
          <w:rFonts w:ascii="Arial" w:eastAsia="Times New Roman" w:hAnsi="Arial" w:cs="Arial"/>
          <w:spacing w:val="6"/>
          <w:sz w:val="20"/>
          <w:szCs w:val="20"/>
          <w:lang w:val="en-GB" w:eastAsia="en-GB"/>
        </w:rPr>
        <w:t xml:space="preserve"> doubt on the ability of the human settlements sector to fulfil its mandate of providing qualifying citizens with housing.</w:t>
      </w:r>
    </w:p>
    <w:p w:rsidR="0090093C" w:rsidRPr="00E47183" w:rsidRDefault="0090093C" w:rsidP="00E47183">
      <w:pPr>
        <w:spacing w:after="0" w:line="240" w:lineRule="auto"/>
        <w:rPr>
          <w:rFonts w:ascii="Arial" w:eastAsia="Times New Roman" w:hAnsi="Arial" w:cs="Arial"/>
          <w:spacing w:val="6"/>
          <w:sz w:val="20"/>
          <w:szCs w:val="20"/>
          <w:lang w:val="en-GB" w:eastAsia="en-GB"/>
        </w:rPr>
      </w:pPr>
    </w:p>
    <w:p w:rsidR="00C90A96" w:rsidRPr="00E47183" w:rsidRDefault="00C90A96" w:rsidP="00E47183">
      <w:pPr>
        <w:spacing w:after="0" w:line="240" w:lineRule="auto"/>
        <w:rPr>
          <w:rFonts w:ascii="Arial" w:eastAsia="Times New Roman" w:hAnsi="Arial" w:cs="Arial"/>
          <w:spacing w:val="6"/>
          <w:sz w:val="20"/>
          <w:szCs w:val="20"/>
          <w:lang w:val="en-GB" w:eastAsia="en-GB"/>
        </w:rPr>
      </w:pPr>
      <w:r w:rsidRPr="00E47183">
        <w:rPr>
          <w:rFonts w:ascii="Arial" w:eastAsia="Times New Roman" w:hAnsi="Arial" w:cs="Arial"/>
          <w:spacing w:val="6"/>
          <w:sz w:val="20"/>
          <w:szCs w:val="20"/>
          <w:lang w:val="en-GB" w:eastAsia="en-GB"/>
        </w:rPr>
        <w:t>As an example, targets relating to prioritised development areas and bre</w:t>
      </w:r>
      <w:r w:rsidR="009357FA" w:rsidRPr="00E47183">
        <w:rPr>
          <w:rFonts w:ascii="Arial" w:eastAsia="Times New Roman" w:hAnsi="Arial" w:cs="Arial"/>
          <w:spacing w:val="6"/>
          <w:sz w:val="20"/>
          <w:szCs w:val="20"/>
          <w:lang w:val="en-GB" w:eastAsia="en-GB"/>
        </w:rPr>
        <w:t>aking new ground were</w:t>
      </w:r>
      <w:r w:rsidR="0090093C" w:rsidRPr="00E47183">
        <w:rPr>
          <w:rFonts w:ascii="Arial" w:eastAsia="Times New Roman" w:hAnsi="Arial" w:cs="Arial"/>
          <w:spacing w:val="6"/>
          <w:sz w:val="20"/>
          <w:szCs w:val="20"/>
          <w:lang w:val="en-GB" w:eastAsia="en-GB"/>
        </w:rPr>
        <w:t xml:space="preserve"> constantly </w:t>
      </w:r>
      <w:r w:rsidRPr="00E47183">
        <w:rPr>
          <w:rFonts w:ascii="Arial" w:eastAsia="Times New Roman" w:hAnsi="Arial" w:cs="Arial"/>
          <w:spacing w:val="6"/>
          <w:sz w:val="20"/>
          <w:szCs w:val="20"/>
          <w:lang w:val="en-GB" w:eastAsia="en-GB"/>
        </w:rPr>
        <w:t>not met, resulting in a backlog of the supply of low-cost houses. The FL</w:t>
      </w:r>
      <w:r w:rsidR="009357FA" w:rsidRPr="00E47183">
        <w:rPr>
          <w:rFonts w:ascii="Arial" w:eastAsia="Times New Roman" w:hAnsi="Arial" w:cs="Arial"/>
          <w:spacing w:val="6"/>
          <w:sz w:val="20"/>
          <w:szCs w:val="20"/>
          <w:lang w:val="en-GB" w:eastAsia="en-GB"/>
        </w:rPr>
        <w:t>ISP programme had</w:t>
      </w:r>
      <w:r w:rsidR="0090093C" w:rsidRPr="00E47183">
        <w:rPr>
          <w:rFonts w:ascii="Arial" w:eastAsia="Times New Roman" w:hAnsi="Arial" w:cs="Arial"/>
          <w:spacing w:val="6"/>
          <w:sz w:val="20"/>
          <w:szCs w:val="20"/>
          <w:lang w:val="en-GB" w:eastAsia="en-GB"/>
        </w:rPr>
        <w:t xml:space="preserve"> also not been </w:t>
      </w:r>
      <w:r w:rsidRPr="00E47183">
        <w:rPr>
          <w:rFonts w:ascii="Arial" w:eastAsia="Times New Roman" w:hAnsi="Arial" w:cs="Arial"/>
          <w:spacing w:val="6"/>
          <w:sz w:val="20"/>
          <w:szCs w:val="20"/>
          <w:lang w:val="en-GB" w:eastAsia="en-GB"/>
        </w:rPr>
        <w:t>effectively implemented, leaving those people who are often referred to as</w:t>
      </w:r>
      <w:r w:rsidR="0090093C" w:rsidRPr="00E47183">
        <w:rPr>
          <w:rFonts w:ascii="Arial" w:eastAsia="Times New Roman" w:hAnsi="Arial" w:cs="Arial"/>
          <w:spacing w:val="6"/>
          <w:sz w:val="20"/>
          <w:szCs w:val="20"/>
          <w:lang w:val="en-GB" w:eastAsia="en-GB"/>
        </w:rPr>
        <w:t xml:space="preserve"> the ‘missing middle’ stranded. </w:t>
      </w:r>
      <w:r w:rsidRPr="00E47183">
        <w:rPr>
          <w:rFonts w:ascii="Arial" w:eastAsia="Times New Roman" w:hAnsi="Arial" w:cs="Arial"/>
          <w:spacing w:val="6"/>
          <w:sz w:val="20"/>
          <w:szCs w:val="20"/>
          <w:lang w:val="en-GB" w:eastAsia="en-GB"/>
        </w:rPr>
        <w:t>Furthermore, an availability of sufficient social houses close to economic hub</w:t>
      </w:r>
      <w:r w:rsidR="0090093C" w:rsidRPr="00E47183">
        <w:rPr>
          <w:rFonts w:ascii="Arial" w:eastAsia="Times New Roman" w:hAnsi="Arial" w:cs="Arial"/>
          <w:spacing w:val="6"/>
          <w:sz w:val="20"/>
          <w:szCs w:val="20"/>
          <w:lang w:val="en-GB" w:eastAsia="en-GB"/>
        </w:rPr>
        <w:t xml:space="preserve">s could have cushioned citizens </w:t>
      </w:r>
      <w:r w:rsidRPr="00E47183">
        <w:rPr>
          <w:rFonts w:ascii="Arial" w:eastAsia="Times New Roman" w:hAnsi="Arial" w:cs="Arial"/>
          <w:spacing w:val="6"/>
          <w:sz w:val="20"/>
          <w:szCs w:val="20"/>
          <w:lang w:val="en-GB" w:eastAsia="en-GB"/>
        </w:rPr>
        <w:t>from rising transport costs recen</w:t>
      </w:r>
      <w:r w:rsidR="0090093C" w:rsidRPr="00E47183">
        <w:rPr>
          <w:rFonts w:ascii="Arial" w:eastAsia="Times New Roman" w:hAnsi="Arial" w:cs="Arial"/>
          <w:spacing w:val="6"/>
          <w:sz w:val="20"/>
          <w:szCs w:val="20"/>
          <w:lang w:val="en-GB" w:eastAsia="en-GB"/>
        </w:rPr>
        <w:t xml:space="preserve">tly experienced in the country. </w:t>
      </w:r>
      <w:r w:rsidR="009357FA" w:rsidRPr="00E47183">
        <w:rPr>
          <w:rFonts w:ascii="Arial" w:eastAsia="Times New Roman" w:hAnsi="Arial" w:cs="Arial"/>
          <w:spacing w:val="6"/>
          <w:sz w:val="20"/>
          <w:szCs w:val="20"/>
          <w:lang w:val="en-GB" w:eastAsia="en-GB"/>
        </w:rPr>
        <w:t>However,</w:t>
      </w:r>
      <w:r w:rsidRPr="00E47183">
        <w:rPr>
          <w:rFonts w:ascii="Arial" w:eastAsia="Times New Roman" w:hAnsi="Arial" w:cs="Arial"/>
          <w:spacing w:val="6"/>
          <w:sz w:val="20"/>
          <w:szCs w:val="20"/>
          <w:lang w:val="en-GB" w:eastAsia="en-GB"/>
        </w:rPr>
        <w:t xml:space="preserve"> a few of the housing projects that we</w:t>
      </w:r>
      <w:r w:rsidR="0090093C" w:rsidRPr="00E47183">
        <w:rPr>
          <w:rFonts w:ascii="Arial" w:eastAsia="Times New Roman" w:hAnsi="Arial" w:cs="Arial"/>
          <w:spacing w:val="6"/>
          <w:sz w:val="20"/>
          <w:szCs w:val="20"/>
          <w:lang w:val="en-GB" w:eastAsia="en-GB"/>
        </w:rPr>
        <w:t xml:space="preserve">re included for a follow-up had </w:t>
      </w:r>
      <w:r w:rsidR="009357FA" w:rsidRPr="00E47183">
        <w:rPr>
          <w:rFonts w:ascii="Arial" w:eastAsia="Times New Roman" w:hAnsi="Arial" w:cs="Arial"/>
          <w:spacing w:val="6"/>
          <w:sz w:val="20"/>
          <w:szCs w:val="20"/>
          <w:lang w:val="en-GB" w:eastAsia="en-GB"/>
        </w:rPr>
        <w:t>no repeat findings. On the</w:t>
      </w:r>
      <w:r w:rsidRPr="00E47183">
        <w:rPr>
          <w:rFonts w:ascii="Arial" w:eastAsia="Times New Roman" w:hAnsi="Arial" w:cs="Arial"/>
          <w:spacing w:val="6"/>
          <w:sz w:val="20"/>
          <w:szCs w:val="20"/>
          <w:lang w:val="en-GB" w:eastAsia="en-GB"/>
        </w:rPr>
        <w:t xml:space="preserve"> follow-up on prior years’ findings confirmed th</w:t>
      </w:r>
      <w:r w:rsidR="009357FA" w:rsidRPr="00E47183">
        <w:rPr>
          <w:rFonts w:ascii="Arial" w:eastAsia="Times New Roman" w:hAnsi="Arial" w:cs="Arial"/>
          <w:spacing w:val="6"/>
          <w:sz w:val="20"/>
          <w:szCs w:val="20"/>
          <w:lang w:val="en-GB" w:eastAsia="en-GB"/>
        </w:rPr>
        <w:t>at some accounting officers were</w:t>
      </w:r>
      <w:r w:rsidR="0090093C" w:rsidRPr="00E47183">
        <w:rPr>
          <w:rFonts w:ascii="Arial" w:eastAsia="Times New Roman" w:hAnsi="Arial" w:cs="Arial"/>
          <w:spacing w:val="6"/>
          <w:sz w:val="20"/>
          <w:szCs w:val="20"/>
          <w:lang w:val="en-GB" w:eastAsia="en-GB"/>
        </w:rPr>
        <w:t xml:space="preserve"> </w:t>
      </w:r>
      <w:r w:rsidRPr="00E47183">
        <w:rPr>
          <w:rFonts w:ascii="Arial" w:eastAsia="Times New Roman" w:hAnsi="Arial" w:cs="Arial"/>
          <w:spacing w:val="6"/>
          <w:sz w:val="20"/>
          <w:szCs w:val="20"/>
          <w:lang w:val="en-GB" w:eastAsia="en-GB"/>
        </w:rPr>
        <w:t>not implementing a responsive action plan to a</w:t>
      </w:r>
      <w:r w:rsidR="009357FA" w:rsidRPr="00E47183">
        <w:rPr>
          <w:rFonts w:ascii="Arial" w:eastAsia="Times New Roman" w:hAnsi="Arial" w:cs="Arial"/>
          <w:spacing w:val="6"/>
          <w:sz w:val="20"/>
          <w:szCs w:val="20"/>
          <w:lang w:val="en-GB" w:eastAsia="en-GB"/>
        </w:rPr>
        <w:t>ddress the AGSA findings. This was</w:t>
      </w:r>
      <w:r w:rsidRPr="00E47183">
        <w:rPr>
          <w:rFonts w:ascii="Arial" w:eastAsia="Times New Roman" w:hAnsi="Arial" w:cs="Arial"/>
          <w:spacing w:val="6"/>
          <w:sz w:val="20"/>
          <w:szCs w:val="20"/>
          <w:lang w:val="en-GB" w:eastAsia="en-GB"/>
        </w:rPr>
        <w:t xml:space="preserve"> indicat</w:t>
      </w:r>
      <w:r w:rsidR="009357FA" w:rsidRPr="00E47183">
        <w:rPr>
          <w:rFonts w:ascii="Arial" w:eastAsia="Times New Roman" w:hAnsi="Arial" w:cs="Arial"/>
          <w:spacing w:val="6"/>
          <w:sz w:val="20"/>
          <w:szCs w:val="20"/>
          <w:lang w:val="en-GB" w:eastAsia="en-GB"/>
        </w:rPr>
        <w:t>ive that the call for action was</w:t>
      </w:r>
      <w:r w:rsidR="0090093C" w:rsidRPr="00E47183">
        <w:rPr>
          <w:rFonts w:ascii="Arial" w:eastAsia="Times New Roman" w:hAnsi="Arial" w:cs="Arial"/>
          <w:spacing w:val="6"/>
          <w:sz w:val="20"/>
          <w:szCs w:val="20"/>
          <w:lang w:val="en-GB" w:eastAsia="en-GB"/>
        </w:rPr>
        <w:t xml:space="preserve"> </w:t>
      </w:r>
      <w:r w:rsidR="009357FA" w:rsidRPr="00E47183">
        <w:rPr>
          <w:rFonts w:ascii="Arial" w:eastAsia="Times New Roman" w:hAnsi="Arial" w:cs="Arial"/>
          <w:spacing w:val="6"/>
          <w:sz w:val="20"/>
          <w:szCs w:val="20"/>
          <w:lang w:val="en-GB" w:eastAsia="en-GB"/>
        </w:rPr>
        <w:t>not taken seriously, and this was</w:t>
      </w:r>
      <w:r w:rsidRPr="00E47183">
        <w:rPr>
          <w:rFonts w:ascii="Arial" w:eastAsia="Times New Roman" w:hAnsi="Arial" w:cs="Arial"/>
          <w:spacing w:val="6"/>
          <w:sz w:val="20"/>
          <w:szCs w:val="20"/>
          <w:lang w:val="en-GB" w:eastAsia="en-GB"/>
        </w:rPr>
        <w:t xml:space="preserve"> driving the observed negative trend of repeat audit findings.</w:t>
      </w:r>
    </w:p>
    <w:p w:rsidR="004C36E8" w:rsidRPr="00E47183" w:rsidRDefault="004C36E8" w:rsidP="00E47183">
      <w:pPr>
        <w:spacing w:after="0" w:line="240" w:lineRule="auto"/>
        <w:rPr>
          <w:rFonts w:ascii="Arial" w:hAnsi="Arial" w:cs="Arial"/>
          <w:sz w:val="20"/>
          <w:szCs w:val="20"/>
        </w:rPr>
      </w:pPr>
    </w:p>
    <w:p w:rsidR="004C36E8" w:rsidRPr="00E47183" w:rsidRDefault="004C36E8" w:rsidP="00E47183">
      <w:pPr>
        <w:spacing w:after="0" w:line="240" w:lineRule="auto"/>
        <w:rPr>
          <w:rFonts w:ascii="Arial" w:hAnsi="Arial" w:cs="Arial"/>
          <w:b/>
          <w:sz w:val="20"/>
          <w:szCs w:val="20"/>
        </w:rPr>
      </w:pPr>
      <w:r w:rsidRPr="00E47183">
        <w:rPr>
          <w:rFonts w:ascii="Arial" w:hAnsi="Arial" w:cs="Arial"/>
          <w:b/>
          <w:sz w:val="20"/>
          <w:szCs w:val="20"/>
        </w:rPr>
        <w:t xml:space="preserve">9.3.  Recommendations to the Committee </w:t>
      </w:r>
    </w:p>
    <w:p w:rsidR="00D86CE3" w:rsidRPr="00E47183" w:rsidRDefault="00D86CE3" w:rsidP="00E47183">
      <w:pPr>
        <w:kinsoku w:val="0"/>
        <w:overflowPunct w:val="0"/>
        <w:spacing w:after="0" w:line="240" w:lineRule="auto"/>
        <w:textAlignment w:val="baseline"/>
        <w:rPr>
          <w:rFonts w:ascii="Arial" w:hAnsi="Arial" w:cs="Arial"/>
          <w:sz w:val="20"/>
          <w:szCs w:val="20"/>
        </w:rPr>
      </w:pPr>
    </w:p>
    <w:p w:rsidR="003D69A9" w:rsidRPr="00E47183" w:rsidRDefault="003D69A9" w:rsidP="00E47183">
      <w:pPr>
        <w:kinsoku w:val="0"/>
        <w:overflowPunct w:val="0"/>
        <w:spacing w:after="0" w:line="240" w:lineRule="auto"/>
        <w:textAlignment w:val="baseline"/>
        <w:rPr>
          <w:rFonts w:ascii="Arial" w:hAnsi="Arial" w:cs="Arial"/>
          <w:sz w:val="20"/>
          <w:szCs w:val="20"/>
        </w:rPr>
      </w:pPr>
      <w:r w:rsidRPr="00E47183">
        <w:rPr>
          <w:rFonts w:ascii="Arial" w:hAnsi="Arial" w:cs="Arial"/>
          <w:sz w:val="20"/>
          <w:szCs w:val="20"/>
        </w:rPr>
        <w:t>The AGSA provided the following recommendations to the Committee:</w:t>
      </w:r>
    </w:p>
    <w:p w:rsidR="00F30714" w:rsidRPr="00E47183" w:rsidRDefault="00F30714" w:rsidP="00E47183">
      <w:pPr>
        <w:pStyle w:val="ListParagraph"/>
        <w:numPr>
          <w:ilvl w:val="0"/>
          <w:numId w:val="22"/>
        </w:numPr>
        <w:spacing w:line="240" w:lineRule="auto"/>
        <w:rPr>
          <w:rFonts w:cs="Arial"/>
          <w:sz w:val="20"/>
          <w:szCs w:val="20"/>
        </w:rPr>
      </w:pPr>
      <w:r w:rsidRPr="00E47183">
        <w:rPr>
          <w:rFonts w:cs="Arial"/>
          <w:sz w:val="20"/>
          <w:szCs w:val="20"/>
        </w:rPr>
        <w:t>Better coordinate planning and reporting across the sector, by ensuring that the pla</w:t>
      </w:r>
      <w:r w:rsidR="009357FA" w:rsidRPr="00E47183">
        <w:rPr>
          <w:rFonts w:cs="Arial"/>
          <w:sz w:val="20"/>
          <w:szCs w:val="20"/>
        </w:rPr>
        <w:t>nned performance of the D</w:t>
      </w:r>
      <w:r w:rsidRPr="00E47183">
        <w:rPr>
          <w:rFonts w:cs="Arial"/>
          <w:sz w:val="20"/>
          <w:szCs w:val="20"/>
        </w:rPr>
        <w:t>epartment and its grant beneficiaries are customized in the respective annual performance plans and annual performance reports, thereby improving the usefulness and reliability of reported performance against predetermined objectives.</w:t>
      </w:r>
    </w:p>
    <w:p w:rsidR="00F30714" w:rsidRPr="00E47183" w:rsidRDefault="00F30714" w:rsidP="00E47183">
      <w:pPr>
        <w:pStyle w:val="ListParagraph"/>
        <w:numPr>
          <w:ilvl w:val="0"/>
          <w:numId w:val="22"/>
        </w:numPr>
        <w:spacing w:line="240" w:lineRule="auto"/>
        <w:rPr>
          <w:rFonts w:cs="Arial"/>
          <w:sz w:val="20"/>
          <w:szCs w:val="20"/>
        </w:rPr>
      </w:pPr>
      <w:r w:rsidRPr="00E47183">
        <w:rPr>
          <w:rFonts w:cs="Arial"/>
          <w:sz w:val="20"/>
          <w:szCs w:val="20"/>
        </w:rPr>
        <w:t>Ensure that the resources of the sector are used effectively, efficiently and economically; and follow up on any instances where the money spent does not correlate with t</w:t>
      </w:r>
      <w:r w:rsidR="009357FA" w:rsidRPr="00E47183">
        <w:rPr>
          <w:rFonts w:cs="Arial"/>
          <w:sz w:val="20"/>
          <w:szCs w:val="20"/>
        </w:rPr>
        <w:t>he actual performance. This would</w:t>
      </w:r>
      <w:r w:rsidRPr="00E47183">
        <w:rPr>
          <w:rFonts w:cs="Arial"/>
          <w:sz w:val="20"/>
          <w:szCs w:val="20"/>
        </w:rPr>
        <w:t xml:space="preserve"> ensure that action is taken against any non-compliance that </w:t>
      </w:r>
      <w:r w:rsidR="009357FA" w:rsidRPr="00E47183">
        <w:rPr>
          <w:rFonts w:cs="Arial"/>
          <w:sz w:val="20"/>
          <w:szCs w:val="20"/>
        </w:rPr>
        <w:t>causes</w:t>
      </w:r>
      <w:r w:rsidRPr="00E47183">
        <w:rPr>
          <w:rFonts w:cs="Arial"/>
          <w:sz w:val="20"/>
          <w:szCs w:val="20"/>
        </w:rPr>
        <w:t xml:space="preserve"> material </w:t>
      </w:r>
      <w:r w:rsidR="00463182" w:rsidRPr="00E47183">
        <w:rPr>
          <w:rFonts w:cs="Arial"/>
          <w:sz w:val="20"/>
          <w:szCs w:val="20"/>
        </w:rPr>
        <w:t>financial losses to the D</w:t>
      </w:r>
      <w:r w:rsidRPr="00E47183">
        <w:rPr>
          <w:rFonts w:cs="Arial"/>
          <w:sz w:val="20"/>
          <w:szCs w:val="20"/>
        </w:rPr>
        <w:t>epartments.</w:t>
      </w:r>
    </w:p>
    <w:p w:rsidR="00F30714" w:rsidRPr="00E47183" w:rsidRDefault="00F30714" w:rsidP="00E47183">
      <w:pPr>
        <w:pStyle w:val="ListParagraph"/>
        <w:numPr>
          <w:ilvl w:val="0"/>
          <w:numId w:val="22"/>
        </w:numPr>
        <w:spacing w:line="240" w:lineRule="auto"/>
        <w:rPr>
          <w:rFonts w:cs="Arial"/>
          <w:sz w:val="20"/>
          <w:szCs w:val="20"/>
        </w:rPr>
      </w:pPr>
      <w:r w:rsidRPr="00E47183">
        <w:rPr>
          <w:rFonts w:cs="Arial"/>
          <w:sz w:val="20"/>
          <w:szCs w:val="20"/>
        </w:rPr>
        <w:t>Seek to ensure that projects attracting housing investment from the government should have schools, clinics, recreational facilities, running water and adequate sanitation and, importantly, access to basic and economic activities.</w:t>
      </w:r>
    </w:p>
    <w:p w:rsidR="00F30714" w:rsidRPr="00E47183" w:rsidRDefault="00F30714" w:rsidP="00E47183">
      <w:pPr>
        <w:pStyle w:val="ListParagraph"/>
        <w:numPr>
          <w:ilvl w:val="0"/>
          <w:numId w:val="22"/>
        </w:numPr>
        <w:spacing w:line="240" w:lineRule="auto"/>
        <w:rPr>
          <w:rFonts w:cs="Arial"/>
          <w:sz w:val="20"/>
          <w:szCs w:val="20"/>
        </w:rPr>
      </w:pPr>
      <w:r w:rsidRPr="00E47183">
        <w:rPr>
          <w:rFonts w:cs="Arial"/>
          <w:sz w:val="20"/>
          <w:szCs w:val="20"/>
        </w:rPr>
        <w:t>Require the NHBRC to report on instances where quality defects are identified during inspections of projects and adequate steps are not taken by the provincial department.</w:t>
      </w:r>
    </w:p>
    <w:p w:rsidR="004C36E8" w:rsidRPr="00E47183" w:rsidRDefault="00F30714" w:rsidP="00E47183">
      <w:pPr>
        <w:pStyle w:val="ListParagraph"/>
        <w:numPr>
          <w:ilvl w:val="0"/>
          <w:numId w:val="22"/>
        </w:numPr>
        <w:spacing w:line="240" w:lineRule="auto"/>
        <w:rPr>
          <w:rFonts w:cs="Arial"/>
          <w:sz w:val="20"/>
          <w:szCs w:val="20"/>
        </w:rPr>
      </w:pPr>
      <w:r w:rsidRPr="00E47183">
        <w:rPr>
          <w:rFonts w:cs="Arial"/>
          <w:sz w:val="20"/>
          <w:szCs w:val="20"/>
        </w:rPr>
        <w:t>Develop mechanisms that ensures recommendations made to provinces and entities to improve performance are implemented and followed up on. There should be streamlined processes that allow for a direct link between expenditure reported and performance achieved against targets.</w:t>
      </w:r>
    </w:p>
    <w:p w:rsidR="00243367" w:rsidRPr="00E47183" w:rsidRDefault="00243367" w:rsidP="00E47183">
      <w:pPr>
        <w:spacing w:after="0" w:line="240" w:lineRule="auto"/>
        <w:contextualSpacing/>
        <w:rPr>
          <w:rFonts w:ascii="Arial" w:eastAsia="Times New Roman" w:hAnsi="Arial" w:cs="Arial"/>
          <w:spacing w:val="6"/>
          <w:sz w:val="20"/>
          <w:szCs w:val="20"/>
          <w:lang w:val="en-GB" w:eastAsia="en-GB"/>
        </w:rPr>
      </w:pPr>
    </w:p>
    <w:p w:rsidR="00D63268" w:rsidRPr="00E47183" w:rsidRDefault="00D63268" w:rsidP="00E47183">
      <w:pPr>
        <w:spacing w:after="0" w:line="240" w:lineRule="auto"/>
        <w:contextualSpacing/>
        <w:rPr>
          <w:rFonts w:ascii="Arial" w:eastAsia="Times New Roman" w:hAnsi="Arial" w:cs="Arial"/>
          <w:spacing w:val="6"/>
          <w:sz w:val="20"/>
          <w:szCs w:val="20"/>
          <w:lang w:val="en-GB" w:eastAsia="en-GB"/>
        </w:rPr>
      </w:pPr>
    </w:p>
    <w:p w:rsidR="004302F5" w:rsidRPr="00E47183" w:rsidRDefault="000248DC" w:rsidP="00E47183">
      <w:pPr>
        <w:kinsoku w:val="0"/>
        <w:overflowPunct w:val="0"/>
        <w:spacing w:after="0" w:line="240" w:lineRule="auto"/>
        <w:textAlignment w:val="baseline"/>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10</w:t>
      </w:r>
      <w:r w:rsidR="004302F5" w:rsidRPr="00E47183">
        <w:rPr>
          <w:rFonts w:ascii="Arial" w:eastAsia="Times New Roman" w:hAnsi="Arial" w:cs="Arial"/>
          <w:b/>
          <w:color w:val="000000"/>
          <w:spacing w:val="6"/>
          <w:sz w:val="20"/>
          <w:szCs w:val="20"/>
          <w:lang w:val="en-ZA" w:eastAsia="en-GB"/>
        </w:rPr>
        <w:t>. REFLECTION BY THE DEPARTMENT OF PLANNING, MONITORING AND EVALUATION</w:t>
      </w:r>
      <w:r w:rsidR="00144533" w:rsidRPr="00E47183">
        <w:rPr>
          <w:rFonts w:ascii="Arial" w:eastAsia="Times New Roman" w:hAnsi="Arial" w:cs="Arial"/>
          <w:b/>
          <w:color w:val="000000"/>
          <w:spacing w:val="6"/>
          <w:sz w:val="20"/>
          <w:szCs w:val="20"/>
          <w:lang w:val="en-ZA" w:eastAsia="en-GB"/>
        </w:rPr>
        <w:t xml:space="preserve"> (DPME)</w:t>
      </w:r>
    </w:p>
    <w:p w:rsidR="00F504F3" w:rsidRPr="00E47183" w:rsidRDefault="00F504F3" w:rsidP="00E47183">
      <w:pPr>
        <w:kinsoku w:val="0"/>
        <w:overflowPunct w:val="0"/>
        <w:spacing w:after="0" w:line="240" w:lineRule="auto"/>
        <w:textAlignment w:val="baseline"/>
        <w:rPr>
          <w:rFonts w:ascii="Arial" w:eastAsia="Times New Roman" w:hAnsi="Arial" w:cs="Arial"/>
          <w:b/>
          <w:color w:val="000000"/>
          <w:spacing w:val="6"/>
          <w:sz w:val="20"/>
          <w:szCs w:val="20"/>
          <w:lang w:val="en-ZA" w:eastAsia="en-GB"/>
        </w:rPr>
      </w:pPr>
    </w:p>
    <w:p w:rsidR="00452F82" w:rsidRPr="00E47183" w:rsidRDefault="00144533" w:rsidP="00E47183">
      <w:pPr>
        <w:kinsoku w:val="0"/>
        <w:overflowPunct w:val="0"/>
        <w:spacing w:after="0" w:line="240" w:lineRule="auto"/>
        <w:textAlignment w:val="baseline"/>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The Committee was briefed in a virtual meeting by the DPME on its analysis of the quarterly performance reports of the</w:t>
      </w:r>
      <w:r w:rsidR="00A831C5" w:rsidRPr="00E47183">
        <w:rPr>
          <w:rFonts w:ascii="Arial" w:eastAsia="Times New Roman" w:hAnsi="Arial" w:cs="Arial"/>
          <w:color w:val="000000"/>
          <w:spacing w:val="6"/>
          <w:sz w:val="20"/>
          <w:szCs w:val="20"/>
          <w:lang w:val="en-ZA" w:eastAsia="en-GB"/>
        </w:rPr>
        <w:t xml:space="preserve"> Department</w:t>
      </w:r>
      <w:r w:rsidRPr="00E47183">
        <w:rPr>
          <w:rFonts w:ascii="Arial" w:eastAsia="Times New Roman" w:hAnsi="Arial" w:cs="Arial"/>
          <w:color w:val="000000"/>
          <w:spacing w:val="6"/>
          <w:sz w:val="20"/>
          <w:szCs w:val="20"/>
          <w:lang w:val="en-ZA" w:eastAsia="en-GB"/>
        </w:rPr>
        <w:t xml:space="preserve">. </w:t>
      </w:r>
      <w:r w:rsidR="00452F82" w:rsidRPr="00E47183">
        <w:rPr>
          <w:rFonts w:ascii="Arial" w:eastAsia="Times New Roman" w:hAnsi="Arial" w:cs="Arial"/>
          <w:color w:val="000000"/>
          <w:spacing w:val="6"/>
          <w:sz w:val="20"/>
          <w:szCs w:val="20"/>
          <w:lang w:val="en-ZA" w:eastAsia="en-GB"/>
        </w:rPr>
        <w:t>The DPME raised the following concerns</w:t>
      </w:r>
      <w:r w:rsidRPr="00E47183">
        <w:rPr>
          <w:rFonts w:ascii="Arial" w:eastAsia="Times New Roman" w:hAnsi="Arial" w:cs="Arial"/>
          <w:color w:val="000000"/>
          <w:spacing w:val="6"/>
          <w:sz w:val="20"/>
          <w:szCs w:val="20"/>
          <w:lang w:val="en-ZA" w:eastAsia="en-GB"/>
        </w:rPr>
        <w:t>:</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Lack of suitable land for the development of low-cost houses had resulted in land invasion becoming increasingly rampant as an alternative for those in need.</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Delays in transfer and rezoning of land, including government owned land, denies the poor households to improve their living conditions.</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High cost of well-located land for human settlements development drives development to periphery; contributing to urban sprawl.</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As a result of slow rezoning of strategically well-located land in PDAs, developments still implemented outside urban edge, adversely affecting poor households.</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Slow delivery of serviced sites delays the improvement of the living conditions of poor households.</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Slow pace in delivery of social housing exacerbated by Covid-19 as tenants defaulted monthly rentals despite debt relief grant provided by government.</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lastRenderedPageBreak/>
        <w:t xml:space="preserve">Community Residential Units (low income rental) performance remained sub-optimal; most municipalities reluctant to build more due to culture of non-payment and high costs in maintenance. </w:t>
      </w:r>
    </w:p>
    <w:p w:rsidR="0097332F" w:rsidRPr="00E47183" w:rsidRDefault="0097332F" w:rsidP="00E47183">
      <w:pPr>
        <w:pStyle w:val="ListParagraph"/>
        <w:numPr>
          <w:ilvl w:val="0"/>
          <w:numId w:val="23"/>
        </w:numPr>
        <w:kinsoku w:val="0"/>
        <w:overflowPunct w:val="0"/>
        <w:spacing w:line="240" w:lineRule="auto"/>
        <w:textAlignment w:val="baseline"/>
        <w:rPr>
          <w:rFonts w:cs="Arial"/>
          <w:sz w:val="20"/>
          <w:szCs w:val="20"/>
        </w:rPr>
      </w:pPr>
      <w:r w:rsidRPr="00E47183">
        <w:rPr>
          <w:rFonts w:cs="Arial"/>
          <w:sz w:val="20"/>
          <w:szCs w:val="20"/>
        </w:rPr>
        <w:t>Lack of forward planning by provinces and poor contractor performance affects overall delivery of houses for the poor who suffer the consequences of inefficiency</w:t>
      </w:r>
      <w:r w:rsidR="003D69A9" w:rsidRPr="00E47183">
        <w:rPr>
          <w:rFonts w:cs="Arial"/>
          <w:sz w:val="20"/>
          <w:szCs w:val="20"/>
        </w:rPr>
        <w:t>.</w:t>
      </w:r>
    </w:p>
    <w:p w:rsidR="00463182" w:rsidRPr="00E47183" w:rsidRDefault="00463182" w:rsidP="00E47183">
      <w:pPr>
        <w:kinsoku w:val="0"/>
        <w:overflowPunct w:val="0"/>
        <w:spacing w:after="0" w:line="240" w:lineRule="auto"/>
        <w:textAlignment w:val="baseline"/>
        <w:rPr>
          <w:rFonts w:ascii="Arial" w:hAnsi="Arial" w:cs="Arial"/>
          <w:b/>
          <w:sz w:val="20"/>
          <w:szCs w:val="20"/>
        </w:rPr>
      </w:pPr>
    </w:p>
    <w:p w:rsidR="00942A05" w:rsidRPr="00E47183" w:rsidRDefault="00942A05" w:rsidP="00E47183">
      <w:pPr>
        <w:kinsoku w:val="0"/>
        <w:overflowPunct w:val="0"/>
        <w:spacing w:after="0" w:line="240" w:lineRule="auto"/>
        <w:textAlignment w:val="baseline"/>
        <w:rPr>
          <w:rFonts w:ascii="Arial" w:hAnsi="Arial" w:cs="Arial"/>
          <w:b/>
          <w:sz w:val="20"/>
          <w:szCs w:val="20"/>
        </w:rPr>
      </w:pPr>
      <w:r w:rsidRPr="00E47183">
        <w:rPr>
          <w:rFonts w:ascii="Arial" w:hAnsi="Arial" w:cs="Arial"/>
          <w:b/>
          <w:sz w:val="20"/>
          <w:szCs w:val="20"/>
        </w:rPr>
        <w:t>10.1. Recommendations to the Committee</w:t>
      </w:r>
    </w:p>
    <w:p w:rsidR="00D86CE3" w:rsidRPr="00E47183" w:rsidRDefault="00D86CE3" w:rsidP="00E47183">
      <w:pPr>
        <w:kinsoku w:val="0"/>
        <w:overflowPunct w:val="0"/>
        <w:spacing w:after="0" w:line="240" w:lineRule="auto"/>
        <w:textAlignment w:val="baseline"/>
        <w:rPr>
          <w:rFonts w:ascii="Arial" w:hAnsi="Arial" w:cs="Arial"/>
          <w:sz w:val="20"/>
          <w:szCs w:val="20"/>
        </w:rPr>
      </w:pPr>
    </w:p>
    <w:p w:rsidR="004C36E8" w:rsidRPr="00E47183" w:rsidRDefault="00942A05" w:rsidP="00E47183">
      <w:pPr>
        <w:kinsoku w:val="0"/>
        <w:overflowPunct w:val="0"/>
        <w:spacing w:after="0" w:line="240" w:lineRule="auto"/>
        <w:textAlignment w:val="baseline"/>
        <w:rPr>
          <w:rFonts w:ascii="Arial" w:hAnsi="Arial" w:cs="Arial"/>
          <w:sz w:val="20"/>
          <w:szCs w:val="20"/>
        </w:rPr>
      </w:pPr>
      <w:r w:rsidRPr="00E47183">
        <w:rPr>
          <w:rFonts w:ascii="Arial" w:hAnsi="Arial" w:cs="Arial"/>
          <w:sz w:val="20"/>
          <w:szCs w:val="20"/>
        </w:rPr>
        <w:t>The DPME provided the following recommendations to the Committee:</w:t>
      </w:r>
    </w:p>
    <w:p w:rsidR="006C7D94" w:rsidRPr="00E47183" w:rsidRDefault="006C7D94" w:rsidP="00E47183">
      <w:pPr>
        <w:pStyle w:val="ListParagraph"/>
        <w:numPr>
          <w:ilvl w:val="0"/>
          <w:numId w:val="24"/>
        </w:numPr>
        <w:kinsoku w:val="0"/>
        <w:overflowPunct w:val="0"/>
        <w:spacing w:line="240" w:lineRule="auto"/>
        <w:textAlignment w:val="baseline"/>
        <w:rPr>
          <w:rFonts w:cs="Arial"/>
          <w:sz w:val="20"/>
          <w:szCs w:val="20"/>
        </w:rPr>
      </w:pPr>
      <w:r w:rsidRPr="00E47183">
        <w:rPr>
          <w:rFonts w:cs="Arial"/>
          <w:sz w:val="20"/>
          <w:szCs w:val="20"/>
        </w:rPr>
        <w:t>Ensure the release of strategically well-located public and privately-owned land for human settlements development should be prioritized; urgent rezoning of acquired land in PDAs.</w:t>
      </w:r>
    </w:p>
    <w:p w:rsidR="006C7D94" w:rsidRPr="00E47183" w:rsidRDefault="006C7D94" w:rsidP="00E47183">
      <w:pPr>
        <w:pStyle w:val="ListParagraph"/>
        <w:numPr>
          <w:ilvl w:val="0"/>
          <w:numId w:val="24"/>
        </w:numPr>
        <w:kinsoku w:val="0"/>
        <w:overflowPunct w:val="0"/>
        <w:spacing w:line="240" w:lineRule="auto"/>
        <w:textAlignment w:val="baseline"/>
        <w:rPr>
          <w:rFonts w:cs="Arial"/>
          <w:sz w:val="20"/>
          <w:szCs w:val="20"/>
        </w:rPr>
      </w:pPr>
      <w:r w:rsidRPr="00E47183">
        <w:rPr>
          <w:rFonts w:cs="Arial"/>
          <w:sz w:val="20"/>
          <w:szCs w:val="20"/>
        </w:rPr>
        <w:t>Ensure the implementation and upscaling of upgrading of informal settlements by resolving outstanding policy issues. Attention to the implementation and programme management capacity at the different levels of government.</w:t>
      </w:r>
    </w:p>
    <w:p w:rsidR="006C7D94" w:rsidRPr="00E47183" w:rsidRDefault="006C7D94" w:rsidP="00E47183">
      <w:pPr>
        <w:pStyle w:val="ListParagraph"/>
        <w:numPr>
          <w:ilvl w:val="0"/>
          <w:numId w:val="24"/>
        </w:numPr>
        <w:kinsoku w:val="0"/>
        <w:overflowPunct w:val="0"/>
        <w:spacing w:line="240" w:lineRule="auto"/>
        <w:textAlignment w:val="baseline"/>
        <w:rPr>
          <w:rFonts w:cs="Arial"/>
          <w:sz w:val="20"/>
          <w:szCs w:val="20"/>
        </w:rPr>
      </w:pPr>
      <w:r w:rsidRPr="00E47183">
        <w:rPr>
          <w:rFonts w:cs="Arial"/>
          <w:sz w:val="20"/>
          <w:szCs w:val="20"/>
        </w:rPr>
        <w:t>Ensure the establishment of a new set of operational and institutional arrangements to inform the development of an appropriate funding mechanism for Human Settlements programmes</w:t>
      </w:r>
      <w:r w:rsidR="008A283E" w:rsidRPr="00E47183">
        <w:rPr>
          <w:rFonts w:cs="Arial"/>
          <w:sz w:val="20"/>
          <w:szCs w:val="20"/>
        </w:rPr>
        <w:t>.</w:t>
      </w:r>
    </w:p>
    <w:p w:rsidR="006C7D94" w:rsidRPr="00E47183" w:rsidRDefault="006C7D94" w:rsidP="00E47183">
      <w:pPr>
        <w:pStyle w:val="ListParagraph"/>
        <w:numPr>
          <w:ilvl w:val="0"/>
          <w:numId w:val="24"/>
        </w:numPr>
        <w:kinsoku w:val="0"/>
        <w:overflowPunct w:val="0"/>
        <w:spacing w:line="240" w:lineRule="auto"/>
        <w:textAlignment w:val="baseline"/>
        <w:rPr>
          <w:rFonts w:cs="Arial"/>
          <w:sz w:val="20"/>
          <w:szCs w:val="20"/>
        </w:rPr>
      </w:pPr>
      <w:r w:rsidRPr="00E47183">
        <w:rPr>
          <w:rFonts w:cs="Arial"/>
          <w:sz w:val="20"/>
          <w:szCs w:val="20"/>
        </w:rPr>
        <w:t>Urgently address the systemic issues contributing to growing title deed backlog;</w:t>
      </w:r>
      <w:r w:rsidR="008A283E" w:rsidRPr="00E47183">
        <w:rPr>
          <w:rFonts w:cs="Arial"/>
          <w:sz w:val="20"/>
          <w:szCs w:val="20"/>
        </w:rPr>
        <w:t xml:space="preserve"> consider best practice models. Presidency or </w:t>
      </w:r>
      <w:r w:rsidRPr="00E47183">
        <w:rPr>
          <w:rFonts w:cs="Arial"/>
          <w:sz w:val="20"/>
          <w:szCs w:val="20"/>
        </w:rPr>
        <w:t>DPME to urgently coordinate intergovernmental Title Deed Summit and implementation of the recommendations be placed under the Inter-Ministerial Committee for Land</w:t>
      </w:r>
      <w:r w:rsidR="008A283E" w:rsidRPr="00E47183">
        <w:rPr>
          <w:rFonts w:cs="Arial"/>
          <w:sz w:val="20"/>
          <w:szCs w:val="20"/>
        </w:rPr>
        <w:t>.</w:t>
      </w:r>
    </w:p>
    <w:p w:rsidR="004C36E8" w:rsidRPr="00E47183" w:rsidRDefault="004C36E8" w:rsidP="00E47183">
      <w:pPr>
        <w:pStyle w:val="ListParagraph"/>
        <w:kinsoku w:val="0"/>
        <w:overflowPunct w:val="0"/>
        <w:spacing w:line="240" w:lineRule="auto"/>
        <w:textAlignment w:val="baseline"/>
        <w:rPr>
          <w:rFonts w:cs="Arial"/>
          <w:sz w:val="20"/>
          <w:szCs w:val="20"/>
        </w:rPr>
      </w:pPr>
    </w:p>
    <w:p w:rsidR="003B249F" w:rsidRPr="00E47183" w:rsidRDefault="003B249F" w:rsidP="00E47183">
      <w:pPr>
        <w:kinsoku w:val="0"/>
        <w:overflowPunct w:val="0"/>
        <w:spacing w:after="0" w:line="240" w:lineRule="auto"/>
        <w:textAlignment w:val="baseline"/>
        <w:rPr>
          <w:rFonts w:ascii="Arial" w:hAnsi="Arial" w:cs="Arial"/>
          <w:sz w:val="20"/>
          <w:szCs w:val="20"/>
        </w:rPr>
      </w:pPr>
    </w:p>
    <w:p w:rsidR="004302F5" w:rsidRPr="00E47183" w:rsidRDefault="000248DC" w:rsidP="00E47183">
      <w:pPr>
        <w:kinsoku w:val="0"/>
        <w:overflowPunct w:val="0"/>
        <w:spacing w:after="0" w:line="240" w:lineRule="auto"/>
        <w:textAlignment w:val="baseline"/>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11</w:t>
      </w:r>
      <w:r w:rsidR="004302F5" w:rsidRPr="00E47183">
        <w:rPr>
          <w:rFonts w:ascii="Arial" w:eastAsia="Times New Roman" w:hAnsi="Arial" w:cs="Arial"/>
          <w:b/>
          <w:color w:val="000000"/>
          <w:spacing w:val="6"/>
          <w:sz w:val="20"/>
          <w:szCs w:val="20"/>
          <w:lang w:val="en-ZA" w:eastAsia="en-GB"/>
        </w:rPr>
        <w:t>.</w:t>
      </w:r>
      <w:r w:rsidR="004302F5" w:rsidRPr="00E47183">
        <w:rPr>
          <w:rFonts w:ascii="Arial" w:eastAsia="Times New Roman" w:hAnsi="Arial" w:cs="Arial"/>
          <w:b/>
          <w:color w:val="000000"/>
          <w:spacing w:val="6"/>
          <w:sz w:val="20"/>
          <w:szCs w:val="20"/>
          <w:lang w:val="en-ZA" w:eastAsia="en-GB"/>
        </w:rPr>
        <w:tab/>
        <w:t>OBSERVATIONS</w:t>
      </w:r>
      <w:r w:rsidR="000E0182" w:rsidRPr="00E47183">
        <w:rPr>
          <w:rFonts w:ascii="Arial" w:eastAsia="Times New Roman" w:hAnsi="Arial" w:cs="Arial"/>
          <w:b/>
          <w:color w:val="000000"/>
          <w:spacing w:val="6"/>
          <w:sz w:val="20"/>
          <w:szCs w:val="20"/>
          <w:lang w:val="en-ZA" w:eastAsia="en-GB"/>
        </w:rPr>
        <w:t xml:space="preserve"> AND RECOMMANDATIONS</w:t>
      </w:r>
    </w:p>
    <w:p w:rsidR="00713CAA" w:rsidRPr="00E47183" w:rsidRDefault="00713CAA" w:rsidP="00E47183">
      <w:pPr>
        <w:kinsoku w:val="0"/>
        <w:overflowPunct w:val="0"/>
        <w:spacing w:after="0" w:line="240" w:lineRule="auto"/>
        <w:textAlignment w:val="baseline"/>
        <w:rPr>
          <w:rFonts w:ascii="Arial" w:eastAsia="Times New Roman" w:hAnsi="Arial" w:cs="Arial"/>
          <w:b/>
          <w:color w:val="000000"/>
          <w:spacing w:val="6"/>
          <w:sz w:val="20"/>
          <w:szCs w:val="20"/>
          <w:lang w:val="en-ZA" w:eastAsia="en-GB"/>
        </w:rPr>
      </w:pPr>
    </w:p>
    <w:p w:rsidR="004302F5" w:rsidRPr="00E47183" w:rsidRDefault="00FA579D"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Having been briefed by t</w:t>
      </w:r>
      <w:r w:rsidR="00EE765B" w:rsidRPr="00E47183">
        <w:rPr>
          <w:rFonts w:ascii="Arial" w:eastAsia="Times New Roman" w:hAnsi="Arial" w:cs="Arial"/>
          <w:color w:val="000000"/>
          <w:spacing w:val="6"/>
          <w:sz w:val="20"/>
          <w:szCs w:val="20"/>
          <w:lang w:val="en-ZA" w:eastAsia="en-GB"/>
        </w:rPr>
        <w:t>he Office of the AG</w:t>
      </w:r>
      <w:r w:rsidR="00E207D7" w:rsidRPr="00E47183">
        <w:rPr>
          <w:rFonts w:ascii="Arial" w:eastAsia="Times New Roman" w:hAnsi="Arial" w:cs="Arial"/>
          <w:color w:val="000000"/>
          <w:spacing w:val="6"/>
          <w:sz w:val="20"/>
          <w:szCs w:val="20"/>
          <w:lang w:val="en-ZA" w:eastAsia="en-GB"/>
        </w:rPr>
        <w:t>, the DPME</w:t>
      </w:r>
      <w:r w:rsidR="002C62EF" w:rsidRPr="00E47183">
        <w:rPr>
          <w:rFonts w:ascii="Arial" w:eastAsia="Times New Roman" w:hAnsi="Arial" w:cs="Arial"/>
          <w:color w:val="000000"/>
          <w:spacing w:val="6"/>
          <w:sz w:val="20"/>
          <w:szCs w:val="20"/>
          <w:lang w:val="en-ZA" w:eastAsia="en-GB"/>
        </w:rPr>
        <w:t>,</w:t>
      </w:r>
      <w:r w:rsidRPr="00E47183">
        <w:rPr>
          <w:rFonts w:ascii="Arial" w:eastAsia="Times New Roman" w:hAnsi="Arial" w:cs="Arial"/>
          <w:color w:val="000000"/>
          <w:spacing w:val="6"/>
          <w:sz w:val="20"/>
          <w:szCs w:val="20"/>
          <w:lang w:val="en-ZA" w:eastAsia="en-GB"/>
        </w:rPr>
        <w:t xml:space="preserve"> the</w:t>
      </w:r>
      <w:r w:rsidR="00E207D7" w:rsidRPr="00E47183">
        <w:rPr>
          <w:rFonts w:ascii="Arial" w:eastAsia="Times New Roman" w:hAnsi="Arial" w:cs="Arial"/>
          <w:color w:val="000000"/>
          <w:spacing w:val="6"/>
          <w:sz w:val="20"/>
          <w:szCs w:val="20"/>
          <w:lang w:val="en-ZA" w:eastAsia="en-GB"/>
        </w:rPr>
        <w:t xml:space="preserve"> Department</w:t>
      </w:r>
      <w:r w:rsidRPr="00E47183">
        <w:rPr>
          <w:rFonts w:ascii="Arial" w:eastAsia="Times New Roman" w:hAnsi="Arial" w:cs="Arial"/>
          <w:color w:val="000000"/>
          <w:spacing w:val="6"/>
          <w:sz w:val="20"/>
          <w:szCs w:val="20"/>
          <w:lang w:val="en-ZA" w:eastAsia="en-GB"/>
        </w:rPr>
        <w:t xml:space="preserve"> and its Entities on its annual report, the Committee </w:t>
      </w:r>
      <w:r w:rsidR="00A07A5C" w:rsidRPr="00E47183">
        <w:rPr>
          <w:rFonts w:ascii="Arial" w:eastAsia="Times New Roman" w:hAnsi="Arial" w:cs="Arial"/>
          <w:color w:val="000000"/>
          <w:spacing w:val="6"/>
          <w:sz w:val="20"/>
          <w:szCs w:val="20"/>
          <w:lang w:val="en-ZA" w:eastAsia="en-GB"/>
        </w:rPr>
        <w:t xml:space="preserve">adopted recommendations provided by AG and the DPME outlined in section 9.3 and 10.1. The Committee also </w:t>
      </w:r>
      <w:r w:rsidRPr="00E47183">
        <w:rPr>
          <w:rFonts w:ascii="Arial" w:eastAsia="Times New Roman" w:hAnsi="Arial" w:cs="Arial"/>
          <w:color w:val="000000"/>
          <w:spacing w:val="6"/>
          <w:sz w:val="20"/>
          <w:szCs w:val="20"/>
          <w:lang w:val="en-ZA" w:eastAsia="en-GB"/>
        </w:rPr>
        <w:t>made the following</w:t>
      </w:r>
      <w:r w:rsidR="00D10D08" w:rsidRPr="00E47183">
        <w:rPr>
          <w:rFonts w:ascii="Arial" w:eastAsia="Times New Roman" w:hAnsi="Arial" w:cs="Arial"/>
          <w:color w:val="000000"/>
          <w:spacing w:val="6"/>
          <w:sz w:val="20"/>
          <w:szCs w:val="20"/>
          <w:lang w:val="en-ZA" w:eastAsia="en-GB"/>
        </w:rPr>
        <w:t xml:space="preserve"> observations and recommendations</w:t>
      </w:r>
      <w:r w:rsidR="00E45D26" w:rsidRPr="00E47183">
        <w:rPr>
          <w:rFonts w:ascii="Arial" w:eastAsia="Times New Roman" w:hAnsi="Arial" w:cs="Arial"/>
          <w:color w:val="000000"/>
          <w:spacing w:val="6"/>
          <w:sz w:val="20"/>
          <w:szCs w:val="20"/>
          <w:lang w:val="en-ZA" w:eastAsia="en-GB"/>
        </w:rPr>
        <w:t>:</w:t>
      </w:r>
    </w:p>
    <w:p w:rsidR="00E207D7" w:rsidRPr="00E47183" w:rsidRDefault="00E207D7" w:rsidP="00E47183">
      <w:pPr>
        <w:autoSpaceDE w:val="0"/>
        <w:autoSpaceDN w:val="0"/>
        <w:adjustRightInd w:val="0"/>
        <w:spacing w:after="0" w:line="240" w:lineRule="auto"/>
        <w:rPr>
          <w:rFonts w:ascii="Arial" w:eastAsia="Times New Roman" w:hAnsi="Arial" w:cs="Arial"/>
          <w:color w:val="000000"/>
          <w:spacing w:val="6"/>
          <w:sz w:val="20"/>
          <w:szCs w:val="20"/>
          <w:lang w:val="en-ZA" w:eastAsia="en-GB"/>
        </w:rPr>
      </w:pPr>
    </w:p>
    <w:p w:rsidR="00045079" w:rsidRPr="00E47183" w:rsidRDefault="00655F08" w:rsidP="00E47183">
      <w:pPr>
        <w:pStyle w:val="ListParagraph"/>
        <w:numPr>
          <w:ilvl w:val="0"/>
          <w:numId w:val="7"/>
        </w:numPr>
        <w:autoSpaceDE w:val="0"/>
        <w:autoSpaceDN w:val="0"/>
        <w:adjustRightInd w:val="0"/>
        <w:spacing w:line="240" w:lineRule="auto"/>
        <w:rPr>
          <w:rFonts w:cs="Arial"/>
          <w:sz w:val="20"/>
          <w:szCs w:val="20"/>
          <w:lang w:val="en-ZA"/>
        </w:rPr>
      </w:pPr>
      <w:r w:rsidRPr="00E47183">
        <w:rPr>
          <w:rFonts w:cs="Arial"/>
          <w:b/>
          <w:sz w:val="20"/>
          <w:szCs w:val="20"/>
          <w:lang w:val="en-ZA"/>
        </w:rPr>
        <w:t xml:space="preserve">Observation: </w:t>
      </w:r>
      <w:r w:rsidR="003D51B1" w:rsidRPr="00E47183">
        <w:rPr>
          <w:rFonts w:cs="Arial"/>
          <w:sz w:val="20"/>
          <w:szCs w:val="20"/>
          <w:lang w:val="en-ZA"/>
        </w:rPr>
        <w:t>The Committee was deeply concerned about the lack of project management skills at departmental and provincial level, with much reliance on the professional teams or implementing agents who were appointed to manage the projects.</w:t>
      </w:r>
    </w:p>
    <w:p w:rsidR="00D15B4E" w:rsidRPr="00E47183" w:rsidRDefault="00D15B4E" w:rsidP="00E47183">
      <w:pPr>
        <w:autoSpaceDE w:val="0"/>
        <w:autoSpaceDN w:val="0"/>
        <w:adjustRightInd w:val="0"/>
        <w:spacing w:after="0" w:line="240" w:lineRule="auto"/>
        <w:ind w:left="360"/>
        <w:rPr>
          <w:rFonts w:ascii="Arial" w:hAnsi="Arial" w:cs="Arial"/>
          <w:b/>
          <w:sz w:val="20"/>
          <w:szCs w:val="20"/>
          <w:lang w:val="en-ZA"/>
        </w:rPr>
      </w:pPr>
    </w:p>
    <w:p w:rsidR="003D51B1" w:rsidRPr="00E47183" w:rsidRDefault="003D51B1" w:rsidP="00E47183">
      <w:pPr>
        <w:autoSpaceDE w:val="0"/>
        <w:autoSpaceDN w:val="0"/>
        <w:adjustRightInd w:val="0"/>
        <w:spacing w:after="0" w:line="240" w:lineRule="auto"/>
        <w:ind w:left="360"/>
        <w:rPr>
          <w:rFonts w:ascii="Arial" w:hAnsi="Arial" w:cs="Arial"/>
          <w:b/>
          <w:sz w:val="20"/>
          <w:szCs w:val="20"/>
          <w:lang w:val="en-ZA"/>
        </w:rPr>
      </w:pPr>
      <w:r w:rsidRPr="00E47183">
        <w:rPr>
          <w:rFonts w:ascii="Arial" w:hAnsi="Arial" w:cs="Arial"/>
          <w:b/>
          <w:sz w:val="20"/>
          <w:szCs w:val="20"/>
          <w:lang w:val="en-ZA"/>
        </w:rPr>
        <w:t>Recommendation:</w:t>
      </w:r>
      <w:r w:rsidR="00232DD4" w:rsidRPr="00E47183">
        <w:rPr>
          <w:rFonts w:ascii="Arial" w:hAnsi="Arial" w:cs="Arial"/>
          <w:b/>
          <w:sz w:val="20"/>
          <w:szCs w:val="20"/>
          <w:lang w:val="en-ZA"/>
        </w:rPr>
        <w:t xml:space="preserve"> </w:t>
      </w:r>
      <w:r w:rsidRPr="00E47183">
        <w:rPr>
          <w:rFonts w:ascii="Arial" w:hAnsi="Arial" w:cs="Arial"/>
          <w:sz w:val="20"/>
          <w:szCs w:val="20"/>
          <w:lang w:val="en-ZA"/>
        </w:rPr>
        <w:t>Conduct project management training for relevant technical staff.</w:t>
      </w:r>
      <w:r w:rsidR="00E8037D" w:rsidRPr="00E47183">
        <w:rPr>
          <w:rFonts w:ascii="Arial" w:hAnsi="Arial" w:cs="Arial"/>
          <w:sz w:val="20"/>
          <w:szCs w:val="20"/>
          <w:lang w:val="en-ZA"/>
        </w:rPr>
        <w:t xml:space="preserve"> Progress in this regard must be presented to the Committee in the first quarter of the 2022/23 financial year.</w:t>
      </w:r>
    </w:p>
    <w:p w:rsidR="00E207D7" w:rsidRPr="00E47183" w:rsidRDefault="00E207D7" w:rsidP="00E47183">
      <w:pPr>
        <w:spacing w:after="0" w:line="240" w:lineRule="auto"/>
        <w:rPr>
          <w:rFonts w:ascii="Arial" w:hAnsi="Arial" w:cs="Arial"/>
          <w:b/>
          <w:sz w:val="20"/>
          <w:szCs w:val="20"/>
          <w:lang w:val="en-ZA"/>
        </w:rPr>
      </w:pPr>
    </w:p>
    <w:p w:rsidR="00655F08" w:rsidRPr="00E47183" w:rsidRDefault="00655F08"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3D51B1" w:rsidRPr="00E47183">
        <w:rPr>
          <w:rFonts w:cs="Arial"/>
          <w:sz w:val="20"/>
          <w:szCs w:val="20"/>
          <w:lang w:val="en-ZA"/>
        </w:rPr>
        <w:t>The Committee was concerned about the lack of adequate enforcement of action plans on non-performance challenges to ensure that concerns are addressed through appropriate interventions and actions.</w:t>
      </w:r>
    </w:p>
    <w:p w:rsidR="00D15B4E" w:rsidRPr="00E47183" w:rsidRDefault="00D15B4E" w:rsidP="00E47183">
      <w:pPr>
        <w:pStyle w:val="ListParagraph"/>
        <w:spacing w:line="240" w:lineRule="auto"/>
        <w:ind w:left="360"/>
        <w:rPr>
          <w:rFonts w:cs="Arial"/>
          <w:b/>
          <w:sz w:val="20"/>
          <w:szCs w:val="20"/>
          <w:lang w:val="en-ZA"/>
        </w:rPr>
      </w:pPr>
    </w:p>
    <w:p w:rsidR="00E207D7" w:rsidRPr="00E47183" w:rsidRDefault="00E207D7" w:rsidP="00E47183">
      <w:pPr>
        <w:pStyle w:val="ListParagraph"/>
        <w:spacing w:line="240" w:lineRule="auto"/>
        <w:ind w:left="360"/>
        <w:rPr>
          <w:rFonts w:cs="Arial"/>
          <w:color w:val="FF0000"/>
          <w:sz w:val="20"/>
          <w:szCs w:val="20"/>
          <w:lang w:val="en-ZA"/>
        </w:rPr>
      </w:pPr>
      <w:r w:rsidRPr="00E47183">
        <w:rPr>
          <w:rFonts w:cs="Arial"/>
          <w:b/>
          <w:sz w:val="20"/>
          <w:szCs w:val="20"/>
          <w:lang w:val="en-ZA"/>
        </w:rPr>
        <w:t>Recommendation:</w:t>
      </w:r>
      <w:r w:rsidR="00655F08" w:rsidRPr="00E47183">
        <w:rPr>
          <w:rFonts w:cs="Arial"/>
          <w:b/>
          <w:sz w:val="20"/>
          <w:szCs w:val="20"/>
          <w:lang w:val="en-ZA"/>
        </w:rPr>
        <w:t xml:space="preserve"> </w:t>
      </w:r>
      <w:r w:rsidR="003D51B1" w:rsidRPr="00E47183">
        <w:rPr>
          <w:rFonts w:cs="Arial"/>
          <w:sz w:val="20"/>
          <w:szCs w:val="20"/>
          <w:lang w:val="en-ZA"/>
        </w:rPr>
        <w:t>Consequence management must be applied to prevent the recurrence of irregular, fruitless and wasteful expenditure</w:t>
      </w:r>
      <w:r w:rsidRPr="00E47183">
        <w:rPr>
          <w:rFonts w:cs="Arial"/>
          <w:sz w:val="20"/>
          <w:szCs w:val="20"/>
          <w:lang w:val="en-ZA"/>
        </w:rPr>
        <w:t>.</w:t>
      </w:r>
      <w:r w:rsidR="001C23E7" w:rsidRPr="00E47183">
        <w:rPr>
          <w:rFonts w:cs="Arial"/>
          <w:color w:val="FF0000"/>
          <w:sz w:val="20"/>
          <w:szCs w:val="20"/>
          <w:lang w:val="en-ZA"/>
        </w:rPr>
        <w:t xml:space="preserve"> </w:t>
      </w:r>
    </w:p>
    <w:p w:rsidR="00F84784" w:rsidRPr="00E47183" w:rsidRDefault="00E207D7" w:rsidP="00E47183">
      <w:pPr>
        <w:pStyle w:val="ListParagraph"/>
        <w:spacing w:line="240" w:lineRule="auto"/>
        <w:rPr>
          <w:rFonts w:cs="Arial"/>
          <w:b/>
          <w:sz w:val="20"/>
          <w:szCs w:val="20"/>
          <w:lang w:val="en-ZA"/>
        </w:rPr>
      </w:pPr>
      <w:r w:rsidRPr="00E47183">
        <w:rPr>
          <w:rFonts w:cs="Arial"/>
          <w:sz w:val="20"/>
          <w:szCs w:val="20"/>
          <w:lang w:val="en-ZA"/>
        </w:rPr>
        <w:t xml:space="preserve"> </w:t>
      </w:r>
      <w:r w:rsidR="00D63268" w:rsidRPr="00E47183">
        <w:rPr>
          <w:rFonts w:cs="Arial"/>
          <w:sz w:val="20"/>
          <w:szCs w:val="20"/>
          <w:lang w:val="en-ZA"/>
        </w:rPr>
        <w:t xml:space="preserve"> </w:t>
      </w:r>
    </w:p>
    <w:p w:rsidR="00326A6B" w:rsidRPr="00E47183" w:rsidRDefault="00655F08"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2A0330" w:rsidRPr="00E47183">
        <w:rPr>
          <w:rFonts w:cs="Arial"/>
          <w:sz w:val="20"/>
          <w:szCs w:val="20"/>
          <w:lang w:val="en-ZA"/>
        </w:rPr>
        <w:t>The Committee observed that there was a slow response in improving key controls and addressing risk areas which is indicative of lack of accountability.</w:t>
      </w:r>
    </w:p>
    <w:p w:rsidR="00D15B4E" w:rsidRPr="00E47183" w:rsidRDefault="00D15B4E" w:rsidP="00E47183">
      <w:pPr>
        <w:spacing w:after="0" w:line="240" w:lineRule="auto"/>
        <w:ind w:left="360"/>
        <w:rPr>
          <w:rFonts w:ascii="Arial" w:hAnsi="Arial" w:cs="Arial"/>
          <w:b/>
          <w:sz w:val="20"/>
          <w:szCs w:val="20"/>
          <w:lang w:val="en-ZA"/>
        </w:rPr>
      </w:pPr>
    </w:p>
    <w:p w:rsidR="002A0330" w:rsidRPr="00E47183" w:rsidRDefault="00655F08"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 xml:space="preserve">Recommendation: </w:t>
      </w:r>
      <w:r w:rsidR="002A0330" w:rsidRPr="00E47183">
        <w:rPr>
          <w:rFonts w:ascii="Arial" w:hAnsi="Arial" w:cs="Arial"/>
          <w:sz w:val="20"/>
          <w:szCs w:val="20"/>
          <w:lang w:val="en-ZA"/>
        </w:rPr>
        <w:t>Ensure the establishment of action plans that should be closely monitored to ensure issues raised are addressed to avoid repeat findings.</w:t>
      </w:r>
    </w:p>
    <w:p w:rsidR="00334342" w:rsidRPr="00E47183" w:rsidRDefault="00334342" w:rsidP="00E47183">
      <w:pPr>
        <w:spacing w:after="0" w:line="240" w:lineRule="auto"/>
        <w:rPr>
          <w:rFonts w:ascii="Arial" w:hAnsi="Arial" w:cs="Arial"/>
          <w:sz w:val="20"/>
          <w:szCs w:val="20"/>
          <w:lang w:val="en-ZA"/>
        </w:rPr>
      </w:pPr>
    </w:p>
    <w:p w:rsidR="002D031C" w:rsidRPr="00E47183" w:rsidRDefault="00655F08"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707F15" w:rsidRPr="00E47183">
        <w:rPr>
          <w:rFonts w:cs="Arial"/>
          <w:sz w:val="20"/>
          <w:szCs w:val="20"/>
          <w:lang w:val="en-ZA"/>
        </w:rPr>
        <w:t>The Committee observed that there was a l</w:t>
      </w:r>
      <w:r w:rsidR="002D031C" w:rsidRPr="00E47183">
        <w:rPr>
          <w:rFonts w:cs="Arial"/>
          <w:sz w:val="20"/>
          <w:szCs w:val="20"/>
          <w:lang w:val="en-ZA"/>
        </w:rPr>
        <w:t>ack of adequate coordination by the</w:t>
      </w:r>
      <w:r w:rsidR="00707F15" w:rsidRPr="00E47183">
        <w:rPr>
          <w:rFonts w:cs="Arial"/>
          <w:sz w:val="20"/>
          <w:szCs w:val="20"/>
          <w:lang w:val="en-ZA"/>
        </w:rPr>
        <w:t xml:space="preserve"> D</w:t>
      </w:r>
      <w:r w:rsidR="002D031C" w:rsidRPr="00E47183">
        <w:rPr>
          <w:rFonts w:cs="Arial"/>
          <w:sz w:val="20"/>
          <w:szCs w:val="20"/>
          <w:lang w:val="en-ZA"/>
        </w:rPr>
        <w:t>epartments wi</w:t>
      </w:r>
      <w:r w:rsidR="00707F15" w:rsidRPr="00E47183">
        <w:rPr>
          <w:rFonts w:cs="Arial"/>
          <w:sz w:val="20"/>
          <w:szCs w:val="20"/>
          <w:lang w:val="en-ZA"/>
        </w:rPr>
        <w:t>th other government Departments,</w:t>
      </w:r>
      <w:r w:rsidR="002D031C" w:rsidRPr="00E47183">
        <w:rPr>
          <w:rFonts w:cs="Arial"/>
          <w:sz w:val="20"/>
          <w:szCs w:val="20"/>
          <w:lang w:val="en-ZA"/>
        </w:rPr>
        <w:t xml:space="preserve"> municipalities and implementing agents.</w:t>
      </w:r>
      <w:r w:rsidR="00707F15" w:rsidRPr="00E47183">
        <w:rPr>
          <w:rFonts w:cs="Arial"/>
          <w:sz w:val="20"/>
          <w:szCs w:val="20"/>
          <w:lang w:val="en-ZA"/>
        </w:rPr>
        <w:t xml:space="preserve"> This results in fragmented human settlements with a lack of access to schools, clinics, recreational facilities, lack of running water, adequate sanitation, and economic activities.</w:t>
      </w:r>
    </w:p>
    <w:p w:rsidR="00D15B4E" w:rsidRPr="00E47183" w:rsidRDefault="00D15B4E" w:rsidP="00E47183">
      <w:pPr>
        <w:spacing w:after="0" w:line="240" w:lineRule="auto"/>
        <w:ind w:left="360"/>
        <w:rPr>
          <w:rFonts w:ascii="Arial" w:hAnsi="Arial" w:cs="Arial"/>
          <w:b/>
          <w:sz w:val="20"/>
          <w:szCs w:val="20"/>
          <w:lang w:val="en-ZA"/>
        </w:rPr>
      </w:pPr>
    </w:p>
    <w:p w:rsidR="00707F15" w:rsidRPr="00E47183" w:rsidRDefault="00707F15" w:rsidP="00E47183">
      <w:pPr>
        <w:spacing w:after="0" w:line="240" w:lineRule="auto"/>
        <w:ind w:left="360"/>
        <w:rPr>
          <w:rFonts w:ascii="Arial" w:hAnsi="Arial" w:cs="Arial"/>
          <w:b/>
          <w:color w:val="FF0000"/>
          <w:sz w:val="20"/>
          <w:szCs w:val="20"/>
          <w:lang w:val="en-ZA"/>
        </w:rPr>
      </w:pPr>
      <w:r w:rsidRPr="00E47183">
        <w:rPr>
          <w:rFonts w:ascii="Arial" w:hAnsi="Arial" w:cs="Arial"/>
          <w:b/>
          <w:sz w:val="20"/>
          <w:szCs w:val="20"/>
          <w:lang w:val="en-ZA"/>
        </w:rPr>
        <w:t>Recommendation:</w:t>
      </w:r>
      <w:r w:rsidR="00655F08" w:rsidRPr="00E47183">
        <w:rPr>
          <w:rFonts w:ascii="Arial" w:hAnsi="Arial" w:cs="Arial"/>
          <w:b/>
          <w:sz w:val="20"/>
          <w:szCs w:val="20"/>
          <w:lang w:val="en-ZA"/>
        </w:rPr>
        <w:t xml:space="preserve"> </w:t>
      </w:r>
      <w:r w:rsidRPr="00E47183">
        <w:rPr>
          <w:rFonts w:ascii="Arial" w:hAnsi="Arial" w:cs="Arial"/>
          <w:sz w:val="20"/>
          <w:szCs w:val="20"/>
          <w:lang w:val="en-ZA"/>
        </w:rPr>
        <w:t>Ensure coordinate planning and reporting across the government institutions and agents, to ensure that projects attracting housing investment from the government access to basic and economic activities.</w:t>
      </w:r>
    </w:p>
    <w:p w:rsidR="009F58E8" w:rsidRPr="00E47183" w:rsidRDefault="009F58E8" w:rsidP="00E47183">
      <w:pPr>
        <w:spacing w:after="0" w:line="240" w:lineRule="auto"/>
        <w:rPr>
          <w:rFonts w:ascii="Arial" w:hAnsi="Arial" w:cs="Arial"/>
          <w:sz w:val="20"/>
          <w:szCs w:val="20"/>
          <w:lang w:val="en-ZA"/>
        </w:rPr>
      </w:pPr>
    </w:p>
    <w:p w:rsidR="00CE6CF1" w:rsidRPr="00E47183" w:rsidRDefault="0009605D" w:rsidP="00E47183">
      <w:pPr>
        <w:pStyle w:val="ListParagraph"/>
        <w:numPr>
          <w:ilvl w:val="0"/>
          <w:numId w:val="7"/>
        </w:numPr>
        <w:spacing w:line="240" w:lineRule="auto"/>
        <w:rPr>
          <w:rFonts w:cs="Arial"/>
          <w:b/>
          <w:sz w:val="20"/>
          <w:szCs w:val="20"/>
          <w:lang w:val="en-ZA"/>
        </w:rPr>
      </w:pPr>
      <w:r w:rsidRPr="00E47183">
        <w:rPr>
          <w:rFonts w:cs="Arial"/>
          <w:b/>
          <w:sz w:val="20"/>
          <w:szCs w:val="20"/>
          <w:lang w:val="en-ZA"/>
        </w:rPr>
        <w:t xml:space="preserve">Observation: </w:t>
      </w:r>
      <w:r w:rsidR="00D95F44" w:rsidRPr="00E47183">
        <w:rPr>
          <w:rFonts w:cs="Arial"/>
          <w:sz w:val="20"/>
          <w:szCs w:val="20"/>
          <w:lang w:val="en-ZA"/>
        </w:rPr>
        <w:t xml:space="preserve">The Committee noted that outcome of some of the entities that remained </w:t>
      </w:r>
      <w:r w:rsidR="008700DF" w:rsidRPr="00E47183">
        <w:rPr>
          <w:rFonts w:cs="Arial"/>
          <w:color w:val="auto"/>
          <w:sz w:val="20"/>
          <w:szCs w:val="20"/>
          <w:lang w:val="en-ZA"/>
        </w:rPr>
        <w:t>no improvement</w:t>
      </w:r>
      <w:r w:rsidR="00302073" w:rsidRPr="00E47183">
        <w:rPr>
          <w:rFonts w:cs="Arial"/>
          <w:sz w:val="20"/>
          <w:szCs w:val="20"/>
          <w:lang w:val="en-ZA"/>
        </w:rPr>
        <w:t xml:space="preserve"> for the past four years (the Department</w:t>
      </w:r>
      <w:r w:rsidR="00D95F44" w:rsidRPr="00E47183">
        <w:rPr>
          <w:rFonts w:cs="Arial"/>
          <w:sz w:val="20"/>
          <w:szCs w:val="20"/>
          <w:lang w:val="en-ZA"/>
        </w:rPr>
        <w:t xml:space="preserve">, NHBRC, NHFC and SHRA) </w:t>
      </w:r>
      <w:r w:rsidR="00D95F44" w:rsidRPr="00E47183">
        <w:rPr>
          <w:rFonts w:cs="Arial"/>
          <w:sz w:val="20"/>
          <w:szCs w:val="20"/>
          <w:lang w:val="en-ZA"/>
        </w:rPr>
        <w:lastRenderedPageBreak/>
        <w:t xml:space="preserve">have been receiving an unqualified with findings outcome. The CSOS had improved from qualifying to unqualified with findings. However, the Committee was concerned that the HDA had been stagnant with a qualified opinion. The EAAB regressed from unqualified with findings to a qualification. </w:t>
      </w:r>
    </w:p>
    <w:p w:rsidR="003B249F" w:rsidRPr="00E47183" w:rsidRDefault="003B249F" w:rsidP="00E47183">
      <w:pPr>
        <w:spacing w:after="0" w:line="240" w:lineRule="auto"/>
        <w:ind w:left="360"/>
        <w:rPr>
          <w:rFonts w:ascii="Arial" w:hAnsi="Arial" w:cs="Arial"/>
          <w:b/>
          <w:sz w:val="20"/>
          <w:szCs w:val="20"/>
          <w:lang w:val="en-ZA"/>
        </w:rPr>
      </w:pPr>
    </w:p>
    <w:p w:rsidR="00D95F44" w:rsidRPr="00E47183" w:rsidRDefault="00D95F44"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 xml:space="preserve">Recommendation: </w:t>
      </w:r>
      <w:r w:rsidR="003C0293" w:rsidRPr="00E47183">
        <w:rPr>
          <w:rFonts w:ascii="Arial" w:hAnsi="Arial" w:cs="Arial"/>
          <w:sz w:val="20"/>
          <w:szCs w:val="20"/>
          <w:lang w:val="en-ZA"/>
        </w:rPr>
        <w:t xml:space="preserve">Develop plans to address recurring, regression, and stagnation by both the Department and affected entities. </w:t>
      </w:r>
      <w:r w:rsidR="002B64CA" w:rsidRPr="00E47183">
        <w:rPr>
          <w:rFonts w:ascii="Arial" w:hAnsi="Arial" w:cs="Arial"/>
          <w:sz w:val="20"/>
          <w:szCs w:val="20"/>
          <w:lang w:val="en-ZA"/>
        </w:rPr>
        <w:t xml:space="preserve">This plan must be presented to the Committee in the </w:t>
      </w:r>
      <w:r w:rsidR="0067793D" w:rsidRPr="00E47183">
        <w:rPr>
          <w:rFonts w:ascii="Arial" w:hAnsi="Arial" w:cs="Arial"/>
          <w:sz w:val="20"/>
          <w:szCs w:val="20"/>
          <w:lang w:val="en-ZA"/>
        </w:rPr>
        <w:t>third</w:t>
      </w:r>
      <w:r w:rsidR="002B64CA" w:rsidRPr="00E47183">
        <w:rPr>
          <w:rFonts w:ascii="Arial" w:hAnsi="Arial" w:cs="Arial"/>
          <w:sz w:val="20"/>
          <w:szCs w:val="20"/>
          <w:lang w:val="en-ZA"/>
        </w:rPr>
        <w:t xml:space="preserve"> quarter of the 2022/23 financial year.</w:t>
      </w:r>
    </w:p>
    <w:p w:rsidR="009F58E8" w:rsidRPr="00E47183" w:rsidRDefault="009F58E8" w:rsidP="00E47183">
      <w:pPr>
        <w:spacing w:after="0" w:line="240" w:lineRule="auto"/>
        <w:rPr>
          <w:rFonts w:ascii="Arial" w:eastAsia="Times New Roman" w:hAnsi="Arial" w:cs="Arial"/>
          <w:b/>
          <w:color w:val="000000"/>
          <w:spacing w:val="6"/>
          <w:sz w:val="20"/>
          <w:szCs w:val="20"/>
          <w:lang w:val="en-ZA" w:eastAsia="en-GB"/>
        </w:rPr>
      </w:pPr>
    </w:p>
    <w:p w:rsidR="004E77C9" w:rsidRPr="00E47183" w:rsidRDefault="00057F74"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4E77C9" w:rsidRPr="00E47183">
        <w:rPr>
          <w:rFonts w:cs="Arial"/>
          <w:sz w:val="20"/>
          <w:szCs w:val="20"/>
          <w:lang w:val="en-ZA"/>
        </w:rPr>
        <w:t>The Committee was concerned about misinterpretation</w:t>
      </w:r>
      <w:r w:rsidR="00DC0E0B" w:rsidRPr="00E47183">
        <w:rPr>
          <w:rFonts w:cs="Arial"/>
          <w:sz w:val="20"/>
          <w:szCs w:val="20"/>
          <w:lang w:val="en-ZA"/>
        </w:rPr>
        <w:t xml:space="preserve"> and non-compliance</w:t>
      </w:r>
      <w:r w:rsidR="004E77C9" w:rsidRPr="00E47183">
        <w:rPr>
          <w:rFonts w:cs="Arial"/>
          <w:sz w:val="20"/>
          <w:szCs w:val="20"/>
          <w:lang w:val="en-ZA"/>
        </w:rPr>
        <w:t xml:space="preserve"> of legislation by NHFC</w:t>
      </w:r>
      <w:r w:rsidR="00DC0E0B" w:rsidRPr="00E47183">
        <w:rPr>
          <w:rFonts w:cs="Arial"/>
          <w:sz w:val="20"/>
          <w:szCs w:val="20"/>
          <w:lang w:val="en-ZA"/>
        </w:rPr>
        <w:t xml:space="preserve"> and SHRA</w:t>
      </w:r>
      <w:r w:rsidR="004E77C9" w:rsidRPr="00E47183">
        <w:rPr>
          <w:rFonts w:cs="Arial"/>
          <w:sz w:val="20"/>
          <w:szCs w:val="20"/>
          <w:lang w:val="en-ZA"/>
        </w:rPr>
        <w:t>. Part of the problem is</w:t>
      </w:r>
      <w:r w:rsidR="00D95F44" w:rsidRPr="00E47183">
        <w:rPr>
          <w:rFonts w:cs="Arial"/>
          <w:sz w:val="20"/>
          <w:szCs w:val="20"/>
          <w:lang w:val="en-ZA"/>
        </w:rPr>
        <w:t xml:space="preserve"> the instability in the finance leadership that has occurred over the years. </w:t>
      </w:r>
    </w:p>
    <w:p w:rsidR="00D15B4E" w:rsidRPr="00E47183" w:rsidRDefault="00D15B4E" w:rsidP="00E47183">
      <w:pPr>
        <w:spacing w:after="0" w:line="240" w:lineRule="auto"/>
        <w:ind w:left="360"/>
        <w:rPr>
          <w:rFonts w:ascii="Arial" w:hAnsi="Arial" w:cs="Arial"/>
          <w:b/>
          <w:sz w:val="20"/>
          <w:szCs w:val="20"/>
          <w:lang w:val="en-ZA"/>
        </w:rPr>
      </w:pPr>
    </w:p>
    <w:p w:rsidR="00D95F44" w:rsidRPr="00E47183" w:rsidRDefault="004E77C9"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 xml:space="preserve">Recommendation: </w:t>
      </w:r>
      <w:r w:rsidR="00057F74" w:rsidRPr="00E47183">
        <w:rPr>
          <w:rFonts w:ascii="Arial" w:hAnsi="Arial" w:cs="Arial"/>
          <w:b/>
          <w:sz w:val="20"/>
          <w:szCs w:val="20"/>
          <w:lang w:val="en-ZA"/>
        </w:rPr>
        <w:t xml:space="preserve"> </w:t>
      </w:r>
      <w:r w:rsidRPr="00E47183">
        <w:rPr>
          <w:rFonts w:ascii="Arial" w:hAnsi="Arial" w:cs="Arial"/>
          <w:sz w:val="20"/>
          <w:szCs w:val="20"/>
          <w:lang w:val="en-ZA"/>
        </w:rPr>
        <w:t>Ensure that NHFC</w:t>
      </w:r>
      <w:r w:rsidR="00DC0E0B" w:rsidRPr="00E47183">
        <w:rPr>
          <w:rFonts w:ascii="Arial" w:hAnsi="Arial" w:cs="Arial"/>
          <w:sz w:val="20"/>
          <w:szCs w:val="20"/>
          <w:lang w:val="en-ZA"/>
        </w:rPr>
        <w:t xml:space="preserve"> and SHRA</w:t>
      </w:r>
      <w:r w:rsidRPr="00E47183">
        <w:rPr>
          <w:rFonts w:ascii="Arial" w:hAnsi="Arial" w:cs="Arial"/>
          <w:sz w:val="20"/>
          <w:szCs w:val="20"/>
          <w:lang w:val="en-ZA"/>
        </w:rPr>
        <w:t xml:space="preserve"> management</w:t>
      </w:r>
      <w:r w:rsidR="00E8037D" w:rsidRPr="00E47183">
        <w:rPr>
          <w:rFonts w:ascii="Arial" w:hAnsi="Arial" w:cs="Arial"/>
          <w:sz w:val="20"/>
          <w:szCs w:val="20"/>
          <w:lang w:val="en-ZA"/>
        </w:rPr>
        <w:t xml:space="preserve"> puts adequate controls</w:t>
      </w:r>
      <w:r w:rsidR="00D95F44" w:rsidRPr="00E47183">
        <w:rPr>
          <w:rFonts w:ascii="Arial" w:hAnsi="Arial" w:cs="Arial"/>
          <w:sz w:val="20"/>
          <w:szCs w:val="20"/>
          <w:lang w:val="en-ZA"/>
        </w:rPr>
        <w:t xml:space="preserve"> in place to address the material findings identified on the financial statements and compliance with legislation. Furthermore, management should ensure that the recommendations by external auditors are implemented timely and the key finance leadership</w:t>
      </w:r>
      <w:r w:rsidR="006538E8" w:rsidRPr="00E47183">
        <w:rPr>
          <w:rFonts w:ascii="Arial" w:hAnsi="Arial" w:cs="Arial"/>
          <w:sz w:val="20"/>
          <w:szCs w:val="20"/>
          <w:lang w:val="en-ZA"/>
        </w:rPr>
        <w:t xml:space="preserve"> vacancies</w:t>
      </w:r>
      <w:r w:rsidR="00D95F44" w:rsidRPr="00E47183">
        <w:rPr>
          <w:rFonts w:ascii="Arial" w:hAnsi="Arial" w:cs="Arial"/>
          <w:sz w:val="20"/>
          <w:szCs w:val="20"/>
          <w:lang w:val="en-ZA"/>
        </w:rPr>
        <w:t xml:space="preserve"> are filled.</w:t>
      </w:r>
    </w:p>
    <w:p w:rsidR="00D95F44" w:rsidRPr="00E47183" w:rsidRDefault="00D95F44" w:rsidP="00E47183">
      <w:pPr>
        <w:spacing w:after="0" w:line="240" w:lineRule="auto"/>
        <w:rPr>
          <w:rFonts w:ascii="Arial" w:hAnsi="Arial" w:cs="Arial"/>
          <w:b/>
          <w:sz w:val="20"/>
          <w:szCs w:val="20"/>
          <w:lang w:val="en-ZA"/>
        </w:rPr>
      </w:pPr>
    </w:p>
    <w:p w:rsidR="00EF3016" w:rsidRPr="00E47183" w:rsidRDefault="003B249F" w:rsidP="00E47183">
      <w:pPr>
        <w:pStyle w:val="ListParagraph"/>
        <w:numPr>
          <w:ilvl w:val="0"/>
          <w:numId w:val="7"/>
        </w:numPr>
        <w:spacing w:line="240" w:lineRule="auto"/>
        <w:rPr>
          <w:rFonts w:cs="Arial"/>
          <w:color w:val="auto"/>
          <w:sz w:val="20"/>
          <w:szCs w:val="20"/>
          <w:lang w:val="en-ZA"/>
        </w:rPr>
      </w:pPr>
      <w:r w:rsidRPr="00E47183">
        <w:rPr>
          <w:rFonts w:cs="Arial"/>
          <w:b/>
          <w:color w:val="auto"/>
          <w:sz w:val="20"/>
          <w:szCs w:val="20"/>
          <w:lang w:val="en-ZA"/>
        </w:rPr>
        <w:t xml:space="preserve">Observation: </w:t>
      </w:r>
      <w:r w:rsidR="00F81430" w:rsidRPr="00E47183">
        <w:rPr>
          <w:rFonts w:cs="Arial"/>
          <w:color w:val="auto"/>
          <w:sz w:val="20"/>
          <w:szCs w:val="20"/>
          <w:lang w:val="en-ZA"/>
        </w:rPr>
        <w:t>The Committee observe</w:t>
      </w:r>
      <w:r w:rsidR="00057F74" w:rsidRPr="00E47183">
        <w:rPr>
          <w:rFonts w:cs="Arial"/>
          <w:color w:val="auto"/>
          <w:sz w:val="20"/>
          <w:szCs w:val="20"/>
          <w:lang w:val="en-ZA"/>
        </w:rPr>
        <w:t>d that the HDA audit outcome had</w:t>
      </w:r>
      <w:r w:rsidR="00F81430" w:rsidRPr="00E47183">
        <w:rPr>
          <w:rFonts w:cs="Arial"/>
          <w:color w:val="auto"/>
          <w:sz w:val="20"/>
          <w:szCs w:val="20"/>
          <w:lang w:val="en-ZA"/>
        </w:rPr>
        <w:t xml:space="preserve"> remained stagnant from the previous financial year as a result of the significant material misstatements and the weakened control environment which has seen an increased number o</w:t>
      </w:r>
      <w:r w:rsidR="000153C4" w:rsidRPr="00E47183">
        <w:rPr>
          <w:rFonts w:cs="Arial"/>
          <w:color w:val="auto"/>
          <w:sz w:val="20"/>
          <w:szCs w:val="20"/>
          <w:lang w:val="en-ZA"/>
        </w:rPr>
        <w:t>f control deficiencies that had</w:t>
      </w:r>
      <w:r w:rsidR="00F81430" w:rsidRPr="00E47183">
        <w:rPr>
          <w:rFonts w:cs="Arial"/>
          <w:color w:val="auto"/>
          <w:sz w:val="20"/>
          <w:szCs w:val="20"/>
          <w:lang w:val="en-ZA"/>
        </w:rPr>
        <w:t xml:space="preserve"> been identified during the audit and ultimately resulting in a qualified opinion on the financial statements. The entity was without a functioning and effective accounting authority for eight months of the financial period, with a board being appointed in November 2021. </w:t>
      </w:r>
    </w:p>
    <w:p w:rsidR="00D15B4E" w:rsidRPr="00E47183" w:rsidRDefault="00D15B4E" w:rsidP="00E47183">
      <w:pPr>
        <w:spacing w:after="0" w:line="240" w:lineRule="auto"/>
        <w:rPr>
          <w:rFonts w:ascii="Arial" w:hAnsi="Arial" w:cs="Arial"/>
          <w:b/>
          <w:sz w:val="20"/>
          <w:szCs w:val="20"/>
          <w:lang w:val="en-ZA"/>
        </w:rPr>
      </w:pPr>
    </w:p>
    <w:p w:rsidR="00F81430" w:rsidRPr="00E47183" w:rsidRDefault="00F81430" w:rsidP="00E47183">
      <w:pPr>
        <w:spacing w:after="0" w:line="240" w:lineRule="auto"/>
        <w:ind w:left="360"/>
        <w:rPr>
          <w:rFonts w:ascii="Arial" w:hAnsi="Arial" w:cs="Arial"/>
          <w:b/>
          <w:color w:val="FF0000"/>
          <w:sz w:val="20"/>
          <w:szCs w:val="20"/>
          <w:lang w:val="en-ZA"/>
        </w:rPr>
      </w:pPr>
      <w:r w:rsidRPr="00E47183">
        <w:rPr>
          <w:rFonts w:ascii="Arial" w:hAnsi="Arial" w:cs="Arial"/>
          <w:b/>
          <w:sz w:val="20"/>
          <w:szCs w:val="20"/>
          <w:lang w:val="en-ZA"/>
        </w:rPr>
        <w:t xml:space="preserve">Recommendation: </w:t>
      </w:r>
      <w:r w:rsidRPr="00E47183">
        <w:rPr>
          <w:rFonts w:ascii="Arial" w:hAnsi="Arial" w:cs="Arial"/>
          <w:sz w:val="20"/>
          <w:szCs w:val="20"/>
          <w:lang w:val="en-ZA"/>
        </w:rPr>
        <w:t xml:space="preserve">Put in place controls to prevent further control deficiencies. Ensure the employment of qualified and ethical </w:t>
      </w:r>
      <w:r w:rsidR="00AB592A" w:rsidRPr="00E47183">
        <w:rPr>
          <w:rFonts w:ascii="Arial" w:hAnsi="Arial" w:cs="Arial"/>
          <w:sz w:val="20"/>
          <w:szCs w:val="20"/>
          <w:lang w:val="en-ZA"/>
        </w:rPr>
        <w:t xml:space="preserve">individuals in key positions to prevent employees from acting in positions for a long time. </w:t>
      </w:r>
    </w:p>
    <w:p w:rsidR="00A72A2F" w:rsidRPr="00E47183" w:rsidRDefault="00A72A2F" w:rsidP="00E47183">
      <w:pPr>
        <w:spacing w:after="0" w:line="240" w:lineRule="auto"/>
        <w:rPr>
          <w:rFonts w:ascii="Arial" w:hAnsi="Arial" w:cs="Arial"/>
          <w:b/>
          <w:sz w:val="20"/>
          <w:szCs w:val="20"/>
          <w:lang w:val="en-ZA"/>
        </w:rPr>
      </w:pPr>
    </w:p>
    <w:p w:rsidR="00A72A2F" w:rsidRPr="00E47183" w:rsidRDefault="00057F74"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A72A2F" w:rsidRPr="00E47183">
        <w:rPr>
          <w:rFonts w:cs="Arial"/>
          <w:sz w:val="20"/>
          <w:szCs w:val="20"/>
          <w:lang w:val="en-ZA"/>
        </w:rPr>
        <w:t xml:space="preserve">The Committee noted with concern that the Property Practitioners Fidelity Fund (PPFF) has regressed due to non-compliance findings noted; these non-compliances were mainly due to non-compliance with supply chain management processes. There were instances of non-compliance findings noted that were in relation to the supply chain’s management policy. </w:t>
      </w:r>
    </w:p>
    <w:p w:rsidR="00D15B4E" w:rsidRPr="00E47183" w:rsidRDefault="00D15B4E" w:rsidP="00E47183">
      <w:pPr>
        <w:spacing w:after="0" w:line="240" w:lineRule="auto"/>
        <w:ind w:left="360"/>
        <w:rPr>
          <w:rFonts w:ascii="Arial" w:hAnsi="Arial" w:cs="Arial"/>
          <w:b/>
          <w:sz w:val="20"/>
          <w:szCs w:val="20"/>
          <w:lang w:val="en-ZA"/>
        </w:rPr>
      </w:pPr>
    </w:p>
    <w:p w:rsidR="00A72A2F" w:rsidRPr="00E47183" w:rsidRDefault="00A72A2F"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Recommendation:</w:t>
      </w:r>
      <w:r w:rsidR="00057F74" w:rsidRPr="00E47183">
        <w:rPr>
          <w:rFonts w:ascii="Arial" w:hAnsi="Arial" w:cs="Arial"/>
          <w:b/>
          <w:sz w:val="20"/>
          <w:szCs w:val="20"/>
          <w:lang w:val="en-ZA"/>
        </w:rPr>
        <w:t xml:space="preserve"> </w:t>
      </w:r>
      <w:r w:rsidRPr="00E47183">
        <w:rPr>
          <w:rFonts w:ascii="Arial" w:hAnsi="Arial" w:cs="Arial"/>
          <w:sz w:val="20"/>
          <w:szCs w:val="20"/>
          <w:lang w:val="en-ZA"/>
        </w:rPr>
        <w:t xml:space="preserve">Ensure compliance with supply chain’s management policy. Urgently and adequately conduct an investigation into the causes of the non-compliance. Institute consequence management towards those officials who deliberately do not comply with supply chain’s management policy. </w:t>
      </w:r>
    </w:p>
    <w:p w:rsidR="001116BD" w:rsidRPr="00E47183" w:rsidRDefault="001116BD" w:rsidP="00E47183">
      <w:pPr>
        <w:spacing w:after="0" w:line="240" w:lineRule="auto"/>
        <w:rPr>
          <w:rFonts w:ascii="Arial" w:hAnsi="Arial" w:cs="Arial"/>
          <w:sz w:val="20"/>
          <w:szCs w:val="20"/>
          <w:lang w:val="en-ZA"/>
        </w:rPr>
      </w:pPr>
    </w:p>
    <w:p w:rsidR="001116BD" w:rsidRPr="00E47183" w:rsidRDefault="00057F74" w:rsidP="00E47183">
      <w:pPr>
        <w:pStyle w:val="ListParagraph"/>
        <w:numPr>
          <w:ilvl w:val="0"/>
          <w:numId w:val="7"/>
        </w:numPr>
        <w:spacing w:line="240" w:lineRule="auto"/>
        <w:rPr>
          <w:rFonts w:cs="Arial"/>
          <w:sz w:val="20"/>
          <w:szCs w:val="20"/>
          <w:lang w:val="en-US"/>
        </w:rPr>
      </w:pPr>
      <w:r w:rsidRPr="00E47183">
        <w:rPr>
          <w:rFonts w:cs="Arial"/>
          <w:b/>
          <w:sz w:val="20"/>
          <w:szCs w:val="20"/>
          <w:lang w:val="en-ZA"/>
        </w:rPr>
        <w:t xml:space="preserve">Observation: </w:t>
      </w:r>
      <w:r w:rsidR="001116BD" w:rsidRPr="00E47183">
        <w:rPr>
          <w:rFonts w:cs="Arial"/>
          <w:sz w:val="20"/>
          <w:szCs w:val="20"/>
          <w:lang w:val="en-ZA"/>
        </w:rPr>
        <w:t>The Committee noted that were disparities spending versus achievement on the HSDG in provinces.</w:t>
      </w:r>
      <w:r w:rsidR="000A65DB" w:rsidRPr="00E47183">
        <w:rPr>
          <w:rFonts w:cs="Arial"/>
          <w:sz w:val="20"/>
          <w:szCs w:val="20"/>
        </w:rPr>
        <w:t xml:space="preserve"> </w:t>
      </w:r>
      <w:r w:rsidR="000A65DB" w:rsidRPr="00E47183">
        <w:rPr>
          <w:rFonts w:cs="Arial"/>
          <w:sz w:val="20"/>
          <w:szCs w:val="20"/>
          <w:lang w:val="en-ZA"/>
        </w:rPr>
        <w:t>For example, North West spent 92% of their grant but only met 50% of the top structures.</w:t>
      </w:r>
      <w:r w:rsidR="000A65DB" w:rsidRPr="00E47183">
        <w:rPr>
          <w:rFonts w:cs="Arial"/>
          <w:color w:val="002060"/>
          <w:sz w:val="20"/>
          <w:szCs w:val="20"/>
        </w:rPr>
        <w:t xml:space="preserve"> </w:t>
      </w:r>
      <w:r w:rsidR="000A65DB" w:rsidRPr="00E47183">
        <w:rPr>
          <w:rFonts w:cs="Arial"/>
          <w:sz w:val="20"/>
          <w:szCs w:val="20"/>
          <w:lang w:val="en-US"/>
        </w:rPr>
        <w:t>Furthermore, the Free States province spent 97% of its budget but only achieved 40% of the completed top structures.</w:t>
      </w:r>
    </w:p>
    <w:p w:rsidR="00D15B4E" w:rsidRPr="00E47183" w:rsidRDefault="00D15B4E" w:rsidP="00E47183">
      <w:pPr>
        <w:spacing w:after="0" w:line="240" w:lineRule="auto"/>
        <w:ind w:left="360"/>
        <w:rPr>
          <w:rFonts w:ascii="Arial" w:hAnsi="Arial" w:cs="Arial"/>
          <w:b/>
          <w:sz w:val="20"/>
          <w:szCs w:val="20"/>
          <w:lang w:val="en-ZA"/>
        </w:rPr>
      </w:pPr>
    </w:p>
    <w:p w:rsidR="001116BD" w:rsidRPr="00E47183" w:rsidRDefault="001116BD" w:rsidP="00E47183">
      <w:pPr>
        <w:spacing w:after="0" w:line="240" w:lineRule="auto"/>
        <w:ind w:left="360"/>
        <w:rPr>
          <w:rFonts w:ascii="Arial" w:hAnsi="Arial" w:cs="Arial"/>
          <w:b/>
          <w:color w:val="FF0000"/>
          <w:sz w:val="20"/>
          <w:szCs w:val="20"/>
          <w:lang w:val="en-ZA"/>
        </w:rPr>
      </w:pPr>
      <w:r w:rsidRPr="00E47183">
        <w:rPr>
          <w:rFonts w:ascii="Arial" w:hAnsi="Arial" w:cs="Arial"/>
          <w:b/>
          <w:sz w:val="20"/>
          <w:szCs w:val="20"/>
          <w:lang w:val="en-ZA"/>
        </w:rPr>
        <w:t xml:space="preserve">Recommendation: </w:t>
      </w:r>
      <w:r w:rsidR="00136E37" w:rsidRPr="00E47183">
        <w:rPr>
          <w:rFonts w:ascii="Arial" w:hAnsi="Arial" w:cs="Arial"/>
          <w:sz w:val="20"/>
          <w:szCs w:val="20"/>
          <w:lang w:val="en-ZA"/>
        </w:rPr>
        <w:t>Assist provincial departments to spend HSDG. Provide training on the development of business plans. Ensure that all prospective projects comply with the project readiness matrix system. Both the North West and Free State</w:t>
      </w:r>
      <w:r w:rsidR="00136E37" w:rsidRPr="00E47183">
        <w:rPr>
          <w:rFonts w:ascii="Arial" w:hAnsi="Arial" w:cs="Arial"/>
          <w:color w:val="FF0000"/>
          <w:sz w:val="20"/>
          <w:szCs w:val="20"/>
          <w:lang w:val="en-ZA"/>
        </w:rPr>
        <w:t xml:space="preserve"> </w:t>
      </w:r>
      <w:r w:rsidR="00136E37" w:rsidRPr="00E47183">
        <w:rPr>
          <w:rFonts w:ascii="Arial" w:hAnsi="Arial" w:cs="Arial"/>
          <w:sz w:val="20"/>
          <w:szCs w:val="20"/>
          <w:lang w:val="en-ZA"/>
        </w:rPr>
        <w:t>should present their challenges</w:t>
      </w:r>
      <w:r w:rsidR="00C62266" w:rsidRPr="00E47183">
        <w:rPr>
          <w:rFonts w:ascii="Arial" w:hAnsi="Arial" w:cs="Arial"/>
          <w:sz w:val="20"/>
          <w:szCs w:val="20"/>
          <w:lang w:val="en-ZA"/>
        </w:rPr>
        <w:t xml:space="preserve"> encountered</w:t>
      </w:r>
      <w:r w:rsidR="00136E37" w:rsidRPr="00E47183">
        <w:rPr>
          <w:rFonts w:ascii="Arial" w:hAnsi="Arial" w:cs="Arial"/>
          <w:sz w:val="20"/>
          <w:szCs w:val="20"/>
          <w:lang w:val="en-ZA"/>
        </w:rPr>
        <w:t xml:space="preserve"> in </w:t>
      </w:r>
      <w:r w:rsidR="00C62266" w:rsidRPr="00E47183">
        <w:rPr>
          <w:rFonts w:ascii="Arial" w:hAnsi="Arial" w:cs="Arial"/>
          <w:sz w:val="20"/>
          <w:szCs w:val="20"/>
          <w:lang w:val="en-ZA"/>
        </w:rPr>
        <w:t>proper spending of all human settlements grants.</w:t>
      </w:r>
      <w:r w:rsidR="001C23E7" w:rsidRPr="00E47183">
        <w:rPr>
          <w:rFonts w:ascii="Arial" w:hAnsi="Arial" w:cs="Arial"/>
          <w:color w:val="FF0000"/>
          <w:sz w:val="20"/>
          <w:szCs w:val="20"/>
          <w:lang w:val="en-ZA"/>
        </w:rPr>
        <w:t xml:space="preserve"> </w:t>
      </w:r>
    </w:p>
    <w:p w:rsidR="00D95F44" w:rsidRPr="00E47183" w:rsidRDefault="00D95F44" w:rsidP="00E47183">
      <w:pPr>
        <w:spacing w:after="0" w:line="240" w:lineRule="auto"/>
        <w:rPr>
          <w:rFonts w:ascii="Arial" w:hAnsi="Arial" w:cs="Arial"/>
          <w:sz w:val="20"/>
          <w:szCs w:val="20"/>
          <w:lang w:val="en-ZA"/>
        </w:rPr>
      </w:pPr>
    </w:p>
    <w:p w:rsidR="00C145A2" w:rsidRPr="00E47183" w:rsidRDefault="00057F74" w:rsidP="00E47183">
      <w:pPr>
        <w:pStyle w:val="ListParagraph"/>
        <w:numPr>
          <w:ilvl w:val="0"/>
          <w:numId w:val="7"/>
        </w:numPr>
        <w:spacing w:line="240" w:lineRule="auto"/>
        <w:rPr>
          <w:rFonts w:cs="Arial"/>
          <w:sz w:val="20"/>
          <w:szCs w:val="20"/>
          <w:lang w:val="en-US"/>
        </w:rPr>
      </w:pPr>
      <w:r w:rsidRPr="00E47183">
        <w:rPr>
          <w:rFonts w:cs="Arial"/>
          <w:b/>
          <w:sz w:val="20"/>
          <w:szCs w:val="20"/>
          <w:lang w:val="en-US"/>
        </w:rPr>
        <w:t xml:space="preserve">Observation: </w:t>
      </w:r>
      <w:r w:rsidR="00CD6D25" w:rsidRPr="00E47183">
        <w:rPr>
          <w:rFonts w:cs="Arial"/>
          <w:sz w:val="20"/>
          <w:szCs w:val="20"/>
          <w:lang w:val="en-US"/>
        </w:rPr>
        <w:t>The Committee noted with concern the persisting problem of the l</w:t>
      </w:r>
      <w:r w:rsidR="00D11318" w:rsidRPr="00E47183">
        <w:rPr>
          <w:rFonts w:cs="Arial"/>
          <w:sz w:val="20"/>
          <w:szCs w:val="20"/>
          <w:lang w:val="en-US"/>
        </w:rPr>
        <w:t>ack of suitable land for the development of low-cost houses has resulted in land invasion becoming increasingly rampant as an alternative for those in need.</w:t>
      </w:r>
      <w:r w:rsidR="00CD6D25" w:rsidRPr="00E47183">
        <w:rPr>
          <w:rFonts w:cs="Arial"/>
          <w:sz w:val="20"/>
          <w:szCs w:val="20"/>
          <w:lang w:val="en-US"/>
        </w:rPr>
        <w:t xml:space="preserve"> </w:t>
      </w:r>
      <w:r w:rsidR="00D11318" w:rsidRPr="00E47183">
        <w:rPr>
          <w:rFonts w:cs="Arial"/>
          <w:sz w:val="20"/>
          <w:szCs w:val="20"/>
          <w:lang w:val="en-ZA"/>
        </w:rPr>
        <w:t xml:space="preserve">Delays in transfer and rezoning of land, including government owned land, denies the poor households to improve their living conditions. </w:t>
      </w:r>
      <w:r w:rsidR="00D11318" w:rsidRPr="00E47183">
        <w:rPr>
          <w:rFonts w:cs="Arial"/>
          <w:sz w:val="20"/>
          <w:szCs w:val="20"/>
          <w:lang w:val="en-US"/>
        </w:rPr>
        <w:t>High cost of well-located land for human settlements development d</w:t>
      </w:r>
      <w:r w:rsidR="00CD6D25" w:rsidRPr="00E47183">
        <w:rPr>
          <w:rFonts w:cs="Arial"/>
          <w:sz w:val="20"/>
          <w:szCs w:val="20"/>
          <w:lang w:val="en-US"/>
        </w:rPr>
        <w:t>rives development to periphery;</w:t>
      </w:r>
      <w:r w:rsidR="00D11318" w:rsidRPr="00E47183">
        <w:rPr>
          <w:rFonts w:cs="Arial"/>
          <w:sz w:val="20"/>
          <w:szCs w:val="20"/>
          <w:lang w:val="en-US"/>
        </w:rPr>
        <w:t xml:space="preserve"> contributing to urban sprawl.</w:t>
      </w:r>
      <w:r w:rsidR="00CD6D25" w:rsidRPr="00E47183">
        <w:rPr>
          <w:rFonts w:cs="Arial"/>
          <w:sz w:val="20"/>
          <w:szCs w:val="20"/>
          <w:lang w:val="en-US"/>
        </w:rPr>
        <w:t xml:space="preserve"> </w:t>
      </w:r>
      <w:r w:rsidR="00D11318" w:rsidRPr="00E47183">
        <w:rPr>
          <w:rFonts w:cs="Arial"/>
          <w:sz w:val="20"/>
          <w:szCs w:val="20"/>
          <w:lang w:val="en-US"/>
        </w:rPr>
        <w:t>As a result of slow rezoning of strategically well-located land in PDAs, developments still implemented outside urban edge, adversely affecting poor households</w:t>
      </w:r>
      <w:r w:rsidR="00CD6D25" w:rsidRPr="00E47183">
        <w:rPr>
          <w:rFonts w:cs="Arial"/>
          <w:sz w:val="20"/>
          <w:szCs w:val="20"/>
          <w:lang w:val="en-US"/>
        </w:rPr>
        <w:t>.</w:t>
      </w:r>
    </w:p>
    <w:p w:rsidR="003B249F" w:rsidRPr="00E47183" w:rsidRDefault="003B249F" w:rsidP="00E47183">
      <w:pPr>
        <w:spacing w:after="0" w:line="240" w:lineRule="auto"/>
        <w:ind w:left="360"/>
        <w:rPr>
          <w:rFonts w:ascii="Arial" w:hAnsi="Arial" w:cs="Arial"/>
          <w:b/>
          <w:sz w:val="20"/>
          <w:szCs w:val="20"/>
        </w:rPr>
      </w:pPr>
    </w:p>
    <w:p w:rsidR="003D6C7A" w:rsidRPr="00E47183" w:rsidRDefault="002233B8" w:rsidP="00E47183">
      <w:pPr>
        <w:spacing w:after="0" w:line="240" w:lineRule="auto"/>
        <w:ind w:left="360"/>
        <w:rPr>
          <w:rFonts w:ascii="Arial" w:hAnsi="Arial" w:cs="Arial"/>
          <w:sz w:val="20"/>
          <w:szCs w:val="20"/>
        </w:rPr>
      </w:pPr>
      <w:r w:rsidRPr="00E47183">
        <w:rPr>
          <w:rFonts w:ascii="Arial" w:hAnsi="Arial" w:cs="Arial"/>
          <w:b/>
          <w:sz w:val="20"/>
          <w:szCs w:val="20"/>
        </w:rPr>
        <w:t xml:space="preserve">Recommendation: </w:t>
      </w:r>
      <w:r w:rsidRPr="00E47183">
        <w:rPr>
          <w:rFonts w:ascii="Arial" w:hAnsi="Arial" w:cs="Arial"/>
          <w:sz w:val="20"/>
          <w:szCs w:val="20"/>
        </w:rPr>
        <w:t xml:space="preserve">Ensure that the HDA identifies, acquire, and release suitable land for human settlements. Government owned land should be identified and released for the development of human settlements. Fast-track the zoning processes of strategically located land.  </w:t>
      </w:r>
    </w:p>
    <w:p w:rsidR="00057F74" w:rsidRPr="00E47183" w:rsidRDefault="00057F74" w:rsidP="00E47183">
      <w:pPr>
        <w:spacing w:after="0" w:line="240" w:lineRule="auto"/>
        <w:ind w:left="360"/>
        <w:rPr>
          <w:rFonts w:ascii="Arial" w:hAnsi="Arial" w:cs="Arial"/>
          <w:b/>
          <w:sz w:val="20"/>
          <w:szCs w:val="20"/>
        </w:rPr>
      </w:pPr>
    </w:p>
    <w:p w:rsidR="00C145A2" w:rsidRPr="00E47183" w:rsidRDefault="0067793D" w:rsidP="00E47183">
      <w:pPr>
        <w:pStyle w:val="ListParagraph"/>
        <w:numPr>
          <w:ilvl w:val="0"/>
          <w:numId w:val="7"/>
        </w:numPr>
        <w:spacing w:line="240" w:lineRule="auto"/>
        <w:rPr>
          <w:rFonts w:cs="Arial"/>
          <w:sz w:val="20"/>
          <w:szCs w:val="20"/>
          <w:lang w:val="en-US"/>
        </w:rPr>
      </w:pPr>
      <w:r w:rsidRPr="00E47183">
        <w:rPr>
          <w:rFonts w:cs="Arial"/>
          <w:b/>
          <w:sz w:val="20"/>
          <w:szCs w:val="20"/>
          <w:lang w:val="en-US"/>
        </w:rPr>
        <w:lastRenderedPageBreak/>
        <w:t xml:space="preserve">Observation: </w:t>
      </w:r>
      <w:r w:rsidRPr="00E47183">
        <w:rPr>
          <w:rFonts w:cs="Arial"/>
          <w:sz w:val="20"/>
          <w:szCs w:val="20"/>
          <w:lang w:val="en-US"/>
        </w:rPr>
        <w:t>The Committee observed that there was a l</w:t>
      </w:r>
      <w:r w:rsidR="00D11318" w:rsidRPr="00E47183">
        <w:rPr>
          <w:rFonts w:cs="Arial"/>
          <w:sz w:val="20"/>
          <w:szCs w:val="20"/>
          <w:lang w:val="en-US"/>
        </w:rPr>
        <w:t xml:space="preserve">ack of forward planning by provinces </w:t>
      </w:r>
      <w:r w:rsidR="003D6C7A" w:rsidRPr="00E47183">
        <w:rPr>
          <w:rFonts w:cs="Arial"/>
          <w:sz w:val="20"/>
          <w:szCs w:val="20"/>
          <w:lang w:val="en-US"/>
        </w:rPr>
        <w:t xml:space="preserve">and poor contractor performance </w:t>
      </w:r>
      <w:r w:rsidR="00D11318" w:rsidRPr="00E47183">
        <w:rPr>
          <w:rFonts w:cs="Arial"/>
          <w:sz w:val="20"/>
          <w:szCs w:val="20"/>
          <w:lang w:val="en-US"/>
        </w:rPr>
        <w:t>affects overall delivery of houses for the poor who suffer the consequences of inefficiency</w:t>
      </w:r>
      <w:r w:rsidR="003D6C7A" w:rsidRPr="00E47183">
        <w:rPr>
          <w:rFonts w:cs="Arial"/>
          <w:sz w:val="20"/>
          <w:szCs w:val="20"/>
          <w:lang w:val="en-US"/>
        </w:rPr>
        <w:t>.</w:t>
      </w:r>
    </w:p>
    <w:p w:rsidR="00D15B4E" w:rsidRPr="00E47183" w:rsidRDefault="00D15B4E" w:rsidP="00E47183">
      <w:pPr>
        <w:spacing w:after="0" w:line="240" w:lineRule="auto"/>
        <w:ind w:left="360"/>
        <w:rPr>
          <w:rFonts w:ascii="Arial" w:hAnsi="Arial" w:cs="Arial"/>
          <w:b/>
          <w:sz w:val="20"/>
          <w:szCs w:val="20"/>
        </w:rPr>
      </w:pPr>
    </w:p>
    <w:p w:rsidR="00F87AF0" w:rsidRPr="00E47183" w:rsidRDefault="003D6C7A" w:rsidP="00E47183">
      <w:pPr>
        <w:spacing w:after="0" w:line="240" w:lineRule="auto"/>
        <w:ind w:left="360"/>
        <w:rPr>
          <w:rFonts w:ascii="Arial" w:hAnsi="Arial" w:cs="Arial"/>
          <w:b/>
          <w:sz w:val="20"/>
          <w:szCs w:val="20"/>
        </w:rPr>
      </w:pPr>
      <w:r w:rsidRPr="00E47183">
        <w:rPr>
          <w:rFonts w:ascii="Arial" w:hAnsi="Arial" w:cs="Arial"/>
          <w:b/>
          <w:sz w:val="20"/>
          <w:szCs w:val="20"/>
        </w:rPr>
        <w:t xml:space="preserve">Recommendation: </w:t>
      </w:r>
      <w:r w:rsidRPr="00E47183">
        <w:rPr>
          <w:rFonts w:ascii="Arial" w:hAnsi="Arial" w:cs="Arial"/>
          <w:sz w:val="20"/>
          <w:szCs w:val="20"/>
        </w:rPr>
        <w:t xml:space="preserve">Assist provinces and municipalities to ensure that they plan for the future. Blacklist contractors who perform poorly. </w:t>
      </w:r>
    </w:p>
    <w:p w:rsidR="00F87AF0" w:rsidRPr="00E47183" w:rsidRDefault="00E9234C" w:rsidP="00E47183">
      <w:pPr>
        <w:pStyle w:val="ListParagraph"/>
        <w:numPr>
          <w:ilvl w:val="0"/>
          <w:numId w:val="7"/>
        </w:numPr>
        <w:spacing w:line="240" w:lineRule="auto"/>
        <w:rPr>
          <w:rFonts w:cs="Arial"/>
          <w:sz w:val="20"/>
          <w:szCs w:val="20"/>
        </w:rPr>
      </w:pPr>
      <w:r w:rsidRPr="00E47183">
        <w:rPr>
          <w:rFonts w:cs="Arial"/>
          <w:b/>
          <w:sz w:val="20"/>
          <w:szCs w:val="20"/>
        </w:rPr>
        <w:t>Observation:</w:t>
      </w:r>
      <w:r w:rsidR="00F87AF0" w:rsidRPr="00E47183">
        <w:rPr>
          <w:rFonts w:cs="Arial"/>
          <w:sz w:val="20"/>
          <w:szCs w:val="20"/>
        </w:rPr>
        <w:t xml:space="preserve"> The Committee was concerned about the poor delivery of title deeds of both historical backlog and new title deeds; a cumulative total of 73 764 (6,2%) against the MTSF target of 1 193 222.</w:t>
      </w:r>
    </w:p>
    <w:p w:rsidR="00D15B4E" w:rsidRPr="00E47183" w:rsidRDefault="00D15B4E" w:rsidP="00E47183">
      <w:pPr>
        <w:spacing w:after="0" w:line="240" w:lineRule="auto"/>
        <w:ind w:left="360"/>
        <w:rPr>
          <w:rFonts w:ascii="Arial" w:hAnsi="Arial" w:cs="Arial"/>
          <w:b/>
          <w:sz w:val="20"/>
          <w:szCs w:val="20"/>
        </w:rPr>
      </w:pPr>
    </w:p>
    <w:p w:rsidR="00136E37" w:rsidRPr="00E47183" w:rsidRDefault="00F87AF0" w:rsidP="00E47183">
      <w:pPr>
        <w:spacing w:after="0" w:line="240" w:lineRule="auto"/>
        <w:ind w:left="360"/>
        <w:rPr>
          <w:rFonts w:ascii="Arial" w:hAnsi="Arial" w:cs="Arial"/>
          <w:b/>
          <w:sz w:val="20"/>
          <w:szCs w:val="20"/>
        </w:rPr>
      </w:pPr>
      <w:r w:rsidRPr="00E47183">
        <w:rPr>
          <w:rFonts w:ascii="Arial" w:hAnsi="Arial" w:cs="Arial"/>
          <w:b/>
          <w:sz w:val="20"/>
          <w:szCs w:val="20"/>
        </w:rPr>
        <w:t xml:space="preserve">Recommendation: </w:t>
      </w:r>
      <w:r w:rsidR="00136E37" w:rsidRPr="00E47183">
        <w:rPr>
          <w:rFonts w:ascii="Arial" w:hAnsi="Arial" w:cs="Arial"/>
          <w:sz w:val="20"/>
          <w:szCs w:val="20"/>
        </w:rPr>
        <w:t>Urgently address the systemic issues contributing to growing title deed backlog; consider best practice models. A framework for addressing these issues should be presented to Committee in the third quarter of the 2022/23 financial year. Support the initiative by Presidency or DPME to urgently coordinate intergovernmental Title Deed Summit and implementation of the recommendations be placed under the Inter-Ministerial Committee for Land (As suggested in DPME recommendations to the Committee in section 10.1).</w:t>
      </w:r>
    </w:p>
    <w:p w:rsidR="000A65DB" w:rsidRPr="00E47183" w:rsidRDefault="000A65DB" w:rsidP="00E47183">
      <w:pPr>
        <w:spacing w:after="0" w:line="240" w:lineRule="auto"/>
        <w:rPr>
          <w:rFonts w:ascii="Arial" w:hAnsi="Arial" w:cs="Arial"/>
          <w:b/>
          <w:sz w:val="20"/>
          <w:szCs w:val="20"/>
          <w:lang w:val="en-ZA"/>
        </w:rPr>
      </w:pPr>
    </w:p>
    <w:p w:rsidR="00A33AC7" w:rsidRPr="00E47183" w:rsidRDefault="00E9234C"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A33AC7" w:rsidRPr="00E47183">
        <w:rPr>
          <w:rFonts w:cs="Arial"/>
          <w:sz w:val="20"/>
          <w:szCs w:val="20"/>
          <w:lang w:val="en-ZA"/>
        </w:rPr>
        <w:t xml:space="preserve">The Committee expressed with serious concerns that the Department </w:t>
      </w:r>
      <w:r w:rsidR="00136E37" w:rsidRPr="00E47183">
        <w:rPr>
          <w:rFonts w:cs="Arial"/>
          <w:sz w:val="20"/>
          <w:szCs w:val="20"/>
          <w:lang w:val="en-ZA"/>
        </w:rPr>
        <w:t>did not reach its own 30%</w:t>
      </w:r>
      <w:r w:rsidR="00A33AC7" w:rsidRPr="00E47183">
        <w:rPr>
          <w:rFonts w:cs="Arial"/>
          <w:sz w:val="20"/>
          <w:szCs w:val="20"/>
          <w:lang w:val="en-ZA"/>
        </w:rPr>
        <w:t xml:space="preserve"> annual target of rezoning land for PDA’s. </w:t>
      </w:r>
    </w:p>
    <w:p w:rsidR="00D15B4E" w:rsidRPr="00E47183" w:rsidRDefault="00D15B4E" w:rsidP="00E47183">
      <w:pPr>
        <w:spacing w:after="0" w:line="240" w:lineRule="auto"/>
        <w:ind w:left="360"/>
        <w:rPr>
          <w:rFonts w:ascii="Arial" w:hAnsi="Arial" w:cs="Arial"/>
          <w:b/>
          <w:sz w:val="20"/>
          <w:szCs w:val="20"/>
          <w:lang w:val="en-ZA"/>
        </w:rPr>
      </w:pPr>
    </w:p>
    <w:p w:rsidR="00334342" w:rsidRPr="00E47183" w:rsidRDefault="00A33AC7" w:rsidP="00E47183">
      <w:pPr>
        <w:spacing w:after="0" w:line="240" w:lineRule="auto"/>
        <w:ind w:left="360"/>
        <w:rPr>
          <w:rFonts w:ascii="Arial" w:hAnsi="Arial" w:cs="Arial"/>
          <w:b/>
          <w:color w:val="FF0000"/>
          <w:sz w:val="20"/>
          <w:szCs w:val="20"/>
          <w:lang w:val="en-ZA"/>
        </w:rPr>
      </w:pPr>
      <w:r w:rsidRPr="00E47183">
        <w:rPr>
          <w:rFonts w:ascii="Arial" w:hAnsi="Arial" w:cs="Arial"/>
          <w:b/>
          <w:sz w:val="20"/>
          <w:szCs w:val="20"/>
          <w:lang w:val="en-ZA"/>
        </w:rPr>
        <w:t>Recommendation:</w:t>
      </w:r>
      <w:r w:rsidR="00E9234C" w:rsidRPr="00E47183">
        <w:rPr>
          <w:rFonts w:ascii="Arial" w:hAnsi="Arial" w:cs="Arial"/>
          <w:b/>
          <w:sz w:val="20"/>
          <w:szCs w:val="20"/>
          <w:lang w:val="en-ZA"/>
        </w:rPr>
        <w:t xml:space="preserve"> </w:t>
      </w:r>
      <w:r w:rsidRPr="00E47183">
        <w:rPr>
          <w:rFonts w:ascii="Arial" w:hAnsi="Arial" w:cs="Arial"/>
          <w:sz w:val="20"/>
          <w:szCs w:val="20"/>
          <w:lang w:val="en-ZA"/>
        </w:rPr>
        <w:t xml:space="preserve">Improve performance in the rezoning of land for PDAs. Closely work with the HDA to ensure that rezoning of land for PDAs is improved. The Department should </w:t>
      </w:r>
      <w:r w:rsidR="00232DD4" w:rsidRPr="00E47183">
        <w:rPr>
          <w:rFonts w:ascii="Arial" w:hAnsi="Arial" w:cs="Arial"/>
          <w:sz w:val="20"/>
          <w:szCs w:val="20"/>
          <w:lang w:val="en-ZA"/>
        </w:rPr>
        <w:t>provide</w:t>
      </w:r>
      <w:r w:rsidRPr="00E47183">
        <w:rPr>
          <w:rFonts w:ascii="Arial" w:hAnsi="Arial" w:cs="Arial"/>
          <w:sz w:val="20"/>
          <w:szCs w:val="20"/>
          <w:lang w:val="en-ZA"/>
        </w:rPr>
        <w:t xml:space="preserve"> the Committee with clear time frames on when they would meet their target of rezoning PDA’s.</w:t>
      </w:r>
      <w:r w:rsidR="00334342" w:rsidRPr="00E47183">
        <w:rPr>
          <w:rFonts w:ascii="Arial" w:hAnsi="Arial" w:cs="Arial"/>
          <w:sz w:val="20"/>
          <w:szCs w:val="20"/>
          <w:lang w:val="en-ZA"/>
        </w:rPr>
        <w:t xml:space="preserve"> Furthermore, </w:t>
      </w:r>
      <w:r w:rsidR="00334342" w:rsidRPr="00E47183">
        <w:rPr>
          <w:rFonts w:ascii="Arial" w:hAnsi="Arial" w:cs="Arial"/>
          <w:sz w:val="20"/>
          <w:szCs w:val="20"/>
        </w:rPr>
        <w:t>the HDA should ensure the release of strategically well-located public and privately-owned land for human settlements development.</w:t>
      </w:r>
      <w:r w:rsidR="001C23E7" w:rsidRPr="00E47183">
        <w:rPr>
          <w:rFonts w:ascii="Arial" w:hAnsi="Arial" w:cs="Arial"/>
          <w:sz w:val="20"/>
          <w:szCs w:val="20"/>
        </w:rPr>
        <w:t xml:space="preserve"> </w:t>
      </w:r>
    </w:p>
    <w:p w:rsidR="00136E37" w:rsidRPr="00E47183" w:rsidRDefault="00136E37" w:rsidP="00E47183">
      <w:pPr>
        <w:spacing w:after="0" w:line="240" w:lineRule="auto"/>
        <w:rPr>
          <w:rFonts w:ascii="Arial" w:hAnsi="Arial" w:cs="Arial"/>
          <w:sz w:val="20"/>
          <w:szCs w:val="20"/>
          <w:lang w:val="en-ZA"/>
        </w:rPr>
      </w:pPr>
    </w:p>
    <w:p w:rsidR="00D15B4E" w:rsidRPr="00E47183" w:rsidRDefault="00E9234C" w:rsidP="00E47183">
      <w:pPr>
        <w:pStyle w:val="ListParagraph"/>
        <w:numPr>
          <w:ilvl w:val="0"/>
          <w:numId w:val="7"/>
        </w:numPr>
        <w:spacing w:line="240" w:lineRule="auto"/>
        <w:rPr>
          <w:rFonts w:cs="Arial"/>
          <w:b/>
          <w:sz w:val="20"/>
          <w:szCs w:val="20"/>
          <w:lang w:val="en-ZA"/>
        </w:rPr>
      </w:pPr>
      <w:r w:rsidRPr="00E47183">
        <w:rPr>
          <w:rFonts w:cs="Arial"/>
          <w:b/>
          <w:sz w:val="20"/>
          <w:szCs w:val="20"/>
          <w:lang w:val="en-ZA"/>
        </w:rPr>
        <w:t xml:space="preserve">Observation: </w:t>
      </w:r>
      <w:r w:rsidR="004700F3" w:rsidRPr="00E47183">
        <w:rPr>
          <w:rFonts w:cs="Arial"/>
          <w:sz w:val="20"/>
          <w:szCs w:val="20"/>
          <w:lang w:val="en-ZA"/>
        </w:rPr>
        <w:t>The C</w:t>
      </w:r>
      <w:r w:rsidR="00A33AC7" w:rsidRPr="00E47183">
        <w:rPr>
          <w:rFonts w:cs="Arial"/>
          <w:sz w:val="20"/>
          <w:szCs w:val="20"/>
          <w:lang w:val="en-ZA"/>
        </w:rPr>
        <w:t>ommittee</w:t>
      </w:r>
      <w:r w:rsidR="004700F3" w:rsidRPr="00E47183">
        <w:rPr>
          <w:rFonts w:cs="Arial"/>
          <w:sz w:val="20"/>
          <w:szCs w:val="20"/>
          <w:lang w:val="en-ZA"/>
        </w:rPr>
        <w:t xml:space="preserve"> was concerned about five tenders, </w:t>
      </w:r>
      <w:r w:rsidR="00A33AC7" w:rsidRPr="00E47183">
        <w:rPr>
          <w:rFonts w:cs="Arial"/>
          <w:sz w:val="20"/>
          <w:szCs w:val="20"/>
          <w:lang w:val="en-ZA"/>
        </w:rPr>
        <w:t>with a value of 13 Million</w:t>
      </w:r>
      <w:r w:rsidR="004700F3" w:rsidRPr="00E47183">
        <w:rPr>
          <w:rFonts w:cs="Arial"/>
          <w:sz w:val="20"/>
          <w:szCs w:val="20"/>
          <w:lang w:val="en-ZA"/>
        </w:rPr>
        <w:t>,</w:t>
      </w:r>
      <w:r w:rsidR="00A33AC7" w:rsidRPr="00E47183">
        <w:rPr>
          <w:rFonts w:cs="Arial"/>
          <w:sz w:val="20"/>
          <w:szCs w:val="20"/>
          <w:lang w:val="en-ZA"/>
        </w:rPr>
        <w:t xml:space="preserve"> </w:t>
      </w:r>
      <w:r w:rsidR="004700F3" w:rsidRPr="00E47183">
        <w:rPr>
          <w:rFonts w:cs="Arial"/>
          <w:sz w:val="20"/>
          <w:szCs w:val="20"/>
          <w:lang w:val="en-ZA"/>
        </w:rPr>
        <w:t xml:space="preserve">which </w:t>
      </w:r>
      <w:r w:rsidR="00A33AC7" w:rsidRPr="00E47183">
        <w:rPr>
          <w:rFonts w:cs="Arial"/>
          <w:sz w:val="20"/>
          <w:szCs w:val="20"/>
          <w:lang w:val="en-ZA"/>
        </w:rPr>
        <w:t>was awarded even though proper tender process</w:t>
      </w:r>
      <w:r w:rsidR="0067793D" w:rsidRPr="00E47183">
        <w:rPr>
          <w:rFonts w:cs="Arial"/>
          <w:sz w:val="20"/>
          <w:szCs w:val="20"/>
          <w:lang w:val="en-ZA"/>
        </w:rPr>
        <w:t>es were not followed; tenders were</w:t>
      </w:r>
      <w:r w:rsidR="00A33AC7" w:rsidRPr="00E47183">
        <w:rPr>
          <w:rFonts w:cs="Arial"/>
          <w:sz w:val="20"/>
          <w:szCs w:val="20"/>
          <w:lang w:val="en-ZA"/>
        </w:rPr>
        <w:t xml:space="preserve"> not published in the tender portal even though the</w:t>
      </w:r>
      <w:r w:rsidR="0067793D" w:rsidRPr="00E47183">
        <w:rPr>
          <w:rFonts w:cs="Arial"/>
          <w:sz w:val="20"/>
          <w:szCs w:val="20"/>
          <w:lang w:val="en-ZA"/>
        </w:rPr>
        <w:t>re were no funds lost, the D</w:t>
      </w:r>
      <w:r w:rsidR="00862642" w:rsidRPr="00E47183">
        <w:rPr>
          <w:rFonts w:cs="Arial"/>
          <w:sz w:val="20"/>
          <w:szCs w:val="20"/>
          <w:lang w:val="en-ZA"/>
        </w:rPr>
        <w:t>epartment</w:t>
      </w:r>
      <w:r w:rsidR="00A33AC7" w:rsidRPr="00E47183">
        <w:rPr>
          <w:rFonts w:cs="Arial"/>
          <w:sz w:val="20"/>
          <w:szCs w:val="20"/>
          <w:lang w:val="en-ZA"/>
        </w:rPr>
        <w:t xml:space="preserve"> deviate</w:t>
      </w:r>
      <w:r w:rsidR="0067793D" w:rsidRPr="00E47183">
        <w:rPr>
          <w:rFonts w:cs="Arial"/>
          <w:sz w:val="20"/>
          <w:szCs w:val="20"/>
          <w:lang w:val="en-ZA"/>
        </w:rPr>
        <w:t>d</w:t>
      </w:r>
      <w:r w:rsidR="00A33AC7" w:rsidRPr="00E47183">
        <w:rPr>
          <w:rFonts w:cs="Arial"/>
          <w:sz w:val="20"/>
          <w:szCs w:val="20"/>
          <w:lang w:val="en-ZA"/>
        </w:rPr>
        <w:t xml:space="preserve"> from following proper procedures. </w:t>
      </w:r>
    </w:p>
    <w:p w:rsidR="00E51232" w:rsidRPr="00E47183" w:rsidRDefault="00E51232" w:rsidP="00E47183">
      <w:pPr>
        <w:spacing w:after="0" w:line="240" w:lineRule="auto"/>
        <w:ind w:left="360"/>
        <w:rPr>
          <w:rFonts w:ascii="Arial" w:hAnsi="Arial" w:cs="Arial"/>
          <w:b/>
          <w:sz w:val="20"/>
          <w:szCs w:val="20"/>
          <w:lang w:val="en-ZA"/>
        </w:rPr>
      </w:pPr>
    </w:p>
    <w:p w:rsidR="008A283E" w:rsidRPr="00E47183" w:rsidRDefault="00E9234C"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 xml:space="preserve">Recommendation: </w:t>
      </w:r>
      <w:r w:rsidR="004700F3" w:rsidRPr="00E47183">
        <w:rPr>
          <w:rFonts w:ascii="Arial" w:hAnsi="Arial" w:cs="Arial"/>
          <w:sz w:val="20"/>
          <w:szCs w:val="20"/>
          <w:lang w:val="en-ZA"/>
        </w:rPr>
        <w:t xml:space="preserve">Institute consequence management for irregular and improper awarding of tenders. The Department should provide the Committee with an action plan and clear timeframes in this regard. </w:t>
      </w:r>
    </w:p>
    <w:p w:rsidR="00F21BEE" w:rsidRPr="00E47183" w:rsidRDefault="00F21BEE" w:rsidP="00E47183">
      <w:pPr>
        <w:spacing w:after="0" w:line="240" w:lineRule="auto"/>
        <w:rPr>
          <w:rFonts w:ascii="Arial" w:hAnsi="Arial" w:cs="Arial"/>
          <w:sz w:val="20"/>
          <w:szCs w:val="20"/>
          <w:lang w:val="en-ZA"/>
        </w:rPr>
      </w:pPr>
    </w:p>
    <w:p w:rsidR="00F21BEE" w:rsidRPr="00E47183" w:rsidRDefault="00E9234C"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675ABF" w:rsidRPr="00E47183">
        <w:rPr>
          <w:rFonts w:cs="Arial"/>
          <w:sz w:val="20"/>
          <w:szCs w:val="20"/>
          <w:lang w:val="en-ZA"/>
        </w:rPr>
        <w:t>The Committee raised serious concerns that the Department failed to utilise the total allocated budget for the financial year ending 31 March 2022 in order to</w:t>
      </w:r>
      <w:r w:rsidR="00862642" w:rsidRPr="00E47183">
        <w:rPr>
          <w:rFonts w:cs="Arial"/>
          <w:sz w:val="20"/>
          <w:szCs w:val="20"/>
          <w:lang w:val="en-ZA"/>
        </w:rPr>
        <w:t xml:space="preserve"> improve the lives of south Africans</w:t>
      </w:r>
      <w:r w:rsidR="00675ABF" w:rsidRPr="00E47183">
        <w:rPr>
          <w:rFonts w:cs="Arial"/>
          <w:sz w:val="20"/>
          <w:szCs w:val="20"/>
          <w:lang w:val="en-ZA"/>
        </w:rPr>
        <w:t>.</w:t>
      </w:r>
      <w:r w:rsidR="001C23E7" w:rsidRPr="00E47183">
        <w:rPr>
          <w:rFonts w:cs="Arial"/>
          <w:color w:val="FF0000"/>
          <w:sz w:val="20"/>
          <w:szCs w:val="20"/>
          <w:lang w:val="en-ZA"/>
        </w:rPr>
        <w:t xml:space="preserve"> </w:t>
      </w:r>
    </w:p>
    <w:p w:rsidR="00D15B4E" w:rsidRPr="00E47183" w:rsidRDefault="00D15B4E" w:rsidP="00E47183">
      <w:pPr>
        <w:spacing w:after="0" w:line="240" w:lineRule="auto"/>
        <w:ind w:left="360"/>
        <w:rPr>
          <w:rFonts w:ascii="Arial" w:eastAsia="Times New Roman" w:hAnsi="Arial" w:cs="Arial"/>
          <w:b/>
          <w:color w:val="000000"/>
          <w:spacing w:val="6"/>
          <w:sz w:val="20"/>
          <w:szCs w:val="20"/>
          <w:lang w:val="en-ZA" w:eastAsia="en-GB"/>
        </w:rPr>
      </w:pPr>
    </w:p>
    <w:p w:rsidR="00675ABF" w:rsidRPr="00E47183" w:rsidRDefault="00675ABF" w:rsidP="00E47183">
      <w:pPr>
        <w:spacing w:after="0" w:line="240" w:lineRule="auto"/>
        <w:ind w:left="360"/>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 xml:space="preserve">Recommendation: </w:t>
      </w:r>
      <w:r w:rsidRPr="00E47183">
        <w:rPr>
          <w:rFonts w:ascii="Arial" w:hAnsi="Arial" w:cs="Arial"/>
          <w:sz w:val="20"/>
          <w:szCs w:val="20"/>
          <w:lang w:val="en-ZA"/>
        </w:rPr>
        <w:t xml:space="preserve">Ensure that the Department has proper plans to utilise budget allocated to human settlements sector. </w:t>
      </w:r>
      <w:r w:rsidR="0083468E" w:rsidRPr="00E47183">
        <w:rPr>
          <w:rFonts w:ascii="Arial" w:hAnsi="Arial" w:cs="Arial"/>
          <w:sz w:val="20"/>
          <w:szCs w:val="20"/>
          <w:lang w:val="en-ZA"/>
        </w:rPr>
        <w:t>Ensure that business plan</w:t>
      </w:r>
      <w:r w:rsidR="0059121B" w:rsidRPr="00E47183">
        <w:rPr>
          <w:rFonts w:ascii="Arial" w:hAnsi="Arial" w:cs="Arial"/>
          <w:sz w:val="20"/>
          <w:szCs w:val="20"/>
          <w:lang w:val="en-ZA"/>
        </w:rPr>
        <w:t>s (at the national and provincial level)</w:t>
      </w:r>
      <w:r w:rsidR="0083468E" w:rsidRPr="00E47183">
        <w:rPr>
          <w:rFonts w:ascii="Arial" w:hAnsi="Arial" w:cs="Arial"/>
          <w:sz w:val="20"/>
          <w:szCs w:val="20"/>
          <w:lang w:val="en-ZA"/>
        </w:rPr>
        <w:t xml:space="preserve"> are developed on time to prevent re-allocation of funds and fiscal-dumping.</w:t>
      </w:r>
    </w:p>
    <w:p w:rsidR="0059121B" w:rsidRPr="00E47183" w:rsidRDefault="0059121B" w:rsidP="00E47183">
      <w:pPr>
        <w:spacing w:after="0" w:line="240" w:lineRule="auto"/>
        <w:rPr>
          <w:rFonts w:ascii="Arial" w:hAnsi="Arial" w:cs="Arial"/>
          <w:b/>
          <w:sz w:val="20"/>
          <w:szCs w:val="20"/>
          <w:lang w:val="en-ZA"/>
        </w:rPr>
      </w:pPr>
    </w:p>
    <w:p w:rsidR="0048018B" w:rsidRPr="00E47183" w:rsidRDefault="00396E73"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59121B" w:rsidRPr="00E47183">
        <w:rPr>
          <w:rFonts w:cs="Arial"/>
          <w:sz w:val="20"/>
          <w:szCs w:val="20"/>
          <w:lang w:val="en-ZA"/>
        </w:rPr>
        <w:t>The Committee noted with concern that the overall of 51 percent of targets were achieved which is one of the lowest performance matrix which</w:t>
      </w:r>
      <w:r w:rsidR="0048018B" w:rsidRPr="00E47183">
        <w:rPr>
          <w:rFonts w:cs="Arial"/>
          <w:sz w:val="20"/>
          <w:szCs w:val="20"/>
          <w:lang w:val="en-ZA"/>
        </w:rPr>
        <w:t xml:space="preserve"> also suggests that the D</w:t>
      </w:r>
      <w:r w:rsidR="0059121B" w:rsidRPr="00E47183">
        <w:rPr>
          <w:rFonts w:cs="Arial"/>
          <w:sz w:val="20"/>
          <w:szCs w:val="20"/>
          <w:lang w:val="en-ZA"/>
        </w:rPr>
        <w:t>epar</w:t>
      </w:r>
      <w:r w:rsidR="0048018B" w:rsidRPr="00E47183">
        <w:rPr>
          <w:rFonts w:cs="Arial"/>
          <w:sz w:val="20"/>
          <w:szCs w:val="20"/>
          <w:lang w:val="en-ZA"/>
        </w:rPr>
        <w:t>tment started on a very low bar.</w:t>
      </w:r>
      <w:r w:rsidR="0059121B" w:rsidRPr="00E47183">
        <w:rPr>
          <w:rFonts w:cs="Arial"/>
          <w:sz w:val="20"/>
          <w:szCs w:val="20"/>
          <w:lang w:val="en-ZA"/>
        </w:rPr>
        <w:t xml:space="preserve"> </w:t>
      </w:r>
      <w:r w:rsidR="00686063" w:rsidRPr="00E47183">
        <w:rPr>
          <w:rFonts w:cs="Arial"/>
          <w:sz w:val="20"/>
          <w:szCs w:val="20"/>
          <w:lang w:val="en-ZA"/>
        </w:rPr>
        <w:t>The Committee also expressed concerns regarding the programmes of the Departments as programme 2 and 3 the integrated human settlement planning which only achieved only 41.7</w:t>
      </w:r>
      <w:r w:rsidR="00136E37" w:rsidRPr="00E47183">
        <w:rPr>
          <w:rFonts w:cs="Arial"/>
          <w:sz w:val="20"/>
          <w:szCs w:val="20"/>
          <w:lang w:val="en-ZA"/>
        </w:rPr>
        <w:t>%</w:t>
      </w:r>
      <w:r w:rsidR="00686063" w:rsidRPr="00E47183">
        <w:rPr>
          <w:rFonts w:cs="Arial"/>
          <w:sz w:val="20"/>
          <w:szCs w:val="20"/>
          <w:lang w:val="en-ZA"/>
        </w:rPr>
        <w:t xml:space="preserve"> of targets but the D</w:t>
      </w:r>
      <w:r w:rsidR="00136E37" w:rsidRPr="00E47183">
        <w:rPr>
          <w:rFonts w:cs="Arial"/>
          <w:sz w:val="20"/>
          <w:szCs w:val="20"/>
          <w:lang w:val="en-ZA"/>
        </w:rPr>
        <w:t>epartments spent 99.3%</w:t>
      </w:r>
      <w:r w:rsidR="00686063" w:rsidRPr="00E47183">
        <w:rPr>
          <w:rFonts w:cs="Arial"/>
          <w:sz w:val="20"/>
          <w:szCs w:val="20"/>
          <w:lang w:val="en-ZA"/>
        </w:rPr>
        <w:t xml:space="preserve"> of their budget and that’s a red flag.   </w:t>
      </w:r>
    </w:p>
    <w:p w:rsidR="00396E73" w:rsidRPr="00E47183" w:rsidRDefault="00396E73" w:rsidP="00E47183">
      <w:pPr>
        <w:spacing w:after="0" w:line="240" w:lineRule="auto"/>
        <w:ind w:left="360"/>
        <w:rPr>
          <w:rFonts w:ascii="Arial" w:hAnsi="Arial" w:cs="Arial"/>
          <w:b/>
          <w:sz w:val="20"/>
          <w:szCs w:val="20"/>
          <w:lang w:val="en-ZA"/>
        </w:rPr>
      </w:pPr>
    </w:p>
    <w:p w:rsidR="00574806" w:rsidRPr="00E47183" w:rsidRDefault="0048018B" w:rsidP="00E47183">
      <w:pPr>
        <w:spacing w:after="0" w:line="240" w:lineRule="auto"/>
        <w:ind w:left="360"/>
        <w:rPr>
          <w:rFonts w:ascii="Arial" w:hAnsi="Arial" w:cs="Arial"/>
          <w:b/>
          <w:sz w:val="20"/>
          <w:szCs w:val="20"/>
          <w:lang w:val="en-ZA"/>
        </w:rPr>
      </w:pPr>
      <w:r w:rsidRPr="00E47183">
        <w:rPr>
          <w:rFonts w:ascii="Arial" w:hAnsi="Arial" w:cs="Arial"/>
          <w:b/>
          <w:sz w:val="20"/>
          <w:szCs w:val="20"/>
          <w:lang w:val="en-ZA"/>
        </w:rPr>
        <w:t>Recommendation:</w:t>
      </w:r>
      <w:r w:rsidR="00396E73" w:rsidRPr="00E47183">
        <w:rPr>
          <w:rFonts w:ascii="Arial" w:hAnsi="Arial" w:cs="Arial"/>
          <w:b/>
          <w:sz w:val="20"/>
          <w:szCs w:val="20"/>
          <w:lang w:val="en-ZA"/>
        </w:rPr>
        <w:t xml:space="preserve"> </w:t>
      </w:r>
      <w:r w:rsidRPr="00E47183">
        <w:rPr>
          <w:rFonts w:ascii="Arial" w:hAnsi="Arial" w:cs="Arial"/>
          <w:sz w:val="20"/>
          <w:szCs w:val="20"/>
          <w:lang w:val="en-ZA"/>
        </w:rPr>
        <w:t>Develop plans to improve departmental performance and stabilize the human settlements sector</w:t>
      </w:r>
      <w:r w:rsidR="0059121B" w:rsidRPr="00E47183">
        <w:rPr>
          <w:rFonts w:ascii="Arial" w:hAnsi="Arial" w:cs="Arial"/>
          <w:sz w:val="20"/>
          <w:szCs w:val="20"/>
          <w:lang w:val="en-ZA"/>
        </w:rPr>
        <w:t>.</w:t>
      </w:r>
      <w:r w:rsidR="00686063" w:rsidRPr="00E47183">
        <w:rPr>
          <w:rFonts w:ascii="Arial" w:hAnsi="Arial" w:cs="Arial"/>
          <w:sz w:val="20"/>
          <w:szCs w:val="20"/>
          <w:lang w:val="en-ZA"/>
        </w:rPr>
        <w:t xml:space="preserve"> </w:t>
      </w:r>
      <w:r w:rsidRPr="00E47183">
        <w:rPr>
          <w:rFonts w:ascii="Arial" w:hAnsi="Arial" w:cs="Arial"/>
          <w:sz w:val="20"/>
          <w:szCs w:val="20"/>
          <w:lang w:val="en-ZA"/>
        </w:rPr>
        <w:t>This plan must be presented to the Committee in the second quarter of the 2022/23 financial year.</w:t>
      </w:r>
      <w:r w:rsidR="00686063" w:rsidRPr="00E47183">
        <w:rPr>
          <w:rFonts w:ascii="Arial" w:hAnsi="Arial" w:cs="Arial"/>
          <w:sz w:val="20"/>
          <w:szCs w:val="20"/>
          <w:lang w:val="en-ZA"/>
        </w:rPr>
        <w:t xml:space="preserve"> Furthermore, ensure that funds spent are align to targets achieved.</w:t>
      </w:r>
    </w:p>
    <w:p w:rsidR="00574806" w:rsidRPr="00E47183" w:rsidRDefault="00574806" w:rsidP="00E47183">
      <w:pPr>
        <w:spacing w:after="0" w:line="240" w:lineRule="auto"/>
        <w:rPr>
          <w:rFonts w:ascii="Arial" w:hAnsi="Arial" w:cs="Arial"/>
          <w:sz w:val="20"/>
          <w:szCs w:val="20"/>
          <w:lang w:val="en-ZA"/>
        </w:rPr>
      </w:pPr>
    </w:p>
    <w:p w:rsidR="00396E73" w:rsidRPr="00E47183" w:rsidRDefault="00396E73" w:rsidP="00E47183">
      <w:pPr>
        <w:pStyle w:val="ListParagraph"/>
        <w:numPr>
          <w:ilvl w:val="0"/>
          <w:numId w:val="7"/>
        </w:numPr>
        <w:spacing w:line="240" w:lineRule="auto"/>
        <w:rPr>
          <w:rFonts w:cs="Arial"/>
          <w:sz w:val="20"/>
          <w:szCs w:val="20"/>
          <w:lang w:val="en-ZA"/>
        </w:rPr>
      </w:pPr>
      <w:r w:rsidRPr="00E47183">
        <w:rPr>
          <w:rFonts w:cs="Arial"/>
          <w:b/>
          <w:sz w:val="20"/>
          <w:szCs w:val="20"/>
          <w:lang w:val="en-ZA"/>
        </w:rPr>
        <w:t xml:space="preserve">Observation: </w:t>
      </w:r>
      <w:r w:rsidR="00C560E8" w:rsidRPr="00E47183">
        <w:rPr>
          <w:rFonts w:cs="Arial"/>
          <w:sz w:val="20"/>
          <w:szCs w:val="20"/>
          <w:lang w:val="en-ZA"/>
        </w:rPr>
        <w:t>The Committee was concerned about individuals who deliberately do not pay service providers within the stipulated 30-day period. The Committee also expressed concern that some of these individuals are only given warning in irregular expenditures as some of these cases are recurring cases.</w:t>
      </w:r>
    </w:p>
    <w:p w:rsidR="00396E73" w:rsidRPr="00E47183" w:rsidRDefault="00396E73" w:rsidP="00E47183">
      <w:pPr>
        <w:pStyle w:val="ListParagraph"/>
        <w:spacing w:line="240" w:lineRule="auto"/>
        <w:ind w:left="360"/>
        <w:rPr>
          <w:rFonts w:cs="Arial"/>
          <w:b/>
          <w:sz w:val="20"/>
          <w:szCs w:val="20"/>
          <w:lang w:val="en-ZA"/>
        </w:rPr>
      </w:pPr>
    </w:p>
    <w:p w:rsidR="0059121B" w:rsidRPr="00E47183" w:rsidRDefault="00C560E8" w:rsidP="00E47183">
      <w:pPr>
        <w:pStyle w:val="ListParagraph"/>
        <w:spacing w:line="240" w:lineRule="auto"/>
        <w:ind w:left="360"/>
        <w:rPr>
          <w:rFonts w:cs="Arial"/>
          <w:sz w:val="20"/>
          <w:szCs w:val="20"/>
          <w:lang w:val="en-ZA"/>
        </w:rPr>
      </w:pPr>
      <w:r w:rsidRPr="00E47183">
        <w:rPr>
          <w:rFonts w:cs="Arial"/>
          <w:b/>
          <w:sz w:val="20"/>
          <w:szCs w:val="20"/>
          <w:lang w:val="en-ZA"/>
        </w:rPr>
        <w:t>Recommendation:</w:t>
      </w:r>
      <w:r w:rsidR="00396E73" w:rsidRPr="00E47183">
        <w:rPr>
          <w:rFonts w:cs="Arial"/>
          <w:b/>
          <w:sz w:val="20"/>
          <w:szCs w:val="20"/>
          <w:lang w:val="en-ZA"/>
        </w:rPr>
        <w:t xml:space="preserve"> </w:t>
      </w:r>
      <w:r w:rsidRPr="00E47183">
        <w:rPr>
          <w:rFonts w:cs="Arial"/>
          <w:sz w:val="20"/>
          <w:szCs w:val="20"/>
          <w:lang w:val="en-ZA"/>
        </w:rPr>
        <w:t>Ensure consequence management is applied to those individuals who</w:t>
      </w:r>
      <w:r w:rsidR="00574806" w:rsidRPr="00E47183">
        <w:rPr>
          <w:rFonts w:cs="Arial"/>
          <w:sz w:val="20"/>
          <w:szCs w:val="20"/>
          <w:lang w:val="en-ZA"/>
        </w:rPr>
        <w:t xml:space="preserve"> deliberately</w:t>
      </w:r>
      <w:r w:rsidRPr="00E47183">
        <w:rPr>
          <w:rFonts w:cs="Arial"/>
          <w:sz w:val="20"/>
          <w:szCs w:val="20"/>
          <w:lang w:val="en-ZA"/>
        </w:rPr>
        <w:t xml:space="preserve"> do not</w:t>
      </w:r>
      <w:r w:rsidR="00574806" w:rsidRPr="00E47183">
        <w:rPr>
          <w:rFonts w:cs="Arial"/>
          <w:sz w:val="20"/>
          <w:szCs w:val="20"/>
          <w:lang w:val="en-ZA"/>
        </w:rPr>
        <w:t xml:space="preserve"> </w:t>
      </w:r>
      <w:r w:rsidRPr="00E47183">
        <w:rPr>
          <w:rFonts w:cs="Arial"/>
          <w:sz w:val="20"/>
          <w:szCs w:val="20"/>
          <w:lang w:val="en-ZA"/>
        </w:rPr>
        <w:t>pay service providers</w:t>
      </w:r>
      <w:r w:rsidR="00574806" w:rsidRPr="00E47183">
        <w:rPr>
          <w:rFonts w:cs="Arial"/>
          <w:sz w:val="20"/>
          <w:szCs w:val="20"/>
          <w:lang w:val="en-ZA"/>
        </w:rPr>
        <w:t xml:space="preserve"> within the stipulated</w:t>
      </w:r>
      <w:r w:rsidRPr="00E47183">
        <w:rPr>
          <w:rFonts w:cs="Arial"/>
          <w:sz w:val="20"/>
          <w:szCs w:val="20"/>
          <w:lang w:val="en-ZA"/>
        </w:rPr>
        <w:t xml:space="preserve"> 30-day period</w:t>
      </w:r>
      <w:r w:rsidR="00574806" w:rsidRPr="00E47183">
        <w:rPr>
          <w:rFonts w:cs="Arial"/>
          <w:sz w:val="20"/>
          <w:szCs w:val="20"/>
          <w:lang w:val="en-ZA"/>
        </w:rPr>
        <w:t xml:space="preserve">. </w:t>
      </w:r>
    </w:p>
    <w:p w:rsidR="00D25337" w:rsidRPr="00E47183" w:rsidRDefault="00D25337" w:rsidP="00E47183">
      <w:pPr>
        <w:spacing w:after="0" w:line="240" w:lineRule="auto"/>
        <w:rPr>
          <w:rFonts w:ascii="Arial" w:hAnsi="Arial" w:cs="Arial"/>
          <w:b/>
          <w:sz w:val="20"/>
          <w:szCs w:val="20"/>
          <w:lang w:val="en-ZA"/>
        </w:rPr>
      </w:pPr>
    </w:p>
    <w:p w:rsidR="003118CE" w:rsidRPr="00E47183" w:rsidRDefault="00396E73" w:rsidP="00E47183">
      <w:pPr>
        <w:pStyle w:val="ListParagraph"/>
        <w:numPr>
          <w:ilvl w:val="0"/>
          <w:numId w:val="7"/>
        </w:numPr>
        <w:spacing w:line="240" w:lineRule="auto"/>
        <w:rPr>
          <w:rFonts w:cs="Arial"/>
          <w:color w:val="auto"/>
          <w:sz w:val="20"/>
          <w:szCs w:val="20"/>
          <w:lang w:val="en-ZA"/>
        </w:rPr>
      </w:pPr>
      <w:r w:rsidRPr="00E47183">
        <w:rPr>
          <w:rFonts w:cs="Arial"/>
          <w:b/>
          <w:color w:val="auto"/>
          <w:sz w:val="20"/>
          <w:szCs w:val="20"/>
          <w:lang w:val="en-ZA"/>
        </w:rPr>
        <w:t xml:space="preserve">Observation: </w:t>
      </w:r>
      <w:r w:rsidR="00EB5BC8" w:rsidRPr="00E47183">
        <w:rPr>
          <w:rFonts w:cs="Arial"/>
          <w:color w:val="auto"/>
          <w:sz w:val="20"/>
          <w:szCs w:val="20"/>
          <w:lang w:val="en-ZA"/>
        </w:rPr>
        <w:t xml:space="preserve">The Committee noted the reports that the Property Practitioners and Regulatory Authority is undertaking disciplinary measures against senior managers. </w:t>
      </w:r>
    </w:p>
    <w:p w:rsidR="00D15B4E" w:rsidRPr="00E47183" w:rsidRDefault="00D15B4E" w:rsidP="00E47183">
      <w:pPr>
        <w:spacing w:after="0" w:line="240" w:lineRule="auto"/>
        <w:ind w:left="360"/>
        <w:rPr>
          <w:rFonts w:ascii="Arial" w:hAnsi="Arial" w:cs="Arial"/>
          <w:b/>
          <w:sz w:val="20"/>
          <w:szCs w:val="20"/>
          <w:lang w:val="en-ZA"/>
        </w:rPr>
      </w:pPr>
    </w:p>
    <w:p w:rsidR="00EB5BC8" w:rsidRPr="00E47183" w:rsidRDefault="00EB5BC8" w:rsidP="00E47183">
      <w:pPr>
        <w:spacing w:after="0" w:line="240" w:lineRule="auto"/>
        <w:ind w:left="360"/>
        <w:rPr>
          <w:rFonts w:ascii="Arial" w:hAnsi="Arial" w:cs="Arial"/>
          <w:sz w:val="20"/>
          <w:szCs w:val="20"/>
          <w:lang w:val="en-ZA"/>
        </w:rPr>
      </w:pPr>
      <w:r w:rsidRPr="00E47183">
        <w:rPr>
          <w:rFonts w:ascii="Arial" w:hAnsi="Arial" w:cs="Arial"/>
          <w:b/>
          <w:sz w:val="20"/>
          <w:szCs w:val="20"/>
          <w:lang w:val="en-ZA"/>
        </w:rPr>
        <w:t>Recommendation</w:t>
      </w:r>
      <w:r w:rsidR="00396E73" w:rsidRPr="00E47183">
        <w:rPr>
          <w:rFonts w:ascii="Arial" w:hAnsi="Arial" w:cs="Arial"/>
          <w:b/>
          <w:sz w:val="20"/>
          <w:szCs w:val="20"/>
          <w:lang w:val="en-ZA"/>
        </w:rPr>
        <w:t xml:space="preserve">: </w:t>
      </w:r>
      <w:r w:rsidRPr="00E47183">
        <w:rPr>
          <w:rFonts w:ascii="Arial" w:hAnsi="Arial" w:cs="Arial"/>
          <w:sz w:val="20"/>
          <w:szCs w:val="20"/>
          <w:lang w:val="en-ZA"/>
        </w:rPr>
        <w:t xml:space="preserve">The Committee wishes to </w:t>
      </w:r>
      <w:r w:rsidR="006C48E1" w:rsidRPr="00E47183">
        <w:rPr>
          <w:rFonts w:ascii="Arial" w:hAnsi="Arial" w:cs="Arial"/>
          <w:sz w:val="20"/>
          <w:szCs w:val="20"/>
          <w:lang w:val="en-ZA"/>
        </w:rPr>
        <w:t>encourage</w:t>
      </w:r>
      <w:r w:rsidR="008700DF" w:rsidRPr="00E47183">
        <w:rPr>
          <w:rFonts w:ascii="Arial" w:hAnsi="Arial" w:cs="Arial"/>
          <w:sz w:val="20"/>
          <w:szCs w:val="20"/>
          <w:lang w:val="en-ZA"/>
        </w:rPr>
        <w:t xml:space="preserve"> the entity and the D</w:t>
      </w:r>
      <w:r w:rsidRPr="00E47183">
        <w:rPr>
          <w:rFonts w:ascii="Arial" w:hAnsi="Arial" w:cs="Arial"/>
          <w:sz w:val="20"/>
          <w:szCs w:val="20"/>
          <w:lang w:val="en-ZA"/>
        </w:rPr>
        <w:t>epartment to fast track the disciplinary processes and provide the committee with quarterly updates on the matter</w:t>
      </w:r>
      <w:r w:rsidR="006C48E1" w:rsidRPr="00E47183">
        <w:rPr>
          <w:rFonts w:ascii="Arial" w:hAnsi="Arial" w:cs="Arial"/>
          <w:sz w:val="20"/>
          <w:szCs w:val="20"/>
          <w:lang w:val="en-ZA"/>
        </w:rPr>
        <w:t xml:space="preserve">. </w:t>
      </w:r>
    </w:p>
    <w:p w:rsidR="00D15B4E" w:rsidRPr="00E47183" w:rsidRDefault="00D15B4E" w:rsidP="00E47183">
      <w:pPr>
        <w:spacing w:after="0" w:line="240" w:lineRule="auto"/>
        <w:ind w:left="360"/>
        <w:rPr>
          <w:rFonts w:ascii="Arial" w:hAnsi="Arial" w:cs="Arial"/>
          <w:b/>
          <w:sz w:val="20"/>
          <w:szCs w:val="20"/>
          <w:lang w:val="en-ZA"/>
        </w:rPr>
      </w:pPr>
    </w:p>
    <w:p w:rsidR="006C48E1" w:rsidRPr="00E47183" w:rsidRDefault="00D15B4E" w:rsidP="00E47183">
      <w:pPr>
        <w:pStyle w:val="ListParagraph"/>
        <w:numPr>
          <w:ilvl w:val="0"/>
          <w:numId w:val="7"/>
        </w:numPr>
        <w:spacing w:line="240" w:lineRule="auto"/>
        <w:rPr>
          <w:rFonts w:cs="Arial"/>
          <w:color w:val="auto"/>
          <w:sz w:val="20"/>
          <w:szCs w:val="20"/>
          <w:lang w:val="en-ZA"/>
        </w:rPr>
      </w:pPr>
      <w:r w:rsidRPr="00E47183">
        <w:rPr>
          <w:rFonts w:cs="Arial"/>
          <w:b/>
          <w:color w:val="auto"/>
          <w:sz w:val="20"/>
          <w:szCs w:val="20"/>
          <w:lang w:val="en-ZA"/>
        </w:rPr>
        <w:t xml:space="preserve">Observation: </w:t>
      </w:r>
      <w:r w:rsidR="005734BD" w:rsidRPr="00E47183">
        <w:rPr>
          <w:rFonts w:cs="Arial"/>
          <w:color w:val="auto"/>
          <w:sz w:val="20"/>
          <w:szCs w:val="20"/>
          <w:lang w:val="en-ZA"/>
        </w:rPr>
        <w:t>The Committee</w:t>
      </w:r>
      <w:r w:rsidR="006C48E1" w:rsidRPr="00E47183">
        <w:rPr>
          <w:rFonts w:cs="Arial"/>
          <w:color w:val="auto"/>
          <w:sz w:val="20"/>
          <w:szCs w:val="20"/>
          <w:lang w:val="en-ZA"/>
        </w:rPr>
        <w:t xml:space="preserve"> observed that the department even though it had revised its Medium Terms Strategic Framework (2019-2024) downwards, it seems that it is not going to achieve those revised targets. </w:t>
      </w:r>
    </w:p>
    <w:p w:rsidR="00D15B4E" w:rsidRPr="00E47183" w:rsidRDefault="00D15B4E" w:rsidP="00E47183">
      <w:pPr>
        <w:spacing w:after="0" w:line="240" w:lineRule="auto"/>
        <w:ind w:left="360"/>
        <w:rPr>
          <w:rFonts w:ascii="Arial" w:hAnsi="Arial" w:cs="Arial"/>
          <w:b/>
          <w:sz w:val="20"/>
          <w:szCs w:val="20"/>
          <w:lang w:val="en-ZA"/>
        </w:rPr>
      </w:pPr>
    </w:p>
    <w:p w:rsidR="006C48E1" w:rsidRPr="00E47183" w:rsidRDefault="006C48E1" w:rsidP="00E47183">
      <w:pPr>
        <w:spacing w:after="0" w:line="240" w:lineRule="auto"/>
        <w:ind w:left="360"/>
        <w:rPr>
          <w:rFonts w:ascii="Arial" w:hAnsi="Arial" w:cs="Arial"/>
          <w:sz w:val="20"/>
          <w:szCs w:val="20"/>
          <w:lang w:val="en-ZA"/>
        </w:rPr>
      </w:pPr>
      <w:r w:rsidRPr="00E47183">
        <w:rPr>
          <w:rFonts w:ascii="Arial" w:hAnsi="Arial" w:cs="Arial"/>
          <w:b/>
          <w:sz w:val="20"/>
          <w:szCs w:val="20"/>
          <w:lang w:val="en-ZA"/>
        </w:rPr>
        <w:t>Recommendation:</w:t>
      </w:r>
      <w:r w:rsidR="00D15B4E" w:rsidRPr="00E47183">
        <w:rPr>
          <w:rFonts w:ascii="Arial" w:hAnsi="Arial" w:cs="Arial"/>
          <w:b/>
          <w:sz w:val="20"/>
          <w:szCs w:val="20"/>
          <w:lang w:val="en-ZA"/>
        </w:rPr>
        <w:t xml:space="preserve"> </w:t>
      </w:r>
      <w:r w:rsidRPr="00E47183">
        <w:rPr>
          <w:rFonts w:ascii="Arial" w:hAnsi="Arial" w:cs="Arial"/>
          <w:sz w:val="20"/>
          <w:szCs w:val="20"/>
          <w:lang w:val="en-ZA"/>
        </w:rPr>
        <w:t>develop plans to ensure that</w:t>
      </w:r>
      <w:r w:rsidR="00D15B4E" w:rsidRPr="00E47183">
        <w:rPr>
          <w:rFonts w:ascii="Arial" w:hAnsi="Arial" w:cs="Arial"/>
          <w:sz w:val="20"/>
          <w:szCs w:val="20"/>
          <w:lang w:val="en-ZA"/>
        </w:rPr>
        <w:t xml:space="preserve"> the Department</w:t>
      </w:r>
      <w:r w:rsidRPr="00E47183">
        <w:rPr>
          <w:rFonts w:ascii="Arial" w:hAnsi="Arial" w:cs="Arial"/>
          <w:sz w:val="20"/>
          <w:szCs w:val="20"/>
          <w:lang w:val="en-ZA"/>
        </w:rPr>
        <w:t xml:space="preserve"> achieve</w:t>
      </w:r>
      <w:r w:rsidR="00D15B4E" w:rsidRPr="00E47183">
        <w:rPr>
          <w:rFonts w:ascii="Arial" w:hAnsi="Arial" w:cs="Arial"/>
          <w:sz w:val="20"/>
          <w:szCs w:val="20"/>
          <w:lang w:val="en-ZA"/>
        </w:rPr>
        <w:t>s</w:t>
      </w:r>
      <w:r w:rsidRPr="00E47183">
        <w:rPr>
          <w:rFonts w:ascii="Arial" w:hAnsi="Arial" w:cs="Arial"/>
          <w:sz w:val="20"/>
          <w:szCs w:val="20"/>
          <w:lang w:val="en-ZA"/>
        </w:rPr>
        <w:t xml:space="preserve"> those revised targets and those plans should be presented to the Committee on the second quarter of the 2022/23 financial year. </w:t>
      </w:r>
    </w:p>
    <w:p w:rsidR="0067793D" w:rsidRPr="00E47183" w:rsidRDefault="0067793D" w:rsidP="00E47183">
      <w:pPr>
        <w:spacing w:after="0" w:line="240" w:lineRule="auto"/>
        <w:ind w:left="360"/>
        <w:rPr>
          <w:rFonts w:ascii="Arial" w:hAnsi="Arial" w:cs="Arial"/>
          <w:b/>
          <w:sz w:val="20"/>
          <w:szCs w:val="20"/>
          <w:lang w:val="en-ZA"/>
        </w:rPr>
      </w:pPr>
    </w:p>
    <w:p w:rsidR="0067793D" w:rsidRPr="00E47183" w:rsidRDefault="00114AC2" w:rsidP="00E47183">
      <w:pPr>
        <w:pStyle w:val="ListParagraph"/>
        <w:numPr>
          <w:ilvl w:val="0"/>
          <w:numId w:val="7"/>
        </w:numPr>
        <w:spacing w:line="240" w:lineRule="auto"/>
        <w:rPr>
          <w:rFonts w:cs="Arial"/>
          <w:color w:val="auto"/>
          <w:sz w:val="20"/>
          <w:szCs w:val="20"/>
          <w:lang w:val="en-ZA"/>
        </w:rPr>
      </w:pPr>
      <w:r w:rsidRPr="00E47183">
        <w:rPr>
          <w:rFonts w:cs="Arial"/>
          <w:b/>
          <w:color w:val="auto"/>
          <w:sz w:val="20"/>
          <w:szCs w:val="20"/>
          <w:lang w:val="en-ZA"/>
        </w:rPr>
        <w:t>Observation:</w:t>
      </w:r>
      <w:r w:rsidRPr="00E47183">
        <w:rPr>
          <w:rFonts w:cs="Arial"/>
          <w:color w:val="auto"/>
          <w:sz w:val="20"/>
          <w:szCs w:val="20"/>
          <w:lang w:val="en-ZA"/>
        </w:rPr>
        <w:t xml:space="preserve"> The Committee was concerned about the lack of visibility of the NHBRC in commun</w:t>
      </w:r>
      <w:r w:rsidR="005529B2" w:rsidRPr="00E47183">
        <w:rPr>
          <w:rFonts w:cs="Arial"/>
          <w:color w:val="auto"/>
          <w:sz w:val="20"/>
          <w:szCs w:val="20"/>
          <w:lang w:val="en-ZA"/>
        </w:rPr>
        <w:t>ities, which results in shoddy workmanship by contractors</w:t>
      </w:r>
      <w:r w:rsidRPr="00E47183">
        <w:rPr>
          <w:rFonts w:cs="Arial"/>
          <w:color w:val="auto"/>
          <w:sz w:val="20"/>
          <w:szCs w:val="20"/>
          <w:lang w:val="en-ZA"/>
        </w:rPr>
        <w:t>.</w:t>
      </w:r>
    </w:p>
    <w:p w:rsidR="00114AC2" w:rsidRPr="00E47183" w:rsidRDefault="00114AC2" w:rsidP="00E47183">
      <w:pPr>
        <w:spacing w:after="0" w:line="240" w:lineRule="auto"/>
        <w:rPr>
          <w:rFonts w:ascii="Arial" w:hAnsi="Arial" w:cs="Arial"/>
          <w:sz w:val="20"/>
          <w:szCs w:val="20"/>
          <w:lang w:val="en-ZA"/>
        </w:rPr>
      </w:pPr>
    </w:p>
    <w:p w:rsidR="00114AC2" w:rsidRPr="00E47183" w:rsidRDefault="00114AC2" w:rsidP="00E47183">
      <w:pPr>
        <w:spacing w:after="0" w:line="240" w:lineRule="auto"/>
        <w:ind w:left="360"/>
        <w:rPr>
          <w:rFonts w:ascii="Arial" w:hAnsi="Arial" w:cs="Arial"/>
          <w:sz w:val="20"/>
          <w:szCs w:val="20"/>
          <w:lang w:val="en-ZA"/>
        </w:rPr>
      </w:pPr>
      <w:r w:rsidRPr="00E47183">
        <w:rPr>
          <w:rFonts w:ascii="Arial" w:hAnsi="Arial" w:cs="Arial"/>
          <w:b/>
          <w:sz w:val="20"/>
          <w:szCs w:val="20"/>
          <w:lang w:val="en-ZA"/>
        </w:rPr>
        <w:t xml:space="preserve">Recommendation:  </w:t>
      </w:r>
      <w:r w:rsidRPr="00E47183">
        <w:rPr>
          <w:rFonts w:ascii="Arial" w:hAnsi="Arial" w:cs="Arial"/>
          <w:sz w:val="20"/>
          <w:szCs w:val="20"/>
          <w:lang w:val="en-ZA"/>
        </w:rPr>
        <w:t>Ensure that NH</w:t>
      </w:r>
      <w:r w:rsidR="00162818" w:rsidRPr="00E47183">
        <w:rPr>
          <w:rFonts w:ascii="Arial" w:hAnsi="Arial" w:cs="Arial"/>
          <w:sz w:val="20"/>
          <w:szCs w:val="20"/>
          <w:lang w:val="en-ZA"/>
        </w:rPr>
        <w:t>B</w:t>
      </w:r>
      <w:r w:rsidRPr="00E47183">
        <w:rPr>
          <w:rFonts w:ascii="Arial" w:hAnsi="Arial" w:cs="Arial"/>
          <w:sz w:val="20"/>
          <w:szCs w:val="20"/>
          <w:lang w:val="en-ZA"/>
        </w:rPr>
        <w:t>RC is visible in all communities, with a special emphasis on rural communities.</w:t>
      </w:r>
      <w:r w:rsidR="00A1388B" w:rsidRPr="00E47183">
        <w:rPr>
          <w:rFonts w:ascii="Arial" w:hAnsi="Arial" w:cs="Arial"/>
          <w:sz w:val="20"/>
          <w:szCs w:val="20"/>
          <w:lang w:val="en-ZA"/>
        </w:rPr>
        <w:t xml:space="preserve"> NHBRC should employ enough inspectors to monitor construction of houses in all provinces. </w:t>
      </w:r>
    </w:p>
    <w:p w:rsidR="00114AC2" w:rsidRPr="00E47183" w:rsidRDefault="00114AC2" w:rsidP="00E47183">
      <w:pPr>
        <w:spacing w:after="0" w:line="240" w:lineRule="auto"/>
        <w:ind w:left="360"/>
        <w:rPr>
          <w:rFonts w:ascii="Arial" w:hAnsi="Arial" w:cs="Arial"/>
          <w:sz w:val="20"/>
          <w:szCs w:val="20"/>
          <w:lang w:val="en-ZA"/>
        </w:rPr>
      </w:pPr>
    </w:p>
    <w:p w:rsidR="00114AC2" w:rsidRPr="00E47183" w:rsidRDefault="00114AC2" w:rsidP="00E47183">
      <w:pPr>
        <w:pStyle w:val="ListParagraph"/>
        <w:numPr>
          <w:ilvl w:val="0"/>
          <w:numId w:val="7"/>
        </w:numPr>
        <w:spacing w:line="240" w:lineRule="auto"/>
        <w:rPr>
          <w:rFonts w:cs="Arial"/>
          <w:color w:val="auto"/>
          <w:sz w:val="20"/>
          <w:szCs w:val="20"/>
          <w:lang w:val="en-ZA"/>
        </w:rPr>
      </w:pPr>
      <w:r w:rsidRPr="00E47183">
        <w:rPr>
          <w:rFonts w:cs="Arial"/>
          <w:color w:val="auto"/>
          <w:sz w:val="20"/>
          <w:szCs w:val="20"/>
          <w:lang w:val="en-ZA"/>
        </w:rPr>
        <w:t xml:space="preserve"> </w:t>
      </w:r>
      <w:r w:rsidR="005D3442" w:rsidRPr="00E47183">
        <w:rPr>
          <w:rFonts w:cs="Arial"/>
          <w:b/>
          <w:color w:val="auto"/>
          <w:sz w:val="20"/>
          <w:szCs w:val="20"/>
          <w:lang w:val="en-ZA"/>
        </w:rPr>
        <w:t xml:space="preserve">Observation: </w:t>
      </w:r>
      <w:r w:rsidRPr="00E47183">
        <w:rPr>
          <w:rFonts w:cs="Arial"/>
          <w:color w:val="auto"/>
          <w:sz w:val="20"/>
          <w:szCs w:val="20"/>
          <w:lang w:val="en-ZA"/>
        </w:rPr>
        <w:t>The Committee observed that SHRA was not doing enough to ensure that people are bankable in order to benefit from the FLISP programme.</w:t>
      </w:r>
    </w:p>
    <w:p w:rsidR="005D3442" w:rsidRPr="00E47183" w:rsidRDefault="005D3442" w:rsidP="00E47183">
      <w:pPr>
        <w:spacing w:after="0" w:line="240" w:lineRule="auto"/>
        <w:rPr>
          <w:rFonts w:ascii="Arial" w:hAnsi="Arial" w:cs="Arial"/>
          <w:sz w:val="20"/>
          <w:szCs w:val="20"/>
          <w:lang w:val="en-ZA"/>
        </w:rPr>
      </w:pPr>
    </w:p>
    <w:p w:rsidR="005529B2" w:rsidRPr="00E47183" w:rsidRDefault="005D3442" w:rsidP="00E47183">
      <w:pPr>
        <w:spacing w:after="0" w:line="240" w:lineRule="auto"/>
        <w:ind w:left="360"/>
        <w:rPr>
          <w:rFonts w:ascii="Arial" w:hAnsi="Arial" w:cs="Arial"/>
          <w:sz w:val="20"/>
          <w:szCs w:val="20"/>
          <w:lang w:val="en-ZA"/>
        </w:rPr>
      </w:pPr>
      <w:r w:rsidRPr="00E47183">
        <w:rPr>
          <w:rFonts w:ascii="Arial" w:hAnsi="Arial" w:cs="Arial"/>
          <w:b/>
          <w:sz w:val="20"/>
          <w:szCs w:val="20"/>
          <w:lang w:val="en-ZA"/>
        </w:rPr>
        <w:t xml:space="preserve">Recommendation: </w:t>
      </w:r>
      <w:r w:rsidRPr="00E47183">
        <w:rPr>
          <w:rFonts w:ascii="Arial" w:hAnsi="Arial" w:cs="Arial"/>
          <w:sz w:val="20"/>
          <w:szCs w:val="20"/>
          <w:lang w:val="en-ZA"/>
        </w:rPr>
        <w:t>Work closely with SHRA, the Banking Association of South Africa, and other lending institution to ensure that poor people have access to banks. Furthermore, ensure that blacklisted poor people are assisted in order to benefit from FLISP programme.</w:t>
      </w:r>
    </w:p>
    <w:p w:rsidR="004302F5" w:rsidRPr="00E47183" w:rsidRDefault="000248DC"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12</w:t>
      </w:r>
      <w:r w:rsidR="004302F5" w:rsidRPr="00E47183">
        <w:rPr>
          <w:rFonts w:ascii="Arial" w:eastAsia="Times New Roman" w:hAnsi="Arial" w:cs="Arial"/>
          <w:b/>
          <w:color w:val="000000"/>
          <w:spacing w:val="6"/>
          <w:sz w:val="20"/>
          <w:szCs w:val="20"/>
          <w:lang w:val="en-ZA" w:eastAsia="en-GB"/>
        </w:rPr>
        <w:t>.</w:t>
      </w:r>
      <w:r w:rsidR="004302F5" w:rsidRPr="00E47183">
        <w:rPr>
          <w:rFonts w:ascii="Arial" w:eastAsia="Times New Roman" w:hAnsi="Arial" w:cs="Arial"/>
          <w:b/>
          <w:color w:val="000000"/>
          <w:spacing w:val="6"/>
          <w:sz w:val="20"/>
          <w:szCs w:val="20"/>
          <w:lang w:val="en-ZA" w:eastAsia="en-GB"/>
        </w:rPr>
        <w:tab/>
        <w:t>CONCLUSION</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r w:rsidRPr="00E47183">
        <w:rPr>
          <w:rFonts w:ascii="Arial" w:eastAsia="Times New Roman" w:hAnsi="Arial" w:cs="Arial"/>
          <w:color w:val="000000"/>
          <w:spacing w:val="6"/>
          <w:sz w:val="20"/>
          <w:szCs w:val="20"/>
          <w:lang w:val="en-ZA" w:eastAsia="en-GB"/>
        </w:rPr>
        <w:t>It is the submission of the Committee that the implementation of these recommendations would positively respond to the objectives of the Department and En</w:t>
      </w:r>
      <w:r w:rsidR="00E207D7" w:rsidRPr="00E47183">
        <w:rPr>
          <w:rFonts w:ascii="Arial" w:eastAsia="Times New Roman" w:hAnsi="Arial" w:cs="Arial"/>
          <w:color w:val="000000"/>
          <w:spacing w:val="6"/>
          <w:sz w:val="20"/>
          <w:szCs w:val="20"/>
          <w:lang w:val="en-ZA" w:eastAsia="en-GB"/>
        </w:rPr>
        <w:t>tities, the NDP</w:t>
      </w:r>
      <w:r w:rsidRPr="00E47183">
        <w:rPr>
          <w:rFonts w:ascii="Arial" w:eastAsia="Times New Roman" w:hAnsi="Arial" w:cs="Arial"/>
          <w:color w:val="000000"/>
          <w:spacing w:val="6"/>
          <w:sz w:val="20"/>
          <w:szCs w:val="20"/>
          <w:lang w:val="en-ZA" w:eastAsia="en-GB"/>
        </w:rPr>
        <w:t xml:space="preserve"> and the lives of the people. Recurring challenges observed would be resolved as swiftly as possible if accountability regarding these recommendations could be forthcoming from all the Entities within the sector. To ensure the realisation of these objectives at specified timeframes, the Committee will conduct its oversight on specified intervals. In addition, Parliament should track the implementation of these recommendations by the Executive.  </w:t>
      </w:r>
    </w:p>
    <w:p w:rsidR="004302F5" w:rsidRPr="00E47183" w:rsidRDefault="004302F5" w:rsidP="00E47183">
      <w:pPr>
        <w:spacing w:after="0" w:line="240" w:lineRule="auto"/>
        <w:rPr>
          <w:rFonts w:ascii="Arial" w:eastAsia="Times New Roman" w:hAnsi="Arial" w:cs="Arial"/>
          <w:color w:val="000000"/>
          <w:spacing w:val="6"/>
          <w:sz w:val="20"/>
          <w:szCs w:val="20"/>
          <w:lang w:val="en-ZA" w:eastAsia="en-GB"/>
        </w:rPr>
      </w:pPr>
    </w:p>
    <w:p w:rsidR="004302F5" w:rsidRPr="00E47183" w:rsidRDefault="004302F5" w:rsidP="00E47183">
      <w:pPr>
        <w:spacing w:after="0" w:line="240" w:lineRule="auto"/>
        <w:rPr>
          <w:rFonts w:ascii="Arial" w:eastAsia="Times New Roman" w:hAnsi="Arial" w:cs="Arial"/>
          <w:b/>
          <w:color w:val="000000"/>
          <w:spacing w:val="6"/>
          <w:sz w:val="20"/>
          <w:szCs w:val="20"/>
          <w:lang w:val="en-ZA" w:eastAsia="en-GB"/>
        </w:rPr>
      </w:pPr>
      <w:r w:rsidRPr="00E47183">
        <w:rPr>
          <w:rFonts w:ascii="Arial" w:eastAsia="Times New Roman" w:hAnsi="Arial" w:cs="Arial"/>
          <w:b/>
          <w:color w:val="000000"/>
          <w:spacing w:val="6"/>
          <w:sz w:val="20"/>
          <w:szCs w:val="20"/>
          <w:lang w:val="en-ZA" w:eastAsia="en-GB"/>
        </w:rPr>
        <w:t>Report to be considered.</w:t>
      </w:r>
    </w:p>
    <w:p w:rsidR="00CF52D3" w:rsidRPr="00E47183" w:rsidRDefault="00CF52D3" w:rsidP="00E47183">
      <w:pPr>
        <w:spacing w:after="0" w:line="240" w:lineRule="auto"/>
        <w:rPr>
          <w:rFonts w:ascii="Arial" w:hAnsi="Arial" w:cs="Arial"/>
          <w:sz w:val="20"/>
          <w:szCs w:val="20"/>
        </w:rPr>
      </w:pPr>
    </w:p>
    <w:sectPr w:rsidR="00CF52D3" w:rsidRPr="00E47183" w:rsidSect="001B1E5A">
      <w:footerReference w:type="default" r:id="rId8"/>
      <w:pgSz w:w="11906" w:h="16838"/>
      <w:pgMar w:top="540" w:right="1841"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CD" w:rsidRDefault="00CE42CD">
      <w:pPr>
        <w:spacing w:after="0" w:line="240" w:lineRule="auto"/>
      </w:pPr>
      <w:r>
        <w:separator/>
      </w:r>
    </w:p>
  </w:endnote>
  <w:endnote w:type="continuationSeparator" w:id="0">
    <w:p w:rsidR="00CE42CD" w:rsidRDefault="00CE4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58046414"/>
      <w:docPartObj>
        <w:docPartGallery w:val="Page Numbers (Bottom of Page)"/>
        <w:docPartUnique/>
      </w:docPartObj>
    </w:sdtPr>
    <w:sdtEndPr>
      <w:rPr>
        <w:noProof/>
      </w:rPr>
    </w:sdtEndPr>
    <w:sdtContent>
      <w:p w:rsidR="0004240E" w:rsidRDefault="0087693D">
        <w:pPr>
          <w:pStyle w:val="Footer"/>
          <w:jc w:val="center"/>
        </w:pPr>
        <w:r>
          <w:fldChar w:fldCharType="begin"/>
        </w:r>
        <w:r w:rsidR="0004240E">
          <w:instrText xml:space="preserve"> PAGE   \* MERGEFORMAT </w:instrText>
        </w:r>
        <w:r>
          <w:fldChar w:fldCharType="separate"/>
        </w:r>
        <w:r w:rsidR="00E47183">
          <w:rPr>
            <w:noProof/>
          </w:rPr>
          <w:t>1</w:t>
        </w:r>
        <w:r>
          <w:rPr>
            <w:noProof/>
          </w:rPr>
          <w:fldChar w:fldCharType="end"/>
        </w:r>
      </w:p>
    </w:sdtContent>
  </w:sdt>
  <w:p w:rsidR="0004240E" w:rsidRDefault="00042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CD" w:rsidRDefault="00CE42CD">
      <w:pPr>
        <w:spacing w:after="0" w:line="240" w:lineRule="auto"/>
      </w:pPr>
      <w:r>
        <w:separator/>
      </w:r>
    </w:p>
  </w:footnote>
  <w:footnote w:type="continuationSeparator" w:id="0">
    <w:p w:rsidR="00CE42CD" w:rsidRDefault="00CE4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702"/>
    <w:multiLevelType w:val="hybridMultilevel"/>
    <w:tmpl w:val="980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130AF"/>
    <w:multiLevelType w:val="hybridMultilevel"/>
    <w:tmpl w:val="DB34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204F"/>
    <w:multiLevelType w:val="hybridMultilevel"/>
    <w:tmpl w:val="358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6C6"/>
    <w:multiLevelType w:val="hybridMultilevel"/>
    <w:tmpl w:val="56C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D776C"/>
    <w:multiLevelType w:val="hybridMultilevel"/>
    <w:tmpl w:val="583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4729F"/>
    <w:multiLevelType w:val="hybridMultilevel"/>
    <w:tmpl w:val="8AAE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04B2B"/>
    <w:multiLevelType w:val="hybridMultilevel"/>
    <w:tmpl w:val="9480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53CF5"/>
    <w:multiLevelType w:val="hybridMultilevel"/>
    <w:tmpl w:val="6A40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10B0A"/>
    <w:multiLevelType w:val="hybridMultilevel"/>
    <w:tmpl w:val="7EA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D02E3"/>
    <w:multiLevelType w:val="hybridMultilevel"/>
    <w:tmpl w:val="D06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1338D"/>
    <w:multiLevelType w:val="hybridMultilevel"/>
    <w:tmpl w:val="F8ACA5A8"/>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43D0347C"/>
    <w:multiLevelType w:val="hybridMultilevel"/>
    <w:tmpl w:val="8C90E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5CB5258"/>
    <w:multiLevelType w:val="hybridMultilevel"/>
    <w:tmpl w:val="6270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60310"/>
    <w:multiLevelType w:val="hybridMultilevel"/>
    <w:tmpl w:val="497CABCC"/>
    <w:lvl w:ilvl="0" w:tplc="1C090001">
      <w:start w:val="1"/>
      <w:numFmt w:val="bullet"/>
      <w:lvlText w:val=""/>
      <w:lvlJc w:val="left"/>
      <w:pPr>
        <w:ind w:left="920" w:hanging="360"/>
      </w:pPr>
      <w:rPr>
        <w:rFonts w:ascii="Symbol" w:hAnsi="Symbol" w:hint="default"/>
      </w:rPr>
    </w:lvl>
    <w:lvl w:ilvl="1" w:tplc="1C090003" w:tentative="1">
      <w:start w:val="1"/>
      <w:numFmt w:val="bullet"/>
      <w:lvlText w:val="o"/>
      <w:lvlJc w:val="left"/>
      <w:pPr>
        <w:ind w:left="1640" w:hanging="360"/>
      </w:pPr>
      <w:rPr>
        <w:rFonts w:ascii="Courier New" w:hAnsi="Courier New" w:cs="Courier New" w:hint="default"/>
      </w:rPr>
    </w:lvl>
    <w:lvl w:ilvl="2" w:tplc="1C090005" w:tentative="1">
      <w:start w:val="1"/>
      <w:numFmt w:val="bullet"/>
      <w:lvlText w:val=""/>
      <w:lvlJc w:val="left"/>
      <w:pPr>
        <w:ind w:left="2360" w:hanging="360"/>
      </w:pPr>
      <w:rPr>
        <w:rFonts w:ascii="Wingdings" w:hAnsi="Wingdings" w:hint="default"/>
      </w:rPr>
    </w:lvl>
    <w:lvl w:ilvl="3" w:tplc="1C090001" w:tentative="1">
      <w:start w:val="1"/>
      <w:numFmt w:val="bullet"/>
      <w:lvlText w:val=""/>
      <w:lvlJc w:val="left"/>
      <w:pPr>
        <w:ind w:left="3080" w:hanging="360"/>
      </w:pPr>
      <w:rPr>
        <w:rFonts w:ascii="Symbol" w:hAnsi="Symbol" w:hint="default"/>
      </w:rPr>
    </w:lvl>
    <w:lvl w:ilvl="4" w:tplc="1C090003" w:tentative="1">
      <w:start w:val="1"/>
      <w:numFmt w:val="bullet"/>
      <w:lvlText w:val="o"/>
      <w:lvlJc w:val="left"/>
      <w:pPr>
        <w:ind w:left="3800" w:hanging="360"/>
      </w:pPr>
      <w:rPr>
        <w:rFonts w:ascii="Courier New" w:hAnsi="Courier New" w:cs="Courier New" w:hint="default"/>
      </w:rPr>
    </w:lvl>
    <w:lvl w:ilvl="5" w:tplc="1C090005" w:tentative="1">
      <w:start w:val="1"/>
      <w:numFmt w:val="bullet"/>
      <w:lvlText w:val=""/>
      <w:lvlJc w:val="left"/>
      <w:pPr>
        <w:ind w:left="4520" w:hanging="360"/>
      </w:pPr>
      <w:rPr>
        <w:rFonts w:ascii="Wingdings" w:hAnsi="Wingdings" w:hint="default"/>
      </w:rPr>
    </w:lvl>
    <w:lvl w:ilvl="6" w:tplc="1C090001" w:tentative="1">
      <w:start w:val="1"/>
      <w:numFmt w:val="bullet"/>
      <w:lvlText w:val=""/>
      <w:lvlJc w:val="left"/>
      <w:pPr>
        <w:ind w:left="5240" w:hanging="360"/>
      </w:pPr>
      <w:rPr>
        <w:rFonts w:ascii="Symbol" w:hAnsi="Symbol" w:hint="default"/>
      </w:rPr>
    </w:lvl>
    <w:lvl w:ilvl="7" w:tplc="1C090003" w:tentative="1">
      <w:start w:val="1"/>
      <w:numFmt w:val="bullet"/>
      <w:lvlText w:val="o"/>
      <w:lvlJc w:val="left"/>
      <w:pPr>
        <w:ind w:left="5960" w:hanging="360"/>
      </w:pPr>
      <w:rPr>
        <w:rFonts w:ascii="Courier New" w:hAnsi="Courier New" w:cs="Courier New" w:hint="default"/>
      </w:rPr>
    </w:lvl>
    <w:lvl w:ilvl="8" w:tplc="1C090005" w:tentative="1">
      <w:start w:val="1"/>
      <w:numFmt w:val="bullet"/>
      <w:lvlText w:val=""/>
      <w:lvlJc w:val="left"/>
      <w:pPr>
        <w:ind w:left="6680" w:hanging="360"/>
      </w:pPr>
      <w:rPr>
        <w:rFonts w:ascii="Wingdings" w:hAnsi="Wingdings" w:hint="default"/>
      </w:rPr>
    </w:lvl>
  </w:abstractNum>
  <w:abstractNum w:abstractNumId="14">
    <w:nsid w:val="479B3F61"/>
    <w:multiLevelType w:val="hybridMultilevel"/>
    <w:tmpl w:val="4576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A744A"/>
    <w:multiLevelType w:val="hybridMultilevel"/>
    <w:tmpl w:val="BEE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3632F"/>
    <w:multiLevelType w:val="hybridMultilevel"/>
    <w:tmpl w:val="7DF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F60D7"/>
    <w:multiLevelType w:val="hybridMultilevel"/>
    <w:tmpl w:val="ECB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7725E"/>
    <w:multiLevelType w:val="hybridMultilevel"/>
    <w:tmpl w:val="8BD4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9464A"/>
    <w:multiLevelType w:val="hybridMultilevel"/>
    <w:tmpl w:val="73FE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83DF6"/>
    <w:multiLevelType w:val="hybridMultilevel"/>
    <w:tmpl w:val="A74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0095B"/>
    <w:multiLevelType w:val="hybridMultilevel"/>
    <w:tmpl w:val="B962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058F8"/>
    <w:multiLevelType w:val="hybridMultilevel"/>
    <w:tmpl w:val="B0C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B52DC"/>
    <w:multiLevelType w:val="hybridMultilevel"/>
    <w:tmpl w:val="32C0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F0A5B"/>
    <w:multiLevelType w:val="hybridMultilevel"/>
    <w:tmpl w:val="ED82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92C57"/>
    <w:multiLevelType w:val="hybridMultilevel"/>
    <w:tmpl w:val="F684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F3483"/>
    <w:multiLevelType w:val="hybridMultilevel"/>
    <w:tmpl w:val="955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22"/>
  </w:num>
  <w:num w:numId="5">
    <w:abstractNumId w:val="21"/>
  </w:num>
  <w:num w:numId="6">
    <w:abstractNumId w:val="26"/>
  </w:num>
  <w:num w:numId="7">
    <w:abstractNumId w:val="10"/>
  </w:num>
  <w:num w:numId="8">
    <w:abstractNumId w:val="6"/>
  </w:num>
  <w:num w:numId="9">
    <w:abstractNumId w:val="2"/>
  </w:num>
  <w:num w:numId="10">
    <w:abstractNumId w:val="19"/>
  </w:num>
  <w:num w:numId="11">
    <w:abstractNumId w:val="20"/>
  </w:num>
  <w:num w:numId="12">
    <w:abstractNumId w:val="8"/>
  </w:num>
  <w:num w:numId="13">
    <w:abstractNumId w:val="17"/>
  </w:num>
  <w:num w:numId="14">
    <w:abstractNumId w:val="7"/>
  </w:num>
  <w:num w:numId="15">
    <w:abstractNumId w:val="0"/>
  </w:num>
  <w:num w:numId="16">
    <w:abstractNumId w:val="16"/>
  </w:num>
  <w:num w:numId="17">
    <w:abstractNumId w:val="25"/>
  </w:num>
  <w:num w:numId="18">
    <w:abstractNumId w:val="5"/>
  </w:num>
  <w:num w:numId="19">
    <w:abstractNumId w:val="14"/>
  </w:num>
  <w:num w:numId="20">
    <w:abstractNumId w:val="24"/>
  </w:num>
  <w:num w:numId="21">
    <w:abstractNumId w:val="18"/>
  </w:num>
  <w:num w:numId="22">
    <w:abstractNumId w:val="12"/>
  </w:num>
  <w:num w:numId="23">
    <w:abstractNumId w:val="9"/>
  </w:num>
  <w:num w:numId="24">
    <w:abstractNumId w:val="15"/>
  </w:num>
  <w:num w:numId="25">
    <w:abstractNumId w:val="4"/>
  </w:num>
  <w:num w:numId="26">
    <w:abstractNumId w:val="1"/>
  </w:num>
  <w:num w:numId="27">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4302F5"/>
    <w:rsid w:val="00000AD7"/>
    <w:rsid w:val="000111A7"/>
    <w:rsid w:val="0001304A"/>
    <w:rsid w:val="000153C4"/>
    <w:rsid w:val="000205F2"/>
    <w:rsid w:val="000248DC"/>
    <w:rsid w:val="00024D58"/>
    <w:rsid w:val="00033539"/>
    <w:rsid w:val="00036152"/>
    <w:rsid w:val="00036775"/>
    <w:rsid w:val="00040598"/>
    <w:rsid w:val="0004240E"/>
    <w:rsid w:val="00045079"/>
    <w:rsid w:val="00045248"/>
    <w:rsid w:val="00051D15"/>
    <w:rsid w:val="00057F74"/>
    <w:rsid w:val="00061917"/>
    <w:rsid w:val="00062E6A"/>
    <w:rsid w:val="00091092"/>
    <w:rsid w:val="0009605D"/>
    <w:rsid w:val="00097EC3"/>
    <w:rsid w:val="000A2A0E"/>
    <w:rsid w:val="000A518C"/>
    <w:rsid w:val="000A65DB"/>
    <w:rsid w:val="000B0FC6"/>
    <w:rsid w:val="000B4C8E"/>
    <w:rsid w:val="000E0182"/>
    <w:rsid w:val="000E7B99"/>
    <w:rsid w:val="000F18DD"/>
    <w:rsid w:val="001000EA"/>
    <w:rsid w:val="00102484"/>
    <w:rsid w:val="00104606"/>
    <w:rsid w:val="00110ABC"/>
    <w:rsid w:val="001116BD"/>
    <w:rsid w:val="00112D55"/>
    <w:rsid w:val="00114AC2"/>
    <w:rsid w:val="0011610D"/>
    <w:rsid w:val="001310A1"/>
    <w:rsid w:val="00132156"/>
    <w:rsid w:val="00132F36"/>
    <w:rsid w:val="00133C13"/>
    <w:rsid w:val="00136E37"/>
    <w:rsid w:val="00144533"/>
    <w:rsid w:val="00144BAD"/>
    <w:rsid w:val="0014646F"/>
    <w:rsid w:val="00152D36"/>
    <w:rsid w:val="00160DF1"/>
    <w:rsid w:val="00162818"/>
    <w:rsid w:val="00166CF9"/>
    <w:rsid w:val="001836B1"/>
    <w:rsid w:val="001B1E5A"/>
    <w:rsid w:val="001B7C43"/>
    <w:rsid w:val="001C23E7"/>
    <w:rsid w:val="001D081D"/>
    <w:rsid w:val="001D6E7B"/>
    <w:rsid w:val="001E7745"/>
    <w:rsid w:val="001F1BC6"/>
    <w:rsid w:val="002009E5"/>
    <w:rsid w:val="002031D3"/>
    <w:rsid w:val="00213C64"/>
    <w:rsid w:val="002233B8"/>
    <w:rsid w:val="00223A33"/>
    <w:rsid w:val="00232DD4"/>
    <w:rsid w:val="00234ED8"/>
    <w:rsid w:val="00243367"/>
    <w:rsid w:val="0024440C"/>
    <w:rsid w:val="002541D0"/>
    <w:rsid w:val="00260601"/>
    <w:rsid w:val="00267AC7"/>
    <w:rsid w:val="00271057"/>
    <w:rsid w:val="00277AB6"/>
    <w:rsid w:val="00292DB2"/>
    <w:rsid w:val="002A0330"/>
    <w:rsid w:val="002A2823"/>
    <w:rsid w:val="002A3F7E"/>
    <w:rsid w:val="002B062F"/>
    <w:rsid w:val="002B0FCE"/>
    <w:rsid w:val="002B3657"/>
    <w:rsid w:val="002B517A"/>
    <w:rsid w:val="002B544D"/>
    <w:rsid w:val="002B64CA"/>
    <w:rsid w:val="002C026F"/>
    <w:rsid w:val="002C62EF"/>
    <w:rsid w:val="002C64E6"/>
    <w:rsid w:val="002D031C"/>
    <w:rsid w:val="002D45C5"/>
    <w:rsid w:val="002D72AF"/>
    <w:rsid w:val="002E113B"/>
    <w:rsid w:val="002E43EA"/>
    <w:rsid w:val="002F35C6"/>
    <w:rsid w:val="00302073"/>
    <w:rsid w:val="00303493"/>
    <w:rsid w:val="00311287"/>
    <w:rsid w:val="003118CE"/>
    <w:rsid w:val="00316153"/>
    <w:rsid w:val="00316F2D"/>
    <w:rsid w:val="003216C4"/>
    <w:rsid w:val="00322F67"/>
    <w:rsid w:val="00323D76"/>
    <w:rsid w:val="003251D3"/>
    <w:rsid w:val="00326A6B"/>
    <w:rsid w:val="003341B1"/>
    <w:rsid w:val="00334342"/>
    <w:rsid w:val="00336BB7"/>
    <w:rsid w:val="00342BBF"/>
    <w:rsid w:val="00342F4A"/>
    <w:rsid w:val="00346B69"/>
    <w:rsid w:val="00347E0E"/>
    <w:rsid w:val="003537C6"/>
    <w:rsid w:val="00354950"/>
    <w:rsid w:val="00357022"/>
    <w:rsid w:val="00363529"/>
    <w:rsid w:val="00364233"/>
    <w:rsid w:val="00382F58"/>
    <w:rsid w:val="0038306F"/>
    <w:rsid w:val="00396E73"/>
    <w:rsid w:val="003A07BA"/>
    <w:rsid w:val="003A3B50"/>
    <w:rsid w:val="003B0F87"/>
    <w:rsid w:val="003B249F"/>
    <w:rsid w:val="003B7D9D"/>
    <w:rsid w:val="003C0293"/>
    <w:rsid w:val="003C4E1E"/>
    <w:rsid w:val="003D42A1"/>
    <w:rsid w:val="003D51B1"/>
    <w:rsid w:val="003D69A9"/>
    <w:rsid w:val="003D6C7A"/>
    <w:rsid w:val="003D7ADA"/>
    <w:rsid w:val="003E3449"/>
    <w:rsid w:val="003E63A8"/>
    <w:rsid w:val="003F0A5C"/>
    <w:rsid w:val="003F1C73"/>
    <w:rsid w:val="003F3E9C"/>
    <w:rsid w:val="003F4E70"/>
    <w:rsid w:val="00401944"/>
    <w:rsid w:val="00401FBD"/>
    <w:rsid w:val="00404352"/>
    <w:rsid w:val="0041247D"/>
    <w:rsid w:val="00414174"/>
    <w:rsid w:val="00415351"/>
    <w:rsid w:val="004302F5"/>
    <w:rsid w:val="00432CA9"/>
    <w:rsid w:val="00433CA0"/>
    <w:rsid w:val="00452F82"/>
    <w:rsid w:val="004531A9"/>
    <w:rsid w:val="00453C22"/>
    <w:rsid w:val="00461AD0"/>
    <w:rsid w:val="00463182"/>
    <w:rsid w:val="004631FD"/>
    <w:rsid w:val="004700F3"/>
    <w:rsid w:val="00470EEC"/>
    <w:rsid w:val="004725B6"/>
    <w:rsid w:val="0048018B"/>
    <w:rsid w:val="00496561"/>
    <w:rsid w:val="004B2228"/>
    <w:rsid w:val="004B436E"/>
    <w:rsid w:val="004B649F"/>
    <w:rsid w:val="004B6F4A"/>
    <w:rsid w:val="004C21EE"/>
    <w:rsid w:val="004C36E8"/>
    <w:rsid w:val="004C4EEC"/>
    <w:rsid w:val="004C6652"/>
    <w:rsid w:val="004D7FDF"/>
    <w:rsid w:val="004E1397"/>
    <w:rsid w:val="004E290C"/>
    <w:rsid w:val="004E6C76"/>
    <w:rsid w:val="004E77C9"/>
    <w:rsid w:val="00502D36"/>
    <w:rsid w:val="0050781A"/>
    <w:rsid w:val="005101B8"/>
    <w:rsid w:val="00510AF4"/>
    <w:rsid w:val="0051369D"/>
    <w:rsid w:val="00527008"/>
    <w:rsid w:val="00533B3D"/>
    <w:rsid w:val="0054270D"/>
    <w:rsid w:val="005529B2"/>
    <w:rsid w:val="00555DF0"/>
    <w:rsid w:val="0056504D"/>
    <w:rsid w:val="005734BD"/>
    <w:rsid w:val="0057364B"/>
    <w:rsid w:val="00574806"/>
    <w:rsid w:val="00590731"/>
    <w:rsid w:val="0059121B"/>
    <w:rsid w:val="00595F88"/>
    <w:rsid w:val="005A1225"/>
    <w:rsid w:val="005B0010"/>
    <w:rsid w:val="005C0A70"/>
    <w:rsid w:val="005D1B3E"/>
    <w:rsid w:val="005D1E3B"/>
    <w:rsid w:val="005D3442"/>
    <w:rsid w:val="005E4644"/>
    <w:rsid w:val="005F507A"/>
    <w:rsid w:val="005F6347"/>
    <w:rsid w:val="005F6B3D"/>
    <w:rsid w:val="006150AD"/>
    <w:rsid w:val="00617C50"/>
    <w:rsid w:val="006259E0"/>
    <w:rsid w:val="006268EF"/>
    <w:rsid w:val="0063216D"/>
    <w:rsid w:val="0063690B"/>
    <w:rsid w:val="00636B0E"/>
    <w:rsid w:val="006403BC"/>
    <w:rsid w:val="00641F44"/>
    <w:rsid w:val="00647AF1"/>
    <w:rsid w:val="006538E8"/>
    <w:rsid w:val="00655F08"/>
    <w:rsid w:val="00662219"/>
    <w:rsid w:val="006728F7"/>
    <w:rsid w:val="006735E0"/>
    <w:rsid w:val="00675ABF"/>
    <w:rsid w:val="0067793D"/>
    <w:rsid w:val="00686063"/>
    <w:rsid w:val="006919E1"/>
    <w:rsid w:val="00692578"/>
    <w:rsid w:val="006A2B14"/>
    <w:rsid w:val="006A54CC"/>
    <w:rsid w:val="006B48EB"/>
    <w:rsid w:val="006C06D7"/>
    <w:rsid w:val="006C12D1"/>
    <w:rsid w:val="006C48E1"/>
    <w:rsid w:val="006C7D94"/>
    <w:rsid w:val="006D54DA"/>
    <w:rsid w:val="006D723B"/>
    <w:rsid w:val="006E06C7"/>
    <w:rsid w:val="006E6890"/>
    <w:rsid w:val="00701E98"/>
    <w:rsid w:val="0070218C"/>
    <w:rsid w:val="00705DD3"/>
    <w:rsid w:val="007060ED"/>
    <w:rsid w:val="00707F15"/>
    <w:rsid w:val="00713CAA"/>
    <w:rsid w:val="00714468"/>
    <w:rsid w:val="00734BB1"/>
    <w:rsid w:val="00736812"/>
    <w:rsid w:val="00755B4D"/>
    <w:rsid w:val="0076011F"/>
    <w:rsid w:val="00764D10"/>
    <w:rsid w:val="00780729"/>
    <w:rsid w:val="00783DAC"/>
    <w:rsid w:val="00787320"/>
    <w:rsid w:val="00787BBA"/>
    <w:rsid w:val="0079241D"/>
    <w:rsid w:val="00793F21"/>
    <w:rsid w:val="00794538"/>
    <w:rsid w:val="007A1819"/>
    <w:rsid w:val="007A7BF4"/>
    <w:rsid w:val="007B05EC"/>
    <w:rsid w:val="007B23D7"/>
    <w:rsid w:val="007B2831"/>
    <w:rsid w:val="007B5946"/>
    <w:rsid w:val="007C0619"/>
    <w:rsid w:val="007C67B7"/>
    <w:rsid w:val="007D6C13"/>
    <w:rsid w:val="007D6F42"/>
    <w:rsid w:val="007E2600"/>
    <w:rsid w:val="007E4D15"/>
    <w:rsid w:val="007F3C1D"/>
    <w:rsid w:val="007F7374"/>
    <w:rsid w:val="008001F1"/>
    <w:rsid w:val="00804D91"/>
    <w:rsid w:val="0081686A"/>
    <w:rsid w:val="00820BB2"/>
    <w:rsid w:val="00820F06"/>
    <w:rsid w:val="008243B0"/>
    <w:rsid w:val="00825C13"/>
    <w:rsid w:val="0083468E"/>
    <w:rsid w:val="00834B35"/>
    <w:rsid w:val="00841F44"/>
    <w:rsid w:val="008455C0"/>
    <w:rsid w:val="00846B5E"/>
    <w:rsid w:val="00850995"/>
    <w:rsid w:val="00850AB4"/>
    <w:rsid w:val="00861A2F"/>
    <w:rsid w:val="00862642"/>
    <w:rsid w:val="00864A3E"/>
    <w:rsid w:val="00866930"/>
    <w:rsid w:val="008700DF"/>
    <w:rsid w:val="00874B8B"/>
    <w:rsid w:val="0087693D"/>
    <w:rsid w:val="00876E4A"/>
    <w:rsid w:val="00885A5A"/>
    <w:rsid w:val="00892816"/>
    <w:rsid w:val="008A283E"/>
    <w:rsid w:val="008A4C0F"/>
    <w:rsid w:val="008A71A4"/>
    <w:rsid w:val="008B1B12"/>
    <w:rsid w:val="008B317E"/>
    <w:rsid w:val="008B51D7"/>
    <w:rsid w:val="008C2223"/>
    <w:rsid w:val="008C5548"/>
    <w:rsid w:val="008D274A"/>
    <w:rsid w:val="008D5D6E"/>
    <w:rsid w:val="008E1EE5"/>
    <w:rsid w:val="008E24C2"/>
    <w:rsid w:val="008E436A"/>
    <w:rsid w:val="008E714F"/>
    <w:rsid w:val="008F1F1C"/>
    <w:rsid w:val="008F7EFC"/>
    <w:rsid w:val="0090093C"/>
    <w:rsid w:val="00903988"/>
    <w:rsid w:val="00910C2A"/>
    <w:rsid w:val="00932EBC"/>
    <w:rsid w:val="009357FA"/>
    <w:rsid w:val="00935E12"/>
    <w:rsid w:val="00936211"/>
    <w:rsid w:val="00942A05"/>
    <w:rsid w:val="009510CE"/>
    <w:rsid w:val="00961396"/>
    <w:rsid w:val="00966145"/>
    <w:rsid w:val="0097332F"/>
    <w:rsid w:val="00992BC2"/>
    <w:rsid w:val="0099410D"/>
    <w:rsid w:val="00996C87"/>
    <w:rsid w:val="009B1285"/>
    <w:rsid w:val="009B3B70"/>
    <w:rsid w:val="009C608B"/>
    <w:rsid w:val="009C6332"/>
    <w:rsid w:val="009E1B31"/>
    <w:rsid w:val="009E6373"/>
    <w:rsid w:val="009E7B12"/>
    <w:rsid w:val="009F18D0"/>
    <w:rsid w:val="009F58E8"/>
    <w:rsid w:val="009F7792"/>
    <w:rsid w:val="009F7F75"/>
    <w:rsid w:val="00A07A5C"/>
    <w:rsid w:val="00A1388B"/>
    <w:rsid w:val="00A17608"/>
    <w:rsid w:val="00A17A20"/>
    <w:rsid w:val="00A26768"/>
    <w:rsid w:val="00A31434"/>
    <w:rsid w:val="00A33AC7"/>
    <w:rsid w:val="00A44026"/>
    <w:rsid w:val="00A44210"/>
    <w:rsid w:val="00A44BF0"/>
    <w:rsid w:val="00A4663A"/>
    <w:rsid w:val="00A51F23"/>
    <w:rsid w:val="00A65527"/>
    <w:rsid w:val="00A72A2F"/>
    <w:rsid w:val="00A7595C"/>
    <w:rsid w:val="00A81DD4"/>
    <w:rsid w:val="00A831C5"/>
    <w:rsid w:val="00A86183"/>
    <w:rsid w:val="00A92DDB"/>
    <w:rsid w:val="00AA067A"/>
    <w:rsid w:val="00AA1A57"/>
    <w:rsid w:val="00AA44E7"/>
    <w:rsid w:val="00AB592A"/>
    <w:rsid w:val="00AC0CD2"/>
    <w:rsid w:val="00AC313B"/>
    <w:rsid w:val="00AC38DF"/>
    <w:rsid w:val="00AC4F9F"/>
    <w:rsid w:val="00AD4570"/>
    <w:rsid w:val="00B0425E"/>
    <w:rsid w:val="00B11993"/>
    <w:rsid w:val="00B153E7"/>
    <w:rsid w:val="00B34A0F"/>
    <w:rsid w:val="00B358F7"/>
    <w:rsid w:val="00B421CC"/>
    <w:rsid w:val="00B45920"/>
    <w:rsid w:val="00B52530"/>
    <w:rsid w:val="00B60892"/>
    <w:rsid w:val="00B63B84"/>
    <w:rsid w:val="00B6553A"/>
    <w:rsid w:val="00B76C3F"/>
    <w:rsid w:val="00B7717C"/>
    <w:rsid w:val="00B80909"/>
    <w:rsid w:val="00B84979"/>
    <w:rsid w:val="00B87EFD"/>
    <w:rsid w:val="00B9360A"/>
    <w:rsid w:val="00BA4AB7"/>
    <w:rsid w:val="00BA5029"/>
    <w:rsid w:val="00BA5BB8"/>
    <w:rsid w:val="00BB0BCB"/>
    <w:rsid w:val="00BC7EEF"/>
    <w:rsid w:val="00BE4612"/>
    <w:rsid w:val="00BF3C0B"/>
    <w:rsid w:val="00BF6BD0"/>
    <w:rsid w:val="00C00524"/>
    <w:rsid w:val="00C00845"/>
    <w:rsid w:val="00C019A7"/>
    <w:rsid w:val="00C12E66"/>
    <w:rsid w:val="00C145A2"/>
    <w:rsid w:val="00C37ED2"/>
    <w:rsid w:val="00C47287"/>
    <w:rsid w:val="00C51165"/>
    <w:rsid w:val="00C560E8"/>
    <w:rsid w:val="00C57233"/>
    <w:rsid w:val="00C62266"/>
    <w:rsid w:val="00C73C9E"/>
    <w:rsid w:val="00C80EBB"/>
    <w:rsid w:val="00C83357"/>
    <w:rsid w:val="00C90A96"/>
    <w:rsid w:val="00C96A58"/>
    <w:rsid w:val="00CA2281"/>
    <w:rsid w:val="00CB3A66"/>
    <w:rsid w:val="00CD6B84"/>
    <w:rsid w:val="00CD6D25"/>
    <w:rsid w:val="00CD7915"/>
    <w:rsid w:val="00CE42CD"/>
    <w:rsid w:val="00CE4D69"/>
    <w:rsid w:val="00CE6CF1"/>
    <w:rsid w:val="00CF0F30"/>
    <w:rsid w:val="00CF3172"/>
    <w:rsid w:val="00CF52D3"/>
    <w:rsid w:val="00D10D08"/>
    <w:rsid w:val="00D11318"/>
    <w:rsid w:val="00D11A0D"/>
    <w:rsid w:val="00D13931"/>
    <w:rsid w:val="00D15B4E"/>
    <w:rsid w:val="00D160D4"/>
    <w:rsid w:val="00D24D7C"/>
    <w:rsid w:val="00D25337"/>
    <w:rsid w:val="00D31FB3"/>
    <w:rsid w:val="00D36CA5"/>
    <w:rsid w:val="00D374D2"/>
    <w:rsid w:val="00D45C28"/>
    <w:rsid w:val="00D51B24"/>
    <w:rsid w:val="00D63268"/>
    <w:rsid w:val="00D65DAB"/>
    <w:rsid w:val="00D6768E"/>
    <w:rsid w:val="00D70578"/>
    <w:rsid w:val="00D752C1"/>
    <w:rsid w:val="00D77D77"/>
    <w:rsid w:val="00D863CF"/>
    <w:rsid w:val="00D86CE3"/>
    <w:rsid w:val="00D95F44"/>
    <w:rsid w:val="00DA2178"/>
    <w:rsid w:val="00DA3C14"/>
    <w:rsid w:val="00DA47CA"/>
    <w:rsid w:val="00DB342E"/>
    <w:rsid w:val="00DC0E0B"/>
    <w:rsid w:val="00DC5937"/>
    <w:rsid w:val="00DC5CB8"/>
    <w:rsid w:val="00DC5EA9"/>
    <w:rsid w:val="00DC625F"/>
    <w:rsid w:val="00DC67F3"/>
    <w:rsid w:val="00DD1901"/>
    <w:rsid w:val="00DD5DEA"/>
    <w:rsid w:val="00DD7930"/>
    <w:rsid w:val="00DE3EC9"/>
    <w:rsid w:val="00DF4CDE"/>
    <w:rsid w:val="00DF583F"/>
    <w:rsid w:val="00DF7553"/>
    <w:rsid w:val="00DF7ADF"/>
    <w:rsid w:val="00E207D7"/>
    <w:rsid w:val="00E2089A"/>
    <w:rsid w:val="00E27319"/>
    <w:rsid w:val="00E4351D"/>
    <w:rsid w:val="00E45D26"/>
    <w:rsid w:val="00E47183"/>
    <w:rsid w:val="00E50237"/>
    <w:rsid w:val="00E51232"/>
    <w:rsid w:val="00E517EB"/>
    <w:rsid w:val="00E55356"/>
    <w:rsid w:val="00E57195"/>
    <w:rsid w:val="00E63904"/>
    <w:rsid w:val="00E72F88"/>
    <w:rsid w:val="00E8037D"/>
    <w:rsid w:val="00E865FB"/>
    <w:rsid w:val="00E9234C"/>
    <w:rsid w:val="00E930D5"/>
    <w:rsid w:val="00EA0B61"/>
    <w:rsid w:val="00EB3443"/>
    <w:rsid w:val="00EB5BC8"/>
    <w:rsid w:val="00EB6EF3"/>
    <w:rsid w:val="00EC43D4"/>
    <w:rsid w:val="00ED0A9E"/>
    <w:rsid w:val="00ED2ECC"/>
    <w:rsid w:val="00ED3A3F"/>
    <w:rsid w:val="00EE355B"/>
    <w:rsid w:val="00EE765B"/>
    <w:rsid w:val="00EE7A0A"/>
    <w:rsid w:val="00EF0638"/>
    <w:rsid w:val="00EF3016"/>
    <w:rsid w:val="00EF4F6D"/>
    <w:rsid w:val="00EF68EE"/>
    <w:rsid w:val="00EF70D5"/>
    <w:rsid w:val="00F07BBD"/>
    <w:rsid w:val="00F1293C"/>
    <w:rsid w:val="00F21BEE"/>
    <w:rsid w:val="00F24461"/>
    <w:rsid w:val="00F25B28"/>
    <w:rsid w:val="00F30714"/>
    <w:rsid w:val="00F32799"/>
    <w:rsid w:val="00F36591"/>
    <w:rsid w:val="00F41AD1"/>
    <w:rsid w:val="00F42B15"/>
    <w:rsid w:val="00F44661"/>
    <w:rsid w:val="00F504F3"/>
    <w:rsid w:val="00F5270A"/>
    <w:rsid w:val="00F5706D"/>
    <w:rsid w:val="00F677D9"/>
    <w:rsid w:val="00F737B5"/>
    <w:rsid w:val="00F7736E"/>
    <w:rsid w:val="00F7739C"/>
    <w:rsid w:val="00F81430"/>
    <w:rsid w:val="00F84784"/>
    <w:rsid w:val="00F87402"/>
    <w:rsid w:val="00F87AF0"/>
    <w:rsid w:val="00F93239"/>
    <w:rsid w:val="00F96F30"/>
    <w:rsid w:val="00FA579D"/>
    <w:rsid w:val="00FA711C"/>
    <w:rsid w:val="00FB3B7A"/>
    <w:rsid w:val="00FB6407"/>
    <w:rsid w:val="00FC55BC"/>
    <w:rsid w:val="00FE285A"/>
    <w:rsid w:val="00FF2609"/>
    <w:rsid w:val="00FF467C"/>
    <w:rsid w:val="00FF5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A9"/>
  </w:style>
  <w:style w:type="paragraph" w:styleId="Heading1">
    <w:name w:val="heading 1"/>
    <w:basedOn w:val="Normal"/>
    <w:next w:val="Normal"/>
    <w:link w:val="Heading1Char"/>
    <w:qFormat/>
    <w:rsid w:val="004302F5"/>
    <w:pPr>
      <w:keepNext/>
      <w:spacing w:after="0" w:line="280" w:lineRule="exact"/>
      <w:outlineLvl w:val="0"/>
    </w:pPr>
    <w:rPr>
      <w:rFonts w:ascii="Arial" w:eastAsia="Times New Roman" w:hAnsi="Arial" w:cs="Arial"/>
      <w:b/>
      <w:bCs/>
      <w:color w:val="000000"/>
      <w:spacing w:val="6"/>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2F5"/>
    <w:rPr>
      <w:rFonts w:ascii="Arial" w:eastAsia="Times New Roman" w:hAnsi="Arial" w:cs="Arial"/>
      <w:b/>
      <w:bCs/>
      <w:color w:val="000000"/>
      <w:spacing w:val="6"/>
      <w:kern w:val="32"/>
      <w:sz w:val="20"/>
      <w:szCs w:val="20"/>
      <w:lang w:val="en-GB" w:eastAsia="en-GB"/>
    </w:rPr>
  </w:style>
  <w:style w:type="numbering" w:customStyle="1" w:styleId="NoList1">
    <w:name w:val="No List1"/>
    <w:next w:val="NoList"/>
    <w:uiPriority w:val="99"/>
    <w:semiHidden/>
    <w:unhideWhenUsed/>
    <w:rsid w:val="004302F5"/>
  </w:style>
  <w:style w:type="paragraph" w:styleId="ListParagraph">
    <w:name w:val="List Paragraph"/>
    <w:aliases w:val="List Paragraph 1"/>
    <w:basedOn w:val="Normal"/>
    <w:link w:val="ListParagraphChar"/>
    <w:uiPriority w:val="34"/>
    <w:qFormat/>
    <w:rsid w:val="004302F5"/>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
    <w:basedOn w:val="DefaultParagraphFont"/>
    <w:link w:val="ListParagraph"/>
    <w:uiPriority w:val="34"/>
    <w:locked/>
    <w:rsid w:val="004302F5"/>
    <w:rPr>
      <w:rFonts w:ascii="Arial" w:eastAsia="Times New Roman" w:hAnsi="Arial" w:cs="Times New Roman"/>
      <w:color w:val="000000"/>
      <w:spacing w:val="6"/>
      <w:sz w:val="18"/>
      <w:szCs w:val="18"/>
      <w:lang w:val="en-GB" w:eastAsia="en-GB"/>
    </w:rPr>
  </w:style>
  <w:style w:type="character" w:customStyle="1" w:styleId="A6">
    <w:name w:val="A6"/>
    <w:uiPriority w:val="99"/>
    <w:rsid w:val="004302F5"/>
    <w:rPr>
      <w:b/>
      <w:bCs/>
      <w:color w:val="000000"/>
      <w:sz w:val="20"/>
      <w:szCs w:val="20"/>
    </w:rPr>
  </w:style>
  <w:style w:type="paragraph" w:styleId="Header">
    <w:name w:val="header"/>
    <w:basedOn w:val="Normal"/>
    <w:link w:val="HeaderChar"/>
    <w:uiPriority w:val="99"/>
    <w:unhideWhenUsed/>
    <w:rsid w:val="004302F5"/>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4302F5"/>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4302F5"/>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4302F5"/>
    <w:rPr>
      <w:rFonts w:ascii="Arial" w:eastAsia="Times New Roman" w:hAnsi="Arial" w:cs="Times New Roman"/>
      <w:color w:val="000000"/>
      <w:spacing w:val="6"/>
      <w:sz w:val="18"/>
      <w:szCs w:val="18"/>
      <w:lang w:val="en-GB" w:eastAsia="en-GB"/>
    </w:rPr>
  </w:style>
  <w:style w:type="paragraph" w:styleId="FootnoteText">
    <w:name w:val="footnote text"/>
    <w:aliases w:val="Footnote Text Char1,Footnote Text Char Char,fn Char"/>
    <w:basedOn w:val="Normal"/>
    <w:link w:val="FootnoteTextChar"/>
    <w:uiPriority w:val="99"/>
    <w:qFormat/>
    <w:rsid w:val="004302F5"/>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
    <w:basedOn w:val="DefaultParagraphFont"/>
    <w:link w:val="FootnoteText"/>
    <w:uiPriority w:val="99"/>
    <w:rsid w:val="004302F5"/>
    <w:rPr>
      <w:rFonts w:ascii="Arial" w:eastAsia="Times New Roman" w:hAnsi="Arial" w:cs="Times New Roman"/>
      <w:color w:val="000000"/>
      <w:spacing w:val="6"/>
      <w:sz w:val="20"/>
      <w:szCs w:val="20"/>
      <w:lang w:val="en-GB" w:eastAsia="en-GB"/>
    </w:rPr>
  </w:style>
  <w:style w:type="character" w:styleId="FootnoteReference">
    <w:name w:val="footnote reference"/>
    <w:uiPriority w:val="99"/>
    <w:qFormat/>
    <w:rsid w:val="004302F5"/>
    <w:rPr>
      <w:vertAlign w:val="superscript"/>
    </w:rPr>
  </w:style>
  <w:style w:type="paragraph" w:customStyle="1" w:styleId="Default">
    <w:name w:val="Default"/>
    <w:rsid w:val="004302F5"/>
    <w:pPr>
      <w:autoSpaceDE w:val="0"/>
      <w:autoSpaceDN w:val="0"/>
      <w:adjustRightInd w:val="0"/>
      <w:spacing w:after="0" w:line="240" w:lineRule="auto"/>
    </w:pPr>
    <w:rPr>
      <w:rFonts w:ascii="Arial" w:eastAsia="Times New Roman" w:hAnsi="Arial" w:cs="Arial"/>
      <w:color w:val="000000"/>
      <w:sz w:val="24"/>
      <w:szCs w:val="24"/>
      <w:lang w:val="en-ZA" w:eastAsia="en-ZA"/>
    </w:rPr>
  </w:style>
  <w:style w:type="table" w:customStyle="1" w:styleId="TableGrid1">
    <w:name w:val="Table Grid1"/>
    <w:basedOn w:val="TableNormal"/>
    <w:next w:val="TableGrid"/>
    <w:uiPriority w:val="39"/>
    <w:rsid w:val="004302F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4302F5"/>
    <w:rPr>
      <w:i/>
      <w:iCs/>
    </w:rPr>
  </w:style>
  <w:style w:type="paragraph" w:styleId="BalloonText">
    <w:name w:val="Balloon Text"/>
    <w:basedOn w:val="Normal"/>
    <w:link w:val="BalloonTextChar"/>
    <w:uiPriority w:val="99"/>
    <w:semiHidden/>
    <w:unhideWhenUsed/>
    <w:rsid w:val="004302F5"/>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4302F5"/>
    <w:rPr>
      <w:rFonts w:ascii="Segoe UI" w:eastAsia="Times New Roman" w:hAnsi="Segoe UI" w:cs="Segoe UI"/>
      <w:color w:val="000000"/>
      <w:spacing w:val="6"/>
      <w:sz w:val="18"/>
      <w:szCs w:val="18"/>
      <w:lang w:val="en-GB" w:eastAsia="en-GB"/>
    </w:rPr>
  </w:style>
  <w:style w:type="paragraph" w:customStyle="1" w:styleId="BodySingle">
    <w:name w:val="Body Single"/>
    <w:rsid w:val="004302F5"/>
    <w:pPr>
      <w:spacing w:after="0" w:line="240" w:lineRule="auto"/>
      <w:ind w:left="720"/>
      <w:jc w:val="both"/>
    </w:pPr>
    <w:rPr>
      <w:rFonts w:ascii="Arial" w:eastAsia="Times New Roman" w:hAnsi="Arial" w:cs="Times New Roman"/>
      <w:i/>
      <w:noProof/>
      <w:sz w:val="20"/>
      <w:szCs w:val="20"/>
    </w:rPr>
  </w:style>
  <w:style w:type="paragraph" w:customStyle="1" w:styleId="ac-01">
    <w:name w:val="ac-01"/>
    <w:basedOn w:val="Normal"/>
    <w:next w:val="Normal"/>
    <w:rsid w:val="004302F5"/>
    <w:pPr>
      <w:widowControl w:val="0"/>
      <w:autoSpaceDE w:val="0"/>
      <w:autoSpaceDN w:val="0"/>
      <w:adjustRightInd w:val="0"/>
      <w:spacing w:after="0" w:line="240" w:lineRule="auto"/>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4302F5"/>
    <w:rPr>
      <w:sz w:val="16"/>
      <w:szCs w:val="16"/>
    </w:rPr>
  </w:style>
  <w:style w:type="paragraph" w:styleId="CommentText">
    <w:name w:val="annotation text"/>
    <w:basedOn w:val="Normal"/>
    <w:link w:val="CommentTextChar"/>
    <w:uiPriority w:val="99"/>
    <w:semiHidden/>
    <w:unhideWhenUsed/>
    <w:rsid w:val="004302F5"/>
    <w:pPr>
      <w:spacing w:after="0" w:line="240" w:lineRule="auto"/>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uiPriority w:val="99"/>
    <w:semiHidden/>
    <w:rsid w:val="004302F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4302F5"/>
    <w:rPr>
      <w:b/>
      <w:bCs/>
    </w:rPr>
  </w:style>
  <w:style w:type="character" w:customStyle="1" w:styleId="CommentSubjectChar">
    <w:name w:val="Comment Subject Char"/>
    <w:basedOn w:val="CommentTextChar"/>
    <w:link w:val="CommentSubject"/>
    <w:uiPriority w:val="99"/>
    <w:semiHidden/>
    <w:rsid w:val="004302F5"/>
    <w:rPr>
      <w:rFonts w:ascii="Arial" w:eastAsia="Times New Roman" w:hAnsi="Arial" w:cs="Times New Roman"/>
      <w:b/>
      <w:bCs/>
      <w:color w:val="000000"/>
      <w:spacing w:val="6"/>
      <w:sz w:val="20"/>
      <w:szCs w:val="20"/>
      <w:lang w:val="en-GB" w:eastAsia="en-GB"/>
    </w:rPr>
  </w:style>
  <w:style w:type="paragraph" w:styleId="BodyText">
    <w:name w:val="Body Text"/>
    <w:basedOn w:val="Normal"/>
    <w:link w:val="BodyTextChar"/>
    <w:rsid w:val="004302F5"/>
    <w:pPr>
      <w:spacing w:after="0" w:line="280" w:lineRule="exact"/>
      <w:jc w:val="both"/>
    </w:pPr>
    <w:rPr>
      <w:rFonts w:ascii="Arial" w:eastAsia="Times New Roman" w:hAnsi="Arial" w:cs="Arial"/>
      <w:color w:val="000000"/>
      <w:spacing w:val="6"/>
      <w:sz w:val="24"/>
      <w:szCs w:val="18"/>
      <w:lang w:val="en-ZA" w:eastAsia="en-GB"/>
    </w:rPr>
  </w:style>
  <w:style w:type="character" w:customStyle="1" w:styleId="BodyTextChar">
    <w:name w:val="Body Text Char"/>
    <w:basedOn w:val="DefaultParagraphFont"/>
    <w:link w:val="BodyText"/>
    <w:rsid w:val="004302F5"/>
    <w:rPr>
      <w:rFonts w:ascii="Arial" w:eastAsia="Times New Roman" w:hAnsi="Arial" w:cs="Arial"/>
      <w:color w:val="000000"/>
      <w:spacing w:val="6"/>
      <w:sz w:val="24"/>
      <w:szCs w:val="18"/>
      <w:lang w:val="en-ZA" w:eastAsia="en-GB"/>
    </w:rPr>
  </w:style>
  <w:style w:type="paragraph" w:styleId="NormalWeb">
    <w:name w:val="Normal (Web)"/>
    <w:basedOn w:val="Normal"/>
    <w:uiPriority w:val="99"/>
    <w:unhideWhenUsed/>
    <w:rsid w:val="004302F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qFormat/>
    <w:rsid w:val="004302F5"/>
    <w:rPr>
      <w:b/>
      <w:bCs/>
    </w:rPr>
  </w:style>
  <w:style w:type="paragraph" w:customStyle="1" w:styleId="bold">
    <w:name w:val="bold"/>
    <w:basedOn w:val="Normal"/>
    <w:rsid w:val="004302F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customStyle="1" w:styleId="PlainTable31">
    <w:name w:val="Plain Table 31"/>
    <w:basedOn w:val="TableNormal"/>
    <w:next w:val="PlainTable3"/>
    <w:uiPriority w:val="43"/>
    <w:rsid w:val="004302F5"/>
    <w:pPr>
      <w:spacing w:after="0" w:line="240" w:lineRule="auto"/>
    </w:pPr>
    <w:rPr>
      <w:rFonts w:ascii="Times New Roman" w:eastAsia="Times New Roman" w:hAnsi="Times New Roman" w:cs="Times New Roman"/>
      <w:sz w:val="20"/>
      <w:szCs w:val="20"/>
      <w:lang w:val="en-ZA" w:eastAsia="en-Z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430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4302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D863CF"/>
    <w:pPr>
      <w:spacing w:after="0" w:line="240" w:lineRule="auto"/>
    </w:pPr>
  </w:style>
</w:styles>
</file>

<file path=word/webSettings.xml><?xml version="1.0" encoding="utf-8"?>
<w:webSettings xmlns:r="http://schemas.openxmlformats.org/officeDocument/2006/relationships" xmlns:w="http://schemas.openxmlformats.org/wordprocessingml/2006/main">
  <w:divs>
    <w:div w:id="44909432">
      <w:bodyDiv w:val="1"/>
      <w:marLeft w:val="0"/>
      <w:marRight w:val="0"/>
      <w:marTop w:val="0"/>
      <w:marBottom w:val="0"/>
      <w:divBdr>
        <w:top w:val="none" w:sz="0" w:space="0" w:color="auto"/>
        <w:left w:val="none" w:sz="0" w:space="0" w:color="auto"/>
        <w:bottom w:val="none" w:sz="0" w:space="0" w:color="auto"/>
        <w:right w:val="none" w:sz="0" w:space="0" w:color="auto"/>
      </w:divBdr>
      <w:divsChild>
        <w:div w:id="824787187">
          <w:marLeft w:val="720"/>
          <w:marRight w:val="0"/>
          <w:marTop w:val="0"/>
          <w:marBottom w:val="0"/>
          <w:divBdr>
            <w:top w:val="none" w:sz="0" w:space="0" w:color="auto"/>
            <w:left w:val="none" w:sz="0" w:space="0" w:color="auto"/>
            <w:bottom w:val="none" w:sz="0" w:space="0" w:color="auto"/>
            <w:right w:val="none" w:sz="0" w:space="0" w:color="auto"/>
          </w:divBdr>
        </w:div>
        <w:div w:id="1354456232">
          <w:marLeft w:val="720"/>
          <w:marRight w:val="0"/>
          <w:marTop w:val="0"/>
          <w:marBottom w:val="0"/>
          <w:divBdr>
            <w:top w:val="none" w:sz="0" w:space="0" w:color="auto"/>
            <w:left w:val="none" w:sz="0" w:space="0" w:color="auto"/>
            <w:bottom w:val="none" w:sz="0" w:space="0" w:color="auto"/>
            <w:right w:val="none" w:sz="0" w:space="0" w:color="auto"/>
          </w:divBdr>
        </w:div>
        <w:div w:id="1388576929">
          <w:marLeft w:val="720"/>
          <w:marRight w:val="0"/>
          <w:marTop w:val="0"/>
          <w:marBottom w:val="0"/>
          <w:divBdr>
            <w:top w:val="none" w:sz="0" w:space="0" w:color="auto"/>
            <w:left w:val="none" w:sz="0" w:space="0" w:color="auto"/>
            <w:bottom w:val="none" w:sz="0" w:space="0" w:color="auto"/>
            <w:right w:val="none" w:sz="0" w:space="0" w:color="auto"/>
          </w:divBdr>
        </w:div>
        <w:div w:id="87850288">
          <w:marLeft w:val="720"/>
          <w:marRight w:val="0"/>
          <w:marTop w:val="0"/>
          <w:marBottom w:val="0"/>
          <w:divBdr>
            <w:top w:val="none" w:sz="0" w:space="0" w:color="auto"/>
            <w:left w:val="none" w:sz="0" w:space="0" w:color="auto"/>
            <w:bottom w:val="none" w:sz="0" w:space="0" w:color="auto"/>
            <w:right w:val="none" w:sz="0" w:space="0" w:color="auto"/>
          </w:divBdr>
        </w:div>
        <w:div w:id="968633023">
          <w:marLeft w:val="720"/>
          <w:marRight w:val="0"/>
          <w:marTop w:val="0"/>
          <w:marBottom w:val="0"/>
          <w:divBdr>
            <w:top w:val="none" w:sz="0" w:space="0" w:color="auto"/>
            <w:left w:val="none" w:sz="0" w:space="0" w:color="auto"/>
            <w:bottom w:val="none" w:sz="0" w:space="0" w:color="auto"/>
            <w:right w:val="none" w:sz="0" w:space="0" w:color="auto"/>
          </w:divBdr>
        </w:div>
        <w:div w:id="74863538">
          <w:marLeft w:val="720"/>
          <w:marRight w:val="0"/>
          <w:marTop w:val="0"/>
          <w:marBottom w:val="0"/>
          <w:divBdr>
            <w:top w:val="none" w:sz="0" w:space="0" w:color="auto"/>
            <w:left w:val="none" w:sz="0" w:space="0" w:color="auto"/>
            <w:bottom w:val="none" w:sz="0" w:space="0" w:color="auto"/>
            <w:right w:val="none" w:sz="0" w:space="0" w:color="auto"/>
          </w:divBdr>
        </w:div>
      </w:divsChild>
    </w:div>
    <w:div w:id="91055638">
      <w:bodyDiv w:val="1"/>
      <w:marLeft w:val="0"/>
      <w:marRight w:val="0"/>
      <w:marTop w:val="0"/>
      <w:marBottom w:val="0"/>
      <w:divBdr>
        <w:top w:val="none" w:sz="0" w:space="0" w:color="auto"/>
        <w:left w:val="none" w:sz="0" w:space="0" w:color="auto"/>
        <w:bottom w:val="none" w:sz="0" w:space="0" w:color="auto"/>
        <w:right w:val="none" w:sz="0" w:space="0" w:color="auto"/>
      </w:divBdr>
      <w:divsChild>
        <w:div w:id="538667159">
          <w:marLeft w:val="389"/>
          <w:marRight w:val="115"/>
          <w:marTop w:val="0"/>
          <w:marBottom w:val="120"/>
          <w:divBdr>
            <w:top w:val="none" w:sz="0" w:space="0" w:color="auto"/>
            <w:left w:val="none" w:sz="0" w:space="0" w:color="auto"/>
            <w:bottom w:val="none" w:sz="0" w:space="0" w:color="auto"/>
            <w:right w:val="none" w:sz="0" w:space="0" w:color="auto"/>
          </w:divBdr>
        </w:div>
      </w:divsChild>
    </w:div>
    <w:div w:id="431124118">
      <w:bodyDiv w:val="1"/>
      <w:marLeft w:val="0"/>
      <w:marRight w:val="0"/>
      <w:marTop w:val="0"/>
      <w:marBottom w:val="0"/>
      <w:divBdr>
        <w:top w:val="none" w:sz="0" w:space="0" w:color="auto"/>
        <w:left w:val="none" w:sz="0" w:space="0" w:color="auto"/>
        <w:bottom w:val="none" w:sz="0" w:space="0" w:color="auto"/>
        <w:right w:val="none" w:sz="0" w:space="0" w:color="auto"/>
      </w:divBdr>
    </w:div>
    <w:div w:id="446511680">
      <w:bodyDiv w:val="1"/>
      <w:marLeft w:val="0"/>
      <w:marRight w:val="0"/>
      <w:marTop w:val="0"/>
      <w:marBottom w:val="0"/>
      <w:divBdr>
        <w:top w:val="none" w:sz="0" w:space="0" w:color="auto"/>
        <w:left w:val="none" w:sz="0" w:space="0" w:color="auto"/>
        <w:bottom w:val="none" w:sz="0" w:space="0" w:color="auto"/>
        <w:right w:val="none" w:sz="0" w:space="0" w:color="auto"/>
      </w:divBdr>
    </w:div>
    <w:div w:id="510491529">
      <w:bodyDiv w:val="1"/>
      <w:marLeft w:val="0"/>
      <w:marRight w:val="0"/>
      <w:marTop w:val="0"/>
      <w:marBottom w:val="0"/>
      <w:divBdr>
        <w:top w:val="none" w:sz="0" w:space="0" w:color="auto"/>
        <w:left w:val="none" w:sz="0" w:space="0" w:color="auto"/>
        <w:bottom w:val="none" w:sz="0" w:space="0" w:color="auto"/>
        <w:right w:val="none" w:sz="0" w:space="0" w:color="auto"/>
      </w:divBdr>
      <w:divsChild>
        <w:div w:id="1627158604">
          <w:marLeft w:val="389"/>
          <w:marRight w:val="115"/>
          <w:marTop w:val="0"/>
          <w:marBottom w:val="120"/>
          <w:divBdr>
            <w:top w:val="none" w:sz="0" w:space="0" w:color="auto"/>
            <w:left w:val="none" w:sz="0" w:space="0" w:color="auto"/>
            <w:bottom w:val="none" w:sz="0" w:space="0" w:color="auto"/>
            <w:right w:val="none" w:sz="0" w:space="0" w:color="auto"/>
          </w:divBdr>
        </w:div>
      </w:divsChild>
    </w:div>
    <w:div w:id="713192693">
      <w:bodyDiv w:val="1"/>
      <w:marLeft w:val="0"/>
      <w:marRight w:val="0"/>
      <w:marTop w:val="0"/>
      <w:marBottom w:val="0"/>
      <w:divBdr>
        <w:top w:val="none" w:sz="0" w:space="0" w:color="auto"/>
        <w:left w:val="none" w:sz="0" w:space="0" w:color="auto"/>
        <w:bottom w:val="none" w:sz="0" w:space="0" w:color="auto"/>
        <w:right w:val="none" w:sz="0" w:space="0" w:color="auto"/>
      </w:divBdr>
      <w:divsChild>
        <w:div w:id="1472407113">
          <w:marLeft w:val="389"/>
          <w:marRight w:val="115"/>
          <w:marTop w:val="0"/>
          <w:marBottom w:val="120"/>
          <w:divBdr>
            <w:top w:val="none" w:sz="0" w:space="0" w:color="auto"/>
            <w:left w:val="none" w:sz="0" w:space="0" w:color="auto"/>
            <w:bottom w:val="none" w:sz="0" w:space="0" w:color="auto"/>
            <w:right w:val="none" w:sz="0" w:space="0" w:color="auto"/>
          </w:divBdr>
        </w:div>
        <w:div w:id="342056812">
          <w:marLeft w:val="389"/>
          <w:marRight w:val="115"/>
          <w:marTop w:val="0"/>
          <w:marBottom w:val="120"/>
          <w:divBdr>
            <w:top w:val="none" w:sz="0" w:space="0" w:color="auto"/>
            <w:left w:val="none" w:sz="0" w:space="0" w:color="auto"/>
            <w:bottom w:val="none" w:sz="0" w:space="0" w:color="auto"/>
            <w:right w:val="none" w:sz="0" w:space="0" w:color="auto"/>
          </w:divBdr>
        </w:div>
        <w:div w:id="2042046372">
          <w:marLeft w:val="389"/>
          <w:marRight w:val="115"/>
          <w:marTop w:val="0"/>
          <w:marBottom w:val="120"/>
          <w:divBdr>
            <w:top w:val="none" w:sz="0" w:space="0" w:color="auto"/>
            <w:left w:val="none" w:sz="0" w:space="0" w:color="auto"/>
            <w:bottom w:val="none" w:sz="0" w:space="0" w:color="auto"/>
            <w:right w:val="none" w:sz="0" w:space="0" w:color="auto"/>
          </w:divBdr>
        </w:div>
        <w:div w:id="1503397881">
          <w:marLeft w:val="389"/>
          <w:marRight w:val="115"/>
          <w:marTop w:val="0"/>
          <w:marBottom w:val="120"/>
          <w:divBdr>
            <w:top w:val="none" w:sz="0" w:space="0" w:color="auto"/>
            <w:left w:val="none" w:sz="0" w:space="0" w:color="auto"/>
            <w:bottom w:val="none" w:sz="0" w:space="0" w:color="auto"/>
            <w:right w:val="none" w:sz="0" w:space="0" w:color="auto"/>
          </w:divBdr>
        </w:div>
        <w:div w:id="971785950">
          <w:marLeft w:val="389"/>
          <w:marRight w:val="115"/>
          <w:marTop w:val="0"/>
          <w:marBottom w:val="120"/>
          <w:divBdr>
            <w:top w:val="none" w:sz="0" w:space="0" w:color="auto"/>
            <w:left w:val="none" w:sz="0" w:space="0" w:color="auto"/>
            <w:bottom w:val="none" w:sz="0" w:space="0" w:color="auto"/>
            <w:right w:val="none" w:sz="0" w:space="0" w:color="auto"/>
          </w:divBdr>
        </w:div>
        <w:div w:id="1537695329">
          <w:marLeft w:val="389"/>
          <w:marRight w:val="115"/>
          <w:marTop w:val="0"/>
          <w:marBottom w:val="120"/>
          <w:divBdr>
            <w:top w:val="none" w:sz="0" w:space="0" w:color="auto"/>
            <w:left w:val="none" w:sz="0" w:space="0" w:color="auto"/>
            <w:bottom w:val="none" w:sz="0" w:space="0" w:color="auto"/>
            <w:right w:val="none" w:sz="0" w:space="0" w:color="auto"/>
          </w:divBdr>
        </w:div>
        <w:div w:id="1734893849">
          <w:marLeft w:val="389"/>
          <w:marRight w:val="115"/>
          <w:marTop w:val="0"/>
          <w:marBottom w:val="120"/>
          <w:divBdr>
            <w:top w:val="none" w:sz="0" w:space="0" w:color="auto"/>
            <w:left w:val="none" w:sz="0" w:space="0" w:color="auto"/>
            <w:bottom w:val="none" w:sz="0" w:space="0" w:color="auto"/>
            <w:right w:val="none" w:sz="0" w:space="0" w:color="auto"/>
          </w:divBdr>
        </w:div>
        <w:div w:id="1200313077">
          <w:marLeft w:val="389"/>
          <w:marRight w:val="115"/>
          <w:marTop w:val="0"/>
          <w:marBottom w:val="120"/>
          <w:divBdr>
            <w:top w:val="none" w:sz="0" w:space="0" w:color="auto"/>
            <w:left w:val="none" w:sz="0" w:space="0" w:color="auto"/>
            <w:bottom w:val="none" w:sz="0" w:space="0" w:color="auto"/>
            <w:right w:val="none" w:sz="0" w:space="0" w:color="auto"/>
          </w:divBdr>
        </w:div>
        <w:div w:id="928998438">
          <w:marLeft w:val="389"/>
          <w:marRight w:val="115"/>
          <w:marTop w:val="0"/>
          <w:marBottom w:val="120"/>
          <w:divBdr>
            <w:top w:val="none" w:sz="0" w:space="0" w:color="auto"/>
            <w:left w:val="none" w:sz="0" w:space="0" w:color="auto"/>
            <w:bottom w:val="none" w:sz="0" w:space="0" w:color="auto"/>
            <w:right w:val="none" w:sz="0" w:space="0" w:color="auto"/>
          </w:divBdr>
        </w:div>
      </w:divsChild>
    </w:div>
    <w:div w:id="780732746">
      <w:bodyDiv w:val="1"/>
      <w:marLeft w:val="0"/>
      <w:marRight w:val="0"/>
      <w:marTop w:val="0"/>
      <w:marBottom w:val="0"/>
      <w:divBdr>
        <w:top w:val="none" w:sz="0" w:space="0" w:color="auto"/>
        <w:left w:val="none" w:sz="0" w:space="0" w:color="auto"/>
        <w:bottom w:val="none" w:sz="0" w:space="0" w:color="auto"/>
        <w:right w:val="none" w:sz="0" w:space="0" w:color="auto"/>
      </w:divBdr>
      <w:divsChild>
        <w:div w:id="1257207257">
          <w:marLeft w:val="389"/>
          <w:marRight w:val="115"/>
          <w:marTop w:val="0"/>
          <w:marBottom w:val="120"/>
          <w:divBdr>
            <w:top w:val="none" w:sz="0" w:space="0" w:color="auto"/>
            <w:left w:val="none" w:sz="0" w:space="0" w:color="auto"/>
            <w:bottom w:val="none" w:sz="0" w:space="0" w:color="auto"/>
            <w:right w:val="none" w:sz="0" w:space="0" w:color="auto"/>
          </w:divBdr>
        </w:div>
      </w:divsChild>
    </w:div>
    <w:div w:id="902646443">
      <w:bodyDiv w:val="1"/>
      <w:marLeft w:val="0"/>
      <w:marRight w:val="0"/>
      <w:marTop w:val="0"/>
      <w:marBottom w:val="0"/>
      <w:divBdr>
        <w:top w:val="none" w:sz="0" w:space="0" w:color="auto"/>
        <w:left w:val="none" w:sz="0" w:space="0" w:color="auto"/>
        <w:bottom w:val="none" w:sz="0" w:space="0" w:color="auto"/>
        <w:right w:val="none" w:sz="0" w:space="0" w:color="auto"/>
      </w:divBdr>
      <w:divsChild>
        <w:div w:id="1177230349">
          <w:marLeft w:val="389"/>
          <w:marRight w:val="115"/>
          <w:marTop w:val="0"/>
          <w:marBottom w:val="120"/>
          <w:divBdr>
            <w:top w:val="none" w:sz="0" w:space="0" w:color="auto"/>
            <w:left w:val="none" w:sz="0" w:space="0" w:color="auto"/>
            <w:bottom w:val="none" w:sz="0" w:space="0" w:color="auto"/>
            <w:right w:val="none" w:sz="0" w:space="0" w:color="auto"/>
          </w:divBdr>
        </w:div>
      </w:divsChild>
    </w:div>
    <w:div w:id="942999779">
      <w:bodyDiv w:val="1"/>
      <w:marLeft w:val="0"/>
      <w:marRight w:val="0"/>
      <w:marTop w:val="0"/>
      <w:marBottom w:val="0"/>
      <w:divBdr>
        <w:top w:val="none" w:sz="0" w:space="0" w:color="auto"/>
        <w:left w:val="none" w:sz="0" w:space="0" w:color="auto"/>
        <w:bottom w:val="none" w:sz="0" w:space="0" w:color="auto"/>
        <w:right w:val="none" w:sz="0" w:space="0" w:color="auto"/>
      </w:divBdr>
      <w:divsChild>
        <w:div w:id="598871276">
          <w:marLeft w:val="389"/>
          <w:marRight w:val="115"/>
          <w:marTop w:val="0"/>
          <w:marBottom w:val="120"/>
          <w:divBdr>
            <w:top w:val="none" w:sz="0" w:space="0" w:color="auto"/>
            <w:left w:val="none" w:sz="0" w:space="0" w:color="auto"/>
            <w:bottom w:val="none" w:sz="0" w:space="0" w:color="auto"/>
            <w:right w:val="none" w:sz="0" w:space="0" w:color="auto"/>
          </w:divBdr>
        </w:div>
      </w:divsChild>
    </w:div>
    <w:div w:id="1104963054">
      <w:bodyDiv w:val="1"/>
      <w:marLeft w:val="0"/>
      <w:marRight w:val="0"/>
      <w:marTop w:val="0"/>
      <w:marBottom w:val="0"/>
      <w:divBdr>
        <w:top w:val="none" w:sz="0" w:space="0" w:color="auto"/>
        <w:left w:val="none" w:sz="0" w:space="0" w:color="auto"/>
        <w:bottom w:val="none" w:sz="0" w:space="0" w:color="auto"/>
        <w:right w:val="none" w:sz="0" w:space="0" w:color="auto"/>
      </w:divBdr>
      <w:divsChild>
        <w:div w:id="1611665315">
          <w:marLeft w:val="547"/>
          <w:marRight w:val="0"/>
          <w:marTop w:val="0"/>
          <w:marBottom w:val="0"/>
          <w:divBdr>
            <w:top w:val="none" w:sz="0" w:space="0" w:color="auto"/>
            <w:left w:val="none" w:sz="0" w:space="0" w:color="auto"/>
            <w:bottom w:val="none" w:sz="0" w:space="0" w:color="auto"/>
            <w:right w:val="none" w:sz="0" w:space="0" w:color="auto"/>
          </w:divBdr>
        </w:div>
        <w:div w:id="1661234767">
          <w:marLeft w:val="547"/>
          <w:marRight w:val="0"/>
          <w:marTop w:val="0"/>
          <w:marBottom w:val="0"/>
          <w:divBdr>
            <w:top w:val="none" w:sz="0" w:space="0" w:color="auto"/>
            <w:left w:val="none" w:sz="0" w:space="0" w:color="auto"/>
            <w:bottom w:val="none" w:sz="0" w:space="0" w:color="auto"/>
            <w:right w:val="none" w:sz="0" w:space="0" w:color="auto"/>
          </w:divBdr>
        </w:div>
        <w:div w:id="807478461">
          <w:marLeft w:val="547"/>
          <w:marRight w:val="0"/>
          <w:marTop w:val="0"/>
          <w:marBottom w:val="0"/>
          <w:divBdr>
            <w:top w:val="none" w:sz="0" w:space="0" w:color="auto"/>
            <w:left w:val="none" w:sz="0" w:space="0" w:color="auto"/>
            <w:bottom w:val="none" w:sz="0" w:space="0" w:color="auto"/>
            <w:right w:val="none" w:sz="0" w:space="0" w:color="auto"/>
          </w:divBdr>
        </w:div>
        <w:div w:id="479932180">
          <w:marLeft w:val="547"/>
          <w:marRight w:val="0"/>
          <w:marTop w:val="0"/>
          <w:marBottom w:val="0"/>
          <w:divBdr>
            <w:top w:val="none" w:sz="0" w:space="0" w:color="auto"/>
            <w:left w:val="none" w:sz="0" w:space="0" w:color="auto"/>
            <w:bottom w:val="none" w:sz="0" w:space="0" w:color="auto"/>
            <w:right w:val="none" w:sz="0" w:space="0" w:color="auto"/>
          </w:divBdr>
        </w:div>
        <w:div w:id="87624613">
          <w:marLeft w:val="547"/>
          <w:marRight w:val="0"/>
          <w:marTop w:val="0"/>
          <w:marBottom w:val="0"/>
          <w:divBdr>
            <w:top w:val="none" w:sz="0" w:space="0" w:color="auto"/>
            <w:left w:val="none" w:sz="0" w:space="0" w:color="auto"/>
            <w:bottom w:val="none" w:sz="0" w:space="0" w:color="auto"/>
            <w:right w:val="none" w:sz="0" w:space="0" w:color="auto"/>
          </w:divBdr>
        </w:div>
      </w:divsChild>
    </w:div>
    <w:div w:id="1162891559">
      <w:bodyDiv w:val="1"/>
      <w:marLeft w:val="0"/>
      <w:marRight w:val="0"/>
      <w:marTop w:val="0"/>
      <w:marBottom w:val="0"/>
      <w:divBdr>
        <w:top w:val="none" w:sz="0" w:space="0" w:color="auto"/>
        <w:left w:val="none" w:sz="0" w:space="0" w:color="auto"/>
        <w:bottom w:val="none" w:sz="0" w:space="0" w:color="auto"/>
        <w:right w:val="none" w:sz="0" w:space="0" w:color="auto"/>
      </w:divBdr>
      <w:divsChild>
        <w:div w:id="170221263">
          <w:marLeft w:val="547"/>
          <w:marRight w:val="0"/>
          <w:marTop w:val="0"/>
          <w:marBottom w:val="0"/>
          <w:divBdr>
            <w:top w:val="none" w:sz="0" w:space="0" w:color="auto"/>
            <w:left w:val="none" w:sz="0" w:space="0" w:color="auto"/>
            <w:bottom w:val="none" w:sz="0" w:space="0" w:color="auto"/>
            <w:right w:val="none" w:sz="0" w:space="0" w:color="auto"/>
          </w:divBdr>
        </w:div>
      </w:divsChild>
    </w:div>
    <w:div w:id="1433941108">
      <w:bodyDiv w:val="1"/>
      <w:marLeft w:val="0"/>
      <w:marRight w:val="0"/>
      <w:marTop w:val="0"/>
      <w:marBottom w:val="0"/>
      <w:divBdr>
        <w:top w:val="none" w:sz="0" w:space="0" w:color="auto"/>
        <w:left w:val="none" w:sz="0" w:space="0" w:color="auto"/>
        <w:bottom w:val="none" w:sz="0" w:space="0" w:color="auto"/>
        <w:right w:val="none" w:sz="0" w:space="0" w:color="auto"/>
      </w:divBdr>
    </w:div>
    <w:div w:id="1745881323">
      <w:bodyDiv w:val="1"/>
      <w:marLeft w:val="0"/>
      <w:marRight w:val="0"/>
      <w:marTop w:val="0"/>
      <w:marBottom w:val="0"/>
      <w:divBdr>
        <w:top w:val="none" w:sz="0" w:space="0" w:color="auto"/>
        <w:left w:val="none" w:sz="0" w:space="0" w:color="auto"/>
        <w:bottom w:val="none" w:sz="0" w:space="0" w:color="auto"/>
        <w:right w:val="none" w:sz="0" w:space="0" w:color="auto"/>
      </w:divBdr>
      <w:divsChild>
        <w:div w:id="768425869">
          <w:marLeft w:val="446"/>
          <w:marRight w:val="0"/>
          <w:marTop w:val="0"/>
          <w:marBottom w:val="0"/>
          <w:divBdr>
            <w:top w:val="none" w:sz="0" w:space="0" w:color="auto"/>
            <w:left w:val="none" w:sz="0" w:space="0" w:color="auto"/>
            <w:bottom w:val="none" w:sz="0" w:space="0" w:color="auto"/>
            <w:right w:val="none" w:sz="0" w:space="0" w:color="auto"/>
          </w:divBdr>
        </w:div>
        <w:div w:id="888344804">
          <w:marLeft w:val="446"/>
          <w:marRight w:val="0"/>
          <w:marTop w:val="0"/>
          <w:marBottom w:val="0"/>
          <w:divBdr>
            <w:top w:val="none" w:sz="0" w:space="0" w:color="auto"/>
            <w:left w:val="none" w:sz="0" w:space="0" w:color="auto"/>
            <w:bottom w:val="none" w:sz="0" w:space="0" w:color="auto"/>
            <w:right w:val="none" w:sz="0" w:space="0" w:color="auto"/>
          </w:divBdr>
        </w:div>
        <w:div w:id="285235806">
          <w:marLeft w:val="446"/>
          <w:marRight w:val="0"/>
          <w:marTop w:val="0"/>
          <w:marBottom w:val="0"/>
          <w:divBdr>
            <w:top w:val="none" w:sz="0" w:space="0" w:color="auto"/>
            <w:left w:val="none" w:sz="0" w:space="0" w:color="auto"/>
            <w:bottom w:val="none" w:sz="0" w:space="0" w:color="auto"/>
            <w:right w:val="none" w:sz="0" w:space="0" w:color="auto"/>
          </w:divBdr>
        </w:div>
        <w:div w:id="1313827440">
          <w:marLeft w:val="446"/>
          <w:marRight w:val="0"/>
          <w:marTop w:val="0"/>
          <w:marBottom w:val="0"/>
          <w:divBdr>
            <w:top w:val="none" w:sz="0" w:space="0" w:color="auto"/>
            <w:left w:val="none" w:sz="0" w:space="0" w:color="auto"/>
            <w:bottom w:val="none" w:sz="0" w:space="0" w:color="auto"/>
            <w:right w:val="none" w:sz="0" w:space="0" w:color="auto"/>
          </w:divBdr>
        </w:div>
      </w:divsChild>
    </w:div>
    <w:div w:id="1769351670">
      <w:bodyDiv w:val="1"/>
      <w:marLeft w:val="0"/>
      <w:marRight w:val="0"/>
      <w:marTop w:val="0"/>
      <w:marBottom w:val="0"/>
      <w:divBdr>
        <w:top w:val="none" w:sz="0" w:space="0" w:color="auto"/>
        <w:left w:val="none" w:sz="0" w:space="0" w:color="auto"/>
        <w:bottom w:val="none" w:sz="0" w:space="0" w:color="auto"/>
        <w:right w:val="none" w:sz="0" w:space="0" w:color="auto"/>
      </w:divBdr>
      <w:divsChild>
        <w:div w:id="363798960">
          <w:marLeft w:val="389"/>
          <w:marRight w:val="115"/>
          <w:marTop w:val="0"/>
          <w:marBottom w:val="120"/>
          <w:divBdr>
            <w:top w:val="none" w:sz="0" w:space="0" w:color="auto"/>
            <w:left w:val="none" w:sz="0" w:space="0" w:color="auto"/>
            <w:bottom w:val="none" w:sz="0" w:space="0" w:color="auto"/>
            <w:right w:val="none" w:sz="0" w:space="0" w:color="auto"/>
          </w:divBdr>
        </w:div>
      </w:divsChild>
    </w:div>
    <w:div w:id="1806193336">
      <w:bodyDiv w:val="1"/>
      <w:marLeft w:val="0"/>
      <w:marRight w:val="0"/>
      <w:marTop w:val="0"/>
      <w:marBottom w:val="0"/>
      <w:divBdr>
        <w:top w:val="none" w:sz="0" w:space="0" w:color="auto"/>
        <w:left w:val="none" w:sz="0" w:space="0" w:color="auto"/>
        <w:bottom w:val="none" w:sz="0" w:space="0" w:color="auto"/>
        <w:right w:val="none" w:sz="0" w:space="0" w:color="auto"/>
      </w:divBdr>
    </w:div>
    <w:div w:id="1810171681">
      <w:bodyDiv w:val="1"/>
      <w:marLeft w:val="0"/>
      <w:marRight w:val="0"/>
      <w:marTop w:val="0"/>
      <w:marBottom w:val="0"/>
      <w:divBdr>
        <w:top w:val="none" w:sz="0" w:space="0" w:color="auto"/>
        <w:left w:val="none" w:sz="0" w:space="0" w:color="auto"/>
        <w:bottom w:val="none" w:sz="0" w:space="0" w:color="auto"/>
        <w:right w:val="none" w:sz="0" w:space="0" w:color="auto"/>
      </w:divBdr>
      <w:divsChild>
        <w:div w:id="303197671">
          <w:marLeft w:val="389"/>
          <w:marRight w:val="115"/>
          <w:marTop w:val="0"/>
          <w:marBottom w:val="120"/>
          <w:divBdr>
            <w:top w:val="none" w:sz="0" w:space="0" w:color="auto"/>
            <w:left w:val="none" w:sz="0" w:space="0" w:color="auto"/>
            <w:bottom w:val="none" w:sz="0" w:space="0" w:color="auto"/>
            <w:right w:val="none" w:sz="0" w:space="0" w:color="auto"/>
          </w:divBdr>
        </w:div>
      </w:divsChild>
    </w:div>
    <w:div w:id="1892879294">
      <w:bodyDiv w:val="1"/>
      <w:marLeft w:val="0"/>
      <w:marRight w:val="0"/>
      <w:marTop w:val="0"/>
      <w:marBottom w:val="0"/>
      <w:divBdr>
        <w:top w:val="none" w:sz="0" w:space="0" w:color="auto"/>
        <w:left w:val="none" w:sz="0" w:space="0" w:color="auto"/>
        <w:bottom w:val="none" w:sz="0" w:space="0" w:color="auto"/>
        <w:right w:val="none" w:sz="0" w:space="0" w:color="auto"/>
      </w:divBdr>
      <w:divsChild>
        <w:div w:id="457185414">
          <w:marLeft w:val="360"/>
          <w:marRight w:val="0"/>
          <w:marTop w:val="0"/>
          <w:marBottom w:val="0"/>
          <w:divBdr>
            <w:top w:val="none" w:sz="0" w:space="0" w:color="auto"/>
            <w:left w:val="none" w:sz="0" w:space="0" w:color="auto"/>
            <w:bottom w:val="none" w:sz="0" w:space="0" w:color="auto"/>
            <w:right w:val="none" w:sz="0" w:space="0" w:color="auto"/>
          </w:divBdr>
        </w:div>
        <w:div w:id="401636235">
          <w:marLeft w:val="360"/>
          <w:marRight w:val="0"/>
          <w:marTop w:val="200"/>
          <w:marBottom w:val="0"/>
          <w:divBdr>
            <w:top w:val="none" w:sz="0" w:space="0" w:color="auto"/>
            <w:left w:val="none" w:sz="0" w:space="0" w:color="auto"/>
            <w:bottom w:val="none" w:sz="0" w:space="0" w:color="auto"/>
            <w:right w:val="none" w:sz="0" w:space="0" w:color="auto"/>
          </w:divBdr>
        </w:div>
        <w:div w:id="738594152">
          <w:marLeft w:val="360"/>
          <w:marRight w:val="0"/>
          <w:marTop w:val="200"/>
          <w:marBottom w:val="0"/>
          <w:divBdr>
            <w:top w:val="none" w:sz="0" w:space="0" w:color="auto"/>
            <w:left w:val="none" w:sz="0" w:space="0" w:color="auto"/>
            <w:bottom w:val="none" w:sz="0" w:space="0" w:color="auto"/>
            <w:right w:val="none" w:sz="0" w:space="0" w:color="auto"/>
          </w:divBdr>
        </w:div>
        <w:div w:id="1890919471">
          <w:marLeft w:val="360"/>
          <w:marRight w:val="0"/>
          <w:marTop w:val="200"/>
          <w:marBottom w:val="0"/>
          <w:divBdr>
            <w:top w:val="none" w:sz="0" w:space="0" w:color="auto"/>
            <w:left w:val="none" w:sz="0" w:space="0" w:color="auto"/>
            <w:bottom w:val="none" w:sz="0" w:space="0" w:color="auto"/>
            <w:right w:val="none" w:sz="0" w:space="0" w:color="auto"/>
          </w:divBdr>
        </w:div>
        <w:div w:id="510923280">
          <w:marLeft w:val="360"/>
          <w:marRight w:val="0"/>
          <w:marTop w:val="200"/>
          <w:marBottom w:val="0"/>
          <w:divBdr>
            <w:top w:val="none" w:sz="0" w:space="0" w:color="auto"/>
            <w:left w:val="none" w:sz="0" w:space="0" w:color="auto"/>
            <w:bottom w:val="none" w:sz="0" w:space="0" w:color="auto"/>
            <w:right w:val="none" w:sz="0" w:space="0" w:color="auto"/>
          </w:divBdr>
        </w:div>
        <w:div w:id="1218474188">
          <w:marLeft w:val="360"/>
          <w:marRight w:val="0"/>
          <w:marTop w:val="200"/>
          <w:marBottom w:val="0"/>
          <w:divBdr>
            <w:top w:val="none" w:sz="0" w:space="0" w:color="auto"/>
            <w:left w:val="none" w:sz="0" w:space="0" w:color="auto"/>
            <w:bottom w:val="none" w:sz="0" w:space="0" w:color="auto"/>
            <w:right w:val="none" w:sz="0" w:space="0" w:color="auto"/>
          </w:divBdr>
        </w:div>
      </w:divsChild>
    </w:div>
    <w:div w:id="1915163407">
      <w:bodyDiv w:val="1"/>
      <w:marLeft w:val="0"/>
      <w:marRight w:val="0"/>
      <w:marTop w:val="0"/>
      <w:marBottom w:val="0"/>
      <w:divBdr>
        <w:top w:val="none" w:sz="0" w:space="0" w:color="auto"/>
        <w:left w:val="none" w:sz="0" w:space="0" w:color="auto"/>
        <w:bottom w:val="none" w:sz="0" w:space="0" w:color="auto"/>
        <w:right w:val="none" w:sz="0" w:space="0" w:color="auto"/>
      </w:divBdr>
      <w:divsChild>
        <w:div w:id="200438812">
          <w:marLeft w:val="389"/>
          <w:marRight w:val="115"/>
          <w:marTop w:val="0"/>
          <w:marBottom w:val="120"/>
          <w:divBdr>
            <w:top w:val="none" w:sz="0" w:space="0" w:color="auto"/>
            <w:left w:val="none" w:sz="0" w:space="0" w:color="auto"/>
            <w:bottom w:val="none" w:sz="0" w:space="0" w:color="auto"/>
            <w:right w:val="none" w:sz="0" w:space="0" w:color="auto"/>
          </w:divBdr>
        </w:div>
      </w:divsChild>
    </w:div>
    <w:div w:id="19305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D8BD-F719-430F-B47C-5BB2FD19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8361</Words>
  <Characters>47662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2022-10-26T19:59:00Z</dcterms:created>
  <dcterms:modified xsi:type="dcterms:W3CDTF">2022-10-26T19:59:00Z</dcterms:modified>
</cp:coreProperties>
</file>