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4CCC" w:rsidRDefault="0004672A" w:rsidP="0004672A">
      <w:pPr>
        <w:spacing w:after="0" w:line="240" w:lineRule="auto"/>
        <w:rPr>
          <w:rFonts w:ascii="Arial" w:hAnsi="Arial" w:cs="Arial"/>
          <w:b/>
          <w:sz w:val="20"/>
          <w:szCs w:val="20"/>
        </w:rPr>
      </w:pPr>
      <w:r>
        <w:rPr>
          <w:rFonts w:ascii="Arial" w:hAnsi="Arial" w:cs="Arial"/>
          <w:b/>
          <w:sz w:val="20"/>
          <w:szCs w:val="20"/>
        </w:rPr>
        <w:t>Report of the Standing Committee o</w:t>
      </w:r>
      <w:r w:rsidRPr="0004672A">
        <w:rPr>
          <w:rFonts w:ascii="Arial" w:hAnsi="Arial" w:cs="Arial"/>
          <w:b/>
          <w:sz w:val="20"/>
          <w:szCs w:val="20"/>
        </w:rPr>
        <w:t>n the Auditor-General on the Integrated Annual</w:t>
      </w:r>
      <w:r>
        <w:rPr>
          <w:rFonts w:ascii="Arial" w:hAnsi="Arial" w:cs="Arial"/>
          <w:b/>
          <w:sz w:val="20"/>
          <w:szCs w:val="20"/>
        </w:rPr>
        <w:t xml:space="preserve"> Report of the Auditor-General f</w:t>
      </w:r>
      <w:r w:rsidRPr="0004672A">
        <w:rPr>
          <w:rFonts w:ascii="Arial" w:hAnsi="Arial" w:cs="Arial"/>
          <w:b/>
          <w:sz w:val="20"/>
          <w:szCs w:val="20"/>
        </w:rPr>
        <w:t>or the Financial Year 2021/22, Dated 21 October 2022</w:t>
      </w:r>
      <w:bookmarkStart w:id="0" w:name="_GoBack"/>
      <w:bookmarkEnd w:id="0"/>
    </w:p>
    <w:p w:rsidR="0004672A" w:rsidRPr="0004672A" w:rsidRDefault="0004672A" w:rsidP="0004672A">
      <w:pPr>
        <w:spacing w:after="0" w:line="240" w:lineRule="auto"/>
        <w:rPr>
          <w:rFonts w:ascii="Arial" w:hAnsi="Arial" w:cs="Arial"/>
          <w:b/>
          <w:sz w:val="20"/>
          <w:szCs w:val="20"/>
        </w:rPr>
      </w:pPr>
    </w:p>
    <w:p w:rsidR="00F14CCC" w:rsidRPr="0004672A" w:rsidRDefault="00F14CCC" w:rsidP="0004672A">
      <w:pPr>
        <w:spacing w:after="0" w:line="240" w:lineRule="auto"/>
        <w:ind w:left="720"/>
        <w:rPr>
          <w:rFonts w:ascii="Arial" w:hAnsi="Arial" w:cs="Arial"/>
          <w:b/>
          <w:sz w:val="20"/>
          <w:szCs w:val="20"/>
        </w:rPr>
      </w:pPr>
      <w:r w:rsidRPr="0004672A">
        <w:rPr>
          <w:rFonts w:ascii="Arial" w:hAnsi="Arial" w:cs="Arial"/>
          <w:b/>
          <w:sz w:val="20"/>
          <w:szCs w:val="20"/>
        </w:rPr>
        <w:t xml:space="preserve">The Standing Committee on the Auditor-General, having considered the Integrated Annual Report of the </w:t>
      </w:r>
      <w:r w:rsidR="008F3BBA" w:rsidRPr="0004672A">
        <w:rPr>
          <w:rFonts w:ascii="Arial" w:hAnsi="Arial" w:cs="Arial"/>
          <w:b/>
          <w:sz w:val="20"/>
          <w:szCs w:val="20"/>
        </w:rPr>
        <w:t>Auditor-General 2021/22</w:t>
      </w:r>
      <w:r w:rsidRPr="0004672A">
        <w:rPr>
          <w:rFonts w:ascii="Arial" w:hAnsi="Arial" w:cs="Arial"/>
          <w:b/>
          <w:sz w:val="20"/>
          <w:szCs w:val="20"/>
        </w:rPr>
        <w:t>, referred to it, reports as follow:</w:t>
      </w:r>
    </w:p>
    <w:p w:rsidR="00F14CCC" w:rsidRPr="0004672A" w:rsidRDefault="00F14CCC" w:rsidP="0004672A">
      <w:pPr>
        <w:spacing w:after="0" w:line="240" w:lineRule="auto"/>
        <w:ind w:left="720" w:hanging="720"/>
        <w:rPr>
          <w:rFonts w:ascii="Arial" w:hAnsi="Arial" w:cs="Arial"/>
          <w:b/>
          <w:sz w:val="20"/>
          <w:szCs w:val="20"/>
        </w:rPr>
      </w:pPr>
    </w:p>
    <w:p w:rsidR="00F14CCC" w:rsidRPr="0004672A" w:rsidRDefault="00F14CCC" w:rsidP="0004672A">
      <w:pPr>
        <w:pStyle w:val="ListParagraph"/>
        <w:numPr>
          <w:ilvl w:val="0"/>
          <w:numId w:val="3"/>
        </w:numPr>
        <w:spacing w:after="0" w:line="240" w:lineRule="auto"/>
        <w:ind w:hanging="720"/>
        <w:rPr>
          <w:rFonts w:ascii="Arial" w:hAnsi="Arial" w:cs="Arial"/>
          <w:b/>
          <w:sz w:val="20"/>
          <w:szCs w:val="20"/>
        </w:rPr>
      </w:pPr>
      <w:r w:rsidRPr="0004672A">
        <w:rPr>
          <w:rFonts w:ascii="Arial" w:hAnsi="Arial" w:cs="Arial"/>
          <w:b/>
          <w:sz w:val="20"/>
          <w:szCs w:val="20"/>
        </w:rPr>
        <w:t>Introduction</w:t>
      </w:r>
    </w:p>
    <w:p w:rsidR="00971BC6" w:rsidRPr="0004672A" w:rsidRDefault="00971BC6" w:rsidP="0004672A">
      <w:pPr>
        <w:spacing w:after="0" w:line="240" w:lineRule="auto"/>
        <w:ind w:left="720"/>
        <w:rPr>
          <w:rFonts w:ascii="Arial" w:hAnsi="Arial" w:cs="Arial"/>
          <w:sz w:val="20"/>
          <w:szCs w:val="20"/>
        </w:rPr>
      </w:pPr>
      <w:r w:rsidRPr="0004672A">
        <w:rPr>
          <w:rFonts w:ascii="Arial" w:hAnsi="Arial" w:cs="Arial"/>
          <w:sz w:val="20"/>
          <w:szCs w:val="20"/>
        </w:rPr>
        <w:t>The Public Audit Act (the PAA) requires the Auditor-General (AG) to submit the annual report, the financial statements, and the audit report on those statements within six months after the end of the financial year to which they relate, to the Standing Committee on Auditor-General (SCOAG) through the parliamentary processes.</w:t>
      </w:r>
    </w:p>
    <w:p w:rsidR="00971BC6" w:rsidRPr="0004672A" w:rsidRDefault="00971BC6" w:rsidP="0004672A">
      <w:pPr>
        <w:spacing w:after="0" w:line="240" w:lineRule="auto"/>
        <w:ind w:left="720"/>
        <w:rPr>
          <w:rFonts w:ascii="Arial" w:hAnsi="Arial" w:cs="Arial"/>
          <w:sz w:val="20"/>
          <w:szCs w:val="20"/>
        </w:rPr>
      </w:pPr>
      <w:r w:rsidRPr="0004672A">
        <w:rPr>
          <w:rFonts w:ascii="Arial" w:hAnsi="Arial" w:cs="Arial"/>
          <w:sz w:val="20"/>
          <w:szCs w:val="20"/>
        </w:rPr>
        <w:t>The AG satisfied the afore-said requirements by submitting the Auditor-General of South Africa’s (AGSA) annual report, financial statements, and audit report to the Speaker for tabling in the National Assembly and for referral to the SCOAG.</w:t>
      </w:r>
    </w:p>
    <w:p w:rsidR="00971BC6" w:rsidRPr="0004672A" w:rsidRDefault="00971BC6" w:rsidP="0004672A">
      <w:pPr>
        <w:spacing w:after="0" w:line="240" w:lineRule="auto"/>
        <w:ind w:left="720"/>
        <w:rPr>
          <w:rFonts w:ascii="Arial" w:hAnsi="Arial" w:cs="Arial"/>
          <w:sz w:val="20"/>
          <w:szCs w:val="20"/>
        </w:rPr>
      </w:pPr>
      <w:r w:rsidRPr="0004672A">
        <w:rPr>
          <w:rFonts w:ascii="Arial" w:hAnsi="Arial" w:cs="Arial"/>
          <w:sz w:val="20"/>
          <w:szCs w:val="20"/>
        </w:rPr>
        <w:t>In exercising its responsibility, the SCOAG invited the AG, her management team, and the Independent Audit Committee to make a presentation on the AGSA’s Integrated Annual Report and financial statements, including the Report of Independent Auditors on the Financial Statements and Per</w:t>
      </w:r>
      <w:r w:rsidR="002A40C7" w:rsidRPr="0004672A">
        <w:rPr>
          <w:rFonts w:ascii="Arial" w:hAnsi="Arial" w:cs="Arial"/>
          <w:sz w:val="20"/>
          <w:szCs w:val="20"/>
        </w:rPr>
        <w:t>formance Information for 2021-22</w:t>
      </w:r>
      <w:r w:rsidR="0010673A" w:rsidRPr="0004672A">
        <w:rPr>
          <w:rFonts w:ascii="Arial" w:hAnsi="Arial" w:cs="Arial"/>
          <w:sz w:val="20"/>
          <w:szCs w:val="20"/>
        </w:rPr>
        <w:t xml:space="preserve"> financial year</w:t>
      </w:r>
      <w:r w:rsidRPr="0004672A">
        <w:rPr>
          <w:rFonts w:ascii="Arial" w:hAnsi="Arial" w:cs="Arial"/>
          <w:sz w:val="20"/>
          <w:szCs w:val="20"/>
        </w:rPr>
        <w:t>. Flowing from that interaction, the SCOAG highlighted and deliberated on some key iss</w:t>
      </w:r>
      <w:r w:rsidR="0010673A" w:rsidRPr="0004672A">
        <w:rPr>
          <w:rFonts w:ascii="Arial" w:hAnsi="Arial" w:cs="Arial"/>
          <w:sz w:val="20"/>
          <w:szCs w:val="20"/>
        </w:rPr>
        <w:t>ues raised in that interaction,</w:t>
      </w:r>
      <w:r w:rsidRPr="0004672A">
        <w:rPr>
          <w:rFonts w:ascii="Arial" w:hAnsi="Arial" w:cs="Arial"/>
          <w:sz w:val="20"/>
          <w:szCs w:val="20"/>
        </w:rPr>
        <w:t xml:space="preserve"> concerning the tabled Integrated Annual Report of AGSA.</w:t>
      </w:r>
    </w:p>
    <w:p w:rsidR="00971BC6" w:rsidRPr="0004672A" w:rsidRDefault="00971BC6" w:rsidP="0004672A">
      <w:pPr>
        <w:spacing w:after="0" w:line="240" w:lineRule="auto"/>
        <w:ind w:left="720" w:hanging="720"/>
        <w:rPr>
          <w:rFonts w:ascii="Arial" w:hAnsi="Arial" w:cs="Arial"/>
          <w:sz w:val="20"/>
          <w:szCs w:val="20"/>
        </w:rPr>
      </w:pPr>
    </w:p>
    <w:p w:rsidR="00971BC6" w:rsidRPr="0004672A" w:rsidRDefault="00971BC6" w:rsidP="0004672A">
      <w:pPr>
        <w:numPr>
          <w:ilvl w:val="0"/>
          <w:numId w:val="3"/>
        </w:numPr>
        <w:spacing w:after="0" w:line="240" w:lineRule="auto"/>
        <w:ind w:hanging="720"/>
        <w:contextualSpacing/>
        <w:rPr>
          <w:rFonts w:ascii="Arial" w:hAnsi="Arial" w:cs="Arial"/>
          <w:b/>
          <w:sz w:val="20"/>
          <w:szCs w:val="20"/>
        </w:rPr>
      </w:pPr>
      <w:r w:rsidRPr="0004672A">
        <w:rPr>
          <w:rFonts w:ascii="Arial" w:hAnsi="Arial" w:cs="Arial"/>
          <w:b/>
          <w:sz w:val="20"/>
          <w:szCs w:val="20"/>
        </w:rPr>
        <w:t>Corporate Governance structures of AGSA</w:t>
      </w:r>
    </w:p>
    <w:p w:rsidR="00971BC6" w:rsidRPr="0004672A" w:rsidRDefault="00971BC6" w:rsidP="0004672A">
      <w:pPr>
        <w:spacing w:after="0" w:line="240" w:lineRule="auto"/>
        <w:ind w:left="720"/>
        <w:rPr>
          <w:rFonts w:ascii="Arial" w:hAnsi="Arial" w:cs="Arial"/>
          <w:sz w:val="20"/>
          <w:szCs w:val="20"/>
        </w:rPr>
      </w:pPr>
      <w:r w:rsidRPr="0004672A">
        <w:rPr>
          <w:rFonts w:ascii="Arial" w:hAnsi="Arial" w:cs="Arial"/>
          <w:sz w:val="20"/>
          <w:szCs w:val="20"/>
        </w:rPr>
        <w:t>The Accounting Officer of AGSA is the Deputy Auditor-General (DAG). The DAG is appointed in terms of Section 31 of the PAA. He is expected to amongst others, take all reasonable steps to ensure that full, true, and effective records of all income and expenditure and all assets, liabilities, and all financial transactions of the AGSA are in place. In the same vein, the AG has to take all reasonable steps to ensure that AGSA has and maintains a system of internal audit under t</w:t>
      </w:r>
      <w:r w:rsidR="00E20BB3" w:rsidRPr="0004672A">
        <w:rPr>
          <w:rFonts w:ascii="Arial" w:hAnsi="Arial" w:cs="Arial"/>
          <w:sz w:val="20"/>
          <w:szCs w:val="20"/>
        </w:rPr>
        <w:t>he control and direction of an Audit C</w:t>
      </w:r>
      <w:r w:rsidRPr="0004672A">
        <w:rPr>
          <w:rFonts w:ascii="Arial" w:hAnsi="Arial" w:cs="Arial"/>
          <w:sz w:val="20"/>
          <w:szCs w:val="20"/>
        </w:rPr>
        <w:t xml:space="preserve">ommittee. Mr Vhonani Chauke was appointed as the Deputy Auditor-General effective from 1 July 2021. </w:t>
      </w:r>
    </w:p>
    <w:p w:rsidR="00971BC6" w:rsidRPr="0004672A" w:rsidRDefault="00971BC6" w:rsidP="0004672A">
      <w:pPr>
        <w:spacing w:after="0" w:line="240" w:lineRule="auto"/>
        <w:ind w:left="720"/>
        <w:rPr>
          <w:rFonts w:ascii="Arial" w:hAnsi="Arial" w:cs="Arial"/>
          <w:sz w:val="20"/>
          <w:szCs w:val="20"/>
        </w:rPr>
      </w:pPr>
      <w:r w:rsidRPr="0004672A">
        <w:rPr>
          <w:rFonts w:ascii="Arial" w:hAnsi="Arial" w:cs="Arial"/>
          <w:sz w:val="20"/>
          <w:szCs w:val="20"/>
        </w:rPr>
        <w:t>Another critical governance structure is the Audit Committee (AC) of AGSA. This committee is established in terms of section 40 of the PAA.  Members of the Audit Committee (AC) of AGSA are appointed by the AG in compliance with section 40 of the PAA as amended. Further, the PAA provides that those members may not be in the employ of AGSA; and their term of office is not time-bound</w:t>
      </w:r>
      <w:r w:rsidRPr="0004672A">
        <w:rPr>
          <w:rFonts w:ascii="Arial" w:hAnsi="Arial" w:cs="Arial"/>
          <w:color w:val="FF0000"/>
          <w:sz w:val="20"/>
          <w:szCs w:val="20"/>
        </w:rPr>
        <w:t>.</w:t>
      </w:r>
      <w:r w:rsidRPr="0004672A">
        <w:rPr>
          <w:rFonts w:ascii="Arial" w:hAnsi="Arial" w:cs="Arial"/>
          <w:sz w:val="20"/>
          <w:szCs w:val="20"/>
        </w:rPr>
        <w:t xml:space="preserve"> The AC of AGSA is responsible for oversight of the financial and non-financial reporting process</w:t>
      </w:r>
      <w:r w:rsidR="0038142F" w:rsidRPr="0004672A">
        <w:rPr>
          <w:rFonts w:ascii="Arial" w:hAnsi="Arial" w:cs="Arial"/>
          <w:sz w:val="20"/>
          <w:szCs w:val="20"/>
        </w:rPr>
        <w:t>es</w:t>
      </w:r>
      <w:r w:rsidRPr="0004672A">
        <w:rPr>
          <w:rFonts w:ascii="Arial" w:hAnsi="Arial" w:cs="Arial"/>
          <w:sz w:val="20"/>
          <w:szCs w:val="20"/>
        </w:rPr>
        <w:t>, the integrity of the system of internal control, and risk management.  Currently, it consists of four (4) members, including its Chairperson, who are</w:t>
      </w:r>
      <w:r w:rsidR="009F0075" w:rsidRPr="0004672A">
        <w:rPr>
          <w:rFonts w:ascii="Arial" w:hAnsi="Arial" w:cs="Arial"/>
          <w:sz w:val="20"/>
          <w:szCs w:val="20"/>
        </w:rPr>
        <w:t xml:space="preserve"> all</w:t>
      </w:r>
      <w:r w:rsidRPr="0004672A">
        <w:rPr>
          <w:rFonts w:ascii="Arial" w:hAnsi="Arial" w:cs="Arial"/>
          <w:sz w:val="20"/>
          <w:szCs w:val="20"/>
        </w:rPr>
        <w:t xml:space="preserve"> independent, knowledgeable, have the requisite business, financial</w:t>
      </w:r>
      <w:r w:rsidR="009F0075" w:rsidRPr="0004672A">
        <w:rPr>
          <w:rFonts w:ascii="Arial" w:hAnsi="Arial" w:cs="Arial"/>
          <w:sz w:val="20"/>
          <w:szCs w:val="20"/>
        </w:rPr>
        <w:t>,</w:t>
      </w:r>
      <w:r w:rsidR="0038142F" w:rsidRPr="0004672A">
        <w:rPr>
          <w:rFonts w:ascii="Arial" w:hAnsi="Arial" w:cs="Arial"/>
          <w:sz w:val="20"/>
          <w:szCs w:val="20"/>
        </w:rPr>
        <w:t xml:space="preserve"> </w:t>
      </w:r>
      <w:r w:rsidRPr="0004672A">
        <w:rPr>
          <w:rFonts w:ascii="Arial" w:hAnsi="Arial" w:cs="Arial"/>
          <w:sz w:val="20"/>
          <w:szCs w:val="20"/>
        </w:rPr>
        <w:t xml:space="preserve">and leadership skills, and do not hold any political office. </w:t>
      </w:r>
    </w:p>
    <w:p w:rsidR="00971BC6" w:rsidRPr="0004672A" w:rsidRDefault="00971BC6" w:rsidP="0004672A">
      <w:pPr>
        <w:spacing w:after="0" w:line="240" w:lineRule="auto"/>
        <w:ind w:left="720"/>
        <w:rPr>
          <w:rFonts w:ascii="Arial" w:hAnsi="Arial" w:cs="Arial"/>
          <w:sz w:val="20"/>
          <w:szCs w:val="20"/>
        </w:rPr>
      </w:pPr>
      <w:r w:rsidRPr="0004672A">
        <w:rPr>
          <w:rFonts w:ascii="Arial" w:hAnsi="Arial" w:cs="Arial"/>
          <w:sz w:val="20"/>
          <w:szCs w:val="20"/>
        </w:rPr>
        <w:t xml:space="preserve">The second structure that plays a critical role in assisting to oversee AGSA is its Internal Auditors. The current Internal Auditors were appointed through a tender process </w:t>
      </w:r>
      <w:r w:rsidR="009F0075" w:rsidRPr="0004672A">
        <w:rPr>
          <w:rFonts w:ascii="Arial" w:hAnsi="Arial" w:cs="Arial"/>
          <w:sz w:val="20"/>
          <w:szCs w:val="20"/>
        </w:rPr>
        <w:t>that</w:t>
      </w:r>
      <w:r w:rsidRPr="0004672A">
        <w:rPr>
          <w:rFonts w:ascii="Arial" w:hAnsi="Arial" w:cs="Arial"/>
          <w:sz w:val="20"/>
          <w:szCs w:val="20"/>
        </w:rPr>
        <w:t xml:space="preserve"> was overseen by the AC of AGSA. The primary role of the internal auditors is to conduct internal audits and advise the AC and AGSA Management on possible areas that need to be strengthened. Currently, Ngubane &amp; Co are employed as the internal auditors of AGSA</w:t>
      </w:r>
      <w:r w:rsidR="00C07C85" w:rsidRPr="0004672A">
        <w:rPr>
          <w:rFonts w:ascii="Arial" w:hAnsi="Arial" w:cs="Arial"/>
          <w:sz w:val="20"/>
          <w:szCs w:val="20"/>
        </w:rPr>
        <w:t>.</w:t>
      </w:r>
    </w:p>
    <w:p w:rsidR="00971BC6" w:rsidRPr="0004672A" w:rsidRDefault="00971BC6" w:rsidP="0004672A">
      <w:pPr>
        <w:spacing w:after="0" w:line="240" w:lineRule="auto"/>
        <w:ind w:left="720"/>
        <w:rPr>
          <w:rFonts w:ascii="Arial" w:hAnsi="Arial" w:cs="Arial"/>
          <w:sz w:val="20"/>
          <w:szCs w:val="20"/>
        </w:rPr>
      </w:pPr>
      <w:r w:rsidRPr="0004672A">
        <w:rPr>
          <w:rFonts w:ascii="Arial" w:hAnsi="Arial" w:cs="Arial"/>
          <w:sz w:val="20"/>
          <w:szCs w:val="20"/>
        </w:rPr>
        <w:t>The existence of external auditors also plays a crucial role to ascertain the prudent financial management of AGSA’s resources. The appointment and role of the External Auditors are prescribed in the PAA. Section 39 (1) of the Act, which provides that the oversight mechanism (the SCOAG) must appoint</w:t>
      </w:r>
      <w:r w:rsidR="0038142F" w:rsidRPr="0004672A">
        <w:rPr>
          <w:rFonts w:ascii="Arial" w:hAnsi="Arial" w:cs="Arial"/>
          <w:sz w:val="20"/>
          <w:szCs w:val="20"/>
        </w:rPr>
        <w:t>, annually,</w:t>
      </w:r>
      <w:r w:rsidRPr="0004672A">
        <w:rPr>
          <w:rFonts w:ascii="Arial" w:hAnsi="Arial" w:cs="Arial"/>
          <w:sz w:val="20"/>
          <w:szCs w:val="20"/>
        </w:rPr>
        <w:t xml:space="preserve"> an independent external auditor to audit the accounts, financial statements</w:t>
      </w:r>
      <w:r w:rsidR="009F0075" w:rsidRPr="0004672A">
        <w:rPr>
          <w:rFonts w:ascii="Arial" w:hAnsi="Arial" w:cs="Arial"/>
          <w:sz w:val="20"/>
          <w:szCs w:val="20"/>
        </w:rPr>
        <w:t>,</w:t>
      </w:r>
      <w:r w:rsidRPr="0004672A">
        <w:rPr>
          <w:rFonts w:ascii="Arial" w:hAnsi="Arial" w:cs="Arial"/>
          <w:sz w:val="20"/>
          <w:szCs w:val="20"/>
        </w:rPr>
        <w:t xml:space="preserve"> and financial management and performance information of the Auditor-General. Whereas section 39 (2) (b) of the Act stipulates that any such person appointed as an external auditor may not be a staff member in the administration of the Auditor-General. </w:t>
      </w:r>
    </w:p>
    <w:p w:rsidR="00971BC6" w:rsidRPr="0004672A" w:rsidRDefault="00971BC6" w:rsidP="0004672A">
      <w:pPr>
        <w:spacing w:after="0" w:line="240" w:lineRule="auto"/>
        <w:ind w:left="720" w:hanging="720"/>
        <w:rPr>
          <w:rFonts w:ascii="Arial" w:hAnsi="Arial" w:cs="Arial"/>
          <w:sz w:val="20"/>
          <w:szCs w:val="20"/>
        </w:rPr>
      </w:pPr>
      <w:r w:rsidRPr="0004672A">
        <w:rPr>
          <w:rFonts w:ascii="Arial" w:hAnsi="Arial" w:cs="Arial"/>
          <w:sz w:val="20"/>
          <w:szCs w:val="20"/>
        </w:rPr>
        <w:t xml:space="preserve"> </w:t>
      </w:r>
      <w:r w:rsidRPr="0004672A">
        <w:rPr>
          <w:rFonts w:ascii="Arial" w:hAnsi="Arial" w:cs="Arial"/>
          <w:sz w:val="20"/>
          <w:szCs w:val="20"/>
        </w:rPr>
        <w:tab/>
        <w:t xml:space="preserve">The current External Auditors, Crowe Jhb were appointed in December 2017 after the contract of Kwinana ended.  The AC has facilitated the appointment of External Auditors through a fair, equitable, transparent, and cost-effective process; and in line with AGSA’s transformation agenda. </w:t>
      </w:r>
    </w:p>
    <w:p w:rsidR="0096079D" w:rsidRPr="0004672A" w:rsidRDefault="0096079D" w:rsidP="0004672A">
      <w:pPr>
        <w:spacing w:after="0" w:line="240" w:lineRule="auto"/>
        <w:ind w:left="720" w:hanging="720"/>
        <w:rPr>
          <w:rFonts w:ascii="Arial" w:hAnsi="Arial" w:cs="Arial"/>
          <w:sz w:val="20"/>
          <w:szCs w:val="20"/>
        </w:rPr>
      </w:pPr>
    </w:p>
    <w:p w:rsidR="00971BC6" w:rsidRPr="0004672A" w:rsidRDefault="00971BC6" w:rsidP="0004672A">
      <w:pPr>
        <w:spacing w:after="0" w:line="240" w:lineRule="auto"/>
        <w:ind w:left="720" w:hanging="720"/>
        <w:rPr>
          <w:rFonts w:ascii="Arial" w:hAnsi="Arial" w:cs="Arial"/>
          <w:sz w:val="20"/>
          <w:szCs w:val="20"/>
        </w:rPr>
      </w:pPr>
    </w:p>
    <w:p w:rsidR="00971BC6" w:rsidRPr="0004672A" w:rsidRDefault="00971BC6" w:rsidP="0004672A">
      <w:pPr>
        <w:numPr>
          <w:ilvl w:val="0"/>
          <w:numId w:val="3"/>
        </w:numPr>
        <w:spacing w:after="0" w:line="240" w:lineRule="auto"/>
        <w:contextualSpacing/>
        <w:rPr>
          <w:rFonts w:ascii="Arial" w:hAnsi="Arial" w:cs="Arial"/>
          <w:b/>
          <w:sz w:val="20"/>
          <w:szCs w:val="20"/>
        </w:rPr>
      </w:pPr>
      <w:r w:rsidRPr="0004672A">
        <w:rPr>
          <w:rFonts w:ascii="Arial" w:hAnsi="Arial" w:cs="Arial"/>
          <w:b/>
          <w:sz w:val="20"/>
          <w:szCs w:val="20"/>
        </w:rPr>
        <w:t xml:space="preserve">Financial performance information </w:t>
      </w:r>
    </w:p>
    <w:p w:rsidR="00971BC6" w:rsidRPr="0004672A" w:rsidRDefault="00971BC6" w:rsidP="0004672A">
      <w:pPr>
        <w:spacing w:after="0" w:line="240" w:lineRule="auto"/>
        <w:ind w:left="720"/>
        <w:contextualSpacing/>
        <w:rPr>
          <w:rFonts w:ascii="Arial" w:hAnsi="Arial" w:cs="Arial"/>
          <w:b/>
          <w:sz w:val="20"/>
          <w:szCs w:val="20"/>
        </w:rPr>
      </w:pPr>
    </w:p>
    <w:p w:rsidR="00971BC6" w:rsidRPr="0004672A" w:rsidRDefault="00971BC6" w:rsidP="0004672A">
      <w:pPr>
        <w:spacing w:after="0" w:line="240" w:lineRule="auto"/>
        <w:rPr>
          <w:rFonts w:ascii="Arial" w:eastAsiaTheme="minorEastAsia" w:hAnsi="Arial" w:cs="Arial"/>
          <w:sz w:val="20"/>
          <w:szCs w:val="20"/>
        </w:rPr>
      </w:pPr>
      <w:r w:rsidRPr="0004672A">
        <w:rPr>
          <w:rFonts w:ascii="Arial" w:eastAsiaTheme="minorEastAsia" w:hAnsi="Arial" w:cs="Arial"/>
          <w:sz w:val="20"/>
          <w:szCs w:val="20"/>
        </w:rPr>
        <w:t xml:space="preserve">The AGSA has generated an actual revenue of </w:t>
      </w:r>
      <w:r w:rsidR="00C834D0" w:rsidRPr="0004672A">
        <w:rPr>
          <w:rFonts w:ascii="Arial" w:eastAsiaTheme="minorEastAsia" w:hAnsi="Arial" w:cs="Arial"/>
          <w:sz w:val="20"/>
          <w:szCs w:val="20"/>
        </w:rPr>
        <w:t>R4.4 billion for the 2021/22 financial year, which is more than R3.4</w:t>
      </w:r>
      <w:r w:rsidRPr="0004672A">
        <w:rPr>
          <w:rFonts w:ascii="Arial" w:eastAsiaTheme="minorEastAsia" w:hAnsi="Arial" w:cs="Arial"/>
          <w:sz w:val="20"/>
          <w:szCs w:val="20"/>
        </w:rPr>
        <w:t xml:space="preserve"> </w:t>
      </w:r>
      <w:r w:rsidR="00C834D0" w:rsidRPr="0004672A">
        <w:rPr>
          <w:rFonts w:ascii="Arial" w:eastAsiaTheme="minorEastAsia" w:hAnsi="Arial" w:cs="Arial"/>
          <w:sz w:val="20"/>
          <w:szCs w:val="20"/>
        </w:rPr>
        <w:t>billion generated in the 2020/21</w:t>
      </w:r>
      <w:r w:rsidRPr="0004672A">
        <w:rPr>
          <w:rFonts w:ascii="Arial" w:eastAsiaTheme="minorEastAsia" w:hAnsi="Arial" w:cs="Arial"/>
          <w:sz w:val="20"/>
          <w:szCs w:val="20"/>
        </w:rPr>
        <w:t xml:space="preserve"> financial y</w:t>
      </w:r>
      <w:r w:rsidR="00C834D0" w:rsidRPr="0004672A">
        <w:rPr>
          <w:rFonts w:ascii="Arial" w:eastAsiaTheme="minorEastAsia" w:hAnsi="Arial" w:cs="Arial"/>
          <w:sz w:val="20"/>
          <w:szCs w:val="20"/>
        </w:rPr>
        <w:t>ear. This represents an increase of</w:t>
      </w:r>
      <w:r w:rsidR="00964E75" w:rsidRPr="0004672A">
        <w:rPr>
          <w:rFonts w:ascii="Arial" w:eastAsiaTheme="minorEastAsia" w:hAnsi="Arial" w:cs="Arial"/>
          <w:sz w:val="20"/>
          <w:szCs w:val="20"/>
        </w:rPr>
        <w:t xml:space="preserve"> R1 billion or 29 percent</w:t>
      </w:r>
      <w:r w:rsidRPr="0004672A">
        <w:rPr>
          <w:rFonts w:ascii="Arial" w:eastAsiaTheme="minorEastAsia" w:hAnsi="Arial" w:cs="Arial"/>
          <w:sz w:val="20"/>
          <w:szCs w:val="20"/>
        </w:rPr>
        <w:t xml:space="preserve"> when it is compared with the r</w:t>
      </w:r>
      <w:r w:rsidR="00C834D0" w:rsidRPr="0004672A">
        <w:rPr>
          <w:rFonts w:ascii="Arial" w:eastAsiaTheme="minorEastAsia" w:hAnsi="Arial" w:cs="Arial"/>
          <w:sz w:val="20"/>
          <w:szCs w:val="20"/>
        </w:rPr>
        <w:t xml:space="preserve">evenue generated in the 2021/22 financial year. </w:t>
      </w:r>
      <w:r w:rsidR="00964E75" w:rsidRPr="0004672A">
        <w:rPr>
          <w:rFonts w:ascii="Arial" w:eastAsiaTheme="minorEastAsia" w:hAnsi="Arial" w:cs="Arial"/>
          <w:sz w:val="20"/>
          <w:szCs w:val="20"/>
        </w:rPr>
        <w:t xml:space="preserve">It </w:t>
      </w:r>
      <w:r w:rsidR="00964E75" w:rsidRPr="0004672A">
        <w:rPr>
          <w:rFonts w:ascii="Arial" w:eastAsiaTheme="minorEastAsia" w:hAnsi="Arial" w:cs="Arial"/>
          <w:sz w:val="20"/>
          <w:szCs w:val="20"/>
        </w:rPr>
        <w:lastRenderedPageBreak/>
        <w:t>should be noted that about 23 percent of the R1 billion increase in the actual revenue generated by the AGSA, relates to revenue from the catch</w:t>
      </w:r>
      <w:r w:rsidR="009F0075" w:rsidRPr="0004672A">
        <w:rPr>
          <w:rFonts w:ascii="Arial" w:eastAsiaTheme="minorEastAsia" w:hAnsi="Arial" w:cs="Arial"/>
          <w:sz w:val="20"/>
          <w:szCs w:val="20"/>
        </w:rPr>
        <w:t>-</w:t>
      </w:r>
      <w:r w:rsidR="00964E75" w:rsidRPr="0004672A">
        <w:rPr>
          <w:rFonts w:ascii="Arial" w:eastAsiaTheme="minorEastAsia" w:hAnsi="Arial" w:cs="Arial"/>
          <w:sz w:val="20"/>
          <w:szCs w:val="20"/>
        </w:rPr>
        <w:t>up audit work that could not be completed in the previous financial year. The other remaining increase was achieved through proactive continuous plans that included, a drive to achieve efficiencies through a staff pooling between national and provincial business units; and a determination by the AGSA’s audit team to achieve better productivity and recoverable rates</w:t>
      </w:r>
    </w:p>
    <w:p w:rsidR="00C834D0" w:rsidRPr="0004672A" w:rsidRDefault="00C834D0" w:rsidP="0004672A">
      <w:pPr>
        <w:spacing w:after="0" w:line="240" w:lineRule="auto"/>
        <w:rPr>
          <w:rFonts w:ascii="Arial" w:eastAsiaTheme="minorEastAsia" w:hAnsi="Arial" w:cs="Arial"/>
          <w:sz w:val="20"/>
          <w:szCs w:val="20"/>
        </w:rPr>
      </w:pPr>
    </w:p>
    <w:p w:rsidR="00971BC6" w:rsidRPr="0004672A" w:rsidRDefault="00FA0F99" w:rsidP="0004672A">
      <w:pPr>
        <w:spacing w:after="0" w:line="240" w:lineRule="auto"/>
        <w:rPr>
          <w:rFonts w:ascii="Arial" w:eastAsiaTheme="minorEastAsia" w:hAnsi="Arial" w:cs="Arial"/>
          <w:sz w:val="20"/>
          <w:szCs w:val="20"/>
        </w:rPr>
      </w:pPr>
      <w:r w:rsidRPr="0004672A">
        <w:rPr>
          <w:rFonts w:ascii="Arial" w:eastAsiaTheme="minorEastAsia" w:hAnsi="Arial" w:cs="Arial"/>
          <w:sz w:val="20"/>
          <w:szCs w:val="20"/>
        </w:rPr>
        <w:t>For the 2021/22</w:t>
      </w:r>
      <w:r w:rsidR="00971BC6" w:rsidRPr="0004672A">
        <w:rPr>
          <w:rFonts w:ascii="Arial" w:eastAsiaTheme="minorEastAsia" w:hAnsi="Arial" w:cs="Arial"/>
          <w:sz w:val="20"/>
          <w:szCs w:val="20"/>
        </w:rPr>
        <w:t xml:space="preserve"> financial year,</w:t>
      </w:r>
      <w:r w:rsidRPr="0004672A">
        <w:rPr>
          <w:rFonts w:ascii="Arial" w:eastAsiaTheme="minorEastAsia" w:hAnsi="Arial" w:cs="Arial"/>
          <w:sz w:val="20"/>
          <w:szCs w:val="20"/>
        </w:rPr>
        <w:t xml:space="preserve"> the AGSA has achieved a surplus of</w:t>
      </w:r>
      <w:r w:rsidR="00971BC6" w:rsidRPr="0004672A">
        <w:rPr>
          <w:rFonts w:ascii="Arial" w:eastAsiaTheme="minorEastAsia" w:hAnsi="Arial" w:cs="Arial"/>
          <w:sz w:val="20"/>
          <w:szCs w:val="20"/>
        </w:rPr>
        <w:t xml:space="preserve"> </w:t>
      </w:r>
      <w:r w:rsidRPr="0004672A">
        <w:rPr>
          <w:rFonts w:ascii="Arial" w:eastAsiaTheme="minorEastAsia" w:hAnsi="Arial" w:cs="Arial"/>
          <w:sz w:val="20"/>
          <w:szCs w:val="20"/>
        </w:rPr>
        <w:t>R40 million,</w:t>
      </w:r>
      <w:r w:rsidR="00A854FC" w:rsidRPr="0004672A">
        <w:rPr>
          <w:rFonts w:ascii="Arial" w:eastAsiaTheme="minorEastAsia" w:hAnsi="Arial" w:cs="Arial"/>
          <w:sz w:val="20"/>
          <w:szCs w:val="20"/>
        </w:rPr>
        <w:t xml:space="preserve"> which is a better performance</w:t>
      </w:r>
      <w:r w:rsidRPr="0004672A">
        <w:rPr>
          <w:rFonts w:ascii="Arial" w:eastAsiaTheme="minorEastAsia" w:hAnsi="Arial" w:cs="Arial"/>
          <w:sz w:val="20"/>
          <w:szCs w:val="20"/>
        </w:rPr>
        <w:t xml:space="preserve"> t</w:t>
      </w:r>
      <w:r w:rsidR="009F0075" w:rsidRPr="0004672A">
        <w:rPr>
          <w:rFonts w:ascii="Arial" w:eastAsiaTheme="minorEastAsia" w:hAnsi="Arial" w:cs="Arial"/>
          <w:sz w:val="20"/>
          <w:szCs w:val="20"/>
        </w:rPr>
        <w:t>han</w:t>
      </w:r>
      <w:r w:rsidRPr="0004672A">
        <w:rPr>
          <w:rFonts w:ascii="Arial" w:eastAsiaTheme="minorEastAsia" w:hAnsi="Arial" w:cs="Arial"/>
          <w:sz w:val="20"/>
          <w:szCs w:val="20"/>
        </w:rPr>
        <w:t xml:space="preserve"> </w:t>
      </w:r>
      <w:r w:rsidR="009F0075" w:rsidRPr="0004672A">
        <w:rPr>
          <w:rFonts w:ascii="Arial" w:eastAsiaTheme="minorEastAsia" w:hAnsi="Arial" w:cs="Arial"/>
          <w:sz w:val="20"/>
          <w:szCs w:val="20"/>
        </w:rPr>
        <w:t xml:space="preserve">the </w:t>
      </w:r>
      <w:r w:rsidRPr="0004672A">
        <w:rPr>
          <w:rFonts w:ascii="Arial" w:eastAsiaTheme="minorEastAsia" w:hAnsi="Arial" w:cs="Arial"/>
          <w:sz w:val="20"/>
          <w:szCs w:val="20"/>
        </w:rPr>
        <w:t xml:space="preserve">R293 million net deficit achieved in 2020/21 financial year. The net surplus </w:t>
      </w:r>
      <w:r w:rsidR="00E44FD9" w:rsidRPr="0004672A">
        <w:rPr>
          <w:rFonts w:ascii="Arial" w:eastAsiaTheme="minorEastAsia" w:hAnsi="Arial" w:cs="Arial"/>
          <w:sz w:val="20"/>
          <w:szCs w:val="20"/>
        </w:rPr>
        <w:t>achieved under this period is less than R55,9 million which was budgeted for the year. The recorded net surplus represents 0.92 percent of the audit revenue and it is less than the AGSA’s target of between 1%- 4%. The achieved surplus can be attributed to efficient</w:t>
      </w:r>
      <w:r w:rsidR="00971BC6" w:rsidRPr="0004672A">
        <w:rPr>
          <w:rFonts w:ascii="Arial" w:eastAsiaTheme="minorEastAsia" w:hAnsi="Arial" w:cs="Arial"/>
          <w:sz w:val="20"/>
          <w:szCs w:val="20"/>
        </w:rPr>
        <w:t xml:space="preserve"> management </w:t>
      </w:r>
      <w:r w:rsidR="00E44FD9" w:rsidRPr="0004672A">
        <w:rPr>
          <w:rFonts w:ascii="Arial" w:eastAsiaTheme="minorEastAsia" w:hAnsi="Arial" w:cs="Arial"/>
          <w:sz w:val="20"/>
          <w:szCs w:val="20"/>
        </w:rPr>
        <w:t xml:space="preserve">of </w:t>
      </w:r>
      <w:r w:rsidR="00971BC6" w:rsidRPr="0004672A">
        <w:rPr>
          <w:rFonts w:ascii="Arial" w:eastAsiaTheme="minorEastAsia" w:hAnsi="Arial" w:cs="Arial"/>
          <w:sz w:val="20"/>
          <w:szCs w:val="20"/>
        </w:rPr>
        <w:t xml:space="preserve">overhead expenses and cost containment, which was important given the state of the country’s economy, </w:t>
      </w:r>
    </w:p>
    <w:p w:rsidR="00971BC6" w:rsidRPr="0004672A" w:rsidRDefault="00971BC6" w:rsidP="0004672A">
      <w:pPr>
        <w:spacing w:after="0" w:line="240" w:lineRule="auto"/>
        <w:rPr>
          <w:rFonts w:ascii="Arial" w:eastAsiaTheme="minorEastAsia" w:hAnsi="Arial" w:cs="Arial"/>
          <w:sz w:val="20"/>
          <w:szCs w:val="20"/>
        </w:rPr>
      </w:pPr>
      <w:r w:rsidRPr="0004672A">
        <w:rPr>
          <w:rFonts w:ascii="Arial" w:eastAsiaTheme="minorEastAsia" w:hAnsi="Arial" w:cs="Arial"/>
          <w:sz w:val="20"/>
          <w:szCs w:val="20"/>
        </w:rPr>
        <w:t>In spite of t</w:t>
      </w:r>
      <w:r w:rsidR="00A854FC" w:rsidRPr="0004672A">
        <w:rPr>
          <w:rFonts w:ascii="Arial" w:eastAsiaTheme="minorEastAsia" w:hAnsi="Arial" w:cs="Arial"/>
          <w:sz w:val="20"/>
          <w:szCs w:val="20"/>
        </w:rPr>
        <w:t>he above, at the end of 2021/</w:t>
      </w:r>
      <w:r w:rsidR="008843EA" w:rsidRPr="0004672A">
        <w:rPr>
          <w:rFonts w:ascii="Arial" w:eastAsiaTheme="minorEastAsia" w:hAnsi="Arial" w:cs="Arial"/>
          <w:sz w:val="20"/>
          <w:szCs w:val="20"/>
        </w:rPr>
        <w:t>22</w:t>
      </w:r>
      <w:r w:rsidRPr="0004672A">
        <w:rPr>
          <w:rFonts w:ascii="Arial" w:eastAsiaTheme="minorEastAsia" w:hAnsi="Arial" w:cs="Arial"/>
          <w:sz w:val="20"/>
          <w:szCs w:val="20"/>
        </w:rPr>
        <w:t xml:space="preserve"> fin</w:t>
      </w:r>
      <w:r w:rsidR="00E44FD9" w:rsidRPr="0004672A">
        <w:rPr>
          <w:rFonts w:ascii="Arial" w:eastAsiaTheme="minorEastAsia" w:hAnsi="Arial" w:cs="Arial"/>
          <w:sz w:val="20"/>
          <w:szCs w:val="20"/>
        </w:rPr>
        <w:t xml:space="preserve">ancial </w:t>
      </w:r>
      <w:r w:rsidRPr="0004672A">
        <w:rPr>
          <w:rFonts w:ascii="Arial" w:eastAsiaTheme="minorEastAsia" w:hAnsi="Arial" w:cs="Arial"/>
          <w:sz w:val="20"/>
          <w:szCs w:val="20"/>
        </w:rPr>
        <w:t xml:space="preserve">AGSA’s financial diligence has led to a </w:t>
      </w:r>
      <w:r w:rsidR="00FD781F" w:rsidRPr="0004672A">
        <w:rPr>
          <w:rFonts w:ascii="Arial" w:eastAsiaTheme="minorEastAsia" w:hAnsi="Arial" w:cs="Arial"/>
          <w:sz w:val="20"/>
          <w:szCs w:val="20"/>
        </w:rPr>
        <w:t>favourable</w:t>
      </w:r>
      <w:r w:rsidR="00E44FD9" w:rsidRPr="0004672A">
        <w:rPr>
          <w:rFonts w:ascii="Arial" w:eastAsiaTheme="minorEastAsia" w:hAnsi="Arial" w:cs="Arial"/>
          <w:sz w:val="20"/>
          <w:szCs w:val="20"/>
        </w:rPr>
        <w:t xml:space="preserve"> balance of R770 million, which is more</w:t>
      </w:r>
      <w:r w:rsidRPr="0004672A">
        <w:rPr>
          <w:rFonts w:ascii="Arial" w:eastAsiaTheme="minorEastAsia" w:hAnsi="Arial" w:cs="Arial"/>
          <w:sz w:val="20"/>
          <w:szCs w:val="20"/>
        </w:rPr>
        <w:t xml:space="preserve"> than th</w:t>
      </w:r>
      <w:r w:rsidR="00E44FD9" w:rsidRPr="0004672A">
        <w:rPr>
          <w:rFonts w:ascii="Arial" w:eastAsiaTheme="minorEastAsia" w:hAnsi="Arial" w:cs="Arial"/>
          <w:sz w:val="20"/>
          <w:szCs w:val="20"/>
        </w:rPr>
        <w:t>e R576</w:t>
      </w:r>
      <w:r w:rsidR="008843EA" w:rsidRPr="0004672A">
        <w:rPr>
          <w:rFonts w:ascii="Arial" w:eastAsiaTheme="minorEastAsia" w:hAnsi="Arial" w:cs="Arial"/>
          <w:sz w:val="20"/>
          <w:szCs w:val="20"/>
        </w:rPr>
        <w:t xml:space="preserve"> million recorded in the 2020/21</w:t>
      </w:r>
      <w:r w:rsidRPr="0004672A">
        <w:rPr>
          <w:rFonts w:ascii="Arial" w:eastAsiaTheme="minorEastAsia" w:hAnsi="Arial" w:cs="Arial"/>
          <w:sz w:val="20"/>
          <w:szCs w:val="20"/>
        </w:rPr>
        <w:t xml:space="preserve"> financial year. </w:t>
      </w:r>
      <w:r w:rsidR="008843EA" w:rsidRPr="0004672A">
        <w:rPr>
          <w:rFonts w:ascii="Arial" w:eastAsiaTheme="minorEastAsia" w:hAnsi="Arial" w:cs="Arial"/>
          <w:sz w:val="20"/>
          <w:szCs w:val="20"/>
        </w:rPr>
        <w:t>This increase</w:t>
      </w:r>
      <w:r w:rsidRPr="0004672A">
        <w:rPr>
          <w:rFonts w:ascii="Arial" w:eastAsiaTheme="minorEastAsia" w:hAnsi="Arial" w:cs="Arial"/>
          <w:sz w:val="20"/>
          <w:szCs w:val="20"/>
        </w:rPr>
        <w:t xml:space="preserve"> in </w:t>
      </w:r>
      <w:r w:rsidR="00FD781F" w:rsidRPr="0004672A">
        <w:rPr>
          <w:rFonts w:ascii="Arial" w:eastAsiaTheme="minorEastAsia" w:hAnsi="Arial" w:cs="Arial"/>
          <w:sz w:val="20"/>
          <w:szCs w:val="20"/>
        </w:rPr>
        <w:t>favourable</w:t>
      </w:r>
      <w:r w:rsidRPr="0004672A">
        <w:rPr>
          <w:rFonts w:ascii="Arial" w:eastAsiaTheme="minorEastAsia" w:hAnsi="Arial" w:cs="Arial"/>
          <w:sz w:val="20"/>
          <w:szCs w:val="20"/>
        </w:rPr>
        <w:t xml:space="preserve"> bank </w:t>
      </w:r>
      <w:r w:rsidR="008843EA" w:rsidRPr="0004672A">
        <w:rPr>
          <w:rFonts w:ascii="Arial" w:eastAsiaTheme="minorEastAsia" w:hAnsi="Arial" w:cs="Arial"/>
          <w:sz w:val="20"/>
          <w:szCs w:val="20"/>
        </w:rPr>
        <w:t>balance can be translated into 2, 1</w:t>
      </w:r>
      <w:r w:rsidRPr="0004672A">
        <w:rPr>
          <w:rFonts w:ascii="Arial" w:eastAsiaTheme="minorEastAsia" w:hAnsi="Arial" w:cs="Arial"/>
          <w:sz w:val="20"/>
          <w:szCs w:val="20"/>
        </w:rPr>
        <w:t>-month</w:t>
      </w:r>
      <w:r w:rsidR="00DB0841" w:rsidRPr="0004672A">
        <w:rPr>
          <w:rFonts w:ascii="Arial" w:eastAsiaTheme="minorEastAsia" w:hAnsi="Arial" w:cs="Arial"/>
          <w:sz w:val="20"/>
          <w:szCs w:val="20"/>
        </w:rPr>
        <w:t>s and a day</w:t>
      </w:r>
      <w:r w:rsidRPr="0004672A">
        <w:rPr>
          <w:rFonts w:ascii="Arial" w:eastAsiaTheme="minorEastAsia" w:hAnsi="Arial" w:cs="Arial"/>
          <w:sz w:val="20"/>
          <w:szCs w:val="20"/>
        </w:rPr>
        <w:t xml:space="preserve"> cash reserves, comp</w:t>
      </w:r>
      <w:r w:rsidR="00DB0841" w:rsidRPr="0004672A">
        <w:rPr>
          <w:rFonts w:ascii="Arial" w:eastAsiaTheme="minorEastAsia" w:hAnsi="Arial" w:cs="Arial"/>
          <w:sz w:val="20"/>
          <w:szCs w:val="20"/>
        </w:rPr>
        <w:t>ared to 1.7-month</w:t>
      </w:r>
      <w:r w:rsidRPr="0004672A">
        <w:rPr>
          <w:rFonts w:ascii="Arial" w:eastAsiaTheme="minorEastAsia" w:hAnsi="Arial" w:cs="Arial"/>
          <w:sz w:val="20"/>
          <w:szCs w:val="20"/>
        </w:rPr>
        <w:t xml:space="preserve"> cash reserves recorded in the previous financial year. Basically, with the current cash reserves, and assuming that no other cash AGSA will receive, it can on</w:t>
      </w:r>
      <w:r w:rsidR="008843EA" w:rsidRPr="0004672A">
        <w:rPr>
          <w:rFonts w:ascii="Arial" w:eastAsiaTheme="minorEastAsia" w:hAnsi="Arial" w:cs="Arial"/>
          <w:sz w:val="20"/>
          <w:szCs w:val="20"/>
        </w:rPr>
        <w:t>ly take AGSA two month</w:t>
      </w:r>
      <w:r w:rsidR="009F0075" w:rsidRPr="0004672A">
        <w:rPr>
          <w:rFonts w:ascii="Arial" w:eastAsiaTheme="minorEastAsia" w:hAnsi="Arial" w:cs="Arial"/>
          <w:sz w:val="20"/>
          <w:szCs w:val="20"/>
        </w:rPr>
        <w:t>s</w:t>
      </w:r>
      <w:r w:rsidR="008843EA" w:rsidRPr="0004672A">
        <w:rPr>
          <w:rFonts w:ascii="Arial" w:eastAsiaTheme="minorEastAsia" w:hAnsi="Arial" w:cs="Arial"/>
          <w:sz w:val="20"/>
          <w:szCs w:val="20"/>
        </w:rPr>
        <w:t xml:space="preserve"> and one day</w:t>
      </w:r>
      <w:r w:rsidRPr="0004672A">
        <w:rPr>
          <w:rFonts w:ascii="Arial" w:eastAsiaTheme="minorEastAsia" w:hAnsi="Arial" w:cs="Arial"/>
          <w:sz w:val="20"/>
          <w:szCs w:val="20"/>
        </w:rPr>
        <w:t xml:space="preserve"> to operate. </w:t>
      </w:r>
    </w:p>
    <w:p w:rsidR="00971BC6" w:rsidRPr="0004672A" w:rsidRDefault="00971BC6" w:rsidP="0004672A">
      <w:pPr>
        <w:spacing w:after="0" w:line="240" w:lineRule="auto"/>
        <w:rPr>
          <w:rFonts w:ascii="Arial" w:hAnsi="Arial" w:cs="Arial"/>
          <w:sz w:val="20"/>
          <w:szCs w:val="20"/>
        </w:rPr>
      </w:pPr>
    </w:p>
    <w:p w:rsidR="00971BC6" w:rsidRPr="0004672A" w:rsidRDefault="00971BC6" w:rsidP="0004672A">
      <w:pPr>
        <w:numPr>
          <w:ilvl w:val="1"/>
          <w:numId w:val="3"/>
        </w:numPr>
        <w:spacing w:after="0" w:line="240" w:lineRule="auto"/>
        <w:contextualSpacing/>
        <w:rPr>
          <w:rFonts w:ascii="Arial" w:hAnsi="Arial" w:cs="Arial"/>
          <w:sz w:val="20"/>
          <w:szCs w:val="20"/>
        </w:rPr>
      </w:pPr>
      <w:r w:rsidRPr="0004672A">
        <w:rPr>
          <w:rFonts w:ascii="Arial" w:eastAsiaTheme="minorEastAsia" w:hAnsi="Arial" w:cs="Arial"/>
          <w:b/>
          <w:sz w:val="20"/>
          <w:szCs w:val="20"/>
        </w:rPr>
        <w:t>Outstanding debts</w:t>
      </w:r>
    </w:p>
    <w:p w:rsidR="0038142F" w:rsidRPr="0004672A" w:rsidRDefault="0038142F" w:rsidP="0004672A">
      <w:pPr>
        <w:spacing w:after="0" w:line="240" w:lineRule="auto"/>
        <w:ind w:left="1080"/>
        <w:contextualSpacing/>
        <w:rPr>
          <w:rFonts w:ascii="Arial" w:hAnsi="Arial" w:cs="Arial"/>
          <w:sz w:val="20"/>
          <w:szCs w:val="20"/>
        </w:rPr>
      </w:pPr>
    </w:p>
    <w:p w:rsidR="00971BC6" w:rsidRPr="0004672A" w:rsidRDefault="00971BC6" w:rsidP="0004672A">
      <w:pPr>
        <w:spacing w:after="0" w:line="240" w:lineRule="auto"/>
        <w:rPr>
          <w:rFonts w:ascii="Arial" w:eastAsiaTheme="minorEastAsia" w:hAnsi="Arial" w:cs="Arial"/>
          <w:sz w:val="20"/>
          <w:szCs w:val="20"/>
        </w:rPr>
      </w:pPr>
      <w:r w:rsidRPr="0004672A">
        <w:rPr>
          <w:rFonts w:ascii="Arial" w:eastAsiaTheme="minorEastAsia" w:hAnsi="Arial" w:cs="Arial"/>
          <w:sz w:val="20"/>
          <w:szCs w:val="20"/>
        </w:rPr>
        <w:t xml:space="preserve">For </w:t>
      </w:r>
      <w:r w:rsidR="00AF6AFA" w:rsidRPr="0004672A">
        <w:rPr>
          <w:rFonts w:ascii="Arial" w:eastAsiaTheme="minorEastAsia" w:hAnsi="Arial" w:cs="Arial"/>
          <w:sz w:val="20"/>
          <w:szCs w:val="20"/>
        </w:rPr>
        <w:t>the 2021/22</w:t>
      </w:r>
      <w:r w:rsidRPr="0004672A">
        <w:rPr>
          <w:rFonts w:ascii="Arial" w:eastAsiaTheme="minorEastAsia" w:hAnsi="Arial" w:cs="Arial"/>
          <w:sz w:val="20"/>
          <w:szCs w:val="20"/>
        </w:rPr>
        <w:t xml:space="preserve"> financial year, the debt owe</w:t>
      </w:r>
      <w:r w:rsidR="00AF6AFA" w:rsidRPr="0004672A">
        <w:rPr>
          <w:rFonts w:ascii="Arial" w:eastAsiaTheme="minorEastAsia" w:hAnsi="Arial" w:cs="Arial"/>
          <w:sz w:val="20"/>
          <w:szCs w:val="20"/>
        </w:rPr>
        <w:t>d to AGSA has decreased in overall</w:t>
      </w:r>
      <w:r w:rsidRPr="0004672A">
        <w:rPr>
          <w:rFonts w:ascii="Arial" w:eastAsiaTheme="minorEastAsia" w:hAnsi="Arial" w:cs="Arial"/>
          <w:sz w:val="20"/>
          <w:szCs w:val="20"/>
        </w:rPr>
        <w:t xml:space="preserve">. At the end of 31 March </w:t>
      </w:r>
      <w:r w:rsidR="00AF6AFA" w:rsidRPr="0004672A">
        <w:rPr>
          <w:rFonts w:ascii="Arial" w:eastAsiaTheme="minorEastAsia" w:hAnsi="Arial" w:cs="Arial"/>
          <w:sz w:val="20"/>
          <w:szCs w:val="20"/>
        </w:rPr>
        <w:t>2022, AGSA</w:t>
      </w:r>
      <w:r w:rsidRPr="0004672A">
        <w:rPr>
          <w:rFonts w:ascii="Arial" w:eastAsiaTheme="minorEastAsia" w:hAnsi="Arial" w:cs="Arial"/>
          <w:sz w:val="20"/>
          <w:szCs w:val="20"/>
        </w:rPr>
        <w:t xml:space="preserve"> was owed an amount of </w:t>
      </w:r>
      <w:r w:rsidR="00AF6AFA" w:rsidRPr="0004672A">
        <w:rPr>
          <w:rFonts w:ascii="Arial" w:eastAsiaTheme="minorEastAsia" w:hAnsi="Arial" w:cs="Arial"/>
          <w:sz w:val="20"/>
          <w:szCs w:val="20"/>
        </w:rPr>
        <w:t>R1 060 billion. T</w:t>
      </w:r>
      <w:r w:rsidR="00DB0841" w:rsidRPr="0004672A">
        <w:rPr>
          <w:rFonts w:ascii="Arial" w:eastAsiaTheme="minorEastAsia" w:hAnsi="Arial" w:cs="Arial"/>
          <w:sz w:val="20"/>
          <w:szCs w:val="20"/>
        </w:rPr>
        <w:t xml:space="preserve">his amount is less than the </w:t>
      </w:r>
      <w:r w:rsidR="00AF6AFA" w:rsidRPr="0004672A">
        <w:rPr>
          <w:rFonts w:ascii="Arial" w:eastAsiaTheme="minorEastAsia" w:hAnsi="Arial" w:cs="Arial"/>
          <w:sz w:val="20"/>
          <w:szCs w:val="20"/>
        </w:rPr>
        <w:t>R1 085</w:t>
      </w:r>
      <w:r w:rsidRPr="0004672A">
        <w:rPr>
          <w:rFonts w:ascii="Arial" w:eastAsiaTheme="minorEastAsia" w:hAnsi="Arial" w:cs="Arial"/>
          <w:sz w:val="20"/>
          <w:szCs w:val="20"/>
        </w:rPr>
        <w:t xml:space="preserve"> billion which </w:t>
      </w:r>
      <w:r w:rsidR="00DB0841" w:rsidRPr="0004672A">
        <w:rPr>
          <w:rFonts w:ascii="Arial" w:eastAsiaTheme="minorEastAsia" w:hAnsi="Arial" w:cs="Arial"/>
          <w:sz w:val="20"/>
          <w:szCs w:val="20"/>
        </w:rPr>
        <w:t>was recorded at the end of the previous</w:t>
      </w:r>
      <w:r w:rsidR="00AF6AFA" w:rsidRPr="0004672A">
        <w:rPr>
          <w:rFonts w:ascii="Arial" w:eastAsiaTheme="minorEastAsia" w:hAnsi="Arial" w:cs="Arial"/>
          <w:sz w:val="20"/>
          <w:szCs w:val="20"/>
        </w:rPr>
        <w:t xml:space="preserve"> financial year</w:t>
      </w:r>
      <w:r w:rsidR="00106FB6" w:rsidRPr="0004672A">
        <w:rPr>
          <w:rFonts w:ascii="Arial" w:eastAsiaTheme="minorEastAsia" w:hAnsi="Arial" w:cs="Arial"/>
          <w:sz w:val="20"/>
          <w:szCs w:val="20"/>
        </w:rPr>
        <w:t>. This shows a decrease of 2.3</w:t>
      </w:r>
      <w:r w:rsidRPr="0004672A">
        <w:rPr>
          <w:rFonts w:ascii="Arial" w:eastAsiaTheme="minorEastAsia" w:hAnsi="Arial" w:cs="Arial"/>
          <w:sz w:val="20"/>
          <w:szCs w:val="20"/>
        </w:rPr>
        <w:t xml:space="preserve"> percent year</w:t>
      </w:r>
      <w:r w:rsidR="009F0075" w:rsidRPr="0004672A">
        <w:rPr>
          <w:rFonts w:ascii="Arial" w:eastAsiaTheme="minorEastAsia" w:hAnsi="Arial" w:cs="Arial"/>
          <w:sz w:val="20"/>
          <w:szCs w:val="20"/>
        </w:rPr>
        <w:t>-</w:t>
      </w:r>
      <w:r w:rsidR="0038142F" w:rsidRPr="0004672A">
        <w:rPr>
          <w:rFonts w:ascii="Arial" w:eastAsiaTheme="minorEastAsia" w:hAnsi="Arial" w:cs="Arial"/>
          <w:sz w:val="20"/>
          <w:szCs w:val="20"/>
        </w:rPr>
        <w:t>on-</w:t>
      </w:r>
      <w:r w:rsidRPr="0004672A">
        <w:rPr>
          <w:rFonts w:ascii="Arial" w:eastAsiaTheme="minorEastAsia" w:hAnsi="Arial" w:cs="Arial"/>
          <w:sz w:val="20"/>
          <w:szCs w:val="20"/>
        </w:rPr>
        <w:t xml:space="preserve">year. It is worth noting that the outstanding debts to AGSSA have been increasing since </w:t>
      </w:r>
      <w:r w:rsidR="009F0075" w:rsidRPr="0004672A">
        <w:rPr>
          <w:rFonts w:ascii="Arial" w:eastAsiaTheme="minorEastAsia" w:hAnsi="Arial" w:cs="Arial"/>
          <w:sz w:val="20"/>
          <w:szCs w:val="20"/>
        </w:rPr>
        <w:t xml:space="preserve">the </w:t>
      </w:r>
      <w:r w:rsidRPr="0004672A">
        <w:rPr>
          <w:rFonts w:ascii="Arial" w:eastAsiaTheme="minorEastAsia" w:hAnsi="Arial" w:cs="Arial"/>
          <w:sz w:val="20"/>
          <w:szCs w:val="20"/>
        </w:rPr>
        <w:t>previous financial years</w:t>
      </w:r>
      <w:r w:rsidR="00DB0841" w:rsidRPr="0004672A">
        <w:rPr>
          <w:rFonts w:ascii="Arial" w:eastAsiaTheme="minorEastAsia" w:hAnsi="Arial" w:cs="Arial"/>
          <w:sz w:val="20"/>
          <w:szCs w:val="20"/>
        </w:rPr>
        <w:t xml:space="preserve">, except for </w:t>
      </w:r>
      <w:r w:rsidR="009F0075" w:rsidRPr="0004672A">
        <w:rPr>
          <w:rFonts w:ascii="Arial" w:eastAsiaTheme="minorEastAsia" w:hAnsi="Arial" w:cs="Arial"/>
          <w:sz w:val="20"/>
          <w:szCs w:val="20"/>
        </w:rPr>
        <w:t xml:space="preserve">the </w:t>
      </w:r>
      <w:r w:rsidR="00DB0841" w:rsidRPr="0004672A">
        <w:rPr>
          <w:rFonts w:ascii="Arial" w:eastAsiaTheme="minorEastAsia" w:hAnsi="Arial" w:cs="Arial"/>
          <w:sz w:val="20"/>
          <w:szCs w:val="20"/>
        </w:rPr>
        <w:t>2016/17 financial year.</w:t>
      </w:r>
      <w:r w:rsidRPr="0004672A">
        <w:rPr>
          <w:rFonts w:ascii="Arial" w:eastAsiaTheme="minorEastAsia" w:hAnsi="Arial" w:cs="Arial"/>
          <w:sz w:val="20"/>
          <w:szCs w:val="20"/>
        </w:rPr>
        <w:t xml:space="preserve"> For instance, in the 2017/18 financial year, AGSA’s total debts amounted to R650 million. For the 2018/19 and 2019/20 financial years, the outstanding debts recorded an amount of R744 million and R931 million respectively.</w:t>
      </w:r>
    </w:p>
    <w:p w:rsidR="00971BC6" w:rsidRPr="0004672A" w:rsidRDefault="00971BC6" w:rsidP="0004672A">
      <w:pPr>
        <w:spacing w:after="0" w:line="240" w:lineRule="auto"/>
        <w:rPr>
          <w:rFonts w:ascii="Arial" w:eastAsiaTheme="minorEastAsia" w:hAnsi="Arial" w:cs="Arial"/>
          <w:sz w:val="20"/>
          <w:szCs w:val="20"/>
        </w:rPr>
      </w:pPr>
      <w:r w:rsidRPr="0004672A">
        <w:rPr>
          <w:rFonts w:ascii="Arial" w:eastAsiaTheme="minorEastAsia" w:hAnsi="Arial" w:cs="Arial"/>
          <w:sz w:val="20"/>
          <w:szCs w:val="20"/>
        </w:rPr>
        <w:t>It is further reported that the main contributors to the increase in the recorded outstanding debts to AGSA are local government auditees (municip</w:t>
      </w:r>
      <w:r w:rsidR="00DB0841" w:rsidRPr="0004672A">
        <w:rPr>
          <w:rFonts w:ascii="Arial" w:eastAsiaTheme="minorEastAsia" w:hAnsi="Arial" w:cs="Arial"/>
          <w:sz w:val="20"/>
          <w:szCs w:val="20"/>
        </w:rPr>
        <w:t>alities), which accounts</w:t>
      </w:r>
      <w:r w:rsidR="00106FB6" w:rsidRPr="0004672A">
        <w:rPr>
          <w:rFonts w:ascii="Arial" w:eastAsiaTheme="minorEastAsia" w:hAnsi="Arial" w:cs="Arial"/>
          <w:sz w:val="20"/>
          <w:szCs w:val="20"/>
        </w:rPr>
        <w:t xml:space="preserve"> for 52</w:t>
      </w:r>
      <w:r w:rsidRPr="0004672A">
        <w:rPr>
          <w:rFonts w:ascii="Arial" w:eastAsiaTheme="minorEastAsia" w:hAnsi="Arial" w:cs="Arial"/>
          <w:sz w:val="20"/>
          <w:szCs w:val="20"/>
        </w:rPr>
        <w:t xml:space="preserve"> </w:t>
      </w:r>
      <w:r w:rsidR="00106FB6" w:rsidRPr="0004672A">
        <w:rPr>
          <w:rFonts w:ascii="Arial" w:eastAsiaTheme="minorEastAsia" w:hAnsi="Arial" w:cs="Arial"/>
          <w:sz w:val="20"/>
          <w:szCs w:val="20"/>
        </w:rPr>
        <w:t xml:space="preserve">percent or R548 million </w:t>
      </w:r>
      <w:r w:rsidRPr="0004672A">
        <w:rPr>
          <w:rFonts w:ascii="Arial" w:eastAsiaTheme="minorEastAsia" w:hAnsi="Arial" w:cs="Arial"/>
          <w:sz w:val="20"/>
          <w:szCs w:val="20"/>
        </w:rPr>
        <w:t>of th</w:t>
      </w:r>
      <w:r w:rsidR="00106FB6" w:rsidRPr="0004672A">
        <w:rPr>
          <w:rFonts w:ascii="Arial" w:eastAsiaTheme="minorEastAsia" w:hAnsi="Arial" w:cs="Arial"/>
          <w:sz w:val="20"/>
          <w:szCs w:val="20"/>
        </w:rPr>
        <w:t xml:space="preserve">e total outstanding debts (R1 060 billion). The outstanding debts to </w:t>
      </w:r>
      <w:r w:rsidR="009F0075" w:rsidRPr="0004672A">
        <w:rPr>
          <w:rFonts w:ascii="Arial" w:eastAsiaTheme="minorEastAsia" w:hAnsi="Arial" w:cs="Arial"/>
          <w:sz w:val="20"/>
          <w:szCs w:val="20"/>
        </w:rPr>
        <w:t xml:space="preserve">the </w:t>
      </w:r>
      <w:r w:rsidR="00106FB6" w:rsidRPr="0004672A">
        <w:rPr>
          <w:rFonts w:ascii="Arial" w:eastAsiaTheme="minorEastAsia" w:hAnsi="Arial" w:cs="Arial"/>
          <w:sz w:val="20"/>
          <w:szCs w:val="20"/>
        </w:rPr>
        <w:t>local government of R548 million show a decrease of R174 million when it is comp</w:t>
      </w:r>
      <w:r w:rsidR="00DB0841" w:rsidRPr="0004672A">
        <w:rPr>
          <w:rFonts w:ascii="Arial" w:eastAsiaTheme="minorEastAsia" w:hAnsi="Arial" w:cs="Arial"/>
          <w:sz w:val="20"/>
          <w:szCs w:val="20"/>
        </w:rPr>
        <w:t xml:space="preserve">ared to R722 million recorded at </w:t>
      </w:r>
      <w:r w:rsidR="00D826DF" w:rsidRPr="0004672A">
        <w:rPr>
          <w:rFonts w:ascii="Arial" w:eastAsiaTheme="minorEastAsia" w:hAnsi="Arial" w:cs="Arial"/>
          <w:sz w:val="20"/>
          <w:szCs w:val="20"/>
        </w:rPr>
        <w:t xml:space="preserve">the </w:t>
      </w:r>
      <w:r w:rsidR="00DB0841" w:rsidRPr="0004672A">
        <w:rPr>
          <w:rFonts w:ascii="Arial" w:eastAsiaTheme="minorEastAsia" w:hAnsi="Arial" w:cs="Arial"/>
          <w:sz w:val="20"/>
          <w:szCs w:val="20"/>
        </w:rPr>
        <w:t>end of the 2020</w:t>
      </w:r>
      <w:r w:rsidR="00106FB6" w:rsidRPr="0004672A">
        <w:rPr>
          <w:rFonts w:ascii="Arial" w:eastAsiaTheme="minorEastAsia" w:hAnsi="Arial" w:cs="Arial"/>
          <w:sz w:val="20"/>
          <w:szCs w:val="20"/>
        </w:rPr>
        <w:t>/21</w:t>
      </w:r>
      <w:r w:rsidRPr="0004672A">
        <w:rPr>
          <w:rFonts w:ascii="Arial" w:eastAsiaTheme="minorEastAsia" w:hAnsi="Arial" w:cs="Arial"/>
          <w:sz w:val="20"/>
          <w:szCs w:val="20"/>
        </w:rPr>
        <w:t xml:space="preserve"> fina</w:t>
      </w:r>
      <w:r w:rsidR="00DB0841" w:rsidRPr="0004672A">
        <w:rPr>
          <w:rFonts w:ascii="Arial" w:eastAsiaTheme="minorEastAsia" w:hAnsi="Arial" w:cs="Arial"/>
          <w:sz w:val="20"/>
          <w:szCs w:val="20"/>
        </w:rPr>
        <w:t xml:space="preserve">ncial year. </w:t>
      </w:r>
      <w:r w:rsidRPr="0004672A">
        <w:rPr>
          <w:rFonts w:ascii="Arial" w:eastAsiaTheme="minorEastAsia" w:hAnsi="Arial" w:cs="Arial"/>
          <w:sz w:val="20"/>
          <w:szCs w:val="20"/>
        </w:rPr>
        <w:t xml:space="preserve"> In addition, there is a noticeable increase in the outstanding debts from the SOEs, especially those that are being liquidated. </w:t>
      </w:r>
    </w:p>
    <w:p w:rsidR="00971BC6" w:rsidRPr="0004672A" w:rsidRDefault="001B2FF2" w:rsidP="0004672A">
      <w:pPr>
        <w:spacing w:after="0" w:line="240" w:lineRule="auto"/>
        <w:rPr>
          <w:rFonts w:ascii="Arial" w:eastAsiaTheme="minorEastAsia" w:hAnsi="Arial" w:cs="Arial"/>
          <w:sz w:val="20"/>
          <w:szCs w:val="20"/>
        </w:rPr>
      </w:pPr>
      <w:r w:rsidRPr="0004672A">
        <w:rPr>
          <w:rFonts w:ascii="Arial" w:eastAsiaTheme="minorEastAsia" w:hAnsi="Arial" w:cs="Arial"/>
          <w:sz w:val="20"/>
          <w:szCs w:val="20"/>
        </w:rPr>
        <w:t>Importantly, AGSA</w:t>
      </w:r>
      <w:r w:rsidR="00971BC6" w:rsidRPr="0004672A">
        <w:rPr>
          <w:rFonts w:ascii="Arial" w:eastAsiaTheme="minorEastAsia" w:hAnsi="Arial" w:cs="Arial"/>
          <w:sz w:val="20"/>
          <w:szCs w:val="20"/>
        </w:rPr>
        <w:t xml:space="preserve"> </w:t>
      </w:r>
      <w:r w:rsidRPr="0004672A">
        <w:rPr>
          <w:rFonts w:ascii="Arial" w:eastAsiaTheme="minorEastAsia" w:hAnsi="Arial" w:cs="Arial"/>
          <w:sz w:val="20"/>
          <w:szCs w:val="20"/>
        </w:rPr>
        <w:t xml:space="preserve">indicated that other than implementing its enhancement collection strategies introduced in 2014 such as litigation, </w:t>
      </w:r>
      <w:r w:rsidR="009F0075" w:rsidRPr="0004672A">
        <w:rPr>
          <w:rFonts w:ascii="Arial" w:eastAsiaTheme="minorEastAsia" w:hAnsi="Arial" w:cs="Arial"/>
          <w:sz w:val="20"/>
          <w:szCs w:val="20"/>
        </w:rPr>
        <w:t xml:space="preserve">and </w:t>
      </w:r>
      <w:r w:rsidRPr="0004672A">
        <w:rPr>
          <w:rFonts w:ascii="Arial" w:eastAsiaTheme="minorEastAsia" w:hAnsi="Arial" w:cs="Arial"/>
          <w:sz w:val="20"/>
          <w:szCs w:val="20"/>
        </w:rPr>
        <w:t>ring</w:t>
      </w:r>
      <w:r w:rsidR="009F0075" w:rsidRPr="0004672A">
        <w:rPr>
          <w:rFonts w:ascii="Arial" w:eastAsiaTheme="minorEastAsia" w:hAnsi="Arial" w:cs="Arial"/>
          <w:sz w:val="20"/>
          <w:szCs w:val="20"/>
        </w:rPr>
        <w:t>-</w:t>
      </w:r>
      <w:r w:rsidRPr="0004672A">
        <w:rPr>
          <w:rFonts w:ascii="Arial" w:eastAsiaTheme="minorEastAsia" w:hAnsi="Arial" w:cs="Arial"/>
          <w:sz w:val="20"/>
          <w:szCs w:val="20"/>
        </w:rPr>
        <w:t xml:space="preserve">fencing, strategies like engagement with National Treasury, </w:t>
      </w:r>
      <w:r w:rsidR="00D826DF" w:rsidRPr="0004672A">
        <w:rPr>
          <w:rFonts w:ascii="Arial" w:eastAsiaTheme="minorEastAsia" w:hAnsi="Arial" w:cs="Arial"/>
          <w:sz w:val="20"/>
          <w:szCs w:val="20"/>
        </w:rPr>
        <w:t>ha</w:t>
      </w:r>
      <w:r w:rsidR="009F0075" w:rsidRPr="0004672A">
        <w:rPr>
          <w:rFonts w:ascii="Arial" w:eastAsiaTheme="minorEastAsia" w:hAnsi="Arial" w:cs="Arial"/>
          <w:sz w:val="20"/>
          <w:szCs w:val="20"/>
        </w:rPr>
        <w:t>ve</w:t>
      </w:r>
      <w:r w:rsidR="00D826DF" w:rsidRPr="0004672A">
        <w:rPr>
          <w:rFonts w:ascii="Arial" w:eastAsiaTheme="minorEastAsia" w:hAnsi="Arial" w:cs="Arial"/>
          <w:sz w:val="20"/>
          <w:szCs w:val="20"/>
        </w:rPr>
        <w:t xml:space="preserve"> </w:t>
      </w:r>
      <w:r w:rsidRPr="0004672A">
        <w:rPr>
          <w:rFonts w:ascii="Arial" w:eastAsiaTheme="minorEastAsia" w:hAnsi="Arial" w:cs="Arial"/>
          <w:sz w:val="20"/>
          <w:szCs w:val="20"/>
        </w:rPr>
        <w:t>yield</w:t>
      </w:r>
      <w:r w:rsidR="00D826DF" w:rsidRPr="0004672A">
        <w:rPr>
          <w:rFonts w:ascii="Arial" w:eastAsiaTheme="minorEastAsia" w:hAnsi="Arial" w:cs="Arial"/>
          <w:sz w:val="20"/>
          <w:szCs w:val="20"/>
        </w:rPr>
        <w:t>ed</w:t>
      </w:r>
      <w:r w:rsidRPr="0004672A">
        <w:rPr>
          <w:rFonts w:ascii="Arial" w:eastAsiaTheme="minorEastAsia" w:hAnsi="Arial" w:cs="Arial"/>
          <w:sz w:val="20"/>
          <w:szCs w:val="20"/>
        </w:rPr>
        <w:t xml:space="preserve"> a positive result because an amount of R94 million was collected t</w:t>
      </w:r>
      <w:r w:rsidR="00D826DF" w:rsidRPr="0004672A">
        <w:rPr>
          <w:rFonts w:ascii="Arial" w:eastAsiaTheme="minorEastAsia" w:hAnsi="Arial" w:cs="Arial"/>
          <w:sz w:val="20"/>
          <w:szCs w:val="20"/>
        </w:rPr>
        <w:t>hrough the intervention of the D</w:t>
      </w:r>
      <w:r w:rsidRPr="0004672A">
        <w:rPr>
          <w:rFonts w:ascii="Arial" w:eastAsiaTheme="minorEastAsia" w:hAnsi="Arial" w:cs="Arial"/>
          <w:sz w:val="20"/>
          <w:szCs w:val="20"/>
        </w:rPr>
        <w:t>irector-General of the National Treasury</w:t>
      </w:r>
    </w:p>
    <w:p w:rsidR="00971BC6" w:rsidRPr="0004672A" w:rsidRDefault="00971BC6" w:rsidP="0004672A">
      <w:pPr>
        <w:spacing w:after="0" w:line="240" w:lineRule="auto"/>
        <w:rPr>
          <w:rFonts w:ascii="Arial" w:hAnsi="Arial" w:cs="Arial"/>
          <w:b/>
          <w:sz w:val="20"/>
          <w:szCs w:val="20"/>
        </w:rPr>
      </w:pPr>
    </w:p>
    <w:p w:rsidR="00971BC6" w:rsidRPr="0004672A" w:rsidRDefault="00971BC6" w:rsidP="0004672A">
      <w:pPr>
        <w:pStyle w:val="ListParagraph"/>
        <w:numPr>
          <w:ilvl w:val="0"/>
          <w:numId w:val="4"/>
        </w:numPr>
        <w:spacing w:after="0" w:line="240" w:lineRule="auto"/>
        <w:rPr>
          <w:rFonts w:ascii="Arial" w:hAnsi="Arial" w:cs="Arial"/>
          <w:b/>
          <w:sz w:val="20"/>
          <w:szCs w:val="20"/>
        </w:rPr>
      </w:pPr>
      <w:r w:rsidRPr="0004672A">
        <w:rPr>
          <w:rFonts w:ascii="Arial" w:hAnsi="Arial" w:cs="Arial"/>
          <w:b/>
          <w:sz w:val="20"/>
          <w:szCs w:val="20"/>
        </w:rPr>
        <w:t xml:space="preserve">Other critical issues emanated from the Integrated Annual Report of AGSA </w:t>
      </w:r>
    </w:p>
    <w:p w:rsidR="00486D39" w:rsidRPr="0004672A" w:rsidRDefault="00486D39" w:rsidP="0004672A">
      <w:pPr>
        <w:spacing w:after="0" w:line="240" w:lineRule="auto"/>
        <w:rPr>
          <w:rFonts w:ascii="Arial" w:hAnsi="Arial" w:cs="Arial"/>
          <w:sz w:val="20"/>
          <w:szCs w:val="20"/>
        </w:rPr>
      </w:pPr>
    </w:p>
    <w:p w:rsidR="00971BC6" w:rsidRPr="0004672A" w:rsidRDefault="00971BC6" w:rsidP="0004672A">
      <w:pPr>
        <w:numPr>
          <w:ilvl w:val="1"/>
          <w:numId w:val="4"/>
        </w:numPr>
        <w:spacing w:after="0" w:line="240" w:lineRule="auto"/>
        <w:contextualSpacing/>
        <w:rPr>
          <w:rFonts w:ascii="Arial" w:hAnsi="Arial" w:cs="Arial"/>
          <w:sz w:val="20"/>
          <w:szCs w:val="20"/>
        </w:rPr>
      </w:pPr>
      <w:r w:rsidRPr="0004672A">
        <w:rPr>
          <w:rFonts w:ascii="Arial" w:hAnsi="Arial" w:cs="Arial"/>
          <w:sz w:val="20"/>
          <w:szCs w:val="20"/>
        </w:rPr>
        <w:t xml:space="preserve">Scope of section 4 (3) Audits </w:t>
      </w:r>
    </w:p>
    <w:p w:rsidR="00971BC6" w:rsidRPr="0004672A" w:rsidRDefault="00971BC6" w:rsidP="0004672A">
      <w:pPr>
        <w:spacing w:after="0" w:line="240" w:lineRule="auto"/>
        <w:rPr>
          <w:rFonts w:ascii="Arial" w:eastAsiaTheme="minorEastAsia" w:hAnsi="Arial" w:cs="Arial"/>
          <w:sz w:val="20"/>
          <w:szCs w:val="20"/>
        </w:rPr>
      </w:pPr>
      <w:r w:rsidRPr="0004672A">
        <w:rPr>
          <w:rFonts w:ascii="Arial" w:eastAsiaTheme="minorEastAsia" w:hAnsi="Arial" w:cs="Arial"/>
          <w:sz w:val="20"/>
          <w:szCs w:val="20"/>
        </w:rPr>
        <w:t>Section 4 (3) of the PAA states that the Auditor-General may audit and report on the accounts, financial statements, and financial management of-</w:t>
      </w:r>
    </w:p>
    <w:p w:rsidR="00971BC6" w:rsidRPr="0004672A" w:rsidRDefault="00971BC6" w:rsidP="0004672A">
      <w:pPr>
        <w:numPr>
          <w:ilvl w:val="0"/>
          <w:numId w:val="5"/>
        </w:numPr>
        <w:spacing w:after="0" w:line="240" w:lineRule="auto"/>
        <w:contextualSpacing/>
        <w:rPr>
          <w:rFonts w:ascii="Arial" w:eastAsiaTheme="minorEastAsia" w:hAnsi="Arial" w:cs="Arial"/>
          <w:sz w:val="20"/>
          <w:szCs w:val="20"/>
        </w:rPr>
      </w:pPr>
      <w:r w:rsidRPr="0004672A">
        <w:rPr>
          <w:rFonts w:ascii="Arial" w:eastAsiaTheme="minorEastAsia" w:hAnsi="Arial" w:cs="Arial"/>
          <w:sz w:val="20"/>
          <w:szCs w:val="20"/>
        </w:rPr>
        <w:t>Any public entity listed in the Public Finance Management Act; and</w:t>
      </w:r>
    </w:p>
    <w:p w:rsidR="00971BC6" w:rsidRPr="0004672A" w:rsidRDefault="00971BC6" w:rsidP="0004672A">
      <w:pPr>
        <w:numPr>
          <w:ilvl w:val="0"/>
          <w:numId w:val="5"/>
        </w:numPr>
        <w:spacing w:after="0" w:line="240" w:lineRule="auto"/>
        <w:contextualSpacing/>
        <w:rPr>
          <w:rFonts w:ascii="Arial" w:eastAsiaTheme="minorEastAsia" w:hAnsi="Arial" w:cs="Arial"/>
          <w:sz w:val="20"/>
          <w:szCs w:val="20"/>
        </w:rPr>
      </w:pPr>
      <w:r w:rsidRPr="0004672A">
        <w:rPr>
          <w:rFonts w:ascii="Arial" w:eastAsiaTheme="minorEastAsia" w:hAnsi="Arial" w:cs="Arial"/>
          <w:sz w:val="20"/>
          <w:szCs w:val="20"/>
        </w:rPr>
        <w:t>Any other institution not mentioned in subsection (1) and which is-</w:t>
      </w:r>
    </w:p>
    <w:p w:rsidR="00971BC6" w:rsidRPr="0004672A" w:rsidRDefault="00971BC6" w:rsidP="0004672A">
      <w:pPr>
        <w:numPr>
          <w:ilvl w:val="0"/>
          <w:numId w:val="6"/>
        </w:numPr>
        <w:spacing w:after="0" w:line="240" w:lineRule="auto"/>
        <w:contextualSpacing/>
        <w:rPr>
          <w:rFonts w:ascii="Arial" w:eastAsiaTheme="minorEastAsia" w:hAnsi="Arial" w:cs="Arial"/>
          <w:sz w:val="20"/>
          <w:szCs w:val="20"/>
        </w:rPr>
      </w:pPr>
      <w:r w:rsidRPr="0004672A">
        <w:rPr>
          <w:rFonts w:ascii="Arial" w:eastAsiaTheme="minorEastAsia" w:hAnsi="Arial" w:cs="Arial"/>
          <w:sz w:val="20"/>
          <w:szCs w:val="20"/>
        </w:rPr>
        <w:t>Funded from the National Revenue Fund or Provincial Revenue Fund or by a municipality.</w:t>
      </w:r>
    </w:p>
    <w:p w:rsidR="00971BC6" w:rsidRPr="0004672A" w:rsidRDefault="00971BC6" w:rsidP="0004672A">
      <w:pPr>
        <w:numPr>
          <w:ilvl w:val="0"/>
          <w:numId w:val="6"/>
        </w:numPr>
        <w:spacing w:after="0" w:line="240" w:lineRule="auto"/>
        <w:contextualSpacing/>
        <w:rPr>
          <w:rFonts w:ascii="Arial" w:eastAsiaTheme="minorEastAsia" w:hAnsi="Arial" w:cs="Arial"/>
          <w:sz w:val="20"/>
          <w:szCs w:val="20"/>
        </w:rPr>
      </w:pPr>
      <w:r w:rsidRPr="0004672A">
        <w:rPr>
          <w:rFonts w:ascii="Arial" w:eastAsiaTheme="minorEastAsia" w:hAnsi="Arial" w:cs="Arial"/>
          <w:sz w:val="20"/>
          <w:szCs w:val="20"/>
        </w:rPr>
        <w:t>Authorised in terms of any legislation to receive money for a public purpose</w:t>
      </w:r>
    </w:p>
    <w:p w:rsidR="0038142F" w:rsidRPr="0004672A" w:rsidRDefault="0038142F" w:rsidP="0004672A">
      <w:pPr>
        <w:spacing w:after="0" w:line="240" w:lineRule="auto"/>
        <w:ind w:left="1080"/>
        <w:contextualSpacing/>
        <w:rPr>
          <w:rFonts w:ascii="Arial" w:eastAsiaTheme="minorEastAsia" w:hAnsi="Arial" w:cs="Arial"/>
          <w:sz w:val="20"/>
          <w:szCs w:val="20"/>
        </w:rPr>
      </w:pPr>
    </w:p>
    <w:p w:rsidR="00971BC6" w:rsidRPr="0004672A" w:rsidRDefault="00971BC6" w:rsidP="0004672A">
      <w:pPr>
        <w:spacing w:after="0" w:line="240" w:lineRule="auto"/>
        <w:ind w:left="360"/>
        <w:rPr>
          <w:rFonts w:ascii="Arial" w:eastAsiaTheme="minorEastAsia" w:hAnsi="Arial" w:cs="Arial"/>
          <w:sz w:val="20"/>
          <w:szCs w:val="20"/>
        </w:rPr>
      </w:pPr>
      <w:r w:rsidRPr="0004672A">
        <w:rPr>
          <w:rFonts w:ascii="Arial" w:eastAsiaTheme="minorEastAsia" w:hAnsi="Arial" w:cs="Arial"/>
          <w:sz w:val="20"/>
          <w:szCs w:val="20"/>
        </w:rPr>
        <w:t>In spite of the above, currently, AGSA directly audits 15 out of 21 public entities listed in Schedule 2 of the PFMA (large and complex SOEs). The number of SOEs under the audit portfolio of AGSA has been increasing</w:t>
      </w:r>
      <w:r w:rsidR="00431402" w:rsidRPr="0004672A">
        <w:rPr>
          <w:rFonts w:ascii="Arial" w:eastAsiaTheme="minorEastAsia" w:hAnsi="Arial" w:cs="Arial"/>
          <w:sz w:val="20"/>
          <w:szCs w:val="20"/>
        </w:rPr>
        <w:t xml:space="preserve"> over the years</w:t>
      </w:r>
      <w:r w:rsidRPr="0004672A">
        <w:rPr>
          <w:rFonts w:ascii="Arial" w:eastAsiaTheme="minorEastAsia" w:hAnsi="Arial" w:cs="Arial"/>
          <w:sz w:val="20"/>
          <w:szCs w:val="20"/>
        </w:rPr>
        <w:t xml:space="preserve">. For </w:t>
      </w:r>
      <w:r w:rsidR="00431402" w:rsidRPr="0004672A">
        <w:rPr>
          <w:rFonts w:ascii="Arial" w:eastAsiaTheme="minorEastAsia" w:hAnsi="Arial" w:cs="Arial"/>
          <w:sz w:val="20"/>
          <w:szCs w:val="20"/>
        </w:rPr>
        <w:t xml:space="preserve">instance, only six (6) SOEs were under the audit portfolio of AGSA during </w:t>
      </w:r>
      <w:r w:rsidR="009F0075" w:rsidRPr="0004672A">
        <w:rPr>
          <w:rFonts w:ascii="Arial" w:eastAsiaTheme="minorEastAsia" w:hAnsi="Arial" w:cs="Arial"/>
          <w:sz w:val="20"/>
          <w:szCs w:val="20"/>
        </w:rPr>
        <w:t xml:space="preserve">the </w:t>
      </w:r>
      <w:r w:rsidR="00431402" w:rsidRPr="0004672A">
        <w:rPr>
          <w:rFonts w:ascii="Arial" w:eastAsiaTheme="minorEastAsia" w:hAnsi="Arial" w:cs="Arial"/>
          <w:sz w:val="20"/>
          <w:szCs w:val="20"/>
        </w:rPr>
        <w:t xml:space="preserve">2013-14 financial year. As alluded </w:t>
      </w:r>
      <w:r w:rsidR="009F0075" w:rsidRPr="0004672A">
        <w:rPr>
          <w:rFonts w:ascii="Arial" w:eastAsiaTheme="minorEastAsia" w:hAnsi="Arial" w:cs="Arial"/>
          <w:sz w:val="20"/>
          <w:szCs w:val="20"/>
        </w:rPr>
        <w:t>to</w:t>
      </w:r>
      <w:r w:rsidR="00431402" w:rsidRPr="0004672A">
        <w:rPr>
          <w:rFonts w:ascii="Arial" w:eastAsiaTheme="minorEastAsia" w:hAnsi="Arial" w:cs="Arial"/>
          <w:sz w:val="20"/>
          <w:szCs w:val="20"/>
        </w:rPr>
        <w:t xml:space="preserve"> above, currently, there are 15 SOEs under the AGSA audit portfolio. The latest SOE to be included under the AGSA’s aud</w:t>
      </w:r>
      <w:r w:rsidR="00D826DF" w:rsidRPr="0004672A">
        <w:rPr>
          <w:rFonts w:ascii="Arial" w:eastAsiaTheme="minorEastAsia" w:hAnsi="Arial" w:cs="Arial"/>
          <w:sz w:val="20"/>
          <w:szCs w:val="20"/>
        </w:rPr>
        <w:t xml:space="preserve">it portfolio is Transnet. </w:t>
      </w:r>
      <w:r w:rsidR="00304874" w:rsidRPr="0004672A">
        <w:rPr>
          <w:rFonts w:ascii="Arial" w:eastAsiaTheme="minorEastAsia" w:hAnsi="Arial" w:cs="Arial"/>
          <w:sz w:val="20"/>
          <w:szCs w:val="20"/>
        </w:rPr>
        <w:t xml:space="preserve">Currently, AGSA is in a process of taking over ESKOM in </w:t>
      </w:r>
      <w:r w:rsidR="009F0075" w:rsidRPr="0004672A">
        <w:rPr>
          <w:rFonts w:ascii="Arial" w:eastAsiaTheme="minorEastAsia" w:hAnsi="Arial" w:cs="Arial"/>
          <w:sz w:val="20"/>
          <w:szCs w:val="20"/>
        </w:rPr>
        <w:t xml:space="preserve">a </w:t>
      </w:r>
      <w:r w:rsidR="00304874" w:rsidRPr="0004672A">
        <w:rPr>
          <w:rFonts w:ascii="Arial" w:eastAsiaTheme="minorEastAsia" w:hAnsi="Arial" w:cs="Arial"/>
          <w:sz w:val="20"/>
          <w:szCs w:val="20"/>
        </w:rPr>
        <w:t>few years.</w:t>
      </w:r>
    </w:p>
    <w:p w:rsidR="00971BC6" w:rsidRPr="0004672A" w:rsidRDefault="00D826DF" w:rsidP="0004672A">
      <w:pPr>
        <w:spacing w:after="0" w:line="240" w:lineRule="auto"/>
        <w:ind w:left="360"/>
        <w:rPr>
          <w:rFonts w:ascii="Arial" w:eastAsiaTheme="minorEastAsia" w:hAnsi="Arial" w:cs="Arial"/>
          <w:sz w:val="20"/>
          <w:szCs w:val="20"/>
        </w:rPr>
      </w:pPr>
      <w:r w:rsidRPr="0004672A">
        <w:rPr>
          <w:rFonts w:ascii="Arial" w:eastAsiaTheme="minorEastAsia" w:hAnsi="Arial" w:cs="Arial"/>
          <w:sz w:val="20"/>
          <w:szCs w:val="20"/>
        </w:rPr>
        <w:t>F</w:t>
      </w:r>
      <w:r w:rsidR="00971BC6" w:rsidRPr="0004672A">
        <w:rPr>
          <w:rFonts w:ascii="Arial" w:eastAsiaTheme="minorEastAsia" w:hAnsi="Arial" w:cs="Arial"/>
          <w:sz w:val="20"/>
          <w:szCs w:val="20"/>
        </w:rPr>
        <w:t xml:space="preserve">or those SOEs, which are still not yet under the AGSA’s audit portfolio, the AG has enhanced their audits oversight by implementing the PAA regulations. This has to ensure that AGSA concurs with the conditions of appointing private auditors to those SOEs. In implementing such enhanced strict audits oversight to those SOEs, which are still yet to become under AGSA’s audit </w:t>
      </w:r>
      <w:r w:rsidR="00971BC6" w:rsidRPr="0004672A">
        <w:rPr>
          <w:rFonts w:ascii="Arial" w:eastAsiaTheme="minorEastAsia" w:hAnsi="Arial" w:cs="Arial"/>
          <w:sz w:val="20"/>
          <w:szCs w:val="20"/>
        </w:rPr>
        <w:lastRenderedPageBreak/>
        <w:t>Portfolio, AGSA has identified threats of familiarity at some institutions that have been audited by the same private auditors for between five to twenty years. To emphasise, its commitment to good governance for those SOEs, AGSA imposed some conditions, which include amongst others, that those SOEs should appoint new auditors</w:t>
      </w:r>
      <w:r w:rsidR="00304874" w:rsidRPr="0004672A">
        <w:rPr>
          <w:rFonts w:ascii="Arial" w:eastAsiaTheme="minorEastAsia" w:hAnsi="Arial" w:cs="Arial"/>
          <w:sz w:val="20"/>
          <w:szCs w:val="20"/>
        </w:rPr>
        <w:t xml:space="preserve"> </w:t>
      </w:r>
      <w:r w:rsidR="001B2FF2" w:rsidRPr="0004672A">
        <w:rPr>
          <w:rFonts w:ascii="Arial" w:eastAsiaTheme="minorEastAsia" w:hAnsi="Arial" w:cs="Arial"/>
          <w:sz w:val="20"/>
          <w:szCs w:val="20"/>
        </w:rPr>
        <w:t>in the previous financial year</w:t>
      </w:r>
      <w:r w:rsidR="00971BC6" w:rsidRPr="0004672A">
        <w:rPr>
          <w:rFonts w:ascii="Arial" w:eastAsiaTheme="minorEastAsia" w:hAnsi="Arial" w:cs="Arial"/>
          <w:sz w:val="20"/>
          <w:szCs w:val="20"/>
        </w:rPr>
        <w:t xml:space="preserve">. In this regard, AGSA reported that </w:t>
      </w:r>
      <w:r w:rsidR="001B2FF2" w:rsidRPr="0004672A">
        <w:rPr>
          <w:rFonts w:ascii="Arial" w:eastAsiaTheme="minorEastAsia" w:hAnsi="Arial" w:cs="Arial"/>
          <w:sz w:val="20"/>
          <w:szCs w:val="20"/>
        </w:rPr>
        <w:t xml:space="preserve">all those SOEs have complied with those conditions, despite that in the previous financial year, </w:t>
      </w:r>
      <w:r w:rsidR="00D15A8C" w:rsidRPr="0004672A">
        <w:rPr>
          <w:rFonts w:ascii="Arial" w:eastAsiaTheme="minorEastAsia" w:hAnsi="Arial" w:cs="Arial"/>
          <w:sz w:val="20"/>
          <w:szCs w:val="20"/>
        </w:rPr>
        <w:t>AG</w:t>
      </w:r>
      <w:r w:rsidR="001B2FF2" w:rsidRPr="0004672A">
        <w:rPr>
          <w:rFonts w:ascii="Arial" w:eastAsiaTheme="minorEastAsia" w:hAnsi="Arial" w:cs="Arial"/>
          <w:sz w:val="20"/>
          <w:szCs w:val="20"/>
        </w:rPr>
        <w:t xml:space="preserve"> </w:t>
      </w:r>
      <w:r w:rsidR="00D15A8C" w:rsidRPr="0004672A">
        <w:rPr>
          <w:rFonts w:ascii="Arial" w:eastAsiaTheme="minorEastAsia" w:hAnsi="Arial" w:cs="Arial"/>
          <w:sz w:val="20"/>
          <w:szCs w:val="20"/>
        </w:rPr>
        <w:t xml:space="preserve">reported that she </w:t>
      </w:r>
      <w:r w:rsidR="00971BC6" w:rsidRPr="0004672A">
        <w:rPr>
          <w:rFonts w:ascii="Arial" w:eastAsiaTheme="minorEastAsia" w:hAnsi="Arial" w:cs="Arial"/>
          <w:sz w:val="20"/>
          <w:szCs w:val="20"/>
        </w:rPr>
        <w:t>receive</w:t>
      </w:r>
      <w:r w:rsidR="001B2FF2" w:rsidRPr="0004672A">
        <w:rPr>
          <w:rFonts w:ascii="Arial" w:eastAsiaTheme="minorEastAsia" w:hAnsi="Arial" w:cs="Arial"/>
          <w:sz w:val="20"/>
          <w:szCs w:val="20"/>
        </w:rPr>
        <w:t>d</w:t>
      </w:r>
      <w:r w:rsidR="00971BC6" w:rsidRPr="0004672A">
        <w:rPr>
          <w:rFonts w:ascii="Arial" w:eastAsiaTheme="minorEastAsia" w:hAnsi="Arial" w:cs="Arial"/>
          <w:sz w:val="20"/>
          <w:szCs w:val="20"/>
        </w:rPr>
        <w:t xml:space="preserve"> pushbacks from other SOEs. </w:t>
      </w:r>
    </w:p>
    <w:p w:rsidR="00971BC6" w:rsidRPr="0004672A" w:rsidRDefault="00304874" w:rsidP="0004672A">
      <w:pPr>
        <w:pStyle w:val="ListParagraph"/>
        <w:numPr>
          <w:ilvl w:val="1"/>
          <w:numId w:val="4"/>
        </w:numPr>
        <w:spacing w:after="0" w:line="240" w:lineRule="auto"/>
        <w:rPr>
          <w:rFonts w:ascii="Arial" w:eastAsiaTheme="minorEastAsia" w:hAnsi="Arial" w:cs="Arial"/>
          <w:b/>
          <w:sz w:val="20"/>
          <w:szCs w:val="20"/>
        </w:rPr>
      </w:pPr>
      <w:r w:rsidRPr="0004672A">
        <w:rPr>
          <w:rFonts w:ascii="Arial" w:eastAsiaTheme="minorEastAsia" w:hAnsi="Arial" w:cs="Arial"/>
          <w:b/>
          <w:sz w:val="20"/>
          <w:szCs w:val="20"/>
        </w:rPr>
        <w:t>Implementing AGSA</w:t>
      </w:r>
      <w:r w:rsidR="009F0075" w:rsidRPr="0004672A">
        <w:rPr>
          <w:rFonts w:ascii="Arial" w:eastAsiaTheme="minorEastAsia" w:hAnsi="Arial" w:cs="Arial"/>
          <w:b/>
          <w:sz w:val="20"/>
          <w:szCs w:val="20"/>
        </w:rPr>
        <w:t>-</w:t>
      </w:r>
      <w:r w:rsidRPr="0004672A">
        <w:rPr>
          <w:rFonts w:ascii="Arial" w:eastAsiaTheme="minorEastAsia" w:hAnsi="Arial" w:cs="Arial"/>
          <w:b/>
          <w:sz w:val="20"/>
          <w:szCs w:val="20"/>
        </w:rPr>
        <w:t>enhanced powers</w:t>
      </w:r>
    </w:p>
    <w:p w:rsidR="00304874" w:rsidRPr="0004672A" w:rsidRDefault="00D826DF" w:rsidP="0004672A">
      <w:pPr>
        <w:spacing w:after="0" w:line="240" w:lineRule="auto"/>
        <w:ind w:left="360"/>
        <w:rPr>
          <w:rFonts w:ascii="Arial" w:eastAsiaTheme="minorEastAsia" w:hAnsi="Arial" w:cs="Arial"/>
          <w:sz w:val="20"/>
          <w:szCs w:val="20"/>
        </w:rPr>
      </w:pPr>
      <w:r w:rsidRPr="0004672A">
        <w:rPr>
          <w:rFonts w:ascii="Arial" w:eastAsiaTheme="minorEastAsia" w:hAnsi="Arial" w:cs="Arial"/>
          <w:sz w:val="20"/>
          <w:szCs w:val="20"/>
        </w:rPr>
        <w:t>For the 2021/</w:t>
      </w:r>
      <w:r w:rsidR="006C310E" w:rsidRPr="0004672A">
        <w:rPr>
          <w:rFonts w:ascii="Arial" w:eastAsiaTheme="minorEastAsia" w:hAnsi="Arial" w:cs="Arial"/>
          <w:sz w:val="20"/>
          <w:szCs w:val="20"/>
        </w:rPr>
        <w:t xml:space="preserve">22 financial year, AGSA planned to achieve 80%-100% of completed actions as per the approved </w:t>
      </w:r>
      <w:r w:rsidRPr="0004672A">
        <w:rPr>
          <w:rFonts w:ascii="Arial" w:eastAsiaTheme="minorEastAsia" w:hAnsi="Arial" w:cs="Arial"/>
          <w:sz w:val="20"/>
          <w:szCs w:val="20"/>
        </w:rPr>
        <w:t xml:space="preserve">PAA amendment </w:t>
      </w:r>
      <w:r w:rsidR="006C310E" w:rsidRPr="0004672A">
        <w:rPr>
          <w:rFonts w:ascii="Arial" w:eastAsiaTheme="minorEastAsia" w:hAnsi="Arial" w:cs="Arial"/>
          <w:sz w:val="20"/>
          <w:szCs w:val="20"/>
        </w:rPr>
        <w:t>implementation plans. At the end of the financial year, it recorded 87% performance</w:t>
      </w:r>
      <w:r w:rsidRPr="0004672A">
        <w:rPr>
          <w:rFonts w:ascii="Arial" w:eastAsiaTheme="minorEastAsia" w:hAnsi="Arial" w:cs="Arial"/>
          <w:sz w:val="20"/>
          <w:szCs w:val="20"/>
        </w:rPr>
        <w:t xml:space="preserve"> under this target</w:t>
      </w:r>
      <w:r w:rsidR="006C310E" w:rsidRPr="0004672A">
        <w:rPr>
          <w:rFonts w:ascii="Arial" w:eastAsiaTheme="minorEastAsia" w:hAnsi="Arial" w:cs="Arial"/>
          <w:sz w:val="20"/>
          <w:szCs w:val="20"/>
        </w:rPr>
        <w:t xml:space="preserve">, which means that AGSA managed to implement 87% of completed actions as per the approved PAA implementation plans. Importantly, AGSA plans to achieve 100% of completed actions as per the approved PAA implementations by </w:t>
      </w:r>
      <w:r w:rsidR="009F0075" w:rsidRPr="0004672A">
        <w:rPr>
          <w:rFonts w:ascii="Arial" w:eastAsiaTheme="minorEastAsia" w:hAnsi="Arial" w:cs="Arial"/>
          <w:sz w:val="20"/>
          <w:szCs w:val="20"/>
        </w:rPr>
        <w:t xml:space="preserve">the </w:t>
      </w:r>
      <w:r w:rsidR="006C310E" w:rsidRPr="0004672A">
        <w:rPr>
          <w:rFonts w:ascii="Arial" w:eastAsiaTheme="minorEastAsia" w:hAnsi="Arial" w:cs="Arial"/>
          <w:sz w:val="20"/>
          <w:szCs w:val="20"/>
        </w:rPr>
        <w:t>2024-25 financial year.</w:t>
      </w:r>
    </w:p>
    <w:p w:rsidR="006C310E" w:rsidRPr="0004672A" w:rsidRDefault="006C310E" w:rsidP="0004672A">
      <w:pPr>
        <w:spacing w:after="0" w:line="240" w:lineRule="auto"/>
        <w:ind w:left="360"/>
        <w:rPr>
          <w:rFonts w:ascii="Arial" w:eastAsiaTheme="minorEastAsia" w:hAnsi="Arial" w:cs="Arial"/>
          <w:sz w:val="20"/>
          <w:szCs w:val="20"/>
        </w:rPr>
      </w:pPr>
      <w:r w:rsidRPr="0004672A">
        <w:rPr>
          <w:rFonts w:ascii="Arial" w:eastAsiaTheme="minorEastAsia" w:hAnsi="Arial" w:cs="Arial"/>
          <w:sz w:val="20"/>
          <w:szCs w:val="20"/>
        </w:rPr>
        <w:t xml:space="preserve">In line with the above, </w:t>
      </w:r>
      <w:r w:rsidR="006828ED" w:rsidRPr="0004672A">
        <w:rPr>
          <w:rFonts w:ascii="Arial" w:eastAsiaTheme="minorEastAsia" w:hAnsi="Arial" w:cs="Arial"/>
          <w:sz w:val="20"/>
          <w:szCs w:val="20"/>
        </w:rPr>
        <w:t>for the 2020/</w:t>
      </w:r>
      <w:r w:rsidR="00267F59" w:rsidRPr="0004672A">
        <w:rPr>
          <w:rFonts w:ascii="Arial" w:eastAsiaTheme="minorEastAsia" w:hAnsi="Arial" w:cs="Arial"/>
          <w:sz w:val="20"/>
          <w:szCs w:val="20"/>
        </w:rPr>
        <w:t>21 financial</w:t>
      </w:r>
      <w:r w:rsidR="006828ED" w:rsidRPr="0004672A">
        <w:rPr>
          <w:rFonts w:ascii="Arial" w:eastAsiaTheme="minorEastAsia" w:hAnsi="Arial" w:cs="Arial"/>
          <w:sz w:val="20"/>
          <w:szCs w:val="20"/>
        </w:rPr>
        <w:t xml:space="preserve"> year</w:t>
      </w:r>
      <w:r w:rsidR="00267F59" w:rsidRPr="0004672A">
        <w:rPr>
          <w:rFonts w:ascii="Arial" w:eastAsiaTheme="minorEastAsia" w:hAnsi="Arial" w:cs="Arial"/>
          <w:sz w:val="20"/>
          <w:szCs w:val="20"/>
        </w:rPr>
        <w:t>, AGSA implemented all the elements of Material Irregularities (MI</w:t>
      </w:r>
      <w:r w:rsidR="00DE72AE" w:rsidRPr="0004672A">
        <w:rPr>
          <w:rFonts w:ascii="Arial" w:eastAsiaTheme="minorEastAsia" w:hAnsi="Arial" w:cs="Arial"/>
          <w:sz w:val="20"/>
          <w:szCs w:val="20"/>
        </w:rPr>
        <w:t>s</w:t>
      </w:r>
      <w:r w:rsidR="00267F59" w:rsidRPr="0004672A">
        <w:rPr>
          <w:rFonts w:ascii="Arial" w:eastAsiaTheme="minorEastAsia" w:hAnsi="Arial" w:cs="Arial"/>
          <w:sz w:val="20"/>
          <w:szCs w:val="20"/>
        </w:rPr>
        <w:t xml:space="preserve">) and increased the number of auditees that implemented </w:t>
      </w:r>
      <w:r w:rsidR="009F0075" w:rsidRPr="0004672A">
        <w:rPr>
          <w:rFonts w:ascii="Arial" w:eastAsiaTheme="minorEastAsia" w:hAnsi="Arial" w:cs="Arial"/>
          <w:sz w:val="20"/>
          <w:szCs w:val="20"/>
        </w:rPr>
        <w:t xml:space="preserve">the </w:t>
      </w:r>
      <w:r w:rsidR="00267F59" w:rsidRPr="0004672A">
        <w:rPr>
          <w:rFonts w:ascii="Arial" w:eastAsiaTheme="minorEastAsia" w:hAnsi="Arial" w:cs="Arial"/>
          <w:sz w:val="20"/>
          <w:szCs w:val="20"/>
        </w:rPr>
        <w:t>MI process to 189. For the 2021/22 audit cycle, AGSA planned to increase the number of auditees to 372.</w:t>
      </w:r>
    </w:p>
    <w:p w:rsidR="00267F59" w:rsidRPr="0004672A" w:rsidRDefault="00267F59" w:rsidP="0004672A">
      <w:pPr>
        <w:spacing w:after="0" w:line="240" w:lineRule="auto"/>
        <w:ind w:left="360"/>
        <w:rPr>
          <w:rFonts w:ascii="Arial" w:eastAsiaTheme="minorEastAsia" w:hAnsi="Arial" w:cs="Arial"/>
          <w:sz w:val="20"/>
          <w:szCs w:val="20"/>
        </w:rPr>
      </w:pPr>
      <w:r w:rsidRPr="0004672A">
        <w:rPr>
          <w:rFonts w:ascii="Arial" w:eastAsiaTheme="minorEastAsia" w:hAnsi="Arial" w:cs="Arial"/>
          <w:sz w:val="20"/>
          <w:szCs w:val="20"/>
        </w:rPr>
        <w:t xml:space="preserve">Importantly, at the end of the year, AGSA had recorded a total of 327 MIs on its system at various stages in the process. </w:t>
      </w:r>
      <w:r w:rsidR="00B17B56" w:rsidRPr="0004672A">
        <w:rPr>
          <w:rFonts w:ascii="Arial" w:eastAsiaTheme="minorEastAsia" w:hAnsi="Arial" w:cs="Arial"/>
          <w:sz w:val="20"/>
          <w:szCs w:val="20"/>
        </w:rPr>
        <w:t>For these 327 MIs, AGSA estimated a total financial loss of about R14,7 billion. The national sphere of</w:t>
      </w:r>
      <w:r w:rsidR="006828ED" w:rsidRPr="0004672A">
        <w:rPr>
          <w:rFonts w:ascii="Arial" w:eastAsiaTheme="minorEastAsia" w:hAnsi="Arial" w:cs="Arial"/>
          <w:sz w:val="20"/>
          <w:szCs w:val="20"/>
        </w:rPr>
        <w:t xml:space="preserve"> government shares a larger</w:t>
      </w:r>
      <w:r w:rsidR="00B17B56" w:rsidRPr="0004672A">
        <w:rPr>
          <w:rFonts w:ascii="Arial" w:eastAsiaTheme="minorEastAsia" w:hAnsi="Arial" w:cs="Arial"/>
          <w:sz w:val="20"/>
          <w:szCs w:val="20"/>
        </w:rPr>
        <w:t xml:space="preserve"> amoun</w:t>
      </w:r>
      <w:r w:rsidR="006828ED" w:rsidRPr="0004672A">
        <w:rPr>
          <w:rFonts w:ascii="Arial" w:eastAsiaTheme="minorEastAsia" w:hAnsi="Arial" w:cs="Arial"/>
          <w:sz w:val="20"/>
          <w:szCs w:val="20"/>
        </w:rPr>
        <w:t xml:space="preserve">t of R8,6 billion, followed by </w:t>
      </w:r>
      <w:r w:rsidR="009F0075" w:rsidRPr="0004672A">
        <w:rPr>
          <w:rFonts w:ascii="Arial" w:eastAsiaTheme="minorEastAsia" w:hAnsi="Arial" w:cs="Arial"/>
          <w:sz w:val="20"/>
          <w:szCs w:val="20"/>
        </w:rPr>
        <w:t xml:space="preserve">the </w:t>
      </w:r>
      <w:r w:rsidR="006828ED" w:rsidRPr="0004672A">
        <w:rPr>
          <w:rFonts w:ascii="Arial" w:eastAsiaTheme="minorEastAsia" w:hAnsi="Arial" w:cs="Arial"/>
          <w:sz w:val="20"/>
          <w:szCs w:val="20"/>
        </w:rPr>
        <w:t>l</w:t>
      </w:r>
      <w:r w:rsidR="00B17B56" w:rsidRPr="0004672A">
        <w:rPr>
          <w:rFonts w:ascii="Arial" w:eastAsiaTheme="minorEastAsia" w:hAnsi="Arial" w:cs="Arial"/>
          <w:sz w:val="20"/>
          <w:szCs w:val="20"/>
        </w:rPr>
        <w:t xml:space="preserve">ocal sphere of government (R3.9 billion), and </w:t>
      </w:r>
      <w:r w:rsidR="009F0075" w:rsidRPr="0004672A">
        <w:rPr>
          <w:rFonts w:ascii="Arial" w:eastAsiaTheme="minorEastAsia" w:hAnsi="Arial" w:cs="Arial"/>
          <w:sz w:val="20"/>
          <w:szCs w:val="20"/>
        </w:rPr>
        <w:t xml:space="preserve">the </w:t>
      </w:r>
      <w:r w:rsidR="00B17B56" w:rsidRPr="0004672A">
        <w:rPr>
          <w:rFonts w:ascii="Arial" w:eastAsiaTheme="minorEastAsia" w:hAnsi="Arial" w:cs="Arial"/>
          <w:sz w:val="20"/>
          <w:szCs w:val="20"/>
        </w:rPr>
        <w:t>provincial sphere of gover</w:t>
      </w:r>
      <w:r w:rsidR="006828ED" w:rsidRPr="0004672A">
        <w:rPr>
          <w:rFonts w:ascii="Arial" w:eastAsiaTheme="minorEastAsia" w:hAnsi="Arial" w:cs="Arial"/>
          <w:sz w:val="20"/>
          <w:szCs w:val="20"/>
        </w:rPr>
        <w:t>nment (R2.1 billion). Of which l</w:t>
      </w:r>
      <w:r w:rsidR="00B17B56" w:rsidRPr="0004672A">
        <w:rPr>
          <w:rFonts w:ascii="Arial" w:eastAsiaTheme="minorEastAsia" w:hAnsi="Arial" w:cs="Arial"/>
          <w:sz w:val="20"/>
          <w:szCs w:val="20"/>
        </w:rPr>
        <w:t xml:space="preserve">ocal sphere of government has recorded </w:t>
      </w:r>
      <w:r w:rsidR="009F0075" w:rsidRPr="0004672A">
        <w:rPr>
          <w:rFonts w:ascii="Arial" w:eastAsiaTheme="minorEastAsia" w:hAnsi="Arial" w:cs="Arial"/>
          <w:sz w:val="20"/>
          <w:szCs w:val="20"/>
        </w:rPr>
        <w:t>the</w:t>
      </w:r>
      <w:r w:rsidR="00B17B56" w:rsidRPr="0004672A">
        <w:rPr>
          <w:rFonts w:ascii="Arial" w:eastAsiaTheme="minorEastAsia" w:hAnsi="Arial" w:cs="Arial"/>
          <w:sz w:val="20"/>
          <w:szCs w:val="20"/>
        </w:rPr>
        <w:t xml:space="preserve"> largest number of MIs (185 out </w:t>
      </w:r>
      <w:r w:rsidR="009F0075" w:rsidRPr="0004672A">
        <w:rPr>
          <w:rFonts w:ascii="Arial" w:eastAsiaTheme="minorEastAsia" w:hAnsi="Arial" w:cs="Arial"/>
          <w:sz w:val="20"/>
          <w:szCs w:val="20"/>
        </w:rPr>
        <w:t xml:space="preserve">of </w:t>
      </w:r>
      <w:r w:rsidR="00B17B56" w:rsidRPr="0004672A">
        <w:rPr>
          <w:rFonts w:ascii="Arial" w:eastAsiaTheme="minorEastAsia" w:hAnsi="Arial" w:cs="Arial"/>
          <w:sz w:val="20"/>
          <w:szCs w:val="20"/>
        </w:rPr>
        <w:t>327).</w:t>
      </w:r>
    </w:p>
    <w:p w:rsidR="0096079D" w:rsidRPr="0004672A" w:rsidRDefault="0096079D" w:rsidP="0004672A">
      <w:pPr>
        <w:spacing w:after="0" w:line="240" w:lineRule="auto"/>
        <w:ind w:left="360"/>
        <w:rPr>
          <w:rFonts w:ascii="Arial" w:eastAsiaTheme="minorEastAsia" w:hAnsi="Arial" w:cs="Arial"/>
          <w:sz w:val="20"/>
          <w:szCs w:val="20"/>
        </w:rPr>
      </w:pPr>
    </w:p>
    <w:p w:rsidR="001E39D6" w:rsidRPr="0004672A" w:rsidRDefault="001E39D6" w:rsidP="0004672A">
      <w:pPr>
        <w:pStyle w:val="ListParagraph"/>
        <w:numPr>
          <w:ilvl w:val="1"/>
          <w:numId w:val="4"/>
        </w:numPr>
        <w:spacing w:after="0" w:line="240" w:lineRule="auto"/>
        <w:rPr>
          <w:rFonts w:ascii="Arial" w:eastAsiaTheme="minorEastAsia" w:hAnsi="Arial" w:cs="Arial"/>
          <w:sz w:val="20"/>
          <w:szCs w:val="20"/>
        </w:rPr>
      </w:pPr>
      <w:r w:rsidRPr="0004672A">
        <w:rPr>
          <w:rFonts w:ascii="Arial" w:eastAsiaTheme="minorEastAsia" w:hAnsi="Arial" w:cs="Arial"/>
          <w:b/>
          <w:sz w:val="20"/>
          <w:szCs w:val="20"/>
        </w:rPr>
        <w:t>Litigations against the Auditor General</w:t>
      </w:r>
      <w:r w:rsidRPr="0004672A">
        <w:rPr>
          <w:rFonts w:ascii="Arial" w:eastAsiaTheme="minorEastAsia" w:hAnsi="Arial" w:cs="Arial"/>
          <w:sz w:val="20"/>
          <w:szCs w:val="20"/>
        </w:rPr>
        <w:t>.</w:t>
      </w:r>
    </w:p>
    <w:p w:rsidR="0045030A" w:rsidRPr="0004672A" w:rsidRDefault="00684CB5" w:rsidP="0004672A">
      <w:pPr>
        <w:spacing w:after="0" w:line="240" w:lineRule="auto"/>
        <w:ind w:left="360"/>
        <w:rPr>
          <w:rFonts w:ascii="Arial" w:eastAsiaTheme="minorEastAsia" w:hAnsi="Arial" w:cs="Arial"/>
          <w:sz w:val="20"/>
          <w:szCs w:val="20"/>
        </w:rPr>
      </w:pPr>
      <w:r w:rsidRPr="0004672A">
        <w:rPr>
          <w:rFonts w:ascii="Arial" w:eastAsiaTheme="minorEastAsia" w:hAnsi="Arial" w:cs="Arial"/>
          <w:sz w:val="20"/>
          <w:szCs w:val="20"/>
        </w:rPr>
        <w:t xml:space="preserve">AG reported that over the </w:t>
      </w:r>
      <w:r w:rsidR="006828ED" w:rsidRPr="0004672A">
        <w:rPr>
          <w:rFonts w:ascii="Arial" w:eastAsiaTheme="minorEastAsia" w:hAnsi="Arial" w:cs="Arial"/>
          <w:sz w:val="20"/>
          <w:szCs w:val="20"/>
        </w:rPr>
        <w:t xml:space="preserve">previous </w:t>
      </w:r>
      <w:r w:rsidRPr="0004672A">
        <w:rPr>
          <w:rFonts w:ascii="Arial" w:eastAsiaTheme="minorEastAsia" w:hAnsi="Arial" w:cs="Arial"/>
          <w:sz w:val="20"/>
          <w:szCs w:val="20"/>
        </w:rPr>
        <w:t xml:space="preserve">24 months, </w:t>
      </w:r>
      <w:r w:rsidR="00CB23BA" w:rsidRPr="0004672A">
        <w:rPr>
          <w:rFonts w:ascii="Arial" w:eastAsiaTheme="minorEastAsia" w:hAnsi="Arial" w:cs="Arial"/>
          <w:sz w:val="20"/>
          <w:szCs w:val="20"/>
        </w:rPr>
        <w:t>AGSA has faced with an increase in the number and complexity of legal challenges or threats of legal challenges, over the audit and audit</w:t>
      </w:r>
      <w:r w:rsidR="009F0075" w:rsidRPr="0004672A">
        <w:rPr>
          <w:rFonts w:ascii="Arial" w:eastAsiaTheme="minorEastAsia" w:hAnsi="Arial" w:cs="Arial"/>
          <w:sz w:val="20"/>
          <w:szCs w:val="20"/>
        </w:rPr>
        <w:t>-</w:t>
      </w:r>
      <w:r w:rsidR="00CB23BA" w:rsidRPr="0004672A">
        <w:rPr>
          <w:rFonts w:ascii="Arial" w:eastAsiaTheme="minorEastAsia" w:hAnsi="Arial" w:cs="Arial"/>
          <w:sz w:val="20"/>
          <w:szCs w:val="20"/>
        </w:rPr>
        <w:t xml:space="preserve">related services provided by AGSA. The process of resolving those disputes in a court of law put pressure </w:t>
      </w:r>
      <w:r w:rsidR="009F0075" w:rsidRPr="0004672A">
        <w:rPr>
          <w:rFonts w:ascii="Arial" w:eastAsiaTheme="minorEastAsia" w:hAnsi="Arial" w:cs="Arial"/>
          <w:sz w:val="20"/>
          <w:szCs w:val="20"/>
        </w:rPr>
        <w:t>o</w:t>
      </w:r>
      <w:r w:rsidR="00CB23BA" w:rsidRPr="0004672A">
        <w:rPr>
          <w:rFonts w:ascii="Arial" w:eastAsiaTheme="minorEastAsia" w:hAnsi="Arial" w:cs="Arial"/>
          <w:sz w:val="20"/>
          <w:szCs w:val="20"/>
        </w:rPr>
        <w:t>n the limited resources of AGSA, and a difficult psychological environment for AGSA’s audit team to perform their duties without fear</w:t>
      </w:r>
      <w:r w:rsidR="009F0075" w:rsidRPr="0004672A">
        <w:rPr>
          <w:rFonts w:ascii="Arial" w:eastAsiaTheme="minorEastAsia" w:hAnsi="Arial" w:cs="Arial"/>
          <w:sz w:val="20"/>
          <w:szCs w:val="20"/>
        </w:rPr>
        <w:t>,</w:t>
      </w:r>
      <w:r w:rsidR="00CB23BA" w:rsidRPr="0004672A">
        <w:rPr>
          <w:rFonts w:ascii="Arial" w:eastAsiaTheme="minorEastAsia" w:hAnsi="Arial" w:cs="Arial"/>
          <w:sz w:val="20"/>
          <w:szCs w:val="20"/>
        </w:rPr>
        <w:t xml:space="preserve"> favour</w:t>
      </w:r>
      <w:r w:rsidR="009F0075" w:rsidRPr="0004672A">
        <w:rPr>
          <w:rFonts w:ascii="Arial" w:eastAsiaTheme="minorEastAsia" w:hAnsi="Arial" w:cs="Arial"/>
          <w:sz w:val="20"/>
          <w:szCs w:val="20"/>
        </w:rPr>
        <w:t>,</w:t>
      </w:r>
      <w:r w:rsidR="00CB23BA" w:rsidRPr="0004672A">
        <w:rPr>
          <w:rFonts w:ascii="Arial" w:eastAsiaTheme="minorEastAsia" w:hAnsi="Arial" w:cs="Arial"/>
          <w:sz w:val="20"/>
          <w:szCs w:val="20"/>
        </w:rPr>
        <w:t xml:space="preserve"> or prejudice.</w:t>
      </w:r>
    </w:p>
    <w:p w:rsidR="0045030A" w:rsidRPr="0004672A" w:rsidRDefault="0045030A" w:rsidP="0004672A">
      <w:pPr>
        <w:spacing w:after="0" w:line="240" w:lineRule="auto"/>
        <w:ind w:left="360"/>
        <w:rPr>
          <w:rFonts w:ascii="Arial" w:eastAsiaTheme="minorEastAsia" w:hAnsi="Arial" w:cs="Arial"/>
          <w:sz w:val="20"/>
          <w:szCs w:val="20"/>
        </w:rPr>
      </w:pPr>
      <w:r w:rsidRPr="0004672A">
        <w:rPr>
          <w:rFonts w:ascii="Arial" w:eastAsiaTheme="minorEastAsia" w:hAnsi="Arial" w:cs="Arial"/>
          <w:sz w:val="20"/>
          <w:szCs w:val="20"/>
        </w:rPr>
        <w:t xml:space="preserve">It should be noted that it is not the first time, there is a noticeable growing concern whereby there was a sudden increase in the number of auditees </w:t>
      </w:r>
      <w:r w:rsidR="009F0075" w:rsidRPr="0004672A">
        <w:rPr>
          <w:rFonts w:ascii="Arial" w:eastAsiaTheme="minorEastAsia" w:hAnsi="Arial" w:cs="Arial"/>
          <w:sz w:val="20"/>
          <w:szCs w:val="20"/>
        </w:rPr>
        <w:t xml:space="preserve">who </w:t>
      </w:r>
      <w:r w:rsidRPr="0004672A">
        <w:rPr>
          <w:rFonts w:ascii="Arial" w:eastAsiaTheme="minorEastAsia" w:hAnsi="Arial" w:cs="Arial"/>
          <w:sz w:val="20"/>
          <w:szCs w:val="20"/>
        </w:rPr>
        <w:t>resisted and contested the audit outcomes from the Auditor General. For instance, during the 2017/18 financial year, the AGSA reported that these contestations and pushbacks from the auditees resulted to delay in the conclusion of audits and unnecessar</w:t>
      </w:r>
      <w:r w:rsidR="009F0075" w:rsidRPr="0004672A">
        <w:rPr>
          <w:rFonts w:ascii="Arial" w:eastAsiaTheme="minorEastAsia" w:hAnsi="Arial" w:cs="Arial"/>
          <w:sz w:val="20"/>
          <w:szCs w:val="20"/>
        </w:rPr>
        <w:t>il</w:t>
      </w:r>
      <w:r w:rsidRPr="0004672A">
        <w:rPr>
          <w:rFonts w:ascii="Arial" w:eastAsiaTheme="minorEastAsia" w:hAnsi="Arial" w:cs="Arial"/>
          <w:sz w:val="20"/>
          <w:szCs w:val="20"/>
        </w:rPr>
        <w:t>y increased the costs of audits borne by both AGSA and the auditees. For that year, a total of 56 auditees contested AG’s audit outcomes, of which 40 audit contestations were for PFMA auditees and 16 were for MFMA auditees. Even though most of the reported contestations were resolved, pushbacks from five auditees stood out, mainly because two resulted in court actions and three resulted in audit reports not being tabled.</w:t>
      </w:r>
    </w:p>
    <w:p w:rsidR="00536B02" w:rsidRPr="0004672A" w:rsidRDefault="00536B02" w:rsidP="0004672A">
      <w:pPr>
        <w:spacing w:after="0" w:line="240" w:lineRule="auto"/>
        <w:ind w:left="360"/>
        <w:rPr>
          <w:rFonts w:ascii="Arial" w:hAnsi="Arial" w:cs="Arial"/>
          <w:sz w:val="20"/>
          <w:szCs w:val="20"/>
        </w:rPr>
      </w:pPr>
      <w:r w:rsidRPr="0004672A">
        <w:rPr>
          <w:rFonts w:ascii="Arial" w:eastAsiaTheme="minorEastAsia" w:hAnsi="Arial" w:cs="Arial"/>
          <w:sz w:val="20"/>
          <w:szCs w:val="20"/>
        </w:rPr>
        <w:t>The number of contestations and p</w:t>
      </w:r>
      <w:r w:rsidR="003448FA" w:rsidRPr="0004672A">
        <w:rPr>
          <w:rFonts w:ascii="Arial" w:eastAsiaTheme="minorEastAsia" w:hAnsi="Arial" w:cs="Arial"/>
          <w:sz w:val="20"/>
          <w:szCs w:val="20"/>
        </w:rPr>
        <w:t>ushbacks</w:t>
      </w:r>
      <w:r w:rsidRPr="0004672A">
        <w:rPr>
          <w:rFonts w:ascii="Arial" w:eastAsiaTheme="minorEastAsia" w:hAnsi="Arial" w:cs="Arial"/>
          <w:sz w:val="20"/>
          <w:szCs w:val="20"/>
        </w:rPr>
        <w:t xml:space="preserve"> increase unabated. For </w:t>
      </w:r>
      <w:r w:rsidR="009F0075" w:rsidRPr="0004672A">
        <w:rPr>
          <w:rFonts w:ascii="Arial" w:eastAsiaTheme="minorEastAsia" w:hAnsi="Arial" w:cs="Arial"/>
          <w:sz w:val="20"/>
          <w:szCs w:val="20"/>
        </w:rPr>
        <w:t xml:space="preserve">the </w:t>
      </w:r>
      <w:r w:rsidRPr="0004672A">
        <w:rPr>
          <w:rFonts w:ascii="Arial" w:eastAsiaTheme="minorEastAsia" w:hAnsi="Arial" w:cs="Arial"/>
          <w:sz w:val="20"/>
          <w:szCs w:val="20"/>
        </w:rPr>
        <w:t xml:space="preserve">2018/19 financial year, the number increased to 88 auditees from 56 </w:t>
      </w:r>
      <w:r w:rsidR="009F0075" w:rsidRPr="0004672A">
        <w:rPr>
          <w:rFonts w:ascii="Arial" w:eastAsiaTheme="minorEastAsia" w:hAnsi="Arial" w:cs="Arial"/>
          <w:sz w:val="20"/>
          <w:szCs w:val="20"/>
        </w:rPr>
        <w:t>in</w:t>
      </w:r>
      <w:r w:rsidRPr="0004672A">
        <w:rPr>
          <w:rFonts w:ascii="Arial" w:eastAsiaTheme="minorEastAsia" w:hAnsi="Arial" w:cs="Arial"/>
          <w:sz w:val="20"/>
          <w:szCs w:val="20"/>
        </w:rPr>
        <w:t xml:space="preserve"> the previous financial year. While, for </w:t>
      </w:r>
      <w:r w:rsidR="009F0075" w:rsidRPr="0004672A">
        <w:rPr>
          <w:rFonts w:ascii="Arial" w:eastAsiaTheme="minorEastAsia" w:hAnsi="Arial" w:cs="Arial"/>
          <w:sz w:val="20"/>
          <w:szCs w:val="20"/>
        </w:rPr>
        <w:t xml:space="preserve">the </w:t>
      </w:r>
      <w:r w:rsidRPr="0004672A">
        <w:rPr>
          <w:rFonts w:ascii="Arial" w:eastAsiaTheme="minorEastAsia" w:hAnsi="Arial" w:cs="Arial"/>
          <w:sz w:val="20"/>
          <w:szCs w:val="20"/>
        </w:rPr>
        <w:t xml:space="preserve">2019/20 financial year, the number increased to 98. </w:t>
      </w:r>
      <w:r w:rsidRPr="0004672A">
        <w:rPr>
          <w:rFonts w:ascii="Arial" w:hAnsi="Arial" w:cs="Arial"/>
          <w:sz w:val="20"/>
          <w:szCs w:val="20"/>
        </w:rPr>
        <w:t>The reasons for such resistances were consistent throughout the financial years, which in the main include, amongst others expectation of clean audits that didn’t materialise, regression in audit outcomes</w:t>
      </w:r>
      <w:r w:rsidR="009F0075" w:rsidRPr="0004672A">
        <w:rPr>
          <w:rFonts w:ascii="Arial" w:hAnsi="Arial" w:cs="Arial"/>
          <w:sz w:val="20"/>
          <w:szCs w:val="20"/>
        </w:rPr>
        <w:t>,</w:t>
      </w:r>
      <w:r w:rsidRPr="0004672A">
        <w:rPr>
          <w:rFonts w:ascii="Arial" w:hAnsi="Arial" w:cs="Arial"/>
          <w:sz w:val="20"/>
          <w:szCs w:val="20"/>
        </w:rPr>
        <w:t xml:space="preserve"> and technical disagreements.</w:t>
      </w:r>
    </w:p>
    <w:p w:rsidR="00536B02" w:rsidRPr="0004672A" w:rsidRDefault="00536B02" w:rsidP="0004672A">
      <w:pPr>
        <w:spacing w:after="0" w:line="240" w:lineRule="auto"/>
        <w:ind w:left="360"/>
        <w:rPr>
          <w:rFonts w:ascii="Arial" w:eastAsiaTheme="minorEastAsia" w:hAnsi="Arial" w:cs="Arial"/>
          <w:sz w:val="20"/>
          <w:szCs w:val="20"/>
        </w:rPr>
      </w:pPr>
      <w:r w:rsidRPr="0004672A">
        <w:rPr>
          <w:rFonts w:ascii="Arial" w:hAnsi="Arial" w:cs="Arial"/>
          <w:sz w:val="20"/>
          <w:szCs w:val="20"/>
        </w:rPr>
        <w:t>In view of the above, it is expected that the number of contestations and pushbacks grew exponenti</w:t>
      </w:r>
      <w:r w:rsidR="00E17EC5" w:rsidRPr="0004672A">
        <w:rPr>
          <w:rFonts w:ascii="Arial" w:hAnsi="Arial" w:cs="Arial"/>
          <w:sz w:val="20"/>
          <w:szCs w:val="20"/>
        </w:rPr>
        <w:t>ally due to the full implementation</w:t>
      </w:r>
      <w:r w:rsidRPr="0004672A">
        <w:rPr>
          <w:rFonts w:ascii="Arial" w:hAnsi="Arial" w:cs="Arial"/>
          <w:sz w:val="20"/>
          <w:szCs w:val="20"/>
        </w:rPr>
        <w:t xml:space="preserve"> of the PAA, whereby there would be consequences for persistent financial underperformance.</w:t>
      </w:r>
      <w:r w:rsidR="003448FA" w:rsidRPr="0004672A">
        <w:rPr>
          <w:rFonts w:ascii="Arial" w:hAnsi="Arial" w:cs="Arial"/>
          <w:sz w:val="20"/>
          <w:szCs w:val="20"/>
        </w:rPr>
        <w:t xml:space="preserve"> It is</w:t>
      </w:r>
      <w:r w:rsidR="009F0075" w:rsidRPr="0004672A">
        <w:rPr>
          <w:rFonts w:ascii="Arial" w:hAnsi="Arial" w:cs="Arial"/>
          <w:sz w:val="20"/>
          <w:szCs w:val="20"/>
        </w:rPr>
        <w:t>,</w:t>
      </w:r>
      <w:r w:rsidR="003448FA" w:rsidRPr="0004672A">
        <w:rPr>
          <w:rFonts w:ascii="Arial" w:hAnsi="Arial" w:cs="Arial"/>
          <w:sz w:val="20"/>
          <w:szCs w:val="20"/>
        </w:rPr>
        <w:t xml:space="preserve"> therefore, against this background that the AGSA has strengthen</w:t>
      </w:r>
      <w:r w:rsidR="009F0075" w:rsidRPr="0004672A">
        <w:rPr>
          <w:rFonts w:ascii="Arial" w:hAnsi="Arial" w:cs="Arial"/>
          <w:sz w:val="20"/>
          <w:szCs w:val="20"/>
        </w:rPr>
        <w:t>ed</w:t>
      </w:r>
      <w:r w:rsidR="003448FA" w:rsidRPr="0004672A">
        <w:rPr>
          <w:rFonts w:ascii="Arial" w:hAnsi="Arial" w:cs="Arial"/>
          <w:sz w:val="20"/>
          <w:szCs w:val="20"/>
        </w:rPr>
        <w:t xml:space="preserve"> its legal capacity to respond to this upwards trend and ha</w:t>
      </w:r>
      <w:r w:rsidR="009F0075" w:rsidRPr="0004672A">
        <w:rPr>
          <w:rFonts w:ascii="Arial" w:hAnsi="Arial" w:cs="Arial"/>
          <w:sz w:val="20"/>
          <w:szCs w:val="20"/>
        </w:rPr>
        <w:t>s</w:t>
      </w:r>
      <w:r w:rsidR="003448FA" w:rsidRPr="0004672A">
        <w:rPr>
          <w:rFonts w:ascii="Arial" w:hAnsi="Arial" w:cs="Arial"/>
          <w:sz w:val="20"/>
          <w:szCs w:val="20"/>
        </w:rPr>
        <w:t xml:space="preserve"> revisited its dispute resolution process to demonstrate its commitment to resolving dissatisfaction without the intervention of courts.</w:t>
      </w:r>
      <w:r w:rsidRPr="0004672A">
        <w:rPr>
          <w:rFonts w:ascii="Arial" w:hAnsi="Arial" w:cs="Arial"/>
          <w:sz w:val="20"/>
          <w:szCs w:val="20"/>
        </w:rPr>
        <w:t xml:space="preserve">  </w:t>
      </w:r>
    </w:p>
    <w:p w:rsidR="002F271A" w:rsidRPr="0004672A" w:rsidRDefault="00CB23BA" w:rsidP="0004672A">
      <w:pPr>
        <w:spacing w:after="0" w:line="240" w:lineRule="auto"/>
        <w:ind w:left="360"/>
        <w:rPr>
          <w:rFonts w:ascii="Arial" w:eastAsiaTheme="minorEastAsia" w:hAnsi="Arial" w:cs="Arial"/>
          <w:sz w:val="20"/>
          <w:szCs w:val="20"/>
        </w:rPr>
      </w:pPr>
      <w:r w:rsidRPr="0004672A">
        <w:rPr>
          <w:rFonts w:ascii="Arial" w:eastAsiaTheme="minorEastAsia" w:hAnsi="Arial" w:cs="Arial"/>
          <w:sz w:val="20"/>
          <w:szCs w:val="20"/>
        </w:rPr>
        <w:t xml:space="preserve"> </w:t>
      </w:r>
    </w:p>
    <w:p w:rsidR="00486D39" w:rsidRPr="0004672A" w:rsidRDefault="00971BC6" w:rsidP="0004672A">
      <w:pPr>
        <w:spacing w:after="0" w:line="240" w:lineRule="auto"/>
        <w:ind w:left="360"/>
        <w:rPr>
          <w:rFonts w:ascii="Arial" w:hAnsi="Arial" w:cs="Arial"/>
          <w:b/>
          <w:sz w:val="20"/>
          <w:szCs w:val="20"/>
        </w:rPr>
      </w:pPr>
      <w:r w:rsidRPr="0004672A">
        <w:rPr>
          <w:rFonts w:ascii="Arial" w:hAnsi="Arial" w:cs="Arial"/>
          <w:b/>
          <w:sz w:val="20"/>
          <w:szCs w:val="20"/>
        </w:rPr>
        <w:t>Appointment of External Auditors</w:t>
      </w:r>
    </w:p>
    <w:p w:rsidR="008E0A17" w:rsidRPr="0004672A" w:rsidRDefault="008E0A17" w:rsidP="0004672A">
      <w:pPr>
        <w:spacing w:after="0" w:line="240" w:lineRule="auto"/>
        <w:ind w:left="1080"/>
        <w:contextualSpacing/>
        <w:rPr>
          <w:rFonts w:ascii="Arial" w:hAnsi="Arial" w:cs="Arial"/>
          <w:sz w:val="20"/>
          <w:szCs w:val="20"/>
        </w:rPr>
      </w:pPr>
    </w:p>
    <w:p w:rsidR="00971BC6" w:rsidRPr="0004672A" w:rsidRDefault="00971BC6" w:rsidP="0004672A">
      <w:pPr>
        <w:spacing w:after="0" w:line="240" w:lineRule="auto"/>
        <w:rPr>
          <w:rFonts w:ascii="Arial" w:hAnsi="Arial" w:cs="Arial"/>
          <w:sz w:val="20"/>
          <w:szCs w:val="20"/>
        </w:rPr>
      </w:pPr>
      <w:r w:rsidRPr="0004672A">
        <w:rPr>
          <w:rFonts w:ascii="Arial" w:hAnsi="Arial" w:cs="Arial"/>
          <w:sz w:val="20"/>
          <w:szCs w:val="20"/>
        </w:rPr>
        <w:t xml:space="preserve">Section 39 (1) requires the SCOAG to annually appoint an independent external auditor to audit the accounts, financial statements, and financial management and performance information of the AGSA. The Audit Committee of AGSA facilitates the appointment of external auditors through a fair, equitable, transparent, and cost-effective process that is in line with AGSA’s transformation agenda. </w:t>
      </w:r>
    </w:p>
    <w:p w:rsidR="00971BC6" w:rsidRPr="0004672A" w:rsidRDefault="00971BC6" w:rsidP="0004672A">
      <w:pPr>
        <w:spacing w:after="0" w:line="240" w:lineRule="auto"/>
        <w:rPr>
          <w:rFonts w:ascii="Arial" w:hAnsi="Arial" w:cs="Arial"/>
          <w:sz w:val="20"/>
          <w:szCs w:val="20"/>
        </w:rPr>
      </w:pPr>
    </w:p>
    <w:p w:rsidR="00971BC6" w:rsidRPr="0004672A" w:rsidRDefault="00971BC6" w:rsidP="0004672A">
      <w:pPr>
        <w:spacing w:after="0" w:line="240" w:lineRule="auto"/>
        <w:rPr>
          <w:rFonts w:ascii="Arial" w:hAnsi="Arial" w:cs="Arial"/>
          <w:sz w:val="20"/>
          <w:szCs w:val="20"/>
        </w:rPr>
      </w:pPr>
      <w:r w:rsidRPr="0004672A">
        <w:rPr>
          <w:rFonts w:ascii="Arial" w:hAnsi="Arial" w:cs="Arial"/>
          <w:sz w:val="20"/>
          <w:szCs w:val="20"/>
        </w:rPr>
        <w:t>During the 2017/18 consideration of the Annual Report of the AGSA, the Audit Committee recommen</w:t>
      </w:r>
      <w:r w:rsidR="00DE72AE" w:rsidRPr="0004672A">
        <w:rPr>
          <w:rFonts w:ascii="Arial" w:hAnsi="Arial" w:cs="Arial"/>
          <w:sz w:val="20"/>
          <w:szCs w:val="20"/>
        </w:rPr>
        <w:t>ded the appointment of Crowe JHB</w:t>
      </w:r>
      <w:r w:rsidRPr="0004672A">
        <w:rPr>
          <w:rFonts w:ascii="Arial" w:hAnsi="Arial" w:cs="Arial"/>
          <w:sz w:val="20"/>
          <w:szCs w:val="20"/>
        </w:rPr>
        <w:t xml:space="preserve"> to SCOAG. In December 2017, the SCOAG approved the appointment of Crowe</w:t>
      </w:r>
      <w:r w:rsidR="00DE72AE" w:rsidRPr="0004672A">
        <w:rPr>
          <w:rFonts w:ascii="Arial" w:hAnsi="Arial" w:cs="Arial"/>
          <w:sz w:val="20"/>
          <w:szCs w:val="20"/>
        </w:rPr>
        <w:t xml:space="preserve"> JHB</w:t>
      </w:r>
      <w:r w:rsidRPr="0004672A">
        <w:rPr>
          <w:rFonts w:ascii="Arial" w:hAnsi="Arial" w:cs="Arial"/>
          <w:sz w:val="20"/>
          <w:szCs w:val="20"/>
        </w:rPr>
        <w:t xml:space="preserve"> as an external auditor on the condition that they present to SCOAG a transformation plan by 30 June 2018, which they only managed to submit in July 2018. It is worth </w:t>
      </w:r>
      <w:r w:rsidRPr="0004672A">
        <w:rPr>
          <w:rFonts w:ascii="Arial" w:hAnsi="Arial" w:cs="Arial"/>
          <w:sz w:val="20"/>
          <w:szCs w:val="20"/>
        </w:rPr>
        <w:lastRenderedPageBreak/>
        <w:t xml:space="preserve">noting that SCOAG recommended that the Audit Committee should furnish it with quarterly reports on the implementation of the </w:t>
      </w:r>
      <w:r w:rsidR="00DE72AE" w:rsidRPr="0004672A">
        <w:rPr>
          <w:rFonts w:ascii="Arial" w:hAnsi="Arial" w:cs="Arial"/>
          <w:sz w:val="20"/>
          <w:szCs w:val="20"/>
        </w:rPr>
        <w:t>transformation plan of Crowe JHB</w:t>
      </w:r>
      <w:r w:rsidRPr="0004672A">
        <w:rPr>
          <w:rFonts w:ascii="Arial" w:hAnsi="Arial" w:cs="Arial"/>
          <w:sz w:val="20"/>
          <w:szCs w:val="20"/>
        </w:rPr>
        <w:t xml:space="preserve">. </w:t>
      </w:r>
    </w:p>
    <w:p w:rsidR="00971BC6" w:rsidRPr="0004672A" w:rsidRDefault="00971BC6" w:rsidP="0004672A">
      <w:pPr>
        <w:spacing w:after="0" w:line="240" w:lineRule="auto"/>
        <w:rPr>
          <w:rFonts w:ascii="Arial" w:hAnsi="Arial" w:cs="Arial"/>
          <w:sz w:val="20"/>
          <w:szCs w:val="20"/>
        </w:rPr>
      </w:pPr>
    </w:p>
    <w:p w:rsidR="00971BC6" w:rsidRPr="0004672A" w:rsidRDefault="00971BC6" w:rsidP="0004672A">
      <w:pPr>
        <w:spacing w:after="0" w:line="240" w:lineRule="auto"/>
        <w:rPr>
          <w:rFonts w:ascii="Arial" w:hAnsi="Arial" w:cs="Arial"/>
          <w:sz w:val="20"/>
          <w:szCs w:val="20"/>
        </w:rPr>
      </w:pPr>
      <w:r w:rsidRPr="0004672A">
        <w:rPr>
          <w:rFonts w:ascii="Arial" w:hAnsi="Arial" w:cs="Arial"/>
          <w:sz w:val="20"/>
          <w:szCs w:val="20"/>
        </w:rPr>
        <w:t>In pursuance of the above, for the period under review and the previous financial year, the SCOAG never received any progress r</w:t>
      </w:r>
      <w:r w:rsidR="00E17EC5" w:rsidRPr="0004672A">
        <w:rPr>
          <w:rFonts w:ascii="Arial" w:hAnsi="Arial" w:cs="Arial"/>
          <w:sz w:val="20"/>
          <w:szCs w:val="20"/>
        </w:rPr>
        <w:t>eport from the Audit Committee until the previous two weeks, whereby a progress report was received.</w:t>
      </w:r>
    </w:p>
    <w:p w:rsidR="00971BC6" w:rsidRPr="0004672A" w:rsidRDefault="00971BC6" w:rsidP="0004672A">
      <w:pPr>
        <w:spacing w:after="0" w:line="240" w:lineRule="auto"/>
        <w:rPr>
          <w:rFonts w:ascii="Arial" w:hAnsi="Arial" w:cs="Arial"/>
          <w:sz w:val="20"/>
          <w:szCs w:val="20"/>
        </w:rPr>
      </w:pPr>
    </w:p>
    <w:p w:rsidR="00971BC6" w:rsidRPr="0004672A" w:rsidRDefault="00971BC6" w:rsidP="0004672A">
      <w:pPr>
        <w:spacing w:after="0" w:line="240" w:lineRule="auto"/>
        <w:rPr>
          <w:rFonts w:ascii="Arial" w:hAnsi="Arial" w:cs="Arial"/>
          <w:sz w:val="20"/>
          <w:szCs w:val="20"/>
        </w:rPr>
      </w:pPr>
      <w:r w:rsidRPr="0004672A">
        <w:rPr>
          <w:rFonts w:ascii="Arial" w:hAnsi="Arial" w:cs="Arial"/>
          <w:sz w:val="20"/>
          <w:szCs w:val="20"/>
        </w:rPr>
        <w:t>Currently, the Audit Committee has once again recommende</w:t>
      </w:r>
      <w:r w:rsidR="00DE72AE" w:rsidRPr="0004672A">
        <w:rPr>
          <w:rFonts w:ascii="Arial" w:hAnsi="Arial" w:cs="Arial"/>
          <w:sz w:val="20"/>
          <w:szCs w:val="20"/>
        </w:rPr>
        <w:t xml:space="preserve">d the appointment of Crowie JHB </w:t>
      </w:r>
      <w:r w:rsidRPr="0004672A">
        <w:rPr>
          <w:rFonts w:ascii="Arial" w:hAnsi="Arial" w:cs="Arial"/>
          <w:sz w:val="20"/>
          <w:szCs w:val="20"/>
        </w:rPr>
        <w:t xml:space="preserve">as the </w:t>
      </w:r>
      <w:r w:rsidR="009F0075" w:rsidRPr="0004672A">
        <w:rPr>
          <w:rFonts w:ascii="Arial" w:hAnsi="Arial" w:cs="Arial"/>
          <w:sz w:val="20"/>
          <w:szCs w:val="20"/>
        </w:rPr>
        <w:t>E</w:t>
      </w:r>
      <w:r w:rsidRPr="0004672A">
        <w:rPr>
          <w:rFonts w:ascii="Arial" w:hAnsi="Arial" w:cs="Arial"/>
          <w:sz w:val="20"/>
          <w:szCs w:val="20"/>
        </w:rPr>
        <w:t>xternal Auditor of AGSA.</w:t>
      </w:r>
    </w:p>
    <w:p w:rsidR="00971BC6" w:rsidRPr="0004672A" w:rsidRDefault="00971BC6" w:rsidP="0004672A">
      <w:pPr>
        <w:spacing w:after="0" w:line="240" w:lineRule="auto"/>
        <w:rPr>
          <w:rFonts w:ascii="Arial" w:hAnsi="Arial" w:cs="Arial"/>
          <w:sz w:val="20"/>
          <w:szCs w:val="20"/>
        </w:rPr>
      </w:pPr>
    </w:p>
    <w:p w:rsidR="00971BC6" w:rsidRPr="0004672A" w:rsidRDefault="00971BC6" w:rsidP="0004672A">
      <w:pPr>
        <w:numPr>
          <w:ilvl w:val="0"/>
          <w:numId w:val="4"/>
        </w:numPr>
        <w:spacing w:after="0" w:line="240" w:lineRule="auto"/>
        <w:ind w:hanging="720"/>
        <w:contextualSpacing/>
        <w:rPr>
          <w:rFonts w:ascii="Arial" w:hAnsi="Arial" w:cs="Arial"/>
          <w:b/>
          <w:sz w:val="20"/>
          <w:szCs w:val="20"/>
        </w:rPr>
      </w:pPr>
      <w:r w:rsidRPr="0004672A">
        <w:rPr>
          <w:rFonts w:ascii="Arial" w:hAnsi="Arial" w:cs="Arial"/>
          <w:b/>
          <w:sz w:val="20"/>
          <w:szCs w:val="20"/>
        </w:rPr>
        <w:t>The Committee Observations and findings:</w:t>
      </w:r>
    </w:p>
    <w:p w:rsidR="008E0A17" w:rsidRPr="0004672A" w:rsidRDefault="008E0A17" w:rsidP="0004672A">
      <w:pPr>
        <w:spacing w:after="0" w:line="240" w:lineRule="auto"/>
        <w:ind w:left="720"/>
        <w:contextualSpacing/>
        <w:rPr>
          <w:rFonts w:ascii="Arial" w:hAnsi="Arial" w:cs="Arial"/>
          <w:b/>
          <w:sz w:val="20"/>
          <w:szCs w:val="20"/>
        </w:rPr>
      </w:pPr>
    </w:p>
    <w:p w:rsidR="00971BC6" w:rsidRPr="0004672A" w:rsidRDefault="00971BC6" w:rsidP="0004672A">
      <w:pPr>
        <w:spacing w:after="0" w:line="240" w:lineRule="auto"/>
        <w:ind w:left="720"/>
        <w:rPr>
          <w:rFonts w:ascii="Arial" w:hAnsi="Arial" w:cs="Arial"/>
          <w:sz w:val="20"/>
          <w:szCs w:val="20"/>
        </w:rPr>
      </w:pPr>
      <w:r w:rsidRPr="0004672A">
        <w:rPr>
          <w:rFonts w:ascii="Arial" w:hAnsi="Arial" w:cs="Arial"/>
          <w:sz w:val="20"/>
          <w:szCs w:val="20"/>
        </w:rPr>
        <w:t>The Committee made the following observations:</w:t>
      </w:r>
    </w:p>
    <w:p w:rsidR="008E0A17" w:rsidRPr="0004672A" w:rsidRDefault="008E0A17" w:rsidP="0004672A">
      <w:pPr>
        <w:spacing w:after="0" w:line="240" w:lineRule="auto"/>
        <w:ind w:left="720"/>
        <w:rPr>
          <w:rFonts w:ascii="Arial" w:hAnsi="Arial" w:cs="Arial"/>
          <w:sz w:val="20"/>
          <w:szCs w:val="20"/>
        </w:rPr>
      </w:pPr>
    </w:p>
    <w:p w:rsidR="00971BC6" w:rsidRPr="0004672A" w:rsidRDefault="00971BC6" w:rsidP="0004672A">
      <w:pPr>
        <w:numPr>
          <w:ilvl w:val="0"/>
          <w:numId w:val="1"/>
        </w:numPr>
        <w:spacing w:after="0" w:line="240" w:lineRule="auto"/>
        <w:ind w:left="720" w:hanging="720"/>
        <w:contextualSpacing/>
        <w:rPr>
          <w:rFonts w:ascii="Arial" w:hAnsi="Arial" w:cs="Arial"/>
          <w:color w:val="000000" w:themeColor="text1"/>
          <w:sz w:val="20"/>
          <w:szCs w:val="20"/>
        </w:rPr>
      </w:pPr>
      <w:r w:rsidRPr="0004672A">
        <w:rPr>
          <w:rFonts w:ascii="Arial" w:hAnsi="Arial" w:cs="Arial"/>
          <w:color w:val="000000" w:themeColor="text1"/>
          <w:sz w:val="20"/>
          <w:szCs w:val="20"/>
        </w:rPr>
        <w:t>The Committee noted the report in terms of the</w:t>
      </w:r>
      <w:r w:rsidR="00DE72AE" w:rsidRPr="0004672A">
        <w:rPr>
          <w:rFonts w:ascii="Arial" w:hAnsi="Arial" w:cs="Arial"/>
          <w:color w:val="000000" w:themeColor="text1"/>
          <w:sz w:val="20"/>
          <w:szCs w:val="20"/>
        </w:rPr>
        <w:t xml:space="preserve"> transformation of the Crowe JHB</w:t>
      </w:r>
      <w:r w:rsidRPr="0004672A">
        <w:rPr>
          <w:rFonts w:ascii="Arial" w:hAnsi="Arial" w:cs="Arial"/>
          <w:color w:val="000000" w:themeColor="text1"/>
          <w:sz w:val="20"/>
          <w:szCs w:val="20"/>
        </w:rPr>
        <w:t>, as it was a condition of their appointment. Subsequently, their B-BBEE score has improved from level 7 to level 4 since 2019 and their target as</w:t>
      </w:r>
      <w:r w:rsidR="00A803E1" w:rsidRPr="0004672A">
        <w:rPr>
          <w:rFonts w:ascii="Arial" w:hAnsi="Arial" w:cs="Arial"/>
          <w:color w:val="000000" w:themeColor="text1"/>
          <w:sz w:val="20"/>
          <w:szCs w:val="20"/>
        </w:rPr>
        <w:t xml:space="preserve"> per their transformation plan was</w:t>
      </w:r>
      <w:r w:rsidRPr="0004672A">
        <w:rPr>
          <w:rFonts w:ascii="Arial" w:hAnsi="Arial" w:cs="Arial"/>
          <w:color w:val="000000" w:themeColor="text1"/>
          <w:sz w:val="20"/>
          <w:szCs w:val="20"/>
        </w:rPr>
        <w:t xml:space="preserve"> B-BBBE Level </w:t>
      </w:r>
      <w:r w:rsidR="00A803E1" w:rsidRPr="0004672A">
        <w:rPr>
          <w:rFonts w:ascii="Arial" w:hAnsi="Arial" w:cs="Arial"/>
          <w:color w:val="000000" w:themeColor="text1"/>
          <w:sz w:val="20"/>
          <w:szCs w:val="20"/>
        </w:rPr>
        <w:t>3 contributor for the year 2022, which it managed to achieve.</w:t>
      </w:r>
      <w:r w:rsidRPr="0004672A">
        <w:rPr>
          <w:rFonts w:ascii="Arial" w:hAnsi="Arial" w:cs="Arial"/>
          <w:color w:val="000000" w:themeColor="text1"/>
          <w:sz w:val="20"/>
          <w:szCs w:val="20"/>
        </w:rPr>
        <w:t xml:space="preserve"> </w:t>
      </w:r>
    </w:p>
    <w:p w:rsidR="00971BC6" w:rsidRPr="0004672A" w:rsidRDefault="00971BC6" w:rsidP="0004672A">
      <w:pPr>
        <w:spacing w:after="0" w:line="240" w:lineRule="auto"/>
        <w:ind w:left="720"/>
        <w:contextualSpacing/>
        <w:rPr>
          <w:rFonts w:ascii="Arial" w:hAnsi="Arial" w:cs="Arial"/>
          <w:color w:val="000000" w:themeColor="text1"/>
          <w:sz w:val="20"/>
          <w:szCs w:val="20"/>
        </w:rPr>
      </w:pPr>
    </w:p>
    <w:p w:rsidR="00971BC6" w:rsidRPr="0004672A" w:rsidRDefault="00971BC6" w:rsidP="0004672A">
      <w:pPr>
        <w:numPr>
          <w:ilvl w:val="0"/>
          <w:numId w:val="1"/>
        </w:numPr>
        <w:spacing w:after="0" w:line="240" w:lineRule="auto"/>
        <w:ind w:left="720" w:hanging="720"/>
        <w:contextualSpacing/>
        <w:rPr>
          <w:rFonts w:ascii="Arial" w:hAnsi="Arial" w:cs="Arial"/>
          <w:color w:val="000000" w:themeColor="text1"/>
          <w:sz w:val="20"/>
          <w:szCs w:val="20"/>
        </w:rPr>
      </w:pPr>
      <w:r w:rsidRPr="0004672A">
        <w:rPr>
          <w:rFonts w:ascii="Arial" w:hAnsi="Arial" w:cs="Arial"/>
          <w:color w:val="000000" w:themeColor="text1"/>
          <w:sz w:val="20"/>
          <w:szCs w:val="20"/>
        </w:rPr>
        <w:t>The Committee noted</w:t>
      </w:r>
      <w:r w:rsidR="00D15A8C" w:rsidRPr="0004672A">
        <w:rPr>
          <w:rFonts w:ascii="Arial" w:hAnsi="Arial" w:cs="Arial"/>
          <w:color w:val="000000" w:themeColor="text1"/>
          <w:sz w:val="20"/>
          <w:szCs w:val="20"/>
        </w:rPr>
        <w:t xml:space="preserve"> that AGSA has achieved a net surplus of R40 million for the 2021/22 financial year. Thus, </w:t>
      </w:r>
      <w:r w:rsidR="00D15A8C" w:rsidRPr="0004672A">
        <w:rPr>
          <w:rFonts w:ascii="Arial" w:hAnsi="Arial" w:cs="Arial"/>
          <w:sz w:val="20"/>
          <w:szCs w:val="20"/>
        </w:rPr>
        <w:t xml:space="preserve">section 38 (4) of the Public Audit Act as amended empowers the AGSA to retain the whole surplus or a portion thereof, following consultation with the National Treasury and after approval by SCOAG. If approved, such surplus is used </w:t>
      </w:r>
      <w:r w:rsidR="00D15A8C" w:rsidRPr="0004672A">
        <w:rPr>
          <w:rFonts w:ascii="Arial" w:hAnsi="Arial" w:cs="Arial"/>
          <w:i/>
          <w:sz w:val="20"/>
          <w:szCs w:val="20"/>
        </w:rPr>
        <w:t>for working capital</w:t>
      </w:r>
      <w:r w:rsidR="00D15A8C" w:rsidRPr="0004672A">
        <w:rPr>
          <w:rFonts w:ascii="Arial" w:hAnsi="Arial" w:cs="Arial"/>
          <w:sz w:val="20"/>
          <w:szCs w:val="20"/>
        </w:rPr>
        <w:t xml:space="preserve"> and general reserve requirements. The portion of a surplus not retained is paid back into the National Revenue Fund. </w:t>
      </w:r>
    </w:p>
    <w:p w:rsidR="00971BC6" w:rsidRPr="0004672A" w:rsidRDefault="00971BC6" w:rsidP="0004672A">
      <w:pPr>
        <w:spacing w:after="0" w:line="240" w:lineRule="auto"/>
        <w:contextualSpacing/>
        <w:rPr>
          <w:rFonts w:ascii="Arial" w:hAnsi="Arial" w:cs="Arial"/>
          <w:color w:val="000000" w:themeColor="text1"/>
          <w:sz w:val="20"/>
          <w:szCs w:val="20"/>
        </w:rPr>
      </w:pPr>
    </w:p>
    <w:p w:rsidR="00971BC6" w:rsidRPr="0004672A" w:rsidRDefault="00971BC6" w:rsidP="0004672A">
      <w:pPr>
        <w:numPr>
          <w:ilvl w:val="0"/>
          <w:numId w:val="1"/>
        </w:numPr>
        <w:spacing w:after="0" w:line="240" w:lineRule="auto"/>
        <w:ind w:left="720" w:hanging="720"/>
        <w:contextualSpacing/>
        <w:rPr>
          <w:rFonts w:ascii="Arial" w:hAnsi="Arial" w:cs="Arial"/>
          <w:color w:val="000000" w:themeColor="text1"/>
          <w:sz w:val="20"/>
          <w:szCs w:val="20"/>
        </w:rPr>
      </w:pPr>
      <w:r w:rsidRPr="0004672A">
        <w:rPr>
          <w:rFonts w:ascii="Arial" w:hAnsi="Arial" w:cs="Arial"/>
          <w:color w:val="000000" w:themeColor="text1"/>
          <w:sz w:val="20"/>
          <w:szCs w:val="20"/>
        </w:rPr>
        <w:t xml:space="preserve">The Committee noted </w:t>
      </w:r>
      <w:r w:rsidR="00A803E1" w:rsidRPr="0004672A">
        <w:rPr>
          <w:rFonts w:ascii="Arial" w:hAnsi="Arial" w:cs="Arial"/>
          <w:color w:val="000000" w:themeColor="text1"/>
          <w:sz w:val="20"/>
          <w:szCs w:val="20"/>
        </w:rPr>
        <w:t>that the amount owed to AG has in overall decreased during the 2021/22</w:t>
      </w:r>
      <w:r w:rsidRPr="0004672A">
        <w:rPr>
          <w:rFonts w:ascii="Arial" w:hAnsi="Arial" w:cs="Arial"/>
          <w:color w:val="000000" w:themeColor="text1"/>
          <w:sz w:val="20"/>
          <w:szCs w:val="20"/>
        </w:rPr>
        <w:t xml:space="preserve"> financial year. For the financial year, the o</w:t>
      </w:r>
      <w:r w:rsidR="00A803E1" w:rsidRPr="0004672A">
        <w:rPr>
          <w:rFonts w:ascii="Arial" w:hAnsi="Arial" w:cs="Arial"/>
          <w:color w:val="000000" w:themeColor="text1"/>
          <w:sz w:val="20"/>
          <w:szCs w:val="20"/>
        </w:rPr>
        <w:t>utstanding debt amounted to R1 060</w:t>
      </w:r>
      <w:r w:rsidRPr="0004672A">
        <w:rPr>
          <w:rFonts w:ascii="Arial" w:hAnsi="Arial" w:cs="Arial"/>
          <w:color w:val="000000" w:themeColor="text1"/>
          <w:sz w:val="20"/>
          <w:szCs w:val="20"/>
        </w:rPr>
        <w:t xml:space="preserve"> billion, Local government is the main contributor to this debt, while there is a notable growth trend of outstandin</w:t>
      </w:r>
      <w:r w:rsidR="00A803E1" w:rsidRPr="0004672A">
        <w:rPr>
          <w:rFonts w:ascii="Arial" w:hAnsi="Arial" w:cs="Arial"/>
          <w:color w:val="000000" w:themeColor="text1"/>
          <w:sz w:val="20"/>
          <w:szCs w:val="20"/>
        </w:rPr>
        <w:t>g debts from SOEs. The Committee</w:t>
      </w:r>
      <w:r w:rsidRPr="0004672A">
        <w:rPr>
          <w:rFonts w:ascii="Arial" w:hAnsi="Arial" w:cs="Arial"/>
          <w:color w:val="000000" w:themeColor="text1"/>
          <w:sz w:val="20"/>
          <w:szCs w:val="20"/>
        </w:rPr>
        <w:t xml:space="preserve"> noted with concern this new trend, in particular the fact that most SOEs are becoming financially unsustainable. This can lead to more SOEs defaulting in paying audit fees to AGSA and therefore, adding up to the challenge of outstanding debts.</w:t>
      </w:r>
    </w:p>
    <w:p w:rsidR="00971BC6" w:rsidRPr="0004672A" w:rsidRDefault="00971BC6" w:rsidP="0004672A">
      <w:pPr>
        <w:spacing w:after="0" w:line="240" w:lineRule="auto"/>
        <w:ind w:left="720"/>
        <w:contextualSpacing/>
        <w:rPr>
          <w:rFonts w:ascii="Arial" w:hAnsi="Arial" w:cs="Arial"/>
          <w:color w:val="000000" w:themeColor="text1"/>
          <w:sz w:val="20"/>
          <w:szCs w:val="20"/>
        </w:rPr>
      </w:pPr>
    </w:p>
    <w:p w:rsidR="0096079D" w:rsidRPr="0004672A" w:rsidRDefault="00473412" w:rsidP="0004672A">
      <w:pPr>
        <w:pStyle w:val="ListParagraph"/>
        <w:numPr>
          <w:ilvl w:val="0"/>
          <w:numId w:val="1"/>
        </w:numPr>
        <w:spacing w:after="0" w:line="240" w:lineRule="auto"/>
        <w:rPr>
          <w:rFonts w:ascii="Arial" w:eastAsiaTheme="minorEastAsia" w:hAnsi="Arial" w:cs="Arial"/>
          <w:color w:val="000000" w:themeColor="text1"/>
          <w:sz w:val="20"/>
          <w:szCs w:val="20"/>
        </w:rPr>
      </w:pPr>
      <w:r w:rsidRPr="0004672A">
        <w:rPr>
          <w:rFonts w:ascii="Arial" w:eastAsiaTheme="minorEastAsia" w:hAnsi="Arial" w:cs="Arial"/>
          <w:sz w:val="20"/>
          <w:szCs w:val="20"/>
        </w:rPr>
        <w:t>The Committee noted the total of 327 MIs that is recorded on the AGSA’s system at various stages in the process. It further observed that for these 327 MIs, AGSA estimated a total financial loss of about R14,7 billion. In this regard, the Committee suggested that the issue of MIs requires a strategy whereby the Office of the Auditor-General need</w:t>
      </w:r>
      <w:r w:rsidR="009F0075" w:rsidRPr="0004672A">
        <w:rPr>
          <w:rFonts w:ascii="Arial" w:eastAsiaTheme="minorEastAsia" w:hAnsi="Arial" w:cs="Arial"/>
          <w:sz w:val="20"/>
          <w:szCs w:val="20"/>
        </w:rPr>
        <w:t>s</w:t>
      </w:r>
      <w:r w:rsidRPr="0004672A">
        <w:rPr>
          <w:rFonts w:ascii="Arial" w:eastAsiaTheme="minorEastAsia" w:hAnsi="Arial" w:cs="Arial"/>
          <w:sz w:val="20"/>
          <w:szCs w:val="20"/>
        </w:rPr>
        <w:t xml:space="preserve"> to shift its focus, particularly around the area of accountability </w:t>
      </w:r>
    </w:p>
    <w:p w:rsidR="0096079D" w:rsidRPr="0004672A" w:rsidRDefault="0096079D" w:rsidP="0004672A">
      <w:pPr>
        <w:spacing w:after="0" w:line="240" w:lineRule="auto"/>
        <w:rPr>
          <w:rFonts w:ascii="Arial" w:eastAsiaTheme="minorEastAsia" w:hAnsi="Arial" w:cs="Arial"/>
          <w:color w:val="000000" w:themeColor="text1"/>
          <w:sz w:val="20"/>
          <w:szCs w:val="20"/>
        </w:rPr>
      </w:pPr>
    </w:p>
    <w:p w:rsidR="00971BC6" w:rsidRPr="0004672A" w:rsidRDefault="008F3BBA" w:rsidP="0004672A">
      <w:pPr>
        <w:pStyle w:val="ListParagraph"/>
        <w:numPr>
          <w:ilvl w:val="0"/>
          <w:numId w:val="1"/>
        </w:numPr>
        <w:spacing w:after="0" w:line="240" w:lineRule="auto"/>
        <w:rPr>
          <w:rFonts w:ascii="Arial" w:eastAsiaTheme="minorEastAsia" w:hAnsi="Arial" w:cs="Arial"/>
          <w:sz w:val="20"/>
          <w:szCs w:val="20"/>
        </w:rPr>
      </w:pPr>
      <w:r w:rsidRPr="0004672A">
        <w:rPr>
          <w:rFonts w:ascii="Arial" w:eastAsiaTheme="minorEastAsia" w:hAnsi="Arial" w:cs="Arial"/>
          <w:sz w:val="20"/>
          <w:szCs w:val="20"/>
        </w:rPr>
        <w:t>The Committee noted that AGSA has faced with an increase in the number and complexity of legal challenges or threats of legal challenges, over the audit and audit</w:t>
      </w:r>
      <w:r w:rsidR="009F0075" w:rsidRPr="0004672A">
        <w:rPr>
          <w:rFonts w:ascii="Arial" w:eastAsiaTheme="minorEastAsia" w:hAnsi="Arial" w:cs="Arial"/>
          <w:sz w:val="20"/>
          <w:szCs w:val="20"/>
        </w:rPr>
        <w:t>-</w:t>
      </w:r>
      <w:r w:rsidRPr="0004672A">
        <w:rPr>
          <w:rFonts w:ascii="Arial" w:eastAsiaTheme="minorEastAsia" w:hAnsi="Arial" w:cs="Arial"/>
          <w:sz w:val="20"/>
          <w:szCs w:val="20"/>
        </w:rPr>
        <w:t xml:space="preserve">related services provided by AGSA. The process of resolving those disputes in a court of law has put pressure </w:t>
      </w:r>
      <w:r w:rsidR="009F0075" w:rsidRPr="0004672A">
        <w:rPr>
          <w:rFonts w:ascii="Arial" w:eastAsiaTheme="minorEastAsia" w:hAnsi="Arial" w:cs="Arial"/>
          <w:sz w:val="20"/>
          <w:szCs w:val="20"/>
        </w:rPr>
        <w:t>o</w:t>
      </w:r>
      <w:r w:rsidRPr="0004672A">
        <w:rPr>
          <w:rFonts w:ascii="Arial" w:eastAsiaTheme="minorEastAsia" w:hAnsi="Arial" w:cs="Arial"/>
          <w:sz w:val="20"/>
          <w:szCs w:val="20"/>
        </w:rPr>
        <w:t>n the limited resources of AGSA, and a difficult psychological environment for AGSA’s audit team to perform their duties without fear favour</w:t>
      </w:r>
      <w:r w:rsidR="009F0075" w:rsidRPr="0004672A">
        <w:rPr>
          <w:rFonts w:ascii="Arial" w:eastAsiaTheme="minorEastAsia" w:hAnsi="Arial" w:cs="Arial"/>
          <w:sz w:val="20"/>
          <w:szCs w:val="20"/>
        </w:rPr>
        <w:t>,</w:t>
      </w:r>
      <w:r w:rsidRPr="0004672A">
        <w:rPr>
          <w:rFonts w:ascii="Arial" w:eastAsiaTheme="minorEastAsia" w:hAnsi="Arial" w:cs="Arial"/>
          <w:sz w:val="20"/>
          <w:szCs w:val="20"/>
        </w:rPr>
        <w:t xml:space="preserve"> or prejudice. In this regard, </w:t>
      </w:r>
      <w:r w:rsidRPr="0004672A">
        <w:rPr>
          <w:rFonts w:ascii="Arial" w:hAnsi="Arial" w:cs="Arial"/>
          <w:sz w:val="20"/>
          <w:szCs w:val="20"/>
        </w:rPr>
        <w:t>has elected to strengthen its legal capacity to respond to this up</w:t>
      </w:r>
      <w:r w:rsidR="002F4460" w:rsidRPr="0004672A">
        <w:rPr>
          <w:rFonts w:ascii="Arial" w:hAnsi="Arial" w:cs="Arial"/>
          <w:sz w:val="20"/>
          <w:szCs w:val="20"/>
        </w:rPr>
        <w:t>wards trend and has</w:t>
      </w:r>
      <w:r w:rsidRPr="0004672A">
        <w:rPr>
          <w:rFonts w:ascii="Arial" w:hAnsi="Arial" w:cs="Arial"/>
          <w:sz w:val="20"/>
          <w:szCs w:val="20"/>
        </w:rPr>
        <w:t xml:space="preserve"> revisited its dispute resolution process to demonstrate its commitment to resolving dissatisfaction without the intervention of courts. As per the requirements of the PAA, the AGSA has consulted with the Committee to review its dispute resolution process.</w:t>
      </w:r>
    </w:p>
    <w:p w:rsidR="00971BC6" w:rsidRPr="0004672A" w:rsidRDefault="00971BC6" w:rsidP="0004672A">
      <w:pPr>
        <w:numPr>
          <w:ilvl w:val="0"/>
          <w:numId w:val="1"/>
        </w:numPr>
        <w:spacing w:after="0" w:line="240" w:lineRule="auto"/>
        <w:contextualSpacing/>
        <w:rPr>
          <w:rFonts w:ascii="Arial" w:eastAsiaTheme="minorEastAsia" w:hAnsi="Arial" w:cs="Arial"/>
          <w:color w:val="000000" w:themeColor="text1"/>
          <w:sz w:val="20"/>
          <w:szCs w:val="20"/>
        </w:rPr>
      </w:pPr>
      <w:r w:rsidRPr="0004672A">
        <w:rPr>
          <w:rFonts w:ascii="Arial" w:eastAsiaTheme="minorEastAsia" w:hAnsi="Arial" w:cs="Arial"/>
          <w:color w:val="000000" w:themeColor="text1"/>
          <w:sz w:val="20"/>
          <w:szCs w:val="20"/>
        </w:rPr>
        <w:t>The Committee noted and appreciates that the AGSA continues to expand its audit portfolio of 21 Schedule 2 SEOs, which are big and complex organisation</w:t>
      </w:r>
      <w:r w:rsidR="009F0075" w:rsidRPr="0004672A">
        <w:rPr>
          <w:rFonts w:ascii="Arial" w:eastAsiaTheme="minorEastAsia" w:hAnsi="Arial" w:cs="Arial"/>
          <w:color w:val="000000" w:themeColor="text1"/>
          <w:sz w:val="20"/>
          <w:szCs w:val="20"/>
        </w:rPr>
        <w:t>s</w:t>
      </w:r>
      <w:r w:rsidRPr="0004672A">
        <w:rPr>
          <w:rFonts w:ascii="Arial" w:eastAsiaTheme="minorEastAsia" w:hAnsi="Arial" w:cs="Arial"/>
          <w:color w:val="000000" w:themeColor="text1"/>
          <w:sz w:val="20"/>
          <w:szCs w:val="20"/>
        </w:rPr>
        <w:t xml:space="preserve">. However, the Committee noted with concerns that these efforts put pressure on AGSA’s resources due to a continuous need for intensive training and learning of staff after taking over.   </w:t>
      </w:r>
    </w:p>
    <w:p w:rsidR="00486D39" w:rsidRPr="0004672A" w:rsidRDefault="00486D39" w:rsidP="0004672A">
      <w:pPr>
        <w:spacing w:after="0" w:line="240" w:lineRule="auto"/>
        <w:rPr>
          <w:rFonts w:ascii="Arial" w:eastAsiaTheme="minorEastAsia" w:hAnsi="Arial" w:cs="Arial"/>
          <w:color w:val="000000" w:themeColor="text1"/>
          <w:sz w:val="20"/>
          <w:szCs w:val="20"/>
        </w:rPr>
      </w:pPr>
    </w:p>
    <w:p w:rsidR="00971BC6" w:rsidRPr="0004672A" w:rsidRDefault="00971BC6" w:rsidP="0004672A">
      <w:pPr>
        <w:numPr>
          <w:ilvl w:val="0"/>
          <w:numId w:val="1"/>
        </w:numPr>
        <w:spacing w:after="0" w:line="240" w:lineRule="auto"/>
        <w:contextualSpacing/>
        <w:rPr>
          <w:rFonts w:ascii="Arial" w:hAnsi="Arial" w:cs="Arial"/>
          <w:color w:val="000000" w:themeColor="text1"/>
          <w:sz w:val="20"/>
          <w:szCs w:val="20"/>
        </w:rPr>
      </w:pPr>
      <w:r w:rsidRPr="0004672A">
        <w:rPr>
          <w:rFonts w:ascii="Arial" w:hAnsi="Arial" w:cs="Arial"/>
          <w:color w:val="000000" w:themeColor="text1"/>
          <w:sz w:val="20"/>
          <w:szCs w:val="20"/>
        </w:rPr>
        <w:t xml:space="preserve">The Committee has noted that </w:t>
      </w:r>
      <w:r w:rsidR="00697B1E" w:rsidRPr="0004672A">
        <w:rPr>
          <w:rFonts w:ascii="Arial" w:hAnsi="Arial" w:cs="Arial"/>
          <w:color w:val="000000" w:themeColor="text1"/>
          <w:sz w:val="20"/>
          <w:szCs w:val="20"/>
        </w:rPr>
        <w:t>in the previous financial year, there</w:t>
      </w:r>
      <w:r w:rsidRPr="0004672A">
        <w:rPr>
          <w:rFonts w:ascii="Arial" w:hAnsi="Arial" w:cs="Arial"/>
          <w:color w:val="000000" w:themeColor="text1"/>
          <w:sz w:val="20"/>
          <w:szCs w:val="20"/>
        </w:rPr>
        <w:t xml:space="preserve"> were some control gaps identified during the audit. Further, some audit findings identified remain unaddressed primarily because of inadequate capacity and capabilities within information technology, which continue to receive leadership attention and support.</w:t>
      </w:r>
      <w:r w:rsidR="00697B1E" w:rsidRPr="0004672A">
        <w:rPr>
          <w:rFonts w:ascii="Arial" w:hAnsi="Arial" w:cs="Arial"/>
          <w:color w:val="000000" w:themeColor="text1"/>
          <w:sz w:val="20"/>
          <w:szCs w:val="20"/>
        </w:rPr>
        <w:t xml:space="preserve"> For this period under review, there is a reported improvement in information technology, which was due to amongst others, </w:t>
      </w:r>
      <w:r w:rsidR="009F0075" w:rsidRPr="0004672A">
        <w:rPr>
          <w:rFonts w:ascii="Arial" w:hAnsi="Arial" w:cs="Arial"/>
          <w:color w:val="000000" w:themeColor="text1"/>
          <w:sz w:val="20"/>
          <w:szCs w:val="20"/>
        </w:rPr>
        <w:t xml:space="preserve">the </w:t>
      </w:r>
      <w:r w:rsidR="00697B1E" w:rsidRPr="0004672A">
        <w:rPr>
          <w:rFonts w:ascii="Arial" w:hAnsi="Arial" w:cs="Arial"/>
          <w:color w:val="000000" w:themeColor="text1"/>
          <w:sz w:val="20"/>
          <w:szCs w:val="20"/>
        </w:rPr>
        <w:t>employment of the Head of Information Technology.</w:t>
      </w:r>
    </w:p>
    <w:p w:rsidR="008B7FEE" w:rsidRPr="0004672A" w:rsidRDefault="008B7FEE" w:rsidP="0004672A">
      <w:pPr>
        <w:pStyle w:val="ListParagraph"/>
        <w:spacing w:after="0" w:line="240" w:lineRule="auto"/>
        <w:rPr>
          <w:rFonts w:ascii="Arial" w:hAnsi="Arial" w:cs="Arial"/>
          <w:color w:val="000000" w:themeColor="text1"/>
          <w:sz w:val="20"/>
          <w:szCs w:val="20"/>
        </w:rPr>
      </w:pPr>
    </w:p>
    <w:p w:rsidR="008B7FEE" w:rsidRPr="0004672A" w:rsidRDefault="00EC6C43" w:rsidP="0004672A">
      <w:pPr>
        <w:numPr>
          <w:ilvl w:val="0"/>
          <w:numId w:val="1"/>
        </w:numPr>
        <w:spacing w:after="0" w:line="240" w:lineRule="auto"/>
        <w:rPr>
          <w:rFonts w:ascii="Arial" w:hAnsi="Arial" w:cs="Arial"/>
          <w:color w:val="000000" w:themeColor="text1"/>
          <w:sz w:val="20"/>
          <w:szCs w:val="20"/>
          <w:lang w:val="en-US"/>
        </w:rPr>
      </w:pPr>
      <w:r w:rsidRPr="0004672A">
        <w:rPr>
          <w:rFonts w:ascii="Arial" w:hAnsi="Arial" w:cs="Arial"/>
          <w:color w:val="000000" w:themeColor="text1"/>
          <w:sz w:val="20"/>
          <w:szCs w:val="20"/>
        </w:rPr>
        <w:lastRenderedPageBreak/>
        <w:t xml:space="preserve">The </w:t>
      </w:r>
      <w:r w:rsidR="007C1F40" w:rsidRPr="0004672A">
        <w:rPr>
          <w:rFonts w:ascii="Arial" w:hAnsi="Arial" w:cs="Arial"/>
          <w:color w:val="000000" w:themeColor="text1"/>
          <w:sz w:val="20"/>
          <w:szCs w:val="20"/>
        </w:rPr>
        <w:t xml:space="preserve">Committee noted the </w:t>
      </w:r>
      <w:r w:rsidRPr="0004672A">
        <w:rPr>
          <w:rFonts w:ascii="Arial" w:hAnsi="Arial" w:cs="Arial"/>
          <w:color w:val="000000" w:themeColor="text1"/>
          <w:sz w:val="20"/>
          <w:szCs w:val="20"/>
        </w:rPr>
        <w:t xml:space="preserve">Post-Retirement Medical Aid (PRMA) initiative, </w:t>
      </w:r>
      <w:r w:rsidR="007C1F40" w:rsidRPr="0004672A">
        <w:rPr>
          <w:rFonts w:ascii="Arial" w:hAnsi="Arial" w:cs="Arial"/>
          <w:color w:val="000000" w:themeColor="text1"/>
          <w:sz w:val="20"/>
          <w:szCs w:val="20"/>
        </w:rPr>
        <w:t>which was conceived out</w:t>
      </w:r>
      <w:r w:rsidR="003F4E93" w:rsidRPr="0004672A">
        <w:rPr>
          <w:rFonts w:ascii="Arial" w:hAnsi="Arial" w:cs="Arial"/>
          <w:color w:val="000000" w:themeColor="text1"/>
          <w:sz w:val="20"/>
          <w:szCs w:val="20"/>
        </w:rPr>
        <w:t xml:space="preserve"> of the need by the AGSA</w:t>
      </w:r>
      <w:r w:rsidRPr="0004672A">
        <w:rPr>
          <w:rFonts w:ascii="Arial" w:hAnsi="Arial" w:cs="Arial"/>
          <w:color w:val="000000" w:themeColor="text1"/>
          <w:sz w:val="20"/>
          <w:szCs w:val="20"/>
        </w:rPr>
        <w:t xml:space="preserve"> to </w:t>
      </w:r>
      <w:r w:rsidR="007C1F40" w:rsidRPr="0004672A">
        <w:rPr>
          <w:rFonts w:ascii="Arial" w:hAnsi="Arial" w:cs="Arial"/>
          <w:color w:val="000000" w:themeColor="text1"/>
          <w:sz w:val="20"/>
          <w:szCs w:val="20"/>
        </w:rPr>
        <w:t xml:space="preserve">harmonise employee benefits, </w:t>
      </w:r>
      <w:r w:rsidRPr="0004672A">
        <w:rPr>
          <w:rFonts w:ascii="Arial" w:hAnsi="Arial" w:cs="Arial"/>
          <w:color w:val="000000" w:themeColor="text1"/>
          <w:sz w:val="20"/>
          <w:szCs w:val="20"/>
        </w:rPr>
        <w:t xml:space="preserve">in particular, the staff rules </w:t>
      </w:r>
      <w:r w:rsidR="007C1F40" w:rsidRPr="0004672A">
        <w:rPr>
          <w:rFonts w:ascii="Arial" w:hAnsi="Arial" w:cs="Arial"/>
          <w:color w:val="000000" w:themeColor="text1"/>
          <w:sz w:val="20"/>
          <w:szCs w:val="20"/>
        </w:rPr>
        <w:t xml:space="preserve">on </w:t>
      </w:r>
      <w:r w:rsidRPr="0004672A">
        <w:rPr>
          <w:rFonts w:ascii="Arial" w:hAnsi="Arial" w:cs="Arial"/>
          <w:color w:val="000000" w:themeColor="text1"/>
          <w:sz w:val="20"/>
          <w:szCs w:val="20"/>
        </w:rPr>
        <w:t>conditions of service on medical aid subsidy</w:t>
      </w:r>
      <w:r w:rsidR="007C1F40" w:rsidRPr="0004672A">
        <w:rPr>
          <w:rFonts w:ascii="Arial" w:hAnsi="Arial" w:cs="Arial"/>
          <w:color w:val="000000" w:themeColor="text1"/>
          <w:sz w:val="20"/>
          <w:szCs w:val="20"/>
        </w:rPr>
        <w:t>. AGSA benchmarked this benefit against the benefit paid by the Public Service. Importantly,</w:t>
      </w:r>
      <w:r w:rsidR="007C1F40" w:rsidRPr="0004672A">
        <w:rPr>
          <w:rFonts w:ascii="Arial" w:eastAsia="Times New Roman" w:hAnsi="Arial" w:cs="Arial"/>
          <w:sz w:val="20"/>
          <w:szCs w:val="20"/>
        </w:rPr>
        <w:t xml:space="preserve"> </w:t>
      </w:r>
      <w:r w:rsidR="007C1F40" w:rsidRPr="0004672A">
        <w:rPr>
          <w:rFonts w:ascii="Arial" w:hAnsi="Arial" w:cs="Arial"/>
          <w:color w:val="000000" w:themeColor="text1"/>
          <w:sz w:val="20"/>
          <w:szCs w:val="20"/>
        </w:rPr>
        <w:t>f</w:t>
      </w:r>
      <w:r w:rsidRPr="0004672A">
        <w:rPr>
          <w:rFonts w:ascii="Arial" w:hAnsi="Arial" w:cs="Arial"/>
          <w:color w:val="000000" w:themeColor="text1"/>
          <w:sz w:val="20"/>
          <w:szCs w:val="20"/>
        </w:rPr>
        <w:t>rom 2002 until 2015, the benefit paid by the AGSA had been substantially higher than what the Publ</w:t>
      </w:r>
      <w:r w:rsidR="007C1F40" w:rsidRPr="0004672A">
        <w:rPr>
          <w:rFonts w:ascii="Arial" w:hAnsi="Arial" w:cs="Arial"/>
          <w:color w:val="000000" w:themeColor="text1"/>
          <w:sz w:val="20"/>
          <w:szCs w:val="20"/>
        </w:rPr>
        <w:t xml:space="preserve">ic Service paid. </w:t>
      </w:r>
      <w:r w:rsidR="00FD5C85" w:rsidRPr="0004672A">
        <w:rPr>
          <w:rFonts w:ascii="Arial" w:hAnsi="Arial" w:cs="Arial"/>
          <w:color w:val="000000" w:themeColor="text1"/>
          <w:sz w:val="20"/>
          <w:szCs w:val="20"/>
        </w:rPr>
        <w:t>In 2016, w</w:t>
      </w:r>
      <w:r w:rsidRPr="0004672A">
        <w:rPr>
          <w:rFonts w:ascii="Arial" w:hAnsi="Arial" w:cs="Arial"/>
          <w:color w:val="000000" w:themeColor="text1"/>
          <w:sz w:val="20"/>
          <w:szCs w:val="20"/>
        </w:rPr>
        <w:t xml:space="preserve">hen the Public Service benefit for the first time exceeded </w:t>
      </w:r>
      <w:r w:rsidR="003F4E93" w:rsidRPr="0004672A">
        <w:rPr>
          <w:rFonts w:ascii="Arial" w:hAnsi="Arial" w:cs="Arial"/>
          <w:color w:val="000000" w:themeColor="text1"/>
          <w:sz w:val="20"/>
          <w:szCs w:val="20"/>
        </w:rPr>
        <w:t>what was paid by the AGSA, the O</w:t>
      </w:r>
      <w:r w:rsidRPr="0004672A">
        <w:rPr>
          <w:rFonts w:ascii="Arial" w:hAnsi="Arial" w:cs="Arial"/>
          <w:color w:val="000000" w:themeColor="text1"/>
          <w:sz w:val="20"/>
          <w:szCs w:val="20"/>
        </w:rPr>
        <w:t>ffice</w:t>
      </w:r>
      <w:r w:rsidR="003F4E93" w:rsidRPr="0004672A">
        <w:rPr>
          <w:rFonts w:ascii="Arial" w:hAnsi="Arial" w:cs="Arial"/>
          <w:color w:val="000000" w:themeColor="text1"/>
          <w:sz w:val="20"/>
          <w:szCs w:val="20"/>
        </w:rPr>
        <w:t xml:space="preserve"> of the AG</w:t>
      </w:r>
      <w:r w:rsidRPr="0004672A">
        <w:rPr>
          <w:rFonts w:ascii="Arial" w:hAnsi="Arial" w:cs="Arial"/>
          <w:color w:val="000000" w:themeColor="text1"/>
          <w:sz w:val="20"/>
          <w:szCs w:val="20"/>
        </w:rPr>
        <w:t xml:space="preserve"> was not in a position to match those adjustments and decided against it based on financial considerations at the time.</w:t>
      </w:r>
      <w:r w:rsidR="00FD5C85" w:rsidRPr="0004672A">
        <w:rPr>
          <w:rFonts w:ascii="Arial" w:hAnsi="Arial" w:cs="Arial"/>
          <w:color w:val="000000" w:themeColor="text1"/>
          <w:sz w:val="20"/>
          <w:szCs w:val="20"/>
        </w:rPr>
        <w:t xml:space="preserve"> Subsequently, four retired employees brought a court case against AGSA to review its decision not to increase post-retirement medical aid. The High court ruled in favour of AGSA, and then the ruling paved a way for AGSA to initiate a Post-Retirement Medical Aid buy-out offer to all eligible beneficiaries. </w:t>
      </w:r>
      <w:r w:rsidR="002108A5" w:rsidRPr="0004672A">
        <w:rPr>
          <w:rFonts w:ascii="Arial" w:hAnsi="Arial" w:cs="Arial"/>
          <w:color w:val="000000" w:themeColor="text1"/>
          <w:sz w:val="20"/>
          <w:szCs w:val="20"/>
        </w:rPr>
        <w:t xml:space="preserve">At the end of the period </w:t>
      </w:r>
      <w:r w:rsidR="003F4E93" w:rsidRPr="0004672A">
        <w:rPr>
          <w:rFonts w:ascii="Arial" w:hAnsi="Arial" w:cs="Arial"/>
          <w:color w:val="000000" w:themeColor="text1"/>
          <w:sz w:val="20"/>
          <w:szCs w:val="20"/>
        </w:rPr>
        <w:t xml:space="preserve">under </w:t>
      </w:r>
      <w:r w:rsidR="002108A5" w:rsidRPr="0004672A">
        <w:rPr>
          <w:rFonts w:ascii="Arial" w:hAnsi="Arial" w:cs="Arial"/>
          <w:color w:val="000000" w:themeColor="text1"/>
          <w:sz w:val="20"/>
          <w:szCs w:val="20"/>
        </w:rPr>
        <w:t xml:space="preserve">review, out of 337 beneficiaries, only 35 </w:t>
      </w:r>
      <w:r w:rsidR="003F4E93" w:rsidRPr="0004672A">
        <w:rPr>
          <w:rFonts w:ascii="Arial" w:hAnsi="Arial" w:cs="Arial"/>
          <w:color w:val="000000" w:themeColor="text1"/>
          <w:sz w:val="20"/>
          <w:szCs w:val="20"/>
        </w:rPr>
        <w:t xml:space="preserve">beneficiaries </w:t>
      </w:r>
      <w:r w:rsidR="002108A5" w:rsidRPr="0004672A">
        <w:rPr>
          <w:rFonts w:ascii="Arial" w:hAnsi="Arial" w:cs="Arial"/>
          <w:color w:val="000000" w:themeColor="text1"/>
          <w:sz w:val="20"/>
          <w:szCs w:val="20"/>
        </w:rPr>
        <w:t>rejected the offer and accused AGSA of implementing an illegal process.</w:t>
      </w:r>
    </w:p>
    <w:p w:rsidR="00971BC6" w:rsidRPr="0004672A" w:rsidRDefault="00971BC6" w:rsidP="0004672A">
      <w:pPr>
        <w:spacing w:after="0" w:line="240" w:lineRule="auto"/>
        <w:rPr>
          <w:rFonts w:ascii="Arial" w:hAnsi="Arial" w:cs="Arial"/>
          <w:b/>
          <w:sz w:val="20"/>
          <w:szCs w:val="20"/>
          <w:u w:val="single"/>
        </w:rPr>
      </w:pPr>
    </w:p>
    <w:p w:rsidR="0096079D" w:rsidRPr="0004672A" w:rsidRDefault="0096079D" w:rsidP="0004672A">
      <w:pPr>
        <w:spacing w:after="0" w:line="240" w:lineRule="auto"/>
        <w:rPr>
          <w:rFonts w:ascii="Arial" w:hAnsi="Arial" w:cs="Arial"/>
          <w:b/>
          <w:sz w:val="20"/>
          <w:szCs w:val="20"/>
          <w:u w:val="single"/>
        </w:rPr>
      </w:pPr>
    </w:p>
    <w:p w:rsidR="0096079D" w:rsidRPr="0004672A" w:rsidRDefault="0096079D" w:rsidP="0004672A">
      <w:pPr>
        <w:spacing w:after="0" w:line="240" w:lineRule="auto"/>
        <w:rPr>
          <w:rFonts w:ascii="Arial" w:hAnsi="Arial" w:cs="Arial"/>
          <w:b/>
          <w:sz w:val="20"/>
          <w:szCs w:val="20"/>
          <w:u w:val="single"/>
        </w:rPr>
      </w:pPr>
    </w:p>
    <w:p w:rsidR="0096079D" w:rsidRPr="0004672A" w:rsidRDefault="0096079D" w:rsidP="0004672A">
      <w:pPr>
        <w:spacing w:after="0" w:line="240" w:lineRule="auto"/>
        <w:rPr>
          <w:rFonts w:ascii="Arial" w:hAnsi="Arial" w:cs="Arial"/>
          <w:b/>
          <w:sz w:val="20"/>
          <w:szCs w:val="20"/>
          <w:u w:val="single"/>
        </w:rPr>
      </w:pPr>
    </w:p>
    <w:p w:rsidR="00971BC6" w:rsidRPr="0004672A" w:rsidRDefault="00971BC6" w:rsidP="0004672A">
      <w:pPr>
        <w:numPr>
          <w:ilvl w:val="0"/>
          <w:numId w:val="4"/>
        </w:numPr>
        <w:spacing w:after="0" w:line="240" w:lineRule="auto"/>
        <w:ind w:hanging="720"/>
        <w:contextualSpacing/>
        <w:rPr>
          <w:rFonts w:ascii="Arial" w:hAnsi="Arial" w:cs="Arial"/>
          <w:b/>
          <w:sz w:val="20"/>
          <w:szCs w:val="20"/>
        </w:rPr>
      </w:pPr>
      <w:r w:rsidRPr="0004672A">
        <w:rPr>
          <w:rFonts w:ascii="Arial" w:hAnsi="Arial" w:cs="Arial"/>
          <w:b/>
          <w:sz w:val="20"/>
          <w:szCs w:val="20"/>
        </w:rPr>
        <w:t>Committee</w:t>
      </w:r>
      <w:r w:rsidRPr="0004672A">
        <w:rPr>
          <w:rFonts w:ascii="Arial" w:hAnsi="Arial" w:cs="Arial"/>
          <w:sz w:val="20"/>
          <w:szCs w:val="20"/>
        </w:rPr>
        <w:t xml:space="preserve"> </w:t>
      </w:r>
      <w:r w:rsidRPr="0004672A">
        <w:rPr>
          <w:rFonts w:ascii="Arial" w:hAnsi="Arial" w:cs="Arial"/>
          <w:b/>
          <w:sz w:val="20"/>
          <w:szCs w:val="20"/>
        </w:rPr>
        <w:t>Recommendations</w:t>
      </w:r>
    </w:p>
    <w:p w:rsidR="008E0A17" w:rsidRPr="0004672A" w:rsidRDefault="008E0A17" w:rsidP="0004672A">
      <w:pPr>
        <w:spacing w:after="0" w:line="240" w:lineRule="auto"/>
        <w:ind w:left="720"/>
        <w:contextualSpacing/>
        <w:rPr>
          <w:rFonts w:ascii="Arial" w:hAnsi="Arial" w:cs="Arial"/>
          <w:b/>
          <w:sz w:val="20"/>
          <w:szCs w:val="20"/>
        </w:rPr>
      </w:pPr>
    </w:p>
    <w:p w:rsidR="008E0A17" w:rsidRPr="0004672A" w:rsidRDefault="00971BC6" w:rsidP="0004672A">
      <w:pPr>
        <w:spacing w:after="0" w:line="240" w:lineRule="auto"/>
        <w:ind w:left="720"/>
        <w:rPr>
          <w:rFonts w:ascii="Arial" w:hAnsi="Arial" w:cs="Arial"/>
          <w:sz w:val="20"/>
          <w:szCs w:val="20"/>
        </w:rPr>
      </w:pPr>
      <w:r w:rsidRPr="0004672A">
        <w:rPr>
          <w:rFonts w:ascii="Arial" w:hAnsi="Arial" w:cs="Arial"/>
          <w:sz w:val="20"/>
          <w:szCs w:val="20"/>
        </w:rPr>
        <w:t>Flowing from the observations made by the Comm</w:t>
      </w:r>
      <w:r w:rsidR="00ED6309" w:rsidRPr="0004672A">
        <w:rPr>
          <w:rFonts w:ascii="Arial" w:hAnsi="Arial" w:cs="Arial"/>
          <w:sz w:val="20"/>
          <w:szCs w:val="20"/>
        </w:rPr>
        <w:t xml:space="preserve">ittee </w:t>
      </w:r>
      <w:r w:rsidR="009F0075" w:rsidRPr="0004672A">
        <w:rPr>
          <w:rFonts w:ascii="Arial" w:hAnsi="Arial" w:cs="Arial"/>
          <w:sz w:val="20"/>
          <w:szCs w:val="20"/>
        </w:rPr>
        <w:t>concerning</w:t>
      </w:r>
      <w:r w:rsidR="00ED6309" w:rsidRPr="0004672A">
        <w:rPr>
          <w:rFonts w:ascii="Arial" w:hAnsi="Arial" w:cs="Arial"/>
          <w:sz w:val="20"/>
          <w:szCs w:val="20"/>
        </w:rPr>
        <w:t xml:space="preserve"> the 2021/22</w:t>
      </w:r>
      <w:r w:rsidRPr="0004672A">
        <w:rPr>
          <w:rFonts w:ascii="Arial" w:hAnsi="Arial" w:cs="Arial"/>
          <w:sz w:val="20"/>
          <w:szCs w:val="20"/>
        </w:rPr>
        <w:t xml:space="preserve"> Integrated Annual Report of AGSA, the Committee draws the following recommendations:</w:t>
      </w:r>
    </w:p>
    <w:p w:rsidR="00971BC6" w:rsidRPr="0004672A" w:rsidRDefault="00971BC6" w:rsidP="0004672A">
      <w:pPr>
        <w:numPr>
          <w:ilvl w:val="0"/>
          <w:numId w:val="2"/>
        </w:numPr>
        <w:spacing w:after="0" w:line="240" w:lineRule="auto"/>
        <w:contextualSpacing/>
        <w:rPr>
          <w:rFonts w:ascii="Arial" w:hAnsi="Arial" w:cs="Arial"/>
          <w:sz w:val="20"/>
          <w:szCs w:val="20"/>
        </w:rPr>
      </w:pPr>
      <w:r w:rsidRPr="0004672A">
        <w:rPr>
          <w:rFonts w:ascii="Arial" w:hAnsi="Arial" w:cs="Arial"/>
          <w:sz w:val="20"/>
          <w:szCs w:val="20"/>
        </w:rPr>
        <w:t>The Committee</w:t>
      </w:r>
      <w:r w:rsidR="00CD42C9" w:rsidRPr="0004672A">
        <w:rPr>
          <w:rFonts w:ascii="Arial" w:hAnsi="Arial" w:cs="Arial"/>
          <w:sz w:val="20"/>
          <w:szCs w:val="20"/>
        </w:rPr>
        <w:t xml:space="preserve"> recommends the further appointment</w:t>
      </w:r>
      <w:r w:rsidRPr="0004672A">
        <w:rPr>
          <w:rFonts w:ascii="Arial" w:hAnsi="Arial" w:cs="Arial"/>
          <w:sz w:val="20"/>
          <w:szCs w:val="20"/>
        </w:rPr>
        <w:t xml:space="preserve"> </w:t>
      </w:r>
      <w:r w:rsidR="00CD42C9" w:rsidRPr="0004672A">
        <w:rPr>
          <w:rFonts w:ascii="Arial" w:hAnsi="Arial" w:cs="Arial"/>
          <w:sz w:val="20"/>
          <w:szCs w:val="20"/>
        </w:rPr>
        <w:t xml:space="preserve">of </w:t>
      </w:r>
      <w:r w:rsidRPr="0004672A">
        <w:rPr>
          <w:rFonts w:ascii="Arial" w:hAnsi="Arial" w:cs="Arial"/>
          <w:sz w:val="20"/>
          <w:szCs w:val="20"/>
        </w:rPr>
        <w:t>the current External Auditors</w:t>
      </w:r>
      <w:r w:rsidR="00CD42C9" w:rsidRPr="0004672A">
        <w:rPr>
          <w:rFonts w:ascii="Arial" w:hAnsi="Arial" w:cs="Arial"/>
          <w:sz w:val="20"/>
          <w:szCs w:val="20"/>
        </w:rPr>
        <w:t>,</w:t>
      </w:r>
      <w:r w:rsidR="008B7FEE" w:rsidRPr="0004672A">
        <w:rPr>
          <w:rFonts w:ascii="Arial" w:hAnsi="Arial" w:cs="Arial"/>
          <w:sz w:val="20"/>
          <w:szCs w:val="20"/>
        </w:rPr>
        <w:t xml:space="preserve"> as they have met </w:t>
      </w:r>
      <w:r w:rsidR="002F4460" w:rsidRPr="0004672A">
        <w:rPr>
          <w:rFonts w:ascii="Arial" w:hAnsi="Arial" w:cs="Arial"/>
          <w:sz w:val="20"/>
          <w:szCs w:val="20"/>
        </w:rPr>
        <w:t>their</w:t>
      </w:r>
      <w:r w:rsidR="00ED6309" w:rsidRPr="0004672A">
        <w:rPr>
          <w:rFonts w:ascii="Arial" w:hAnsi="Arial" w:cs="Arial"/>
          <w:sz w:val="20"/>
          <w:szCs w:val="20"/>
        </w:rPr>
        <w:t xml:space="preserve"> major</w:t>
      </w:r>
      <w:r w:rsidR="002F4460" w:rsidRPr="0004672A">
        <w:rPr>
          <w:rFonts w:ascii="Arial" w:hAnsi="Arial" w:cs="Arial"/>
          <w:sz w:val="20"/>
          <w:szCs w:val="20"/>
        </w:rPr>
        <w:t xml:space="preserve"> employment condition</w:t>
      </w:r>
      <w:r w:rsidR="009F0075" w:rsidRPr="0004672A">
        <w:rPr>
          <w:rFonts w:ascii="Arial" w:hAnsi="Arial" w:cs="Arial"/>
          <w:sz w:val="20"/>
          <w:szCs w:val="20"/>
        </w:rPr>
        <w:t>s</w:t>
      </w:r>
      <w:r w:rsidR="002F4460" w:rsidRPr="0004672A">
        <w:rPr>
          <w:rFonts w:ascii="Arial" w:hAnsi="Arial" w:cs="Arial"/>
          <w:sz w:val="20"/>
          <w:szCs w:val="20"/>
        </w:rPr>
        <w:t>, that is, to achieve a better</w:t>
      </w:r>
      <w:r w:rsidR="00ED6309" w:rsidRPr="0004672A">
        <w:rPr>
          <w:rFonts w:ascii="Arial" w:hAnsi="Arial" w:cs="Arial"/>
          <w:sz w:val="20"/>
          <w:szCs w:val="20"/>
        </w:rPr>
        <w:t xml:space="preserve"> economic transformation. As reported above, they have moved from BBBE level 7 to BBE level 3.</w:t>
      </w:r>
    </w:p>
    <w:p w:rsidR="00055116" w:rsidRPr="0004672A" w:rsidRDefault="00055116" w:rsidP="0004672A">
      <w:pPr>
        <w:spacing w:after="0" w:line="240" w:lineRule="auto"/>
        <w:ind w:left="720"/>
        <w:contextualSpacing/>
        <w:rPr>
          <w:rFonts w:ascii="Arial" w:hAnsi="Arial" w:cs="Arial"/>
          <w:sz w:val="20"/>
          <w:szCs w:val="20"/>
        </w:rPr>
      </w:pPr>
    </w:p>
    <w:p w:rsidR="00D15A8C" w:rsidRPr="0004672A" w:rsidRDefault="00D15A8C" w:rsidP="0004672A">
      <w:pPr>
        <w:pStyle w:val="ListParagraph"/>
        <w:numPr>
          <w:ilvl w:val="0"/>
          <w:numId w:val="2"/>
        </w:numPr>
        <w:spacing w:after="0" w:line="240" w:lineRule="auto"/>
        <w:rPr>
          <w:rFonts w:ascii="Arial" w:hAnsi="Arial" w:cs="Arial"/>
          <w:sz w:val="20"/>
          <w:szCs w:val="20"/>
        </w:rPr>
      </w:pPr>
      <w:r w:rsidRPr="0004672A">
        <w:rPr>
          <w:rFonts w:ascii="Arial" w:hAnsi="Arial" w:cs="Arial"/>
          <w:sz w:val="20"/>
          <w:szCs w:val="20"/>
        </w:rPr>
        <w:t xml:space="preserve">The Committee recommends that the AGSA should retain </w:t>
      </w:r>
      <w:r w:rsidR="009F0075" w:rsidRPr="0004672A">
        <w:rPr>
          <w:rFonts w:ascii="Arial" w:hAnsi="Arial" w:cs="Arial"/>
          <w:sz w:val="20"/>
          <w:szCs w:val="20"/>
        </w:rPr>
        <w:t xml:space="preserve">the </w:t>
      </w:r>
      <w:r w:rsidRPr="0004672A">
        <w:rPr>
          <w:rFonts w:ascii="Arial" w:hAnsi="Arial" w:cs="Arial"/>
          <w:sz w:val="20"/>
          <w:szCs w:val="20"/>
        </w:rPr>
        <w:t xml:space="preserve">surplus generated from the period under review years as </w:t>
      </w:r>
      <w:r w:rsidRPr="0004672A">
        <w:rPr>
          <w:rFonts w:ascii="Arial" w:hAnsi="Arial" w:cs="Arial"/>
          <w:b/>
          <w:sz w:val="20"/>
          <w:szCs w:val="20"/>
        </w:rPr>
        <w:t>General Reserves</w:t>
      </w:r>
      <w:r w:rsidRPr="0004672A">
        <w:rPr>
          <w:rFonts w:ascii="Arial" w:hAnsi="Arial" w:cs="Arial"/>
          <w:sz w:val="20"/>
          <w:szCs w:val="20"/>
        </w:rPr>
        <w:t>. Further, the Committee, recommends that the AGSA must within</w:t>
      </w:r>
      <w:r w:rsidR="00ED6309" w:rsidRPr="0004672A">
        <w:rPr>
          <w:rFonts w:ascii="Arial" w:hAnsi="Arial" w:cs="Arial"/>
          <w:sz w:val="20"/>
          <w:szCs w:val="20"/>
        </w:rPr>
        <w:t xml:space="preserve"> 30 days of the adoption of this</w:t>
      </w:r>
      <w:r w:rsidRPr="0004672A">
        <w:rPr>
          <w:rFonts w:ascii="Arial" w:hAnsi="Arial" w:cs="Arial"/>
          <w:sz w:val="20"/>
          <w:szCs w:val="20"/>
        </w:rPr>
        <w:t xml:space="preserve"> repo</w:t>
      </w:r>
      <w:r w:rsidR="00ED6309" w:rsidRPr="0004672A">
        <w:rPr>
          <w:rFonts w:ascii="Arial" w:hAnsi="Arial" w:cs="Arial"/>
          <w:sz w:val="20"/>
          <w:szCs w:val="20"/>
        </w:rPr>
        <w:t>rt provide the SCOAG</w:t>
      </w:r>
      <w:r w:rsidRPr="0004672A">
        <w:rPr>
          <w:rFonts w:ascii="Arial" w:hAnsi="Arial" w:cs="Arial"/>
          <w:sz w:val="20"/>
          <w:szCs w:val="20"/>
        </w:rPr>
        <w:t xml:space="preserve"> with definitive plans, with timeframes, as to how the</w:t>
      </w:r>
      <w:r w:rsidR="00ED6309" w:rsidRPr="0004672A">
        <w:rPr>
          <w:rFonts w:ascii="Arial" w:hAnsi="Arial" w:cs="Arial"/>
          <w:sz w:val="20"/>
          <w:szCs w:val="20"/>
        </w:rPr>
        <w:t xml:space="preserve"> office intends to utilise the net s</w:t>
      </w:r>
      <w:r w:rsidRPr="0004672A">
        <w:rPr>
          <w:rFonts w:ascii="Arial" w:hAnsi="Arial" w:cs="Arial"/>
          <w:sz w:val="20"/>
          <w:szCs w:val="20"/>
        </w:rPr>
        <w:t xml:space="preserve">urplus. </w:t>
      </w:r>
    </w:p>
    <w:p w:rsidR="00971BC6" w:rsidRPr="0004672A" w:rsidRDefault="00473412" w:rsidP="0004672A">
      <w:pPr>
        <w:pStyle w:val="ListParagraph"/>
        <w:numPr>
          <w:ilvl w:val="0"/>
          <w:numId w:val="2"/>
        </w:numPr>
        <w:spacing w:after="0" w:line="240" w:lineRule="auto"/>
        <w:rPr>
          <w:rFonts w:ascii="Arial" w:hAnsi="Arial" w:cs="Arial"/>
          <w:color w:val="000000" w:themeColor="text1"/>
          <w:sz w:val="20"/>
          <w:szCs w:val="20"/>
        </w:rPr>
      </w:pPr>
      <w:r w:rsidRPr="0004672A">
        <w:rPr>
          <w:rFonts w:ascii="Arial" w:hAnsi="Arial" w:cs="Arial"/>
          <w:color w:val="000000" w:themeColor="text1"/>
          <w:sz w:val="20"/>
          <w:szCs w:val="20"/>
        </w:rPr>
        <w:t xml:space="preserve">The Committee recommends that the AG should brief the Committee in detail about the </w:t>
      </w:r>
      <w:r w:rsidR="00ED6309" w:rsidRPr="0004672A">
        <w:rPr>
          <w:rFonts w:ascii="Arial" w:hAnsi="Arial" w:cs="Arial"/>
          <w:color w:val="000000" w:themeColor="text1"/>
          <w:sz w:val="20"/>
          <w:szCs w:val="20"/>
        </w:rPr>
        <w:t xml:space="preserve">nature of the current 327 </w:t>
      </w:r>
      <w:r w:rsidRPr="0004672A">
        <w:rPr>
          <w:rFonts w:ascii="Arial" w:hAnsi="Arial" w:cs="Arial"/>
          <w:color w:val="000000" w:themeColor="text1"/>
          <w:sz w:val="20"/>
          <w:szCs w:val="20"/>
        </w:rPr>
        <w:t>MIs</w:t>
      </w:r>
      <w:r w:rsidR="008B7FEE" w:rsidRPr="0004672A">
        <w:rPr>
          <w:rFonts w:ascii="Arial" w:hAnsi="Arial" w:cs="Arial"/>
          <w:color w:val="000000" w:themeColor="text1"/>
          <w:sz w:val="20"/>
          <w:szCs w:val="20"/>
        </w:rPr>
        <w:t xml:space="preserve"> in line with the PAA a</w:t>
      </w:r>
      <w:r w:rsidR="003F4E93" w:rsidRPr="0004672A">
        <w:rPr>
          <w:rFonts w:ascii="Arial" w:hAnsi="Arial" w:cs="Arial"/>
          <w:color w:val="000000" w:themeColor="text1"/>
          <w:sz w:val="20"/>
          <w:szCs w:val="20"/>
        </w:rPr>
        <w:t>s</w:t>
      </w:r>
      <w:r w:rsidR="008B7FEE" w:rsidRPr="0004672A">
        <w:rPr>
          <w:rFonts w:ascii="Arial" w:hAnsi="Arial" w:cs="Arial"/>
          <w:color w:val="000000" w:themeColor="text1"/>
          <w:sz w:val="20"/>
          <w:szCs w:val="20"/>
        </w:rPr>
        <w:t xml:space="preserve"> amended.</w:t>
      </w:r>
    </w:p>
    <w:p w:rsidR="00D15A8C" w:rsidRPr="0004672A" w:rsidRDefault="008F3BBA" w:rsidP="0004672A">
      <w:pPr>
        <w:pStyle w:val="ListParagraph"/>
        <w:numPr>
          <w:ilvl w:val="0"/>
          <w:numId w:val="2"/>
        </w:numPr>
        <w:spacing w:after="0" w:line="240" w:lineRule="auto"/>
        <w:rPr>
          <w:rFonts w:ascii="Arial" w:hAnsi="Arial" w:cs="Arial"/>
          <w:color w:val="000000" w:themeColor="text1"/>
          <w:sz w:val="20"/>
          <w:szCs w:val="20"/>
        </w:rPr>
      </w:pPr>
      <w:r w:rsidRPr="0004672A">
        <w:rPr>
          <w:rFonts w:ascii="Arial" w:hAnsi="Arial" w:cs="Arial"/>
          <w:color w:val="000000" w:themeColor="text1"/>
          <w:sz w:val="20"/>
          <w:szCs w:val="20"/>
        </w:rPr>
        <w:t>The Committee recommends that the AG should fast</w:t>
      </w:r>
      <w:r w:rsidR="009F0075" w:rsidRPr="0004672A">
        <w:rPr>
          <w:rFonts w:ascii="Arial" w:hAnsi="Arial" w:cs="Arial"/>
          <w:color w:val="000000" w:themeColor="text1"/>
          <w:sz w:val="20"/>
          <w:szCs w:val="20"/>
        </w:rPr>
        <w:t>-</w:t>
      </w:r>
      <w:r w:rsidRPr="0004672A">
        <w:rPr>
          <w:rFonts w:ascii="Arial" w:hAnsi="Arial" w:cs="Arial"/>
          <w:color w:val="000000" w:themeColor="text1"/>
          <w:sz w:val="20"/>
          <w:szCs w:val="20"/>
        </w:rPr>
        <w:t xml:space="preserve">track the review of </w:t>
      </w:r>
      <w:r w:rsidR="009F0075" w:rsidRPr="0004672A">
        <w:rPr>
          <w:rFonts w:ascii="Arial" w:hAnsi="Arial" w:cs="Arial"/>
          <w:color w:val="000000" w:themeColor="text1"/>
          <w:sz w:val="20"/>
          <w:szCs w:val="20"/>
        </w:rPr>
        <w:t xml:space="preserve">the </w:t>
      </w:r>
      <w:r w:rsidRPr="0004672A">
        <w:rPr>
          <w:rFonts w:ascii="Arial" w:hAnsi="Arial" w:cs="Arial"/>
          <w:color w:val="000000" w:themeColor="text1"/>
          <w:sz w:val="20"/>
          <w:szCs w:val="20"/>
        </w:rPr>
        <w:t>dispute resolution process. A detailed plan with timeframes on the process of reviewing the dispute resolution process shou</w:t>
      </w:r>
      <w:r w:rsidR="00ED6309" w:rsidRPr="0004672A">
        <w:rPr>
          <w:rFonts w:ascii="Arial" w:hAnsi="Arial" w:cs="Arial"/>
          <w:color w:val="000000" w:themeColor="text1"/>
          <w:sz w:val="20"/>
          <w:szCs w:val="20"/>
        </w:rPr>
        <w:t>ld be submitted to the SCOAG</w:t>
      </w:r>
      <w:r w:rsidRPr="0004672A">
        <w:rPr>
          <w:rFonts w:ascii="Arial" w:hAnsi="Arial" w:cs="Arial"/>
          <w:color w:val="000000" w:themeColor="text1"/>
          <w:sz w:val="20"/>
          <w:szCs w:val="20"/>
        </w:rPr>
        <w:t>, 30 days after the adoption of this report</w:t>
      </w:r>
    </w:p>
    <w:p w:rsidR="00971BC6" w:rsidRPr="0004672A" w:rsidRDefault="00971BC6" w:rsidP="0004672A">
      <w:pPr>
        <w:numPr>
          <w:ilvl w:val="0"/>
          <w:numId w:val="2"/>
        </w:numPr>
        <w:spacing w:after="0" w:line="240" w:lineRule="auto"/>
        <w:contextualSpacing/>
        <w:rPr>
          <w:rFonts w:ascii="Arial" w:hAnsi="Arial" w:cs="Arial"/>
          <w:i/>
          <w:sz w:val="20"/>
          <w:szCs w:val="20"/>
        </w:rPr>
      </w:pPr>
      <w:r w:rsidRPr="0004672A">
        <w:rPr>
          <w:rFonts w:ascii="Arial" w:hAnsi="Arial" w:cs="Arial"/>
          <w:sz w:val="20"/>
          <w:szCs w:val="20"/>
        </w:rPr>
        <w:t xml:space="preserve">The Committee welcomed the efforts made by the AGSA to expand its audit portfolio, especially with large and complex SOEs. In this regard, it recommends that AGSA should communicate any challenges it encounters when increasing auditing the number of large and complex SOEs.  Further, the AGSA should keep the Committee abreast </w:t>
      </w:r>
      <w:r w:rsidR="00CD42C9" w:rsidRPr="0004672A">
        <w:rPr>
          <w:rFonts w:ascii="Arial" w:hAnsi="Arial" w:cs="Arial"/>
          <w:sz w:val="20"/>
          <w:szCs w:val="20"/>
        </w:rPr>
        <w:t>o</w:t>
      </w:r>
      <w:r w:rsidR="009F0075" w:rsidRPr="0004672A">
        <w:rPr>
          <w:rFonts w:ascii="Arial" w:hAnsi="Arial" w:cs="Arial"/>
          <w:sz w:val="20"/>
          <w:szCs w:val="20"/>
        </w:rPr>
        <w:t>f</w:t>
      </w:r>
      <w:r w:rsidRPr="0004672A">
        <w:rPr>
          <w:rFonts w:ascii="Arial" w:hAnsi="Arial" w:cs="Arial"/>
          <w:sz w:val="20"/>
          <w:szCs w:val="20"/>
        </w:rPr>
        <w:t xml:space="preserve"> the progress in implementing PAA regulation</w:t>
      </w:r>
      <w:r w:rsidR="00CD42C9" w:rsidRPr="0004672A">
        <w:rPr>
          <w:rFonts w:ascii="Arial" w:hAnsi="Arial" w:cs="Arial"/>
          <w:sz w:val="20"/>
          <w:szCs w:val="20"/>
        </w:rPr>
        <w:t>s</w:t>
      </w:r>
      <w:r w:rsidRPr="0004672A">
        <w:rPr>
          <w:rFonts w:ascii="Arial" w:hAnsi="Arial" w:cs="Arial"/>
          <w:sz w:val="20"/>
          <w:szCs w:val="20"/>
        </w:rPr>
        <w:t xml:space="preserve"> with regard </w:t>
      </w:r>
      <w:r w:rsidR="00CD42C9" w:rsidRPr="0004672A">
        <w:rPr>
          <w:rFonts w:ascii="Arial" w:hAnsi="Arial" w:cs="Arial"/>
          <w:sz w:val="20"/>
          <w:szCs w:val="20"/>
        </w:rPr>
        <w:t>to concurrence</w:t>
      </w:r>
      <w:r w:rsidRPr="0004672A">
        <w:rPr>
          <w:rFonts w:ascii="Arial" w:hAnsi="Arial" w:cs="Arial"/>
          <w:sz w:val="20"/>
          <w:szCs w:val="20"/>
        </w:rPr>
        <w:t xml:space="preserve"> in the appointment of private auditors to those Schedule 2 SOEs, which are not audited by AGSA. </w:t>
      </w:r>
    </w:p>
    <w:p w:rsidR="00486D39" w:rsidRPr="0004672A" w:rsidRDefault="00486D39" w:rsidP="0004672A">
      <w:pPr>
        <w:spacing w:after="0" w:line="240" w:lineRule="auto"/>
        <w:ind w:left="720"/>
        <w:contextualSpacing/>
        <w:rPr>
          <w:rFonts w:ascii="Arial" w:hAnsi="Arial" w:cs="Arial"/>
          <w:i/>
          <w:sz w:val="20"/>
          <w:szCs w:val="20"/>
        </w:rPr>
      </w:pPr>
    </w:p>
    <w:p w:rsidR="00971BC6" w:rsidRPr="0004672A" w:rsidRDefault="00971BC6" w:rsidP="0004672A">
      <w:pPr>
        <w:numPr>
          <w:ilvl w:val="0"/>
          <w:numId w:val="2"/>
        </w:numPr>
        <w:spacing w:after="0" w:line="240" w:lineRule="auto"/>
        <w:contextualSpacing/>
        <w:rPr>
          <w:rFonts w:ascii="Arial" w:hAnsi="Arial" w:cs="Arial"/>
          <w:i/>
          <w:sz w:val="20"/>
          <w:szCs w:val="20"/>
        </w:rPr>
      </w:pPr>
      <w:r w:rsidRPr="0004672A">
        <w:rPr>
          <w:rFonts w:ascii="Arial" w:hAnsi="Arial" w:cs="Arial"/>
          <w:sz w:val="20"/>
          <w:szCs w:val="20"/>
        </w:rPr>
        <w:t>The AGSA should consider extending its current collection strategies to SOEs</w:t>
      </w:r>
      <w:r w:rsidR="009F0075" w:rsidRPr="0004672A">
        <w:rPr>
          <w:rFonts w:ascii="Arial" w:hAnsi="Arial" w:cs="Arial"/>
          <w:sz w:val="20"/>
          <w:szCs w:val="20"/>
        </w:rPr>
        <w:t>'</w:t>
      </w:r>
      <w:r w:rsidRPr="0004672A">
        <w:rPr>
          <w:rFonts w:ascii="Arial" w:hAnsi="Arial" w:cs="Arial"/>
          <w:sz w:val="20"/>
          <w:szCs w:val="20"/>
        </w:rPr>
        <w:t xml:space="preserve"> debtors. In this regard, the AG should enter into ring-fencing agreements with SOEs’ debtors to ensure that they pay their outstanding debts to AGSA.</w:t>
      </w:r>
      <w:r w:rsidR="002F4460" w:rsidRPr="0004672A">
        <w:rPr>
          <w:rFonts w:ascii="Arial" w:hAnsi="Arial" w:cs="Arial"/>
          <w:sz w:val="20"/>
          <w:szCs w:val="20"/>
        </w:rPr>
        <w:t xml:space="preserve"> Further, AGSA should continue to forge relations with the National Treasury in this regard as it proved effective.</w:t>
      </w:r>
    </w:p>
    <w:p w:rsidR="00486D39" w:rsidRPr="0004672A" w:rsidRDefault="00486D39" w:rsidP="0004672A">
      <w:pPr>
        <w:spacing w:after="0" w:line="240" w:lineRule="auto"/>
        <w:ind w:left="720"/>
        <w:contextualSpacing/>
        <w:rPr>
          <w:rFonts w:ascii="Arial" w:hAnsi="Arial" w:cs="Arial"/>
          <w:i/>
          <w:sz w:val="20"/>
          <w:szCs w:val="20"/>
        </w:rPr>
      </w:pPr>
    </w:p>
    <w:p w:rsidR="00486D39" w:rsidRPr="0004672A" w:rsidRDefault="00971BC6" w:rsidP="0004672A">
      <w:pPr>
        <w:numPr>
          <w:ilvl w:val="0"/>
          <w:numId w:val="2"/>
        </w:numPr>
        <w:spacing w:after="0" w:line="240" w:lineRule="auto"/>
        <w:contextualSpacing/>
        <w:rPr>
          <w:rFonts w:ascii="Arial" w:hAnsi="Arial" w:cs="Arial"/>
          <w:sz w:val="20"/>
          <w:szCs w:val="20"/>
        </w:rPr>
      </w:pPr>
      <w:r w:rsidRPr="0004672A">
        <w:rPr>
          <w:rFonts w:ascii="Arial" w:hAnsi="Arial" w:cs="Arial"/>
          <w:sz w:val="20"/>
          <w:szCs w:val="20"/>
        </w:rPr>
        <w:t>Given the challenge of outstanding debts to AGSA and the need for financial resources to audit the current 16 Schedule 2 SOEs which are al</w:t>
      </w:r>
      <w:r w:rsidR="002B6BC9" w:rsidRPr="0004672A">
        <w:rPr>
          <w:rFonts w:ascii="Arial" w:hAnsi="Arial" w:cs="Arial"/>
          <w:sz w:val="20"/>
          <w:szCs w:val="20"/>
        </w:rPr>
        <w:t>ready in AGSA’s audit portfolio. I</w:t>
      </w:r>
      <w:r w:rsidRPr="0004672A">
        <w:rPr>
          <w:rFonts w:ascii="Arial" w:hAnsi="Arial" w:cs="Arial"/>
          <w:sz w:val="20"/>
          <w:szCs w:val="20"/>
        </w:rPr>
        <w:t>t is therefore recommended to review the Funding Model of AGSA by invokin</w:t>
      </w:r>
      <w:r w:rsidR="002B6BC9" w:rsidRPr="0004672A">
        <w:rPr>
          <w:rFonts w:ascii="Arial" w:hAnsi="Arial" w:cs="Arial"/>
          <w:sz w:val="20"/>
          <w:szCs w:val="20"/>
        </w:rPr>
        <w:t>g section 36 (1) (b) of the PAA, which authorises AGSA to access funding from multiple sources, including audit fees, money allocated by Parliament</w:t>
      </w:r>
      <w:r w:rsidR="009F0075" w:rsidRPr="0004672A">
        <w:rPr>
          <w:rFonts w:ascii="Arial" w:hAnsi="Arial" w:cs="Arial"/>
          <w:sz w:val="20"/>
          <w:szCs w:val="20"/>
        </w:rPr>
        <w:t>,</w:t>
      </w:r>
      <w:r w:rsidR="002B6BC9" w:rsidRPr="0004672A">
        <w:rPr>
          <w:rFonts w:ascii="Arial" w:hAnsi="Arial" w:cs="Arial"/>
          <w:sz w:val="20"/>
          <w:szCs w:val="20"/>
        </w:rPr>
        <w:t xml:space="preserve"> and interest on investments. </w:t>
      </w:r>
    </w:p>
    <w:p w:rsidR="00697B1E" w:rsidRPr="0004672A" w:rsidRDefault="00697B1E" w:rsidP="0004672A">
      <w:pPr>
        <w:spacing w:after="0" w:line="240" w:lineRule="auto"/>
        <w:contextualSpacing/>
        <w:rPr>
          <w:rFonts w:ascii="Arial" w:hAnsi="Arial" w:cs="Arial"/>
          <w:sz w:val="20"/>
          <w:szCs w:val="20"/>
        </w:rPr>
      </w:pPr>
    </w:p>
    <w:p w:rsidR="00971BC6" w:rsidRPr="0004672A" w:rsidRDefault="00971BC6" w:rsidP="0004672A">
      <w:pPr>
        <w:numPr>
          <w:ilvl w:val="0"/>
          <w:numId w:val="2"/>
        </w:numPr>
        <w:spacing w:after="0" w:line="240" w:lineRule="auto"/>
        <w:contextualSpacing/>
        <w:rPr>
          <w:rFonts w:ascii="Arial" w:hAnsi="Arial" w:cs="Arial"/>
          <w:i/>
          <w:sz w:val="20"/>
          <w:szCs w:val="20"/>
        </w:rPr>
      </w:pPr>
      <w:r w:rsidRPr="0004672A">
        <w:rPr>
          <w:rFonts w:ascii="Arial" w:hAnsi="Arial" w:cs="Arial"/>
          <w:sz w:val="20"/>
          <w:szCs w:val="20"/>
        </w:rPr>
        <w:t xml:space="preserve">The Committee recommends that the AGSA should develop an audit action plan to deal with </w:t>
      </w:r>
      <w:r w:rsidR="00A31F78" w:rsidRPr="0004672A">
        <w:rPr>
          <w:rFonts w:ascii="Arial" w:hAnsi="Arial" w:cs="Arial"/>
          <w:sz w:val="20"/>
          <w:szCs w:val="20"/>
        </w:rPr>
        <w:t xml:space="preserve">any issues </w:t>
      </w:r>
      <w:r w:rsidRPr="0004672A">
        <w:rPr>
          <w:rFonts w:ascii="Arial" w:hAnsi="Arial" w:cs="Arial"/>
          <w:sz w:val="20"/>
          <w:szCs w:val="20"/>
        </w:rPr>
        <w:t xml:space="preserve">identified </w:t>
      </w:r>
      <w:r w:rsidR="00A31F78" w:rsidRPr="0004672A">
        <w:rPr>
          <w:rFonts w:ascii="Arial" w:hAnsi="Arial" w:cs="Arial"/>
          <w:sz w:val="20"/>
          <w:szCs w:val="20"/>
        </w:rPr>
        <w:t>during auditing</w:t>
      </w:r>
      <w:r w:rsidRPr="0004672A">
        <w:rPr>
          <w:rFonts w:ascii="Arial" w:hAnsi="Arial" w:cs="Arial"/>
          <w:sz w:val="20"/>
          <w:szCs w:val="20"/>
        </w:rPr>
        <w:t>, and submit it to the Committee for monitoring its implementation.</w:t>
      </w:r>
    </w:p>
    <w:p w:rsidR="00486D39" w:rsidRPr="0004672A" w:rsidRDefault="002108A5" w:rsidP="0004672A">
      <w:pPr>
        <w:pStyle w:val="ListParagraph"/>
        <w:numPr>
          <w:ilvl w:val="0"/>
          <w:numId w:val="2"/>
        </w:numPr>
        <w:spacing w:after="0" w:line="240" w:lineRule="auto"/>
        <w:rPr>
          <w:rFonts w:ascii="Arial" w:hAnsi="Arial" w:cs="Arial"/>
          <w:i/>
          <w:sz w:val="20"/>
          <w:szCs w:val="20"/>
        </w:rPr>
      </w:pPr>
      <w:r w:rsidRPr="0004672A">
        <w:rPr>
          <w:rFonts w:ascii="Arial" w:hAnsi="Arial" w:cs="Arial"/>
          <w:sz w:val="20"/>
          <w:szCs w:val="20"/>
        </w:rPr>
        <w:t xml:space="preserve">The Committee supports AGSA in its endeavours to ensure its financial sustainability </w:t>
      </w:r>
      <w:r w:rsidR="003F4E93" w:rsidRPr="0004672A">
        <w:rPr>
          <w:rFonts w:ascii="Arial" w:hAnsi="Arial" w:cs="Arial"/>
          <w:sz w:val="20"/>
          <w:szCs w:val="20"/>
        </w:rPr>
        <w:t>by</w:t>
      </w:r>
      <w:r w:rsidRPr="0004672A">
        <w:rPr>
          <w:rFonts w:ascii="Arial" w:hAnsi="Arial" w:cs="Arial"/>
          <w:sz w:val="20"/>
          <w:szCs w:val="20"/>
        </w:rPr>
        <w:t xml:space="preserve"> curtailing its financial liabilities. Therefore, the Committee recommends that AGSA should continue </w:t>
      </w:r>
      <w:r w:rsidR="003F4E93" w:rsidRPr="0004672A">
        <w:rPr>
          <w:rFonts w:ascii="Arial" w:hAnsi="Arial" w:cs="Arial"/>
          <w:sz w:val="20"/>
          <w:szCs w:val="20"/>
        </w:rPr>
        <w:t xml:space="preserve">with Post Medical Retirement Benefit buyout offer, including persuading those who rejected the buy-out offer. Further, the Committee recommends that the AGSA should furnish it with the High Court judgment, which has been used as the basis for such an offer.  </w:t>
      </w:r>
    </w:p>
    <w:p w:rsidR="003F4E93" w:rsidRPr="0004672A" w:rsidRDefault="003F4E93" w:rsidP="0004672A">
      <w:pPr>
        <w:pStyle w:val="ListParagraph"/>
        <w:spacing w:after="0" w:line="240" w:lineRule="auto"/>
        <w:rPr>
          <w:rFonts w:ascii="Arial" w:hAnsi="Arial" w:cs="Arial"/>
          <w:i/>
          <w:sz w:val="20"/>
          <w:szCs w:val="20"/>
        </w:rPr>
      </w:pPr>
    </w:p>
    <w:p w:rsidR="00971BC6" w:rsidRPr="0004672A" w:rsidRDefault="00971BC6" w:rsidP="0004672A">
      <w:pPr>
        <w:pStyle w:val="ListParagraph"/>
        <w:numPr>
          <w:ilvl w:val="0"/>
          <w:numId w:val="2"/>
        </w:numPr>
        <w:spacing w:after="0" w:line="240" w:lineRule="auto"/>
        <w:rPr>
          <w:rFonts w:ascii="Arial" w:hAnsi="Arial" w:cs="Arial"/>
          <w:sz w:val="20"/>
          <w:szCs w:val="20"/>
        </w:rPr>
      </w:pPr>
      <w:r w:rsidRPr="0004672A">
        <w:rPr>
          <w:rFonts w:ascii="Arial" w:hAnsi="Arial" w:cs="Arial"/>
          <w:sz w:val="20"/>
          <w:szCs w:val="20"/>
        </w:rPr>
        <w:t>The Standing Committee on the Auditor-General is satisfied with the perf</w:t>
      </w:r>
      <w:r w:rsidR="002F4460" w:rsidRPr="0004672A">
        <w:rPr>
          <w:rFonts w:ascii="Arial" w:hAnsi="Arial" w:cs="Arial"/>
          <w:sz w:val="20"/>
          <w:szCs w:val="20"/>
        </w:rPr>
        <w:t>ormance of the AGSA for the 2021/22</w:t>
      </w:r>
      <w:r w:rsidRPr="0004672A">
        <w:rPr>
          <w:rFonts w:ascii="Arial" w:hAnsi="Arial" w:cs="Arial"/>
          <w:sz w:val="20"/>
          <w:szCs w:val="20"/>
        </w:rPr>
        <w:t xml:space="preserve"> financial year and therefore recommends that the National Assembly approves the Integrated Annual Report.</w:t>
      </w:r>
    </w:p>
    <w:p w:rsidR="00971BC6" w:rsidRPr="0004672A" w:rsidRDefault="00971BC6" w:rsidP="0004672A">
      <w:pPr>
        <w:spacing w:after="0" w:line="240" w:lineRule="auto"/>
        <w:rPr>
          <w:rFonts w:ascii="Arial" w:hAnsi="Arial" w:cs="Arial"/>
          <w:sz w:val="20"/>
          <w:szCs w:val="20"/>
        </w:rPr>
      </w:pPr>
    </w:p>
    <w:p w:rsidR="00971BC6" w:rsidRPr="0004672A" w:rsidRDefault="00971BC6" w:rsidP="0004672A">
      <w:pPr>
        <w:spacing w:after="0" w:line="240" w:lineRule="auto"/>
        <w:ind w:left="720" w:hanging="720"/>
        <w:rPr>
          <w:rFonts w:ascii="Arial" w:hAnsi="Arial" w:cs="Arial"/>
          <w:b/>
          <w:sz w:val="20"/>
          <w:szCs w:val="20"/>
        </w:rPr>
      </w:pPr>
      <w:r w:rsidRPr="0004672A">
        <w:rPr>
          <w:rFonts w:ascii="Arial" w:hAnsi="Arial" w:cs="Arial"/>
          <w:b/>
          <w:sz w:val="20"/>
          <w:szCs w:val="20"/>
        </w:rPr>
        <w:t>Report to be considered.</w:t>
      </w:r>
    </w:p>
    <w:p w:rsidR="00971BC6" w:rsidRPr="0004672A" w:rsidRDefault="00971BC6" w:rsidP="0004672A">
      <w:pPr>
        <w:spacing w:after="0" w:line="240" w:lineRule="auto"/>
        <w:rPr>
          <w:rFonts w:ascii="Arial" w:hAnsi="Arial" w:cs="Arial"/>
          <w:sz w:val="20"/>
          <w:szCs w:val="20"/>
        </w:rPr>
      </w:pPr>
    </w:p>
    <w:p w:rsidR="00971BC6" w:rsidRPr="0004672A" w:rsidRDefault="00971BC6" w:rsidP="0004672A">
      <w:pPr>
        <w:pStyle w:val="ListParagraph"/>
        <w:spacing w:after="0" w:line="240" w:lineRule="auto"/>
        <w:rPr>
          <w:rFonts w:ascii="Arial" w:hAnsi="Arial" w:cs="Arial"/>
          <w:b/>
          <w:sz w:val="20"/>
          <w:szCs w:val="20"/>
        </w:rPr>
      </w:pPr>
    </w:p>
    <w:sectPr w:rsidR="00971BC6" w:rsidRPr="0004672A" w:rsidSect="00A80F47">
      <w:headerReference w:type="even" r:id="rId8"/>
      <w:headerReference w:type="default" r:id="rId9"/>
      <w:pgSz w:w="11906" w:h="16838"/>
      <w:pgMar w:top="1276"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15AD" w:rsidRDefault="00A315AD">
      <w:pPr>
        <w:spacing w:after="0" w:line="240" w:lineRule="auto"/>
      </w:pPr>
      <w:r>
        <w:separator/>
      </w:r>
    </w:p>
  </w:endnote>
  <w:endnote w:type="continuationSeparator" w:id="0">
    <w:p w:rsidR="00A315AD" w:rsidRDefault="00A315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15AD" w:rsidRDefault="00A315AD">
      <w:pPr>
        <w:spacing w:after="0" w:line="240" w:lineRule="auto"/>
      </w:pPr>
      <w:r>
        <w:separator/>
      </w:r>
    </w:p>
  </w:footnote>
  <w:footnote w:type="continuationSeparator" w:id="0">
    <w:p w:rsidR="00A315AD" w:rsidRDefault="00A315A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6D39" w:rsidRDefault="00B57924" w:rsidP="00486D39">
    <w:pPr>
      <w:pStyle w:val="Header"/>
      <w:framePr w:wrap="around" w:vAnchor="text" w:hAnchor="margin" w:xAlign="right" w:y="1"/>
      <w:rPr>
        <w:rStyle w:val="PageNumber"/>
      </w:rPr>
    </w:pPr>
    <w:r>
      <w:rPr>
        <w:rStyle w:val="PageNumber"/>
      </w:rPr>
      <w:fldChar w:fldCharType="begin"/>
    </w:r>
    <w:r w:rsidR="00B90517">
      <w:rPr>
        <w:rStyle w:val="PageNumber"/>
      </w:rPr>
      <w:instrText xml:space="preserve">PAGE  </w:instrText>
    </w:r>
    <w:r>
      <w:rPr>
        <w:rStyle w:val="PageNumber"/>
      </w:rPr>
      <w:fldChar w:fldCharType="end"/>
    </w:r>
  </w:p>
  <w:p w:rsidR="00486D39" w:rsidRDefault="00486D39" w:rsidP="00486D39">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6D39" w:rsidRDefault="00B57924" w:rsidP="00486D39">
    <w:pPr>
      <w:pStyle w:val="Header"/>
      <w:framePr w:wrap="around" w:vAnchor="text" w:hAnchor="margin" w:xAlign="right" w:y="1"/>
      <w:rPr>
        <w:rStyle w:val="PageNumber"/>
      </w:rPr>
    </w:pPr>
    <w:r>
      <w:rPr>
        <w:rStyle w:val="PageNumber"/>
      </w:rPr>
      <w:fldChar w:fldCharType="begin"/>
    </w:r>
    <w:r w:rsidR="00B90517">
      <w:rPr>
        <w:rStyle w:val="PageNumber"/>
      </w:rPr>
      <w:instrText xml:space="preserve">PAGE  </w:instrText>
    </w:r>
    <w:r>
      <w:rPr>
        <w:rStyle w:val="PageNumber"/>
      </w:rPr>
      <w:fldChar w:fldCharType="separate"/>
    </w:r>
    <w:r w:rsidR="0004672A">
      <w:rPr>
        <w:rStyle w:val="PageNumber"/>
        <w:noProof/>
      </w:rPr>
      <w:t>1</w:t>
    </w:r>
    <w:r>
      <w:rPr>
        <w:rStyle w:val="PageNumber"/>
      </w:rPr>
      <w:fldChar w:fldCharType="end"/>
    </w:r>
  </w:p>
  <w:p w:rsidR="00486D39" w:rsidRDefault="00486D39" w:rsidP="00486D39">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34750A"/>
    <w:multiLevelType w:val="hybridMultilevel"/>
    <w:tmpl w:val="F02ECECE"/>
    <w:lvl w:ilvl="0" w:tplc="FA54292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391379"/>
    <w:multiLevelType w:val="hybridMultilevel"/>
    <w:tmpl w:val="94364EE4"/>
    <w:lvl w:ilvl="0" w:tplc="1C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9B681F"/>
    <w:multiLevelType w:val="multilevel"/>
    <w:tmpl w:val="6FE8B96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nsid w:val="2DBC48D1"/>
    <w:multiLevelType w:val="hybridMultilevel"/>
    <w:tmpl w:val="72546A44"/>
    <w:lvl w:ilvl="0" w:tplc="0BBCAFCC">
      <w:start w:val="1"/>
      <w:numFmt w:val="bullet"/>
      <w:lvlText w:val="•"/>
      <w:lvlJc w:val="left"/>
      <w:pPr>
        <w:tabs>
          <w:tab w:val="num" w:pos="720"/>
        </w:tabs>
        <w:ind w:left="720" w:hanging="360"/>
      </w:pPr>
      <w:rPr>
        <w:rFonts w:ascii="Arial" w:hAnsi="Arial" w:hint="default"/>
      </w:rPr>
    </w:lvl>
    <w:lvl w:ilvl="1" w:tplc="BEDEF46E" w:tentative="1">
      <w:start w:val="1"/>
      <w:numFmt w:val="bullet"/>
      <w:lvlText w:val="•"/>
      <w:lvlJc w:val="left"/>
      <w:pPr>
        <w:tabs>
          <w:tab w:val="num" w:pos="1440"/>
        </w:tabs>
        <w:ind w:left="1440" w:hanging="360"/>
      </w:pPr>
      <w:rPr>
        <w:rFonts w:ascii="Arial" w:hAnsi="Arial" w:hint="default"/>
      </w:rPr>
    </w:lvl>
    <w:lvl w:ilvl="2" w:tplc="BCCE99A0" w:tentative="1">
      <w:start w:val="1"/>
      <w:numFmt w:val="bullet"/>
      <w:lvlText w:val="•"/>
      <w:lvlJc w:val="left"/>
      <w:pPr>
        <w:tabs>
          <w:tab w:val="num" w:pos="2160"/>
        </w:tabs>
        <w:ind w:left="2160" w:hanging="360"/>
      </w:pPr>
      <w:rPr>
        <w:rFonts w:ascii="Arial" w:hAnsi="Arial" w:hint="default"/>
      </w:rPr>
    </w:lvl>
    <w:lvl w:ilvl="3" w:tplc="F6F2584E" w:tentative="1">
      <w:start w:val="1"/>
      <w:numFmt w:val="bullet"/>
      <w:lvlText w:val="•"/>
      <w:lvlJc w:val="left"/>
      <w:pPr>
        <w:tabs>
          <w:tab w:val="num" w:pos="2880"/>
        </w:tabs>
        <w:ind w:left="2880" w:hanging="360"/>
      </w:pPr>
      <w:rPr>
        <w:rFonts w:ascii="Arial" w:hAnsi="Arial" w:hint="default"/>
      </w:rPr>
    </w:lvl>
    <w:lvl w:ilvl="4" w:tplc="342E4130" w:tentative="1">
      <w:start w:val="1"/>
      <w:numFmt w:val="bullet"/>
      <w:lvlText w:val="•"/>
      <w:lvlJc w:val="left"/>
      <w:pPr>
        <w:tabs>
          <w:tab w:val="num" w:pos="3600"/>
        </w:tabs>
        <w:ind w:left="3600" w:hanging="360"/>
      </w:pPr>
      <w:rPr>
        <w:rFonts w:ascii="Arial" w:hAnsi="Arial" w:hint="default"/>
      </w:rPr>
    </w:lvl>
    <w:lvl w:ilvl="5" w:tplc="305A4504" w:tentative="1">
      <w:start w:val="1"/>
      <w:numFmt w:val="bullet"/>
      <w:lvlText w:val="•"/>
      <w:lvlJc w:val="left"/>
      <w:pPr>
        <w:tabs>
          <w:tab w:val="num" w:pos="4320"/>
        </w:tabs>
        <w:ind w:left="4320" w:hanging="360"/>
      </w:pPr>
      <w:rPr>
        <w:rFonts w:ascii="Arial" w:hAnsi="Arial" w:hint="default"/>
      </w:rPr>
    </w:lvl>
    <w:lvl w:ilvl="6" w:tplc="03F2BDAC" w:tentative="1">
      <w:start w:val="1"/>
      <w:numFmt w:val="bullet"/>
      <w:lvlText w:val="•"/>
      <w:lvlJc w:val="left"/>
      <w:pPr>
        <w:tabs>
          <w:tab w:val="num" w:pos="5040"/>
        </w:tabs>
        <w:ind w:left="5040" w:hanging="360"/>
      </w:pPr>
      <w:rPr>
        <w:rFonts w:ascii="Arial" w:hAnsi="Arial" w:hint="default"/>
      </w:rPr>
    </w:lvl>
    <w:lvl w:ilvl="7" w:tplc="204A0E9C" w:tentative="1">
      <w:start w:val="1"/>
      <w:numFmt w:val="bullet"/>
      <w:lvlText w:val="•"/>
      <w:lvlJc w:val="left"/>
      <w:pPr>
        <w:tabs>
          <w:tab w:val="num" w:pos="5760"/>
        </w:tabs>
        <w:ind w:left="5760" w:hanging="360"/>
      </w:pPr>
      <w:rPr>
        <w:rFonts w:ascii="Arial" w:hAnsi="Arial" w:hint="default"/>
      </w:rPr>
    </w:lvl>
    <w:lvl w:ilvl="8" w:tplc="F6B62824" w:tentative="1">
      <w:start w:val="1"/>
      <w:numFmt w:val="bullet"/>
      <w:lvlText w:val="•"/>
      <w:lvlJc w:val="left"/>
      <w:pPr>
        <w:tabs>
          <w:tab w:val="num" w:pos="6480"/>
        </w:tabs>
        <w:ind w:left="6480" w:hanging="360"/>
      </w:pPr>
      <w:rPr>
        <w:rFonts w:ascii="Arial" w:hAnsi="Arial" w:hint="default"/>
      </w:rPr>
    </w:lvl>
  </w:abstractNum>
  <w:abstractNum w:abstractNumId="4">
    <w:nsid w:val="3E8A6C8E"/>
    <w:multiLevelType w:val="hybridMultilevel"/>
    <w:tmpl w:val="AB9C1570"/>
    <w:lvl w:ilvl="0" w:tplc="B1602B5E">
      <w:start w:val="1"/>
      <w:numFmt w:val="bullet"/>
      <w:lvlText w:val="•"/>
      <w:lvlJc w:val="left"/>
      <w:pPr>
        <w:tabs>
          <w:tab w:val="num" w:pos="720"/>
        </w:tabs>
        <w:ind w:left="720" w:hanging="360"/>
      </w:pPr>
      <w:rPr>
        <w:rFonts w:ascii="Arial" w:hAnsi="Arial" w:hint="default"/>
      </w:rPr>
    </w:lvl>
    <w:lvl w:ilvl="1" w:tplc="3500BD2A" w:tentative="1">
      <w:start w:val="1"/>
      <w:numFmt w:val="bullet"/>
      <w:lvlText w:val="•"/>
      <w:lvlJc w:val="left"/>
      <w:pPr>
        <w:tabs>
          <w:tab w:val="num" w:pos="1440"/>
        </w:tabs>
        <w:ind w:left="1440" w:hanging="360"/>
      </w:pPr>
      <w:rPr>
        <w:rFonts w:ascii="Arial" w:hAnsi="Arial" w:hint="default"/>
      </w:rPr>
    </w:lvl>
    <w:lvl w:ilvl="2" w:tplc="9EA6DDE4" w:tentative="1">
      <w:start w:val="1"/>
      <w:numFmt w:val="bullet"/>
      <w:lvlText w:val="•"/>
      <w:lvlJc w:val="left"/>
      <w:pPr>
        <w:tabs>
          <w:tab w:val="num" w:pos="2160"/>
        </w:tabs>
        <w:ind w:left="2160" w:hanging="360"/>
      </w:pPr>
      <w:rPr>
        <w:rFonts w:ascii="Arial" w:hAnsi="Arial" w:hint="default"/>
      </w:rPr>
    </w:lvl>
    <w:lvl w:ilvl="3" w:tplc="2506BD2A" w:tentative="1">
      <w:start w:val="1"/>
      <w:numFmt w:val="bullet"/>
      <w:lvlText w:val="•"/>
      <w:lvlJc w:val="left"/>
      <w:pPr>
        <w:tabs>
          <w:tab w:val="num" w:pos="2880"/>
        </w:tabs>
        <w:ind w:left="2880" w:hanging="360"/>
      </w:pPr>
      <w:rPr>
        <w:rFonts w:ascii="Arial" w:hAnsi="Arial" w:hint="default"/>
      </w:rPr>
    </w:lvl>
    <w:lvl w:ilvl="4" w:tplc="80EE89FE" w:tentative="1">
      <w:start w:val="1"/>
      <w:numFmt w:val="bullet"/>
      <w:lvlText w:val="•"/>
      <w:lvlJc w:val="left"/>
      <w:pPr>
        <w:tabs>
          <w:tab w:val="num" w:pos="3600"/>
        </w:tabs>
        <w:ind w:left="3600" w:hanging="360"/>
      </w:pPr>
      <w:rPr>
        <w:rFonts w:ascii="Arial" w:hAnsi="Arial" w:hint="default"/>
      </w:rPr>
    </w:lvl>
    <w:lvl w:ilvl="5" w:tplc="5C0E0F2C" w:tentative="1">
      <w:start w:val="1"/>
      <w:numFmt w:val="bullet"/>
      <w:lvlText w:val="•"/>
      <w:lvlJc w:val="left"/>
      <w:pPr>
        <w:tabs>
          <w:tab w:val="num" w:pos="4320"/>
        </w:tabs>
        <w:ind w:left="4320" w:hanging="360"/>
      </w:pPr>
      <w:rPr>
        <w:rFonts w:ascii="Arial" w:hAnsi="Arial" w:hint="default"/>
      </w:rPr>
    </w:lvl>
    <w:lvl w:ilvl="6" w:tplc="53E02748" w:tentative="1">
      <w:start w:val="1"/>
      <w:numFmt w:val="bullet"/>
      <w:lvlText w:val="•"/>
      <w:lvlJc w:val="left"/>
      <w:pPr>
        <w:tabs>
          <w:tab w:val="num" w:pos="5040"/>
        </w:tabs>
        <w:ind w:left="5040" w:hanging="360"/>
      </w:pPr>
      <w:rPr>
        <w:rFonts w:ascii="Arial" w:hAnsi="Arial" w:hint="default"/>
      </w:rPr>
    </w:lvl>
    <w:lvl w:ilvl="7" w:tplc="7376FAB8" w:tentative="1">
      <w:start w:val="1"/>
      <w:numFmt w:val="bullet"/>
      <w:lvlText w:val="•"/>
      <w:lvlJc w:val="left"/>
      <w:pPr>
        <w:tabs>
          <w:tab w:val="num" w:pos="5760"/>
        </w:tabs>
        <w:ind w:left="5760" w:hanging="360"/>
      </w:pPr>
      <w:rPr>
        <w:rFonts w:ascii="Arial" w:hAnsi="Arial" w:hint="default"/>
      </w:rPr>
    </w:lvl>
    <w:lvl w:ilvl="8" w:tplc="133404BE" w:tentative="1">
      <w:start w:val="1"/>
      <w:numFmt w:val="bullet"/>
      <w:lvlText w:val="•"/>
      <w:lvlJc w:val="left"/>
      <w:pPr>
        <w:tabs>
          <w:tab w:val="num" w:pos="6480"/>
        </w:tabs>
        <w:ind w:left="6480" w:hanging="360"/>
      </w:pPr>
      <w:rPr>
        <w:rFonts w:ascii="Arial" w:hAnsi="Arial" w:hint="default"/>
      </w:rPr>
    </w:lvl>
  </w:abstractNum>
  <w:abstractNum w:abstractNumId="5">
    <w:nsid w:val="46C42373"/>
    <w:multiLevelType w:val="hybridMultilevel"/>
    <w:tmpl w:val="CFD84206"/>
    <w:lvl w:ilvl="0" w:tplc="22882B1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6FD1844"/>
    <w:multiLevelType w:val="hybridMultilevel"/>
    <w:tmpl w:val="2534BF66"/>
    <w:lvl w:ilvl="0" w:tplc="27264B9A">
      <w:start w:val="1"/>
      <w:numFmt w:val="decimal"/>
      <w:lvlText w:val="%1."/>
      <w:lvlJc w:val="left"/>
      <w:pPr>
        <w:ind w:left="63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B7E4267"/>
    <w:multiLevelType w:val="hybridMultilevel"/>
    <w:tmpl w:val="64F445CE"/>
    <w:lvl w:ilvl="0" w:tplc="55983CA6">
      <w:start w:val="1"/>
      <w:numFmt w:val="bullet"/>
      <w:lvlText w:val="•"/>
      <w:lvlJc w:val="left"/>
      <w:pPr>
        <w:tabs>
          <w:tab w:val="num" w:pos="720"/>
        </w:tabs>
        <w:ind w:left="720" w:hanging="360"/>
      </w:pPr>
      <w:rPr>
        <w:rFonts w:ascii="Arial" w:hAnsi="Arial" w:hint="default"/>
      </w:rPr>
    </w:lvl>
    <w:lvl w:ilvl="1" w:tplc="0296852C" w:tentative="1">
      <w:start w:val="1"/>
      <w:numFmt w:val="bullet"/>
      <w:lvlText w:val="•"/>
      <w:lvlJc w:val="left"/>
      <w:pPr>
        <w:tabs>
          <w:tab w:val="num" w:pos="1440"/>
        </w:tabs>
        <w:ind w:left="1440" w:hanging="360"/>
      </w:pPr>
      <w:rPr>
        <w:rFonts w:ascii="Arial" w:hAnsi="Arial" w:hint="default"/>
      </w:rPr>
    </w:lvl>
    <w:lvl w:ilvl="2" w:tplc="6360E58C" w:tentative="1">
      <w:start w:val="1"/>
      <w:numFmt w:val="bullet"/>
      <w:lvlText w:val="•"/>
      <w:lvlJc w:val="left"/>
      <w:pPr>
        <w:tabs>
          <w:tab w:val="num" w:pos="2160"/>
        </w:tabs>
        <w:ind w:left="2160" w:hanging="360"/>
      </w:pPr>
      <w:rPr>
        <w:rFonts w:ascii="Arial" w:hAnsi="Arial" w:hint="default"/>
      </w:rPr>
    </w:lvl>
    <w:lvl w:ilvl="3" w:tplc="ECA045BC" w:tentative="1">
      <w:start w:val="1"/>
      <w:numFmt w:val="bullet"/>
      <w:lvlText w:val="•"/>
      <w:lvlJc w:val="left"/>
      <w:pPr>
        <w:tabs>
          <w:tab w:val="num" w:pos="2880"/>
        </w:tabs>
        <w:ind w:left="2880" w:hanging="360"/>
      </w:pPr>
      <w:rPr>
        <w:rFonts w:ascii="Arial" w:hAnsi="Arial" w:hint="default"/>
      </w:rPr>
    </w:lvl>
    <w:lvl w:ilvl="4" w:tplc="C2B8975C" w:tentative="1">
      <w:start w:val="1"/>
      <w:numFmt w:val="bullet"/>
      <w:lvlText w:val="•"/>
      <w:lvlJc w:val="left"/>
      <w:pPr>
        <w:tabs>
          <w:tab w:val="num" w:pos="3600"/>
        </w:tabs>
        <w:ind w:left="3600" w:hanging="360"/>
      </w:pPr>
      <w:rPr>
        <w:rFonts w:ascii="Arial" w:hAnsi="Arial" w:hint="default"/>
      </w:rPr>
    </w:lvl>
    <w:lvl w:ilvl="5" w:tplc="35508C68" w:tentative="1">
      <w:start w:val="1"/>
      <w:numFmt w:val="bullet"/>
      <w:lvlText w:val="•"/>
      <w:lvlJc w:val="left"/>
      <w:pPr>
        <w:tabs>
          <w:tab w:val="num" w:pos="4320"/>
        </w:tabs>
        <w:ind w:left="4320" w:hanging="360"/>
      </w:pPr>
      <w:rPr>
        <w:rFonts w:ascii="Arial" w:hAnsi="Arial" w:hint="default"/>
      </w:rPr>
    </w:lvl>
    <w:lvl w:ilvl="6" w:tplc="1CF0ACFE" w:tentative="1">
      <w:start w:val="1"/>
      <w:numFmt w:val="bullet"/>
      <w:lvlText w:val="•"/>
      <w:lvlJc w:val="left"/>
      <w:pPr>
        <w:tabs>
          <w:tab w:val="num" w:pos="5040"/>
        </w:tabs>
        <w:ind w:left="5040" w:hanging="360"/>
      </w:pPr>
      <w:rPr>
        <w:rFonts w:ascii="Arial" w:hAnsi="Arial" w:hint="default"/>
      </w:rPr>
    </w:lvl>
    <w:lvl w:ilvl="7" w:tplc="19FC57C6" w:tentative="1">
      <w:start w:val="1"/>
      <w:numFmt w:val="bullet"/>
      <w:lvlText w:val="•"/>
      <w:lvlJc w:val="left"/>
      <w:pPr>
        <w:tabs>
          <w:tab w:val="num" w:pos="5760"/>
        </w:tabs>
        <w:ind w:left="5760" w:hanging="360"/>
      </w:pPr>
      <w:rPr>
        <w:rFonts w:ascii="Arial" w:hAnsi="Arial" w:hint="default"/>
      </w:rPr>
    </w:lvl>
    <w:lvl w:ilvl="8" w:tplc="9C34F76E" w:tentative="1">
      <w:start w:val="1"/>
      <w:numFmt w:val="bullet"/>
      <w:lvlText w:val="•"/>
      <w:lvlJc w:val="left"/>
      <w:pPr>
        <w:tabs>
          <w:tab w:val="num" w:pos="6480"/>
        </w:tabs>
        <w:ind w:left="6480" w:hanging="360"/>
      </w:pPr>
      <w:rPr>
        <w:rFonts w:ascii="Arial" w:hAnsi="Arial" w:hint="default"/>
      </w:rPr>
    </w:lvl>
  </w:abstractNum>
  <w:abstractNum w:abstractNumId="8">
    <w:nsid w:val="6E0638F9"/>
    <w:multiLevelType w:val="multilevel"/>
    <w:tmpl w:val="058ACD7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7BE149A8"/>
    <w:multiLevelType w:val="multilevel"/>
    <w:tmpl w:val="8CB69544"/>
    <w:lvl w:ilvl="0">
      <w:start w:val="4"/>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nsid w:val="7F7877C8"/>
    <w:multiLevelType w:val="hybridMultilevel"/>
    <w:tmpl w:val="B57026AC"/>
    <w:lvl w:ilvl="0" w:tplc="D3EA58A2">
      <w:numFmt w:val="bullet"/>
      <w:lvlText w:val=""/>
      <w:lvlJc w:val="left"/>
      <w:pPr>
        <w:ind w:left="720" w:hanging="360"/>
      </w:pPr>
      <w:rPr>
        <w:rFonts w:ascii="Symbol" w:eastAsiaTheme="minorHAnsi" w:hAnsi="Symbo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8"/>
  </w:num>
  <w:num w:numId="4">
    <w:abstractNumId w:val="9"/>
  </w:num>
  <w:num w:numId="5">
    <w:abstractNumId w:val="0"/>
  </w:num>
  <w:num w:numId="6">
    <w:abstractNumId w:val="5"/>
  </w:num>
  <w:num w:numId="7">
    <w:abstractNumId w:val="2"/>
  </w:num>
  <w:num w:numId="8">
    <w:abstractNumId w:val="10"/>
  </w:num>
  <w:num w:numId="9">
    <w:abstractNumId w:val="3"/>
  </w:num>
  <w:num w:numId="10">
    <w:abstractNumId w:val="7"/>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20"/>
  <w:characterSpacingControl w:val="doNotCompress"/>
  <w:footnotePr>
    <w:footnote w:id="-1"/>
    <w:footnote w:id="0"/>
  </w:footnotePr>
  <w:endnotePr>
    <w:endnote w:id="-1"/>
    <w:endnote w:id="0"/>
  </w:endnotePr>
  <w:compat/>
  <w:docVars>
    <w:docVar w:name="__Grammarly_42____i" w:val="H4sIAAAAAAAEAKtWckksSQxILCpxzi/NK1GyMqwFAAEhoTITAAAA"/>
    <w:docVar w:name="__Grammarly_42___1" w:val="H4sIAAAAAAAEAKtWcslP9kxRslIyNDayMDIyMjUxMDQyNDGzMDJR0lEKTi0uzszPAykwrQUA48jQ0iwAAAA="/>
  </w:docVars>
  <w:rsids>
    <w:rsidRoot w:val="00F14CCC"/>
    <w:rsid w:val="0004672A"/>
    <w:rsid w:val="00055116"/>
    <w:rsid w:val="0008289D"/>
    <w:rsid w:val="000C7D38"/>
    <w:rsid w:val="000F54EA"/>
    <w:rsid w:val="0010673A"/>
    <w:rsid w:val="00106FB6"/>
    <w:rsid w:val="00113F34"/>
    <w:rsid w:val="001163CB"/>
    <w:rsid w:val="0014221F"/>
    <w:rsid w:val="00165324"/>
    <w:rsid w:val="0018786E"/>
    <w:rsid w:val="001A59EE"/>
    <w:rsid w:val="001B2FF2"/>
    <w:rsid w:val="001C355E"/>
    <w:rsid w:val="001E17AA"/>
    <w:rsid w:val="001E39D6"/>
    <w:rsid w:val="002108A5"/>
    <w:rsid w:val="00224BF3"/>
    <w:rsid w:val="00260313"/>
    <w:rsid w:val="00262E82"/>
    <w:rsid w:val="00267F59"/>
    <w:rsid w:val="002A40C7"/>
    <w:rsid w:val="002B0452"/>
    <w:rsid w:val="002B058A"/>
    <w:rsid w:val="002B6BC9"/>
    <w:rsid w:val="002C4A93"/>
    <w:rsid w:val="002D034B"/>
    <w:rsid w:val="002E55AD"/>
    <w:rsid w:val="002F124A"/>
    <w:rsid w:val="002F271A"/>
    <w:rsid w:val="002F4460"/>
    <w:rsid w:val="003003B3"/>
    <w:rsid w:val="00304874"/>
    <w:rsid w:val="0033042D"/>
    <w:rsid w:val="00332223"/>
    <w:rsid w:val="003448FA"/>
    <w:rsid w:val="00370437"/>
    <w:rsid w:val="0038142F"/>
    <w:rsid w:val="003D3599"/>
    <w:rsid w:val="003D68AD"/>
    <w:rsid w:val="003F4E93"/>
    <w:rsid w:val="00410517"/>
    <w:rsid w:val="00431402"/>
    <w:rsid w:val="00437817"/>
    <w:rsid w:val="004460A9"/>
    <w:rsid w:val="0045030A"/>
    <w:rsid w:val="004552C7"/>
    <w:rsid w:val="00473412"/>
    <w:rsid w:val="00477E98"/>
    <w:rsid w:val="00486D39"/>
    <w:rsid w:val="0049494D"/>
    <w:rsid w:val="00497098"/>
    <w:rsid w:val="004D1958"/>
    <w:rsid w:val="00536B02"/>
    <w:rsid w:val="00566D16"/>
    <w:rsid w:val="00567A77"/>
    <w:rsid w:val="005B6BF1"/>
    <w:rsid w:val="005E56E3"/>
    <w:rsid w:val="005F3DDB"/>
    <w:rsid w:val="006025B5"/>
    <w:rsid w:val="006130DD"/>
    <w:rsid w:val="006504C3"/>
    <w:rsid w:val="00675EAF"/>
    <w:rsid w:val="006828ED"/>
    <w:rsid w:val="00684CB5"/>
    <w:rsid w:val="00697B1E"/>
    <w:rsid w:val="006C310E"/>
    <w:rsid w:val="00726A94"/>
    <w:rsid w:val="0074409B"/>
    <w:rsid w:val="00746CAC"/>
    <w:rsid w:val="007600A0"/>
    <w:rsid w:val="007C1F40"/>
    <w:rsid w:val="00855E01"/>
    <w:rsid w:val="008843EA"/>
    <w:rsid w:val="008A6C9A"/>
    <w:rsid w:val="008B7FEE"/>
    <w:rsid w:val="008D0CC3"/>
    <w:rsid w:val="008E0A17"/>
    <w:rsid w:val="008F2485"/>
    <w:rsid w:val="008F3BBA"/>
    <w:rsid w:val="00903576"/>
    <w:rsid w:val="0096079D"/>
    <w:rsid w:val="00964E75"/>
    <w:rsid w:val="00971BC6"/>
    <w:rsid w:val="009B44B2"/>
    <w:rsid w:val="009C7F9F"/>
    <w:rsid w:val="009E5365"/>
    <w:rsid w:val="009F0075"/>
    <w:rsid w:val="00A22077"/>
    <w:rsid w:val="00A23B6A"/>
    <w:rsid w:val="00A315AD"/>
    <w:rsid w:val="00A31F78"/>
    <w:rsid w:val="00A5142C"/>
    <w:rsid w:val="00A634BF"/>
    <w:rsid w:val="00A803E1"/>
    <w:rsid w:val="00A80F47"/>
    <w:rsid w:val="00A854FC"/>
    <w:rsid w:val="00A96759"/>
    <w:rsid w:val="00AB0013"/>
    <w:rsid w:val="00AB2B8F"/>
    <w:rsid w:val="00AF6AFA"/>
    <w:rsid w:val="00B17B56"/>
    <w:rsid w:val="00B50B6A"/>
    <w:rsid w:val="00B57924"/>
    <w:rsid w:val="00B90517"/>
    <w:rsid w:val="00B93E76"/>
    <w:rsid w:val="00BB1DF7"/>
    <w:rsid w:val="00BB51D2"/>
    <w:rsid w:val="00BB5799"/>
    <w:rsid w:val="00BF6F84"/>
    <w:rsid w:val="00C07C85"/>
    <w:rsid w:val="00C07DE3"/>
    <w:rsid w:val="00C23752"/>
    <w:rsid w:val="00C46B69"/>
    <w:rsid w:val="00C834D0"/>
    <w:rsid w:val="00C8653F"/>
    <w:rsid w:val="00CA46F2"/>
    <w:rsid w:val="00CB23BA"/>
    <w:rsid w:val="00CB2B77"/>
    <w:rsid w:val="00CB5BCB"/>
    <w:rsid w:val="00CD42C9"/>
    <w:rsid w:val="00D15A8C"/>
    <w:rsid w:val="00D25BD6"/>
    <w:rsid w:val="00D35BDF"/>
    <w:rsid w:val="00D45E50"/>
    <w:rsid w:val="00D473B1"/>
    <w:rsid w:val="00D52C83"/>
    <w:rsid w:val="00D81E07"/>
    <w:rsid w:val="00D826DF"/>
    <w:rsid w:val="00D946FC"/>
    <w:rsid w:val="00DB0841"/>
    <w:rsid w:val="00DE72AE"/>
    <w:rsid w:val="00E17EC5"/>
    <w:rsid w:val="00E20BB3"/>
    <w:rsid w:val="00E30F23"/>
    <w:rsid w:val="00E44FD9"/>
    <w:rsid w:val="00E97C96"/>
    <w:rsid w:val="00EB1F2C"/>
    <w:rsid w:val="00EC6C43"/>
    <w:rsid w:val="00ED6309"/>
    <w:rsid w:val="00EE0762"/>
    <w:rsid w:val="00F04BEB"/>
    <w:rsid w:val="00F0758B"/>
    <w:rsid w:val="00F07B51"/>
    <w:rsid w:val="00F14CCC"/>
    <w:rsid w:val="00F47D5D"/>
    <w:rsid w:val="00FA0F99"/>
    <w:rsid w:val="00FD14E4"/>
    <w:rsid w:val="00FD2E98"/>
    <w:rsid w:val="00FD5C85"/>
    <w:rsid w:val="00FD78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4CCC"/>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4CCC"/>
    <w:pPr>
      <w:ind w:left="720"/>
      <w:contextualSpacing/>
    </w:pPr>
  </w:style>
  <w:style w:type="paragraph" w:styleId="Header">
    <w:name w:val="header"/>
    <w:basedOn w:val="Normal"/>
    <w:link w:val="HeaderChar"/>
    <w:uiPriority w:val="99"/>
    <w:unhideWhenUsed/>
    <w:rsid w:val="00F14CCC"/>
    <w:pPr>
      <w:tabs>
        <w:tab w:val="center" w:pos="4320"/>
        <w:tab w:val="right" w:pos="8640"/>
      </w:tabs>
      <w:spacing w:after="0" w:line="240" w:lineRule="auto"/>
    </w:pPr>
  </w:style>
  <w:style w:type="character" w:customStyle="1" w:styleId="HeaderChar">
    <w:name w:val="Header Char"/>
    <w:basedOn w:val="DefaultParagraphFont"/>
    <w:link w:val="Header"/>
    <w:uiPriority w:val="99"/>
    <w:rsid w:val="00F14CCC"/>
    <w:rPr>
      <w:lang w:val="en-ZA"/>
    </w:rPr>
  </w:style>
  <w:style w:type="character" w:styleId="PageNumber">
    <w:name w:val="page number"/>
    <w:basedOn w:val="DefaultParagraphFont"/>
    <w:uiPriority w:val="99"/>
    <w:semiHidden/>
    <w:unhideWhenUsed/>
    <w:rsid w:val="00F14CCC"/>
  </w:style>
  <w:style w:type="character" w:styleId="CommentReference">
    <w:name w:val="annotation reference"/>
    <w:basedOn w:val="DefaultParagraphFont"/>
    <w:uiPriority w:val="99"/>
    <w:semiHidden/>
    <w:unhideWhenUsed/>
    <w:rsid w:val="00A634BF"/>
    <w:rPr>
      <w:sz w:val="16"/>
      <w:szCs w:val="16"/>
    </w:rPr>
  </w:style>
  <w:style w:type="paragraph" w:styleId="CommentText">
    <w:name w:val="annotation text"/>
    <w:basedOn w:val="Normal"/>
    <w:link w:val="CommentTextChar"/>
    <w:uiPriority w:val="99"/>
    <w:semiHidden/>
    <w:unhideWhenUsed/>
    <w:rsid w:val="00A634BF"/>
    <w:pPr>
      <w:spacing w:line="240" w:lineRule="auto"/>
    </w:pPr>
    <w:rPr>
      <w:sz w:val="20"/>
      <w:szCs w:val="20"/>
    </w:rPr>
  </w:style>
  <w:style w:type="character" w:customStyle="1" w:styleId="CommentTextChar">
    <w:name w:val="Comment Text Char"/>
    <w:basedOn w:val="DefaultParagraphFont"/>
    <w:link w:val="CommentText"/>
    <w:uiPriority w:val="99"/>
    <w:semiHidden/>
    <w:rsid w:val="00A634BF"/>
    <w:rPr>
      <w:sz w:val="20"/>
      <w:szCs w:val="20"/>
      <w:lang w:val="en-ZA"/>
    </w:rPr>
  </w:style>
  <w:style w:type="paragraph" w:styleId="CommentSubject">
    <w:name w:val="annotation subject"/>
    <w:basedOn w:val="CommentText"/>
    <w:next w:val="CommentText"/>
    <w:link w:val="CommentSubjectChar"/>
    <w:uiPriority w:val="99"/>
    <w:semiHidden/>
    <w:unhideWhenUsed/>
    <w:rsid w:val="00A634BF"/>
    <w:rPr>
      <w:b/>
      <w:bCs/>
    </w:rPr>
  </w:style>
  <w:style w:type="character" w:customStyle="1" w:styleId="CommentSubjectChar">
    <w:name w:val="Comment Subject Char"/>
    <w:basedOn w:val="CommentTextChar"/>
    <w:link w:val="CommentSubject"/>
    <w:uiPriority w:val="99"/>
    <w:semiHidden/>
    <w:rsid w:val="00A634BF"/>
    <w:rPr>
      <w:b/>
      <w:bCs/>
      <w:sz w:val="20"/>
      <w:szCs w:val="20"/>
      <w:lang w:val="en-ZA"/>
    </w:rPr>
  </w:style>
  <w:style w:type="paragraph" w:styleId="BalloonText">
    <w:name w:val="Balloon Text"/>
    <w:basedOn w:val="Normal"/>
    <w:link w:val="BalloonTextChar"/>
    <w:uiPriority w:val="99"/>
    <w:semiHidden/>
    <w:unhideWhenUsed/>
    <w:rsid w:val="00A634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34BF"/>
    <w:rPr>
      <w:rFonts w:ascii="Segoe UI" w:hAnsi="Segoe UI" w:cs="Segoe UI"/>
      <w:sz w:val="18"/>
      <w:szCs w:val="18"/>
      <w:lang w:val="en-ZA"/>
    </w:rPr>
  </w:style>
  <w:style w:type="paragraph" w:customStyle="1" w:styleId="Default">
    <w:name w:val="Default"/>
    <w:rsid w:val="008D0CC3"/>
    <w:pPr>
      <w:autoSpaceDE w:val="0"/>
      <w:autoSpaceDN w:val="0"/>
      <w:adjustRightInd w:val="0"/>
      <w:spacing w:after="0" w:line="240" w:lineRule="auto"/>
    </w:pPr>
    <w:rPr>
      <w:rFonts w:ascii="Century Gothic" w:hAnsi="Century Gothic" w:cs="Century Gothic"/>
      <w:color w:val="000000"/>
      <w:sz w:val="24"/>
      <w:szCs w:val="24"/>
      <w:lang w:val="en-ZA"/>
    </w:rPr>
  </w:style>
</w:styles>
</file>

<file path=word/webSettings.xml><?xml version="1.0" encoding="utf-8"?>
<w:webSettings xmlns:r="http://schemas.openxmlformats.org/officeDocument/2006/relationships" xmlns:w="http://schemas.openxmlformats.org/wordprocessingml/2006/main">
  <w:divs>
    <w:div w:id="19166113">
      <w:bodyDiv w:val="1"/>
      <w:marLeft w:val="0"/>
      <w:marRight w:val="0"/>
      <w:marTop w:val="0"/>
      <w:marBottom w:val="0"/>
      <w:divBdr>
        <w:top w:val="none" w:sz="0" w:space="0" w:color="auto"/>
        <w:left w:val="none" w:sz="0" w:space="0" w:color="auto"/>
        <w:bottom w:val="none" w:sz="0" w:space="0" w:color="auto"/>
        <w:right w:val="none" w:sz="0" w:space="0" w:color="auto"/>
      </w:divBdr>
      <w:divsChild>
        <w:div w:id="1637299654">
          <w:marLeft w:val="432"/>
          <w:marRight w:val="0"/>
          <w:marTop w:val="0"/>
          <w:marBottom w:val="0"/>
          <w:divBdr>
            <w:top w:val="none" w:sz="0" w:space="0" w:color="auto"/>
            <w:left w:val="none" w:sz="0" w:space="0" w:color="auto"/>
            <w:bottom w:val="none" w:sz="0" w:space="0" w:color="auto"/>
            <w:right w:val="none" w:sz="0" w:space="0" w:color="auto"/>
          </w:divBdr>
        </w:div>
      </w:divsChild>
    </w:div>
    <w:div w:id="459105173">
      <w:bodyDiv w:val="1"/>
      <w:marLeft w:val="0"/>
      <w:marRight w:val="0"/>
      <w:marTop w:val="0"/>
      <w:marBottom w:val="0"/>
      <w:divBdr>
        <w:top w:val="none" w:sz="0" w:space="0" w:color="auto"/>
        <w:left w:val="none" w:sz="0" w:space="0" w:color="auto"/>
        <w:bottom w:val="none" w:sz="0" w:space="0" w:color="auto"/>
        <w:right w:val="none" w:sz="0" w:space="0" w:color="auto"/>
      </w:divBdr>
      <w:divsChild>
        <w:div w:id="95297712">
          <w:marLeft w:val="432"/>
          <w:marRight w:val="0"/>
          <w:marTop w:val="0"/>
          <w:marBottom w:val="0"/>
          <w:divBdr>
            <w:top w:val="none" w:sz="0" w:space="0" w:color="auto"/>
            <w:left w:val="none" w:sz="0" w:space="0" w:color="auto"/>
            <w:bottom w:val="none" w:sz="0" w:space="0" w:color="auto"/>
            <w:right w:val="none" w:sz="0" w:space="0" w:color="auto"/>
          </w:divBdr>
        </w:div>
      </w:divsChild>
    </w:div>
    <w:div w:id="1086416463">
      <w:bodyDiv w:val="1"/>
      <w:marLeft w:val="0"/>
      <w:marRight w:val="0"/>
      <w:marTop w:val="0"/>
      <w:marBottom w:val="0"/>
      <w:divBdr>
        <w:top w:val="none" w:sz="0" w:space="0" w:color="auto"/>
        <w:left w:val="none" w:sz="0" w:space="0" w:color="auto"/>
        <w:bottom w:val="none" w:sz="0" w:space="0" w:color="auto"/>
        <w:right w:val="none" w:sz="0" w:space="0" w:color="auto"/>
      </w:divBdr>
      <w:divsChild>
        <w:div w:id="151216390">
          <w:marLeft w:val="547"/>
          <w:marRight w:val="0"/>
          <w:marTop w:val="0"/>
          <w:marBottom w:val="0"/>
          <w:divBdr>
            <w:top w:val="none" w:sz="0" w:space="0" w:color="auto"/>
            <w:left w:val="none" w:sz="0" w:space="0" w:color="auto"/>
            <w:bottom w:val="none" w:sz="0" w:space="0" w:color="auto"/>
            <w:right w:val="none" w:sz="0" w:space="0" w:color="auto"/>
          </w:divBdr>
        </w:div>
      </w:divsChild>
    </w:div>
    <w:div w:id="2043358091">
      <w:bodyDiv w:val="1"/>
      <w:marLeft w:val="0"/>
      <w:marRight w:val="0"/>
      <w:marTop w:val="0"/>
      <w:marBottom w:val="0"/>
      <w:divBdr>
        <w:top w:val="none" w:sz="0" w:space="0" w:color="auto"/>
        <w:left w:val="none" w:sz="0" w:space="0" w:color="auto"/>
        <w:bottom w:val="none" w:sz="0" w:space="0" w:color="auto"/>
        <w:right w:val="none" w:sz="0" w:space="0" w:color="auto"/>
      </w:divBdr>
      <w:divsChild>
        <w:div w:id="1427923678">
          <w:marLeft w:val="432"/>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094396-B23F-4D47-8CE8-2382C41DA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3394</Words>
  <Characters>19351</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Parliament of the Republic  of South Africa</Company>
  <LinksUpToDate>false</LinksUpToDate>
  <CharactersWithSpaces>22700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Xolisile Mgxaji</dc:creator>
  <cp:lastModifiedBy>User</cp:lastModifiedBy>
  <cp:revision>2</cp:revision>
  <dcterms:created xsi:type="dcterms:W3CDTF">2022-10-25T16:53:00Z</dcterms:created>
  <dcterms:modified xsi:type="dcterms:W3CDTF">2022-10-25T16:53:00Z</dcterms:modified>
</cp:coreProperties>
</file>