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D2" w:rsidRPr="00B217DC" w:rsidRDefault="00B217DC" w:rsidP="00B217DC">
      <w:pPr>
        <w:rPr>
          <w:rFonts w:cs="Arial"/>
          <w:b/>
          <w:color w:val="auto"/>
          <w:sz w:val="20"/>
          <w:szCs w:val="20"/>
        </w:rPr>
      </w:pPr>
      <w:r w:rsidRPr="00B217DC">
        <w:rPr>
          <w:rFonts w:cs="Arial"/>
          <w:b/>
          <w:color w:val="auto"/>
          <w:sz w:val="20"/>
          <w:szCs w:val="20"/>
          <w:lang w:val="en-GB"/>
        </w:rPr>
        <w:t>Budgetary Review and Recommendation Report of the Portfolio Committee on Women, Youth and Persons with Disabilitie</w:t>
      </w:r>
      <w:r>
        <w:rPr>
          <w:rFonts w:cs="Arial"/>
          <w:b/>
          <w:color w:val="auto"/>
          <w:sz w:val="20"/>
          <w:szCs w:val="20"/>
          <w:lang w:val="en-GB"/>
        </w:rPr>
        <w:t>s, Dated 21 October 2022.</w:t>
      </w:r>
    </w:p>
    <w:p w:rsidR="00170BD2" w:rsidRPr="00B217DC" w:rsidRDefault="00170BD2" w:rsidP="00B217DC">
      <w:pPr>
        <w:rPr>
          <w:rFonts w:cs="Arial"/>
          <w:b/>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The Portfolio Committee on Women</w:t>
      </w:r>
      <w:r w:rsidR="00DB7E06" w:rsidRPr="00B217DC">
        <w:rPr>
          <w:rFonts w:cs="Arial"/>
          <w:color w:val="auto"/>
          <w:sz w:val="20"/>
          <w:szCs w:val="20"/>
          <w:lang w:val="en-GB"/>
        </w:rPr>
        <w:t>,</w:t>
      </w:r>
      <w:r w:rsidRPr="00B217DC">
        <w:rPr>
          <w:rFonts w:cs="Arial"/>
          <w:color w:val="auto"/>
          <w:sz w:val="20"/>
          <w:szCs w:val="20"/>
          <w:lang w:val="en-GB"/>
        </w:rPr>
        <w:t xml:space="preserve"> Youth and Persons with Disabilities, having considered the annual </w:t>
      </w:r>
      <w:r w:rsidR="00571CB1" w:rsidRPr="00B217DC">
        <w:rPr>
          <w:rFonts w:cs="Arial"/>
          <w:color w:val="auto"/>
          <w:sz w:val="20"/>
          <w:szCs w:val="20"/>
          <w:lang w:val="en-GB"/>
        </w:rPr>
        <w:t>and</w:t>
      </w:r>
      <w:r w:rsidRPr="00B217DC">
        <w:rPr>
          <w:rFonts w:cs="Arial"/>
          <w:color w:val="auto"/>
          <w:sz w:val="20"/>
          <w:szCs w:val="20"/>
          <w:lang w:val="en-GB"/>
        </w:rPr>
        <w:t xml:space="preserve"> financial performance of the Department of Women, Youth and Persons with Disabilities</w:t>
      </w:r>
      <w:r w:rsidR="0070733F" w:rsidRPr="00B217DC">
        <w:rPr>
          <w:rFonts w:cs="Arial"/>
          <w:color w:val="auto"/>
          <w:sz w:val="20"/>
          <w:szCs w:val="20"/>
          <w:lang w:val="en-GB"/>
        </w:rPr>
        <w:t xml:space="preserve"> on </w:t>
      </w:r>
      <w:r w:rsidR="00BE7740" w:rsidRPr="00B217DC">
        <w:rPr>
          <w:rFonts w:cs="Arial"/>
          <w:color w:val="auto"/>
          <w:sz w:val="20"/>
          <w:szCs w:val="20"/>
          <w:lang w:val="en-GB"/>
        </w:rPr>
        <w:t xml:space="preserve">11 </w:t>
      </w:r>
      <w:r w:rsidR="00723EA7" w:rsidRPr="00B217DC">
        <w:rPr>
          <w:rFonts w:cs="Arial"/>
          <w:color w:val="auto"/>
          <w:sz w:val="20"/>
          <w:szCs w:val="20"/>
          <w:lang w:val="en-GB"/>
        </w:rPr>
        <w:t xml:space="preserve">October </w:t>
      </w:r>
      <w:r w:rsidR="00255159" w:rsidRPr="00B217DC">
        <w:rPr>
          <w:rFonts w:cs="Arial"/>
          <w:color w:val="auto"/>
          <w:sz w:val="20"/>
          <w:szCs w:val="20"/>
          <w:lang w:val="en-GB"/>
        </w:rPr>
        <w:t>2022</w:t>
      </w:r>
      <w:r w:rsidR="00120C3C" w:rsidRPr="00B217DC">
        <w:rPr>
          <w:rFonts w:cs="Arial"/>
          <w:color w:val="auto"/>
          <w:sz w:val="20"/>
          <w:szCs w:val="20"/>
          <w:lang w:val="en-GB"/>
        </w:rPr>
        <w:t>,</w:t>
      </w:r>
      <w:r w:rsidRPr="00B217DC">
        <w:rPr>
          <w:rFonts w:cs="Arial"/>
          <w:color w:val="auto"/>
          <w:sz w:val="20"/>
          <w:szCs w:val="20"/>
          <w:lang w:val="en-GB"/>
        </w:rPr>
        <w:t xml:space="preserve"> </w:t>
      </w:r>
      <w:r w:rsidR="00360D33" w:rsidRPr="00B217DC">
        <w:rPr>
          <w:rFonts w:cs="Arial"/>
          <w:color w:val="auto"/>
          <w:sz w:val="20"/>
          <w:szCs w:val="20"/>
          <w:lang w:val="en-GB"/>
        </w:rPr>
        <w:t xml:space="preserve">and </w:t>
      </w:r>
      <w:r w:rsidR="00360D33" w:rsidRPr="00B217DC">
        <w:rPr>
          <w:rFonts w:cs="Arial"/>
          <w:color w:val="auto"/>
          <w:sz w:val="20"/>
          <w:szCs w:val="20"/>
          <w:shd w:val="clear" w:color="auto" w:fill="FFFFFF" w:themeFill="background1"/>
          <w:lang w:val="en-GB"/>
        </w:rPr>
        <w:t xml:space="preserve">the Commission for Gender Equality on </w:t>
      </w:r>
      <w:r w:rsidR="00BE7740" w:rsidRPr="00B217DC">
        <w:rPr>
          <w:rFonts w:cs="Arial"/>
          <w:color w:val="auto"/>
          <w:sz w:val="20"/>
          <w:szCs w:val="20"/>
          <w:shd w:val="clear" w:color="auto" w:fill="FFFFFF" w:themeFill="background1"/>
          <w:lang w:val="en-GB"/>
        </w:rPr>
        <w:t xml:space="preserve">14 </w:t>
      </w:r>
      <w:r w:rsidR="00723EA7" w:rsidRPr="00B217DC">
        <w:rPr>
          <w:rFonts w:cs="Arial"/>
          <w:color w:val="auto"/>
          <w:sz w:val="20"/>
          <w:szCs w:val="20"/>
          <w:shd w:val="clear" w:color="auto" w:fill="FFFFFF" w:themeFill="background1"/>
          <w:lang w:val="en-GB"/>
        </w:rPr>
        <w:t xml:space="preserve">October </w:t>
      </w:r>
      <w:r w:rsidR="00255159" w:rsidRPr="00B217DC">
        <w:rPr>
          <w:rFonts w:cs="Arial"/>
          <w:color w:val="auto"/>
          <w:sz w:val="20"/>
          <w:szCs w:val="20"/>
          <w:shd w:val="clear" w:color="auto" w:fill="FFFFFF" w:themeFill="background1"/>
          <w:lang w:val="en-GB"/>
        </w:rPr>
        <w:t>2022</w:t>
      </w:r>
      <w:r w:rsidR="00360D33" w:rsidRPr="00B217DC">
        <w:rPr>
          <w:rFonts w:cs="Arial"/>
          <w:color w:val="auto"/>
          <w:sz w:val="20"/>
          <w:szCs w:val="20"/>
          <w:shd w:val="clear" w:color="auto" w:fill="FFFFFF" w:themeFill="background1"/>
          <w:lang w:val="en-GB"/>
        </w:rPr>
        <w:t xml:space="preserve"> and </w:t>
      </w:r>
      <w:r w:rsidRPr="00B217DC">
        <w:rPr>
          <w:rFonts w:cs="Arial"/>
          <w:color w:val="auto"/>
          <w:sz w:val="20"/>
          <w:szCs w:val="20"/>
          <w:lang w:val="en-GB"/>
        </w:rPr>
        <w:t xml:space="preserve">the </w:t>
      </w:r>
      <w:r w:rsidR="0070733F" w:rsidRPr="00B217DC">
        <w:rPr>
          <w:rFonts w:cs="Arial"/>
          <w:color w:val="auto"/>
          <w:sz w:val="20"/>
          <w:szCs w:val="20"/>
          <w:lang w:val="en-GB"/>
        </w:rPr>
        <w:t xml:space="preserve">National Youth Development Agency </w:t>
      </w:r>
      <w:r w:rsidR="00360D33" w:rsidRPr="00B217DC">
        <w:rPr>
          <w:rFonts w:cs="Arial"/>
          <w:color w:val="auto"/>
          <w:sz w:val="20"/>
          <w:szCs w:val="20"/>
          <w:lang w:val="en-GB"/>
        </w:rPr>
        <w:t>on</w:t>
      </w:r>
      <w:r w:rsidR="00BE7740" w:rsidRPr="00B217DC">
        <w:rPr>
          <w:rFonts w:cs="Arial"/>
          <w:color w:val="auto"/>
          <w:sz w:val="20"/>
          <w:szCs w:val="20"/>
          <w:lang w:val="en-GB"/>
        </w:rPr>
        <w:t xml:space="preserve"> 18</w:t>
      </w:r>
      <w:r w:rsidR="00723EA7" w:rsidRPr="00B217DC">
        <w:rPr>
          <w:rFonts w:cs="Arial"/>
          <w:color w:val="auto"/>
          <w:sz w:val="20"/>
          <w:szCs w:val="20"/>
          <w:lang w:val="en-GB"/>
        </w:rPr>
        <w:t xml:space="preserve"> October</w:t>
      </w:r>
      <w:r w:rsidR="00360D33" w:rsidRPr="00B217DC">
        <w:rPr>
          <w:rFonts w:cs="Arial"/>
          <w:color w:val="auto"/>
          <w:sz w:val="20"/>
          <w:szCs w:val="20"/>
          <w:lang w:val="en-GB"/>
        </w:rPr>
        <w:t xml:space="preserve"> </w:t>
      </w:r>
      <w:r w:rsidR="00255159" w:rsidRPr="00B217DC">
        <w:rPr>
          <w:rFonts w:cs="Arial"/>
          <w:color w:val="auto"/>
          <w:sz w:val="20"/>
          <w:szCs w:val="20"/>
          <w:lang w:val="en-GB"/>
        </w:rPr>
        <w:t>2022</w:t>
      </w:r>
      <w:r w:rsidRPr="00B217DC">
        <w:rPr>
          <w:rFonts w:cs="Arial"/>
          <w:color w:val="auto"/>
          <w:sz w:val="20"/>
          <w:szCs w:val="20"/>
          <w:shd w:val="clear" w:color="auto" w:fill="FFFFFF" w:themeFill="background1"/>
          <w:lang w:val="en-GB"/>
        </w:rPr>
        <w:t>, reports as follows:</w:t>
      </w:r>
    </w:p>
    <w:p w:rsidR="00170BD2" w:rsidRPr="00B217DC" w:rsidRDefault="00170BD2" w:rsidP="00B217DC">
      <w:pPr>
        <w:ind w:left="360"/>
        <w:contextualSpacing/>
        <w:rPr>
          <w:rFonts w:cs="Arial"/>
          <w:color w:val="auto"/>
          <w:spacing w:val="0"/>
          <w:kern w:val="28"/>
          <w:sz w:val="20"/>
          <w:szCs w:val="20"/>
        </w:rPr>
      </w:pPr>
    </w:p>
    <w:p w:rsidR="00170BD2" w:rsidRPr="00B217DC" w:rsidRDefault="00170BD2" w:rsidP="00B217DC">
      <w:pPr>
        <w:numPr>
          <w:ilvl w:val="0"/>
          <w:numId w:val="1"/>
        </w:numPr>
        <w:contextualSpacing/>
        <w:rPr>
          <w:rFonts w:cs="Arial"/>
          <w:b/>
          <w:color w:val="auto"/>
          <w:spacing w:val="0"/>
          <w:kern w:val="28"/>
          <w:sz w:val="20"/>
          <w:szCs w:val="20"/>
        </w:rPr>
      </w:pPr>
      <w:r w:rsidRPr="00B217DC">
        <w:rPr>
          <w:rFonts w:cs="Arial"/>
          <w:b/>
          <w:color w:val="auto"/>
          <w:spacing w:val="0"/>
          <w:kern w:val="28"/>
          <w:sz w:val="20"/>
          <w:szCs w:val="20"/>
        </w:rPr>
        <w:t>Introduction</w:t>
      </w:r>
    </w:p>
    <w:p w:rsidR="00170BD2" w:rsidRPr="00B217DC" w:rsidRDefault="00170BD2" w:rsidP="00B217DC">
      <w:pPr>
        <w:rPr>
          <w:rFonts w:cs="Arial"/>
          <w:color w:val="auto"/>
          <w:sz w:val="20"/>
          <w:szCs w:val="20"/>
          <w:lang w:val="en-GB"/>
        </w:rPr>
      </w:pPr>
    </w:p>
    <w:p w:rsidR="00240847" w:rsidRPr="00B217DC" w:rsidRDefault="00D1718D" w:rsidP="00B217DC">
      <w:pPr>
        <w:rPr>
          <w:rFonts w:cs="Arial"/>
          <w:color w:val="auto"/>
          <w:sz w:val="20"/>
          <w:szCs w:val="20"/>
          <w:lang w:val="en-GB"/>
        </w:rPr>
      </w:pPr>
      <w:r w:rsidRPr="00B217DC">
        <w:rPr>
          <w:rFonts w:cs="Arial"/>
          <w:color w:val="auto"/>
          <w:sz w:val="20"/>
          <w:szCs w:val="20"/>
          <w:lang w:val="en-GB"/>
        </w:rPr>
        <w:t xml:space="preserve">The </w:t>
      </w:r>
      <w:r w:rsidR="00B3616A" w:rsidRPr="00B217DC">
        <w:rPr>
          <w:rFonts w:cs="Arial"/>
          <w:color w:val="auto"/>
          <w:sz w:val="20"/>
          <w:szCs w:val="20"/>
          <w:lang w:val="en-GB"/>
        </w:rPr>
        <w:t xml:space="preserve">financial year 2021/22 was a period in which South Africa </w:t>
      </w:r>
      <w:r w:rsidR="00723EA7" w:rsidRPr="00B217DC">
        <w:rPr>
          <w:rFonts w:cs="Arial"/>
          <w:color w:val="auto"/>
          <w:sz w:val="20"/>
          <w:szCs w:val="20"/>
          <w:lang w:val="en-GB"/>
        </w:rPr>
        <w:t>continued to</w:t>
      </w:r>
      <w:r w:rsidR="00B3616A" w:rsidRPr="00B217DC">
        <w:rPr>
          <w:rFonts w:cs="Arial"/>
          <w:color w:val="auto"/>
          <w:sz w:val="20"/>
          <w:szCs w:val="20"/>
          <w:lang w:val="en-GB"/>
        </w:rPr>
        <w:t xml:space="preserve"> experience the impact of the </w:t>
      </w:r>
      <w:r w:rsidRPr="00B217DC">
        <w:rPr>
          <w:rFonts w:cs="Arial"/>
          <w:color w:val="auto"/>
          <w:sz w:val="20"/>
          <w:szCs w:val="20"/>
          <w:lang w:val="en-GB"/>
        </w:rPr>
        <w:t>COVID-19</w:t>
      </w:r>
      <w:r w:rsidR="00D150CC" w:rsidRPr="00B217DC">
        <w:rPr>
          <w:rFonts w:cs="Arial"/>
          <w:color w:val="auto"/>
          <w:sz w:val="20"/>
          <w:szCs w:val="20"/>
          <w:lang w:val="en-GB"/>
        </w:rPr>
        <w:t xml:space="preserve"> pandemic </w:t>
      </w:r>
      <w:r w:rsidR="00B3616A" w:rsidRPr="00B217DC">
        <w:rPr>
          <w:rFonts w:cs="Arial"/>
          <w:color w:val="auto"/>
          <w:sz w:val="20"/>
          <w:szCs w:val="20"/>
          <w:lang w:val="en-GB"/>
        </w:rPr>
        <w:t>in several forms</w:t>
      </w:r>
      <w:r w:rsidR="00D150CC" w:rsidRPr="00B217DC">
        <w:rPr>
          <w:rFonts w:cs="Arial"/>
          <w:color w:val="auto"/>
          <w:sz w:val="20"/>
          <w:szCs w:val="20"/>
          <w:lang w:val="en-GB"/>
        </w:rPr>
        <w:t xml:space="preserve">. </w:t>
      </w:r>
      <w:r w:rsidR="00723EA7" w:rsidRPr="00B217DC">
        <w:rPr>
          <w:rFonts w:cs="Arial"/>
          <w:color w:val="auto"/>
          <w:sz w:val="20"/>
          <w:szCs w:val="20"/>
          <w:lang w:val="en-GB"/>
        </w:rPr>
        <w:t xml:space="preserve">Furthermore, the country </w:t>
      </w:r>
      <w:r w:rsidR="00D150CC" w:rsidRPr="00B217DC">
        <w:rPr>
          <w:rFonts w:cs="Arial"/>
          <w:color w:val="auto"/>
          <w:sz w:val="20"/>
          <w:szCs w:val="20"/>
          <w:lang w:val="en-GB"/>
        </w:rPr>
        <w:t>was still reeling from the effects of the global financial crisis and the downgrades by rating agencies with devastating effects on the economy. In turn, the combination of these factors had a direct impact on</w:t>
      </w:r>
      <w:r w:rsidR="00D62001" w:rsidRPr="00B217DC">
        <w:rPr>
          <w:rFonts w:cs="Arial"/>
          <w:color w:val="auto"/>
          <w:sz w:val="20"/>
          <w:szCs w:val="20"/>
          <w:lang w:val="en-GB"/>
        </w:rPr>
        <w:t xml:space="preserve"> the livelihoods of </w:t>
      </w:r>
      <w:r w:rsidR="00D150CC" w:rsidRPr="00B217DC">
        <w:rPr>
          <w:rFonts w:cs="Arial"/>
          <w:color w:val="auto"/>
          <w:sz w:val="20"/>
          <w:szCs w:val="20"/>
          <w:lang w:val="en-GB"/>
        </w:rPr>
        <w:t>women, youth and persons with disabilities</w:t>
      </w:r>
      <w:r w:rsidR="00D62001" w:rsidRPr="00B217DC">
        <w:rPr>
          <w:rFonts w:cs="Arial"/>
          <w:color w:val="auto"/>
          <w:sz w:val="20"/>
          <w:szCs w:val="20"/>
          <w:lang w:val="en-GB"/>
        </w:rPr>
        <w:t xml:space="preserve"> which is then further exacerbated by </w:t>
      </w:r>
      <w:r w:rsidR="00240847" w:rsidRPr="00B217DC">
        <w:rPr>
          <w:rFonts w:cs="Arial"/>
          <w:color w:val="auto"/>
          <w:sz w:val="20"/>
          <w:szCs w:val="20"/>
          <w:lang w:val="en-GB"/>
        </w:rPr>
        <w:t>poverty</w:t>
      </w:r>
      <w:r w:rsidR="00723EA7" w:rsidRPr="00B217DC">
        <w:rPr>
          <w:rFonts w:cs="Arial"/>
          <w:color w:val="auto"/>
          <w:sz w:val="20"/>
          <w:szCs w:val="20"/>
          <w:lang w:val="en-GB"/>
        </w:rPr>
        <w:t xml:space="preserve"> for many</w:t>
      </w:r>
      <w:r w:rsidR="00240847" w:rsidRPr="00B217DC">
        <w:rPr>
          <w:rFonts w:cs="Arial"/>
          <w:color w:val="auto"/>
          <w:sz w:val="20"/>
          <w:szCs w:val="20"/>
          <w:lang w:val="en-GB"/>
        </w:rPr>
        <w:t xml:space="preserve">. At present women constitute more than half of the South African population and the youth unemployment rate is the highest it has even been since the advent of democracy. Gender-based violence and femicide continues to ravage the country and </w:t>
      </w:r>
      <w:r w:rsidR="000529A8" w:rsidRPr="00B217DC">
        <w:rPr>
          <w:rFonts w:cs="Arial"/>
          <w:color w:val="auto"/>
          <w:sz w:val="20"/>
          <w:szCs w:val="20"/>
          <w:lang w:val="en-GB"/>
        </w:rPr>
        <w:t>has</w:t>
      </w:r>
      <w:r w:rsidR="00240847" w:rsidRPr="00B217DC">
        <w:rPr>
          <w:rFonts w:cs="Arial"/>
          <w:color w:val="auto"/>
          <w:sz w:val="20"/>
          <w:szCs w:val="20"/>
          <w:lang w:val="en-GB"/>
        </w:rPr>
        <w:t xml:space="preserve"> been deemed the silent pandemic. It is within this context that the Budget Review </w:t>
      </w:r>
      <w:r w:rsidR="000529A8" w:rsidRPr="00B217DC">
        <w:rPr>
          <w:rFonts w:cs="Arial"/>
          <w:color w:val="auto"/>
          <w:sz w:val="20"/>
          <w:szCs w:val="20"/>
          <w:lang w:val="en-GB"/>
        </w:rPr>
        <w:t xml:space="preserve">and </w:t>
      </w:r>
      <w:r w:rsidR="00240847" w:rsidRPr="00B217DC">
        <w:rPr>
          <w:rFonts w:cs="Arial"/>
          <w:color w:val="auto"/>
          <w:sz w:val="20"/>
          <w:szCs w:val="20"/>
          <w:lang w:val="en-GB"/>
        </w:rPr>
        <w:t>Re</w:t>
      </w:r>
      <w:r w:rsidR="00723EA7" w:rsidRPr="00B217DC">
        <w:rPr>
          <w:rFonts w:cs="Arial"/>
          <w:color w:val="auto"/>
          <w:sz w:val="20"/>
          <w:szCs w:val="20"/>
          <w:lang w:val="en-GB"/>
        </w:rPr>
        <w:t>commendations Report (BRRR) 2022</w:t>
      </w:r>
      <w:r w:rsidR="00240847" w:rsidRPr="00B217DC">
        <w:rPr>
          <w:rFonts w:cs="Arial"/>
          <w:color w:val="auto"/>
          <w:sz w:val="20"/>
          <w:szCs w:val="20"/>
          <w:lang w:val="en-GB"/>
        </w:rPr>
        <w:t xml:space="preserve"> is compiled. The review and assessment of the Annual Reports for the Department of Women, Youth and Persons with Disabilities (hereafter referred to as the Department), the Commission for Gender Equality (CGE) and the National Youth Development Agency (NYDA)</w:t>
      </w:r>
      <w:r w:rsidR="00723EA7" w:rsidRPr="00B217DC">
        <w:rPr>
          <w:rFonts w:cs="Arial"/>
          <w:color w:val="auto"/>
          <w:sz w:val="20"/>
          <w:szCs w:val="20"/>
          <w:lang w:val="en-GB"/>
        </w:rPr>
        <w:t xml:space="preserve"> has this been considered against that backdrop</w:t>
      </w:r>
      <w:r w:rsidR="00240847" w:rsidRPr="00B217DC">
        <w:rPr>
          <w:rFonts w:cs="Arial"/>
          <w:color w:val="auto"/>
          <w:sz w:val="20"/>
          <w:szCs w:val="20"/>
          <w:lang w:val="en-GB"/>
        </w:rPr>
        <w:t>.</w:t>
      </w:r>
    </w:p>
    <w:p w:rsidR="00240847" w:rsidRPr="00B217DC" w:rsidRDefault="00240847" w:rsidP="00B217DC">
      <w:pPr>
        <w:rPr>
          <w:rFonts w:cs="Arial"/>
          <w:color w:val="auto"/>
          <w:sz w:val="20"/>
          <w:szCs w:val="20"/>
          <w:lang w:val="en-GB"/>
        </w:rPr>
      </w:pPr>
    </w:p>
    <w:p w:rsidR="00B3616A" w:rsidRPr="00B217DC" w:rsidRDefault="00B3616A" w:rsidP="00B217DC">
      <w:pPr>
        <w:rPr>
          <w:rFonts w:cs="Arial"/>
          <w:color w:val="auto"/>
          <w:sz w:val="20"/>
          <w:szCs w:val="20"/>
          <w:lang w:val="en-GB"/>
        </w:rPr>
      </w:pPr>
      <w:r w:rsidRPr="00B217DC">
        <w:rPr>
          <w:rFonts w:cs="Arial"/>
          <w:color w:val="auto"/>
          <w:sz w:val="20"/>
          <w:szCs w:val="20"/>
        </w:rPr>
        <w:t>The</w:t>
      </w:r>
      <w:r w:rsidR="005E70AC" w:rsidRPr="00B217DC">
        <w:rPr>
          <w:rFonts w:cs="Arial"/>
          <w:color w:val="auto"/>
          <w:sz w:val="20"/>
          <w:szCs w:val="20"/>
          <w:lang w:val="en-GB"/>
        </w:rPr>
        <w:t xml:space="preserve"> Department </w:t>
      </w:r>
      <w:r w:rsidRPr="00B217DC">
        <w:rPr>
          <w:rFonts w:cs="Arial"/>
          <w:color w:val="auto"/>
          <w:sz w:val="20"/>
          <w:szCs w:val="20"/>
          <w:lang w:val="en-GB"/>
        </w:rPr>
        <w:t xml:space="preserve">having been more than two years in existence in its current form experienced a major tragedy with the death of the former Deputy Minister </w:t>
      </w:r>
      <w:r w:rsidRPr="00B217DC">
        <w:rPr>
          <w:rFonts w:cs="Arial"/>
          <w:color w:val="auto"/>
          <w:sz w:val="20"/>
          <w:szCs w:val="20"/>
        </w:rPr>
        <w:t>Hlengiwe Mkhize in September of 2021</w:t>
      </w:r>
      <w:r w:rsidR="005E70AC" w:rsidRPr="00B217DC">
        <w:rPr>
          <w:rFonts w:cs="Arial"/>
          <w:color w:val="auto"/>
          <w:sz w:val="20"/>
          <w:szCs w:val="20"/>
          <w:lang w:val="en-GB"/>
        </w:rPr>
        <w:t>.</w:t>
      </w:r>
      <w:r w:rsidRPr="00B217DC">
        <w:rPr>
          <w:rFonts w:cs="Arial"/>
          <w:color w:val="auto"/>
          <w:sz w:val="20"/>
          <w:szCs w:val="20"/>
          <w:lang w:val="en-GB"/>
        </w:rPr>
        <w:t xml:space="preserve"> To date, the position of deputy minister has not been filled in the Department. Another key significant change for the Department was the change to its mandate as it became what it refers to as a regulator.</w:t>
      </w:r>
      <w:r w:rsidR="00021A26" w:rsidRPr="00B217DC">
        <w:rPr>
          <w:rFonts w:cs="Arial"/>
          <w:color w:val="auto"/>
          <w:sz w:val="20"/>
          <w:szCs w:val="20"/>
          <w:lang w:val="en-GB"/>
        </w:rPr>
        <w:t xml:space="preserve"> Moreover, by the introduction of the Annual Performance Plan 2022/23 the Department had also decreased its programmes from five to four with the merger of disability and youth into one. However, for the period under review 2021/22 the Department still operated with five programmes and as such it has been assessed in this regard.</w:t>
      </w:r>
    </w:p>
    <w:p w:rsidR="00B3616A" w:rsidRPr="00B217DC" w:rsidRDefault="00B3616A" w:rsidP="00B217DC">
      <w:pPr>
        <w:rPr>
          <w:rFonts w:cs="Arial"/>
          <w:color w:val="auto"/>
          <w:sz w:val="20"/>
          <w:szCs w:val="20"/>
          <w:shd w:val="clear" w:color="auto" w:fill="FFFFFF"/>
          <w:lang w:val="en-GB"/>
        </w:rPr>
      </w:pPr>
    </w:p>
    <w:p w:rsidR="00034CED" w:rsidRPr="00B217DC" w:rsidRDefault="000529A8" w:rsidP="00B217DC">
      <w:pPr>
        <w:rPr>
          <w:rFonts w:cs="Arial"/>
          <w:color w:val="auto"/>
          <w:sz w:val="20"/>
          <w:szCs w:val="20"/>
          <w:lang w:val="en-GB"/>
        </w:rPr>
      </w:pPr>
      <w:r w:rsidRPr="00B217DC">
        <w:rPr>
          <w:rFonts w:cs="Arial"/>
          <w:color w:val="auto"/>
          <w:sz w:val="20"/>
          <w:szCs w:val="20"/>
          <w:lang w:val="en-GB"/>
        </w:rPr>
        <w:t>On</w:t>
      </w:r>
      <w:r w:rsidR="00B3616A" w:rsidRPr="00B217DC">
        <w:rPr>
          <w:rFonts w:cs="Arial"/>
          <w:color w:val="auto"/>
          <w:sz w:val="20"/>
          <w:szCs w:val="20"/>
          <w:lang w:val="en-GB"/>
        </w:rPr>
        <w:t xml:space="preserve"> </w:t>
      </w:r>
      <w:r w:rsidR="00723EA7" w:rsidRPr="00B217DC">
        <w:rPr>
          <w:rFonts w:cs="Arial"/>
          <w:color w:val="auto"/>
          <w:sz w:val="20"/>
          <w:szCs w:val="20"/>
          <w:lang w:val="en-GB"/>
        </w:rPr>
        <w:t xml:space="preserve">the </w:t>
      </w:r>
      <w:r w:rsidR="00BE7740" w:rsidRPr="00B217DC">
        <w:rPr>
          <w:rFonts w:cs="Arial"/>
          <w:color w:val="auto"/>
          <w:sz w:val="20"/>
          <w:szCs w:val="20"/>
          <w:lang w:val="en-GB"/>
        </w:rPr>
        <w:t>11</w:t>
      </w:r>
      <w:r w:rsidR="00BE7740" w:rsidRPr="00B217DC">
        <w:rPr>
          <w:rFonts w:cs="Arial"/>
          <w:color w:val="auto"/>
          <w:sz w:val="20"/>
          <w:szCs w:val="20"/>
          <w:vertAlign w:val="superscript"/>
          <w:lang w:val="en-GB"/>
        </w:rPr>
        <w:t>th</w:t>
      </w:r>
      <w:r w:rsidR="00BE7740" w:rsidRPr="00B217DC">
        <w:rPr>
          <w:rFonts w:cs="Arial"/>
          <w:color w:val="auto"/>
          <w:sz w:val="20"/>
          <w:szCs w:val="20"/>
          <w:lang w:val="en-GB"/>
        </w:rPr>
        <w:t xml:space="preserve"> </w:t>
      </w:r>
      <w:r w:rsidR="00723EA7" w:rsidRPr="00B217DC">
        <w:rPr>
          <w:rFonts w:cs="Arial"/>
          <w:color w:val="auto"/>
          <w:sz w:val="20"/>
          <w:szCs w:val="20"/>
          <w:lang w:val="en-GB"/>
        </w:rPr>
        <w:t xml:space="preserve">October </w:t>
      </w:r>
      <w:r w:rsidR="00B3616A" w:rsidRPr="00B217DC">
        <w:rPr>
          <w:rFonts w:cs="Arial"/>
          <w:color w:val="auto"/>
          <w:sz w:val="20"/>
          <w:szCs w:val="20"/>
          <w:lang w:val="en-GB"/>
        </w:rPr>
        <w:t>2022</w:t>
      </w:r>
      <w:r w:rsidRPr="00B217DC">
        <w:rPr>
          <w:rFonts w:cs="Arial"/>
          <w:color w:val="auto"/>
          <w:sz w:val="20"/>
          <w:szCs w:val="20"/>
          <w:lang w:val="en-GB"/>
        </w:rPr>
        <w:t>, t</w:t>
      </w:r>
      <w:r w:rsidR="00034CED" w:rsidRPr="00B217DC">
        <w:rPr>
          <w:rFonts w:cs="Arial"/>
          <w:color w:val="auto"/>
          <w:sz w:val="20"/>
          <w:szCs w:val="20"/>
          <w:lang w:val="en-GB"/>
        </w:rPr>
        <w:t xml:space="preserve">he Committee was briefed by the Department on its Annual Report </w:t>
      </w:r>
      <w:r w:rsidRPr="00B217DC">
        <w:rPr>
          <w:rFonts w:cs="Arial"/>
          <w:color w:val="auto"/>
          <w:sz w:val="20"/>
          <w:szCs w:val="20"/>
          <w:lang w:val="en-GB"/>
        </w:rPr>
        <w:t xml:space="preserve">for </w:t>
      </w:r>
      <w:r w:rsidR="00034CED" w:rsidRPr="00B217DC">
        <w:rPr>
          <w:rFonts w:cs="Arial"/>
          <w:color w:val="auto"/>
          <w:sz w:val="20"/>
          <w:szCs w:val="20"/>
          <w:lang w:val="en-GB"/>
        </w:rPr>
        <w:t>20</w:t>
      </w:r>
      <w:r w:rsidR="00360D33" w:rsidRPr="00B217DC">
        <w:rPr>
          <w:rFonts w:cs="Arial"/>
          <w:color w:val="auto"/>
          <w:sz w:val="20"/>
          <w:szCs w:val="20"/>
          <w:lang w:val="en-GB"/>
        </w:rPr>
        <w:t>2</w:t>
      </w:r>
      <w:r w:rsidR="00B3616A" w:rsidRPr="00B217DC">
        <w:rPr>
          <w:rFonts w:cs="Arial"/>
          <w:color w:val="auto"/>
          <w:sz w:val="20"/>
          <w:szCs w:val="20"/>
          <w:lang w:val="en-GB"/>
        </w:rPr>
        <w:t>1/22</w:t>
      </w:r>
      <w:r w:rsidRPr="00B217DC">
        <w:rPr>
          <w:rFonts w:cs="Arial"/>
          <w:color w:val="auto"/>
          <w:sz w:val="20"/>
          <w:szCs w:val="20"/>
          <w:lang w:val="en-GB"/>
        </w:rPr>
        <w:t>, as well as</w:t>
      </w:r>
      <w:r w:rsidR="00034CED" w:rsidRPr="00B217DC">
        <w:rPr>
          <w:rFonts w:cs="Arial"/>
          <w:color w:val="auto"/>
          <w:sz w:val="20"/>
          <w:szCs w:val="20"/>
          <w:lang w:val="en-GB"/>
        </w:rPr>
        <w:t xml:space="preserve"> by the Auditor General of South Africa</w:t>
      </w:r>
      <w:r w:rsidRPr="00B217DC">
        <w:rPr>
          <w:rFonts w:cs="Arial"/>
          <w:color w:val="auto"/>
          <w:sz w:val="20"/>
          <w:szCs w:val="20"/>
          <w:lang w:val="en-GB"/>
        </w:rPr>
        <w:t xml:space="preserve"> (AGSA)</w:t>
      </w:r>
      <w:r w:rsidR="00034CED" w:rsidRPr="00B217DC">
        <w:rPr>
          <w:rFonts w:cs="Arial"/>
          <w:color w:val="auto"/>
          <w:sz w:val="20"/>
          <w:szCs w:val="20"/>
          <w:lang w:val="en-GB"/>
        </w:rPr>
        <w:t xml:space="preserve">. </w:t>
      </w:r>
      <w:r w:rsidR="00467102" w:rsidRPr="00B217DC">
        <w:rPr>
          <w:rFonts w:cs="Arial"/>
          <w:color w:val="auto"/>
          <w:sz w:val="20"/>
          <w:szCs w:val="20"/>
          <w:lang w:val="en-GB"/>
        </w:rPr>
        <w:t xml:space="preserve">The </w:t>
      </w:r>
      <w:r w:rsidR="00360D33" w:rsidRPr="00B217DC">
        <w:rPr>
          <w:rFonts w:cs="Arial"/>
          <w:color w:val="auto"/>
          <w:sz w:val="20"/>
          <w:szCs w:val="20"/>
          <w:lang w:val="en-GB"/>
        </w:rPr>
        <w:t xml:space="preserve">Commission for Gender Equality (CGE) briefed the Committee on </w:t>
      </w:r>
      <w:r w:rsidR="00BE7740" w:rsidRPr="00B217DC">
        <w:rPr>
          <w:rFonts w:cs="Arial"/>
          <w:color w:val="auto"/>
          <w:sz w:val="20"/>
          <w:szCs w:val="20"/>
          <w:lang w:val="en-GB"/>
        </w:rPr>
        <w:t>the 14</w:t>
      </w:r>
      <w:r w:rsidR="00BE7740" w:rsidRPr="00B217DC">
        <w:rPr>
          <w:rFonts w:cs="Arial"/>
          <w:color w:val="auto"/>
          <w:sz w:val="20"/>
          <w:szCs w:val="20"/>
          <w:vertAlign w:val="superscript"/>
          <w:lang w:val="en-GB"/>
        </w:rPr>
        <w:t>th</w:t>
      </w:r>
      <w:r w:rsidR="00BE7740" w:rsidRPr="00B217DC">
        <w:rPr>
          <w:rFonts w:cs="Arial"/>
          <w:color w:val="auto"/>
          <w:sz w:val="20"/>
          <w:szCs w:val="20"/>
          <w:lang w:val="en-GB"/>
        </w:rPr>
        <w:t xml:space="preserve"> October </w:t>
      </w:r>
      <w:r w:rsidR="00B3616A" w:rsidRPr="00B217DC">
        <w:rPr>
          <w:rFonts w:cs="Arial"/>
          <w:color w:val="auto"/>
          <w:sz w:val="20"/>
          <w:szCs w:val="20"/>
          <w:lang w:val="en-GB"/>
        </w:rPr>
        <w:t>2022</w:t>
      </w:r>
      <w:r w:rsidR="00360D33" w:rsidRPr="00B217DC">
        <w:rPr>
          <w:rFonts w:cs="Arial"/>
          <w:color w:val="auto"/>
          <w:sz w:val="20"/>
          <w:szCs w:val="20"/>
          <w:lang w:val="en-GB"/>
        </w:rPr>
        <w:t xml:space="preserve"> and the </w:t>
      </w:r>
      <w:r w:rsidR="00467102" w:rsidRPr="00B217DC">
        <w:rPr>
          <w:rFonts w:cs="Arial"/>
          <w:color w:val="auto"/>
          <w:sz w:val="20"/>
          <w:szCs w:val="20"/>
          <w:lang w:val="en-GB"/>
        </w:rPr>
        <w:t>National Youth Development Agency</w:t>
      </w:r>
      <w:r w:rsidR="00DA05BE" w:rsidRPr="00B217DC">
        <w:rPr>
          <w:rFonts w:cs="Arial"/>
          <w:color w:val="auto"/>
          <w:sz w:val="20"/>
          <w:szCs w:val="20"/>
          <w:lang w:val="en-GB"/>
        </w:rPr>
        <w:t xml:space="preserve"> (NYDA) </w:t>
      </w:r>
      <w:r w:rsidR="00360D33" w:rsidRPr="00B217DC">
        <w:rPr>
          <w:rFonts w:cs="Arial"/>
          <w:color w:val="auto"/>
          <w:sz w:val="20"/>
          <w:szCs w:val="20"/>
          <w:lang w:val="en-GB"/>
        </w:rPr>
        <w:t xml:space="preserve">on </w:t>
      </w:r>
      <w:r w:rsidR="00BE7740" w:rsidRPr="00B217DC">
        <w:rPr>
          <w:rFonts w:cs="Arial"/>
          <w:color w:val="auto"/>
          <w:sz w:val="20"/>
          <w:szCs w:val="20"/>
          <w:lang w:val="en-GB"/>
        </w:rPr>
        <w:t>the 18</w:t>
      </w:r>
      <w:r w:rsidR="00BE7740" w:rsidRPr="00B217DC">
        <w:rPr>
          <w:rFonts w:cs="Arial"/>
          <w:color w:val="auto"/>
          <w:sz w:val="20"/>
          <w:szCs w:val="20"/>
          <w:vertAlign w:val="superscript"/>
          <w:lang w:val="en-GB"/>
        </w:rPr>
        <w:t>th</w:t>
      </w:r>
      <w:r w:rsidR="00BE7740" w:rsidRPr="00B217DC">
        <w:rPr>
          <w:rFonts w:cs="Arial"/>
          <w:color w:val="auto"/>
          <w:sz w:val="20"/>
          <w:szCs w:val="20"/>
          <w:lang w:val="en-GB"/>
        </w:rPr>
        <w:t xml:space="preserve"> October </w:t>
      </w:r>
      <w:r w:rsidR="00B3616A" w:rsidRPr="00B217DC">
        <w:rPr>
          <w:rFonts w:cs="Arial"/>
          <w:color w:val="auto"/>
          <w:sz w:val="20"/>
          <w:szCs w:val="20"/>
          <w:lang w:val="en-GB"/>
        </w:rPr>
        <w:t>2022</w:t>
      </w:r>
      <w:r w:rsidR="00467102" w:rsidRPr="00B217DC">
        <w:rPr>
          <w:rFonts w:cs="Arial"/>
          <w:color w:val="auto"/>
          <w:sz w:val="20"/>
          <w:szCs w:val="20"/>
          <w:lang w:val="en-GB"/>
        </w:rPr>
        <w:t>.</w:t>
      </w:r>
    </w:p>
    <w:p w:rsidR="00034CED" w:rsidRPr="00B217DC" w:rsidRDefault="00034CED" w:rsidP="00B217DC">
      <w:pPr>
        <w:rPr>
          <w:rFonts w:cs="Arial"/>
          <w:color w:val="auto"/>
          <w:sz w:val="20"/>
          <w:szCs w:val="20"/>
          <w:lang w:val="en-GB"/>
        </w:rPr>
      </w:pPr>
    </w:p>
    <w:p w:rsidR="00170BD2" w:rsidRPr="00B217DC" w:rsidRDefault="00170BD2" w:rsidP="00B217DC">
      <w:pPr>
        <w:numPr>
          <w:ilvl w:val="0"/>
          <w:numId w:val="1"/>
        </w:numPr>
        <w:contextualSpacing/>
        <w:rPr>
          <w:rFonts w:cs="Arial"/>
          <w:b/>
          <w:color w:val="auto"/>
          <w:spacing w:val="0"/>
          <w:kern w:val="28"/>
          <w:sz w:val="20"/>
          <w:szCs w:val="20"/>
        </w:rPr>
      </w:pPr>
      <w:r w:rsidRPr="00B217DC">
        <w:rPr>
          <w:rFonts w:cs="Arial"/>
          <w:b/>
          <w:color w:val="auto"/>
          <w:spacing w:val="0"/>
          <w:kern w:val="28"/>
          <w:sz w:val="20"/>
          <w:szCs w:val="20"/>
        </w:rPr>
        <w:t xml:space="preserve">Strategic Overview </w:t>
      </w:r>
    </w:p>
    <w:p w:rsidR="00170BD2" w:rsidRPr="00B217DC" w:rsidRDefault="00170BD2" w:rsidP="00B217DC">
      <w:pPr>
        <w:keepNext/>
        <w:keepLines/>
        <w:numPr>
          <w:ilvl w:val="1"/>
          <w:numId w:val="1"/>
        </w:numPr>
        <w:outlineLvl w:val="0"/>
        <w:rPr>
          <w:rFonts w:cs="Arial"/>
          <w:b/>
          <w:bCs/>
          <w:color w:val="auto"/>
          <w:kern w:val="32"/>
          <w:sz w:val="20"/>
          <w:szCs w:val="20"/>
          <w:lang w:val="en-GB"/>
        </w:rPr>
      </w:pPr>
      <w:bookmarkStart w:id="0" w:name="_Toc447886968"/>
      <w:r w:rsidRPr="00B217DC">
        <w:rPr>
          <w:rFonts w:cs="Arial"/>
          <w:b/>
          <w:bCs/>
          <w:color w:val="auto"/>
          <w:kern w:val="32"/>
          <w:sz w:val="20"/>
          <w:szCs w:val="20"/>
          <w:lang w:val="en-GB"/>
        </w:rPr>
        <w:t>Mandate and Purpose of the Department</w:t>
      </w:r>
      <w:bookmarkEnd w:id="0"/>
    </w:p>
    <w:p w:rsidR="00170BD2" w:rsidRPr="00B217DC" w:rsidRDefault="00170BD2" w:rsidP="00B217DC">
      <w:pPr>
        <w:rPr>
          <w:rFonts w:cs="Arial"/>
          <w:color w:val="auto"/>
          <w:sz w:val="20"/>
          <w:szCs w:val="20"/>
          <w:lang w:val="en-GB"/>
        </w:rPr>
      </w:pPr>
    </w:p>
    <w:p w:rsidR="00170BD2" w:rsidRPr="00B217DC" w:rsidRDefault="00B059A9" w:rsidP="00B217DC">
      <w:pPr>
        <w:rPr>
          <w:rFonts w:cs="Arial"/>
          <w:bCs/>
          <w:color w:val="auto"/>
          <w:sz w:val="20"/>
          <w:szCs w:val="20"/>
          <w:lang w:val="en-US"/>
        </w:rPr>
      </w:pPr>
      <w:r w:rsidRPr="00B217DC">
        <w:rPr>
          <w:rFonts w:cs="Arial"/>
          <w:color w:val="auto"/>
          <w:sz w:val="20"/>
          <w:szCs w:val="20"/>
        </w:rPr>
        <w:t xml:space="preserve">The Department of Women, Youth and Persons with Disabilities derives its mandate from section 9 (3) of the Constitution. </w:t>
      </w:r>
      <w:r w:rsidR="002F44D9" w:rsidRPr="00B217DC">
        <w:rPr>
          <w:rFonts w:cs="Arial"/>
          <w:color w:val="auto"/>
          <w:sz w:val="20"/>
          <w:szCs w:val="20"/>
        </w:rPr>
        <w:t>Department has shifted its mandate from that of being a facilitation department to that of being a regulator. As such, the mandate of the Department is to regulate the socio-economic transformation and implementation of the empowerment and participation of women, youth and persons with disabilities.</w:t>
      </w:r>
      <w:r w:rsidR="002F44D9" w:rsidRPr="00B217DC">
        <w:rPr>
          <w:rFonts w:cs="Arial"/>
          <w:color w:val="auto"/>
          <w:sz w:val="20"/>
          <w:szCs w:val="20"/>
          <w:lang w:val="en-GB"/>
        </w:rPr>
        <w:t xml:space="preserve"> </w:t>
      </w:r>
      <w:r w:rsidR="002F44D9" w:rsidRPr="00B217DC">
        <w:rPr>
          <w:rFonts w:cs="Arial"/>
          <w:color w:val="auto"/>
          <w:sz w:val="20"/>
          <w:szCs w:val="20"/>
        </w:rPr>
        <w:t>Furthermore, it will also create and facilitate a socioeconomic internal and institutional environment that will enable it to perform its function as a regulator.</w:t>
      </w:r>
      <w:r w:rsidR="00C509A2" w:rsidRPr="00B217DC">
        <w:rPr>
          <w:rFonts w:cs="Arial"/>
          <w:color w:val="auto"/>
          <w:sz w:val="20"/>
          <w:szCs w:val="20"/>
          <w:lang w:val="en-GB"/>
        </w:rPr>
        <w:t xml:space="preserve"> </w:t>
      </w:r>
      <w:r w:rsidR="000529A8" w:rsidRPr="00B217DC">
        <w:rPr>
          <w:rFonts w:cs="Arial"/>
          <w:color w:val="auto"/>
          <w:sz w:val="20"/>
          <w:szCs w:val="20"/>
          <w:lang w:val="en-GB"/>
        </w:rPr>
        <w:t>I</w:t>
      </w:r>
      <w:r w:rsidR="00C509A2" w:rsidRPr="00B217DC">
        <w:rPr>
          <w:rFonts w:cs="Arial"/>
          <w:color w:val="auto"/>
          <w:sz w:val="20"/>
          <w:szCs w:val="20"/>
          <w:lang w:val="en-GB"/>
        </w:rPr>
        <w:t>ts ultimate vision</w:t>
      </w:r>
      <w:r w:rsidR="006406E5" w:rsidRPr="00B217DC">
        <w:rPr>
          <w:rFonts w:cs="Arial"/>
          <w:color w:val="auto"/>
          <w:sz w:val="20"/>
          <w:szCs w:val="20"/>
          <w:lang w:val="en-GB"/>
        </w:rPr>
        <w:t xml:space="preserve"> is one in which the rights</w:t>
      </w:r>
      <w:r w:rsidR="006406E5" w:rsidRPr="00B217DC">
        <w:rPr>
          <w:rFonts w:cs="Arial"/>
          <w:color w:val="auto"/>
          <w:sz w:val="20"/>
          <w:szCs w:val="20"/>
        </w:rPr>
        <w:t xml:space="preserve"> of women, youth and persons with disabilities are realised</w:t>
      </w:r>
      <w:r w:rsidR="00C509A2" w:rsidRPr="00B217DC">
        <w:rPr>
          <w:rFonts w:cs="Arial"/>
          <w:bCs/>
          <w:color w:val="auto"/>
          <w:sz w:val="20"/>
          <w:szCs w:val="20"/>
          <w:lang w:val="en-US"/>
        </w:rPr>
        <w:t>.</w:t>
      </w:r>
    </w:p>
    <w:p w:rsidR="003311D3" w:rsidRPr="00B217DC" w:rsidRDefault="003311D3" w:rsidP="00B217DC">
      <w:pPr>
        <w:rPr>
          <w:rFonts w:cs="Arial"/>
          <w:bCs/>
          <w:color w:val="auto"/>
          <w:sz w:val="20"/>
          <w:szCs w:val="20"/>
          <w:lang w:val="en-US"/>
        </w:rPr>
      </w:pPr>
    </w:p>
    <w:p w:rsidR="003311D3" w:rsidRPr="00B217DC" w:rsidRDefault="003311D3" w:rsidP="00B217DC">
      <w:pPr>
        <w:rPr>
          <w:rFonts w:cs="Arial"/>
          <w:color w:val="auto"/>
          <w:sz w:val="20"/>
          <w:szCs w:val="20"/>
          <w:lang w:val="en-GB"/>
        </w:rPr>
      </w:pPr>
      <w:r w:rsidRPr="00B217DC">
        <w:rPr>
          <w:rFonts w:cs="Arial"/>
          <w:bCs/>
          <w:color w:val="auto"/>
          <w:sz w:val="20"/>
          <w:szCs w:val="20"/>
          <w:lang w:val="en-US"/>
        </w:rPr>
        <w:t xml:space="preserve">As </w:t>
      </w:r>
      <w:r w:rsidR="000529A8" w:rsidRPr="00B217DC">
        <w:rPr>
          <w:rFonts w:cs="Arial"/>
          <w:bCs/>
          <w:color w:val="auto"/>
          <w:sz w:val="20"/>
          <w:szCs w:val="20"/>
          <w:lang w:val="en-US"/>
        </w:rPr>
        <w:t xml:space="preserve">stated in the </w:t>
      </w:r>
      <w:r w:rsidRPr="00B217DC">
        <w:rPr>
          <w:rFonts w:cs="Arial"/>
          <w:bCs/>
          <w:color w:val="auto"/>
          <w:sz w:val="20"/>
          <w:szCs w:val="20"/>
          <w:lang w:val="en-US"/>
        </w:rPr>
        <w:t>Estimates of National Expenditure</w:t>
      </w:r>
      <w:r w:rsidR="008D1A21" w:rsidRPr="00B217DC">
        <w:rPr>
          <w:rFonts w:cs="Arial"/>
          <w:bCs/>
          <w:color w:val="auto"/>
          <w:sz w:val="20"/>
          <w:szCs w:val="20"/>
          <w:lang w:val="en-US"/>
        </w:rPr>
        <w:t xml:space="preserve"> (ENE)</w:t>
      </w:r>
      <w:r w:rsidRPr="00B217DC">
        <w:rPr>
          <w:rFonts w:cs="Arial"/>
          <w:bCs/>
          <w:color w:val="auto"/>
          <w:sz w:val="20"/>
          <w:szCs w:val="20"/>
          <w:lang w:val="en-US"/>
        </w:rPr>
        <w:t xml:space="preserve"> for 20</w:t>
      </w:r>
      <w:r w:rsidR="00360D33" w:rsidRPr="00B217DC">
        <w:rPr>
          <w:rFonts w:cs="Arial"/>
          <w:bCs/>
          <w:color w:val="auto"/>
          <w:sz w:val="20"/>
          <w:szCs w:val="20"/>
          <w:lang w:val="en-US"/>
        </w:rPr>
        <w:t>2</w:t>
      </w:r>
      <w:r w:rsidR="004715CE" w:rsidRPr="00B217DC">
        <w:rPr>
          <w:rFonts w:cs="Arial"/>
          <w:bCs/>
          <w:color w:val="auto"/>
          <w:sz w:val="20"/>
          <w:szCs w:val="20"/>
          <w:lang w:val="en-US"/>
        </w:rPr>
        <w:t>1</w:t>
      </w:r>
      <w:r w:rsidRPr="00B217DC">
        <w:rPr>
          <w:rFonts w:cs="Arial"/>
          <w:bCs/>
          <w:color w:val="auto"/>
          <w:sz w:val="20"/>
          <w:szCs w:val="20"/>
          <w:lang w:val="en-US"/>
        </w:rPr>
        <w:t xml:space="preserve">, the Department received its transfer from National Treasury via Vote </w:t>
      </w:r>
      <w:r w:rsidR="00360D33" w:rsidRPr="00B217DC">
        <w:rPr>
          <w:rFonts w:cs="Arial"/>
          <w:bCs/>
          <w:color w:val="auto"/>
          <w:sz w:val="20"/>
          <w:szCs w:val="20"/>
          <w:lang w:val="en-US"/>
        </w:rPr>
        <w:t>20</w:t>
      </w:r>
      <w:r w:rsidRPr="00B217DC">
        <w:rPr>
          <w:rFonts w:cs="Arial"/>
          <w:bCs/>
          <w:color w:val="auto"/>
          <w:sz w:val="20"/>
          <w:szCs w:val="20"/>
          <w:lang w:val="en-US"/>
        </w:rPr>
        <w:t xml:space="preserve">, which at the time was inclusive of </w:t>
      </w:r>
      <w:r w:rsidR="00360D33" w:rsidRPr="00B217DC">
        <w:rPr>
          <w:rFonts w:cs="Arial"/>
          <w:bCs/>
          <w:color w:val="auto"/>
          <w:sz w:val="20"/>
          <w:szCs w:val="20"/>
          <w:lang w:val="en-US"/>
        </w:rPr>
        <w:t>five</w:t>
      </w:r>
      <w:r w:rsidR="00A42BF2" w:rsidRPr="00B217DC">
        <w:rPr>
          <w:rFonts w:cs="Arial"/>
          <w:bCs/>
          <w:color w:val="auto"/>
          <w:sz w:val="20"/>
          <w:szCs w:val="20"/>
          <w:lang w:val="en-US"/>
        </w:rPr>
        <w:t xml:space="preserve"> </w:t>
      </w:r>
      <w:r w:rsidRPr="00B217DC">
        <w:rPr>
          <w:rFonts w:cs="Arial"/>
          <w:bCs/>
          <w:color w:val="auto"/>
          <w:sz w:val="20"/>
          <w:szCs w:val="20"/>
          <w:lang w:val="en-US"/>
        </w:rPr>
        <w:t xml:space="preserve">programmes namely; Programme 1: Administration, Programme 2: </w:t>
      </w:r>
      <w:r w:rsidR="000B21F2" w:rsidRPr="00B217DC">
        <w:rPr>
          <w:rFonts w:cs="Arial"/>
          <w:bCs/>
          <w:color w:val="auto"/>
          <w:sz w:val="20"/>
          <w:szCs w:val="20"/>
          <w:lang w:val="en-US"/>
        </w:rPr>
        <w:t xml:space="preserve">Social Transformation and Economic Empowerment </w:t>
      </w:r>
      <w:r w:rsidRPr="00B217DC">
        <w:rPr>
          <w:rFonts w:cs="Arial"/>
          <w:bCs/>
          <w:color w:val="auto"/>
          <w:sz w:val="20"/>
          <w:szCs w:val="20"/>
          <w:lang w:val="en-US"/>
        </w:rPr>
        <w:t>(STEE) and Programme 3:</w:t>
      </w:r>
      <w:r w:rsidR="000B21F2" w:rsidRPr="00B217DC">
        <w:rPr>
          <w:rFonts w:cs="Arial"/>
          <w:bCs/>
          <w:color w:val="auto"/>
          <w:sz w:val="20"/>
          <w:szCs w:val="20"/>
          <w:lang w:val="en-US"/>
        </w:rPr>
        <w:t xml:space="preserve"> Policy, Stakeholder Coordination and Knowledge Management (PSCKM)</w:t>
      </w:r>
      <w:r w:rsidR="00360D33" w:rsidRPr="00B217DC">
        <w:rPr>
          <w:rFonts w:cs="Arial"/>
          <w:bCs/>
          <w:color w:val="auto"/>
          <w:sz w:val="20"/>
          <w:szCs w:val="20"/>
          <w:lang w:val="en-US"/>
        </w:rPr>
        <w:t>; Programme 4: Rights of Persons with Disabilities and Programme 5: National Youth Development</w:t>
      </w:r>
      <w:r w:rsidRPr="00B217DC">
        <w:rPr>
          <w:rFonts w:cs="Arial"/>
          <w:bCs/>
          <w:color w:val="auto"/>
          <w:sz w:val="20"/>
          <w:szCs w:val="20"/>
          <w:lang w:val="en-US"/>
        </w:rPr>
        <w:t>.</w:t>
      </w:r>
    </w:p>
    <w:p w:rsidR="00723EA7" w:rsidRPr="00B217DC" w:rsidRDefault="00723EA7" w:rsidP="00B217DC">
      <w:pPr>
        <w:rPr>
          <w:rFonts w:cs="Arial"/>
          <w:color w:val="auto"/>
          <w:sz w:val="20"/>
          <w:szCs w:val="20"/>
          <w:lang w:val="en-GB"/>
        </w:rPr>
      </w:pPr>
    </w:p>
    <w:p w:rsidR="004B2730" w:rsidRPr="00B217DC" w:rsidRDefault="004B2730" w:rsidP="00B217DC">
      <w:pPr>
        <w:rPr>
          <w:rFonts w:cs="Arial"/>
          <w:color w:val="auto"/>
          <w:sz w:val="20"/>
          <w:szCs w:val="20"/>
        </w:rPr>
      </w:pPr>
      <w:r w:rsidRPr="00B217DC">
        <w:rPr>
          <w:rFonts w:cs="Arial"/>
          <w:color w:val="auto"/>
          <w:sz w:val="20"/>
          <w:szCs w:val="20"/>
        </w:rPr>
        <w:t xml:space="preserve">The Department notes as its new outcomes as follows: </w:t>
      </w:r>
    </w:p>
    <w:p w:rsidR="004B2730" w:rsidRPr="00B217DC" w:rsidRDefault="004B2730" w:rsidP="00B217DC">
      <w:pPr>
        <w:rPr>
          <w:rFonts w:cs="Arial"/>
          <w:color w:val="auto"/>
          <w:sz w:val="20"/>
          <w:szCs w:val="20"/>
        </w:rPr>
      </w:pPr>
    </w:p>
    <w:p w:rsidR="004B2730" w:rsidRPr="00B217DC" w:rsidRDefault="004B2730" w:rsidP="00B217DC">
      <w:pPr>
        <w:pStyle w:val="ListParagraph"/>
        <w:numPr>
          <w:ilvl w:val="0"/>
          <w:numId w:val="98"/>
        </w:numPr>
        <w:rPr>
          <w:rFonts w:cs="Arial"/>
          <w:color w:val="auto"/>
          <w:sz w:val="20"/>
          <w:szCs w:val="20"/>
        </w:rPr>
      </w:pPr>
      <w:r w:rsidRPr="00B217DC">
        <w:rPr>
          <w:rFonts w:cs="Arial"/>
          <w:color w:val="auto"/>
          <w:sz w:val="20"/>
          <w:szCs w:val="20"/>
        </w:rPr>
        <w:t xml:space="preserve">The socio-economic empowerment of women, youth and persons with disabilities through the development and implementation of regulatory frameworks, </w:t>
      </w:r>
    </w:p>
    <w:p w:rsidR="004B2730" w:rsidRPr="00B217DC" w:rsidRDefault="004B2730" w:rsidP="00B217DC">
      <w:pPr>
        <w:pStyle w:val="ListParagraph"/>
        <w:numPr>
          <w:ilvl w:val="0"/>
          <w:numId w:val="98"/>
        </w:numPr>
        <w:rPr>
          <w:rFonts w:cs="Arial"/>
          <w:color w:val="auto"/>
          <w:sz w:val="20"/>
          <w:szCs w:val="20"/>
        </w:rPr>
      </w:pPr>
      <w:r w:rsidRPr="00B217DC">
        <w:rPr>
          <w:rFonts w:cs="Arial"/>
          <w:color w:val="auto"/>
          <w:sz w:val="20"/>
          <w:szCs w:val="20"/>
        </w:rPr>
        <w:t xml:space="preserve">The rights of women, youth and persons with disabilities realised through the development and implementation of legislation, and </w:t>
      </w:r>
    </w:p>
    <w:p w:rsidR="004B2730" w:rsidRPr="00B217DC" w:rsidRDefault="004B2730" w:rsidP="00B217DC">
      <w:pPr>
        <w:pStyle w:val="ListParagraph"/>
        <w:numPr>
          <w:ilvl w:val="0"/>
          <w:numId w:val="98"/>
        </w:numPr>
        <w:rPr>
          <w:rFonts w:cs="Arial"/>
          <w:color w:val="auto"/>
          <w:sz w:val="20"/>
          <w:szCs w:val="20"/>
        </w:rPr>
      </w:pPr>
      <w:r w:rsidRPr="00B217DC">
        <w:rPr>
          <w:rFonts w:cs="Arial"/>
          <w:color w:val="auto"/>
          <w:sz w:val="20"/>
          <w:szCs w:val="20"/>
        </w:rPr>
        <w:t xml:space="preserve">The development and implementation of a stakeholder framework. </w:t>
      </w:r>
    </w:p>
    <w:p w:rsidR="004B2730" w:rsidRPr="00B217DC" w:rsidRDefault="004B2730"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2.2 Mandate of the Commission for Gender Equality</w:t>
      </w:r>
    </w:p>
    <w:p w:rsidR="00170BD2" w:rsidRPr="00B217DC" w:rsidRDefault="00170BD2" w:rsidP="00B217DC">
      <w:pPr>
        <w:rPr>
          <w:rFonts w:cs="Arial"/>
          <w:b/>
          <w:color w:val="auto"/>
          <w:sz w:val="20"/>
          <w:szCs w:val="20"/>
          <w:lang w:val="en-GB"/>
        </w:rPr>
      </w:pPr>
    </w:p>
    <w:p w:rsidR="00170BD2" w:rsidRPr="00B217DC" w:rsidRDefault="00170BD2" w:rsidP="00B217DC">
      <w:p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The Commission for Gender Equality (CGE) was established in 1996 according to the Commission for Gender Equality Act 39 (1996) to promote gender equality. In its efforts to monitor, lobby, educate citizens and encourage the equitable development of women and men, the CGE is compelled to undertake the following: </w:t>
      </w:r>
    </w:p>
    <w:p w:rsidR="00170BD2" w:rsidRPr="00B217DC" w:rsidRDefault="00170BD2" w:rsidP="00B217DC">
      <w:pPr>
        <w:autoSpaceDE w:val="0"/>
        <w:autoSpaceDN w:val="0"/>
        <w:adjustRightInd w:val="0"/>
        <w:rPr>
          <w:rFonts w:eastAsia="Calibri" w:cs="Arial"/>
          <w:color w:val="auto"/>
          <w:spacing w:val="0"/>
          <w:sz w:val="20"/>
          <w:szCs w:val="20"/>
          <w:lang w:eastAsia="en-US"/>
        </w:rPr>
      </w:pP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monitor and evaluate policies and practices of organs of State at any level, statutory bodies or functionaries, public bodies and authorities, and private businesses, enterprises and institutions;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cultivate an understanding of gender equality and the role and activities of the Commission through developing, conducting and managing information and education programmes;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evaluate whether Acts of Parliament (existing or proposed), systems of personal and family law or custom, systems of indigenous law, custom or practices or any other law, will affect the status of women, and to make recommendations to Parliament in this regard;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recommend to the National and Provincial Legislatures, any new legislation that would promote gender equality;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investigate on its own initiative or due to a complaint, any gender related issue;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maintain close relations with institutions that undertake similar work, and to facilitate cooperation in handling complaints;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interact with civil society to further the work of the Commission;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monitor compliance to international conventions, covenants and charters related to gender issues, and to submit reports to Parliament in this regard; </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conduct research on gender related issues; </w:t>
      </w:r>
      <w:r w:rsidR="00BB6731" w:rsidRPr="00B217DC">
        <w:rPr>
          <w:rFonts w:eastAsia="Calibri" w:cs="Arial"/>
          <w:color w:val="auto"/>
          <w:spacing w:val="0"/>
          <w:sz w:val="20"/>
          <w:szCs w:val="20"/>
          <w:lang w:eastAsia="en-US"/>
        </w:rPr>
        <w:t>and</w:t>
      </w:r>
    </w:p>
    <w:p w:rsidR="00170BD2" w:rsidRPr="00B217DC" w:rsidRDefault="00170BD2" w:rsidP="00B217DC">
      <w:pPr>
        <w:numPr>
          <w:ilvl w:val="0"/>
          <w:numId w:val="3"/>
        </w:numPr>
        <w:autoSpaceDE w:val="0"/>
        <w:autoSpaceDN w:val="0"/>
        <w:adjustRightInd w:val="0"/>
        <w:rPr>
          <w:rFonts w:eastAsia="Calibri" w:cs="Arial"/>
          <w:color w:val="auto"/>
          <w:spacing w:val="0"/>
          <w:sz w:val="20"/>
          <w:szCs w:val="20"/>
          <w:lang w:eastAsia="en-US"/>
        </w:rPr>
      </w:pPr>
      <w:r w:rsidRPr="00B217DC">
        <w:rPr>
          <w:rFonts w:eastAsia="Calibri" w:cs="Arial"/>
          <w:color w:val="auto"/>
          <w:spacing w:val="0"/>
          <w:sz w:val="20"/>
          <w:szCs w:val="20"/>
          <w:lang w:eastAsia="en-US"/>
        </w:rPr>
        <w:t xml:space="preserve">To consider recommendations, suggestions and requests made with regards to gender equality as received from any source. </w:t>
      </w:r>
    </w:p>
    <w:p w:rsidR="00723EA7" w:rsidRPr="00B217DC" w:rsidRDefault="00723EA7" w:rsidP="00B217DC">
      <w:pPr>
        <w:ind w:firstLine="720"/>
        <w:rPr>
          <w:rFonts w:cs="Arial"/>
          <w:color w:val="auto"/>
          <w:sz w:val="20"/>
          <w:szCs w:val="20"/>
          <w:lang w:val="en-GB"/>
        </w:rPr>
      </w:pPr>
    </w:p>
    <w:p w:rsidR="00120C3C" w:rsidRPr="00B217DC" w:rsidRDefault="00170BD2" w:rsidP="00B217DC">
      <w:pPr>
        <w:autoSpaceDE w:val="0"/>
        <w:autoSpaceDN w:val="0"/>
        <w:adjustRightInd w:val="0"/>
        <w:rPr>
          <w:rFonts w:cs="Arial"/>
          <w:b/>
          <w:bCs/>
          <w:color w:val="auto"/>
          <w:spacing w:val="0"/>
          <w:sz w:val="20"/>
          <w:szCs w:val="20"/>
          <w:lang w:eastAsia="en-ZA"/>
        </w:rPr>
      </w:pPr>
      <w:r w:rsidRPr="00B217DC">
        <w:rPr>
          <w:rFonts w:cs="Arial"/>
          <w:b/>
          <w:bCs/>
          <w:color w:val="auto"/>
          <w:spacing w:val="0"/>
          <w:sz w:val="20"/>
          <w:szCs w:val="20"/>
          <w:lang w:eastAsia="en-ZA"/>
        </w:rPr>
        <w:t xml:space="preserve">2.3 </w:t>
      </w:r>
      <w:r w:rsidR="00120C3C" w:rsidRPr="00B217DC">
        <w:rPr>
          <w:rFonts w:cs="Arial"/>
          <w:b/>
          <w:bCs/>
          <w:color w:val="auto"/>
          <w:spacing w:val="0"/>
          <w:sz w:val="20"/>
          <w:szCs w:val="20"/>
          <w:lang w:eastAsia="en-ZA"/>
        </w:rPr>
        <w:t>Mandate of the National Youth Development Agency</w:t>
      </w:r>
    </w:p>
    <w:p w:rsidR="00120C3C" w:rsidRPr="00B217DC" w:rsidRDefault="00120C3C" w:rsidP="00B217DC">
      <w:pPr>
        <w:autoSpaceDE w:val="0"/>
        <w:autoSpaceDN w:val="0"/>
        <w:adjustRightInd w:val="0"/>
        <w:rPr>
          <w:rFonts w:cs="Arial"/>
          <w:b/>
          <w:bCs/>
          <w:color w:val="auto"/>
          <w:spacing w:val="0"/>
          <w:sz w:val="20"/>
          <w:szCs w:val="20"/>
          <w:lang w:eastAsia="en-ZA"/>
        </w:rPr>
      </w:pPr>
    </w:p>
    <w:p w:rsidR="00A42BF2" w:rsidRPr="00B217DC" w:rsidRDefault="00A42BF2" w:rsidP="00B217DC">
      <w:pPr>
        <w:autoSpaceDE w:val="0"/>
        <w:autoSpaceDN w:val="0"/>
        <w:adjustRightInd w:val="0"/>
        <w:rPr>
          <w:rFonts w:cs="Arial"/>
          <w:bCs/>
          <w:color w:val="auto"/>
          <w:spacing w:val="0"/>
          <w:sz w:val="20"/>
          <w:szCs w:val="20"/>
          <w:lang w:eastAsia="en-ZA"/>
        </w:rPr>
      </w:pPr>
      <w:r w:rsidRPr="00B217DC">
        <w:rPr>
          <w:rFonts w:cs="Arial"/>
          <w:bCs/>
          <w:color w:val="auto"/>
          <w:spacing w:val="0"/>
          <w:sz w:val="20"/>
          <w:szCs w:val="20"/>
          <w:lang w:eastAsia="en-ZA"/>
        </w:rPr>
        <w:t>The National Youth Development Agency (NYDA) was established through the NYDA Act (No. 54 of 2008). It was established to be a single, unitary structure to deal with youth development issues at a national, provincial and local government level. The NYDA Act instructs the NYDA to promote a uniform approach to youth development by all organs of State, the private sector and non-government organisations.</w:t>
      </w:r>
      <w:r w:rsidRPr="00B217DC">
        <w:rPr>
          <w:rFonts w:cs="Arial"/>
          <w:color w:val="auto"/>
          <w:sz w:val="20"/>
          <w:szCs w:val="20"/>
        </w:rPr>
        <w:t xml:space="preserve"> </w:t>
      </w:r>
      <w:r w:rsidRPr="00B217DC">
        <w:rPr>
          <w:rFonts w:cs="Arial"/>
          <w:bCs/>
          <w:color w:val="auto"/>
          <w:spacing w:val="0"/>
          <w:sz w:val="20"/>
          <w:szCs w:val="20"/>
          <w:lang w:eastAsia="en-ZA"/>
        </w:rPr>
        <w:t>The NYDA derives its mandate from legislative frameworks which is inclusive of the NYDA Act (</w:t>
      </w:r>
      <w:r w:rsidR="001D5820" w:rsidRPr="00B217DC">
        <w:rPr>
          <w:rFonts w:cs="Arial"/>
          <w:bCs/>
          <w:color w:val="auto"/>
          <w:spacing w:val="0"/>
          <w:sz w:val="20"/>
          <w:szCs w:val="20"/>
          <w:lang w:eastAsia="en-ZA"/>
        </w:rPr>
        <w:t xml:space="preserve">No. </w:t>
      </w:r>
      <w:r w:rsidRPr="00B217DC">
        <w:rPr>
          <w:rFonts w:cs="Arial"/>
          <w:bCs/>
          <w:color w:val="auto"/>
          <w:spacing w:val="0"/>
          <w:sz w:val="20"/>
          <w:szCs w:val="20"/>
          <w:lang w:eastAsia="en-ZA"/>
        </w:rPr>
        <w:t>54 of 2008), the National Youth Policy (2009-2014) and the Integrated Youth Development Strategy.</w:t>
      </w:r>
    </w:p>
    <w:p w:rsidR="001D5820" w:rsidRPr="00B217DC" w:rsidRDefault="001D5820" w:rsidP="00B217DC">
      <w:pPr>
        <w:autoSpaceDE w:val="0"/>
        <w:autoSpaceDN w:val="0"/>
        <w:adjustRightInd w:val="0"/>
        <w:rPr>
          <w:rFonts w:cs="Arial"/>
          <w:bCs/>
          <w:color w:val="auto"/>
          <w:spacing w:val="0"/>
          <w:sz w:val="20"/>
          <w:szCs w:val="20"/>
          <w:lang w:eastAsia="en-ZA"/>
        </w:rPr>
      </w:pPr>
    </w:p>
    <w:p w:rsidR="001D5820" w:rsidRPr="00B217DC" w:rsidRDefault="001D5820" w:rsidP="00B217DC">
      <w:pPr>
        <w:autoSpaceDE w:val="0"/>
        <w:autoSpaceDN w:val="0"/>
        <w:adjustRightInd w:val="0"/>
        <w:rPr>
          <w:rFonts w:cs="Arial"/>
          <w:bCs/>
          <w:color w:val="auto"/>
          <w:spacing w:val="0"/>
          <w:sz w:val="20"/>
          <w:szCs w:val="20"/>
          <w:lang w:eastAsia="en-ZA"/>
        </w:rPr>
      </w:pPr>
      <w:r w:rsidRPr="00B217DC">
        <w:rPr>
          <w:rFonts w:cs="Arial"/>
          <w:bCs/>
          <w:color w:val="auto"/>
          <w:spacing w:val="0"/>
          <w:sz w:val="20"/>
          <w:szCs w:val="20"/>
          <w:lang w:eastAsia="en-ZA"/>
        </w:rPr>
        <w:t>The NYDA Act (No. 54 of 2008) stipulates objectives of the Agency as follows:</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Develop an Integrated Youth Development Plan and Strategy for South Africa.</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Develop guidelines for the implementation of an integrated national youth policy and make recommendations to the President.</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Initiate, design, co-ordinate, evaluate and monitor all programmes aimed at integrating the youth into the economy and society in general.</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Guide efforts and facilitate economic participation and empowerment, and achievement of education and training.</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Partner and assist organs of state, the private sector and non-governmental organisations and community-based organisations on initiatives directed at the attainment of employment and skills development.</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Initiate programmes directed at poverty alleviation, urban and rural development and the combating of crime, substance abuse and social decay amongst youth.</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Establish annual national priority programmes in respect of youth development.</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Promote a uniform approach by all organs of state, the private sector and non-governmental organisations to matters relating to or involving youth development.</w:t>
      </w:r>
    </w:p>
    <w:p w:rsidR="001D5820" w:rsidRPr="00B217DC" w:rsidRDefault="001D5820" w:rsidP="00B217DC">
      <w:pPr>
        <w:numPr>
          <w:ilvl w:val="0"/>
          <w:numId w:val="40"/>
        </w:numPr>
        <w:autoSpaceDE w:val="0"/>
        <w:autoSpaceDN w:val="0"/>
        <w:adjustRightInd w:val="0"/>
        <w:rPr>
          <w:rFonts w:cs="Arial"/>
          <w:bCs/>
          <w:iCs/>
          <w:color w:val="auto"/>
          <w:spacing w:val="0"/>
          <w:sz w:val="20"/>
          <w:szCs w:val="20"/>
          <w:lang w:eastAsia="en-ZA"/>
        </w:rPr>
      </w:pPr>
      <w:r w:rsidRPr="00B217DC">
        <w:rPr>
          <w:rFonts w:cs="Arial"/>
          <w:bCs/>
          <w:iCs/>
          <w:color w:val="auto"/>
          <w:spacing w:val="0"/>
          <w:sz w:val="20"/>
          <w:szCs w:val="20"/>
          <w:lang w:eastAsia="en-ZA"/>
        </w:rPr>
        <w:t>Endeavour to promote, generally, the interest of the youth, particularly young people with disabilities.</w:t>
      </w:r>
    </w:p>
    <w:p w:rsidR="00BB6731" w:rsidRPr="00B217DC" w:rsidRDefault="00BB6731" w:rsidP="00B217DC">
      <w:pPr>
        <w:autoSpaceDE w:val="0"/>
        <w:autoSpaceDN w:val="0"/>
        <w:adjustRightInd w:val="0"/>
        <w:rPr>
          <w:rFonts w:cs="Arial"/>
          <w:bCs/>
          <w:color w:val="auto"/>
          <w:spacing w:val="0"/>
          <w:sz w:val="20"/>
          <w:szCs w:val="20"/>
          <w:lang w:eastAsia="en-US"/>
        </w:rPr>
      </w:pPr>
    </w:p>
    <w:p w:rsidR="006F1A6F" w:rsidRPr="00B217DC" w:rsidRDefault="006F1A6F" w:rsidP="00B217DC">
      <w:pPr>
        <w:autoSpaceDE w:val="0"/>
        <w:autoSpaceDN w:val="0"/>
        <w:adjustRightInd w:val="0"/>
        <w:rPr>
          <w:rFonts w:cs="Arial"/>
          <w:color w:val="auto"/>
          <w:spacing w:val="0"/>
          <w:sz w:val="20"/>
          <w:szCs w:val="20"/>
          <w:lang w:eastAsia="en-US"/>
        </w:rPr>
      </w:pPr>
      <w:r w:rsidRPr="00B217DC">
        <w:rPr>
          <w:rFonts w:cs="Arial"/>
          <w:color w:val="auto"/>
          <w:spacing w:val="0"/>
          <w:sz w:val="20"/>
          <w:szCs w:val="20"/>
          <w:lang w:eastAsia="en-US"/>
        </w:rPr>
        <w:t>From an oversight perspective, the Committee is therefor</w:t>
      </w:r>
      <w:r w:rsidR="00034CED" w:rsidRPr="00B217DC">
        <w:rPr>
          <w:rFonts w:cs="Arial"/>
          <w:color w:val="auto"/>
          <w:spacing w:val="0"/>
          <w:sz w:val="20"/>
          <w:szCs w:val="20"/>
          <w:lang w:eastAsia="en-US"/>
        </w:rPr>
        <w:t>e</w:t>
      </w:r>
      <w:r w:rsidRPr="00B217DC">
        <w:rPr>
          <w:rFonts w:cs="Arial"/>
          <w:color w:val="auto"/>
          <w:spacing w:val="0"/>
          <w:sz w:val="20"/>
          <w:szCs w:val="20"/>
          <w:lang w:eastAsia="en-US"/>
        </w:rPr>
        <w:t xml:space="preserve"> responsible for overseeing the Department which is inclusive of the Commission for Gender Equality (CGE) and the National Youth Development Agency (NYDA).</w:t>
      </w:r>
    </w:p>
    <w:p w:rsidR="00170BD2" w:rsidRPr="00B217DC" w:rsidRDefault="00170BD2" w:rsidP="00B217DC">
      <w:pPr>
        <w:numPr>
          <w:ilvl w:val="0"/>
          <w:numId w:val="1"/>
        </w:numPr>
        <w:contextualSpacing/>
        <w:rPr>
          <w:rFonts w:cs="Arial"/>
          <w:b/>
          <w:color w:val="auto"/>
          <w:spacing w:val="0"/>
          <w:kern w:val="28"/>
          <w:sz w:val="20"/>
          <w:szCs w:val="20"/>
        </w:rPr>
      </w:pPr>
      <w:r w:rsidRPr="00B217DC">
        <w:rPr>
          <w:rFonts w:cs="Arial"/>
          <w:b/>
          <w:color w:val="auto"/>
          <w:spacing w:val="0"/>
          <w:kern w:val="28"/>
          <w:sz w:val="20"/>
          <w:szCs w:val="20"/>
        </w:rPr>
        <w:t xml:space="preserve">Purpose of the Budget Review and Recommendations Report </w:t>
      </w:r>
      <w:r w:rsidR="002D45BA" w:rsidRPr="00B217DC">
        <w:rPr>
          <w:rFonts w:cs="Arial"/>
          <w:b/>
          <w:color w:val="auto"/>
          <w:spacing w:val="0"/>
          <w:kern w:val="28"/>
          <w:sz w:val="20"/>
          <w:szCs w:val="20"/>
        </w:rPr>
        <w:t>(BRRR)</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US"/>
        </w:rPr>
      </w:pPr>
      <w:r w:rsidRPr="00B217DC">
        <w:rPr>
          <w:rFonts w:cs="Arial"/>
          <w:color w:val="auto"/>
          <w:sz w:val="20"/>
          <w:szCs w:val="20"/>
          <w:lang w:val="en-GB"/>
        </w:rPr>
        <w:t xml:space="preserve">The Money Bills Procedures and Related Matters Amendment Act (No. 9 of 2009) sets out the process that allows Parliament to make recommendations to the Minister of Finance to amend the budget of a national department. </w:t>
      </w:r>
      <w:r w:rsidRPr="00B217DC">
        <w:rPr>
          <w:rFonts w:cs="Arial"/>
          <w:color w:val="auto"/>
          <w:sz w:val="20"/>
          <w:szCs w:val="20"/>
          <w:lang w:val="en-US"/>
        </w:rPr>
        <w:t>Section 5 (1) of the Money Bills Amendment Procedure and Related Matters Act, (No. 9 of 2009) requires that the National Assembly, through its Committee, must annually assess the performance of each national department. Section 5 (2) makes provision for the annual submission of the budgetary review and recommendations report (BRRR) for tabling in the National Assembly for each department. It is expected of the BRRR to report on the following:</w:t>
      </w:r>
    </w:p>
    <w:p w:rsidR="00170BD2" w:rsidRPr="00B217DC" w:rsidRDefault="00170BD2" w:rsidP="00B217DC">
      <w:pPr>
        <w:rPr>
          <w:rFonts w:cs="Arial"/>
          <w:color w:val="auto"/>
          <w:sz w:val="20"/>
          <w:szCs w:val="20"/>
          <w:lang w:val="en-US"/>
        </w:rPr>
      </w:pPr>
    </w:p>
    <w:p w:rsidR="00170BD2" w:rsidRPr="00B217DC" w:rsidRDefault="00170BD2" w:rsidP="00B217DC">
      <w:pPr>
        <w:numPr>
          <w:ilvl w:val="0"/>
          <w:numId w:val="4"/>
        </w:numPr>
        <w:rPr>
          <w:rFonts w:cs="Arial"/>
          <w:color w:val="auto"/>
          <w:sz w:val="20"/>
          <w:szCs w:val="20"/>
          <w:lang w:val="en-US"/>
        </w:rPr>
      </w:pPr>
      <w:r w:rsidRPr="00B217DC">
        <w:rPr>
          <w:rFonts w:cs="Arial"/>
          <w:color w:val="auto"/>
          <w:sz w:val="20"/>
          <w:szCs w:val="20"/>
          <w:lang w:val="en-US"/>
        </w:rPr>
        <w:t>Assessment of the department’s service delivery performance given the available resources;</w:t>
      </w:r>
    </w:p>
    <w:p w:rsidR="00170BD2" w:rsidRPr="00B217DC" w:rsidRDefault="00170BD2" w:rsidP="00B217DC">
      <w:pPr>
        <w:numPr>
          <w:ilvl w:val="0"/>
          <w:numId w:val="4"/>
        </w:numPr>
        <w:rPr>
          <w:rFonts w:cs="Arial"/>
          <w:color w:val="auto"/>
          <w:sz w:val="20"/>
          <w:szCs w:val="20"/>
          <w:lang w:val="en-US"/>
        </w:rPr>
      </w:pPr>
      <w:r w:rsidRPr="00B217DC">
        <w:rPr>
          <w:rFonts w:cs="Arial"/>
          <w:color w:val="auto"/>
          <w:sz w:val="20"/>
          <w:szCs w:val="20"/>
          <w:lang w:val="en-US"/>
        </w:rPr>
        <w:t>Assessments on the effectiveness and efficiency of the department’s use and forward allocation of available resources; and</w:t>
      </w:r>
    </w:p>
    <w:p w:rsidR="00170BD2" w:rsidRPr="00B217DC" w:rsidRDefault="00170BD2" w:rsidP="00B217DC">
      <w:pPr>
        <w:numPr>
          <w:ilvl w:val="0"/>
          <w:numId w:val="4"/>
        </w:numPr>
        <w:rPr>
          <w:rFonts w:cs="Arial"/>
          <w:color w:val="auto"/>
          <w:sz w:val="20"/>
          <w:szCs w:val="20"/>
          <w:lang w:val="en-US"/>
        </w:rPr>
      </w:pPr>
      <w:r w:rsidRPr="00B217DC">
        <w:rPr>
          <w:rFonts w:cs="Arial"/>
          <w:color w:val="auto"/>
          <w:sz w:val="20"/>
          <w:szCs w:val="20"/>
          <w:lang w:val="en-US"/>
        </w:rPr>
        <w:t>May include recommendations on the forward use of resources.</w:t>
      </w:r>
    </w:p>
    <w:p w:rsidR="00294469" w:rsidRPr="00B217DC" w:rsidRDefault="00294469" w:rsidP="00B217DC">
      <w:pPr>
        <w:rPr>
          <w:rFonts w:cs="Arial"/>
          <w:color w:val="auto"/>
          <w:sz w:val="20"/>
          <w:szCs w:val="20"/>
          <w:lang w:val="en-US"/>
        </w:rPr>
      </w:pPr>
    </w:p>
    <w:p w:rsidR="00170BD2" w:rsidRPr="00B217DC" w:rsidRDefault="00170BD2" w:rsidP="00B217DC">
      <w:pPr>
        <w:numPr>
          <w:ilvl w:val="0"/>
          <w:numId w:val="1"/>
        </w:numPr>
        <w:ind w:left="0" w:firstLine="0"/>
        <w:contextualSpacing/>
        <w:rPr>
          <w:rFonts w:cs="Arial"/>
          <w:b/>
          <w:color w:val="auto"/>
          <w:spacing w:val="0"/>
          <w:kern w:val="28"/>
          <w:sz w:val="20"/>
          <w:szCs w:val="20"/>
        </w:rPr>
      </w:pPr>
      <w:r w:rsidRPr="00B217DC">
        <w:rPr>
          <w:rFonts w:cs="Arial"/>
          <w:b/>
          <w:color w:val="auto"/>
          <w:spacing w:val="0"/>
          <w:kern w:val="28"/>
          <w:sz w:val="20"/>
          <w:szCs w:val="20"/>
        </w:rPr>
        <w:t>Method</w:t>
      </w:r>
    </w:p>
    <w:p w:rsidR="00170BD2" w:rsidRPr="00B217DC" w:rsidRDefault="00170BD2" w:rsidP="00B217DC">
      <w:pPr>
        <w:rPr>
          <w:rFonts w:cs="Arial"/>
          <w:color w:val="auto"/>
          <w:sz w:val="20"/>
          <w:szCs w:val="20"/>
          <w:lang w:val="en-GB"/>
        </w:rPr>
      </w:pPr>
    </w:p>
    <w:p w:rsidR="00A87F04" w:rsidRPr="00B217DC" w:rsidRDefault="00A87F04" w:rsidP="00B217DC">
      <w:pPr>
        <w:rPr>
          <w:rFonts w:cs="Arial"/>
          <w:color w:val="auto"/>
          <w:sz w:val="20"/>
          <w:szCs w:val="20"/>
          <w:lang w:val="en-US"/>
        </w:rPr>
      </w:pPr>
      <w:r w:rsidRPr="00B217DC">
        <w:rPr>
          <w:rFonts w:cs="Arial"/>
          <w:color w:val="auto"/>
          <w:sz w:val="20"/>
          <w:szCs w:val="20"/>
          <w:lang w:val="en-US"/>
        </w:rPr>
        <w:t>In order to enable the Committee to take informed decisions on the performance of the Department for the financial year 20</w:t>
      </w:r>
      <w:r w:rsidR="00360D33" w:rsidRPr="00B217DC">
        <w:rPr>
          <w:rFonts w:cs="Arial"/>
          <w:color w:val="auto"/>
          <w:sz w:val="20"/>
          <w:szCs w:val="20"/>
          <w:lang w:val="en-US"/>
        </w:rPr>
        <w:t>2</w:t>
      </w:r>
      <w:r w:rsidR="00705EC9" w:rsidRPr="00B217DC">
        <w:rPr>
          <w:rFonts w:cs="Arial"/>
          <w:color w:val="auto"/>
          <w:sz w:val="20"/>
          <w:szCs w:val="20"/>
          <w:lang w:val="en-US"/>
        </w:rPr>
        <w:t>1</w:t>
      </w:r>
      <w:r w:rsidR="00360D33" w:rsidRPr="00B217DC">
        <w:rPr>
          <w:rFonts w:cs="Arial"/>
          <w:color w:val="auto"/>
          <w:sz w:val="20"/>
          <w:szCs w:val="20"/>
          <w:lang w:val="en-US"/>
        </w:rPr>
        <w:t>/2</w:t>
      </w:r>
      <w:r w:rsidR="00705EC9" w:rsidRPr="00B217DC">
        <w:rPr>
          <w:rFonts w:cs="Arial"/>
          <w:color w:val="auto"/>
          <w:sz w:val="20"/>
          <w:szCs w:val="20"/>
          <w:lang w:val="en-US"/>
        </w:rPr>
        <w:t>2</w:t>
      </w:r>
      <w:r w:rsidRPr="00B217DC">
        <w:rPr>
          <w:rFonts w:cs="Arial"/>
          <w:color w:val="auto"/>
          <w:sz w:val="20"/>
          <w:szCs w:val="20"/>
          <w:lang w:val="en-US"/>
        </w:rPr>
        <w:t>, the Committee consulted the following reports and documents: Section 32 reports of National Treasury, the Department’s Annual Report 20</w:t>
      </w:r>
      <w:r w:rsidR="00360D33" w:rsidRPr="00B217DC">
        <w:rPr>
          <w:rFonts w:cs="Arial"/>
          <w:color w:val="auto"/>
          <w:sz w:val="20"/>
          <w:szCs w:val="20"/>
          <w:lang w:val="en-US"/>
        </w:rPr>
        <w:t>2</w:t>
      </w:r>
      <w:r w:rsidR="00705EC9" w:rsidRPr="00B217DC">
        <w:rPr>
          <w:rFonts w:cs="Arial"/>
          <w:color w:val="auto"/>
          <w:sz w:val="20"/>
          <w:szCs w:val="20"/>
          <w:lang w:val="en-US"/>
        </w:rPr>
        <w:t>1</w:t>
      </w:r>
      <w:r w:rsidR="00360D33" w:rsidRPr="00B217DC">
        <w:rPr>
          <w:rFonts w:cs="Arial"/>
          <w:color w:val="auto"/>
          <w:sz w:val="20"/>
          <w:szCs w:val="20"/>
          <w:lang w:val="en-US"/>
        </w:rPr>
        <w:t>/2</w:t>
      </w:r>
      <w:r w:rsidR="00705EC9" w:rsidRPr="00B217DC">
        <w:rPr>
          <w:rFonts w:cs="Arial"/>
          <w:color w:val="auto"/>
          <w:sz w:val="20"/>
          <w:szCs w:val="20"/>
          <w:lang w:val="en-US"/>
        </w:rPr>
        <w:t>2</w:t>
      </w:r>
      <w:r w:rsidRPr="00B217DC">
        <w:rPr>
          <w:rFonts w:cs="Arial"/>
          <w:color w:val="auto"/>
          <w:sz w:val="20"/>
          <w:szCs w:val="20"/>
          <w:lang w:val="en-US"/>
        </w:rPr>
        <w:t>, Reports of the Auditor-General of South Africa (AGSA), Report of the Department’s Audit and Risk Committee (ARC), the 20</w:t>
      </w:r>
      <w:r w:rsidR="00360D33" w:rsidRPr="00B217DC">
        <w:rPr>
          <w:rFonts w:cs="Arial"/>
          <w:color w:val="auto"/>
          <w:sz w:val="20"/>
          <w:szCs w:val="20"/>
          <w:lang w:val="en-US"/>
        </w:rPr>
        <w:t>2</w:t>
      </w:r>
      <w:r w:rsidR="00705EC9" w:rsidRPr="00B217DC">
        <w:rPr>
          <w:rFonts w:cs="Arial"/>
          <w:color w:val="auto"/>
          <w:sz w:val="20"/>
          <w:szCs w:val="20"/>
          <w:lang w:val="en-US"/>
        </w:rPr>
        <w:t>1</w:t>
      </w:r>
      <w:r w:rsidRPr="00B217DC">
        <w:rPr>
          <w:rFonts w:cs="Arial"/>
          <w:color w:val="auto"/>
          <w:sz w:val="20"/>
          <w:szCs w:val="20"/>
          <w:lang w:val="en-US"/>
        </w:rPr>
        <w:t xml:space="preserve"> State of the Nation’s Address, the CGE’s and NYDA’s Annual Report for 20</w:t>
      </w:r>
      <w:r w:rsidR="00360D33" w:rsidRPr="00B217DC">
        <w:rPr>
          <w:rFonts w:cs="Arial"/>
          <w:color w:val="auto"/>
          <w:sz w:val="20"/>
          <w:szCs w:val="20"/>
          <w:lang w:val="en-US"/>
        </w:rPr>
        <w:t>20/21</w:t>
      </w:r>
      <w:r w:rsidRPr="00B217DC">
        <w:rPr>
          <w:rFonts w:cs="Arial"/>
          <w:color w:val="auto"/>
          <w:sz w:val="20"/>
          <w:szCs w:val="20"/>
          <w:lang w:val="en-US"/>
        </w:rPr>
        <w:t>.  All of this information assisted the Committee in providing a holistic assessment of the Department, the NYDA and the CGE’s performance for 20</w:t>
      </w:r>
      <w:r w:rsidR="00360D33" w:rsidRPr="00B217DC">
        <w:rPr>
          <w:rFonts w:cs="Arial"/>
          <w:color w:val="auto"/>
          <w:sz w:val="20"/>
          <w:szCs w:val="20"/>
          <w:lang w:val="en-US"/>
        </w:rPr>
        <w:t>2</w:t>
      </w:r>
      <w:r w:rsidR="00705EC9" w:rsidRPr="00B217DC">
        <w:rPr>
          <w:rFonts w:cs="Arial"/>
          <w:color w:val="auto"/>
          <w:sz w:val="20"/>
          <w:szCs w:val="20"/>
          <w:lang w:val="en-US"/>
        </w:rPr>
        <w:t>1</w:t>
      </w:r>
      <w:r w:rsidR="000529A8" w:rsidRPr="00B217DC">
        <w:rPr>
          <w:rFonts w:cs="Arial"/>
          <w:color w:val="auto"/>
          <w:sz w:val="20"/>
          <w:szCs w:val="20"/>
          <w:lang w:val="en-US"/>
        </w:rPr>
        <w:t>/2</w:t>
      </w:r>
      <w:r w:rsidR="00705EC9" w:rsidRPr="00B217DC">
        <w:rPr>
          <w:rFonts w:cs="Arial"/>
          <w:color w:val="auto"/>
          <w:sz w:val="20"/>
          <w:szCs w:val="20"/>
          <w:lang w:val="en-US"/>
        </w:rPr>
        <w:t>2</w:t>
      </w:r>
      <w:r w:rsidRPr="00B217DC">
        <w:rPr>
          <w:rFonts w:cs="Arial"/>
          <w:color w:val="auto"/>
          <w:sz w:val="20"/>
          <w:szCs w:val="20"/>
          <w:lang w:val="en-US"/>
        </w:rPr>
        <w:t xml:space="preserve"> with reflections on the 1</w:t>
      </w:r>
      <w:r w:rsidRPr="00B217DC">
        <w:rPr>
          <w:rFonts w:cs="Arial"/>
          <w:color w:val="auto"/>
          <w:sz w:val="20"/>
          <w:szCs w:val="20"/>
          <w:vertAlign w:val="superscript"/>
          <w:lang w:val="en-US"/>
        </w:rPr>
        <w:t>st</w:t>
      </w:r>
      <w:r w:rsidRPr="00B217DC">
        <w:rPr>
          <w:rFonts w:cs="Arial"/>
          <w:color w:val="auto"/>
          <w:sz w:val="20"/>
          <w:szCs w:val="20"/>
          <w:lang w:val="en-US"/>
        </w:rPr>
        <w:t xml:space="preserve"> Quarter</w:t>
      </w:r>
      <w:r w:rsidR="004E0015" w:rsidRPr="00B217DC">
        <w:rPr>
          <w:rFonts w:cs="Arial"/>
          <w:color w:val="auto"/>
          <w:sz w:val="20"/>
          <w:szCs w:val="20"/>
          <w:lang w:val="en-US"/>
        </w:rPr>
        <w:t xml:space="preserve"> report</w:t>
      </w:r>
      <w:r w:rsidRPr="00B217DC">
        <w:rPr>
          <w:rFonts w:cs="Arial"/>
          <w:color w:val="auto"/>
          <w:sz w:val="20"/>
          <w:szCs w:val="20"/>
          <w:lang w:val="en-US"/>
        </w:rPr>
        <w:t xml:space="preserve"> of 202</w:t>
      </w:r>
      <w:r w:rsidR="004E0015" w:rsidRPr="00B217DC">
        <w:rPr>
          <w:rFonts w:cs="Arial"/>
          <w:color w:val="auto"/>
          <w:sz w:val="20"/>
          <w:szCs w:val="20"/>
          <w:lang w:val="en-US"/>
        </w:rPr>
        <w:t>2/23</w:t>
      </w:r>
      <w:r w:rsidRPr="00B217DC">
        <w:rPr>
          <w:rFonts w:cs="Arial"/>
          <w:color w:val="auto"/>
          <w:sz w:val="20"/>
          <w:szCs w:val="20"/>
          <w:lang w:val="en-US"/>
        </w:rPr>
        <w:t>.</w:t>
      </w:r>
    </w:p>
    <w:p w:rsidR="00A87F04" w:rsidRPr="00B217DC" w:rsidRDefault="00A87F04" w:rsidP="00B217DC">
      <w:pPr>
        <w:rPr>
          <w:rFonts w:cs="Arial"/>
          <w:color w:val="auto"/>
          <w:sz w:val="20"/>
          <w:szCs w:val="20"/>
          <w:lang w:val="en-US"/>
        </w:rPr>
      </w:pPr>
    </w:p>
    <w:p w:rsidR="004E0015" w:rsidRPr="00B217DC" w:rsidRDefault="00170BD2" w:rsidP="00B217DC">
      <w:pPr>
        <w:rPr>
          <w:rFonts w:cs="Arial"/>
          <w:color w:val="auto"/>
          <w:sz w:val="20"/>
          <w:szCs w:val="20"/>
          <w:lang w:val="en-US"/>
        </w:rPr>
      </w:pPr>
      <w:r w:rsidRPr="00B217DC">
        <w:rPr>
          <w:rFonts w:cs="Arial"/>
          <w:color w:val="auto"/>
          <w:sz w:val="20"/>
          <w:szCs w:val="20"/>
          <w:lang w:val="en-US"/>
        </w:rPr>
        <w:t>In complying with Section 5 (2) of the Money Bills Amendment Procedure and Related Matters Act, (Act No 9 of 2009), the Portfolio Committee on Women</w:t>
      </w:r>
      <w:r w:rsidR="00DB7E06" w:rsidRPr="00B217DC">
        <w:rPr>
          <w:rFonts w:cs="Arial"/>
          <w:color w:val="auto"/>
          <w:sz w:val="20"/>
          <w:szCs w:val="20"/>
          <w:lang w:val="en-US"/>
        </w:rPr>
        <w:t>, Youth and Persons with Disabilities</w:t>
      </w:r>
      <w:r w:rsidR="004E0015" w:rsidRPr="00B217DC">
        <w:rPr>
          <w:rFonts w:cs="Arial"/>
          <w:color w:val="auto"/>
          <w:sz w:val="20"/>
          <w:szCs w:val="20"/>
          <w:lang w:val="en-US"/>
        </w:rPr>
        <w:t xml:space="preserve"> held a meeting on the </w:t>
      </w:r>
      <w:r w:rsidR="00705EC9" w:rsidRPr="00B217DC">
        <w:rPr>
          <w:rFonts w:cs="Arial"/>
          <w:color w:val="auto"/>
          <w:sz w:val="20"/>
          <w:szCs w:val="20"/>
          <w:lang w:val="en-US"/>
        </w:rPr>
        <w:t>11</w:t>
      </w:r>
      <w:r w:rsidR="00705EC9" w:rsidRPr="00B217DC">
        <w:rPr>
          <w:rFonts w:cs="Arial"/>
          <w:color w:val="auto"/>
          <w:sz w:val="20"/>
          <w:szCs w:val="20"/>
          <w:vertAlign w:val="superscript"/>
          <w:lang w:val="en-US"/>
        </w:rPr>
        <w:t>th</w:t>
      </w:r>
      <w:r w:rsidR="00705EC9" w:rsidRPr="00B217DC">
        <w:rPr>
          <w:rFonts w:cs="Arial"/>
          <w:color w:val="auto"/>
          <w:sz w:val="20"/>
          <w:szCs w:val="20"/>
          <w:lang w:val="en-US"/>
        </w:rPr>
        <w:t xml:space="preserve"> </w:t>
      </w:r>
      <w:r w:rsidR="004E0015" w:rsidRPr="00B217DC">
        <w:rPr>
          <w:rFonts w:cs="Arial"/>
          <w:color w:val="auto"/>
          <w:sz w:val="20"/>
          <w:szCs w:val="20"/>
          <w:lang w:val="en-US"/>
        </w:rPr>
        <w:t>October 2022</w:t>
      </w:r>
      <w:r w:rsidR="00034CED" w:rsidRPr="00B217DC">
        <w:rPr>
          <w:rFonts w:cs="Arial"/>
          <w:color w:val="auto"/>
          <w:sz w:val="20"/>
          <w:szCs w:val="20"/>
          <w:lang w:val="en-US"/>
        </w:rPr>
        <w:t xml:space="preserve"> </w:t>
      </w:r>
      <w:r w:rsidRPr="00B217DC">
        <w:rPr>
          <w:rFonts w:cs="Arial"/>
          <w:color w:val="auto"/>
          <w:sz w:val="20"/>
          <w:szCs w:val="20"/>
          <w:lang w:val="en-US"/>
        </w:rPr>
        <w:t xml:space="preserve">to consider the </w:t>
      </w:r>
      <w:r w:rsidR="004B0DF7" w:rsidRPr="00B217DC">
        <w:rPr>
          <w:rFonts w:cs="Arial"/>
          <w:color w:val="auto"/>
          <w:sz w:val="20"/>
          <w:szCs w:val="20"/>
          <w:lang w:val="en-US"/>
        </w:rPr>
        <w:t>20</w:t>
      </w:r>
      <w:r w:rsidR="00343B7E" w:rsidRPr="00B217DC">
        <w:rPr>
          <w:rFonts w:cs="Arial"/>
          <w:color w:val="auto"/>
          <w:sz w:val="20"/>
          <w:szCs w:val="20"/>
          <w:lang w:val="en-US"/>
        </w:rPr>
        <w:t>2</w:t>
      </w:r>
      <w:r w:rsidR="004E0015" w:rsidRPr="00B217DC">
        <w:rPr>
          <w:rFonts w:cs="Arial"/>
          <w:color w:val="auto"/>
          <w:sz w:val="20"/>
          <w:szCs w:val="20"/>
          <w:lang w:val="en-US"/>
        </w:rPr>
        <w:t>1/22</w:t>
      </w:r>
      <w:r w:rsidRPr="00B217DC">
        <w:rPr>
          <w:rFonts w:cs="Arial"/>
          <w:color w:val="auto"/>
          <w:sz w:val="20"/>
          <w:szCs w:val="20"/>
          <w:lang w:val="en-US"/>
        </w:rPr>
        <w:t xml:space="preserve"> Annual Report of the Department of Women</w:t>
      </w:r>
      <w:r w:rsidR="00DB7E06" w:rsidRPr="00B217DC">
        <w:rPr>
          <w:rFonts w:cs="Arial"/>
          <w:color w:val="auto"/>
          <w:sz w:val="20"/>
          <w:szCs w:val="20"/>
          <w:lang w:val="en-US"/>
        </w:rPr>
        <w:t>, Youth and Persons with Disabilities</w:t>
      </w:r>
      <w:r w:rsidRPr="00B217DC">
        <w:rPr>
          <w:rFonts w:cs="Arial"/>
          <w:color w:val="auto"/>
          <w:sz w:val="20"/>
          <w:szCs w:val="20"/>
          <w:lang w:val="en-US"/>
        </w:rPr>
        <w:t xml:space="preserve">. The Office of the AGSA was invited to give input during the budget review and recommendation report process on </w:t>
      </w:r>
      <w:r w:rsidR="00D1718D" w:rsidRPr="00B217DC">
        <w:rPr>
          <w:rFonts w:cs="Arial"/>
          <w:color w:val="auto"/>
          <w:sz w:val="20"/>
          <w:szCs w:val="20"/>
          <w:lang w:val="en-US"/>
        </w:rPr>
        <w:t xml:space="preserve">the </w:t>
      </w:r>
      <w:r w:rsidR="00705EC9" w:rsidRPr="00B217DC">
        <w:rPr>
          <w:rFonts w:cs="Arial"/>
          <w:color w:val="auto"/>
          <w:sz w:val="20"/>
          <w:szCs w:val="20"/>
          <w:lang w:val="en-US"/>
        </w:rPr>
        <w:t>11</w:t>
      </w:r>
      <w:r w:rsidR="00705EC9" w:rsidRPr="00B217DC">
        <w:rPr>
          <w:rFonts w:cs="Arial"/>
          <w:color w:val="auto"/>
          <w:sz w:val="20"/>
          <w:szCs w:val="20"/>
          <w:vertAlign w:val="superscript"/>
          <w:lang w:val="en-US"/>
        </w:rPr>
        <w:t>th</w:t>
      </w:r>
      <w:r w:rsidR="00705EC9" w:rsidRPr="00B217DC">
        <w:rPr>
          <w:rFonts w:cs="Arial"/>
          <w:color w:val="auto"/>
          <w:sz w:val="20"/>
          <w:szCs w:val="20"/>
          <w:lang w:val="en-US"/>
        </w:rPr>
        <w:t xml:space="preserve"> </w:t>
      </w:r>
      <w:r w:rsidR="004E0015" w:rsidRPr="00B217DC">
        <w:rPr>
          <w:rFonts w:cs="Arial"/>
          <w:color w:val="auto"/>
          <w:sz w:val="20"/>
          <w:szCs w:val="20"/>
          <w:lang w:val="en-US"/>
        </w:rPr>
        <w:t>October 2022</w:t>
      </w:r>
      <w:r w:rsidR="00343B7E" w:rsidRPr="00B217DC">
        <w:rPr>
          <w:rFonts w:cs="Arial"/>
          <w:color w:val="auto"/>
          <w:sz w:val="20"/>
          <w:szCs w:val="20"/>
          <w:lang w:val="en-US"/>
        </w:rPr>
        <w:t xml:space="preserve"> as well</w:t>
      </w:r>
      <w:r w:rsidRPr="00B217DC">
        <w:rPr>
          <w:rFonts w:cs="Arial"/>
          <w:color w:val="auto"/>
          <w:sz w:val="20"/>
          <w:szCs w:val="20"/>
          <w:lang w:val="en-US"/>
        </w:rPr>
        <w:t xml:space="preserve">. </w:t>
      </w:r>
      <w:r w:rsidR="00A87F04" w:rsidRPr="00B217DC">
        <w:rPr>
          <w:rFonts w:cs="Arial"/>
          <w:color w:val="auto"/>
          <w:sz w:val="20"/>
          <w:szCs w:val="20"/>
          <w:lang w:val="en-US"/>
        </w:rPr>
        <w:t>As noted previously, t</w:t>
      </w:r>
      <w:r w:rsidRPr="00B217DC">
        <w:rPr>
          <w:rFonts w:cs="Arial"/>
          <w:color w:val="auto"/>
          <w:sz w:val="20"/>
          <w:szCs w:val="20"/>
          <w:lang w:val="en-US"/>
        </w:rPr>
        <w:t xml:space="preserve">he Committee was also briefed and deliberated on the quarterly reports for </w:t>
      </w:r>
      <w:r w:rsidR="004B0DF7" w:rsidRPr="00B217DC">
        <w:rPr>
          <w:rFonts w:cs="Arial"/>
          <w:color w:val="auto"/>
          <w:sz w:val="20"/>
          <w:szCs w:val="20"/>
          <w:lang w:val="en-US"/>
        </w:rPr>
        <w:t>20</w:t>
      </w:r>
      <w:r w:rsidR="00343B7E" w:rsidRPr="00B217DC">
        <w:rPr>
          <w:rFonts w:cs="Arial"/>
          <w:color w:val="auto"/>
          <w:sz w:val="20"/>
          <w:szCs w:val="20"/>
          <w:lang w:val="en-US"/>
        </w:rPr>
        <w:t>2</w:t>
      </w:r>
      <w:r w:rsidR="004E0015" w:rsidRPr="00B217DC">
        <w:rPr>
          <w:rFonts w:cs="Arial"/>
          <w:color w:val="auto"/>
          <w:sz w:val="20"/>
          <w:szCs w:val="20"/>
          <w:lang w:val="en-US"/>
        </w:rPr>
        <w:t>1/22</w:t>
      </w:r>
      <w:r w:rsidRPr="00B217DC">
        <w:rPr>
          <w:rFonts w:cs="Arial"/>
          <w:color w:val="auto"/>
          <w:sz w:val="20"/>
          <w:szCs w:val="20"/>
          <w:lang w:val="en-US"/>
        </w:rPr>
        <w:t xml:space="preserve"> </w:t>
      </w:r>
      <w:r w:rsidR="00A87F04" w:rsidRPr="00B217DC">
        <w:rPr>
          <w:rFonts w:cs="Arial"/>
          <w:color w:val="auto"/>
          <w:sz w:val="20"/>
          <w:szCs w:val="20"/>
          <w:lang w:val="en-US"/>
        </w:rPr>
        <w:t xml:space="preserve">including </w:t>
      </w:r>
      <w:r w:rsidRPr="00B217DC">
        <w:rPr>
          <w:rFonts w:cs="Arial"/>
          <w:color w:val="auto"/>
          <w:sz w:val="20"/>
          <w:szCs w:val="20"/>
          <w:lang w:val="en-US"/>
        </w:rPr>
        <w:t>the first quarter report</w:t>
      </w:r>
      <w:r w:rsidR="006F48D3" w:rsidRPr="00B217DC">
        <w:rPr>
          <w:rFonts w:cs="Arial"/>
          <w:color w:val="auto"/>
          <w:sz w:val="20"/>
          <w:szCs w:val="20"/>
          <w:lang w:val="en-US"/>
        </w:rPr>
        <w:t>s</w:t>
      </w:r>
      <w:r w:rsidRPr="00B217DC">
        <w:rPr>
          <w:rFonts w:cs="Arial"/>
          <w:color w:val="auto"/>
          <w:sz w:val="20"/>
          <w:szCs w:val="20"/>
          <w:lang w:val="en-US"/>
        </w:rPr>
        <w:t xml:space="preserve"> for </w:t>
      </w:r>
      <w:r w:rsidR="004B0DF7" w:rsidRPr="00B217DC">
        <w:rPr>
          <w:rFonts w:cs="Arial"/>
          <w:color w:val="auto"/>
          <w:sz w:val="20"/>
          <w:szCs w:val="20"/>
          <w:lang w:val="en-US"/>
        </w:rPr>
        <w:t>202</w:t>
      </w:r>
      <w:r w:rsidR="004E0015" w:rsidRPr="00B217DC">
        <w:rPr>
          <w:rFonts w:cs="Arial"/>
          <w:color w:val="auto"/>
          <w:sz w:val="20"/>
          <w:szCs w:val="20"/>
          <w:lang w:val="en-US"/>
        </w:rPr>
        <w:t>2/23</w:t>
      </w:r>
      <w:r w:rsidRPr="00B217DC">
        <w:rPr>
          <w:rFonts w:cs="Arial"/>
          <w:color w:val="auto"/>
          <w:sz w:val="20"/>
          <w:szCs w:val="20"/>
          <w:lang w:val="en-US"/>
        </w:rPr>
        <w:t xml:space="preserve"> of the Department and the </w:t>
      </w:r>
      <w:r w:rsidR="00294469" w:rsidRPr="00B217DC">
        <w:rPr>
          <w:rFonts w:cs="Arial"/>
          <w:color w:val="auto"/>
          <w:sz w:val="20"/>
          <w:szCs w:val="20"/>
          <w:lang w:val="en-US"/>
        </w:rPr>
        <w:t>CGE</w:t>
      </w:r>
      <w:r w:rsidRPr="00B217DC">
        <w:rPr>
          <w:rFonts w:cs="Arial"/>
          <w:color w:val="auto"/>
          <w:sz w:val="20"/>
          <w:szCs w:val="20"/>
          <w:lang w:val="en-US"/>
        </w:rPr>
        <w:t xml:space="preserve">. As such, this report therefore includes </w:t>
      </w:r>
      <w:r w:rsidR="00BB6731" w:rsidRPr="00B217DC">
        <w:rPr>
          <w:rFonts w:cs="Arial"/>
          <w:color w:val="auto"/>
          <w:sz w:val="20"/>
          <w:szCs w:val="20"/>
          <w:lang w:val="en-US"/>
        </w:rPr>
        <w:t xml:space="preserve">those </w:t>
      </w:r>
      <w:r w:rsidRPr="00B217DC">
        <w:rPr>
          <w:rFonts w:cs="Arial"/>
          <w:color w:val="auto"/>
          <w:sz w:val="20"/>
          <w:szCs w:val="20"/>
          <w:lang w:val="en-US"/>
        </w:rPr>
        <w:t>key issues that were identified by the Committee.</w:t>
      </w:r>
      <w:r w:rsidR="004B0DF7" w:rsidRPr="00B217DC">
        <w:rPr>
          <w:rFonts w:cs="Arial"/>
          <w:color w:val="auto"/>
          <w:sz w:val="20"/>
          <w:szCs w:val="20"/>
          <w:lang w:val="en-US"/>
        </w:rPr>
        <w:t xml:space="preserve"> </w:t>
      </w:r>
    </w:p>
    <w:p w:rsidR="002F1052" w:rsidRPr="00B217DC" w:rsidRDefault="004B0DF7" w:rsidP="00B217DC">
      <w:pPr>
        <w:rPr>
          <w:rFonts w:cs="Arial"/>
          <w:color w:val="auto"/>
          <w:sz w:val="20"/>
          <w:szCs w:val="20"/>
          <w:lang w:val="en-GB"/>
        </w:rPr>
      </w:pPr>
      <w:r w:rsidRPr="00B217DC">
        <w:rPr>
          <w:rFonts w:cs="Arial"/>
          <w:color w:val="auto"/>
          <w:sz w:val="20"/>
          <w:szCs w:val="20"/>
          <w:lang w:val="en-US"/>
        </w:rPr>
        <w:t xml:space="preserve"> </w:t>
      </w:r>
      <w:r w:rsidR="00170BD2" w:rsidRPr="00B217DC">
        <w:rPr>
          <w:rFonts w:cs="Arial"/>
          <w:color w:val="auto"/>
          <w:sz w:val="20"/>
          <w:szCs w:val="20"/>
          <w:lang w:val="en-US"/>
        </w:rPr>
        <w:t xml:space="preserve"> </w:t>
      </w:r>
    </w:p>
    <w:p w:rsidR="00170BD2" w:rsidRPr="00B217DC" w:rsidRDefault="00170BD2" w:rsidP="00B217DC">
      <w:pPr>
        <w:numPr>
          <w:ilvl w:val="0"/>
          <w:numId w:val="1"/>
        </w:numPr>
        <w:contextualSpacing/>
        <w:rPr>
          <w:rFonts w:cs="Arial"/>
          <w:b/>
          <w:color w:val="auto"/>
          <w:spacing w:val="0"/>
          <w:kern w:val="28"/>
          <w:sz w:val="20"/>
          <w:szCs w:val="20"/>
        </w:rPr>
      </w:pPr>
      <w:r w:rsidRPr="00B217DC">
        <w:rPr>
          <w:rFonts w:cs="Arial"/>
          <w:b/>
          <w:color w:val="auto"/>
          <w:spacing w:val="0"/>
          <w:kern w:val="28"/>
          <w:sz w:val="20"/>
          <w:szCs w:val="20"/>
        </w:rPr>
        <w:t>Outline of the Contents of the Report</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This report provides an analysis of the financial and programmati</w:t>
      </w:r>
      <w:r w:rsidR="002D23F1" w:rsidRPr="00B217DC">
        <w:rPr>
          <w:rFonts w:cs="Arial"/>
          <w:color w:val="auto"/>
          <w:sz w:val="20"/>
          <w:szCs w:val="20"/>
          <w:lang w:val="en-GB"/>
        </w:rPr>
        <w:t xml:space="preserve">c performance of the Department, the NYDA </w:t>
      </w:r>
      <w:r w:rsidR="002F1052" w:rsidRPr="00B217DC">
        <w:rPr>
          <w:rFonts w:cs="Arial"/>
          <w:color w:val="auto"/>
          <w:sz w:val="20"/>
          <w:szCs w:val="20"/>
          <w:lang w:val="en-GB"/>
        </w:rPr>
        <w:t>and the CGE</w:t>
      </w:r>
      <w:r w:rsidRPr="00B217DC">
        <w:rPr>
          <w:rFonts w:cs="Arial"/>
          <w:color w:val="auto"/>
          <w:sz w:val="20"/>
          <w:szCs w:val="20"/>
          <w:lang w:val="en-GB"/>
        </w:rPr>
        <w:t xml:space="preserve">. </w:t>
      </w:r>
      <w:r w:rsidR="006F1A6F" w:rsidRPr="00B217DC">
        <w:rPr>
          <w:rFonts w:cs="Arial"/>
          <w:color w:val="auto"/>
          <w:sz w:val="20"/>
          <w:szCs w:val="20"/>
          <w:lang w:val="en-GB"/>
        </w:rPr>
        <w:t xml:space="preserve"> </w:t>
      </w:r>
      <w:r w:rsidR="002D23F1" w:rsidRPr="00B217DC">
        <w:rPr>
          <w:rFonts w:cs="Arial"/>
          <w:color w:val="auto"/>
          <w:sz w:val="20"/>
          <w:szCs w:val="20"/>
          <w:lang w:val="en-GB"/>
        </w:rPr>
        <w:t>Cognisance is taken of the reductions imposed on the budget allocated as well as revisions made to respective Annual Performance Plans and where relevant</w:t>
      </w:r>
      <w:r w:rsidR="000529A8" w:rsidRPr="00B217DC">
        <w:rPr>
          <w:rFonts w:cs="Arial"/>
          <w:color w:val="auto"/>
          <w:sz w:val="20"/>
          <w:szCs w:val="20"/>
          <w:lang w:val="en-GB"/>
        </w:rPr>
        <w:t>,</w:t>
      </w:r>
      <w:r w:rsidR="002D23F1" w:rsidRPr="00B217DC">
        <w:rPr>
          <w:rFonts w:cs="Arial"/>
          <w:color w:val="auto"/>
          <w:sz w:val="20"/>
          <w:szCs w:val="20"/>
          <w:lang w:val="en-GB"/>
        </w:rPr>
        <w:t xml:space="preserve"> commentary is provided in that regard</w:t>
      </w:r>
      <w:r w:rsidR="006F1A6F" w:rsidRPr="00B217DC">
        <w:rPr>
          <w:rFonts w:cs="Arial"/>
          <w:color w:val="auto"/>
          <w:sz w:val="20"/>
          <w:szCs w:val="20"/>
          <w:lang w:val="en-GB"/>
        </w:rPr>
        <w:t xml:space="preserve">. </w:t>
      </w:r>
      <w:r w:rsidR="002D23F1" w:rsidRPr="00B217DC">
        <w:rPr>
          <w:rFonts w:cs="Arial"/>
          <w:color w:val="auto"/>
          <w:sz w:val="20"/>
          <w:szCs w:val="20"/>
          <w:lang w:val="en-GB"/>
        </w:rPr>
        <w:t>Moreove</w:t>
      </w:r>
      <w:r w:rsidR="00391D43" w:rsidRPr="00B217DC">
        <w:rPr>
          <w:rFonts w:cs="Arial"/>
          <w:color w:val="auto"/>
          <w:sz w:val="20"/>
          <w:szCs w:val="20"/>
          <w:lang w:val="en-GB"/>
        </w:rPr>
        <w:t>r, the report not only</w:t>
      </w:r>
      <w:r w:rsidR="00343B7E" w:rsidRPr="00B217DC">
        <w:rPr>
          <w:rFonts w:cs="Arial"/>
          <w:color w:val="auto"/>
          <w:sz w:val="20"/>
          <w:szCs w:val="20"/>
          <w:lang w:val="en-GB"/>
        </w:rPr>
        <w:t xml:space="preserve"> reflects on the Annual Reports but examines the Committee’s engagement with the entities for the year under review as well as the </w:t>
      </w:r>
      <w:r w:rsidR="006F1A6F" w:rsidRPr="00B217DC">
        <w:rPr>
          <w:rFonts w:cs="Arial"/>
          <w:color w:val="auto"/>
          <w:sz w:val="20"/>
          <w:szCs w:val="20"/>
          <w:lang w:val="en-GB"/>
        </w:rPr>
        <w:t>Q1</w:t>
      </w:r>
      <w:r w:rsidR="00726F3C" w:rsidRPr="00B217DC">
        <w:rPr>
          <w:rFonts w:cs="Arial"/>
          <w:color w:val="auto"/>
          <w:sz w:val="20"/>
          <w:szCs w:val="20"/>
          <w:lang w:val="en-GB"/>
        </w:rPr>
        <w:t xml:space="preserve"> 2022/23 </w:t>
      </w:r>
      <w:r w:rsidR="00343B7E" w:rsidRPr="00B217DC">
        <w:rPr>
          <w:rFonts w:cs="Arial"/>
          <w:color w:val="auto"/>
          <w:sz w:val="20"/>
          <w:szCs w:val="20"/>
          <w:lang w:val="en-GB"/>
        </w:rPr>
        <w:t xml:space="preserve">performance </w:t>
      </w:r>
      <w:r w:rsidR="006F1A6F" w:rsidRPr="00B217DC">
        <w:rPr>
          <w:rFonts w:cs="Arial"/>
          <w:color w:val="auto"/>
          <w:sz w:val="20"/>
          <w:szCs w:val="20"/>
          <w:lang w:val="en-GB"/>
        </w:rPr>
        <w:t>and what needs to be taken into consideration going forward.</w:t>
      </w:r>
      <w:r w:rsidR="00343B7E" w:rsidRPr="00B217DC">
        <w:rPr>
          <w:rFonts w:cs="Arial"/>
          <w:color w:val="auto"/>
          <w:sz w:val="20"/>
          <w:szCs w:val="20"/>
          <w:lang w:val="en-GB"/>
        </w:rPr>
        <w:t xml:space="preserve"> The report concludes with key observations and recommendations made by the Committee having engaged with the Department, the NYDA, the CGE, the AGSA and each of the Audit and Risk Committee’s for each of the entities</w:t>
      </w:r>
      <w:r w:rsidRPr="00B217DC">
        <w:rPr>
          <w:rFonts w:cs="Arial"/>
          <w:color w:val="auto"/>
          <w:sz w:val="20"/>
          <w:szCs w:val="20"/>
          <w:lang w:val="en-GB"/>
        </w:rPr>
        <w:t>.</w:t>
      </w:r>
    </w:p>
    <w:p w:rsidR="00034CED" w:rsidRPr="00B217DC" w:rsidRDefault="00034CED"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 xml:space="preserve">6. </w:t>
      </w:r>
      <w:r w:rsidRPr="00B217DC">
        <w:rPr>
          <w:rFonts w:cs="Arial"/>
          <w:b/>
          <w:color w:val="auto"/>
          <w:sz w:val="20"/>
          <w:szCs w:val="20"/>
          <w:lang w:val="en-GB"/>
        </w:rPr>
        <w:tab/>
        <w:t>Overview of Key Policy Focus Areas - Strategic Priorities of Government</w:t>
      </w:r>
    </w:p>
    <w:p w:rsidR="00170BD2" w:rsidRPr="00B217DC" w:rsidRDefault="00170BD2" w:rsidP="00B217DC">
      <w:pPr>
        <w:rPr>
          <w:rFonts w:cs="Arial"/>
          <w:b/>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6.1 National Development Plan</w:t>
      </w:r>
    </w:p>
    <w:p w:rsidR="00170BD2" w:rsidRPr="00B217DC" w:rsidRDefault="00170BD2" w:rsidP="00B217DC">
      <w:pPr>
        <w:rPr>
          <w:rFonts w:cs="Arial"/>
          <w:b/>
          <w:color w:val="auto"/>
          <w:sz w:val="20"/>
          <w:szCs w:val="20"/>
          <w:lang w:val="en-GB"/>
        </w:rPr>
      </w:pPr>
    </w:p>
    <w:p w:rsidR="007A13DC" w:rsidRPr="00B217DC" w:rsidRDefault="007A13DC" w:rsidP="00B217DC">
      <w:pPr>
        <w:rPr>
          <w:rFonts w:cs="Arial"/>
          <w:iCs/>
          <w:color w:val="auto"/>
          <w:sz w:val="20"/>
          <w:szCs w:val="20"/>
        </w:rPr>
      </w:pPr>
      <w:r w:rsidRPr="00B217DC">
        <w:rPr>
          <w:rFonts w:cs="Arial"/>
          <w:iCs/>
          <w:color w:val="auto"/>
          <w:sz w:val="20"/>
          <w:szCs w:val="20"/>
        </w:rPr>
        <w:t>“The NDP Vision 2030 prioritises the significant role of women, youth and people with disabilities in our society. If these three groups are strong, our whole society will be strong. These are cross-cutting focus areas that need to be mainstreamed into all elements of South Africa’s developmental future and all programmes of government. They will inform interventions across the three pillars.”</w:t>
      </w:r>
      <w:r w:rsidRPr="00B217DC">
        <w:rPr>
          <w:rFonts w:cs="Arial"/>
          <w:iCs/>
          <w:color w:val="auto"/>
          <w:sz w:val="20"/>
          <w:szCs w:val="20"/>
          <w:vertAlign w:val="superscript"/>
        </w:rPr>
        <w:footnoteReference w:id="1"/>
      </w:r>
    </w:p>
    <w:p w:rsidR="007A13DC" w:rsidRPr="00B217DC" w:rsidRDefault="007A13DC" w:rsidP="00B217DC">
      <w:pPr>
        <w:rPr>
          <w:rFonts w:cs="Arial"/>
          <w:color w:val="auto"/>
          <w:sz w:val="20"/>
          <w:szCs w:val="20"/>
          <w:lang w:val="en-GB"/>
        </w:rPr>
      </w:pPr>
    </w:p>
    <w:p w:rsidR="003F62DB" w:rsidRPr="00B217DC" w:rsidRDefault="00170BD2" w:rsidP="00B217DC">
      <w:pPr>
        <w:rPr>
          <w:rFonts w:cs="Arial"/>
          <w:color w:val="auto"/>
          <w:sz w:val="20"/>
          <w:szCs w:val="20"/>
          <w:lang w:val="en-US"/>
        </w:rPr>
      </w:pPr>
      <w:r w:rsidRPr="00B217DC">
        <w:rPr>
          <w:rFonts w:cs="Arial"/>
          <w:color w:val="auto"/>
          <w:sz w:val="20"/>
          <w:szCs w:val="20"/>
          <w:lang w:val="en-GB"/>
        </w:rPr>
        <w:t xml:space="preserve">The Department </w:t>
      </w:r>
      <w:r w:rsidR="00BB6731" w:rsidRPr="00B217DC">
        <w:rPr>
          <w:rFonts w:cs="Arial"/>
          <w:color w:val="auto"/>
          <w:sz w:val="20"/>
          <w:szCs w:val="20"/>
          <w:lang w:val="en-GB"/>
        </w:rPr>
        <w:t>indicates that its mandate is</w:t>
      </w:r>
      <w:r w:rsidRPr="00B217DC">
        <w:rPr>
          <w:rFonts w:cs="Arial"/>
          <w:color w:val="auto"/>
          <w:sz w:val="20"/>
          <w:szCs w:val="20"/>
          <w:lang w:val="en-GB"/>
        </w:rPr>
        <w:t xml:space="preserve"> aligned to the National Development Plan </w:t>
      </w:r>
      <w:r w:rsidR="003F62DB" w:rsidRPr="00B217DC">
        <w:rPr>
          <w:rFonts w:cs="Arial"/>
          <w:color w:val="auto"/>
          <w:sz w:val="20"/>
          <w:szCs w:val="20"/>
          <w:lang w:val="en-US"/>
        </w:rPr>
        <w:t>and that it was engaging with the DPME on ensuring that the 7 national priorities informs the policy priorities for gender, youth and disability and includes indicators and targets into the NDP 5-year Implementation plan and MTSF 2019-2024. In turn, this would therefore inform the focus areas in the Strategic Plan for the next five years.</w:t>
      </w:r>
    </w:p>
    <w:p w:rsidR="00C812D0" w:rsidRPr="00B217DC" w:rsidRDefault="00C812D0" w:rsidP="00B217DC">
      <w:pPr>
        <w:rPr>
          <w:rFonts w:cs="Arial"/>
          <w:color w:val="auto"/>
          <w:sz w:val="20"/>
          <w:szCs w:val="20"/>
          <w:lang w:val="en-US"/>
        </w:rPr>
      </w:pPr>
    </w:p>
    <w:p w:rsidR="00C812D0" w:rsidRPr="00B217DC" w:rsidRDefault="00C812D0" w:rsidP="00B217DC">
      <w:pPr>
        <w:rPr>
          <w:rFonts w:cs="Arial"/>
          <w:color w:val="auto"/>
          <w:sz w:val="20"/>
          <w:szCs w:val="20"/>
          <w:lang w:val="en-GB"/>
        </w:rPr>
      </w:pPr>
      <w:r w:rsidRPr="00B217DC">
        <w:rPr>
          <w:rFonts w:cs="Arial"/>
          <w:color w:val="auto"/>
          <w:sz w:val="20"/>
          <w:szCs w:val="20"/>
          <w:lang w:val="en-US"/>
        </w:rPr>
        <w:t xml:space="preserve">Furthermore, the Department maintains that its Country Gender Indicator (CGI) Framework which is the backbone of the monitoring mechanism of the Gender responsiveness Budgeting, </w:t>
      </w:r>
      <w:r w:rsidR="00553731" w:rsidRPr="00B217DC">
        <w:rPr>
          <w:rFonts w:cs="Arial"/>
          <w:color w:val="auto"/>
          <w:sz w:val="20"/>
          <w:szCs w:val="20"/>
          <w:lang w:val="en-US"/>
        </w:rPr>
        <w:t>Planning, M</w:t>
      </w:r>
      <w:r w:rsidRPr="00B217DC">
        <w:rPr>
          <w:rFonts w:cs="Arial"/>
          <w:color w:val="auto"/>
          <w:sz w:val="20"/>
          <w:szCs w:val="20"/>
          <w:lang w:val="en-US"/>
        </w:rPr>
        <w:t>onitoring, Evaluation</w:t>
      </w:r>
      <w:r w:rsidR="00553731" w:rsidRPr="00B217DC">
        <w:rPr>
          <w:rFonts w:cs="Arial"/>
          <w:color w:val="auto"/>
          <w:sz w:val="20"/>
          <w:szCs w:val="20"/>
          <w:lang w:val="en-US"/>
        </w:rPr>
        <w:t xml:space="preserve"> and Auditing</w:t>
      </w:r>
      <w:r w:rsidRPr="00B217DC">
        <w:rPr>
          <w:rFonts w:cs="Arial"/>
          <w:color w:val="auto"/>
          <w:sz w:val="20"/>
          <w:szCs w:val="20"/>
          <w:lang w:val="en-US"/>
        </w:rPr>
        <w:t xml:space="preserve"> (GRBPMEA) Framework has its foundation in the NDP, State of the Nation Address (SONA), Sustainable Development Goal (SDG) (5), Agenda 2063, Convention on the Elimination of all Forms of Discrimination (CEDAW), Beijing Platform of Action (BPfA),  Solemn  Declaration on Gender Equity in Africa, Protocol on Gender and Development, National Policy Framework for Women Empowerment and Gender E</w:t>
      </w:r>
      <w:r w:rsidR="00EB7EA9" w:rsidRPr="00B217DC">
        <w:rPr>
          <w:rFonts w:cs="Arial"/>
          <w:color w:val="auto"/>
          <w:sz w:val="20"/>
          <w:szCs w:val="20"/>
          <w:lang w:val="en-US"/>
        </w:rPr>
        <w:t>quality</w:t>
      </w:r>
      <w:r w:rsidRPr="00B217DC">
        <w:rPr>
          <w:rFonts w:cs="Arial"/>
          <w:color w:val="auto"/>
          <w:sz w:val="20"/>
          <w:szCs w:val="20"/>
          <w:lang w:val="en-US"/>
        </w:rPr>
        <w:t xml:space="preserve"> (NPFWEGE) and other regional and  international instruments on women</w:t>
      </w:r>
    </w:p>
    <w:p w:rsidR="003F62DB" w:rsidRPr="00B217DC" w:rsidRDefault="003F62DB" w:rsidP="00B217DC">
      <w:pPr>
        <w:rPr>
          <w:rFonts w:cs="Arial"/>
          <w:color w:val="auto"/>
          <w:sz w:val="20"/>
          <w:szCs w:val="20"/>
          <w:lang w:val="en-GB"/>
        </w:rPr>
      </w:pPr>
    </w:p>
    <w:p w:rsidR="002F1052" w:rsidRPr="00B217DC" w:rsidRDefault="002F1052" w:rsidP="00B217DC">
      <w:pPr>
        <w:rPr>
          <w:rFonts w:cs="Arial"/>
          <w:color w:val="auto"/>
          <w:sz w:val="20"/>
          <w:szCs w:val="20"/>
          <w:lang w:val="en-GB"/>
        </w:rPr>
      </w:pPr>
      <w:r w:rsidRPr="00B217DC">
        <w:rPr>
          <w:rFonts w:cs="Arial"/>
          <w:color w:val="auto"/>
          <w:sz w:val="20"/>
          <w:szCs w:val="20"/>
          <w:lang w:val="en-GB"/>
        </w:rPr>
        <w:lastRenderedPageBreak/>
        <w:t>Thus in implementing its programmes, the Department maintains that it aligned its indicators to respond and contribute to the principles of the NDP. This BRRR also examines the extent to which the Department has been able to do this for the year under review but also</w:t>
      </w:r>
      <w:r w:rsidR="00A768D1" w:rsidRPr="00B217DC">
        <w:rPr>
          <w:rFonts w:cs="Arial"/>
          <w:color w:val="auto"/>
          <w:sz w:val="20"/>
          <w:szCs w:val="20"/>
          <w:lang w:val="en-GB"/>
        </w:rPr>
        <w:t xml:space="preserve"> has a mid-point in the five-year term</w:t>
      </w:r>
      <w:r w:rsidRPr="00B217DC">
        <w:rPr>
          <w:rFonts w:cs="Arial"/>
          <w:color w:val="auto"/>
          <w:sz w:val="20"/>
          <w:szCs w:val="20"/>
          <w:lang w:val="en-GB"/>
        </w:rPr>
        <w:t>.</w:t>
      </w:r>
    </w:p>
    <w:p w:rsidR="00286789" w:rsidRPr="00B217DC" w:rsidRDefault="00286789"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6.2 Medium-Term Strategic Framework (MTSF)</w:t>
      </w:r>
    </w:p>
    <w:p w:rsidR="00170BD2" w:rsidRPr="00B217DC" w:rsidRDefault="00170BD2" w:rsidP="00B217DC">
      <w:pPr>
        <w:rPr>
          <w:rFonts w:cs="Arial"/>
          <w:color w:val="auto"/>
          <w:sz w:val="20"/>
          <w:szCs w:val="20"/>
          <w:lang w:val="en-GB"/>
        </w:rPr>
      </w:pPr>
    </w:p>
    <w:p w:rsidR="007A13DC" w:rsidRPr="00B217DC" w:rsidRDefault="007A13DC" w:rsidP="00B217DC">
      <w:pPr>
        <w:rPr>
          <w:rFonts w:cs="Arial"/>
          <w:iCs/>
          <w:color w:val="auto"/>
          <w:sz w:val="20"/>
          <w:szCs w:val="20"/>
        </w:rPr>
      </w:pPr>
      <w:r w:rsidRPr="00B217DC">
        <w:rPr>
          <w:rFonts w:cs="Arial"/>
          <w:color w:val="auto"/>
          <w:sz w:val="20"/>
          <w:szCs w:val="20"/>
          <w:lang w:val="en-GB"/>
        </w:rPr>
        <w:t>The</w:t>
      </w:r>
      <w:r w:rsidR="00170BD2" w:rsidRPr="00B217DC">
        <w:rPr>
          <w:rFonts w:cs="Arial"/>
          <w:color w:val="auto"/>
          <w:sz w:val="20"/>
          <w:szCs w:val="20"/>
          <w:lang w:val="en-GB"/>
        </w:rPr>
        <w:t xml:space="preserve"> Medium-Term Strategic Framework</w:t>
      </w:r>
      <w:r w:rsidR="00BB6731" w:rsidRPr="00B217DC">
        <w:rPr>
          <w:rFonts w:cs="Arial"/>
          <w:color w:val="auto"/>
          <w:sz w:val="20"/>
          <w:szCs w:val="20"/>
          <w:lang w:val="en-GB"/>
        </w:rPr>
        <w:t xml:space="preserve"> (MTSF)</w:t>
      </w:r>
      <w:r w:rsidRPr="00B217DC">
        <w:rPr>
          <w:rFonts w:cs="Arial"/>
          <w:color w:val="auto"/>
          <w:sz w:val="20"/>
          <w:szCs w:val="20"/>
          <w:lang w:val="en-GB"/>
        </w:rPr>
        <w:t xml:space="preserve"> (2019-2024) for the 6</w:t>
      </w:r>
      <w:r w:rsidRPr="00B217DC">
        <w:rPr>
          <w:rFonts w:cs="Arial"/>
          <w:color w:val="auto"/>
          <w:sz w:val="20"/>
          <w:szCs w:val="20"/>
          <w:vertAlign w:val="superscript"/>
          <w:lang w:val="en-GB"/>
        </w:rPr>
        <w:t>th</w:t>
      </w:r>
      <w:r w:rsidRPr="00B217DC">
        <w:rPr>
          <w:rFonts w:cs="Arial"/>
          <w:color w:val="auto"/>
          <w:sz w:val="20"/>
          <w:szCs w:val="20"/>
          <w:lang w:val="en-GB"/>
        </w:rPr>
        <w:t xml:space="preserve"> Administration identified the following seven priorities:</w:t>
      </w:r>
      <w:r w:rsidR="00FD6238" w:rsidRPr="00B217DC">
        <w:rPr>
          <w:rFonts w:cs="Arial"/>
          <w:color w:val="auto"/>
          <w:sz w:val="20"/>
          <w:szCs w:val="20"/>
          <w:lang w:val="en-GB"/>
        </w:rPr>
        <w:t xml:space="preserve"> (a) </w:t>
      </w:r>
      <w:r w:rsidRPr="00B217DC">
        <w:rPr>
          <w:rFonts w:cs="Arial"/>
          <w:b/>
          <w:bCs/>
          <w:iCs/>
          <w:color w:val="auto"/>
          <w:sz w:val="20"/>
          <w:szCs w:val="20"/>
        </w:rPr>
        <w:t xml:space="preserve">Priority 1: </w:t>
      </w:r>
      <w:r w:rsidRPr="00B217DC">
        <w:rPr>
          <w:rFonts w:cs="Arial"/>
          <w:iCs/>
          <w:color w:val="auto"/>
          <w:sz w:val="20"/>
          <w:szCs w:val="20"/>
        </w:rPr>
        <w:t>A capable, ethical and developmental state</w:t>
      </w:r>
      <w:r w:rsidR="00FD6238" w:rsidRPr="00B217DC">
        <w:rPr>
          <w:rFonts w:cs="Arial"/>
          <w:iCs/>
          <w:color w:val="auto"/>
          <w:sz w:val="20"/>
          <w:szCs w:val="20"/>
        </w:rPr>
        <w:t xml:space="preserve">; (b) </w:t>
      </w:r>
      <w:r w:rsidRPr="00B217DC">
        <w:rPr>
          <w:rFonts w:cs="Arial"/>
          <w:b/>
          <w:bCs/>
          <w:iCs/>
          <w:color w:val="auto"/>
          <w:sz w:val="20"/>
          <w:szCs w:val="20"/>
        </w:rPr>
        <w:t xml:space="preserve">Priority 2: </w:t>
      </w:r>
      <w:r w:rsidRPr="00B217DC">
        <w:rPr>
          <w:rFonts w:cs="Arial"/>
          <w:iCs/>
          <w:color w:val="auto"/>
          <w:sz w:val="20"/>
          <w:szCs w:val="20"/>
        </w:rPr>
        <w:t>Economic transformation and job creation</w:t>
      </w:r>
      <w:r w:rsidR="00FD6238" w:rsidRPr="00B217DC">
        <w:rPr>
          <w:rFonts w:cs="Arial"/>
          <w:iCs/>
          <w:color w:val="auto"/>
          <w:sz w:val="20"/>
          <w:szCs w:val="20"/>
        </w:rPr>
        <w:t xml:space="preserve">; (c) </w:t>
      </w:r>
      <w:r w:rsidRPr="00B217DC">
        <w:rPr>
          <w:rFonts w:cs="Arial"/>
          <w:b/>
          <w:bCs/>
          <w:iCs/>
          <w:color w:val="auto"/>
          <w:sz w:val="20"/>
          <w:szCs w:val="20"/>
        </w:rPr>
        <w:t xml:space="preserve">Priority 3: </w:t>
      </w:r>
      <w:r w:rsidRPr="00B217DC">
        <w:rPr>
          <w:rFonts w:cs="Arial"/>
          <w:iCs/>
          <w:color w:val="auto"/>
          <w:sz w:val="20"/>
          <w:szCs w:val="20"/>
        </w:rPr>
        <w:t>Education, skills and health</w:t>
      </w:r>
      <w:r w:rsidR="00FD6238" w:rsidRPr="00B217DC">
        <w:rPr>
          <w:rFonts w:cs="Arial"/>
          <w:iCs/>
          <w:color w:val="auto"/>
          <w:sz w:val="20"/>
          <w:szCs w:val="20"/>
        </w:rPr>
        <w:t xml:space="preserve">; (d) </w:t>
      </w:r>
      <w:r w:rsidRPr="00B217DC">
        <w:rPr>
          <w:rFonts w:cs="Arial"/>
          <w:b/>
          <w:bCs/>
          <w:iCs/>
          <w:color w:val="auto"/>
          <w:sz w:val="20"/>
          <w:szCs w:val="20"/>
        </w:rPr>
        <w:t xml:space="preserve">Priority 4: </w:t>
      </w:r>
      <w:r w:rsidRPr="00B217DC">
        <w:rPr>
          <w:rFonts w:cs="Arial"/>
          <w:iCs/>
          <w:color w:val="auto"/>
          <w:sz w:val="20"/>
          <w:szCs w:val="20"/>
        </w:rPr>
        <w:t>Consolidating the social wage through reliable and quality basic services</w:t>
      </w:r>
      <w:r w:rsidR="00FD6238" w:rsidRPr="00B217DC">
        <w:rPr>
          <w:rFonts w:cs="Arial"/>
          <w:iCs/>
          <w:color w:val="auto"/>
          <w:sz w:val="20"/>
          <w:szCs w:val="20"/>
        </w:rPr>
        <w:t xml:space="preserve">; (e) </w:t>
      </w:r>
      <w:r w:rsidRPr="00B217DC">
        <w:rPr>
          <w:rFonts w:cs="Arial"/>
          <w:b/>
          <w:bCs/>
          <w:iCs/>
          <w:color w:val="auto"/>
          <w:sz w:val="20"/>
          <w:szCs w:val="20"/>
        </w:rPr>
        <w:t xml:space="preserve">Priority 5: </w:t>
      </w:r>
      <w:r w:rsidRPr="00B217DC">
        <w:rPr>
          <w:rFonts w:cs="Arial"/>
          <w:iCs/>
          <w:color w:val="auto"/>
          <w:sz w:val="20"/>
          <w:szCs w:val="20"/>
        </w:rPr>
        <w:t>Spatial integration, human settlements and local government</w:t>
      </w:r>
      <w:r w:rsidR="00FD6238" w:rsidRPr="00B217DC">
        <w:rPr>
          <w:rFonts w:cs="Arial"/>
          <w:iCs/>
          <w:color w:val="auto"/>
          <w:sz w:val="20"/>
          <w:szCs w:val="20"/>
        </w:rPr>
        <w:t xml:space="preserve">; (f) </w:t>
      </w:r>
      <w:r w:rsidRPr="00B217DC">
        <w:rPr>
          <w:rFonts w:cs="Arial"/>
          <w:b/>
          <w:bCs/>
          <w:iCs/>
          <w:color w:val="auto"/>
          <w:sz w:val="20"/>
          <w:szCs w:val="20"/>
        </w:rPr>
        <w:t xml:space="preserve">Priority 6: </w:t>
      </w:r>
      <w:r w:rsidRPr="00B217DC">
        <w:rPr>
          <w:rFonts w:cs="Arial"/>
          <w:iCs/>
          <w:color w:val="auto"/>
          <w:sz w:val="20"/>
          <w:szCs w:val="20"/>
        </w:rPr>
        <w:t>Social cohesion and safe communities</w:t>
      </w:r>
      <w:r w:rsidR="00FD6238" w:rsidRPr="00B217DC">
        <w:rPr>
          <w:rFonts w:cs="Arial"/>
          <w:iCs/>
          <w:color w:val="auto"/>
          <w:sz w:val="20"/>
          <w:szCs w:val="20"/>
        </w:rPr>
        <w:t xml:space="preserve"> and (g) </w:t>
      </w:r>
      <w:r w:rsidRPr="00B217DC">
        <w:rPr>
          <w:rFonts w:cs="Arial"/>
          <w:b/>
          <w:bCs/>
          <w:iCs/>
          <w:color w:val="auto"/>
          <w:sz w:val="20"/>
          <w:szCs w:val="20"/>
        </w:rPr>
        <w:t xml:space="preserve">Priority 7: </w:t>
      </w:r>
      <w:r w:rsidRPr="00B217DC">
        <w:rPr>
          <w:rFonts w:cs="Arial"/>
          <w:iCs/>
          <w:color w:val="auto"/>
          <w:sz w:val="20"/>
          <w:szCs w:val="20"/>
        </w:rPr>
        <w:t>A better Africa and world</w:t>
      </w:r>
    </w:p>
    <w:p w:rsidR="00A57DBC" w:rsidRPr="00B217DC" w:rsidRDefault="00A57DBC" w:rsidP="00B217DC">
      <w:pPr>
        <w:rPr>
          <w:rFonts w:cs="Arial"/>
          <w:iCs/>
          <w:color w:val="auto"/>
          <w:sz w:val="20"/>
          <w:szCs w:val="20"/>
        </w:rPr>
      </w:pPr>
    </w:p>
    <w:p w:rsidR="007A13DC" w:rsidRPr="00B217DC" w:rsidRDefault="007A13DC" w:rsidP="00B217DC">
      <w:pPr>
        <w:rPr>
          <w:rFonts w:cs="Arial"/>
          <w:color w:val="auto"/>
          <w:sz w:val="20"/>
          <w:szCs w:val="20"/>
          <w:lang w:val="en-GB"/>
        </w:rPr>
      </w:pPr>
      <w:r w:rsidRPr="00B217DC">
        <w:rPr>
          <w:rFonts w:cs="Arial"/>
          <w:iCs/>
          <w:color w:val="auto"/>
          <w:sz w:val="20"/>
          <w:szCs w:val="20"/>
        </w:rPr>
        <w:t>All of the MTSF priorities are underpinned by three pillars namely; (a) Achieving a more capable state (b) Driving a strong and inclusive economy (c) Building and strengthening the capabilities of South Africans. The MTSF 2019-2024 aims to address the challenges of unemployment, inequality and poverty through three pillars outlined above. Moreover</w:t>
      </w:r>
      <w:r w:rsidR="00553731" w:rsidRPr="00B217DC">
        <w:rPr>
          <w:rFonts w:cs="Arial"/>
          <w:iCs/>
          <w:color w:val="auto"/>
          <w:sz w:val="20"/>
          <w:szCs w:val="20"/>
        </w:rPr>
        <w:t>, the MTSF has also identified c</w:t>
      </w:r>
      <w:r w:rsidRPr="00B217DC">
        <w:rPr>
          <w:rFonts w:cs="Arial"/>
          <w:iCs/>
          <w:color w:val="auto"/>
          <w:sz w:val="20"/>
          <w:szCs w:val="20"/>
        </w:rPr>
        <w:t>ross-cutting focus areas for women, youth and persons with disabilities which are implicitly linked to the National Development Plan (NDP). “Cross-cutting focus areas: The NDP Vision 2030 prioritises the significant role of women, youth and people with disabilities in our society. If these three groups are strong, our whole society will be strong. These are cross-cutting focus areas that need to be mainstreamed into all elements of South Africa’s developmental future and all programmes of government. They will inform interventions across the three pillars.”</w:t>
      </w:r>
      <w:r w:rsidRPr="00B217DC">
        <w:rPr>
          <w:rFonts w:cs="Arial"/>
          <w:iCs/>
          <w:color w:val="auto"/>
          <w:sz w:val="20"/>
          <w:szCs w:val="20"/>
          <w:vertAlign w:val="superscript"/>
        </w:rPr>
        <w:footnoteReference w:id="2"/>
      </w:r>
      <w:r w:rsidR="00FD6238" w:rsidRPr="00B217DC">
        <w:rPr>
          <w:rFonts w:cs="Arial"/>
          <w:iCs/>
          <w:color w:val="auto"/>
          <w:sz w:val="20"/>
          <w:szCs w:val="20"/>
        </w:rPr>
        <w:t xml:space="preserve"> </w:t>
      </w:r>
      <w:r w:rsidRPr="00B217DC">
        <w:rPr>
          <w:rFonts w:cs="Arial"/>
          <w:iCs/>
          <w:color w:val="auto"/>
          <w:sz w:val="20"/>
          <w:szCs w:val="20"/>
        </w:rPr>
        <w:t>The Department provided specific commitments with respect to each of the MTSF priorities identified and presented these to the Committee in May 2020.</w:t>
      </w:r>
      <w:r w:rsidR="00965679" w:rsidRPr="00B217DC">
        <w:rPr>
          <w:rFonts w:cs="Arial"/>
          <w:iCs/>
          <w:color w:val="auto"/>
          <w:sz w:val="20"/>
          <w:szCs w:val="20"/>
        </w:rPr>
        <w:t xml:space="preserve"> </w:t>
      </w:r>
    </w:p>
    <w:p w:rsidR="00992F67" w:rsidRPr="00B217DC" w:rsidRDefault="00992F67"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b/>
          <w:color w:val="auto"/>
          <w:sz w:val="20"/>
          <w:szCs w:val="20"/>
          <w:lang w:val="en-GB"/>
        </w:rPr>
        <w:t>6.3 State of the Nation Address 20</w:t>
      </w:r>
      <w:r w:rsidR="00A57DBC" w:rsidRPr="00B217DC">
        <w:rPr>
          <w:rFonts w:cs="Arial"/>
          <w:b/>
          <w:color w:val="auto"/>
          <w:sz w:val="20"/>
          <w:szCs w:val="20"/>
          <w:lang w:val="en-GB"/>
        </w:rPr>
        <w:t>2</w:t>
      </w:r>
      <w:r w:rsidR="00723EA7" w:rsidRPr="00B217DC">
        <w:rPr>
          <w:rFonts w:cs="Arial"/>
          <w:b/>
          <w:color w:val="auto"/>
          <w:sz w:val="20"/>
          <w:szCs w:val="20"/>
          <w:lang w:val="en-GB"/>
        </w:rPr>
        <w:t>1</w:t>
      </w:r>
    </w:p>
    <w:p w:rsidR="00170BD2" w:rsidRPr="00B217DC" w:rsidRDefault="00170BD2" w:rsidP="00B217DC">
      <w:pPr>
        <w:rPr>
          <w:rFonts w:cs="Arial"/>
          <w:color w:val="auto"/>
          <w:sz w:val="20"/>
          <w:szCs w:val="20"/>
          <w:lang w:val="en-GB"/>
        </w:rPr>
      </w:pPr>
    </w:p>
    <w:p w:rsidR="00FE362E" w:rsidRPr="00B217DC" w:rsidRDefault="00170BD2" w:rsidP="00B217DC">
      <w:pPr>
        <w:autoSpaceDE w:val="0"/>
        <w:autoSpaceDN w:val="0"/>
        <w:adjustRightInd w:val="0"/>
        <w:rPr>
          <w:rFonts w:cs="Arial"/>
          <w:color w:val="auto"/>
          <w:sz w:val="20"/>
          <w:szCs w:val="20"/>
        </w:rPr>
      </w:pPr>
      <w:r w:rsidRPr="00B217DC">
        <w:rPr>
          <w:rFonts w:cs="Arial"/>
          <w:color w:val="auto"/>
          <w:spacing w:val="0"/>
          <w:sz w:val="20"/>
          <w:szCs w:val="20"/>
          <w:lang w:eastAsia="en-ZA"/>
        </w:rPr>
        <w:t xml:space="preserve">The </w:t>
      </w:r>
      <w:r w:rsidR="00421110" w:rsidRPr="00B217DC">
        <w:rPr>
          <w:rFonts w:cs="Arial"/>
          <w:color w:val="auto"/>
          <w:spacing w:val="0"/>
          <w:sz w:val="20"/>
          <w:szCs w:val="20"/>
          <w:lang w:eastAsia="en-ZA"/>
        </w:rPr>
        <w:t>202</w:t>
      </w:r>
      <w:r w:rsidR="00723EA7" w:rsidRPr="00B217DC">
        <w:rPr>
          <w:rFonts w:cs="Arial"/>
          <w:color w:val="auto"/>
          <w:spacing w:val="0"/>
          <w:sz w:val="20"/>
          <w:szCs w:val="20"/>
          <w:lang w:eastAsia="en-ZA"/>
        </w:rPr>
        <w:t>1</w:t>
      </w:r>
      <w:r w:rsidRPr="00B217DC">
        <w:rPr>
          <w:rFonts w:cs="Arial"/>
          <w:color w:val="auto"/>
          <w:spacing w:val="0"/>
          <w:sz w:val="20"/>
          <w:szCs w:val="20"/>
          <w:lang w:eastAsia="en-ZA"/>
        </w:rPr>
        <w:t xml:space="preserve"> Sta</w:t>
      </w:r>
      <w:r w:rsidR="00421110" w:rsidRPr="00B217DC">
        <w:rPr>
          <w:rFonts w:cs="Arial"/>
          <w:color w:val="auto"/>
          <w:spacing w:val="0"/>
          <w:sz w:val="20"/>
          <w:szCs w:val="20"/>
          <w:lang w:eastAsia="en-ZA"/>
        </w:rPr>
        <w:t>te of the Nation Address (SONA)</w:t>
      </w:r>
      <w:r w:rsidR="00FE362E" w:rsidRPr="00B217DC">
        <w:rPr>
          <w:rFonts w:cs="Arial"/>
          <w:color w:val="auto"/>
          <w:spacing w:val="0"/>
          <w:sz w:val="20"/>
          <w:szCs w:val="20"/>
          <w:lang w:eastAsia="en-ZA"/>
        </w:rPr>
        <w:t xml:space="preserve"> focussed on four key areas related </w:t>
      </w:r>
      <w:r w:rsidR="00FE362E" w:rsidRPr="00B217DC">
        <w:rPr>
          <w:rFonts w:cs="Arial"/>
          <w:color w:val="auto"/>
          <w:sz w:val="20"/>
          <w:szCs w:val="20"/>
        </w:rPr>
        <w:t>dealing with the coronavirus pandemic, accelerating the country’s economic recovery; implementing economic reforms to create sustainable jobs and drive inclusive growth and finally, fighting corruption and strengthening the State. All four of the key focus areas have a bearing on women, youth and persons with disabilities in South Africa</w:t>
      </w:r>
    </w:p>
    <w:p w:rsidR="00723EA7" w:rsidRPr="00B217DC" w:rsidRDefault="00723EA7" w:rsidP="00B217DC">
      <w:pPr>
        <w:shd w:val="clear" w:color="auto" w:fill="FFFFFF"/>
        <w:rPr>
          <w:rFonts w:cs="Arial"/>
          <w:color w:val="auto"/>
          <w:sz w:val="20"/>
          <w:szCs w:val="20"/>
        </w:rPr>
      </w:pPr>
    </w:p>
    <w:p w:rsidR="00242FE2" w:rsidRPr="00B217DC" w:rsidRDefault="00FE362E" w:rsidP="00B217DC">
      <w:pPr>
        <w:shd w:val="clear" w:color="auto" w:fill="FFFFFF"/>
        <w:rPr>
          <w:rFonts w:cs="Arial"/>
          <w:color w:val="auto"/>
          <w:sz w:val="20"/>
          <w:szCs w:val="20"/>
        </w:rPr>
      </w:pPr>
      <w:r w:rsidRPr="00B217DC">
        <w:rPr>
          <w:rFonts w:cs="Arial"/>
          <w:color w:val="auto"/>
          <w:sz w:val="20"/>
          <w:szCs w:val="20"/>
        </w:rPr>
        <w:t xml:space="preserve">The President made reference to women in relation to the fight against gender-based violence (GBV) and economic empowerment. In terms of GBV, </w:t>
      </w:r>
      <w:r w:rsidR="00242FE2" w:rsidRPr="00B217DC">
        <w:rPr>
          <w:rFonts w:cs="Arial"/>
          <w:color w:val="auto"/>
          <w:sz w:val="20"/>
          <w:szCs w:val="20"/>
        </w:rPr>
        <w:t>the President reaffirmed his commitments made at the launch of</w:t>
      </w:r>
      <w:r w:rsidR="0049001F" w:rsidRPr="00B217DC">
        <w:rPr>
          <w:rFonts w:cs="Arial"/>
          <w:color w:val="auto"/>
          <w:sz w:val="20"/>
          <w:szCs w:val="20"/>
        </w:rPr>
        <w:t xml:space="preserve"> the National Strategic Plan on Gender-Based Violence and Femicide (GBVF) </w:t>
      </w:r>
      <w:r w:rsidR="00242FE2" w:rsidRPr="00B217DC">
        <w:rPr>
          <w:rFonts w:cs="Arial"/>
          <w:color w:val="auto"/>
          <w:sz w:val="20"/>
          <w:szCs w:val="20"/>
        </w:rPr>
        <w:t>“</w:t>
      </w:r>
      <w:r w:rsidR="0049001F" w:rsidRPr="00B217DC">
        <w:rPr>
          <w:rFonts w:cs="Arial"/>
          <w:color w:val="auto"/>
          <w:sz w:val="20"/>
          <w:szCs w:val="20"/>
        </w:rPr>
        <w:t>to the women and children of this country that we were going to strengthen the Criminal Justice System to prevent them being traumatised again, and to ensure that perpetrators face justice.</w:t>
      </w:r>
      <w:r w:rsidR="00242FE2" w:rsidRPr="00B217DC">
        <w:rPr>
          <w:rFonts w:cs="Arial"/>
          <w:color w:val="auto"/>
          <w:sz w:val="20"/>
          <w:szCs w:val="20"/>
        </w:rPr>
        <w:t xml:space="preserve">” As such, </w:t>
      </w:r>
      <w:r w:rsidR="0049001F" w:rsidRPr="00B217DC">
        <w:rPr>
          <w:rFonts w:cs="Arial"/>
          <w:color w:val="auto"/>
          <w:sz w:val="20"/>
          <w:szCs w:val="20"/>
        </w:rPr>
        <w:t xml:space="preserve">three key pieces of legislation were introduced in Parliament </w:t>
      </w:r>
      <w:r w:rsidR="00242FE2" w:rsidRPr="00B217DC">
        <w:rPr>
          <w:rFonts w:cs="Arial"/>
          <w:color w:val="auto"/>
          <w:sz w:val="20"/>
          <w:szCs w:val="20"/>
        </w:rPr>
        <w:t xml:space="preserve">in the previous </w:t>
      </w:r>
      <w:r w:rsidR="0049001F" w:rsidRPr="00B217DC">
        <w:rPr>
          <w:rFonts w:cs="Arial"/>
          <w:color w:val="auto"/>
          <w:sz w:val="20"/>
          <w:szCs w:val="20"/>
        </w:rPr>
        <w:t>year to make the criminal justice system more effective in combatting GBV</w:t>
      </w:r>
      <w:r w:rsidR="00242FE2" w:rsidRPr="00B217DC">
        <w:rPr>
          <w:rFonts w:cs="Arial"/>
          <w:color w:val="auto"/>
          <w:sz w:val="20"/>
          <w:szCs w:val="20"/>
        </w:rPr>
        <w:t xml:space="preserve"> thereby bringing </w:t>
      </w:r>
      <w:r w:rsidR="0049001F" w:rsidRPr="00B217DC">
        <w:rPr>
          <w:rFonts w:cs="Arial"/>
          <w:color w:val="auto"/>
          <w:sz w:val="20"/>
          <w:szCs w:val="20"/>
        </w:rPr>
        <w:t>perpetrators to book</w:t>
      </w:r>
      <w:r w:rsidR="00242FE2" w:rsidRPr="00B217DC">
        <w:rPr>
          <w:rFonts w:cs="Arial"/>
          <w:color w:val="auto"/>
          <w:sz w:val="20"/>
          <w:szCs w:val="20"/>
        </w:rPr>
        <w:t xml:space="preserve"> and </w:t>
      </w:r>
      <w:r w:rsidR="0049001F" w:rsidRPr="00B217DC">
        <w:rPr>
          <w:rFonts w:cs="Arial"/>
          <w:color w:val="auto"/>
          <w:sz w:val="20"/>
          <w:szCs w:val="20"/>
        </w:rPr>
        <w:t>reducing the backlog of GBV cases.</w:t>
      </w:r>
      <w:r w:rsidR="00242FE2" w:rsidRPr="00B217DC">
        <w:rPr>
          <w:rFonts w:cs="Arial"/>
          <w:color w:val="auto"/>
          <w:sz w:val="20"/>
          <w:szCs w:val="20"/>
        </w:rPr>
        <w:t xml:space="preserve"> Furthermore, the President announced that the private sector-led GBVF Response Fund was launched. To this end, he indicated that “Several South African companies and global philanthropies made pledges to the value of R128 million.” In addition, the President also indicated that, “Over the next three years, government will allocate approximately R12 billion to implement the various components of the National Strategic Plan.”</w:t>
      </w:r>
    </w:p>
    <w:p w:rsidR="00242FE2" w:rsidRPr="00B217DC" w:rsidRDefault="00242FE2" w:rsidP="00B217DC">
      <w:pPr>
        <w:shd w:val="clear" w:color="auto" w:fill="FFFFFF"/>
        <w:rPr>
          <w:rFonts w:cs="Arial"/>
          <w:color w:val="auto"/>
          <w:sz w:val="20"/>
          <w:szCs w:val="20"/>
        </w:rPr>
      </w:pPr>
    </w:p>
    <w:p w:rsidR="0049001F" w:rsidRPr="00B217DC" w:rsidRDefault="00242FE2" w:rsidP="00B217DC">
      <w:pPr>
        <w:shd w:val="clear" w:color="auto" w:fill="FFFFFF"/>
        <w:rPr>
          <w:rFonts w:cs="Arial"/>
          <w:color w:val="auto"/>
          <w:sz w:val="20"/>
          <w:szCs w:val="20"/>
        </w:rPr>
      </w:pPr>
      <w:r w:rsidRPr="00B217DC">
        <w:rPr>
          <w:rFonts w:cs="Arial"/>
          <w:color w:val="auto"/>
          <w:sz w:val="20"/>
          <w:szCs w:val="20"/>
        </w:rPr>
        <w:t xml:space="preserve">With respect to prioritising the economic empowerment of women as was stated in the 2020 SONA, the President noted that </w:t>
      </w:r>
      <w:r w:rsidR="0049001F" w:rsidRPr="00B217DC">
        <w:rPr>
          <w:rFonts w:cs="Arial"/>
          <w:color w:val="auto"/>
          <w:sz w:val="20"/>
          <w:szCs w:val="20"/>
        </w:rPr>
        <w:t>Cabinet approved a policy that 40% of public procurement should go to women-owned businesses and entities.</w:t>
      </w:r>
      <w:r w:rsidR="001E7C13" w:rsidRPr="00B217DC">
        <w:rPr>
          <w:rFonts w:cs="Arial"/>
          <w:color w:val="auto"/>
          <w:sz w:val="20"/>
          <w:szCs w:val="20"/>
        </w:rPr>
        <w:t xml:space="preserve"> To this end, the President stated that “</w:t>
      </w:r>
      <w:r w:rsidR="0049001F" w:rsidRPr="00B217DC">
        <w:rPr>
          <w:rFonts w:cs="Arial"/>
          <w:color w:val="auto"/>
          <w:sz w:val="20"/>
          <w:szCs w:val="20"/>
        </w:rPr>
        <w:t>Several departments have started implementing this policy and are making progress.</w:t>
      </w:r>
      <w:r w:rsidR="001E7C13" w:rsidRPr="00B217DC">
        <w:rPr>
          <w:rFonts w:cs="Arial"/>
          <w:color w:val="auto"/>
          <w:sz w:val="20"/>
          <w:szCs w:val="20"/>
        </w:rPr>
        <w:t>”</w:t>
      </w:r>
    </w:p>
    <w:p w:rsidR="00FE362E" w:rsidRPr="00B217DC" w:rsidRDefault="00FE362E" w:rsidP="00B217DC">
      <w:pPr>
        <w:shd w:val="clear" w:color="auto" w:fill="FFFFFF"/>
        <w:rPr>
          <w:rFonts w:cs="Arial"/>
          <w:color w:val="auto"/>
          <w:sz w:val="20"/>
          <w:szCs w:val="20"/>
        </w:rPr>
      </w:pPr>
    </w:p>
    <w:p w:rsidR="0049001F" w:rsidRPr="00B217DC" w:rsidRDefault="007566CE" w:rsidP="00B217DC">
      <w:pPr>
        <w:shd w:val="clear" w:color="auto" w:fill="FFFFFF"/>
        <w:rPr>
          <w:rFonts w:cs="Arial"/>
          <w:bCs/>
          <w:color w:val="auto"/>
          <w:sz w:val="20"/>
          <w:szCs w:val="20"/>
        </w:rPr>
      </w:pPr>
      <w:r w:rsidRPr="00B217DC">
        <w:rPr>
          <w:rFonts w:cs="Arial"/>
          <w:color w:val="auto"/>
          <w:sz w:val="20"/>
          <w:szCs w:val="20"/>
        </w:rPr>
        <w:t>With respect to youth,</w:t>
      </w:r>
      <w:r w:rsidR="001E7C13" w:rsidRPr="00B217DC">
        <w:rPr>
          <w:rFonts w:cs="Arial"/>
          <w:color w:val="auto"/>
          <w:sz w:val="20"/>
          <w:szCs w:val="20"/>
        </w:rPr>
        <w:t xml:space="preserve"> the President also reflected on the commitments made in SONA 202</w:t>
      </w:r>
      <w:r w:rsidR="00263D0F" w:rsidRPr="00B217DC">
        <w:rPr>
          <w:rFonts w:cs="Arial"/>
          <w:color w:val="auto"/>
          <w:sz w:val="20"/>
          <w:szCs w:val="20"/>
        </w:rPr>
        <w:t>0</w:t>
      </w:r>
      <w:r w:rsidR="0049001F" w:rsidRPr="00B217DC">
        <w:rPr>
          <w:rFonts w:cs="Arial"/>
          <w:bCs/>
          <w:color w:val="auto"/>
          <w:sz w:val="20"/>
          <w:szCs w:val="20"/>
        </w:rPr>
        <w:t xml:space="preserve">, </w:t>
      </w:r>
      <w:r w:rsidR="00445AB4" w:rsidRPr="00B217DC">
        <w:rPr>
          <w:rFonts w:cs="Arial"/>
          <w:bCs/>
          <w:color w:val="auto"/>
          <w:sz w:val="20"/>
          <w:szCs w:val="20"/>
        </w:rPr>
        <w:t>to address</w:t>
      </w:r>
      <w:r w:rsidR="0049001F" w:rsidRPr="00B217DC">
        <w:rPr>
          <w:rFonts w:cs="Arial"/>
          <w:bCs/>
          <w:color w:val="auto"/>
          <w:sz w:val="20"/>
          <w:szCs w:val="20"/>
        </w:rPr>
        <w:t xml:space="preserve"> youth unemployment</w:t>
      </w:r>
      <w:r w:rsidR="00445AB4" w:rsidRPr="00B217DC">
        <w:rPr>
          <w:rFonts w:cs="Arial"/>
          <w:bCs/>
          <w:color w:val="auto"/>
          <w:sz w:val="20"/>
          <w:szCs w:val="20"/>
        </w:rPr>
        <w:t xml:space="preserve"> by </w:t>
      </w:r>
      <w:r w:rsidR="0049001F" w:rsidRPr="00B217DC">
        <w:rPr>
          <w:rFonts w:cs="Arial"/>
          <w:bCs/>
          <w:color w:val="auto"/>
          <w:sz w:val="20"/>
          <w:szCs w:val="20"/>
        </w:rPr>
        <w:t>announc</w:t>
      </w:r>
      <w:r w:rsidR="00445AB4" w:rsidRPr="00B217DC">
        <w:rPr>
          <w:rFonts w:cs="Arial"/>
          <w:bCs/>
          <w:color w:val="auto"/>
          <w:sz w:val="20"/>
          <w:szCs w:val="20"/>
        </w:rPr>
        <w:t xml:space="preserve">ing </w:t>
      </w:r>
      <w:r w:rsidR="0049001F" w:rsidRPr="00B217DC">
        <w:rPr>
          <w:rFonts w:cs="Arial"/>
          <w:bCs/>
          <w:color w:val="auto"/>
          <w:sz w:val="20"/>
          <w:szCs w:val="20"/>
        </w:rPr>
        <w:t>that the National Youth Development Agency and the Department of Small Business Development would provide grant funding and business support to 1 000 young entrepreneurs within 100 days.</w:t>
      </w:r>
      <w:r w:rsidR="00445AB4" w:rsidRPr="00B217DC">
        <w:rPr>
          <w:rFonts w:cs="Arial"/>
          <w:bCs/>
          <w:color w:val="auto"/>
          <w:sz w:val="20"/>
          <w:szCs w:val="20"/>
        </w:rPr>
        <w:t xml:space="preserve"> To this end, even though the </w:t>
      </w:r>
      <w:r w:rsidR="0049001F" w:rsidRPr="00B217DC">
        <w:rPr>
          <w:rFonts w:cs="Arial"/>
          <w:bCs/>
          <w:color w:val="auto"/>
          <w:sz w:val="20"/>
          <w:szCs w:val="20"/>
        </w:rPr>
        <w:t xml:space="preserve">programme had to be put on hold due to the coronavirus restrictions, it </w:t>
      </w:r>
      <w:r w:rsidR="00445AB4" w:rsidRPr="00B217DC">
        <w:rPr>
          <w:rFonts w:cs="Arial"/>
          <w:bCs/>
          <w:color w:val="auto"/>
          <w:sz w:val="20"/>
          <w:szCs w:val="20"/>
        </w:rPr>
        <w:t>still</w:t>
      </w:r>
      <w:r w:rsidR="0049001F" w:rsidRPr="00B217DC">
        <w:rPr>
          <w:rFonts w:cs="Arial"/>
          <w:bCs/>
          <w:color w:val="auto"/>
          <w:sz w:val="20"/>
          <w:szCs w:val="20"/>
        </w:rPr>
        <w:t xml:space="preserve"> managed to reach its target of 1 000 businesses by International Youth Day on 12 August 2020.</w:t>
      </w:r>
      <w:r w:rsidR="00AC7564" w:rsidRPr="00B217DC">
        <w:rPr>
          <w:rFonts w:cs="Arial"/>
          <w:bCs/>
          <w:color w:val="auto"/>
          <w:sz w:val="20"/>
          <w:szCs w:val="20"/>
        </w:rPr>
        <w:t xml:space="preserve"> In so doing, providing a </w:t>
      </w:r>
      <w:r w:rsidR="0049001F" w:rsidRPr="00B217DC">
        <w:rPr>
          <w:rFonts w:cs="Arial"/>
          <w:bCs/>
          <w:color w:val="auto"/>
          <w:sz w:val="20"/>
          <w:szCs w:val="20"/>
        </w:rPr>
        <w:t xml:space="preserve">firm foundation for </w:t>
      </w:r>
      <w:r w:rsidR="00AC7564" w:rsidRPr="00B217DC">
        <w:rPr>
          <w:rFonts w:cs="Arial"/>
          <w:bCs/>
          <w:color w:val="auto"/>
          <w:sz w:val="20"/>
          <w:szCs w:val="20"/>
        </w:rPr>
        <w:t>Government’s</w:t>
      </w:r>
      <w:r w:rsidR="0049001F" w:rsidRPr="00B217DC">
        <w:rPr>
          <w:rFonts w:cs="Arial"/>
          <w:bCs/>
          <w:color w:val="auto"/>
          <w:sz w:val="20"/>
          <w:szCs w:val="20"/>
        </w:rPr>
        <w:t xml:space="preserve"> efforts to support 15 000 start-ups by 2024.</w:t>
      </w:r>
      <w:r w:rsidR="00AC7564" w:rsidRPr="00B217DC">
        <w:rPr>
          <w:rFonts w:cs="Arial"/>
          <w:bCs/>
          <w:color w:val="auto"/>
          <w:sz w:val="20"/>
          <w:szCs w:val="20"/>
        </w:rPr>
        <w:t xml:space="preserve"> </w:t>
      </w:r>
      <w:r w:rsidR="00D66965" w:rsidRPr="00B217DC">
        <w:rPr>
          <w:rFonts w:cs="Arial"/>
          <w:bCs/>
          <w:color w:val="auto"/>
          <w:sz w:val="20"/>
          <w:szCs w:val="20"/>
        </w:rPr>
        <w:t xml:space="preserve">The President also encouraged the youth to join that </w:t>
      </w:r>
      <w:r w:rsidR="0049001F" w:rsidRPr="00B217DC">
        <w:rPr>
          <w:rFonts w:cs="Arial"/>
          <w:bCs/>
          <w:color w:val="auto"/>
          <w:sz w:val="20"/>
          <w:szCs w:val="20"/>
        </w:rPr>
        <w:t xml:space="preserve">the National Pathway Management Network </w:t>
      </w:r>
      <w:r w:rsidR="00D66965" w:rsidRPr="00B217DC">
        <w:rPr>
          <w:rFonts w:cs="Arial"/>
          <w:bCs/>
          <w:color w:val="auto"/>
          <w:sz w:val="20"/>
          <w:szCs w:val="20"/>
        </w:rPr>
        <w:t xml:space="preserve">that was established in 2020 as it </w:t>
      </w:r>
      <w:r w:rsidR="0049001F" w:rsidRPr="00B217DC">
        <w:rPr>
          <w:rFonts w:cs="Arial"/>
          <w:bCs/>
          <w:color w:val="auto"/>
          <w:sz w:val="20"/>
          <w:szCs w:val="20"/>
        </w:rPr>
        <w:t>provide</w:t>
      </w:r>
      <w:r w:rsidR="00D66965" w:rsidRPr="00B217DC">
        <w:rPr>
          <w:rFonts w:cs="Arial"/>
          <w:bCs/>
          <w:color w:val="auto"/>
          <w:sz w:val="20"/>
          <w:szCs w:val="20"/>
        </w:rPr>
        <w:t>d</w:t>
      </w:r>
      <w:r w:rsidR="0049001F" w:rsidRPr="00B217DC">
        <w:rPr>
          <w:rFonts w:cs="Arial"/>
          <w:bCs/>
          <w:color w:val="auto"/>
          <w:sz w:val="20"/>
          <w:szCs w:val="20"/>
        </w:rPr>
        <w:t xml:space="preserve"> support and opportunities to young people across the country.</w:t>
      </w:r>
    </w:p>
    <w:p w:rsidR="00BA532F" w:rsidRPr="00B217DC" w:rsidRDefault="00BA532F" w:rsidP="00B217DC">
      <w:pPr>
        <w:shd w:val="clear" w:color="auto" w:fill="FFFFFF"/>
        <w:rPr>
          <w:rFonts w:cs="Arial"/>
          <w:bCs/>
          <w:color w:val="auto"/>
          <w:sz w:val="20"/>
          <w:szCs w:val="20"/>
        </w:rPr>
      </w:pPr>
    </w:p>
    <w:p w:rsidR="0049001F" w:rsidRPr="00B217DC" w:rsidRDefault="00D66965" w:rsidP="00B217DC">
      <w:pPr>
        <w:shd w:val="clear" w:color="auto" w:fill="FFFFFF"/>
        <w:rPr>
          <w:rFonts w:cs="Arial"/>
          <w:bCs/>
          <w:color w:val="auto"/>
          <w:sz w:val="20"/>
          <w:szCs w:val="20"/>
        </w:rPr>
      </w:pPr>
      <w:r w:rsidRPr="00B217DC">
        <w:rPr>
          <w:rFonts w:cs="Arial"/>
          <w:bCs/>
          <w:color w:val="auto"/>
          <w:sz w:val="20"/>
          <w:szCs w:val="20"/>
        </w:rPr>
        <w:lastRenderedPageBreak/>
        <w:t>Only o</w:t>
      </w:r>
      <w:r w:rsidR="0049001F" w:rsidRPr="00B217DC">
        <w:rPr>
          <w:rFonts w:cs="Arial"/>
          <w:bCs/>
          <w:color w:val="auto"/>
          <w:sz w:val="20"/>
          <w:szCs w:val="20"/>
        </w:rPr>
        <w:t>ne reference was made to persons with disabilities,</w:t>
      </w:r>
      <w:r w:rsidRPr="00B217DC">
        <w:rPr>
          <w:rFonts w:cs="Arial"/>
          <w:bCs/>
          <w:color w:val="auto"/>
          <w:sz w:val="20"/>
          <w:szCs w:val="20"/>
        </w:rPr>
        <w:t xml:space="preserve"> in which the President committed in “</w:t>
      </w:r>
      <w:r w:rsidR="0049001F" w:rsidRPr="00B217DC">
        <w:rPr>
          <w:rFonts w:cs="Arial"/>
          <w:bCs/>
          <w:color w:val="auto"/>
          <w:sz w:val="20"/>
          <w:szCs w:val="20"/>
        </w:rPr>
        <w:t>the year ahead, we are also going to forge ahead with efforts to provide greater opportunities for persons with disabilities to participate in the economy and in society in general</w:t>
      </w:r>
      <w:r w:rsidRPr="00B217DC">
        <w:rPr>
          <w:rFonts w:cs="Arial"/>
          <w:bCs/>
          <w:color w:val="auto"/>
          <w:sz w:val="20"/>
          <w:szCs w:val="20"/>
        </w:rPr>
        <w:t>.”</w:t>
      </w:r>
    </w:p>
    <w:p w:rsidR="0049001F" w:rsidRPr="00B217DC" w:rsidRDefault="0049001F" w:rsidP="00B217DC">
      <w:pPr>
        <w:shd w:val="clear" w:color="auto" w:fill="FFFFFF"/>
        <w:tabs>
          <w:tab w:val="left" w:pos="2141"/>
        </w:tabs>
        <w:rPr>
          <w:rFonts w:cs="Arial"/>
          <w:color w:val="auto"/>
          <w:sz w:val="20"/>
          <w:szCs w:val="20"/>
        </w:rPr>
      </w:pPr>
    </w:p>
    <w:p w:rsidR="00CC3165" w:rsidRPr="00B217DC" w:rsidRDefault="002D6668" w:rsidP="00B217DC">
      <w:pPr>
        <w:shd w:val="clear" w:color="auto" w:fill="FFFFFF"/>
        <w:rPr>
          <w:rFonts w:cs="Arial"/>
          <w:color w:val="auto"/>
          <w:sz w:val="20"/>
          <w:szCs w:val="20"/>
          <w:lang w:val="en-GB"/>
        </w:rPr>
      </w:pPr>
      <w:r w:rsidRPr="00B217DC">
        <w:rPr>
          <w:rFonts w:cs="Arial"/>
          <w:color w:val="auto"/>
          <w:sz w:val="20"/>
          <w:szCs w:val="20"/>
        </w:rPr>
        <w:t>During the year under review, the Committee also requested the Department to report on progress in terms of what the President identified in its 20</w:t>
      </w:r>
      <w:r w:rsidR="004E0015" w:rsidRPr="00B217DC">
        <w:rPr>
          <w:rFonts w:cs="Arial"/>
          <w:color w:val="auto"/>
          <w:sz w:val="20"/>
          <w:szCs w:val="20"/>
        </w:rPr>
        <w:t>2</w:t>
      </w:r>
      <w:r w:rsidR="00723EA7" w:rsidRPr="00B217DC">
        <w:rPr>
          <w:rFonts w:cs="Arial"/>
          <w:color w:val="auto"/>
          <w:sz w:val="20"/>
          <w:szCs w:val="20"/>
        </w:rPr>
        <w:t>1</w:t>
      </w:r>
      <w:r w:rsidRPr="00B217DC">
        <w:rPr>
          <w:rFonts w:cs="Arial"/>
          <w:color w:val="auto"/>
          <w:sz w:val="20"/>
          <w:szCs w:val="20"/>
        </w:rPr>
        <w:t xml:space="preserve"> SONA and how the </w:t>
      </w:r>
      <w:r w:rsidR="003F6CEC" w:rsidRPr="00B217DC">
        <w:rPr>
          <w:rFonts w:cs="Arial"/>
          <w:color w:val="auto"/>
          <w:sz w:val="20"/>
          <w:szCs w:val="20"/>
        </w:rPr>
        <w:t xml:space="preserve">respective </w:t>
      </w:r>
      <w:r w:rsidRPr="00B217DC">
        <w:rPr>
          <w:rFonts w:cs="Arial"/>
          <w:color w:val="auto"/>
          <w:sz w:val="20"/>
          <w:szCs w:val="20"/>
        </w:rPr>
        <w:t>programmes were responding to these.</w:t>
      </w:r>
      <w:r w:rsidR="00170BD2" w:rsidRPr="00B217DC">
        <w:rPr>
          <w:rFonts w:cs="Arial"/>
          <w:color w:val="auto"/>
          <w:sz w:val="20"/>
          <w:szCs w:val="20"/>
          <w:lang w:val="en-GB"/>
        </w:rPr>
        <w:t xml:space="preserve"> </w:t>
      </w:r>
      <w:r w:rsidR="006F1A6F" w:rsidRPr="00B217DC">
        <w:rPr>
          <w:rFonts w:cs="Arial"/>
          <w:color w:val="auto"/>
          <w:sz w:val="20"/>
          <w:szCs w:val="20"/>
          <w:lang w:val="en-GB"/>
        </w:rPr>
        <w:t>Similarly, the CGE</w:t>
      </w:r>
      <w:r w:rsidR="003F6CEC" w:rsidRPr="00B217DC">
        <w:rPr>
          <w:rFonts w:cs="Arial"/>
          <w:color w:val="auto"/>
          <w:sz w:val="20"/>
          <w:szCs w:val="20"/>
          <w:lang w:val="en-GB"/>
        </w:rPr>
        <w:t xml:space="preserve"> and NYDA</w:t>
      </w:r>
      <w:r w:rsidR="006F1A6F" w:rsidRPr="00B217DC">
        <w:rPr>
          <w:rFonts w:cs="Arial"/>
          <w:color w:val="auto"/>
          <w:sz w:val="20"/>
          <w:szCs w:val="20"/>
          <w:lang w:val="en-GB"/>
        </w:rPr>
        <w:t xml:space="preserve"> w</w:t>
      </w:r>
      <w:r w:rsidR="004E0015" w:rsidRPr="00B217DC">
        <w:rPr>
          <w:rFonts w:cs="Arial"/>
          <w:color w:val="auto"/>
          <w:sz w:val="20"/>
          <w:szCs w:val="20"/>
          <w:lang w:val="en-GB"/>
        </w:rPr>
        <w:t>ere</w:t>
      </w:r>
      <w:r w:rsidR="006F1A6F" w:rsidRPr="00B217DC">
        <w:rPr>
          <w:rFonts w:cs="Arial"/>
          <w:color w:val="auto"/>
          <w:sz w:val="20"/>
          <w:szCs w:val="20"/>
          <w:lang w:val="en-GB"/>
        </w:rPr>
        <w:t xml:space="preserve"> also requested to do the same in its quarterly report briefings to the Committee.</w:t>
      </w:r>
      <w:r w:rsidR="003F6CEC" w:rsidRPr="00B217DC">
        <w:rPr>
          <w:rFonts w:cs="Arial"/>
          <w:color w:val="auto"/>
          <w:sz w:val="20"/>
          <w:szCs w:val="20"/>
          <w:lang w:val="en-GB"/>
        </w:rPr>
        <w:t xml:space="preserve"> </w:t>
      </w:r>
      <w:r w:rsidR="00723EA7" w:rsidRPr="00B217DC">
        <w:rPr>
          <w:rFonts w:cs="Arial"/>
          <w:color w:val="auto"/>
          <w:sz w:val="20"/>
          <w:szCs w:val="20"/>
          <w:lang w:val="en-GB"/>
        </w:rPr>
        <w:t xml:space="preserve">Despite requests made in this regard, not much </w:t>
      </w:r>
      <w:r w:rsidR="00117D8D" w:rsidRPr="00B217DC">
        <w:rPr>
          <w:rFonts w:cs="Arial"/>
          <w:color w:val="auto"/>
          <w:sz w:val="20"/>
          <w:szCs w:val="20"/>
          <w:lang w:val="en-GB"/>
        </w:rPr>
        <w:t>was reflected during quarterly reporting.</w:t>
      </w:r>
    </w:p>
    <w:p w:rsidR="00644201" w:rsidRPr="00B217DC" w:rsidRDefault="00644201" w:rsidP="00B217DC">
      <w:pPr>
        <w:shd w:val="clear" w:color="auto" w:fill="FFFFFF"/>
        <w:rPr>
          <w:rFonts w:cs="Arial"/>
          <w:color w:val="auto"/>
          <w:sz w:val="20"/>
          <w:szCs w:val="20"/>
          <w:lang w:val="en-GB"/>
        </w:rPr>
      </w:pPr>
    </w:p>
    <w:p w:rsidR="00F5076D" w:rsidRPr="00B217DC" w:rsidRDefault="00F5076D" w:rsidP="00B217DC">
      <w:pPr>
        <w:shd w:val="clear" w:color="auto" w:fill="FFFFFF"/>
        <w:rPr>
          <w:rFonts w:cs="Arial"/>
          <w:color w:val="auto"/>
          <w:sz w:val="20"/>
          <w:szCs w:val="20"/>
          <w:lang w:val="en-GB"/>
        </w:rPr>
      </w:pPr>
    </w:p>
    <w:p w:rsidR="00F5076D" w:rsidRPr="00B217DC" w:rsidRDefault="00F5076D" w:rsidP="00B217DC">
      <w:pPr>
        <w:shd w:val="clear" w:color="auto" w:fill="FFFFFF"/>
        <w:rPr>
          <w:rFonts w:cs="Arial"/>
          <w:color w:val="auto"/>
          <w:sz w:val="20"/>
          <w:szCs w:val="20"/>
          <w:lang w:val="en-GB"/>
        </w:rPr>
      </w:pPr>
    </w:p>
    <w:p w:rsidR="00F5076D" w:rsidRPr="00B217DC" w:rsidRDefault="00F5076D" w:rsidP="00B217DC">
      <w:pPr>
        <w:shd w:val="clear" w:color="auto" w:fill="FFFFFF"/>
        <w:rPr>
          <w:rFonts w:cs="Arial"/>
          <w:color w:val="auto"/>
          <w:sz w:val="20"/>
          <w:szCs w:val="20"/>
          <w:lang w:val="en-GB"/>
        </w:rPr>
      </w:pPr>
    </w:p>
    <w:p w:rsidR="00170BD2" w:rsidRPr="00B217DC" w:rsidRDefault="0044478A" w:rsidP="00B217DC">
      <w:pPr>
        <w:numPr>
          <w:ilvl w:val="0"/>
          <w:numId w:val="5"/>
        </w:numPr>
        <w:ind w:left="0" w:firstLine="0"/>
        <w:contextualSpacing/>
        <w:rPr>
          <w:rFonts w:cs="Arial"/>
          <w:b/>
          <w:color w:val="auto"/>
          <w:spacing w:val="0"/>
          <w:kern w:val="28"/>
          <w:sz w:val="20"/>
          <w:szCs w:val="20"/>
        </w:rPr>
      </w:pPr>
      <w:r w:rsidRPr="00B217DC">
        <w:rPr>
          <w:rFonts w:cs="Arial"/>
          <w:b/>
          <w:bCs/>
          <w:color w:val="auto"/>
          <w:spacing w:val="0"/>
          <w:kern w:val="28"/>
          <w:sz w:val="20"/>
          <w:szCs w:val="20"/>
        </w:rPr>
        <w:t xml:space="preserve">Department’s </w:t>
      </w:r>
      <w:r w:rsidR="00BB6731" w:rsidRPr="00B217DC">
        <w:rPr>
          <w:rFonts w:cs="Arial"/>
          <w:b/>
          <w:bCs/>
          <w:color w:val="auto"/>
          <w:spacing w:val="0"/>
          <w:kern w:val="28"/>
          <w:sz w:val="20"/>
          <w:szCs w:val="20"/>
        </w:rPr>
        <w:t xml:space="preserve">Strategic </w:t>
      </w:r>
      <w:r w:rsidR="00E92EDF" w:rsidRPr="00B217DC">
        <w:rPr>
          <w:rFonts w:cs="Arial"/>
          <w:b/>
          <w:color w:val="auto"/>
          <w:spacing w:val="0"/>
          <w:kern w:val="28"/>
          <w:sz w:val="20"/>
          <w:szCs w:val="20"/>
        </w:rPr>
        <w:t>Priorities</w:t>
      </w:r>
      <w:r w:rsidR="00E92EDF" w:rsidRPr="00B217DC">
        <w:rPr>
          <w:rFonts w:cs="Arial"/>
          <w:b/>
          <w:bCs/>
          <w:color w:val="auto"/>
          <w:spacing w:val="0"/>
          <w:kern w:val="28"/>
          <w:sz w:val="20"/>
          <w:szCs w:val="20"/>
        </w:rPr>
        <w:t xml:space="preserve"> </w:t>
      </w:r>
      <w:r w:rsidR="00BB6731" w:rsidRPr="00B217DC">
        <w:rPr>
          <w:rFonts w:cs="Arial"/>
          <w:b/>
          <w:bCs/>
          <w:color w:val="auto"/>
          <w:spacing w:val="0"/>
          <w:kern w:val="28"/>
          <w:sz w:val="20"/>
          <w:szCs w:val="20"/>
        </w:rPr>
        <w:t xml:space="preserve"> </w:t>
      </w:r>
    </w:p>
    <w:p w:rsidR="00170BD2" w:rsidRPr="00B217DC" w:rsidRDefault="00170BD2" w:rsidP="00B217DC">
      <w:pPr>
        <w:autoSpaceDE w:val="0"/>
        <w:autoSpaceDN w:val="0"/>
        <w:adjustRightInd w:val="0"/>
        <w:rPr>
          <w:rFonts w:cs="Arial"/>
          <w:color w:val="auto"/>
          <w:spacing w:val="0"/>
          <w:sz w:val="20"/>
          <w:szCs w:val="20"/>
          <w:lang w:val="en-GB"/>
        </w:rPr>
      </w:pPr>
    </w:p>
    <w:p w:rsidR="0044478A" w:rsidRPr="00B217DC" w:rsidRDefault="0044478A" w:rsidP="00B217DC">
      <w:pPr>
        <w:tabs>
          <w:tab w:val="num" w:pos="720"/>
        </w:tabs>
        <w:autoSpaceDE w:val="0"/>
        <w:autoSpaceDN w:val="0"/>
        <w:adjustRightInd w:val="0"/>
        <w:rPr>
          <w:rFonts w:cs="Arial"/>
          <w:b/>
          <w:bCs/>
          <w:color w:val="auto"/>
          <w:spacing w:val="0"/>
          <w:sz w:val="20"/>
          <w:szCs w:val="20"/>
          <w:lang w:val="en-US" w:eastAsia="en-US"/>
        </w:rPr>
      </w:pPr>
      <w:r w:rsidRPr="00B217DC">
        <w:rPr>
          <w:rFonts w:cs="Arial"/>
          <w:b/>
          <w:bCs/>
          <w:color w:val="auto"/>
          <w:spacing w:val="0"/>
          <w:sz w:val="20"/>
          <w:szCs w:val="20"/>
          <w:lang w:val="en-US" w:eastAsia="en-US"/>
        </w:rPr>
        <w:t>7.1 Strategic Priorities as per Strategic Plan 2020-2025</w:t>
      </w:r>
      <w:r w:rsidR="002308FA" w:rsidRPr="00B217DC">
        <w:rPr>
          <w:rStyle w:val="FootnoteReference"/>
          <w:rFonts w:cs="Arial"/>
          <w:b/>
          <w:bCs/>
          <w:color w:val="auto"/>
          <w:spacing w:val="0"/>
          <w:sz w:val="20"/>
          <w:szCs w:val="20"/>
          <w:lang w:val="en-US" w:eastAsia="en-US"/>
        </w:rPr>
        <w:footnoteReference w:id="3"/>
      </w:r>
    </w:p>
    <w:p w:rsidR="0044478A" w:rsidRPr="00B217DC" w:rsidRDefault="0044478A" w:rsidP="00B217DC">
      <w:pPr>
        <w:tabs>
          <w:tab w:val="num" w:pos="720"/>
        </w:tabs>
        <w:autoSpaceDE w:val="0"/>
        <w:autoSpaceDN w:val="0"/>
        <w:adjustRightInd w:val="0"/>
        <w:rPr>
          <w:rFonts w:cs="Arial"/>
          <w:bCs/>
          <w:color w:val="auto"/>
          <w:spacing w:val="0"/>
          <w:sz w:val="20"/>
          <w:szCs w:val="20"/>
          <w:lang w:val="en-US" w:eastAsia="en-US"/>
        </w:rPr>
      </w:pPr>
    </w:p>
    <w:p w:rsidR="0044478A" w:rsidRPr="00B217DC" w:rsidRDefault="00263D0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As per the Strategic Plan (2020-2025), t</w:t>
      </w:r>
      <w:r w:rsidR="0044478A" w:rsidRPr="00B217DC">
        <w:rPr>
          <w:rFonts w:cs="Arial"/>
          <w:bCs/>
          <w:color w:val="auto"/>
          <w:spacing w:val="0"/>
          <w:sz w:val="20"/>
          <w:szCs w:val="20"/>
          <w:lang w:val="en-US" w:eastAsia="en-US"/>
        </w:rPr>
        <w:t>he Department outlines the links between the 7 MTSF priorities, the NDP and SONA priorities by highlighting the alignment through the various outcomes and five-year targets that were identified in its Strategic Plan for 2020-2025</w:t>
      </w:r>
      <w:r w:rsidR="0070733F" w:rsidRPr="00B217DC">
        <w:rPr>
          <w:rFonts w:cs="Arial"/>
          <w:bCs/>
          <w:color w:val="auto"/>
          <w:spacing w:val="0"/>
          <w:sz w:val="20"/>
          <w:szCs w:val="20"/>
          <w:lang w:val="en-US" w:eastAsia="en-US"/>
        </w:rPr>
        <w:t xml:space="preserve"> as outlined below</w:t>
      </w:r>
      <w:r w:rsidR="0044478A" w:rsidRPr="00B217DC">
        <w:rPr>
          <w:rFonts w:cs="Arial"/>
          <w:bCs/>
          <w:color w:val="auto"/>
          <w:spacing w:val="0"/>
          <w:sz w:val="20"/>
          <w:szCs w:val="20"/>
          <w:lang w:val="en-US" w:eastAsia="en-US"/>
        </w:rPr>
        <w:t>.</w:t>
      </w:r>
    </w:p>
    <w:p w:rsidR="002308FA" w:rsidRPr="00B217DC" w:rsidRDefault="002308FA" w:rsidP="00B217DC">
      <w:pPr>
        <w:tabs>
          <w:tab w:val="num" w:pos="720"/>
        </w:tabs>
        <w:autoSpaceDE w:val="0"/>
        <w:autoSpaceDN w:val="0"/>
        <w:adjustRightInd w:val="0"/>
        <w:rPr>
          <w:rFonts w:cs="Arial"/>
          <w:bCs/>
          <w:color w:val="auto"/>
          <w:spacing w:val="0"/>
          <w:sz w:val="20"/>
          <w:szCs w:val="20"/>
          <w:lang w:val="en-US" w:eastAsia="en-US"/>
        </w:rPr>
      </w:pPr>
    </w:p>
    <w:p w:rsidR="0070733F"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7.1.1 </w:t>
      </w:r>
      <w:r w:rsidR="0070733F" w:rsidRPr="00B217DC">
        <w:rPr>
          <w:rFonts w:cs="Arial"/>
          <w:bCs/>
          <w:color w:val="auto"/>
          <w:spacing w:val="0"/>
          <w:sz w:val="20"/>
          <w:szCs w:val="20"/>
          <w:lang w:val="en-US" w:eastAsia="en-US"/>
        </w:rPr>
        <w:t>MTSF Priority 1: A Capable, Ethical and Developmental State</w:t>
      </w:r>
      <w:r w:rsidR="0070733F" w:rsidRPr="00B217DC">
        <w:rPr>
          <w:rFonts w:cs="Arial"/>
          <w:bCs/>
          <w:color w:val="auto"/>
          <w:spacing w:val="0"/>
          <w:sz w:val="20"/>
          <w:szCs w:val="20"/>
          <w:lang w:val="en-US" w:eastAsia="en-US"/>
        </w:rPr>
        <w:tab/>
      </w:r>
    </w:p>
    <w:p w:rsidR="00BE0C52" w:rsidRPr="00B217DC" w:rsidRDefault="0070733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Outcome</w:t>
      </w:r>
      <w:r w:rsidR="00BE0C52" w:rsidRPr="00B217DC">
        <w:rPr>
          <w:rFonts w:cs="Arial"/>
          <w:bCs/>
          <w:color w:val="auto"/>
          <w:spacing w:val="0"/>
          <w:sz w:val="20"/>
          <w:szCs w:val="20"/>
          <w:lang w:val="en-US" w:eastAsia="en-US"/>
        </w:rPr>
        <w:t>s</w:t>
      </w:r>
      <w:r w:rsidRPr="00B217DC">
        <w:rPr>
          <w:rFonts w:cs="Arial"/>
          <w:bCs/>
          <w:color w:val="auto"/>
          <w:spacing w:val="0"/>
          <w:sz w:val="20"/>
          <w:szCs w:val="20"/>
          <w:lang w:val="en-US" w:eastAsia="en-US"/>
        </w:rPr>
        <w:t>:</w:t>
      </w:r>
      <w:r w:rsidRPr="00B217DC">
        <w:rPr>
          <w:rFonts w:cs="Arial"/>
          <w:bCs/>
          <w:color w:val="auto"/>
          <w:spacing w:val="0"/>
          <w:sz w:val="20"/>
          <w:szCs w:val="20"/>
          <w:lang w:val="en-US" w:eastAsia="en-US"/>
        </w:rPr>
        <w:tab/>
      </w:r>
    </w:p>
    <w:p w:rsidR="0070733F" w:rsidRPr="00B217DC" w:rsidRDefault="0070733F" w:rsidP="00B217DC">
      <w:pPr>
        <w:pStyle w:val="ListParagraph"/>
        <w:numPr>
          <w:ilvl w:val="0"/>
          <w:numId w:val="46"/>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Improved governance processes and systems for DWYPD</w:t>
      </w:r>
    </w:p>
    <w:p w:rsidR="0070733F" w:rsidRPr="00B217DC" w:rsidRDefault="0070733F" w:rsidP="00B217DC">
      <w:pPr>
        <w:pStyle w:val="ListParagraph"/>
        <w:numPr>
          <w:ilvl w:val="0"/>
          <w:numId w:val="46"/>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Government-wide planning, budgeting, M&amp;E addresses priorities relating to women’s empowerment, youth development and the rights of persons with disabilities</w:t>
      </w:r>
    </w:p>
    <w:p w:rsidR="0070733F" w:rsidRPr="00B217DC" w:rsidRDefault="0070733F" w:rsidP="00B217DC">
      <w:pPr>
        <w:pStyle w:val="ListParagraph"/>
        <w:numPr>
          <w:ilvl w:val="0"/>
          <w:numId w:val="46"/>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Gender, youth and disability rights machineries in</w:t>
      </w:r>
      <w:r w:rsidR="00553731" w:rsidRPr="00B217DC">
        <w:rPr>
          <w:rFonts w:cs="Arial"/>
          <w:bCs/>
          <w:color w:val="auto"/>
          <w:spacing w:val="0"/>
          <w:sz w:val="20"/>
          <w:szCs w:val="20"/>
          <w:lang w:val="en-US" w:eastAsia="en-US"/>
        </w:rPr>
        <w:t>stitutionalis</w:t>
      </w:r>
      <w:r w:rsidRPr="00B217DC">
        <w:rPr>
          <w:rFonts w:cs="Arial"/>
          <w:bCs/>
          <w:color w:val="auto"/>
          <w:spacing w:val="0"/>
          <w:sz w:val="20"/>
          <w:szCs w:val="20"/>
          <w:lang w:val="en-US" w:eastAsia="en-US"/>
        </w:rPr>
        <w:t>ed</w:t>
      </w:r>
    </w:p>
    <w:p w:rsidR="0070733F" w:rsidRPr="00B217DC" w:rsidRDefault="0070733F" w:rsidP="00B217DC">
      <w:pPr>
        <w:pStyle w:val="ListParagraph"/>
        <w:numPr>
          <w:ilvl w:val="0"/>
          <w:numId w:val="46"/>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Accessible and available evidence based knowledge and information on access to services, empowerment and participation for women, youth and persons with disabilities</w:t>
      </w:r>
    </w:p>
    <w:p w:rsidR="0070733F" w:rsidRPr="00B217DC" w:rsidRDefault="0070733F" w:rsidP="00B217DC">
      <w:pPr>
        <w:pStyle w:val="ListParagraph"/>
        <w:numPr>
          <w:ilvl w:val="0"/>
          <w:numId w:val="46"/>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Revised legislative framework to respond to and enforce rights of women, youth and persons with disabilities</w:t>
      </w:r>
    </w:p>
    <w:p w:rsidR="0070733F" w:rsidRPr="00B217DC" w:rsidRDefault="0070733F" w:rsidP="00B217DC">
      <w:pPr>
        <w:pStyle w:val="ListParagraph"/>
        <w:numPr>
          <w:ilvl w:val="0"/>
          <w:numId w:val="46"/>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Strengthened stakeholder relations and community mobilisation towards the realisation of women’s empowerment, youth development and disability rights</w:t>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p>
    <w:p w:rsidR="00BE0C52"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7.1.2 </w:t>
      </w:r>
      <w:r w:rsidR="0070733F" w:rsidRPr="00B217DC">
        <w:rPr>
          <w:rFonts w:cs="Arial"/>
          <w:bCs/>
          <w:color w:val="auto"/>
          <w:spacing w:val="0"/>
          <w:sz w:val="20"/>
          <w:szCs w:val="20"/>
          <w:lang w:val="en-US" w:eastAsia="en-US"/>
        </w:rPr>
        <w:t xml:space="preserve">MTSF Priority 2- Economic Transformation and Job Creation </w:t>
      </w:r>
    </w:p>
    <w:p w:rsidR="0070733F" w:rsidRPr="00B217DC" w:rsidRDefault="0070733F" w:rsidP="00B217DC">
      <w:pPr>
        <w:pStyle w:val="ListParagraph"/>
        <w:numPr>
          <w:ilvl w:val="0"/>
          <w:numId w:val="45"/>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Equitable economic empowerment, participation and ownership for women youth and persons with disabilities being at the </w:t>
      </w:r>
      <w:r w:rsidR="00B40FDD" w:rsidRPr="00B217DC">
        <w:rPr>
          <w:rFonts w:cs="Arial"/>
          <w:bCs/>
          <w:color w:val="auto"/>
          <w:spacing w:val="0"/>
          <w:sz w:val="20"/>
          <w:szCs w:val="20"/>
          <w:lang w:val="en-US" w:eastAsia="en-US"/>
        </w:rPr>
        <w:t>center</w:t>
      </w:r>
      <w:r w:rsidRPr="00B217DC">
        <w:rPr>
          <w:rFonts w:cs="Arial"/>
          <w:bCs/>
          <w:color w:val="auto"/>
          <w:spacing w:val="0"/>
          <w:sz w:val="20"/>
          <w:szCs w:val="20"/>
          <w:lang w:val="en-US" w:eastAsia="en-US"/>
        </w:rPr>
        <w:t xml:space="preserve"> of the national economic agenda</w:t>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p>
    <w:p w:rsidR="00BE0C52"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7.1.3 </w:t>
      </w:r>
      <w:r w:rsidR="0070733F" w:rsidRPr="00B217DC">
        <w:rPr>
          <w:rFonts w:cs="Arial"/>
          <w:bCs/>
          <w:color w:val="auto"/>
          <w:spacing w:val="0"/>
          <w:sz w:val="20"/>
          <w:szCs w:val="20"/>
          <w:lang w:val="en-US" w:eastAsia="en-US"/>
        </w:rPr>
        <w:t>MTSF Priority 3- Education, Skills and Health</w:t>
      </w:r>
      <w:r w:rsidR="0070733F" w:rsidRPr="00B217DC">
        <w:rPr>
          <w:rFonts w:cs="Arial"/>
          <w:bCs/>
          <w:color w:val="auto"/>
          <w:spacing w:val="0"/>
          <w:sz w:val="20"/>
          <w:szCs w:val="20"/>
          <w:lang w:val="en-US" w:eastAsia="en-US"/>
        </w:rPr>
        <w:tab/>
      </w:r>
    </w:p>
    <w:p w:rsidR="00BE0C52"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Outcomes</w:t>
      </w:r>
    </w:p>
    <w:p w:rsidR="0070733F" w:rsidRPr="00B217DC" w:rsidRDefault="0070733F" w:rsidP="00B217DC">
      <w:pPr>
        <w:pStyle w:val="ListParagraph"/>
        <w:numPr>
          <w:ilvl w:val="0"/>
          <w:numId w:val="45"/>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Education: Improved rate of educational attendance and retention of young women and women with disabilities in public sector institutions</w:t>
      </w:r>
    </w:p>
    <w:p w:rsidR="0070733F" w:rsidRPr="00B217DC" w:rsidRDefault="0070733F" w:rsidP="00B217DC">
      <w:pPr>
        <w:pStyle w:val="ListParagraph"/>
        <w:numPr>
          <w:ilvl w:val="0"/>
          <w:numId w:val="45"/>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Health: Improved health for women, youth and persons with disabilities</w:t>
      </w:r>
    </w:p>
    <w:p w:rsidR="0070733F" w:rsidRPr="00B217DC" w:rsidRDefault="0070733F" w:rsidP="00B217DC">
      <w:pPr>
        <w:pStyle w:val="ListParagraph"/>
        <w:numPr>
          <w:ilvl w:val="0"/>
          <w:numId w:val="45"/>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Skills: Improved skills for women, youth and persons with disabilities</w:t>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p>
    <w:p w:rsidR="0070733F"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7.1.4 </w:t>
      </w:r>
      <w:r w:rsidR="0070733F" w:rsidRPr="00B217DC">
        <w:rPr>
          <w:rFonts w:cs="Arial"/>
          <w:bCs/>
          <w:color w:val="auto"/>
          <w:spacing w:val="0"/>
          <w:sz w:val="20"/>
          <w:szCs w:val="20"/>
          <w:lang w:val="en-US" w:eastAsia="en-US"/>
        </w:rPr>
        <w:t>MTSF Priority 4 - Consolidating the Social Wage through Reliable</w:t>
      </w:r>
      <w:r w:rsidR="0070733F" w:rsidRPr="00B217DC">
        <w:rPr>
          <w:rFonts w:cs="Arial"/>
          <w:bCs/>
          <w:color w:val="auto"/>
          <w:spacing w:val="0"/>
          <w:sz w:val="20"/>
          <w:szCs w:val="20"/>
          <w:lang w:val="en-US" w:eastAsia="en-US"/>
        </w:rPr>
        <w:tab/>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Outcomes:</w:t>
      </w:r>
    </w:p>
    <w:p w:rsidR="0070733F" w:rsidRPr="00B217DC" w:rsidRDefault="00553731" w:rsidP="00B217DC">
      <w:pPr>
        <w:pStyle w:val="ListParagraph"/>
        <w:numPr>
          <w:ilvl w:val="0"/>
          <w:numId w:val="44"/>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The D</w:t>
      </w:r>
      <w:r w:rsidR="0070733F" w:rsidRPr="00B217DC">
        <w:rPr>
          <w:rFonts w:cs="Arial"/>
          <w:bCs/>
          <w:color w:val="auto"/>
          <w:spacing w:val="0"/>
          <w:sz w:val="20"/>
          <w:szCs w:val="20"/>
          <w:lang w:val="en-US" w:eastAsia="en-US"/>
        </w:rPr>
        <w:t>epartment</w:t>
      </w:r>
      <w:r w:rsidRPr="00B217DC">
        <w:rPr>
          <w:rFonts w:cs="Arial"/>
          <w:bCs/>
          <w:color w:val="auto"/>
          <w:spacing w:val="0"/>
          <w:sz w:val="20"/>
          <w:szCs w:val="20"/>
          <w:lang w:val="en-US" w:eastAsia="en-US"/>
        </w:rPr>
        <w:t>,</w:t>
      </w:r>
      <w:r w:rsidR="0070733F" w:rsidRPr="00B217DC">
        <w:rPr>
          <w:rFonts w:cs="Arial"/>
          <w:bCs/>
          <w:color w:val="auto"/>
          <w:spacing w:val="0"/>
          <w:sz w:val="20"/>
          <w:szCs w:val="20"/>
          <w:lang w:val="en-US" w:eastAsia="en-US"/>
        </w:rPr>
        <w:t xml:space="preserve"> working with the Department of Social Development and of Health</w:t>
      </w:r>
      <w:r w:rsidRPr="00B217DC">
        <w:rPr>
          <w:rFonts w:cs="Arial"/>
          <w:bCs/>
          <w:color w:val="auto"/>
          <w:spacing w:val="0"/>
          <w:sz w:val="20"/>
          <w:szCs w:val="20"/>
          <w:lang w:val="en-US" w:eastAsia="en-US"/>
        </w:rPr>
        <w:t>,</w:t>
      </w:r>
      <w:r w:rsidR="0070733F" w:rsidRPr="00B217DC">
        <w:rPr>
          <w:rFonts w:cs="Arial"/>
          <w:bCs/>
          <w:color w:val="auto"/>
          <w:spacing w:val="0"/>
          <w:sz w:val="20"/>
          <w:szCs w:val="20"/>
          <w:lang w:val="en-US" w:eastAsia="en-US"/>
        </w:rPr>
        <w:t xml:space="preserve"> will co-develop and ensure implementation of a core package of essential psychosocial support and norms and standards for substance abuse, violence against women and children. Through the core package the department will ensure that 90% of victims of GBVF have access by 2024.</w:t>
      </w:r>
    </w:p>
    <w:p w:rsidR="0070733F" w:rsidRPr="00B217DC" w:rsidRDefault="0070733F" w:rsidP="00B217DC">
      <w:pPr>
        <w:pStyle w:val="ListParagraph"/>
        <w:numPr>
          <w:ilvl w:val="0"/>
          <w:numId w:val="44"/>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The </w:t>
      </w:r>
      <w:r w:rsidR="00553731" w:rsidRPr="00B217DC">
        <w:rPr>
          <w:rFonts w:cs="Arial"/>
          <w:bCs/>
          <w:color w:val="auto"/>
          <w:spacing w:val="0"/>
          <w:sz w:val="20"/>
          <w:szCs w:val="20"/>
          <w:lang w:val="en-US" w:eastAsia="en-US"/>
        </w:rPr>
        <w:t>D</w:t>
      </w:r>
      <w:r w:rsidRPr="00B217DC">
        <w:rPr>
          <w:rFonts w:cs="Arial"/>
          <w:bCs/>
          <w:color w:val="auto"/>
          <w:spacing w:val="0"/>
          <w:sz w:val="20"/>
          <w:szCs w:val="20"/>
          <w:lang w:val="en-US" w:eastAsia="en-US"/>
        </w:rPr>
        <w:t>epartment will develop different interventions to reduce GBVF among women, youth and persons with disabilities. One of the interventions is the National Strategic Plan to end GBV</w:t>
      </w:r>
      <w:r w:rsidR="00553731" w:rsidRPr="00B217DC">
        <w:rPr>
          <w:rFonts w:cs="Arial"/>
          <w:bCs/>
          <w:color w:val="auto"/>
          <w:spacing w:val="0"/>
          <w:sz w:val="20"/>
          <w:szCs w:val="20"/>
          <w:lang w:val="en-US" w:eastAsia="en-US"/>
        </w:rPr>
        <w:t>F</w:t>
      </w:r>
      <w:r w:rsidRPr="00B217DC">
        <w:rPr>
          <w:rFonts w:cs="Arial"/>
          <w:bCs/>
          <w:color w:val="auto"/>
          <w:spacing w:val="0"/>
          <w:sz w:val="20"/>
          <w:szCs w:val="20"/>
          <w:lang w:val="en-US" w:eastAsia="en-US"/>
        </w:rPr>
        <w:t xml:space="preserve"> which will be accompanied by a monitoring framework to ensure its implementation.</w:t>
      </w:r>
    </w:p>
    <w:p w:rsidR="0070733F" w:rsidRPr="00B217DC" w:rsidRDefault="0070733F" w:rsidP="00B217DC">
      <w:pPr>
        <w:pStyle w:val="ListParagraph"/>
        <w:numPr>
          <w:ilvl w:val="0"/>
          <w:numId w:val="44"/>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The actual deliverables are covered under Priority 6 and the details on the specific deliverables will be outlined in the APP each year.</w:t>
      </w:r>
    </w:p>
    <w:p w:rsidR="005A2096" w:rsidRPr="00B217DC" w:rsidRDefault="005A2096" w:rsidP="00B217DC">
      <w:pPr>
        <w:tabs>
          <w:tab w:val="num" w:pos="720"/>
        </w:tabs>
        <w:autoSpaceDE w:val="0"/>
        <w:autoSpaceDN w:val="0"/>
        <w:adjustRightInd w:val="0"/>
        <w:rPr>
          <w:rFonts w:cs="Arial"/>
          <w:bCs/>
          <w:color w:val="auto"/>
          <w:spacing w:val="0"/>
          <w:sz w:val="20"/>
          <w:szCs w:val="20"/>
          <w:lang w:val="en-US" w:eastAsia="en-US"/>
        </w:rPr>
      </w:pPr>
    </w:p>
    <w:p w:rsidR="0070733F"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7.1.5 </w:t>
      </w:r>
      <w:r w:rsidR="0070733F" w:rsidRPr="00B217DC">
        <w:rPr>
          <w:rFonts w:cs="Arial"/>
          <w:bCs/>
          <w:color w:val="auto"/>
          <w:spacing w:val="0"/>
          <w:sz w:val="20"/>
          <w:szCs w:val="20"/>
          <w:lang w:val="en-US" w:eastAsia="en-US"/>
        </w:rPr>
        <w:t xml:space="preserve">MTSF Priority 5: Spatial Integration, Human Settlements and Local Government: </w:t>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Outcomes:</w:t>
      </w:r>
    </w:p>
    <w:p w:rsidR="0070733F" w:rsidRPr="00B217DC" w:rsidRDefault="0070733F" w:rsidP="00B217DC">
      <w:pPr>
        <w:pStyle w:val="ListParagraph"/>
        <w:numPr>
          <w:ilvl w:val="0"/>
          <w:numId w:val="43"/>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The department will lobby and support other department’s infrastructure and neighbourhood development grants and tax rebates and new structures to incorporate universal design norms and standards. This will include retrofitting existing buildings, transport and Information and </w:t>
      </w:r>
      <w:r w:rsidRPr="00B217DC">
        <w:rPr>
          <w:rFonts w:cs="Arial"/>
          <w:bCs/>
          <w:color w:val="auto"/>
          <w:spacing w:val="0"/>
          <w:sz w:val="20"/>
          <w:szCs w:val="20"/>
          <w:lang w:val="en-US" w:eastAsia="en-US"/>
        </w:rPr>
        <w:lastRenderedPageBreak/>
        <w:t>Communication Technology (ICT) systems and infrastructure to ensure universal design. It will also monitor compliance with the universal design, norms and standards.</w:t>
      </w:r>
    </w:p>
    <w:p w:rsidR="0070733F" w:rsidRPr="00B217DC" w:rsidRDefault="0070733F" w:rsidP="00B217DC">
      <w:pPr>
        <w:pStyle w:val="ListParagraph"/>
        <w:numPr>
          <w:ilvl w:val="0"/>
          <w:numId w:val="43"/>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Furthermore, the department, through Programme 5 on Persons with Disabilities, will develop Frameworks on Disability Rights Awareness Campaigns.</w:t>
      </w:r>
    </w:p>
    <w:p w:rsidR="00BE0C52" w:rsidRPr="00B217DC" w:rsidRDefault="00BE0C52" w:rsidP="00B217DC">
      <w:pPr>
        <w:tabs>
          <w:tab w:val="num" w:pos="720"/>
        </w:tabs>
        <w:autoSpaceDE w:val="0"/>
        <w:autoSpaceDN w:val="0"/>
        <w:adjustRightInd w:val="0"/>
        <w:rPr>
          <w:rFonts w:cs="Arial"/>
          <w:bCs/>
          <w:color w:val="auto"/>
          <w:spacing w:val="0"/>
          <w:sz w:val="20"/>
          <w:szCs w:val="20"/>
          <w:lang w:val="en-US" w:eastAsia="en-US"/>
        </w:rPr>
      </w:pPr>
    </w:p>
    <w:p w:rsidR="0070733F"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7.1.6 </w:t>
      </w:r>
      <w:r w:rsidR="0070733F" w:rsidRPr="00B217DC">
        <w:rPr>
          <w:rFonts w:cs="Arial"/>
          <w:bCs/>
          <w:color w:val="auto"/>
          <w:spacing w:val="0"/>
          <w:sz w:val="20"/>
          <w:szCs w:val="20"/>
          <w:lang w:val="en-US" w:eastAsia="en-US"/>
        </w:rPr>
        <w:t>MTSF Priority 6- Social Cohesion and Safe Communities</w:t>
      </w:r>
      <w:r w:rsidR="0070733F" w:rsidRPr="00B217DC">
        <w:rPr>
          <w:rFonts w:cs="Arial"/>
          <w:bCs/>
          <w:color w:val="auto"/>
          <w:spacing w:val="0"/>
          <w:sz w:val="20"/>
          <w:szCs w:val="20"/>
          <w:lang w:val="en-US" w:eastAsia="en-US"/>
        </w:rPr>
        <w:tab/>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Outcomes:</w:t>
      </w:r>
    </w:p>
    <w:p w:rsidR="0070733F" w:rsidRPr="00B217DC" w:rsidRDefault="0070733F" w:rsidP="00B217DC">
      <w:pPr>
        <w:pStyle w:val="ListParagraph"/>
        <w:numPr>
          <w:ilvl w:val="0"/>
          <w:numId w:val="42"/>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Levels of marginalisation, stigmatisation and discrimination and violence against women, girls and persons with disabilities reduced</w:t>
      </w:r>
    </w:p>
    <w:p w:rsidR="0070733F" w:rsidRPr="00B217DC" w:rsidRDefault="0070733F" w:rsidP="00B217DC">
      <w:pPr>
        <w:pStyle w:val="ListParagraph"/>
        <w:numPr>
          <w:ilvl w:val="0"/>
          <w:numId w:val="42"/>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Equal opportunities, inclusion and redress. The department contributes to Priority 6 through the Stakeholder Coordination and Outreach (SCO) sub-programme, which is responsible for coordinating sustained and visible initiative/ campaigns on gender to contribute to the target of 30 by 2024</w:t>
      </w:r>
      <w:r w:rsidR="00553731" w:rsidRPr="00B217DC">
        <w:rPr>
          <w:rFonts w:cs="Arial"/>
          <w:bCs/>
          <w:color w:val="auto"/>
          <w:spacing w:val="0"/>
          <w:sz w:val="20"/>
          <w:szCs w:val="20"/>
          <w:lang w:val="en-US" w:eastAsia="en-US"/>
        </w:rPr>
        <w:t>.</w:t>
      </w:r>
    </w:p>
    <w:p w:rsidR="0070733F" w:rsidRPr="00B217DC" w:rsidRDefault="00BE0C52"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7.1.7 </w:t>
      </w:r>
      <w:r w:rsidR="0070733F" w:rsidRPr="00B217DC">
        <w:rPr>
          <w:rFonts w:cs="Arial"/>
          <w:bCs/>
          <w:color w:val="auto"/>
          <w:spacing w:val="0"/>
          <w:sz w:val="20"/>
          <w:szCs w:val="20"/>
          <w:lang w:val="en-US" w:eastAsia="en-US"/>
        </w:rPr>
        <w:t>MTSF Priority 7- A Better Africa and World</w:t>
      </w:r>
      <w:r w:rsidR="0070733F" w:rsidRPr="00B217DC">
        <w:rPr>
          <w:rFonts w:cs="Arial"/>
          <w:bCs/>
          <w:color w:val="auto"/>
          <w:spacing w:val="0"/>
          <w:sz w:val="20"/>
          <w:szCs w:val="20"/>
          <w:lang w:val="en-US" w:eastAsia="en-US"/>
        </w:rPr>
        <w:tab/>
      </w:r>
    </w:p>
    <w:p w:rsidR="0070733F" w:rsidRPr="00B217DC" w:rsidRDefault="0070733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Outcomes:</w:t>
      </w:r>
    </w:p>
    <w:p w:rsidR="0070733F" w:rsidRPr="00B217DC" w:rsidRDefault="0070733F" w:rsidP="00B217DC">
      <w:pPr>
        <w:pStyle w:val="ListParagraph"/>
        <w:numPr>
          <w:ilvl w:val="0"/>
          <w:numId w:val="41"/>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Strengthened women, youth and disability rights agenda within global, continental and regional platforms, institutions and engagements towards a better Africa and the world</w:t>
      </w:r>
    </w:p>
    <w:p w:rsidR="0070733F" w:rsidRPr="00B217DC" w:rsidRDefault="0070733F" w:rsidP="00B217DC">
      <w:pPr>
        <w:pStyle w:val="ListParagraph"/>
        <w:numPr>
          <w:ilvl w:val="0"/>
          <w:numId w:val="41"/>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Gender equality, youth and disability agenda strengthened within multilateral institutions</w:t>
      </w:r>
    </w:p>
    <w:p w:rsidR="00A35565" w:rsidRPr="00B217DC" w:rsidRDefault="0070733F" w:rsidP="00B217DC">
      <w:pPr>
        <w:pStyle w:val="ListParagraph"/>
        <w:numPr>
          <w:ilvl w:val="0"/>
          <w:numId w:val="41"/>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The department contributes to Priority 7 through the International Relations (IR) Directorate and the Research Policy and Knowledge Management, on international reporting</w:t>
      </w:r>
    </w:p>
    <w:p w:rsidR="00644201" w:rsidRPr="00B217DC" w:rsidRDefault="00644201" w:rsidP="00B217DC">
      <w:pPr>
        <w:autoSpaceDE w:val="0"/>
        <w:autoSpaceDN w:val="0"/>
        <w:adjustRightInd w:val="0"/>
        <w:rPr>
          <w:rFonts w:cs="Arial"/>
          <w:bCs/>
          <w:color w:val="auto"/>
          <w:spacing w:val="0"/>
          <w:sz w:val="20"/>
          <w:szCs w:val="20"/>
          <w:lang w:eastAsia="en-US"/>
        </w:rPr>
      </w:pPr>
    </w:p>
    <w:p w:rsidR="0044478A" w:rsidRPr="00B217DC" w:rsidRDefault="0044478A" w:rsidP="00B217DC">
      <w:p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The Department had also identified the following strategic priorities for each of its programmes namely;</w:t>
      </w:r>
    </w:p>
    <w:p w:rsidR="0044478A" w:rsidRPr="00B217DC" w:rsidRDefault="0044478A" w:rsidP="00B217DC">
      <w:pPr>
        <w:autoSpaceDE w:val="0"/>
        <w:autoSpaceDN w:val="0"/>
        <w:adjustRightInd w:val="0"/>
        <w:rPr>
          <w:rFonts w:cs="Arial"/>
          <w:bCs/>
          <w:color w:val="auto"/>
          <w:spacing w:val="0"/>
          <w:sz w:val="20"/>
          <w:szCs w:val="20"/>
          <w:lang w:eastAsia="en-US"/>
        </w:rPr>
      </w:pPr>
    </w:p>
    <w:p w:rsidR="0044478A" w:rsidRPr="00B217DC" w:rsidRDefault="0044478A" w:rsidP="00B217DC">
      <w:pPr>
        <w:autoSpaceDE w:val="0"/>
        <w:autoSpaceDN w:val="0"/>
        <w:adjustRightInd w:val="0"/>
        <w:rPr>
          <w:rFonts w:cs="Arial"/>
          <w:bCs/>
          <w:color w:val="auto"/>
          <w:spacing w:val="0"/>
          <w:sz w:val="20"/>
          <w:szCs w:val="20"/>
          <w:lang w:eastAsia="en-US"/>
        </w:rPr>
      </w:pPr>
      <w:r w:rsidRPr="00B217DC">
        <w:rPr>
          <w:rFonts w:cs="Arial"/>
          <w:b/>
          <w:bCs/>
          <w:color w:val="auto"/>
          <w:spacing w:val="0"/>
          <w:sz w:val="20"/>
          <w:szCs w:val="20"/>
          <w:lang w:eastAsia="en-US"/>
        </w:rPr>
        <w:t>Programme 1: Administration</w:t>
      </w:r>
      <w:r w:rsidR="007C7546" w:rsidRPr="00B217DC">
        <w:rPr>
          <w:rFonts w:cs="Arial"/>
          <w:b/>
          <w:bCs/>
          <w:color w:val="auto"/>
          <w:spacing w:val="0"/>
          <w:sz w:val="20"/>
          <w:szCs w:val="20"/>
          <w:lang w:eastAsia="en-US"/>
        </w:rPr>
        <w:t xml:space="preserve"> (Admin.)</w:t>
      </w:r>
    </w:p>
    <w:p w:rsidR="0044478A" w:rsidRPr="00B217DC" w:rsidRDefault="0044478A" w:rsidP="00B217DC">
      <w:pPr>
        <w:numPr>
          <w:ilvl w:val="0"/>
          <w:numId w:val="35"/>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val="en-US" w:eastAsia="en-US"/>
        </w:rPr>
        <w:t>Strengthened good governance that ensure</w:t>
      </w:r>
      <w:r w:rsidR="00553731" w:rsidRPr="00B217DC">
        <w:rPr>
          <w:rFonts w:cs="Arial"/>
          <w:bCs/>
          <w:color w:val="auto"/>
          <w:spacing w:val="0"/>
          <w:sz w:val="20"/>
          <w:szCs w:val="20"/>
          <w:lang w:val="en-US" w:eastAsia="en-US"/>
        </w:rPr>
        <w:t>s</w:t>
      </w:r>
      <w:r w:rsidRPr="00B217DC">
        <w:rPr>
          <w:rFonts w:cs="Arial"/>
          <w:bCs/>
          <w:color w:val="auto"/>
          <w:spacing w:val="0"/>
          <w:sz w:val="20"/>
          <w:szCs w:val="20"/>
          <w:lang w:val="en-US" w:eastAsia="en-US"/>
        </w:rPr>
        <w:t xml:space="preserve"> the Department delivers on its mandate.</w:t>
      </w:r>
    </w:p>
    <w:p w:rsidR="0044478A" w:rsidRPr="00B217DC" w:rsidRDefault="0044478A" w:rsidP="00B217DC">
      <w:pPr>
        <w:numPr>
          <w:ilvl w:val="0"/>
          <w:numId w:val="35"/>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val="en-US" w:eastAsia="en-US"/>
        </w:rPr>
        <w:t>Improved strategic financial management system in Department, enabling delivery on the mandate.</w:t>
      </w:r>
    </w:p>
    <w:p w:rsidR="0044478A" w:rsidRPr="00B217DC" w:rsidRDefault="0044478A" w:rsidP="00B217DC">
      <w:pPr>
        <w:numPr>
          <w:ilvl w:val="0"/>
          <w:numId w:val="35"/>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val="en-US" w:eastAsia="en-US"/>
        </w:rPr>
        <w:t>Effective and appropriate Human and ICT and Physical Resource management, enabling delivery on its mandate.</w:t>
      </w:r>
    </w:p>
    <w:p w:rsidR="0044478A" w:rsidRPr="00B217DC" w:rsidRDefault="0044478A" w:rsidP="00B217DC">
      <w:pPr>
        <w:autoSpaceDE w:val="0"/>
        <w:autoSpaceDN w:val="0"/>
        <w:adjustRightInd w:val="0"/>
        <w:ind w:left="720"/>
        <w:rPr>
          <w:rFonts w:cs="Arial"/>
          <w:bCs/>
          <w:color w:val="auto"/>
          <w:spacing w:val="0"/>
          <w:sz w:val="20"/>
          <w:szCs w:val="20"/>
          <w:lang w:eastAsia="en-US"/>
        </w:rPr>
      </w:pPr>
    </w:p>
    <w:p w:rsidR="0044478A" w:rsidRPr="00B217DC" w:rsidRDefault="0044478A" w:rsidP="00B217DC">
      <w:pPr>
        <w:autoSpaceDE w:val="0"/>
        <w:autoSpaceDN w:val="0"/>
        <w:adjustRightInd w:val="0"/>
        <w:rPr>
          <w:rFonts w:cs="Arial"/>
          <w:bCs/>
          <w:color w:val="auto"/>
          <w:spacing w:val="0"/>
          <w:sz w:val="20"/>
          <w:szCs w:val="20"/>
          <w:lang w:eastAsia="en-US"/>
        </w:rPr>
      </w:pPr>
      <w:r w:rsidRPr="00B217DC">
        <w:rPr>
          <w:rFonts w:cs="Arial"/>
          <w:b/>
          <w:bCs/>
          <w:color w:val="auto"/>
          <w:spacing w:val="0"/>
          <w:sz w:val="20"/>
          <w:szCs w:val="20"/>
          <w:lang w:eastAsia="en-US"/>
        </w:rPr>
        <w:t xml:space="preserve">Programme 2: Social Transformation and Economic Empowerment </w:t>
      </w:r>
      <w:r w:rsidR="007C7546" w:rsidRPr="00B217DC">
        <w:rPr>
          <w:rFonts w:cs="Arial"/>
          <w:b/>
          <w:bCs/>
          <w:color w:val="auto"/>
          <w:spacing w:val="0"/>
          <w:sz w:val="20"/>
          <w:szCs w:val="20"/>
          <w:lang w:eastAsia="en-US"/>
        </w:rPr>
        <w:t>(STEE)</w:t>
      </w:r>
    </w:p>
    <w:p w:rsidR="0044478A" w:rsidRPr="00B217DC" w:rsidRDefault="0044478A" w:rsidP="00B217DC">
      <w:pPr>
        <w:numPr>
          <w:ilvl w:val="0"/>
          <w:numId w:val="36"/>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val="en-GB" w:eastAsia="en-US"/>
        </w:rPr>
        <w:t>Development and implementation of interventions to promote gender mainstreaming of socio-economic and governance programmes.</w:t>
      </w:r>
    </w:p>
    <w:p w:rsidR="0044478A" w:rsidRPr="00B217DC" w:rsidRDefault="0044478A" w:rsidP="00B217DC">
      <w:pPr>
        <w:numPr>
          <w:ilvl w:val="0"/>
          <w:numId w:val="36"/>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val="en-GB" w:eastAsia="en-US"/>
        </w:rPr>
        <w:t>A Department that advances women empowerment and gender equality.</w:t>
      </w:r>
      <w:r w:rsidRPr="00B217DC">
        <w:rPr>
          <w:rFonts w:cs="Arial"/>
          <w:b/>
          <w:bCs/>
          <w:color w:val="auto"/>
          <w:spacing w:val="0"/>
          <w:sz w:val="20"/>
          <w:szCs w:val="20"/>
          <w:lang w:eastAsia="en-US"/>
        </w:rPr>
        <w:t> </w:t>
      </w:r>
    </w:p>
    <w:p w:rsidR="0044478A" w:rsidRPr="00B217DC" w:rsidRDefault="0044478A" w:rsidP="00B217DC">
      <w:pPr>
        <w:autoSpaceDE w:val="0"/>
        <w:autoSpaceDN w:val="0"/>
        <w:adjustRightInd w:val="0"/>
        <w:ind w:left="720"/>
        <w:rPr>
          <w:rFonts w:cs="Arial"/>
          <w:bCs/>
          <w:color w:val="auto"/>
          <w:spacing w:val="0"/>
          <w:sz w:val="20"/>
          <w:szCs w:val="20"/>
          <w:lang w:eastAsia="en-US"/>
        </w:rPr>
      </w:pPr>
    </w:p>
    <w:p w:rsidR="0044478A" w:rsidRPr="00B217DC" w:rsidRDefault="0044478A" w:rsidP="00B217DC">
      <w:pPr>
        <w:autoSpaceDE w:val="0"/>
        <w:autoSpaceDN w:val="0"/>
        <w:adjustRightInd w:val="0"/>
        <w:rPr>
          <w:rFonts w:cs="Arial"/>
          <w:bCs/>
          <w:color w:val="auto"/>
          <w:spacing w:val="0"/>
          <w:sz w:val="20"/>
          <w:szCs w:val="20"/>
          <w:lang w:eastAsia="en-US"/>
        </w:rPr>
      </w:pPr>
      <w:r w:rsidRPr="00B217DC">
        <w:rPr>
          <w:rFonts w:cs="Arial"/>
          <w:b/>
          <w:bCs/>
          <w:color w:val="auto"/>
          <w:spacing w:val="0"/>
          <w:sz w:val="20"/>
          <w:szCs w:val="20"/>
          <w:lang w:eastAsia="en-US"/>
        </w:rPr>
        <w:t>Programme 3: Policy, Stakeholder Coordination and Knowledge Management</w:t>
      </w:r>
      <w:r w:rsidR="007C7546" w:rsidRPr="00B217DC">
        <w:rPr>
          <w:rFonts w:cs="Arial"/>
          <w:b/>
          <w:bCs/>
          <w:color w:val="auto"/>
          <w:spacing w:val="0"/>
          <w:sz w:val="20"/>
          <w:szCs w:val="20"/>
          <w:lang w:eastAsia="en-US"/>
        </w:rPr>
        <w:t xml:space="preserve"> (PSCKM)</w:t>
      </w:r>
    </w:p>
    <w:p w:rsidR="0044478A" w:rsidRPr="00B217DC" w:rsidRDefault="0044478A" w:rsidP="00B217DC">
      <w:pPr>
        <w:numPr>
          <w:ilvl w:val="0"/>
          <w:numId w:val="37"/>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val="en-GB" w:eastAsia="en-US"/>
        </w:rPr>
        <w:t>Promotion of gender-responsive knowledge and research, policy development, international relations, planning, monitoring and evaluation, stakeholder engagement, advocacy and outreach campaigns with respect to women's socio-economic empowerment and gender equality.</w:t>
      </w:r>
    </w:p>
    <w:p w:rsidR="00644201" w:rsidRPr="00B217DC" w:rsidRDefault="00644201" w:rsidP="00B217DC">
      <w:pPr>
        <w:autoSpaceDE w:val="0"/>
        <w:autoSpaceDN w:val="0"/>
        <w:adjustRightInd w:val="0"/>
        <w:ind w:left="720"/>
        <w:rPr>
          <w:rFonts w:cs="Arial"/>
          <w:bCs/>
          <w:color w:val="auto"/>
          <w:spacing w:val="0"/>
          <w:sz w:val="20"/>
          <w:szCs w:val="20"/>
          <w:lang w:eastAsia="en-US"/>
        </w:rPr>
      </w:pPr>
    </w:p>
    <w:p w:rsidR="0044478A" w:rsidRPr="00B217DC" w:rsidRDefault="0044478A" w:rsidP="00B217DC">
      <w:pPr>
        <w:autoSpaceDE w:val="0"/>
        <w:autoSpaceDN w:val="0"/>
        <w:adjustRightInd w:val="0"/>
        <w:rPr>
          <w:rFonts w:cs="Arial"/>
          <w:bCs/>
          <w:color w:val="auto"/>
          <w:spacing w:val="0"/>
          <w:sz w:val="20"/>
          <w:szCs w:val="20"/>
          <w:lang w:eastAsia="en-US"/>
        </w:rPr>
      </w:pPr>
      <w:r w:rsidRPr="00B217DC">
        <w:rPr>
          <w:rFonts w:cs="Arial"/>
          <w:b/>
          <w:bCs/>
          <w:color w:val="auto"/>
          <w:spacing w:val="0"/>
          <w:sz w:val="20"/>
          <w:szCs w:val="20"/>
          <w:lang w:eastAsia="en-US"/>
        </w:rPr>
        <w:t xml:space="preserve">Programme </w:t>
      </w:r>
      <w:r w:rsidR="008B35A4" w:rsidRPr="00B217DC">
        <w:rPr>
          <w:rFonts w:cs="Arial"/>
          <w:b/>
          <w:bCs/>
          <w:color w:val="auto"/>
          <w:spacing w:val="0"/>
          <w:sz w:val="20"/>
          <w:szCs w:val="20"/>
          <w:lang w:eastAsia="en-US"/>
        </w:rPr>
        <w:t>4</w:t>
      </w:r>
      <w:r w:rsidRPr="00B217DC">
        <w:rPr>
          <w:rFonts w:cs="Arial"/>
          <w:b/>
          <w:bCs/>
          <w:color w:val="auto"/>
          <w:spacing w:val="0"/>
          <w:sz w:val="20"/>
          <w:szCs w:val="20"/>
          <w:lang w:eastAsia="en-US"/>
        </w:rPr>
        <w:t>: Rights of Persons with Disabilities</w:t>
      </w:r>
      <w:r w:rsidR="007C7546" w:rsidRPr="00B217DC">
        <w:rPr>
          <w:rFonts w:cs="Arial"/>
          <w:b/>
          <w:bCs/>
          <w:color w:val="auto"/>
          <w:spacing w:val="0"/>
          <w:sz w:val="20"/>
          <w:szCs w:val="20"/>
          <w:lang w:eastAsia="en-US"/>
        </w:rPr>
        <w:t xml:space="preserve"> (RPD)</w:t>
      </w:r>
    </w:p>
    <w:p w:rsidR="0044478A" w:rsidRPr="00B217DC" w:rsidRDefault="0044478A" w:rsidP="00B217DC">
      <w:pPr>
        <w:numPr>
          <w:ilvl w:val="0"/>
          <w:numId w:val="39"/>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To promote, protect and empower persons with disabilities through the development and implementation of legislation, policies and programmes.</w:t>
      </w:r>
    </w:p>
    <w:p w:rsidR="0044478A" w:rsidRPr="00B217DC" w:rsidRDefault="0044478A" w:rsidP="00B217DC">
      <w:pPr>
        <w:numPr>
          <w:ilvl w:val="0"/>
          <w:numId w:val="39"/>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To strengthen implementation of the White Paper on the Rights of Persons with Disabilities through the National Disability Rights Machinery.</w:t>
      </w:r>
    </w:p>
    <w:p w:rsidR="0044478A" w:rsidRPr="00B217DC" w:rsidRDefault="0044478A" w:rsidP="00B217DC">
      <w:pPr>
        <w:numPr>
          <w:ilvl w:val="0"/>
          <w:numId w:val="39"/>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Strengthening of International Relations to promote the rights of persons with disabilities.</w:t>
      </w:r>
    </w:p>
    <w:p w:rsidR="00F94669" w:rsidRPr="00B217DC" w:rsidRDefault="00F94669" w:rsidP="00B217DC">
      <w:pPr>
        <w:tabs>
          <w:tab w:val="num" w:pos="720"/>
        </w:tabs>
        <w:autoSpaceDE w:val="0"/>
        <w:autoSpaceDN w:val="0"/>
        <w:adjustRightInd w:val="0"/>
        <w:rPr>
          <w:rFonts w:cs="Arial"/>
          <w:bCs/>
          <w:color w:val="auto"/>
          <w:spacing w:val="0"/>
          <w:sz w:val="20"/>
          <w:szCs w:val="20"/>
          <w:lang w:val="en-US" w:eastAsia="en-US"/>
        </w:rPr>
      </w:pPr>
    </w:p>
    <w:p w:rsidR="008B35A4" w:rsidRPr="00B217DC" w:rsidRDefault="008B35A4" w:rsidP="00B217DC">
      <w:pPr>
        <w:autoSpaceDE w:val="0"/>
        <w:autoSpaceDN w:val="0"/>
        <w:adjustRightInd w:val="0"/>
        <w:rPr>
          <w:rFonts w:cs="Arial"/>
          <w:bCs/>
          <w:color w:val="auto"/>
          <w:spacing w:val="0"/>
          <w:sz w:val="20"/>
          <w:szCs w:val="20"/>
          <w:lang w:eastAsia="en-US"/>
        </w:rPr>
      </w:pPr>
      <w:r w:rsidRPr="00B217DC">
        <w:rPr>
          <w:rFonts w:cs="Arial"/>
          <w:b/>
          <w:bCs/>
          <w:color w:val="auto"/>
          <w:spacing w:val="0"/>
          <w:sz w:val="20"/>
          <w:szCs w:val="20"/>
          <w:lang w:eastAsia="en-US"/>
        </w:rPr>
        <w:t>Programme 5: National Youth Development Programme (NYD)</w:t>
      </w:r>
    </w:p>
    <w:p w:rsidR="008B35A4" w:rsidRPr="00B217DC" w:rsidRDefault="008B35A4" w:rsidP="00B217DC">
      <w:pPr>
        <w:numPr>
          <w:ilvl w:val="0"/>
          <w:numId w:val="38"/>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To coordinate, support and facilitate youth development and empowerment.</w:t>
      </w:r>
    </w:p>
    <w:p w:rsidR="00C64C63" w:rsidRPr="00B217DC" w:rsidRDefault="00263D0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 xml:space="preserve"> </w:t>
      </w:r>
    </w:p>
    <w:p w:rsidR="0087756F" w:rsidRPr="00B217DC" w:rsidRDefault="0044478A" w:rsidP="00B217DC">
      <w:pPr>
        <w:tabs>
          <w:tab w:val="left" w:pos="720"/>
        </w:tabs>
        <w:autoSpaceDE w:val="0"/>
        <w:autoSpaceDN w:val="0"/>
        <w:adjustRightInd w:val="0"/>
        <w:rPr>
          <w:rFonts w:cs="Arial"/>
          <w:b/>
          <w:bCs/>
          <w:color w:val="auto"/>
          <w:spacing w:val="0"/>
          <w:sz w:val="20"/>
          <w:szCs w:val="20"/>
          <w:lang w:val="en-US" w:eastAsia="en-US"/>
        </w:rPr>
      </w:pPr>
      <w:r w:rsidRPr="00B217DC">
        <w:rPr>
          <w:rFonts w:cs="Arial"/>
          <w:b/>
          <w:bCs/>
          <w:color w:val="auto"/>
          <w:spacing w:val="0"/>
          <w:sz w:val="20"/>
          <w:szCs w:val="20"/>
          <w:lang w:val="en-US" w:eastAsia="en-US"/>
        </w:rPr>
        <w:t xml:space="preserve">7.2 </w:t>
      </w:r>
      <w:r w:rsidR="0087756F" w:rsidRPr="00B217DC">
        <w:rPr>
          <w:rFonts w:cs="Arial"/>
          <w:b/>
          <w:bCs/>
          <w:color w:val="auto"/>
          <w:spacing w:val="0"/>
          <w:sz w:val="20"/>
          <w:szCs w:val="20"/>
          <w:lang w:val="en-US" w:eastAsia="en-US"/>
        </w:rPr>
        <w:tab/>
        <w:t>Strategic Outcomes over MTSF Period</w:t>
      </w:r>
    </w:p>
    <w:p w:rsidR="0087756F" w:rsidRPr="00B217DC" w:rsidRDefault="0087756F" w:rsidP="00B217DC">
      <w:pPr>
        <w:tabs>
          <w:tab w:val="num" w:pos="720"/>
        </w:tabs>
        <w:autoSpaceDE w:val="0"/>
        <w:autoSpaceDN w:val="0"/>
        <w:adjustRightInd w:val="0"/>
        <w:rPr>
          <w:rFonts w:cs="Arial"/>
          <w:b/>
          <w:bCs/>
          <w:color w:val="auto"/>
          <w:spacing w:val="0"/>
          <w:sz w:val="20"/>
          <w:szCs w:val="20"/>
          <w:lang w:val="en-US" w:eastAsia="en-US"/>
        </w:rPr>
      </w:pPr>
    </w:p>
    <w:p w:rsidR="0087756F" w:rsidRPr="00B217DC" w:rsidRDefault="0087756F"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The Department has identified the following strategic outcomes </w:t>
      </w:r>
      <w:r w:rsidR="00965679" w:rsidRPr="00B217DC">
        <w:rPr>
          <w:rFonts w:cs="Arial"/>
          <w:bCs/>
          <w:color w:val="auto"/>
          <w:spacing w:val="0"/>
          <w:sz w:val="20"/>
          <w:szCs w:val="20"/>
          <w:lang w:eastAsia="en-US"/>
        </w:rPr>
        <w:t>as informed by its priorities and other Government-wide outcomes as follows in the Annual Report</w:t>
      </w:r>
      <w:r w:rsidRPr="00B217DC">
        <w:rPr>
          <w:rFonts w:cs="Arial"/>
          <w:bCs/>
          <w:color w:val="auto"/>
          <w:spacing w:val="0"/>
          <w:sz w:val="20"/>
          <w:szCs w:val="20"/>
          <w:lang w:eastAsia="en-US"/>
        </w:rPr>
        <w:t xml:space="preserve">: </w:t>
      </w:r>
    </w:p>
    <w:p w:rsidR="0087756F" w:rsidRPr="00B217DC" w:rsidRDefault="0087756F" w:rsidP="00B217DC">
      <w:pPr>
        <w:tabs>
          <w:tab w:val="num" w:pos="720"/>
        </w:tabs>
        <w:autoSpaceDE w:val="0"/>
        <w:autoSpaceDN w:val="0"/>
        <w:adjustRightInd w:val="0"/>
        <w:rPr>
          <w:rFonts w:cs="Arial"/>
          <w:bCs/>
          <w:color w:val="auto"/>
          <w:spacing w:val="0"/>
          <w:sz w:val="20"/>
          <w:szCs w:val="20"/>
          <w:lang w:eastAsia="en-US"/>
        </w:rPr>
      </w:pP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Improved governance processes and systems for Department of Women, Youth and Persons with Disabilities (DWYPD).</w:t>
      </w: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Government-wide planning, budgeting, M &amp; E addresses priorities relating to women’s empowerment, youth development and the rights of persons with disabilities.</w:t>
      </w: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Gender, youth and disability rights machineries institutionalized.</w:t>
      </w: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Accessible and available evidence based knowledge and information on access to services, empowerment and participation for women, youth and persons with disabilities.</w:t>
      </w: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Strengthened stakeholder relations and community mobilisation towards the realisation of women’s empowerment, youth development and disability rights.</w:t>
      </w: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lastRenderedPageBreak/>
        <w:t>Revised legislative framework to respond to and enforce rights of women, youth and persons with disabilities Socio-Economic Empowerment –WYPD.</w:t>
      </w:r>
    </w:p>
    <w:p w:rsidR="00965679"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Rights of Women, Youth and Persons with Disabilities realised.</w:t>
      </w:r>
    </w:p>
    <w:p w:rsidR="0087756F" w:rsidRPr="00B217DC" w:rsidRDefault="00965679" w:rsidP="00B217DC">
      <w:pPr>
        <w:pStyle w:val="ListParagraph"/>
        <w:numPr>
          <w:ilvl w:val="0"/>
          <w:numId w:val="84"/>
        </w:numPr>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Stakeholder Management.</w:t>
      </w:r>
    </w:p>
    <w:p w:rsidR="0087756F" w:rsidRPr="00B217DC" w:rsidRDefault="0087756F" w:rsidP="00B217DC">
      <w:pPr>
        <w:tabs>
          <w:tab w:val="num" w:pos="720"/>
        </w:tabs>
        <w:autoSpaceDE w:val="0"/>
        <w:autoSpaceDN w:val="0"/>
        <w:adjustRightInd w:val="0"/>
        <w:rPr>
          <w:rFonts w:cs="Arial"/>
          <w:b/>
          <w:bCs/>
          <w:color w:val="auto"/>
          <w:spacing w:val="0"/>
          <w:sz w:val="20"/>
          <w:szCs w:val="20"/>
          <w:lang w:val="en-US" w:eastAsia="en-US"/>
        </w:rPr>
      </w:pPr>
    </w:p>
    <w:p w:rsidR="00644201" w:rsidRPr="00B217DC" w:rsidRDefault="00644201"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The Department notes in its 2021/22 Annual Performance Plan that that its outcomes are aligned to the following MTSF priorities: </w:t>
      </w:r>
    </w:p>
    <w:p w:rsidR="00644201" w:rsidRPr="00B217DC" w:rsidRDefault="00644201" w:rsidP="00B217DC">
      <w:pPr>
        <w:tabs>
          <w:tab w:val="num" w:pos="720"/>
        </w:tabs>
        <w:autoSpaceDE w:val="0"/>
        <w:autoSpaceDN w:val="0"/>
        <w:adjustRightInd w:val="0"/>
        <w:rPr>
          <w:rFonts w:cs="Arial"/>
          <w:bCs/>
          <w:color w:val="auto"/>
          <w:spacing w:val="0"/>
          <w:sz w:val="20"/>
          <w:szCs w:val="20"/>
          <w:lang w:eastAsia="en-US"/>
        </w:rPr>
      </w:pPr>
    </w:p>
    <w:p w:rsidR="00644201" w:rsidRPr="00B217DC" w:rsidRDefault="00644201"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Priority 1: A capable, ethical and developmental state </w:t>
      </w:r>
    </w:p>
    <w:p w:rsidR="00644201" w:rsidRPr="00B217DC" w:rsidRDefault="00644201"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Priority 5: Spatial integration, human settlements and local government </w:t>
      </w:r>
    </w:p>
    <w:p w:rsidR="00644201" w:rsidRPr="00B217DC" w:rsidRDefault="00644201"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Priority 7: A better Africa and world </w:t>
      </w:r>
    </w:p>
    <w:p w:rsidR="00965679" w:rsidRPr="00B217DC" w:rsidRDefault="00965679"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The Department notes its new outcomes as follows:</w:t>
      </w:r>
    </w:p>
    <w:p w:rsidR="00965679" w:rsidRPr="00B217DC" w:rsidRDefault="00965679" w:rsidP="00B217DC">
      <w:pPr>
        <w:pStyle w:val="ListParagraph"/>
        <w:numPr>
          <w:ilvl w:val="0"/>
          <w:numId w:val="127"/>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The socio-economic empowerment of women, youth and persons with disabilities through the development and implementation of regulatory frameworks, </w:t>
      </w:r>
    </w:p>
    <w:p w:rsidR="00965679" w:rsidRPr="00B217DC" w:rsidRDefault="00965679" w:rsidP="00B217DC">
      <w:pPr>
        <w:pStyle w:val="ListParagraph"/>
        <w:numPr>
          <w:ilvl w:val="0"/>
          <w:numId w:val="127"/>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The rights of women, youth and persons with disabilities realised through the development and implementation of legislation, and </w:t>
      </w:r>
    </w:p>
    <w:p w:rsidR="00965679" w:rsidRPr="00B217DC" w:rsidRDefault="00965679" w:rsidP="00B217DC">
      <w:pPr>
        <w:pStyle w:val="ListParagraph"/>
        <w:numPr>
          <w:ilvl w:val="0"/>
          <w:numId w:val="127"/>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The development and implementation of a stakeholder framework. </w:t>
      </w:r>
    </w:p>
    <w:p w:rsidR="002E0F5F" w:rsidRPr="00B217DC" w:rsidRDefault="002E0F5F" w:rsidP="00B217DC">
      <w:pPr>
        <w:tabs>
          <w:tab w:val="num" w:pos="720"/>
        </w:tabs>
        <w:autoSpaceDE w:val="0"/>
        <w:autoSpaceDN w:val="0"/>
        <w:adjustRightInd w:val="0"/>
        <w:rPr>
          <w:rFonts w:cs="Arial"/>
          <w:bCs/>
          <w:color w:val="auto"/>
          <w:spacing w:val="0"/>
          <w:sz w:val="20"/>
          <w:szCs w:val="20"/>
          <w:lang w:val="en-US" w:eastAsia="en-US"/>
        </w:rPr>
      </w:pPr>
    </w:p>
    <w:p w:rsidR="00644201" w:rsidRPr="00B217DC" w:rsidRDefault="002E0F5F" w:rsidP="00B217DC">
      <w:p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val="en-US" w:eastAsia="en-US"/>
        </w:rPr>
        <w:t>Moreover, the Department also notes the following as its main services:</w:t>
      </w:r>
    </w:p>
    <w:p w:rsidR="002E0F5F" w:rsidRPr="00B217DC" w:rsidRDefault="002E0F5F" w:rsidP="00B217DC">
      <w:pPr>
        <w:tabs>
          <w:tab w:val="num" w:pos="720"/>
        </w:tabs>
        <w:autoSpaceDE w:val="0"/>
        <w:autoSpaceDN w:val="0"/>
        <w:adjustRightInd w:val="0"/>
        <w:rPr>
          <w:rFonts w:cs="Arial"/>
          <w:bCs/>
          <w:color w:val="auto"/>
          <w:spacing w:val="0"/>
          <w:sz w:val="20"/>
          <w:szCs w:val="20"/>
          <w:lang w:eastAsia="en-US"/>
        </w:rPr>
      </w:pP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Coordinate the establishment of an accountability architecture (national coordinating structure) undergirded by the necessary resources to drive a multi-sectoral response to Gender-Based Violence and Femicide (GBVF).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Develop and implement a National Strategic Plan (NSP) on GBVF.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Reinvigoration, revitalisation and strengthening of the National Gender Machinery.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Women’s empowerment and gender equality mainstreaming.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National Gender Machinery Coordination and Accountability Forum to support closer collaboration between government, Parliament, independent bodies, private sector and civil society.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Employment of Gender Focal Points in government departments as outlined in the NGPF (2000).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To develop intervention mechanisms for gender mainstreaming for women’s socio-economic empowerment, transformation and gender equality.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Promote gender sensitive research and policy analysis in relation to gender equality and women’s empowerment.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Establish a knowledge gateway for women’s socio-economic empowerment transformation and gender equality.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 xml:space="preserve">Monitor and evaluate the impact of government policies and programmes on improving the socio-economic status of women, which includes facilitating stakeholder coordination (domestic, regional and international). </w:t>
      </w:r>
    </w:p>
    <w:p w:rsidR="002E0F5F" w:rsidRPr="00B217DC" w:rsidRDefault="002E0F5F" w:rsidP="00B217DC">
      <w:pPr>
        <w:pStyle w:val="ListParagraph"/>
        <w:numPr>
          <w:ilvl w:val="0"/>
          <w:numId w:val="128"/>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Conducting outreach initiatives, including dialogues to share and gather information to promote women’s socio-economic empowerment and gender equality.</w:t>
      </w:r>
    </w:p>
    <w:p w:rsidR="002E0F5F" w:rsidRPr="00B217DC" w:rsidRDefault="002E0F5F" w:rsidP="00B217DC">
      <w:pPr>
        <w:tabs>
          <w:tab w:val="num" w:pos="720"/>
        </w:tabs>
        <w:autoSpaceDE w:val="0"/>
        <w:autoSpaceDN w:val="0"/>
        <w:adjustRightInd w:val="0"/>
        <w:rPr>
          <w:rFonts w:cs="Arial"/>
          <w:bCs/>
          <w:color w:val="auto"/>
          <w:spacing w:val="0"/>
          <w:sz w:val="20"/>
          <w:szCs w:val="20"/>
          <w:lang w:val="en-US" w:eastAsia="en-US"/>
        </w:rPr>
      </w:pPr>
    </w:p>
    <w:p w:rsidR="0044478A" w:rsidRPr="00B217DC" w:rsidRDefault="0087756F" w:rsidP="00B217DC">
      <w:pPr>
        <w:tabs>
          <w:tab w:val="num" w:pos="720"/>
        </w:tabs>
        <w:autoSpaceDE w:val="0"/>
        <w:autoSpaceDN w:val="0"/>
        <w:adjustRightInd w:val="0"/>
        <w:rPr>
          <w:rFonts w:cs="Arial"/>
          <w:b/>
          <w:bCs/>
          <w:color w:val="auto"/>
          <w:spacing w:val="0"/>
          <w:sz w:val="20"/>
          <w:szCs w:val="20"/>
          <w:lang w:val="en-US" w:eastAsia="en-US"/>
        </w:rPr>
      </w:pPr>
      <w:r w:rsidRPr="00B217DC">
        <w:rPr>
          <w:rFonts w:cs="Arial"/>
          <w:b/>
          <w:bCs/>
          <w:color w:val="auto"/>
          <w:spacing w:val="0"/>
          <w:sz w:val="20"/>
          <w:szCs w:val="20"/>
          <w:lang w:val="en-US" w:eastAsia="en-US"/>
        </w:rPr>
        <w:t xml:space="preserve">7.3 </w:t>
      </w:r>
      <w:r w:rsidR="0044478A" w:rsidRPr="00B217DC">
        <w:rPr>
          <w:rFonts w:cs="Arial"/>
          <w:b/>
          <w:bCs/>
          <w:color w:val="auto"/>
          <w:spacing w:val="0"/>
          <w:sz w:val="20"/>
          <w:szCs w:val="20"/>
          <w:lang w:val="en-US" w:eastAsia="en-US"/>
        </w:rPr>
        <w:t>Strategic Priorities 20</w:t>
      </w:r>
      <w:r w:rsidR="00A57DBC" w:rsidRPr="00B217DC">
        <w:rPr>
          <w:rFonts w:cs="Arial"/>
          <w:b/>
          <w:bCs/>
          <w:color w:val="auto"/>
          <w:spacing w:val="0"/>
          <w:sz w:val="20"/>
          <w:szCs w:val="20"/>
          <w:lang w:val="en-US" w:eastAsia="en-US"/>
        </w:rPr>
        <w:t>2</w:t>
      </w:r>
      <w:r w:rsidR="00094E6D" w:rsidRPr="00B217DC">
        <w:rPr>
          <w:rFonts w:cs="Arial"/>
          <w:b/>
          <w:bCs/>
          <w:color w:val="auto"/>
          <w:spacing w:val="0"/>
          <w:sz w:val="20"/>
          <w:szCs w:val="20"/>
          <w:lang w:val="en-US" w:eastAsia="en-US"/>
        </w:rPr>
        <w:t>1/22</w:t>
      </w:r>
    </w:p>
    <w:p w:rsidR="007A787E" w:rsidRPr="00B217DC" w:rsidRDefault="007A787E" w:rsidP="00B217DC">
      <w:pPr>
        <w:tabs>
          <w:tab w:val="num" w:pos="720"/>
        </w:tabs>
        <w:autoSpaceDE w:val="0"/>
        <w:autoSpaceDN w:val="0"/>
        <w:adjustRightInd w:val="0"/>
        <w:rPr>
          <w:rFonts w:cs="Arial"/>
          <w:bCs/>
          <w:color w:val="auto"/>
          <w:spacing w:val="0"/>
          <w:sz w:val="20"/>
          <w:szCs w:val="20"/>
          <w:lang w:val="en-US" w:eastAsia="en-US"/>
        </w:rPr>
      </w:pPr>
    </w:p>
    <w:p w:rsidR="007F2CD6" w:rsidRPr="00B217DC" w:rsidRDefault="007F2CD6"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According to the 202</w:t>
      </w:r>
      <w:r w:rsidR="00094E6D" w:rsidRPr="00B217DC">
        <w:rPr>
          <w:rFonts w:cs="Arial"/>
          <w:bCs/>
          <w:color w:val="auto"/>
          <w:spacing w:val="0"/>
          <w:sz w:val="20"/>
          <w:szCs w:val="20"/>
          <w:lang w:eastAsia="en-US"/>
        </w:rPr>
        <w:t>1</w:t>
      </w:r>
      <w:r w:rsidRPr="00B217DC">
        <w:rPr>
          <w:rFonts w:cs="Arial"/>
          <w:bCs/>
          <w:color w:val="auto"/>
          <w:spacing w:val="0"/>
          <w:sz w:val="20"/>
          <w:szCs w:val="20"/>
          <w:lang w:eastAsia="en-US"/>
        </w:rPr>
        <w:t xml:space="preserve"> Estimates of National Expenditure</w:t>
      </w:r>
      <w:r w:rsidR="003D4C0B" w:rsidRPr="00B217DC">
        <w:rPr>
          <w:rFonts w:cs="Arial"/>
          <w:bCs/>
          <w:color w:val="auto"/>
          <w:spacing w:val="0"/>
          <w:sz w:val="20"/>
          <w:szCs w:val="20"/>
          <w:lang w:eastAsia="en-US"/>
        </w:rPr>
        <w:t xml:space="preserve"> (ENE)</w:t>
      </w:r>
      <w:r w:rsidRPr="00B217DC">
        <w:rPr>
          <w:rFonts w:cs="Arial"/>
          <w:bCs/>
          <w:color w:val="auto"/>
          <w:spacing w:val="0"/>
          <w:sz w:val="20"/>
          <w:szCs w:val="20"/>
          <w:lang w:eastAsia="en-US"/>
        </w:rPr>
        <w:t>, the Department intend</w:t>
      </w:r>
      <w:r w:rsidR="0085276A" w:rsidRPr="00B217DC">
        <w:rPr>
          <w:rFonts w:cs="Arial"/>
          <w:bCs/>
          <w:color w:val="auto"/>
          <w:spacing w:val="0"/>
          <w:sz w:val="20"/>
          <w:szCs w:val="20"/>
          <w:lang w:eastAsia="en-US"/>
        </w:rPr>
        <w:t>ed</w:t>
      </w:r>
      <w:r w:rsidRPr="00B217DC">
        <w:rPr>
          <w:rFonts w:cs="Arial"/>
          <w:bCs/>
          <w:color w:val="auto"/>
          <w:spacing w:val="0"/>
          <w:sz w:val="20"/>
          <w:szCs w:val="20"/>
          <w:lang w:eastAsia="en-US"/>
        </w:rPr>
        <w:t xml:space="preserve"> focussing on the following over the medium term:</w:t>
      </w:r>
      <w:r w:rsidR="00566363" w:rsidRPr="00B217DC">
        <w:rPr>
          <w:rStyle w:val="FootnoteReference"/>
          <w:rFonts w:cs="Arial"/>
          <w:bCs/>
          <w:color w:val="auto"/>
          <w:spacing w:val="0"/>
          <w:sz w:val="20"/>
          <w:szCs w:val="20"/>
          <w:lang w:eastAsia="en-US"/>
        </w:rPr>
        <w:footnoteReference w:id="4"/>
      </w:r>
      <w:r w:rsidRPr="00B217DC">
        <w:rPr>
          <w:rFonts w:cs="Arial"/>
          <w:bCs/>
          <w:color w:val="auto"/>
          <w:spacing w:val="0"/>
          <w:sz w:val="20"/>
          <w:szCs w:val="20"/>
          <w:lang w:eastAsia="en-US"/>
        </w:rPr>
        <w:t xml:space="preserve"> </w:t>
      </w:r>
    </w:p>
    <w:p w:rsidR="0085276A" w:rsidRPr="00B217DC" w:rsidRDefault="0085276A" w:rsidP="00B217DC">
      <w:pPr>
        <w:tabs>
          <w:tab w:val="num" w:pos="720"/>
        </w:tabs>
        <w:autoSpaceDE w:val="0"/>
        <w:autoSpaceDN w:val="0"/>
        <w:adjustRightInd w:val="0"/>
        <w:rPr>
          <w:rFonts w:cs="Arial"/>
          <w:bCs/>
          <w:color w:val="auto"/>
          <w:spacing w:val="0"/>
          <w:sz w:val="20"/>
          <w:szCs w:val="20"/>
          <w:lang w:eastAsia="en-US"/>
        </w:rPr>
      </w:pPr>
    </w:p>
    <w:p w:rsidR="007F2CD6" w:rsidRPr="00B217DC" w:rsidRDefault="0085276A" w:rsidP="00B217DC">
      <w:pPr>
        <w:numPr>
          <w:ilvl w:val="0"/>
          <w:numId w:val="85"/>
        </w:numPr>
        <w:tabs>
          <w:tab w:val="num" w:pos="720"/>
        </w:tabs>
        <w:autoSpaceDE w:val="0"/>
        <w:autoSpaceDN w:val="0"/>
        <w:adjustRightInd w:val="0"/>
        <w:rPr>
          <w:rFonts w:cs="Arial"/>
          <w:bCs/>
          <w:color w:val="auto"/>
          <w:spacing w:val="0"/>
          <w:sz w:val="20"/>
          <w:szCs w:val="20"/>
          <w:lang w:val="en-US" w:eastAsia="en-US"/>
        </w:rPr>
      </w:pPr>
      <w:r w:rsidRPr="00B217DC">
        <w:rPr>
          <w:rFonts w:cs="Arial"/>
          <w:bCs/>
          <w:color w:val="auto"/>
          <w:spacing w:val="0"/>
          <w:sz w:val="20"/>
          <w:szCs w:val="20"/>
          <w:lang w:eastAsia="en-US"/>
        </w:rPr>
        <w:t>reducing the incidence of gender</w:t>
      </w:r>
      <w:r w:rsidRPr="00B217DC">
        <w:rPr>
          <w:rFonts w:ascii="Times New Roman" w:hAnsi="Times New Roman" w:cs="Arial"/>
          <w:bCs/>
          <w:color w:val="auto"/>
          <w:spacing w:val="0"/>
          <w:sz w:val="20"/>
          <w:szCs w:val="20"/>
          <w:lang w:eastAsia="en-US"/>
        </w:rPr>
        <w:t>‐</w:t>
      </w:r>
      <w:r w:rsidRPr="00B217DC">
        <w:rPr>
          <w:rFonts w:cs="Arial"/>
          <w:bCs/>
          <w:color w:val="auto"/>
          <w:spacing w:val="0"/>
          <w:sz w:val="20"/>
          <w:szCs w:val="20"/>
          <w:lang w:eastAsia="en-US"/>
        </w:rPr>
        <w:t>based violence and strengthening the national response to it; and</w:t>
      </w:r>
    </w:p>
    <w:p w:rsidR="0085276A" w:rsidRPr="00B217DC" w:rsidRDefault="0085276A" w:rsidP="00B217DC">
      <w:pPr>
        <w:pStyle w:val="ListParagraph"/>
        <w:numPr>
          <w:ilvl w:val="0"/>
          <w:numId w:val="85"/>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promoting the inclusion of women, youth and people with disabilities in the economy and society more broadly</w:t>
      </w:r>
      <w:r w:rsidR="003D4C0B" w:rsidRPr="00B217DC">
        <w:rPr>
          <w:rFonts w:cs="Arial"/>
          <w:bCs/>
          <w:color w:val="auto"/>
          <w:spacing w:val="0"/>
          <w:sz w:val="20"/>
          <w:szCs w:val="20"/>
          <w:lang w:eastAsia="en-US"/>
        </w:rPr>
        <w:t xml:space="preserve"> (This included p</w:t>
      </w:r>
      <w:r w:rsidR="003D4C0B" w:rsidRPr="00B217DC">
        <w:rPr>
          <w:rFonts w:cs="Arial"/>
          <w:bCs/>
          <w:iCs/>
          <w:color w:val="auto"/>
          <w:spacing w:val="0"/>
          <w:sz w:val="20"/>
          <w:szCs w:val="20"/>
          <w:lang w:eastAsia="en-US"/>
        </w:rPr>
        <w:t>romoting gender</w:t>
      </w:r>
      <w:r w:rsidR="003D4C0B" w:rsidRPr="00B217DC">
        <w:rPr>
          <w:rFonts w:ascii="Times New Roman" w:hAnsi="Times New Roman" w:cs="Arial"/>
          <w:bCs/>
          <w:iCs/>
          <w:color w:val="auto"/>
          <w:spacing w:val="0"/>
          <w:sz w:val="20"/>
          <w:szCs w:val="20"/>
          <w:lang w:eastAsia="en-US"/>
        </w:rPr>
        <w:t>‐</w:t>
      </w:r>
      <w:r w:rsidR="003D4C0B" w:rsidRPr="00B217DC">
        <w:rPr>
          <w:rFonts w:cs="Arial"/>
          <w:bCs/>
          <w:iCs/>
          <w:color w:val="auto"/>
          <w:spacing w:val="0"/>
          <w:sz w:val="20"/>
          <w:szCs w:val="20"/>
          <w:lang w:eastAsia="en-US"/>
        </w:rPr>
        <w:t>responsive planning, budgeting, and monitoring and evaluation across government</w:t>
      </w:r>
      <w:r w:rsidR="003D4C0B" w:rsidRPr="00B217DC">
        <w:rPr>
          <w:rFonts w:cs="Arial"/>
          <w:bCs/>
          <w:color w:val="auto"/>
          <w:spacing w:val="0"/>
          <w:sz w:val="20"/>
          <w:szCs w:val="20"/>
          <w:lang w:eastAsia="en-US"/>
        </w:rPr>
        <w:t xml:space="preserve">; </w:t>
      </w:r>
      <w:r w:rsidR="003D4C0B" w:rsidRPr="00B217DC">
        <w:rPr>
          <w:rFonts w:cs="Arial"/>
          <w:bCs/>
          <w:iCs/>
          <w:color w:val="auto"/>
          <w:spacing w:val="0"/>
          <w:sz w:val="20"/>
          <w:szCs w:val="20"/>
          <w:lang w:eastAsia="en-US"/>
        </w:rPr>
        <w:t xml:space="preserve">promoting the rights of people with disabilities and </w:t>
      </w:r>
      <w:r w:rsidR="003F4B9A" w:rsidRPr="00B217DC">
        <w:rPr>
          <w:rFonts w:cs="Arial"/>
          <w:bCs/>
          <w:iCs/>
          <w:color w:val="auto"/>
          <w:spacing w:val="0"/>
          <w:sz w:val="20"/>
          <w:szCs w:val="20"/>
          <w:lang w:eastAsia="en-US"/>
        </w:rPr>
        <w:t>supporting the empowerment of young people).</w:t>
      </w:r>
    </w:p>
    <w:p w:rsidR="007F2CD6" w:rsidRPr="00B217DC" w:rsidRDefault="007F2CD6" w:rsidP="00B217DC">
      <w:pPr>
        <w:tabs>
          <w:tab w:val="num" w:pos="720"/>
        </w:tabs>
        <w:autoSpaceDE w:val="0"/>
        <w:autoSpaceDN w:val="0"/>
        <w:adjustRightInd w:val="0"/>
        <w:rPr>
          <w:rFonts w:cs="Arial"/>
          <w:b/>
          <w:bCs/>
          <w:color w:val="auto"/>
          <w:spacing w:val="0"/>
          <w:sz w:val="20"/>
          <w:szCs w:val="20"/>
          <w:lang w:val="en-US" w:eastAsia="en-US"/>
        </w:rPr>
      </w:pPr>
    </w:p>
    <w:p w:rsidR="00005B7E" w:rsidRPr="00B217DC" w:rsidRDefault="00005B7E" w:rsidP="00B217DC">
      <w:p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In addition, other policy instruments and legislation that the Department aims to develop and implement across the next five years includes the following:</w:t>
      </w:r>
    </w:p>
    <w:p w:rsidR="00005B7E" w:rsidRPr="00B217DC" w:rsidRDefault="00005B7E" w:rsidP="00B217DC">
      <w:pPr>
        <w:tabs>
          <w:tab w:val="num" w:pos="720"/>
        </w:tabs>
        <w:autoSpaceDE w:val="0"/>
        <w:autoSpaceDN w:val="0"/>
        <w:adjustRightInd w:val="0"/>
        <w:rPr>
          <w:rFonts w:cs="Arial"/>
          <w:bCs/>
          <w:color w:val="auto"/>
          <w:spacing w:val="0"/>
          <w:sz w:val="20"/>
          <w:szCs w:val="20"/>
          <w:lang w:eastAsia="en-US"/>
        </w:rPr>
      </w:pP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Socio economic empowerment index policy</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WYPD Responsive planning, budgeting, monitoring and evaluation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National gender policy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WYPD mainstreaming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Reasonable accommodation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Universal design and access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lastRenderedPageBreak/>
        <w:t>Self-representation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Disability Rights Awareness Campaign framework</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Women empowerment and gender equality (WEGE) Bill</w:t>
      </w:r>
    </w:p>
    <w:p w:rsidR="00644201" w:rsidRPr="00B217DC" w:rsidRDefault="00644201" w:rsidP="00B217DC">
      <w:pPr>
        <w:numPr>
          <w:ilvl w:val="0"/>
          <w:numId w:val="100"/>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National Council on Gender Based Violence Bill</w:t>
      </w:r>
    </w:p>
    <w:p w:rsidR="00644201" w:rsidRPr="00B217DC" w:rsidRDefault="00644201" w:rsidP="00B217DC">
      <w:pPr>
        <w:numPr>
          <w:ilvl w:val="0"/>
          <w:numId w:val="101"/>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Disability rights Bill</w:t>
      </w:r>
    </w:p>
    <w:p w:rsidR="00005B7E" w:rsidRPr="00B217DC" w:rsidRDefault="00644201" w:rsidP="00B217DC">
      <w:pPr>
        <w:numPr>
          <w:ilvl w:val="0"/>
          <w:numId w:val="101"/>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NYDA Amendment Bill</w:t>
      </w:r>
    </w:p>
    <w:p w:rsidR="00644201" w:rsidRPr="00B217DC" w:rsidRDefault="00644201" w:rsidP="00B217DC">
      <w:pPr>
        <w:numPr>
          <w:ilvl w:val="0"/>
          <w:numId w:val="101"/>
        </w:numPr>
        <w:tabs>
          <w:tab w:val="num" w:pos="720"/>
        </w:tabs>
        <w:autoSpaceDE w:val="0"/>
        <w:autoSpaceDN w:val="0"/>
        <w:adjustRightInd w:val="0"/>
        <w:rPr>
          <w:rFonts w:cs="Arial"/>
          <w:bCs/>
          <w:color w:val="auto"/>
          <w:spacing w:val="0"/>
          <w:sz w:val="20"/>
          <w:szCs w:val="20"/>
          <w:lang w:eastAsia="en-US"/>
        </w:rPr>
      </w:pPr>
      <w:r w:rsidRPr="00B217DC">
        <w:rPr>
          <w:rFonts w:cs="Arial"/>
          <w:bCs/>
          <w:color w:val="auto"/>
          <w:spacing w:val="0"/>
          <w:sz w:val="20"/>
          <w:szCs w:val="20"/>
          <w:lang w:eastAsia="en-US"/>
        </w:rPr>
        <w:t>South African Youth Empowerment Act</w:t>
      </w:r>
    </w:p>
    <w:p w:rsidR="00005B7E" w:rsidRPr="00B217DC" w:rsidRDefault="00005B7E" w:rsidP="00B217DC">
      <w:pPr>
        <w:tabs>
          <w:tab w:val="num" w:pos="720"/>
        </w:tabs>
        <w:autoSpaceDE w:val="0"/>
        <w:autoSpaceDN w:val="0"/>
        <w:adjustRightInd w:val="0"/>
        <w:rPr>
          <w:rFonts w:cs="Arial"/>
          <w:b/>
          <w:bCs/>
          <w:color w:val="auto"/>
          <w:spacing w:val="0"/>
          <w:sz w:val="20"/>
          <w:szCs w:val="20"/>
          <w:lang w:val="en-US" w:eastAsia="en-US"/>
        </w:rPr>
      </w:pPr>
    </w:p>
    <w:p w:rsidR="00BB6731" w:rsidRPr="00B217DC" w:rsidRDefault="00BB6731" w:rsidP="00B217DC">
      <w:pPr>
        <w:autoSpaceDE w:val="0"/>
        <w:autoSpaceDN w:val="0"/>
        <w:adjustRightInd w:val="0"/>
        <w:rPr>
          <w:rFonts w:cs="Arial"/>
          <w:color w:val="auto"/>
          <w:spacing w:val="0"/>
          <w:sz w:val="20"/>
          <w:szCs w:val="20"/>
          <w:lang w:val="en-GB"/>
        </w:rPr>
      </w:pPr>
      <w:r w:rsidRPr="00B217DC">
        <w:rPr>
          <w:rFonts w:cs="Arial"/>
          <w:color w:val="auto"/>
          <w:spacing w:val="0"/>
          <w:sz w:val="20"/>
          <w:szCs w:val="20"/>
          <w:lang w:val="en-GB"/>
        </w:rPr>
        <w:t xml:space="preserve">With regards to the CGE, </w:t>
      </w:r>
      <w:r w:rsidR="007F2CD6" w:rsidRPr="00B217DC">
        <w:rPr>
          <w:rFonts w:cs="Arial"/>
          <w:color w:val="auto"/>
          <w:spacing w:val="0"/>
          <w:sz w:val="20"/>
          <w:szCs w:val="20"/>
          <w:lang w:val="en-GB"/>
        </w:rPr>
        <w:t>“</w:t>
      </w:r>
      <w:r w:rsidR="007F2CD6" w:rsidRPr="00B217DC">
        <w:rPr>
          <w:rFonts w:cs="Arial"/>
          <w:color w:val="auto"/>
          <w:spacing w:val="0"/>
          <w:sz w:val="20"/>
          <w:szCs w:val="20"/>
        </w:rPr>
        <w:t xml:space="preserve">Over the medium term, </w:t>
      </w:r>
      <w:r w:rsidR="004622F7" w:rsidRPr="00B217DC">
        <w:rPr>
          <w:rFonts w:cs="Arial"/>
          <w:color w:val="auto"/>
          <w:spacing w:val="0"/>
          <w:sz w:val="20"/>
          <w:szCs w:val="20"/>
        </w:rPr>
        <w:t>the commission will continue to advance legislation, policies and advocacy initiatives that contribute to the eradication of gender inequality. This is expected to be achieved by influencing laws and government policies through written submissions to Parliament; and monitoring the country’s response to addressing and combating gender</w:t>
      </w:r>
      <w:r w:rsidR="004622F7" w:rsidRPr="00B217DC">
        <w:rPr>
          <w:rFonts w:ascii="Times New Roman" w:hAnsi="Times New Roman" w:cs="Arial"/>
          <w:color w:val="auto"/>
          <w:spacing w:val="0"/>
          <w:sz w:val="20"/>
          <w:szCs w:val="20"/>
        </w:rPr>
        <w:t>‐</w:t>
      </w:r>
      <w:r w:rsidR="004622F7" w:rsidRPr="00B217DC">
        <w:rPr>
          <w:rFonts w:cs="Arial"/>
          <w:color w:val="auto"/>
          <w:spacing w:val="0"/>
          <w:sz w:val="20"/>
          <w:szCs w:val="20"/>
        </w:rPr>
        <w:t>based violence and inequality. The commission will also seek to conduct outreach and advocacy interventions to increase education and awareness, and provide legal clinics to resolve disputes in cases of gender</w:t>
      </w:r>
      <w:r w:rsidR="004622F7" w:rsidRPr="00B217DC">
        <w:rPr>
          <w:rFonts w:ascii="Times New Roman" w:hAnsi="Times New Roman" w:cs="Arial"/>
          <w:color w:val="auto"/>
          <w:spacing w:val="0"/>
          <w:sz w:val="20"/>
          <w:szCs w:val="20"/>
        </w:rPr>
        <w:t>‐</w:t>
      </w:r>
      <w:r w:rsidR="004622F7" w:rsidRPr="00B217DC">
        <w:rPr>
          <w:rFonts w:cs="Arial"/>
          <w:color w:val="auto"/>
          <w:spacing w:val="0"/>
          <w:sz w:val="20"/>
          <w:szCs w:val="20"/>
        </w:rPr>
        <w:t>related complaints.”</w:t>
      </w:r>
      <w:r w:rsidR="00566363" w:rsidRPr="00B217DC">
        <w:rPr>
          <w:rStyle w:val="FootnoteReference"/>
          <w:rFonts w:cs="Arial"/>
          <w:color w:val="auto"/>
          <w:spacing w:val="0"/>
          <w:sz w:val="20"/>
          <w:szCs w:val="20"/>
        </w:rPr>
        <w:footnoteReference w:id="5"/>
      </w:r>
    </w:p>
    <w:p w:rsidR="00BB6731" w:rsidRPr="00B217DC" w:rsidRDefault="00BB6731" w:rsidP="00B217DC">
      <w:pPr>
        <w:autoSpaceDE w:val="0"/>
        <w:autoSpaceDN w:val="0"/>
        <w:adjustRightInd w:val="0"/>
        <w:rPr>
          <w:rFonts w:cs="Arial"/>
          <w:color w:val="auto"/>
          <w:spacing w:val="0"/>
          <w:sz w:val="20"/>
          <w:szCs w:val="20"/>
        </w:rPr>
      </w:pPr>
    </w:p>
    <w:p w:rsidR="00BB6731" w:rsidRPr="00B217DC" w:rsidRDefault="007F2CD6" w:rsidP="00B217DC">
      <w:pPr>
        <w:autoSpaceDE w:val="0"/>
        <w:autoSpaceDN w:val="0"/>
        <w:adjustRightInd w:val="0"/>
        <w:rPr>
          <w:rFonts w:cs="Arial"/>
          <w:color w:val="auto"/>
          <w:spacing w:val="0"/>
          <w:sz w:val="20"/>
          <w:szCs w:val="20"/>
        </w:rPr>
      </w:pPr>
      <w:r w:rsidRPr="00B217DC">
        <w:rPr>
          <w:rFonts w:cs="Arial"/>
          <w:color w:val="auto"/>
          <w:spacing w:val="0"/>
          <w:sz w:val="20"/>
          <w:szCs w:val="20"/>
        </w:rPr>
        <w:t xml:space="preserve">With regards to the NYDA, “Over the medium term, the </w:t>
      </w:r>
      <w:r w:rsidR="00553731" w:rsidRPr="00B217DC">
        <w:rPr>
          <w:rFonts w:cs="Arial"/>
          <w:color w:val="auto"/>
          <w:spacing w:val="0"/>
          <w:sz w:val="20"/>
          <w:szCs w:val="20"/>
        </w:rPr>
        <w:t>A</w:t>
      </w:r>
      <w:r w:rsidRPr="00B217DC">
        <w:rPr>
          <w:rFonts w:cs="Arial"/>
          <w:color w:val="auto"/>
          <w:spacing w:val="0"/>
          <w:sz w:val="20"/>
          <w:szCs w:val="20"/>
        </w:rPr>
        <w:t xml:space="preserve">gency </w:t>
      </w:r>
      <w:r w:rsidR="004622F7" w:rsidRPr="00B217DC">
        <w:rPr>
          <w:rFonts w:cs="Arial"/>
          <w:color w:val="auto"/>
          <w:spacing w:val="0"/>
          <w:sz w:val="20"/>
          <w:szCs w:val="20"/>
        </w:rPr>
        <w:t>will focus on providing comprehensive interventions to support decent employment, skills development and entrepreneurship for young people. This will include partnering with different sectors to provide training in technical and vocational skills through sector education and training authorities, providing grants to young people for enterprise development, and coordinating the national youth service programmes.”</w:t>
      </w:r>
      <w:r w:rsidR="004622F7" w:rsidRPr="00B217DC">
        <w:rPr>
          <w:rStyle w:val="FootnoteReference"/>
          <w:rFonts w:cs="Arial"/>
          <w:color w:val="auto"/>
          <w:spacing w:val="0"/>
          <w:sz w:val="20"/>
          <w:szCs w:val="20"/>
        </w:rPr>
        <w:footnoteReference w:id="6"/>
      </w:r>
    </w:p>
    <w:p w:rsidR="00170BD2" w:rsidRPr="00B217DC" w:rsidRDefault="00170BD2" w:rsidP="00B217DC">
      <w:pPr>
        <w:ind w:left="720"/>
        <w:contextualSpacing/>
        <w:rPr>
          <w:rFonts w:cs="Arial"/>
          <w:bCs/>
          <w:color w:val="auto"/>
          <w:spacing w:val="0"/>
          <w:kern w:val="28"/>
          <w:sz w:val="20"/>
          <w:szCs w:val="20"/>
        </w:rPr>
      </w:pPr>
    </w:p>
    <w:p w:rsidR="00170BD2" w:rsidRPr="00B217DC" w:rsidRDefault="00170BD2" w:rsidP="00B217DC">
      <w:pPr>
        <w:keepNext/>
        <w:keepLines/>
        <w:outlineLvl w:val="0"/>
        <w:rPr>
          <w:rFonts w:cs="Arial"/>
          <w:b/>
          <w:bCs/>
          <w:color w:val="auto"/>
          <w:kern w:val="32"/>
          <w:sz w:val="20"/>
          <w:szCs w:val="20"/>
          <w:lang w:val="en-GB"/>
        </w:rPr>
      </w:pPr>
      <w:bookmarkStart w:id="1" w:name="_Toc447886970"/>
      <w:r w:rsidRPr="00B217DC">
        <w:rPr>
          <w:rFonts w:cs="Arial"/>
          <w:b/>
          <w:bCs/>
          <w:color w:val="auto"/>
          <w:kern w:val="32"/>
          <w:sz w:val="20"/>
          <w:szCs w:val="20"/>
          <w:lang w:val="en-GB"/>
        </w:rPr>
        <w:t>8. Policy Priorities for 20</w:t>
      </w:r>
      <w:bookmarkEnd w:id="1"/>
      <w:r w:rsidR="00A57DBC" w:rsidRPr="00B217DC">
        <w:rPr>
          <w:rFonts w:cs="Arial"/>
          <w:b/>
          <w:bCs/>
          <w:color w:val="auto"/>
          <w:kern w:val="32"/>
          <w:sz w:val="20"/>
          <w:szCs w:val="20"/>
          <w:lang w:val="en-GB"/>
        </w:rPr>
        <w:t>2</w:t>
      </w:r>
      <w:r w:rsidR="00B40FDD" w:rsidRPr="00B217DC">
        <w:rPr>
          <w:rFonts w:cs="Arial"/>
          <w:b/>
          <w:bCs/>
          <w:color w:val="auto"/>
          <w:kern w:val="32"/>
          <w:sz w:val="20"/>
          <w:szCs w:val="20"/>
          <w:lang w:val="en-GB"/>
        </w:rPr>
        <w:t>1/22</w:t>
      </w:r>
    </w:p>
    <w:p w:rsidR="00170BD2" w:rsidRPr="00B217DC" w:rsidRDefault="00170BD2" w:rsidP="00B217DC">
      <w:pPr>
        <w:rPr>
          <w:rFonts w:cs="Arial"/>
          <w:b/>
          <w:bCs/>
          <w:color w:val="auto"/>
          <w:sz w:val="20"/>
          <w:szCs w:val="20"/>
          <w:lang w:val="en-GB"/>
        </w:rPr>
      </w:pPr>
    </w:p>
    <w:p w:rsidR="00644201" w:rsidRPr="00B217DC" w:rsidRDefault="00644201" w:rsidP="00B217DC">
      <w:pPr>
        <w:rPr>
          <w:rFonts w:cs="Arial"/>
          <w:bCs/>
          <w:color w:val="auto"/>
          <w:sz w:val="20"/>
          <w:szCs w:val="20"/>
        </w:rPr>
      </w:pPr>
      <w:r w:rsidRPr="00B217DC">
        <w:rPr>
          <w:rFonts w:cs="Arial"/>
          <w:bCs/>
          <w:color w:val="auto"/>
          <w:sz w:val="20"/>
          <w:szCs w:val="20"/>
        </w:rPr>
        <w:t>Overall, the Department notes that it is at the centre of Government and has a mandate to co-ordinate and regulate accelerated delivery of a quality, cohesive and integrated national gender, youth and persons with disabilities (GEYODI) programmes.</w:t>
      </w:r>
      <w:r w:rsidR="00005B7E" w:rsidRPr="00B217DC">
        <w:rPr>
          <w:rFonts w:cs="Arial"/>
          <w:bCs/>
          <w:color w:val="auto"/>
          <w:sz w:val="20"/>
          <w:szCs w:val="20"/>
        </w:rPr>
        <w:t xml:space="preserve"> As per the 2021 Estimates of National Expenditure, the k</w:t>
      </w:r>
      <w:r w:rsidRPr="00B217DC">
        <w:rPr>
          <w:rFonts w:cs="Arial"/>
          <w:bCs/>
          <w:color w:val="auto"/>
          <w:sz w:val="20"/>
          <w:szCs w:val="20"/>
        </w:rPr>
        <w:t xml:space="preserve">ey priorities that the Department </w:t>
      </w:r>
      <w:r w:rsidR="00005B7E" w:rsidRPr="00B217DC">
        <w:rPr>
          <w:rFonts w:cs="Arial"/>
          <w:bCs/>
          <w:color w:val="auto"/>
          <w:sz w:val="20"/>
          <w:szCs w:val="20"/>
        </w:rPr>
        <w:t xml:space="preserve">intended </w:t>
      </w:r>
      <w:r w:rsidRPr="00B217DC">
        <w:rPr>
          <w:rFonts w:cs="Arial"/>
          <w:bCs/>
          <w:color w:val="auto"/>
          <w:sz w:val="20"/>
          <w:szCs w:val="20"/>
        </w:rPr>
        <w:t>spending its budget include</w:t>
      </w:r>
      <w:r w:rsidR="00005B7E" w:rsidRPr="00B217DC">
        <w:rPr>
          <w:rFonts w:cs="Arial"/>
          <w:bCs/>
          <w:color w:val="auto"/>
          <w:sz w:val="20"/>
          <w:szCs w:val="20"/>
        </w:rPr>
        <w:t>d</w:t>
      </w:r>
      <w:r w:rsidRPr="00B217DC">
        <w:rPr>
          <w:rFonts w:cs="Arial"/>
          <w:bCs/>
          <w:color w:val="auto"/>
          <w:sz w:val="20"/>
          <w:szCs w:val="20"/>
        </w:rPr>
        <w:t xml:space="preserve"> addressing gender-based violence and supporting empowerment, promoting gender-responsive planning, budgeting and monitoring and evaluation across Government, promoting the rights of persons with disabilities and supporting the empowerment of young people.</w:t>
      </w:r>
      <w:r w:rsidR="00005B7E" w:rsidRPr="00B217DC">
        <w:rPr>
          <w:rFonts w:cs="Arial"/>
          <w:bCs/>
          <w:color w:val="auto"/>
          <w:sz w:val="20"/>
          <w:szCs w:val="20"/>
        </w:rPr>
        <w:t xml:space="preserve"> Furthermore, in</w:t>
      </w:r>
      <w:r w:rsidRPr="00B217DC">
        <w:rPr>
          <w:rFonts w:cs="Arial"/>
          <w:bCs/>
          <w:color w:val="auto"/>
          <w:sz w:val="20"/>
          <w:szCs w:val="20"/>
        </w:rPr>
        <w:t xml:space="preserve"> the 2021/22 financial year 2021/22, the Department </w:t>
      </w:r>
      <w:r w:rsidR="00005B7E" w:rsidRPr="00B217DC">
        <w:rPr>
          <w:rFonts w:cs="Arial"/>
          <w:bCs/>
          <w:color w:val="auto"/>
          <w:sz w:val="20"/>
          <w:szCs w:val="20"/>
        </w:rPr>
        <w:t xml:space="preserve">also planned to </w:t>
      </w:r>
      <w:r w:rsidRPr="00B217DC">
        <w:rPr>
          <w:rFonts w:cs="Arial"/>
          <w:bCs/>
          <w:color w:val="auto"/>
          <w:sz w:val="20"/>
          <w:szCs w:val="20"/>
        </w:rPr>
        <w:t>focus on development of the Gender, Youth and Persons with Disabilities (GEYODI) Coordination Framework. The purpose of the GEYO</w:t>
      </w:r>
      <w:r w:rsidR="00005B7E" w:rsidRPr="00B217DC">
        <w:rPr>
          <w:rFonts w:cs="Arial"/>
          <w:bCs/>
          <w:color w:val="auto"/>
          <w:sz w:val="20"/>
          <w:szCs w:val="20"/>
        </w:rPr>
        <w:t>DI Coordination Framework is to s</w:t>
      </w:r>
      <w:r w:rsidRPr="00B217DC">
        <w:rPr>
          <w:rFonts w:cs="Arial"/>
          <w:bCs/>
          <w:color w:val="auto"/>
          <w:sz w:val="20"/>
          <w:szCs w:val="20"/>
        </w:rPr>
        <w:t>erve as the Government’s nerve centre for effective coordination and accountability of the National GEYODI Programme; and</w:t>
      </w:r>
      <w:r w:rsidR="00005B7E" w:rsidRPr="00B217DC">
        <w:rPr>
          <w:rFonts w:cs="Arial"/>
          <w:bCs/>
          <w:color w:val="auto"/>
          <w:sz w:val="20"/>
          <w:szCs w:val="20"/>
        </w:rPr>
        <w:t xml:space="preserve"> </w:t>
      </w:r>
      <w:r w:rsidRPr="00B217DC">
        <w:rPr>
          <w:rFonts w:cs="Arial"/>
          <w:bCs/>
          <w:color w:val="auto"/>
          <w:sz w:val="20"/>
          <w:szCs w:val="20"/>
        </w:rPr>
        <w:t>broaden sectoral participation in the National GEYODI Programme by engaging on an equal footing all stakeholders and structures of the machineries.</w:t>
      </w:r>
    </w:p>
    <w:p w:rsidR="00170BD2" w:rsidRPr="00B217DC" w:rsidRDefault="00C85A02" w:rsidP="00B217DC">
      <w:pPr>
        <w:numPr>
          <w:ilvl w:val="0"/>
          <w:numId w:val="10"/>
        </w:numPr>
        <w:ind w:left="426"/>
        <w:contextualSpacing/>
        <w:rPr>
          <w:rFonts w:cs="Arial"/>
          <w:b/>
          <w:color w:val="auto"/>
          <w:spacing w:val="0"/>
          <w:kern w:val="28"/>
          <w:sz w:val="20"/>
          <w:szCs w:val="20"/>
        </w:rPr>
      </w:pPr>
      <w:r w:rsidRPr="00B217DC">
        <w:rPr>
          <w:rFonts w:cs="Arial"/>
          <w:b/>
          <w:color w:val="auto"/>
          <w:spacing w:val="0"/>
          <w:kern w:val="28"/>
          <w:sz w:val="20"/>
          <w:szCs w:val="20"/>
        </w:rPr>
        <w:t xml:space="preserve">General </w:t>
      </w:r>
      <w:r w:rsidR="00170BD2" w:rsidRPr="00B217DC">
        <w:rPr>
          <w:rFonts w:cs="Arial"/>
          <w:b/>
          <w:color w:val="auto"/>
          <w:spacing w:val="0"/>
          <w:kern w:val="28"/>
          <w:sz w:val="20"/>
          <w:szCs w:val="20"/>
        </w:rPr>
        <w:t xml:space="preserve">Overview and Assessment of Financial Performance </w:t>
      </w:r>
      <w:r w:rsidRPr="00B217DC">
        <w:rPr>
          <w:rFonts w:cs="Arial"/>
          <w:b/>
          <w:color w:val="auto"/>
          <w:spacing w:val="0"/>
          <w:kern w:val="28"/>
          <w:sz w:val="20"/>
          <w:szCs w:val="20"/>
        </w:rPr>
        <w:t>for Department</w:t>
      </w:r>
    </w:p>
    <w:p w:rsidR="00170BD2" w:rsidRPr="00B217DC" w:rsidRDefault="00170BD2" w:rsidP="00B217DC">
      <w:pPr>
        <w:ind w:firstLine="720"/>
        <w:rPr>
          <w:rFonts w:cs="Arial"/>
          <w:color w:val="auto"/>
          <w:sz w:val="20"/>
          <w:szCs w:val="20"/>
          <w:lang w:val="en-GB"/>
        </w:rPr>
      </w:pPr>
    </w:p>
    <w:p w:rsidR="00825ECF" w:rsidRPr="00B217DC" w:rsidRDefault="006B3AB9" w:rsidP="00B217DC">
      <w:pPr>
        <w:rPr>
          <w:rFonts w:cs="Arial"/>
          <w:color w:val="auto"/>
          <w:sz w:val="20"/>
          <w:szCs w:val="20"/>
          <w:lang w:val="en-GB"/>
        </w:rPr>
      </w:pPr>
      <w:r w:rsidRPr="00B217DC">
        <w:rPr>
          <w:rFonts w:cs="Arial"/>
          <w:color w:val="auto"/>
          <w:sz w:val="20"/>
          <w:szCs w:val="20"/>
          <w:lang w:val="en-GB"/>
        </w:rPr>
        <w:t>According to the Estimates of National Expenditure 202</w:t>
      </w:r>
      <w:r w:rsidR="00DC4638" w:rsidRPr="00B217DC">
        <w:rPr>
          <w:rFonts w:cs="Arial"/>
          <w:color w:val="auto"/>
          <w:sz w:val="20"/>
          <w:szCs w:val="20"/>
          <w:lang w:val="en-GB"/>
        </w:rPr>
        <w:t>1</w:t>
      </w:r>
      <w:r w:rsidRPr="00B217DC">
        <w:rPr>
          <w:rFonts w:cs="Arial"/>
          <w:color w:val="auto"/>
          <w:sz w:val="20"/>
          <w:szCs w:val="20"/>
          <w:lang w:val="en-GB"/>
        </w:rPr>
        <w:t xml:space="preserve">, </w:t>
      </w:r>
      <w:r w:rsidR="00DC4638" w:rsidRPr="00B217DC">
        <w:rPr>
          <w:rFonts w:cs="Arial"/>
          <w:color w:val="auto"/>
          <w:sz w:val="20"/>
          <w:szCs w:val="20"/>
          <w:lang w:val="en-GB"/>
        </w:rPr>
        <w:t xml:space="preserve">R763,5 million </w:t>
      </w:r>
      <w:r w:rsidRPr="00B217DC">
        <w:rPr>
          <w:rFonts w:cs="Arial"/>
          <w:color w:val="auto"/>
          <w:sz w:val="20"/>
          <w:szCs w:val="20"/>
          <w:lang w:val="en-GB"/>
        </w:rPr>
        <w:t>was allocated for</w:t>
      </w:r>
      <w:r w:rsidR="00DC4638" w:rsidRPr="00B217DC">
        <w:rPr>
          <w:rFonts w:cs="Arial"/>
          <w:color w:val="auto"/>
          <w:sz w:val="20"/>
          <w:szCs w:val="20"/>
          <w:lang w:val="en-GB"/>
        </w:rPr>
        <w:t xml:space="preserve"> </w:t>
      </w:r>
      <w:r w:rsidRPr="00B217DC">
        <w:rPr>
          <w:rFonts w:cs="Arial"/>
          <w:color w:val="auto"/>
          <w:sz w:val="20"/>
          <w:szCs w:val="20"/>
          <w:lang w:val="en-GB"/>
        </w:rPr>
        <w:t xml:space="preserve">Vote 20 for the Department of Women, Youth and Persons with Disabilities. Bearing in mind that </w:t>
      </w:r>
      <w:r w:rsidR="00D4209D" w:rsidRPr="00B217DC">
        <w:rPr>
          <w:rFonts w:cs="Arial"/>
          <w:color w:val="auto"/>
          <w:sz w:val="20"/>
          <w:szCs w:val="20"/>
          <w:lang w:val="en-GB"/>
        </w:rPr>
        <w:t>R</w:t>
      </w:r>
      <w:r w:rsidR="004279DA" w:rsidRPr="00B217DC">
        <w:rPr>
          <w:rFonts w:cs="Arial"/>
          <w:color w:val="auto"/>
          <w:spacing w:val="0"/>
          <w:sz w:val="20"/>
          <w:szCs w:val="20"/>
          <w:lang w:eastAsia="en-ZA"/>
        </w:rPr>
        <w:t xml:space="preserve"> </w:t>
      </w:r>
      <w:r w:rsidR="004279DA" w:rsidRPr="00B217DC">
        <w:rPr>
          <w:rFonts w:cs="Arial"/>
          <w:color w:val="auto"/>
          <w:sz w:val="20"/>
          <w:szCs w:val="20"/>
        </w:rPr>
        <w:t>91</w:t>
      </w:r>
      <w:r w:rsidR="00DC4638" w:rsidRPr="00B217DC">
        <w:rPr>
          <w:rFonts w:cs="Arial"/>
          <w:color w:val="auto"/>
          <w:sz w:val="20"/>
          <w:szCs w:val="20"/>
        </w:rPr>
        <w:t>,</w:t>
      </w:r>
      <w:r w:rsidR="004279DA" w:rsidRPr="00B217DC">
        <w:rPr>
          <w:rFonts w:cs="Arial"/>
          <w:color w:val="auto"/>
          <w:sz w:val="20"/>
          <w:szCs w:val="20"/>
        </w:rPr>
        <w:t>376</w:t>
      </w:r>
      <w:r w:rsidR="00170BD2" w:rsidRPr="00B217DC">
        <w:rPr>
          <w:rFonts w:cs="Arial"/>
          <w:color w:val="auto"/>
          <w:sz w:val="20"/>
          <w:szCs w:val="20"/>
          <w:lang w:val="en-GB"/>
        </w:rPr>
        <w:t xml:space="preserve"> constitute</w:t>
      </w:r>
      <w:r w:rsidRPr="00B217DC">
        <w:rPr>
          <w:rFonts w:cs="Arial"/>
          <w:color w:val="auto"/>
          <w:sz w:val="20"/>
          <w:szCs w:val="20"/>
          <w:lang w:val="en-GB"/>
        </w:rPr>
        <w:t>d</w:t>
      </w:r>
      <w:r w:rsidR="00170BD2" w:rsidRPr="00B217DC">
        <w:rPr>
          <w:rFonts w:cs="Arial"/>
          <w:color w:val="auto"/>
          <w:sz w:val="20"/>
          <w:szCs w:val="20"/>
          <w:lang w:val="en-GB"/>
        </w:rPr>
        <w:t xml:space="preserve"> the transfer payment to the C</w:t>
      </w:r>
      <w:r w:rsidR="0013239E" w:rsidRPr="00B217DC">
        <w:rPr>
          <w:rFonts w:cs="Arial"/>
          <w:color w:val="auto"/>
          <w:sz w:val="20"/>
          <w:szCs w:val="20"/>
          <w:lang w:val="en-GB"/>
        </w:rPr>
        <w:t>GE</w:t>
      </w:r>
      <w:r w:rsidR="000052F3" w:rsidRPr="00B217DC">
        <w:rPr>
          <w:rFonts w:cs="Arial"/>
          <w:color w:val="auto"/>
          <w:sz w:val="20"/>
          <w:szCs w:val="20"/>
          <w:lang w:val="en-GB"/>
        </w:rPr>
        <w:t xml:space="preserve"> and </w:t>
      </w:r>
      <w:r w:rsidR="00823AD7" w:rsidRPr="00B217DC">
        <w:rPr>
          <w:rFonts w:cs="Arial"/>
          <w:color w:val="auto"/>
          <w:sz w:val="20"/>
          <w:szCs w:val="20"/>
          <w:lang w:val="en-GB"/>
        </w:rPr>
        <w:t>R</w:t>
      </w:r>
      <w:r w:rsidR="00823AD7" w:rsidRPr="00B217DC">
        <w:rPr>
          <w:rFonts w:cs="Arial"/>
          <w:color w:val="auto"/>
          <w:sz w:val="20"/>
          <w:szCs w:val="20"/>
        </w:rPr>
        <w:t>470</w:t>
      </w:r>
      <w:r w:rsidR="00DC4638" w:rsidRPr="00B217DC">
        <w:rPr>
          <w:rFonts w:cs="Arial"/>
          <w:color w:val="auto"/>
          <w:sz w:val="20"/>
          <w:szCs w:val="20"/>
        </w:rPr>
        <w:t>,</w:t>
      </w:r>
      <w:r w:rsidR="00823AD7" w:rsidRPr="00B217DC">
        <w:rPr>
          <w:rFonts w:cs="Arial"/>
          <w:color w:val="auto"/>
          <w:sz w:val="20"/>
          <w:szCs w:val="20"/>
        </w:rPr>
        <w:t xml:space="preserve">962 million to the NYDA. </w:t>
      </w:r>
      <w:r w:rsidR="00DC4638" w:rsidRPr="00B217DC">
        <w:rPr>
          <w:rFonts w:cs="Arial"/>
          <w:color w:val="auto"/>
          <w:sz w:val="20"/>
          <w:szCs w:val="20"/>
        </w:rPr>
        <w:t xml:space="preserve">This amounted to R562,338 million. </w:t>
      </w:r>
      <w:r w:rsidR="004650D8" w:rsidRPr="00B217DC">
        <w:rPr>
          <w:rFonts w:cs="Arial"/>
          <w:color w:val="auto"/>
          <w:sz w:val="20"/>
          <w:szCs w:val="20"/>
          <w:lang w:val="en-GB"/>
        </w:rPr>
        <w:t xml:space="preserve">Hence the Department would have been left with an operating budget of </w:t>
      </w:r>
      <w:r w:rsidR="004279DA" w:rsidRPr="00B217DC">
        <w:rPr>
          <w:rFonts w:cs="Arial"/>
          <w:color w:val="auto"/>
          <w:sz w:val="20"/>
          <w:szCs w:val="20"/>
          <w:lang w:val="en-GB"/>
        </w:rPr>
        <w:t>R203</w:t>
      </w:r>
      <w:r w:rsidR="00347E53" w:rsidRPr="00B217DC">
        <w:rPr>
          <w:rFonts w:cs="Arial"/>
          <w:color w:val="auto"/>
          <w:sz w:val="20"/>
          <w:szCs w:val="20"/>
          <w:lang w:val="en-GB"/>
        </w:rPr>
        <w:t>.</w:t>
      </w:r>
      <w:r w:rsidR="004279DA" w:rsidRPr="00B217DC">
        <w:rPr>
          <w:rFonts w:cs="Arial"/>
          <w:color w:val="auto"/>
          <w:sz w:val="20"/>
          <w:szCs w:val="20"/>
          <w:lang w:val="en-GB"/>
        </w:rPr>
        <w:t xml:space="preserve">170 </w:t>
      </w:r>
      <w:r w:rsidR="004650D8" w:rsidRPr="00B217DC">
        <w:rPr>
          <w:rFonts w:cs="Arial"/>
          <w:color w:val="auto"/>
          <w:sz w:val="20"/>
          <w:szCs w:val="20"/>
          <w:lang w:val="en-GB"/>
        </w:rPr>
        <w:t>million to undertake its programmes and meet its targets for 202</w:t>
      </w:r>
      <w:r w:rsidR="008B323A" w:rsidRPr="00B217DC">
        <w:rPr>
          <w:rFonts w:cs="Arial"/>
          <w:color w:val="auto"/>
          <w:sz w:val="20"/>
          <w:szCs w:val="20"/>
          <w:lang w:val="en-GB"/>
        </w:rPr>
        <w:t>1/22</w:t>
      </w:r>
      <w:r w:rsidR="004650D8" w:rsidRPr="00B217DC">
        <w:rPr>
          <w:rFonts w:cs="Arial"/>
          <w:color w:val="auto"/>
          <w:sz w:val="20"/>
          <w:szCs w:val="20"/>
          <w:lang w:val="en-GB"/>
        </w:rPr>
        <w:t>.</w:t>
      </w:r>
      <w:r w:rsidR="00005B7E" w:rsidRPr="00B217DC">
        <w:rPr>
          <w:rFonts w:cs="Arial"/>
          <w:color w:val="auto"/>
          <w:sz w:val="20"/>
          <w:szCs w:val="20"/>
          <w:lang w:val="en-GB"/>
        </w:rPr>
        <w:t xml:space="preserve"> </w:t>
      </w:r>
      <w:r w:rsidR="00823AD7" w:rsidRPr="00B217DC">
        <w:rPr>
          <w:rFonts w:cs="Arial"/>
          <w:color w:val="auto"/>
          <w:sz w:val="20"/>
          <w:szCs w:val="20"/>
          <w:lang w:val="en-GB"/>
        </w:rPr>
        <w:t>However, in October 2021 the NYDA received an additional cash injection from National Treasury of R430 million</w:t>
      </w:r>
      <w:r w:rsidR="00823AD7" w:rsidRPr="00B217DC">
        <w:rPr>
          <w:rStyle w:val="FootnoteReference"/>
          <w:rFonts w:cs="Arial"/>
          <w:color w:val="auto"/>
          <w:sz w:val="20"/>
          <w:szCs w:val="20"/>
          <w:lang w:val="en-GB"/>
        </w:rPr>
        <w:footnoteReference w:id="7"/>
      </w:r>
      <w:r w:rsidR="00823AD7" w:rsidRPr="00B217DC">
        <w:rPr>
          <w:rFonts w:cs="Arial"/>
          <w:color w:val="auto"/>
          <w:sz w:val="20"/>
          <w:szCs w:val="20"/>
          <w:lang w:val="en-GB"/>
        </w:rPr>
        <w:t xml:space="preserve"> taking its total in transfers via the Department to R</w:t>
      </w:r>
      <w:r w:rsidR="00823AD7" w:rsidRPr="00B217DC">
        <w:rPr>
          <w:rFonts w:cs="Arial"/>
          <w:color w:val="auto"/>
          <w:spacing w:val="0"/>
          <w:sz w:val="20"/>
          <w:szCs w:val="20"/>
          <w:lang w:eastAsia="en-ZA"/>
        </w:rPr>
        <w:t xml:space="preserve"> </w:t>
      </w:r>
      <w:r w:rsidR="00823AD7" w:rsidRPr="00B217DC">
        <w:rPr>
          <w:rFonts w:cs="Arial"/>
          <w:color w:val="auto"/>
          <w:sz w:val="20"/>
          <w:szCs w:val="20"/>
        </w:rPr>
        <w:t>900.962</w:t>
      </w:r>
      <w:r w:rsidR="00823AD7" w:rsidRPr="00B217DC">
        <w:rPr>
          <w:rFonts w:cs="Arial"/>
          <w:color w:val="auto"/>
          <w:sz w:val="20"/>
          <w:szCs w:val="20"/>
          <w:lang w:val="en-GB"/>
        </w:rPr>
        <w:t xml:space="preserve"> million. As of 31 March 2022, t</w:t>
      </w:r>
      <w:r w:rsidR="00005B7E" w:rsidRPr="00B217DC">
        <w:rPr>
          <w:rFonts w:cs="Arial"/>
          <w:color w:val="auto"/>
          <w:sz w:val="20"/>
          <w:szCs w:val="20"/>
          <w:lang w:val="en-GB"/>
        </w:rPr>
        <w:t>he Department spent R1 164 423 billion</w:t>
      </w:r>
      <w:r w:rsidR="00DC4638" w:rsidRPr="00B217DC">
        <w:rPr>
          <w:rFonts w:cs="Arial"/>
          <w:color w:val="auto"/>
          <w:sz w:val="20"/>
          <w:szCs w:val="20"/>
          <w:lang w:val="en-GB"/>
        </w:rPr>
        <w:t xml:space="preserve"> (97.4%)</w:t>
      </w:r>
      <w:r w:rsidR="00005B7E" w:rsidRPr="00B217DC">
        <w:rPr>
          <w:rFonts w:cs="Arial"/>
          <w:color w:val="auto"/>
          <w:sz w:val="20"/>
          <w:szCs w:val="20"/>
          <w:lang w:val="en-GB"/>
        </w:rPr>
        <w:t xml:space="preserve"> of its total budget </w:t>
      </w:r>
      <w:r w:rsidR="00DC4638" w:rsidRPr="00B217DC">
        <w:rPr>
          <w:rFonts w:cs="Arial"/>
          <w:color w:val="auto"/>
          <w:sz w:val="20"/>
          <w:szCs w:val="20"/>
          <w:lang w:val="en-GB"/>
        </w:rPr>
        <w:t>R</w:t>
      </w:r>
      <w:r w:rsidR="00DC4638" w:rsidRPr="00B217DC">
        <w:rPr>
          <w:rFonts w:cs="Arial"/>
          <w:color w:val="auto"/>
          <w:spacing w:val="0"/>
          <w:sz w:val="20"/>
          <w:szCs w:val="20"/>
          <w:lang w:eastAsia="en-ZA"/>
        </w:rPr>
        <w:t xml:space="preserve"> </w:t>
      </w:r>
      <w:r w:rsidR="00DC4638" w:rsidRPr="00B217DC">
        <w:rPr>
          <w:rFonts w:cs="Arial"/>
          <w:color w:val="auto"/>
          <w:sz w:val="20"/>
          <w:szCs w:val="20"/>
        </w:rPr>
        <w:t>1 195 508</w:t>
      </w:r>
      <w:r w:rsidR="00DC4638" w:rsidRPr="00B217DC">
        <w:rPr>
          <w:rFonts w:cs="Arial"/>
          <w:color w:val="auto"/>
          <w:sz w:val="20"/>
          <w:szCs w:val="20"/>
          <w:lang w:val="en-GB"/>
        </w:rPr>
        <w:t xml:space="preserve"> billion (includes transfers</w:t>
      </w:r>
      <w:r w:rsidR="00005B7E" w:rsidRPr="00B217DC">
        <w:rPr>
          <w:rFonts w:cs="Arial"/>
          <w:color w:val="auto"/>
          <w:sz w:val="20"/>
          <w:szCs w:val="20"/>
          <w:lang w:val="en-GB"/>
        </w:rPr>
        <w:t>). The total under-expenditure incurred was R</w:t>
      </w:r>
      <w:r w:rsidR="00005B7E" w:rsidRPr="00B217DC">
        <w:rPr>
          <w:rFonts w:cs="Arial"/>
          <w:color w:val="auto"/>
          <w:sz w:val="20"/>
          <w:szCs w:val="20"/>
        </w:rPr>
        <w:t>31.085 million.</w:t>
      </w:r>
    </w:p>
    <w:p w:rsidR="00825ECF" w:rsidRPr="00B217DC" w:rsidRDefault="00825ECF" w:rsidP="00B217DC">
      <w:pPr>
        <w:rPr>
          <w:rFonts w:cs="Arial"/>
          <w:color w:val="auto"/>
          <w:sz w:val="20"/>
          <w:szCs w:val="20"/>
          <w:lang w:val="en-GB"/>
        </w:rPr>
      </w:pPr>
    </w:p>
    <w:p w:rsidR="00104FF3" w:rsidRPr="00B217DC" w:rsidRDefault="00815E8E" w:rsidP="00B217DC">
      <w:pPr>
        <w:rPr>
          <w:rFonts w:cs="Arial"/>
          <w:color w:val="auto"/>
          <w:sz w:val="20"/>
          <w:szCs w:val="20"/>
        </w:rPr>
      </w:pPr>
      <w:r w:rsidRPr="00B217DC">
        <w:rPr>
          <w:rFonts w:cs="Arial"/>
          <w:color w:val="auto"/>
          <w:sz w:val="20"/>
          <w:szCs w:val="20"/>
        </w:rPr>
        <w:t>The Department reports a total of R</w:t>
      </w:r>
      <w:r w:rsidR="00DC4638" w:rsidRPr="00B217DC">
        <w:rPr>
          <w:rFonts w:cs="Arial"/>
          <w:color w:val="auto"/>
          <w:sz w:val="20"/>
          <w:szCs w:val="20"/>
        </w:rPr>
        <w:t>2,</w:t>
      </w:r>
      <w:r w:rsidR="00A62FB2" w:rsidRPr="00B217DC">
        <w:rPr>
          <w:rFonts w:cs="Arial"/>
          <w:color w:val="auto"/>
          <w:sz w:val="20"/>
          <w:szCs w:val="20"/>
        </w:rPr>
        <w:t>185</w:t>
      </w:r>
      <w:r w:rsidRPr="00B217DC">
        <w:rPr>
          <w:rFonts w:cs="Arial"/>
          <w:color w:val="auto"/>
          <w:sz w:val="20"/>
          <w:szCs w:val="20"/>
        </w:rPr>
        <w:t xml:space="preserve"> million in virements from Programmes </w:t>
      </w:r>
      <w:r w:rsidR="00A62FB2" w:rsidRPr="00B217DC">
        <w:rPr>
          <w:rFonts w:cs="Arial"/>
          <w:color w:val="auto"/>
          <w:sz w:val="20"/>
          <w:szCs w:val="20"/>
        </w:rPr>
        <w:t xml:space="preserve">1 and </w:t>
      </w:r>
      <w:r w:rsidRPr="00B217DC">
        <w:rPr>
          <w:rFonts w:cs="Arial"/>
          <w:color w:val="auto"/>
          <w:sz w:val="20"/>
          <w:szCs w:val="20"/>
        </w:rPr>
        <w:t>3 to Programme 1 (Administration)</w:t>
      </w:r>
      <w:r w:rsidR="00A62FB2" w:rsidRPr="00B217DC">
        <w:rPr>
          <w:rFonts w:cs="Arial"/>
          <w:color w:val="auto"/>
          <w:sz w:val="20"/>
          <w:szCs w:val="20"/>
        </w:rPr>
        <w:t>, 2, 3 and 4.</w:t>
      </w:r>
      <w:r w:rsidR="00104FF3" w:rsidRPr="00B217DC">
        <w:rPr>
          <w:rFonts w:cs="Arial"/>
          <w:color w:val="auto"/>
          <w:sz w:val="20"/>
          <w:szCs w:val="20"/>
        </w:rPr>
        <w:t xml:space="preserve"> </w:t>
      </w:r>
      <w:r w:rsidR="005634FA" w:rsidRPr="00B217DC">
        <w:rPr>
          <w:rFonts w:cs="Arial"/>
          <w:color w:val="auto"/>
          <w:sz w:val="20"/>
          <w:szCs w:val="20"/>
        </w:rPr>
        <w:t xml:space="preserve">As such </w:t>
      </w:r>
      <w:r w:rsidR="00104FF3" w:rsidRPr="00B217DC">
        <w:rPr>
          <w:rFonts w:cs="Arial"/>
          <w:color w:val="auto"/>
          <w:sz w:val="20"/>
          <w:szCs w:val="20"/>
        </w:rPr>
        <w:t>R1</w:t>
      </w:r>
      <w:r w:rsidR="005634FA" w:rsidRPr="00B217DC">
        <w:rPr>
          <w:rFonts w:cs="Arial"/>
          <w:color w:val="auto"/>
          <w:sz w:val="20"/>
          <w:szCs w:val="20"/>
        </w:rPr>
        <w:t>,</w:t>
      </w:r>
      <w:r w:rsidR="00104FF3" w:rsidRPr="00B217DC">
        <w:rPr>
          <w:rFonts w:cs="Arial"/>
          <w:color w:val="auto"/>
          <w:sz w:val="20"/>
          <w:szCs w:val="20"/>
        </w:rPr>
        <w:t xml:space="preserve">992 million </w:t>
      </w:r>
      <w:r w:rsidR="005634FA" w:rsidRPr="00B217DC">
        <w:rPr>
          <w:rFonts w:cs="Arial"/>
          <w:color w:val="auto"/>
          <w:sz w:val="20"/>
          <w:szCs w:val="20"/>
        </w:rPr>
        <w:t xml:space="preserve">from Compensation of Employees (CoE) was shifted </w:t>
      </w:r>
      <w:r w:rsidR="00104FF3" w:rsidRPr="00B217DC">
        <w:rPr>
          <w:rFonts w:cs="Arial"/>
          <w:color w:val="auto"/>
          <w:sz w:val="20"/>
          <w:szCs w:val="20"/>
        </w:rPr>
        <w:t xml:space="preserve">from Programme 3 to </w:t>
      </w:r>
      <w:r w:rsidR="005634FA" w:rsidRPr="00B217DC">
        <w:rPr>
          <w:rFonts w:cs="Arial"/>
          <w:color w:val="auto"/>
          <w:sz w:val="20"/>
          <w:szCs w:val="20"/>
        </w:rPr>
        <w:t>CoE in P</w:t>
      </w:r>
      <w:r w:rsidR="00104FF3" w:rsidRPr="00B217DC">
        <w:rPr>
          <w:rFonts w:cs="Arial"/>
          <w:color w:val="auto"/>
          <w:sz w:val="20"/>
          <w:szCs w:val="20"/>
        </w:rPr>
        <w:t xml:space="preserve">rogramme </w:t>
      </w:r>
      <w:r w:rsidR="00D01B3A" w:rsidRPr="00B217DC">
        <w:rPr>
          <w:rFonts w:cs="Arial"/>
          <w:color w:val="auto"/>
          <w:sz w:val="20"/>
          <w:szCs w:val="20"/>
        </w:rPr>
        <w:t>1</w:t>
      </w:r>
      <w:r w:rsidR="00104FF3" w:rsidRPr="00B217DC">
        <w:rPr>
          <w:rFonts w:cs="Arial"/>
          <w:color w:val="auto"/>
          <w:sz w:val="20"/>
          <w:szCs w:val="20"/>
        </w:rPr>
        <w:t xml:space="preserve"> (R1</w:t>
      </w:r>
      <w:r w:rsidR="00D01B3A" w:rsidRPr="00B217DC">
        <w:rPr>
          <w:rFonts w:cs="Arial"/>
          <w:color w:val="auto"/>
          <w:sz w:val="20"/>
          <w:szCs w:val="20"/>
        </w:rPr>
        <w:t>,</w:t>
      </w:r>
      <w:r w:rsidR="00104FF3" w:rsidRPr="00B217DC">
        <w:rPr>
          <w:rFonts w:cs="Arial"/>
          <w:color w:val="auto"/>
          <w:sz w:val="20"/>
          <w:szCs w:val="20"/>
        </w:rPr>
        <w:t xml:space="preserve">662 million), </w:t>
      </w:r>
      <w:r w:rsidR="00D01B3A" w:rsidRPr="00B217DC">
        <w:rPr>
          <w:rFonts w:cs="Arial"/>
          <w:color w:val="auto"/>
          <w:sz w:val="20"/>
          <w:szCs w:val="20"/>
        </w:rPr>
        <w:t xml:space="preserve">2 (R64 000), </w:t>
      </w:r>
      <w:r w:rsidR="00104FF3" w:rsidRPr="00B217DC">
        <w:rPr>
          <w:rFonts w:cs="Arial"/>
          <w:color w:val="auto"/>
          <w:sz w:val="20"/>
          <w:szCs w:val="20"/>
        </w:rPr>
        <w:t xml:space="preserve">3 (R64 000) and 4 (R266 000) for CoE. </w:t>
      </w:r>
      <w:r w:rsidR="005634FA" w:rsidRPr="00B217DC">
        <w:rPr>
          <w:rFonts w:cs="Arial"/>
          <w:color w:val="auto"/>
          <w:sz w:val="20"/>
          <w:szCs w:val="20"/>
        </w:rPr>
        <w:t xml:space="preserve"> A total of </w:t>
      </w:r>
      <w:r w:rsidR="00104FF3" w:rsidRPr="00B217DC">
        <w:rPr>
          <w:rFonts w:cs="Arial"/>
          <w:color w:val="auto"/>
          <w:sz w:val="20"/>
          <w:szCs w:val="20"/>
        </w:rPr>
        <w:t>R193</w:t>
      </w:r>
      <w:r w:rsidR="005634FA" w:rsidRPr="00B217DC">
        <w:rPr>
          <w:rFonts w:cs="Arial"/>
          <w:color w:val="auto"/>
          <w:sz w:val="20"/>
          <w:szCs w:val="20"/>
        </w:rPr>
        <w:t> </w:t>
      </w:r>
      <w:r w:rsidR="00104FF3" w:rsidRPr="00B217DC">
        <w:rPr>
          <w:rFonts w:cs="Arial"/>
          <w:color w:val="auto"/>
          <w:sz w:val="20"/>
          <w:szCs w:val="20"/>
        </w:rPr>
        <w:t>000</w:t>
      </w:r>
      <w:r w:rsidR="005634FA" w:rsidRPr="00B217DC">
        <w:rPr>
          <w:rFonts w:cs="Arial"/>
          <w:color w:val="auto"/>
          <w:sz w:val="20"/>
          <w:szCs w:val="20"/>
        </w:rPr>
        <w:t xml:space="preserve"> was shifted</w:t>
      </w:r>
      <w:r w:rsidR="00104FF3" w:rsidRPr="00B217DC">
        <w:rPr>
          <w:rFonts w:cs="Arial"/>
          <w:color w:val="auto"/>
          <w:sz w:val="20"/>
          <w:szCs w:val="20"/>
        </w:rPr>
        <w:t xml:space="preserve"> from</w:t>
      </w:r>
      <w:r w:rsidR="005634FA" w:rsidRPr="00B217DC">
        <w:rPr>
          <w:rFonts w:cs="Arial"/>
          <w:color w:val="auto"/>
          <w:sz w:val="20"/>
          <w:szCs w:val="20"/>
        </w:rPr>
        <w:t xml:space="preserve"> Goods and Services in</w:t>
      </w:r>
      <w:r w:rsidR="00104FF3" w:rsidRPr="00B217DC">
        <w:rPr>
          <w:rFonts w:cs="Arial"/>
          <w:color w:val="auto"/>
          <w:sz w:val="20"/>
          <w:szCs w:val="20"/>
        </w:rPr>
        <w:t xml:space="preserve"> Programme 1 to</w:t>
      </w:r>
      <w:r w:rsidR="005634FA" w:rsidRPr="00B217DC">
        <w:rPr>
          <w:rFonts w:cs="Arial"/>
          <w:color w:val="auto"/>
          <w:sz w:val="20"/>
          <w:szCs w:val="20"/>
        </w:rPr>
        <w:t xml:space="preserve"> Payment for financial assets</w:t>
      </w:r>
      <w:r w:rsidR="00104FF3" w:rsidRPr="00B217DC">
        <w:rPr>
          <w:rFonts w:cs="Arial"/>
          <w:color w:val="auto"/>
          <w:sz w:val="20"/>
          <w:szCs w:val="20"/>
        </w:rPr>
        <w:t xml:space="preserve"> Programme 1.</w:t>
      </w:r>
      <w:r w:rsidR="005634FA" w:rsidRPr="00B217DC">
        <w:rPr>
          <w:rFonts w:cs="Arial"/>
          <w:color w:val="auto"/>
          <w:sz w:val="20"/>
          <w:szCs w:val="20"/>
        </w:rPr>
        <w:t xml:space="preserve"> Hence this was an internal virement between sub-programmes</w:t>
      </w:r>
      <w:r w:rsidR="00F57FC9" w:rsidRPr="00B217DC">
        <w:rPr>
          <w:rFonts w:cs="Arial"/>
          <w:color w:val="auto"/>
          <w:sz w:val="20"/>
          <w:szCs w:val="20"/>
        </w:rPr>
        <w:t>.</w:t>
      </w:r>
    </w:p>
    <w:p w:rsidR="00104FF3" w:rsidRPr="00B217DC" w:rsidRDefault="00104FF3" w:rsidP="00B217DC">
      <w:pPr>
        <w:rPr>
          <w:rFonts w:cs="Arial"/>
          <w:color w:val="auto"/>
          <w:sz w:val="20"/>
          <w:szCs w:val="20"/>
        </w:rPr>
      </w:pPr>
    </w:p>
    <w:p w:rsidR="00815E8E" w:rsidRPr="00B217DC" w:rsidRDefault="00815E8E" w:rsidP="00B217DC">
      <w:pPr>
        <w:rPr>
          <w:rFonts w:cs="Arial"/>
          <w:color w:val="auto"/>
          <w:sz w:val="20"/>
          <w:szCs w:val="20"/>
        </w:rPr>
      </w:pPr>
      <w:r w:rsidRPr="00B217DC">
        <w:rPr>
          <w:rFonts w:cs="Arial"/>
          <w:color w:val="auto"/>
          <w:sz w:val="20"/>
          <w:szCs w:val="20"/>
        </w:rPr>
        <w:t xml:space="preserve">In summary, the following </w:t>
      </w:r>
      <w:r w:rsidRPr="00B217DC">
        <w:rPr>
          <w:rFonts w:cs="Arial"/>
          <w:bCs/>
          <w:color w:val="auto"/>
          <w:sz w:val="20"/>
          <w:szCs w:val="20"/>
        </w:rPr>
        <w:t>virements</w:t>
      </w:r>
      <w:r w:rsidRPr="00B217DC">
        <w:rPr>
          <w:rFonts w:cs="Arial"/>
          <w:b/>
          <w:bCs/>
          <w:color w:val="auto"/>
          <w:sz w:val="20"/>
          <w:szCs w:val="20"/>
        </w:rPr>
        <w:t xml:space="preserve"> </w:t>
      </w:r>
      <w:r w:rsidRPr="00B217DC">
        <w:rPr>
          <w:rFonts w:cs="Arial"/>
          <w:color w:val="auto"/>
          <w:sz w:val="20"/>
          <w:szCs w:val="20"/>
        </w:rPr>
        <w:t>have been made</w:t>
      </w:r>
      <w:r w:rsidR="0057695A" w:rsidRPr="00B217DC">
        <w:rPr>
          <w:rFonts w:cs="Arial"/>
          <w:color w:val="auto"/>
          <w:sz w:val="20"/>
          <w:szCs w:val="20"/>
        </w:rPr>
        <w:t xml:space="preserve"> in terms of financial line items</w:t>
      </w:r>
      <w:r w:rsidRPr="00B217DC">
        <w:rPr>
          <w:rFonts w:cs="Arial"/>
          <w:color w:val="auto"/>
          <w:sz w:val="20"/>
          <w:szCs w:val="20"/>
        </w:rPr>
        <w:t xml:space="preserve">: </w:t>
      </w:r>
    </w:p>
    <w:p w:rsidR="0057695A" w:rsidRPr="00B217DC" w:rsidRDefault="0057695A" w:rsidP="00B217DC">
      <w:pPr>
        <w:rPr>
          <w:rFonts w:cs="Arial"/>
          <w:color w:val="auto"/>
          <w:sz w:val="20"/>
          <w:szCs w:val="20"/>
        </w:rPr>
      </w:pPr>
    </w:p>
    <w:p w:rsidR="00393F43" w:rsidRPr="00B217DC" w:rsidRDefault="00393F43" w:rsidP="00B217DC">
      <w:pPr>
        <w:pStyle w:val="ListParagraph"/>
        <w:numPr>
          <w:ilvl w:val="0"/>
          <w:numId w:val="86"/>
        </w:numPr>
        <w:rPr>
          <w:rFonts w:cs="Arial"/>
          <w:color w:val="auto"/>
          <w:sz w:val="20"/>
          <w:szCs w:val="20"/>
        </w:rPr>
      </w:pPr>
      <w:r w:rsidRPr="00B217DC">
        <w:rPr>
          <w:rFonts w:cs="Arial"/>
          <w:color w:val="auto"/>
          <w:sz w:val="20"/>
          <w:szCs w:val="20"/>
        </w:rPr>
        <w:lastRenderedPageBreak/>
        <w:t xml:space="preserve">CoE: Shifting of funds was to augment the excess expenditure in programmes 1, 2 and 4 utilising unspent funds related to vacant posts in programme 3 that were not filled by the end of the financial year. R1 992 million from Compensation of Employees (COE) from </w:t>
      </w:r>
      <w:r w:rsidR="00D01B3A" w:rsidRPr="00B217DC">
        <w:rPr>
          <w:rFonts w:cs="Arial"/>
          <w:color w:val="auto"/>
          <w:sz w:val="20"/>
          <w:szCs w:val="20"/>
        </w:rPr>
        <w:t>P</w:t>
      </w:r>
      <w:r w:rsidRPr="00B217DC">
        <w:rPr>
          <w:rFonts w:cs="Arial"/>
          <w:color w:val="auto"/>
          <w:sz w:val="20"/>
          <w:szCs w:val="20"/>
        </w:rPr>
        <w:t xml:space="preserve">rogramme 3 to </w:t>
      </w:r>
      <w:r w:rsidR="00D01B3A" w:rsidRPr="00B217DC">
        <w:rPr>
          <w:rFonts w:cs="Arial"/>
          <w:color w:val="auto"/>
          <w:sz w:val="20"/>
          <w:szCs w:val="20"/>
        </w:rPr>
        <w:t>P</w:t>
      </w:r>
      <w:r w:rsidRPr="00B217DC">
        <w:rPr>
          <w:rFonts w:cs="Arial"/>
          <w:color w:val="auto"/>
          <w:sz w:val="20"/>
          <w:szCs w:val="20"/>
        </w:rPr>
        <w:t xml:space="preserve">rogramme </w:t>
      </w:r>
      <w:r w:rsidR="00D01B3A" w:rsidRPr="00B217DC">
        <w:rPr>
          <w:rFonts w:cs="Arial"/>
          <w:color w:val="auto"/>
          <w:sz w:val="20"/>
          <w:szCs w:val="20"/>
        </w:rPr>
        <w:t xml:space="preserve">1, </w:t>
      </w:r>
      <w:r w:rsidRPr="00B217DC">
        <w:rPr>
          <w:rFonts w:cs="Arial"/>
          <w:color w:val="auto"/>
          <w:sz w:val="20"/>
          <w:szCs w:val="20"/>
        </w:rPr>
        <w:t>2</w:t>
      </w:r>
      <w:r w:rsidR="00104FF3" w:rsidRPr="00B217DC">
        <w:rPr>
          <w:rFonts w:cs="Arial"/>
          <w:color w:val="auto"/>
          <w:sz w:val="20"/>
          <w:szCs w:val="20"/>
        </w:rPr>
        <w:t>, 3 and 4</w:t>
      </w:r>
      <w:r w:rsidRPr="00B217DC">
        <w:rPr>
          <w:rFonts w:cs="Arial"/>
          <w:color w:val="auto"/>
          <w:sz w:val="20"/>
          <w:szCs w:val="20"/>
        </w:rPr>
        <w:t>.</w:t>
      </w:r>
    </w:p>
    <w:p w:rsidR="00815E8E" w:rsidRPr="00B217DC" w:rsidRDefault="00815E8E" w:rsidP="00B217DC">
      <w:pPr>
        <w:pStyle w:val="ListParagraph"/>
        <w:numPr>
          <w:ilvl w:val="0"/>
          <w:numId w:val="86"/>
        </w:numPr>
        <w:rPr>
          <w:rFonts w:cs="Arial"/>
          <w:color w:val="auto"/>
          <w:sz w:val="20"/>
          <w:szCs w:val="20"/>
        </w:rPr>
      </w:pPr>
      <w:r w:rsidRPr="00B217DC">
        <w:rPr>
          <w:rFonts w:cs="Arial"/>
          <w:color w:val="auto"/>
          <w:sz w:val="20"/>
          <w:szCs w:val="20"/>
        </w:rPr>
        <w:t>R</w:t>
      </w:r>
      <w:r w:rsidR="00B252C5" w:rsidRPr="00B217DC">
        <w:rPr>
          <w:rFonts w:cs="Arial"/>
          <w:color w:val="auto"/>
          <w:sz w:val="20"/>
          <w:szCs w:val="20"/>
        </w:rPr>
        <w:t>193 000</w:t>
      </w:r>
      <w:r w:rsidRPr="00B217DC">
        <w:rPr>
          <w:rFonts w:cs="Arial"/>
          <w:color w:val="auto"/>
          <w:sz w:val="20"/>
          <w:szCs w:val="20"/>
        </w:rPr>
        <w:t xml:space="preserve"> from</w:t>
      </w:r>
      <w:r w:rsidR="00D01B3A" w:rsidRPr="00B217DC">
        <w:rPr>
          <w:rFonts w:cs="Arial"/>
          <w:color w:val="auto"/>
          <w:sz w:val="20"/>
          <w:szCs w:val="20"/>
        </w:rPr>
        <w:t xml:space="preserve"> Goods and Services (G&amp;S) from P</w:t>
      </w:r>
      <w:r w:rsidRPr="00B217DC">
        <w:rPr>
          <w:rFonts w:cs="Arial"/>
          <w:color w:val="auto"/>
          <w:sz w:val="20"/>
          <w:szCs w:val="20"/>
        </w:rPr>
        <w:t>rogramme</w:t>
      </w:r>
      <w:r w:rsidR="00B252C5" w:rsidRPr="00B217DC">
        <w:rPr>
          <w:rFonts w:cs="Arial"/>
          <w:color w:val="auto"/>
          <w:sz w:val="20"/>
          <w:szCs w:val="20"/>
        </w:rPr>
        <w:t xml:space="preserve"> 1</w:t>
      </w:r>
      <w:r w:rsidR="00D01B3A" w:rsidRPr="00B217DC">
        <w:rPr>
          <w:rFonts w:cs="Arial"/>
          <w:color w:val="auto"/>
          <w:sz w:val="20"/>
          <w:szCs w:val="20"/>
        </w:rPr>
        <w:t xml:space="preserve"> to P</w:t>
      </w:r>
      <w:r w:rsidRPr="00B217DC">
        <w:rPr>
          <w:rFonts w:cs="Arial"/>
          <w:color w:val="auto"/>
          <w:sz w:val="20"/>
          <w:szCs w:val="20"/>
        </w:rPr>
        <w:t xml:space="preserve">rogramme 1 – primarily for </w:t>
      </w:r>
      <w:r w:rsidR="00B252C5" w:rsidRPr="00B217DC">
        <w:rPr>
          <w:rFonts w:cs="Arial"/>
          <w:color w:val="auto"/>
          <w:sz w:val="20"/>
          <w:szCs w:val="20"/>
        </w:rPr>
        <w:t>payment for financial assets.</w:t>
      </w:r>
    </w:p>
    <w:p w:rsidR="00815E8E" w:rsidRPr="00B217DC" w:rsidRDefault="00815E8E" w:rsidP="00B217DC">
      <w:pPr>
        <w:rPr>
          <w:rFonts w:cs="Arial"/>
          <w:color w:val="auto"/>
          <w:sz w:val="20"/>
          <w:szCs w:val="20"/>
          <w:lang w:val="en-GB"/>
        </w:rPr>
      </w:pPr>
    </w:p>
    <w:p w:rsidR="00AE1360" w:rsidRPr="00B217DC" w:rsidRDefault="00AE1360" w:rsidP="00B217DC">
      <w:pPr>
        <w:rPr>
          <w:rFonts w:cs="Arial"/>
          <w:color w:val="auto"/>
          <w:sz w:val="20"/>
          <w:szCs w:val="20"/>
        </w:rPr>
      </w:pPr>
      <w:r w:rsidRPr="00B217DC">
        <w:rPr>
          <w:rFonts w:cs="Arial"/>
          <w:color w:val="auto"/>
          <w:sz w:val="20"/>
          <w:szCs w:val="20"/>
          <w:lang w:val="en-GB"/>
        </w:rPr>
        <w:t xml:space="preserve">In examining the programme expenditure for 2021, the following table </w:t>
      </w:r>
      <w:r w:rsidRPr="00B217DC">
        <w:rPr>
          <w:rFonts w:cs="Arial"/>
          <w:color w:val="auto"/>
          <w:sz w:val="20"/>
          <w:szCs w:val="20"/>
        </w:rPr>
        <w:t>has been collated using the information the information provided in the Annual Report.</w:t>
      </w:r>
    </w:p>
    <w:p w:rsidR="00AE1360" w:rsidRPr="00B217DC" w:rsidRDefault="00AE1360" w:rsidP="00B217DC">
      <w:pPr>
        <w:rPr>
          <w:rFonts w:cs="Arial"/>
          <w:b/>
          <w:color w:val="auto"/>
          <w:sz w:val="20"/>
          <w:szCs w:val="20"/>
          <w:lang w:val="en-GB"/>
        </w:rPr>
      </w:pPr>
    </w:p>
    <w:p w:rsidR="00E32D74" w:rsidRPr="00B217DC" w:rsidRDefault="00815E8E" w:rsidP="00B217DC">
      <w:pPr>
        <w:rPr>
          <w:rFonts w:cs="Arial"/>
          <w:color w:val="auto"/>
          <w:sz w:val="20"/>
          <w:szCs w:val="20"/>
          <w:lang w:val="en-GB"/>
        </w:rPr>
      </w:pPr>
      <w:r w:rsidRPr="00B217DC">
        <w:rPr>
          <w:rFonts w:cs="Arial"/>
          <w:b/>
          <w:color w:val="auto"/>
          <w:sz w:val="20"/>
          <w:szCs w:val="20"/>
          <w:lang w:val="en-GB"/>
        </w:rPr>
        <w:t>Table</w:t>
      </w:r>
      <w:r w:rsidR="0057695A" w:rsidRPr="00B217DC">
        <w:rPr>
          <w:rFonts w:cs="Arial"/>
          <w:b/>
          <w:color w:val="auto"/>
          <w:sz w:val="20"/>
          <w:szCs w:val="20"/>
          <w:lang w:val="en-GB"/>
        </w:rPr>
        <w:t xml:space="preserve"> 1</w:t>
      </w:r>
      <w:r w:rsidRPr="00B217DC">
        <w:rPr>
          <w:rFonts w:cs="Arial"/>
          <w:b/>
          <w:color w:val="auto"/>
          <w:sz w:val="20"/>
          <w:szCs w:val="20"/>
          <w:lang w:val="en-GB"/>
        </w:rPr>
        <w:t xml:space="preserve">: </w:t>
      </w:r>
      <w:r w:rsidR="0057695A" w:rsidRPr="00B217DC">
        <w:rPr>
          <w:rFonts w:cs="Arial"/>
          <w:b/>
          <w:color w:val="auto"/>
          <w:sz w:val="20"/>
          <w:szCs w:val="20"/>
          <w:lang w:val="en-GB"/>
        </w:rPr>
        <w:t>Total vs Operational</w:t>
      </w:r>
      <w:r w:rsidR="008B323A" w:rsidRPr="00B217DC">
        <w:rPr>
          <w:rFonts w:cs="Arial"/>
          <w:b/>
          <w:color w:val="auto"/>
          <w:sz w:val="20"/>
          <w:szCs w:val="20"/>
          <w:lang w:val="en-GB"/>
        </w:rPr>
        <w:t xml:space="preserve"> Expenditure as at 31 March 2022</w:t>
      </w:r>
      <w:r w:rsidR="00AE1360" w:rsidRPr="00B217DC">
        <w:rPr>
          <w:rStyle w:val="FootnoteReference"/>
          <w:rFonts w:cs="Arial"/>
          <w:b/>
          <w:color w:val="auto"/>
          <w:sz w:val="20"/>
          <w:szCs w:val="20"/>
          <w:lang w:val="en-GB"/>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1137"/>
        <w:gridCol w:w="639"/>
        <w:gridCol w:w="1498"/>
        <w:gridCol w:w="493"/>
        <w:gridCol w:w="1005"/>
        <w:gridCol w:w="1575"/>
        <w:gridCol w:w="1661"/>
      </w:tblGrid>
      <w:tr w:rsidR="006675BE" w:rsidRPr="00B217DC" w:rsidTr="00F57FC9">
        <w:trPr>
          <w:trHeight w:val="942"/>
        </w:trPr>
        <w:tc>
          <w:tcPr>
            <w:tcW w:w="937" w:type="pct"/>
            <w:shd w:val="clear" w:color="auto" w:fill="D9D9D9" w:themeFill="background1" w:themeFillShade="D9"/>
          </w:tcPr>
          <w:p w:rsidR="005634FA" w:rsidRPr="00B217DC" w:rsidRDefault="005634FA" w:rsidP="00B217DC">
            <w:pPr>
              <w:rPr>
                <w:rFonts w:cs="Arial"/>
                <w:color w:val="auto"/>
                <w:sz w:val="20"/>
                <w:szCs w:val="20"/>
              </w:rPr>
            </w:pPr>
            <w:r w:rsidRPr="00B217DC">
              <w:rPr>
                <w:rFonts w:cs="Arial"/>
                <w:b/>
                <w:bCs/>
                <w:color w:val="auto"/>
                <w:sz w:val="20"/>
                <w:szCs w:val="20"/>
              </w:rPr>
              <w:t xml:space="preserve">Programme </w:t>
            </w:r>
          </w:p>
        </w:tc>
        <w:tc>
          <w:tcPr>
            <w:tcW w:w="901" w:type="pct"/>
            <w:gridSpan w:val="2"/>
            <w:shd w:val="clear" w:color="auto" w:fill="D9D9D9" w:themeFill="background1" w:themeFillShade="D9"/>
          </w:tcPr>
          <w:p w:rsidR="005634FA" w:rsidRPr="00B217DC" w:rsidRDefault="005634FA" w:rsidP="00B217DC">
            <w:pPr>
              <w:rPr>
                <w:rFonts w:cs="Arial"/>
                <w:color w:val="auto"/>
                <w:sz w:val="20"/>
                <w:szCs w:val="20"/>
              </w:rPr>
            </w:pPr>
            <w:r w:rsidRPr="00B217DC">
              <w:rPr>
                <w:rFonts w:cs="Arial"/>
                <w:b/>
                <w:bCs/>
                <w:color w:val="auto"/>
                <w:sz w:val="20"/>
                <w:szCs w:val="20"/>
              </w:rPr>
              <w:t>Total budget as per Annual Report Appropriation Statement</w:t>
            </w:r>
          </w:p>
          <w:p w:rsidR="005634FA" w:rsidRPr="00B217DC" w:rsidRDefault="005634FA" w:rsidP="00B217DC">
            <w:pPr>
              <w:rPr>
                <w:rFonts w:cs="Arial"/>
                <w:color w:val="auto"/>
                <w:sz w:val="20"/>
                <w:szCs w:val="20"/>
              </w:rPr>
            </w:pPr>
            <w:r w:rsidRPr="00B217DC">
              <w:rPr>
                <w:rFonts w:cs="Arial"/>
                <w:b/>
                <w:bCs/>
                <w:color w:val="auto"/>
                <w:sz w:val="20"/>
                <w:szCs w:val="20"/>
              </w:rPr>
              <w:t>(incl. transfer payments)</w:t>
            </w:r>
          </w:p>
        </w:tc>
        <w:tc>
          <w:tcPr>
            <w:tcW w:w="760" w:type="pct"/>
            <w:shd w:val="clear" w:color="auto" w:fill="D9D9D9" w:themeFill="background1" w:themeFillShade="D9"/>
          </w:tcPr>
          <w:p w:rsidR="005634FA" w:rsidRPr="00B217DC" w:rsidRDefault="005634FA" w:rsidP="00B217DC">
            <w:pPr>
              <w:rPr>
                <w:rFonts w:cs="Arial"/>
                <w:color w:val="auto"/>
                <w:sz w:val="20"/>
                <w:szCs w:val="20"/>
              </w:rPr>
            </w:pPr>
            <w:r w:rsidRPr="00B217DC">
              <w:rPr>
                <w:rFonts w:cs="Arial"/>
                <w:b/>
                <w:bCs/>
                <w:color w:val="auto"/>
                <w:sz w:val="20"/>
                <w:szCs w:val="20"/>
              </w:rPr>
              <w:t>Total Expenditure</w:t>
            </w:r>
          </w:p>
          <w:p w:rsidR="005634FA" w:rsidRPr="00B217DC" w:rsidRDefault="005634FA" w:rsidP="00B217DC">
            <w:pPr>
              <w:rPr>
                <w:rFonts w:cs="Arial"/>
                <w:color w:val="auto"/>
                <w:sz w:val="20"/>
                <w:szCs w:val="20"/>
              </w:rPr>
            </w:pPr>
            <w:r w:rsidRPr="00B217DC">
              <w:rPr>
                <w:rFonts w:cs="Arial"/>
                <w:b/>
                <w:bCs/>
                <w:color w:val="auto"/>
                <w:sz w:val="20"/>
                <w:szCs w:val="20"/>
              </w:rPr>
              <w:t>Incl. transfer payments</w:t>
            </w:r>
          </w:p>
        </w:tc>
        <w:tc>
          <w:tcPr>
            <w:tcW w:w="760" w:type="pct"/>
            <w:gridSpan w:val="2"/>
            <w:shd w:val="clear" w:color="auto" w:fill="D9D9D9" w:themeFill="background1" w:themeFillShade="D9"/>
          </w:tcPr>
          <w:p w:rsidR="005634FA" w:rsidRPr="00B217DC" w:rsidRDefault="005634FA" w:rsidP="00B217DC">
            <w:pPr>
              <w:rPr>
                <w:rFonts w:cs="Arial"/>
                <w:color w:val="auto"/>
                <w:sz w:val="20"/>
                <w:szCs w:val="20"/>
              </w:rPr>
            </w:pPr>
            <w:r w:rsidRPr="00B217DC">
              <w:rPr>
                <w:rFonts w:cs="Arial"/>
                <w:b/>
                <w:bCs/>
                <w:color w:val="auto"/>
                <w:sz w:val="20"/>
                <w:szCs w:val="20"/>
              </w:rPr>
              <w:t>Budget per programme excluding transfer payments</w:t>
            </w:r>
          </w:p>
          <w:p w:rsidR="005634FA" w:rsidRPr="00B217DC" w:rsidRDefault="005634FA" w:rsidP="00B217DC">
            <w:pPr>
              <w:rPr>
                <w:rFonts w:cs="Arial"/>
                <w:color w:val="auto"/>
                <w:sz w:val="20"/>
                <w:szCs w:val="20"/>
              </w:rPr>
            </w:pPr>
            <w:r w:rsidRPr="00B217DC">
              <w:rPr>
                <w:rFonts w:cs="Arial"/>
                <w:b/>
                <w:bCs/>
                <w:color w:val="auto"/>
                <w:sz w:val="20"/>
                <w:szCs w:val="20"/>
              </w:rPr>
              <w:t>(operational budget)</w:t>
            </w:r>
          </w:p>
        </w:tc>
        <w:tc>
          <w:tcPr>
            <w:tcW w:w="799" w:type="pct"/>
            <w:shd w:val="clear" w:color="auto" w:fill="D9D9D9" w:themeFill="background1" w:themeFillShade="D9"/>
          </w:tcPr>
          <w:p w:rsidR="005634FA" w:rsidRPr="00B217DC" w:rsidRDefault="005634FA" w:rsidP="00B217DC">
            <w:pPr>
              <w:rPr>
                <w:rFonts w:cs="Arial"/>
                <w:color w:val="auto"/>
                <w:sz w:val="20"/>
                <w:szCs w:val="20"/>
              </w:rPr>
            </w:pPr>
            <w:r w:rsidRPr="00B217DC">
              <w:rPr>
                <w:rFonts w:cs="Arial"/>
                <w:b/>
                <w:bCs/>
                <w:color w:val="auto"/>
                <w:sz w:val="20"/>
                <w:szCs w:val="20"/>
              </w:rPr>
              <w:t>Actual expenditure excluding transfer payments</w:t>
            </w:r>
          </w:p>
          <w:p w:rsidR="005634FA" w:rsidRPr="00B217DC" w:rsidRDefault="005634FA" w:rsidP="00B217DC">
            <w:pPr>
              <w:rPr>
                <w:rFonts w:cs="Arial"/>
                <w:b/>
                <w:bCs/>
                <w:color w:val="auto"/>
                <w:sz w:val="20"/>
                <w:szCs w:val="20"/>
              </w:rPr>
            </w:pPr>
            <w:r w:rsidRPr="00B217DC">
              <w:rPr>
                <w:rFonts w:cs="Arial"/>
                <w:b/>
                <w:bCs/>
                <w:color w:val="auto"/>
                <w:sz w:val="20"/>
                <w:szCs w:val="20"/>
              </w:rPr>
              <w:t>(operational expenses)</w:t>
            </w:r>
          </w:p>
          <w:p w:rsidR="005634FA" w:rsidRPr="00B217DC" w:rsidRDefault="005634FA" w:rsidP="00B217DC">
            <w:pPr>
              <w:rPr>
                <w:rFonts w:cs="Arial"/>
                <w:color w:val="auto"/>
                <w:sz w:val="20"/>
                <w:szCs w:val="20"/>
              </w:rPr>
            </w:pPr>
            <w:r w:rsidRPr="00B217DC">
              <w:rPr>
                <w:rFonts w:cs="Arial"/>
                <w:b/>
                <w:bCs/>
                <w:color w:val="auto"/>
                <w:sz w:val="20"/>
                <w:szCs w:val="20"/>
              </w:rPr>
              <w:t>% of allocated programme budget</w:t>
            </w:r>
          </w:p>
        </w:tc>
        <w:tc>
          <w:tcPr>
            <w:tcW w:w="843" w:type="pct"/>
            <w:shd w:val="clear" w:color="auto" w:fill="D9D9D9" w:themeFill="background1" w:themeFillShade="D9"/>
          </w:tcPr>
          <w:tbl>
            <w:tblPr>
              <w:tblW w:w="0" w:type="auto"/>
              <w:tblBorders>
                <w:top w:val="nil"/>
                <w:left w:val="nil"/>
                <w:bottom w:val="nil"/>
                <w:right w:val="nil"/>
              </w:tblBorders>
              <w:tblLook w:val="0000"/>
            </w:tblPr>
            <w:tblGrid>
              <w:gridCol w:w="1445"/>
            </w:tblGrid>
            <w:tr w:rsidR="006675BE" w:rsidRPr="00B217DC">
              <w:trPr>
                <w:trHeight w:val="586"/>
              </w:trPr>
              <w:tc>
                <w:tcPr>
                  <w:tcW w:w="0" w:type="auto"/>
                </w:tcPr>
                <w:p w:rsidR="005634FA" w:rsidRPr="00B217DC" w:rsidRDefault="005634FA" w:rsidP="00B217DC">
                  <w:pPr>
                    <w:rPr>
                      <w:rFonts w:cs="Arial"/>
                      <w:b/>
                      <w:bCs/>
                      <w:color w:val="auto"/>
                      <w:sz w:val="20"/>
                      <w:szCs w:val="20"/>
                    </w:rPr>
                  </w:pPr>
                  <w:r w:rsidRPr="00B217DC">
                    <w:rPr>
                      <w:rFonts w:cs="Arial"/>
                      <w:b/>
                      <w:bCs/>
                      <w:color w:val="auto"/>
                      <w:sz w:val="20"/>
                      <w:szCs w:val="20"/>
                    </w:rPr>
                    <w:t xml:space="preserve">Programme expenditure as % of total operational expenditure </w:t>
                  </w:r>
                </w:p>
              </w:tc>
            </w:tr>
          </w:tbl>
          <w:p w:rsidR="005634FA" w:rsidRPr="00B217DC" w:rsidRDefault="005634FA" w:rsidP="00B217DC">
            <w:pPr>
              <w:rPr>
                <w:rFonts w:cs="Arial"/>
                <w:b/>
                <w:bCs/>
                <w:color w:val="auto"/>
                <w:sz w:val="20"/>
                <w:szCs w:val="20"/>
              </w:rPr>
            </w:pPr>
          </w:p>
        </w:tc>
      </w:tr>
      <w:tr w:rsidR="006675BE" w:rsidRPr="00B217DC" w:rsidTr="00F57FC9">
        <w:trPr>
          <w:trHeight w:val="68"/>
        </w:trPr>
        <w:tc>
          <w:tcPr>
            <w:tcW w:w="937" w:type="pct"/>
          </w:tcPr>
          <w:p w:rsidR="005634FA" w:rsidRPr="00B217DC" w:rsidRDefault="005634FA" w:rsidP="00B217DC">
            <w:pPr>
              <w:rPr>
                <w:rFonts w:cs="Arial"/>
                <w:color w:val="auto"/>
                <w:sz w:val="20"/>
                <w:szCs w:val="20"/>
              </w:rPr>
            </w:pPr>
            <w:r w:rsidRPr="00B217DC">
              <w:rPr>
                <w:rFonts w:cs="Arial"/>
                <w:b/>
                <w:bCs/>
                <w:color w:val="auto"/>
                <w:sz w:val="20"/>
                <w:szCs w:val="20"/>
              </w:rPr>
              <w:t xml:space="preserve">1. Administration </w:t>
            </w:r>
          </w:p>
        </w:tc>
        <w:tc>
          <w:tcPr>
            <w:tcW w:w="901"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111 909m</w:t>
            </w:r>
          </w:p>
        </w:tc>
        <w:tc>
          <w:tcPr>
            <w:tcW w:w="760"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103 486m</w:t>
            </w:r>
          </w:p>
        </w:tc>
        <w:tc>
          <w:tcPr>
            <w:tcW w:w="760"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R111,909m</w:t>
            </w:r>
          </w:p>
          <w:p w:rsidR="005634FA" w:rsidRPr="00B217DC" w:rsidRDefault="005634FA" w:rsidP="00B217DC">
            <w:pPr>
              <w:rPr>
                <w:rFonts w:cs="Arial"/>
                <w:color w:val="auto"/>
                <w:sz w:val="20"/>
                <w:szCs w:val="20"/>
              </w:rPr>
            </w:pPr>
          </w:p>
        </w:tc>
        <w:tc>
          <w:tcPr>
            <w:tcW w:w="799" w:type="pct"/>
            <w:vAlign w:val="center"/>
          </w:tcPr>
          <w:p w:rsidR="005634FA" w:rsidRPr="00B217DC" w:rsidRDefault="005634FA" w:rsidP="00B217DC">
            <w:pPr>
              <w:rPr>
                <w:rFonts w:cs="Arial"/>
                <w:color w:val="auto"/>
                <w:sz w:val="20"/>
                <w:szCs w:val="20"/>
              </w:rPr>
            </w:pPr>
            <w:r w:rsidRPr="00B217DC">
              <w:rPr>
                <w:rFonts w:cs="Arial"/>
                <w:color w:val="auto"/>
                <w:sz w:val="20"/>
                <w:szCs w:val="20"/>
              </w:rPr>
              <w:t>R103,486m</w:t>
            </w:r>
          </w:p>
          <w:p w:rsidR="005634FA" w:rsidRPr="00B217DC" w:rsidRDefault="005634FA" w:rsidP="00B217DC">
            <w:pPr>
              <w:rPr>
                <w:rFonts w:cs="Arial"/>
                <w:color w:val="auto"/>
                <w:sz w:val="20"/>
                <w:szCs w:val="20"/>
              </w:rPr>
            </w:pPr>
            <w:r w:rsidRPr="00B217DC">
              <w:rPr>
                <w:rFonts w:cs="Arial"/>
                <w:i/>
                <w:iCs/>
                <w:color w:val="auto"/>
                <w:sz w:val="20"/>
                <w:szCs w:val="20"/>
              </w:rPr>
              <w:t>92.4%</w:t>
            </w:r>
          </w:p>
        </w:tc>
        <w:tc>
          <w:tcPr>
            <w:tcW w:w="843" w:type="pct"/>
          </w:tcPr>
          <w:p w:rsidR="005634FA" w:rsidRPr="00B217DC" w:rsidRDefault="005634FA" w:rsidP="00B217DC">
            <w:pPr>
              <w:rPr>
                <w:rFonts w:cs="Arial"/>
                <w:color w:val="auto"/>
                <w:sz w:val="20"/>
                <w:szCs w:val="20"/>
              </w:rPr>
            </w:pPr>
            <w:r w:rsidRPr="00B217DC">
              <w:rPr>
                <w:rFonts w:cs="Arial"/>
                <w:color w:val="auto"/>
                <w:sz w:val="20"/>
                <w:szCs w:val="20"/>
              </w:rPr>
              <w:t>R103,486m</w:t>
            </w:r>
          </w:p>
          <w:p w:rsidR="005634FA" w:rsidRPr="00B217DC" w:rsidRDefault="005634FA" w:rsidP="00B217DC">
            <w:pPr>
              <w:rPr>
                <w:rFonts w:cs="Arial"/>
                <w:color w:val="auto"/>
                <w:sz w:val="20"/>
                <w:szCs w:val="20"/>
              </w:rPr>
            </w:pPr>
            <w:r w:rsidRPr="00B217DC">
              <w:rPr>
                <w:rFonts w:cs="Arial"/>
                <w:color w:val="auto"/>
                <w:sz w:val="20"/>
                <w:szCs w:val="20"/>
              </w:rPr>
              <w:t>60.1%</w:t>
            </w:r>
          </w:p>
        </w:tc>
      </w:tr>
      <w:tr w:rsidR="006675BE" w:rsidRPr="00B217DC" w:rsidTr="00F57FC9">
        <w:trPr>
          <w:trHeight w:val="716"/>
        </w:trPr>
        <w:tc>
          <w:tcPr>
            <w:tcW w:w="937" w:type="pct"/>
          </w:tcPr>
          <w:p w:rsidR="005634FA" w:rsidRPr="00B217DC" w:rsidRDefault="005634FA" w:rsidP="00B217DC">
            <w:pPr>
              <w:rPr>
                <w:rFonts w:cs="Arial"/>
                <w:color w:val="auto"/>
                <w:sz w:val="20"/>
                <w:szCs w:val="20"/>
              </w:rPr>
            </w:pPr>
            <w:r w:rsidRPr="00B217DC">
              <w:rPr>
                <w:rFonts w:cs="Arial"/>
                <w:b/>
                <w:bCs/>
                <w:color w:val="auto"/>
                <w:sz w:val="20"/>
                <w:szCs w:val="20"/>
              </w:rPr>
              <w:t xml:space="preserve">2. Social Transformation &amp; Economic Empowerment </w:t>
            </w:r>
          </w:p>
        </w:tc>
        <w:tc>
          <w:tcPr>
            <w:tcW w:w="901"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118 407m</w:t>
            </w:r>
          </w:p>
        </w:tc>
        <w:tc>
          <w:tcPr>
            <w:tcW w:w="760"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113 311m</w:t>
            </w:r>
          </w:p>
        </w:tc>
        <w:tc>
          <w:tcPr>
            <w:tcW w:w="760"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R91.376 million</w:t>
            </w:r>
          </w:p>
          <w:p w:rsidR="005634FA" w:rsidRPr="00B217DC" w:rsidRDefault="005634FA" w:rsidP="00B217DC">
            <w:pPr>
              <w:rPr>
                <w:rFonts w:cs="Arial"/>
                <w:color w:val="auto"/>
                <w:sz w:val="20"/>
                <w:szCs w:val="20"/>
              </w:rPr>
            </w:pPr>
            <w:r w:rsidRPr="00B217DC">
              <w:rPr>
                <w:rFonts w:cs="Arial"/>
                <w:color w:val="auto"/>
                <w:sz w:val="20"/>
                <w:szCs w:val="20"/>
              </w:rPr>
              <w:t>(R</w:t>
            </w:r>
            <w:r w:rsidR="00F57FC9" w:rsidRPr="00B217DC">
              <w:rPr>
                <w:rFonts w:cs="Arial"/>
                <w:color w:val="auto"/>
                <w:sz w:val="20"/>
                <w:szCs w:val="20"/>
              </w:rPr>
              <w:t xml:space="preserve">118,407 </w:t>
            </w:r>
            <w:r w:rsidRPr="00B217DC">
              <w:rPr>
                <w:rFonts w:cs="Arial"/>
                <w:color w:val="auto"/>
                <w:sz w:val="20"/>
                <w:szCs w:val="20"/>
              </w:rPr>
              <w:t>-CGE R</w:t>
            </w:r>
            <w:r w:rsidR="00F57FC9" w:rsidRPr="00B217DC">
              <w:rPr>
                <w:rFonts w:cs="Arial"/>
                <w:color w:val="auto"/>
                <w:sz w:val="20"/>
                <w:szCs w:val="20"/>
              </w:rPr>
              <w:t>91,376</w:t>
            </w:r>
            <w:r w:rsidRPr="00B217DC">
              <w:rPr>
                <w:rFonts w:cs="Arial"/>
                <w:color w:val="auto"/>
                <w:sz w:val="20"/>
                <w:szCs w:val="20"/>
              </w:rPr>
              <w:t>m)</w:t>
            </w:r>
          </w:p>
        </w:tc>
        <w:tc>
          <w:tcPr>
            <w:tcW w:w="799" w:type="pct"/>
            <w:vAlign w:val="center"/>
          </w:tcPr>
          <w:p w:rsidR="005634FA" w:rsidRPr="00B217DC" w:rsidRDefault="005634FA" w:rsidP="00B217DC">
            <w:pPr>
              <w:rPr>
                <w:rFonts w:cs="Arial"/>
                <w:color w:val="auto"/>
                <w:sz w:val="20"/>
                <w:szCs w:val="20"/>
              </w:rPr>
            </w:pPr>
            <w:r w:rsidRPr="00B217DC">
              <w:rPr>
                <w:rFonts w:cs="Arial"/>
                <w:color w:val="auto"/>
                <w:sz w:val="20"/>
                <w:szCs w:val="20"/>
              </w:rPr>
              <w:t>R91.376m</w:t>
            </w:r>
          </w:p>
          <w:p w:rsidR="005634FA" w:rsidRPr="00B217DC" w:rsidRDefault="005634FA" w:rsidP="00B217DC">
            <w:pPr>
              <w:rPr>
                <w:rFonts w:cs="Arial"/>
                <w:color w:val="auto"/>
                <w:sz w:val="20"/>
                <w:szCs w:val="20"/>
              </w:rPr>
            </w:pPr>
            <w:r w:rsidRPr="00B217DC">
              <w:rPr>
                <w:rFonts w:cs="Arial"/>
                <w:color w:val="auto"/>
                <w:sz w:val="20"/>
                <w:szCs w:val="20"/>
              </w:rPr>
              <w:t>(Rm-CGE Rm)</w:t>
            </w:r>
          </w:p>
          <w:p w:rsidR="005634FA" w:rsidRPr="00B217DC" w:rsidRDefault="005634FA" w:rsidP="00B217DC">
            <w:pPr>
              <w:rPr>
                <w:rFonts w:cs="Arial"/>
                <w:color w:val="auto"/>
                <w:sz w:val="20"/>
                <w:szCs w:val="20"/>
              </w:rPr>
            </w:pPr>
            <w:r w:rsidRPr="00B217DC">
              <w:rPr>
                <w:rFonts w:cs="Arial"/>
                <w:i/>
                <w:iCs/>
                <w:color w:val="auto"/>
                <w:sz w:val="20"/>
                <w:szCs w:val="20"/>
              </w:rPr>
              <w:t>%</w:t>
            </w:r>
          </w:p>
        </w:tc>
        <w:tc>
          <w:tcPr>
            <w:tcW w:w="843" w:type="pct"/>
          </w:tcPr>
          <w:p w:rsidR="005634FA" w:rsidRPr="00B217DC" w:rsidRDefault="005634FA" w:rsidP="00B217DC">
            <w:pPr>
              <w:rPr>
                <w:rFonts w:cs="Arial"/>
                <w:color w:val="auto"/>
                <w:sz w:val="20"/>
                <w:szCs w:val="20"/>
              </w:rPr>
            </w:pPr>
            <w:r w:rsidRPr="00B217DC">
              <w:rPr>
                <w:rFonts w:cs="Arial"/>
                <w:color w:val="auto"/>
                <w:sz w:val="20"/>
                <w:szCs w:val="20"/>
              </w:rPr>
              <w:t>R21,935 m</w:t>
            </w:r>
          </w:p>
          <w:p w:rsidR="005634FA" w:rsidRPr="00B217DC" w:rsidRDefault="005634FA" w:rsidP="00B217DC">
            <w:pPr>
              <w:rPr>
                <w:rFonts w:cs="Arial"/>
                <w:color w:val="auto"/>
                <w:sz w:val="20"/>
                <w:szCs w:val="20"/>
              </w:rPr>
            </w:pPr>
            <w:r w:rsidRPr="00B217DC">
              <w:rPr>
                <w:rFonts w:cs="Arial"/>
                <w:color w:val="auto"/>
                <w:sz w:val="20"/>
                <w:szCs w:val="20"/>
              </w:rPr>
              <w:t>(R113,311</w:t>
            </w:r>
            <w:r w:rsidR="00F57FC9" w:rsidRPr="00B217DC">
              <w:rPr>
                <w:rFonts w:cs="Arial"/>
                <w:color w:val="auto"/>
                <w:sz w:val="20"/>
                <w:szCs w:val="20"/>
              </w:rPr>
              <w:t xml:space="preserve"> -R91,375m)</w:t>
            </w:r>
          </w:p>
          <w:p w:rsidR="00F57FC9" w:rsidRPr="00B217DC" w:rsidRDefault="00F57FC9" w:rsidP="00B217DC">
            <w:pPr>
              <w:rPr>
                <w:rFonts w:cs="Arial"/>
                <w:color w:val="auto"/>
                <w:sz w:val="20"/>
                <w:szCs w:val="20"/>
              </w:rPr>
            </w:pPr>
            <w:r w:rsidRPr="00B217DC">
              <w:rPr>
                <w:rFonts w:cs="Arial"/>
                <w:color w:val="auto"/>
                <w:sz w:val="20"/>
                <w:szCs w:val="20"/>
              </w:rPr>
              <w:t>12.7%</w:t>
            </w:r>
          </w:p>
        </w:tc>
      </w:tr>
      <w:tr w:rsidR="006675BE" w:rsidRPr="00B217DC" w:rsidTr="00F57FC9">
        <w:trPr>
          <w:trHeight w:val="752"/>
        </w:trPr>
        <w:tc>
          <w:tcPr>
            <w:tcW w:w="937" w:type="pct"/>
          </w:tcPr>
          <w:p w:rsidR="005634FA" w:rsidRPr="00B217DC" w:rsidRDefault="005634FA" w:rsidP="00B217DC">
            <w:pPr>
              <w:rPr>
                <w:rFonts w:cs="Arial"/>
                <w:color w:val="auto"/>
                <w:sz w:val="20"/>
                <w:szCs w:val="20"/>
              </w:rPr>
            </w:pPr>
            <w:r w:rsidRPr="00B217DC">
              <w:rPr>
                <w:rFonts w:cs="Arial"/>
                <w:b/>
                <w:bCs/>
                <w:color w:val="auto"/>
                <w:sz w:val="20"/>
                <w:szCs w:val="20"/>
              </w:rPr>
              <w:t xml:space="preserve">3. Policy Coordination &amp; Knowledge Management </w:t>
            </w:r>
          </w:p>
        </w:tc>
        <w:tc>
          <w:tcPr>
            <w:tcW w:w="901"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35 668m</w:t>
            </w:r>
          </w:p>
        </w:tc>
        <w:tc>
          <w:tcPr>
            <w:tcW w:w="760"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26 059m</w:t>
            </w:r>
          </w:p>
        </w:tc>
        <w:tc>
          <w:tcPr>
            <w:tcW w:w="760"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Rm</w:t>
            </w:r>
          </w:p>
        </w:tc>
        <w:tc>
          <w:tcPr>
            <w:tcW w:w="799"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00F57FC9" w:rsidRPr="00B217DC">
              <w:rPr>
                <w:rFonts w:cs="Arial"/>
                <w:color w:val="auto"/>
                <w:sz w:val="20"/>
                <w:szCs w:val="20"/>
              </w:rPr>
              <w:t>26,059</w:t>
            </w:r>
            <w:r w:rsidRPr="00B217DC">
              <w:rPr>
                <w:rFonts w:cs="Arial"/>
                <w:color w:val="auto"/>
                <w:sz w:val="20"/>
                <w:szCs w:val="20"/>
              </w:rPr>
              <w:t>m</w:t>
            </w:r>
          </w:p>
          <w:p w:rsidR="005634FA" w:rsidRPr="00B217DC" w:rsidRDefault="00F57FC9" w:rsidP="00B217DC">
            <w:pPr>
              <w:rPr>
                <w:rFonts w:cs="Arial"/>
                <w:color w:val="auto"/>
                <w:sz w:val="20"/>
                <w:szCs w:val="20"/>
              </w:rPr>
            </w:pPr>
            <w:r w:rsidRPr="00B217DC">
              <w:rPr>
                <w:rFonts w:cs="Arial"/>
                <w:i/>
                <w:iCs/>
                <w:color w:val="auto"/>
                <w:sz w:val="20"/>
                <w:szCs w:val="20"/>
              </w:rPr>
              <w:t>73.0</w:t>
            </w:r>
            <w:r w:rsidR="005634FA" w:rsidRPr="00B217DC">
              <w:rPr>
                <w:rFonts w:cs="Arial"/>
                <w:i/>
                <w:iCs/>
                <w:color w:val="auto"/>
                <w:sz w:val="20"/>
                <w:szCs w:val="20"/>
              </w:rPr>
              <w:t>%</w:t>
            </w:r>
          </w:p>
        </w:tc>
        <w:tc>
          <w:tcPr>
            <w:tcW w:w="843" w:type="pct"/>
          </w:tcPr>
          <w:p w:rsidR="005634FA" w:rsidRPr="00B217DC" w:rsidRDefault="00F57FC9" w:rsidP="00B217DC">
            <w:pPr>
              <w:rPr>
                <w:rFonts w:cs="Arial"/>
                <w:color w:val="auto"/>
                <w:sz w:val="20"/>
                <w:szCs w:val="20"/>
              </w:rPr>
            </w:pPr>
            <w:r w:rsidRPr="00B217DC">
              <w:rPr>
                <w:rFonts w:cs="Arial"/>
                <w:color w:val="auto"/>
                <w:sz w:val="20"/>
                <w:szCs w:val="20"/>
              </w:rPr>
              <w:t>R26,059m</w:t>
            </w:r>
          </w:p>
          <w:p w:rsidR="00F57FC9" w:rsidRPr="00B217DC" w:rsidRDefault="00F57FC9" w:rsidP="00B217DC">
            <w:pPr>
              <w:rPr>
                <w:rFonts w:cs="Arial"/>
                <w:color w:val="auto"/>
                <w:sz w:val="20"/>
                <w:szCs w:val="20"/>
              </w:rPr>
            </w:pPr>
            <w:r w:rsidRPr="00B217DC">
              <w:rPr>
                <w:rFonts w:cs="Arial"/>
                <w:color w:val="auto"/>
                <w:sz w:val="20"/>
                <w:szCs w:val="20"/>
              </w:rPr>
              <w:t>15.1%</w:t>
            </w:r>
          </w:p>
        </w:tc>
      </w:tr>
      <w:tr w:rsidR="006675BE" w:rsidRPr="00B217DC" w:rsidTr="00F57FC9">
        <w:trPr>
          <w:trHeight w:val="633"/>
        </w:trPr>
        <w:tc>
          <w:tcPr>
            <w:tcW w:w="937" w:type="pct"/>
          </w:tcPr>
          <w:p w:rsidR="005634FA" w:rsidRPr="00B217DC" w:rsidRDefault="005634FA" w:rsidP="00B217DC">
            <w:pPr>
              <w:rPr>
                <w:rFonts w:cs="Arial"/>
                <w:color w:val="auto"/>
                <w:sz w:val="20"/>
                <w:szCs w:val="20"/>
              </w:rPr>
            </w:pPr>
            <w:r w:rsidRPr="00B217DC">
              <w:rPr>
                <w:rFonts w:cs="Arial"/>
                <w:b/>
                <w:bCs/>
                <w:color w:val="auto"/>
                <w:sz w:val="20"/>
                <w:szCs w:val="20"/>
              </w:rPr>
              <w:t xml:space="preserve">4. Rights of Persons with Disabilities </w:t>
            </w:r>
          </w:p>
        </w:tc>
        <w:tc>
          <w:tcPr>
            <w:tcW w:w="901"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16 383m</w:t>
            </w:r>
          </w:p>
        </w:tc>
        <w:tc>
          <w:tcPr>
            <w:tcW w:w="760"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10 887m</w:t>
            </w:r>
          </w:p>
        </w:tc>
        <w:tc>
          <w:tcPr>
            <w:tcW w:w="760"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Rm</w:t>
            </w:r>
          </w:p>
        </w:tc>
        <w:tc>
          <w:tcPr>
            <w:tcW w:w="799"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00F57FC9" w:rsidRPr="00B217DC">
              <w:rPr>
                <w:rFonts w:cs="Arial"/>
                <w:color w:val="auto"/>
                <w:sz w:val="20"/>
                <w:szCs w:val="20"/>
              </w:rPr>
              <w:t>10,887</w:t>
            </w:r>
            <w:r w:rsidRPr="00B217DC">
              <w:rPr>
                <w:rFonts w:cs="Arial"/>
                <w:color w:val="auto"/>
                <w:sz w:val="20"/>
                <w:szCs w:val="20"/>
              </w:rPr>
              <w:t>m</w:t>
            </w:r>
          </w:p>
          <w:p w:rsidR="005634FA" w:rsidRPr="00B217DC" w:rsidRDefault="00F57FC9" w:rsidP="00B217DC">
            <w:pPr>
              <w:rPr>
                <w:rFonts w:cs="Arial"/>
                <w:color w:val="auto"/>
                <w:sz w:val="20"/>
                <w:szCs w:val="20"/>
              </w:rPr>
            </w:pPr>
            <w:r w:rsidRPr="00B217DC">
              <w:rPr>
                <w:rFonts w:cs="Arial"/>
                <w:i/>
                <w:iCs/>
                <w:color w:val="auto"/>
                <w:sz w:val="20"/>
                <w:szCs w:val="20"/>
              </w:rPr>
              <w:t>66.4</w:t>
            </w:r>
            <w:r w:rsidR="005634FA" w:rsidRPr="00B217DC">
              <w:rPr>
                <w:rFonts w:cs="Arial"/>
                <w:i/>
                <w:iCs/>
                <w:color w:val="auto"/>
                <w:sz w:val="20"/>
                <w:szCs w:val="20"/>
              </w:rPr>
              <w:t>%</w:t>
            </w:r>
          </w:p>
        </w:tc>
        <w:tc>
          <w:tcPr>
            <w:tcW w:w="843" w:type="pct"/>
          </w:tcPr>
          <w:p w:rsidR="005634FA" w:rsidRPr="00B217DC" w:rsidRDefault="00F57FC9" w:rsidP="00B217DC">
            <w:pPr>
              <w:rPr>
                <w:rFonts w:cs="Arial"/>
                <w:color w:val="auto"/>
                <w:sz w:val="20"/>
                <w:szCs w:val="20"/>
              </w:rPr>
            </w:pPr>
            <w:r w:rsidRPr="00B217DC">
              <w:rPr>
                <w:rFonts w:cs="Arial"/>
                <w:color w:val="auto"/>
                <w:sz w:val="20"/>
                <w:szCs w:val="20"/>
              </w:rPr>
              <w:t>R10,887</w:t>
            </w:r>
          </w:p>
          <w:p w:rsidR="00F57FC9" w:rsidRPr="00B217DC" w:rsidRDefault="00F57FC9" w:rsidP="00B217DC">
            <w:pPr>
              <w:rPr>
                <w:rFonts w:cs="Arial"/>
                <w:color w:val="auto"/>
                <w:sz w:val="20"/>
                <w:szCs w:val="20"/>
              </w:rPr>
            </w:pPr>
            <w:r w:rsidRPr="00B217DC">
              <w:rPr>
                <w:rFonts w:cs="Arial"/>
                <w:color w:val="auto"/>
                <w:sz w:val="20"/>
                <w:szCs w:val="20"/>
              </w:rPr>
              <w:t>6.3%</w:t>
            </w:r>
          </w:p>
        </w:tc>
      </w:tr>
      <w:tr w:rsidR="006675BE" w:rsidRPr="00B217DC" w:rsidTr="00F57FC9">
        <w:trPr>
          <w:trHeight w:val="669"/>
        </w:trPr>
        <w:tc>
          <w:tcPr>
            <w:tcW w:w="937" w:type="pct"/>
          </w:tcPr>
          <w:p w:rsidR="005634FA" w:rsidRPr="00B217DC" w:rsidRDefault="005634FA" w:rsidP="00B217DC">
            <w:pPr>
              <w:rPr>
                <w:rFonts w:cs="Arial"/>
                <w:color w:val="auto"/>
                <w:sz w:val="20"/>
                <w:szCs w:val="20"/>
              </w:rPr>
            </w:pPr>
          </w:p>
          <w:p w:rsidR="005634FA" w:rsidRPr="00B217DC" w:rsidRDefault="005634FA" w:rsidP="00B217DC">
            <w:pPr>
              <w:rPr>
                <w:rFonts w:cs="Arial"/>
                <w:color w:val="auto"/>
                <w:sz w:val="20"/>
                <w:szCs w:val="20"/>
              </w:rPr>
            </w:pPr>
            <w:r w:rsidRPr="00B217DC">
              <w:rPr>
                <w:rFonts w:cs="Arial"/>
                <w:b/>
                <w:bCs/>
                <w:color w:val="auto"/>
                <w:sz w:val="20"/>
                <w:szCs w:val="20"/>
              </w:rPr>
              <w:t xml:space="preserve">5. National Youth Development </w:t>
            </w:r>
          </w:p>
          <w:p w:rsidR="005634FA" w:rsidRPr="00B217DC" w:rsidRDefault="005634FA" w:rsidP="00B217DC">
            <w:pPr>
              <w:rPr>
                <w:rFonts w:cs="Arial"/>
                <w:color w:val="auto"/>
                <w:sz w:val="20"/>
                <w:szCs w:val="20"/>
              </w:rPr>
            </w:pPr>
          </w:p>
        </w:tc>
        <w:tc>
          <w:tcPr>
            <w:tcW w:w="901"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913 141m</w:t>
            </w:r>
          </w:p>
        </w:tc>
        <w:tc>
          <w:tcPr>
            <w:tcW w:w="760" w:type="pct"/>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910 680m</w:t>
            </w:r>
          </w:p>
        </w:tc>
        <w:tc>
          <w:tcPr>
            <w:tcW w:w="760" w:type="pct"/>
            <w:gridSpan w:val="2"/>
            <w:vAlign w:val="center"/>
          </w:tcPr>
          <w:p w:rsidR="005634FA" w:rsidRPr="00B217DC" w:rsidRDefault="005634FA" w:rsidP="00B217DC">
            <w:pPr>
              <w:rPr>
                <w:rFonts w:cs="Arial"/>
                <w:color w:val="auto"/>
                <w:sz w:val="20"/>
                <w:szCs w:val="20"/>
              </w:rPr>
            </w:pPr>
            <w:r w:rsidRPr="00B217DC">
              <w:rPr>
                <w:rFonts w:cs="Arial"/>
                <w:color w:val="auto"/>
                <w:sz w:val="20"/>
                <w:szCs w:val="20"/>
              </w:rPr>
              <w:t>R</w:t>
            </w:r>
            <w:r w:rsidRPr="00B217DC">
              <w:rPr>
                <w:rFonts w:cs="Arial"/>
                <w:color w:val="auto"/>
                <w:spacing w:val="0"/>
                <w:sz w:val="20"/>
                <w:szCs w:val="20"/>
                <w:lang w:eastAsia="en-ZA"/>
              </w:rPr>
              <w:t xml:space="preserve"> </w:t>
            </w:r>
            <w:r w:rsidRPr="00B217DC">
              <w:rPr>
                <w:rFonts w:cs="Arial"/>
                <w:color w:val="auto"/>
                <w:sz w:val="20"/>
                <w:szCs w:val="20"/>
              </w:rPr>
              <w:t>900.962m</w:t>
            </w:r>
          </w:p>
          <w:p w:rsidR="005634FA" w:rsidRPr="00B217DC" w:rsidRDefault="005634FA" w:rsidP="00B217DC">
            <w:pPr>
              <w:rPr>
                <w:rFonts w:cs="Arial"/>
                <w:color w:val="auto"/>
                <w:sz w:val="20"/>
                <w:szCs w:val="20"/>
              </w:rPr>
            </w:pPr>
            <w:r w:rsidRPr="00B217DC">
              <w:rPr>
                <w:rFonts w:cs="Arial"/>
                <w:color w:val="auto"/>
                <w:sz w:val="20"/>
                <w:szCs w:val="20"/>
              </w:rPr>
              <w:t>(Rm – NYDA R0m)</w:t>
            </w:r>
          </w:p>
        </w:tc>
        <w:tc>
          <w:tcPr>
            <w:tcW w:w="799" w:type="pct"/>
            <w:vAlign w:val="center"/>
          </w:tcPr>
          <w:p w:rsidR="005634FA" w:rsidRPr="00B217DC" w:rsidRDefault="005634FA" w:rsidP="00B217DC">
            <w:pPr>
              <w:rPr>
                <w:rFonts w:cs="Arial"/>
                <w:color w:val="auto"/>
                <w:sz w:val="20"/>
                <w:szCs w:val="20"/>
              </w:rPr>
            </w:pPr>
            <w:r w:rsidRPr="00B217DC">
              <w:rPr>
                <w:rFonts w:cs="Arial"/>
                <w:color w:val="auto"/>
                <w:sz w:val="20"/>
                <w:szCs w:val="20"/>
              </w:rPr>
              <w:t>R900.962m</w:t>
            </w:r>
          </w:p>
          <w:p w:rsidR="005634FA" w:rsidRPr="00B217DC" w:rsidRDefault="005634FA" w:rsidP="00B217DC">
            <w:pPr>
              <w:rPr>
                <w:rFonts w:cs="Arial"/>
                <w:color w:val="auto"/>
                <w:sz w:val="20"/>
                <w:szCs w:val="20"/>
              </w:rPr>
            </w:pPr>
            <w:r w:rsidRPr="00B217DC">
              <w:rPr>
                <w:rFonts w:cs="Arial"/>
                <w:color w:val="auto"/>
                <w:sz w:val="20"/>
                <w:szCs w:val="20"/>
              </w:rPr>
              <w:t>(R</w:t>
            </w:r>
            <w:r w:rsidR="00F57FC9" w:rsidRPr="00B217DC">
              <w:rPr>
                <w:rFonts w:cs="Arial"/>
                <w:color w:val="auto"/>
                <w:sz w:val="20"/>
                <w:szCs w:val="20"/>
              </w:rPr>
              <w:t>910,680</w:t>
            </w:r>
            <w:r w:rsidRPr="00B217DC">
              <w:rPr>
                <w:rFonts w:cs="Arial"/>
                <w:color w:val="auto"/>
                <w:sz w:val="20"/>
                <w:szCs w:val="20"/>
              </w:rPr>
              <w:t>m</w:t>
            </w:r>
            <w:r w:rsidR="00F57FC9" w:rsidRPr="00B217DC">
              <w:rPr>
                <w:rFonts w:cs="Arial"/>
                <w:color w:val="auto"/>
                <w:sz w:val="20"/>
                <w:szCs w:val="20"/>
              </w:rPr>
              <w:t xml:space="preserve"> </w:t>
            </w:r>
            <w:r w:rsidRPr="00B217DC">
              <w:rPr>
                <w:rFonts w:cs="Arial"/>
                <w:color w:val="auto"/>
                <w:sz w:val="20"/>
                <w:szCs w:val="20"/>
              </w:rPr>
              <w:t>- NYDA R</w:t>
            </w:r>
            <w:r w:rsidR="00F57FC9" w:rsidRPr="00B217DC">
              <w:rPr>
                <w:rFonts w:cs="Arial"/>
                <w:color w:val="auto"/>
                <w:sz w:val="20"/>
                <w:szCs w:val="20"/>
              </w:rPr>
              <w:t>900,962</w:t>
            </w:r>
            <w:r w:rsidRPr="00B217DC">
              <w:rPr>
                <w:rFonts w:cs="Arial"/>
                <w:color w:val="auto"/>
                <w:sz w:val="20"/>
                <w:szCs w:val="20"/>
              </w:rPr>
              <w:t>m)</w:t>
            </w:r>
          </w:p>
          <w:p w:rsidR="005634FA" w:rsidRPr="00B217DC" w:rsidRDefault="00F57FC9" w:rsidP="00B217DC">
            <w:pPr>
              <w:rPr>
                <w:rFonts w:cs="Arial"/>
                <w:color w:val="auto"/>
                <w:sz w:val="20"/>
                <w:szCs w:val="20"/>
              </w:rPr>
            </w:pPr>
            <w:r w:rsidRPr="00B217DC">
              <w:rPr>
                <w:rFonts w:cs="Arial"/>
                <w:i/>
                <w:iCs/>
                <w:color w:val="auto"/>
                <w:sz w:val="20"/>
                <w:szCs w:val="20"/>
              </w:rPr>
              <w:t>79.7</w:t>
            </w:r>
            <w:r w:rsidR="005634FA" w:rsidRPr="00B217DC">
              <w:rPr>
                <w:rFonts w:cs="Arial"/>
                <w:i/>
                <w:iCs/>
                <w:color w:val="auto"/>
                <w:sz w:val="20"/>
                <w:szCs w:val="20"/>
              </w:rPr>
              <w:t>%</w:t>
            </w:r>
          </w:p>
        </w:tc>
        <w:tc>
          <w:tcPr>
            <w:tcW w:w="843" w:type="pct"/>
          </w:tcPr>
          <w:p w:rsidR="005634FA" w:rsidRPr="00B217DC" w:rsidRDefault="00F57FC9" w:rsidP="00B217DC">
            <w:pPr>
              <w:rPr>
                <w:rFonts w:cs="Arial"/>
                <w:color w:val="auto"/>
                <w:sz w:val="20"/>
                <w:szCs w:val="20"/>
              </w:rPr>
            </w:pPr>
            <w:r w:rsidRPr="00B217DC">
              <w:rPr>
                <w:rFonts w:cs="Arial"/>
                <w:color w:val="auto"/>
                <w:sz w:val="20"/>
                <w:szCs w:val="20"/>
              </w:rPr>
              <w:t>R9,718m</w:t>
            </w:r>
          </w:p>
          <w:p w:rsidR="00F57FC9" w:rsidRPr="00B217DC" w:rsidRDefault="00F57FC9" w:rsidP="00B217DC">
            <w:pPr>
              <w:rPr>
                <w:rFonts w:cs="Arial"/>
                <w:color w:val="auto"/>
                <w:sz w:val="20"/>
                <w:szCs w:val="20"/>
              </w:rPr>
            </w:pPr>
            <w:r w:rsidRPr="00B217DC">
              <w:rPr>
                <w:rFonts w:cs="Arial"/>
                <w:color w:val="auto"/>
                <w:sz w:val="20"/>
                <w:szCs w:val="20"/>
              </w:rPr>
              <w:t>(R910,680 -R900,962m)</w:t>
            </w:r>
          </w:p>
          <w:p w:rsidR="00F57FC9" w:rsidRPr="00B217DC" w:rsidRDefault="00F57FC9" w:rsidP="00B217DC">
            <w:pPr>
              <w:rPr>
                <w:rFonts w:cs="Arial"/>
                <w:color w:val="auto"/>
                <w:sz w:val="20"/>
                <w:szCs w:val="20"/>
              </w:rPr>
            </w:pPr>
            <w:r w:rsidRPr="00B217DC">
              <w:rPr>
                <w:rFonts w:cs="Arial"/>
                <w:color w:val="auto"/>
                <w:sz w:val="20"/>
                <w:szCs w:val="20"/>
              </w:rPr>
              <w:t>5.6%</w:t>
            </w:r>
          </w:p>
        </w:tc>
      </w:tr>
      <w:tr w:rsidR="006675BE" w:rsidRPr="00B217DC" w:rsidTr="00F57FC9">
        <w:trPr>
          <w:trHeight w:val="93"/>
        </w:trPr>
        <w:tc>
          <w:tcPr>
            <w:tcW w:w="937" w:type="pct"/>
            <w:shd w:val="clear" w:color="auto" w:fill="D9D9D9" w:themeFill="background1" w:themeFillShade="D9"/>
          </w:tcPr>
          <w:p w:rsidR="00F57FC9" w:rsidRPr="00B217DC" w:rsidRDefault="00F57FC9" w:rsidP="00B217DC">
            <w:pPr>
              <w:rPr>
                <w:rFonts w:cs="Arial"/>
                <w:color w:val="auto"/>
                <w:sz w:val="20"/>
                <w:szCs w:val="20"/>
              </w:rPr>
            </w:pPr>
            <w:r w:rsidRPr="00B217DC">
              <w:rPr>
                <w:rFonts w:cs="Arial"/>
                <w:b/>
                <w:bCs/>
                <w:color w:val="auto"/>
                <w:sz w:val="20"/>
                <w:szCs w:val="20"/>
              </w:rPr>
              <w:t xml:space="preserve">Total </w:t>
            </w:r>
          </w:p>
        </w:tc>
        <w:tc>
          <w:tcPr>
            <w:tcW w:w="901" w:type="pct"/>
            <w:gridSpan w:val="2"/>
            <w:shd w:val="clear" w:color="auto" w:fill="D9D9D9" w:themeFill="background1" w:themeFillShade="D9"/>
          </w:tcPr>
          <w:p w:rsidR="00F57FC9" w:rsidRPr="00B217DC" w:rsidRDefault="00F57FC9" w:rsidP="00B217DC">
            <w:pPr>
              <w:rPr>
                <w:rFonts w:cs="Arial"/>
                <w:b/>
                <w:bCs/>
                <w:color w:val="auto"/>
                <w:sz w:val="20"/>
                <w:szCs w:val="20"/>
              </w:rPr>
            </w:pPr>
            <w:r w:rsidRPr="00B217DC">
              <w:rPr>
                <w:rFonts w:cs="Arial"/>
                <w:b/>
                <w:bCs/>
                <w:color w:val="auto"/>
                <w:sz w:val="20"/>
                <w:szCs w:val="20"/>
              </w:rPr>
              <w:t>R</w:t>
            </w:r>
            <w:r w:rsidRPr="00B217DC">
              <w:rPr>
                <w:rFonts w:cs="Arial"/>
                <w:color w:val="auto"/>
                <w:spacing w:val="0"/>
                <w:sz w:val="20"/>
                <w:szCs w:val="20"/>
                <w:lang w:eastAsia="en-ZA"/>
              </w:rPr>
              <w:t xml:space="preserve"> </w:t>
            </w:r>
            <w:r w:rsidRPr="00B217DC">
              <w:rPr>
                <w:rFonts w:cs="Arial"/>
                <w:b/>
                <w:bCs/>
                <w:color w:val="auto"/>
                <w:sz w:val="20"/>
                <w:szCs w:val="20"/>
              </w:rPr>
              <w:t>1 195 508</w:t>
            </w:r>
          </w:p>
          <w:p w:rsidR="00F57FC9" w:rsidRPr="00B217DC" w:rsidRDefault="00F57FC9" w:rsidP="00B217DC">
            <w:pPr>
              <w:rPr>
                <w:rFonts w:cs="Arial"/>
                <w:color w:val="auto"/>
                <w:sz w:val="20"/>
                <w:szCs w:val="20"/>
              </w:rPr>
            </w:pPr>
            <w:r w:rsidRPr="00B217DC">
              <w:rPr>
                <w:rFonts w:cs="Arial"/>
                <w:b/>
                <w:bCs/>
                <w:color w:val="auto"/>
                <w:sz w:val="20"/>
                <w:szCs w:val="20"/>
              </w:rPr>
              <w:t xml:space="preserve">billion </w:t>
            </w:r>
          </w:p>
        </w:tc>
        <w:tc>
          <w:tcPr>
            <w:tcW w:w="760" w:type="pct"/>
            <w:shd w:val="clear" w:color="auto" w:fill="D9D9D9" w:themeFill="background1" w:themeFillShade="D9"/>
          </w:tcPr>
          <w:p w:rsidR="00F57FC9" w:rsidRPr="00B217DC" w:rsidRDefault="00F57FC9" w:rsidP="00B217DC">
            <w:pPr>
              <w:rPr>
                <w:rFonts w:cs="Arial"/>
                <w:b/>
                <w:bCs/>
                <w:color w:val="auto"/>
                <w:sz w:val="20"/>
                <w:szCs w:val="20"/>
              </w:rPr>
            </w:pPr>
            <w:r w:rsidRPr="00B217DC">
              <w:rPr>
                <w:rFonts w:cs="Arial"/>
                <w:b/>
                <w:bCs/>
                <w:color w:val="auto"/>
                <w:sz w:val="20"/>
                <w:szCs w:val="20"/>
              </w:rPr>
              <w:t>R 1 164 423</w:t>
            </w:r>
          </w:p>
          <w:p w:rsidR="00F57FC9" w:rsidRPr="00B217DC" w:rsidRDefault="00F57FC9" w:rsidP="00B217DC">
            <w:pPr>
              <w:rPr>
                <w:rFonts w:cs="Arial"/>
                <w:color w:val="auto"/>
                <w:sz w:val="20"/>
                <w:szCs w:val="20"/>
              </w:rPr>
            </w:pPr>
            <w:r w:rsidRPr="00B217DC">
              <w:rPr>
                <w:rFonts w:cs="Arial"/>
                <w:b/>
                <w:bCs/>
                <w:color w:val="auto"/>
                <w:sz w:val="20"/>
                <w:szCs w:val="20"/>
              </w:rPr>
              <w:t>billion</w:t>
            </w:r>
          </w:p>
        </w:tc>
        <w:tc>
          <w:tcPr>
            <w:tcW w:w="760" w:type="pct"/>
            <w:gridSpan w:val="2"/>
            <w:shd w:val="clear" w:color="auto" w:fill="D9D9D9" w:themeFill="background1" w:themeFillShade="D9"/>
          </w:tcPr>
          <w:p w:rsidR="00F57FC9" w:rsidRPr="00B217DC" w:rsidRDefault="00F57FC9" w:rsidP="00B217DC">
            <w:pPr>
              <w:rPr>
                <w:rFonts w:cs="Arial"/>
                <w:color w:val="auto"/>
                <w:sz w:val="20"/>
                <w:szCs w:val="20"/>
              </w:rPr>
            </w:pPr>
            <w:r w:rsidRPr="00B217DC">
              <w:rPr>
                <w:rFonts w:cs="Arial"/>
                <w:b/>
                <w:bCs/>
                <w:color w:val="auto"/>
                <w:sz w:val="20"/>
                <w:szCs w:val="20"/>
              </w:rPr>
              <w:t>R 203,170m</w:t>
            </w:r>
          </w:p>
        </w:tc>
        <w:tc>
          <w:tcPr>
            <w:tcW w:w="1642" w:type="pct"/>
            <w:gridSpan w:val="2"/>
            <w:shd w:val="clear" w:color="auto" w:fill="D9D9D9" w:themeFill="background1" w:themeFillShade="D9"/>
          </w:tcPr>
          <w:p w:rsidR="00F57FC9" w:rsidRPr="00B217DC" w:rsidRDefault="00F57FC9" w:rsidP="00B217DC">
            <w:pPr>
              <w:rPr>
                <w:rFonts w:cs="Arial"/>
                <w:b/>
                <w:bCs/>
                <w:color w:val="auto"/>
                <w:sz w:val="20"/>
                <w:szCs w:val="20"/>
              </w:rPr>
            </w:pPr>
            <w:r w:rsidRPr="00B217DC">
              <w:rPr>
                <w:rFonts w:cs="Arial"/>
                <w:b/>
                <w:bCs/>
                <w:color w:val="auto"/>
                <w:sz w:val="20"/>
                <w:szCs w:val="20"/>
              </w:rPr>
              <w:t>R172,085m</w:t>
            </w:r>
          </w:p>
        </w:tc>
      </w:tr>
      <w:tr w:rsidR="006675BE" w:rsidRPr="00B217DC" w:rsidTr="00F57FC9">
        <w:trPr>
          <w:trHeight w:val="243"/>
        </w:trPr>
        <w:tc>
          <w:tcPr>
            <w:tcW w:w="1514" w:type="pct"/>
            <w:gridSpan w:val="2"/>
            <w:shd w:val="clear" w:color="auto" w:fill="A6A6A6" w:themeFill="background1" w:themeFillShade="A6"/>
          </w:tcPr>
          <w:p w:rsidR="00F57FC9" w:rsidRPr="00B217DC" w:rsidRDefault="00F57FC9" w:rsidP="00B217DC">
            <w:pPr>
              <w:rPr>
                <w:rFonts w:cs="Arial"/>
                <w:b/>
                <w:bCs/>
                <w:color w:val="auto"/>
                <w:sz w:val="20"/>
                <w:szCs w:val="20"/>
              </w:rPr>
            </w:pPr>
            <w:r w:rsidRPr="00B217DC">
              <w:rPr>
                <w:rFonts w:cs="Arial"/>
                <w:b/>
                <w:bCs/>
                <w:color w:val="auto"/>
                <w:sz w:val="20"/>
                <w:szCs w:val="20"/>
              </w:rPr>
              <w:t xml:space="preserve">Total under-expenditure = </w:t>
            </w:r>
          </w:p>
          <w:p w:rsidR="00F57FC9" w:rsidRPr="00B217DC" w:rsidRDefault="00F57FC9" w:rsidP="00B217DC">
            <w:pPr>
              <w:rPr>
                <w:rFonts w:cs="Arial"/>
                <w:color w:val="auto"/>
                <w:sz w:val="20"/>
                <w:szCs w:val="20"/>
              </w:rPr>
            </w:pPr>
            <w:r w:rsidRPr="00B217DC">
              <w:rPr>
                <w:rFonts w:cs="Arial"/>
                <w:b/>
                <w:bCs/>
                <w:color w:val="auto"/>
                <w:sz w:val="20"/>
                <w:szCs w:val="20"/>
              </w:rPr>
              <w:t>R</w:t>
            </w:r>
            <w:r w:rsidRPr="00B217DC">
              <w:rPr>
                <w:rFonts w:cs="Arial"/>
                <w:color w:val="auto"/>
                <w:spacing w:val="0"/>
                <w:sz w:val="20"/>
                <w:szCs w:val="20"/>
                <w:lang w:eastAsia="en-ZA"/>
              </w:rPr>
              <w:t xml:space="preserve"> </w:t>
            </w:r>
            <w:r w:rsidRPr="00B217DC">
              <w:rPr>
                <w:rFonts w:cs="Arial"/>
                <w:b/>
                <w:bCs/>
                <w:color w:val="auto"/>
                <w:sz w:val="20"/>
                <w:szCs w:val="20"/>
              </w:rPr>
              <w:t xml:space="preserve">31,085m </w:t>
            </w:r>
          </w:p>
        </w:tc>
        <w:tc>
          <w:tcPr>
            <w:tcW w:w="1334" w:type="pct"/>
            <w:gridSpan w:val="3"/>
            <w:shd w:val="clear" w:color="auto" w:fill="A6A6A6" w:themeFill="background1" w:themeFillShade="A6"/>
          </w:tcPr>
          <w:p w:rsidR="00F57FC9" w:rsidRPr="00B217DC" w:rsidRDefault="00F57FC9" w:rsidP="00B217DC">
            <w:pPr>
              <w:rPr>
                <w:rFonts w:cs="Arial"/>
                <w:color w:val="auto"/>
                <w:sz w:val="20"/>
                <w:szCs w:val="20"/>
              </w:rPr>
            </w:pPr>
            <w:r w:rsidRPr="00B217DC">
              <w:rPr>
                <w:rFonts w:cs="Arial"/>
                <w:b/>
                <w:bCs/>
                <w:color w:val="auto"/>
                <w:sz w:val="20"/>
                <w:szCs w:val="20"/>
              </w:rPr>
              <w:t>Total budget expenditure = 97.4%</w:t>
            </w:r>
          </w:p>
        </w:tc>
        <w:tc>
          <w:tcPr>
            <w:tcW w:w="2152" w:type="pct"/>
            <w:gridSpan w:val="3"/>
            <w:shd w:val="clear" w:color="auto" w:fill="A6A6A6" w:themeFill="background1" w:themeFillShade="A6"/>
          </w:tcPr>
          <w:p w:rsidR="00F57FC9" w:rsidRPr="00B217DC" w:rsidRDefault="00F57FC9" w:rsidP="00B217DC">
            <w:pPr>
              <w:rPr>
                <w:rFonts w:cs="Arial"/>
                <w:b/>
                <w:bCs/>
                <w:color w:val="auto"/>
                <w:sz w:val="20"/>
                <w:szCs w:val="20"/>
              </w:rPr>
            </w:pPr>
            <w:r w:rsidRPr="00B217DC">
              <w:rPr>
                <w:rFonts w:cs="Arial"/>
                <w:b/>
                <w:bCs/>
                <w:color w:val="auto"/>
                <w:sz w:val="20"/>
                <w:szCs w:val="20"/>
              </w:rPr>
              <w:t>Total expenditure, i.e. operational budget = 84.7%</w:t>
            </w:r>
          </w:p>
        </w:tc>
      </w:tr>
    </w:tbl>
    <w:p w:rsidR="00E32D74" w:rsidRPr="00B217DC" w:rsidRDefault="00E32D74" w:rsidP="00B217DC">
      <w:pPr>
        <w:rPr>
          <w:rFonts w:cs="Arial"/>
          <w:color w:val="auto"/>
          <w:sz w:val="20"/>
          <w:szCs w:val="20"/>
          <w:lang w:val="en-GB"/>
        </w:rPr>
      </w:pPr>
    </w:p>
    <w:p w:rsidR="00AE1360" w:rsidRPr="00B217DC" w:rsidRDefault="003B6E15" w:rsidP="00B217DC">
      <w:pPr>
        <w:rPr>
          <w:rFonts w:cs="Arial"/>
          <w:bCs/>
          <w:color w:val="auto"/>
          <w:sz w:val="20"/>
          <w:szCs w:val="20"/>
        </w:rPr>
      </w:pPr>
      <w:r w:rsidRPr="00B217DC">
        <w:rPr>
          <w:rFonts w:cs="Arial"/>
          <w:color w:val="auto"/>
          <w:sz w:val="20"/>
          <w:szCs w:val="20"/>
        </w:rPr>
        <w:t xml:space="preserve">The </w:t>
      </w:r>
      <w:r w:rsidR="00AE1360" w:rsidRPr="00B217DC">
        <w:rPr>
          <w:rFonts w:cs="Arial"/>
          <w:color w:val="auto"/>
          <w:sz w:val="20"/>
          <w:szCs w:val="20"/>
        </w:rPr>
        <w:t>t</w:t>
      </w:r>
      <w:r w:rsidRPr="00B217DC">
        <w:rPr>
          <w:rFonts w:cs="Arial"/>
          <w:color w:val="auto"/>
          <w:sz w:val="20"/>
          <w:szCs w:val="20"/>
        </w:rPr>
        <w:t>able</w:t>
      </w:r>
      <w:r w:rsidR="00AE1360" w:rsidRPr="00B217DC">
        <w:rPr>
          <w:rFonts w:cs="Arial"/>
          <w:color w:val="auto"/>
          <w:sz w:val="20"/>
          <w:szCs w:val="20"/>
        </w:rPr>
        <w:t xml:space="preserve"> provides </w:t>
      </w:r>
      <w:r w:rsidR="007111DF" w:rsidRPr="00B217DC">
        <w:rPr>
          <w:rFonts w:cs="Arial"/>
          <w:color w:val="auto"/>
          <w:sz w:val="20"/>
          <w:szCs w:val="20"/>
        </w:rPr>
        <w:t>an</w:t>
      </w:r>
      <w:r w:rsidR="00AE1360" w:rsidRPr="00B217DC">
        <w:rPr>
          <w:rFonts w:cs="Arial"/>
          <w:color w:val="auto"/>
          <w:sz w:val="20"/>
          <w:szCs w:val="20"/>
        </w:rPr>
        <w:t xml:space="preserve"> overview of expenditure as at the end of the 202</w:t>
      </w:r>
      <w:r w:rsidR="008B323A" w:rsidRPr="00B217DC">
        <w:rPr>
          <w:rFonts w:cs="Arial"/>
          <w:color w:val="auto"/>
          <w:sz w:val="20"/>
          <w:szCs w:val="20"/>
        </w:rPr>
        <w:t>1/22</w:t>
      </w:r>
      <w:r w:rsidR="00AE1360" w:rsidRPr="00B217DC">
        <w:rPr>
          <w:rFonts w:cs="Arial"/>
          <w:color w:val="auto"/>
          <w:sz w:val="20"/>
          <w:szCs w:val="20"/>
        </w:rPr>
        <w:t xml:space="preserve"> financial year. </w:t>
      </w:r>
      <w:r w:rsidR="00AE1360" w:rsidRPr="00B217DC">
        <w:rPr>
          <w:rFonts w:cs="Arial"/>
          <w:bCs/>
          <w:color w:val="auto"/>
          <w:sz w:val="20"/>
          <w:szCs w:val="20"/>
        </w:rPr>
        <w:t>The following can be noted:</w:t>
      </w:r>
      <w:r w:rsidR="004F6C2D" w:rsidRPr="00B217DC">
        <w:rPr>
          <w:rStyle w:val="FootnoteReference"/>
          <w:rFonts w:cs="Arial"/>
          <w:bCs/>
          <w:color w:val="auto"/>
          <w:sz w:val="20"/>
          <w:szCs w:val="20"/>
        </w:rPr>
        <w:footnoteReference w:id="9"/>
      </w:r>
      <w:r w:rsidR="00AE1360" w:rsidRPr="00B217DC">
        <w:rPr>
          <w:rFonts w:cs="Arial"/>
          <w:bCs/>
          <w:color w:val="auto"/>
          <w:sz w:val="20"/>
          <w:szCs w:val="20"/>
        </w:rPr>
        <w:t xml:space="preserve"> </w:t>
      </w:r>
    </w:p>
    <w:p w:rsidR="004F6C2D" w:rsidRPr="00B217DC" w:rsidRDefault="004F6C2D" w:rsidP="00B217DC">
      <w:pPr>
        <w:rPr>
          <w:rFonts w:cs="Arial"/>
          <w:color w:val="auto"/>
          <w:sz w:val="20"/>
          <w:szCs w:val="20"/>
        </w:rPr>
      </w:pPr>
    </w:p>
    <w:p w:rsidR="00AE1360" w:rsidRPr="00B217DC" w:rsidRDefault="00AE1360" w:rsidP="00B217DC">
      <w:pPr>
        <w:pStyle w:val="ListParagraph"/>
        <w:numPr>
          <w:ilvl w:val="0"/>
          <w:numId w:val="87"/>
        </w:numPr>
        <w:rPr>
          <w:rFonts w:cs="Arial"/>
          <w:color w:val="auto"/>
          <w:sz w:val="20"/>
          <w:szCs w:val="20"/>
        </w:rPr>
      </w:pPr>
      <w:r w:rsidRPr="00B217DC">
        <w:rPr>
          <w:rFonts w:cs="Arial"/>
          <w:color w:val="auto"/>
          <w:sz w:val="20"/>
          <w:szCs w:val="20"/>
        </w:rPr>
        <w:t>When considering the overall expenditure of the Department based on its total appropriation of R</w:t>
      </w:r>
      <w:r w:rsidR="009451A6" w:rsidRPr="00B217DC">
        <w:rPr>
          <w:rFonts w:cs="Arial"/>
          <w:color w:val="auto"/>
          <w:sz w:val="20"/>
          <w:szCs w:val="20"/>
        </w:rPr>
        <w:t>1.195 508 billion</w:t>
      </w:r>
      <w:r w:rsidRPr="00B217DC">
        <w:rPr>
          <w:rFonts w:cs="Arial"/>
          <w:color w:val="auto"/>
          <w:sz w:val="20"/>
          <w:szCs w:val="20"/>
        </w:rPr>
        <w:t xml:space="preserve">, it appears that the Department has spent </w:t>
      </w:r>
      <w:r w:rsidR="009451A6" w:rsidRPr="00B217DC">
        <w:rPr>
          <w:rFonts w:cs="Arial"/>
          <w:color w:val="auto"/>
          <w:sz w:val="20"/>
          <w:szCs w:val="20"/>
        </w:rPr>
        <w:t>97.4</w:t>
      </w:r>
      <w:r w:rsidRPr="00B217DC">
        <w:rPr>
          <w:rFonts w:cs="Arial"/>
          <w:color w:val="auto"/>
          <w:sz w:val="20"/>
          <w:szCs w:val="20"/>
        </w:rPr>
        <w:t>% or R</w:t>
      </w:r>
      <w:r w:rsidR="009451A6" w:rsidRPr="00B217DC">
        <w:rPr>
          <w:rFonts w:cs="Arial"/>
          <w:color w:val="auto"/>
          <w:sz w:val="20"/>
          <w:szCs w:val="20"/>
        </w:rPr>
        <w:t>1.164 423 billion</w:t>
      </w:r>
      <w:r w:rsidRPr="00B217DC">
        <w:rPr>
          <w:rFonts w:cs="Arial"/>
          <w:color w:val="auto"/>
          <w:sz w:val="20"/>
          <w:szCs w:val="20"/>
        </w:rPr>
        <w:t xml:space="preserve"> million of its </w:t>
      </w:r>
      <w:r w:rsidR="008D1254" w:rsidRPr="00B217DC">
        <w:rPr>
          <w:rFonts w:cs="Arial"/>
          <w:color w:val="auto"/>
          <w:sz w:val="20"/>
          <w:szCs w:val="20"/>
        </w:rPr>
        <w:t xml:space="preserve">total </w:t>
      </w:r>
      <w:r w:rsidRPr="00B217DC">
        <w:rPr>
          <w:rFonts w:cs="Arial"/>
          <w:color w:val="auto"/>
          <w:sz w:val="20"/>
          <w:szCs w:val="20"/>
        </w:rPr>
        <w:t xml:space="preserve">budget. </w:t>
      </w:r>
    </w:p>
    <w:p w:rsidR="00AE1360" w:rsidRPr="00B217DC" w:rsidRDefault="00AE1360" w:rsidP="00B217DC">
      <w:pPr>
        <w:pStyle w:val="ListParagraph"/>
        <w:numPr>
          <w:ilvl w:val="0"/>
          <w:numId w:val="87"/>
        </w:numPr>
        <w:rPr>
          <w:rFonts w:cs="Arial"/>
          <w:color w:val="auto"/>
          <w:sz w:val="20"/>
          <w:szCs w:val="20"/>
        </w:rPr>
      </w:pPr>
      <w:r w:rsidRPr="00B217DC">
        <w:rPr>
          <w:rFonts w:cs="Arial"/>
          <w:color w:val="auto"/>
          <w:sz w:val="20"/>
          <w:szCs w:val="20"/>
        </w:rPr>
        <w:t>However, when considering the budget less the transfer payments to the CGE and NYDA, i.e. the operational budget (</w:t>
      </w:r>
      <w:r w:rsidR="00BF70C4" w:rsidRPr="00B217DC">
        <w:rPr>
          <w:rFonts w:cs="Arial"/>
          <w:color w:val="auto"/>
          <w:sz w:val="20"/>
          <w:szCs w:val="20"/>
          <w:lang w:val="en-GB"/>
        </w:rPr>
        <w:t>R203</w:t>
      </w:r>
      <w:r w:rsidR="00F57FC9" w:rsidRPr="00B217DC">
        <w:rPr>
          <w:rFonts w:cs="Arial"/>
          <w:color w:val="auto"/>
          <w:sz w:val="20"/>
          <w:szCs w:val="20"/>
          <w:lang w:val="en-GB"/>
        </w:rPr>
        <w:t>,</w:t>
      </w:r>
      <w:r w:rsidR="00BF70C4" w:rsidRPr="00B217DC">
        <w:rPr>
          <w:rFonts w:cs="Arial"/>
          <w:color w:val="auto"/>
          <w:sz w:val="20"/>
          <w:szCs w:val="20"/>
          <w:lang w:val="en-GB"/>
        </w:rPr>
        <w:t xml:space="preserve">170 </w:t>
      </w:r>
      <w:r w:rsidRPr="00B217DC">
        <w:rPr>
          <w:rFonts w:cs="Arial"/>
          <w:color w:val="auto"/>
          <w:sz w:val="20"/>
          <w:szCs w:val="20"/>
        </w:rPr>
        <w:t xml:space="preserve">million), the Department has spent </w:t>
      </w:r>
      <w:r w:rsidR="00E37C6B" w:rsidRPr="00B217DC">
        <w:rPr>
          <w:rFonts w:cs="Arial"/>
          <w:color w:val="auto"/>
          <w:sz w:val="20"/>
          <w:szCs w:val="20"/>
        </w:rPr>
        <w:t>84.7</w:t>
      </w:r>
      <w:r w:rsidRPr="00B217DC">
        <w:rPr>
          <w:rFonts w:cs="Arial"/>
          <w:color w:val="auto"/>
          <w:sz w:val="20"/>
          <w:szCs w:val="20"/>
        </w:rPr>
        <w:t>% or R</w:t>
      </w:r>
      <w:r w:rsidR="004279DA" w:rsidRPr="00B217DC">
        <w:rPr>
          <w:rFonts w:cs="Arial"/>
          <w:color w:val="auto"/>
          <w:sz w:val="20"/>
          <w:szCs w:val="20"/>
        </w:rPr>
        <w:t>172</w:t>
      </w:r>
      <w:r w:rsidR="00E37C6B" w:rsidRPr="00B217DC">
        <w:rPr>
          <w:rFonts w:cs="Arial"/>
          <w:color w:val="auto"/>
          <w:sz w:val="20"/>
          <w:szCs w:val="20"/>
        </w:rPr>
        <w:t>,</w:t>
      </w:r>
      <w:r w:rsidR="004279DA" w:rsidRPr="00B217DC">
        <w:rPr>
          <w:rFonts w:cs="Arial"/>
          <w:color w:val="auto"/>
          <w:sz w:val="20"/>
          <w:szCs w:val="20"/>
        </w:rPr>
        <w:t>085</w:t>
      </w:r>
      <w:r w:rsidRPr="00B217DC">
        <w:rPr>
          <w:rFonts w:cs="Arial"/>
          <w:color w:val="auto"/>
          <w:sz w:val="20"/>
          <w:szCs w:val="20"/>
        </w:rPr>
        <w:t xml:space="preserve"> million of the operational budget. </w:t>
      </w:r>
    </w:p>
    <w:p w:rsidR="007D6A28" w:rsidRPr="00B217DC" w:rsidRDefault="007D6A28" w:rsidP="00B217DC">
      <w:pPr>
        <w:pStyle w:val="ListParagraph"/>
        <w:numPr>
          <w:ilvl w:val="0"/>
          <w:numId w:val="87"/>
        </w:numPr>
        <w:rPr>
          <w:rFonts w:cs="Arial"/>
          <w:color w:val="auto"/>
          <w:sz w:val="20"/>
          <w:szCs w:val="20"/>
        </w:rPr>
      </w:pPr>
      <w:r w:rsidRPr="00B217DC">
        <w:rPr>
          <w:rFonts w:cs="Arial"/>
          <w:color w:val="auto"/>
          <w:sz w:val="20"/>
          <w:szCs w:val="20"/>
        </w:rPr>
        <w:t>The bulk of the Department’s operational budget was still allocated to its Administration Programme (Programme 1). This programme also consumed the largest expenditure (R</w:t>
      </w:r>
      <w:r w:rsidR="00B252C5" w:rsidRPr="00B217DC">
        <w:rPr>
          <w:rFonts w:cs="Arial"/>
          <w:color w:val="auto"/>
          <w:sz w:val="20"/>
          <w:szCs w:val="20"/>
        </w:rPr>
        <w:t>103</w:t>
      </w:r>
      <w:r w:rsidR="004F6C2D" w:rsidRPr="00B217DC">
        <w:rPr>
          <w:rFonts w:cs="Arial"/>
          <w:color w:val="auto"/>
          <w:sz w:val="20"/>
          <w:szCs w:val="20"/>
        </w:rPr>
        <w:t>,</w:t>
      </w:r>
      <w:r w:rsidR="00B252C5" w:rsidRPr="00B217DC">
        <w:rPr>
          <w:rFonts w:cs="Arial"/>
          <w:color w:val="auto"/>
          <w:sz w:val="20"/>
          <w:szCs w:val="20"/>
        </w:rPr>
        <w:t xml:space="preserve">486 </w:t>
      </w:r>
      <w:r w:rsidRPr="00B217DC">
        <w:rPr>
          <w:rFonts w:cs="Arial"/>
          <w:color w:val="auto"/>
          <w:sz w:val="20"/>
          <w:szCs w:val="20"/>
        </w:rPr>
        <w:t>m) of the Department’s operat</w:t>
      </w:r>
      <w:r w:rsidR="008B323A" w:rsidRPr="00B217DC">
        <w:rPr>
          <w:rFonts w:cs="Arial"/>
          <w:color w:val="auto"/>
          <w:sz w:val="20"/>
          <w:szCs w:val="20"/>
        </w:rPr>
        <w:t xml:space="preserve">ional budget which amounted to </w:t>
      </w:r>
      <w:r w:rsidR="004F6C2D" w:rsidRPr="00B217DC">
        <w:rPr>
          <w:rFonts w:cs="Arial"/>
          <w:color w:val="auto"/>
          <w:sz w:val="20"/>
          <w:szCs w:val="20"/>
        </w:rPr>
        <w:t>60.</w:t>
      </w:r>
      <w:r w:rsidR="008C4F20" w:rsidRPr="00B217DC">
        <w:rPr>
          <w:rFonts w:cs="Arial"/>
          <w:color w:val="auto"/>
          <w:sz w:val="20"/>
          <w:szCs w:val="20"/>
        </w:rPr>
        <w:t>1</w:t>
      </w:r>
      <w:r w:rsidRPr="00B217DC">
        <w:rPr>
          <w:rFonts w:cs="Arial"/>
          <w:color w:val="auto"/>
          <w:sz w:val="20"/>
          <w:szCs w:val="20"/>
        </w:rPr>
        <w:t>%.</w:t>
      </w:r>
      <w:r w:rsidR="004F6C2D" w:rsidRPr="00B217DC">
        <w:rPr>
          <w:rFonts w:cs="Arial"/>
          <w:color w:val="auto"/>
          <w:sz w:val="20"/>
          <w:szCs w:val="20"/>
        </w:rPr>
        <w:t xml:space="preserve"> Programme 4, the Rights of Persons with Disabilities accounts for only 6.3% of expenditure, while Programme 5, National Youth Development accounts for only 5.6% of operational expenditure.</w:t>
      </w:r>
    </w:p>
    <w:p w:rsidR="00AE1360" w:rsidRPr="00B217DC" w:rsidRDefault="00AE1360" w:rsidP="00B217DC">
      <w:pPr>
        <w:pStyle w:val="ListParagraph"/>
        <w:numPr>
          <w:ilvl w:val="0"/>
          <w:numId w:val="87"/>
        </w:numPr>
        <w:rPr>
          <w:rFonts w:cs="Arial"/>
          <w:color w:val="auto"/>
          <w:sz w:val="20"/>
          <w:szCs w:val="20"/>
        </w:rPr>
      </w:pPr>
      <w:r w:rsidRPr="00B217DC">
        <w:rPr>
          <w:rFonts w:cs="Arial"/>
          <w:color w:val="auto"/>
          <w:sz w:val="20"/>
          <w:szCs w:val="20"/>
        </w:rPr>
        <w:lastRenderedPageBreak/>
        <w:t>Total under-expend</w:t>
      </w:r>
      <w:r w:rsidR="009451A6" w:rsidRPr="00B217DC">
        <w:rPr>
          <w:rFonts w:cs="Arial"/>
          <w:color w:val="auto"/>
          <w:sz w:val="20"/>
          <w:szCs w:val="20"/>
        </w:rPr>
        <w:t>iture for the year amounts to R3</w:t>
      </w:r>
      <w:r w:rsidR="008C4F20" w:rsidRPr="00B217DC">
        <w:rPr>
          <w:rFonts w:cs="Arial"/>
          <w:color w:val="auto"/>
          <w:sz w:val="20"/>
          <w:szCs w:val="20"/>
        </w:rPr>
        <w:t>1</w:t>
      </w:r>
      <w:r w:rsidR="004F6C2D" w:rsidRPr="00B217DC">
        <w:rPr>
          <w:rFonts w:cs="Arial"/>
          <w:color w:val="auto"/>
          <w:sz w:val="20"/>
          <w:szCs w:val="20"/>
        </w:rPr>
        <w:t>,</w:t>
      </w:r>
      <w:r w:rsidR="008C4F20" w:rsidRPr="00B217DC">
        <w:rPr>
          <w:rFonts w:cs="Arial"/>
          <w:color w:val="auto"/>
          <w:sz w:val="20"/>
          <w:szCs w:val="20"/>
        </w:rPr>
        <w:t>085</w:t>
      </w:r>
      <w:r w:rsidRPr="00B217DC">
        <w:rPr>
          <w:rFonts w:cs="Arial"/>
          <w:color w:val="auto"/>
          <w:sz w:val="20"/>
          <w:szCs w:val="20"/>
        </w:rPr>
        <w:t xml:space="preserve"> million. </w:t>
      </w:r>
    </w:p>
    <w:p w:rsidR="00AE1360" w:rsidRPr="00B217DC" w:rsidRDefault="00AE1360" w:rsidP="00B217DC">
      <w:pPr>
        <w:rPr>
          <w:rFonts w:cs="Arial"/>
          <w:color w:val="auto"/>
          <w:sz w:val="20"/>
          <w:szCs w:val="20"/>
        </w:rPr>
      </w:pPr>
    </w:p>
    <w:p w:rsidR="00AE1360" w:rsidRPr="00B217DC" w:rsidRDefault="00AE1360" w:rsidP="00B217DC">
      <w:pPr>
        <w:rPr>
          <w:rFonts w:cs="Arial"/>
          <w:color w:val="auto"/>
          <w:sz w:val="20"/>
          <w:szCs w:val="20"/>
        </w:rPr>
      </w:pPr>
      <w:r w:rsidRPr="00B217DC">
        <w:rPr>
          <w:rFonts w:cs="Arial"/>
          <w:bCs/>
          <w:color w:val="auto"/>
          <w:sz w:val="20"/>
          <w:szCs w:val="20"/>
        </w:rPr>
        <w:t xml:space="preserve">The Department reports that it has requested the following roll-over funds from National Treasury: </w:t>
      </w:r>
    </w:p>
    <w:p w:rsidR="00E32D74" w:rsidRPr="00B217DC" w:rsidRDefault="00E32D74" w:rsidP="00B217DC">
      <w:pPr>
        <w:rPr>
          <w:rFonts w:cs="Arial"/>
          <w:color w:val="auto"/>
          <w:sz w:val="20"/>
          <w:szCs w:val="20"/>
          <w:lang w:val="en-GB"/>
        </w:rPr>
      </w:pPr>
    </w:p>
    <w:p w:rsidR="004F6C2D" w:rsidRPr="00B217DC" w:rsidRDefault="004F6C2D" w:rsidP="00B217DC">
      <w:pPr>
        <w:pStyle w:val="ListParagraph"/>
        <w:numPr>
          <w:ilvl w:val="0"/>
          <w:numId w:val="129"/>
        </w:numPr>
        <w:rPr>
          <w:rFonts w:cs="Arial"/>
          <w:color w:val="auto"/>
          <w:sz w:val="20"/>
          <w:szCs w:val="20"/>
          <w:lang w:val="en-GB"/>
        </w:rPr>
      </w:pPr>
      <w:r w:rsidRPr="00B217DC">
        <w:rPr>
          <w:rFonts w:cs="Arial"/>
          <w:color w:val="auto"/>
          <w:sz w:val="20"/>
          <w:szCs w:val="20"/>
          <w:lang w:val="en-GB"/>
        </w:rPr>
        <w:t>A roll-over request was made for R1 000 000.00 on the support and maintenance project for Microsoft, R600 000.00 for the payment of the Microsoft License and R1 767 000.00 for the installation of the Information Communications Technology (ICT) infrastructure as part of the relocation of the Department to the new premises.</w:t>
      </w:r>
    </w:p>
    <w:p w:rsidR="004F6C2D" w:rsidRPr="00B217DC" w:rsidRDefault="004F6C2D" w:rsidP="00B217DC">
      <w:pPr>
        <w:pStyle w:val="ListParagraph"/>
        <w:numPr>
          <w:ilvl w:val="0"/>
          <w:numId w:val="129"/>
        </w:numPr>
        <w:rPr>
          <w:rFonts w:cs="Arial"/>
          <w:color w:val="auto"/>
          <w:sz w:val="20"/>
          <w:szCs w:val="20"/>
          <w:lang w:val="en-GB"/>
        </w:rPr>
      </w:pPr>
      <w:r w:rsidRPr="00B217DC">
        <w:rPr>
          <w:rFonts w:cs="Arial"/>
          <w:color w:val="auto"/>
          <w:sz w:val="20"/>
          <w:szCs w:val="20"/>
          <w:lang w:val="en-GB"/>
        </w:rPr>
        <w:t>A roll-over request was made for the R3 508 000.00 for the installation of ICT infrastructure at the new premises for the department as part of the relocation.</w:t>
      </w:r>
    </w:p>
    <w:p w:rsidR="004F6C2D" w:rsidRPr="00B217DC" w:rsidRDefault="004F6C2D" w:rsidP="00B217DC">
      <w:pPr>
        <w:pStyle w:val="ListParagraph"/>
        <w:numPr>
          <w:ilvl w:val="0"/>
          <w:numId w:val="129"/>
        </w:numPr>
        <w:rPr>
          <w:rFonts w:cs="Arial"/>
          <w:color w:val="auto"/>
          <w:sz w:val="20"/>
          <w:szCs w:val="20"/>
          <w:lang w:val="en-GB"/>
        </w:rPr>
      </w:pPr>
      <w:r w:rsidRPr="00B217DC">
        <w:rPr>
          <w:rFonts w:cs="Arial"/>
          <w:color w:val="auto"/>
          <w:sz w:val="20"/>
          <w:szCs w:val="20"/>
          <w:lang w:val="en-GB"/>
        </w:rPr>
        <w:t>A roll-over request was made for the R3 585 000.00 for the continuation of the establishment of the NCGBVF.</w:t>
      </w:r>
    </w:p>
    <w:p w:rsidR="004F6C2D" w:rsidRPr="00B217DC" w:rsidRDefault="004F6C2D" w:rsidP="00B217DC">
      <w:pPr>
        <w:pStyle w:val="ListParagraph"/>
        <w:numPr>
          <w:ilvl w:val="0"/>
          <w:numId w:val="129"/>
        </w:numPr>
        <w:rPr>
          <w:rFonts w:cs="Arial"/>
          <w:color w:val="auto"/>
          <w:sz w:val="20"/>
          <w:szCs w:val="20"/>
          <w:lang w:val="en-GB"/>
        </w:rPr>
      </w:pPr>
      <w:r w:rsidRPr="00B217DC">
        <w:rPr>
          <w:rFonts w:cs="Arial"/>
          <w:color w:val="auto"/>
          <w:sz w:val="20"/>
          <w:szCs w:val="20"/>
          <w:lang w:val="en-GB"/>
        </w:rPr>
        <w:t>A roll-over request was made for an amount of R784 000.00 for the appointment of a service provider to harmonize Disability Rights Instruments and develop a Disability Rights Monitoring Results-Based Framework.</w:t>
      </w:r>
    </w:p>
    <w:p w:rsidR="004F6C2D" w:rsidRPr="00B217DC" w:rsidRDefault="004F6C2D" w:rsidP="00B217DC">
      <w:pPr>
        <w:rPr>
          <w:rFonts w:cs="Arial"/>
          <w:color w:val="auto"/>
          <w:sz w:val="20"/>
          <w:szCs w:val="20"/>
          <w:lang w:val="en-GB"/>
        </w:rPr>
      </w:pPr>
      <w:r w:rsidRPr="00B217DC">
        <w:rPr>
          <w:rFonts w:cs="Arial"/>
          <w:color w:val="auto"/>
          <w:sz w:val="20"/>
          <w:szCs w:val="20"/>
          <w:lang w:val="en-GB"/>
        </w:rPr>
        <w:t>The Department still awaits the outcome of these requests.</w:t>
      </w:r>
    </w:p>
    <w:p w:rsidR="004F6C2D" w:rsidRPr="00B217DC" w:rsidRDefault="004F6C2D" w:rsidP="00B217DC">
      <w:pPr>
        <w:rPr>
          <w:rFonts w:cs="Arial"/>
          <w:color w:val="auto"/>
          <w:sz w:val="20"/>
          <w:szCs w:val="20"/>
          <w:lang w:val="en-GB"/>
        </w:rPr>
      </w:pPr>
    </w:p>
    <w:p w:rsidR="00DF2241" w:rsidRPr="00B217DC" w:rsidRDefault="00E60E02" w:rsidP="00B217DC">
      <w:pPr>
        <w:rPr>
          <w:rFonts w:cs="Arial"/>
          <w:color w:val="auto"/>
          <w:sz w:val="20"/>
          <w:szCs w:val="20"/>
          <w:lang w:val="en-GB"/>
        </w:rPr>
      </w:pPr>
      <w:r w:rsidRPr="00B217DC">
        <w:rPr>
          <w:rFonts w:cs="Arial"/>
          <w:color w:val="auto"/>
          <w:sz w:val="20"/>
          <w:szCs w:val="20"/>
          <w:lang w:val="en-GB"/>
        </w:rPr>
        <w:t xml:space="preserve">The key cost drivers were Compensation of </w:t>
      </w:r>
      <w:r w:rsidR="007672E9" w:rsidRPr="00B217DC">
        <w:rPr>
          <w:rFonts w:cs="Arial"/>
          <w:color w:val="auto"/>
          <w:sz w:val="20"/>
          <w:szCs w:val="20"/>
          <w:lang w:val="en-GB"/>
        </w:rPr>
        <w:t>E</w:t>
      </w:r>
      <w:r w:rsidRPr="00B217DC">
        <w:rPr>
          <w:rFonts w:cs="Arial"/>
          <w:color w:val="auto"/>
          <w:sz w:val="20"/>
          <w:szCs w:val="20"/>
          <w:lang w:val="en-GB"/>
        </w:rPr>
        <w:t xml:space="preserve">mployees and Goods and Services. As such, </w:t>
      </w:r>
      <w:r w:rsidR="004F6C2D" w:rsidRPr="00B217DC">
        <w:rPr>
          <w:rFonts w:cs="Arial"/>
          <w:color w:val="auto"/>
          <w:sz w:val="20"/>
          <w:szCs w:val="20"/>
          <w:lang w:val="en-GB"/>
        </w:rPr>
        <w:t>71.9</w:t>
      </w:r>
      <w:r w:rsidR="00DF2241" w:rsidRPr="00B217DC">
        <w:rPr>
          <w:rFonts w:cs="Arial"/>
          <w:color w:val="auto"/>
          <w:sz w:val="20"/>
          <w:szCs w:val="20"/>
          <w:lang w:val="en-GB"/>
        </w:rPr>
        <w:t>% (R</w:t>
      </w:r>
      <w:r w:rsidR="004F6C2D" w:rsidRPr="00B217DC">
        <w:rPr>
          <w:rFonts w:cs="Arial"/>
          <w:color w:val="auto"/>
          <w:sz w:val="20"/>
          <w:szCs w:val="20"/>
          <w:lang w:val="en-GB"/>
        </w:rPr>
        <w:t>115</w:t>
      </w:r>
      <w:r w:rsidR="00DF2241" w:rsidRPr="00B217DC">
        <w:rPr>
          <w:rFonts w:cs="Arial"/>
          <w:color w:val="auto"/>
          <w:sz w:val="20"/>
          <w:szCs w:val="20"/>
          <w:lang w:val="en-GB"/>
        </w:rPr>
        <w:t xml:space="preserve"> million) </w:t>
      </w:r>
      <w:r w:rsidR="00DF2241" w:rsidRPr="00B217DC">
        <w:rPr>
          <w:rFonts w:cs="Arial"/>
          <w:color w:val="auto"/>
          <w:sz w:val="20"/>
          <w:szCs w:val="20"/>
        </w:rPr>
        <w:t xml:space="preserve">of the Department’s operating budget has been spent on </w:t>
      </w:r>
      <w:r w:rsidR="007672E9" w:rsidRPr="00B217DC">
        <w:rPr>
          <w:rFonts w:cs="Arial"/>
          <w:color w:val="auto"/>
          <w:sz w:val="20"/>
          <w:szCs w:val="20"/>
        </w:rPr>
        <w:t>C</w:t>
      </w:r>
      <w:r w:rsidR="00DF2241" w:rsidRPr="00B217DC">
        <w:rPr>
          <w:rFonts w:cs="Arial"/>
          <w:color w:val="auto"/>
          <w:sz w:val="20"/>
          <w:szCs w:val="20"/>
        </w:rPr>
        <w:t xml:space="preserve">ompensation of </w:t>
      </w:r>
      <w:r w:rsidR="007672E9" w:rsidRPr="00B217DC">
        <w:rPr>
          <w:rFonts w:cs="Arial"/>
          <w:color w:val="auto"/>
          <w:sz w:val="20"/>
          <w:szCs w:val="20"/>
        </w:rPr>
        <w:t>E</w:t>
      </w:r>
      <w:r w:rsidR="00DF2241" w:rsidRPr="00B217DC">
        <w:rPr>
          <w:rFonts w:cs="Arial"/>
          <w:color w:val="auto"/>
          <w:sz w:val="20"/>
          <w:szCs w:val="20"/>
        </w:rPr>
        <w:t xml:space="preserve">mployees </w:t>
      </w:r>
      <w:r w:rsidR="007672E9" w:rsidRPr="00B217DC">
        <w:rPr>
          <w:rFonts w:cs="Arial"/>
          <w:color w:val="auto"/>
          <w:sz w:val="20"/>
          <w:szCs w:val="20"/>
        </w:rPr>
        <w:t>(CoE)</w:t>
      </w:r>
      <w:r w:rsidR="004F6C2D" w:rsidRPr="00B217DC">
        <w:rPr>
          <w:rFonts w:cs="Arial"/>
          <w:color w:val="auto"/>
          <w:sz w:val="20"/>
          <w:szCs w:val="20"/>
        </w:rPr>
        <w:t>. This was an 8.7% increase from 2020/1. Furthermore, 24.7</w:t>
      </w:r>
      <w:r w:rsidR="00DF2241" w:rsidRPr="00B217DC">
        <w:rPr>
          <w:rFonts w:cs="Arial"/>
          <w:color w:val="auto"/>
          <w:sz w:val="20"/>
          <w:szCs w:val="20"/>
        </w:rPr>
        <w:t xml:space="preserve"> % has been consumed by </w:t>
      </w:r>
      <w:r w:rsidR="007672E9" w:rsidRPr="00B217DC">
        <w:rPr>
          <w:rFonts w:cs="Arial"/>
          <w:color w:val="auto"/>
          <w:sz w:val="20"/>
          <w:szCs w:val="20"/>
        </w:rPr>
        <w:t>G</w:t>
      </w:r>
      <w:r w:rsidR="00DF2241" w:rsidRPr="00B217DC">
        <w:rPr>
          <w:rFonts w:cs="Arial"/>
          <w:color w:val="auto"/>
          <w:sz w:val="20"/>
          <w:szCs w:val="20"/>
        </w:rPr>
        <w:t xml:space="preserve">oods and </w:t>
      </w:r>
      <w:r w:rsidR="007672E9" w:rsidRPr="00B217DC">
        <w:rPr>
          <w:rFonts w:cs="Arial"/>
          <w:color w:val="auto"/>
          <w:sz w:val="20"/>
          <w:szCs w:val="20"/>
        </w:rPr>
        <w:t>S</w:t>
      </w:r>
      <w:r w:rsidR="00DF2241" w:rsidRPr="00B217DC">
        <w:rPr>
          <w:rFonts w:cs="Arial"/>
          <w:color w:val="auto"/>
          <w:sz w:val="20"/>
          <w:szCs w:val="20"/>
        </w:rPr>
        <w:t>ervices (R</w:t>
      </w:r>
      <w:r w:rsidR="004F6C2D" w:rsidRPr="00B217DC">
        <w:rPr>
          <w:rFonts w:cs="Arial"/>
          <w:color w:val="auto"/>
          <w:sz w:val="20"/>
          <w:szCs w:val="20"/>
        </w:rPr>
        <w:t>50,993</w:t>
      </w:r>
      <w:r w:rsidR="00DF2241" w:rsidRPr="00B217DC">
        <w:rPr>
          <w:rFonts w:cs="Arial"/>
          <w:color w:val="auto"/>
          <w:sz w:val="20"/>
          <w:szCs w:val="20"/>
        </w:rPr>
        <w:t xml:space="preserve"> million). In terms of spending under goods and services, the line items which have incurred greatest expenditure are listed in the table below.</w:t>
      </w:r>
    </w:p>
    <w:p w:rsidR="007672E9" w:rsidRPr="00B217DC" w:rsidRDefault="007672E9" w:rsidP="00B217DC">
      <w:pPr>
        <w:rPr>
          <w:rFonts w:cs="Arial"/>
          <w:color w:val="auto"/>
          <w:sz w:val="20"/>
          <w:szCs w:val="20"/>
          <w:lang w:val="en-GB"/>
        </w:rPr>
      </w:pPr>
    </w:p>
    <w:p w:rsidR="007672E9" w:rsidRPr="00B217DC" w:rsidRDefault="007672E9" w:rsidP="00B217DC">
      <w:pPr>
        <w:rPr>
          <w:rFonts w:cs="Arial"/>
          <w:b/>
          <w:color w:val="auto"/>
          <w:sz w:val="20"/>
          <w:szCs w:val="20"/>
          <w:lang w:val="en-GB"/>
        </w:rPr>
      </w:pPr>
      <w:r w:rsidRPr="00B217DC">
        <w:rPr>
          <w:rFonts w:cs="Arial"/>
          <w:b/>
          <w:color w:val="auto"/>
          <w:sz w:val="20"/>
          <w:szCs w:val="20"/>
          <w:lang w:val="en-GB"/>
        </w:rPr>
        <w:t xml:space="preserve">Table </w:t>
      </w:r>
      <w:r w:rsidR="00370D27" w:rsidRPr="00B217DC">
        <w:rPr>
          <w:rFonts w:cs="Arial"/>
          <w:b/>
          <w:color w:val="auto"/>
          <w:sz w:val="20"/>
          <w:szCs w:val="20"/>
          <w:lang w:val="en-GB"/>
        </w:rPr>
        <w:t>2</w:t>
      </w:r>
      <w:r w:rsidRPr="00B217DC">
        <w:rPr>
          <w:rFonts w:cs="Arial"/>
          <w:b/>
          <w:color w:val="auto"/>
          <w:sz w:val="20"/>
          <w:szCs w:val="20"/>
          <w:lang w:val="en-GB"/>
        </w:rPr>
        <w:t>: Comparison of Key Cost Drivers between 2020/21 and 20</w:t>
      </w:r>
      <w:r w:rsidR="00B40FDD" w:rsidRPr="00B217DC">
        <w:rPr>
          <w:rFonts w:cs="Arial"/>
          <w:b/>
          <w:color w:val="auto"/>
          <w:sz w:val="20"/>
          <w:szCs w:val="20"/>
          <w:lang w:val="en-GB"/>
        </w:rPr>
        <w:t>21/22</w:t>
      </w:r>
    </w:p>
    <w:tbl>
      <w:tblPr>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7"/>
        <w:gridCol w:w="3077"/>
        <w:gridCol w:w="3075"/>
      </w:tblGrid>
      <w:tr w:rsidR="006675BE" w:rsidRPr="00B217DC" w:rsidTr="00EC6929">
        <w:trPr>
          <w:trHeight w:val="84"/>
        </w:trPr>
        <w:tc>
          <w:tcPr>
            <w:tcW w:w="1667" w:type="pct"/>
            <w:shd w:val="clear" w:color="auto" w:fill="D9D9D9" w:themeFill="background1" w:themeFillShade="D9"/>
          </w:tcPr>
          <w:p w:rsidR="00EC6929" w:rsidRPr="00B217DC" w:rsidRDefault="00EC6929" w:rsidP="00B217DC">
            <w:pPr>
              <w:rPr>
                <w:rFonts w:cs="Arial"/>
                <w:color w:val="auto"/>
                <w:sz w:val="20"/>
                <w:szCs w:val="20"/>
              </w:rPr>
            </w:pPr>
            <w:r w:rsidRPr="00B217DC">
              <w:rPr>
                <w:rFonts w:cs="Arial"/>
                <w:b/>
                <w:bCs/>
                <w:color w:val="auto"/>
                <w:sz w:val="20"/>
                <w:szCs w:val="20"/>
              </w:rPr>
              <w:t xml:space="preserve">Key Cost Driver </w:t>
            </w:r>
          </w:p>
        </w:tc>
        <w:tc>
          <w:tcPr>
            <w:tcW w:w="1667" w:type="pct"/>
            <w:shd w:val="clear" w:color="auto" w:fill="D9D9D9" w:themeFill="background1" w:themeFillShade="D9"/>
          </w:tcPr>
          <w:p w:rsidR="00EC6929" w:rsidRPr="00B217DC" w:rsidRDefault="00EC6929" w:rsidP="00B217DC">
            <w:pPr>
              <w:rPr>
                <w:rFonts w:cs="Arial"/>
                <w:b/>
                <w:bCs/>
                <w:color w:val="auto"/>
                <w:sz w:val="20"/>
                <w:szCs w:val="20"/>
              </w:rPr>
            </w:pPr>
            <w:r w:rsidRPr="00B217DC">
              <w:rPr>
                <w:rFonts w:cs="Arial"/>
                <w:b/>
                <w:bCs/>
                <w:color w:val="auto"/>
                <w:sz w:val="20"/>
                <w:szCs w:val="20"/>
              </w:rPr>
              <w:t>2020/21</w:t>
            </w:r>
          </w:p>
        </w:tc>
        <w:tc>
          <w:tcPr>
            <w:tcW w:w="1666" w:type="pct"/>
            <w:shd w:val="clear" w:color="auto" w:fill="D9D9D9" w:themeFill="background1" w:themeFillShade="D9"/>
          </w:tcPr>
          <w:p w:rsidR="00EC6929" w:rsidRPr="00B217DC" w:rsidRDefault="00EC6929" w:rsidP="00B217DC">
            <w:pPr>
              <w:rPr>
                <w:rFonts w:cs="Arial"/>
                <w:color w:val="auto"/>
                <w:sz w:val="20"/>
                <w:szCs w:val="20"/>
              </w:rPr>
            </w:pPr>
            <w:r w:rsidRPr="00B217DC">
              <w:rPr>
                <w:rFonts w:cs="Arial"/>
                <w:b/>
                <w:bCs/>
                <w:color w:val="auto"/>
                <w:sz w:val="20"/>
                <w:szCs w:val="20"/>
              </w:rPr>
              <w:t>2021/22</w:t>
            </w:r>
          </w:p>
        </w:tc>
      </w:tr>
      <w:tr w:rsidR="006675BE" w:rsidRPr="00B217DC" w:rsidTr="00EC6929">
        <w:trPr>
          <w:trHeight w:val="84"/>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xml:space="preserve">Compensation of employees </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R110.311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F6C2D" w:rsidRPr="00B217DC">
              <w:rPr>
                <w:rFonts w:cs="Arial"/>
                <w:color w:val="auto"/>
                <w:sz w:val="20"/>
                <w:szCs w:val="20"/>
              </w:rPr>
              <w:t>115,7</w:t>
            </w:r>
            <w:r w:rsidRPr="00B217DC">
              <w:rPr>
                <w:rFonts w:cs="Arial"/>
                <w:color w:val="auto"/>
                <w:sz w:val="20"/>
                <w:szCs w:val="20"/>
              </w:rPr>
              <w:t xml:space="preserve"> million</w:t>
            </w:r>
          </w:p>
        </w:tc>
      </w:tr>
      <w:tr w:rsidR="006675BE" w:rsidRPr="00B217DC" w:rsidTr="00EC6929">
        <w:trPr>
          <w:trHeight w:val="84"/>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xml:space="preserve">Goods and services </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R43.243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F6C2D" w:rsidRPr="00B217DC">
              <w:rPr>
                <w:rFonts w:cs="Arial"/>
                <w:color w:val="auto"/>
                <w:sz w:val="20"/>
                <w:szCs w:val="20"/>
              </w:rPr>
              <w:t>50,993</w:t>
            </w:r>
            <w:r w:rsidRPr="00B217DC">
              <w:rPr>
                <w:rFonts w:cs="Arial"/>
                <w:color w:val="auto"/>
                <w:sz w:val="20"/>
                <w:szCs w:val="20"/>
              </w:rPr>
              <w:t xml:space="preserve"> million</w:t>
            </w:r>
          </w:p>
        </w:tc>
      </w:tr>
      <w:tr w:rsidR="006675BE" w:rsidRPr="00B217DC" w:rsidTr="00EC6929">
        <w:trPr>
          <w:trHeight w:val="260"/>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xml:space="preserve">- Property payments </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R19.147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F6C2D" w:rsidRPr="00B217DC">
              <w:rPr>
                <w:rFonts w:cs="Arial"/>
                <w:color w:val="auto"/>
                <w:sz w:val="20"/>
                <w:szCs w:val="20"/>
              </w:rPr>
              <w:t>21,649</w:t>
            </w:r>
            <w:r w:rsidRPr="00B217DC">
              <w:rPr>
                <w:rFonts w:cs="Arial"/>
                <w:color w:val="auto"/>
                <w:sz w:val="20"/>
                <w:szCs w:val="20"/>
              </w:rPr>
              <w:t xml:space="preserve"> million</w:t>
            </w:r>
          </w:p>
        </w:tc>
      </w:tr>
      <w:tr w:rsidR="006675BE" w:rsidRPr="00B217DC" w:rsidTr="00EC6929">
        <w:trPr>
          <w:trHeight w:val="84"/>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xml:space="preserve">- Travel &amp; Subsistence </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R6.078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F6C2D" w:rsidRPr="00B217DC">
              <w:rPr>
                <w:rFonts w:cs="Arial"/>
                <w:color w:val="auto"/>
                <w:sz w:val="20"/>
                <w:szCs w:val="20"/>
              </w:rPr>
              <w:t>4,450</w:t>
            </w:r>
            <w:r w:rsidRPr="00B217DC">
              <w:rPr>
                <w:rFonts w:cs="Arial"/>
                <w:color w:val="auto"/>
                <w:sz w:val="20"/>
                <w:szCs w:val="20"/>
              </w:rPr>
              <w:t xml:space="preserve"> million</w:t>
            </w:r>
          </w:p>
        </w:tc>
      </w:tr>
      <w:tr w:rsidR="006675BE" w:rsidRPr="00B217DC" w:rsidTr="00EC6929">
        <w:trPr>
          <w:trHeight w:val="84"/>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xml:space="preserve">- Communication </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R4.323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F6C2D" w:rsidRPr="00B217DC">
              <w:rPr>
                <w:rFonts w:cs="Arial"/>
                <w:color w:val="auto"/>
                <w:sz w:val="20"/>
                <w:szCs w:val="20"/>
              </w:rPr>
              <w:t>4,008</w:t>
            </w:r>
            <w:r w:rsidRPr="00B217DC">
              <w:rPr>
                <w:rFonts w:cs="Arial"/>
                <w:color w:val="auto"/>
                <w:sz w:val="20"/>
                <w:szCs w:val="20"/>
              </w:rPr>
              <w:t xml:space="preserve"> million</w:t>
            </w:r>
          </w:p>
        </w:tc>
      </w:tr>
      <w:tr w:rsidR="006675BE" w:rsidRPr="00B217DC" w:rsidTr="00EC6929">
        <w:trPr>
          <w:trHeight w:val="84"/>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External Audit Costs</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R3.235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F6C2D" w:rsidRPr="00B217DC">
              <w:rPr>
                <w:rFonts w:cs="Arial"/>
                <w:color w:val="auto"/>
                <w:sz w:val="20"/>
                <w:szCs w:val="20"/>
              </w:rPr>
              <w:t>3,802</w:t>
            </w:r>
            <w:r w:rsidRPr="00B217DC">
              <w:rPr>
                <w:rFonts w:cs="Arial"/>
                <w:color w:val="auto"/>
                <w:sz w:val="20"/>
                <w:szCs w:val="20"/>
              </w:rPr>
              <w:t xml:space="preserve"> million</w:t>
            </w:r>
          </w:p>
        </w:tc>
      </w:tr>
      <w:tr w:rsidR="006675BE" w:rsidRPr="00B217DC" w:rsidTr="00EC6929">
        <w:trPr>
          <w:trHeight w:val="84"/>
        </w:trPr>
        <w:tc>
          <w:tcPr>
            <w:tcW w:w="1667" w:type="pct"/>
          </w:tcPr>
          <w:p w:rsidR="00EC6929" w:rsidRPr="00B217DC" w:rsidRDefault="00EC6929" w:rsidP="00B217DC">
            <w:pPr>
              <w:rPr>
                <w:rFonts w:cs="Arial"/>
                <w:color w:val="auto"/>
                <w:sz w:val="20"/>
                <w:szCs w:val="20"/>
              </w:rPr>
            </w:pPr>
            <w:r w:rsidRPr="00B217DC">
              <w:rPr>
                <w:rFonts w:cs="Arial"/>
                <w:color w:val="auto"/>
                <w:sz w:val="20"/>
                <w:szCs w:val="20"/>
              </w:rPr>
              <w:t xml:space="preserve">- Computer services </w:t>
            </w:r>
          </w:p>
        </w:tc>
        <w:tc>
          <w:tcPr>
            <w:tcW w:w="1667" w:type="pct"/>
          </w:tcPr>
          <w:p w:rsidR="00EC6929" w:rsidRPr="00B217DC" w:rsidRDefault="00EC6929" w:rsidP="00B217DC">
            <w:pPr>
              <w:rPr>
                <w:rFonts w:cs="Arial"/>
                <w:color w:val="auto"/>
                <w:sz w:val="20"/>
                <w:szCs w:val="20"/>
              </w:rPr>
            </w:pPr>
            <w:r w:rsidRPr="00B217DC">
              <w:rPr>
                <w:rFonts w:cs="Arial"/>
                <w:color w:val="auto"/>
                <w:sz w:val="20"/>
                <w:szCs w:val="20"/>
              </w:rPr>
              <w:t>R2.870 million</w:t>
            </w:r>
          </w:p>
        </w:tc>
        <w:tc>
          <w:tcPr>
            <w:tcW w:w="1666" w:type="pct"/>
          </w:tcPr>
          <w:p w:rsidR="00EC6929" w:rsidRPr="00B217DC" w:rsidRDefault="00EC6929" w:rsidP="00B217DC">
            <w:pPr>
              <w:rPr>
                <w:rFonts w:cs="Arial"/>
                <w:color w:val="auto"/>
                <w:sz w:val="20"/>
                <w:szCs w:val="20"/>
              </w:rPr>
            </w:pPr>
            <w:r w:rsidRPr="00B217DC">
              <w:rPr>
                <w:rFonts w:cs="Arial"/>
                <w:color w:val="auto"/>
                <w:sz w:val="20"/>
                <w:szCs w:val="20"/>
              </w:rPr>
              <w:t>R</w:t>
            </w:r>
            <w:r w:rsidR="00485C39" w:rsidRPr="00B217DC">
              <w:rPr>
                <w:rFonts w:cs="Arial"/>
                <w:color w:val="auto"/>
                <w:sz w:val="20"/>
                <w:szCs w:val="20"/>
              </w:rPr>
              <w:t>4,</w:t>
            </w:r>
            <w:r w:rsidR="004F6C2D" w:rsidRPr="00B217DC">
              <w:rPr>
                <w:rFonts w:cs="Arial"/>
                <w:color w:val="auto"/>
                <w:sz w:val="20"/>
                <w:szCs w:val="20"/>
              </w:rPr>
              <w:t>224</w:t>
            </w:r>
            <w:r w:rsidRPr="00B217DC">
              <w:rPr>
                <w:rFonts w:cs="Arial"/>
                <w:color w:val="auto"/>
                <w:sz w:val="20"/>
                <w:szCs w:val="20"/>
              </w:rPr>
              <w:t xml:space="preserve"> million</w:t>
            </w:r>
          </w:p>
        </w:tc>
      </w:tr>
      <w:tr w:rsidR="004F6C2D" w:rsidRPr="00B217DC" w:rsidTr="00EC6929">
        <w:trPr>
          <w:trHeight w:val="84"/>
        </w:trPr>
        <w:tc>
          <w:tcPr>
            <w:tcW w:w="1667" w:type="pct"/>
          </w:tcPr>
          <w:p w:rsidR="004F6C2D" w:rsidRPr="00B217DC" w:rsidRDefault="004F6C2D" w:rsidP="00B217DC">
            <w:pPr>
              <w:pStyle w:val="ListParagraph"/>
              <w:numPr>
                <w:ilvl w:val="1"/>
                <w:numId w:val="4"/>
              </w:numPr>
              <w:ind w:left="306" w:right="860"/>
              <w:rPr>
                <w:rFonts w:cs="Arial"/>
                <w:color w:val="auto"/>
                <w:sz w:val="20"/>
                <w:szCs w:val="20"/>
              </w:rPr>
            </w:pPr>
            <w:r w:rsidRPr="00B217DC">
              <w:rPr>
                <w:rFonts w:cs="Arial"/>
                <w:color w:val="auto"/>
                <w:sz w:val="20"/>
                <w:szCs w:val="20"/>
              </w:rPr>
              <w:t>Advertising</w:t>
            </w:r>
          </w:p>
        </w:tc>
        <w:tc>
          <w:tcPr>
            <w:tcW w:w="1667" w:type="pct"/>
          </w:tcPr>
          <w:p w:rsidR="004F6C2D" w:rsidRPr="00B217DC" w:rsidRDefault="004F6C2D" w:rsidP="00B217DC">
            <w:pPr>
              <w:rPr>
                <w:rFonts w:cs="Arial"/>
                <w:color w:val="auto"/>
                <w:sz w:val="20"/>
                <w:szCs w:val="20"/>
              </w:rPr>
            </w:pPr>
          </w:p>
        </w:tc>
        <w:tc>
          <w:tcPr>
            <w:tcW w:w="1666" w:type="pct"/>
          </w:tcPr>
          <w:p w:rsidR="004F6C2D" w:rsidRPr="00B217DC" w:rsidRDefault="004F6C2D" w:rsidP="00B217DC">
            <w:pPr>
              <w:rPr>
                <w:rFonts w:cs="Arial"/>
                <w:color w:val="auto"/>
                <w:sz w:val="20"/>
                <w:szCs w:val="20"/>
              </w:rPr>
            </w:pPr>
            <w:r w:rsidRPr="00B217DC">
              <w:rPr>
                <w:rFonts w:cs="Arial"/>
                <w:color w:val="auto"/>
                <w:sz w:val="20"/>
                <w:szCs w:val="20"/>
              </w:rPr>
              <w:t>R5,112 million</w:t>
            </w:r>
          </w:p>
        </w:tc>
      </w:tr>
    </w:tbl>
    <w:p w:rsidR="00DF2241" w:rsidRPr="00B217DC" w:rsidRDefault="00DF2241" w:rsidP="00B217DC">
      <w:pPr>
        <w:rPr>
          <w:rFonts w:cs="Arial"/>
          <w:color w:val="auto"/>
          <w:sz w:val="20"/>
          <w:szCs w:val="20"/>
          <w:lang w:val="en-GB"/>
        </w:rPr>
      </w:pPr>
    </w:p>
    <w:p w:rsidR="007672E9" w:rsidRPr="00B217DC" w:rsidRDefault="007672E9" w:rsidP="00B217DC">
      <w:pPr>
        <w:rPr>
          <w:rFonts w:cs="Arial"/>
          <w:color w:val="auto"/>
          <w:sz w:val="20"/>
          <w:szCs w:val="20"/>
          <w:lang w:val="en-GB"/>
        </w:rPr>
      </w:pPr>
      <w:r w:rsidRPr="00B217DC">
        <w:rPr>
          <w:rFonts w:cs="Arial"/>
          <w:color w:val="auto"/>
          <w:sz w:val="20"/>
          <w:szCs w:val="20"/>
        </w:rPr>
        <w:t>There has been a significant increase in property payments year on year from R12.8 million in 2019/20 to R19.1 million in 2020/21</w:t>
      </w:r>
      <w:r w:rsidR="00442C39" w:rsidRPr="00B217DC">
        <w:rPr>
          <w:rFonts w:cs="Arial"/>
          <w:color w:val="auto"/>
          <w:sz w:val="20"/>
          <w:szCs w:val="20"/>
        </w:rPr>
        <w:t xml:space="preserve"> to R</w:t>
      </w:r>
      <w:r w:rsidR="00485C39" w:rsidRPr="00B217DC">
        <w:rPr>
          <w:rFonts w:cs="Arial"/>
          <w:color w:val="auto"/>
          <w:sz w:val="20"/>
          <w:szCs w:val="20"/>
        </w:rPr>
        <w:t>21,649 million</w:t>
      </w:r>
      <w:r w:rsidR="00442C39" w:rsidRPr="00B217DC">
        <w:rPr>
          <w:rFonts w:cs="Arial"/>
          <w:color w:val="auto"/>
          <w:sz w:val="20"/>
          <w:szCs w:val="20"/>
        </w:rPr>
        <w:t xml:space="preserve"> in 2021/22</w:t>
      </w:r>
      <w:r w:rsidRPr="00B217DC">
        <w:rPr>
          <w:rFonts w:cs="Arial"/>
          <w:color w:val="auto"/>
          <w:sz w:val="20"/>
          <w:szCs w:val="20"/>
        </w:rPr>
        <w:t>. While travel and subsistence remains a primary cost driver it has seen a marked decrease from 2019/20 when expenditure was at R28.3 million</w:t>
      </w:r>
      <w:r w:rsidR="00485C39" w:rsidRPr="00B217DC">
        <w:rPr>
          <w:rFonts w:cs="Arial"/>
          <w:color w:val="auto"/>
          <w:sz w:val="20"/>
          <w:szCs w:val="20"/>
        </w:rPr>
        <w:t xml:space="preserve"> to R4,450 million in 2021/22</w:t>
      </w:r>
      <w:r w:rsidRPr="00B217DC">
        <w:rPr>
          <w:rFonts w:cs="Arial"/>
          <w:color w:val="auto"/>
          <w:sz w:val="20"/>
          <w:szCs w:val="20"/>
        </w:rPr>
        <w:t xml:space="preserve">. The decrease is attributed to the COVID-19 lockdown </w:t>
      </w:r>
      <w:r w:rsidR="00485C39" w:rsidRPr="00B217DC">
        <w:rPr>
          <w:rFonts w:cs="Arial"/>
          <w:color w:val="auto"/>
          <w:sz w:val="20"/>
          <w:szCs w:val="20"/>
        </w:rPr>
        <w:t xml:space="preserve">travel </w:t>
      </w:r>
      <w:r w:rsidRPr="00B217DC">
        <w:rPr>
          <w:rFonts w:cs="Arial"/>
          <w:color w:val="auto"/>
          <w:sz w:val="20"/>
          <w:szCs w:val="20"/>
        </w:rPr>
        <w:t>restrictions.</w:t>
      </w:r>
    </w:p>
    <w:p w:rsidR="007672E9" w:rsidRPr="00B217DC" w:rsidRDefault="007672E9" w:rsidP="00B217DC">
      <w:pPr>
        <w:rPr>
          <w:rFonts w:cs="Arial"/>
          <w:color w:val="auto"/>
          <w:sz w:val="20"/>
          <w:szCs w:val="20"/>
          <w:lang w:val="en-GB"/>
        </w:rPr>
      </w:pPr>
    </w:p>
    <w:p w:rsidR="00E60E02" w:rsidRPr="00B217DC" w:rsidRDefault="00E60E02" w:rsidP="00B217DC">
      <w:pPr>
        <w:rPr>
          <w:rFonts w:cs="Arial"/>
          <w:color w:val="auto"/>
          <w:sz w:val="20"/>
          <w:szCs w:val="20"/>
        </w:rPr>
      </w:pPr>
      <w:r w:rsidRPr="00B217DC">
        <w:rPr>
          <w:rFonts w:cs="Arial"/>
          <w:color w:val="auto"/>
          <w:sz w:val="20"/>
          <w:szCs w:val="20"/>
          <w:lang w:val="en-GB"/>
        </w:rPr>
        <w:t xml:space="preserve">In terms of spending under Goods and Services, the main cost drivers were travel and subsistence (R </w:t>
      </w:r>
      <w:r w:rsidR="00485C39" w:rsidRPr="00B217DC">
        <w:rPr>
          <w:rFonts w:cs="Arial"/>
          <w:color w:val="auto"/>
          <w:sz w:val="20"/>
          <w:szCs w:val="20"/>
          <w:lang w:val="en-GB"/>
        </w:rPr>
        <w:t xml:space="preserve">4,450 </w:t>
      </w:r>
      <w:r w:rsidRPr="00B217DC">
        <w:rPr>
          <w:rFonts w:cs="Arial"/>
          <w:color w:val="auto"/>
          <w:sz w:val="20"/>
          <w:szCs w:val="20"/>
          <w:lang w:val="en-GB"/>
        </w:rPr>
        <w:t>million), property payments (R</w:t>
      </w:r>
      <w:r w:rsidR="00485C39" w:rsidRPr="00B217DC">
        <w:rPr>
          <w:rFonts w:cs="Arial"/>
          <w:color w:val="auto"/>
          <w:sz w:val="20"/>
          <w:szCs w:val="20"/>
          <w:lang w:val="en-GB"/>
        </w:rPr>
        <w:t>21,649</w:t>
      </w:r>
      <w:r w:rsidRPr="00B217DC">
        <w:rPr>
          <w:rFonts w:cs="Arial"/>
          <w:color w:val="auto"/>
          <w:sz w:val="20"/>
          <w:szCs w:val="20"/>
          <w:lang w:val="en-GB"/>
        </w:rPr>
        <w:t xml:space="preserve"> million), expenditure for external audit costs (R</w:t>
      </w:r>
      <w:r w:rsidR="00485C39" w:rsidRPr="00B217DC">
        <w:rPr>
          <w:rFonts w:cs="Arial"/>
          <w:color w:val="auto"/>
          <w:sz w:val="20"/>
          <w:szCs w:val="20"/>
          <w:lang w:val="en-GB"/>
        </w:rPr>
        <w:t>3,802</w:t>
      </w:r>
      <w:r w:rsidRPr="00B217DC">
        <w:rPr>
          <w:rFonts w:cs="Arial"/>
          <w:color w:val="auto"/>
          <w:sz w:val="20"/>
          <w:szCs w:val="20"/>
          <w:lang w:val="en-GB"/>
        </w:rPr>
        <w:t xml:space="preserve"> million), Communication (R</w:t>
      </w:r>
      <w:r w:rsidR="00485C39" w:rsidRPr="00B217DC">
        <w:rPr>
          <w:rFonts w:cs="Arial"/>
          <w:color w:val="auto"/>
          <w:sz w:val="20"/>
          <w:szCs w:val="20"/>
          <w:lang w:val="en-GB"/>
        </w:rPr>
        <w:t>4,008</w:t>
      </w:r>
      <w:r w:rsidRPr="00B217DC">
        <w:rPr>
          <w:rFonts w:cs="Arial"/>
          <w:color w:val="auto"/>
          <w:sz w:val="20"/>
          <w:szCs w:val="20"/>
          <w:lang w:val="en-GB"/>
        </w:rPr>
        <w:t xml:space="preserve"> million) and Computer services (R</w:t>
      </w:r>
      <w:r w:rsidR="00485C39" w:rsidRPr="00B217DC">
        <w:rPr>
          <w:rFonts w:cs="Arial"/>
          <w:color w:val="auto"/>
          <w:sz w:val="20"/>
          <w:szCs w:val="20"/>
          <w:lang w:val="en-GB"/>
        </w:rPr>
        <w:t>4,224</w:t>
      </w:r>
      <w:r w:rsidRPr="00B217DC">
        <w:rPr>
          <w:rFonts w:cs="Arial"/>
          <w:color w:val="auto"/>
          <w:sz w:val="20"/>
          <w:szCs w:val="20"/>
          <w:lang w:val="en-GB"/>
        </w:rPr>
        <w:t xml:space="preserve"> million)</w:t>
      </w:r>
      <w:r w:rsidR="00485C39" w:rsidRPr="00B217DC">
        <w:rPr>
          <w:rFonts w:cs="Arial"/>
          <w:color w:val="auto"/>
          <w:sz w:val="20"/>
          <w:szCs w:val="20"/>
          <w:lang w:val="en-GB"/>
        </w:rPr>
        <w:t xml:space="preserve"> and Advertising (R5,112 million)</w:t>
      </w:r>
      <w:r w:rsidRPr="00B217DC">
        <w:rPr>
          <w:rFonts w:cs="Arial"/>
          <w:color w:val="auto"/>
          <w:sz w:val="20"/>
          <w:szCs w:val="20"/>
          <w:lang w:val="en-GB"/>
        </w:rPr>
        <w:t xml:space="preserve">. These 5 line items consume </w:t>
      </w:r>
      <w:r w:rsidR="00485C39" w:rsidRPr="00B217DC">
        <w:rPr>
          <w:rFonts w:cs="Arial"/>
          <w:color w:val="auto"/>
          <w:sz w:val="20"/>
          <w:szCs w:val="20"/>
          <w:lang w:val="en-GB"/>
        </w:rPr>
        <w:t>84.8</w:t>
      </w:r>
      <w:r w:rsidRPr="00B217DC">
        <w:rPr>
          <w:rFonts w:cs="Arial"/>
          <w:color w:val="auto"/>
          <w:sz w:val="20"/>
          <w:szCs w:val="20"/>
          <w:lang w:val="en-GB"/>
        </w:rPr>
        <w:t xml:space="preserve">% </w:t>
      </w:r>
      <w:r w:rsidR="007672E9" w:rsidRPr="00B217DC">
        <w:rPr>
          <w:rFonts w:cs="Arial"/>
          <w:color w:val="auto"/>
          <w:sz w:val="20"/>
          <w:szCs w:val="20"/>
          <w:lang w:val="en-GB"/>
        </w:rPr>
        <w:t>(R</w:t>
      </w:r>
      <w:r w:rsidR="00485C39" w:rsidRPr="00B217DC">
        <w:rPr>
          <w:rFonts w:cs="Arial"/>
          <w:color w:val="auto"/>
          <w:sz w:val="20"/>
          <w:szCs w:val="20"/>
          <w:lang w:val="en-GB"/>
        </w:rPr>
        <w:t>43,245</w:t>
      </w:r>
      <w:r w:rsidR="007672E9" w:rsidRPr="00B217DC">
        <w:rPr>
          <w:rFonts w:cs="Arial"/>
          <w:color w:val="auto"/>
          <w:sz w:val="20"/>
          <w:szCs w:val="20"/>
          <w:lang w:val="en-GB"/>
        </w:rPr>
        <w:t xml:space="preserve"> million) </w:t>
      </w:r>
      <w:r w:rsidRPr="00B217DC">
        <w:rPr>
          <w:rFonts w:cs="Arial"/>
          <w:color w:val="auto"/>
          <w:sz w:val="20"/>
          <w:szCs w:val="20"/>
          <w:lang w:val="en-GB"/>
        </w:rPr>
        <w:t>of the Goods and Services budget.</w:t>
      </w:r>
      <w:r w:rsidR="007D6A28" w:rsidRPr="00B217DC">
        <w:rPr>
          <w:rFonts w:cs="Arial"/>
          <w:color w:val="auto"/>
          <w:sz w:val="20"/>
          <w:szCs w:val="20"/>
          <w:lang w:val="en-GB"/>
        </w:rPr>
        <w:t xml:space="preserve"> </w:t>
      </w:r>
    </w:p>
    <w:p w:rsidR="007D6A28" w:rsidRPr="00B217DC" w:rsidRDefault="007D6A28" w:rsidP="00B217DC">
      <w:pPr>
        <w:rPr>
          <w:rFonts w:cs="Arial"/>
          <w:color w:val="auto"/>
          <w:sz w:val="20"/>
          <w:szCs w:val="20"/>
        </w:rPr>
      </w:pPr>
    </w:p>
    <w:p w:rsidR="00E60E02" w:rsidRPr="00B217DC" w:rsidRDefault="007D6A28" w:rsidP="00B217DC">
      <w:pPr>
        <w:rPr>
          <w:rFonts w:cs="Arial"/>
          <w:color w:val="auto"/>
          <w:sz w:val="20"/>
          <w:szCs w:val="20"/>
        </w:rPr>
      </w:pPr>
      <w:r w:rsidRPr="00B217DC">
        <w:rPr>
          <w:rFonts w:cs="Arial"/>
          <w:color w:val="auto"/>
          <w:sz w:val="20"/>
          <w:szCs w:val="20"/>
        </w:rPr>
        <w:t>Looking at key cost drivers comparatively across the 2019/20</w:t>
      </w:r>
      <w:r w:rsidR="00442C39" w:rsidRPr="00B217DC">
        <w:rPr>
          <w:rFonts w:cs="Arial"/>
          <w:color w:val="auto"/>
          <w:sz w:val="20"/>
          <w:szCs w:val="20"/>
        </w:rPr>
        <w:t>,</w:t>
      </w:r>
      <w:r w:rsidRPr="00B217DC">
        <w:rPr>
          <w:rFonts w:cs="Arial"/>
          <w:color w:val="auto"/>
          <w:sz w:val="20"/>
          <w:szCs w:val="20"/>
        </w:rPr>
        <w:t xml:space="preserve"> 2020/21</w:t>
      </w:r>
      <w:r w:rsidR="00442C39" w:rsidRPr="00B217DC">
        <w:rPr>
          <w:rFonts w:cs="Arial"/>
          <w:color w:val="auto"/>
          <w:sz w:val="20"/>
          <w:szCs w:val="20"/>
        </w:rPr>
        <w:t xml:space="preserve"> and 2021/22</w:t>
      </w:r>
      <w:r w:rsidRPr="00B217DC">
        <w:rPr>
          <w:rFonts w:cs="Arial"/>
          <w:color w:val="auto"/>
          <w:sz w:val="20"/>
          <w:szCs w:val="20"/>
        </w:rPr>
        <w:t xml:space="preserve"> financial years they remain fairly similar. Compensation of employees sees a </w:t>
      </w:r>
      <w:r w:rsidR="00BE0B12" w:rsidRPr="00B217DC">
        <w:rPr>
          <w:rFonts w:cs="Arial"/>
          <w:color w:val="auto"/>
          <w:sz w:val="20"/>
          <w:szCs w:val="20"/>
        </w:rPr>
        <w:t>continuous</w:t>
      </w:r>
      <w:r w:rsidRPr="00B217DC">
        <w:rPr>
          <w:rFonts w:cs="Arial"/>
          <w:color w:val="auto"/>
          <w:sz w:val="20"/>
          <w:szCs w:val="20"/>
        </w:rPr>
        <w:t xml:space="preserve"> increase from R89.013 million in 2019/20 to R110.311 million in 2020/21</w:t>
      </w:r>
      <w:r w:rsidR="00442C39" w:rsidRPr="00B217DC">
        <w:rPr>
          <w:rFonts w:cs="Arial"/>
          <w:color w:val="auto"/>
          <w:sz w:val="20"/>
          <w:szCs w:val="20"/>
        </w:rPr>
        <w:t xml:space="preserve"> to R</w:t>
      </w:r>
      <w:r w:rsidR="00485C39" w:rsidRPr="00B217DC">
        <w:rPr>
          <w:rFonts w:cs="Arial"/>
          <w:color w:val="auto"/>
          <w:sz w:val="20"/>
          <w:szCs w:val="20"/>
        </w:rPr>
        <w:t>115,7 million</w:t>
      </w:r>
      <w:r w:rsidR="00442C39" w:rsidRPr="00B217DC">
        <w:rPr>
          <w:rFonts w:cs="Arial"/>
          <w:color w:val="auto"/>
          <w:sz w:val="20"/>
          <w:szCs w:val="20"/>
        </w:rPr>
        <w:t xml:space="preserve"> in 2021/22</w:t>
      </w:r>
      <w:r w:rsidR="00BE0B12" w:rsidRPr="00B217DC">
        <w:rPr>
          <w:rFonts w:cs="Arial"/>
          <w:color w:val="auto"/>
          <w:sz w:val="20"/>
          <w:szCs w:val="20"/>
        </w:rPr>
        <w:t>.</w:t>
      </w:r>
      <w:r w:rsidR="00485C39" w:rsidRPr="00B217DC">
        <w:rPr>
          <w:rFonts w:cs="Arial"/>
          <w:color w:val="auto"/>
          <w:sz w:val="20"/>
          <w:szCs w:val="20"/>
        </w:rPr>
        <w:t xml:space="preserve"> G</w:t>
      </w:r>
      <w:r w:rsidRPr="00B217DC">
        <w:rPr>
          <w:rFonts w:cs="Arial"/>
          <w:color w:val="auto"/>
          <w:sz w:val="20"/>
          <w:szCs w:val="20"/>
        </w:rPr>
        <w:t xml:space="preserve">oods and </w:t>
      </w:r>
      <w:r w:rsidR="00485C39" w:rsidRPr="00B217DC">
        <w:rPr>
          <w:rFonts w:cs="Arial"/>
          <w:color w:val="auto"/>
          <w:sz w:val="20"/>
          <w:szCs w:val="20"/>
        </w:rPr>
        <w:t>S</w:t>
      </w:r>
      <w:r w:rsidRPr="00B217DC">
        <w:rPr>
          <w:rFonts w:cs="Arial"/>
          <w:color w:val="auto"/>
          <w:sz w:val="20"/>
          <w:szCs w:val="20"/>
        </w:rPr>
        <w:t xml:space="preserve">ervices </w:t>
      </w:r>
      <w:r w:rsidR="00485C39" w:rsidRPr="00B217DC">
        <w:rPr>
          <w:rFonts w:cs="Arial"/>
          <w:color w:val="auto"/>
          <w:sz w:val="20"/>
          <w:szCs w:val="20"/>
        </w:rPr>
        <w:t>also increased</w:t>
      </w:r>
      <w:r w:rsidRPr="00B217DC">
        <w:rPr>
          <w:rFonts w:cs="Arial"/>
          <w:color w:val="auto"/>
          <w:sz w:val="20"/>
          <w:szCs w:val="20"/>
        </w:rPr>
        <w:t xml:space="preserve"> by R</w:t>
      </w:r>
      <w:r w:rsidR="00485C39" w:rsidRPr="00B217DC">
        <w:rPr>
          <w:rFonts w:cs="Arial"/>
          <w:color w:val="auto"/>
          <w:sz w:val="20"/>
          <w:szCs w:val="20"/>
        </w:rPr>
        <w:t>7,75</w:t>
      </w:r>
      <w:r w:rsidRPr="00B217DC">
        <w:rPr>
          <w:rFonts w:cs="Arial"/>
          <w:color w:val="auto"/>
          <w:sz w:val="20"/>
          <w:szCs w:val="20"/>
        </w:rPr>
        <w:t xml:space="preserve"> million</w:t>
      </w:r>
      <w:r w:rsidR="00BE0B12" w:rsidRPr="00B217DC">
        <w:rPr>
          <w:rFonts w:cs="Arial"/>
          <w:color w:val="auto"/>
          <w:sz w:val="20"/>
          <w:szCs w:val="20"/>
        </w:rPr>
        <w:t xml:space="preserve"> between 2020/21 and 2021/22</w:t>
      </w:r>
      <w:r w:rsidRPr="00B217DC">
        <w:rPr>
          <w:rFonts w:cs="Arial"/>
          <w:color w:val="auto"/>
          <w:sz w:val="20"/>
          <w:szCs w:val="20"/>
        </w:rPr>
        <w:t xml:space="preserve">. </w:t>
      </w:r>
    </w:p>
    <w:p w:rsidR="007D6A28" w:rsidRPr="00B217DC" w:rsidRDefault="007D6A28" w:rsidP="00B217DC">
      <w:pPr>
        <w:rPr>
          <w:rFonts w:cs="Arial"/>
          <w:color w:val="auto"/>
          <w:sz w:val="20"/>
          <w:szCs w:val="20"/>
          <w:lang w:val="en-GB"/>
        </w:rPr>
      </w:pPr>
    </w:p>
    <w:p w:rsidR="00B47626" w:rsidRPr="00B217DC" w:rsidRDefault="008F3453" w:rsidP="00B217DC">
      <w:pPr>
        <w:rPr>
          <w:rFonts w:cs="Arial"/>
          <w:color w:val="auto"/>
          <w:sz w:val="20"/>
          <w:szCs w:val="20"/>
          <w:lang w:val="en-GB"/>
        </w:rPr>
      </w:pPr>
      <w:r w:rsidRPr="00B217DC">
        <w:rPr>
          <w:rFonts w:cs="Arial"/>
          <w:color w:val="auto"/>
          <w:sz w:val="20"/>
          <w:szCs w:val="20"/>
          <w:lang w:val="en-GB"/>
        </w:rPr>
        <w:t>The Department indicated that under-spending per programme was due to following reasons</w:t>
      </w:r>
      <w:r w:rsidR="007111DF" w:rsidRPr="00B217DC">
        <w:rPr>
          <w:rFonts w:cs="Arial"/>
          <w:color w:val="auto"/>
          <w:sz w:val="20"/>
          <w:szCs w:val="20"/>
          <w:lang w:val="en-GB"/>
        </w:rPr>
        <w:t xml:space="preserve"> as cited in the table below</w:t>
      </w:r>
      <w:r w:rsidRPr="00B217DC">
        <w:rPr>
          <w:rFonts w:cs="Arial"/>
          <w:color w:val="auto"/>
          <w:sz w:val="20"/>
          <w:szCs w:val="20"/>
          <w:lang w:val="en-GB"/>
        </w:rPr>
        <w:t>:</w:t>
      </w:r>
    </w:p>
    <w:p w:rsidR="00B47626" w:rsidRPr="00B217DC" w:rsidRDefault="00B47626" w:rsidP="00B217DC">
      <w:pPr>
        <w:rPr>
          <w:rFonts w:cs="Arial"/>
          <w:color w:val="auto"/>
          <w:sz w:val="20"/>
          <w:szCs w:val="20"/>
          <w:lang w:val="en-GB"/>
        </w:rPr>
      </w:pPr>
    </w:p>
    <w:p w:rsidR="00B47626" w:rsidRPr="00B217DC" w:rsidRDefault="007111DF" w:rsidP="00B217DC">
      <w:pPr>
        <w:autoSpaceDE w:val="0"/>
        <w:autoSpaceDN w:val="0"/>
        <w:adjustRightInd w:val="0"/>
        <w:rPr>
          <w:rFonts w:cs="Arial"/>
          <w:b/>
          <w:color w:val="auto"/>
          <w:sz w:val="20"/>
          <w:szCs w:val="20"/>
          <w:lang w:val="en-GB"/>
        </w:rPr>
      </w:pPr>
      <w:r w:rsidRPr="00B217DC">
        <w:rPr>
          <w:rFonts w:cs="Arial"/>
          <w:b/>
          <w:color w:val="auto"/>
          <w:sz w:val="20"/>
          <w:szCs w:val="20"/>
          <w:lang w:val="en-GB"/>
        </w:rPr>
        <w:t>Table</w:t>
      </w:r>
      <w:r w:rsidR="00DF2241" w:rsidRPr="00B217DC">
        <w:rPr>
          <w:rFonts w:cs="Arial"/>
          <w:b/>
          <w:color w:val="auto"/>
          <w:sz w:val="20"/>
          <w:szCs w:val="20"/>
          <w:lang w:val="en-GB"/>
        </w:rPr>
        <w:t xml:space="preserve"> </w:t>
      </w:r>
      <w:r w:rsidR="00370D27" w:rsidRPr="00B217DC">
        <w:rPr>
          <w:rFonts w:cs="Arial"/>
          <w:b/>
          <w:color w:val="auto"/>
          <w:sz w:val="20"/>
          <w:szCs w:val="20"/>
          <w:lang w:val="en-GB"/>
        </w:rPr>
        <w:t>3</w:t>
      </w:r>
      <w:r w:rsidR="00DF2241" w:rsidRPr="00B217DC">
        <w:rPr>
          <w:rFonts w:cs="Arial"/>
          <w:b/>
          <w:color w:val="auto"/>
          <w:sz w:val="20"/>
          <w:szCs w:val="20"/>
          <w:lang w:val="en-GB"/>
        </w:rPr>
        <w:t>: Under-expenditure per programme for 202</w:t>
      </w:r>
      <w:r w:rsidR="00B40FDD" w:rsidRPr="00B217DC">
        <w:rPr>
          <w:rFonts w:cs="Arial"/>
          <w:b/>
          <w:color w:val="auto"/>
          <w:sz w:val="20"/>
          <w:szCs w:val="20"/>
          <w:lang w:val="en-GB"/>
        </w:rPr>
        <w:t>1/22</w:t>
      </w:r>
      <w:r w:rsidR="002B1D9E" w:rsidRPr="00B217DC">
        <w:rPr>
          <w:rStyle w:val="FootnoteReference"/>
          <w:rFonts w:cs="Arial"/>
          <w:b/>
          <w:color w:val="auto"/>
          <w:sz w:val="20"/>
          <w:szCs w:val="20"/>
          <w:lang w:val="en-GB"/>
        </w:rPr>
        <w:footnoteReference w:id="1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0"/>
        <w:gridCol w:w="1654"/>
        <w:gridCol w:w="1929"/>
        <w:gridCol w:w="4781"/>
      </w:tblGrid>
      <w:tr w:rsidR="006675BE" w:rsidRPr="00B217DC" w:rsidTr="00E31718">
        <w:trPr>
          <w:trHeight w:val="244"/>
          <w:tblHeader/>
        </w:trPr>
        <w:tc>
          <w:tcPr>
            <w:tcW w:w="756" w:type="pct"/>
            <w:shd w:val="clear" w:color="auto" w:fill="D9D9D9" w:themeFill="background1" w:themeFillShade="D9"/>
          </w:tcPr>
          <w:p w:rsidR="00BE0B12" w:rsidRPr="00B217DC" w:rsidRDefault="00BE0B12" w:rsidP="00B217DC">
            <w:pPr>
              <w:autoSpaceDE w:val="0"/>
              <w:autoSpaceDN w:val="0"/>
              <w:adjustRightInd w:val="0"/>
              <w:rPr>
                <w:rFonts w:cs="Arial"/>
                <w:color w:val="auto"/>
                <w:sz w:val="20"/>
                <w:szCs w:val="20"/>
              </w:rPr>
            </w:pPr>
            <w:r w:rsidRPr="00B217DC">
              <w:rPr>
                <w:rFonts w:cs="Arial"/>
                <w:b/>
                <w:bCs/>
                <w:color w:val="auto"/>
                <w:sz w:val="20"/>
                <w:szCs w:val="20"/>
              </w:rPr>
              <w:t>Programme Under-Expenditure</w:t>
            </w:r>
          </w:p>
        </w:tc>
        <w:tc>
          <w:tcPr>
            <w:tcW w:w="839" w:type="pct"/>
            <w:shd w:val="clear" w:color="auto" w:fill="D9D9D9" w:themeFill="background1" w:themeFillShade="D9"/>
          </w:tcPr>
          <w:p w:rsidR="00BE0B12" w:rsidRPr="00B217DC" w:rsidRDefault="00BE0B12" w:rsidP="00B217DC">
            <w:pPr>
              <w:autoSpaceDE w:val="0"/>
              <w:autoSpaceDN w:val="0"/>
              <w:adjustRightInd w:val="0"/>
              <w:rPr>
                <w:rFonts w:cs="Arial"/>
                <w:b/>
                <w:color w:val="auto"/>
                <w:sz w:val="20"/>
                <w:szCs w:val="20"/>
              </w:rPr>
            </w:pPr>
            <w:r w:rsidRPr="00B217DC">
              <w:rPr>
                <w:rFonts w:cs="Arial"/>
                <w:b/>
                <w:color w:val="auto"/>
                <w:sz w:val="20"/>
                <w:szCs w:val="20"/>
              </w:rPr>
              <w:t>Under-expenditure as % of total appropriation</w:t>
            </w:r>
          </w:p>
        </w:tc>
        <w:tc>
          <w:tcPr>
            <w:tcW w:w="979" w:type="pct"/>
            <w:shd w:val="clear" w:color="auto" w:fill="D9D9D9" w:themeFill="background1" w:themeFillShade="D9"/>
          </w:tcPr>
          <w:p w:rsidR="00BE0B12"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t>Under-expenditure as % of programme operational budget</w:t>
            </w:r>
          </w:p>
        </w:tc>
        <w:tc>
          <w:tcPr>
            <w:tcW w:w="2426" w:type="pct"/>
            <w:shd w:val="clear" w:color="auto" w:fill="D9D9D9" w:themeFill="background1" w:themeFillShade="D9"/>
          </w:tcPr>
          <w:p w:rsidR="00BE0B12" w:rsidRPr="00B217DC" w:rsidRDefault="00BE0B12" w:rsidP="00B217DC">
            <w:pPr>
              <w:autoSpaceDE w:val="0"/>
              <w:autoSpaceDN w:val="0"/>
              <w:adjustRightInd w:val="0"/>
              <w:rPr>
                <w:rFonts w:cs="Arial"/>
                <w:color w:val="auto"/>
                <w:sz w:val="20"/>
                <w:szCs w:val="20"/>
              </w:rPr>
            </w:pPr>
            <w:r w:rsidRPr="00B217DC">
              <w:rPr>
                <w:rFonts w:cs="Arial"/>
                <w:b/>
                <w:bCs/>
                <w:color w:val="auto"/>
                <w:sz w:val="20"/>
                <w:szCs w:val="20"/>
              </w:rPr>
              <w:t>Reason For Under-Expenditure</w:t>
            </w:r>
          </w:p>
        </w:tc>
      </w:tr>
      <w:tr w:rsidR="006675BE" w:rsidRPr="00B217DC" w:rsidTr="00BE0B12">
        <w:trPr>
          <w:trHeight w:val="243"/>
        </w:trPr>
        <w:tc>
          <w:tcPr>
            <w:tcW w:w="756" w:type="pct"/>
          </w:tcPr>
          <w:p w:rsidR="00BE0B12"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lastRenderedPageBreak/>
              <w:t xml:space="preserve">P1: Admin </w:t>
            </w:r>
          </w:p>
          <w:p w:rsidR="00E31718" w:rsidRPr="00B217DC" w:rsidRDefault="00E31718" w:rsidP="00B217DC">
            <w:pPr>
              <w:autoSpaceDE w:val="0"/>
              <w:autoSpaceDN w:val="0"/>
              <w:adjustRightInd w:val="0"/>
              <w:rPr>
                <w:rFonts w:cs="Arial"/>
                <w:b/>
                <w:bCs/>
                <w:color w:val="auto"/>
                <w:sz w:val="20"/>
                <w:szCs w:val="20"/>
              </w:rPr>
            </w:pPr>
          </w:p>
          <w:p w:rsidR="00BE0B12" w:rsidRPr="00B217DC" w:rsidRDefault="00BE0B12" w:rsidP="00B217DC">
            <w:pPr>
              <w:autoSpaceDE w:val="0"/>
              <w:autoSpaceDN w:val="0"/>
              <w:adjustRightInd w:val="0"/>
              <w:rPr>
                <w:rFonts w:cs="Arial"/>
                <w:b/>
                <w:color w:val="auto"/>
                <w:sz w:val="20"/>
                <w:szCs w:val="20"/>
              </w:rPr>
            </w:pPr>
            <w:r w:rsidRPr="00B217DC">
              <w:rPr>
                <w:rFonts w:cs="Arial"/>
                <w:b/>
                <w:color w:val="auto"/>
                <w:sz w:val="20"/>
                <w:szCs w:val="20"/>
              </w:rPr>
              <w:t>R</w:t>
            </w:r>
            <w:r w:rsidRPr="00B217DC">
              <w:rPr>
                <w:rFonts w:cs="Arial"/>
                <w:b/>
                <w:color w:val="auto"/>
                <w:spacing w:val="0"/>
                <w:sz w:val="20"/>
                <w:szCs w:val="20"/>
                <w:lang w:eastAsia="en-ZA"/>
              </w:rPr>
              <w:t xml:space="preserve"> </w:t>
            </w:r>
            <w:r w:rsidRPr="00B217DC">
              <w:rPr>
                <w:rFonts w:cs="Arial"/>
                <w:b/>
                <w:color w:val="auto"/>
                <w:sz w:val="20"/>
                <w:szCs w:val="20"/>
              </w:rPr>
              <w:t>8,423 million</w:t>
            </w:r>
          </w:p>
        </w:tc>
        <w:tc>
          <w:tcPr>
            <w:tcW w:w="839" w:type="pct"/>
          </w:tcPr>
          <w:p w:rsidR="00BE0B12" w:rsidRPr="00B217DC" w:rsidRDefault="00BE0B12" w:rsidP="00B217DC">
            <w:pPr>
              <w:autoSpaceDE w:val="0"/>
              <w:autoSpaceDN w:val="0"/>
              <w:adjustRightInd w:val="0"/>
              <w:rPr>
                <w:rFonts w:cs="Arial"/>
                <w:b/>
                <w:color w:val="auto"/>
                <w:sz w:val="20"/>
                <w:szCs w:val="20"/>
              </w:rPr>
            </w:pPr>
          </w:p>
          <w:p w:rsidR="00BE0B12" w:rsidRPr="00B217DC" w:rsidRDefault="00BE0B12" w:rsidP="00B217DC">
            <w:pPr>
              <w:rPr>
                <w:rFonts w:cs="Arial"/>
                <w:b/>
                <w:color w:val="auto"/>
                <w:sz w:val="20"/>
                <w:szCs w:val="20"/>
              </w:rPr>
            </w:pPr>
            <w:r w:rsidRPr="00B217DC">
              <w:rPr>
                <w:rFonts w:cs="Arial"/>
                <w:b/>
                <w:color w:val="auto"/>
                <w:sz w:val="20"/>
                <w:szCs w:val="20"/>
              </w:rPr>
              <w:t>7.5%</w:t>
            </w:r>
          </w:p>
        </w:tc>
        <w:tc>
          <w:tcPr>
            <w:tcW w:w="979" w:type="pct"/>
          </w:tcPr>
          <w:p w:rsidR="00BE0B12" w:rsidRPr="00B217DC" w:rsidRDefault="00BE0B12" w:rsidP="00B217DC">
            <w:pPr>
              <w:autoSpaceDE w:val="0"/>
              <w:autoSpaceDN w:val="0"/>
              <w:adjustRightInd w:val="0"/>
              <w:rPr>
                <w:rFonts w:cs="Arial"/>
                <w:b/>
                <w:color w:val="auto"/>
                <w:sz w:val="20"/>
                <w:szCs w:val="20"/>
              </w:rPr>
            </w:pPr>
          </w:p>
          <w:p w:rsidR="00BE0B12" w:rsidRPr="00B217DC" w:rsidRDefault="00BE0B12" w:rsidP="00B217DC">
            <w:pPr>
              <w:autoSpaceDE w:val="0"/>
              <w:autoSpaceDN w:val="0"/>
              <w:adjustRightInd w:val="0"/>
              <w:rPr>
                <w:rFonts w:cs="Arial"/>
                <w:b/>
                <w:color w:val="auto"/>
                <w:sz w:val="20"/>
                <w:szCs w:val="20"/>
              </w:rPr>
            </w:pPr>
            <w:r w:rsidRPr="00B217DC">
              <w:rPr>
                <w:rFonts w:cs="Arial"/>
                <w:b/>
                <w:color w:val="auto"/>
                <w:sz w:val="20"/>
                <w:szCs w:val="20"/>
              </w:rPr>
              <w:t>7.5%</w:t>
            </w:r>
          </w:p>
        </w:tc>
        <w:tc>
          <w:tcPr>
            <w:tcW w:w="2426" w:type="pct"/>
          </w:tcPr>
          <w:p w:rsidR="00E31718" w:rsidRPr="00B217DC" w:rsidRDefault="00E31718" w:rsidP="00B217DC">
            <w:pPr>
              <w:pStyle w:val="ListParagraph"/>
              <w:numPr>
                <w:ilvl w:val="0"/>
                <w:numId w:val="134"/>
              </w:numPr>
              <w:ind w:left="460" w:hanging="383"/>
              <w:rPr>
                <w:rFonts w:cs="Arial"/>
                <w:color w:val="auto"/>
                <w:sz w:val="20"/>
                <w:szCs w:val="20"/>
              </w:rPr>
            </w:pPr>
            <w:r w:rsidRPr="00B217DC">
              <w:rPr>
                <w:rFonts w:cs="Arial"/>
                <w:color w:val="auto"/>
                <w:sz w:val="20"/>
                <w:szCs w:val="20"/>
              </w:rPr>
              <w:t>Delayed spending on the support and maintenance of the implementation of the Microsoft Licenses amounting to R1 077m. Reduction on travel and subsistence amounting to R1 371 000.00 linked to COVID-19 restrictions on travel</w:t>
            </w:r>
          </w:p>
          <w:p w:rsidR="00E31718" w:rsidRPr="00B217DC" w:rsidRDefault="00E31718" w:rsidP="00B217DC">
            <w:pPr>
              <w:pStyle w:val="ListParagraph"/>
              <w:numPr>
                <w:ilvl w:val="0"/>
                <w:numId w:val="134"/>
              </w:numPr>
              <w:ind w:left="460" w:hanging="383"/>
              <w:rPr>
                <w:rFonts w:cs="Arial"/>
                <w:color w:val="auto"/>
                <w:sz w:val="20"/>
                <w:szCs w:val="20"/>
              </w:rPr>
            </w:pPr>
            <w:r w:rsidRPr="00B217DC">
              <w:rPr>
                <w:rFonts w:cs="Arial"/>
                <w:color w:val="auto"/>
                <w:sz w:val="20"/>
                <w:szCs w:val="20"/>
              </w:rPr>
              <w:t>Daily office operational expenditure included: - administrative fees (R425 000), communication (telecoms) (R488 000), legal services (R296 000), contractors (R270 000), training and development (R345 000) and operating payments (R333 000).</w:t>
            </w:r>
          </w:p>
          <w:p w:rsidR="00E31718" w:rsidRPr="00B217DC" w:rsidRDefault="00E31718" w:rsidP="00B217DC">
            <w:pPr>
              <w:pStyle w:val="ListParagraph"/>
              <w:numPr>
                <w:ilvl w:val="0"/>
                <w:numId w:val="134"/>
              </w:numPr>
              <w:ind w:left="460" w:hanging="383"/>
              <w:rPr>
                <w:rFonts w:cs="Arial"/>
                <w:color w:val="auto"/>
                <w:sz w:val="20"/>
                <w:szCs w:val="20"/>
              </w:rPr>
            </w:pPr>
            <w:r w:rsidRPr="00B217DC">
              <w:rPr>
                <w:rFonts w:cs="Arial"/>
                <w:color w:val="auto"/>
                <w:sz w:val="20"/>
                <w:szCs w:val="20"/>
              </w:rPr>
              <w:t>Non-procurement of the 2 Executive Vehicles for the Cape Town Office amounting to R1 392m due to the passing away of the former Deputy Minister</w:t>
            </w:r>
          </w:p>
          <w:p w:rsidR="00E31718" w:rsidRPr="00B217DC" w:rsidRDefault="00E31718" w:rsidP="00B217DC">
            <w:pPr>
              <w:pStyle w:val="ListParagraph"/>
              <w:numPr>
                <w:ilvl w:val="0"/>
                <w:numId w:val="134"/>
              </w:numPr>
              <w:ind w:left="460" w:hanging="383"/>
              <w:rPr>
                <w:rFonts w:cs="Arial"/>
                <w:color w:val="auto"/>
                <w:sz w:val="20"/>
                <w:szCs w:val="20"/>
              </w:rPr>
            </w:pPr>
            <w:r w:rsidRPr="00B217DC">
              <w:rPr>
                <w:rFonts w:cs="Arial"/>
                <w:color w:val="auto"/>
                <w:sz w:val="20"/>
                <w:szCs w:val="20"/>
              </w:rPr>
              <w:t>Cancelation of an order for 22 laptops due to no stock availability from the supplier amounting to R573 000.</w:t>
            </w:r>
          </w:p>
          <w:p w:rsidR="00BE0B12" w:rsidRPr="00B217DC" w:rsidRDefault="00E31718" w:rsidP="00B217DC">
            <w:pPr>
              <w:pStyle w:val="ListParagraph"/>
              <w:numPr>
                <w:ilvl w:val="0"/>
                <w:numId w:val="134"/>
              </w:numPr>
              <w:ind w:left="460" w:hanging="383"/>
              <w:rPr>
                <w:rFonts w:cs="Arial"/>
                <w:color w:val="auto"/>
                <w:sz w:val="20"/>
                <w:szCs w:val="20"/>
              </w:rPr>
            </w:pPr>
            <w:r w:rsidRPr="00B217DC">
              <w:rPr>
                <w:rFonts w:cs="Arial"/>
                <w:color w:val="auto"/>
                <w:sz w:val="20"/>
                <w:szCs w:val="20"/>
              </w:rPr>
              <w:t>The procurement of the furniture as part of the relocation to the new premises was put on hold as the refurbishment and upgrading of the building is work in progress.</w:t>
            </w:r>
          </w:p>
        </w:tc>
      </w:tr>
      <w:tr w:rsidR="006675BE" w:rsidRPr="00B217DC" w:rsidTr="00BE0B12">
        <w:trPr>
          <w:trHeight w:val="513"/>
        </w:trPr>
        <w:tc>
          <w:tcPr>
            <w:tcW w:w="756" w:type="pct"/>
          </w:tcPr>
          <w:p w:rsidR="00E31718" w:rsidRPr="00B217DC" w:rsidRDefault="00E31718" w:rsidP="00B217DC">
            <w:pPr>
              <w:autoSpaceDE w:val="0"/>
              <w:autoSpaceDN w:val="0"/>
              <w:adjustRightInd w:val="0"/>
              <w:rPr>
                <w:rFonts w:cs="Arial"/>
                <w:b/>
                <w:bCs/>
                <w:color w:val="auto"/>
                <w:sz w:val="20"/>
                <w:szCs w:val="20"/>
              </w:rPr>
            </w:pPr>
            <w:r w:rsidRPr="00B217DC">
              <w:rPr>
                <w:rFonts w:cs="Arial"/>
                <w:b/>
                <w:bCs/>
                <w:color w:val="auto"/>
                <w:sz w:val="20"/>
                <w:szCs w:val="20"/>
              </w:rPr>
              <w:t>P</w:t>
            </w:r>
            <w:r w:rsidR="00BE0B12" w:rsidRPr="00B217DC">
              <w:rPr>
                <w:rFonts w:cs="Arial"/>
                <w:b/>
                <w:bCs/>
                <w:color w:val="auto"/>
                <w:sz w:val="20"/>
                <w:szCs w:val="20"/>
              </w:rPr>
              <w:t>2: STEE</w:t>
            </w:r>
          </w:p>
          <w:p w:rsidR="00BE0B12"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t xml:space="preserve"> </w:t>
            </w:r>
          </w:p>
          <w:p w:rsidR="00E31718" w:rsidRPr="00B217DC" w:rsidRDefault="00E31718" w:rsidP="00B217DC">
            <w:pPr>
              <w:autoSpaceDE w:val="0"/>
              <w:autoSpaceDN w:val="0"/>
              <w:adjustRightInd w:val="0"/>
              <w:rPr>
                <w:rFonts w:cs="Arial"/>
                <w:color w:val="auto"/>
                <w:sz w:val="20"/>
                <w:szCs w:val="20"/>
              </w:rPr>
            </w:pPr>
            <w:r w:rsidRPr="00B217DC">
              <w:rPr>
                <w:rFonts w:cs="Arial"/>
                <w:b/>
                <w:color w:val="auto"/>
                <w:sz w:val="20"/>
                <w:szCs w:val="20"/>
              </w:rPr>
              <w:t>R 5</w:t>
            </w:r>
            <w:r w:rsidR="002B1D9E" w:rsidRPr="00B217DC">
              <w:rPr>
                <w:rFonts w:cs="Arial"/>
                <w:b/>
                <w:color w:val="auto"/>
                <w:sz w:val="20"/>
                <w:szCs w:val="20"/>
              </w:rPr>
              <w:t>,</w:t>
            </w:r>
            <w:r w:rsidRPr="00B217DC">
              <w:rPr>
                <w:rFonts w:cs="Arial"/>
                <w:b/>
                <w:color w:val="auto"/>
                <w:sz w:val="20"/>
                <w:szCs w:val="20"/>
              </w:rPr>
              <w:t>096 million</w:t>
            </w:r>
          </w:p>
        </w:tc>
        <w:tc>
          <w:tcPr>
            <w:tcW w:w="839" w:type="pct"/>
          </w:tcPr>
          <w:p w:rsidR="00E31718" w:rsidRPr="00B217DC" w:rsidRDefault="00E31718" w:rsidP="00B217DC">
            <w:pPr>
              <w:rPr>
                <w:rFonts w:cs="Arial"/>
                <w:b/>
                <w:color w:val="auto"/>
                <w:sz w:val="20"/>
                <w:szCs w:val="20"/>
              </w:rPr>
            </w:pPr>
          </w:p>
          <w:p w:rsidR="00BE0B12" w:rsidRPr="00B217DC" w:rsidRDefault="00E31718" w:rsidP="00B217DC">
            <w:pPr>
              <w:rPr>
                <w:rFonts w:cs="Arial"/>
                <w:b/>
                <w:color w:val="auto"/>
                <w:sz w:val="20"/>
                <w:szCs w:val="20"/>
              </w:rPr>
            </w:pPr>
            <w:r w:rsidRPr="00B217DC">
              <w:rPr>
                <w:rFonts w:cs="Arial"/>
                <w:b/>
                <w:color w:val="auto"/>
                <w:sz w:val="20"/>
                <w:szCs w:val="20"/>
              </w:rPr>
              <w:t>4.3%</w:t>
            </w:r>
          </w:p>
        </w:tc>
        <w:tc>
          <w:tcPr>
            <w:tcW w:w="979" w:type="pct"/>
          </w:tcPr>
          <w:p w:rsidR="00BE0B12" w:rsidRPr="00B217DC" w:rsidRDefault="00BE0B12" w:rsidP="00B217DC">
            <w:pPr>
              <w:autoSpaceDE w:val="0"/>
              <w:autoSpaceDN w:val="0"/>
              <w:adjustRightInd w:val="0"/>
              <w:rPr>
                <w:rFonts w:cs="Arial"/>
                <w:b/>
                <w:color w:val="auto"/>
                <w:sz w:val="20"/>
                <w:szCs w:val="20"/>
              </w:rPr>
            </w:pPr>
          </w:p>
          <w:p w:rsidR="00E31718" w:rsidRPr="00B217DC" w:rsidRDefault="00E31718" w:rsidP="00B217DC">
            <w:pPr>
              <w:autoSpaceDE w:val="0"/>
              <w:autoSpaceDN w:val="0"/>
              <w:adjustRightInd w:val="0"/>
              <w:rPr>
                <w:rFonts w:cs="Arial"/>
                <w:b/>
                <w:color w:val="auto"/>
                <w:sz w:val="20"/>
                <w:szCs w:val="20"/>
              </w:rPr>
            </w:pPr>
            <w:r w:rsidRPr="00B217DC">
              <w:rPr>
                <w:rFonts w:cs="Arial"/>
                <w:b/>
                <w:color w:val="auto"/>
                <w:sz w:val="20"/>
                <w:szCs w:val="20"/>
              </w:rPr>
              <w:t>18.8%</w:t>
            </w:r>
          </w:p>
        </w:tc>
        <w:tc>
          <w:tcPr>
            <w:tcW w:w="2426" w:type="pct"/>
          </w:tcPr>
          <w:p w:rsidR="00E31718" w:rsidRPr="00B217DC" w:rsidRDefault="00E31718" w:rsidP="00B217DC">
            <w:pPr>
              <w:pStyle w:val="ListParagraph"/>
              <w:numPr>
                <w:ilvl w:val="0"/>
                <w:numId w:val="133"/>
              </w:numPr>
              <w:autoSpaceDE w:val="0"/>
              <w:autoSpaceDN w:val="0"/>
              <w:adjustRightInd w:val="0"/>
              <w:ind w:left="460"/>
              <w:rPr>
                <w:rFonts w:cs="Arial"/>
                <w:color w:val="auto"/>
                <w:sz w:val="20"/>
                <w:szCs w:val="20"/>
              </w:rPr>
            </w:pPr>
            <w:r w:rsidRPr="00B217DC">
              <w:rPr>
                <w:rFonts w:cs="Arial"/>
                <w:color w:val="auto"/>
                <w:sz w:val="20"/>
                <w:szCs w:val="20"/>
              </w:rPr>
              <w:t>Delay in the finalisation of the National Council for Gender-Based Violence and Femicide (NCGBVF) due to challenges in legislation, the unspent funds amount to R3 706m.</w:t>
            </w:r>
          </w:p>
          <w:p w:rsidR="00BE0B12" w:rsidRPr="00B217DC" w:rsidRDefault="00E31718" w:rsidP="00B217DC">
            <w:pPr>
              <w:pStyle w:val="ListParagraph"/>
              <w:numPr>
                <w:ilvl w:val="0"/>
                <w:numId w:val="133"/>
              </w:numPr>
              <w:autoSpaceDE w:val="0"/>
              <w:autoSpaceDN w:val="0"/>
              <w:adjustRightInd w:val="0"/>
              <w:ind w:left="460"/>
              <w:rPr>
                <w:rFonts w:cs="Arial"/>
                <w:color w:val="auto"/>
                <w:sz w:val="20"/>
                <w:szCs w:val="20"/>
              </w:rPr>
            </w:pPr>
            <w:r w:rsidRPr="00B217DC">
              <w:rPr>
                <w:rFonts w:cs="Arial"/>
                <w:color w:val="auto"/>
                <w:sz w:val="20"/>
                <w:szCs w:val="20"/>
              </w:rPr>
              <w:t>Reduction on travel and subsistence due to COVID-19 travel restrictions amounting to R1 055m.</w:t>
            </w:r>
          </w:p>
        </w:tc>
      </w:tr>
      <w:tr w:rsidR="006675BE" w:rsidRPr="00B217DC" w:rsidTr="00BE0B12">
        <w:trPr>
          <w:trHeight w:val="513"/>
        </w:trPr>
        <w:tc>
          <w:tcPr>
            <w:tcW w:w="756" w:type="pct"/>
          </w:tcPr>
          <w:p w:rsidR="00E31718"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t>P3: PSCKM</w:t>
            </w:r>
          </w:p>
          <w:p w:rsidR="00E31718" w:rsidRPr="00B217DC" w:rsidRDefault="00E31718" w:rsidP="00B217DC">
            <w:pPr>
              <w:autoSpaceDE w:val="0"/>
              <w:autoSpaceDN w:val="0"/>
              <w:adjustRightInd w:val="0"/>
              <w:rPr>
                <w:rFonts w:cs="Arial"/>
                <w:b/>
                <w:color w:val="auto"/>
                <w:sz w:val="20"/>
                <w:szCs w:val="20"/>
              </w:rPr>
            </w:pPr>
          </w:p>
          <w:p w:rsidR="00BE0B12" w:rsidRPr="00B217DC" w:rsidRDefault="00E31718" w:rsidP="00B217DC">
            <w:pPr>
              <w:autoSpaceDE w:val="0"/>
              <w:autoSpaceDN w:val="0"/>
              <w:adjustRightInd w:val="0"/>
              <w:rPr>
                <w:rFonts w:cs="Arial"/>
                <w:b/>
                <w:bCs/>
                <w:color w:val="auto"/>
                <w:sz w:val="20"/>
                <w:szCs w:val="20"/>
              </w:rPr>
            </w:pPr>
            <w:r w:rsidRPr="00B217DC">
              <w:rPr>
                <w:rFonts w:cs="Arial"/>
                <w:b/>
                <w:color w:val="auto"/>
                <w:sz w:val="20"/>
                <w:szCs w:val="20"/>
              </w:rPr>
              <w:t>R</w:t>
            </w:r>
            <w:r w:rsidRPr="00B217DC">
              <w:rPr>
                <w:rFonts w:cs="Arial"/>
                <w:b/>
                <w:color w:val="auto"/>
                <w:spacing w:val="0"/>
                <w:sz w:val="20"/>
                <w:szCs w:val="20"/>
                <w:lang w:eastAsia="en-ZA"/>
              </w:rPr>
              <w:t xml:space="preserve"> </w:t>
            </w:r>
            <w:r w:rsidRPr="00B217DC">
              <w:rPr>
                <w:rFonts w:cs="Arial"/>
                <w:b/>
                <w:color w:val="auto"/>
                <w:sz w:val="20"/>
                <w:szCs w:val="20"/>
              </w:rPr>
              <w:t>9,609 million</w:t>
            </w:r>
          </w:p>
        </w:tc>
        <w:tc>
          <w:tcPr>
            <w:tcW w:w="839" w:type="pct"/>
          </w:tcPr>
          <w:p w:rsidR="00BE0B12" w:rsidRPr="00B217DC" w:rsidRDefault="00BE0B12" w:rsidP="00B217DC">
            <w:pPr>
              <w:autoSpaceDE w:val="0"/>
              <w:autoSpaceDN w:val="0"/>
              <w:adjustRightInd w:val="0"/>
              <w:rPr>
                <w:rFonts w:cs="Arial"/>
                <w:b/>
                <w:color w:val="auto"/>
                <w:sz w:val="20"/>
                <w:szCs w:val="20"/>
              </w:rPr>
            </w:pPr>
          </w:p>
          <w:p w:rsidR="00E31718" w:rsidRPr="00B217DC" w:rsidRDefault="00E31718" w:rsidP="00B217DC">
            <w:pPr>
              <w:autoSpaceDE w:val="0"/>
              <w:autoSpaceDN w:val="0"/>
              <w:adjustRightInd w:val="0"/>
              <w:rPr>
                <w:rFonts w:cs="Arial"/>
                <w:b/>
                <w:color w:val="auto"/>
                <w:sz w:val="20"/>
                <w:szCs w:val="20"/>
              </w:rPr>
            </w:pPr>
            <w:r w:rsidRPr="00B217DC">
              <w:rPr>
                <w:rFonts w:cs="Arial"/>
                <w:b/>
                <w:color w:val="auto"/>
                <w:sz w:val="20"/>
                <w:szCs w:val="20"/>
              </w:rPr>
              <w:t>26.9%</w:t>
            </w:r>
          </w:p>
        </w:tc>
        <w:tc>
          <w:tcPr>
            <w:tcW w:w="979" w:type="pct"/>
          </w:tcPr>
          <w:p w:rsidR="00BE0B12" w:rsidRPr="00B217DC" w:rsidRDefault="00BE0B12" w:rsidP="00B217DC">
            <w:pPr>
              <w:autoSpaceDE w:val="0"/>
              <w:autoSpaceDN w:val="0"/>
              <w:adjustRightInd w:val="0"/>
              <w:rPr>
                <w:rFonts w:cs="Arial"/>
                <w:b/>
                <w:color w:val="auto"/>
                <w:sz w:val="20"/>
                <w:szCs w:val="20"/>
              </w:rPr>
            </w:pPr>
          </w:p>
          <w:p w:rsidR="00E31718" w:rsidRPr="00B217DC" w:rsidRDefault="00E31718" w:rsidP="00B217DC">
            <w:pPr>
              <w:autoSpaceDE w:val="0"/>
              <w:autoSpaceDN w:val="0"/>
              <w:adjustRightInd w:val="0"/>
              <w:rPr>
                <w:rFonts w:cs="Arial"/>
                <w:b/>
                <w:color w:val="auto"/>
                <w:sz w:val="20"/>
                <w:szCs w:val="20"/>
              </w:rPr>
            </w:pPr>
            <w:r w:rsidRPr="00B217DC">
              <w:rPr>
                <w:rFonts w:cs="Arial"/>
                <w:b/>
                <w:color w:val="auto"/>
                <w:sz w:val="20"/>
                <w:szCs w:val="20"/>
              </w:rPr>
              <w:t>26.9%</w:t>
            </w:r>
          </w:p>
        </w:tc>
        <w:tc>
          <w:tcPr>
            <w:tcW w:w="2426" w:type="pct"/>
          </w:tcPr>
          <w:p w:rsidR="00E31718" w:rsidRPr="00B217DC" w:rsidRDefault="00E31718" w:rsidP="00B217DC">
            <w:pPr>
              <w:pStyle w:val="ListParagraph"/>
              <w:numPr>
                <w:ilvl w:val="0"/>
                <w:numId w:val="132"/>
              </w:numPr>
              <w:autoSpaceDE w:val="0"/>
              <w:autoSpaceDN w:val="0"/>
              <w:adjustRightInd w:val="0"/>
              <w:ind w:left="460"/>
              <w:rPr>
                <w:rFonts w:cs="Arial"/>
                <w:color w:val="auto"/>
                <w:sz w:val="20"/>
                <w:szCs w:val="20"/>
              </w:rPr>
            </w:pPr>
            <w:r w:rsidRPr="00B217DC">
              <w:rPr>
                <w:rFonts w:cs="Arial"/>
                <w:color w:val="auto"/>
                <w:sz w:val="20"/>
                <w:szCs w:val="20"/>
              </w:rPr>
              <w:t>Due to the challenges experienced by the department for the procurement of research and monitoring and evaluation projects that went out on tender, but no responses were received from the market. The estimated cost for these projects is to R2 991m.</w:t>
            </w:r>
          </w:p>
          <w:p w:rsidR="00BE0B12" w:rsidRPr="00B217DC" w:rsidRDefault="00E31718" w:rsidP="00B217DC">
            <w:pPr>
              <w:pStyle w:val="ListParagraph"/>
              <w:numPr>
                <w:ilvl w:val="0"/>
                <w:numId w:val="132"/>
              </w:numPr>
              <w:autoSpaceDE w:val="0"/>
              <w:autoSpaceDN w:val="0"/>
              <w:adjustRightInd w:val="0"/>
              <w:ind w:left="460"/>
              <w:rPr>
                <w:rFonts w:cs="Arial"/>
                <w:color w:val="auto"/>
                <w:sz w:val="20"/>
                <w:szCs w:val="20"/>
              </w:rPr>
            </w:pPr>
            <w:r w:rsidRPr="00B217DC">
              <w:rPr>
                <w:rFonts w:cs="Arial"/>
                <w:color w:val="auto"/>
                <w:sz w:val="20"/>
                <w:szCs w:val="20"/>
              </w:rPr>
              <w:t>COVID -19 restrictions on travel and physical events resulted in an unspent amount of R1 973m budget for travel and subsistence as well as the budget for items such as contractors (R495 000), operating payments (R1 117m), venues and facilities (R958 000) and rental and hiring (R641 000)</w:t>
            </w:r>
          </w:p>
        </w:tc>
      </w:tr>
      <w:tr w:rsidR="006675BE" w:rsidRPr="00B217DC" w:rsidTr="00BE0B12">
        <w:trPr>
          <w:trHeight w:val="653"/>
        </w:trPr>
        <w:tc>
          <w:tcPr>
            <w:tcW w:w="756" w:type="pct"/>
          </w:tcPr>
          <w:p w:rsidR="00E31718"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t>P4: RPD</w:t>
            </w:r>
          </w:p>
          <w:p w:rsidR="00BE0B12"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t xml:space="preserve"> </w:t>
            </w:r>
          </w:p>
          <w:p w:rsidR="00E31718" w:rsidRPr="00B217DC" w:rsidRDefault="00E31718" w:rsidP="00B217DC">
            <w:pPr>
              <w:autoSpaceDE w:val="0"/>
              <w:autoSpaceDN w:val="0"/>
              <w:adjustRightInd w:val="0"/>
              <w:rPr>
                <w:rFonts w:cs="Arial"/>
                <w:color w:val="auto"/>
                <w:sz w:val="20"/>
                <w:szCs w:val="20"/>
              </w:rPr>
            </w:pPr>
            <w:r w:rsidRPr="00B217DC">
              <w:rPr>
                <w:rFonts w:cs="Arial"/>
                <w:b/>
                <w:color w:val="auto"/>
                <w:sz w:val="20"/>
                <w:szCs w:val="20"/>
              </w:rPr>
              <w:t>R</w:t>
            </w:r>
            <w:r w:rsidRPr="00B217DC">
              <w:rPr>
                <w:rFonts w:cs="Arial"/>
                <w:b/>
                <w:color w:val="auto"/>
                <w:spacing w:val="0"/>
                <w:sz w:val="20"/>
                <w:szCs w:val="20"/>
                <w:lang w:eastAsia="en-ZA"/>
              </w:rPr>
              <w:t xml:space="preserve"> </w:t>
            </w:r>
            <w:r w:rsidRPr="00B217DC">
              <w:rPr>
                <w:rFonts w:cs="Arial"/>
                <w:b/>
                <w:color w:val="auto"/>
                <w:sz w:val="20"/>
                <w:szCs w:val="20"/>
              </w:rPr>
              <w:t>5,496 million</w:t>
            </w:r>
          </w:p>
        </w:tc>
        <w:tc>
          <w:tcPr>
            <w:tcW w:w="839" w:type="pct"/>
          </w:tcPr>
          <w:p w:rsidR="00E31718" w:rsidRPr="00B217DC" w:rsidRDefault="00E31718" w:rsidP="00B217DC">
            <w:pPr>
              <w:autoSpaceDE w:val="0"/>
              <w:autoSpaceDN w:val="0"/>
              <w:adjustRightInd w:val="0"/>
              <w:rPr>
                <w:rFonts w:cs="Arial"/>
                <w:b/>
                <w:color w:val="auto"/>
                <w:sz w:val="20"/>
                <w:szCs w:val="20"/>
              </w:rPr>
            </w:pPr>
          </w:p>
          <w:p w:rsidR="00BE0B12" w:rsidRPr="00B217DC" w:rsidRDefault="00E31718" w:rsidP="00B217DC">
            <w:pPr>
              <w:rPr>
                <w:rFonts w:cs="Arial"/>
                <w:b/>
                <w:color w:val="auto"/>
                <w:sz w:val="20"/>
                <w:szCs w:val="20"/>
              </w:rPr>
            </w:pPr>
            <w:r w:rsidRPr="00B217DC">
              <w:rPr>
                <w:rFonts w:cs="Arial"/>
                <w:b/>
                <w:color w:val="auto"/>
                <w:sz w:val="20"/>
                <w:szCs w:val="20"/>
              </w:rPr>
              <w:t>33.5%</w:t>
            </w:r>
          </w:p>
        </w:tc>
        <w:tc>
          <w:tcPr>
            <w:tcW w:w="979" w:type="pct"/>
          </w:tcPr>
          <w:p w:rsidR="00BE0B12" w:rsidRPr="00B217DC" w:rsidRDefault="00BE0B12" w:rsidP="00B217DC">
            <w:pPr>
              <w:autoSpaceDE w:val="0"/>
              <w:autoSpaceDN w:val="0"/>
              <w:adjustRightInd w:val="0"/>
              <w:rPr>
                <w:rFonts w:cs="Arial"/>
                <w:b/>
                <w:color w:val="auto"/>
                <w:sz w:val="20"/>
                <w:szCs w:val="20"/>
              </w:rPr>
            </w:pPr>
          </w:p>
          <w:p w:rsidR="00E31718" w:rsidRPr="00B217DC" w:rsidRDefault="00E31718" w:rsidP="00B217DC">
            <w:pPr>
              <w:autoSpaceDE w:val="0"/>
              <w:autoSpaceDN w:val="0"/>
              <w:adjustRightInd w:val="0"/>
              <w:rPr>
                <w:rFonts w:cs="Arial"/>
                <w:b/>
                <w:color w:val="auto"/>
                <w:sz w:val="20"/>
                <w:szCs w:val="20"/>
              </w:rPr>
            </w:pPr>
            <w:r w:rsidRPr="00B217DC">
              <w:rPr>
                <w:rFonts w:cs="Arial"/>
                <w:b/>
                <w:color w:val="auto"/>
                <w:sz w:val="20"/>
                <w:szCs w:val="20"/>
              </w:rPr>
              <w:t>33.5%</w:t>
            </w:r>
          </w:p>
        </w:tc>
        <w:tc>
          <w:tcPr>
            <w:tcW w:w="2426" w:type="pct"/>
          </w:tcPr>
          <w:p w:rsidR="00E31718" w:rsidRPr="00B217DC" w:rsidRDefault="00E31718" w:rsidP="00B217DC">
            <w:pPr>
              <w:pStyle w:val="ListParagraph"/>
              <w:numPr>
                <w:ilvl w:val="0"/>
                <w:numId w:val="131"/>
              </w:numPr>
              <w:autoSpaceDE w:val="0"/>
              <w:autoSpaceDN w:val="0"/>
              <w:adjustRightInd w:val="0"/>
              <w:ind w:left="460"/>
              <w:rPr>
                <w:rFonts w:cs="Arial"/>
                <w:color w:val="auto"/>
                <w:sz w:val="20"/>
                <w:szCs w:val="20"/>
              </w:rPr>
            </w:pPr>
            <w:r w:rsidRPr="00B217DC">
              <w:rPr>
                <w:rFonts w:cs="Arial"/>
                <w:color w:val="auto"/>
                <w:sz w:val="20"/>
                <w:szCs w:val="20"/>
              </w:rPr>
              <w:t>Attributable to the reduction on travel and subsistence amounting to R2 410m.</w:t>
            </w:r>
          </w:p>
          <w:p w:rsidR="00BE0B12" w:rsidRPr="00B217DC" w:rsidRDefault="00E31718" w:rsidP="00B217DC">
            <w:pPr>
              <w:pStyle w:val="ListParagraph"/>
              <w:numPr>
                <w:ilvl w:val="0"/>
                <w:numId w:val="131"/>
              </w:numPr>
              <w:autoSpaceDE w:val="0"/>
              <w:autoSpaceDN w:val="0"/>
              <w:adjustRightInd w:val="0"/>
              <w:ind w:left="460"/>
              <w:rPr>
                <w:rFonts w:cs="Arial"/>
                <w:color w:val="auto"/>
                <w:sz w:val="20"/>
                <w:szCs w:val="20"/>
              </w:rPr>
            </w:pPr>
            <w:r w:rsidRPr="00B217DC">
              <w:rPr>
                <w:rFonts w:cs="Arial"/>
                <w:color w:val="auto"/>
                <w:sz w:val="20"/>
                <w:szCs w:val="20"/>
              </w:rPr>
              <w:t>COVID-19 restrictions on physical events contributed to the underspending on items such as catering (R237 000), consultants: business and advisory services (translation and transcription services) (R638 000), venues and facilities (R850 000) and stationery and printing (R302 000).</w:t>
            </w:r>
          </w:p>
        </w:tc>
      </w:tr>
      <w:tr w:rsidR="00BE0B12" w:rsidRPr="00B217DC" w:rsidTr="00BE0B12">
        <w:trPr>
          <w:trHeight w:val="93"/>
        </w:trPr>
        <w:tc>
          <w:tcPr>
            <w:tcW w:w="756" w:type="pct"/>
          </w:tcPr>
          <w:p w:rsidR="00BE0B12" w:rsidRPr="00B217DC" w:rsidRDefault="00BE0B12" w:rsidP="00B217DC">
            <w:pPr>
              <w:autoSpaceDE w:val="0"/>
              <w:autoSpaceDN w:val="0"/>
              <w:adjustRightInd w:val="0"/>
              <w:rPr>
                <w:rFonts w:cs="Arial"/>
                <w:b/>
                <w:bCs/>
                <w:color w:val="auto"/>
                <w:sz w:val="20"/>
                <w:szCs w:val="20"/>
              </w:rPr>
            </w:pPr>
            <w:r w:rsidRPr="00B217DC">
              <w:rPr>
                <w:rFonts w:cs="Arial"/>
                <w:b/>
                <w:bCs/>
                <w:color w:val="auto"/>
                <w:sz w:val="20"/>
                <w:szCs w:val="20"/>
              </w:rPr>
              <w:t xml:space="preserve">P5: NYD </w:t>
            </w:r>
          </w:p>
          <w:p w:rsidR="00E31718" w:rsidRPr="00B217DC" w:rsidRDefault="00E31718" w:rsidP="00B217DC">
            <w:pPr>
              <w:autoSpaceDE w:val="0"/>
              <w:autoSpaceDN w:val="0"/>
              <w:adjustRightInd w:val="0"/>
              <w:rPr>
                <w:rFonts w:cs="Arial"/>
                <w:b/>
                <w:bCs/>
                <w:color w:val="auto"/>
                <w:sz w:val="20"/>
                <w:szCs w:val="20"/>
              </w:rPr>
            </w:pPr>
          </w:p>
          <w:p w:rsidR="00E31718" w:rsidRPr="00B217DC" w:rsidRDefault="00E31718" w:rsidP="00B217DC">
            <w:pPr>
              <w:autoSpaceDE w:val="0"/>
              <w:autoSpaceDN w:val="0"/>
              <w:adjustRightInd w:val="0"/>
              <w:rPr>
                <w:rFonts w:cs="Arial"/>
                <w:color w:val="auto"/>
                <w:sz w:val="20"/>
                <w:szCs w:val="20"/>
              </w:rPr>
            </w:pPr>
            <w:r w:rsidRPr="00B217DC">
              <w:rPr>
                <w:rFonts w:cs="Arial"/>
                <w:b/>
                <w:color w:val="auto"/>
                <w:sz w:val="20"/>
                <w:szCs w:val="20"/>
              </w:rPr>
              <w:t>R</w:t>
            </w:r>
            <w:r w:rsidRPr="00B217DC">
              <w:rPr>
                <w:rFonts w:cs="Arial"/>
                <w:b/>
                <w:color w:val="auto"/>
                <w:spacing w:val="0"/>
                <w:sz w:val="20"/>
                <w:szCs w:val="20"/>
                <w:lang w:eastAsia="en-ZA"/>
              </w:rPr>
              <w:t xml:space="preserve"> </w:t>
            </w:r>
            <w:r w:rsidRPr="00B217DC">
              <w:rPr>
                <w:rFonts w:cs="Arial"/>
                <w:b/>
                <w:color w:val="auto"/>
                <w:sz w:val="20"/>
                <w:szCs w:val="20"/>
              </w:rPr>
              <w:t>2,461 million</w:t>
            </w:r>
          </w:p>
        </w:tc>
        <w:tc>
          <w:tcPr>
            <w:tcW w:w="839" w:type="pct"/>
          </w:tcPr>
          <w:p w:rsidR="00BE0B12" w:rsidRPr="00B217DC" w:rsidRDefault="00BE0B12" w:rsidP="00B217DC">
            <w:pPr>
              <w:autoSpaceDE w:val="0"/>
              <w:autoSpaceDN w:val="0"/>
              <w:adjustRightInd w:val="0"/>
              <w:rPr>
                <w:rFonts w:cs="Arial"/>
                <w:b/>
                <w:color w:val="auto"/>
                <w:sz w:val="20"/>
                <w:szCs w:val="20"/>
              </w:rPr>
            </w:pPr>
          </w:p>
          <w:p w:rsidR="00E31718" w:rsidRPr="00B217DC" w:rsidRDefault="00E31718" w:rsidP="00B217DC">
            <w:pPr>
              <w:autoSpaceDE w:val="0"/>
              <w:autoSpaceDN w:val="0"/>
              <w:adjustRightInd w:val="0"/>
              <w:rPr>
                <w:rFonts w:cs="Arial"/>
                <w:b/>
                <w:color w:val="auto"/>
                <w:sz w:val="20"/>
                <w:szCs w:val="20"/>
              </w:rPr>
            </w:pPr>
            <w:r w:rsidRPr="00B217DC">
              <w:rPr>
                <w:rFonts w:cs="Arial"/>
                <w:b/>
                <w:color w:val="auto"/>
                <w:sz w:val="20"/>
                <w:szCs w:val="20"/>
              </w:rPr>
              <w:lastRenderedPageBreak/>
              <w:t>0.3%</w:t>
            </w:r>
          </w:p>
        </w:tc>
        <w:tc>
          <w:tcPr>
            <w:tcW w:w="979" w:type="pct"/>
          </w:tcPr>
          <w:p w:rsidR="00BE0B12" w:rsidRPr="00B217DC" w:rsidRDefault="00BE0B12" w:rsidP="00B217DC">
            <w:pPr>
              <w:autoSpaceDE w:val="0"/>
              <w:autoSpaceDN w:val="0"/>
              <w:adjustRightInd w:val="0"/>
              <w:rPr>
                <w:rFonts w:cs="Arial"/>
                <w:b/>
                <w:color w:val="auto"/>
                <w:sz w:val="20"/>
                <w:szCs w:val="20"/>
              </w:rPr>
            </w:pPr>
          </w:p>
          <w:p w:rsidR="00E31718" w:rsidRPr="00B217DC" w:rsidRDefault="00E31718" w:rsidP="00B217DC">
            <w:pPr>
              <w:autoSpaceDE w:val="0"/>
              <w:autoSpaceDN w:val="0"/>
              <w:adjustRightInd w:val="0"/>
              <w:rPr>
                <w:rFonts w:cs="Arial"/>
                <w:b/>
                <w:color w:val="auto"/>
                <w:sz w:val="20"/>
                <w:szCs w:val="20"/>
              </w:rPr>
            </w:pPr>
            <w:r w:rsidRPr="00B217DC">
              <w:rPr>
                <w:rFonts w:cs="Arial"/>
                <w:b/>
                <w:color w:val="auto"/>
                <w:sz w:val="20"/>
                <w:szCs w:val="20"/>
              </w:rPr>
              <w:lastRenderedPageBreak/>
              <w:t>20.2%</w:t>
            </w:r>
          </w:p>
        </w:tc>
        <w:tc>
          <w:tcPr>
            <w:tcW w:w="2426" w:type="pct"/>
          </w:tcPr>
          <w:p w:rsidR="00E31718" w:rsidRPr="00B217DC" w:rsidRDefault="00E31718" w:rsidP="00B217DC">
            <w:pPr>
              <w:pStyle w:val="ListParagraph"/>
              <w:numPr>
                <w:ilvl w:val="0"/>
                <w:numId w:val="130"/>
              </w:numPr>
              <w:tabs>
                <w:tab w:val="clear" w:pos="780"/>
              </w:tabs>
              <w:autoSpaceDE w:val="0"/>
              <w:autoSpaceDN w:val="0"/>
              <w:adjustRightInd w:val="0"/>
              <w:ind w:left="460"/>
              <w:rPr>
                <w:rFonts w:cs="Arial"/>
                <w:color w:val="auto"/>
                <w:sz w:val="20"/>
                <w:szCs w:val="20"/>
              </w:rPr>
            </w:pPr>
            <w:r w:rsidRPr="00B217DC">
              <w:rPr>
                <w:rFonts w:cs="Arial"/>
                <w:color w:val="auto"/>
                <w:sz w:val="20"/>
                <w:szCs w:val="20"/>
              </w:rPr>
              <w:lastRenderedPageBreak/>
              <w:t xml:space="preserve">Attributable to the tender process that was </w:t>
            </w:r>
            <w:r w:rsidRPr="00B217DC">
              <w:rPr>
                <w:rFonts w:cs="Arial"/>
                <w:color w:val="auto"/>
                <w:sz w:val="20"/>
                <w:szCs w:val="20"/>
              </w:rPr>
              <w:lastRenderedPageBreak/>
              <w:t>not finalised by DPME at the end of the financial year in relation to a research study on Youth Employment Programme in the country. This study was initially to be implemented within the 2021/22 financial year.</w:t>
            </w:r>
          </w:p>
          <w:p w:rsidR="00BE0B12" w:rsidRPr="00B217DC" w:rsidRDefault="00E31718" w:rsidP="00B217DC">
            <w:pPr>
              <w:pStyle w:val="ListParagraph"/>
              <w:numPr>
                <w:ilvl w:val="0"/>
                <w:numId w:val="130"/>
              </w:numPr>
              <w:tabs>
                <w:tab w:val="clear" w:pos="780"/>
              </w:tabs>
              <w:autoSpaceDE w:val="0"/>
              <w:autoSpaceDN w:val="0"/>
              <w:adjustRightInd w:val="0"/>
              <w:ind w:left="460"/>
              <w:rPr>
                <w:rFonts w:cs="Arial"/>
                <w:color w:val="auto"/>
                <w:sz w:val="20"/>
                <w:szCs w:val="20"/>
              </w:rPr>
            </w:pPr>
            <w:r w:rsidRPr="00B217DC">
              <w:rPr>
                <w:rFonts w:cs="Arial"/>
                <w:color w:val="auto"/>
                <w:sz w:val="20"/>
                <w:szCs w:val="20"/>
              </w:rPr>
              <w:t>Also due to the declined donation of laptops by National Treasury (NT) amounting to R500 000 that would have been procured as part of an initiative with DIGITITAN to assist young persons in terms of education at TVET colleges.</w:t>
            </w:r>
          </w:p>
        </w:tc>
      </w:tr>
    </w:tbl>
    <w:p w:rsidR="002B1D9E" w:rsidRPr="00B217DC" w:rsidRDefault="002B1D9E" w:rsidP="00B217DC">
      <w:pPr>
        <w:autoSpaceDE w:val="0"/>
        <w:autoSpaceDN w:val="0"/>
        <w:adjustRightInd w:val="0"/>
        <w:rPr>
          <w:rFonts w:cs="Arial"/>
          <w:color w:val="auto"/>
          <w:sz w:val="20"/>
          <w:szCs w:val="20"/>
          <w:lang w:val="en-GB"/>
        </w:rPr>
      </w:pPr>
    </w:p>
    <w:p w:rsidR="002B1D9E" w:rsidRPr="00B217DC" w:rsidRDefault="002B1D9E" w:rsidP="00B217DC">
      <w:pPr>
        <w:autoSpaceDE w:val="0"/>
        <w:autoSpaceDN w:val="0"/>
        <w:adjustRightInd w:val="0"/>
        <w:rPr>
          <w:rFonts w:cs="Arial"/>
          <w:color w:val="auto"/>
          <w:sz w:val="20"/>
          <w:szCs w:val="20"/>
          <w:lang w:val="en-GB"/>
        </w:rPr>
      </w:pPr>
      <w:r w:rsidRPr="00B217DC">
        <w:rPr>
          <w:rFonts w:cs="Arial"/>
          <w:color w:val="auto"/>
          <w:sz w:val="20"/>
          <w:szCs w:val="20"/>
          <w:lang w:val="en-GB"/>
        </w:rPr>
        <w:t>Based on the table above, the main reasons for under-spending related to Good and Services and payment for capital assets. When considering, the under-expenditure as a percentage or proportion of the actual operational budget of R203</w:t>
      </w:r>
      <w:r w:rsidR="00E37C6B" w:rsidRPr="00B217DC">
        <w:rPr>
          <w:rFonts w:cs="Arial"/>
          <w:color w:val="auto"/>
          <w:sz w:val="20"/>
          <w:szCs w:val="20"/>
          <w:lang w:val="en-GB"/>
        </w:rPr>
        <w:t>,170</w:t>
      </w:r>
      <w:r w:rsidRPr="00B217DC">
        <w:rPr>
          <w:rFonts w:cs="Arial"/>
          <w:color w:val="auto"/>
          <w:sz w:val="20"/>
          <w:szCs w:val="20"/>
          <w:lang w:val="en-GB"/>
        </w:rPr>
        <w:t xml:space="preserve"> million as opposed to the total budget of R1.1 billion which is inclusive of the transfer payments to the NYDA and the CGE, it is vastly different. Hence as a proportion of the operational budget, the smallest percentage of under-expenditure occurs in Programme 1 at 7.5% of the operational budget, while the greatest under-expenditure is in Programme 4 at 33.5%. Hence the core programmes had the highest under-expenditure as compared to the administration programme.</w:t>
      </w:r>
    </w:p>
    <w:p w:rsidR="007111DF" w:rsidRPr="00B217DC" w:rsidRDefault="002B1D9E" w:rsidP="00B217DC">
      <w:pPr>
        <w:tabs>
          <w:tab w:val="left" w:pos="930"/>
        </w:tabs>
        <w:rPr>
          <w:rFonts w:cs="Arial"/>
          <w:color w:val="auto"/>
          <w:sz w:val="20"/>
          <w:szCs w:val="20"/>
          <w:lang w:val="en-GB"/>
        </w:rPr>
      </w:pPr>
      <w:r w:rsidRPr="00B217DC">
        <w:rPr>
          <w:rFonts w:cs="Arial"/>
          <w:color w:val="auto"/>
          <w:sz w:val="20"/>
          <w:szCs w:val="20"/>
          <w:lang w:val="en-GB"/>
        </w:rPr>
        <w:tab/>
      </w:r>
    </w:p>
    <w:p w:rsidR="00D133F1" w:rsidRPr="00B217DC" w:rsidRDefault="00D133F1" w:rsidP="00B217DC">
      <w:pPr>
        <w:rPr>
          <w:rFonts w:cs="Arial"/>
          <w:color w:val="auto"/>
          <w:sz w:val="20"/>
          <w:szCs w:val="20"/>
          <w:lang w:val="en-GB"/>
        </w:rPr>
      </w:pPr>
      <w:r w:rsidRPr="00B217DC">
        <w:rPr>
          <w:rFonts w:cs="Arial"/>
          <w:color w:val="auto"/>
          <w:sz w:val="20"/>
          <w:szCs w:val="20"/>
          <w:lang w:val="en-GB"/>
        </w:rPr>
        <w:t xml:space="preserve">Furthermore, the Department indicated that it utilised </w:t>
      </w:r>
      <w:r w:rsidR="002B1D9E" w:rsidRPr="00B217DC">
        <w:rPr>
          <w:rFonts w:cs="Arial"/>
          <w:color w:val="auto"/>
          <w:sz w:val="20"/>
          <w:szCs w:val="20"/>
          <w:lang w:val="en-GB"/>
        </w:rPr>
        <w:t xml:space="preserve">39 </w:t>
      </w:r>
      <w:r w:rsidRPr="00B217DC">
        <w:rPr>
          <w:rFonts w:cs="Arial"/>
          <w:color w:val="auto"/>
          <w:sz w:val="20"/>
          <w:szCs w:val="20"/>
          <w:lang w:val="en-GB"/>
        </w:rPr>
        <w:t xml:space="preserve">consultants on </w:t>
      </w:r>
      <w:r w:rsidR="002B1D9E" w:rsidRPr="00B217DC">
        <w:rPr>
          <w:rFonts w:cs="Arial"/>
          <w:color w:val="auto"/>
          <w:sz w:val="20"/>
          <w:szCs w:val="20"/>
          <w:lang w:val="en-GB"/>
        </w:rPr>
        <w:t>9</w:t>
      </w:r>
      <w:r w:rsidRPr="00B217DC">
        <w:rPr>
          <w:rFonts w:cs="Arial"/>
          <w:color w:val="auto"/>
          <w:sz w:val="20"/>
          <w:szCs w:val="20"/>
          <w:lang w:val="en-GB"/>
        </w:rPr>
        <w:t xml:space="preserve"> projects throughout the financial year amounting to R</w:t>
      </w:r>
      <w:r w:rsidR="002B1D9E" w:rsidRPr="00B217DC">
        <w:rPr>
          <w:rFonts w:cs="Arial"/>
          <w:color w:val="auto"/>
          <w:sz w:val="20"/>
          <w:szCs w:val="20"/>
          <w:lang w:val="en-GB"/>
        </w:rPr>
        <w:t>1,848</w:t>
      </w:r>
      <w:r w:rsidRPr="00B217DC">
        <w:rPr>
          <w:rFonts w:cs="Arial"/>
          <w:color w:val="auto"/>
          <w:sz w:val="20"/>
          <w:szCs w:val="20"/>
          <w:lang w:val="en-GB"/>
        </w:rPr>
        <w:t xml:space="preserve"> million </w:t>
      </w:r>
      <w:r w:rsidR="00B9253D" w:rsidRPr="00B217DC">
        <w:rPr>
          <w:rFonts w:cs="Arial"/>
          <w:color w:val="auto"/>
          <w:sz w:val="20"/>
          <w:szCs w:val="20"/>
          <w:lang w:val="en-GB"/>
        </w:rPr>
        <w:t>as outlined in the table below.</w:t>
      </w:r>
      <w:r w:rsidR="009D31FB" w:rsidRPr="00B217DC">
        <w:rPr>
          <w:rFonts w:cs="Arial"/>
          <w:color w:val="auto"/>
          <w:sz w:val="20"/>
          <w:szCs w:val="20"/>
          <w:lang w:val="en-GB"/>
        </w:rPr>
        <w:t xml:space="preserve"> The Department is not able to indicate the estimated duration/work days of these consultants for 5 of the projects stated as ongoing in the Annual Report.</w:t>
      </w:r>
    </w:p>
    <w:p w:rsidR="00D133F1" w:rsidRPr="00B217DC" w:rsidRDefault="00D133F1" w:rsidP="00B217DC">
      <w:pPr>
        <w:rPr>
          <w:rFonts w:cs="Arial"/>
          <w:color w:val="auto"/>
          <w:sz w:val="20"/>
          <w:szCs w:val="20"/>
          <w:lang w:val="en-GB"/>
        </w:rPr>
      </w:pPr>
    </w:p>
    <w:p w:rsidR="00B9253D" w:rsidRPr="00B217DC" w:rsidRDefault="00B9253D" w:rsidP="00B217DC">
      <w:pPr>
        <w:rPr>
          <w:rFonts w:cs="Arial"/>
          <w:b/>
          <w:color w:val="auto"/>
          <w:sz w:val="20"/>
          <w:szCs w:val="20"/>
          <w:lang w:val="en-GB"/>
        </w:rPr>
      </w:pPr>
      <w:r w:rsidRPr="00B217DC">
        <w:rPr>
          <w:rFonts w:cs="Arial"/>
          <w:b/>
          <w:color w:val="auto"/>
          <w:sz w:val="20"/>
          <w:szCs w:val="20"/>
          <w:lang w:val="en-GB"/>
        </w:rPr>
        <w:t xml:space="preserve">Table </w:t>
      </w:r>
      <w:r w:rsidR="00370D27" w:rsidRPr="00B217DC">
        <w:rPr>
          <w:rFonts w:cs="Arial"/>
          <w:b/>
          <w:color w:val="auto"/>
          <w:sz w:val="20"/>
          <w:szCs w:val="20"/>
          <w:lang w:val="en-GB"/>
        </w:rPr>
        <w:t>4</w:t>
      </w:r>
      <w:r w:rsidRPr="00B217DC">
        <w:rPr>
          <w:rFonts w:cs="Arial"/>
          <w:b/>
          <w:color w:val="auto"/>
          <w:sz w:val="20"/>
          <w:szCs w:val="20"/>
          <w:lang w:val="en-GB"/>
        </w:rPr>
        <w:t>: Use of consultants for 202</w:t>
      </w:r>
      <w:r w:rsidR="00B40FDD" w:rsidRPr="00B217DC">
        <w:rPr>
          <w:rFonts w:cs="Arial"/>
          <w:b/>
          <w:color w:val="auto"/>
          <w:sz w:val="20"/>
          <w:szCs w:val="20"/>
          <w:lang w:val="en-GB"/>
        </w:rPr>
        <w:t>1/22</w:t>
      </w:r>
    </w:p>
    <w:tbl>
      <w:tblPr>
        <w:tblW w:w="5000" w:type="pct"/>
        <w:tblCellMar>
          <w:left w:w="0" w:type="dxa"/>
          <w:right w:w="0" w:type="dxa"/>
        </w:tblCellMar>
        <w:tblLook w:val="0420"/>
      </w:tblPr>
      <w:tblGrid>
        <w:gridCol w:w="4409"/>
        <w:gridCol w:w="1566"/>
        <w:gridCol w:w="1995"/>
        <w:gridCol w:w="1698"/>
      </w:tblGrid>
      <w:tr w:rsidR="006675BE" w:rsidRPr="00B217DC" w:rsidTr="009D31FB">
        <w:trPr>
          <w:trHeight w:val="887"/>
        </w:trPr>
        <w:tc>
          <w:tcPr>
            <w:tcW w:w="228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rsidR="00B9253D" w:rsidRPr="00B217DC" w:rsidRDefault="00B9253D" w:rsidP="00B217DC">
            <w:pPr>
              <w:rPr>
                <w:rFonts w:cs="Arial"/>
                <w:color w:val="auto"/>
                <w:sz w:val="20"/>
                <w:szCs w:val="20"/>
              </w:rPr>
            </w:pPr>
            <w:r w:rsidRPr="00B217DC">
              <w:rPr>
                <w:rFonts w:cs="Arial"/>
                <w:b/>
                <w:bCs/>
                <w:color w:val="auto"/>
                <w:sz w:val="20"/>
                <w:szCs w:val="20"/>
              </w:rPr>
              <w:t>Project Title</w:t>
            </w:r>
          </w:p>
        </w:tc>
        <w:tc>
          <w:tcPr>
            <w:tcW w:w="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rsidR="00B9253D" w:rsidRPr="00B217DC" w:rsidRDefault="00B9253D" w:rsidP="00B217DC">
            <w:pPr>
              <w:rPr>
                <w:rFonts w:cs="Arial"/>
                <w:color w:val="auto"/>
                <w:sz w:val="20"/>
                <w:szCs w:val="20"/>
              </w:rPr>
            </w:pPr>
            <w:r w:rsidRPr="00B217DC">
              <w:rPr>
                <w:rFonts w:cs="Arial"/>
                <w:b/>
                <w:bCs/>
                <w:color w:val="auto"/>
                <w:sz w:val="20"/>
                <w:szCs w:val="20"/>
              </w:rPr>
              <w:t>Total number on consultants that worked on the project</w:t>
            </w:r>
          </w:p>
        </w:tc>
        <w:tc>
          <w:tcPr>
            <w:tcW w:w="103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rsidR="00B9253D" w:rsidRPr="00B217DC" w:rsidRDefault="00B9253D" w:rsidP="00B217DC">
            <w:pPr>
              <w:rPr>
                <w:rFonts w:cs="Arial"/>
                <w:color w:val="auto"/>
                <w:sz w:val="20"/>
                <w:szCs w:val="20"/>
              </w:rPr>
            </w:pPr>
            <w:r w:rsidRPr="00B217DC">
              <w:rPr>
                <w:rFonts w:cs="Arial"/>
                <w:b/>
                <w:bCs/>
                <w:color w:val="auto"/>
                <w:sz w:val="20"/>
                <w:szCs w:val="20"/>
              </w:rPr>
              <w:t>Estimated Duration (work days)</w:t>
            </w:r>
          </w:p>
        </w:tc>
        <w:tc>
          <w:tcPr>
            <w:tcW w:w="8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0" w:type="dxa"/>
              <w:right w:w="15" w:type="dxa"/>
            </w:tcMar>
            <w:vAlign w:val="center"/>
            <w:hideMark/>
          </w:tcPr>
          <w:p w:rsidR="00B9253D" w:rsidRPr="00B217DC" w:rsidRDefault="00B9253D" w:rsidP="00B217DC">
            <w:pPr>
              <w:rPr>
                <w:rFonts w:cs="Arial"/>
                <w:color w:val="auto"/>
                <w:sz w:val="20"/>
                <w:szCs w:val="20"/>
              </w:rPr>
            </w:pPr>
            <w:r w:rsidRPr="00B217DC">
              <w:rPr>
                <w:rFonts w:cs="Arial"/>
                <w:b/>
                <w:bCs/>
                <w:color w:val="auto"/>
                <w:sz w:val="20"/>
                <w:szCs w:val="20"/>
              </w:rPr>
              <w:t>Contract Value in Rands (R’000)</w:t>
            </w:r>
          </w:p>
        </w:tc>
      </w:tr>
      <w:tr w:rsidR="006675BE" w:rsidRPr="00B217DC" w:rsidTr="009D31FB">
        <w:trPr>
          <w:trHeight w:val="176"/>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Health risk management (SOMA)</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Ongoing</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19</w:t>
            </w:r>
          </w:p>
        </w:tc>
      </w:tr>
      <w:tr w:rsidR="006675BE" w:rsidRPr="00B217DC" w:rsidTr="009D31FB">
        <w:trPr>
          <w:trHeight w:val="39"/>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Competency Assessment</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Ongoing</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34</w:t>
            </w:r>
          </w:p>
        </w:tc>
      </w:tr>
      <w:tr w:rsidR="006675BE" w:rsidRPr="00B217DC" w:rsidTr="009D31FB">
        <w:trPr>
          <w:trHeight w:val="18"/>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Audit Committee</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5</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Ongoing</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269</w:t>
            </w:r>
          </w:p>
        </w:tc>
      </w:tr>
      <w:tr w:rsidR="006675BE" w:rsidRPr="00B217DC" w:rsidTr="009D31FB">
        <w:trPr>
          <w:trHeight w:val="303"/>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Organisational Strategic Planning</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Ongoing</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175</w:t>
            </w:r>
          </w:p>
        </w:tc>
      </w:tr>
      <w:tr w:rsidR="006675BE" w:rsidRPr="00B217DC" w:rsidTr="009D31FB">
        <w:trPr>
          <w:trHeight w:val="110"/>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Translators, Interpreters &amp; Sign Language</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27</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293</w:t>
            </w:r>
          </w:p>
        </w:tc>
      </w:tr>
      <w:tr w:rsidR="006675BE" w:rsidRPr="00B217DC" w:rsidTr="009D31FB">
        <w:trPr>
          <w:trHeight w:val="281"/>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Facilitation Services</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5</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213</w:t>
            </w:r>
          </w:p>
        </w:tc>
      </w:tr>
      <w:tr w:rsidR="006675BE" w:rsidRPr="00B217DC" w:rsidTr="009D31FB">
        <w:trPr>
          <w:trHeight w:val="185"/>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Virtual NYP M&amp;E</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141</w:t>
            </w:r>
          </w:p>
        </w:tc>
      </w:tr>
      <w:tr w:rsidR="006675BE" w:rsidRPr="00B217DC" w:rsidTr="009D31FB">
        <w:trPr>
          <w:trHeight w:val="283"/>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Research project</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Ongoing</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9253D" w:rsidRPr="00B217DC" w:rsidRDefault="009D31FB" w:rsidP="00B217DC">
            <w:pPr>
              <w:rPr>
                <w:rFonts w:cs="Arial"/>
                <w:color w:val="auto"/>
                <w:sz w:val="20"/>
                <w:szCs w:val="20"/>
              </w:rPr>
            </w:pPr>
            <w:r w:rsidRPr="00B217DC">
              <w:rPr>
                <w:rFonts w:cs="Arial"/>
                <w:color w:val="auto"/>
                <w:sz w:val="20"/>
                <w:szCs w:val="20"/>
              </w:rPr>
              <w:t>696</w:t>
            </w:r>
          </w:p>
        </w:tc>
      </w:tr>
      <w:tr w:rsidR="006675BE" w:rsidRPr="00B217DC" w:rsidTr="009D31FB">
        <w:trPr>
          <w:trHeight w:val="18"/>
        </w:trPr>
        <w:tc>
          <w:tcPr>
            <w:tcW w:w="228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Qualifications Verification (SAQA)</w:t>
            </w:r>
          </w:p>
        </w:tc>
        <w:tc>
          <w:tcPr>
            <w:tcW w:w="8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1</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1</w:t>
            </w:r>
          </w:p>
        </w:tc>
        <w:tc>
          <w:tcPr>
            <w:tcW w:w="87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D31FB" w:rsidRPr="00B217DC" w:rsidRDefault="009D31FB" w:rsidP="00B217DC">
            <w:pPr>
              <w:rPr>
                <w:rFonts w:cs="Arial"/>
                <w:color w:val="auto"/>
                <w:sz w:val="20"/>
                <w:szCs w:val="20"/>
              </w:rPr>
            </w:pPr>
            <w:r w:rsidRPr="00B217DC">
              <w:rPr>
                <w:rFonts w:cs="Arial"/>
                <w:color w:val="auto"/>
                <w:sz w:val="20"/>
                <w:szCs w:val="20"/>
              </w:rPr>
              <w:t>7</w:t>
            </w:r>
          </w:p>
        </w:tc>
      </w:tr>
      <w:tr w:rsidR="006675BE" w:rsidRPr="00B217DC" w:rsidTr="009D31FB">
        <w:trPr>
          <w:trHeight w:val="153"/>
        </w:trPr>
        <w:tc>
          <w:tcPr>
            <w:tcW w:w="228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B9253D" w:rsidRPr="00B217DC" w:rsidRDefault="00B9253D" w:rsidP="00B217DC">
            <w:pPr>
              <w:rPr>
                <w:rFonts w:cs="Arial"/>
                <w:color w:val="auto"/>
                <w:sz w:val="20"/>
                <w:szCs w:val="20"/>
              </w:rPr>
            </w:pPr>
            <w:r w:rsidRPr="00B217DC">
              <w:rPr>
                <w:rFonts w:cs="Arial"/>
                <w:b/>
                <w:bCs/>
                <w:color w:val="auto"/>
                <w:sz w:val="20"/>
                <w:szCs w:val="20"/>
                <w:lang w:val="en-US"/>
              </w:rPr>
              <w:t>Total</w:t>
            </w:r>
          </w:p>
        </w:tc>
        <w:tc>
          <w:tcPr>
            <w:tcW w:w="8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rsidR="00B9253D" w:rsidRPr="00B217DC" w:rsidRDefault="009D31FB" w:rsidP="00B217DC">
            <w:pPr>
              <w:rPr>
                <w:rFonts w:cs="Arial"/>
                <w:b/>
                <w:color w:val="auto"/>
                <w:sz w:val="20"/>
                <w:szCs w:val="20"/>
              </w:rPr>
            </w:pPr>
            <w:r w:rsidRPr="00B217DC">
              <w:rPr>
                <w:rFonts w:cs="Arial"/>
                <w:b/>
                <w:color w:val="auto"/>
                <w:sz w:val="20"/>
                <w:szCs w:val="20"/>
              </w:rPr>
              <w:t>39</w:t>
            </w:r>
          </w:p>
        </w:tc>
        <w:tc>
          <w:tcPr>
            <w:tcW w:w="103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rsidR="00B9253D" w:rsidRPr="00B217DC" w:rsidRDefault="00B9253D" w:rsidP="00B217DC">
            <w:pPr>
              <w:rPr>
                <w:rFonts w:cs="Arial"/>
                <w:color w:val="auto"/>
                <w:sz w:val="20"/>
                <w:szCs w:val="20"/>
              </w:rPr>
            </w:pPr>
          </w:p>
        </w:tc>
        <w:tc>
          <w:tcPr>
            <w:tcW w:w="8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rsidR="00B9253D" w:rsidRPr="00B217DC" w:rsidRDefault="009D31FB" w:rsidP="00B217DC">
            <w:pPr>
              <w:rPr>
                <w:rFonts w:cs="Arial"/>
                <w:b/>
                <w:color w:val="auto"/>
                <w:sz w:val="20"/>
                <w:szCs w:val="20"/>
              </w:rPr>
            </w:pPr>
            <w:r w:rsidRPr="00B217DC">
              <w:rPr>
                <w:rFonts w:cs="Arial"/>
                <w:b/>
                <w:color w:val="auto"/>
                <w:sz w:val="20"/>
                <w:szCs w:val="20"/>
              </w:rPr>
              <w:t>R1,848 million</w:t>
            </w:r>
          </w:p>
        </w:tc>
      </w:tr>
    </w:tbl>
    <w:p w:rsidR="009D31FB" w:rsidRPr="00B217DC" w:rsidRDefault="009D31FB" w:rsidP="00B217DC">
      <w:pPr>
        <w:rPr>
          <w:rFonts w:cs="Arial"/>
          <w:color w:val="auto"/>
          <w:sz w:val="20"/>
          <w:szCs w:val="20"/>
          <w:lang w:val="en-GB"/>
        </w:rPr>
      </w:pPr>
    </w:p>
    <w:p w:rsidR="00170BD2" w:rsidRPr="00B217DC" w:rsidRDefault="00C85A02" w:rsidP="00B217DC">
      <w:pPr>
        <w:numPr>
          <w:ilvl w:val="1"/>
          <w:numId w:val="10"/>
        </w:numPr>
        <w:ind w:left="426"/>
        <w:contextualSpacing/>
        <w:rPr>
          <w:rFonts w:cs="Arial"/>
          <w:b/>
          <w:color w:val="auto"/>
          <w:spacing w:val="0"/>
          <w:kern w:val="28"/>
          <w:sz w:val="20"/>
          <w:szCs w:val="20"/>
        </w:rPr>
      </w:pPr>
      <w:r w:rsidRPr="00B217DC">
        <w:rPr>
          <w:rFonts w:cs="Arial"/>
          <w:b/>
          <w:color w:val="auto"/>
          <w:spacing w:val="0"/>
          <w:kern w:val="28"/>
          <w:sz w:val="20"/>
          <w:szCs w:val="20"/>
        </w:rPr>
        <w:t>Expenditure Management for 202</w:t>
      </w:r>
      <w:r w:rsidR="00C9612C" w:rsidRPr="00B217DC">
        <w:rPr>
          <w:rFonts w:cs="Arial"/>
          <w:b/>
          <w:color w:val="auto"/>
          <w:spacing w:val="0"/>
          <w:kern w:val="28"/>
          <w:sz w:val="20"/>
          <w:szCs w:val="20"/>
        </w:rPr>
        <w:t>1//22</w:t>
      </w:r>
    </w:p>
    <w:p w:rsidR="00062938" w:rsidRPr="00B217DC" w:rsidRDefault="00062938" w:rsidP="00B217DC">
      <w:pPr>
        <w:rPr>
          <w:rFonts w:cs="Arial"/>
          <w:b/>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9.1.1 Irregular Expenditure</w:t>
      </w:r>
    </w:p>
    <w:p w:rsidR="009D31FB" w:rsidRPr="00B217DC" w:rsidRDefault="009D31FB" w:rsidP="00B217DC">
      <w:pPr>
        <w:pStyle w:val="ListParagraph"/>
        <w:numPr>
          <w:ilvl w:val="0"/>
          <w:numId w:val="135"/>
        </w:numPr>
        <w:rPr>
          <w:rFonts w:cs="Arial"/>
          <w:color w:val="auto"/>
          <w:sz w:val="20"/>
          <w:szCs w:val="20"/>
          <w:lang w:val="en-GB"/>
        </w:rPr>
      </w:pPr>
      <w:r w:rsidRPr="00B217DC">
        <w:rPr>
          <w:rFonts w:cs="Arial"/>
          <w:color w:val="auto"/>
          <w:sz w:val="20"/>
          <w:szCs w:val="20"/>
        </w:rPr>
        <w:t>The Department has irregular e</w:t>
      </w:r>
      <w:r w:rsidR="00E37C6B" w:rsidRPr="00B217DC">
        <w:rPr>
          <w:rFonts w:cs="Arial"/>
          <w:color w:val="auto"/>
          <w:sz w:val="20"/>
          <w:szCs w:val="20"/>
        </w:rPr>
        <w:t>xpenditure to the amount of R41,</w:t>
      </w:r>
      <w:r w:rsidRPr="00B217DC">
        <w:rPr>
          <w:rFonts w:cs="Arial"/>
          <w:color w:val="auto"/>
          <w:sz w:val="20"/>
          <w:szCs w:val="20"/>
        </w:rPr>
        <w:t xml:space="preserve">712 million on its financial statements relating to previous financial years. No irregular expenditure was incurred for the 2021/22 financial year. New policies on irregular, wasteful and fruitless expenditure were </w:t>
      </w:r>
      <w:r w:rsidRPr="00B217DC">
        <w:rPr>
          <w:rFonts w:cs="Arial"/>
          <w:color w:val="auto"/>
          <w:sz w:val="20"/>
          <w:szCs w:val="20"/>
        </w:rPr>
        <w:lastRenderedPageBreak/>
        <w:t>developed and approved during November 2021 to enhance compliance and prevent the occurrence of irregular expenditure.</w:t>
      </w:r>
    </w:p>
    <w:p w:rsidR="009D31FB" w:rsidRPr="00B217DC" w:rsidRDefault="009D31FB" w:rsidP="00B217DC">
      <w:pPr>
        <w:rPr>
          <w:rFonts w:cs="Arial"/>
          <w:color w:val="auto"/>
          <w:sz w:val="20"/>
          <w:szCs w:val="20"/>
          <w:lang w:val="en-GB"/>
        </w:rPr>
      </w:pPr>
    </w:p>
    <w:p w:rsidR="00E8435F" w:rsidRPr="00B217DC" w:rsidRDefault="00E8435F" w:rsidP="00B217DC">
      <w:pPr>
        <w:rPr>
          <w:rFonts w:cs="Arial"/>
          <w:color w:val="auto"/>
          <w:sz w:val="20"/>
          <w:szCs w:val="20"/>
          <w:lang w:val="en-GB"/>
        </w:rPr>
      </w:pPr>
    </w:p>
    <w:p w:rsidR="00E8435F" w:rsidRPr="00B217DC" w:rsidRDefault="00E8435F"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9.1.2 Fruitless and wasteful expenditure</w:t>
      </w:r>
    </w:p>
    <w:p w:rsidR="00170BD2" w:rsidRPr="00B217DC" w:rsidRDefault="00B9253D" w:rsidP="00B217DC">
      <w:pPr>
        <w:numPr>
          <w:ilvl w:val="0"/>
          <w:numId w:val="33"/>
        </w:numPr>
        <w:ind w:left="709"/>
        <w:contextualSpacing/>
        <w:rPr>
          <w:rFonts w:cs="Arial"/>
          <w:color w:val="auto"/>
          <w:spacing w:val="0"/>
          <w:kern w:val="28"/>
          <w:sz w:val="20"/>
          <w:szCs w:val="20"/>
        </w:rPr>
      </w:pPr>
      <w:r w:rsidRPr="00B217DC">
        <w:rPr>
          <w:rFonts w:cs="Arial"/>
          <w:color w:val="auto"/>
          <w:spacing w:val="0"/>
          <w:kern w:val="28"/>
          <w:sz w:val="20"/>
          <w:szCs w:val="20"/>
        </w:rPr>
        <w:t>The Department has</w:t>
      </w:r>
      <w:r w:rsidR="009451A6" w:rsidRPr="00B217DC">
        <w:rPr>
          <w:rFonts w:cs="Arial"/>
          <w:color w:val="auto"/>
          <w:spacing w:val="0"/>
          <w:kern w:val="28"/>
          <w:sz w:val="20"/>
          <w:szCs w:val="20"/>
        </w:rPr>
        <w:t xml:space="preserve"> not incurred any Fruitles</w:t>
      </w:r>
      <w:r w:rsidR="00A93F90" w:rsidRPr="00B217DC">
        <w:rPr>
          <w:rFonts w:cs="Arial"/>
          <w:color w:val="auto"/>
          <w:spacing w:val="0"/>
          <w:kern w:val="28"/>
          <w:sz w:val="20"/>
          <w:szCs w:val="20"/>
        </w:rPr>
        <w:t>s and W</w:t>
      </w:r>
      <w:r w:rsidR="009451A6" w:rsidRPr="00B217DC">
        <w:rPr>
          <w:rFonts w:cs="Arial"/>
          <w:color w:val="auto"/>
          <w:spacing w:val="0"/>
          <w:kern w:val="28"/>
          <w:sz w:val="20"/>
          <w:szCs w:val="20"/>
        </w:rPr>
        <w:t>asteful expenditure for 2021/22</w:t>
      </w:r>
      <w:r w:rsidRPr="00B217DC">
        <w:rPr>
          <w:rFonts w:cs="Arial"/>
          <w:color w:val="auto"/>
          <w:spacing w:val="0"/>
          <w:kern w:val="28"/>
          <w:sz w:val="20"/>
          <w:szCs w:val="20"/>
        </w:rPr>
        <w:t>.</w:t>
      </w:r>
      <w:r w:rsidR="00170BD2" w:rsidRPr="00B217DC">
        <w:rPr>
          <w:rFonts w:cs="Arial"/>
          <w:color w:val="auto"/>
          <w:spacing w:val="0"/>
          <w:kern w:val="28"/>
          <w:sz w:val="20"/>
          <w:szCs w:val="20"/>
        </w:rPr>
        <w:t xml:space="preserve"> </w:t>
      </w:r>
      <w:r w:rsidR="00A93F90" w:rsidRPr="00B217DC">
        <w:rPr>
          <w:rFonts w:cs="Arial"/>
          <w:color w:val="auto"/>
          <w:spacing w:val="0"/>
          <w:kern w:val="28"/>
          <w:sz w:val="20"/>
          <w:szCs w:val="20"/>
        </w:rPr>
        <w:t xml:space="preserve"> However, previous expenditure relating to a case against a previously used travel agency is still on record and is currently with the State Attorney to consider possible recovery of funds (R1.330 million).</w:t>
      </w:r>
    </w:p>
    <w:p w:rsidR="00170BD2" w:rsidRPr="00B217DC" w:rsidRDefault="00170BD2" w:rsidP="00B217DC">
      <w:pPr>
        <w:ind w:left="1"/>
        <w:rPr>
          <w:rFonts w:cs="Arial"/>
          <w:color w:val="auto"/>
          <w:sz w:val="20"/>
          <w:szCs w:val="20"/>
          <w:lang w:val="en-GB"/>
        </w:rPr>
      </w:pPr>
    </w:p>
    <w:p w:rsidR="00C05523" w:rsidRPr="00B217DC" w:rsidRDefault="00C05523" w:rsidP="00B217DC">
      <w:pPr>
        <w:ind w:left="1"/>
        <w:rPr>
          <w:rFonts w:cs="Arial"/>
          <w:b/>
          <w:color w:val="auto"/>
          <w:sz w:val="20"/>
          <w:szCs w:val="20"/>
          <w:lang w:val="en-GB"/>
        </w:rPr>
      </w:pPr>
      <w:r w:rsidRPr="00B217DC">
        <w:rPr>
          <w:rFonts w:cs="Arial"/>
          <w:b/>
          <w:color w:val="auto"/>
          <w:sz w:val="20"/>
          <w:szCs w:val="20"/>
          <w:lang w:val="en-GB"/>
        </w:rPr>
        <w:t>9.1.3 Unauthorised expenditure</w:t>
      </w:r>
    </w:p>
    <w:p w:rsidR="005A2096" w:rsidRPr="00B217DC" w:rsidRDefault="00B9253D" w:rsidP="00B217DC">
      <w:pPr>
        <w:pStyle w:val="ListParagraph"/>
        <w:numPr>
          <w:ilvl w:val="0"/>
          <w:numId w:val="33"/>
        </w:numPr>
        <w:ind w:left="709"/>
        <w:rPr>
          <w:rFonts w:cs="Arial"/>
          <w:color w:val="auto"/>
          <w:sz w:val="20"/>
          <w:szCs w:val="20"/>
          <w:lang w:val="en-GB"/>
        </w:rPr>
      </w:pPr>
      <w:r w:rsidRPr="00B217DC">
        <w:rPr>
          <w:rFonts w:cs="Arial"/>
          <w:color w:val="auto"/>
          <w:sz w:val="20"/>
          <w:szCs w:val="20"/>
        </w:rPr>
        <w:t>The Department did</w:t>
      </w:r>
      <w:r w:rsidR="009451A6" w:rsidRPr="00B217DC">
        <w:rPr>
          <w:rFonts w:cs="Arial"/>
          <w:color w:val="auto"/>
          <w:sz w:val="20"/>
          <w:szCs w:val="20"/>
        </w:rPr>
        <w:t xml:space="preserve"> not incur any Unauthorised expenditure for 2021/22</w:t>
      </w:r>
      <w:r w:rsidRPr="00B217DC">
        <w:rPr>
          <w:rFonts w:cs="Arial"/>
          <w:color w:val="auto"/>
          <w:sz w:val="20"/>
          <w:szCs w:val="20"/>
        </w:rPr>
        <w:t>.</w:t>
      </w:r>
      <w:r w:rsidR="00A93F90" w:rsidRPr="00B217DC">
        <w:rPr>
          <w:rFonts w:cs="Arial"/>
          <w:color w:val="auto"/>
          <w:sz w:val="20"/>
          <w:szCs w:val="20"/>
        </w:rPr>
        <w:t xml:space="preserve"> However, there is unauthorised expenditure from previous years that is awaiting authorisation. This amounts to R32</w:t>
      </w:r>
      <w:r w:rsidR="00E37C6B" w:rsidRPr="00B217DC">
        <w:rPr>
          <w:rFonts w:cs="Arial"/>
          <w:color w:val="auto"/>
          <w:sz w:val="20"/>
          <w:szCs w:val="20"/>
        </w:rPr>
        <w:t>,</w:t>
      </w:r>
      <w:r w:rsidR="00A93F90" w:rsidRPr="00B217DC">
        <w:rPr>
          <w:rFonts w:cs="Arial"/>
          <w:color w:val="auto"/>
          <w:sz w:val="20"/>
          <w:szCs w:val="20"/>
        </w:rPr>
        <w:t>774 million.</w:t>
      </w:r>
    </w:p>
    <w:p w:rsidR="00B9253D" w:rsidRPr="00B217DC" w:rsidRDefault="00B9253D" w:rsidP="00B217DC">
      <w:pPr>
        <w:ind w:left="1"/>
        <w:rPr>
          <w:rFonts w:cs="Arial"/>
          <w:color w:val="auto"/>
          <w:sz w:val="20"/>
          <w:szCs w:val="20"/>
          <w:lang w:val="en-GB"/>
        </w:rPr>
      </w:pPr>
    </w:p>
    <w:p w:rsidR="00E32D74" w:rsidRPr="00B217DC" w:rsidRDefault="00815E8E" w:rsidP="00B217DC">
      <w:pPr>
        <w:ind w:left="1"/>
        <w:rPr>
          <w:rFonts w:cs="Arial"/>
          <w:b/>
          <w:color w:val="auto"/>
          <w:sz w:val="20"/>
          <w:szCs w:val="20"/>
          <w:lang w:val="en-GB"/>
        </w:rPr>
      </w:pPr>
      <w:r w:rsidRPr="00B217DC">
        <w:rPr>
          <w:rFonts w:cs="Arial"/>
          <w:b/>
          <w:color w:val="auto"/>
          <w:sz w:val="20"/>
          <w:szCs w:val="20"/>
          <w:lang w:val="en-GB"/>
        </w:rPr>
        <w:t>9.1.4 Deviations</w:t>
      </w:r>
    </w:p>
    <w:p w:rsidR="00A93F90" w:rsidRPr="00B217DC" w:rsidRDefault="00815E8E" w:rsidP="00B217DC">
      <w:pPr>
        <w:pStyle w:val="ListParagraph"/>
        <w:numPr>
          <w:ilvl w:val="0"/>
          <w:numId w:val="33"/>
        </w:numPr>
        <w:ind w:left="851"/>
        <w:rPr>
          <w:rFonts w:cs="Arial"/>
          <w:color w:val="auto"/>
          <w:sz w:val="20"/>
          <w:szCs w:val="20"/>
        </w:rPr>
      </w:pPr>
      <w:r w:rsidRPr="00B217DC">
        <w:rPr>
          <w:rFonts w:cs="Arial"/>
          <w:color w:val="auto"/>
          <w:sz w:val="20"/>
          <w:szCs w:val="20"/>
        </w:rPr>
        <w:t xml:space="preserve">The Department </w:t>
      </w:r>
      <w:r w:rsidR="00A93F90" w:rsidRPr="00B217DC">
        <w:rPr>
          <w:rFonts w:cs="Arial"/>
          <w:color w:val="auto"/>
          <w:sz w:val="20"/>
          <w:szCs w:val="20"/>
        </w:rPr>
        <w:t>states in its Annual Report that it did not receive exemptions and deviations form National Treasury during the 2021/22 FY. However, the Q4 2021/23 briefing to the Portfolio Committee the following was reported</w:t>
      </w:r>
    </w:p>
    <w:p w:rsidR="00A93F90" w:rsidRPr="00B217DC" w:rsidRDefault="00A93F90" w:rsidP="00B217DC">
      <w:pPr>
        <w:ind w:left="491"/>
        <w:rPr>
          <w:rFonts w:cs="Arial"/>
          <w:color w:val="auto"/>
          <w:sz w:val="20"/>
          <w:szCs w:val="20"/>
        </w:rPr>
      </w:pPr>
      <w:r w:rsidRPr="00B217DC">
        <w:rPr>
          <w:rFonts w:cs="Arial"/>
          <w:color w:val="auto"/>
          <w:sz w:val="20"/>
          <w:szCs w:val="20"/>
        </w:rPr>
        <w:t>- As at 31 December 2021, the Department has incurred 16 deviations amounting to R1</w:t>
      </w:r>
      <w:r w:rsidR="001C310E" w:rsidRPr="00B217DC">
        <w:rPr>
          <w:rFonts w:cs="Arial"/>
          <w:color w:val="auto"/>
          <w:sz w:val="20"/>
          <w:szCs w:val="20"/>
        </w:rPr>
        <w:t>,</w:t>
      </w:r>
      <w:r w:rsidRPr="00B217DC">
        <w:rPr>
          <w:rFonts w:cs="Arial"/>
          <w:color w:val="auto"/>
          <w:sz w:val="20"/>
          <w:szCs w:val="20"/>
        </w:rPr>
        <w:t>539 418 million</w:t>
      </w:r>
    </w:p>
    <w:p w:rsidR="00A93F90" w:rsidRPr="00B217DC" w:rsidRDefault="00A93F90" w:rsidP="00B217DC">
      <w:pPr>
        <w:ind w:left="491"/>
        <w:rPr>
          <w:rFonts w:cs="Arial"/>
          <w:color w:val="auto"/>
          <w:sz w:val="20"/>
          <w:szCs w:val="20"/>
        </w:rPr>
      </w:pPr>
      <w:r w:rsidRPr="00B217DC">
        <w:rPr>
          <w:rFonts w:cs="Arial"/>
          <w:color w:val="auto"/>
          <w:sz w:val="20"/>
          <w:szCs w:val="20"/>
        </w:rPr>
        <w:t>- By 31 March 2022, this had increased to 20 deviations, amounting to R1</w:t>
      </w:r>
      <w:r w:rsidR="001C310E" w:rsidRPr="00B217DC">
        <w:rPr>
          <w:rFonts w:cs="Arial"/>
          <w:color w:val="auto"/>
          <w:sz w:val="20"/>
          <w:szCs w:val="20"/>
        </w:rPr>
        <w:t>,</w:t>
      </w:r>
      <w:r w:rsidRPr="00B217DC">
        <w:rPr>
          <w:rFonts w:cs="Arial"/>
          <w:color w:val="auto"/>
          <w:sz w:val="20"/>
          <w:szCs w:val="20"/>
        </w:rPr>
        <w:t>929 418 million.</w:t>
      </w:r>
    </w:p>
    <w:p w:rsidR="00A93F90" w:rsidRPr="00B217DC" w:rsidRDefault="00A93F90" w:rsidP="00B217DC">
      <w:pPr>
        <w:ind w:left="1560"/>
        <w:rPr>
          <w:rFonts w:cs="Arial"/>
          <w:color w:val="auto"/>
          <w:sz w:val="20"/>
          <w:szCs w:val="20"/>
        </w:rPr>
      </w:pPr>
      <w:r w:rsidRPr="00B217DC">
        <w:rPr>
          <w:rFonts w:cs="Arial"/>
          <w:color w:val="auto"/>
          <w:sz w:val="20"/>
          <w:szCs w:val="20"/>
        </w:rPr>
        <w:t xml:space="preserve">8= single source appointments </w:t>
      </w:r>
    </w:p>
    <w:p w:rsidR="00A93F90" w:rsidRPr="00B217DC" w:rsidRDefault="00A93F90" w:rsidP="00B217DC">
      <w:pPr>
        <w:ind w:left="1560"/>
        <w:rPr>
          <w:rFonts w:cs="Arial"/>
          <w:color w:val="auto"/>
          <w:sz w:val="20"/>
          <w:szCs w:val="20"/>
        </w:rPr>
      </w:pPr>
      <w:r w:rsidRPr="00B217DC">
        <w:rPr>
          <w:rFonts w:cs="Arial"/>
          <w:color w:val="auto"/>
          <w:sz w:val="20"/>
          <w:szCs w:val="20"/>
        </w:rPr>
        <w:t xml:space="preserve">8= obtaining less than 3 quotes for amounts of more than R2000 </w:t>
      </w:r>
    </w:p>
    <w:p w:rsidR="00A93F90" w:rsidRPr="00B217DC" w:rsidRDefault="00A93F90" w:rsidP="00B217DC">
      <w:pPr>
        <w:ind w:left="1560"/>
        <w:rPr>
          <w:rFonts w:cs="Arial"/>
          <w:color w:val="auto"/>
          <w:sz w:val="20"/>
          <w:szCs w:val="20"/>
        </w:rPr>
      </w:pPr>
      <w:r w:rsidRPr="00B217DC">
        <w:rPr>
          <w:rFonts w:cs="Arial"/>
          <w:color w:val="auto"/>
          <w:sz w:val="20"/>
          <w:szCs w:val="20"/>
        </w:rPr>
        <w:t>2 = contract extension/continuation of services</w:t>
      </w:r>
    </w:p>
    <w:p w:rsidR="00A93F90" w:rsidRPr="00B217DC" w:rsidRDefault="00A93F90" w:rsidP="00B217DC">
      <w:pPr>
        <w:ind w:left="1560"/>
        <w:rPr>
          <w:rFonts w:cs="Arial"/>
          <w:color w:val="auto"/>
          <w:sz w:val="20"/>
          <w:szCs w:val="20"/>
        </w:rPr>
      </w:pPr>
      <w:r w:rsidRPr="00B217DC">
        <w:rPr>
          <w:rFonts w:cs="Arial"/>
          <w:color w:val="auto"/>
          <w:sz w:val="20"/>
          <w:szCs w:val="20"/>
        </w:rPr>
        <w:t>2 = variation of orders/contract prices</w:t>
      </w:r>
    </w:p>
    <w:p w:rsidR="00815E8E" w:rsidRPr="00B217DC" w:rsidRDefault="00815E8E" w:rsidP="00B217DC">
      <w:pPr>
        <w:ind w:left="1"/>
        <w:rPr>
          <w:rFonts w:cs="Arial"/>
          <w:color w:val="auto"/>
          <w:sz w:val="20"/>
          <w:szCs w:val="20"/>
          <w:lang w:val="en-GB"/>
        </w:rPr>
      </w:pPr>
    </w:p>
    <w:p w:rsidR="001C310E" w:rsidRPr="00B217DC" w:rsidRDefault="001C310E" w:rsidP="00B217DC">
      <w:pPr>
        <w:ind w:left="1"/>
        <w:rPr>
          <w:rFonts w:cs="Arial"/>
          <w:b/>
          <w:color w:val="auto"/>
          <w:sz w:val="20"/>
          <w:szCs w:val="20"/>
          <w:lang w:val="en-GB"/>
        </w:rPr>
      </w:pPr>
      <w:r w:rsidRPr="00B217DC">
        <w:rPr>
          <w:rFonts w:cs="Arial"/>
          <w:b/>
          <w:color w:val="auto"/>
          <w:sz w:val="20"/>
          <w:szCs w:val="20"/>
          <w:lang w:val="en-GB"/>
        </w:rPr>
        <w:t>9.1.5 Contingent Liabilities</w:t>
      </w:r>
    </w:p>
    <w:p w:rsidR="001C310E" w:rsidRPr="00B217DC" w:rsidRDefault="001C310E" w:rsidP="00B217DC">
      <w:pPr>
        <w:pStyle w:val="ListParagraph"/>
        <w:numPr>
          <w:ilvl w:val="0"/>
          <w:numId w:val="33"/>
        </w:numPr>
        <w:ind w:left="567"/>
        <w:rPr>
          <w:rFonts w:cs="Arial"/>
          <w:color w:val="auto"/>
          <w:sz w:val="20"/>
          <w:szCs w:val="20"/>
        </w:rPr>
      </w:pPr>
      <w:r w:rsidRPr="00B217DC">
        <w:rPr>
          <w:rFonts w:cs="Arial"/>
          <w:color w:val="auto"/>
          <w:sz w:val="20"/>
          <w:szCs w:val="20"/>
        </w:rPr>
        <w:t>The Department notes contingent liabilities to the amount of R15 million. It notes as follows: “the department is a defendant in a case including 3 other defendants. As the case has not served in court yet, the liability breakdown of the R15 million linked to the department cannot be determined. As the progress determination will be sought and provided during the case.” The Department must keep the Portfolio Committee updated on this matter.</w:t>
      </w:r>
    </w:p>
    <w:p w:rsidR="001C310E" w:rsidRPr="00B217DC" w:rsidRDefault="00E8435F" w:rsidP="00B217DC">
      <w:pPr>
        <w:tabs>
          <w:tab w:val="left" w:pos="1485"/>
        </w:tabs>
        <w:ind w:left="1"/>
        <w:rPr>
          <w:rFonts w:cs="Arial"/>
          <w:color w:val="auto"/>
          <w:sz w:val="20"/>
          <w:szCs w:val="20"/>
          <w:lang w:val="en-GB"/>
        </w:rPr>
      </w:pPr>
      <w:r w:rsidRPr="00B217DC">
        <w:rPr>
          <w:rFonts w:cs="Arial"/>
          <w:color w:val="auto"/>
          <w:sz w:val="20"/>
          <w:szCs w:val="20"/>
          <w:lang w:val="en-GB"/>
        </w:rPr>
        <w:tab/>
      </w:r>
    </w:p>
    <w:p w:rsidR="00E8435F" w:rsidRPr="00B217DC" w:rsidRDefault="00E8435F" w:rsidP="00B217DC">
      <w:pPr>
        <w:tabs>
          <w:tab w:val="left" w:pos="1485"/>
        </w:tabs>
        <w:ind w:left="1"/>
        <w:rPr>
          <w:rFonts w:cs="Arial"/>
          <w:color w:val="auto"/>
          <w:sz w:val="20"/>
          <w:szCs w:val="20"/>
          <w:lang w:val="en-GB"/>
        </w:rPr>
      </w:pPr>
    </w:p>
    <w:p w:rsidR="00170BD2" w:rsidRPr="00B217DC" w:rsidRDefault="00170BD2" w:rsidP="00B217DC">
      <w:pPr>
        <w:numPr>
          <w:ilvl w:val="1"/>
          <w:numId w:val="10"/>
        </w:numPr>
        <w:ind w:left="284"/>
        <w:contextualSpacing/>
        <w:rPr>
          <w:rFonts w:cs="Arial"/>
          <w:b/>
          <w:color w:val="auto"/>
          <w:spacing w:val="0"/>
          <w:kern w:val="28"/>
          <w:sz w:val="20"/>
          <w:szCs w:val="20"/>
        </w:rPr>
      </w:pPr>
      <w:r w:rsidRPr="00B217DC">
        <w:rPr>
          <w:rFonts w:cs="Arial"/>
          <w:b/>
          <w:color w:val="auto"/>
          <w:spacing w:val="0"/>
          <w:kern w:val="28"/>
          <w:sz w:val="20"/>
          <w:szCs w:val="20"/>
        </w:rPr>
        <w:t>20</w:t>
      </w:r>
      <w:r w:rsidR="00C015FF" w:rsidRPr="00B217DC">
        <w:rPr>
          <w:rFonts w:cs="Arial"/>
          <w:b/>
          <w:color w:val="auto"/>
          <w:spacing w:val="0"/>
          <w:kern w:val="28"/>
          <w:sz w:val="20"/>
          <w:szCs w:val="20"/>
        </w:rPr>
        <w:t>2</w:t>
      </w:r>
      <w:r w:rsidR="00F9689E" w:rsidRPr="00B217DC">
        <w:rPr>
          <w:rFonts w:cs="Arial"/>
          <w:b/>
          <w:color w:val="auto"/>
          <w:spacing w:val="0"/>
          <w:kern w:val="28"/>
          <w:sz w:val="20"/>
          <w:szCs w:val="20"/>
        </w:rPr>
        <w:t>1/22</w:t>
      </w:r>
      <w:r w:rsidRPr="00B217DC">
        <w:rPr>
          <w:rFonts w:cs="Arial"/>
          <w:b/>
          <w:color w:val="auto"/>
          <w:spacing w:val="0"/>
          <w:kern w:val="28"/>
          <w:sz w:val="20"/>
          <w:szCs w:val="20"/>
        </w:rPr>
        <w:t xml:space="preserve"> MTEF financial allocation</w:t>
      </w:r>
    </w:p>
    <w:p w:rsidR="00170BD2" w:rsidRPr="00B217DC" w:rsidRDefault="00170BD2" w:rsidP="00B217DC">
      <w:pPr>
        <w:ind w:left="-76"/>
        <w:rPr>
          <w:rFonts w:cs="Arial"/>
          <w:b/>
          <w:color w:val="auto"/>
          <w:sz w:val="20"/>
          <w:szCs w:val="20"/>
          <w:lang w:val="en-GB"/>
        </w:rPr>
      </w:pPr>
    </w:p>
    <w:p w:rsidR="003653A0" w:rsidRPr="00B217DC" w:rsidRDefault="00170BD2" w:rsidP="00B217DC">
      <w:pPr>
        <w:tabs>
          <w:tab w:val="num" w:pos="720"/>
        </w:tabs>
        <w:rPr>
          <w:rFonts w:cs="Arial"/>
          <w:color w:val="auto"/>
          <w:sz w:val="20"/>
          <w:szCs w:val="20"/>
        </w:rPr>
      </w:pPr>
      <w:r w:rsidRPr="00B217DC">
        <w:rPr>
          <w:rFonts w:cs="Arial"/>
          <w:color w:val="auto"/>
          <w:sz w:val="20"/>
          <w:szCs w:val="20"/>
          <w:lang w:val="en-GB"/>
        </w:rPr>
        <w:t>The Department</w:t>
      </w:r>
      <w:r w:rsidR="00BD6179" w:rsidRPr="00B217DC">
        <w:rPr>
          <w:rFonts w:cs="Arial"/>
          <w:color w:val="auto"/>
          <w:sz w:val="20"/>
          <w:szCs w:val="20"/>
          <w:lang w:val="en-GB"/>
        </w:rPr>
        <w:t xml:space="preserve"> still</w:t>
      </w:r>
      <w:r w:rsidRPr="00B217DC">
        <w:rPr>
          <w:rFonts w:cs="Arial"/>
          <w:color w:val="auto"/>
          <w:sz w:val="20"/>
          <w:szCs w:val="20"/>
          <w:lang w:val="en-GB"/>
        </w:rPr>
        <w:t xml:space="preserve"> maintains that</w:t>
      </w:r>
      <w:r w:rsidR="001C310E" w:rsidRPr="00B217DC">
        <w:rPr>
          <w:rFonts w:cs="Arial"/>
          <w:color w:val="auto"/>
          <w:sz w:val="20"/>
          <w:szCs w:val="20"/>
          <w:lang w:val="en-US"/>
        </w:rPr>
        <w:t xml:space="preserve"> it is under-resourced. The Minister states in the Annual Report that, “</w:t>
      </w:r>
      <w:r w:rsidR="001C310E" w:rsidRPr="00B217DC">
        <w:rPr>
          <w:rFonts w:cs="Arial"/>
          <w:color w:val="auto"/>
          <w:sz w:val="20"/>
          <w:szCs w:val="20"/>
        </w:rPr>
        <w:t>the ability of the Department to expand its capacity in support of its strategic intentions and to resource potential options for the restructuring of the Department has been severely constrained by reductions that have been made to baseline allocations of the Compensation of Employees Budget over the MTEF period due to macro-economic challenges facing the South African economy.”</w:t>
      </w:r>
    </w:p>
    <w:p w:rsidR="00654183" w:rsidRPr="00B217DC" w:rsidRDefault="00654183" w:rsidP="00B217DC">
      <w:pPr>
        <w:ind w:left="-76"/>
        <w:rPr>
          <w:rFonts w:cs="Arial"/>
          <w:color w:val="auto"/>
          <w:sz w:val="20"/>
          <w:szCs w:val="20"/>
          <w:lang w:val="en-GB"/>
        </w:rPr>
      </w:pPr>
    </w:p>
    <w:p w:rsidR="00170BD2" w:rsidRPr="00B217DC" w:rsidRDefault="00170BD2" w:rsidP="00B217DC">
      <w:pPr>
        <w:numPr>
          <w:ilvl w:val="1"/>
          <w:numId w:val="10"/>
        </w:numPr>
        <w:ind w:left="284"/>
        <w:contextualSpacing/>
        <w:rPr>
          <w:rFonts w:cs="Arial"/>
          <w:b/>
          <w:color w:val="auto"/>
          <w:spacing w:val="0"/>
          <w:kern w:val="28"/>
          <w:sz w:val="20"/>
          <w:szCs w:val="20"/>
        </w:rPr>
      </w:pPr>
      <w:r w:rsidRPr="00B217DC">
        <w:rPr>
          <w:rFonts w:cs="Arial"/>
          <w:b/>
          <w:color w:val="auto"/>
          <w:spacing w:val="0"/>
          <w:kern w:val="28"/>
          <w:sz w:val="20"/>
          <w:szCs w:val="20"/>
        </w:rPr>
        <w:t>Concluding comments on financial performance</w:t>
      </w:r>
    </w:p>
    <w:p w:rsidR="00170BD2" w:rsidRPr="00B217DC" w:rsidRDefault="00170BD2" w:rsidP="00B217DC">
      <w:pPr>
        <w:ind w:left="-76"/>
        <w:rPr>
          <w:rFonts w:cs="Arial"/>
          <w:color w:val="auto"/>
          <w:sz w:val="20"/>
          <w:szCs w:val="20"/>
          <w:lang w:val="en-GB"/>
        </w:rPr>
      </w:pPr>
    </w:p>
    <w:p w:rsidR="00170BD2" w:rsidRPr="00B217DC" w:rsidRDefault="00170BD2" w:rsidP="00B217DC">
      <w:pPr>
        <w:ind w:left="-76"/>
        <w:rPr>
          <w:rFonts w:cs="Arial"/>
          <w:color w:val="auto"/>
          <w:sz w:val="20"/>
          <w:szCs w:val="20"/>
        </w:rPr>
      </w:pPr>
      <w:r w:rsidRPr="00B217DC">
        <w:rPr>
          <w:rFonts w:cs="Arial"/>
          <w:color w:val="auto"/>
          <w:sz w:val="20"/>
          <w:szCs w:val="20"/>
        </w:rPr>
        <w:t>The Department spen</w:t>
      </w:r>
      <w:r w:rsidR="00F9689E" w:rsidRPr="00B217DC">
        <w:rPr>
          <w:rFonts w:cs="Arial"/>
          <w:color w:val="auto"/>
          <w:sz w:val="20"/>
          <w:szCs w:val="20"/>
        </w:rPr>
        <w:t>t</w:t>
      </w:r>
      <w:r w:rsidR="001C310E" w:rsidRPr="00B217DC">
        <w:rPr>
          <w:rFonts w:cs="Arial"/>
          <w:color w:val="auto"/>
          <w:sz w:val="20"/>
          <w:szCs w:val="20"/>
        </w:rPr>
        <w:t xml:space="preserve"> 84.7</w:t>
      </w:r>
      <w:r w:rsidR="00F9689E" w:rsidRPr="00B217DC">
        <w:rPr>
          <w:rFonts w:cs="Arial"/>
          <w:color w:val="auto"/>
          <w:sz w:val="20"/>
          <w:szCs w:val="20"/>
        </w:rPr>
        <w:t xml:space="preserve"> </w:t>
      </w:r>
      <w:r w:rsidR="00062938" w:rsidRPr="00B217DC">
        <w:rPr>
          <w:rFonts w:cs="Arial"/>
          <w:color w:val="auto"/>
          <w:sz w:val="20"/>
          <w:szCs w:val="20"/>
        </w:rPr>
        <w:t xml:space="preserve">% of its operating </w:t>
      </w:r>
      <w:r w:rsidRPr="00B217DC">
        <w:rPr>
          <w:rFonts w:cs="Arial"/>
          <w:color w:val="auto"/>
          <w:sz w:val="20"/>
          <w:szCs w:val="20"/>
        </w:rPr>
        <w:t xml:space="preserve">budget </w:t>
      </w:r>
      <w:r w:rsidR="00C015FF" w:rsidRPr="00B217DC">
        <w:rPr>
          <w:rFonts w:cs="Arial"/>
          <w:color w:val="auto"/>
          <w:sz w:val="20"/>
          <w:szCs w:val="20"/>
        </w:rPr>
        <w:t>and managed to achieve</w:t>
      </w:r>
      <w:r w:rsidR="001C310E" w:rsidRPr="00B217DC">
        <w:rPr>
          <w:rFonts w:cs="Arial"/>
          <w:color w:val="auto"/>
          <w:sz w:val="20"/>
          <w:szCs w:val="20"/>
        </w:rPr>
        <w:t xml:space="preserve"> 95</w:t>
      </w:r>
      <w:r w:rsidR="002B35AD" w:rsidRPr="00B217DC">
        <w:rPr>
          <w:rFonts w:cs="Arial"/>
          <w:color w:val="auto"/>
          <w:sz w:val="20"/>
          <w:szCs w:val="20"/>
        </w:rPr>
        <w:t>.1</w:t>
      </w:r>
      <w:r w:rsidR="00062938" w:rsidRPr="00B217DC">
        <w:rPr>
          <w:rFonts w:cs="Arial"/>
          <w:color w:val="auto"/>
          <w:sz w:val="20"/>
          <w:szCs w:val="20"/>
        </w:rPr>
        <w:t>%</w:t>
      </w:r>
      <w:r w:rsidR="00062938" w:rsidRPr="00B217DC">
        <w:rPr>
          <w:rFonts w:cs="Arial"/>
          <w:b/>
          <w:color w:val="auto"/>
          <w:sz w:val="20"/>
          <w:szCs w:val="20"/>
        </w:rPr>
        <w:t xml:space="preserve"> </w:t>
      </w:r>
      <w:r w:rsidR="00F9689E" w:rsidRPr="00B217DC">
        <w:rPr>
          <w:rFonts w:cs="Arial"/>
          <w:color w:val="auto"/>
          <w:sz w:val="20"/>
          <w:szCs w:val="20"/>
        </w:rPr>
        <w:t>(</w:t>
      </w:r>
      <w:r w:rsidR="002B35AD" w:rsidRPr="00B217DC">
        <w:rPr>
          <w:rFonts w:cs="Arial"/>
          <w:color w:val="auto"/>
          <w:sz w:val="20"/>
          <w:szCs w:val="20"/>
        </w:rPr>
        <w:t>39</w:t>
      </w:r>
      <w:r w:rsidR="00062938" w:rsidRPr="00B217DC">
        <w:rPr>
          <w:rFonts w:cs="Arial"/>
          <w:color w:val="auto"/>
          <w:sz w:val="20"/>
          <w:szCs w:val="20"/>
        </w:rPr>
        <w:t>/</w:t>
      </w:r>
      <w:r w:rsidR="002B35AD" w:rsidRPr="00B217DC">
        <w:rPr>
          <w:rFonts w:cs="Arial"/>
          <w:color w:val="auto"/>
          <w:sz w:val="20"/>
          <w:szCs w:val="20"/>
        </w:rPr>
        <w:t>41</w:t>
      </w:r>
      <w:r w:rsidR="00062938" w:rsidRPr="00B217DC">
        <w:rPr>
          <w:rFonts w:cs="Arial"/>
          <w:color w:val="auto"/>
          <w:sz w:val="20"/>
          <w:szCs w:val="20"/>
        </w:rPr>
        <w:t>) o</w:t>
      </w:r>
      <w:r w:rsidR="00C015FF" w:rsidRPr="00B217DC">
        <w:rPr>
          <w:rFonts w:cs="Arial"/>
          <w:color w:val="auto"/>
          <w:sz w:val="20"/>
          <w:szCs w:val="20"/>
        </w:rPr>
        <w:t>f its targets</w:t>
      </w:r>
      <w:r w:rsidR="00062938" w:rsidRPr="00B217DC">
        <w:rPr>
          <w:rFonts w:cs="Arial"/>
          <w:color w:val="auto"/>
          <w:sz w:val="20"/>
          <w:szCs w:val="20"/>
        </w:rPr>
        <w:t xml:space="preserve"> as per the revised APP reflected in the Annual Report 202</w:t>
      </w:r>
      <w:r w:rsidR="00F9689E" w:rsidRPr="00B217DC">
        <w:rPr>
          <w:rFonts w:cs="Arial"/>
          <w:color w:val="auto"/>
          <w:sz w:val="20"/>
          <w:szCs w:val="20"/>
        </w:rPr>
        <w:t>1/22</w:t>
      </w:r>
      <w:r w:rsidR="00C015FF" w:rsidRPr="00B217DC">
        <w:rPr>
          <w:rFonts w:cs="Arial"/>
          <w:color w:val="auto"/>
          <w:sz w:val="20"/>
          <w:szCs w:val="20"/>
        </w:rPr>
        <w:t>.</w:t>
      </w:r>
      <w:r w:rsidRPr="00B217DC">
        <w:rPr>
          <w:rFonts w:cs="Arial"/>
          <w:color w:val="auto"/>
          <w:sz w:val="20"/>
          <w:szCs w:val="20"/>
        </w:rPr>
        <w:t xml:space="preserve"> </w:t>
      </w:r>
      <w:r w:rsidR="002B35AD" w:rsidRPr="00B217DC">
        <w:rPr>
          <w:rFonts w:cs="Arial"/>
          <w:color w:val="auto"/>
          <w:sz w:val="20"/>
          <w:szCs w:val="20"/>
        </w:rPr>
        <w:t xml:space="preserve">The underspending </w:t>
      </w:r>
      <w:r w:rsidR="00E37C6B" w:rsidRPr="00B217DC">
        <w:rPr>
          <w:rFonts w:cs="Arial"/>
          <w:color w:val="auto"/>
          <w:sz w:val="20"/>
          <w:szCs w:val="20"/>
        </w:rPr>
        <w:t>increased from R18,</w:t>
      </w:r>
      <w:r w:rsidR="002B35AD" w:rsidRPr="00B217DC">
        <w:rPr>
          <w:rFonts w:cs="Arial"/>
          <w:color w:val="auto"/>
          <w:sz w:val="20"/>
          <w:szCs w:val="20"/>
        </w:rPr>
        <w:t>575 million in the previous FY to R31,085 million in the year under review. Programme 1 consumes the greatest proportion of the budget at 55%, while Programme 5 has the smallest allocation, consuming only 5.9% of the budget. Programme 1 sees a significant increase from R98</w:t>
      </w:r>
      <w:r w:rsidR="002306FF" w:rsidRPr="00B217DC">
        <w:rPr>
          <w:rFonts w:cs="Arial"/>
          <w:color w:val="auto"/>
          <w:sz w:val="20"/>
          <w:szCs w:val="20"/>
        </w:rPr>
        <w:t xml:space="preserve"> </w:t>
      </w:r>
      <w:r w:rsidR="002B35AD" w:rsidRPr="00B217DC">
        <w:rPr>
          <w:rFonts w:cs="Arial"/>
          <w:color w:val="auto"/>
          <w:sz w:val="20"/>
          <w:szCs w:val="20"/>
        </w:rPr>
        <w:t>million in its original appropriation, to R11</w:t>
      </w:r>
      <w:r w:rsidR="00E37C6B" w:rsidRPr="00B217DC">
        <w:rPr>
          <w:rFonts w:cs="Arial"/>
          <w:color w:val="auto"/>
          <w:sz w:val="20"/>
          <w:szCs w:val="20"/>
        </w:rPr>
        <w:t>1,</w:t>
      </w:r>
      <w:r w:rsidR="002B35AD" w:rsidRPr="00B217DC">
        <w:rPr>
          <w:rFonts w:cs="Arial"/>
          <w:color w:val="auto"/>
          <w:sz w:val="20"/>
          <w:szCs w:val="20"/>
        </w:rPr>
        <w:t>9</w:t>
      </w:r>
      <w:r w:rsidR="002306FF" w:rsidRPr="00B217DC">
        <w:rPr>
          <w:rFonts w:cs="Arial"/>
          <w:color w:val="auto"/>
          <w:sz w:val="20"/>
          <w:szCs w:val="20"/>
        </w:rPr>
        <w:t xml:space="preserve"> </w:t>
      </w:r>
      <w:r w:rsidR="002B35AD" w:rsidRPr="00B217DC">
        <w:rPr>
          <w:rFonts w:cs="Arial"/>
          <w:color w:val="auto"/>
          <w:sz w:val="20"/>
          <w:szCs w:val="20"/>
        </w:rPr>
        <w:t>million in its final appropriation.</w:t>
      </w:r>
      <w:r w:rsidR="002425CF" w:rsidRPr="00B217DC">
        <w:rPr>
          <w:rFonts w:cs="Arial"/>
          <w:color w:val="auto"/>
          <w:sz w:val="20"/>
          <w:szCs w:val="20"/>
        </w:rPr>
        <w:t xml:space="preserve"> </w:t>
      </w:r>
      <w:r w:rsidR="002306FF" w:rsidRPr="00B217DC">
        <w:rPr>
          <w:rFonts w:cs="Arial"/>
          <w:color w:val="auto"/>
          <w:sz w:val="20"/>
          <w:szCs w:val="20"/>
        </w:rPr>
        <w:t>Despite a sizeable portion of the operational budget being allocated to CoE, the Department relied on</w:t>
      </w:r>
      <w:r w:rsidRPr="00B217DC">
        <w:rPr>
          <w:rFonts w:cs="Arial"/>
          <w:color w:val="auto"/>
          <w:sz w:val="20"/>
          <w:szCs w:val="20"/>
        </w:rPr>
        <w:t xml:space="preserve"> consultants to deliver on targets and expenditure incurred despite a large cohort of staff within programmes. Most of the expenditure incurred</w:t>
      </w:r>
      <w:r w:rsidR="002306FF" w:rsidRPr="00B217DC">
        <w:rPr>
          <w:rFonts w:cs="Arial"/>
          <w:color w:val="auto"/>
          <w:sz w:val="20"/>
          <w:szCs w:val="20"/>
        </w:rPr>
        <w:t xml:space="preserve"> as in the previous financial years</w:t>
      </w:r>
      <w:r w:rsidRPr="00B217DC">
        <w:rPr>
          <w:rFonts w:cs="Arial"/>
          <w:color w:val="auto"/>
          <w:sz w:val="20"/>
          <w:szCs w:val="20"/>
        </w:rPr>
        <w:t xml:space="preserve"> was for Compensation of Employees and Goods and Services.</w:t>
      </w:r>
    </w:p>
    <w:p w:rsidR="002306FF" w:rsidRPr="00B217DC" w:rsidRDefault="002306FF" w:rsidP="00B217DC">
      <w:pPr>
        <w:ind w:left="-76"/>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10. COMMISSION FOR GENDER EQUALITY</w:t>
      </w:r>
      <w:r w:rsidR="0013239E" w:rsidRPr="00B217DC">
        <w:rPr>
          <w:rFonts w:cs="Arial"/>
          <w:b/>
          <w:color w:val="auto"/>
          <w:sz w:val="20"/>
          <w:szCs w:val="20"/>
          <w:lang w:val="en-GB"/>
        </w:rPr>
        <w:t xml:space="preserve"> (CGE)</w:t>
      </w:r>
    </w:p>
    <w:p w:rsidR="00170BD2" w:rsidRPr="00B217DC" w:rsidRDefault="00170BD2" w:rsidP="00B217DC">
      <w:pPr>
        <w:ind w:left="720"/>
        <w:contextualSpacing/>
        <w:rPr>
          <w:rFonts w:cs="Arial"/>
          <w:color w:val="auto"/>
          <w:spacing w:val="0"/>
          <w:kern w:val="28"/>
          <w:sz w:val="20"/>
          <w:szCs w:val="20"/>
        </w:rPr>
      </w:pPr>
      <w:r w:rsidRPr="00B217DC">
        <w:rPr>
          <w:rFonts w:cs="Arial"/>
          <w:color w:val="auto"/>
          <w:spacing w:val="0"/>
          <w:kern w:val="28"/>
          <w:sz w:val="20"/>
          <w:szCs w:val="20"/>
        </w:rPr>
        <w:t xml:space="preserve"> </w:t>
      </w:r>
    </w:p>
    <w:p w:rsidR="00170BD2" w:rsidRPr="00B217DC" w:rsidRDefault="00170BD2" w:rsidP="00B217DC">
      <w:pPr>
        <w:rPr>
          <w:rFonts w:cs="Arial"/>
          <w:color w:val="auto"/>
          <w:sz w:val="20"/>
          <w:szCs w:val="20"/>
          <w:lang w:val="en-GB"/>
        </w:rPr>
      </w:pPr>
      <w:r w:rsidRPr="00B217DC">
        <w:rPr>
          <w:rFonts w:cs="Arial"/>
          <w:color w:val="auto"/>
          <w:sz w:val="20"/>
          <w:szCs w:val="20"/>
          <w:lang w:val="en-GB"/>
        </w:rPr>
        <w:t xml:space="preserve">The CGE briefed the Committee during all the quarterly reports on its finances. A </w:t>
      </w:r>
      <w:r w:rsidR="008B77C0" w:rsidRPr="00B217DC">
        <w:rPr>
          <w:rFonts w:cs="Arial"/>
          <w:color w:val="auto"/>
          <w:sz w:val="20"/>
          <w:szCs w:val="20"/>
          <w:lang w:val="en-GB"/>
        </w:rPr>
        <w:t>C</w:t>
      </w:r>
      <w:r w:rsidRPr="00B217DC">
        <w:rPr>
          <w:rFonts w:cs="Arial"/>
          <w:color w:val="auto"/>
          <w:sz w:val="20"/>
          <w:szCs w:val="20"/>
          <w:lang w:val="en-GB"/>
        </w:rPr>
        <w:t xml:space="preserve">ommissioner’s report was submitted to the Committee at every quarter. </w:t>
      </w:r>
    </w:p>
    <w:p w:rsidR="00170BD2" w:rsidRPr="00B217DC" w:rsidRDefault="00170BD2" w:rsidP="00B217DC">
      <w:pPr>
        <w:rPr>
          <w:rFonts w:cs="Arial"/>
          <w:color w:val="auto"/>
          <w:sz w:val="20"/>
          <w:szCs w:val="20"/>
          <w:lang w:val="en-GB"/>
        </w:rPr>
      </w:pPr>
    </w:p>
    <w:p w:rsidR="00170BD2" w:rsidRPr="00B217DC" w:rsidRDefault="00170BD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Based on its constitutional mandate, the CGE’s vision is to strive for “a society free from all forms of gender oppression and inequality”, while its mission includes to “advance, promote, protect, monitor and evaluate gender equality through undertaking research, public education, policy development, legislative initiatives, </w:t>
      </w:r>
      <w:r w:rsidRPr="00B217DC">
        <w:rPr>
          <w:rFonts w:eastAsiaTheme="minorHAnsi" w:cs="Arial"/>
          <w:color w:val="auto"/>
          <w:spacing w:val="0"/>
          <w:sz w:val="20"/>
          <w:szCs w:val="20"/>
          <w:lang w:eastAsia="en-US"/>
        </w:rPr>
        <w:lastRenderedPageBreak/>
        <w:t xml:space="preserve">effective monitoring and litigation”. Its values are independence; professionalism; accountability; ethical behaviour; and teamwork. </w:t>
      </w:r>
    </w:p>
    <w:p w:rsidR="00170BD2" w:rsidRPr="00B217DC" w:rsidRDefault="00170BD2" w:rsidP="00B217DC">
      <w:pPr>
        <w:autoSpaceDE w:val="0"/>
        <w:autoSpaceDN w:val="0"/>
        <w:adjustRightInd w:val="0"/>
        <w:rPr>
          <w:rFonts w:eastAsiaTheme="minorHAnsi" w:cs="Arial"/>
          <w:color w:val="auto"/>
          <w:spacing w:val="0"/>
          <w:sz w:val="20"/>
          <w:szCs w:val="20"/>
          <w:lang w:eastAsia="en-US"/>
        </w:rPr>
      </w:pPr>
    </w:p>
    <w:p w:rsidR="00170BD2" w:rsidRPr="00B217DC" w:rsidRDefault="00170BD2" w:rsidP="00B217DC">
      <w:p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The Commission’s Strategic Framework translates its constitutional mandate into four strategic o</w:t>
      </w:r>
      <w:r w:rsidR="00A84B6E" w:rsidRPr="00B217DC">
        <w:rPr>
          <w:rFonts w:eastAsiaTheme="minorHAnsi" w:cs="Arial"/>
          <w:color w:val="auto"/>
          <w:spacing w:val="0"/>
          <w:sz w:val="20"/>
          <w:szCs w:val="20"/>
          <w:lang w:eastAsia="en-US"/>
        </w:rPr>
        <w:t>utcomes</w:t>
      </w:r>
      <w:r w:rsidR="00444648" w:rsidRPr="00B217DC">
        <w:rPr>
          <w:rFonts w:eastAsiaTheme="minorHAnsi" w:cs="Arial"/>
          <w:color w:val="auto"/>
          <w:spacing w:val="0"/>
          <w:sz w:val="20"/>
          <w:szCs w:val="20"/>
          <w:lang w:eastAsia="en-US"/>
        </w:rPr>
        <w:t xml:space="preserve"> as outlined hereafter. In summary</w:t>
      </w:r>
      <w:r w:rsidRPr="00B217DC">
        <w:rPr>
          <w:rFonts w:eastAsiaTheme="minorHAnsi" w:cs="Arial"/>
          <w:color w:val="auto"/>
          <w:spacing w:val="0"/>
          <w:sz w:val="20"/>
          <w:szCs w:val="20"/>
          <w:lang w:eastAsia="en-US"/>
        </w:rPr>
        <w:t xml:space="preserve">, </w:t>
      </w:r>
      <w:r w:rsidR="00444648" w:rsidRPr="00B217DC">
        <w:rPr>
          <w:rFonts w:eastAsiaTheme="minorHAnsi" w:cs="Arial"/>
          <w:color w:val="auto"/>
          <w:spacing w:val="0"/>
          <w:sz w:val="20"/>
          <w:szCs w:val="20"/>
          <w:lang w:eastAsia="en-US"/>
        </w:rPr>
        <w:t>the CGE set out to achieve 26 targets and achieved 25 (96%).</w:t>
      </w:r>
      <w:r w:rsidRPr="00B217DC">
        <w:rPr>
          <w:rFonts w:eastAsiaTheme="minorHAnsi" w:cs="Arial"/>
          <w:color w:val="auto"/>
          <w:spacing w:val="0"/>
          <w:sz w:val="20"/>
          <w:szCs w:val="20"/>
          <w:lang w:eastAsia="en-US"/>
        </w:rPr>
        <w:t xml:space="preserve"> </w:t>
      </w:r>
    </w:p>
    <w:p w:rsidR="00444648" w:rsidRPr="00B217DC" w:rsidRDefault="00444648" w:rsidP="00B217DC">
      <w:pPr>
        <w:autoSpaceDE w:val="0"/>
        <w:autoSpaceDN w:val="0"/>
        <w:adjustRightInd w:val="0"/>
        <w:rPr>
          <w:rFonts w:eastAsiaTheme="minorHAnsi" w:cs="Arial"/>
          <w:color w:val="auto"/>
          <w:spacing w:val="0"/>
          <w:sz w:val="20"/>
          <w:szCs w:val="20"/>
          <w:lang w:eastAsia="en-US"/>
        </w:rPr>
      </w:pPr>
    </w:p>
    <w:p w:rsidR="00170BD2" w:rsidRPr="00B217DC" w:rsidRDefault="00170BD2" w:rsidP="00B217DC">
      <w:pPr>
        <w:autoSpaceDE w:val="0"/>
        <w:autoSpaceDN w:val="0"/>
        <w:adjustRightInd w:val="0"/>
        <w:rPr>
          <w:rFonts w:eastAsiaTheme="minorHAnsi" w:cs="Arial"/>
          <w:b/>
          <w:bCs/>
          <w:color w:val="auto"/>
          <w:spacing w:val="0"/>
          <w:sz w:val="20"/>
          <w:szCs w:val="20"/>
          <w:lang w:eastAsia="en-US"/>
        </w:rPr>
      </w:pPr>
      <w:r w:rsidRPr="00B217DC">
        <w:rPr>
          <w:rFonts w:eastAsiaTheme="minorHAnsi" w:cs="Arial"/>
          <w:b/>
          <w:bCs/>
          <w:color w:val="auto"/>
          <w:spacing w:val="0"/>
          <w:sz w:val="20"/>
          <w:szCs w:val="20"/>
          <w:lang w:eastAsia="en-US"/>
        </w:rPr>
        <w:t>10.1 Strategic O</w:t>
      </w:r>
      <w:r w:rsidR="00A84B6E" w:rsidRPr="00B217DC">
        <w:rPr>
          <w:rFonts w:eastAsiaTheme="minorHAnsi" w:cs="Arial"/>
          <w:b/>
          <w:bCs/>
          <w:color w:val="auto"/>
          <w:spacing w:val="0"/>
          <w:sz w:val="20"/>
          <w:szCs w:val="20"/>
          <w:lang w:eastAsia="en-US"/>
        </w:rPr>
        <w:t>utcome (SO)</w:t>
      </w:r>
      <w:r w:rsidRPr="00B217DC">
        <w:rPr>
          <w:rFonts w:eastAsiaTheme="minorHAnsi" w:cs="Arial"/>
          <w:b/>
          <w:bCs/>
          <w:color w:val="auto"/>
          <w:spacing w:val="0"/>
          <w:sz w:val="20"/>
          <w:szCs w:val="20"/>
          <w:lang w:eastAsia="en-US"/>
        </w:rPr>
        <w:t xml:space="preserve"> 1  </w:t>
      </w:r>
    </w:p>
    <w:p w:rsidR="00170BD2" w:rsidRPr="00B217DC" w:rsidRDefault="00170BD2" w:rsidP="00B217DC">
      <w:pPr>
        <w:autoSpaceDE w:val="0"/>
        <w:autoSpaceDN w:val="0"/>
        <w:adjustRightInd w:val="0"/>
        <w:rPr>
          <w:rFonts w:eastAsiaTheme="minorHAnsi" w:cs="Arial"/>
          <w:b/>
          <w:bCs/>
          <w:color w:val="auto"/>
          <w:spacing w:val="0"/>
          <w:sz w:val="20"/>
          <w:szCs w:val="20"/>
          <w:lang w:eastAsia="en-US"/>
        </w:rPr>
      </w:pPr>
    </w:p>
    <w:p w:rsidR="002E2DA9" w:rsidRPr="00B217DC" w:rsidRDefault="00170BD2" w:rsidP="00B217DC">
      <w:pPr>
        <w:autoSpaceDE w:val="0"/>
        <w:autoSpaceDN w:val="0"/>
        <w:adjustRightInd w:val="0"/>
        <w:rPr>
          <w:rFonts w:eastAsiaTheme="minorHAnsi" w:cs="Arial"/>
          <w:color w:val="auto"/>
          <w:spacing w:val="0"/>
          <w:sz w:val="20"/>
          <w:szCs w:val="20"/>
          <w:lang w:eastAsia="en-US"/>
        </w:rPr>
      </w:pPr>
      <w:r w:rsidRPr="00B217DC">
        <w:rPr>
          <w:rFonts w:eastAsiaTheme="minorHAnsi" w:cs="Arial"/>
          <w:bCs/>
          <w:color w:val="auto"/>
          <w:spacing w:val="0"/>
          <w:sz w:val="20"/>
          <w:szCs w:val="20"/>
          <w:lang w:eastAsia="en-US"/>
        </w:rPr>
        <w:t xml:space="preserve">The purpose of </w:t>
      </w:r>
      <w:r w:rsidR="00A84B6E" w:rsidRPr="00B217DC">
        <w:rPr>
          <w:rFonts w:eastAsiaTheme="minorHAnsi" w:cs="Arial"/>
          <w:bCs/>
          <w:color w:val="auto"/>
          <w:spacing w:val="0"/>
          <w:sz w:val="20"/>
          <w:szCs w:val="20"/>
          <w:lang w:eastAsia="en-US"/>
        </w:rPr>
        <w:t>SO</w:t>
      </w:r>
      <w:r w:rsidRPr="00B217DC">
        <w:rPr>
          <w:rFonts w:eastAsiaTheme="minorHAnsi" w:cs="Arial"/>
          <w:bCs/>
          <w:color w:val="auto"/>
          <w:spacing w:val="0"/>
          <w:sz w:val="20"/>
          <w:szCs w:val="20"/>
          <w:lang w:eastAsia="en-US"/>
        </w:rPr>
        <w:t xml:space="preserve"> 1 is to</w:t>
      </w:r>
      <w:r w:rsidRPr="00B217DC">
        <w:rPr>
          <w:rFonts w:eastAsiaTheme="minorHAnsi" w:cs="Arial"/>
          <w:color w:val="auto"/>
          <w:spacing w:val="0"/>
          <w:sz w:val="20"/>
          <w:szCs w:val="20"/>
          <w:lang w:eastAsia="en-US"/>
        </w:rPr>
        <w:t xml:space="preserve"> </w:t>
      </w:r>
      <w:r w:rsidR="002E2DA9" w:rsidRPr="00B217DC">
        <w:rPr>
          <w:rFonts w:eastAsiaTheme="minorHAnsi" w:cs="Arial"/>
          <w:color w:val="auto"/>
          <w:spacing w:val="0"/>
          <w:sz w:val="20"/>
          <w:szCs w:val="20"/>
          <w:lang w:eastAsia="en-US"/>
        </w:rPr>
        <w:t>evaluate legislation, policies, practices and mechanisms and make</w:t>
      </w:r>
    </w:p>
    <w:p w:rsidR="00170BD2" w:rsidRPr="00B217DC" w:rsidRDefault="002E2DA9" w:rsidP="00B217DC">
      <w:pPr>
        <w:autoSpaceDE w:val="0"/>
        <w:autoSpaceDN w:val="0"/>
        <w:adjustRightInd w:val="0"/>
        <w:rPr>
          <w:rFonts w:cs="Arial"/>
          <w:color w:val="auto"/>
          <w:sz w:val="20"/>
          <w:szCs w:val="20"/>
          <w:lang w:val="en-GB"/>
        </w:rPr>
      </w:pPr>
      <w:r w:rsidRPr="00B217DC">
        <w:rPr>
          <w:rFonts w:eastAsiaTheme="minorHAnsi" w:cs="Arial"/>
          <w:color w:val="auto"/>
          <w:spacing w:val="0"/>
          <w:sz w:val="20"/>
          <w:szCs w:val="20"/>
          <w:lang w:eastAsia="en-US"/>
        </w:rPr>
        <w:t>recommendations to bring about continuous improvements to advance gender equality</w:t>
      </w:r>
      <w:r w:rsidR="00170BD2" w:rsidRPr="00B217DC">
        <w:rPr>
          <w:rFonts w:eastAsiaTheme="minorHAnsi" w:cs="Arial"/>
          <w:color w:val="auto"/>
          <w:spacing w:val="0"/>
          <w:sz w:val="20"/>
          <w:szCs w:val="20"/>
          <w:lang w:eastAsia="en-US"/>
        </w:rPr>
        <w:t xml:space="preserve">. </w:t>
      </w:r>
      <w:r w:rsidR="00170BD2" w:rsidRPr="00B217DC">
        <w:rPr>
          <w:rFonts w:cs="Arial"/>
          <w:color w:val="auto"/>
          <w:sz w:val="20"/>
          <w:szCs w:val="20"/>
          <w:lang w:val="en-GB"/>
        </w:rPr>
        <w:t>These has been achieved through the following sub-strategies:</w:t>
      </w:r>
    </w:p>
    <w:p w:rsidR="00170BD2" w:rsidRPr="00B217DC" w:rsidRDefault="00170BD2" w:rsidP="00B217DC">
      <w:pPr>
        <w:autoSpaceDE w:val="0"/>
        <w:autoSpaceDN w:val="0"/>
        <w:adjustRightInd w:val="0"/>
        <w:rPr>
          <w:rFonts w:cs="Arial"/>
          <w:color w:val="auto"/>
          <w:sz w:val="20"/>
          <w:szCs w:val="20"/>
          <w:lang w:val="en-GB"/>
        </w:rPr>
      </w:pPr>
    </w:p>
    <w:p w:rsidR="00170BD2" w:rsidRPr="00B217DC" w:rsidRDefault="00170BD2" w:rsidP="00B217DC">
      <w:pPr>
        <w:numPr>
          <w:ilvl w:val="0"/>
          <w:numId w:val="6"/>
        </w:numPr>
        <w:autoSpaceDE w:val="0"/>
        <w:autoSpaceDN w:val="0"/>
        <w:adjustRightInd w:val="0"/>
        <w:rPr>
          <w:rFonts w:cs="Arial"/>
          <w:color w:val="auto"/>
          <w:sz w:val="20"/>
          <w:szCs w:val="20"/>
          <w:lang w:val="en-GB"/>
        </w:rPr>
      </w:pPr>
      <w:r w:rsidRPr="00B217DC">
        <w:rPr>
          <w:rFonts w:cs="Arial"/>
          <w:color w:val="auto"/>
          <w:sz w:val="20"/>
          <w:szCs w:val="20"/>
          <w:lang w:val="en-GB"/>
        </w:rPr>
        <w:t>To monitor and evaluate the promotion of gender equality and any relevant policies and practices of the public and private sector and report to Parliament.</w:t>
      </w:r>
    </w:p>
    <w:p w:rsidR="00170BD2" w:rsidRPr="00B217DC" w:rsidRDefault="00170BD2" w:rsidP="00B217DC">
      <w:pPr>
        <w:numPr>
          <w:ilvl w:val="0"/>
          <w:numId w:val="6"/>
        </w:numPr>
        <w:autoSpaceDE w:val="0"/>
        <w:autoSpaceDN w:val="0"/>
        <w:adjustRightInd w:val="0"/>
        <w:rPr>
          <w:rFonts w:cs="Arial"/>
          <w:color w:val="auto"/>
          <w:sz w:val="20"/>
          <w:szCs w:val="20"/>
          <w:lang w:val="en-GB"/>
        </w:rPr>
      </w:pPr>
      <w:r w:rsidRPr="00B217DC">
        <w:rPr>
          <w:rFonts w:cs="Arial"/>
          <w:color w:val="auto"/>
          <w:sz w:val="20"/>
          <w:szCs w:val="20"/>
          <w:lang w:val="en-GB"/>
        </w:rPr>
        <w:t>To initiate and review for the improvement of the legislative framework in all spheres of government that impacts on priority areas of gender equality.</w:t>
      </w:r>
    </w:p>
    <w:p w:rsidR="00170BD2" w:rsidRPr="00B217DC" w:rsidRDefault="00170BD2" w:rsidP="00B217DC">
      <w:pPr>
        <w:numPr>
          <w:ilvl w:val="0"/>
          <w:numId w:val="6"/>
        </w:numPr>
        <w:autoSpaceDE w:val="0"/>
        <w:autoSpaceDN w:val="0"/>
        <w:adjustRightInd w:val="0"/>
        <w:rPr>
          <w:rFonts w:cs="Arial"/>
          <w:color w:val="auto"/>
          <w:sz w:val="20"/>
          <w:szCs w:val="20"/>
          <w:lang w:val="en-GB"/>
        </w:rPr>
      </w:pPr>
      <w:r w:rsidRPr="00B217DC">
        <w:rPr>
          <w:rFonts w:cs="Arial"/>
          <w:color w:val="auto"/>
          <w:sz w:val="20"/>
          <w:szCs w:val="20"/>
          <w:lang w:val="en-GB"/>
        </w:rPr>
        <w:t>To conduct periodic performance assessments of priority Ministries, State institutions, Government departments, political parties and the private sector on the implementation of applicable legislation and policies that impact on gender equality.</w:t>
      </w:r>
    </w:p>
    <w:p w:rsidR="00170BD2" w:rsidRPr="00B217DC" w:rsidRDefault="00170BD2" w:rsidP="00B217DC">
      <w:pPr>
        <w:numPr>
          <w:ilvl w:val="0"/>
          <w:numId w:val="6"/>
        </w:numPr>
        <w:autoSpaceDE w:val="0"/>
        <w:autoSpaceDN w:val="0"/>
        <w:adjustRightInd w:val="0"/>
        <w:rPr>
          <w:rFonts w:cs="Arial"/>
          <w:color w:val="auto"/>
          <w:sz w:val="20"/>
          <w:szCs w:val="20"/>
          <w:lang w:val="en-GB"/>
        </w:rPr>
      </w:pPr>
      <w:r w:rsidRPr="00B217DC">
        <w:rPr>
          <w:rFonts w:cs="Arial"/>
          <w:color w:val="auto"/>
          <w:sz w:val="20"/>
          <w:szCs w:val="20"/>
          <w:lang w:val="en-GB"/>
        </w:rPr>
        <w:t>To evaluate the implementation and the effectiveness of the national justice facilities for gender discrimination.</w:t>
      </w:r>
    </w:p>
    <w:p w:rsidR="00170BD2" w:rsidRPr="00B217DC" w:rsidRDefault="00170BD2" w:rsidP="00B217DC">
      <w:pPr>
        <w:numPr>
          <w:ilvl w:val="0"/>
          <w:numId w:val="6"/>
        </w:numPr>
        <w:autoSpaceDE w:val="0"/>
        <w:autoSpaceDN w:val="0"/>
        <w:adjustRightInd w:val="0"/>
        <w:rPr>
          <w:rFonts w:cs="Arial"/>
          <w:color w:val="auto"/>
          <w:sz w:val="20"/>
          <w:szCs w:val="20"/>
          <w:lang w:val="en-GB"/>
        </w:rPr>
      </w:pPr>
      <w:r w:rsidRPr="00B217DC">
        <w:rPr>
          <w:rFonts w:cs="Arial"/>
          <w:color w:val="auto"/>
          <w:sz w:val="20"/>
          <w:szCs w:val="20"/>
          <w:lang w:val="en-GB"/>
        </w:rPr>
        <w:t>To convene direct dialogues with relevant policy makers at national and provincial level on recommendations to promote gender equality contained in research reports and research activities.</w:t>
      </w:r>
    </w:p>
    <w:p w:rsidR="00170BD2" w:rsidRPr="00B217DC" w:rsidRDefault="00170BD2" w:rsidP="00B217DC">
      <w:pPr>
        <w:autoSpaceDE w:val="0"/>
        <w:autoSpaceDN w:val="0"/>
        <w:adjustRightInd w:val="0"/>
        <w:rPr>
          <w:rFonts w:eastAsiaTheme="minorHAnsi" w:cs="Arial"/>
          <w:color w:val="auto"/>
          <w:spacing w:val="0"/>
          <w:sz w:val="20"/>
          <w:szCs w:val="20"/>
          <w:lang w:eastAsia="en-US"/>
        </w:rPr>
      </w:pPr>
    </w:p>
    <w:p w:rsidR="00FD472C" w:rsidRPr="00B217DC" w:rsidRDefault="000A3EC8" w:rsidP="00B217DC">
      <w:p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According to the Annual Report </w:t>
      </w:r>
      <w:r w:rsidR="00A84B6E" w:rsidRPr="00B217DC">
        <w:rPr>
          <w:rFonts w:eastAsiaTheme="minorHAnsi" w:cs="Arial"/>
          <w:color w:val="auto"/>
          <w:spacing w:val="0"/>
          <w:sz w:val="20"/>
          <w:szCs w:val="20"/>
          <w:lang w:eastAsia="en-US"/>
        </w:rPr>
        <w:t>202</w:t>
      </w:r>
      <w:r w:rsidR="00E8435F" w:rsidRPr="00B217DC">
        <w:rPr>
          <w:rFonts w:eastAsiaTheme="minorHAnsi" w:cs="Arial"/>
          <w:color w:val="auto"/>
          <w:spacing w:val="0"/>
          <w:sz w:val="20"/>
          <w:szCs w:val="20"/>
          <w:lang w:eastAsia="en-US"/>
        </w:rPr>
        <w:t>1/22</w:t>
      </w:r>
      <w:r w:rsidRPr="00B217DC">
        <w:rPr>
          <w:rFonts w:eastAsiaTheme="minorHAnsi" w:cs="Arial"/>
          <w:color w:val="auto"/>
          <w:spacing w:val="0"/>
          <w:sz w:val="20"/>
          <w:szCs w:val="20"/>
          <w:lang w:eastAsia="en-US"/>
        </w:rPr>
        <w:t xml:space="preserve">, this </w:t>
      </w:r>
      <w:r w:rsidR="00A84B6E" w:rsidRPr="00B217DC">
        <w:rPr>
          <w:rFonts w:eastAsiaTheme="minorHAnsi" w:cs="Arial"/>
          <w:color w:val="auto"/>
          <w:spacing w:val="0"/>
          <w:sz w:val="20"/>
          <w:szCs w:val="20"/>
          <w:lang w:eastAsia="en-US"/>
        </w:rPr>
        <w:t>SO</w:t>
      </w:r>
      <w:r w:rsidRPr="00B217DC">
        <w:rPr>
          <w:rFonts w:eastAsiaTheme="minorHAnsi" w:cs="Arial"/>
          <w:color w:val="auto"/>
          <w:spacing w:val="0"/>
          <w:sz w:val="20"/>
          <w:szCs w:val="20"/>
          <w:lang w:eastAsia="en-US"/>
        </w:rPr>
        <w:t xml:space="preserve"> planned for </w:t>
      </w:r>
      <w:r w:rsidR="00E8435F" w:rsidRPr="00B217DC">
        <w:rPr>
          <w:rFonts w:eastAsiaTheme="minorHAnsi" w:cs="Arial"/>
          <w:color w:val="auto"/>
          <w:spacing w:val="0"/>
          <w:sz w:val="20"/>
          <w:szCs w:val="20"/>
          <w:lang w:eastAsia="en-US"/>
        </w:rPr>
        <w:t>7</w:t>
      </w:r>
      <w:r w:rsidRPr="00B217DC">
        <w:rPr>
          <w:rFonts w:eastAsiaTheme="minorHAnsi" w:cs="Arial"/>
          <w:color w:val="auto"/>
          <w:spacing w:val="0"/>
          <w:sz w:val="20"/>
          <w:szCs w:val="20"/>
          <w:lang w:eastAsia="en-US"/>
        </w:rPr>
        <w:t xml:space="preserve"> targets</w:t>
      </w:r>
      <w:r w:rsidR="00FD472C" w:rsidRPr="00B217DC">
        <w:rPr>
          <w:rFonts w:eastAsiaTheme="minorHAnsi" w:cs="Arial"/>
          <w:color w:val="auto"/>
          <w:spacing w:val="0"/>
          <w:sz w:val="20"/>
          <w:szCs w:val="20"/>
          <w:lang w:eastAsia="en-US"/>
        </w:rPr>
        <w:t xml:space="preserve">, </w:t>
      </w:r>
      <w:r w:rsidR="00444648" w:rsidRPr="00B217DC">
        <w:rPr>
          <w:rFonts w:eastAsiaTheme="minorHAnsi" w:cs="Arial"/>
          <w:color w:val="auto"/>
          <w:spacing w:val="0"/>
          <w:sz w:val="20"/>
          <w:szCs w:val="20"/>
          <w:lang w:eastAsia="en-US"/>
        </w:rPr>
        <w:t>all</w:t>
      </w:r>
      <w:r w:rsidR="00FD472C" w:rsidRPr="00B217DC">
        <w:rPr>
          <w:rFonts w:eastAsiaTheme="minorHAnsi" w:cs="Arial"/>
          <w:color w:val="auto"/>
          <w:spacing w:val="0"/>
          <w:sz w:val="20"/>
          <w:szCs w:val="20"/>
          <w:lang w:eastAsia="en-US"/>
        </w:rPr>
        <w:t xml:space="preserve"> of which</w:t>
      </w:r>
      <w:r w:rsidR="00444648" w:rsidRPr="00B217DC">
        <w:rPr>
          <w:rFonts w:eastAsiaTheme="minorHAnsi" w:cs="Arial"/>
          <w:color w:val="auto"/>
          <w:spacing w:val="0"/>
          <w:sz w:val="20"/>
          <w:szCs w:val="20"/>
          <w:lang w:eastAsia="en-US"/>
        </w:rPr>
        <w:t xml:space="preserve"> </w:t>
      </w:r>
      <w:r w:rsidR="00E8435F" w:rsidRPr="00B217DC">
        <w:rPr>
          <w:rFonts w:eastAsiaTheme="minorHAnsi" w:cs="Arial"/>
          <w:color w:val="auto"/>
          <w:spacing w:val="0"/>
          <w:sz w:val="20"/>
          <w:szCs w:val="20"/>
          <w:lang w:eastAsia="en-US"/>
        </w:rPr>
        <w:t xml:space="preserve">6 </w:t>
      </w:r>
      <w:r w:rsidR="00444648" w:rsidRPr="00B217DC">
        <w:rPr>
          <w:rFonts w:eastAsiaTheme="minorHAnsi" w:cs="Arial"/>
          <w:color w:val="auto"/>
          <w:spacing w:val="0"/>
          <w:sz w:val="20"/>
          <w:szCs w:val="20"/>
          <w:lang w:eastAsia="en-US"/>
        </w:rPr>
        <w:t xml:space="preserve">were </w:t>
      </w:r>
      <w:r w:rsidRPr="00B217DC">
        <w:rPr>
          <w:rFonts w:eastAsiaTheme="minorHAnsi" w:cs="Arial"/>
          <w:color w:val="auto"/>
          <w:spacing w:val="0"/>
          <w:sz w:val="20"/>
          <w:szCs w:val="20"/>
          <w:lang w:eastAsia="en-US"/>
        </w:rPr>
        <w:t>achieved</w:t>
      </w:r>
      <w:r w:rsidR="00FD472C" w:rsidRPr="00B217DC">
        <w:rPr>
          <w:rFonts w:eastAsiaTheme="minorHAnsi" w:cs="Arial"/>
          <w:color w:val="auto"/>
          <w:spacing w:val="0"/>
          <w:sz w:val="20"/>
          <w:szCs w:val="20"/>
          <w:lang w:eastAsia="en-US"/>
        </w:rPr>
        <w:t xml:space="preserve"> and </w:t>
      </w:r>
      <w:r w:rsidR="00E8435F" w:rsidRPr="00B217DC">
        <w:rPr>
          <w:rFonts w:eastAsiaTheme="minorHAnsi" w:cs="Arial"/>
          <w:color w:val="auto"/>
          <w:spacing w:val="0"/>
          <w:sz w:val="20"/>
          <w:szCs w:val="20"/>
          <w:lang w:eastAsia="en-US"/>
        </w:rPr>
        <w:t>3</w:t>
      </w:r>
      <w:r w:rsidR="00FD472C" w:rsidRPr="00B217DC">
        <w:rPr>
          <w:rFonts w:eastAsiaTheme="minorHAnsi" w:cs="Arial"/>
          <w:color w:val="auto"/>
          <w:spacing w:val="0"/>
          <w:sz w:val="20"/>
          <w:szCs w:val="20"/>
          <w:lang w:eastAsia="en-US"/>
        </w:rPr>
        <w:t xml:space="preserve"> was exceeded as cited below</w:t>
      </w:r>
      <w:r w:rsidRPr="00B217DC">
        <w:rPr>
          <w:rFonts w:eastAsiaTheme="minorHAnsi" w:cs="Arial"/>
          <w:color w:val="auto"/>
          <w:spacing w:val="0"/>
          <w:sz w:val="20"/>
          <w:szCs w:val="20"/>
          <w:lang w:eastAsia="en-US"/>
        </w:rPr>
        <w:t xml:space="preserve">. </w:t>
      </w:r>
      <w:r w:rsidR="00E8435F" w:rsidRPr="00B217DC">
        <w:rPr>
          <w:rFonts w:eastAsiaTheme="minorHAnsi" w:cs="Arial"/>
          <w:color w:val="auto"/>
          <w:spacing w:val="0"/>
          <w:sz w:val="20"/>
          <w:szCs w:val="20"/>
          <w:lang w:eastAsia="en-US"/>
        </w:rPr>
        <w:t>The target not achieved has been cited below</w:t>
      </w:r>
    </w:p>
    <w:p w:rsidR="00FD472C" w:rsidRPr="00B217DC" w:rsidRDefault="00FD472C" w:rsidP="00B217DC">
      <w:pPr>
        <w:tabs>
          <w:tab w:val="left" w:pos="975"/>
        </w:tabs>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ab/>
      </w:r>
    </w:p>
    <w:p w:rsidR="002C4C68" w:rsidRPr="00B217DC" w:rsidRDefault="00E8435F" w:rsidP="00B217DC">
      <w:pPr>
        <w:pStyle w:val="ListParagraph"/>
        <w:numPr>
          <w:ilvl w:val="0"/>
          <w:numId w:val="71"/>
        </w:num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Only 14/16 submissions on new and proposed legislation that substantively promotes and protects gender equality</w:t>
      </w:r>
    </w:p>
    <w:p w:rsidR="000A3EC8" w:rsidRPr="00B217DC" w:rsidRDefault="000A3EC8" w:rsidP="00B217DC">
      <w:pPr>
        <w:autoSpaceDE w:val="0"/>
        <w:autoSpaceDN w:val="0"/>
        <w:adjustRightInd w:val="0"/>
        <w:rPr>
          <w:rFonts w:eastAsiaTheme="minorHAnsi" w:cs="Arial"/>
          <w:color w:val="auto"/>
          <w:spacing w:val="0"/>
          <w:sz w:val="20"/>
          <w:szCs w:val="20"/>
          <w:lang w:eastAsia="en-US"/>
        </w:rPr>
      </w:pPr>
    </w:p>
    <w:p w:rsidR="00E8435F" w:rsidRPr="00B217DC" w:rsidRDefault="00E8435F" w:rsidP="00B217DC">
      <w:pPr>
        <w:autoSpaceDE w:val="0"/>
        <w:autoSpaceDN w:val="0"/>
        <w:adjustRightInd w:val="0"/>
        <w:rPr>
          <w:rFonts w:eastAsiaTheme="minorHAnsi" w:cs="Arial"/>
          <w:color w:val="auto"/>
          <w:spacing w:val="0"/>
          <w:sz w:val="20"/>
          <w:szCs w:val="20"/>
          <w:lang w:eastAsia="en-US"/>
        </w:rPr>
      </w:pPr>
    </w:p>
    <w:p w:rsidR="00170BD2" w:rsidRPr="00B217DC" w:rsidRDefault="00654183" w:rsidP="00B217DC">
      <w:pPr>
        <w:numPr>
          <w:ilvl w:val="1"/>
          <w:numId w:val="11"/>
        </w:numPr>
        <w:autoSpaceDE w:val="0"/>
        <w:autoSpaceDN w:val="0"/>
        <w:adjustRightInd w:val="0"/>
        <w:ind w:left="426"/>
        <w:contextualSpacing/>
        <w:rPr>
          <w:rFonts w:eastAsiaTheme="minorHAnsi" w:cs="Arial"/>
          <w:color w:val="auto"/>
          <w:spacing w:val="0"/>
          <w:kern w:val="28"/>
          <w:sz w:val="20"/>
          <w:szCs w:val="20"/>
          <w:lang w:eastAsia="en-US"/>
        </w:rPr>
      </w:pPr>
      <w:r w:rsidRPr="00B217DC">
        <w:rPr>
          <w:rFonts w:eastAsiaTheme="minorHAnsi" w:cs="Arial"/>
          <w:b/>
          <w:bCs/>
          <w:color w:val="auto"/>
          <w:spacing w:val="0"/>
          <w:kern w:val="28"/>
          <w:sz w:val="20"/>
          <w:szCs w:val="20"/>
          <w:lang w:eastAsia="en-US"/>
        </w:rPr>
        <w:t xml:space="preserve"> </w:t>
      </w:r>
      <w:r w:rsidR="00A84B6E" w:rsidRPr="00B217DC">
        <w:rPr>
          <w:rFonts w:eastAsiaTheme="minorHAnsi" w:cs="Arial"/>
          <w:b/>
          <w:bCs/>
          <w:color w:val="auto"/>
          <w:spacing w:val="0"/>
          <w:kern w:val="28"/>
          <w:sz w:val="20"/>
          <w:szCs w:val="20"/>
          <w:lang w:eastAsia="en-US"/>
        </w:rPr>
        <w:t xml:space="preserve">Strategic Outcome (SO) </w:t>
      </w:r>
      <w:r w:rsidR="00170BD2" w:rsidRPr="00B217DC">
        <w:rPr>
          <w:rFonts w:eastAsiaTheme="minorHAnsi" w:cs="Arial"/>
          <w:b/>
          <w:bCs/>
          <w:color w:val="auto"/>
          <w:spacing w:val="0"/>
          <w:kern w:val="28"/>
          <w:sz w:val="20"/>
          <w:szCs w:val="20"/>
          <w:lang w:eastAsia="en-US"/>
        </w:rPr>
        <w:t xml:space="preserve">2 </w:t>
      </w:r>
    </w:p>
    <w:p w:rsidR="00170BD2" w:rsidRPr="00B217DC" w:rsidRDefault="00170BD2" w:rsidP="00B217DC">
      <w:pPr>
        <w:autoSpaceDE w:val="0"/>
        <w:autoSpaceDN w:val="0"/>
        <w:adjustRightInd w:val="0"/>
        <w:ind w:left="360"/>
        <w:rPr>
          <w:rFonts w:eastAsiaTheme="minorHAnsi" w:cs="Arial"/>
          <w:color w:val="auto"/>
          <w:sz w:val="20"/>
          <w:szCs w:val="20"/>
          <w:lang w:val="en-GB" w:eastAsia="en-US"/>
        </w:rPr>
      </w:pPr>
    </w:p>
    <w:p w:rsidR="002E2DA9" w:rsidRPr="00B217DC" w:rsidRDefault="00170BD2" w:rsidP="00B217DC">
      <w:pPr>
        <w:autoSpaceDE w:val="0"/>
        <w:autoSpaceDN w:val="0"/>
        <w:adjustRightInd w:val="0"/>
        <w:rPr>
          <w:rFonts w:eastAsiaTheme="minorHAnsi" w:cs="Arial"/>
          <w:color w:val="auto"/>
          <w:sz w:val="20"/>
          <w:szCs w:val="20"/>
          <w:lang w:eastAsia="en-US"/>
        </w:rPr>
      </w:pPr>
      <w:r w:rsidRPr="00B217DC">
        <w:rPr>
          <w:rFonts w:eastAsiaTheme="minorHAnsi" w:cs="Arial"/>
          <w:color w:val="auto"/>
          <w:sz w:val="20"/>
          <w:szCs w:val="20"/>
          <w:lang w:val="en-GB" w:eastAsia="en-US"/>
        </w:rPr>
        <w:t>The purpose of this S</w:t>
      </w:r>
      <w:r w:rsidR="00A84B6E" w:rsidRPr="00B217DC">
        <w:rPr>
          <w:rFonts w:eastAsiaTheme="minorHAnsi" w:cs="Arial"/>
          <w:color w:val="auto"/>
          <w:sz w:val="20"/>
          <w:szCs w:val="20"/>
          <w:lang w:val="en-GB" w:eastAsia="en-US"/>
        </w:rPr>
        <w:t>O</w:t>
      </w:r>
      <w:r w:rsidRPr="00B217DC">
        <w:rPr>
          <w:rFonts w:eastAsiaTheme="minorHAnsi" w:cs="Arial"/>
          <w:color w:val="auto"/>
          <w:sz w:val="20"/>
          <w:szCs w:val="20"/>
          <w:lang w:val="en-GB" w:eastAsia="en-US"/>
        </w:rPr>
        <w:t xml:space="preserve"> is to</w:t>
      </w:r>
      <w:r w:rsidR="002E2DA9" w:rsidRPr="00B217DC">
        <w:rPr>
          <w:rFonts w:eastAsiaTheme="minorHAnsi" w:cs="Arial"/>
          <w:color w:val="auto"/>
          <w:sz w:val="20"/>
          <w:szCs w:val="20"/>
          <w:lang w:val="en-GB" w:eastAsia="en-US"/>
        </w:rPr>
        <w:t xml:space="preserve"> </w:t>
      </w:r>
      <w:r w:rsidR="002E2DA9" w:rsidRPr="00B217DC">
        <w:rPr>
          <w:rFonts w:eastAsiaTheme="minorHAnsi" w:cs="Arial"/>
          <w:color w:val="auto"/>
          <w:sz w:val="20"/>
          <w:szCs w:val="20"/>
          <w:lang w:eastAsia="en-US"/>
        </w:rPr>
        <w:t>evaluate legislation, policies, practices and mechanisms and</w:t>
      </w:r>
    </w:p>
    <w:p w:rsidR="00170BD2" w:rsidRPr="00B217DC" w:rsidRDefault="002E2DA9" w:rsidP="00B217DC">
      <w:pPr>
        <w:autoSpaceDE w:val="0"/>
        <w:autoSpaceDN w:val="0"/>
        <w:adjustRightInd w:val="0"/>
        <w:rPr>
          <w:rFonts w:eastAsiaTheme="minorHAnsi" w:cs="Arial"/>
          <w:color w:val="auto"/>
          <w:sz w:val="20"/>
          <w:szCs w:val="20"/>
          <w:lang w:val="en-GB" w:eastAsia="en-US"/>
        </w:rPr>
      </w:pPr>
      <w:r w:rsidRPr="00B217DC">
        <w:rPr>
          <w:rFonts w:eastAsiaTheme="minorHAnsi" w:cs="Arial"/>
          <w:color w:val="auto"/>
          <w:sz w:val="20"/>
          <w:szCs w:val="20"/>
          <w:lang w:eastAsia="en-US"/>
        </w:rPr>
        <w:t>make recommendations to bring about continuous improvements to advance gender equality</w:t>
      </w:r>
      <w:r w:rsidR="00170BD2" w:rsidRPr="00B217DC">
        <w:rPr>
          <w:rFonts w:eastAsiaTheme="minorHAnsi" w:cs="Arial"/>
          <w:color w:val="auto"/>
          <w:sz w:val="20"/>
          <w:szCs w:val="20"/>
          <w:lang w:val="en-GB" w:eastAsia="en-US"/>
        </w:rPr>
        <w:t>. Th</w:t>
      </w:r>
      <w:r w:rsidR="00A84B6E" w:rsidRPr="00B217DC">
        <w:rPr>
          <w:rFonts w:eastAsiaTheme="minorHAnsi" w:cs="Arial"/>
          <w:color w:val="auto"/>
          <w:sz w:val="20"/>
          <w:szCs w:val="20"/>
          <w:lang w:val="en-GB" w:eastAsia="en-US"/>
        </w:rPr>
        <w:t xml:space="preserve">is SO </w:t>
      </w:r>
      <w:r w:rsidR="00170BD2" w:rsidRPr="00B217DC">
        <w:rPr>
          <w:rFonts w:eastAsiaTheme="minorHAnsi" w:cs="Arial"/>
          <w:color w:val="auto"/>
          <w:sz w:val="20"/>
          <w:szCs w:val="20"/>
          <w:lang w:val="en-GB" w:eastAsia="en-US"/>
        </w:rPr>
        <w:t>has the following sub-strategies:</w:t>
      </w:r>
    </w:p>
    <w:p w:rsidR="00170BD2" w:rsidRPr="00B217DC" w:rsidRDefault="00170BD2" w:rsidP="00B217DC">
      <w:pPr>
        <w:autoSpaceDE w:val="0"/>
        <w:autoSpaceDN w:val="0"/>
        <w:adjustRightInd w:val="0"/>
        <w:ind w:left="360"/>
        <w:rPr>
          <w:rFonts w:eastAsiaTheme="minorHAnsi" w:cs="Arial"/>
          <w:color w:val="auto"/>
          <w:sz w:val="20"/>
          <w:szCs w:val="20"/>
          <w:lang w:val="en-GB" w:eastAsia="en-US"/>
        </w:rPr>
      </w:pP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timeously investigate complaints of violations of gender rights and identify appropriate re-dress.</w:t>
      </w: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initiate investigations of systematic violations of gender rights in the public and private sector and identify appropriate redress.</w:t>
      </w: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develop a coordinated programme to promote equality</w:t>
      </w:r>
      <w:r w:rsidR="003B6E15" w:rsidRPr="00B217DC">
        <w:rPr>
          <w:rFonts w:cs="Arial"/>
          <w:color w:val="auto"/>
          <w:sz w:val="20"/>
          <w:szCs w:val="20"/>
          <w:lang w:val="en-GB"/>
        </w:rPr>
        <w:t>.</w:t>
      </w: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initiate intervention for sustainable development and promotion of gender equality by addressing violations in the social cultural, political and economic security and human rights dimension.</w:t>
      </w: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collaborate with organs of state, civil society and other institutions for the effective development, protection, promotion and attainment of gender equality.</w:t>
      </w:r>
    </w:p>
    <w:p w:rsidR="00A978DB" w:rsidRPr="00B217DC" w:rsidRDefault="00A978DB" w:rsidP="00B217DC">
      <w:pPr>
        <w:autoSpaceDE w:val="0"/>
        <w:autoSpaceDN w:val="0"/>
        <w:adjustRightInd w:val="0"/>
        <w:rPr>
          <w:rFonts w:cs="Arial"/>
          <w:color w:val="auto"/>
          <w:sz w:val="20"/>
          <w:szCs w:val="20"/>
          <w:lang w:val="en-GB"/>
        </w:rPr>
      </w:pPr>
    </w:p>
    <w:p w:rsidR="002C4C68" w:rsidRPr="00B217DC" w:rsidRDefault="000A3EC8" w:rsidP="00B217DC">
      <w:pPr>
        <w:autoSpaceDE w:val="0"/>
        <w:autoSpaceDN w:val="0"/>
        <w:adjustRightInd w:val="0"/>
        <w:rPr>
          <w:rFonts w:cs="Arial"/>
          <w:color w:val="auto"/>
          <w:sz w:val="20"/>
          <w:szCs w:val="20"/>
        </w:rPr>
      </w:pPr>
      <w:r w:rsidRPr="00B217DC">
        <w:rPr>
          <w:rFonts w:cs="Arial"/>
          <w:color w:val="auto"/>
          <w:sz w:val="20"/>
          <w:szCs w:val="20"/>
        </w:rPr>
        <w:t xml:space="preserve">According to the Annual Report </w:t>
      </w:r>
      <w:r w:rsidR="00A84B6E" w:rsidRPr="00B217DC">
        <w:rPr>
          <w:rFonts w:cs="Arial"/>
          <w:color w:val="auto"/>
          <w:sz w:val="20"/>
          <w:szCs w:val="20"/>
        </w:rPr>
        <w:t>202</w:t>
      </w:r>
      <w:r w:rsidR="0067737B" w:rsidRPr="00B217DC">
        <w:rPr>
          <w:rFonts w:cs="Arial"/>
          <w:color w:val="auto"/>
          <w:sz w:val="20"/>
          <w:szCs w:val="20"/>
        </w:rPr>
        <w:t>1/22</w:t>
      </w:r>
      <w:r w:rsidRPr="00B217DC">
        <w:rPr>
          <w:rFonts w:cs="Arial"/>
          <w:color w:val="auto"/>
          <w:sz w:val="20"/>
          <w:szCs w:val="20"/>
        </w:rPr>
        <w:t>, t</w:t>
      </w:r>
      <w:r w:rsidRPr="00B217DC">
        <w:rPr>
          <w:rFonts w:cs="Arial"/>
          <w:color w:val="auto"/>
          <w:sz w:val="20"/>
          <w:szCs w:val="20"/>
          <w:lang w:val="en-GB"/>
        </w:rPr>
        <w:t xml:space="preserve">his </w:t>
      </w:r>
      <w:r w:rsidR="00A84B6E" w:rsidRPr="00B217DC">
        <w:rPr>
          <w:rFonts w:cs="Arial"/>
          <w:color w:val="auto"/>
          <w:sz w:val="20"/>
          <w:szCs w:val="20"/>
          <w:lang w:val="en-GB"/>
        </w:rPr>
        <w:t>SO</w:t>
      </w:r>
      <w:r w:rsidRPr="00B217DC">
        <w:rPr>
          <w:rFonts w:cs="Arial"/>
          <w:color w:val="auto"/>
          <w:sz w:val="20"/>
          <w:szCs w:val="20"/>
          <w:lang w:val="en-GB"/>
        </w:rPr>
        <w:t xml:space="preserve"> planned to achieve </w:t>
      </w:r>
      <w:r w:rsidR="00E8435F" w:rsidRPr="00B217DC">
        <w:rPr>
          <w:rFonts w:cs="Arial"/>
          <w:color w:val="auto"/>
          <w:sz w:val="20"/>
          <w:szCs w:val="20"/>
          <w:lang w:val="en-GB"/>
        </w:rPr>
        <w:t>11</w:t>
      </w:r>
      <w:r w:rsidRPr="00B217DC">
        <w:rPr>
          <w:rFonts w:cs="Arial"/>
          <w:color w:val="auto"/>
          <w:sz w:val="20"/>
          <w:szCs w:val="20"/>
          <w:lang w:val="en-GB"/>
        </w:rPr>
        <w:t xml:space="preserve"> targets</w:t>
      </w:r>
      <w:r w:rsidR="002C4C68" w:rsidRPr="00B217DC">
        <w:rPr>
          <w:rFonts w:cs="Arial"/>
          <w:color w:val="auto"/>
          <w:sz w:val="20"/>
          <w:szCs w:val="20"/>
          <w:lang w:val="en-GB"/>
        </w:rPr>
        <w:t xml:space="preserve"> of which</w:t>
      </w:r>
      <w:r w:rsidRPr="00B217DC">
        <w:rPr>
          <w:rFonts w:cs="Arial"/>
          <w:color w:val="auto"/>
          <w:sz w:val="20"/>
          <w:szCs w:val="20"/>
          <w:lang w:val="en-GB"/>
        </w:rPr>
        <w:t xml:space="preserve"> </w:t>
      </w:r>
      <w:r w:rsidR="00E8435F" w:rsidRPr="00B217DC">
        <w:rPr>
          <w:rFonts w:cs="Arial"/>
          <w:color w:val="auto"/>
          <w:sz w:val="20"/>
          <w:szCs w:val="20"/>
          <w:lang w:val="en-GB"/>
        </w:rPr>
        <w:t>only 6</w:t>
      </w:r>
      <w:r w:rsidRPr="00B217DC">
        <w:rPr>
          <w:rFonts w:cs="Arial"/>
          <w:color w:val="auto"/>
          <w:sz w:val="20"/>
          <w:szCs w:val="20"/>
          <w:lang w:val="en-GB"/>
        </w:rPr>
        <w:t xml:space="preserve"> were achieved </w:t>
      </w:r>
      <w:r w:rsidR="002C4C68" w:rsidRPr="00B217DC">
        <w:rPr>
          <w:rFonts w:cs="Arial"/>
          <w:color w:val="auto"/>
          <w:sz w:val="20"/>
          <w:szCs w:val="20"/>
          <w:lang w:val="en-GB"/>
        </w:rPr>
        <w:t xml:space="preserve">and </w:t>
      </w:r>
      <w:r w:rsidR="00E8435F" w:rsidRPr="00B217DC">
        <w:rPr>
          <w:rFonts w:cs="Arial"/>
          <w:color w:val="auto"/>
          <w:sz w:val="20"/>
          <w:szCs w:val="20"/>
          <w:lang w:val="en-GB"/>
        </w:rPr>
        <w:t>5</w:t>
      </w:r>
      <w:r w:rsidR="002C4C68" w:rsidRPr="00B217DC">
        <w:rPr>
          <w:rFonts w:cs="Arial"/>
          <w:color w:val="auto"/>
          <w:sz w:val="20"/>
          <w:szCs w:val="20"/>
          <w:lang w:val="en-GB"/>
        </w:rPr>
        <w:t xml:space="preserve"> targets were </w:t>
      </w:r>
      <w:r w:rsidR="00E8435F" w:rsidRPr="00B217DC">
        <w:rPr>
          <w:rFonts w:cs="Arial"/>
          <w:color w:val="auto"/>
          <w:sz w:val="20"/>
          <w:szCs w:val="20"/>
          <w:lang w:val="en-GB"/>
        </w:rPr>
        <w:t>not met</w:t>
      </w:r>
      <w:r w:rsidR="002C4C68" w:rsidRPr="00B217DC">
        <w:rPr>
          <w:rFonts w:cs="Arial"/>
          <w:color w:val="auto"/>
          <w:sz w:val="20"/>
          <w:szCs w:val="20"/>
          <w:lang w:val="en-GB"/>
        </w:rPr>
        <w:t xml:space="preserve"> </w:t>
      </w:r>
      <w:r w:rsidR="00F56C77" w:rsidRPr="00B217DC">
        <w:rPr>
          <w:rFonts w:cs="Arial"/>
          <w:color w:val="auto"/>
          <w:sz w:val="20"/>
          <w:szCs w:val="20"/>
          <w:lang w:val="en-GB"/>
        </w:rPr>
        <w:t xml:space="preserve">as </w:t>
      </w:r>
      <w:r w:rsidR="002C4C68" w:rsidRPr="00B217DC">
        <w:rPr>
          <w:rFonts w:cs="Arial"/>
          <w:color w:val="auto"/>
          <w:sz w:val="20"/>
          <w:szCs w:val="20"/>
          <w:lang w:val="en-GB"/>
        </w:rPr>
        <w:t>cited below</w:t>
      </w:r>
      <w:r w:rsidRPr="00B217DC">
        <w:rPr>
          <w:rFonts w:cs="Arial"/>
          <w:color w:val="auto"/>
          <w:sz w:val="20"/>
          <w:szCs w:val="20"/>
          <w:lang w:val="en-GB"/>
        </w:rPr>
        <w:t>.</w:t>
      </w:r>
      <w:r w:rsidRPr="00B217DC">
        <w:rPr>
          <w:rFonts w:cs="Arial"/>
          <w:color w:val="auto"/>
          <w:sz w:val="20"/>
          <w:szCs w:val="20"/>
        </w:rPr>
        <w:t xml:space="preserve"> </w:t>
      </w:r>
    </w:p>
    <w:p w:rsidR="0004014A" w:rsidRPr="00B217DC" w:rsidRDefault="0004014A" w:rsidP="00B217DC">
      <w:pPr>
        <w:pStyle w:val="ListParagraph"/>
        <w:autoSpaceDE w:val="0"/>
        <w:autoSpaceDN w:val="0"/>
        <w:adjustRightInd w:val="0"/>
        <w:rPr>
          <w:rFonts w:cs="Arial"/>
          <w:color w:val="auto"/>
          <w:sz w:val="20"/>
          <w:szCs w:val="20"/>
        </w:rPr>
      </w:pPr>
    </w:p>
    <w:p w:rsidR="0004014A" w:rsidRPr="00B217DC" w:rsidRDefault="00F56C77" w:rsidP="00B217DC">
      <w:pPr>
        <w:pStyle w:val="ListParagraph"/>
        <w:numPr>
          <w:ilvl w:val="0"/>
          <w:numId w:val="72"/>
        </w:numPr>
        <w:autoSpaceDE w:val="0"/>
        <w:autoSpaceDN w:val="0"/>
        <w:adjustRightInd w:val="0"/>
        <w:rPr>
          <w:rFonts w:cs="Arial"/>
          <w:color w:val="auto"/>
          <w:sz w:val="20"/>
          <w:szCs w:val="20"/>
        </w:rPr>
      </w:pPr>
      <w:r w:rsidRPr="00B217DC">
        <w:rPr>
          <w:rFonts w:cs="Arial"/>
          <w:color w:val="auto"/>
          <w:sz w:val="20"/>
          <w:szCs w:val="20"/>
        </w:rPr>
        <w:t>Only 30/36 training workshops on gender and development conducted;</w:t>
      </w:r>
    </w:p>
    <w:p w:rsidR="00F56C77" w:rsidRPr="00B217DC" w:rsidRDefault="00F56C77" w:rsidP="00B217DC">
      <w:pPr>
        <w:pStyle w:val="ListParagraph"/>
        <w:numPr>
          <w:ilvl w:val="0"/>
          <w:numId w:val="72"/>
        </w:numPr>
        <w:autoSpaceDE w:val="0"/>
        <w:autoSpaceDN w:val="0"/>
        <w:adjustRightInd w:val="0"/>
        <w:rPr>
          <w:rFonts w:cs="Arial"/>
          <w:color w:val="auto"/>
          <w:sz w:val="20"/>
          <w:szCs w:val="20"/>
        </w:rPr>
      </w:pPr>
      <w:r w:rsidRPr="00B217DC">
        <w:rPr>
          <w:rFonts w:cs="Arial"/>
          <w:color w:val="auto"/>
          <w:sz w:val="20"/>
          <w:szCs w:val="20"/>
        </w:rPr>
        <w:t>Only 27/108 outreach, advocacy and access to justice interventions conducted guided by a project plan;</w:t>
      </w:r>
    </w:p>
    <w:p w:rsidR="00F56C77" w:rsidRPr="00B217DC" w:rsidRDefault="00F56C77" w:rsidP="00B217DC">
      <w:pPr>
        <w:pStyle w:val="ListParagraph"/>
        <w:numPr>
          <w:ilvl w:val="0"/>
          <w:numId w:val="72"/>
        </w:numPr>
        <w:autoSpaceDE w:val="0"/>
        <w:autoSpaceDN w:val="0"/>
        <w:adjustRightInd w:val="0"/>
        <w:rPr>
          <w:rFonts w:cs="Arial"/>
          <w:color w:val="auto"/>
          <w:sz w:val="20"/>
          <w:szCs w:val="20"/>
        </w:rPr>
      </w:pPr>
      <w:r w:rsidRPr="00B217DC">
        <w:rPr>
          <w:rFonts w:cs="Arial"/>
          <w:color w:val="auto"/>
          <w:sz w:val="20"/>
          <w:szCs w:val="20"/>
        </w:rPr>
        <w:t>Only 11/36 stakeholder engagements with like-minded institutions on topical issues relating to gender equality which will inform CGE planning and programmes held;</w:t>
      </w:r>
    </w:p>
    <w:p w:rsidR="00F56C77" w:rsidRPr="00B217DC" w:rsidRDefault="00F56C77" w:rsidP="00B217DC">
      <w:pPr>
        <w:pStyle w:val="ListParagraph"/>
        <w:numPr>
          <w:ilvl w:val="0"/>
          <w:numId w:val="72"/>
        </w:numPr>
        <w:autoSpaceDE w:val="0"/>
        <w:autoSpaceDN w:val="0"/>
        <w:adjustRightInd w:val="0"/>
        <w:rPr>
          <w:rFonts w:cs="Arial"/>
          <w:color w:val="auto"/>
          <w:sz w:val="20"/>
          <w:szCs w:val="20"/>
        </w:rPr>
      </w:pPr>
      <w:r w:rsidRPr="00B217DC">
        <w:rPr>
          <w:rFonts w:cs="Arial"/>
          <w:color w:val="auto"/>
          <w:sz w:val="20"/>
          <w:szCs w:val="20"/>
        </w:rPr>
        <w:t xml:space="preserve">2 High-level meetings &amp; a report with outcomes of meeting with DBE, SACE &amp; Teachers’ Unions on GBV &amp; learner pregnancy not held instead other meetings held; </w:t>
      </w:r>
    </w:p>
    <w:p w:rsidR="00F56C77" w:rsidRPr="00B217DC" w:rsidRDefault="00F56C77" w:rsidP="00B217DC">
      <w:pPr>
        <w:pStyle w:val="ListParagraph"/>
        <w:numPr>
          <w:ilvl w:val="0"/>
          <w:numId w:val="72"/>
        </w:numPr>
        <w:autoSpaceDE w:val="0"/>
        <w:autoSpaceDN w:val="0"/>
        <w:adjustRightInd w:val="0"/>
        <w:rPr>
          <w:rFonts w:cs="Arial"/>
          <w:color w:val="auto"/>
          <w:sz w:val="20"/>
          <w:szCs w:val="20"/>
        </w:rPr>
      </w:pPr>
      <w:r w:rsidRPr="00B217DC">
        <w:rPr>
          <w:rFonts w:cs="Arial"/>
          <w:color w:val="auto"/>
          <w:sz w:val="20"/>
          <w:szCs w:val="20"/>
        </w:rPr>
        <w:t>Only 24/40 40 courts monitored.</w:t>
      </w:r>
    </w:p>
    <w:p w:rsidR="00680D51" w:rsidRPr="00B217DC" w:rsidRDefault="00F56C77" w:rsidP="00B217DC">
      <w:pPr>
        <w:autoSpaceDE w:val="0"/>
        <w:autoSpaceDN w:val="0"/>
        <w:adjustRightInd w:val="0"/>
        <w:rPr>
          <w:rFonts w:cs="Arial"/>
          <w:color w:val="auto"/>
          <w:sz w:val="20"/>
          <w:szCs w:val="20"/>
          <w:lang w:val="en-GB"/>
        </w:rPr>
      </w:pPr>
      <w:r w:rsidRPr="00B217DC">
        <w:rPr>
          <w:rFonts w:cs="Arial"/>
          <w:color w:val="auto"/>
          <w:sz w:val="20"/>
          <w:szCs w:val="20"/>
          <w:lang w:val="en-GB"/>
        </w:rPr>
        <w:t>It is concerning that Outcome 2, which deals with education and information sharing to create public awareness and understanding has performed the poorest out of the 4 outcomes.</w:t>
      </w:r>
    </w:p>
    <w:p w:rsidR="00F56C77" w:rsidRPr="00B217DC" w:rsidRDefault="00F56C77" w:rsidP="00B217DC">
      <w:pPr>
        <w:autoSpaceDE w:val="0"/>
        <w:autoSpaceDN w:val="0"/>
        <w:adjustRightInd w:val="0"/>
        <w:rPr>
          <w:rFonts w:cs="Arial"/>
          <w:color w:val="auto"/>
          <w:sz w:val="20"/>
          <w:szCs w:val="20"/>
          <w:lang w:val="en-GB"/>
        </w:rPr>
      </w:pPr>
    </w:p>
    <w:p w:rsidR="00F56C77" w:rsidRPr="00B217DC" w:rsidRDefault="00F56C77" w:rsidP="00B217DC">
      <w:pPr>
        <w:autoSpaceDE w:val="0"/>
        <w:autoSpaceDN w:val="0"/>
        <w:adjustRightInd w:val="0"/>
        <w:rPr>
          <w:rFonts w:cs="Arial"/>
          <w:color w:val="auto"/>
          <w:sz w:val="20"/>
          <w:szCs w:val="20"/>
          <w:lang w:val="en-GB"/>
        </w:rPr>
      </w:pPr>
    </w:p>
    <w:p w:rsidR="00170BD2" w:rsidRPr="00B217DC" w:rsidRDefault="00654183" w:rsidP="00B217DC">
      <w:pPr>
        <w:numPr>
          <w:ilvl w:val="1"/>
          <w:numId w:val="11"/>
        </w:numPr>
        <w:autoSpaceDE w:val="0"/>
        <w:autoSpaceDN w:val="0"/>
        <w:adjustRightInd w:val="0"/>
        <w:ind w:left="426"/>
        <w:contextualSpacing/>
        <w:rPr>
          <w:rFonts w:eastAsiaTheme="minorHAnsi" w:cs="Arial"/>
          <w:color w:val="auto"/>
          <w:spacing w:val="0"/>
          <w:kern w:val="28"/>
          <w:sz w:val="20"/>
          <w:szCs w:val="20"/>
          <w:lang w:eastAsia="en-US"/>
        </w:rPr>
      </w:pPr>
      <w:r w:rsidRPr="00B217DC">
        <w:rPr>
          <w:rFonts w:eastAsiaTheme="minorHAnsi" w:cs="Arial"/>
          <w:b/>
          <w:bCs/>
          <w:color w:val="auto"/>
          <w:spacing w:val="0"/>
          <w:kern w:val="28"/>
          <w:sz w:val="20"/>
          <w:szCs w:val="20"/>
          <w:lang w:eastAsia="en-US"/>
        </w:rPr>
        <w:lastRenderedPageBreak/>
        <w:t xml:space="preserve"> </w:t>
      </w:r>
      <w:r w:rsidR="00170BD2" w:rsidRPr="00B217DC">
        <w:rPr>
          <w:rFonts w:eastAsiaTheme="minorHAnsi" w:cs="Arial"/>
          <w:b/>
          <w:bCs/>
          <w:color w:val="auto"/>
          <w:spacing w:val="0"/>
          <w:kern w:val="28"/>
          <w:sz w:val="20"/>
          <w:szCs w:val="20"/>
          <w:lang w:eastAsia="en-US"/>
        </w:rPr>
        <w:t>Strategic O</w:t>
      </w:r>
      <w:r w:rsidR="00A84B6E" w:rsidRPr="00B217DC">
        <w:rPr>
          <w:rFonts w:eastAsiaTheme="minorHAnsi" w:cs="Arial"/>
          <w:b/>
          <w:bCs/>
          <w:color w:val="auto"/>
          <w:spacing w:val="0"/>
          <w:kern w:val="28"/>
          <w:sz w:val="20"/>
          <w:szCs w:val="20"/>
          <w:lang w:eastAsia="en-US"/>
        </w:rPr>
        <w:t xml:space="preserve">utcome </w:t>
      </w:r>
      <w:r w:rsidR="00170BD2" w:rsidRPr="00B217DC">
        <w:rPr>
          <w:rFonts w:eastAsiaTheme="minorHAnsi" w:cs="Arial"/>
          <w:b/>
          <w:bCs/>
          <w:color w:val="auto"/>
          <w:spacing w:val="0"/>
          <w:kern w:val="28"/>
          <w:sz w:val="20"/>
          <w:szCs w:val="20"/>
          <w:lang w:eastAsia="en-US"/>
        </w:rPr>
        <w:t xml:space="preserve">3 </w:t>
      </w:r>
    </w:p>
    <w:p w:rsidR="00170BD2" w:rsidRPr="00B217DC" w:rsidRDefault="00170BD2" w:rsidP="00B217DC">
      <w:pPr>
        <w:autoSpaceDE w:val="0"/>
        <w:autoSpaceDN w:val="0"/>
        <w:adjustRightInd w:val="0"/>
        <w:ind w:left="360"/>
        <w:rPr>
          <w:rFonts w:eastAsiaTheme="minorHAnsi" w:cs="Arial"/>
          <w:color w:val="auto"/>
          <w:sz w:val="20"/>
          <w:szCs w:val="20"/>
          <w:lang w:val="en-GB" w:eastAsia="en-US"/>
        </w:rPr>
      </w:pPr>
    </w:p>
    <w:p w:rsidR="00093AC5" w:rsidRPr="00B217DC" w:rsidRDefault="00170BD2" w:rsidP="00B217DC">
      <w:pPr>
        <w:autoSpaceDE w:val="0"/>
        <w:autoSpaceDN w:val="0"/>
        <w:adjustRightInd w:val="0"/>
        <w:rPr>
          <w:rFonts w:eastAsiaTheme="minorHAnsi" w:cs="Arial"/>
          <w:color w:val="auto"/>
          <w:sz w:val="20"/>
          <w:szCs w:val="20"/>
          <w:lang w:eastAsia="en-US"/>
        </w:rPr>
      </w:pPr>
      <w:r w:rsidRPr="00B217DC">
        <w:rPr>
          <w:rFonts w:eastAsiaTheme="minorHAnsi" w:cs="Arial"/>
          <w:color w:val="auto"/>
          <w:sz w:val="20"/>
          <w:szCs w:val="20"/>
          <w:lang w:val="en-GB" w:eastAsia="en-US"/>
        </w:rPr>
        <w:t xml:space="preserve">The purpose of this </w:t>
      </w:r>
      <w:r w:rsidR="00A84B6E" w:rsidRPr="00B217DC">
        <w:rPr>
          <w:rFonts w:eastAsiaTheme="minorHAnsi" w:cs="Arial"/>
          <w:color w:val="auto"/>
          <w:sz w:val="20"/>
          <w:szCs w:val="20"/>
          <w:lang w:val="en-GB" w:eastAsia="en-US"/>
        </w:rPr>
        <w:t>SO</w:t>
      </w:r>
      <w:r w:rsidRPr="00B217DC">
        <w:rPr>
          <w:rFonts w:eastAsiaTheme="minorHAnsi" w:cs="Arial"/>
          <w:color w:val="auto"/>
          <w:sz w:val="20"/>
          <w:szCs w:val="20"/>
          <w:lang w:val="en-GB" w:eastAsia="en-US"/>
        </w:rPr>
        <w:t xml:space="preserve"> 3 is </w:t>
      </w:r>
      <w:r w:rsidR="00093AC5" w:rsidRPr="00B217DC">
        <w:rPr>
          <w:rFonts w:eastAsiaTheme="minorHAnsi" w:cs="Arial"/>
          <w:color w:val="auto"/>
          <w:sz w:val="20"/>
          <w:szCs w:val="20"/>
          <w:lang w:val="en-GB" w:eastAsia="en-US"/>
        </w:rPr>
        <w:t xml:space="preserve">to </w:t>
      </w:r>
      <w:r w:rsidR="00093AC5" w:rsidRPr="00B217DC">
        <w:rPr>
          <w:rFonts w:eastAsiaTheme="minorHAnsi" w:cs="Arial"/>
          <w:color w:val="auto"/>
          <w:sz w:val="20"/>
          <w:szCs w:val="20"/>
          <w:lang w:eastAsia="en-US"/>
        </w:rPr>
        <w:t>transform behaviour to respect and uphold gender equality and</w:t>
      </w:r>
    </w:p>
    <w:p w:rsidR="00093AC5" w:rsidRPr="00B217DC" w:rsidRDefault="00093AC5" w:rsidP="00B217DC">
      <w:pPr>
        <w:autoSpaceDE w:val="0"/>
        <w:autoSpaceDN w:val="0"/>
        <w:adjustRightInd w:val="0"/>
        <w:rPr>
          <w:rFonts w:eastAsiaTheme="minorHAnsi" w:cs="Arial"/>
          <w:color w:val="auto"/>
          <w:sz w:val="20"/>
          <w:szCs w:val="20"/>
          <w:lang w:val="en-GB" w:eastAsia="en-US"/>
        </w:rPr>
      </w:pPr>
      <w:r w:rsidRPr="00B217DC">
        <w:rPr>
          <w:rFonts w:eastAsiaTheme="minorHAnsi" w:cs="Arial"/>
          <w:color w:val="auto"/>
          <w:sz w:val="20"/>
          <w:szCs w:val="20"/>
          <w:lang w:eastAsia="en-US"/>
        </w:rPr>
        <w:t>to further ensure effective and efficient social justice for victims of gender violations.</w:t>
      </w:r>
    </w:p>
    <w:p w:rsidR="00170BD2" w:rsidRPr="00B217DC" w:rsidRDefault="00170BD2" w:rsidP="00B217DC">
      <w:pPr>
        <w:autoSpaceDE w:val="0"/>
        <w:autoSpaceDN w:val="0"/>
        <w:adjustRightInd w:val="0"/>
        <w:rPr>
          <w:rFonts w:eastAsiaTheme="minorHAnsi" w:cs="Arial"/>
          <w:color w:val="auto"/>
          <w:sz w:val="20"/>
          <w:szCs w:val="20"/>
          <w:lang w:val="en-GB" w:eastAsia="en-US"/>
        </w:rPr>
      </w:pPr>
      <w:r w:rsidRPr="00B217DC">
        <w:rPr>
          <w:rFonts w:eastAsiaTheme="minorHAnsi" w:cs="Arial"/>
          <w:color w:val="auto"/>
          <w:sz w:val="20"/>
          <w:szCs w:val="20"/>
          <w:lang w:val="en-GB" w:eastAsia="en-US"/>
        </w:rPr>
        <w:t>This has been achieved through the following sub-strategies:</w:t>
      </w:r>
    </w:p>
    <w:p w:rsidR="00170BD2" w:rsidRPr="00B217DC" w:rsidRDefault="00170BD2" w:rsidP="00B217DC">
      <w:pPr>
        <w:autoSpaceDE w:val="0"/>
        <w:autoSpaceDN w:val="0"/>
        <w:adjustRightInd w:val="0"/>
        <w:ind w:left="720"/>
        <w:rPr>
          <w:rFonts w:eastAsiaTheme="minorHAnsi" w:cs="Arial"/>
          <w:b/>
          <w:bCs/>
          <w:color w:val="auto"/>
          <w:spacing w:val="0"/>
          <w:sz w:val="20"/>
          <w:szCs w:val="20"/>
          <w:lang w:eastAsia="en-US"/>
        </w:rPr>
      </w:pP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conduct annual reviews and audits of state compliance with obligations under the conventions, covenants and charters and to report a regular basis to Parliament and the Office of the Speaker of Parliament.</w:t>
      </w:r>
    </w:p>
    <w:p w:rsidR="00170BD2" w:rsidRPr="00B217DC" w:rsidRDefault="00170BD2" w:rsidP="00B217DC">
      <w:pPr>
        <w:numPr>
          <w:ilvl w:val="0"/>
          <w:numId w:val="7"/>
        </w:numPr>
        <w:autoSpaceDE w:val="0"/>
        <w:autoSpaceDN w:val="0"/>
        <w:adjustRightInd w:val="0"/>
        <w:rPr>
          <w:rFonts w:cs="Arial"/>
          <w:color w:val="auto"/>
          <w:sz w:val="20"/>
          <w:szCs w:val="20"/>
          <w:lang w:val="en-GB"/>
        </w:rPr>
      </w:pPr>
      <w:r w:rsidRPr="00B217DC">
        <w:rPr>
          <w:rFonts w:cs="Arial"/>
          <w:color w:val="auto"/>
          <w:sz w:val="20"/>
          <w:szCs w:val="20"/>
          <w:lang w:val="en-GB"/>
        </w:rPr>
        <w:t>To interact with and report to national, regional and international bodies on state compliance with conventions, covenants and charters acceded to or ratified.</w:t>
      </w:r>
    </w:p>
    <w:p w:rsidR="00170BD2" w:rsidRPr="00B217DC" w:rsidRDefault="00170BD2" w:rsidP="00B217DC">
      <w:pPr>
        <w:autoSpaceDE w:val="0"/>
        <w:autoSpaceDN w:val="0"/>
        <w:adjustRightInd w:val="0"/>
        <w:rPr>
          <w:rFonts w:eastAsiaTheme="minorHAnsi" w:cs="Arial"/>
          <w:color w:val="auto"/>
          <w:spacing w:val="0"/>
          <w:sz w:val="20"/>
          <w:szCs w:val="20"/>
          <w:lang w:eastAsia="en-US"/>
        </w:rPr>
      </w:pPr>
    </w:p>
    <w:p w:rsidR="00680D51" w:rsidRPr="00B217DC" w:rsidRDefault="00FE08E7" w:rsidP="00B217DC">
      <w:p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According to the Annual Report </w:t>
      </w:r>
      <w:r w:rsidR="00A84B6E" w:rsidRPr="00B217DC">
        <w:rPr>
          <w:rFonts w:eastAsiaTheme="minorHAnsi" w:cs="Arial"/>
          <w:color w:val="auto"/>
          <w:spacing w:val="0"/>
          <w:sz w:val="20"/>
          <w:szCs w:val="20"/>
          <w:lang w:eastAsia="en-US"/>
        </w:rPr>
        <w:t>202</w:t>
      </w:r>
      <w:r w:rsidR="0067737B" w:rsidRPr="00B217DC">
        <w:rPr>
          <w:rFonts w:eastAsiaTheme="minorHAnsi" w:cs="Arial"/>
          <w:color w:val="auto"/>
          <w:spacing w:val="0"/>
          <w:sz w:val="20"/>
          <w:szCs w:val="20"/>
          <w:lang w:eastAsia="en-US"/>
        </w:rPr>
        <w:t>1/22</w:t>
      </w:r>
      <w:r w:rsidRPr="00B217DC">
        <w:rPr>
          <w:rFonts w:eastAsiaTheme="minorHAnsi" w:cs="Arial"/>
          <w:color w:val="auto"/>
          <w:spacing w:val="0"/>
          <w:sz w:val="20"/>
          <w:szCs w:val="20"/>
          <w:lang w:eastAsia="en-US"/>
        </w:rPr>
        <w:t>, t</w:t>
      </w:r>
      <w:r w:rsidR="000A3EC8" w:rsidRPr="00B217DC">
        <w:rPr>
          <w:rFonts w:eastAsiaTheme="minorHAnsi" w:cs="Arial"/>
          <w:color w:val="auto"/>
          <w:spacing w:val="0"/>
          <w:sz w:val="20"/>
          <w:szCs w:val="20"/>
          <w:lang w:eastAsia="en-US"/>
        </w:rPr>
        <w:t xml:space="preserve">his </w:t>
      </w:r>
      <w:r w:rsidR="00A84B6E" w:rsidRPr="00B217DC">
        <w:rPr>
          <w:rFonts w:eastAsiaTheme="minorHAnsi" w:cs="Arial"/>
          <w:color w:val="auto"/>
          <w:spacing w:val="0"/>
          <w:sz w:val="20"/>
          <w:szCs w:val="20"/>
          <w:lang w:eastAsia="en-US"/>
        </w:rPr>
        <w:t>SO</w:t>
      </w:r>
      <w:r w:rsidR="000A3EC8" w:rsidRPr="00B217DC">
        <w:rPr>
          <w:rFonts w:eastAsiaTheme="minorHAnsi" w:cs="Arial"/>
          <w:color w:val="auto"/>
          <w:spacing w:val="0"/>
          <w:sz w:val="20"/>
          <w:szCs w:val="20"/>
          <w:lang w:eastAsia="en-US"/>
        </w:rPr>
        <w:t xml:space="preserve"> planned to achieve </w:t>
      </w:r>
      <w:r w:rsidR="00F56C77" w:rsidRPr="00B217DC">
        <w:rPr>
          <w:rFonts w:eastAsiaTheme="minorHAnsi" w:cs="Arial"/>
          <w:color w:val="auto"/>
          <w:spacing w:val="0"/>
          <w:sz w:val="20"/>
          <w:szCs w:val="20"/>
          <w:lang w:eastAsia="en-US"/>
        </w:rPr>
        <w:t>7</w:t>
      </w:r>
      <w:r w:rsidR="000A3EC8" w:rsidRPr="00B217DC">
        <w:rPr>
          <w:rFonts w:eastAsiaTheme="minorHAnsi" w:cs="Arial"/>
          <w:color w:val="auto"/>
          <w:spacing w:val="0"/>
          <w:sz w:val="20"/>
          <w:szCs w:val="20"/>
          <w:lang w:eastAsia="en-US"/>
        </w:rPr>
        <w:t xml:space="preserve"> targets and </w:t>
      </w:r>
      <w:r w:rsidR="00F56C77" w:rsidRPr="00B217DC">
        <w:rPr>
          <w:rFonts w:eastAsiaTheme="minorHAnsi" w:cs="Arial"/>
          <w:color w:val="auto"/>
          <w:spacing w:val="0"/>
          <w:sz w:val="20"/>
          <w:szCs w:val="20"/>
          <w:lang w:eastAsia="en-US"/>
        </w:rPr>
        <w:t>6</w:t>
      </w:r>
      <w:r w:rsidR="000A3EC8" w:rsidRPr="00B217DC">
        <w:rPr>
          <w:rFonts w:eastAsiaTheme="minorHAnsi" w:cs="Arial"/>
          <w:color w:val="auto"/>
          <w:spacing w:val="0"/>
          <w:sz w:val="20"/>
          <w:szCs w:val="20"/>
          <w:lang w:eastAsia="en-US"/>
        </w:rPr>
        <w:t xml:space="preserve"> were achieved</w:t>
      </w:r>
      <w:r w:rsidR="00680D51" w:rsidRPr="00B217DC">
        <w:rPr>
          <w:rFonts w:eastAsiaTheme="minorHAnsi" w:cs="Arial"/>
          <w:color w:val="auto"/>
          <w:spacing w:val="0"/>
          <w:sz w:val="20"/>
          <w:szCs w:val="20"/>
          <w:lang w:eastAsia="en-US"/>
        </w:rPr>
        <w:t xml:space="preserve"> </w:t>
      </w:r>
      <w:r w:rsidR="00F56C77" w:rsidRPr="00B217DC">
        <w:rPr>
          <w:rFonts w:eastAsiaTheme="minorHAnsi" w:cs="Arial"/>
          <w:color w:val="auto"/>
          <w:spacing w:val="0"/>
          <w:sz w:val="20"/>
          <w:szCs w:val="20"/>
          <w:lang w:eastAsia="en-US"/>
        </w:rPr>
        <w:t xml:space="preserve">only 1 not met </w:t>
      </w:r>
      <w:r w:rsidR="00680D51" w:rsidRPr="00B217DC">
        <w:rPr>
          <w:rFonts w:eastAsiaTheme="minorHAnsi" w:cs="Arial"/>
          <w:color w:val="auto"/>
          <w:spacing w:val="0"/>
          <w:sz w:val="20"/>
          <w:szCs w:val="20"/>
          <w:lang w:eastAsia="en-US"/>
        </w:rPr>
        <w:t>as cited below.</w:t>
      </w:r>
      <w:r w:rsidR="000A3EC8" w:rsidRPr="00B217DC">
        <w:rPr>
          <w:rFonts w:eastAsiaTheme="minorHAnsi" w:cs="Arial"/>
          <w:color w:val="auto"/>
          <w:spacing w:val="0"/>
          <w:sz w:val="20"/>
          <w:szCs w:val="20"/>
          <w:lang w:eastAsia="en-US"/>
        </w:rPr>
        <w:t xml:space="preserve">  </w:t>
      </w:r>
    </w:p>
    <w:p w:rsidR="00680D51" w:rsidRPr="00B217DC" w:rsidRDefault="00680D51" w:rsidP="00B217DC">
      <w:pPr>
        <w:autoSpaceDE w:val="0"/>
        <w:autoSpaceDN w:val="0"/>
        <w:adjustRightInd w:val="0"/>
        <w:rPr>
          <w:rFonts w:eastAsiaTheme="minorHAnsi" w:cs="Arial"/>
          <w:color w:val="auto"/>
          <w:spacing w:val="0"/>
          <w:sz w:val="20"/>
          <w:szCs w:val="20"/>
          <w:lang w:eastAsia="en-US"/>
        </w:rPr>
      </w:pPr>
    </w:p>
    <w:p w:rsidR="00680D51" w:rsidRPr="00B217DC" w:rsidRDefault="0067737B" w:rsidP="00B217DC">
      <w:pPr>
        <w:pStyle w:val="ListParagraph"/>
        <w:numPr>
          <w:ilvl w:val="0"/>
          <w:numId w:val="73"/>
        </w:num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Only 283 SAPS and 19 TCCs were reached instead of 432.</w:t>
      </w:r>
    </w:p>
    <w:p w:rsidR="0067737B" w:rsidRPr="00B217DC" w:rsidRDefault="0067737B" w:rsidP="00B217DC">
      <w:pPr>
        <w:pStyle w:val="ListParagraph"/>
        <w:autoSpaceDE w:val="0"/>
        <w:autoSpaceDN w:val="0"/>
        <w:adjustRightInd w:val="0"/>
        <w:rPr>
          <w:rFonts w:eastAsiaTheme="minorHAnsi" w:cs="Arial"/>
          <w:color w:val="auto"/>
          <w:spacing w:val="0"/>
          <w:sz w:val="20"/>
          <w:szCs w:val="20"/>
          <w:lang w:eastAsia="en-US"/>
        </w:rPr>
      </w:pPr>
    </w:p>
    <w:p w:rsidR="000A3EC8" w:rsidRPr="00B217DC" w:rsidRDefault="000A3EC8" w:rsidP="00B217DC">
      <w:pPr>
        <w:pStyle w:val="ListParagraph"/>
        <w:numPr>
          <w:ilvl w:val="1"/>
          <w:numId w:val="11"/>
        </w:numPr>
        <w:autoSpaceDE w:val="0"/>
        <w:autoSpaceDN w:val="0"/>
        <w:adjustRightInd w:val="0"/>
        <w:ind w:left="426"/>
        <w:rPr>
          <w:rFonts w:eastAsiaTheme="minorHAnsi" w:cs="Arial"/>
          <w:b/>
          <w:color w:val="auto"/>
          <w:spacing w:val="0"/>
          <w:sz w:val="20"/>
          <w:szCs w:val="20"/>
          <w:lang w:eastAsia="en-US"/>
        </w:rPr>
      </w:pPr>
      <w:r w:rsidRPr="00B217DC">
        <w:rPr>
          <w:rFonts w:eastAsiaTheme="minorHAnsi" w:cs="Arial"/>
          <w:color w:val="auto"/>
          <w:spacing w:val="0"/>
          <w:sz w:val="20"/>
          <w:szCs w:val="20"/>
          <w:lang w:eastAsia="en-US"/>
        </w:rPr>
        <w:t xml:space="preserve"> </w:t>
      </w:r>
      <w:r w:rsidRPr="00B217DC">
        <w:rPr>
          <w:rFonts w:eastAsiaTheme="minorHAnsi" w:cs="Arial"/>
          <w:b/>
          <w:color w:val="auto"/>
          <w:spacing w:val="0"/>
          <w:sz w:val="20"/>
          <w:szCs w:val="20"/>
          <w:lang w:eastAsia="en-US"/>
        </w:rPr>
        <w:t>Strategic O</w:t>
      </w:r>
      <w:r w:rsidR="00A84B6E" w:rsidRPr="00B217DC">
        <w:rPr>
          <w:rFonts w:eastAsiaTheme="minorHAnsi" w:cs="Arial"/>
          <w:b/>
          <w:color w:val="auto"/>
          <w:spacing w:val="0"/>
          <w:sz w:val="20"/>
          <w:szCs w:val="20"/>
          <w:lang w:eastAsia="en-US"/>
        </w:rPr>
        <w:t xml:space="preserve">utcome </w:t>
      </w:r>
      <w:r w:rsidRPr="00B217DC">
        <w:rPr>
          <w:rFonts w:eastAsiaTheme="minorHAnsi" w:cs="Arial"/>
          <w:b/>
          <w:color w:val="auto"/>
          <w:spacing w:val="0"/>
          <w:sz w:val="20"/>
          <w:szCs w:val="20"/>
          <w:lang w:eastAsia="en-US"/>
        </w:rPr>
        <w:t>4</w:t>
      </w:r>
    </w:p>
    <w:p w:rsidR="000A3EC8" w:rsidRPr="00B217DC" w:rsidRDefault="000A3EC8" w:rsidP="00B217DC">
      <w:pPr>
        <w:autoSpaceDE w:val="0"/>
        <w:autoSpaceDN w:val="0"/>
        <w:adjustRightInd w:val="0"/>
        <w:rPr>
          <w:rFonts w:eastAsiaTheme="minorHAnsi" w:cs="Arial"/>
          <w:color w:val="auto"/>
          <w:spacing w:val="0"/>
          <w:sz w:val="20"/>
          <w:szCs w:val="20"/>
          <w:lang w:eastAsia="en-US"/>
        </w:rPr>
      </w:pPr>
    </w:p>
    <w:p w:rsidR="000A3EC8" w:rsidRPr="00B217DC" w:rsidRDefault="000A3EC8" w:rsidP="00B217DC">
      <w:pPr>
        <w:autoSpaceDE w:val="0"/>
        <w:autoSpaceDN w:val="0"/>
        <w:adjustRightInd w:val="0"/>
        <w:rPr>
          <w:rFonts w:eastAsiaTheme="minorHAnsi" w:cs="Arial"/>
          <w:color w:val="auto"/>
          <w:spacing w:val="0"/>
          <w:sz w:val="20"/>
          <w:szCs w:val="20"/>
          <w:lang w:val="en-GB" w:eastAsia="en-US"/>
        </w:rPr>
      </w:pPr>
      <w:r w:rsidRPr="00B217DC">
        <w:rPr>
          <w:rFonts w:eastAsiaTheme="minorHAnsi" w:cs="Arial"/>
          <w:color w:val="auto"/>
          <w:spacing w:val="0"/>
          <w:sz w:val="20"/>
          <w:szCs w:val="20"/>
          <w:lang w:val="en-GB" w:eastAsia="en-US"/>
        </w:rPr>
        <w:t xml:space="preserve">The purpose of this </w:t>
      </w:r>
      <w:r w:rsidR="00A84B6E" w:rsidRPr="00B217DC">
        <w:rPr>
          <w:rFonts w:eastAsiaTheme="minorHAnsi" w:cs="Arial"/>
          <w:color w:val="auto"/>
          <w:spacing w:val="0"/>
          <w:sz w:val="20"/>
          <w:szCs w:val="20"/>
          <w:lang w:val="en-GB" w:eastAsia="en-US"/>
        </w:rPr>
        <w:t>SO</w:t>
      </w:r>
      <w:r w:rsidRPr="00B217DC">
        <w:rPr>
          <w:rFonts w:eastAsiaTheme="minorHAnsi" w:cs="Arial"/>
          <w:color w:val="auto"/>
          <w:spacing w:val="0"/>
          <w:sz w:val="20"/>
          <w:szCs w:val="20"/>
          <w:lang w:val="en-GB" w:eastAsia="en-US"/>
        </w:rPr>
        <w:t xml:space="preserve"> 4 is to</w:t>
      </w:r>
      <w:r w:rsidR="00FE08E7" w:rsidRPr="00B217DC">
        <w:rPr>
          <w:rFonts w:cs="Arial"/>
          <w:color w:val="auto"/>
          <w:sz w:val="20"/>
          <w:szCs w:val="20"/>
        </w:rPr>
        <w:t xml:space="preserve"> </w:t>
      </w:r>
      <w:r w:rsidR="002E2DA9" w:rsidRPr="00B217DC">
        <w:rPr>
          <w:rFonts w:cs="Arial"/>
          <w:color w:val="auto"/>
          <w:sz w:val="20"/>
          <w:szCs w:val="20"/>
        </w:rPr>
        <w:t>build and sustain an efficient organisation, to effectively promote and protect gender equality</w:t>
      </w:r>
      <w:r w:rsidR="00FE08E7" w:rsidRPr="00B217DC">
        <w:rPr>
          <w:rFonts w:eastAsiaTheme="minorHAnsi" w:cs="Arial"/>
          <w:color w:val="auto"/>
          <w:spacing w:val="0"/>
          <w:sz w:val="20"/>
          <w:szCs w:val="20"/>
          <w:lang w:val="en-GB" w:eastAsia="en-US"/>
        </w:rPr>
        <w:t>.</w:t>
      </w:r>
    </w:p>
    <w:p w:rsidR="000A3EC8" w:rsidRPr="00B217DC" w:rsidRDefault="000A3EC8" w:rsidP="00B217DC">
      <w:pPr>
        <w:autoSpaceDE w:val="0"/>
        <w:autoSpaceDN w:val="0"/>
        <w:adjustRightInd w:val="0"/>
        <w:rPr>
          <w:rFonts w:eastAsiaTheme="minorHAnsi" w:cs="Arial"/>
          <w:color w:val="auto"/>
          <w:spacing w:val="0"/>
          <w:sz w:val="20"/>
          <w:szCs w:val="20"/>
          <w:lang w:val="en-GB" w:eastAsia="en-US"/>
        </w:rPr>
      </w:pPr>
    </w:p>
    <w:p w:rsidR="00680D51" w:rsidRPr="00B217DC" w:rsidRDefault="00FE08E7" w:rsidP="00B217DC">
      <w:p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According to the Annual Report 20</w:t>
      </w:r>
      <w:r w:rsidR="00A84B6E" w:rsidRPr="00B217DC">
        <w:rPr>
          <w:rFonts w:eastAsiaTheme="minorHAnsi" w:cs="Arial"/>
          <w:color w:val="auto"/>
          <w:spacing w:val="0"/>
          <w:sz w:val="20"/>
          <w:szCs w:val="20"/>
          <w:lang w:eastAsia="en-US"/>
        </w:rPr>
        <w:t>20/21</w:t>
      </w:r>
      <w:r w:rsidRPr="00B217DC">
        <w:rPr>
          <w:rFonts w:eastAsiaTheme="minorHAnsi" w:cs="Arial"/>
          <w:color w:val="auto"/>
          <w:spacing w:val="0"/>
          <w:sz w:val="20"/>
          <w:szCs w:val="20"/>
          <w:lang w:eastAsia="en-US"/>
        </w:rPr>
        <w:t>, t</w:t>
      </w:r>
      <w:r w:rsidR="000A3EC8" w:rsidRPr="00B217DC">
        <w:rPr>
          <w:rFonts w:eastAsiaTheme="minorHAnsi" w:cs="Arial"/>
          <w:color w:val="auto"/>
          <w:spacing w:val="0"/>
          <w:sz w:val="20"/>
          <w:szCs w:val="20"/>
          <w:lang w:eastAsia="en-US"/>
        </w:rPr>
        <w:t>his S</w:t>
      </w:r>
      <w:r w:rsidR="00A84B6E" w:rsidRPr="00B217DC">
        <w:rPr>
          <w:rFonts w:eastAsiaTheme="minorHAnsi" w:cs="Arial"/>
          <w:color w:val="auto"/>
          <w:spacing w:val="0"/>
          <w:sz w:val="20"/>
          <w:szCs w:val="20"/>
          <w:lang w:eastAsia="en-US"/>
        </w:rPr>
        <w:t>O</w:t>
      </w:r>
      <w:r w:rsidR="000A3EC8" w:rsidRPr="00B217DC">
        <w:rPr>
          <w:rFonts w:eastAsiaTheme="minorHAnsi" w:cs="Arial"/>
          <w:color w:val="auto"/>
          <w:spacing w:val="0"/>
          <w:sz w:val="20"/>
          <w:szCs w:val="20"/>
          <w:lang w:eastAsia="en-US"/>
        </w:rPr>
        <w:t xml:space="preserve"> planned to achieve </w:t>
      </w:r>
      <w:r w:rsidR="0067737B" w:rsidRPr="00B217DC">
        <w:rPr>
          <w:rFonts w:eastAsiaTheme="minorHAnsi" w:cs="Arial"/>
          <w:color w:val="auto"/>
          <w:spacing w:val="0"/>
          <w:sz w:val="20"/>
          <w:szCs w:val="20"/>
          <w:lang w:eastAsia="en-US"/>
        </w:rPr>
        <w:t>13</w:t>
      </w:r>
      <w:r w:rsidR="000A3EC8" w:rsidRPr="00B217DC">
        <w:rPr>
          <w:rFonts w:eastAsiaTheme="minorHAnsi" w:cs="Arial"/>
          <w:color w:val="auto"/>
          <w:spacing w:val="0"/>
          <w:sz w:val="20"/>
          <w:szCs w:val="20"/>
          <w:lang w:eastAsia="en-US"/>
        </w:rPr>
        <w:t xml:space="preserve"> targets and </w:t>
      </w:r>
      <w:r w:rsidR="0067737B" w:rsidRPr="00B217DC">
        <w:rPr>
          <w:rFonts w:eastAsiaTheme="minorHAnsi" w:cs="Arial"/>
          <w:color w:val="auto"/>
          <w:spacing w:val="0"/>
          <w:sz w:val="20"/>
          <w:szCs w:val="20"/>
          <w:lang w:eastAsia="en-US"/>
        </w:rPr>
        <w:t>9</w:t>
      </w:r>
      <w:r w:rsidR="000A3EC8" w:rsidRPr="00B217DC">
        <w:rPr>
          <w:rFonts w:eastAsiaTheme="minorHAnsi" w:cs="Arial"/>
          <w:color w:val="auto"/>
          <w:spacing w:val="0"/>
          <w:sz w:val="20"/>
          <w:szCs w:val="20"/>
          <w:lang w:eastAsia="en-US"/>
        </w:rPr>
        <w:t xml:space="preserve"> were achieved</w:t>
      </w:r>
      <w:r w:rsidR="00680D51" w:rsidRPr="00B217DC">
        <w:rPr>
          <w:rFonts w:eastAsiaTheme="minorHAnsi" w:cs="Arial"/>
          <w:color w:val="auto"/>
          <w:spacing w:val="0"/>
          <w:sz w:val="20"/>
          <w:szCs w:val="20"/>
          <w:lang w:eastAsia="en-US"/>
        </w:rPr>
        <w:t xml:space="preserve"> </w:t>
      </w:r>
      <w:r w:rsidR="0067737B" w:rsidRPr="00B217DC">
        <w:rPr>
          <w:rFonts w:eastAsiaTheme="minorHAnsi" w:cs="Arial"/>
          <w:color w:val="auto"/>
          <w:spacing w:val="0"/>
          <w:sz w:val="20"/>
          <w:szCs w:val="20"/>
          <w:lang w:eastAsia="en-US"/>
        </w:rPr>
        <w:t xml:space="preserve">whilst 4 were not met </w:t>
      </w:r>
      <w:r w:rsidR="00680D51" w:rsidRPr="00B217DC">
        <w:rPr>
          <w:rFonts w:eastAsiaTheme="minorHAnsi" w:cs="Arial"/>
          <w:color w:val="auto"/>
          <w:spacing w:val="0"/>
          <w:sz w:val="20"/>
          <w:szCs w:val="20"/>
          <w:lang w:eastAsia="en-US"/>
        </w:rPr>
        <w:t>as cited below.</w:t>
      </w:r>
      <w:r w:rsidR="000A3EC8" w:rsidRPr="00B217DC">
        <w:rPr>
          <w:rFonts w:eastAsiaTheme="minorHAnsi" w:cs="Arial"/>
          <w:color w:val="auto"/>
          <w:spacing w:val="0"/>
          <w:sz w:val="20"/>
          <w:szCs w:val="20"/>
          <w:lang w:eastAsia="en-US"/>
        </w:rPr>
        <w:t xml:space="preserve">   </w:t>
      </w:r>
    </w:p>
    <w:p w:rsidR="00680D51" w:rsidRPr="00B217DC" w:rsidRDefault="00680D51" w:rsidP="00B217DC">
      <w:pPr>
        <w:autoSpaceDE w:val="0"/>
        <w:autoSpaceDN w:val="0"/>
        <w:adjustRightInd w:val="0"/>
        <w:rPr>
          <w:rFonts w:eastAsiaTheme="minorHAnsi" w:cs="Arial"/>
          <w:color w:val="auto"/>
          <w:spacing w:val="0"/>
          <w:sz w:val="20"/>
          <w:szCs w:val="20"/>
          <w:lang w:eastAsia="en-US"/>
        </w:rPr>
      </w:pPr>
    </w:p>
    <w:p w:rsidR="00680D51" w:rsidRPr="00B217DC" w:rsidRDefault="0067737B" w:rsidP="00B217DC">
      <w:pPr>
        <w:pStyle w:val="ListParagraph"/>
        <w:numPr>
          <w:ilvl w:val="0"/>
          <w:numId w:val="74"/>
        </w:num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A report on the assessment of plenary effectiveness </w:t>
      </w:r>
      <w:r w:rsidR="00680D51" w:rsidRPr="00B217DC">
        <w:rPr>
          <w:rFonts w:eastAsiaTheme="minorHAnsi" w:cs="Arial"/>
          <w:color w:val="auto"/>
          <w:spacing w:val="0"/>
          <w:sz w:val="20"/>
          <w:szCs w:val="20"/>
          <w:lang w:eastAsia="en-US"/>
        </w:rPr>
        <w:t>Approved ICT and Knowledge Management Plan</w:t>
      </w:r>
      <w:r w:rsidRPr="00B217DC">
        <w:rPr>
          <w:rFonts w:eastAsiaTheme="minorHAnsi" w:cs="Arial"/>
          <w:color w:val="auto"/>
          <w:spacing w:val="0"/>
          <w:sz w:val="20"/>
          <w:szCs w:val="20"/>
          <w:lang w:eastAsia="en-US"/>
        </w:rPr>
        <w:t>;</w:t>
      </w:r>
    </w:p>
    <w:p w:rsidR="0067737B" w:rsidRPr="00B217DC" w:rsidRDefault="0067737B" w:rsidP="00B217DC">
      <w:pPr>
        <w:pStyle w:val="ListParagraph"/>
        <w:numPr>
          <w:ilvl w:val="0"/>
          <w:numId w:val="74"/>
        </w:num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A report on the assessment of Sub-Committees’ effectiveness;</w:t>
      </w:r>
    </w:p>
    <w:p w:rsidR="0067737B" w:rsidRPr="00B217DC" w:rsidRDefault="0067737B" w:rsidP="00B217DC">
      <w:pPr>
        <w:pStyle w:val="ListParagraph"/>
        <w:numPr>
          <w:ilvl w:val="0"/>
          <w:numId w:val="74"/>
        </w:num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Only 1/4 Strategic partnership agreements concluded; </w:t>
      </w:r>
    </w:p>
    <w:p w:rsidR="0067737B" w:rsidRPr="00B217DC" w:rsidRDefault="0067737B" w:rsidP="00B217DC">
      <w:pPr>
        <w:pStyle w:val="ListParagraph"/>
        <w:numPr>
          <w:ilvl w:val="0"/>
          <w:numId w:val="74"/>
        </w:num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Consolidated report on the implementation of IKM plan not completed.</w:t>
      </w:r>
    </w:p>
    <w:p w:rsidR="00680D51" w:rsidRPr="00B217DC" w:rsidRDefault="00680D51" w:rsidP="00B217DC">
      <w:pPr>
        <w:autoSpaceDE w:val="0"/>
        <w:autoSpaceDN w:val="0"/>
        <w:adjustRightInd w:val="0"/>
        <w:rPr>
          <w:rFonts w:eastAsiaTheme="minorHAnsi" w:cs="Arial"/>
          <w:color w:val="auto"/>
          <w:spacing w:val="0"/>
          <w:sz w:val="20"/>
          <w:szCs w:val="20"/>
          <w:lang w:eastAsia="en-US"/>
        </w:rPr>
      </w:pPr>
    </w:p>
    <w:p w:rsidR="0067737B" w:rsidRPr="00B217DC" w:rsidRDefault="0067737B" w:rsidP="00B217DC">
      <w:pPr>
        <w:autoSpaceDE w:val="0"/>
        <w:autoSpaceDN w:val="0"/>
        <w:adjustRightInd w:val="0"/>
        <w:rPr>
          <w:rFonts w:eastAsiaTheme="minorHAnsi" w:cs="Arial"/>
          <w:color w:val="auto"/>
          <w:spacing w:val="0"/>
          <w:sz w:val="20"/>
          <w:szCs w:val="20"/>
          <w:lang w:eastAsia="en-US"/>
        </w:rPr>
      </w:pPr>
    </w:p>
    <w:p w:rsidR="00170BD2" w:rsidRPr="00B217DC" w:rsidRDefault="00170BD2" w:rsidP="00B217DC">
      <w:pPr>
        <w:numPr>
          <w:ilvl w:val="1"/>
          <w:numId w:val="11"/>
        </w:numPr>
        <w:autoSpaceDE w:val="0"/>
        <w:autoSpaceDN w:val="0"/>
        <w:adjustRightInd w:val="0"/>
        <w:ind w:left="426"/>
        <w:contextualSpacing/>
        <w:rPr>
          <w:rFonts w:cs="Arial"/>
          <w:color w:val="auto"/>
          <w:sz w:val="20"/>
          <w:szCs w:val="20"/>
          <w:lang w:val="en-GB"/>
        </w:rPr>
      </w:pPr>
      <w:r w:rsidRPr="00B217DC">
        <w:rPr>
          <w:rFonts w:cs="Arial"/>
          <w:b/>
          <w:color w:val="auto"/>
          <w:sz w:val="20"/>
          <w:szCs w:val="20"/>
          <w:lang w:val="en-GB"/>
        </w:rPr>
        <w:t>CGE’S BUDGET FOR 20</w:t>
      </w:r>
      <w:r w:rsidR="00A84B6E" w:rsidRPr="00B217DC">
        <w:rPr>
          <w:rFonts w:cs="Arial"/>
          <w:b/>
          <w:color w:val="auto"/>
          <w:sz w:val="20"/>
          <w:szCs w:val="20"/>
          <w:lang w:val="en-GB"/>
        </w:rPr>
        <w:t>2</w:t>
      </w:r>
      <w:r w:rsidR="0067737B" w:rsidRPr="00B217DC">
        <w:rPr>
          <w:rFonts w:cs="Arial"/>
          <w:b/>
          <w:color w:val="auto"/>
          <w:sz w:val="20"/>
          <w:szCs w:val="20"/>
          <w:lang w:val="en-GB"/>
        </w:rPr>
        <w:t>1/22</w:t>
      </w:r>
      <w:r w:rsidR="00E7149F" w:rsidRPr="00B217DC">
        <w:rPr>
          <w:rStyle w:val="FootnoteReference"/>
          <w:rFonts w:cs="Arial"/>
          <w:b/>
          <w:color w:val="auto"/>
          <w:sz w:val="20"/>
          <w:szCs w:val="20"/>
          <w:lang w:val="en-GB"/>
        </w:rPr>
        <w:footnoteReference w:id="11"/>
      </w:r>
    </w:p>
    <w:p w:rsidR="00A978DB" w:rsidRPr="00B217DC" w:rsidRDefault="00A978DB" w:rsidP="00B217DC">
      <w:pPr>
        <w:rPr>
          <w:rFonts w:eastAsiaTheme="minorHAnsi" w:cs="Arial"/>
          <w:color w:val="auto"/>
          <w:spacing w:val="0"/>
          <w:sz w:val="20"/>
          <w:szCs w:val="20"/>
          <w:lang w:eastAsia="en-US"/>
        </w:rPr>
      </w:pPr>
    </w:p>
    <w:p w:rsidR="00FC76B6" w:rsidRPr="00B217DC" w:rsidRDefault="0067737B"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For the 2021/22 financial year, the CG</w:t>
      </w:r>
      <w:r w:rsidR="00E37C6B" w:rsidRPr="00B217DC">
        <w:rPr>
          <w:rFonts w:eastAsiaTheme="minorHAnsi" w:cs="Arial"/>
          <w:color w:val="auto"/>
          <w:spacing w:val="0"/>
          <w:sz w:val="20"/>
          <w:szCs w:val="20"/>
          <w:lang w:eastAsia="en-US"/>
        </w:rPr>
        <w:t>E receives an allocation of R91,</w:t>
      </w:r>
      <w:r w:rsidRPr="00B217DC">
        <w:rPr>
          <w:rFonts w:eastAsiaTheme="minorHAnsi" w:cs="Arial"/>
          <w:color w:val="auto"/>
          <w:spacing w:val="0"/>
          <w:sz w:val="20"/>
          <w:szCs w:val="20"/>
          <w:lang w:eastAsia="en-US"/>
        </w:rPr>
        <w:t>3</w:t>
      </w:r>
      <w:r w:rsidR="00E7149F" w:rsidRPr="00B217DC">
        <w:rPr>
          <w:rFonts w:eastAsiaTheme="minorHAnsi" w:cs="Arial"/>
          <w:color w:val="auto"/>
          <w:spacing w:val="0"/>
          <w:sz w:val="20"/>
          <w:szCs w:val="20"/>
          <w:lang w:eastAsia="en-US"/>
        </w:rPr>
        <w:t>76</w:t>
      </w:r>
      <w:r w:rsidRPr="00B217DC">
        <w:rPr>
          <w:rFonts w:eastAsiaTheme="minorHAnsi" w:cs="Arial"/>
          <w:color w:val="auto"/>
          <w:spacing w:val="0"/>
          <w:sz w:val="20"/>
          <w:szCs w:val="20"/>
          <w:lang w:eastAsia="en-US"/>
        </w:rPr>
        <w:t xml:space="preserve"> million through the transfer payment via the Department of Women, Youth and Persons with Disabilities. When examining the allocation between 2020/21 (R78,651 million) and 2021/22, the Nominal Rand Change is approximately</w:t>
      </w:r>
      <w:r w:rsidR="00E7149F" w:rsidRPr="00B217DC">
        <w:rPr>
          <w:rFonts w:eastAsiaTheme="minorHAnsi" w:cs="Arial"/>
          <w:color w:val="auto"/>
          <w:spacing w:val="0"/>
          <w:sz w:val="20"/>
          <w:szCs w:val="20"/>
          <w:lang w:eastAsia="en-US"/>
        </w:rPr>
        <w:t xml:space="preserve"> R12,7 million. However, when taking into account inflation, the Real Rand Change in allocation is R9,076 million.</w:t>
      </w:r>
      <w:r w:rsidR="00E7149F" w:rsidRPr="00B217DC">
        <w:rPr>
          <w:rStyle w:val="FootnoteReference"/>
          <w:rFonts w:eastAsiaTheme="minorHAnsi" w:cs="Arial"/>
          <w:color w:val="auto"/>
          <w:spacing w:val="0"/>
          <w:sz w:val="20"/>
          <w:szCs w:val="20"/>
          <w:lang w:eastAsia="en-US"/>
        </w:rPr>
        <w:footnoteReference w:id="12"/>
      </w:r>
      <w:r w:rsidR="00E7149F" w:rsidRPr="00B217DC">
        <w:rPr>
          <w:rFonts w:eastAsiaTheme="minorHAnsi" w:cs="Arial"/>
          <w:color w:val="auto"/>
          <w:spacing w:val="0"/>
          <w:sz w:val="20"/>
          <w:szCs w:val="20"/>
          <w:lang w:eastAsia="en-US"/>
        </w:rPr>
        <w:t xml:space="preserve"> </w:t>
      </w:r>
      <w:r w:rsidR="00FC76B6" w:rsidRPr="00B217DC">
        <w:rPr>
          <w:rFonts w:eastAsiaTheme="minorHAnsi" w:cs="Arial"/>
          <w:color w:val="auto"/>
          <w:spacing w:val="0"/>
          <w:sz w:val="20"/>
          <w:szCs w:val="20"/>
          <w:lang w:eastAsia="en-US"/>
        </w:rPr>
        <w:t>Notwithstanding that, the CGE</w:t>
      </w:r>
      <w:r w:rsidR="00E7149F" w:rsidRPr="00B217DC">
        <w:rPr>
          <w:rFonts w:eastAsiaTheme="minorHAnsi" w:cs="Arial"/>
          <w:color w:val="auto"/>
          <w:spacing w:val="0"/>
          <w:sz w:val="20"/>
          <w:szCs w:val="20"/>
          <w:lang w:eastAsia="en-US"/>
        </w:rPr>
        <w:t>’s total revenue income amounted to R92,088 547 on account of R712 547</w:t>
      </w:r>
      <w:r w:rsidR="00FC76B6" w:rsidRPr="00B217DC">
        <w:rPr>
          <w:rFonts w:eastAsiaTheme="minorHAnsi" w:cs="Arial"/>
          <w:color w:val="auto"/>
          <w:spacing w:val="0"/>
          <w:sz w:val="20"/>
          <w:szCs w:val="20"/>
          <w:lang w:eastAsia="en-US"/>
        </w:rPr>
        <w:t xml:space="preserve"> accrued </w:t>
      </w:r>
      <w:r w:rsidR="00E7149F" w:rsidRPr="00B217DC">
        <w:rPr>
          <w:rFonts w:eastAsiaTheme="minorHAnsi" w:cs="Arial"/>
          <w:color w:val="auto"/>
          <w:spacing w:val="0"/>
          <w:sz w:val="20"/>
          <w:szCs w:val="20"/>
          <w:lang w:eastAsia="en-US"/>
        </w:rPr>
        <w:t>from interest and sundry income</w:t>
      </w:r>
      <w:r w:rsidR="0006717C" w:rsidRPr="00B217DC">
        <w:rPr>
          <w:rFonts w:eastAsiaTheme="minorHAnsi" w:cs="Arial"/>
          <w:bCs/>
          <w:color w:val="auto"/>
          <w:spacing w:val="0"/>
          <w:sz w:val="20"/>
          <w:szCs w:val="20"/>
          <w:lang w:eastAsia="en-US"/>
        </w:rPr>
        <w:t>.</w:t>
      </w:r>
    </w:p>
    <w:p w:rsidR="00FC76B6" w:rsidRPr="00B217DC" w:rsidRDefault="00FC76B6" w:rsidP="00B217DC">
      <w:pPr>
        <w:rPr>
          <w:rFonts w:eastAsiaTheme="minorHAnsi" w:cs="Arial"/>
          <w:color w:val="auto"/>
          <w:spacing w:val="0"/>
          <w:sz w:val="20"/>
          <w:szCs w:val="20"/>
          <w:lang w:eastAsia="en-US"/>
        </w:rPr>
      </w:pPr>
    </w:p>
    <w:p w:rsidR="00E7149F" w:rsidRPr="00B217DC" w:rsidRDefault="00E7149F"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Approximately 69</w:t>
      </w:r>
      <w:r w:rsidR="004765A2" w:rsidRPr="00B217DC">
        <w:rPr>
          <w:rFonts w:eastAsiaTheme="minorHAnsi" w:cs="Arial"/>
          <w:color w:val="auto"/>
          <w:spacing w:val="0"/>
          <w:sz w:val="20"/>
          <w:szCs w:val="20"/>
          <w:lang w:eastAsia="en-US"/>
        </w:rPr>
        <w:t xml:space="preserve">% </w:t>
      </w:r>
      <w:r w:rsidRPr="00B217DC">
        <w:rPr>
          <w:rFonts w:eastAsiaTheme="minorHAnsi" w:cs="Arial"/>
          <w:color w:val="auto"/>
          <w:spacing w:val="0"/>
          <w:sz w:val="20"/>
          <w:szCs w:val="20"/>
          <w:lang w:eastAsia="en-US"/>
        </w:rPr>
        <w:t xml:space="preserve">of the budget </w:t>
      </w:r>
      <w:r w:rsidR="004765A2" w:rsidRPr="00B217DC">
        <w:rPr>
          <w:rFonts w:eastAsiaTheme="minorHAnsi" w:cs="Arial"/>
          <w:color w:val="auto"/>
          <w:spacing w:val="0"/>
          <w:sz w:val="20"/>
          <w:szCs w:val="20"/>
          <w:lang w:eastAsia="en-US"/>
        </w:rPr>
        <w:t>is allocated for on</w:t>
      </w:r>
      <w:r w:rsidRPr="00B217DC">
        <w:rPr>
          <w:rFonts w:eastAsiaTheme="minorHAnsi" w:cs="Arial"/>
          <w:color w:val="auto"/>
          <w:spacing w:val="0"/>
          <w:sz w:val="20"/>
          <w:szCs w:val="20"/>
          <w:lang w:eastAsia="en-US"/>
        </w:rPr>
        <w:t xml:space="preserve"> Compensation of Employees, while 31% was allocated towards </w:t>
      </w:r>
      <w:r w:rsidR="004765A2" w:rsidRPr="00B217DC">
        <w:rPr>
          <w:rFonts w:eastAsiaTheme="minorHAnsi" w:cs="Arial"/>
          <w:color w:val="auto"/>
          <w:spacing w:val="0"/>
          <w:sz w:val="20"/>
          <w:szCs w:val="20"/>
          <w:lang w:eastAsia="en-US"/>
        </w:rPr>
        <w:t>G</w:t>
      </w:r>
      <w:r w:rsidRPr="00B217DC">
        <w:rPr>
          <w:rFonts w:eastAsiaTheme="minorHAnsi" w:cs="Arial"/>
          <w:color w:val="auto"/>
          <w:spacing w:val="0"/>
          <w:sz w:val="20"/>
          <w:szCs w:val="20"/>
          <w:lang w:eastAsia="en-US"/>
        </w:rPr>
        <w:t xml:space="preserve">oods and </w:t>
      </w:r>
      <w:r w:rsidR="004765A2" w:rsidRPr="00B217DC">
        <w:rPr>
          <w:rFonts w:eastAsiaTheme="minorHAnsi" w:cs="Arial"/>
          <w:color w:val="auto"/>
          <w:spacing w:val="0"/>
          <w:sz w:val="20"/>
          <w:szCs w:val="20"/>
          <w:lang w:eastAsia="en-US"/>
        </w:rPr>
        <w:t>S</w:t>
      </w:r>
      <w:r w:rsidRPr="00B217DC">
        <w:rPr>
          <w:rFonts w:eastAsiaTheme="minorHAnsi" w:cs="Arial"/>
          <w:color w:val="auto"/>
          <w:spacing w:val="0"/>
          <w:sz w:val="20"/>
          <w:szCs w:val="20"/>
          <w:lang w:eastAsia="en-US"/>
        </w:rPr>
        <w:t>ervices. The Commission has repeatedly reiterated that it is a “human capital driven” institution, with its employees carrying out the bulk of its services, and as such the bulk of its funding is allocated for compensation of employees. SO 4, which is the outcome focusing on the operations and systems of the Commission, receives the largest proportion of the budget.</w:t>
      </w:r>
    </w:p>
    <w:p w:rsidR="00E7149F" w:rsidRPr="00B217DC" w:rsidRDefault="00E7149F" w:rsidP="00B217DC">
      <w:pPr>
        <w:rPr>
          <w:rFonts w:eastAsiaTheme="minorHAnsi" w:cs="Arial"/>
          <w:color w:val="auto"/>
          <w:spacing w:val="0"/>
          <w:sz w:val="20"/>
          <w:szCs w:val="20"/>
          <w:lang w:eastAsia="en-US"/>
        </w:rPr>
      </w:pPr>
    </w:p>
    <w:p w:rsidR="00EC7C92" w:rsidRPr="00B217DC" w:rsidRDefault="00503B7B"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For the year under review, the CGE spent </w:t>
      </w:r>
      <w:r w:rsidR="00EC7C92" w:rsidRPr="00B217DC">
        <w:rPr>
          <w:rFonts w:eastAsiaTheme="minorHAnsi" w:cs="Arial"/>
          <w:color w:val="auto"/>
          <w:spacing w:val="0"/>
          <w:sz w:val="20"/>
          <w:szCs w:val="20"/>
          <w:lang w:eastAsia="en-US"/>
        </w:rPr>
        <w:t>R77,835 659 (85.5%) of its budget and thus incur</w:t>
      </w:r>
      <w:r w:rsidR="00E37C6B" w:rsidRPr="00B217DC">
        <w:rPr>
          <w:rFonts w:eastAsiaTheme="minorHAnsi" w:cs="Arial"/>
          <w:color w:val="auto"/>
          <w:spacing w:val="0"/>
          <w:sz w:val="20"/>
          <w:szCs w:val="20"/>
          <w:lang w:eastAsia="en-US"/>
        </w:rPr>
        <w:t>red an under-expenditure of R14,</w:t>
      </w:r>
      <w:r w:rsidR="00EC7C92" w:rsidRPr="00B217DC">
        <w:rPr>
          <w:rFonts w:eastAsiaTheme="minorHAnsi" w:cs="Arial"/>
          <w:color w:val="auto"/>
          <w:spacing w:val="0"/>
          <w:sz w:val="20"/>
          <w:szCs w:val="20"/>
          <w:lang w:eastAsia="en-US"/>
        </w:rPr>
        <w:t xml:space="preserve">2 million (15.4% of the annual budget). Compared to the previous FY in which the CGE spent </w:t>
      </w:r>
      <w:r w:rsidR="007C38F5" w:rsidRPr="00B217DC">
        <w:rPr>
          <w:rFonts w:eastAsiaTheme="minorHAnsi" w:cs="Arial"/>
          <w:color w:val="auto"/>
          <w:spacing w:val="0"/>
          <w:sz w:val="20"/>
          <w:szCs w:val="20"/>
          <w:lang w:eastAsia="en-US"/>
        </w:rPr>
        <w:t>95</w:t>
      </w:r>
      <w:r w:rsidRPr="00B217DC">
        <w:rPr>
          <w:rFonts w:eastAsiaTheme="minorHAnsi" w:cs="Arial"/>
          <w:color w:val="auto"/>
          <w:spacing w:val="0"/>
          <w:sz w:val="20"/>
          <w:szCs w:val="20"/>
          <w:lang w:eastAsia="en-US"/>
        </w:rPr>
        <w:t>%</w:t>
      </w:r>
      <w:r w:rsidR="007C38F5" w:rsidRPr="00B217DC">
        <w:rPr>
          <w:rFonts w:eastAsiaTheme="minorHAnsi" w:cs="Arial"/>
          <w:color w:val="auto"/>
          <w:spacing w:val="0"/>
          <w:sz w:val="20"/>
          <w:szCs w:val="20"/>
          <w:lang w:eastAsia="en-US"/>
        </w:rPr>
        <w:t xml:space="preserve"> (R76,085 756)</w:t>
      </w:r>
      <w:r w:rsidRPr="00B217DC">
        <w:rPr>
          <w:rFonts w:eastAsiaTheme="minorHAnsi" w:cs="Arial"/>
          <w:color w:val="auto"/>
          <w:spacing w:val="0"/>
          <w:sz w:val="20"/>
          <w:szCs w:val="20"/>
          <w:lang w:eastAsia="en-US"/>
        </w:rPr>
        <w:t xml:space="preserve"> of its budget</w:t>
      </w:r>
      <w:r w:rsidR="007C38F5" w:rsidRPr="00B217DC">
        <w:rPr>
          <w:rFonts w:eastAsiaTheme="minorHAnsi" w:cs="Arial"/>
          <w:color w:val="auto"/>
          <w:spacing w:val="0"/>
          <w:sz w:val="20"/>
          <w:szCs w:val="20"/>
          <w:lang w:eastAsia="en-US"/>
        </w:rPr>
        <w:t xml:space="preserve"> </w:t>
      </w:r>
      <w:r w:rsidR="00EC7C92" w:rsidRPr="00B217DC">
        <w:rPr>
          <w:rFonts w:eastAsiaTheme="minorHAnsi" w:cs="Arial"/>
          <w:color w:val="auto"/>
          <w:spacing w:val="0"/>
          <w:sz w:val="20"/>
          <w:szCs w:val="20"/>
          <w:lang w:eastAsia="en-US"/>
        </w:rPr>
        <w:t xml:space="preserve">incurring </w:t>
      </w:r>
      <w:r w:rsidR="007C38F5" w:rsidRPr="00B217DC">
        <w:rPr>
          <w:rFonts w:eastAsiaTheme="minorHAnsi" w:cs="Arial"/>
          <w:color w:val="auto"/>
          <w:spacing w:val="0"/>
          <w:sz w:val="20"/>
          <w:szCs w:val="20"/>
          <w:lang w:eastAsia="en-US"/>
        </w:rPr>
        <w:t>an under-expenditure/surplus of R3,925 153 million</w:t>
      </w:r>
      <w:r w:rsidRPr="00B217DC">
        <w:rPr>
          <w:rFonts w:eastAsiaTheme="minorHAnsi" w:cs="Arial"/>
          <w:color w:val="auto"/>
          <w:spacing w:val="0"/>
          <w:sz w:val="20"/>
          <w:szCs w:val="20"/>
          <w:lang w:eastAsia="en-US"/>
        </w:rPr>
        <w:t xml:space="preserve">. </w:t>
      </w:r>
      <w:r w:rsidR="00EC7C92" w:rsidRPr="00B217DC">
        <w:rPr>
          <w:rFonts w:eastAsiaTheme="minorHAnsi" w:cs="Arial"/>
          <w:color w:val="auto"/>
          <w:spacing w:val="0"/>
          <w:sz w:val="20"/>
          <w:szCs w:val="20"/>
          <w:lang w:eastAsia="en-US"/>
        </w:rPr>
        <w:t>The under-expenditure has not only continued but has regressed further. The reasons note</w:t>
      </w:r>
      <w:r w:rsidR="004765A2" w:rsidRPr="00B217DC">
        <w:rPr>
          <w:rFonts w:eastAsiaTheme="minorHAnsi" w:cs="Arial"/>
          <w:color w:val="auto"/>
          <w:spacing w:val="0"/>
          <w:sz w:val="20"/>
          <w:szCs w:val="20"/>
          <w:lang w:eastAsia="en-US"/>
        </w:rPr>
        <w:t>d for under-expenditure were as follows:</w:t>
      </w:r>
    </w:p>
    <w:p w:rsidR="004765A2" w:rsidRPr="00B217DC" w:rsidRDefault="004765A2" w:rsidP="00B217DC">
      <w:pPr>
        <w:rPr>
          <w:rFonts w:eastAsiaTheme="minorHAnsi" w:cs="Arial"/>
          <w:color w:val="auto"/>
          <w:spacing w:val="0"/>
          <w:sz w:val="20"/>
          <w:szCs w:val="20"/>
          <w:lang w:eastAsia="en-US"/>
        </w:rPr>
      </w:pPr>
    </w:p>
    <w:p w:rsidR="004765A2" w:rsidRPr="00B217DC" w:rsidRDefault="004765A2" w:rsidP="00B217DC">
      <w:pPr>
        <w:pStyle w:val="ListParagraph"/>
        <w:numPr>
          <w:ilvl w:val="0"/>
          <w:numId w:val="142"/>
        </w:numPr>
        <w:tabs>
          <w:tab w:val="left" w:pos="1170"/>
        </w:tabs>
        <w:ind w:left="567"/>
        <w:rPr>
          <w:rFonts w:eastAsiaTheme="minorHAnsi" w:cs="Arial"/>
          <w:color w:val="auto"/>
          <w:spacing w:val="0"/>
          <w:sz w:val="20"/>
          <w:szCs w:val="20"/>
          <w:lang w:eastAsia="en-US"/>
        </w:rPr>
      </w:pPr>
      <w:r w:rsidRPr="00B217DC">
        <w:rPr>
          <w:rFonts w:eastAsiaTheme="minorHAnsi" w:cs="Arial"/>
          <w:bCs/>
          <w:color w:val="auto"/>
          <w:spacing w:val="0"/>
          <w:sz w:val="20"/>
          <w:szCs w:val="20"/>
          <w:lang w:eastAsia="en-US"/>
        </w:rPr>
        <w:t xml:space="preserve">Vacant posts resulted in under-expenditure of R9 174 496 million. </w:t>
      </w: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i/>
          <w:iCs/>
          <w:color w:val="auto"/>
          <w:spacing w:val="0"/>
          <w:sz w:val="20"/>
          <w:szCs w:val="20"/>
          <w:lang w:eastAsia="en-US"/>
        </w:rPr>
        <w:t xml:space="preserve">Vacant posts include amongst others: </w:t>
      </w: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- 2 Commissioner positions </w:t>
      </w: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 Head of Legal Department </w:t>
      </w: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 Head of Parliamentary Liaison Unit </w:t>
      </w: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 Head of Public Education and Information </w:t>
      </w: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- 3 x middle management positions </w:t>
      </w:r>
    </w:p>
    <w:p w:rsidR="004765A2" w:rsidRPr="00B217DC" w:rsidRDefault="004765A2" w:rsidP="00B217DC">
      <w:pPr>
        <w:rPr>
          <w:rFonts w:eastAsiaTheme="minorHAnsi" w:cs="Arial"/>
          <w:color w:val="auto"/>
          <w:spacing w:val="0"/>
          <w:sz w:val="20"/>
          <w:szCs w:val="20"/>
          <w:lang w:eastAsia="en-US"/>
        </w:rPr>
      </w:pPr>
    </w:p>
    <w:p w:rsidR="004765A2" w:rsidRPr="00B217DC" w:rsidRDefault="004765A2" w:rsidP="00B217DC">
      <w:pPr>
        <w:pStyle w:val="ListParagraph"/>
        <w:numPr>
          <w:ilvl w:val="0"/>
          <w:numId w:val="142"/>
        </w:numPr>
        <w:ind w:left="567"/>
        <w:rPr>
          <w:rFonts w:eastAsiaTheme="minorHAnsi" w:cs="Arial"/>
          <w:color w:val="auto"/>
          <w:spacing w:val="0"/>
          <w:sz w:val="20"/>
          <w:szCs w:val="20"/>
          <w:lang w:eastAsia="en-US"/>
        </w:rPr>
      </w:pPr>
      <w:r w:rsidRPr="00B217DC">
        <w:rPr>
          <w:rFonts w:eastAsiaTheme="minorHAnsi" w:cs="Arial"/>
          <w:bCs/>
          <w:color w:val="auto"/>
          <w:spacing w:val="0"/>
          <w:sz w:val="20"/>
          <w:szCs w:val="20"/>
          <w:lang w:eastAsia="en-US"/>
        </w:rPr>
        <w:t xml:space="preserve">Under-spending occurred in goods and services amounting to R5 084 812 million. </w:t>
      </w:r>
    </w:p>
    <w:p w:rsidR="004765A2" w:rsidRPr="00B217DC" w:rsidRDefault="004765A2" w:rsidP="00B217DC">
      <w:pPr>
        <w:rPr>
          <w:rFonts w:eastAsiaTheme="minorHAnsi" w:cs="Arial"/>
          <w:color w:val="auto"/>
          <w:spacing w:val="0"/>
          <w:sz w:val="20"/>
          <w:szCs w:val="20"/>
          <w:lang w:eastAsia="en-US"/>
        </w:rPr>
      </w:pPr>
    </w:p>
    <w:p w:rsidR="004765A2" w:rsidRPr="00B217DC" w:rsidRDefault="004765A2" w:rsidP="00B217DC">
      <w:pPr>
        <w:rPr>
          <w:rFonts w:eastAsiaTheme="minorHAnsi" w:cs="Arial"/>
          <w:color w:val="auto"/>
          <w:spacing w:val="0"/>
          <w:sz w:val="20"/>
          <w:szCs w:val="20"/>
          <w:lang w:eastAsia="en-US"/>
        </w:rPr>
      </w:pPr>
      <w:r w:rsidRPr="00B217DC">
        <w:rPr>
          <w:rFonts w:eastAsiaTheme="minorHAnsi" w:cs="Arial"/>
          <w:i/>
          <w:iCs/>
          <w:color w:val="auto"/>
          <w:spacing w:val="0"/>
          <w:sz w:val="20"/>
          <w:szCs w:val="20"/>
          <w:lang w:eastAsia="en-US"/>
        </w:rPr>
        <w:t xml:space="preserve">Primarily as a result of: </w:t>
      </w:r>
    </w:p>
    <w:p w:rsidR="004765A2" w:rsidRPr="00B217DC" w:rsidRDefault="004765A2" w:rsidP="00B217DC">
      <w:pPr>
        <w:pStyle w:val="ListParagraph"/>
        <w:numPr>
          <w:ilvl w:val="1"/>
          <w:numId w:val="143"/>
        </w:numPr>
        <w:ind w:left="567"/>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Decreased spending on travel and accommodation and events management due to COVID-19 lockdown regulations during the first half of the financial year. </w:t>
      </w:r>
    </w:p>
    <w:p w:rsidR="004765A2" w:rsidRPr="00B217DC" w:rsidRDefault="004765A2" w:rsidP="00B217DC">
      <w:pPr>
        <w:pStyle w:val="ListParagraph"/>
        <w:numPr>
          <w:ilvl w:val="1"/>
          <w:numId w:val="143"/>
        </w:numPr>
        <w:ind w:left="567"/>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Under-expenditure on staff development and training (R1 million had been budgeted for training and R1 million for bursaries – it is not clear how much of this collective R2 million was underspent). This is of particular concern as the training and development funds were lost to COVID-19 reprioritisation funds during 2020/21. </w:t>
      </w:r>
    </w:p>
    <w:p w:rsidR="004765A2" w:rsidRPr="00B217DC" w:rsidRDefault="004765A2" w:rsidP="00B217DC">
      <w:pPr>
        <w:rPr>
          <w:rFonts w:eastAsiaTheme="minorHAnsi" w:cs="Arial"/>
          <w:color w:val="auto"/>
          <w:spacing w:val="0"/>
          <w:sz w:val="20"/>
          <w:szCs w:val="20"/>
          <w:lang w:eastAsia="en-US"/>
        </w:rPr>
      </w:pPr>
    </w:p>
    <w:p w:rsidR="00EC7C92" w:rsidRPr="00B217DC" w:rsidRDefault="00EC7C92"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Approximately 69.7 % </w:t>
      </w:r>
      <w:r w:rsidR="00E37C6B" w:rsidRPr="00B217DC">
        <w:rPr>
          <w:rFonts w:eastAsiaTheme="minorHAnsi" w:cs="Arial"/>
          <w:color w:val="auto"/>
          <w:spacing w:val="0"/>
          <w:sz w:val="20"/>
          <w:szCs w:val="20"/>
          <w:lang w:eastAsia="en-US"/>
        </w:rPr>
        <w:t>or R 54,</w:t>
      </w:r>
      <w:r w:rsidRPr="00B217DC">
        <w:rPr>
          <w:rFonts w:eastAsiaTheme="minorHAnsi" w:cs="Arial"/>
          <w:color w:val="auto"/>
          <w:spacing w:val="0"/>
          <w:sz w:val="20"/>
          <w:szCs w:val="20"/>
          <w:lang w:eastAsia="en-US"/>
        </w:rPr>
        <w:t xml:space="preserve">2 million was spent on CoE, while 28.3% (R22,097 088m) was spent on Goods and Services. </w:t>
      </w:r>
    </w:p>
    <w:p w:rsidR="00EC7C92" w:rsidRPr="00B217DC" w:rsidRDefault="00EC7C92" w:rsidP="00B217DC">
      <w:pPr>
        <w:rPr>
          <w:rFonts w:eastAsiaTheme="minorHAnsi" w:cs="Arial"/>
          <w:color w:val="auto"/>
          <w:spacing w:val="0"/>
          <w:sz w:val="20"/>
          <w:szCs w:val="20"/>
          <w:lang w:eastAsia="en-US"/>
        </w:rPr>
      </w:pPr>
    </w:p>
    <w:p w:rsidR="00766FEC" w:rsidRPr="00B217DC" w:rsidRDefault="0084779B" w:rsidP="00B217DC">
      <w:pPr>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t xml:space="preserve">The CGE had </w:t>
      </w:r>
      <w:r w:rsidR="00B72131" w:rsidRPr="00B217DC">
        <w:rPr>
          <w:rFonts w:eastAsiaTheme="minorHAnsi" w:cs="Arial"/>
          <w:color w:val="auto"/>
          <w:spacing w:val="0"/>
          <w:sz w:val="20"/>
          <w:szCs w:val="20"/>
          <w:lang w:eastAsia="en-US"/>
        </w:rPr>
        <w:t>101</w:t>
      </w:r>
      <w:r w:rsidRPr="00B217DC">
        <w:rPr>
          <w:rFonts w:eastAsiaTheme="minorHAnsi" w:cs="Arial"/>
          <w:color w:val="auto"/>
          <w:spacing w:val="0"/>
          <w:sz w:val="20"/>
          <w:szCs w:val="20"/>
          <w:lang w:eastAsia="en-US"/>
        </w:rPr>
        <w:t xml:space="preserve"> funded positions for the year under review</w:t>
      </w:r>
      <w:r w:rsidR="00B72131" w:rsidRPr="00B217DC">
        <w:rPr>
          <w:rFonts w:eastAsiaTheme="minorHAnsi" w:cs="Arial"/>
          <w:color w:val="auto"/>
          <w:spacing w:val="0"/>
          <w:sz w:val="20"/>
          <w:szCs w:val="20"/>
          <w:lang w:eastAsia="en-US"/>
        </w:rPr>
        <w:t xml:space="preserve"> and a total of 87 employees as at the end of March 2021</w:t>
      </w:r>
      <w:r w:rsidR="00766FEC" w:rsidRPr="00B217DC">
        <w:rPr>
          <w:rFonts w:eastAsiaTheme="minorHAnsi" w:cs="Arial"/>
          <w:color w:val="auto"/>
          <w:spacing w:val="0"/>
          <w:sz w:val="20"/>
          <w:szCs w:val="20"/>
          <w:lang w:eastAsia="en-US"/>
        </w:rPr>
        <w:t xml:space="preserve">. </w:t>
      </w:r>
    </w:p>
    <w:p w:rsidR="00766FEC" w:rsidRPr="00B217DC" w:rsidRDefault="00766FEC" w:rsidP="00B217DC">
      <w:pPr>
        <w:rPr>
          <w:rFonts w:eastAsiaTheme="minorHAnsi" w:cs="Arial"/>
          <w:color w:val="auto"/>
          <w:spacing w:val="0"/>
          <w:sz w:val="20"/>
          <w:szCs w:val="20"/>
          <w:lang w:eastAsia="en-US"/>
        </w:rPr>
      </w:pPr>
    </w:p>
    <w:p w:rsidR="00766FEC" w:rsidRPr="00B217DC" w:rsidRDefault="00B72131"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The </w:t>
      </w:r>
      <w:r w:rsidR="002D4A71" w:rsidRPr="00B217DC">
        <w:rPr>
          <w:rFonts w:eastAsiaTheme="minorHAnsi" w:cs="Arial"/>
          <w:bCs/>
          <w:color w:val="auto"/>
          <w:spacing w:val="0"/>
          <w:sz w:val="20"/>
          <w:szCs w:val="20"/>
          <w:lang w:eastAsia="en-US"/>
        </w:rPr>
        <w:t>Key C</w:t>
      </w:r>
      <w:r w:rsidRPr="00B217DC">
        <w:rPr>
          <w:rFonts w:eastAsiaTheme="minorHAnsi" w:cs="Arial"/>
          <w:bCs/>
          <w:color w:val="auto"/>
          <w:spacing w:val="0"/>
          <w:sz w:val="20"/>
          <w:szCs w:val="20"/>
          <w:lang w:eastAsia="en-US"/>
        </w:rPr>
        <w:t xml:space="preserve">ost drivers </w:t>
      </w:r>
      <w:r w:rsidR="002D4A71" w:rsidRPr="00B217DC">
        <w:rPr>
          <w:rFonts w:eastAsiaTheme="minorHAnsi" w:cs="Arial"/>
          <w:bCs/>
          <w:color w:val="auto"/>
          <w:spacing w:val="0"/>
          <w:sz w:val="20"/>
          <w:szCs w:val="20"/>
          <w:lang w:eastAsia="en-US"/>
        </w:rPr>
        <w:t>at the end of the FY</w:t>
      </w:r>
      <w:r w:rsidRPr="00B217DC">
        <w:rPr>
          <w:rFonts w:eastAsiaTheme="minorHAnsi" w:cs="Arial"/>
          <w:bCs/>
          <w:color w:val="auto"/>
          <w:spacing w:val="0"/>
          <w:sz w:val="20"/>
          <w:szCs w:val="20"/>
          <w:lang w:eastAsia="en-US"/>
        </w:rPr>
        <w:t xml:space="preserve"> were as follows:</w:t>
      </w:r>
    </w:p>
    <w:p w:rsidR="00B72131" w:rsidRPr="00B217DC" w:rsidRDefault="00B72131" w:rsidP="00B217DC">
      <w:pPr>
        <w:rPr>
          <w:rFonts w:eastAsiaTheme="minorHAnsi" w:cs="Arial"/>
          <w:bCs/>
          <w:color w:val="auto"/>
          <w:spacing w:val="0"/>
          <w:sz w:val="20"/>
          <w:szCs w:val="20"/>
          <w:lang w:eastAsia="en-US"/>
        </w:rPr>
      </w:pPr>
    </w:p>
    <w:p w:rsidR="004765A2" w:rsidRPr="00B217DC" w:rsidRDefault="004765A2" w:rsidP="00B217DC">
      <w:pPr>
        <w:pStyle w:val="ListParagraph"/>
        <w:numPr>
          <w:ilvl w:val="0"/>
          <w:numId w:val="75"/>
        </w:num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ICT (Computer servicing, IT and website) (R3,818 229)</w:t>
      </w:r>
    </w:p>
    <w:p w:rsidR="00B72131" w:rsidRPr="00B217DC" w:rsidRDefault="004765A2" w:rsidP="00B217DC">
      <w:pPr>
        <w:pStyle w:val="ListParagraph"/>
        <w:numPr>
          <w:ilvl w:val="0"/>
          <w:numId w:val="75"/>
        </w:num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External Auditing Fees (AGSA)</w:t>
      </w:r>
      <w:r w:rsidR="00B72131" w:rsidRPr="00B217DC">
        <w:rPr>
          <w:rFonts w:eastAsiaTheme="minorHAnsi" w:cs="Arial"/>
          <w:bCs/>
          <w:color w:val="auto"/>
          <w:spacing w:val="0"/>
          <w:sz w:val="20"/>
          <w:szCs w:val="20"/>
          <w:lang w:eastAsia="en-US"/>
        </w:rPr>
        <w:t xml:space="preserve"> (R2,</w:t>
      </w:r>
      <w:r w:rsidRPr="00B217DC">
        <w:rPr>
          <w:rFonts w:eastAsiaTheme="minorHAnsi" w:cs="Arial"/>
          <w:bCs/>
          <w:color w:val="auto"/>
          <w:spacing w:val="0"/>
          <w:sz w:val="20"/>
          <w:szCs w:val="20"/>
          <w:lang w:eastAsia="en-US"/>
        </w:rPr>
        <w:t>681 561m</w:t>
      </w:r>
      <w:r w:rsidR="00B72131" w:rsidRPr="00B217DC">
        <w:rPr>
          <w:rFonts w:eastAsiaTheme="minorHAnsi" w:cs="Arial"/>
          <w:bCs/>
          <w:color w:val="auto"/>
          <w:spacing w:val="0"/>
          <w:sz w:val="20"/>
          <w:szCs w:val="20"/>
          <w:lang w:eastAsia="en-US"/>
        </w:rPr>
        <w:t>)</w:t>
      </w:r>
    </w:p>
    <w:p w:rsidR="00B72131" w:rsidRPr="00B217DC" w:rsidRDefault="00B72131" w:rsidP="00B217DC">
      <w:pPr>
        <w:pStyle w:val="ListParagraph"/>
        <w:numPr>
          <w:ilvl w:val="0"/>
          <w:numId w:val="75"/>
        </w:num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Office cleaning, Mainte</w:t>
      </w:r>
      <w:r w:rsidR="004765A2" w:rsidRPr="00B217DC">
        <w:rPr>
          <w:rFonts w:eastAsiaTheme="minorHAnsi" w:cs="Arial"/>
          <w:bCs/>
          <w:color w:val="auto"/>
          <w:spacing w:val="0"/>
          <w:sz w:val="20"/>
          <w:szCs w:val="20"/>
          <w:lang w:eastAsia="en-US"/>
        </w:rPr>
        <w:t>nance, Plants and Security (R2,439 672)</w:t>
      </w:r>
    </w:p>
    <w:p w:rsidR="004765A2" w:rsidRPr="00B217DC" w:rsidRDefault="004765A2" w:rsidP="00B217DC">
      <w:pPr>
        <w:pStyle w:val="ListParagraph"/>
        <w:numPr>
          <w:ilvl w:val="0"/>
          <w:numId w:val="75"/>
        </w:num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Travel (R2,430 234)</w:t>
      </w:r>
    </w:p>
    <w:p w:rsidR="00B72131" w:rsidRPr="00B217DC" w:rsidRDefault="004765A2" w:rsidP="00B217DC">
      <w:pPr>
        <w:pStyle w:val="ListParagraph"/>
        <w:numPr>
          <w:ilvl w:val="0"/>
          <w:numId w:val="75"/>
        </w:num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Interest and penalties</w:t>
      </w:r>
      <w:r w:rsidR="00B72131" w:rsidRPr="00B217DC">
        <w:rPr>
          <w:rFonts w:eastAsiaTheme="minorHAnsi" w:cs="Arial"/>
          <w:bCs/>
          <w:color w:val="auto"/>
          <w:spacing w:val="0"/>
          <w:sz w:val="20"/>
          <w:szCs w:val="20"/>
          <w:lang w:eastAsia="en-US"/>
        </w:rPr>
        <w:t xml:space="preserve"> (R1,</w:t>
      </w:r>
      <w:r w:rsidRPr="00B217DC">
        <w:rPr>
          <w:rFonts w:eastAsiaTheme="minorHAnsi" w:cs="Arial"/>
          <w:bCs/>
          <w:color w:val="auto"/>
          <w:spacing w:val="0"/>
          <w:sz w:val="20"/>
          <w:szCs w:val="20"/>
          <w:lang w:eastAsia="en-US"/>
        </w:rPr>
        <w:t>982 473</w:t>
      </w:r>
      <w:r w:rsidR="00B72131" w:rsidRPr="00B217DC">
        <w:rPr>
          <w:rFonts w:eastAsiaTheme="minorHAnsi" w:cs="Arial"/>
          <w:bCs/>
          <w:color w:val="auto"/>
          <w:spacing w:val="0"/>
          <w:sz w:val="20"/>
          <w:szCs w:val="20"/>
          <w:lang w:eastAsia="en-US"/>
        </w:rPr>
        <w:t>)</w:t>
      </w:r>
    </w:p>
    <w:p w:rsidR="00B72131" w:rsidRPr="00B217DC" w:rsidRDefault="00B72131" w:rsidP="00B217DC">
      <w:pPr>
        <w:rPr>
          <w:rFonts w:eastAsiaTheme="minorHAnsi" w:cs="Arial"/>
          <w:bCs/>
          <w:color w:val="auto"/>
          <w:spacing w:val="0"/>
          <w:sz w:val="20"/>
          <w:szCs w:val="20"/>
          <w:lang w:eastAsia="en-US"/>
        </w:rPr>
      </w:pPr>
    </w:p>
    <w:p w:rsidR="00B72131" w:rsidRPr="00B217DC" w:rsidRDefault="00B72131"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Together the aforementio</w:t>
      </w:r>
      <w:r w:rsidR="002D4A71" w:rsidRPr="00B217DC">
        <w:rPr>
          <w:rFonts w:eastAsiaTheme="minorHAnsi" w:cs="Arial"/>
          <w:bCs/>
          <w:color w:val="auto"/>
          <w:spacing w:val="0"/>
          <w:sz w:val="20"/>
          <w:szCs w:val="20"/>
          <w:lang w:eastAsia="en-US"/>
        </w:rPr>
        <w:t>ned cost drivers amounted to R13</w:t>
      </w:r>
      <w:r w:rsidRPr="00B217DC">
        <w:rPr>
          <w:rFonts w:eastAsiaTheme="minorHAnsi" w:cs="Arial"/>
          <w:bCs/>
          <w:color w:val="auto"/>
          <w:spacing w:val="0"/>
          <w:sz w:val="20"/>
          <w:szCs w:val="20"/>
          <w:lang w:eastAsia="en-US"/>
        </w:rPr>
        <w:t>,</w:t>
      </w:r>
      <w:r w:rsidR="002D4A71" w:rsidRPr="00B217DC">
        <w:rPr>
          <w:rFonts w:eastAsiaTheme="minorHAnsi" w:cs="Arial"/>
          <w:bCs/>
          <w:color w:val="auto"/>
          <w:spacing w:val="0"/>
          <w:sz w:val="20"/>
          <w:szCs w:val="20"/>
          <w:lang w:eastAsia="en-US"/>
        </w:rPr>
        <w:t>35</w:t>
      </w:r>
      <w:r w:rsidRPr="00B217DC">
        <w:rPr>
          <w:rFonts w:eastAsiaTheme="minorHAnsi" w:cs="Arial"/>
          <w:bCs/>
          <w:color w:val="auto"/>
          <w:spacing w:val="0"/>
          <w:sz w:val="20"/>
          <w:szCs w:val="20"/>
          <w:lang w:eastAsia="en-US"/>
        </w:rPr>
        <w:t xml:space="preserve">2 </w:t>
      </w:r>
      <w:r w:rsidR="002D4A71" w:rsidRPr="00B217DC">
        <w:rPr>
          <w:rFonts w:eastAsiaTheme="minorHAnsi" w:cs="Arial"/>
          <w:bCs/>
          <w:color w:val="auto"/>
          <w:spacing w:val="0"/>
          <w:sz w:val="20"/>
          <w:szCs w:val="20"/>
          <w:lang w:eastAsia="en-US"/>
        </w:rPr>
        <w:t>169</w:t>
      </w:r>
      <w:r w:rsidRPr="00B217DC">
        <w:rPr>
          <w:rFonts w:eastAsiaTheme="minorHAnsi" w:cs="Arial"/>
          <w:bCs/>
          <w:color w:val="auto"/>
          <w:spacing w:val="0"/>
          <w:sz w:val="20"/>
          <w:szCs w:val="20"/>
          <w:lang w:eastAsia="en-US"/>
        </w:rPr>
        <w:t xml:space="preserve"> million (6</w:t>
      </w:r>
      <w:r w:rsidR="002D4A71" w:rsidRPr="00B217DC">
        <w:rPr>
          <w:rFonts w:eastAsiaTheme="minorHAnsi" w:cs="Arial"/>
          <w:bCs/>
          <w:color w:val="auto"/>
          <w:spacing w:val="0"/>
          <w:sz w:val="20"/>
          <w:szCs w:val="20"/>
          <w:lang w:eastAsia="en-US"/>
        </w:rPr>
        <w:t>0.4</w:t>
      </w:r>
      <w:r w:rsidRPr="00B217DC">
        <w:rPr>
          <w:rFonts w:eastAsiaTheme="minorHAnsi" w:cs="Arial"/>
          <w:bCs/>
          <w:color w:val="auto"/>
          <w:spacing w:val="0"/>
          <w:sz w:val="20"/>
          <w:szCs w:val="20"/>
          <w:lang w:eastAsia="en-US"/>
        </w:rPr>
        <w:t>%) of the total G</w:t>
      </w:r>
      <w:r w:rsidR="002D4A71" w:rsidRPr="00B217DC">
        <w:rPr>
          <w:rFonts w:eastAsiaTheme="minorHAnsi" w:cs="Arial"/>
          <w:bCs/>
          <w:color w:val="auto"/>
          <w:spacing w:val="0"/>
          <w:sz w:val="20"/>
          <w:szCs w:val="20"/>
          <w:lang w:eastAsia="en-US"/>
        </w:rPr>
        <w:t xml:space="preserve">oods and </w:t>
      </w:r>
      <w:r w:rsidRPr="00B217DC">
        <w:rPr>
          <w:rFonts w:eastAsiaTheme="minorHAnsi" w:cs="Arial"/>
          <w:bCs/>
          <w:color w:val="auto"/>
          <w:spacing w:val="0"/>
          <w:sz w:val="20"/>
          <w:szCs w:val="20"/>
          <w:lang w:eastAsia="en-US"/>
        </w:rPr>
        <w:t>S</w:t>
      </w:r>
      <w:r w:rsidR="002D4A71" w:rsidRPr="00B217DC">
        <w:rPr>
          <w:rFonts w:eastAsiaTheme="minorHAnsi" w:cs="Arial"/>
          <w:bCs/>
          <w:color w:val="auto"/>
          <w:spacing w:val="0"/>
          <w:sz w:val="20"/>
          <w:szCs w:val="20"/>
          <w:lang w:eastAsia="en-US"/>
        </w:rPr>
        <w:t>ervices</w:t>
      </w:r>
      <w:r w:rsidR="003B6E15" w:rsidRPr="00B217DC">
        <w:rPr>
          <w:rFonts w:eastAsiaTheme="minorHAnsi" w:cs="Arial"/>
          <w:bCs/>
          <w:color w:val="auto"/>
          <w:spacing w:val="0"/>
          <w:sz w:val="20"/>
          <w:szCs w:val="20"/>
          <w:lang w:eastAsia="en-US"/>
        </w:rPr>
        <w:t xml:space="preserve"> expenditure</w:t>
      </w:r>
      <w:r w:rsidRPr="00B217DC">
        <w:rPr>
          <w:rFonts w:eastAsiaTheme="minorHAnsi" w:cs="Arial"/>
          <w:bCs/>
          <w:color w:val="auto"/>
          <w:spacing w:val="0"/>
          <w:sz w:val="20"/>
          <w:szCs w:val="20"/>
          <w:lang w:eastAsia="en-US"/>
        </w:rPr>
        <w:t>.</w:t>
      </w:r>
    </w:p>
    <w:p w:rsidR="00B72131" w:rsidRPr="00B217DC" w:rsidRDefault="00B72131" w:rsidP="00B217DC">
      <w:pPr>
        <w:rPr>
          <w:rFonts w:eastAsiaTheme="minorHAnsi" w:cs="Arial"/>
          <w:bCs/>
          <w:color w:val="auto"/>
          <w:spacing w:val="0"/>
          <w:sz w:val="20"/>
          <w:szCs w:val="20"/>
          <w:lang w:eastAsia="en-US"/>
        </w:rPr>
      </w:pPr>
    </w:p>
    <w:p w:rsidR="00B72131" w:rsidRPr="00B217DC" w:rsidRDefault="00B72131"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The CGE also reports that R</w:t>
      </w:r>
      <w:r w:rsidR="002D4A71" w:rsidRPr="00B217DC">
        <w:rPr>
          <w:rFonts w:eastAsiaTheme="minorHAnsi" w:cs="Arial"/>
          <w:bCs/>
          <w:color w:val="auto"/>
          <w:spacing w:val="0"/>
          <w:sz w:val="20"/>
          <w:szCs w:val="20"/>
          <w:lang w:eastAsia="en-US"/>
        </w:rPr>
        <w:t>13,843 996</w:t>
      </w:r>
      <w:r w:rsidRPr="00B217DC">
        <w:rPr>
          <w:rFonts w:eastAsiaTheme="minorHAnsi" w:cs="Arial"/>
          <w:bCs/>
          <w:color w:val="auto"/>
          <w:spacing w:val="0"/>
          <w:sz w:val="20"/>
          <w:szCs w:val="20"/>
          <w:lang w:eastAsia="en-US"/>
        </w:rPr>
        <w:t xml:space="preserve"> million </w:t>
      </w:r>
      <w:r w:rsidR="00A4292F" w:rsidRPr="00B217DC">
        <w:rPr>
          <w:rFonts w:eastAsiaTheme="minorHAnsi" w:cs="Arial"/>
          <w:bCs/>
          <w:color w:val="auto"/>
          <w:spacing w:val="0"/>
          <w:sz w:val="20"/>
          <w:szCs w:val="20"/>
          <w:lang w:eastAsia="en-US"/>
        </w:rPr>
        <w:t>(1</w:t>
      </w:r>
      <w:r w:rsidR="002D4A71" w:rsidRPr="00B217DC">
        <w:rPr>
          <w:rFonts w:eastAsiaTheme="minorHAnsi" w:cs="Arial"/>
          <w:bCs/>
          <w:color w:val="auto"/>
          <w:spacing w:val="0"/>
          <w:sz w:val="20"/>
          <w:szCs w:val="20"/>
          <w:lang w:eastAsia="en-US"/>
        </w:rPr>
        <w:t>7.7</w:t>
      </w:r>
      <w:r w:rsidR="00A4292F" w:rsidRPr="00B217DC">
        <w:rPr>
          <w:rFonts w:eastAsiaTheme="minorHAnsi" w:cs="Arial"/>
          <w:bCs/>
          <w:color w:val="auto"/>
          <w:spacing w:val="0"/>
          <w:sz w:val="20"/>
          <w:szCs w:val="20"/>
          <w:lang w:eastAsia="en-US"/>
        </w:rPr>
        <w:t xml:space="preserve">% of total expenditure) </w:t>
      </w:r>
      <w:r w:rsidRPr="00B217DC">
        <w:rPr>
          <w:rFonts w:eastAsiaTheme="minorHAnsi" w:cs="Arial"/>
          <w:bCs/>
          <w:color w:val="auto"/>
          <w:spacing w:val="0"/>
          <w:sz w:val="20"/>
          <w:szCs w:val="20"/>
          <w:lang w:eastAsia="en-US"/>
        </w:rPr>
        <w:t>was spent on the Commissioner’s Programme; R2</w:t>
      </w:r>
      <w:r w:rsidR="002D4A71" w:rsidRPr="00B217DC">
        <w:rPr>
          <w:rFonts w:eastAsiaTheme="minorHAnsi" w:cs="Arial"/>
          <w:bCs/>
          <w:color w:val="auto"/>
          <w:spacing w:val="0"/>
          <w:sz w:val="20"/>
          <w:szCs w:val="20"/>
          <w:lang w:eastAsia="en-US"/>
        </w:rPr>
        <w:t>3</w:t>
      </w:r>
      <w:r w:rsidRPr="00B217DC">
        <w:rPr>
          <w:rFonts w:eastAsiaTheme="minorHAnsi" w:cs="Arial"/>
          <w:bCs/>
          <w:color w:val="auto"/>
          <w:spacing w:val="0"/>
          <w:sz w:val="20"/>
          <w:szCs w:val="20"/>
          <w:lang w:eastAsia="en-US"/>
        </w:rPr>
        <w:t>,</w:t>
      </w:r>
      <w:r w:rsidR="002D4A71" w:rsidRPr="00B217DC">
        <w:rPr>
          <w:rFonts w:eastAsiaTheme="minorHAnsi" w:cs="Arial"/>
          <w:bCs/>
          <w:color w:val="auto"/>
          <w:spacing w:val="0"/>
          <w:sz w:val="20"/>
          <w:szCs w:val="20"/>
          <w:lang w:eastAsia="en-US"/>
        </w:rPr>
        <w:t>218 160 (29.2</w:t>
      </w:r>
      <w:r w:rsidRPr="00B217DC">
        <w:rPr>
          <w:rFonts w:eastAsiaTheme="minorHAnsi" w:cs="Arial"/>
          <w:bCs/>
          <w:color w:val="auto"/>
          <w:spacing w:val="0"/>
          <w:sz w:val="20"/>
          <w:szCs w:val="20"/>
          <w:lang w:eastAsia="en-US"/>
        </w:rPr>
        <w:t xml:space="preserve">% of total expenditure) </w:t>
      </w:r>
      <w:r w:rsidR="003B6E15" w:rsidRPr="00B217DC">
        <w:rPr>
          <w:rFonts w:eastAsiaTheme="minorHAnsi" w:cs="Arial"/>
          <w:bCs/>
          <w:color w:val="auto"/>
          <w:spacing w:val="0"/>
          <w:sz w:val="20"/>
          <w:szCs w:val="20"/>
          <w:lang w:eastAsia="en-US"/>
        </w:rPr>
        <w:t xml:space="preserve">was spent on Corporate Support Services </w:t>
      </w:r>
      <w:r w:rsidRPr="00B217DC">
        <w:rPr>
          <w:rFonts w:eastAsiaTheme="minorHAnsi" w:cs="Arial"/>
          <w:bCs/>
          <w:color w:val="auto"/>
          <w:spacing w:val="0"/>
          <w:sz w:val="20"/>
          <w:szCs w:val="20"/>
          <w:lang w:eastAsia="en-US"/>
        </w:rPr>
        <w:t>and R</w:t>
      </w:r>
      <w:r w:rsidR="002D4A71" w:rsidRPr="00B217DC">
        <w:rPr>
          <w:rFonts w:eastAsiaTheme="minorHAnsi" w:cs="Arial"/>
          <w:bCs/>
          <w:color w:val="auto"/>
          <w:spacing w:val="0"/>
          <w:sz w:val="20"/>
          <w:szCs w:val="20"/>
          <w:lang w:eastAsia="en-US"/>
        </w:rPr>
        <w:t>40,773 494</w:t>
      </w:r>
      <w:r w:rsidRPr="00B217DC">
        <w:rPr>
          <w:rFonts w:eastAsiaTheme="minorHAnsi" w:cs="Arial"/>
          <w:bCs/>
          <w:color w:val="auto"/>
          <w:spacing w:val="0"/>
          <w:sz w:val="20"/>
          <w:szCs w:val="20"/>
          <w:lang w:eastAsia="en-US"/>
        </w:rPr>
        <w:t xml:space="preserve"> million (</w:t>
      </w:r>
      <w:r w:rsidR="00A4292F" w:rsidRPr="00B217DC">
        <w:rPr>
          <w:rFonts w:eastAsiaTheme="minorHAnsi" w:cs="Arial"/>
          <w:bCs/>
          <w:color w:val="auto"/>
          <w:spacing w:val="0"/>
          <w:sz w:val="20"/>
          <w:szCs w:val="20"/>
          <w:lang w:eastAsia="en-US"/>
        </w:rPr>
        <w:t>5</w:t>
      </w:r>
      <w:r w:rsidR="002D4A71" w:rsidRPr="00B217DC">
        <w:rPr>
          <w:rFonts w:eastAsiaTheme="minorHAnsi" w:cs="Arial"/>
          <w:bCs/>
          <w:color w:val="auto"/>
          <w:spacing w:val="0"/>
          <w:sz w:val="20"/>
          <w:szCs w:val="20"/>
          <w:lang w:eastAsia="en-US"/>
        </w:rPr>
        <w:t>2.3</w:t>
      </w:r>
      <w:r w:rsidR="00A4292F" w:rsidRPr="00B217DC">
        <w:rPr>
          <w:rFonts w:eastAsiaTheme="minorHAnsi" w:cs="Arial"/>
          <w:bCs/>
          <w:color w:val="auto"/>
          <w:spacing w:val="0"/>
          <w:sz w:val="20"/>
          <w:szCs w:val="20"/>
          <w:lang w:eastAsia="en-US"/>
        </w:rPr>
        <w:t>3% of total expenditure)</w:t>
      </w:r>
      <w:r w:rsidRPr="00B217DC">
        <w:rPr>
          <w:rFonts w:eastAsiaTheme="minorHAnsi" w:cs="Arial"/>
          <w:bCs/>
          <w:color w:val="auto"/>
          <w:spacing w:val="0"/>
          <w:sz w:val="20"/>
          <w:szCs w:val="20"/>
          <w:lang w:eastAsia="en-US"/>
        </w:rPr>
        <w:t xml:space="preserve"> was spent on Service Delivery.</w:t>
      </w:r>
      <w:r w:rsidR="00A4292F" w:rsidRPr="00B217DC">
        <w:rPr>
          <w:rFonts w:eastAsiaTheme="minorHAnsi" w:cs="Arial"/>
          <w:bCs/>
          <w:color w:val="auto"/>
          <w:spacing w:val="0"/>
          <w:sz w:val="20"/>
          <w:szCs w:val="20"/>
          <w:lang w:eastAsia="en-US"/>
        </w:rPr>
        <w:t xml:space="preserve">  </w:t>
      </w:r>
    </w:p>
    <w:p w:rsidR="00B72131" w:rsidRPr="00B217DC" w:rsidRDefault="00B72131" w:rsidP="00B217DC">
      <w:pPr>
        <w:rPr>
          <w:rFonts w:eastAsiaTheme="minorHAnsi" w:cs="Arial"/>
          <w:bCs/>
          <w:color w:val="auto"/>
          <w:spacing w:val="0"/>
          <w:sz w:val="20"/>
          <w:szCs w:val="20"/>
          <w:lang w:eastAsia="en-US"/>
        </w:rPr>
      </w:pPr>
    </w:p>
    <w:p w:rsidR="00E9131F" w:rsidRPr="00B217DC" w:rsidRDefault="00766FEC"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In terms of irregular expenditure</w:t>
      </w:r>
      <w:r w:rsidR="00A4292F" w:rsidRPr="00B217DC">
        <w:rPr>
          <w:rFonts w:eastAsiaTheme="minorHAnsi" w:cs="Arial"/>
          <w:bCs/>
          <w:color w:val="auto"/>
          <w:spacing w:val="0"/>
          <w:sz w:val="20"/>
          <w:szCs w:val="20"/>
          <w:lang w:eastAsia="en-US"/>
        </w:rPr>
        <w:t xml:space="preserve">, </w:t>
      </w:r>
      <w:r w:rsidR="00E9131F" w:rsidRPr="00B217DC">
        <w:rPr>
          <w:rFonts w:eastAsiaTheme="minorHAnsi" w:cs="Arial"/>
          <w:bCs/>
          <w:color w:val="auto"/>
          <w:spacing w:val="0"/>
          <w:sz w:val="20"/>
          <w:szCs w:val="20"/>
          <w:lang w:eastAsia="en-US"/>
        </w:rPr>
        <w:t>the Commission records R 3,745 346 million for the 2021/22 financial year, however only R 1 656 338 relates to the current financial year. The remaining R 2 089 008 relates to expenditure from the previous financial year. It indicates that investigations are currently underway to determine liability and effect additional measures to strengthen systems of internal control. In 2020/21, R455 036 irregular expenditure was incurred for salaries for Commissioners’ PAs, which was incurred in contravention of recruitment policies. In 2021/22 this amount has increased to R 786 954. Another item of irregular expenditure relates to a bid awarded to TGF Consulting without approval from the delegated officials. This amounted to just under R 500 000. Furthermore, 3 other service providers were also listed with the same reason cited.</w:t>
      </w:r>
    </w:p>
    <w:p w:rsidR="00E9131F" w:rsidRPr="00B217DC" w:rsidRDefault="00E9131F" w:rsidP="00B217DC">
      <w:pPr>
        <w:rPr>
          <w:rFonts w:eastAsiaTheme="minorHAnsi" w:cs="Arial"/>
          <w:bCs/>
          <w:color w:val="auto"/>
          <w:spacing w:val="0"/>
          <w:sz w:val="20"/>
          <w:szCs w:val="20"/>
          <w:lang w:eastAsia="en-US"/>
        </w:rPr>
      </w:pPr>
    </w:p>
    <w:p w:rsidR="00E9131F" w:rsidRPr="00B217DC" w:rsidRDefault="00E9131F"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The Commission records R 5, 694 008 in its financial statements with regard to Fruitless and Wasteful expenditure. However, R 2,753 340 relates to the 2020/21 financial year </w:t>
      </w:r>
      <w:r w:rsidR="00D96529" w:rsidRPr="00B217DC">
        <w:rPr>
          <w:rFonts w:eastAsiaTheme="minorHAnsi" w:cs="Arial"/>
          <w:bCs/>
          <w:color w:val="auto"/>
          <w:spacing w:val="0"/>
          <w:sz w:val="20"/>
          <w:szCs w:val="20"/>
          <w:lang w:eastAsia="en-US"/>
        </w:rPr>
        <w:t>incurred as a result of payment of Commissioner’s (remuneration) without supporting evidence or tim</w:t>
      </w:r>
      <w:r w:rsidRPr="00B217DC">
        <w:rPr>
          <w:rFonts w:eastAsiaTheme="minorHAnsi" w:cs="Arial"/>
          <w:bCs/>
          <w:color w:val="auto"/>
          <w:spacing w:val="0"/>
          <w:sz w:val="20"/>
          <w:szCs w:val="20"/>
          <w:lang w:eastAsia="en-US"/>
        </w:rPr>
        <w:t>e</w:t>
      </w:r>
      <w:r w:rsidR="00D96529" w:rsidRPr="00B217DC">
        <w:rPr>
          <w:rFonts w:eastAsiaTheme="minorHAnsi" w:cs="Arial"/>
          <w:bCs/>
          <w:color w:val="auto"/>
          <w:spacing w:val="0"/>
          <w:sz w:val="20"/>
          <w:szCs w:val="20"/>
          <w:lang w:eastAsia="en-US"/>
        </w:rPr>
        <w:t xml:space="preserve"> sheets</w:t>
      </w:r>
      <w:r w:rsidRPr="00B217DC">
        <w:rPr>
          <w:rFonts w:eastAsiaTheme="minorHAnsi" w:cs="Arial"/>
          <w:bCs/>
          <w:color w:val="auto"/>
          <w:spacing w:val="0"/>
          <w:sz w:val="20"/>
          <w:szCs w:val="20"/>
          <w:lang w:eastAsia="en-US"/>
        </w:rPr>
        <w:t xml:space="preserve">. </w:t>
      </w:r>
    </w:p>
    <w:p w:rsidR="00E9131F" w:rsidRPr="00B217DC" w:rsidRDefault="00E9131F" w:rsidP="00B217DC">
      <w:pPr>
        <w:rPr>
          <w:rFonts w:eastAsiaTheme="minorHAnsi" w:cs="Arial"/>
          <w:bCs/>
          <w:color w:val="auto"/>
          <w:spacing w:val="0"/>
          <w:sz w:val="20"/>
          <w:szCs w:val="20"/>
          <w:lang w:eastAsia="en-US"/>
        </w:rPr>
      </w:pPr>
    </w:p>
    <w:p w:rsidR="00E9131F" w:rsidRPr="00B217DC" w:rsidRDefault="00E9131F"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For the 2021/22 financial year the Commission indicates that it has incurred fruitless and wasteful expenditure to the amount of R 2,692 369. The bulk of this (R2 381 665) is attributed to the payment of part-time Commissioners without requisite time sheets. The CGE reports that this payment was made as a retainer in the absence of time sheets which were not regularly submitted to vouch for the actual time for remuneration. </w:t>
      </w:r>
    </w:p>
    <w:p w:rsidR="00E9131F" w:rsidRPr="00B217DC" w:rsidRDefault="00E9131F" w:rsidP="00B217DC">
      <w:pPr>
        <w:rPr>
          <w:rFonts w:eastAsiaTheme="minorHAnsi" w:cs="Arial"/>
          <w:bCs/>
          <w:color w:val="auto"/>
          <w:spacing w:val="0"/>
          <w:sz w:val="20"/>
          <w:szCs w:val="20"/>
          <w:lang w:eastAsia="en-US"/>
        </w:rPr>
      </w:pPr>
    </w:p>
    <w:p w:rsidR="00D96529" w:rsidRPr="00B217DC" w:rsidRDefault="00D96529"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The remaining R 310 706 in Fruitless and Wasteful expenditure relates to: </w:t>
      </w:r>
    </w:p>
    <w:p w:rsidR="00D96529" w:rsidRPr="00B217DC" w:rsidRDefault="00D96529"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 R 169 147 as a result of a policy change relating to medical subsidies for staff that was not communicated to payroll office. </w:t>
      </w:r>
    </w:p>
    <w:p w:rsidR="00D96529" w:rsidRPr="00B217DC" w:rsidRDefault="00D96529"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 R 52 493 as a result of a policy change relating to housing subsidies for staff that was not communicated to payroll office. </w:t>
      </w:r>
    </w:p>
    <w:p w:rsidR="00D96529" w:rsidRPr="00B217DC" w:rsidRDefault="00D96529"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xml:space="preserve">- R 84 064 relaying to penalty and interest charged by SARS as a result of a late submission of a tax return. </w:t>
      </w:r>
    </w:p>
    <w:p w:rsidR="00D96529" w:rsidRPr="00B217DC" w:rsidRDefault="00D96529" w:rsidP="00B217DC">
      <w:pPr>
        <w:rPr>
          <w:rFonts w:eastAsiaTheme="minorHAnsi" w:cs="Arial"/>
          <w:bCs/>
          <w:color w:val="auto"/>
          <w:spacing w:val="0"/>
          <w:sz w:val="20"/>
          <w:szCs w:val="20"/>
          <w:lang w:eastAsia="en-US"/>
        </w:rPr>
      </w:pPr>
      <w:r w:rsidRPr="00B217DC">
        <w:rPr>
          <w:rFonts w:eastAsiaTheme="minorHAnsi" w:cs="Arial"/>
          <w:bCs/>
          <w:color w:val="auto"/>
          <w:spacing w:val="0"/>
          <w:sz w:val="20"/>
          <w:szCs w:val="20"/>
          <w:lang w:eastAsia="en-US"/>
        </w:rPr>
        <w:t>- R 5000 as a result of a long service cash gratuity paid without full contractual documents in the file to vouch for the period under consideration.</w:t>
      </w:r>
    </w:p>
    <w:p w:rsidR="00F94669" w:rsidRPr="00B217DC" w:rsidRDefault="00F94669" w:rsidP="00B217DC">
      <w:pPr>
        <w:rPr>
          <w:rFonts w:eastAsiaTheme="minorHAnsi" w:cs="Arial"/>
          <w:bCs/>
          <w:color w:val="auto"/>
          <w:spacing w:val="0"/>
          <w:sz w:val="20"/>
          <w:szCs w:val="20"/>
          <w:lang w:eastAsia="en-US"/>
        </w:rPr>
      </w:pPr>
    </w:p>
    <w:p w:rsidR="00D96529" w:rsidRPr="00B217DC" w:rsidRDefault="00D96529" w:rsidP="00B217DC">
      <w:pPr>
        <w:rPr>
          <w:rFonts w:eastAsiaTheme="minorHAnsi" w:cs="Arial"/>
          <w:bCs/>
          <w:color w:val="auto"/>
          <w:spacing w:val="0"/>
          <w:sz w:val="20"/>
          <w:szCs w:val="20"/>
          <w:lang w:eastAsia="en-US"/>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10.</w:t>
      </w:r>
      <w:r w:rsidR="001967BA" w:rsidRPr="00B217DC">
        <w:rPr>
          <w:rFonts w:cs="Arial"/>
          <w:b/>
          <w:color w:val="auto"/>
          <w:sz w:val="20"/>
          <w:szCs w:val="20"/>
          <w:lang w:val="en-GB"/>
        </w:rPr>
        <w:t>6</w:t>
      </w:r>
      <w:r w:rsidRPr="00B217DC">
        <w:rPr>
          <w:rFonts w:cs="Arial"/>
          <w:b/>
          <w:color w:val="auto"/>
          <w:sz w:val="20"/>
          <w:szCs w:val="20"/>
          <w:lang w:val="en-GB"/>
        </w:rPr>
        <w:t xml:space="preserve"> Human Resources</w:t>
      </w:r>
    </w:p>
    <w:p w:rsidR="00170BD2" w:rsidRPr="00B217DC" w:rsidRDefault="00170BD2" w:rsidP="00B217DC">
      <w:pPr>
        <w:rPr>
          <w:rFonts w:cs="Arial"/>
          <w:b/>
          <w:color w:val="auto"/>
          <w:sz w:val="20"/>
          <w:szCs w:val="20"/>
          <w:lang w:val="en-GB"/>
        </w:rPr>
      </w:pPr>
    </w:p>
    <w:p w:rsidR="0057631C" w:rsidRPr="00B217DC" w:rsidRDefault="00170BD2" w:rsidP="00B217DC">
      <w:pPr>
        <w:rPr>
          <w:rFonts w:cs="Arial"/>
          <w:color w:val="auto"/>
          <w:sz w:val="20"/>
          <w:szCs w:val="20"/>
        </w:rPr>
      </w:pPr>
      <w:r w:rsidRPr="00B217DC">
        <w:rPr>
          <w:rFonts w:cs="Arial"/>
          <w:color w:val="auto"/>
          <w:sz w:val="20"/>
          <w:szCs w:val="20"/>
        </w:rPr>
        <w:lastRenderedPageBreak/>
        <w:t xml:space="preserve">The Commission indicated that they had </w:t>
      </w:r>
      <w:r w:rsidR="00A61FBA" w:rsidRPr="00B217DC">
        <w:rPr>
          <w:rFonts w:cs="Arial"/>
          <w:color w:val="auto"/>
          <w:sz w:val="20"/>
          <w:szCs w:val="20"/>
        </w:rPr>
        <w:t>1</w:t>
      </w:r>
      <w:r w:rsidR="00AB205D" w:rsidRPr="00B217DC">
        <w:rPr>
          <w:rFonts w:cs="Arial"/>
          <w:color w:val="auto"/>
          <w:sz w:val="20"/>
          <w:szCs w:val="20"/>
        </w:rPr>
        <w:t>0</w:t>
      </w:r>
      <w:r w:rsidR="00FD065A" w:rsidRPr="00B217DC">
        <w:rPr>
          <w:rFonts w:cs="Arial"/>
          <w:color w:val="auto"/>
          <w:sz w:val="20"/>
          <w:szCs w:val="20"/>
        </w:rPr>
        <w:t>1</w:t>
      </w:r>
      <w:r w:rsidRPr="00B217DC">
        <w:rPr>
          <w:rFonts w:cs="Arial"/>
          <w:color w:val="auto"/>
          <w:sz w:val="20"/>
          <w:szCs w:val="20"/>
        </w:rPr>
        <w:t xml:space="preserve"> funded posts during </w:t>
      </w:r>
      <w:r w:rsidR="008B77C0" w:rsidRPr="00B217DC">
        <w:rPr>
          <w:rFonts w:cs="Arial"/>
          <w:color w:val="auto"/>
          <w:sz w:val="20"/>
          <w:szCs w:val="20"/>
        </w:rPr>
        <w:t>20</w:t>
      </w:r>
      <w:r w:rsidR="00AB205D" w:rsidRPr="00B217DC">
        <w:rPr>
          <w:rFonts w:cs="Arial"/>
          <w:color w:val="auto"/>
          <w:sz w:val="20"/>
          <w:szCs w:val="20"/>
        </w:rPr>
        <w:t>2</w:t>
      </w:r>
      <w:r w:rsidR="008B77C0" w:rsidRPr="00B217DC">
        <w:rPr>
          <w:rFonts w:cs="Arial"/>
          <w:color w:val="auto"/>
          <w:sz w:val="20"/>
          <w:szCs w:val="20"/>
        </w:rPr>
        <w:t>0</w:t>
      </w:r>
      <w:r w:rsidR="00AB205D" w:rsidRPr="00B217DC">
        <w:rPr>
          <w:rFonts w:cs="Arial"/>
          <w:color w:val="auto"/>
          <w:sz w:val="20"/>
          <w:szCs w:val="20"/>
        </w:rPr>
        <w:t>/21</w:t>
      </w:r>
      <w:r w:rsidRPr="00B217DC">
        <w:rPr>
          <w:rFonts w:cs="Arial"/>
          <w:color w:val="auto"/>
          <w:sz w:val="20"/>
          <w:szCs w:val="20"/>
        </w:rPr>
        <w:t xml:space="preserve"> and a vacancy rate of </w:t>
      </w:r>
      <w:r w:rsidR="00A967B2" w:rsidRPr="00B217DC">
        <w:rPr>
          <w:rFonts w:cs="Arial"/>
          <w:color w:val="auto"/>
          <w:sz w:val="20"/>
          <w:szCs w:val="20"/>
        </w:rPr>
        <w:t>16</w:t>
      </w:r>
      <w:r w:rsidR="002D45BA" w:rsidRPr="00B217DC">
        <w:rPr>
          <w:rFonts w:cs="Arial"/>
          <w:color w:val="auto"/>
          <w:sz w:val="20"/>
          <w:szCs w:val="20"/>
        </w:rPr>
        <w:t>%</w:t>
      </w:r>
      <w:r w:rsidR="00A61FBA" w:rsidRPr="00B217DC">
        <w:rPr>
          <w:rFonts w:cs="Arial"/>
          <w:color w:val="auto"/>
          <w:sz w:val="20"/>
          <w:szCs w:val="20"/>
        </w:rPr>
        <w:t xml:space="preserve"> (</w:t>
      </w:r>
      <w:r w:rsidR="00A967B2" w:rsidRPr="00B217DC">
        <w:rPr>
          <w:rFonts w:cs="Arial"/>
          <w:color w:val="auto"/>
          <w:sz w:val="20"/>
          <w:szCs w:val="20"/>
        </w:rPr>
        <w:t>16</w:t>
      </w:r>
      <w:r w:rsidR="00A61FBA" w:rsidRPr="00B217DC">
        <w:rPr>
          <w:rFonts w:cs="Arial"/>
          <w:color w:val="auto"/>
          <w:sz w:val="20"/>
          <w:szCs w:val="20"/>
        </w:rPr>
        <w:t xml:space="preserve"> </w:t>
      </w:r>
      <w:r w:rsidRPr="00B217DC">
        <w:rPr>
          <w:rFonts w:cs="Arial"/>
          <w:color w:val="auto"/>
          <w:sz w:val="20"/>
          <w:szCs w:val="20"/>
        </w:rPr>
        <w:t>vacancies)</w:t>
      </w:r>
      <w:r w:rsidR="00E754B9" w:rsidRPr="00B217DC">
        <w:rPr>
          <w:rFonts w:cs="Arial"/>
          <w:color w:val="auto"/>
          <w:sz w:val="20"/>
          <w:szCs w:val="20"/>
        </w:rPr>
        <w:t xml:space="preserve"> and in 2021/22 the vacancy rate </w:t>
      </w:r>
      <w:r w:rsidR="005527E8" w:rsidRPr="00B217DC">
        <w:rPr>
          <w:rFonts w:cs="Arial"/>
          <w:color w:val="auto"/>
          <w:sz w:val="20"/>
          <w:szCs w:val="20"/>
        </w:rPr>
        <w:t>had increased to 19</w:t>
      </w:r>
      <w:r w:rsidR="00E754B9" w:rsidRPr="00B217DC">
        <w:rPr>
          <w:rFonts w:cs="Arial"/>
          <w:color w:val="auto"/>
          <w:sz w:val="20"/>
          <w:szCs w:val="20"/>
        </w:rPr>
        <w:t xml:space="preserve">% </w:t>
      </w:r>
      <w:r w:rsidR="00E37C6B" w:rsidRPr="00B217DC">
        <w:rPr>
          <w:rFonts w:cs="Arial"/>
          <w:color w:val="auto"/>
          <w:sz w:val="20"/>
          <w:szCs w:val="20"/>
        </w:rPr>
        <w:t xml:space="preserve">(22) </w:t>
      </w:r>
      <w:r w:rsidR="00E754B9" w:rsidRPr="00B217DC">
        <w:rPr>
          <w:rFonts w:cs="Arial"/>
          <w:color w:val="auto"/>
          <w:sz w:val="20"/>
          <w:szCs w:val="20"/>
        </w:rPr>
        <w:t xml:space="preserve">of the </w:t>
      </w:r>
      <w:r w:rsidR="005527E8" w:rsidRPr="00B217DC">
        <w:rPr>
          <w:rFonts w:cs="Arial"/>
          <w:color w:val="auto"/>
          <w:sz w:val="20"/>
          <w:szCs w:val="20"/>
        </w:rPr>
        <w:t>116</w:t>
      </w:r>
      <w:r w:rsidR="00E754B9" w:rsidRPr="00B217DC">
        <w:rPr>
          <w:rFonts w:cs="Arial"/>
          <w:color w:val="auto"/>
          <w:sz w:val="20"/>
          <w:szCs w:val="20"/>
        </w:rPr>
        <w:t xml:space="preserve"> funded posts</w:t>
      </w:r>
      <w:r w:rsidRPr="00B217DC">
        <w:rPr>
          <w:rFonts w:cs="Arial"/>
          <w:color w:val="auto"/>
          <w:sz w:val="20"/>
          <w:szCs w:val="20"/>
        </w:rPr>
        <w:t>.</w:t>
      </w:r>
      <w:r w:rsidR="00A61FBA" w:rsidRPr="00B217DC">
        <w:rPr>
          <w:rFonts w:cs="Arial"/>
          <w:color w:val="auto"/>
          <w:sz w:val="20"/>
          <w:szCs w:val="20"/>
        </w:rPr>
        <w:t xml:space="preserve"> </w:t>
      </w:r>
      <w:r w:rsidR="005527E8" w:rsidRPr="00B217DC">
        <w:rPr>
          <w:rFonts w:cs="Arial"/>
          <w:color w:val="auto"/>
          <w:sz w:val="20"/>
          <w:szCs w:val="20"/>
        </w:rPr>
        <w:t xml:space="preserve">When reflecting back on the 2019/20 financial year, </w:t>
      </w:r>
      <w:r w:rsidR="00AB205D" w:rsidRPr="00B217DC">
        <w:rPr>
          <w:rFonts w:cs="Arial"/>
          <w:color w:val="auto"/>
          <w:sz w:val="20"/>
          <w:szCs w:val="20"/>
        </w:rPr>
        <w:t>the vacancy rate was 15% (17 vacancies) and 10% (11 vacancies) in the 2017/18 financial year</w:t>
      </w:r>
      <w:r w:rsidR="00766FEC" w:rsidRPr="00B217DC">
        <w:rPr>
          <w:rFonts w:cs="Arial"/>
          <w:color w:val="auto"/>
          <w:sz w:val="20"/>
          <w:szCs w:val="20"/>
        </w:rPr>
        <w:t xml:space="preserve">. This is </w:t>
      </w:r>
      <w:r w:rsidR="002D45BA" w:rsidRPr="00B217DC">
        <w:rPr>
          <w:rFonts w:cs="Arial"/>
          <w:color w:val="auto"/>
          <w:sz w:val="20"/>
          <w:szCs w:val="20"/>
        </w:rPr>
        <w:t xml:space="preserve">a </w:t>
      </w:r>
      <w:r w:rsidR="00766FEC" w:rsidRPr="00B217DC">
        <w:rPr>
          <w:rFonts w:cs="Arial"/>
          <w:color w:val="auto"/>
          <w:sz w:val="20"/>
          <w:szCs w:val="20"/>
        </w:rPr>
        <w:t xml:space="preserve">cause for concern. </w:t>
      </w:r>
    </w:p>
    <w:p w:rsidR="005527E8" w:rsidRPr="00B217DC" w:rsidRDefault="005527E8" w:rsidP="00B217DC">
      <w:pPr>
        <w:rPr>
          <w:rFonts w:cs="Arial"/>
          <w:color w:val="auto"/>
          <w:sz w:val="20"/>
          <w:szCs w:val="20"/>
        </w:rPr>
      </w:pPr>
      <w:r w:rsidRPr="00B217DC">
        <w:rPr>
          <w:rFonts w:cs="Arial"/>
          <w:color w:val="auto"/>
          <w:sz w:val="20"/>
          <w:szCs w:val="20"/>
        </w:rPr>
        <w:t xml:space="preserve">The CGE reports only 1 post that is unfunded and additional to the establishment – in 2020/21 there were 8. The CGE had a total of 94 employees as at the end of March 2022 of which 4 staff members are employed on a temporary or internship basis. The CGE notes that 7 appointments were made during the 2021/22 financial year. However, there is conflicting information in terms of the number of staff that have left the Commission during the same period based on the various tables outlined in the Annual Report. Under terminations it stipulates, 12 but under employee changes in the year the CGE reports 16 </w:t>
      </w:r>
      <w:r w:rsidR="00C8682F" w:rsidRPr="00B217DC">
        <w:rPr>
          <w:rFonts w:cs="Arial"/>
          <w:color w:val="auto"/>
          <w:sz w:val="20"/>
          <w:szCs w:val="20"/>
        </w:rPr>
        <w:t>(1 death, 10 resignations, 5 expiry of contracts). H</w:t>
      </w:r>
      <w:r w:rsidRPr="00B217DC">
        <w:rPr>
          <w:rFonts w:cs="Arial"/>
          <w:color w:val="auto"/>
          <w:sz w:val="20"/>
          <w:szCs w:val="20"/>
        </w:rPr>
        <w:t>owever</w:t>
      </w:r>
      <w:r w:rsidR="00C8682F" w:rsidRPr="00B217DC">
        <w:rPr>
          <w:rFonts w:cs="Arial"/>
          <w:color w:val="auto"/>
          <w:sz w:val="20"/>
          <w:szCs w:val="20"/>
        </w:rPr>
        <w:t>,</w:t>
      </w:r>
      <w:r w:rsidRPr="00B217DC">
        <w:rPr>
          <w:rFonts w:cs="Arial"/>
          <w:color w:val="auto"/>
          <w:sz w:val="20"/>
          <w:szCs w:val="20"/>
        </w:rPr>
        <w:t xml:space="preserve"> 17 leave pay-outs were stated and finally under the termination of demographics categories 11 is reflected.</w:t>
      </w:r>
    </w:p>
    <w:p w:rsidR="005527E8" w:rsidRPr="00B217DC" w:rsidRDefault="005527E8" w:rsidP="00B217DC">
      <w:pPr>
        <w:rPr>
          <w:rFonts w:cs="Arial"/>
          <w:color w:val="auto"/>
          <w:sz w:val="20"/>
          <w:szCs w:val="20"/>
        </w:rPr>
      </w:pPr>
    </w:p>
    <w:p w:rsidR="000430E7" w:rsidRPr="00B217DC" w:rsidRDefault="0082238C" w:rsidP="00B217DC">
      <w:pPr>
        <w:rPr>
          <w:rFonts w:cs="Arial"/>
          <w:color w:val="auto"/>
          <w:sz w:val="20"/>
          <w:szCs w:val="20"/>
        </w:rPr>
      </w:pPr>
      <w:r w:rsidRPr="00B217DC">
        <w:rPr>
          <w:rFonts w:cs="Arial"/>
          <w:color w:val="auto"/>
          <w:sz w:val="20"/>
          <w:szCs w:val="20"/>
        </w:rPr>
        <w:t xml:space="preserve">According to the table on Employment Equity per race and gender, the CGE has a total of 54 female employees and 32 male employees. It is unclear how many persons with disabilities are employed at the CGE as this is not reflected in the Annual Report so an assessment of the </w:t>
      </w:r>
      <w:r w:rsidR="000430E7" w:rsidRPr="00B217DC">
        <w:rPr>
          <w:rFonts w:cs="Arial"/>
          <w:color w:val="auto"/>
          <w:sz w:val="20"/>
          <w:szCs w:val="20"/>
        </w:rPr>
        <w:t xml:space="preserve">Employment Equity </w:t>
      </w:r>
      <w:r w:rsidRPr="00B217DC">
        <w:rPr>
          <w:rFonts w:cs="Arial"/>
          <w:color w:val="auto"/>
          <w:sz w:val="20"/>
          <w:szCs w:val="20"/>
        </w:rPr>
        <w:t>target in this regard cannot be done</w:t>
      </w:r>
      <w:r w:rsidR="000430E7" w:rsidRPr="00B217DC">
        <w:rPr>
          <w:rFonts w:cs="Arial"/>
          <w:color w:val="auto"/>
          <w:sz w:val="20"/>
          <w:szCs w:val="20"/>
        </w:rPr>
        <w:t>.</w:t>
      </w:r>
    </w:p>
    <w:p w:rsidR="000430E7" w:rsidRPr="00B217DC" w:rsidRDefault="000430E7" w:rsidP="00B217DC">
      <w:pPr>
        <w:rPr>
          <w:rFonts w:cs="Arial"/>
          <w:color w:val="auto"/>
          <w:sz w:val="20"/>
          <w:szCs w:val="20"/>
        </w:rPr>
      </w:pPr>
    </w:p>
    <w:p w:rsidR="000430E7" w:rsidRPr="00B217DC" w:rsidRDefault="00766FEC" w:rsidP="00B217DC">
      <w:pPr>
        <w:rPr>
          <w:rFonts w:cs="Arial"/>
          <w:color w:val="auto"/>
          <w:sz w:val="20"/>
          <w:szCs w:val="20"/>
        </w:rPr>
      </w:pPr>
      <w:r w:rsidRPr="00B217DC">
        <w:rPr>
          <w:rFonts w:cs="Arial"/>
          <w:color w:val="auto"/>
          <w:sz w:val="20"/>
          <w:szCs w:val="20"/>
        </w:rPr>
        <w:t>Person</w:t>
      </w:r>
      <w:r w:rsidR="008B77C0" w:rsidRPr="00B217DC">
        <w:rPr>
          <w:rFonts w:cs="Arial"/>
          <w:color w:val="auto"/>
          <w:sz w:val="20"/>
          <w:szCs w:val="20"/>
        </w:rPr>
        <w:t xml:space="preserve">nel expenditure amounted to </w:t>
      </w:r>
      <w:r w:rsidR="00A61FBA" w:rsidRPr="00B217DC">
        <w:rPr>
          <w:rFonts w:cs="Arial"/>
          <w:color w:val="auto"/>
          <w:sz w:val="20"/>
          <w:szCs w:val="20"/>
        </w:rPr>
        <w:t>R5</w:t>
      </w:r>
      <w:r w:rsidR="002D3F64" w:rsidRPr="00B217DC">
        <w:rPr>
          <w:rFonts w:cs="Arial"/>
          <w:color w:val="auto"/>
          <w:sz w:val="20"/>
          <w:szCs w:val="20"/>
        </w:rPr>
        <w:t>5,</w:t>
      </w:r>
      <w:r w:rsidR="00C8682F" w:rsidRPr="00B217DC">
        <w:rPr>
          <w:rFonts w:cs="Arial"/>
          <w:color w:val="auto"/>
          <w:sz w:val="20"/>
          <w:szCs w:val="20"/>
        </w:rPr>
        <w:t>471 194</w:t>
      </w:r>
      <w:r w:rsidR="00A61FBA" w:rsidRPr="00B217DC">
        <w:rPr>
          <w:rFonts w:cs="Arial"/>
          <w:color w:val="auto"/>
          <w:sz w:val="20"/>
          <w:szCs w:val="20"/>
        </w:rPr>
        <w:t xml:space="preserve"> m</w:t>
      </w:r>
      <w:r w:rsidR="000430E7" w:rsidRPr="00B217DC">
        <w:rPr>
          <w:rFonts w:cs="Arial"/>
          <w:color w:val="auto"/>
          <w:sz w:val="20"/>
          <w:szCs w:val="20"/>
        </w:rPr>
        <w:t>illion</w:t>
      </w:r>
      <w:r w:rsidR="00A61FBA" w:rsidRPr="00B217DC">
        <w:rPr>
          <w:rFonts w:cs="Arial"/>
          <w:color w:val="auto"/>
          <w:sz w:val="20"/>
          <w:szCs w:val="20"/>
        </w:rPr>
        <w:t xml:space="preserve"> </w:t>
      </w:r>
      <w:r w:rsidR="00FD065A" w:rsidRPr="00B217DC">
        <w:rPr>
          <w:rFonts w:cs="Arial"/>
          <w:color w:val="auto"/>
          <w:sz w:val="20"/>
          <w:szCs w:val="20"/>
        </w:rPr>
        <w:t>for the year under review</w:t>
      </w:r>
      <w:r w:rsidR="00C8682F" w:rsidRPr="00B217DC">
        <w:rPr>
          <w:rFonts w:cs="Arial"/>
          <w:color w:val="auto"/>
          <w:sz w:val="20"/>
          <w:szCs w:val="20"/>
        </w:rPr>
        <w:t>.</w:t>
      </w:r>
      <w:r w:rsidR="00FD065A" w:rsidRPr="00B217DC">
        <w:rPr>
          <w:rFonts w:cs="Arial"/>
          <w:color w:val="auto"/>
          <w:sz w:val="20"/>
          <w:szCs w:val="20"/>
        </w:rPr>
        <w:t xml:space="preserve"> </w:t>
      </w:r>
      <w:r w:rsidR="002D3F64" w:rsidRPr="00B217DC">
        <w:rPr>
          <w:rFonts w:cs="Arial"/>
          <w:color w:val="auto"/>
          <w:sz w:val="20"/>
          <w:szCs w:val="20"/>
        </w:rPr>
        <w:t>T</w:t>
      </w:r>
      <w:r w:rsidR="000430E7" w:rsidRPr="00B217DC">
        <w:rPr>
          <w:rFonts w:cs="Arial"/>
          <w:color w:val="auto"/>
          <w:sz w:val="20"/>
          <w:szCs w:val="20"/>
        </w:rPr>
        <w:t xml:space="preserve">he highly skilled category </w:t>
      </w:r>
      <w:r w:rsidR="002D3F64" w:rsidRPr="00B217DC">
        <w:rPr>
          <w:rFonts w:cs="Arial"/>
          <w:color w:val="auto"/>
          <w:sz w:val="20"/>
          <w:szCs w:val="20"/>
        </w:rPr>
        <w:t xml:space="preserve">(level 6-8, 9-12) </w:t>
      </w:r>
      <w:r w:rsidR="000430E7" w:rsidRPr="00B217DC">
        <w:rPr>
          <w:rFonts w:cs="Arial"/>
          <w:color w:val="auto"/>
          <w:sz w:val="20"/>
          <w:szCs w:val="20"/>
        </w:rPr>
        <w:t xml:space="preserve">constitute the majority of </w:t>
      </w:r>
      <w:r w:rsidR="002837A8" w:rsidRPr="00B217DC">
        <w:rPr>
          <w:rFonts w:cs="Arial"/>
          <w:color w:val="auto"/>
          <w:sz w:val="20"/>
          <w:szCs w:val="20"/>
        </w:rPr>
        <w:t>those employed i</w:t>
      </w:r>
      <w:r w:rsidR="000430E7" w:rsidRPr="00B217DC">
        <w:rPr>
          <w:rFonts w:cs="Arial"/>
          <w:color w:val="auto"/>
          <w:sz w:val="20"/>
          <w:szCs w:val="20"/>
        </w:rPr>
        <w:t>n Core-service delivery programme</w:t>
      </w:r>
      <w:r w:rsidR="003B6E15" w:rsidRPr="00B217DC">
        <w:rPr>
          <w:rFonts w:cs="Arial"/>
          <w:color w:val="auto"/>
          <w:sz w:val="20"/>
          <w:szCs w:val="20"/>
        </w:rPr>
        <w:t>s</w:t>
      </w:r>
      <w:r w:rsidR="000430E7" w:rsidRPr="00B217DC">
        <w:rPr>
          <w:rFonts w:cs="Arial"/>
          <w:color w:val="auto"/>
          <w:sz w:val="20"/>
          <w:szCs w:val="20"/>
        </w:rPr>
        <w:t xml:space="preserve"> of the CGE</w:t>
      </w:r>
      <w:r w:rsidR="00E754B9" w:rsidRPr="00B217DC">
        <w:rPr>
          <w:rFonts w:cs="Arial"/>
          <w:color w:val="auto"/>
          <w:sz w:val="20"/>
          <w:szCs w:val="20"/>
        </w:rPr>
        <w:t xml:space="preserve">, namely </w:t>
      </w:r>
      <w:r w:rsidR="00C8682F" w:rsidRPr="00B217DC">
        <w:rPr>
          <w:rFonts w:cs="Arial"/>
          <w:color w:val="auto"/>
          <w:sz w:val="20"/>
          <w:szCs w:val="20"/>
        </w:rPr>
        <w:t>69.1</w:t>
      </w:r>
      <w:r w:rsidR="002D3F64" w:rsidRPr="00B217DC">
        <w:rPr>
          <w:rFonts w:cs="Arial"/>
          <w:color w:val="auto"/>
          <w:sz w:val="20"/>
          <w:szCs w:val="20"/>
        </w:rPr>
        <w:t>%</w:t>
      </w:r>
      <w:r w:rsidR="00E754B9" w:rsidRPr="00B217DC">
        <w:rPr>
          <w:rFonts w:cs="Arial"/>
          <w:color w:val="auto"/>
          <w:sz w:val="20"/>
          <w:szCs w:val="20"/>
        </w:rPr>
        <w:t xml:space="preserve"> (</w:t>
      </w:r>
      <w:r w:rsidR="00C8682F" w:rsidRPr="00B217DC">
        <w:rPr>
          <w:rFonts w:cs="Arial"/>
          <w:color w:val="auto"/>
          <w:sz w:val="20"/>
          <w:szCs w:val="20"/>
        </w:rPr>
        <w:t>65</w:t>
      </w:r>
      <w:r w:rsidR="0057631C" w:rsidRPr="00B217DC">
        <w:rPr>
          <w:rFonts w:cs="Arial"/>
          <w:color w:val="auto"/>
          <w:sz w:val="20"/>
          <w:szCs w:val="20"/>
        </w:rPr>
        <w:t xml:space="preserve"> employees)</w:t>
      </w:r>
      <w:r w:rsidR="000430E7" w:rsidRPr="00B217DC">
        <w:rPr>
          <w:rFonts w:cs="Arial"/>
          <w:color w:val="auto"/>
          <w:sz w:val="20"/>
          <w:szCs w:val="20"/>
        </w:rPr>
        <w:t xml:space="preserve">. </w:t>
      </w:r>
      <w:r w:rsidRPr="00B217DC">
        <w:rPr>
          <w:rFonts w:cs="Arial"/>
          <w:color w:val="auto"/>
          <w:sz w:val="20"/>
          <w:szCs w:val="20"/>
        </w:rPr>
        <w:t xml:space="preserve">A total of </w:t>
      </w:r>
      <w:r w:rsidR="0082238C" w:rsidRPr="00B217DC">
        <w:rPr>
          <w:rFonts w:cs="Arial"/>
          <w:color w:val="auto"/>
          <w:sz w:val="20"/>
          <w:szCs w:val="20"/>
        </w:rPr>
        <w:t>77</w:t>
      </w:r>
      <w:r w:rsidRPr="00B217DC">
        <w:rPr>
          <w:rFonts w:cs="Arial"/>
          <w:color w:val="auto"/>
          <w:sz w:val="20"/>
          <w:szCs w:val="20"/>
        </w:rPr>
        <w:t xml:space="preserve"> employees received performance related rewards during the period under review resulting in expenditure of R</w:t>
      </w:r>
      <w:r w:rsidR="0082238C" w:rsidRPr="00B217DC">
        <w:rPr>
          <w:rFonts w:cs="Arial"/>
          <w:color w:val="auto"/>
          <w:sz w:val="20"/>
          <w:szCs w:val="20"/>
        </w:rPr>
        <w:t>2,711 540</w:t>
      </w:r>
      <w:r w:rsidR="000430E7" w:rsidRPr="00B217DC">
        <w:rPr>
          <w:rFonts w:cs="Arial"/>
          <w:color w:val="auto"/>
          <w:sz w:val="20"/>
          <w:szCs w:val="20"/>
        </w:rPr>
        <w:t xml:space="preserve"> </w:t>
      </w:r>
      <w:r w:rsidRPr="00B217DC">
        <w:rPr>
          <w:rFonts w:cs="Arial"/>
          <w:color w:val="auto"/>
          <w:sz w:val="20"/>
          <w:szCs w:val="20"/>
        </w:rPr>
        <w:t>million.</w:t>
      </w:r>
    </w:p>
    <w:p w:rsidR="000430E7" w:rsidRPr="00B217DC" w:rsidRDefault="000430E7" w:rsidP="00B217DC">
      <w:pPr>
        <w:rPr>
          <w:rFonts w:cs="Arial"/>
          <w:color w:val="auto"/>
          <w:sz w:val="20"/>
          <w:szCs w:val="20"/>
        </w:rPr>
      </w:pPr>
    </w:p>
    <w:p w:rsidR="000430E7" w:rsidRPr="00B217DC" w:rsidRDefault="000430E7" w:rsidP="00B217DC">
      <w:pPr>
        <w:rPr>
          <w:rFonts w:cs="Arial"/>
          <w:color w:val="auto"/>
          <w:sz w:val="20"/>
          <w:szCs w:val="20"/>
        </w:rPr>
      </w:pPr>
      <w:r w:rsidRPr="00B217DC">
        <w:rPr>
          <w:rFonts w:cs="Arial"/>
          <w:color w:val="auto"/>
          <w:sz w:val="20"/>
          <w:szCs w:val="20"/>
        </w:rPr>
        <w:t xml:space="preserve">During the period under review </w:t>
      </w:r>
      <w:r w:rsidR="0082238C" w:rsidRPr="00B217DC">
        <w:rPr>
          <w:rFonts w:cs="Arial"/>
          <w:color w:val="auto"/>
          <w:sz w:val="20"/>
          <w:szCs w:val="20"/>
        </w:rPr>
        <w:t>18</w:t>
      </w:r>
      <w:r w:rsidRPr="00B217DC">
        <w:rPr>
          <w:rFonts w:cs="Arial"/>
          <w:color w:val="auto"/>
          <w:sz w:val="20"/>
          <w:szCs w:val="20"/>
        </w:rPr>
        <w:t xml:space="preserve"> employees </w:t>
      </w:r>
      <w:r w:rsidR="00A26F1B" w:rsidRPr="00B217DC">
        <w:rPr>
          <w:rFonts w:cs="Arial"/>
          <w:color w:val="auto"/>
          <w:sz w:val="20"/>
          <w:szCs w:val="20"/>
        </w:rPr>
        <w:t xml:space="preserve">received training </w:t>
      </w:r>
      <w:r w:rsidR="0082238C" w:rsidRPr="00B217DC">
        <w:rPr>
          <w:rFonts w:cs="Arial"/>
          <w:color w:val="auto"/>
          <w:sz w:val="20"/>
          <w:szCs w:val="20"/>
        </w:rPr>
        <w:t xml:space="preserve">6 </w:t>
      </w:r>
      <w:r w:rsidR="0057631C" w:rsidRPr="00B217DC">
        <w:rPr>
          <w:rFonts w:cs="Arial"/>
          <w:color w:val="auto"/>
          <w:sz w:val="20"/>
          <w:szCs w:val="20"/>
        </w:rPr>
        <w:t xml:space="preserve">of whom were </w:t>
      </w:r>
      <w:r w:rsidR="0082238C" w:rsidRPr="00B217DC">
        <w:rPr>
          <w:rFonts w:cs="Arial"/>
          <w:color w:val="auto"/>
          <w:sz w:val="20"/>
          <w:szCs w:val="20"/>
        </w:rPr>
        <w:t>from Senior management and 12 from the Professionally qualified category. The cost implications for the training was not indicated in the Annual Report</w:t>
      </w:r>
      <w:r w:rsidRPr="00B217DC">
        <w:rPr>
          <w:rFonts w:cs="Arial"/>
          <w:color w:val="auto"/>
          <w:sz w:val="20"/>
          <w:szCs w:val="20"/>
        </w:rPr>
        <w:t xml:space="preserve">. </w:t>
      </w:r>
    </w:p>
    <w:p w:rsidR="008B35A4" w:rsidRPr="00B217DC" w:rsidRDefault="008B35A4" w:rsidP="00B217DC">
      <w:pPr>
        <w:rPr>
          <w:rFonts w:cs="Arial"/>
          <w:color w:val="auto"/>
          <w:sz w:val="20"/>
          <w:szCs w:val="20"/>
        </w:rPr>
      </w:pPr>
    </w:p>
    <w:p w:rsidR="00AA5E45" w:rsidRPr="00B217DC" w:rsidRDefault="00AA5E45" w:rsidP="00B217DC">
      <w:pPr>
        <w:rPr>
          <w:rFonts w:cs="Arial"/>
          <w:color w:val="auto"/>
          <w:sz w:val="20"/>
          <w:szCs w:val="20"/>
        </w:rPr>
      </w:pPr>
    </w:p>
    <w:p w:rsidR="00A9692C" w:rsidRPr="00B217DC" w:rsidRDefault="00A9692C" w:rsidP="00B217DC">
      <w:pPr>
        <w:numPr>
          <w:ilvl w:val="0"/>
          <w:numId w:val="12"/>
        </w:numPr>
        <w:ind w:left="426"/>
        <w:contextualSpacing/>
        <w:rPr>
          <w:rFonts w:cs="Arial"/>
          <w:b/>
          <w:color w:val="auto"/>
          <w:spacing w:val="0"/>
          <w:kern w:val="28"/>
          <w:sz w:val="20"/>
          <w:szCs w:val="20"/>
        </w:rPr>
      </w:pPr>
      <w:r w:rsidRPr="00B217DC">
        <w:rPr>
          <w:rFonts w:cs="Arial"/>
          <w:b/>
          <w:color w:val="auto"/>
          <w:spacing w:val="0"/>
          <w:kern w:val="28"/>
          <w:sz w:val="20"/>
          <w:szCs w:val="20"/>
        </w:rPr>
        <w:t>NATIONAL YOUTH DEVELOPMENT AGENCY</w:t>
      </w:r>
      <w:r w:rsidR="00F94669" w:rsidRPr="00B217DC">
        <w:rPr>
          <w:rFonts w:cs="Arial"/>
          <w:b/>
          <w:color w:val="auto"/>
          <w:spacing w:val="0"/>
          <w:kern w:val="28"/>
          <w:sz w:val="20"/>
          <w:szCs w:val="20"/>
        </w:rPr>
        <w:t xml:space="preserve"> (NYDA)</w:t>
      </w:r>
      <w:r w:rsidR="009B57D8" w:rsidRPr="00B217DC">
        <w:rPr>
          <w:rStyle w:val="FootnoteReference"/>
          <w:rFonts w:cs="Arial"/>
          <w:b/>
          <w:color w:val="auto"/>
          <w:spacing w:val="0"/>
          <w:kern w:val="28"/>
          <w:sz w:val="20"/>
          <w:szCs w:val="20"/>
        </w:rPr>
        <w:footnoteReference w:id="13"/>
      </w:r>
    </w:p>
    <w:p w:rsidR="00A9692C" w:rsidRPr="00B217DC" w:rsidRDefault="00A9692C" w:rsidP="00B217DC">
      <w:pPr>
        <w:ind w:left="66"/>
        <w:contextualSpacing/>
        <w:rPr>
          <w:rFonts w:cs="Arial"/>
          <w:b/>
          <w:color w:val="auto"/>
          <w:spacing w:val="0"/>
          <w:kern w:val="28"/>
          <w:sz w:val="20"/>
          <w:szCs w:val="20"/>
        </w:rPr>
      </w:pPr>
    </w:p>
    <w:p w:rsidR="000B0646" w:rsidRPr="00B217DC" w:rsidRDefault="000B0646" w:rsidP="00B217DC">
      <w:pPr>
        <w:ind w:left="66"/>
        <w:contextualSpacing/>
        <w:rPr>
          <w:rFonts w:cs="Arial"/>
          <w:color w:val="auto"/>
          <w:spacing w:val="0"/>
          <w:kern w:val="28"/>
          <w:sz w:val="20"/>
          <w:szCs w:val="20"/>
          <w:lang w:val="en-GB"/>
        </w:rPr>
      </w:pPr>
      <w:r w:rsidRPr="00B217DC">
        <w:rPr>
          <w:rFonts w:cs="Arial"/>
          <w:color w:val="auto"/>
          <w:spacing w:val="0"/>
          <w:kern w:val="28"/>
          <w:sz w:val="20"/>
          <w:szCs w:val="20"/>
          <w:lang w:val="en-GB"/>
        </w:rPr>
        <w:t>For the year under review, the NYDA briefed the Committee on all 4 quarterly reports. The quarterly reports included a focus on programme performance and financial health of the entity. Moreover, the NYDA table</w:t>
      </w:r>
      <w:r w:rsidR="00F94669" w:rsidRPr="00B217DC">
        <w:rPr>
          <w:rFonts w:cs="Arial"/>
          <w:color w:val="auto"/>
          <w:spacing w:val="0"/>
          <w:kern w:val="28"/>
          <w:sz w:val="20"/>
          <w:szCs w:val="20"/>
          <w:lang w:val="en-GB"/>
        </w:rPr>
        <w:t>d</w:t>
      </w:r>
      <w:r w:rsidRPr="00B217DC">
        <w:rPr>
          <w:rFonts w:cs="Arial"/>
          <w:color w:val="auto"/>
          <w:spacing w:val="0"/>
          <w:kern w:val="28"/>
          <w:sz w:val="20"/>
          <w:szCs w:val="20"/>
          <w:lang w:val="en-GB"/>
        </w:rPr>
        <w:t xml:space="preserve"> its Annual Report on </w:t>
      </w:r>
      <w:r w:rsidR="00851D82" w:rsidRPr="00B217DC">
        <w:rPr>
          <w:rFonts w:cs="Arial"/>
          <w:color w:val="auto"/>
          <w:spacing w:val="0"/>
          <w:kern w:val="28"/>
          <w:sz w:val="20"/>
          <w:szCs w:val="20"/>
          <w:lang w:val="en-GB"/>
        </w:rPr>
        <w:t>time</w:t>
      </w:r>
      <w:r w:rsidR="00DC63A9" w:rsidRPr="00B217DC">
        <w:rPr>
          <w:rFonts w:cs="Arial"/>
          <w:color w:val="auto"/>
          <w:spacing w:val="0"/>
          <w:kern w:val="28"/>
          <w:sz w:val="20"/>
          <w:szCs w:val="20"/>
          <w:lang w:val="en-GB"/>
        </w:rPr>
        <w:t xml:space="preserve"> and briefed the Committee with its Audit Committee on </w:t>
      </w:r>
      <w:r w:rsidR="00851D82" w:rsidRPr="00B217DC">
        <w:rPr>
          <w:rFonts w:cs="Arial"/>
          <w:color w:val="auto"/>
          <w:spacing w:val="0"/>
          <w:kern w:val="28"/>
          <w:sz w:val="20"/>
          <w:szCs w:val="20"/>
          <w:lang w:val="en-GB"/>
        </w:rPr>
        <w:t xml:space="preserve">18 October </w:t>
      </w:r>
      <w:r w:rsidR="00DC63A9" w:rsidRPr="00B217DC">
        <w:rPr>
          <w:rFonts w:cs="Arial"/>
          <w:color w:val="auto"/>
          <w:spacing w:val="0"/>
          <w:kern w:val="28"/>
          <w:sz w:val="20"/>
          <w:szCs w:val="20"/>
          <w:lang w:val="en-GB"/>
        </w:rPr>
        <w:t>202</w:t>
      </w:r>
      <w:r w:rsidR="00914E27" w:rsidRPr="00B217DC">
        <w:rPr>
          <w:rFonts w:cs="Arial"/>
          <w:color w:val="auto"/>
          <w:spacing w:val="0"/>
          <w:kern w:val="28"/>
          <w:sz w:val="20"/>
          <w:szCs w:val="20"/>
          <w:lang w:val="en-GB"/>
        </w:rPr>
        <w:t>2</w:t>
      </w:r>
      <w:r w:rsidRPr="00B217DC">
        <w:rPr>
          <w:rFonts w:cs="Arial"/>
          <w:color w:val="auto"/>
          <w:spacing w:val="0"/>
          <w:kern w:val="28"/>
          <w:sz w:val="20"/>
          <w:szCs w:val="20"/>
          <w:lang w:val="en-GB"/>
        </w:rPr>
        <w:t xml:space="preserve">. </w:t>
      </w:r>
    </w:p>
    <w:p w:rsidR="0009770B" w:rsidRPr="00B217DC" w:rsidRDefault="0009770B" w:rsidP="00B217DC">
      <w:pPr>
        <w:ind w:left="66"/>
        <w:contextualSpacing/>
        <w:rPr>
          <w:rFonts w:cs="Arial"/>
          <w:color w:val="auto"/>
          <w:spacing w:val="0"/>
          <w:kern w:val="28"/>
          <w:sz w:val="20"/>
          <w:szCs w:val="20"/>
        </w:rPr>
      </w:pPr>
    </w:p>
    <w:p w:rsidR="00776674" w:rsidRPr="00B217DC" w:rsidRDefault="0009770B" w:rsidP="00B217DC">
      <w:pPr>
        <w:ind w:left="66"/>
        <w:contextualSpacing/>
        <w:rPr>
          <w:rFonts w:cs="Arial"/>
          <w:color w:val="auto"/>
          <w:spacing w:val="0"/>
          <w:kern w:val="28"/>
          <w:sz w:val="20"/>
          <w:szCs w:val="20"/>
          <w:lang w:val="en-GB"/>
        </w:rPr>
      </w:pPr>
      <w:r w:rsidRPr="00B217DC">
        <w:rPr>
          <w:rFonts w:cs="Arial"/>
          <w:color w:val="auto"/>
          <w:spacing w:val="0"/>
          <w:kern w:val="28"/>
          <w:sz w:val="20"/>
          <w:szCs w:val="20"/>
        </w:rPr>
        <w:t xml:space="preserve">In the period under review the NYDA had </w:t>
      </w:r>
      <w:r w:rsidR="00851D82" w:rsidRPr="00B217DC">
        <w:rPr>
          <w:rFonts w:cs="Arial"/>
          <w:color w:val="auto"/>
          <w:spacing w:val="0"/>
          <w:kern w:val="28"/>
          <w:sz w:val="20"/>
          <w:szCs w:val="20"/>
        </w:rPr>
        <w:t xml:space="preserve">23 targets </w:t>
      </w:r>
      <w:r w:rsidRPr="00B217DC">
        <w:rPr>
          <w:rFonts w:cs="Arial"/>
          <w:color w:val="auto"/>
          <w:spacing w:val="0"/>
          <w:kern w:val="28"/>
          <w:sz w:val="20"/>
          <w:szCs w:val="20"/>
        </w:rPr>
        <w:t xml:space="preserve">of which </w:t>
      </w:r>
      <w:r w:rsidR="00851D82" w:rsidRPr="00B217DC">
        <w:rPr>
          <w:rFonts w:cs="Arial"/>
          <w:color w:val="auto"/>
          <w:spacing w:val="0"/>
          <w:kern w:val="28"/>
          <w:sz w:val="20"/>
          <w:szCs w:val="20"/>
        </w:rPr>
        <w:t xml:space="preserve">all were achieved </w:t>
      </w:r>
      <w:r w:rsidR="00EA48E3" w:rsidRPr="00B217DC">
        <w:rPr>
          <w:rFonts w:cs="Arial"/>
          <w:color w:val="auto"/>
          <w:spacing w:val="0"/>
          <w:kern w:val="28"/>
          <w:sz w:val="20"/>
          <w:szCs w:val="20"/>
        </w:rPr>
        <w:t>15</w:t>
      </w:r>
      <w:r w:rsidRPr="00B217DC">
        <w:rPr>
          <w:rFonts w:cs="Arial"/>
          <w:color w:val="auto"/>
          <w:spacing w:val="0"/>
          <w:kern w:val="28"/>
          <w:sz w:val="20"/>
          <w:szCs w:val="20"/>
        </w:rPr>
        <w:t xml:space="preserve"> were met whilst </w:t>
      </w:r>
      <w:r w:rsidR="00EA48E3" w:rsidRPr="00B217DC">
        <w:rPr>
          <w:rFonts w:cs="Arial"/>
          <w:color w:val="auto"/>
          <w:spacing w:val="0"/>
          <w:kern w:val="28"/>
          <w:sz w:val="20"/>
          <w:szCs w:val="20"/>
        </w:rPr>
        <w:t>8</w:t>
      </w:r>
      <w:r w:rsidRPr="00B217DC">
        <w:rPr>
          <w:rFonts w:cs="Arial"/>
          <w:color w:val="auto"/>
          <w:spacing w:val="0"/>
          <w:kern w:val="28"/>
          <w:sz w:val="20"/>
          <w:szCs w:val="20"/>
        </w:rPr>
        <w:t xml:space="preserve"> were met and exceeded. This amounts to a </w:t>
      </w:r>
      <w:r w:rsidR="00EA48E3" w:rsidRPr="00B217DC">
        <w:rPr>
          <w:rFonts w:cs="Arial"/>
          <w:color w:val="auto"/>
          <w:spacing w:val="0"/>
          <w:kern w:val="28"/>
          <w:sz w:val="20"/>
          <w:szCs w:val="20"/>
        </w:rPr>
        <w:t>100</w:t>
      </w:r>
      <w:r w:rsidRPr="00B217DC">
        <w:rPr>
          <w:rFonts w:cs="Arial"/>
          <w:color w:val="auto"/>
          <w:spacing w:val="0"/>
          <w:kern w:val="28"/>
          <w:sz w:val="20"/>
          <w:szCs w:val="20"/>
        </w:rPr>
        <w:t xml:space="preserve">% achievement of the planned targets in its Annual Performance Plan. The performance of the NYDA has remained fairly consistent </w:t>
      </w:r>
      <w:r w:rsidR="00EA48E3" w:rsidRPr="00B217DC">
        <w:rPr>
          <w:rFonts w:cs="Arial"/>
          <w:color w:val="auto"/>
          <w:spacing w:val="0"/>
          <w:kern w:val="28"/>
          <w:sz w:val="20"/>
          <w:szCs w:val="20"/>
        </w:rPr>
        <w:t>over the last eight years</w:t>
      </w:r>
      <w:r w:rsidRPr="00B217DC">
        <w:rPr>
          <w:rFonts w:cs="Arial"/>
          <w:color w:val="auto"/>
          <w:spacing w:val="0"/>
          <w:kern w:val="28"/>
          <w:sz w:val="20"/>
          <w:szCs w:val="20"/>
        </w:rPr>
        <w:t xml:space="preserve">. </w:t>
      </w:r>
      <w:r w:rsidR="00776674" w:rsidRPr="00B217DC">
        <w:rPr>
          <w:rFonts w:cs="Arial"/>
          <w:color w:val="auto"/>
          <w:spacing w:val="0"/>
          <w:kern w:val="28"/>
          <w:sz w:val="20"/>
          <w:szCs w:val="20"/>
          <w:lang w:val="en-GB"/>
        </w:rPr>
        <w:t>The next section examines the performance of the NYDA for each Programme in light of the Annual Report 202</w:t>
      </w:r>
      <w:r w:rsidR="00914E27" w:rsidRPr="00B217DC">
        <w:rPr>
          <w:rFonts w:cs="Arial"/>
          <w:color w:val="auto"/>
          <w:spacing w:val="0"/>
          <w:kern w:val="28"/>
          <w:sz w:val="20"/>
          <w:szCs w:val="20"/>
          <w:lang w:val="en-GB"/>
        </w:rPr>
        <w:t>1/22</w:t>
      </w:r>
      <w:r w:rsidR="00776674" w:rsidRPr="00B217DC">
        <w:rPr>
          <w:rFonts w:cs="Arial"/>
          <w:color w:val="auto"/>
          <w:spacing w:val="0"/>
          <w:kern w:val="28"/>
          <w:sz w:val="20"/>
          <w:szCs w:val="20"/>
          <w:lang w:val="en-GB"/>
        </w:rPr>
        <w:t>.</w:t>
      </w:r>
    </w:p>
    <w:p w:rsidR="0009770B" w:rsidRPr="00B217DC" w:rsidRDefault="0009770B" w:rsidP="00B217DC">
      <w:pPr>
        <w:ind w:left="66"/>
        <w:contextualSpacing/>
        <w:rPr>
          <w:rFonts w:cs="Arial"/>
          <w:color w:val="auto"/>
          <w:spacing w:val="0"/>
          <w:kern w:val="28"/>
          <w:sz w:val="20"/>
          <w:szCs w:val="20"/>
          <w:lang w:val="en-GB"/>
        </w:rPr>
      </w:pPr>
    </w:p>
    <w:p w:rsidR="00C202CD" w:rsidRPr="00B217DC" w:rsidRDefault="00C202CD" w:rsidP="00B217DC">
      <w:pPr>
        <w:ind w:left="66"/>
        <w:contextualSpacing/>
        <w:rPr>
          <w:rFonts w:cs="Arial"/>
          <w:b/>
          <w:color w:val="auto"/>
          <w:spacing w:val="0"/>
          <w:kern w:val="28"/>
          <w:sz w:val="20"/>
          <w:szCs w:val="20"/>
          <w:lang w:val="en-GB"/>
        </w:rPr>
      </w:pPr>
      <w:r w:rsidRPr="00B217DC">
        <w:rPr>
          <w:rFonts w:cs="Arial"/>
          <w:b/>
          <w:color w:val="auto"/>
          <w:spacing w:val="0"/>
          <w:kern w:val="28"/>
          <w:sz w:val="20"/>
          <w:szCs w:val="20"/>
          <w:lang w:val="en-GB"/>
        </w:rPr>
        <w:t>11.1 Performance per Programme</w:t>
      </w:r>
    </w:p>
    <w:p w:rsidR="000B0646" w:rsidRPr="00B217DC" w:rsidRDefault="000B0646" w:rsidP="00B217DC">
      <w:pPr>
        <w:ind w:left="66"/>
        <w:contextualSpacing/>
        <w:rPr>
          <w:rFonts w:cs="Arial"/>
          <w:b/>
          <w:color w:val="auto"/>
          <w:spacing w:val="0"/>
          <w:kern w:val="28"/>
          <w:sz w:val="20"/>
          <w:szCs w:val="20"/>
        </w:rPr>
      </w:pPr>
      <w:r w:rsidRPr="00B217DC">
        <w:rPr>
          <w:rFonts w:cs="Arial"/>
          <w:b/>
          <w:bCs/>
          <w:color w:val="auto"/>
          <w:spacing w:val="0"/>
          <w:kern w:val="28"/>
          <w:sz w:val="20"/>
          <w:szCs w:val="20"/>
        </w:rPr>
        <w:t>11.1</w:t>
      </w:r>
      <w:r w:rsidR="00C202CD" w:rsidRPr="00B217DC">
        <w:rPr>
          <w:rFonts w:cs="Arial"/>
          <w:b/>
          <w:bCs/>
          <w:color w:val="auto"/>
          <w:spacing w:val="0"/>
          <w:kern w:val="28"/>
          <w:sz w:val="20"/>
          <w:szCs w:val="20"/>
        </w:rPr>
        <w:t>.1</w:t>
      </w:r>
      <w:r w:rsidRPr="00B217DC">
        <w:rPr>
          <w:rFonts w:cs="Arial"/>
          <w:b/>
          <w:bCs/>
          <w:color w:val="auto"/>
          <w:spacing w:val="0"/>
          <w:kern w:val="28"/>
          <w:sz w:val="20"/>
          <w:szCs w:val="20"/>
        </w:rPr>
        <w:t xml:space="preserve"> Programme 1: </w:t>
      </w:r>
      <w:r w:rsidRPr="00B217DC">
        <w:rPr>
          <w:rFonts w:cs="Arial"/>
          <w:b/>
          <w:color w:val="auto"/>
          <w:spacing w:val="0"/>
          <w:kern w:val="28"/>
          <w:sz w:val="20"/>
          <w:szCs w:val="20"/>
        </w:rPr>
        <w:t>Administration</w:t>
      </w:r>
    </w:p>
    <w:p w:rsidR="000B0646" w:rsidRPr="00B217DC" w:rsidRDefault="000B0646" w:rsidP="00B217DC">
      <w:pPr>
        <w:ind w:left="66"/>
        <w:contextualSpacing/>
        <w:rPr>
          <w:rFonts w:cs="Arial"/>
          <w:color w:val="auto"/>
          <w:spacing w:val="0"/>
          <w:kern w:val="28"/>
          <w:sz w:val="20"/>
          <w:szCs w:val="20"/>
        </w:rPr>
      </w:pPr>
    </w:p>
    <w:p w:rsidR="000B0646" w:rsidRPr="00B217DC" w:rsidRDefault="000B0646" w:rsidP="00B217DC">
      <w:pPr>
        <w:ind w:left="66"/>
        <w:contextualSpacing/>
        <w:rPr>
          <w:rFonts w:cs="Arial"/>
          <w:bCs/>
          <w:color w:val="auto"/>
          <w:spacing w:val="0"/>
          <w:kern w:val="28"/>
          <w:sz w:val="20"/>
          <w:szCs w:val="20"/>
        </w:rPr>
      </w:pPr>
      <w:r w:rsidRPr="00B217DC">
        <w:rPr>
          <w:rFonts w:cs="Arial"/>
          <w:color w:val="auto"/>
          <w:spacing w:val="0"/>
          <w:kern w:val="28"/>
          <w:sz w:val="20"/>
          <w:szCs w:val="20"/>
        </w:rPr>
        <w:t xml:space="preserve">The purpose of this programme is </w:t>
      </w:r>
      <w:r w:rsidR="00EC2856" w:rsidRPr="00B217DC">
        <w:rPr>
          <w:rFonts w:cs="Arial"/>
          <w:color w:val="auto"/>
          <w:spacing w:val="0"/>
          <w:kern w:val="28"/>
          <w:sz w:val="20"/>
          <w:szCs w:val="20"/>
        </w:rPr>
        <w:t xml:space="preserve">to </w:t>
      </w:r>
      <w:r w:rsidR="00EC2856" w:rsidRPr="00B217DC">
        <w:rPr>
          <w:rFonts w:cs="Arial"/>
          <w:bCs/>
          <w:color w:val="auto"/>
          <w:spacing w:val="0"/>
          <w:kern w:val="28"/>
          <w:sz w:val="20"/>
          <w:szCs w:val="20"/>
        </w:rPr>
        <w:t xml:space="preserve">enable effective and efficient Agency capabilities for good governance and ethical leadership to support service delivery. Its key outcome is an efficient </w:t>
      </w:r>
      <w:r w:rsidR="00D03C0E" w:rsidRPr="00B217DC">
        <w:rPr>
          <w:rFonts w:cs="Arial"/>
          <w:bCs/>
          <w:color w:val="auto"/>
          <w:spacing w:val="0"/>
          <w:kern w:val="28"/>
          <w:sz w:val="20"/>
          <w:szCs w:val="20"/>
        </w:rPr>
        <w:t>and effective Agency characteris</w:t>
      </w:r>
      <w:r w:rsidR="00EC2856" w:rsidRPr="00B217DC">
        <w:rPr>
          <w:rFonts w:cs="Arial"/>
          <w:bCs/>
          <w:color w:val="auto"/>
          <w:spacing w:val="0"/>
          <w:kern w:val="28"/>
          <w:sz w:val="20"/>
          <w:szCs w:val="20"/>
        </w:rPr>
        <w:t>ed by good corporate governance and ethical leadership.</w:t>
      </w:r>
    </w:p>
    <w:p w:rsidR="00EC2856" w:rsidRPr="00B217DC" w:rsidRDefault="00EC2856" w:rsidP="00B217DC">
      <w:pPr>
        <w:ind w:left="66"/>
        <w:contextualSpacing/>
        <w:rPr>
          <w:rFonts w:cs="Arial"/>
          <w:b/>
          <w:bCs/>
          <w:color w:val="auto"/>
          <w:spacing w:val="0"/>
          <w:kern w:val="28"/>
          <w:sz w:val="20"/>
          <w:szCs w:val="20"/>
        </w:rPr>
      </w:pPr>
    </w:p>
    <w:p w:rsidR="000943B4" w:rsidRPr="00B217DC" w:rsidRDefault="000943B4" w:rsidP="00B217DC">
      <w:pPr>
        <w:ind w:left="66"/>
        <w:contextualSpacing/>
        <w:rPr>
          <w:rFonts w:cs="Arial"/>
          <w:bCs/>
          <w:color w:val="auto"/>
          <w:spacing w:val="0"/>
          <w:kern w:val="28"/>
          <w:sz w:val="20"/>
          <w:szCs w:val="20"/>
        </w:rPr>
      </w:pPr>
      <w:r w:rsidRPr="00B217DC">
        <w:rPr>
          <w:rFonts w:cs="Arial"/>
          <w:bCs/>
          <w:color w:val="auto"/>
          <w:spacing w:val="0"/>
          <w:kern w:val="28"/>
          <w:sz w:val="20"/>
          <w:szCs w:val="20"/>
        </w:rPr>
        <w:t xml:space="preserve">This programme achieved </w:t>
      </w:r>
      <w:r w:rsidR="00EA48E3" w:rsidRPr="00B217DC">
        <w:rPr>
          <w:rFonts w:cs="Arial"/>
          <w:bCs/>
          <w:color w:val="auto"/>
          <w:spacing w:val="0"/>
          <w:kern w:val="28"/>
          <w:sz w:val="20"/>
          <w:szCs w:val="20"/>
        </w:rPr>
        <w:t>10</w:t>
      </w:r>
      <w:r w:rsidRPr="00B217DC">
        <w:rPr>
          <w:rFonts w:cs="Arial"/>
          <w:bCs/>
          <w:color w:val="auto"/>
          <w:spacing w:val="0"/>
          <w:kern w:val="28"/>
          <w:sz w:val="20"/>
          <w:szCs w:val="20"/>
        </w:rPr>
        <w:t xml:space="preserve"> targets of which </w:t>
      </w:r>
      <w:r w:rsidR="006F65CC" w:rsidRPr="00B217DC">
        <w:rPr>
          <w:rFonts w:cs="Arial"/>
          <w:bCs/>
          <w:color w:val="auto"/>
          <w:spacing w:val="0"/>
          <w:kern w:val="28"/>
          <w:sz w:val="20"/>
          <w:szCs w:val="20"/>
        </w:rPr>
        <w:t>2</w:t>
      </w:r>
      <w:r w:rsidRPr="00B217DC">
        <w:rPr>
          <w:rFonts w:cs="Arial"/>
          <w:bCs/>
          <w:color w:val="auto"/>
          <w:spacing w:val="0"/>
          <w:kern w:val="28"/>
          <w:sz w:val="20"/>
          <w:szCs w:val="20"/>
        </w:rPr>
        <w:t xml:space="preserve"> target</w:t>
      </w:r>
      <w:r w:rsidR="008B35A4" w:rsidRPr="00B217DC">
        <w:rPr>
          <w:rFonts w:cs="Arial"/>
          <w:bCs/>
          <w:color w:val="auto"/>
          <w:spacing w:val="0"/>
          <w:kern w:val="28"/>
          <w:sz w:val="20"/>
          <w:szCs w:val="20"/>
        </w:rPr>
        <w:t>s</w:t>
      </w:r>
      <w:r w:rsidRPr="00B217DC">
        <w:rPr>
          <w:rFonts w:cs="Arial"/>
          <w:bCs/>
          <w:color w:val="auto"/>
          <w:spacing w:val="0"/>
          <w:kern w:val="28"/>
          <w:sz w:val="20"/>
          <w:szCs w:val="20"/>
        </w:rPr>
        <w:t xml:space="preserve"> were </w:t>
      </w:r>
      <w:r w:rsidR="006F65CC" w:rsidRPr="00B217DC">
        <w:rPr>
          <w:rFonts w:cs="Arial"/>
          <w:bCs/>
          <w:color w:val="auto"/>
          <w:spacing w:val="0"/>
          <w:kern w:val="28"/>
          <w:sz w:val="20"/>
          <w:szCs w:val="20"/>
        </w:rPr>
        <w:t xml:space="preserve">met and </w:t>
      </w:r>
      <w:r w:rsidRPr="00B217DC">
        <w:rPr>
          <w:rFonts w:cs="Arial"/>
          <w:bCs/>
          <w:color w:val="auto"/>
          <w:spacing w:val="0"/>
          <w:kern w:val="28"/>
          <w:sz w:val="20"/>
          <w:szCs w:val="20"/>
        </w:rPr>
        <w:t>exceeded.</w:t>
      </w:r>
      <w:r w:rsidR="0009770B" w:rsidRPr="00B217DC">
        <w:rPr>
          <w:rFonts w:cs="Arial"/>
          <w:bCs/>
          <w:color w:val="auto"/>
          <w:spacing w:val="0"/>
          <w:kern w:val="28"/>
          <w:sz w:val="20"/>
          <w:szCs w:val="20"/>
        </w:rPr>
        <w:t xml:space="preserve"> The achievements were as follows:</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4 NYDA Quarterly Management Reports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 Reviewed and Implemented Annual Workplace Skills Plan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R 70 million in funds sourced from the public or private sectors to support youth development programmes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6 SETA partnerships established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2 partnerships signed with technology companies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Review and implement ICT Strategic Plan indicating 50% achievement of ICT targets in the plan by end of the financial year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Reviewed and implemented Integrated Communication and Marketing Strategy </w:t>
      </w:r>
    </w:p>
    <w:p w:rsidR="00EA48E3"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 xml:space="preserve">Produce and approve the NYDA Strategic Risk Register by Ops Exco </w:t>
      </w:r>
    </w:p>
    <w:p w:rsidR="0009770B" w:rsidRPr="00B217DC" w:rsidRDefault="00EA48E3" w:rsidP="00B217DC">
      <w:pPr>
        <w:pStyle w:val="ListParagraph"/>
        <w:numPr>
          <w:ilvl w:val="0"/>
          <w:numId w:val="153"/>
        </w:numPr>
        <w:rPr>
          <w:rFonts w:cs="Arial"/>
          <w:bCs/>
          <w:color w:val="auto"/>
          <w:spacing w:val="0"/>
          <w:kern w:val="28"/>
          <w:sz w:val="20"/>
          <w:szCs w:val="20"/>
        </w:rPr>
      </w:pPr>
      <w:r w:rsidRPr="00B217DC">
        <w:rPr>
          <w:rFonts w:cs="Arial"/>
          <w:bCs/>
          <w:color w:val="auto"/>
          <w:spacing w:val="0"/>
          <w:kern w:val="28"/>
          <w:sz w:val="20"/>
          <w:szCs w:val="20"/>
        </w:rPr>
        <w:t>Reviewed annual SCM Procurement Plan and produced quarterly reports 10. Annual Report on partnerships established with Disability organisations to promote youth development</w:t>
      </w:r>
    </w:p>
    <w:p w:rsidR="007405B1" w:rsidRPr="00B217DC" w:rsidRDefault="007405B1" w:rsidP="00B217DC">
      <w:pPr>
        <w:ind w:left="66"/>
        <w:contextualSpacing/>
        <w:rPr>
          <w:rFonts w:cs="Arial"/>
          <w:b/>
          <w:bCs/>
          <w:color w:val="auto"/>
          <w:spacing w:val="0"/>
          <w:kern w:val="28"/>
          <w:sz w:val="20"/>
          <w:szCs w:val="20"/>
        </w:rPr>
      </w:pPr>
    </w:p>
    <w:p w:rsidR="000B0646" w:rsidRPr="00B217DC" w:rsidRDefault="000B0646" w:rsidP="00B217DC">
      <w:pPr>
        <w:ind w:left="66"/>
        <w:contextualSpacing/>
        <w:rPr>
          <w:rFonts w:cs="Arial"/>
          <w:color w:val="auto"/>
          <w:spacing w:val="0"/>
          <w:kern w:val="28"/>
          <w:sz w:val="20"/>
          <w:szCs w:val="20"/>
        </w:rPr>
      </w:pPr>
      <w:r w:rsidRPr="00B217DC">
        <w:rPr>
          <w:rFonts w:cs="Arial"/>
          <w:b/>
          <w:bCs/>
          <w:color w:val="auto"/>
          <w:spacing w:val="0"/>
          <w:kern w:val="28"/>
          <w:sz w:val="20"/>
          <w:szCs w:val="20"/>
        </w:rPr>
        <w:lastRenderedPageBreak/>
        <w:t>11.</w:t>
      </w:r>
      <w:r w:rsidR="00C202CD" w:rsidRPr="00B217DC">
        <w:rPr>
          <w:rFonts w:cs="Arial"/>
          <w:b/>
          <w:bCs/>
          <w:color w:val="auto"/>
          <w:spacing w:val="0"/>
          <w:kern w:val="28"/>
          <w:sz w:val="20"/>
          <w:szCs w:val="20"/>
        </w:rPr>
        <w:t>1.2</w:t>
      </w:r>
      <w:r w:rsidRPr="00B217DC">
        <w:rPr>
          <w:rFonts w:cs="Arial"/>
          <w:b/>
          <w:bCs/>
          <w:color w:val="auto"/>
          <w:spacing w:val="0"/>
          <w:kern w:val="28"/>
          <w:sz w:val="20"/>
          <w:szCs w:val="20"/>
        </w:rPr>
        <w:t xml:space="preserve"> Programme 2: </w:t>
      </w:r>
      <w:r w:rsidRPr="00B217DC">
        <w:rPr>
          <w:rFonts w:cs="Arial"/>
          <w:b/>
          <w:color w:val="auto"/>
          <w:spacing w:val="0"/>
          <w:kern w:val="28"/>
          <w:sz w:val="20"/>
          <w:szCs w:val="20"/>
        </w:rPr>
        <w:t>Programme Design, Development and Delivery (PDDD)</w:t>
      </w:r>
    </w:p>
    <w:p w:rsidR="000B0646" w:rsidRPr="00B217DC" w:rsidRDefault="000B0646" w:rsidP="00B217DC">
      <w:pPr>
        <w:ind w:left="66"/>
        <w:contextualSpacing/>
        <w:rPr>
          <w:rFonts w:cs="Arial"/>
          <w:color w:val="auto"/>
          <w:spacing w:val="0"/>
          <w:kern w:val="28"/>
          <w:sz w:val="20"/>
          <w:szCs w:val="20"/>
        </w:rPr>
      </w:pPr>
    </w:p>
    <w:p w:rsidR="00D03C0E" w:rsidRPr="00B217DC" w:rsidRDefault="00EA48E3" w:rsidP="00B217DC">
      <w:pPr>
        <w:ind w:left="66"/>
        <w:contextualSpacing/>
        <w:rPr>
          <w:rFonts w:cs="Arial"/>
          <w:color w:val="auto"/>
          <w:spacing w:val="0"/>
          <w:kern w:val="28"/>
          <w:sz w:val="20"/>
          <w:szCs w:val="20"/>
        </w:rPr>
      </w:pPr>
      <w:r w:rsidRPr="00B217DC">
        <w:rPr>
          <w:rFonts w:cs="Arial"/>
          <w:color w:val="auto"/>
          <w:spacing w:val="0"/>
          <w:kern w:val="28"/>
          <w:sz w:val="20"/>
          <w:szCs w:val="20"/>
        </w:rPr>
        <w:t>The purpose of the programme is to enhance the participation of young people in the economy through targeted and integrated economic programmes, including skills and education programmes, and national youth services. Facilitate and co-ordinate the effective and efficient implementation of the Nation Youth Service Programmes across all sectors of society.</w:t>
      </w:r>
    </w:p>
    <w:p w:rsidR="00EA48E3" w:rsidRPr="00B217DC" w:rsidRDefault="00EA48E3" w:rsidP="00B217DC">
      <w:pPr>
        <w:ind w:left="66"/>
        <w:contextualSpacing/>
        <w:rPr>
          <w:rFonts w:cs="Arial"/>
          <w:bCs/>
          <w:color w:val="auto"/>
          <w:spacing w:val="0"/>
          <w:kern w:val="28"/>
          <w:sz w:val="20"/>
          <w:szCs w:val="20"/>
        </w:rPr>
      </w:pPr>
    </w:p>
    <w:p w:rsidR="000943B4" w:rsidRPr="00B217DC" w:rsidRDefault="000943B4" w:rsidP="00B217DC">
      <w:pPr>
        <w:ind w:left="66"/>
        <w:contextualSpacing/>
        <w:rPr>
          <w:rFonts w:cs="Arial"/>
          <w:bCs/>
          <w:color w:val="auto"/>
          <w:spacing w:val="0"/>
          <w:kern w:val="28"/>
          <w:sz w:val="20"/>
          <w:szCs w:val="20"/>
        </w:rPr>
      </w:pPr>
      <w:r w:rsidRPr="00B217DC">
        <w:rPr>
          <w:rFonts w:cs="Arial"/>
          <w:bCs/>
          <w:color w:val="auto"/>
          <w:spacing w:val="0"/>
          <w:kern w:val="28"/>
          <w:sz w:val="20"/>
          <w:szCs w:val="20"/>
        </w:rPr>
        <w:t xml:space="preserve">This programme achieved </w:t>
      </w:r>
      <w:r w:rsidR="00EA48E3" w:rsidRPr="00B217DC">
        <w:rPr>
          <w:rFonts w:cs="Arial"/>
          <w:bCs/>
          <w:color w:val="auto"/>
          <w:spacing w:val="0"/>
          <w:kern w:val="28"/>
          <w:sz w:val="20"/>
          <w:szCs w:val="20"/>
        </w:rPr>
        <w:t>9</w:t>
      </w:r>
      <w:r w:rsidRPr="00B217DC">
        <w:rPr>
          <w:rFonts w:cs="Arial"/>
          <w:bCs/>
          <w:color w:val="auto"/>
          <w:spacing w:val="0"/>
          <w:kern w:val="28"/>
          <w:sz w:val="20"/>
          <w:szCs w:val="20"/>
        </w:rPr>
        <w:t xml:space="preserve"> targets of which </w:t>
      </w:r>
      <w:r w:rsidR="006F65CC" w:rsidRPr="00B217DC">
        <w:rPr>
          <w:rFonts w:cs="Arial"/>
          <w:bCs/>
          <w:color w:val="auto"/>
          <w:spacing w:val="0"/>
          <w:kern w:val="28"/>
          <w:sz w:val="20"/>
          <w:szCs w:val="20"/>
        </w:rPr>
        <w:t>5</w:t>
      </w:r>
      <w:r w:rsidRPr="00B217DC">
        <w:rPr>
          <w:rFonts w:cs="Arial"/>
          <w:bCs/>
          <w:color w:val="auto"/>
          <w:spacing w:val="0"/>
          <w:kern w:val="28"/>
          <w:sz w:val="20"/>
          <w:szCs w:val="20"/>
        </w:rPr>
        <w:t xml:space="preserve"> targets were</w:t>
      </w:r>
      <w:r w:rsidR="006F65CC" w:rsidRPr="00B217DC">
        <w:rPr>
          <w:rFonts w:cs="Arial"/>
          <w:bCs/>
          <w:color w:val="auto"/>
          <w:spacing w:val="0"/>
          <w:kern w:val="28"/>
          <w:sz w:val="20"/>
          <w:szCs w:val="20"/>
        </w:rPr>
        <w:t xml:space="preserve"> met and</w:t>
      </w:r>
      <w:r w:rsidRPr="00B217DC">
        <w:rPr>
          <w:rFonts w:cs="Arial"/>
          <w:bCs/>
          <w:color w:val="auto"/>
          <w:spacing w:val="0"/>
          <w:kern w:val="28"/>
          <w:sz w:val="20"/>
          <w:szCs w:val="20"/>
        </w:rPr>
        <w:t xml:space="preserve"> exceeded</w:t>
      </w:r>
      <w:r w:rsidR="00485490" w:rsidRPr="00B217DC">
        <w:rPr>
          <w:rFonts w:cs="Arial"/>
          <w:bCs/>
          <w:color w:val="auto"/>
          <w:spacing w:val="0"/>
          <w:kern w:val="28"/>
          <w:sz w:val="20"/>
          <w:szCs w:val="20"/>
        </w:rPr>
        <w:t>.</w:t>
      </w:r>
      <w:r w:rsidR="00776674" w:rsidRPr="00B217DC">
        <w:rPr>
          <w:rFonts w:cs="Arial"/>
          <w:bCs/>
          <w:color w:val="auto"/>
          <w:spacing w:val="0"/>
          <w:kern w:val="28"/>
          <w:sz w:val="20"/>
          <w:szCs w:val="20"/>
        </w:rPr>
        <w:t xml:space="preserve"> The achievements were noted as follows:</w:t>
      </w:r>
    </w:p>
    <w:p w:rsidR="00776674" w:rsidRPr="00B217DC" w:rsidRDefault="00776674" w:rsidP="00B217DC">
      <w:pPr>
        <w:ind w:left="66"/>
        <w:contextualSpacing/>
        <w:rPr>
          <w:rFonts w:cs="Arial"/>
          <w:bCs/>
          <w:color w:val="auto"/>
          <w:spacing w:val="0"/>
          <w:kern w:val="28"/>
          <w:sz w:val="20"/>
          <w:szCs w:val="20"/>
        </w:rPr>
      </w:pP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1100 youth owned enterprises supported with financial interventions. (New target: 2000)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20 000 youth supported with non-financial business development interventions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5000 jobs created and sustained through supporting entrepreneurs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Enterprises (New target: 6000)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Participate on the National Pathway Management Network to facilitate youth job placement opportunities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50 000 young people capacitated with skills to enter the job market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40 organisations and departments lobbied to implement NYS </w:t>
      </w:r>
    </w:p>
    <w:p w:rsidR="00EA48E3"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 xml:space="preserve">Produce an annual report on the NYS Programme </w:t>
      </w:r>
    </w:p>
    <w:p w:rsidR="000943B4" w:rsidRPr="00B217DC" w:rsidRDefault="00EA48E3" w:rsidP="00B217DC">
      <w:pPr>
        <w:pStyle w:val="ListParagraph"/>
        <w:numPr>
          <w:ilvl w:val="0"/>
          <w:numId w:val="154"/>
        </w:numPr>
        <w:rPr>
          <w:rFonts w:cs="Arial"/>
          <w:color w:val="auto"/>
          <w:spacing w:val="0"/>
          <w:kern w:val="28"/>
          <w:sz w:val="20"/>
          <w:szCs w:val="20"/>
        </w:rPr>
      </w:pPr>
      <w:r w:rsidRPr="00B217DC">
        <w:rPr>
          <w:rFonts w:cs="Arial"/>
          <w:color w:val="auto"/>
          <w:spacing w:val="0"/>
          <w:kern w:val="28"/>
          <w:sz w:val="20"/>
          <w:szCs w:val="20"/>
        </w:rPr>
        <w:t>10 000 young people participating in NYS Expanded Volunteer Projects (New target: 30 000)</w:t>
      </w:r>
      <w:r w:rsidR="0009770B" w:rsidRPr="00B217DC">
        <w:rPr>
          <w:rFonts w:cs="Arial"/>
          <w:color w:val="auto"/>
          <w:spacing w:val="0"/>
          <w:kern w:val="28"/>
          <w:sz w:val="20"/>
          <w:szCs w:val="20"/>
        </w:rPr>
        <w:t>.</w:t>
      </w:r>
    </w:p>
    <w:p w:rsidR="001E5C04" w:rsidRPr="00B217DC" w:rsidRDefault="001E5C04" w:rsidP="00B217DC">
      <w:pPr>
        <w:ind w:left="66"/>
        <w:contextualSpacing/>
        <w:rPr>
          <w:rFonts w:cs="Arial"/>
          <w:color w:val="auto"/>
          <w:spacing w:val="0"/>
          <w:kern w:val="28"/>
          <w:sz w:val="20"/>
          <w:szCs w:val="20"/>
        </w:rPr>
      </w:pPr>
    </w:p>
    <w:p w:rsidR="000B0646" w:rsidRPr="00B217DC" w:rsidRDefault="000B0646" w:rsidP="00B217DC">
      <w:pPr>
        <w:ind w:left="66"/>
        <w:contextualSpacing/>
        <w:rPr>
          <w:rFonts w:cs="Arial"/>
          <w:color w:val="auto"/>
          <w:spacing w:val="0"/>
          <w:kern w:val="28"/>
          <w:sz w:val="20"/>
          <w:szCs w:val="20"/>
        </w:rPr>
      </w:pPr>
      <w:r w:rsidRPr="00B217DC">
        <w:rPr>
          <w:rFonts w:cs="Arial"/>
          <w:b/>
          <w:color w:val="auto"/>
          <w:spacing w:val="0"/>
          <w:kern w:val="28"/>
          <w:sz w:val="20"/>
          <w:szCs w:val="20"/>
        </w:rPr>
        <w:t>11.</w:t>
      </w:r>
      <w:r w:rsidR="00C202CD" w:rsidRPr="00B217DC">
        <w:rPr>
          <w:rFonts w:cs="Arial"/>
          <w:b/>
          <w:color w:val="auto"/>
          <w:spacing w:val="0"/>
          <w:kern w:val="28"/>
          <w:sz w:val="20"/>
          <w:szCs w:val="20"/>
        </w:rPr>
        <w:t>1.</w:t>
      </w:r>
      <w:r w:rsidRPr="00B217DC">
        <w:rPr>
          <w:rFonts w:cs="Arial"/>
          <w:b/>
          <w:color w:val="auto"/>
          <w:spacing w:val="0"/>
          <w:kern w:val="28"/>
          <w:sz w:val="20"/>
          <w:szCs w:val="20"/>
        </w:rPr>
        <w:t xml:space="preserve">3 Programme 3: </w:t>
      </w:r>
      <w:r w:rsidR="006F65CC" w:rsidRPr="00B217DC">
        <w:rPr>
          <w:rFonts w:cs="Arial"/>
          <w:b/>
          <w:color w:val="auto"/>
          <w:spacing w:val="0"/>
          <w:kern w:val="28"/>
          <w:sz w:val="20"/>
          <w:szCs w:val="20"/>
        </w:rPr>
        <w:t>Integrated Youth Development</w:t>
      </w:r>
    </w:p>
    <w:p w:rsidR="000B0646" w:rsidRPr="00B217DC" w:rsidRDefault="000B0646" w:rsidP="00B217DC">
      <w:pPr>
        <w:ind w:left="66"/>
        <w:contextualSpacing/>
        <w:rPr>
          <w:rFonts w:cs="Arial"/>
          <w:color w:val="auto"/>
          <w:spacing w:val="0"/>
          <w:kern w:val="28"/>
          <w:sz w:val="20"/>
          <w:szCs w:val="20"/>
        </w:rPr>
      </w:pPr>
    </w:p>
    <w:p w:rsidR="000B0646" w:rsidRPr="00B217DC" w:rsidRDefault="006F65CC" w:rsidP="00B217DC">
      <w:pPr>
        <w:ind w:left="66"/>
        <w:contextualSpacing/>
        <w:rPr>
          <w:rFonts w:cs="Arial"/>
          <w:color w:val="auto"/>
          <w:spacing w:val="0"/>
          <w:kern w:val="28"/>
          <w:sz w:val="20"/>
          <w:szCs w:val="20"/>
        </w:rPr>
      </w:pPr>
      <w:r w:rsidRPr="00B217DC">
        <w:rPr>
          <w:rFonts w:cs="Arial"/>
          <w:color w:val="auto"/>
          <w:spacing w:val="0"/>
          <w:kern w:val="28"/>
          <w:sz w:val="20"/>
          <w:szCs w:val="20"/>
        </w:rPr>
        <w:t>The purpose focuses on fostering a mainstreamed, evidence based, integrated and result oriented youth development.</w:t>
      </w:r>
    </w:p>
    <w:p w:rsidR="006F65CC" w:rsidRPr="00B217DC" w:rsidRDefault="006F65CC" w:rsidP="00B217DC">
      <w:pPr>
        <w:ind w:left="66"/>
        <w:contextualSpacing/>
        <w:rPr>
          <w:rFonts w:cs="Arial"/>
          <w:color w:val="auto"/>
          <w:spacing w:val="0"/>
          <w:kern w:val="28"/>
          <w:sz w:val="20"/>
          <w:szCs w:val="20"/>
        </w:rPr>
      </w:pPr>
    </w:p>
    <w:p w:rsidR="000943B4" w:rsidRPr="00B217DC" w:rsidRDefault="000943B4" w:rsidP="00B217DC">
      <w:pPr>
        <w:ind w:left="66"/>
        <w:contextualSpacing/>
        <w:rPr>
          <w:rFonts w:cs="Arial"/>
          <w:color w:val="auto"/>
          <w:spacing w:val="0"/>
          <w:kern w:val="28"/>
          <w:sz w:val="20"/>
          <w:szCs w:val="20"/>
        </w:rPr>
      </w:pPr>
      <w:r w:rsidRPr="00B217DC">
        <w:rPr>
          <w:rFonts w:cs="Arial"/>
          <w:color w:val="auto"/>
          <w:spacing w:val="0"/>
          <w:kern w:val="28"/>
          <w:sz w:val="20"/>
          <w:szCs w:val="20"/>
        </w:rPr>
        <w:t xml:space="preserve">This programme achieved </w:t>
      </w:r>
      <w:r w:rsidR="006F65CC" w:rsidRPr="00B217DC">
        <w:rPr>
          <w:rFonts w:cs="Arial"/>
          <w:color w:val="auto"/>
          <w:spacing w:val="0"/>
          <w:kern w:val="28"/>
          <w:sz w:val="20"/>
          <w:szCs w:val="20"/>
        </w:rPr>
        <w:t xml:space="preserve">all </w:t>
      </w:r>
      <w:r w:rsidR="004D36D7" w:rsidRPr="00B217DC">
        <w:rPr>
          <w:rFonts w:cs="Arial"/>
          <w:color w:val="auto"/>
          <w:spacing w:val="0"/>
          <w:kern w:val="28"/>
          <w:sz w:val="20"/>
          <w:szCs w:val="20"/>
        </w:rPr>
        <w:t>5</w:t>
      </w:r>
      <w:r w:rsidRPr="00B217DC">
        <w:rPr>
          <w:rFonts w:cs="Arial"/>
          <w:color w:val="auto"/>
          <w:spacing w:val="0"/>
          <w:kern w:val="28"/>
          <w:sz w:val="20"/>
          <w:szCs w:val="20"/>
        </w:rPr>
        <w:t xml:space="preserve"> targets </w:t>
      </w:r>
      <w:r w:rsidR="006F65CC" w:rsidRPr="00B217DC">
        <w:rPr>
          <w:rFonts w:cs="Arial"/>
          <w:color w:val="auto"/>
          <w:spacing w:val="0"/>
          <w:kern w:val="28"/>
          <w:sz w:val="20"/>
          <w:szCs w:val="20"/>
        </w:rPr>
        <w:t>4 of which were met and</w:t>
      </w:r>
      <w:r w:rsidRPr="00B217DC">
        <w:rPr>
          <w:rFonts w:cs="Arial"/>
          <w:color w:val="auto"/>
          <w:spacing w:val="0"/>
          <w:kern w:val="28"/>
          <w:sz w:val="20"/>
          <w:szCs w:val="20"/>
        </w:rPr>
        <w:t xml:space="preserve"> exceeded.</w:t>
      </w:r>
      <w:r w:rsidR="00776674" w:rsidRPr="00B217DC">
        <w:rPr>
          <w:rFonts w:cs="Arial"/>
          <w:color w:val="auto"/>
          <w:spacing w:val="0"/>
          <w:kern w:val="28"/>
          <w:sz w:val="20"/>
          <w:szCs w:val="20"/>
        </w:rPr>
        <w:t xml:space="preserve"> The achievements were noted as follows:</w:t>
      </w:r>
    </w:p>
    <w:p w:rsidR="00776674" w:rsidRPr="00B217DC" w:rsidRDefault="001A7909" w:rsidP="00B217DC">
      <w:pPr>
        <w:tabs>
          <w:tab w:val="left" w:pos="2490"/>
        </w:tabs>
        <w:ind w:left="66"/>
        <w:contextualSpacing/>
        <w:rPr>
          <w:rFonts w:cs="Arial"/>
          <w:color w:val="auto"/>
          <w:spacing w:val="0"/>
          <w:kern w:val="28"/>
          <w:sz w:val="20"/>
          <w:szCs w:val="20"/>
        </w:rPr>
      </w:pPr>
      <w:r w:rsidRPr="00B217DC">
        <w:rPr>
          <w:rFonts w:cs="Arial"/>
          <w:color w:val="auto"/>
          <w:spacing w:val="0"/>
          <w:kern w:val="28"/>
          <w:sz w:val="20"/>
          <w:szCs w:val="20"/>
        </w:rPr>
        <w:tab/>
      </w:r>
    </w:p>
    <w:p w:rsidR="006F65CC" w:rsidRPr="00B217DC" w:rsidRDefault="006F65CC" w:rsidP="00B217DC">
      <w:pPr>
        <w:rPr>
          <w:rFonts w:cs="Arial"/>
          <w:color w:val="auto"/>
          <w:spacing w:val="0"/>
          <w:kern w:val="28"/>
          <w:sz w:val="20"/>
          <w:szCs w:val="20"/>
        </w:rPr>
      </w:pPr>
      <w:r w:rsidRPr="00B217DC">
        <w:rPr>
          <w:rFonts w:cs="Arial"/>
          <w:color w:val="auto"/>
          <w:spacing w:val="0"/>
          <w:kern w:val="28"/>
          <w:sz w:val="20"/>
          <w:szCs w:val="20"/>
        </w:rPr>
        <w:t xml:space="preserve">1. 2 impact programme evaluations conducted </w:t>
      </w:r>
    </w:p>
    <w:p w:rsidR="006F65CC" w:rsidRPr="00B217DC" w:rsidRDefault="006F65CC" w:rsidP="00B217DC">
      <w:pPr>
        <w:rPr>
          <w:rFonts w:cs="Arial"/>
          <w:color w:val="auto"/>
          <w:spacing w:val="0"/>
          <w:kern w:val="28"/>
          <w:sz w:val="20"/>
          <w:szCs w:val="20"/>
        </w:rPr>
      </w:pPr>
      <w:r w:rsidRPr="00B217DC">
        <w:rPr>
          <w:rFonts w:cs="Arial"/>
          <w:color w:val="auto"/>
          <w:spacing w:val="0"/>
          <w:kern w:val="28"/>
          <w:sz w:val="20"/>
          <w:szCs w:val="20"/>
        </w:rPr>
        <w:t xml:space="preserve">2. Produce annual report on Integrated Youth Development Strategy </w:t>
      </w:r>
    </w:p>
    <w:p w:rsidR="006F65CC" w:rsidRPr="00B217DC" w:rsidRDefault="006F65CC" w:rsidP="00B217DC">
      <w:pPr>
        <w:rPr>
          <w:rFonts w:cs="Arial"/>
          <w:color w:val="auto"/>
          <w:spacing w:val="0"/>
          <w:kern w:val="28"/>
          <w:sz w:val="20"/>
          <w:szCs w:val="20"/>
        </w:rPr>
      </w:pPr>
      <w:r w:rsidRPr="00B217DC">
        <w:rPr>
          <w:rFonts w:cs="Arial"/>
          <w:color w:val="auto"/>
          <w:spacing w:val="0"/>
          <w:kern w:val="28"/>
          <w:sz w:val="20"/>
          <w:szCs w:val="20"/>
        </w:rPr>
        <w:t xml:space="preserve">3. 3 youth status outlook reports produced </w:t>
      </w:r>
    </w:p>
    <w:p w:rsidR="00CA1A17" w:rsidRPr="00B217DC" w:rsidRDefault="006F65CC" w:rsidP="00B217DC">
      <w:pPr>
        <w:rPr>
          <w:rFonts w:cs="Arial"/>
          <w:color w:val="auto"/>
          <w:spacing w:val="0"/>
          <w:kern w:val="28"/>
          <w:sz w:val="20"/>
          <w:szCs w:val="20"/>
        </w:rPr>
      </w:pPr>
      <w:r w:rsidRPr="00B217DC">
        <w:rPr>
          <w:rFonts w:cs="Arial"/>
          <w:color w:val="auto"/>
          <w:spacing w:val="0"/>
          <w:kern w:val="28"/>
          <w:sz w:val="20"/>
          <w:szCs w:val="20"/>
        </w:rPr>
        <w:t>4. Develop a discussion document on youth development in the country</w:t>
      </w:r>
    </w:p>
    <w:p w:rsidR="00CA1A17" w:rsidRPr="00B217DC" w:rsidRDefault="00CA1A17" w:rsidP="00B217DC">
      <w:pPr>
        <w:ind w:left="66"/>
        <w:contextualSpacing/>
        <w:rPr>
          <w:rFonts w:cs="Arial"/>
          <w:color w:val="auto"/>
          <w:spacing w:val="0"/>
          <w:kern w:val="28"/>
          <w:sz w:val="20"/>
          <w:szCs w:val="20"/>
        </w:rPr>
      </w:pPr>
    </w:p>
    <w:p w:rsidR="00C202CD" w:rsidRPr="00B217DC" w:rsidRDefault="00C202CD" w:rsidP="00B217DC">
      <w:pPr>
        <w:ind w:left="66"/>
        <w:contextualSpacing/>
        <w:rPr>
          <w:rFonts w:cs="Arial"/>
          <w:b/>
          <w:color w:val="auto"/>
          <w:spacing w:val="0"/>
          <w:kern w:val="28"/>
          <w:sz w:val="20"/>
          <w:szCs w:val="20"/>
        </w:rPr>
      </w:pPr>
      <w:r w:rsidRPr="00B217DC">
        <w:rPr>
          <w:rFonts w:cs="Arial"/>
          <w:b/>
          <w:color w:val="auto"/>
          <w:spacing w:val="0"/>
          <w:kern w:val="28"/>
          <w:sz w:val="20"/>
          <w:szCs w:val="20"/>
        </w:rPr>
        <w:t>11.2 NYDA’s Budget for 202</w:t>
      </w:r>
      <w:r w:rsidR="00914E27" w:rsidRPr="00B217DC">
        <w:rPr>
          <w:rFonts w:cs="Arial"/>
          <w:b/>
          <w:color w:val="auto"/>
          <w:spacing w:val="0"/>
          <w:kern w:val="28"/>
          <w:sz w:val="20"/>
          <w:szCs w:val="20"/>
        </w:rPr>
        <w:t>1/221</w:t>
      </w:r>
    </w:p>
    <w:p w:rsidR="007E50BC" w:rsidRPr="00B217DC" w:rsidRDefault="007E50BC" w:rsidP="00B217DC">
      <w:pPr>
        <w:contextualSpacing/>
        <w:rPr>
          <w:rFonts w:cs="Arial"/>
          <w:color w:val="auto"/>
          <w:spacing w:val="0"/>
          <w:kern w:val="28"/>
          <w:sz w:val="20"/>
          <w:szCs w:val="20"/>
        </w:rPr>
      </w:pPr>
    </w:p>
    <w:p w:rsidR="00540869" w:rsidRPr="00B217DC" w:rsidRDefault="00E11386" w:rsidP="00B217DC">
      <w:pPr>
        <w:contextualSpacing/>
        <w:rPr>
          <w:rFonts w:cs="Arial"/>
          <w:color w:val="auto"/>
          <w:spacing w:val="0"/>
          <w:kern w:val="28"/>
          <w:sz w:val="20"/>
          <w:szCs w:val="20"/>
          <w:lang w:val="en-GB"/>
        </w:rPr>
      </w:pPr>
      <w:r w:rsidRPr="00B217DC">
        <w:rPr>
          <w:rFonts w:cs="Arial"/>
          <w:color w:val="auto"/>
          <w:spacing w:val="0"/>
          <w:kern w:val="28"/>
          <w:sz w:val="20"/>
          <w:szCs w:val="20"/>
        </w:rPr>
        <w:t>According to the ENE 202</w:t>
      </w:r>
      <w:r w:rsidR="00914E27" w:rsidRPr="00B217DC">
        <w:rPr>
          <w:rFonts w:cs="Arial"/>
          <w:color w:val="auto"/>
          <w:spacing w:val="0"/>
          <w:kern w:val="28"/>
          <w:sz w:val="20"/>
          <w:szCs w:val="20"/>
        </w:rPr>
        <w:t>1</w:t>
      </w:r>
      <w:r w:rsidRPr="00B217DC">
        <w:rPr>
          <w:rFonts w:cs="Arial"/>
          <w:color w:val="auto"/>
          <w:spacing w:val="0"/>
          <w:kern w:val="28"/>
          <w:sz w:val="20"/>
          <w:szCs w:val="20"/>
        </w:rPr>
        <w:t xml:space="preserve">, the original budget allocation was for </w:t>
      </w:r>
      <w:r w:rsidR="00914E27" w:rsidRPr="00B217DC">
        <w:rPr>
          <w:rFonts w:cs="Arial"/>
          <w:color w:val="auto"/>
          <w:spacing w:val="0"/>
          <w:kern w:val="28"/>
          <w:sz w:val="20"/>
          <w:szCs w:val="20"/>
        </w:rPr>
        <w:t>R</w:t>
      </w:r>
      <w:r w:rsidR="006F65CC" w:rsidRPr="00B217DC">
        <w:rPr>
          <w:rFonts w:cs="Arial"/>
          <w:color w:val="auto"/>
          <w:spacing w:val="0"/>
          <w:kern w:val="28"/>
          <w:sz w:val="20"/>
          <w:szCs w:val="20"/>
        </w:rPr>
        <w:t>471</w:t>
      </w:r>
      <w:r w:rsidRPr="00B217DC">
        <w:rPr>
          <w:rFonts w:cs="Arial"/>
          <w:color w:val="auto"/>
          <w:spacing w:val="0"/>
          <w:kern w:val="28"/>
          <w:sz w:val="20"/>
          <w:szCs w:val="20"/>
        </w:rPr>
        <w:t xml:space="preserve"> million which the NYDA would have received via a transfer from the Department under Vote 20</w:t>
      </w:r>
      <w:r w:rsidR="00C81AD7" w:rsidRPr="00B217DC">
        <w:rPr>
          <w:rFonts w:cs="Arial"/>
          <w:color w:val="auto"/>
          <w:spacing w:val="0"/>
          <w:kern w:val="28"/>
          <w:sz w:val="20"/>
          <w:szCs w:val="20"/>
        </w:rPr>
        <w:t>. Due to additional funds received of R430 million</w:t>
      </w:r>
      <w:r w:rsidR="007B68D7" w:rsidRPr="00B217DC">
        <w:rPr>
          <w:rFonts w:cs="Arial"/>
          <w:color w:val="auto"/>
          <w:spacing w:val="0"/>
          <w:kern w:val="28"/>
          <w:sz w:val="20"/>
          <w:szCs w:val="20"/>
        </w:rPr>
        <w:t xml:space="preserve"> for the Presidential Youth Employment Intervention</w:t>
      </w:r>
      <w:r w:rsidR="00C81AD7" w:rsidRPr="00B217DC">
        <w:rPr>
          <w:rFonts w:cs="Arial"/>
          <w:color w:val="auto"/>
          <w:spacing w:val="0"/>
          <w:kern w:val="28"/>
          <w:sz w:val="20"/>
          <w:szCs w:val="20"/>
        </w:rPr>
        <w:t xml:space="preserve"> </w:t>
      </w:r>
      <w:r w:rsidR="007B68D7" w:rsidRPr="00B217DC">
        <w:rPr>
          <w:rFonts w:cs="Arial"/>
          <w:color w:val="auto"/>
          <w:spacing w:val="0"/>
          <w:kern w:val="28"/>
          <w:sz w:val="20"/>
          <w:szCs w:val="20"/>
        </w:rPr>
        <w:t xml:space="preserve">(PYEI) </w:t>
      </w:r>
      <w:r w:rsidR="00C81AD7" w:rsidRPr="00B217DC">
        <w:rPr>
          <w:rFonts w:cs="Arial"/>
          <w:color w:val="auto"/>
          <w:spacing w:val="0"/>
          <w:kern w:val="28"/>
          <w:sz w:val="20"/>
          <w:szCs w:val="20"/>
        </w:rPr>
        <w:t>(R400 million NYS programmes + R30 million Entrepreneurship support)</w:t>
      </w:r>
      <w:r w:rsidR="00E53664" w:rsidRPr="00B217DC">
        <w:rPr>
          <w:rFonts w:cs="Arial"/>
          <w:color w:val="auto"/>
          <w:spacing w:val="0"/>
          <w:kern w:val="28"/>
          <w:sz w:val="20"/>
          <w:szCs w:val="20"/>
        </w:rPr>
        <w:t xml:space="preserve"> together with donor funds of R</w:t>
      </w:r>
      <w:r w:rsidR="00C81AD7" w:rsidRPr="00B217DC">
        <w:rPr>
          <w:rFonts w:cs="Arial"/>
          <w:color w:val="auto"/>
          <w:spacing w:val="0"/>
          <w:kern w:val="28"/>
          <w:sz w:val="20"/>
          <w:szCs w:val="20"/>
        </w:rPr>
        <w:t>50</w:t>
      </w:r>
      <w:r w:rsidR="007B68D7" w:rsidRPr="00B217DC">
        <w:rPr>
          <w:rFonts w:cs="Arial"/>
          <w:color w:val="auto"/>
          <w:spacing w:val="0"/>
          <w:kern w:val="28"/>
          <w:sz w:val="20"/>
          <w:szCs w:val="20"/>
        </w:rPr>
        <w:t>,261</w:t>
      </w:r>
      <w:r w:rsidR="00E53664" w:rsidRPr="00B217DC">
        <w:rPr>
          <w:rFonts w:cs="Arial"/>
          <w:color w:val="auto"/>
          <w:spacing w:val="0"/>
          <w:kern w:val="28"/>
          <w:sz w:val="20"/>
          <w:szCs w:val="20"/>
        </w:rPr>
        <w:t xml:space="preserve"> million</w:t>
      </w:r>
      <w:r w:rsidR="007B68D7" w:rsidRPr="00B217DC">
        <w:rPr>
          <w:rFonts w:cs="Arial"/>
          <w:color w:val="auto"/>
          <w:spacing w:val="0"/>
          <w:kern w:val="28"/>
          <w:sz w:val="20"/>
          <w:szCs w:val="20"/>
        </w:rPr>
        <w:t xml:space="preserve"> and the Revenue from Exchange transactions</w:t>
      </w:r>
      <w:r w:rsidR="00E53664" w:rsidRPr="00B217DC">
        <w:rPr>
          <w:rFonts w:cs="Arial"/>
          <w:color w:val="auto"/>
          <w:spacing w:val="0"/>
          <w:kern w:val="28"/>
          <w:sz w:val="20"/>
          <w:szCs w:val="20"/>
        </w:rPr>
        <w:t xml:space="preserve"> </w:t>
      </w:r>
      <w:r w:rsidR="00C81AD7" w:rsidRPr="00B217DC">
        <w:rPr>
          <w:rFonts w:cs="Arial"/>
          <w:color w:val="auto"/>
          <w:spacing w:val="0"/>
          <w:kern w:val="28"/>
          <w:sz w:val="20"/>
          <w:szCs w:val="20"/>
        </w:rPr>
        <w:t>increased the budget significantly</w:t>
      </w:r>
      <w:r w:rsidR="00196281" w:rsidRPr="00B217DC">
        <w:rPr>
          <w:rFonts w:cs="Arial"/>
          <w:color w:val="auto"/>
          <w:spacing w:val="0"/>
          <w:kern w:val="28"/>
          <w:sz w:val="20"/>
          <w:szCs w:val="20"/>
        </w:rPr>
        <w:t xml:space="preserve">. </w:t>
      </w:r>
      <w:r w:rsidR="007B68D7" w:rsidRPr="00B217DC">
        <w:rPr>
          <w:rFonts w:cs="Arial"/>
          <w:color w:val="auto"/>
          <w:spacing w:val="0"/>
          <w:kern w:val="28"/>
          <w:sz w:val="20"/>
          <w:szCs w:val="20"/>
          <w:lang w:val="en-GB"/>
        </w:rPr>
        <w:t xml:space="preserve">The NYDA’s total revenue for 2021/22 was thus R958,230 million. </w:t>
      </w:r>
    </w:p>
    <w:p w:rsidR="007B68D7" w:rsidRPr="00B217DC" w:rsidRDefault="007B68D7" w:rsidP="00B217DC">
      <w:pPr>
        <w:contextualSpacing/>
        <w:rPr>
          <w:rFonts w:cs="Arial"/>
          <w:color w:val="auto"/>
          <w:spacing w:val="0"/>
          <w:kern w:val="28"/>
          <w:sz w:val="20"/>
          <w:szCs w:val="20"/>
        </w:rPr>
      </w:pPr>
    </w:p>
    <w:p w:rsidR="007C2DEC" w:rsidRPr="00B217DC" w:rsidRDefault="002846D6" w:rsidP="00B217DC">
      <w:pPr>
        <w:tabs>
          <w:tab w:val="left" w:pos="1320"/>
        </w:tabs>
        <w:contextualSpacing/>
        <w:rPr>
          <w:rFonts w:cs="Arial"/>
          <w:color w:val="auto"/>
          <w:spacing w:val="0"/>
          <w:kern w:val="28"/>
          <w:sz w:val="20"/>
          <w:szCs w:val="20"/>
        </w:rPr>
      </w:pPr>
      <w:r w:rsidRPr="00B217DC">
        <w:rPr>
          <w:rFonts w:cs="Arial"/>
          <w:color w:val="auto"/>
          <w:spacing w:val="0"/>
          <w:kern w:val="28"/>
          <w:sz w:val="20"/>
          <w:szCs w:val="20"/>
        </w:rPr>
        <w:t>The NYDA’s total</w:t>
      </w:r>
      <w:r w:rsidR="00914E27" w:rsidRPr="00B217DC">
        <w:rPr>
          <w:rFonts w:cs="Arial"/>
          <w:color w:val="auto"/>
          <w:spacing w:val="0"/>
          <w:kern w:val="28"/>
          <w:sz w:val="20"/>
          <w:szCs w:val="20"/>
        </w:rPr>
        <w:t xml:space="preserve"> expenditure for the year was R</w:t>
      </w:r>
      <w:r w:rsidR="007B68D7" w:rsidRPr="00B217DC">
        <w:rPr>
          <w:rFonts w:cs="Arial"/>
          <w:color w:val="auto"/>
          <w:spacing w:val="0"/>
          <w:kern w:val="28"/>
          <w:sz w:val="20"/>
          <w:szCs w:val="20"/>
        </w:rPr>
        <w:t>528,096</w:t>
      </w:r>
      <w:r w:rsidRPr="00B217DC">
        <w:rPr>
          <w:rFonts w:cs="Arial"/>
          <w:color w:val="auto"/>
          <w:spacing w:val="0"/>
          <w:kern w:val="28"/>
          <w:sz w:val="20"/>
          <w:szCs w:val="20"/>
        </w:rPr>
        <w:t xml:space="preserve"> million hence an </w:t>
      </w:r>
      <w:r w:rsidR="007B68D7" w:rsidRPr="00B217DC">
        <w:rPr>
          <w:rFonts w:cs="Arial"/>
          <w:color w:val="auto"/>
          <w:spacing w:val="0"/>
          <w:kern w:val="28"/>
          <w:sz w:val="20"/>
          <w:szCs w:val="20"/>
        </w:rPr>
        <w:t>und</w:t>
      </w:r>
      <w:r w:rsidRPr="00B217DC">
        <w:rPr>
          <w:rFonts w:cs="Arial"/>
          <w:color w:val="auto"/>
          <w:spacing w:val="0"/>
          <w:kern w:val="28"/>
          <w:sz w:val="20"/>
          <w:szCs w:val="20"/>
        </w:rPr>
        <w:t>er-expenditure of R</w:t>
      </w:r>
      <w:r w:rsidR="007B68D7" w:rsidRPr="00B217DC">
        <w:rPr>
          <w:rFonts w:cs="Arial"/>
          <w:color w:val="auto"/>
          <w:spacing w:val="0"/>
          <w:kern w:val="28"/>
          <w:sz w:val="20"/>
          <w:szCs w:val="20"/>
        </w:rPr>
        <w:t>430,134</w:t>
      </w:r>
      <w:r w:rsidRPr="00B217DC">
        <w:rPr>
          <w:rFonts w:cs="Arial"/>
          <w:color w:val="auto"/>
          <w:spacing w:val="0"/>
          <w:kern w:val="28"/>
          <w:sz w:val="20"/>
          <w:szCs w:val="20"/>
        </w:rPr>
        <w:t xml:space="preserve"> million.</w:t>
      </w:r>
      <w:r w:rsidR="006507D0" w:rsidRPr="00B217DC">
        <w:rPr>
          <w:rFonts w:cs="Arial"/>
          <w:color w:val="auto"/>
          <w:spacing w:val="0"/>
          <w:kern w:val="28"/>
          <w:sz w:val="20"/>
          <w:szCs w:val="20"/>
        </w:rPr>
        <w:t xml:space="preserve"> </w:t>
      </w:r>
      <w:r w:rsidR="007C2DEC" w:rsidRPr="00B217DC">
        <w:rPr>
          <w:rFonts w:cs="Arial"/>
          <w:color w:val="auto"/>
          <w:spacing w:val="0"/>
          <w:kern w:val="28"/>
          <w:sz w:val="20"/>
          <w:szCs w:val="20"/>
          <w:lang w:val="en-GB"/>
        </w:rPr>
        <w:t>According to the NYDA, because of the amount of work required before the PYEI programme can start, from Fund Management and recruitment of participants for the program, contracting of implementing agents was finalized in March. In turn, this has resulted in the budget of the project funds being unspent as at 31 March 2022. Notwithstanding that, National Treasury has approved a rollover request for funds committed at the end of 2021/22.</w:t>
      </w:r>
    </w:p>
    <w:p w:rsidR="007C2DEC" w:rsidRPr="00B217DC" w:rsidRDefault="007C2DEC" w:rsidP="00B217DC">
      <w:pPr>
        <w:tabs>
          <w:tab w:val="left" w:pos="4305"/>
        </w:tabs>
        <w:contextualSpacing/>
        <w:rPr>
          <w:rFonts w:cs="Arial"/>
          <w:color w:val="auto"/>
          <w:spacing w:val="0"/>
          <w:kern w:val="28"/>
          <w:sz w:val="20"/>
          <w:szCs w:val="20"/>
        </w:rPr>
      </w:pPr>
    </w:p>
    <w:p w:rsidR="007C2DEC" w:rsidRPr="00B217DC" w:rsidRDefault="007C2DEC" w:rsidP="00B217DC">
      <w:pPr>
        <w:tabs>
          <w:tab w:val="left" w:pos="4305"/>
        </w:tabs>
        <w:contextualSpacing/>
        <w:rPr>
          <w:rFonts w:cs="Arial"/>
          <w:color w:val="auto"/>
          <w:spacing w:val="0"/>
          <w:kern w:val="28"/>
          <w:sz w:val="20"/>
          <w:szCs w:val="20"/>
        </w:rPr>
      </w:pPr>
      <w:r w:rsidRPr="00B217DC">
        <w:rPr>
          <w:rFonts w:cs="Arial"/>
          <w:color w:val="auto"/>
          <w:spacing w:val="0"/>
          <w:kern w:val="28"/>
          <w:sz w:val="20"/>
          <w:szCs w:val="20"/>
        </w:rPr>
        <w:t>With regards to expenditure per programme, Programme had a revised budget of R66,062 million and spent R66,767 million (101%). Programme 2 had a revised budget of R677,402 278 and spent R646,997 million (96%) and Programme 3 with its revised budget of R720 000 spent R725 000,</w:t>
      </w:r>
    </w:p>
    <w:p w:rsidR="007C2DEC" w:rsidRPr="00B217DC" w:rsidRDefault="007C2DEC" w:rsidP="00B217DC">
      <w:pPr>
        <w:tabs>
          <w:tab w:val="left" w:pos="4305"/>
        </w:tabs>
        <w:contextualSpacing/>
        <w:rPr>
          <w:rFonts w:cs="Arial"/>
          <w:color w:val="auto"/>
          <w:spacing w:val="0"/>
          <w:kern w:val="28"/>
          <w:sz w:val="20"/>
          <w:szCs w:val="20"/>
        </w:rPr>
      </w:pPr>
    </w:p>
    <w:p w:rsidR="00CF29EA" w:rsidRPr="00B217DC" w:rsidRDefault="007C2DEC" w:rsidP="00B217DC">
      <w:pPr>
        <w:tabs>
          <w:tab w:val="left" w:pos="1320"/>
        </w:tabs>
        <w:contextualSpacing/>
        <w:rPr>
          <w:rFonts w:cs="Arial"/>
          <w:color w:val="auto"/>
          <w:spacing w:val="0"/>
          <w:kern w:val="28"/>
          <w:sz w:val="20"/>
          <w:szCs w:val="20"/>
        </w:rPr>
      </w:pPr>
      <w:r w:rsidRPr="00B217DC">
        <w:rPr>
          <w:rFonts w:cs="Arial"/>
          <w:color w:val="auto"/>
          <w:spacing w:val="0"/>
          <w:kern w:val="28"/>
          <w:sz w:val="20"/>
          <w:szCs w:val="20"/>
        </w:rPr>
        <w:t>In terms of key expenses for the 2021/22, Communication and Public Relations (R11,7m); Workshops, Travel and Accommodation (R24</w:t>
      </w:r>
      <w:r w:rsidR="008978BA" w:rsidRPr="00B217DC">
        <w:rPr>
          <w:rFonts w:cs="Arial"/>
          <w:color w:val="auto"/>
          <w:spacing w:val="0"/>
          <w:kern w:val="28"/>
          <w:sz w:val="20"/>
          <w:szCs w:val="20"/>
        </w:rPr>
        <w:t>,6</w:t>
      </w:r>
      <w:r w:rsidRPr="00B217DC">
        <w:rPr>
          <w:rFonts w:cs="Arial"/>
          <w:color w:val="auto"/>
          <w:spacing w:val="0"/>
          <w:kern w:val="28"/>
          <w:sz w:val="20"/>
          <w:szCs w:val="20"/>
        </w:rPr>
        <w:t xml:space="preserve"> m); Information Technology (</w:t>
      </w:r>
      <w:r w:rsidR="008978BA" w:rsidRPr="00B217DC">
        <w:rPr>
          <w:rFonts w:cs="Arial"/>
          <w:color w:val="auto"/>
          <w:spacing w:val="0"/>
          <w:kern w:val="28"/>
          <w:sz w:val="20"/>
          <w:szCs w:val="20"/>
        </w:rPr>
        <w:t>R</w:t>
      </w:r>
      <w:r w:rsidRPr="00B217DC">
        <w:rPr>
          <w:rFonts w:cs="Arial"/>
          <w:color w:val="auto"/>
          <w:spacing w:val="0"/>
          <w:kern w:val="28"/>
          <w:sz w:val="20"/>
          <w:szCs w:val="20"/>
        </w:rPr>
        <w:t>24,6m)</w:t>
      </w:r>
      <w:r w:rsidR="008978BA" w:rsidRPr="00B217DC">
        <w:rPr>
          <w:rFonts w:cs="Arial"/>
          <w:color w:val="auto"/>
          <w:spacing w:val="0"/>
          <w:kern w:val="28"/>
          <w:sz w:val="20"/>
          <w:szCs w:val="20"/>
        </w:rPr>
        <w:t>; Administration and Overhead (R52,8m) and Employee costs (R199.9m). The largest proportion of the overall expenditure is spent on employee costs, followed by administrations and overheads. The NYDA noted a surplus (R 5.3 m) for Information technology due to cost savings on internet connectivity and telephone costs. Savings (R7.6m) for workshops, travel and accommodation were mainly due to cost containment measures in place and reduction in physical gatherings due to Covid-19 regulations, while other employees worked remotely from home.</w:t>
      </w:r>
    </w:p>
    <w:p w:rsidR="008978BA" w:rsidRPr="00B217DC" w:rsidRDefault="008978BA" w:rsidP="00B217DC">
      <w:pPr>
        <w:tabs>
          <w:tab w:val="left" w:pos="1320"/>
        </w:tabs>
        <w:contextualSpacing/>
        <w:rPr>
          <w:rFonts w:cs="Arial"/>
          <w:color w:val="auto"/>
          <w:spacing w:val="0"/>
          <w:kern w:val="28"/>
          <w:sz w:val="20"/>
          <w:szCs w:val="20"/>
        </w:rPr>
      </w:pPr>
    </w:p>
    <w:p w:rsidR="008978BA" w:rsidRPr="00B217DC" w:rsidRDefault="008978BA" w:rsidP="00B217DC">
      <w:pPr>
        <w:tabs>
          <w:tab w:val="left" w:pos="1320"/>
        </w:tabs>
        <w:contextualSpacing/>
        <w:rPr>
          <w:rFonts w:cs="Arial"/>
          <w:color w:val="auto"/>
          <w:spacing w:val="0"/>
          <w:kern w:val="28"/>
          <w:sz w:val="20"/>
          <w:szCs w:val="20"/>
        </w:rPr>
      </w:pPr>
      <w:r w:rsidRPr="00B217DC">
        <w:rPr>
          <w:rFonts w:cs="Arial"/>
          <w:color w:val="auto"/>
          <w:spacing w:val="0"/>
          <w:kern w:val="28"/>
          <w:sz w:val="20"/>
          <w:szCs w:val="20"/>
        </w:rPr>
        <w:lastRenderedPageBreak/>
        <w:t>With regards to CAPEX, the Annual Report reflects R10,381 million for 2021/22 but at the Q4 2021/22 briefing the NYDA indicated it was R34,767 411m. It is unclear why this is the case.</w:t>
      </w:r>
    </w:p>
    <w:p w:rsidR="008978BA" w:rsidRPr="00B217DC" w:rsidRDefault="008978BA" w:rsidP="00B217DC">
      <w:pPr>
        <w:tabs>
          <w:tab w:val="left" w:pos="1320"/>
        </w:tabs>
        <w:contextualSpacing/>
        <w:rPr>
          <w:rFonts w:cs="Arial"/>
          <w:color w:val="auto"/>
          <w:spacing w:val="0"/>
          <w:kern w:val="28"/>
          <w:sz w:val="20"/>
          <w:szCs w:val="20"/>
        </w:rPr>
      </w:pPr>
    </w:p>
    <w:p w:rsidR="008978BA" w:rsidRPr="00B217DC" w:rsidRDefault="008978BA" w:rsidP="00B217DC">
      <w:pPr>
        <w:tabs>
          <w:tab w:val="left" w:pos="1320"/>
        </w:tabs>
        <w:contextualSpacing/>
        <w:rPr>
          <w:rFonts w:cs="Arial"/>
          <w:color w:val="auto"/>
          <w:spacing w:val="0"/>
          <w:kern w:val="28"/>
          <w:sz w:val="20"/>
          <w:szCs w:val="20"/>
        </w:rPr>
      </w:pPr>
      <w:r w:rsidRPr="00B217DC">
        <w:rPr>
          <w:rFonts w:cs="Arial"/>
          <w:color w:val="auto"/>
          <w:spacing w:val="0"/>
          <w:kern w:val="28"/>
          <w:sz w:val="20"/>
          <w:szCs w:val="20"/>
        </w:rPr>
        <w:t>The NYDA did not incur nor identify any irregular expenditure during the 2021/22 financial year.</w:t>
      </w:r>
    </w:p>
    <w:p w:rsidR="008978BA" w:rsidRPr="00B217DC" w:rsidRDefault="008978BA" w:rsidP="00B217DC">
      <w:pPr>
        <w:tabs>
          <w:tab w:val="left" w:pos="1320"/>
        </w:tabs>
        <w:contextualSpacing/>
        <w:rPr>
          <w:rFonts w:cs="Arial"/>
          <w:color w:val="auto"/>
          <w:spacing w:val="0"/>
          <w:kern w:val="28"/>
          <w:sz w:val="20"/>
          <w:szCs w:val="20"/>
        </w:rPr>
      </w:pPr>
      <w:r w:rsidRPr="00B217DC">
        <w:rPr>
          <w:rFonts w:cs="Arial"/>
          <w:color w:val="auto"/>
          <w:spacing w:val="0"/>
          <w:kern w:val="28"/>
          <w:sz w:val="20"/>
          <w:szCs w:val="20"/>
        </w:rPr>
        <w:t>An application to the National Treasury to write off fruitless and wasteful expenditure as well as irregular expenditure balances was made. As at 31 March 2022 the feedback on the application made to National Treasury was still pending.</w:t>
      </w:r>
    </w:p>
    <w:p w:rsidR="008978BA" w:rsidRPr="00B217DC" w:rsidRDefault="008978BA" w:rsidP="00B217DC">
      <w:pPr>
        <w:tabs>
          <w:tab w:val="left" w:pos="1320"/>
        </w:tabs>
        <w:contextualSpacing/>
        <w:rPr>
          <w:rFonts w:cs="Arial"/>
          <w:color w:val="auto"/>
          <w:spacing w:val="0"/>
          <w:kern w:val="28"/>
          <w:sz w:val="20"/>
          <w:szCs w:val="20"/>
        </w:rPr>
      </w:pPr>
    </w:p>
    <w:p w:rsidR="00C202CD" w:rsidRPr="00B217DC" w:rsidRDefault="00C202CD" w:rsidP="00B217DC">
      <w:pPr>
        <w:ind w:left="66"/>
        <w:contextualSpacing/>
        <w:rPr>
          <w:rFonts w:cs="Arial"/>
          <w:b/>
          <w:color w:val="auto"/>
          <w:spacing w:val="0"/>
          <w:kern w:val="28"/>
          <w:sz w:val="20"/>
          <w:szCs w:val="20"/>
        </w:rPr>
      </w:pPr>
      <w:r w:rsidRPr="00B217DC">
        <w:rPr>
          <w:rFonts w:cs="Arial"/>
          <w:b/>
          <w:color w:val="auto"/>
          <w:spacing w:val="0"/>
          <w:kern w:val="28"/>
          <w:sz w:val="20"/>
          <w:szCs w:val="20"/>
        </w:rPr>
        <w:t>11.3 Human Resources</w:t>
      </w:r>
    </w:p>
    <w:p w:rsidR="00C202CD" w:rsidRPr="00B217DC" w:rsidRDefault="00C202CD" w:rsidP="00B217DC">
      <w:pPr>
        <w:contextualSpacing/>
        <w:rPr>
          <w:rFonts w:cs="Arial"/>
          <w:color w:val="auto"/>
          <w:spacing w:val="0"/>
          <w:kern w:val="28"/>
          <w:sz w:val="20"/>
          <w:szCs w:val="20"/>
        </w:rPr>
      </w:pPr>
    </w:p>
    <w:p w:rsidR="00E66BCF" w:rsidRPr="00B217DC" w:rsidRDefault="00D92D6F" w:rsidP="00B217DC">
      <w:pPr>
        <w:contextualSpacing/>
        <w:rPr>
          <w:rFonts w:cs="Arial"/>
          <w:color w:val="auto"/>
          <w:spacing w:val="0"/>
          <w:kern w:val="28"/>
          <w:sz w:val="20"/>
          <w:szCs w:val="20"/>
        </w:rPr>
      </w:pPr>
      <w:r w:rsidRPr="00B217DC">
        <w:rPr>
          <w:rFonts w:cs="Arial"/>
          <w:color w:val="auto"/>
          <w:spacing w:val="0"/>
          <w:kern w:val="28"/>
          <w:sz w:val="20"/>
          <w:szCs w:val="20"/>
        </w:rPr>
        <w:t xml:space="preserve">The </w:t>
      </w:r>
      <w:r w:rsidR="00914E27" w:rsidRPr="00B217DC">
        <w:rPr>
          <w:rFonts w:cs="Arial"/>
          <w:color w:val="auto"/>
          <w:spacing w:val="0"/>
          <w:kern w:val="28"/>
          <w:sz w:val="20"/>
          <w:szCs w:val="20"/>
        </w:rPr>
        <w:t xml:space="preserve">NYDA had a staff compliment of </w:t>
      </w:r>
      <w:r w:rsidR="008978BA" w:rsidRPr="00B217DC">
        <w:rPr>
          <w:rFonts w:cs="Arial"/>
          <w:color w:val="auto"/>
          <w:spacing w:val="0"/>
          <w:kern w:val="28"/>
          <w:sz w:val="20"/>
          <w:szCs w:val="20"/>
        </w:rPr>
        <w:t xml:space="preserve">549 </w:t>
      </w:r>
      <w:r w:rsidRPr="00B217DC">
        <w:rPr>
          <w:rFonts w:cs="Arial"/>
          <w:color w:val="auto"/>
          <w:spacing w:val="0"/>
          <w:kern w:val="28"/>
          <w:sz w:val="20"/>
          <w:szCs w:val="20"/>
        </w:rPr>
        <w:t xml:space="preserve">employees, </w:t>
      </w:r>
      <w:r w:rsidR="008978BA" w:rsidRPr="00B217DC">
        <w:rPr>
          <w:rFonts w:cs="Arial"/>
          <w:color w:val="auto"/>
          <w:spacing w:val="0"/>
          <w:kern w:val="28"/>
          <w:sz w:val="20"/>
          <w:szCs w:val="20"/>
        </w:rPr>
        <w:t>445</w:t>
      </w:r>
      <w:r w:rsidR="00914E27" w:rsidRPr="00B217DC">
        <w:rPr>
          <w:rFonts w:cs="Arial"/>
          <w:color w:val="auto"/>
          <w:spacing w:val="0"/>
          <w:kern w:val="28"/>
          <w:sz w:val="20"/>
          <w:szCs w:val="20"/>
        </w:rPr>
        <w:t xml:space="preserve"> (</w:t>
      </w:r>
      <w:r w:rsidR="008978BA" w:rsidRPr="00B217DC">
        <w:rPr>
          <w:rFonts w:cs="Arial"/>
          <w:color w:val="auto"/>
          <w:spacing w:val="0"/>
          <w:kern w:val="28"/>
          <w:sz w:val="20"/>
          <w:szCs w:val="20"/>
        </w:rPr>
        <w:t>81</w:t>
      </w:r>
      <w:r w:rsidRPr="00B217DC">
        <w:rPr>
          <w:rFonts w:cs="Arial"/>
          <w:color w:val="auto"/>
          <w:spacing w:val="0"/>
          <w:kern w:val="28"/>
          <w:sz w:val="20"/>
          <w:szCs w:val="20"/>
        </w:rPr>
        <w:t xml:space="preserve">%) were permanent and </w:t>
      </w:r>
      <w:r w:rsidR="008978BA" w:rsidRPr="00B217DC">
        <w:rPr>
          <w:rFonts w:cs="Arial"/>
          <w:color w:val="auto"/>
          <w:spacing w:val="0"/>
          <w:kern w:val="28"/>
          <w:sz w:val="20"/>
          <w:szCs w:val="20"/>
        </w:rPr>
        <w:t>104</w:t>
      </w:r>
      <w:r w:rsidRPr="00B217DC">
        <w:rPr>
          <w:rFonts w:cs="Arial"/>
          <w:color w:val="auto"/>
          <w:spacing w:val="0"/>
          <w:kern w:val="28"/>
          <w:sz w:val="20"/>
          <w:szCs w:val="20"/>
        </w:rPr>
        <w:t xml:space="preserve"> temporary employees.  </w:t>
      </w:r>
      <w:r w:rsidR="00C3181C" w:rsidRPr="00B217DC">
        <w:rPr>
          <w:rFonts w:cs="Arial"/>
          <w:color w:val="auto"/>
          <w:spacing w:val="0"/>
          <w:kern w:val="28"/>
          <w:sz w:val="20"/>
          <w:szCs w:val="20"/>
        </w:rPr>
        <w:t xml:space="preserve">This </w:t>
      </w:r>
      <w:r w:rsidR="00E66BCF" w:rsidRPr="00B217DC">
        <w:rPr>
          <w:rFonts w:cs="Arial"/>
          <w:color w:val="auto"/>
          <w:spacing w:val="0"/>
          <w:kern w:val="28"/>
          <w:sz w:val="20"/>
          <w:szCs w:val="20"/>
        </w:rPr>
        <w:t>amounted to R</w:t>
      </w:r>
      <w:r w:rsidR="008978BA" w:rsidRPr="00B217DC">
        <w:rPr>
          <w:rFonts w:cs="Arial"/>
          <w:color w:val="auto"/>
          <w:spacing w:val="0"/>
          <w:kern w:val="28"/>
          <w:sz w:val="20"/>
          <w:szCs w:val="20"/>
        </w:rPr>
        <w:t>528,342</w:t>
      </w:r>
      <w:r w:rsidR="00E66BCF" w:rsidRPr="00B217DC">
        <w:rPr>
          <w:rFonts w:cs="Arial"/>
          <w:color w:val="auto"/>
          <w:spacing w:val="0"/>
          <w:kern w:val="28"/>
          <w:sz w:val="20"/>
          <w:szCs w:val="20"/>
        </w:rPr>
        <w:t xml:space="preserve"> million for the year under review.</w:t>
      </w:r>
      <w:r w:rsidR="00297860" w:rsidRPr="00B217DC">
        <w:rPr>
          <w:rFonts w:cs="Arial"/>
          <w:color w:val="auto"/>
          <w:spacing w:val="0"/>
          <w:kern w:val="28"/>
          <w:sz w:val="20"/>
          <w:szCs w:val="20"/>
        </w:rPr>
        <w:t xml:space="preserve"> </w:t>
      </w:r>
      <w:r w:rsidR="00914E27" w:rsidRPr="00B217DC">
        <w:rPr>
          <w:rFonts w:cs="Arial"/>
          <w:color w:val="auto"/>
          <w:spacing w:val="0"/>
          <w:kern w:val="28"/>
          <w:sz w:val="20"/>
          <w:szCs w:val="20"/>
        </w:rPr>
        <w:t xml:space="preserve">The majority of staff, </w:t>
      </w:r>
      <w:r w:rsidR="008978BA" w:rsidRPr="00B217DC">
        <w:rPr>
          <w:rFonts w:cs="Arial"/>
          <w:color w:val="auto"/>
          <w:spacing w:val="0"/>
          <w:kern w:val="28"/>
          <w:sz w:val="20"/>
          <w:szCs w:val="20"/>
        </w:rPr>
        <w:t>35.5</w:t>
      </w:r>
      <w:r w:rsidRPr="00B217DC">
        <w:rPr>
          <w:rFonts w:cs="Arial"/>
          <w:color w:val="auto"/>
          <w:spacing w:val="0"/>
          <w:kern w:val="28"/>
          <w:sz w:val="20"/>
          <w:szCs w:val="20"/>
        </w:rPr>
        <w:t>% (</w:t>
      </w:r>
      <w:r w:rsidR="008978BA" w:rsidRPr="00B217DC">
        <w:rPr>
          <w:rFonts w:cs="Arial"/>
          <w:color w:val="auto"/>
          <w:spacing w:val="0"/>
          <w:kern w:val="28"/>
          <w:sz w:val="20"/>
          <w:szCs w:val="20"/>
        </w:rPr>
        <w:t>195</w:t>
      </w:r>
      <w:r w:rsidRPr="00B217DC">
        <w:rPr>
          <w:rFonts w:cs="Arial"/>
          <w:color w:val="auto"/>
          <w:spacing w:val="0"/>
          <w:kern w:val="28"/>
          <w:sz w:val="20"/>
          <w:szCs w:val="20"/>
        </w:rPr>
        <w:t xml:space="preserve">) fell within the skilled technical occupational level with only </w:t>
      </w:r>
      <w:r w:rsidR="008978BA" w:rsidRPr="00B217DC">
        <w:rPr>
          <w:rFonts w:cs="Arial"/>
          <w:color w:val="auto"/>
          <w:spacing w:val="0"/>
          <w:kern w:val="28"/>
          <w:sz w:val="20"/>
          <w:szCs w:val="20"/>
        </w:rPr>
        <w:t>6 employees</w:t>
      </w:r>
      <w:r w:rsidRPr="00B217DC">
        <w:rPr>
          <w:rFonts w:cs="Arial"/>
          <w:color w:val="auto"/>
          <w:spacing w:val="0"/>
          <w:kern w:val="28"/>
          <w:sz w:val="20"/>
          <w:szCs w:val="20"/>
        </w:rPr>
        <w:t xml:space="preserve"> in the Executive and Senior management category. In terms of gender ratio, the NYDA ha</w:t>
      </w:r>
      <w:r w:rsidR="00914E27" w:rsidRPr="00B217DC">
        <w:rPr>
          <w:rFonts w:cs="Arial"/>
          <w:color w:val="auto"/>
          <w:spacing w:val="0"/>
          <w:kern w:val="28"/>
          <w:sz w:val="20"/>
          <w:szCs w:val="20"/>
        </w:rPr>
        <w:t xml:space="preserve">s a dominant female work force </w:t>
      </w:r>
      <w:r w:rsidR="008978BA" w:rsidRPr="00B217DC">
        <w:rPr>
          <w:rFonts w:cs="Arial"/>
          <w:color w:val="auto"/>
          <w:spacing w:val="0"/>
          <w:kern w:val="28"/>
          <w:sz w:val="20"/>
          <w:szCs w:val="20"/>
        </w:rPr>
        <w:t>61</w:t>
      </w:r>
      <w:r w:rsidR="007D7558" w:rsidRPr="00B217DC">
        <w:rPr>
          <w:rFonts w:cs="Arial"/>
          <w:color w:val="auto"/>
          <w:spacing w:val="0"/>
          <w:kern w:val="28"/>
          <w:sz w:val="20"/>
          <w:szCs w:val="20"/>
        </w:rPr>
        <w:t>% (</w:t>
      </w:r>
      <w:r w:rsidR="008978BA" w:rsidRPr="00B217DC">
        <w:rPr>
          <w:rFonts w:cs="Arial"/>
          <w:color w:val="auto"/>
          <w:spacing w:val="0"/>
          <w:kern w:val="28"/>
          <w:sz w:val="20"/>
          <w:szCs w:val="20"/>
        </w:rPr>
        <w:t>334</w:t>
      </w:r>
      <w:r w:rsidR="007D7558" w:rsidRPr="00B217DC">
        <w:rPr>
          <w:rFonts w:cs="Arial"/>
          <w:color w:val="auto"/>
          <w:spacing w:val="0"/>
          <w:kern w:val="28"/>
          <w:sz w:val="20"/>
          <w:szCs w:val="20"/>
        </w:rPr>
        <w:t xml:space="preserve">) and </w:t>
      </w:r>
      <w:r w:rsidR="008978BA" w:rsidRPr="00B217DC">
        <w:rPr>
          <w:rFonts w:cs="Arial"/>
          <w:color w:val="auto"/>
          <w:spacing w:val="0"/>
          <w:kern w:val="28"/>
          <w:sz w:val="20"/>
          <w:szCs w:val="20"/>
        </w:rPr>
        <w:t>215 males (39</w:t>
      </w:r>
      <w:r w:rsidRPr="00B217DC">
        <w:rPr>
          <w:rFonts w:cs="Arial"/>
          <w:color w:val="auto"/>
          <w:spacing w:val="0"/>
          <w:kern w:val="28"/>
          <w:sz w:val="20"/>
          <w:szCs w:val="20"/>
        </w:rPr>
        <w:t>%).</w:t>
      </w:r>
      <w:r w:rsidR="0093359D" w:rsidRPr="00B217DC">
        <w:rPr>
          <w:rFonts w:cs="Arial"/>
          <w:color w:val="auto"/>
          <w:spacing w:val="0"/>
          <w:kern w:val="28"/>
          <w:sz w:val="20"/>
          <w:szCs w:val="20"/>
        </w:rPr>
        <w:t xml:space="preserve"> </w:t>
      </w:r>
    </w:p>
    <w:p w:rsidR="00E66BCF" w:rsidRPr="00B217DC" w:rsidRDefault="00E66BCF" w:rsidP="00B217DC">
      <w:pPr>
        <w:contextualSpacing/>
        <w:rPr>
          <w:rFonts w:cs="Arial"/>
          <w:color w:val="auto"/>
          <w:spacing w:val="0"/>
          <w:kern w:val="28"/>
          <w:sz w:val="20"/>
          <w:szCs w:val="20"/>
        </w:rPr>
      </w:pPr>
    </w:p>
    <w:p w:rsidR="008978BA" w:rsidRPr="00B217DC" w:rsidRDefault="008978BA" w:rsidP="00B217DC">
      <w:pPr>
        <w:contextualSpacing/>
        <w:rPr>
          <w:rFonts w:cs="Arial"/>
          <w:color w:val="auto"/>
          <w:spacing w:val="0"/>
          <w:kern w:val="28"/>
          <w:sz w:val="20"/>
          <w:szCs w:val="20"/>
        </w:rPr>
      </w:pPr>
      <w:r w:rsidRPr="00B217DC">
        <w:rPr>
          <w:rFonts w:cs="Arial"/>
          <w:color w:val="auto"/>
          <w:spacing w:val="0"/>
          <w:kern w:val="28"/>
          <w:sz w:val="20"/>
          <w:szCs w:val="20"/>
        </w:rPr>
        <w:t>Of the 549 people employed by the NYDA, 3 employ</w:t>
      </w:r>
      <w:r w:rsidR="00E37C6B" w:rsidRPr="00B217DC">
        <w:rPr>
          <w:rFonts w:cs="Arial"/>
          <w:color w:val="auto"/>
          <w:spacing w:val="0"/>
          <w:kern w:val="28"/>
          <w:sz w:val="20"/>
          <w:szCs w:val="20"/>
        </w:rPr>
        <w:t>ees are receiving an average R1,</w:t>
      </w:r>
      <w:r w:rsidRPr="00B217DC">
        <w:rPr>
          <w:rFonts w:cs="Arial"/>
          <w:color w:val="auto"/>
          <w:spacing w:val="0"/>
          <w:kern w:val="28"/>
          <w:sz w:val="20"/>
          <w:szCs w:val="20"/>
        </w:rPr>
        <w:t>6 million per annum. The lowest salaries are received by staff located in operations and temporary work, they account for 79% of the NYDA’s workforce. At present, just over 10% (R20 million) of the total employee cost is allocated to top and senior management.</w:t>
      </w:r>
    </w:p>
    <w:p w:rsidR="008978BA" w:rsidRPr="00B217DC" w:rsidRDefault="008978BA" w:rsidP="00B217DC">
      <w:pPr>
        <w:contextualSpacing/>
        <w:rPr>
          <w:rFonts w:cs="Arial"/>
          <w:color w:val="auto"/>
          <w:spacing w:val="0"/>
          <w:kern w:val="28"/>
          <w:sz w:val="20"/>
          <w:szCs w:val="20"/>
        </w:rPr>
      </w:pPr>
    </w:p>
    <w:p w:rsidR="008071B1" w:rsidRPr="00B217DC" w:rsidRDefault="00540869" w:rsidP="00B217DC">
      <w:pPr>
        <w:contextualSpacing/>
        <w:rPr>
          <w:rFonts w:cs="Arial"/>
          <w:color w:val="auto"/>
          <w:spacing w:val="0"/>
          <w:kern w:val="28"/>
          <w:sz w:val="20"/>
          <w:szCs w:val="20"/>
        </w:rPr>
      </w:pPr>
      <w:r w:rsidRPr="00B217DC">
        <w:rPr>
          <w:rFonts w:cs="Arial"/>
          <w:color w:val="auto"/>
          <w:spacing w:val="0"/>
          <w:kern w:val="28"/>
          <w:sz w:val="20"/>
          <w:szCs w:val="20"/>
        </w:rPr>
        <w:t>During the year under review</w:t>
      </w:r>
      <w:r w:rsidR="00D92D6F" w:rsidRPr="00B217DC">
        <w:rPr>
          <w:rFonts w:cs="Arial"/>
          <w:color w:val="auto"/>
          <w:spacing w:val="0"/>
          <w:kern w:val="28"/>
          <w:sz w:val="20"/>
          <w:szCs w:val="20"/>
        </w:rPr>
        <w:t xml:space="preserve"> </w:t>
      </w:r>
      <w:r w:rsidR="00E66BCF" w:rsidRPr="00B217DC">
        <w:rPr>
          <w:rFonts w:cs="Arial"/>
          <w:color w:val="auto"/>
          <w:spacing w:val="0"/>
          <w:kern w:val="28"/>
          <w:sz w:val="20"/>
          <w:szCs w:val="20"/>
        </w:rPr>
        <w:t xml:space="preserve">a total of </w:t>
      </w:r>
      <w:r w:rsidR="008978BA" w:rsidRPr="00B217DC">
        <w:rPr>
          <w:rFonts w:cs="Arial"/>
          <w:color w:val="auto"/>
          <w:spacing w:val="0"/>
          <w:kern w:val="28"/>
          <w:sz w:val="20"/>
          <w:szCs w:val="20"/>
        </w:rPr>
        <w:t>125</w:t>
      </w:r>
      <w:r w:rsidR="00E66BCF" w:rsidRPr="00B217DC">
        <w:rPr>
          <w:rFonts w:cs="Arial"/>
          <w:color w:val="auto"/>
          <w:spacing w:val="0"/>
          <w:kern w:val="28"/>
          <w:sz w:val="20"/>
          <w:szCs w:val="20"/>
        </w:rPr>
        <w:t xml:space="preserve"> employees left the NYDA, </w:t>
      </w:r>
      <w:r w:rsidR="008978BA" w:rsidRPr="00B217DC">
        <w:rPr>
          <w:rFonts w:cs="Arial"/>
          <w:color w:val="auto"/>
          <w:spacing w:val="0"/>
          <w:kern w:val="28"/>
          <w:sz w:val="20"/>
          <w:szCs w:val="20"/>
        </w:rPr>
        <w:t>97</w:t>
      </w:r>
      <w:r w:rsidRPr="00B217DC">
        <w:rPr>
          <w:rFonts w:cs="Arial"/>
          <w:color w:val="auto"/>
          <w:spacing w:val="0"/>
          <w:kern w:val="28"/>
          <w:sz w:val="20"/>
          <w:szCs w:val="20"/>
        </w:rPr>
        <w:t xml:space="preserve"> employees left </w:t>
      </w:r>
      <w:r w:rsidR="00D92D6F" w:rsidRPr="00B217DC">
        <w:rPr>
          <w:rFonts w:cs="Arial"/>
          <w:color w:val="auto"/>
          <w:spacing w:val="0"/>
          <w:kern w:val="28"/>
          <w:sz w:val="20"/>
          <w:szCs w:val="20"/>
        </w:rPr>
        <w:t>due to the expiry of contracts</w:t>
      </w:r>
      <w:r w:rsidR="00E66BCF" w:rsidRPr="00B217DC">
        <w:rPr>
          <w:rFonts w:cs="Arial"/>
          <w:color w:val="auto"/>
          <w:spacing w:val="0"/>
          <w:kern w:val="28"/>
          <w:sz w:val="20"/>
          <w:szCs w:val="20"/>
        </w:rPr>
        <w:t xml:space="preserve">, </w:t>
      </w:r>
      <w:r w:rsidR="008978BA" w:rsidRPr="00B217DC">
        <w:rPr>
          <w:rFonts w:cs="Arial"/>
          <w:color w:val="auto"/>
          <w:spacing w:val="0"/>
          <w:kern w:val="28"/>
          <w:sz w:val="20"/>
          <w:szCs w:val="20"/>
        </w:rPr>
        <w:t>3</w:t>
      </w:r>
      <w:r w:rsidR="00D92D6F" w:rsidRPr="00B217DC">
        <w:rPr>
          <w:rFonts w:cs="Arial"/>
          <w:color w:val="auto"/>
          <w:spacing w:val="0"/>
          <w:kern w:val="28"/>
          <w:sz w:val="20"/>
          <w:szCs w:val="20"/>
        </w:rPr>
        <w:t xml:space="preserve"> were dismissed</w:t>
      </w:r>
      <w:r w:rsidR="00E66BCF" w:rsidRPr="00B217DC">
        <w:rPr>
          <w:rFonts w:cs="Arial"/>
          <w:color w:val="auto"/>
          <w:spacing w:val="0"/>
          <w:kern w:val="28"/>
          <w:sz w:val="20"/>
          <w:szCs w:val="20"/>
        </w:rPr>
        <w:t xml:space="preserve">, </w:t>
      </w:r>
      <w:r w:rsidR="008978BA" w:rsidRPr="00B217DC">
        <w:rPr>
          <w:rFonts w:cs="Arial"/>
          <w:color w:val="auto"/>
          <w:spacing w:val="0"/>
          <w:kern w:val="28"/>
          <w:sz w:val="20"/>
          <w:szCs w:val="20"/>
        </w:rPr>
        <w:t>22</w:t>
      </w:r>
      <w:r w:rsidR="00E66BCF" w:rsidRPr="00B217DC">
        <w:rPr>
          <w:rFonts w:cs="Arial"/>
          <w:color w:val="auto"/>
          <w:spacing w:val="0"/>
          <w:kern w:val="28"/>
          <w:sz w:val="20"/>
          <w:szCs w:val="20"/>
        </w:rPr>
        <w:t xml:space="preserve"> resigned</w:t>
      </w:r>
      <w:r w:rsidR="00A8048D" w:rsidRPr="00B217DC">
        <w:rPr>
          <w:rFonts w:cs="Arial"/>
          <w:color w:val="auto"/>
          <w:spacing w:val="0"/>
          <w:kern w:val="28"/>
          <w:sz w:val="20"/>
          <w:szCs w:val="20"/>
        </w:rPr>
        <w:t xml:space="preserve"> </w:t>
      </w:r>
      <w:r w:rsidR="008071B1" w:rsidRPr="00B217DC">
        <w:rPr>
          <w:rFonts w:cs="Arial"/>
          <w:color w:val="auto"/>
          <w:spacing w:val="0"/>
          <w:kern w:val="28"/>
          <w:sz w:val="20"/>
          <w:szCs w:val="20"/>
        </w:rPr>
        <w:t>with 3 deaths</w:t>
      </w:r>
      <w:r w:rsidR="00D92D6F" w:rsidRPr="00B217DC">
        <w:rPr>
          <w:rFonts w:cs="Arial"/>
          <w:color w:val="auto"/>
          <w:spacing w:val="0"/>
          <w:kern w:val="28"/>
          <w:sz w:val="20"/>
          <w:szCs w:val="20"/>
        </w:rPr>
        <w:t xml:space="preserve">. A total of </w:t>
      </w:r>
      <w:r w:rsidR="008071B1" w:rsidRPr="00B217DC">
        <w:rPr>
          <w:rFonts w:cs="Arial"/>
          <w:color w:val="auto"/>
          <w:spacing w:val="0"/>
          <w:kern w:val="28"/>
          <w:sz w:val="20"/>
          <w:szCs w:val="20"/>
        </w:rPr>
        <w:t>39</w:t>
      </w:r>
      <w:r w:rsidR="00103627" w:rsidRPr="00B217DC">
        <w:rPr>
          <w:rFonts w:cs="Arial"/>
          <w:color w:val="auto"/>
          <w:spacing w:val="0"/>
          <w:kern w:val="28"/>
          <w:sz w:val="20"/>
          <w:szCs w:val="20"/>
        </w:rPr>
        <w:t xml:space="preserve"> employees (</w:t>
      </w:r>
      <w:r w:rsidR="008071B1" w:rsidRPr="00B217DC">
        <w:rPr>
          <w:rFonts w:cs="Arial"/>
          <w:color w:val="auto"/>
          <w:spacing w:val="0"/>
          <w:kern w:val="28"/>
          <w:sz w:val="20"/>
          <w:szCs w:val="20"/>
        </w:rPr>
        <w:t>27</w:t>
      </w:r>
      <w:r w:rsidR="00103627" w:rsidRPr="00B217DC">
        <w:rPr>
          <w:rFonts w:cs="Arial"/>
          <w:color w:val="auto"/>
          <w:spacing w:val="0"/>
          <w:kern w:val="28"/>
          <w:sz w:val="20"/>
          <w:szCs w:val="20"/>
        </w:rPr>
        <w:t xml:space="preserve"> Black females, </w:t>
      </w:r>
      <w:r w:rsidR="008071B1" w:rsidRPr="00B217DC">
        <w:rPr>
          <w:rFonts w:cs="Arial"/>
          <w:color w:val="auto"/>
          <w:spacing w:val="0"/>
          <w:kern w:val="28"/>
          <w:sz w:val="20"/>
          <w:szCs w:val="20"/>
        </w:rPr>
        <w:t>11</w:t>
      </w:r>
      <w:r w:rsidR="00D92D6F" w:rsidRPr="00B217DC">
        <w:rPr>
          <w:rFonts w:cs="Arial"/>
          <w:color w:val="auto"/>
          <w:spacing w:val="0"/>
          <w:kern w:val="28"/>
          <w:sz w:val="20"/>
          <w:szCs w:val="20"/>
        </w:rPr>
        <w:t xml:space="preserve"> Black males</w:t>
      </w:r>
      <w:r w:rsidR="008071B1" w:rsidRPr="00B217DC">
        <w:rPr>
          <w:rFonts w:cs="Arial"/>
          <w:color w:val="auto"/>
          <w:spacing w:val="0"/>
          <w:kern w:val="28"/>
          <w:sz w:val="20"/>
          <w:szCs w:val="20"/>
        </w:rPr>
        <w:t>, 1 Coloured female</w:t>
      </w:r>
      <w:r w:rsidR="00D92D6F" w:rsidRPr="00B217DC">
        <w:rPr>
          <w:rFonts w:cs="Arial"/>
          <w:color w:val="auto"/>
          <w:spacing w:val="0"/>
          <w:kern w:val="28"/>
          <w:sz w:val="20"/>
          <w:szCs w:val="20"/>
        </w:rPr>
        <w:t>) were funded by the NYDA bursary programme for undergraduate and post-graduate studies in the 202</w:t>
      </w:r>
      <w:r w:rsidR="00103627" w:rsidRPr="00B217DC">
        <w:rPr>
          <w:rFonts w:cs="Arial"/>
          <w:color w:val="auto"/>
          <w:spacing w:val="0"/>
          <w:kern w:val="28"/>
          <w:sz w:val="20"/>
          <w:szCs w:val="20"/>
        </w:rPr>
        <w:t>1</w:t>
      </w:r>
      <w:r w:rsidR="00D92D6F" w:rsidRPr="00B217DC">
        <w:rPr>
          <w:rFonts w:cs="Arial"/>
          <w:color w:val="auto"/>
          <w:spacing w:val="0"/>
          <w:kern w:val="28"/>
          <w:sz w:val="20"/>
          <w:szCs w:val="20"/>
        </w:rPr>
        <w:t xml:space="preserve"> academic year.</w:t>
      </w:r>
    </w:p>
    <w:p w:rsidR="008071B1" w:rsidRPr="00B217DC" w:rsidRDefault="008071B1" w:rsidP="00B217DC">
      <w:pPr>
        <w:contextualSpacing/>
        <w:rPr>
          <w:rFonts w:cs="Arial"/>
          <w:color w:val="auto"/>
          <w:spacing w:val="0"/>
          <w:kern w:val="28"/>
          <w:sz w:val="20"/>
          <w:szCs w:val="20"/>
        </w:rPr>
      </w:pPr>
    </w:p>
    <w:p w:rsidR="00C202CD" w:rsidRPr="00B217DC" w:rsidRDefault="001566C8" w:rsidP="00B217DC">
      <w:pPr>
        <w:contextualSpacing/>
        <w:rPr>
          <w:rFonts w:cs="Arial"/>
          <w:color w:val="auto"/>
          <w:spacing w:val="0"/>
          <w:kern w:val="28"/>
          <w:sz w:val="20"/>
          <w:szCs w:val="20"/>
        </w:rPr>
      </w:pPr>
      <w:r w:rsidRPr="00B217DC">
        <w:rPr>
          <w:rFonts w:cs="Arial"/>
          <w:color w:val="auto"/>
          <w:spacing w:val="0"/>
          <w:kern w:val="28"/>
          <w:sz w:val="20"/>
          <w:szCs w:val="20"/>
        </w:rPr>
        <w:t xml:space="preserve"> </w:t>
      </w:r>
    </w:p>
    <w:p w:rsidR="00170BD2" w:rsidRPr="00B217DC" w:rsidRDefault="00A9692C" w:rsidP="00B217DC">
      <w:pPr>
        <w:numPr>
          <w:ilvl w:val="0"/>
          <w:numId w:val="12"/>
        </w:numPr>
        <w:ind w:left="426"/>
        <w:contextualSpacing/>
        <w:rPr>
          <w:rFonts w:cs="Arial"/>
          <w:color w:val="auto"/>
          <w:spacing w:val="0"/>
          <w:kern w:val="28"/>
          <w:sz w:val="20"/>
          <w:szCs w:val="20"/>
        </w:rPr>
      </w:pPr>
      <w:r w:rsidRPr="00B217DC">
        <w:rPr>
          <w:rFonts w:cs="Arial"/>
          <w:b/>
          <w:color w:val="auto"/>
          <w:spacing w:val="0"/>
          <w:kern w:val="28"/>
          <w:sz w:val="20"/>
          <w:szCs w:val="20"/>
        </w:rPr>
        <w:t xml:space="preserve">FINDINGS OF THE AUDITOR GENERAL OF SOUTH AFRICA </w:t>
      </w:r>
      <w:r w:rsidR="00170BD2" w:rsidRPr="00B217DC">
        <w:rPr>
          <w:rFonts w:cs="Arial"/>
          <w:b/>
          <w:color w:val="auto"/>
          <w:spacing w:val="0"/>
          <w:kern w:val="28"/>
          <w:sz w:val="20"/>
          <w:szCs w:val="20"/>
        </w:rPr>
        <w:t>(AGSA)</w:t>
      </w:r>
    </w:p>
    <w:p w:rsidR="00170BD2" w:rsidRPr="00B217DC" w:rsidRDefault="00170BD2" w:rsidP="00B217DC">
      <w:pPr>
        <w:rPr>
          <w:rFonts w:cs="Arial"/>
          <w:color w:val="auto"/>
          <w:sz w:val="20"/>
          <w:szCs w:val="20"/>
          <w:lang w:val="en-GB"/>
        </w:rPr>
      </w:pPr>
    </w:p>
    <w:p w:rsidR="00170BD2" w:rsidRPr="00B217DC" w:rsidRDefault="00BA28CD" w:rsidP="00B217DC">
      <w:pPr>
        <w:rPr>
          <w:rFonts w:cs="Arial"/>
          <w:color w:val="auto"/>
          <w:sz w:val="20"/>
          <w:szCs w:val="20"/>
          <w:lang w:val="en-GB"/>
        </w:rPr>
      </w:pPr>
      <w:r w:rsidRPr="00B217DC">
        <w:rPr>
          <w:rFonts w:cs="Arial"/>
          <w:color w:val="auto"/>
          <w:sz w:val="20"/>
          <w:szCs w:val="20"/>
        </w:rPr>
        <w:t xml:space="preserve">The Department has received an unqualified audit opinion from the Auditor-General of South Africa (AGSA), with findings on </w:t>
      </w:r>
      <w:r w:rsidR="00D22DC1" w:rsidRPr="00B217DC">
        <w:rPr>
          <w:rFonts w:cs="Arial"/>
          <w:color w:val="auto"/>
          <w:sz w:val="20"/>
          <w:szCs w:val="20"/>
        </w:rPr>
        <w:t>expenditure management and compliance with legislation, specifically in relation to consequence management and internal control deficiencies</w:t>
      </w:r>
      <w:r w:rsidRPr="00B217DC">
        <w:rPr>
          <w:rFonts w:cs="Arial"/>
          <w:color w:val="auto"/>
          <w:sz w:val="20"/>
          <w:szCs w:val="20"/>
        </w:rPr>
        <w:t xml:space="preserve">. To this end, the </w:t>
      </w:r>
      <w:r w:rsidR="00170BD2" w:rsidRPr="00B217DC">
        <w:rPr>
          <w:rFonts w:cs="Arial"/>
          <w:color w:val="auto"/>
          <w:sz w:val="20"/>
          <w:szCs w:val="20"/>
          <w:lang w:val="en-GB"/>
        </w:rPr>
        <w:t>AGSA highlighted the following key concerns with regards to the Department:</w:t>
      </w:r>
    </w:p>
    <w:p w:rsidR="00BA28CD" w:rsidRPr="00B217DC" w:rsidRDefault="00BA28CD"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A9692C" w:rsidRPr="00B217DC">
        <w:rPr>
          <w:rFonts w:cs="Arial"/>
          <w:b/>
          <w:color w:val="auto"/>
          <w:sz w:val="20"/>
          <w:szCs w:val="20"/>
          <w:lang w:val="en-GB"/>
        </w:rPr>
        <w:t>2</w:t>
      </w:r>
      <w:r w:rsidRPr="00B217DC">
        <w:rPr>
          <w:rFonts w:cs="Arial"/>
          <w:b/>
          <w:color w:val="auto"/>
          <w:sz w:val="20"/>
          <w:szCs w:val="20"/>
          <w:lang w:val="en-GB"/>
        </w:rPr>
        <w:t xml:space="preserve">.1 </w:t>
      </w:r>
      <w:r w:rsidR="005D1E37" w:rsidRPr="00B217DC">
        <w:rPr>
          <w:rFonts w:cs="Arial"/>
          <w:b/>
          <w:color w:val="auto"/>
          <w:sz w:val="20"/>
          <w:szCs w:val="20"/>
          <w:lang w:val="en-GB"/>
        </w:rPr>
        <w:t xml:space="preserve">Expenditure </w:t>
      </w:r>
      <w:r w:rsidRPr="00B217DC">
        <w:rPr>
          <w:rFonts w:cs="Arial"/>
          <w:b/>
          <w:color w:val="auto"/>
          <w:sz w:val="20"/>
          <w:szCs w:val="20"/>
          <w:lang w:val="en-GB"/>
        </w:rPr>
        <w:t>Management</w:t>
      </w:r>
    </w:p>
    <w:p w:rsidR="0000499A" w:rsidRPr="00B217DC" w:rsidRDefault="00BA28CD" w:rsidP="00B217DC">
      <w:pPr>
        <w:numPr>
          <w:ilvl w:val="0"/>
          <w:numId w:val="2"/>
        </w:numPr>
        <w:contextualSpacing/>
        <w:rPr>
          <w:rFonts w:cs="Arial"/>
          <w:color w:val="auto"/>
          <w:spacing w:val="0"/>
          <w:kern w:val="28"/>
          <w:sz w:val="20"/>
          <w:szCs w:val="20"/>
        </w:rPr>
      </w:pPr>
      <w:r w:rsidRPr="00B217DC">
        <w:rPr>
          <w:rFonts w:cs="Arial"/>
          <w:color w:val="auto"/>
          <w:spacing w:val="0"/>
          <w:kern w:val="28"/>
          <w:sz w:val="20"/>
          <w:szCs w:val="20"/>
        </w:rPr>
        <w:t>The AGSA found</w:t>
      </w:r>
      <w:r w:rsidR="00E45AC5" w:rsidRPr="00B217DC">
        <w:rPr>
          <w:rFonts w:cs="Arial"/>
          <w:color w:val="auto"/>
          <w:spacing w:val="0"/>
          <w:kern w:val="28"/>
          <w:sz w:val="20"/>
          <w:szCs w:val="20"/>
        </w:rPr>
        <w:t xml:space="preserve"> that </w:t>
      </w:r>
      <w:r w:rsidR="00DC0469" w:rsidRPr="00B217DC">
        <w:rPr>
          <w:rFonts w:cs="Arial"/>
          <w:color w:val="auto"/>
          <w:spacing w:val="0"/>
          <w:kern w:val="28"/>
          <w:sz w:val="20"/>
          <w:szCs w:val="20"/>
        </w:rPr>
        <w:t>the Department has materially underspent the budget by R</w:t>
      </w:r>
      <w:r w:rsidR="00822F37" w:rsidRPr="00B217DC">
        <w:rPr>
          <w:rFonts w:cs="Arial"/>
          <w:color w:val="auto"/>
          <w:spacing w:val="0"/>
          <w:kern w:val="28"/>
          <w:sz w:val="20"/>
          <w:szCs w:val="20"/>
        </w:rPr>
        <w:t>31</w:t>
      </w:r>
      <w:r w:rsidR="00DC0469" w:rsidRPr="00B217DC">
        <w:rPr>
          <w:rFonts w:cs="Arial"/>
          <w:color w:val="auto"/>
          <w:spacing w:val="0"/>
          <w:kern w:val="28"/>
          <w:sz w:val="20"/>
          <w:szCs w:val="20"/>
        </w:rPr>
        <w:t xml:space="preserve"> million.</w:t>
      </w:r>
    </w:p>
    <w:p w:rsidR="00654183" w:rsidRPr="00B217DC" w:rsidRDefault="00897538" w:rsidP="00B217DC">
      <w:pPr>
        <w:numPr>
          <w:ilvl w:val="0"/>
          <w:numId w:val="2"/>
        </w:numPr>
        <w:contextualSpacing/>
        <w:rPr>
          <w:rFonts w:cs="Arial"/>
          <w:color w:val="auto"/>
          <w:spacing w:val="0"/>
          <w:kern w:val="28"/>
          <w:sz w:val="20"/>
          <w:szCs w:val="20"/>
        </w:rPr>
      </w:pPr>
      <w:r w:rsidRPr="00B217DC">
        <w:rPr>
          <w:rFonts w:cs="Arial"/>
          <w:color w:val="auto"/>
          <w:spacing w:val="0"/>
          <w:kern w:val="28"/>
          <w:sz w:val="20"/>
          <w:szCs w:val="20"/>
        </w:rPr>
        <w:t xml:space="preserve">The AGSA indicated that </w:t>
      </w:r>
      <w:r w:rsidR="00233EA4" w:rsidRPr="00B217DC">
        <w:rPr>
          <w:rFonts w:cs="Arial"/>
          <w:color w:val="auto"/>
          <w:spacing w:val="0"/>
          <w:kern w:val="28"/>
          <w:sz w:val="20"/>
          <w:szCs w:val="20"/>
        </w:rPr>
        <w:t>even though the Department made progress on consequence management findings for a certain number of transactions relating to the previous years’ irregular expenditure. However, this was insufficient, hence there is a material finding on consequence management relating to irregular expenditure reported in the audit report. The DWYPD needs to place more focus on retrieving information in order to perform the required investigations and institute consequence management.</w:t>
      </w:r>
    </w:p>
    <w:p w:rsidR="00C8682F" w:rsidRPr="00B217DC" w:rsidRDefault="00C8682F" w:rsidP="00B217DC">
      <w:pPr>
        <w:ind w:left="720"/>
        <w:contextualSpacing/>
        <w:rPr>
          <w:rFonts w:cs="Arial"/>
          <w:color w:val="auto"/>
          <w:spacing w:val="0"/>
          <w:kern w:val="28"/>
          <w:sz w:val="20"/>
          <w:szCs w:val="20"/>
        </w:rPr>
      </w:pPr>
    </w:p>
    <w:p w:rsidR="002B202E" w:rsidRPr="00B217DC" w:rsidRDefault="00170BD2" w:rsidP="00B217DC">
      <w:pPr>
        <w:rPr>
          <w:rFonts w:cs="Arial"/>
          <w:b/>
          <w:color w:val="auto"/>
          <w:sz w:val="20"/>
          <w:szCs w:val="20"/>
          <w:lang w:val="en-GB"/>
        </w:rPr>
      </w:pPr>
      <w:r w:rsidRPr="00B217DC">
        <w:rPr>
          <w:rFonts w:cs="Arial"/>
          <w:b/>
          <w:color w:val="auto"/>
          <w:sz w:val="20"/>
          <w:szCs w:val="20"/>
          <w:lang w:val="en-GB"/>
        </w:rPr>
        <w:t>1</w:t>
      </w:r>
      <w:r w:rsidR="00A9692C" w:rsidRPr="00B217DC">
        <w:rPr>
          <w:rFonts w:cs="Arial"/>
          <w:b/>
          <w:color w:val="auto"/>
          <w:sz w:val="20"/>
          <w:szCs w:val="20"/>
          <w:lang w:val="en-GB"/>
        </w:rPr>
        <w:t>2</w:t>
      </w:r>
      <w:r w:rsidRPr="00B217DC">
        <w:rPr>
          <w:rFonts w:cs="Arial"/>
          <w:b/>
          <w:color w:val="auto"/>
          <w:sz w:val="20"/>
          <w:szCs w:val="20"/>
          <w:lang w:val="en-GB"/>
        </w:rPr>
        <w:t>.</w:t>
      </w:r>
      <w:r w:rsidR="00233EA4" w:rsidRPr="00B217DC">
        <w:rPr>
          <w:rFonts w:cs="Arial"/>
          <w:b/>
          <w:color w:val="auto"/>
          <w:sz w:val="20"/>
          <w:szCs w:val="20"/>
          <w:lang w:val="en-GB"/>
        </w:rPr>
        <w:t>2</w:t>
      </w:r>
      <w:r w:rsidRPr="00B217DC">
        <w:rPr>
          <w:rFonts w:cs="Arial"/>
          <w:b/>
          <w:color w:val="auto"/>
          <w:sz w:val="20"/>
          <w:szCs w:val="20"/>
          <w:lang w:val="en-GB"/>
        </w:rPr>
        <w:t xml:space="preserve"> </w:t>
      </w:r>
      <w:r w:rsidR="00E45AC5" w:rsidRPr="00B217DC">
        <w:rPr>
          <w:rFonts w:cs="Arial"/>
          <w:b/>
          <w:color w:val="auto"/>
          <w:sz w:val="20"/>
          <w:szCs w:val="20"/>
          <w:lang w:val="en-GB"/>
        </w:rPr>
        <w:t>Internal Control Deficiencies</w:t>
      </w:r>
      <w:r w:rsidR="00DC0469" w:rsidRPr="00B217DC">
        <w:rPr>
          <w:rFonts w:cs="Arial"/>
          <w:b/>
          <w:color w:val="auto"/>
          <w:sz w:val="20"/>
          <w:szCs w:val="20"/>
          <w:lang w:val="en-GB"/>
        </w:rPr>
        <w:t xml:space="preserve"> (Compliance)</w:t>
      </w:r>
    </w:p>
    <w:p w:rsidR="002623E4" w:rsidRPr="00B217DC" w:rsidRDefault="00E45AC5" w:rsidP="00B217DC">
      <w:pPr>
        <w:pStyle w:val="ListParagraph"/>
        <w:numPr>
          <w:ilvl w:val="0"/>
          <w:numId w:val="2"/>
        </w:numPr>
        <w:rPr>
          <w:rFonts w:cs="Arial"/>
          <w:color w:val="auto"/>
          <w:sz w:val="20"/>
          <w:szCs w:val="20"/>
        </w:rPr>
      </w:pPr>
      <w:r w:rsidRPr="00B217DC">
        <w:rPr>
          <w:rFonts w:cs="Arial"/>
          <w:color w:val="auto"/>
          <w:sz w:val="20"/>
          <w:szCs w:val="20"/>
        </w:rPr>
        <w:t>The AGSA found</w:t>
      </w:r>
      <w:r w:rsidR="00DC0469" w:rsidRPr="00B217DC">
        <w:rPr>
          <w:rFonts w:cs="Arial"/>
          <w:color w:val="auto"/>
          <w:sz w:val="20"/>
          <w:szCs w:val="20"/>
        </w:rPr>
        <w:t xml:space="preserve"> that</w:t>
      </w:r>
      <w:r w:rsidR="00822F37" w:rsidRPr="00B217DC">
        <w:rPr>
          <w:rFonts w:cs="Arial"/>
          <w:color w:val="auto"/>
          <w:sz w:val="20"/>
          <w:szCs w:val="20"/>
        </w:rPr>
        <w:t xml:space="preserve"> Senior management has not adequately or properly monitored compliance with laws and regulations. This could have led to prevention of non-compliance. Notwithstanding the audit action plan, not enough attention was given to matters relating to consequence management as at 31 March 2022</w:t>
      </w:r>
      <w:r w:rsidRPr="00B217DC">
        <w:rPr>
          <w:rFonts w:cs="Arial"/>
          <w:color w:val="auto"/>
          <w:sz w:val="20"/>
          <w:szCs w:val="20"/>
        </w:rPr>
        <w:t>.</w:t>
      </w:r>
      <w:r w:rsidR="002B202E" w:rsidRPr="00B217DC">
        <w:rPr>
          <w:rFonts w:cs="Arial"/>
          <w:b/>
          <w:bCs/>
          <w:i/>
          <w:iCs/>
          <w:color w:val="auto"/>
          <w:sz w:val="20"/>
          <w:szCs w:val="20"/>
        </w:rPr>
        <w:t xml:space="preserve"> </w:t>
      </w:r>
    </w:p>
    <w:p w:rsidR="002B202E" w:rsidRPr="00B217DC" w:rsidRDefault="002B202E" w:rsidP="00B217DC">
      <w:pPr>
        <w:rPr>
          <w:rFonts w:cs="Arial"/>
          <w:color w:val="auto"/>
          <w:sz w:val="20"/>
          <w:szCs w:val="20"/>
          <w:lang w:val="en-GB"/>
        </w:rPr>
      </w:pPr>
    </w:p>
    <w:p w:rsidR="002B202E" w:rsidRPr="00B217DC" w:rsidRDefault="002B202E" w:rsidP="00B217DC">
      <w:pPr>
        <w:rPr>
          <w:rFonts w:cs="Arial"/>
          <w:b/>
          <w:color w:val="auto"/>
          <w:sz w:val="20"/>
          <w:szCs w:val="20"/>
          <w:lang w:val="en-GB"/>
        </w:rPr>
      </w:pPr>
      <w:r w:rsidRPr="00B217DC">
        <w:rPr>
          <w:rFonts w:cs="Arial"/>
          <w:b/>
          <w:color w:val="auto"/>
          <w:sz w:val="20"/>
          <w:szCs w:val="20"/>
          <w:lang w:val="en-GB"/>
        </w:rPr>
        <w:t>1</w:t>
      </w:r>
      <w:r w:rsidR="00A9692C" w:rsidRPr="00B217DC">
        <w:rPr>
          <w:rFonts w:cs="Arial"/>
          <w:b/>
          <w:color w:val="auto"/>
          <w:sz w:val="20"/>
          <w:szCs w:val="20"/>
          <w:lang w:val="en-GB"/>
        </w:rPr>
        <w:t>2</w:t>
      </w:r>
      <w:r w:rsidRPr="00B217DC">
        <w:rPr>
          <w:rFonts w:cs="Arial"/>
          <w:b/>
          <w:color w:val="auto"/>
          <w:sz w:val="20"/>
          <w:szCs w:val="20"/>
          <w:lang w:val="en-GB"/>
        </w:rPr>
        <w:t>.</w:t>
      </w:r>
      <w:r w:rsidR="00233EA4" w:rsidRPr="00B217DC">
        <w:rPr>
          <w:rFonts w:cs="Arial"/>
          <w:b/>
          <w:color w:val="auto"/>
          <w:sz w:val="20"/>
          <w:szCs w:val="20"/>
          <w:lang w:val="en-GB"/>
        </w:rPr>
        <w:t>3</w:t>
      </w:r>
      <w:r w:rsidRPr="00B217DC">
        <w:rPr>
          <w:rFonts w:cs="Arial"/>
          <w:b/>
          <w:color w:val="auto"/>
          <w:sz w:val="20"/>
          <w:szCs w:val="20"/>
          <w:lang w:val="en-GB"/>
        </w:rPr>
        <w:t xml:space="preserve"> Consequence management</w:t>
      </w:r>
    </w:p>
    <w:p w:rsidR="00822F37" w:rsidRPr="00B217DC" w:rsidRDefault="002B202E" w:rsidP="00B217DC">
      <w:pPr>
        <w:pStyle w:val="ListParagraph"/>
        <w:numPr>
          <w:ilvl w:val="0"/>
          <w:numId w:val="2"/>
        </w:numPr>
        <w:rPr>
          <w:rFonts w:cs="Arial"/>
          <w:color w:val="auto"/>
          <w:sz w:val="20"/>
          <w:szCs w:val="20"/>
        </w:rPr>
      </w:pPr>
      <w:r w:rsidRPr="00B217DC">
        <w:rPr>
          <w:rFonts w:cs="Arial"/>
          <w:color w:val="auto"/>
          <w:sz w:val="20"/>
          <w:szCs w:val="20"/>
        </w:rPr>
        <w:t xml:space="preserve">The AGSA </w:t>
      </w:r>
      <w:r w:rsidR="00822F37" w:rsidRPr="00B217DC">
        <w:rPr>
          <w:rFonts w:cs="Arial"/>
          <w:color w:val="auto"/>
          <w:sz w:val="20"/>
          <w:szCs w:val="20"/>
        </w:rPr>
        <w:t>noted a lack of sufficient appropriate audit evidence to indicate that disciplinary steps were taken against officials who had incurred irregular expenditure.</w:t>
      </w:r>
    </w:p>
    <w:p w:rsidR="0000499A" w:rsidRPr="00B217DC" w:rsidRDefault="00822F37" w:rsidP="00B217DC">
      <w:pPr>
        <w:pStyle w:val="ListParagraph"/>
        <w:numPr>
          <w:ilvl w:val="0"/>
          <w:numId w:val="2"/>
        </w:numPr>
        <w:rPr>
          <w:rFonts w:cs="Arial"/>
          <w:color w:val="auto"/>
          <w:sz w:val="20"/>
          <w:szCs w:val="20"/>
        </w:rPr>
      </w:pPr>
      <w:r w:rsidRPr="00B217DC">
        <w:rPr>
          <w:rFonts w:cs="Arial"/>
          <w:color w:val="auto"/>
          <w:sz w:val="20"/>
          <w:szCs w:val="20"/>
        </w:rPr>
        <w:t>Furthermore, proper and complete records were not maintained by the Department to conduct investigations into irregular expenditure</w:t>
      </w:r>
      <w:r w:rsidR="00DC0469" w:rsidRPr="00B217DC">
        <w:rPr>
          <w:rFonts w:cs="Arial"/>
          <w:color w:val="auto"/>
          <w:sz w:val="20"/>
          <w:szCs w:val="20"/>
        </w:rPr>
        <w:t>.</w:t>
      </w:r>
    </w:p>
    <w:p w:rsidR="002B202E" w:rsidRPr="00B217DC" w:rsidRDefault="002B202E" w:rsidP="00B217DC">
      <w:pPr>
        <w:rPr>
          <w:rFonts w:cs="Arial"/>
          <w:b/>
          <w:color w:val="auto"/>
          <w:sz w:val="20"/>
          <w:szCs w:val="20"/>
          <w:lang w:val="en-GB"/>
        </w:rPr>
      </w:pPr>
    </w:p>
    <w:p w:rsidR="00233EA4" w:rsidRPr="00B217DC" w:rsidRDefault="00233EA4" w:rsidP="00B217DC">
      <w:pPr>
        <w:rPr>
          <w:rFonts w:cs="Arial"/>
          <w:b/>
          <w:color w:val="auto"/>
          <w:sz w:val="20"/>
          <w:szCs w:val="20"/>
          <w:lang w:val="en-GB"/>
        </w:rPr>
      </w:pPr>
      <w:r w:rsidRPr="00B217DC">
        <w:rPr>
          <w:rFonts w:cs="Arial"/>
          <w:b/>
          <w:color w:val="auto"/>
          <w:sz w:val="20"/>
          <w:szCs w:val="20"/>
          <w:lang w:val="en-GB"/>
        </w:rPr>
        <w:t>12.4 Irregular Expenditure</w:t>
      </w:r>
    </w:p>
    <w:p w:rsidR="00233EA4" w:rsidRPr="00B217DC" w:rsidRDefault="00233EA4" w:rsidP="00B217DC">
      <w:pPr>
        <w:pStyle w:val="ListParagraph"/>
        <w:numPr>
          <w:ilvl w:val="0"/>
          <w:numId w:val="109"/>
        </w:numPr>
        <w:rPr>
          <w:rFonts w:cs="Arial"/>
          <w:color w:val="auto"/>
          <w:sz w:val="20"/>
          <w:szCs w:val="20"/>
          <w:lang w:val="en-GB"/>
        </w:rPr>
      </w:pPr>
      <w:r w:rsidRPr="00B217DC">
        <w:rPr>
          <w:rFonts w:cs="Arial"/>
          <w:color w:val="auto"/>
          <w:sz w:val="20"/>
          <w:szCs w:val="20"/>
          <w:lang w:val="en-GB"/>
        </w:rPr>
        <w:t>The AGSA noted an amount of R187 000 on account of SCM processes not followed by the Department which relate to non-compliance from the previous year. This was attributed to inadequate monitoring of compliance with key legislation and ultimately resulted in the unfair appointment of service providers.</w:t>
      </w:r>
    </w:p>
    <w:p w:rsidR="00233EA4" w:rsidRPr="00B217DC" w:rsidRDefault="00233EA4" w:rsidP="00B217DC">
      <w:pPr>
        <w:rPr>
          <w:rFonts w:cs="Arial"/>
          <w:b/>
          <w:color w:val="auto"/>
          <w:sz w:val="20"/>
          <w:szCs w:val="20"/>
          <w:lang w:val="en-GB"/>
        </w:rPr>
      </w:pPr>
    </w:p>
    <w:p w:rsidR="00170BD2" w:rsidRPr="00B217DC" w:rsidRDefault="00170BD2" w:rsidP="00B217DC">
      <w:p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 xml:space="preserve">With regards to the CGE, </w:t>
      </w:r>
      <w:r w:rsidR="007A0A91" w:rsidRPr="00B217DC">
        <w:rPr>
          <w:rFonts w:cs="Arial"/>
          <w:color w:val="auto"/>
          <w:spacing w:val="0"/>
          <w:sz w:val="20"/>
          <w:szCs w:val="20"/>
          <w:lang w:eastAsia="en-ZA"/>
        </w:rPr>
        <w:t>it</w:t>
      </w:r>
      <w:r w:rsidRPr="00B217DC">
        <w:rPr>
          <w:rFonts w:cs="Arial"/>
          <w:color w:val="auto"/>
          <w:spacing w:val="0"/>
          <w:sz w:val="20"/>
          <w:szCs w:val="20"/>
          <w:lang w:eastAsia="en-ZA"/>
        </w:rPr>
        <w:t xml:space="preserve"> received an unqualified audit opinion</w:t>
      </w:r>
      <w:r w:rsidR="007A0A91" w:rsidRPr="00B217DC">
        <w:rPr>
          <w:rFonts w:cs="Arial"/>
          <w:color w:val="auto"/>
          <w:spacing w:val="0"/>
          <w:sz w:val="20"/>
          <w:szCs w:val="20"/>
          <w:lang w:eastAsia="en-ZA"/>
        </w:rPr>
        <w:t xml:space="preserve"> from the AGSA</w:t>
      </w:r>
      <w:r w:rsidRPr="00B217DC">
        <w:rPr>
          <w:rFonts w:cs="Arial"/>
          <w:color w:val="auto"/>
          <w:spacing w:val="0"/>
          <w:sz w:val="20"/>
          <w:szCs w:val="20"/>
          <w:lang w:eastAsia="en-ZA"/>
        </w:rPr>
        <w:t>. The following matters were raised by the AGSA:</w:t>
      </w:r>
    </w:p>
    <w:p w:rsidR="00023CB5" w:rsidRPr="00B217DC" w:rsidRDefault="00023CB5" w:rsidP="00B217DC">
      <w:pPr>
        <w:autoSpaceDE w:val="0"/>
        <w:autoSpaceDN w:val="0"/>
        <w:adjustRightInd w:val="0"/>
        <w:rPr>
          <w:rFonts w:cs="Arial"/>
          <w:color w:val="auto"/>
          <w:spacing w:val="0"/>
          <w:sz w:val="20"/>
          <w:szCs w:val="20"/>
          <w:lang w:eastAsia="en-ZA"/>
        </w:rPr>
      </w:pPr>
    </w:p>
    <w:p w:rsidR="002623E4" w:rsidRPr="00B217DC" w:rsidRDefault="00E45AC5" w:rsidP="00B217DC">
      <w:pPr>
        <w:autoSpaceDE w:val="0"/>
        <w:autoSpaceDN w:val="0"/>
        <w:adjustRightInd w:val="0"/>
        <w:rPr>
          <w:rFonts w:cs="Arial"/>
          <w:b/>
          <w:color w:val="auto"/>
          <w:spacing w:val="0"/>
          <w:sz w:val="20"/>
          <w:szCs w:val="20"/>
          <w:lang w:eastAsia="en-ZA"/>
        </w:rPr>
      </w:pPr>
      <w:r w:rsidRPr="00B217DC">
        <w:rPr>
          <w:rFonts w:cs="Arial"/>
          <w:b/>
          <w:color w:val="auto"/>
          <w:spacing w:val="0"/>
          <w:sz w:val="20"/>
          <w:szCs w:val="20"/>
          <w:lang w:eastAsia="en-ZA"/>
        </w:rPr>
        <w:lastRenderedPageBreak/>
        <w:t>12.</w:t>
      </w:r>
      <w:r w:rsidR="00C8682F" w:rsidRPr="00B217DC">
        <w:rPr>
          <w:rFonts w:cs="Arial"/>
          <w:b/>
          <w:color w:val="auto"/>
          <w:spacing w:val="0"/>
          <w:sz w:val="20"/>
          <w:szCs w:val="20"/>
          <w:lang w:eastAsia="en-ZA"/>
        </w:rPr>
        <w:t>5</w:t>
      </w:r>
      <w:r w:rsidR="00654183" w:rsidRPr="00B217DC">
        <w:rPr>
          <w:rFonts w:cs="Arial"/>
          <w:b/>
          <w:color w:val="auto"/>
          <w:spacing w:val="0"/>
          <w:sz w:val="20"/>
          <w:szCs w:val="20"/>
          <w:lang w:eastAsia="en-ZA"/>
        </w:rPr>
        <w:t xml:space="preserve"> </w:t>
      </w:r>
      <w:r w:rsidR="00251742" w:rsidRPr="00B217DC">
        <w:rPr>
          <w:rFonts w:cs="Arial"/>
          <w:b/>
          <w:color w:val="auto"/>
          <w:spacing w:val="0"/>
          <w:sz w:val="20"/>
          <w:szCs w:val="20"/>
          <w:lang w:eastAsia="en-ZA"/>
        </w:rPr>
        <w:t>Non-compliance with legislation</w:t>
      </w:r>
      <w:r w:rsidR="002623E4" w:rsidRPr="00B217DC">
        <w:rPr>
          <w:rFonts w:cs="Arial"/>
          <w:b/>
          <w:color w:val="auto"/>
          <w:spacing w:val="0"/>
          <w:sz w:val="20"/>
          <w:szCs w:val="20"/>
          <w:lang w:eastAsia="en-ZA"/>
        </w:rPr>
        <w:t xml:space="preserve"> </w:t>
      </w:r>
    </w:p>
    <w:p w:rsidR="004E6859" w:rsidRPr="00B217DC" w:rsidRDefault="00C8682F" w:rsidP="00B217DC">
      <w:pPr>
        <w:pStyle w:val="ListParagraph"/>
        <w:numPr>
          <w:ilvl w:val="0"/>
          <w:numId w:val="144"/>
        </w:numPr>
        <w:autoSpaceDE w:val="0"/>
        <w:autoSpaceDN w:val="0"/>
        <w:adjustRightInd w:val="0"/>
        <w:ind w:left="851"/>
        <w:rPr>
          <w:rFonts w:cs="Arial"/>
          <w:color w:val="auto"/>
          <w:spacing w:val="0"/>
          <w:sz w:val="20"/>
          <w:szCs w:val="20"/>
          <w:lang w:eastAsia="en-ZA"/>
        </w:rPr>
      </w:pPr>
      <w:r w:rsidRPr="00B217DC">
        <w:rPr>
          <w:rFonts w:cs="Arial"/>
          <w:color w:val="auto"/>
          <w:spacing w:val="0"/>
          <w:sz w:val="20"/>
          <w:szCs w:val="20"/>
          <w:lang w:eastAsia="en-ZA"/>
        </w:rPr>
        <w:t>The audit opinion of the commission remained unchanged with no improvement over the last three financial years. The audit outcomes obtained can be attributed to the commission’s material non-compliance with laws and regulations pertaining to expenditure management, procurement and contract management as well as non-compliance with Section 40(1) of the Public Finance Management Act 1 of 1999 (PFMA) which requires that all financial statements submitted for audit, should be free from material errors, omissions and misstatements.</w:t>
      </w:r>
    </w:p>
    <w:p w:rsidR="00355D8B" w:rsidRPr="00B217DC" w:rsidRDefault="00355D8B" w:rsidP="00B217DC">
      <w:pPr>
        <w:pStyle w:val="ListParagraph"/>
        <w:autoSpaceDE w:val="0"/>
        <w:autoSpaceDN w:val="0"/>
        <w:adjustRightInd w:val="0"/>
        <w:ind w:left="851"/>
        <w:rPr>
          <w:rFonts w:cs="Arial"/>
          <w:color w:val="auto"/>
          <w:spacing w:val="0"/>
          <w:sz w:val="20"/>
          <w:szCs w:val="20"/>
          <w:lang w:eastAsia="en-ZA"/>
        </w:rPr>
      </w:pPr>
    </w:p>
    <w:p w:rsidR="00170BD2" w:rsidRPr="00B217DC" w:rsidRDefault="00E74F14" w:rsidP="00B217DC">
      <w:pPr>
        <w:autoSpaceDE w:val="0"/>
        <w:autoSpaceDN w:val="0"/>
        <w:adjustRightInd w:val="0"/>
        <w:rPr>
          <w:rFonts w:cs="Arial"/>
          <w:b/>
          <w:color w:val="auto"/>
          <w:spacing w:val="0"/>
          <w:sz w:val="20"/>
          <w:szCs w:val="20"/>
          <w:lang w:eastAsia="en-ZA"/>
        </w:rPr>
      </w:pPr>
      <w:r w:rsidRPr="00B217DC">
        <w:rPr>
          <w:rFonts w:cs="Arial"/>
          <w:b/>
          <w:color w:val="auto"/>
          <w:spacing w:val="0"/>
          <w:sz w:val="20"/>
          <w:szCs w:val="20"/>
          <w:lang w:eastAsia="en-ZA"/>
        </w:rPr>
        <w:t>12.</w:t>
      </w:r>
      <w:r w:rsidR="00355D8B" w:rsidRPr="00B217DC">
        <w:rPr>
          <w:rFonts w:cs="Arial"/>
          <w:b/>
          <w:color w:val="auto"/>
          <w:spacing w:val="0"/>
          <w:sz w:val="20"/>
          <w:szCs w:val="20"/>
          <w:lang w:eastAsia="en-ZA"/>
        </w:rPr>
        <w:t>6</w:t>
      </w:r>
      <w:r w:rsidRPr="00B217DC">
        <w:rPr>
          <w:rFonts w:cs="Arial"/>
          <w:b/>
          <w:color w:val="auto"/>
          <w:spacing w:val="0"/>
          <w:sz w:val="20"/>
          <w:szCs w:val="20"/>
          <w:lang w:eastAsia="en-ZA"/>
        </w:rPr>
        <w:t xml:space="preserve"> </w:t>
      </w:r>
      <w:r w:rsidR="00F74830" w:rsidRPr="00B217DC">
        <w:rPr>
          <w:rFonts w:cs="Arial"/>
          <w:b/>
          <w:color w:val="auto"/>
          <w:spacing w:val="0"/>
          <w:sz w:val="20"/>
          <w:szCs w:val="20"/>
          <w:lang w:eastAsia="en-ZA"/>
        </w:rPr>
        <w:t>Internal control deficiencies</w:t>
      </w:r>
    </w:p>
    <w:p w:rsidR="00C8682F" w:rsidRPr="00B217DC" w:rsidRDefault="00C8682F" w:rsidP="00B217DC">
      <w:pPr>
        <w:pStyle w:val="ListParagraph"/>
        <w:numPr>
          <w:ilvl w:val="0"/>
          <w:numId w:val="145"/>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 xml:space="preserve">In the current financial year, the commission still received an unqualified opinion with material findings on the audit of compliance. </w:t>
      </w:r>
    </w:p>
    <w:p w:rsidR="00C8682F" w:rsidRPr="00B217DC" w:rsidRDefault="00C8682F" w:rsidP="00B217DC">
      <w:pPr>
        <w:pStyle w:val="ListParagraph"/>
        <w:numPr>
          <w:ilvl w:val="0"/>
          <w:numId w:val="145"/>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 xml:space="preserve">The unchanged audit outcomes can be attributed to findings on the expenditure management and consequence management as a result of management’s slow response to execute audit action plans, inadequate internal controls surrounding the performance reporting process as well as insufficient oversight with regards to policy adherence. </w:t>
      </w:r>
    </w:p>
    <w:p w:rsidR="00F74830" w:rsidRPr="00B217DC" w:rsidRDefault="00F74830" w:rsidP="00B217DC">
      <w:pPr>
        <w:autoSpaceDE w:val="0"/>
        <w:autoSpaceDN w:val="0"/>
        <w:adjustRightInd w:val="0"/>
        <w:rPr>
          <w:rFonts w:cs="Arial"/>
          <w:color w:val="auto"/>
          <w:spacing w:val="0"/>
          <w:sz w:val="20"/>
          <w:szCs w:val="20"/>
          <w:lang w:eastAsia="en-ZA"/>
        </w:rPr>
      </w:pPr>
    </w:p>
    <w:p w:rsidR="00355D8B" w:rsidRPr="00B217DC" w:rsidRDefault="00355D8B" w:rsidP="00B217DC">
      <w:pPr>
        <w:autoSpaceDE w:val="0"/>
        <w:autoSpaceDN w:val="0"/>
        <w:adjustRightInd w:val="0"/>
        <w:rPr>
          <w:rFonts w:cs="Arial"/>
          <w:b/>
          <w:color w:val="auto"/>
          <w:spacing w:val="0"/>
          <w:sz w:val="20"/>
          <w:szCs w:val="20"/>
          <w:lang w:eastAsia="en-ZA"/>
        </w:rPr>
      </w:pPr>
      <w:r w:rsidRPr="00B217DC">
        <w:rPr>
          <w:rFonts w:cs="Arial"/>
          <w:b/>
          <w:color w:val="auto"/>
          <w:spacing w:val="0"/>
          <w:sz w:val="20"/>
          <w:szCs w:val="20"/>
          <w:lang w:eastAsia="en-ZA"/>
        </w:rPr>
        <w:t xml:space="preserve">12.7 Root causes - non-compliance and internal control deficiencies </w:t>
      </w:r>
    </w:p>
    <w:p w:rsidR="00355D8B" w:rsidRPr="00B217DC" w:rsidRDefault="00355D8B" w:rsidP="00B217DC">
      <w:pPr>
        <w:pStyle w:val="ListParagraph"/>
        <w:numPr>
          <w:ilvl w:val="0"/>
          <w:numId w:val="145"/>
        </w:numPr>
        <w:tabs>
          <w:tab w:val="left" w:pos="2040"/>
          <w:tab w:val="left" w:pos="3651"/>
        </w:tabs>
        <w:rPr>
          <w:rFonts w:cs="Arial"/>
          <w:color w:val="auto"/>
          <w:sz w:val="20"/>
          <w:szCs w:val="20"/>
          <w:lang w:eastAsia="en-US"/>
        </w:rPr>
      </w:pPr>
      <w:r w:rsidRPr="00B217DC">
        <w:rPr>
          <w:rFonts w:cs="Arial"/>
          <w:color w:val="auto"/>
          <w:sz w:val="20"/>
          <w:szCs w:val="20"/>
          <w:lang w:eastAsia="en-US"/>
        </w:rPr>
        <w:t xml:space="preserve">Inadequate monitoring and oversight with regards to compliance with laws and regulations as well as related internal controls </w:t>
      </w:r>
    </w:p>
    <w:p w:rsidR="00355D8B" w:rsidRPr="00B217DC" w:rsidRDefault="00355D8B" w:rsidP="00B217DC">
      <w:pPr>
        <w:pStyle w:val="ListParagraph"/>
        <w:numPr>
          <w:ilvl w:val="0"/>
          <w:numId w:val="146"/>
        </w:numPr>
        <w:tabs>
          <w:tab w:val="left" w:pos="2040"/>
          <w:tab w:val="left" w:pos="3651"/>
        </w:tabs>
        <w:rPr>
          <w:rFonts w:cs="Arial"/>
          <w:color w:val="auto"/>
          <w:sz w:val="20"/>
          <w:szCs w:val="20"/>
          <w:lang w:eastAsia="en-US"/>
        </w:rPr>
      </w:pPr>
      <w:r w:rsidRPr="00B217DC">
        <w:rPr>
          <w:rFonts w:cs="Arial"/>
          <w:color w:val="auto"/>
          <w:sz w:val="20"/>
          <w:szCs w:val="20"/>
          <w:lang w:eastAsia="en-US"/>
        </w:rPr>
        <w:t xml:space="preserve">Inadequate record keeping - the Commission did not have the proper recording system to ensure that documents were kept and were available for audit purposes. </w:t>
      </w:r>
    </w:p>
    <w:p w:rsidR="00355D8B" w:rsidRPr="00B217DC" w:rsidRDefault="00355D8B" w:rsidP="00B217DC">
      <w:pPr>
        <w:pStyle w:val="ListParagraph"/>
        <w:numPr>
          <w:ilvl w:val="0"/>
          <w:numId w:val="146"/>
        </w:numPr>
        <w:tabs>
          <w:tab w:val="left" w:pos="2040"/>
          <w:tab w:val="left" w:pos="3651"/>
        </w:tabs>
        <w:rPr>
          <w:rFonts w:cs="Arial"/>
          <w:color w:val="auto"/>
          <w:sz w:val="20"/>
          <w:szCs w:val="20"/>
          <w:lang w:eastAsia="en-US"/>
        </w:rPr>
      </w:pPr>
      <w:r w:rsidRPr="00B217DC">
        <w:rPr>
          <w:rFonts w:cs="Arial"/>
          <w:color w:val="auto"/>
          <w:sz w:val="20"/>
          <w:szCs w:val="20"/>
          <w:lang w:eastAsia="en-US"/>
        </w:rPr>
        <w:t xml:space="preserve">Lack of consequence management for poor performance and transgressions - No evidence that consequence management was performed on fruitless and wasteful expenditure </w:t>
      </w:r>
    </w:p>
    <w:p w:rsidR="00355D8B" w:rsidRPr="00B217DC" w:rsidRDefault="00355D8B" w:rsidP="00B217DC">
      <w:pPr>
        <w:pStyle w:val="ListParagraph"/>
        <w:numPr>
          <w:ilvl w:val="0"/>
          <w:numId w:val="146"/>
        </w:numPr>
        <w:tabs>
          <w:tab w:val="left" w:pos="2040"/>
          <w:tab w:val="left" w:pos="3651"/>
        </w:tabs>
        <w:rPr>
          <w:rFonts w:cs="Arial"/>
          <w:color w:val="auto"/>
          <w:sz w:val="20"/>
          <w:szCs w:val="20"/>
          <w:lang w:eastAsia="en-US"/>
        </w:rPr>
      </w:pPr>
      <w:r w:rsidRPr="00B217DC">
        <w:rPr>
          <w:rFonts w:cs="Arial"/>
          <w:color w:val="auto"/>
          <w:sz w:val="20"/>
          <w:szCs w:val="20"/>
          <w:lang w:eastAsia="en-US"/>
        </w:rPr>
        <w:t xml:space="preserve">Staff vacancies in key positions lead to significant findings. </w:t>
      </w:r>
    </w:p>
    <w:p w:rsidR="00355D8B" w:rsidRPr="00B217DC" w:rsidRDefault="00355D8B" w:rsidP="00B217DC">
      <w:pPr>
        <w:tabs>
          <w:tab w:val="left" w:pos="2040"/>
          <w:tab w:val="left" w:pos="3651"/>
        </w:tabs>
        <w:rPr>
          <w:rFonts w:cs="Arial"/>
          <w:color w:val="auto"/>
          <w:sz w:val="20"/>
          <w:szCs w:val="20"/>
          <w:lang w:eastAsia="en-US"/>
        </w:rPr>
      </w:pPr>
    </w:p>
    <w:p w:rsidR="00170BD2" w:rsidRPr="00B217DC" w:rsidRDefault="00355D8B" w:rsidP="00B217DC">
      <w:pPr>
        <w:tabs>
          <w:tab w:val="left" w:pos="2040"/>
          <w:tab w:val="left" w:pos="3651"/>
        </w:tabs>
        <w:rPr>
          <w:rFonts w:cs="Arial"/>
          <w:b/>
          <w:color w:val="auto"/>
          <w:sz w:val="20"/>
          <w:szCs w:val="20"/>
          <w:lang w:eastAsia="en-US"/>
        </w:rPr>
      </w:pPr>
      <w:r w:rsidRPr="00B217DC">
        <w:rPr>
          <w:rFonts w:cs="Arial"/>
          <w:b/>
          <w:color w:val="auto"/>
          <w:sz w:val="20"/>
          <w:szCs w:val="20"/>
          <w:lang w:eastAsia="en-US"/>
        </w:rPr>
        <w:t>12.8 Recommendations by AGSA</w:t>
      </w:r>
    </w:p>
    <w:p w:rsidR="00355D8B" w:rsidRPr="00B217DC" w:rsidRDefault="00355D8B" w:rsidP="00B217DC">
      <w:pPr>
        <w:pStyle w:val="ListParagraph"/>
        <w:numPr>
          <w:ilvl w:val="0"/>
          <w:numId w:val="146"/>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The policies and procedures for consequence management or investigating must be updated to be process dependent and not people or position dependent.</w:t>
      </w:r>
    </w:p>
    <w:p w:rsidR="00355D8B" w:rsidRPr="00B217DC" w:rsidRDefault="00355D8B" w:rsidP="00B217DC">
      <w:pPr>
        <w:pStyle w:val="ListParagraph"/>
        <w:numPr>
          <w:ilvl w:val="0"/>
          <w:numId w:val="146"/>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Adequate controls must be put in place to prevent irregular expenditure. Furthermore, the entity must improve its controls to identify, report and record irregular expenditure.</w:t>
      </w:r>
    </w:p>
    <w:p w:rsidR="00BA28CD" w:rsidRPr="00B217DC" w:rsidRDefault="00355D8B" w:rsidP="00B217DC">
      <w:pPr>
        <w:pStyle w:val="ListParagraph"/>
        <w:numPr>
          <w:ilvl w:val="0"/>
          <w:numId w:val="146"/>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CGE to fill key vacancies.</w:t>
      </w:r>
    </w:p>
    <w:p w:rsidR="00355D8B" w:rsidRPr="00B217DC" w:rsidRDefault="00355D8B" w:rsidP="00B217DC">
      <w:pPr>
        <w:autoSpaceDE w:val="0"/>
        <w:autoSpaceDN w:val="0"/>
        <w:adjustRightInd w:val="0"/>
        <w:rPr>
          <w:rFonts w:cs="Arial"/>
          <w:color w:val="auto"/>
          <w:spacing w:val="0"/>
          <w:sz w:val="20"/>
          <w:szCs w:val="20"/>
          <w:lang w:eastAsia="en-ZA"/>
        </w:rPr>
      </w:pPr>
    </w:p>
    <w:p w:rsidR="00DC63A9" w:rsidRPr="00B217DC" w:rsidRDefault="00DC63A9" w:rsidP="00B217DC">
      <w:p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 xml:space="preserve">With regards to the NYDA, it received </w:t>
      </w:r>
      <w:r w:rsidR="00103627" w:rsidRPr="00B217DC">
        <w:rPr>
          <w:rFonts w:cs="Arial"/>
          <w:color w:val="auto"/>
          <w:spacing w:val="0"/>
          <w:sz w:val="20"/>
          <w:szCs w:val="20"/>
          <w:lang w:eastAsia="en-ZA"/>
        </w:rPr>
        <w:t>8</w:t>
      </w:r>
      <w:r w:rsidRPr="00B217DC">
        <w:rPr>
          <w:rFonts w:cs="Arial"/>
          <w:color w:val="auto"/>
          <w:spacing w:val="0"/>
          <w:sz w:val="20"/>
          <w:szCs w:val="20"/>
          <w:vertAlign w:val="superscript"/>
          <w:lang w:eastAsia="en-ZA"/>
        </w:rPr>
        <w:t>th</w:t>
      </w:r>
      <w:r w:rsidRPr="00B217DC">
        <w:rPr>
          <w:rFonts w:cs="Arial"/>
          <w:color w:val="auto"/>
          <w:spacing w:val="0"/>
          <w:sz w:val="20"/>
          <w:szCs w:val="20"/>
          <w:lang w:eastAsia="en-ZA"/>
        </w:rPr>
        <w:t xml:space="preserve"> clean audit opinion from the AGSA. Notwithstanding that, the following matters were raised by the AGSA:</w:t>
      </w:r>
    </w:p>
    <w:p w:rsidR="00C76407" w:rsidRPr="00B217DC" w:rsidRDefault="00C76407" w:rsidP="00B217DC">
      <w:pPr>
        <w:autoSpaceDE w:val="0"/>
        <w:autoSpaceDN w:val="0"/>
        <w:adjustRightInd w:val="0"/>
        <w:rPr>
          <w:rFonts w:cs="Arial"/>
          <w:color w:val="auto"/>
          <w:spacing w:val="0"/>
          <w:sz w:val="20"/>
          <w:szCs w:val="20"/>
          <w:lang w:eastAsia="en-ZA"/>
        </w:rPr>
      </w:pPr>
    </w:p>
    <w:p w:rsidR="001D41C4" w:rsidRPr="00B217DC" w:rsidRDefault="001D41C4" w:rsidP="00B217DC">
      <w:pPr>
        <w:autoSpaceDE w:val="0"/>
        <w:autoSpaceDN w:val="0"/>
        <w:adjustRightInd w:val="0"/>
        <w:rPr>
          <w:rFonts w:cs="Arial"/>
          <w:b/>
          <w:color w:val="auto"/>
          <w:spacing w:val="0"/>
          <w:sz w:val="20"/>
          <w:szCs w:val="20"/>
          <w:lang w:eastAsia="en-ZA"/>
        </w:rPr>
      </w:pPr>
      <w:r w:rsidRPr="00B217DC">
        <w:rPr>
          <w:rFonts w:cs="Arial"/>
          <w:b/>
          <w:color w:val="auto"/>
          <w:spacing w:val="0"/>
          <w:sz w:val="20"/>
          <w:szCs w:val="20"/>
          <w:lang w:eastAsia="en-ZA"/>
        </w:rPr>
        <w:t>12.</w:t>
      </w:r>
      <w:r w:rsidR="005D1E37" w:rsidRPr="00B217DC">
        <w:rPr>
          <w:rFonts w:cs="Arial"/>
          <w:b/>
          <w:color w:val="auto"/>
          <w:spacing w:val="0"/>
          <w:sz w:val="20"/>
          <w:szCs w:val="20"/>
          <w:lang w:eastAsia="en-ZA"/>
        </w:rPr>
        <w:t>9</w:t>
      </w:r>
      <w:r w:rsidRPr="00B217DC">
        <w:rPr>
          <w:rFonts w:cs="Arial"/>
          <w:b/>
          <w:color w:val="auto"/>
          <w:spacing w:val="0"/>
          <w:sz w:val="20"/>
          <w:szCs w:val="20"/>
          <w:lang w:eastAsia="en-ZA"/>
        </w:rPr>
        <w:t xml:space="preserve"> AGSA Findings for NYDA</w:t>
      </w:r>
    </w:p>
    <w:p w:rsidR="001E5C04" w:rsidRPr="00B217DC" w:rsidRDefault="002702F2" w:rsidP="00B217DC">
      <w:pPr>
        <w:pStyle w:val="ListParagraph"/>
        <w:numPr>
          <w:ilvl w:val="0"/>
          <w:numId w:val="67"/>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The NYDA received an eighth consecutive clean audit outcome from the Auditor General of South Africa with zero unauthorized, irregular or fruitless and wasteful expenditure reported or detected</w:t>
      </w:r>
      <w:r w:rsidR="001E5C04" w:rsidRPr="00B217DC">
        <w:rPr>
          <w:rFonts w:cs="Arial"/>
          <w:color w:val="auto"/>
          <w:spacing w:val="0"/>
          <w:sz w:val="20"/>
          <w:szCs w:val="20"/>
          <w:lang w:eastAsia="en-ZA"/>
        </w:rPr>
        <w:t>.</w:t>
      </w:r>
      <w:r w:rsidRPr="00B217DC">
        <w:rPr>
          <w:rFonts w:cs="Arial"/>
          <w:color w:val="auto"/>
          <w:spacing w:val="0"/>
          <w:sz w:val="20"/>
          <w:szCs w:val="20"/>
          <w:lang w:eastAsia="en-ZA"/>
        </w:rPr>
        <w:t xml:space="preserve"> All of which can be attributed to good internal controls regarding reporting on financial information as well as performance information while ensuring that the agency adheres to all relevant frameworks, laws and regulations.</w:t>
      </w:r>
    </w:p>
    <w:p w:rsidR="00DC63A9" w:rsidRPr="00B217DC" w:rsidRDefault="001E5C04" w:rsidP="00B217DC">
      <w:pPr>
        <w:pStyle w:val="ListParagraph"/>
        <w:numPr>
          <w:ilvl w:val="0"/>
          <w:numId w:val="67"/>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 xml:space="preserve">The AGSA </w:t>
      </w:r>
      <w:r w:rsidR="002702F2" w:rsidRPr="00B217DC">
        <w:rPr>
          <w:rFonts w:cs="Arial"/>
          <w:color w:val="auto"/>
          <w:spacing w:val="0"/>
          <w:sz w:val="20"/>
          <w:szCs w:val="20"/>
          <w:lang w:eastAsia="en-ZA"/>
        </w:rPr>
        <w:t>encouraged the NYDA to leverage on its good reporting processes and its ability to achieve the target it set for itself, to ensure that these have visible positive impact to the citizens of South Africa.</w:t>
      </w:r>
    </w:p>
    <w:p w:rsidR="002702F2" w:rsidRPr="00B217DC" w:rsidRDefault="002702F2" w:rsidP="00B217DC">
      <w:pPr>
        <w:autoSpaceDE w:val="0"/>
        <w:autoSpaceDN w:val="0"/>
        <w:adjustRightInd w:val="0"/>
        <w:rPr>
          <w:rFonts w:cs="Arial"/>
          <w:color w:val="auto"/>
          <w:spacing w:val="0"/>
          <w:sz w:val="20"/>
          <w:szCs w:val="20"/>
          <w:lang w:eastAsia="en-ZA"/>
        </w:rPr>
      </w:pPr>
    </w:p>
    <w:p w:rsidR="00851D82" w:rsidRPr="00B217DC" w:rsidRDefault="00851D82" w:rsidP="00B217DC">
      <w:p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In the AGSA presentation to the Committee it stated the following:</w:t>
      </w:r>
    </w:p>
    <w:p w:rsidR="00851D82" w:rsidRPr="00B217DC" w:rsidRDefault="00851D82" w:rsidP="00B217DC">
      <w:pPr>
        <w:autoSpaceDE w:val="0"/>
        <w:autoSpaceDN w:val="0"/>
        <w:adjustRightInd w:val="0"/>
        <w:rPr>
          <w:rFonts w:cs="Arial"/>
          <w:color w:val="auto"/>
          <w:spacing w:val="0"/>
          <w:sz w:val="20"/>
          <w:szCs w:val="20"/>
          <w:lang w:eastAsia="en-ZA"/>
        </w:rPr>
      </w:pPr>
    </w:p>
    <w:p w:rsidR="00851D82" w:rsidRPr="00B217DC" w:rsidRDefault="00851D82" w:rsidP="00B217DC">
      <w:pPr>
        <w:autoSpaceDE w:val="0"/>
        <w:autoSpaceDN w:val="0"/>
        <w:adjustRightInd w:val="0"/>
        <w:ind w:left="720"/>
        <w:rPr>
          <w:rFonts w:cs="Arial"/>
          <w:color w:val="auto"/>
          <w:spacing w:val="0"/>
          <w:sz w:val="20"/>
          <w:szCs w:val="20"/>
          <w:lang w:eastAsia="en-ZA"/>
        </w:rPr>
      </w:pPr>
      <w:r w:rsidRPr="00B217DC">
        <w:rPr>
          <w:rFonts w:cs="Arial"/>
          <w:color w:val="auto"/>
          <w:spacing w:val="0"/>
          <w:sz w:val="20"/>
          <w:szCs w:val="20"/>
          <w:lang w:eastAsia="en-ZA"/>
        </w:rPr>
        <w:t>“There are still concerns over the two complaints by beneficiaries where the intended support does not get to the beneficiaries, while the money is spent, recorded in the AFS and reported as an achievement against planned targets.</w:t>
      </w:r>
    </w:p>
    <w:p w:rsidR="00851D82" w:rsidRPr="00B217DC" w:rsidRDefault="00851D82" w:rsidP="00B217DC">
      <w:pPr>
        <w:autoSpaceDE w:val="0"/>
        <w:autoSpaceDN w:val="0"/>
        <w:adjustRightInd w:val="0"/>
        <w:ind w:left="720"/>
        <w:rPr>
          <w:rFonts w:cs="Arial"/>
          <w:color w:val="auto"/>
          <w:spacing w:val="0"/>
          <w:sz w:val="20"/>
          <w:szCs w:val="20"/>
          <w:lang w:eastAsia="en-ZA"/>
        </w:rPr>
      </w:pPr>
    </w:p>
    <w:p w:rsidR="00851D82" w:rsidRPr="00B217DC" w:rsidRDefault="00851D82" w:rsidP="00B217DC">
      <w:pPr>
        <w:autoSpaceDE w:val="0"/>
        <w:autoSpaceDN w:val="0"/>
        <w:adjustRightInd w:val="0"/>
        <w:ind w:left="720"/>
        <w:rPr>
          <w:rFonts w:cs="Arial"/>
          <w:color w:val="auto"/>
          <w:spacing w:val="0"/>
          <w:sz w:val="20"/>
          <w:szCs w:val="20"/>
          <w:lang w:eastAsia="en-ZA"/>
        </w:rPr>
      </w:pPr>
      <w:r w:rsidRPr="00B217DC">
        <w:rPr>
          <w:rFonts w:cs="Arial"/>
          <w:color w:val="auto"/>
          <w:spacing w:val="0"/>
          <w:sz w:val="20"/>
          <w:szCs w:val="20"/>
          <w:lang w:eastAsia="en-ZA"/>
        </w:rPr>
        <w:t>A beneficiary, Nokuthula Jele who owns a company named Feza Okuhle Production Trading as King Kota’s applied for financial assistance grant from the NYDA and the application was approved in 2019. The beneficiary was to receive a kitchen trailer and a freezer after the supplier was paid. The supplier delivered a freezer on time but the supplier never delivered a kitchen trailer to date despite payment. The agency investigated the matter through their legal division and it is still open. While the supplier has agreed to pay back the money, this delay means this part of the support to the beneficiary has delayed, as a result the beneficiary has lost income and therefore the intended impact has not been fully achieved.”</w:t>
      </w:r>
    </w:p>
    <w:p w:rsidR="00851D82" w:rsidRPr="00B217DC" w:rsidRDefault="00851D82" w:rsidP="00B217DC">
      <w:pPr>
        <w:autoSpaceDE w:val="0"/>
        <w:autoSpaceDN w:val="0"/>
        <w:adjustRightInd w:val="0"/>
        <w:rPr>
          <w:rFonts w:cs="Arial"/>
          <w:color w:val="auto"/>
          <w:spacing w:val="0"/>
          <w:sz w:val="20"/>
          <w:szCs w:val="20"/>
          <w:lang w:eastAsia="en-ZA"/>
        </w:rPr>
      </w:pPr>
    </w:p>
    <w:p w:rsidR="00851D82" w:rsidRPr="00B217DC" w:rsidRDefault="00851D82" w:rsidP="00B217DC">
      <w:p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To this end, the AGSA recommended that, “The Agency must use the agreement with suppliers and beneficiaries to ensure the grant expenses is used for intended purposes of the mandate. Controls must be put in place to avoid pre-payments, unless it is necessary and there must be processes in place to ensure the goods and services are from prepayment are received.”</w:t>
      </w:r>
    </w:p>
    <w:p w:rsidR="00851D82" w:rsidRPr="00B217DC" w:rsidRDefault="00851D82" w:rsidP="00B217DC">
      <w:pPr>
        <w:autoSpaceDE w:val="0"/>
        <w:autoSpaceDN w:val="0"/>
        <w:adjustRightInd w:val="0"/>
        <w:rPr>
          <w:rFonts w:cs="Arial"/>
          <w:color w:val="auto"/>
          <w:spacing w:val="0"/>
          <w:sz w:val="20"/>
          <w:szCs w:val="20"/>
          <w:lang w:eastAsia="en-ZA"/>
        </w:rPr>
      </w:pPr>
    </w:p>
    <w:p w:rsidR="00DC63A9" w:rsidRPr="00B217DC" w:rsidRDefault="009416A2" w:rsidP="00B217DC">
      <w:p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The AGSA have considered the Annual Reports of the Department, the CGE and the NYDA</w:t>
      </w:r>
      <w:r w:rsidR="00A929EA" w:rsidRPr="00B217DC">
        <w:rPr>
          <w:rFonts w:cs="Arial"/>
          <w:color w:val="auto"/>
          <w:spacing w:val="0"/>
          <w:sz w:val="20"/>
          <w:szCs w:val="20"/>
          <w:lang w:eastAsia="en-ZA"/>
        </w:rPr>
        <w:t xml:space="preserve"> recommended the following to the Committee:</w:t>
      </w:r>
    </w:p>
    <w:p w:rsidR="002702F2" w:rsidRPr="00B217DC" w:rsidRDefault="002702F2" w:rsidP="00B217DC">
      <w:pPr>
        <w:pStyle w:val="ListParagraph"/>
        <w:numPr>
          <w:ilvl w:val="0"/>
          <w:numId w:val="151"/>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Consequence management should be prioritised in order for the employees that cause unauthorised,</w:t>
      </w:r>
      <w:r w:rsidR="007D2C81" w:rsidRPr="00B217DC">
        <w:rPr>
          <w:rFonts w:cs="Arial"/>
          <w:color w:val="auto"/>
          <w:spacing w:val="0"/>
          <w:sz w:val="20"/>
          <w:szCs w:val="20"/>
          <w:lang w:eastAsia="en-ZA"/>
        </w:rPr>
        <w:t xml:space="preserve"> </w:t>
      </w:r>
      <w:r w:rsidRPr="00B217DC">
        <w:rPr>
          <w:rFonts w:cs="Arial"/>
          <w:color w:val="auto"/>
          <w:spacing w:val="0"/>
          <w:sz w:val="20"/>
          <w:szCs w:val="20"/>
          <w:lang w:eastAsia="en-ZA"/>
        </w:rPr>
        <w:t>irregular, fruitless and wasteful expenditure to be held accountable.</w:t>
      </w:r>
    </w:p>
    <w:p w:rsidR="002702F2" w:rsidRPr="00B217DC" w:rsidRDefault="002702F2" w:rsidP="00B217DC">
      <w:pPr>
        <w:pStyle w:val="ListParagraph"/>
        <w:numPr>
          <w:ilvl w:val="0"/>
          <w:numId w:val="151"/>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Performance indicators and targets must be developed to achieve service delivery/impact against</w:t>
      </w:r>
      <w:r w:rsidR="007D2C81" w:rsidRPr="00B217DC">
        <w:rPr>
          <w:rFonts w:cs="Arial"/>
          <w:color w:val="auto"/>
          <w:spacing w:val="0"/>
          <w:sz w:val="20"/>
          <w:szCs w:val="20"/>
          <w:lang w:eastAsia="en-ZA"/>
        </w:rPr>
        <w:t xml:space="preserve"> </w:t>
      </w:r>
      <w:r w:rsidRPr="00B217DC">
        <w:rPr>
          <w:rFonts w:cs="Arial"/>
          <w:color w:val="auto"/>
          <w:spacing w:val="0"/>
          <w:sz w:val="20"/>
          <w:szCs w:val="20"/>
          <w:lang w:eastAsia="en-ZA"/>
        </w:rPr>
        <w:t>the mandate of the department and the portfolio</w:t>
      </w:r>
    </w:p>
    <w:p w:rsidR="00A929EA" w:rsidRPr="00B217DC" w:rsidRDefault="002702F2" w:rsidP="00B217DC">
      <w:pPr>
        <w:pStyle w:val="ListParagraph"/>
        <w:numPr>
          <w:ilvl w:val="0"/>
          <w:numId w:val="151"/>
        </w:numPr>
        <w:autoSpaceDE w:val="0"/>
        <w:autoSpaceDN w:val="0"/>
        <w:adjustRightInd w:val="0"/>
        <w:rPr>
          <w:rFonts w:cs="Arial"/>
          <w:color w:val="auto"/>
          <w:spacing w:val="0"/>
          <w:sz w:val="20"/>
          <w:szCs w:val="20"/>
          <w:lang w:eastAsia="en-ZA"/>
        </w:rPr>
      </w:pPr>
      <w:r w:rsidRPr="00B217DC">
        <w:rPr>
          <w:rFonts w:cs="Arial"/>
          <w:color w:val="auto"/>
          <w:spacing w:val="0"/>
          <w:sz w:val="20"/>
          <w:szCs w:val="20"/>
          <w:lang w:eastAsia="en-ZA"/>
        </w:rPr>
        <w:t>Monitoring must be done, especially at CGE to ensure that Medium Term Strategic Framework (MTSF)</w:t>
      </w:r>
      <w:r w:rsidR="007D2C81" w:rsidRPr="00B217DC">
        <w:rPr>
          <w:rFonts w:cs="Arial"/>
          <w:color w:val="auto"/>
          <w:spacing w:val="0"/>
          <w:sz w:val="20"/>
          <w:szCs w:val="20"/>
          <w:lang w:eastAsia="en-ZA"/>
        </w:rPr>
        <w:t xml:space="preserve"> </w:t>
      </w:r>
      <w:r w:rsidRPr="00B217DC">
        <w:rPr>
          <w:rFonts w:cs="Arial"/>
          <w:color w:val="auto"/>
          <w:spacing w:val="0"/>
          <w:sz w:val="20"/>
          <w:szCs w:val="20"/>
          <w:lang w:eastAsia="en-ZA"/>
        </w:rPr>
        <w:t>indicators and target are met.</w:t>
      </w:r>
    </w:p>
    <w:p w:rsidR="002306FF" w:rsidRPr="00B217DC" w:rsidRDefault="002306FF" w:rsidP="00B217DC">
      <w:pPr>
        <w:autoSpaceDE w:val="0"/>
        <w:autoSpaceDN w:val="0"/>
        <w:adjustRightInd w:val="0"/>
        <w:rPr>
          <w:rFonts w:cs="Arial"/>
          <w:color w:val="auto"/>
          <w:spacing w:val="0"/>
          <w:sz w:val="20"/>
          <w:szCs w:val="20"/>
          <w:lang w:eastAsia="en-ZA"/>
        </w:rPr>
      </w:pPr>
    </w:p>
    <w:p w:rsidR="007A0A91" w:rsidRPr="00B217DC" w:rsidRDefault="007A0A91" w:rsidP="00B217DC">
      <w:pPr>
        <w:pStyle w:val="ListParagraph"/>
        <w:numPr>
          <w:ilvl w:val="0"/>
          <w:numId w:val="12"/>
        </w:numPr>
        <w:ind w:left="426"/>
        <w:rPr>
          <w:rFonts w:cs="Arial"/>
          <w:b/>
          <w:color w:val="auto"/>
          <w:spacing w:val="0"/>
          <w:kern w:val="28"/>
          <w:sz w:val="20"/>
          <w:szCs w:val="20"/>
        </w:rPr>
      </w:pPr>
      <w:r w:rsidRPr="00B217DC">
        <w:rPr>
          <w:rFonts w:cs="Arial"/>
          <w:b/>
          <w:color w:val="auto"/>
          <w:spacing w:val="0"/>
          <w:kern w:val="28"/>
          <w:sz w:val="20"/>
          <w:szCs w:val="20"/>
        </w:rPr>
        <w:t>FINDINGS OF THE AUDIT AND RISK COMMITTEE (ARC)</w:t>
      </w:r>
      <w:r w:rsidR="00822F37" w:rsidRPr="00B217DC">
        <w:rPr>
          <w:rFonts w:cs="Arial"/>
          <w:b/>
          <w:color w:val="auto"/>
          <w:spacing w:val="0"/>
          <w:kern w:val="28"/>
          <w:sz w:val="20"/>
          <w:szCs w:val="20"/>
        </w:rPr>
        <w:t xml:space="preserve"> </w:t>
      </w:r>
      <w:r w:rsidR="00103627" w:rsidRPr="00B217DC">
        <w:rPr>
          <w:rFonts w:cs="Arial"/>
          <w:b/>
          <w:color w:val="auto"/>
          <w:spacing w:val="0"/>
          <w:kern w:val="28"/>
          <w:sz w:val="20"/>
          <w:szCs w:val="20"/>
        </w:rPr>
        <w:t xml:space="preserve"> </w:t>
      </w:r>
    </w:p>
    <w:p w:rsidR="007A0A91" w:rsidRPr="00B217DC" w:rsidRDefault="007A0A91" w:rsidP="00B217DC">
      <w:pPr>
        <w:ind w:left="66"/>
        <w:rPr>
          <w:rFonts w:cs="Arial"/>
          <w:b/>
          <w:color w:val="auto"/>
          <w:spacing w:val="0"/>
          <w:kern w:val="28"/>
          <w:sz w:val="20"/>
          <w:szCs w:val="20"/>
        </w:rPr>
      </w:pPr>
      <w:r w:rsidRPr="00B217DC">
        <w:rPr>
          <w:rFonts w:cs="Arial"/>
          <w:b/>
          <w:color w:val="auto"/>
          <w:spacing w:val="0"/>
          <w:kern w:val="28"/>
          <w:sz w:val="20"/>
          <w:szCs w:val="20"/>
        </w:rPr>
        <w:t xml:space="preserve"> </w:t>
      </w:r>
    </w:p>
    <w:p w:rsidR="00355D8B" w:rsidRPr="00B217DC" w:rsidRDefault="00355D8B" w:rsidP="00B217DC">
      <w:pPr>
        <w:ind w:left="66"/>
        <w:rPr>
          <w:rFonts w:cs="Arial"/>
          <w:color w:val="auto"/>
          <w:spacing w:val="0"/>
          <w:kern w:val="28"/>
          <w:sz w:val="20"/>
          <w:szCs w:val="20"/>
        </w:rPr>
      </w:pPr>
      <w:r w:rsidRPr="00B217DC">
        <w:rPr>
          <w:rFonts w:cs="Arial"/>
          <w:b/>
          <w:color w:val="auto"/>
          <w:spacing w:val="0"/>
          <w:kern w:val="28"/>
          <w:sz w:val="20"/>
          <w:szCs w:val="20"/>
        </w:rPr>
        <w:t>13.1. ARC Department</w:t>
      </w:r>
    </w:p>
    <w:p w:rsidR="00372DD3" w:rsidRPr="00B217DC" w:rsidRDefault="0033486E" w:rsidP="00B217DC">
      <w:pPr>
        <w:ind w:left="66"/>
        <w:rPr>
          <w:rFonts w:cs="Arial"/>
          <w:color w:val="auto"/>
          <w:spacing w:val="0"/>
          <w:kern w:val="28"/>
          <w:sz w:val="20"/>
          <w:szCs w:val="20"/>
        </w:rPr>
      </w:pPr>
      <w:r w:rsidRPr="00B217DC">
        <w:rPr>
          <w:rFonts w:cs="Arial"/>
          <w:color w:val="auto"/>
          <w:spacing w:val="0"/>
          <w:kern w:val="28"/>
          <w:sz w:val="20"/>
          <w:szCs w:val="20"/>
        </w:rPr>
        <w:t xml:space="preserve">The Audit and Risk Committee (ARC) </w:t>
      </w:r>
      <w:r w:rsidR="00103627" w:rsidRPr="00B217DC">
        <w:rPr>
          <w:rFonts w:cs="Arial"/>
          <w:color w:val="auto"/>
          <w:spacing w:val="0"/>
          <w:kern w:val="28"/>
          <w:sz w:val="20"/>
          <w:szCs w:val="20"/>
        </w:rPr>
        <w:t xml:space="preserve">of the Department of Women, Youth and Persons with Disabilities </w:t>
      </w:r>
      <w:r w:rsidR="00BD3389" w:rsidRPr="00B217DC">
        <w:rPr>
          <w:rFonts w:cs="Arial"/>
          <w:color w:val="auto"/>
          <w:spacing w:val="0"/>
          <w:kern w:val="28"/>
          <w:sz w:val="20"/>
          <w:szCs w:val="20"/>
        </w:rPr>
        <w:t>noted the following findings and recommendations as contained in the Annual Report for 2021/22</w:t>
      </w:r>
      <w:r w:rsidR="00372DD3" w:rsidRPr="00B217DC">
        <w:rPr>
          <w:rFonts w:cs="Arial"/>
          <w:color w:val="auto"/>
          <w:spacing w:val="0"/>
          <w:kern w:val="28"/>
          <w:sz w:val="20"/>
          <w:szCs w:val="20"/>
        </w:rPr>
        <w:t xml:space="preserve">: </w:t>
      </w:r>
    </w:p>
    <w:p w:rsidR="00141BB2" w:rsidRPr="00B217DC" w:rsidRDefault="00141BB2" w:rsidP="00B217DC">
      <w:pPr>
        <w:ind w:left="66" w:firstLine="720"/>
        <w:rPr>
          <w:rFonts w:cs="Arial"/>
          <w:b/>
          <w:color w:val="auto"/>
          <w:spacing w:val="0"/>
          <w:kern w:val="28"/>
          <w:sz w:val="20"/>
          <w:szCs w:val="20"/>
        </w:rPr>
      </w:pPr>
    </w:p>
    <w:p w:rsidR="007A0A91" w:rsidRPr="00B217DC" w:rsidRDefault="007A0A91" w:rsidP="00B217DC">
      <w:pPr>
        <w:rPr>
          <w:rFonts w:cs="Arial"/>
          <w:b/>
          <w:color w:val="auto"/>
          <w:spacing w:val="0"/>
          <w:kern w:val="28"/>
          <w:sz w:val="20"/>
          <w:szCs w:val="20"/>
        </w:rPr>
      </w:pPr>
      <w:r w:rsidRPr="00B217DC">
        <w:rPr>
          <w:rFonts w:cs="Arial"/>
          <w:b/>
          <w:color w:val="auto"/>
          <w:spacing w:val="0"/>
          <w:kern w:val="28"/>
          <w:sz w:val="20"/>
          <w:szCs w:val="20"/>
        </w:rPr>
        <w:t>13.1</w:t>
      </w:r>
      <w:r w:rsidR="00355D8B" w:rsidRPr="00B217DC">
        <w:rPr>
          <w:rFonts w:cs="Arial"/>
          <w:b/>
          <w:color w:val="auto"/>
          <w:spacing w:val="0"/>
          <w:kern w:val="28"/>
          <w:sz w:val="20"/>
          <w:szCs w:val="20"/>
        </w:rPr>
        <w:t>.1</w:t>
      </w:r>
      <w:r w:rsidRPr="00B217DC">
        <w:rPr>
          <w:rFonts w:cs="Arial"/>
          <w:b/>
          <w:color w:val="auto"/>
          <w:spacing w:val="0"/>
          <w:kern w:val="28"/>
          <w:sz w:val="20"/>
          <w:szCs w:val="20"/>
        </w:rPr>
        <w:t xml:space="preserve"> </w:t>
      </w:r>
      <w:r w:rsidR="00BD3389" w:rsidRPr="00B217DC">
        <w:rPr>
          <w:rFonts w:cs="Arial"/>
          <w:b/>
          <w:color w:val="auto"/>
          <w:spacing w:val="0"/>
          <w:kern w:val="28"/>
          <w:sz w:val="20"/>
          <w:szCs w:val="20"/>
        </w:rPr>
        <w:t xml:space="preserve">Effectiveness of Internal Controls </w:t>
      </w:r>
      <w:r w:rsidRPr="00B217DC">
        <w:rPr>
          <w:rFonts w:cs="Arial"/>
          <w:b/>
          <w:color w:val="auto"/>
          <w:spacing w:val="0"/>
          <w:kern w:val="28"/>
          <w:sz w:val="20"/>
          <w:szCs w:val="20"/>
        </w:rPr>
        <w:t xml:space="preserve"> </w:t>
      </w:r>
    </w:p>
    <w:p w:rsidR="00BD3389" w:rsidRPr="00B217DC" w:rsidRDefault="00BD3389" w:rsidP="00B217DC">
      <w:pPr>
        <w:rPr>
          <w:rFonts w:cs="Arial"/>
          <w:color w:val="auto"/>
          <w:spacing w:val="0"/>
          <w:kern w:val="28"/>
          <w:sz w:val="20"/>
          <w:szCs w:val="20"/>
        </w:rPr>
      </w:pPr>
      <w:r w:rsidRPr="00B217DC">
        <w:rPr>
          <w:rFonts w:cs="Arial"/>
          <w:color w:val="auto"/>
          <w:spacing w:val="0"/>
          <w:kern w:val="28"/>
          <w:sz w:val="20"/>
          <w:szCs w:val="20"/>
        </w:rPr>
        <w:t>The ARC indicated that controls in the following areas required improvement namely;</w:t>
      </w:r>
    </w:p>
    <w:p w:rsidR="00BD3389" w:rsidRPr="00B217DC" w:rsidRDefault="00BD3389" w:rsidP="00B217DC">
      <w:pPr>
        <w:rPr>
          <w:rFonts w:cs="Arial"/>
          <w:color w:val="auto"/>
          <w:spacing w:val="0"/>
          <w:kern w:val="28"/>
          <w:sz w:val="20"/>
          <w:szCs w:val="20"/>
        </w:rPr>
      </w:pPr>
    </w:p>
    <w:p w:rsidR="00BD3389" w:rsidRPr="00B217DC" w:rsidRDefault="00BD3389" w:rsidP="00B217DC">
      <w:pPr>
        <w:pStyle w:val="ListParagraph"/>
        <w:numPr>
          <w:ilvl w:val="0"/>
          <w:numId w:val="108"/>
        </w:numPr>
        <w:rPr>
          <w:rFonts w:cs="Arial"/>
          <w:color w:val="auto"/>
          <w:spacing w:val="0"/>
          <w:kern w:val="28"/>
          <w:sz w:val="20"/>
          <w:szCs w:val="20"/>
        </w:rPr>
      </w:pPr>
      <w:r w:rsidRPr="00B217DC">
        <w:rPr>
          <w:rFonts w:cs="Arial"/>
          <w:color w:val="auto"/>
          <w:spacing w:val="0"/>
          <w:kern w:val="28"/>
          <w:sz w:val="20"/>
          <w:szCs w:val="20"/>
        </w:rPr>
        <w:t>Monitoring of compliance with applicable laws and regulations, specifically on investigating the irregular expenditure incurred in the previous financial years,</w:t>
      </w:r>
    </w:p>
    <w:p w:rsidR="00BD3389" w:rsidRPr="00B217DC" w:rsidRDefault="00BD3389" w:rsidP="00B217DC">
      <w:pPr>
        <w:pStyle w:val="ListParagraph"/>
        <w:numPr>
          <w:ilvl w:val="0"/>
          <w:numId w:val="108"/>
        </w:numPr>
        <w:rPr>
          <w:rFonts w:cs="Arial"/>
          <w:color w:val="auto"/>
          <w:spacing w:val="0"/>
          <w:kern w:val="28"/>
          <w:sz w:val="20"/>
          <w:szCs w:val="20"/>
        </w:rPr>
      </w:pPr>
      <w:r w:rsidRPr="00B217DC">
        <w:rPr>
          <w:rFonts w:cs="Arial"/>
          <w:color w:val="auto"/>
          <w:spacing w:val="0"/>
          <w:kern w:val="28"/>
          <w:sz w:val="20"/>
          <w:szCs w:val="20"/>
        </w:rPr>
        <w:t>Budget monitoring, and</w:t>
      </w:r>
    </w:p>
    <w:p w:rsidR="00372DD3" w:rsidRPr="00B217DC" w:rsidRDefault="00BD3389" w:rsidP="00B217DC">
      <w:pPr>
        <w:pStyle w:val="ListParagraph"/>
        <w:numPr>
          <w:ilvl w:val="0"/>
          <w:numId w:val="108"/>
        </w:numPr>
        <w:rPr>
          <w:rFonts w:cs="Arial"/>
          <w:color w:val="auto"/>
          <w:spacing w:val="0"/>
          <w:kern w:val="28"/>
          <w:sz w:val="20"/>
          <w:szCs w:val="20"/>
        </w:rPr>
      </w:pPr>
      <w:r w:rsidRPr="00B217DC">
        <w:rPr>
          <w:rFonts w:cs="Arial"/>
          <w:color w:val="auto"/>
          <w:spacing w:val="0"/>
          <w:kern w:val="28"/>
          <w:sz w:val="20"/>
          <w:szCs w:val="20"/>
        </w:rPr>
        <w:t>Information Technology which requires improvement on service continuity and security controls.</w:t>
      </w:r>
    </w:p>
    <w:p w:rsidR="00372DD3" w:rsidRPr="00B217DC" w:rsidRDefault="00372DD3" w:rsidP="00B217DC">
      <w:pPr>
        <w:ind w:left="66"/>
        <w:rPr>
          <w:rFonts w:cs="Arial"/>
          <w:b/>
          <w:bCs/>
          <w:i/>
          <w:iCs/>
          <w:color w:val="auto"/>
          <w:spacing w:val="0"/>
          <w:kern w:val="28"/>
          <w:sz w:val="20"/>
          <w:szCs w:val="20"/>
        </w:rPr>
      </w:pPr>
    </w:p>
    <w:p w:rsidR="007A0A91" w:rsidRPr="00B217DC" w:rsidRDefault="00BD3389" w:rsidP="00B217DC">
      <w:pPr>
        <w:pStyle w:val="ListParagraph"/>
        <w:numPr>
          <w:ilvl w:val="2"/>
          <w:numId w:val="147"/>
        </w:numPr>
        <w:rPr>
          <w:rFonts w:cs="Arial"/>
          <w:b/>
          <w:color w:val="auto"/>
          <w:spacing w:val="0"/>
          <w:kern w:val="28"/>
          <w:sz w:val="20"/>
          <w:szCs w:val="20"/>
        </w:rPr>
      </w:pPr>
      <w:r w:rsidRPr="00B217DC">
        <w:rPr>
          <w:rFonts w:cs="Arial"/>
          <w:b/>
          <w:bCs/>
          <w:iCs/>
          <w:color w:val="auto"/>
          <w:spacing w:val="0"/>
          <w:kern w:val="28"/>
          <w:sz w:val="20"/>
          <w:szCs w:val="20"/>
        </w:rPr>
        <w:t>Internal Audit</w:t>
      </w:r>
    </w:p>
    <w:p w:rsidR="0033486E" w:rsidRPr="00B217DC" w:rsidRDefault="00372DD3"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 xml:space="preserve">The </w:t>
      </w:r>
      <w:r w:rsidR="00BD3389" w:rsidRPr="00B217DC">
        <w:rPr>
          <w:rFonts w:cs="Arial"/>
          <w:color w:val="auto"/>
          <w:spacing w:val="0"/>
          <w:kern w:val="28"/>
          <w:sz w:val="20"/>
          <w:szCs w:val="20"/>
        </w:rPr>
        <w:t>ARC was still not satisfied with the existing capacity of the Internal Audit Unit and the capacitation in this regard should be priorities for it to function optimally so as to ensure a wide risk and audit coverage in the Department.</w:t>
      </w:r>
    </w:p>
    <w:p w:rsidR="007A0A91" w:rsidRPr="00B217DC" w:rsidRDefault="007A0A91" w:rsidP="00B217DC">
      <w:pPr>
        <w:ind w:left="6"/>
        <w:rPr>
          <w:rFonts w:cs="Arial"/>
          <w:b/>
          <w:color w:val="auto"/>
          <w:spacing w:val="0"/>
          <w:kern w:val="28"/>
          <w:sz w:val="20"/>
          <w:szCs w:val="20"/>
        </w:rPr>
      </w:pPr>
    </w:p>
    <w:p w:rsidR="00BD3389"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13.1.3</w:t>
      </w:r>
      <w:r w:rsidR="00BD3389" w:rsidRPr="00B217DC">
        <w:rPr>
          <w:rFonts w:cs="Arial"/>
          <w:b/>
          <w:color w:val="auto"/>
          <w:spacing w:val="0"/>
          <w:kern w:val="28"/>
          <w:sz w:val="20"/>
          <w:szCs w:val="20"/>
        </w:rPr>
        <w:t xml:space="preserve"> Risk management</w:t>
      </w:r>
    </w:p>
    <w:p w:rsidR="00BD3389" w:rsidRPr="00B217DC" w:rsidRDefault="00BD3389"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The ARC recommended the improvement on the risk management processes and advised the Department to provide capacity including funding of the risk management activities.</w:t>
      </w:r>
    </w:p>
    <w:p w:rsidR="00BD3389" w:rsidRPr="00B217DC" w:rsidRDefault="00BD3389" w:rsidP="00B217DC">
      <w:pPr>
        <w:rPr>
          <w:rFonts w:cs="Arial"/>
          <w:b/>
          <w:color w:val="auto"/>
          <w:spacing w:val="0"/>
          <w:kern w:val="28"/>
          <w:sz w:val="20"/>
          <w:szCs w:val="20"/>
        </w:rPr>
      </w:pPr>
    </w:p>
    <w:p w:rsidR="00480012"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13.1.4</w:t>
      </w:r>
      <w:r w:rsidR="00BD3389" w:rsidRPr="00B217DC">
        <w:rPr>
          <w:rFonts w:cs="Arial"/>
          <w:b/>
          <w:color w:val="auto"/>
          <w:spacing w:val="0"/>
          <w:kern w:val="28"/>
          <w:sz w:val="20"/>
          <w:szCs w:val="20"/>
        </w:rPr>
        <w:t xml:space="preserve"> In-Year Management and Quarterly Reports</w:t>
      </w:r>
    </w:p>
    <w:p w:rsidR="00BD3389" w:rsidRPr="00B217DC" w:rsidRDefault="00480012"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The ARC reviewed the financial management reports, human resource management reports, information technology reports and progress reports on litigations and labour cases. To this end it recommended improvements and monitored the implementation of those recommendations.</w:t>
      </w:r>
    </w:p>
    <w:p w:rsidR="00480012" w:rsidRPr="00B217DC" w:rsidRDefault="00480012" w:rsidP="00B217DC">
      <w:pPr>
        <w:pStyle w:val="ListParagraph"/>
        <w:rPr>
          <w:rFonts w:cs="Arial"/>
          <w:b/>
          <w:color w:val="auto"/>
          <w:spacing w:val="0"/>
          <w:kern w:val="28"/>
          <w:sz w:val="20"/>
          <w:szCs w:val="20"/>
        </w:rPr>
      </w:pPr>
    </w:p>
    <w:p w:rsidR="00480012"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13.1.5</w:t>
      </w:r>
      <w:r w:rsidR="00480012" w:rsidRPr="00B217DC">
        <w:rPr>
          <w:rFonts w:cs="Arial"/>
          <w:b/>
          <w:color w:val="auto"/>
          <w:spacing w:val="0"/>
          <w:kern w:val="28"/>
          <w:sz w:val="20"/>
          <w:szCs w:val="20"/>
        </w:rPr>
        <w:t xml:space="preserve"> Compliance with Legal and Regulatory Provisions </w:t>
      </w:r>
    </w:p>
    <w:p w:rsidR="00480012" w:rsidRPr="00B217DC" w:rsidRDefault="00480012"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The ARC noted the progress made in the investigation of irregular expenditure incurred by the Department during 2020/21, 2019/20, 2018/19, 2017/18 and 2016/17 financial years. The Accounting Officer implemented the appropriate action in the form of consequence management, based on the results of the irregular expenditure investigations. (This finding is different to that expressed by the AGSA).</w:t>
      </w:r>
    </w:p>
    <w:p w:rsidR="00480012" w:rsidRPr="00B217DC" w:rsidRDefault="00480012" w:rsidP="00B217DC">
      <w:pPr>
        <w:ind w:left="6"/>
        <w:rPr>
          <w:rFonts w:cs="Arial"/>
          <w:b/>
          <w:color w:val="auto"/>
          <w:spacing w:val="0"/>
          <w:kern w:val="28"/>
          <w:sz w:val="20"/>
          <w:szCs w:val="20"/>
        </w:rPr>
      </w:pPr>
    </w:p>
    <w:p w:rsidR="00822F37"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13.1.6</w:t>
      </w:r>
      <w:r w:rsidR="00480012" w:rsidRPr="00B217DC">
        <w:rPr>
          <w:rFonts w:cs="Arial"/>
          <w:b/>
          <w:color w:val="auto"/>
          <w:spacing w:val="0"/>
          <w:kern w:val="28"/>
          <w:sz w:val="20"/>
          <w:szCs w:val="20"/>
        </w:rPr>
        <w:t xml:space="preserve"> </w:t>
      </w:r>
      <w:r w:rsidR="00822F37" w:rsidRPr="00B217DC">
        <w:rPr>
          <w:rFonts w:cs="Arial"/>
          <w:b/>
          <w:color w:val="auto"/>
          <w:spacing w:val="0"/>
          <w:kern w:val="28"/>
          <w:sz w:val="20"/>
          <w:szCs w:val="20"/>
        </w:rPr>
        <w:t>AGSA Report</w:t>
      </w:r>
    </w:p>
    <w:p w:rsidR="00822F37" w:rsidRPr="00B217DC" w:rsidRDefault="00822F37"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The ARC concurs with the AGSA conclusion.</w:t>
      </w:r>
    </w:p>
    <w:p w:rsidR="00822F37" w:rsidRPr="00B217DC" w:rsidRDefault="00822F37" w:rsidP="00B217DC">
      <w:pPr>
        <w:ind w:left="6"/>
        <w:rPr>
          <w:rFonts w:cs="Arial"/>
          <w:b/>
          <w:color w:val="auto"/>
          <w:spacing w:val="0"/>
          <w:kern w:val="28"/>
          <w:sz w:val="20"/>
          <w:szCs w:val="20"/>
        </w:rPr>
      </w:pPr>
    </w:p>
    <w:p w:rsidR="00822F37"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13.1.7</w:t>
      </w:r>
      <w:r w:rsidR="00822F37" w:rsidRPr="00B217DC">
        <w:rPr>
          <w:rFonts w:cs="Arial"/>
          <w:b/>
          <w:color w:val="auto"/>
          <w:spacing w:val="0"/>
          <w:kern w:val="28"/>
          <w:sz w:val="20"/>
          <w:szCs w:val="20"/>
        </w:rPr>
        <w:t xml:space="preserve"> Audit Action Plan</w:t>
      </w:r>
    </w:p>
    <w:p w:rsidR="00822F37" w:rsidRPr="00B217DC" w:rsidRDefault="00822F37"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The ARC recommends that the Accounting Officer develops an audit action plan to resolve the audit findings identified during the 2021/22 financial year audit. This plan will be closely monitored by the Committee to ensure that all the issues are being addressed.</w:t>
      </w:r>
    </w:p>
    <w:p w:rsidR="00103627" w:rsidRPr="00B217DC" w:rsidRDefault="00103627" w:rsidP="00B217DC">
      <w:pPr>
        <w:rPr>
          <w:rFonts w:cs="Arial"/>
          <w:color w:val="auto"/>
          <w:spacing w:val="0"/>
          <w:kern w:val="28"/>
          <w:sz w:val="20"/>
          <w:szCs w:val="20"/>
        </w:rPr>
      </w:pPr>
    </w:p>
    <w:p w:rsidR="00355D8B"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13.2 ARC CGE</w:t>
      </w:r>
    </w:p>
    <w:p w:rsidR="00DC63A9" w:rsidRPr="00B217DC" w:rsidRDefault="00DC63A9" w:rsidP="00B217DC">
      <w:pPr>
        <w:rPr>
          <w:rFonts w:cs="Arial"/>
          <w:color w:val="auto"/>
          <w:spacing w:val="0"/>
          <w:kern w:val="28"/>
          <w:sz w:val="20"/>
          <w:szCs w:val="20"/>
        </w:rPr>
      </w:pPr>
      <w:r w:rsidRPr="00B217DC">
        <w:rPr>
          <w:rFonts w:cs="Arial"/>
          <w:color w:val="auto"/>
          <w:spacing w:val="0"/>
          <w:kern w:val="28"/>
          <w:sz w:val="20"/>
          <w:szCs w:val="20"/>
        </w:rPr>
        <w:t>With respect to the CGE</w:t>
      </w:r>
      <w:r w:rsidR="00F05CFA" w:rsidRPr="00B217DC">
        <w:rPr>
          <w:rFonts w:cs="Arial"/>
          <w:color w:val="auto"/>
          <w:spacing w:val="0"/>
          <w:kern w:val="28"/>
          <w:sz w:val="20"/>
          <w:szCs w:val="20"/>
        </w:rPr>
        <w:t>, its ARC noted the following:</w:t>
      </w:r>
    </w:p>
    <w:p w:rsidR="00DB76DB" w:rsidRPr="00B217DC" w:rsidRDefault="00DB76DB" w:rsidP="00B217DC">
      <w:pPr>
        <w:rPr>
          <w:rFonts w:cs="Arial"/>
          <w:color w:val="auto"/>
          <w:spacing w:val="0"/>
          <w:kern w:val="28"/>
          <w:sz w:val="20"/>
          <w:szCs w:val="20"/>
        </w:rPr>
      </w:pPr>
    </w:p>
    <w:p w:rsidR="006A7CF6" w:rsidRPr="00B217DC" w:rsidRDefault="006A7CF6" w:rsidP="00B217DC">
      <w:pPr>
        <w:rPr>
          <w:rFonts w:cs="Arial"/>
          <w:b/>
          <w:color w:val="auto"/>
          <w:spacing w:val="0"/>
          <w:kern w:val="28"/>
          <w:sz w:val="20"/>
          <w:szCs w:val="20"/>
        </w:rPr>
      </w:pPr>
      <w:r w:rsidRPr="00B217DC">
        <w:rPr>
          <w:rFonts w:cs="Arial"/>
          <w:b/>
          <w:color w:val="auto"/>
          <w:spacing w:val="0"/>
          <w:kern w:val="28"/>
          <w:sz w:val="20"/>
          <w:szCs w:val="20"/>
        </w:rPr>
        <w:t>13.</w:t>
      </w:r>
      <w:r w:rsidR="00355D8B" w:rsidRPr="00B217DC">
        <w:rPr>
          <w:rFonts w:cs="Arial"/>
          <w:b/>
          <w:color w:val="auto"/>
          <w:spacing w:val="0"/>
          <w:kern w:val="28"/>
          <w:sz w:val="20"/>
          <w:szCs w:val="20"/>
        </w:rPr>
        <w:t>2.1</w:t>
      </w:r>
      <w:r w:rsidRPr="00B217DC">
        <w:rPr>
          <w:rFonts w:cs="Arial"/>
          <w:b/>
          <w:color w:val="auto"/>
          <w:spacing w:val="0"/>
          <w:kern w:val="28"/>
          <w:sz w:val="20"/>
          <w:szCs w:val="20"/>
        </w:rPr>
        <w:t xml:space="preserve"> </w:t>
      </w:r>
      <w:r w:rsidR="00355D8B" w:rsidRPr="00B217DC">
        <w:rPr>
          <w:rFonts w:cs="Arial"/>
          <w:b/>
          <w:color w:val="auto"/>
          <w:spacing w:val="0"/>
          <w:kern w:val="28"/>
          <w:sz w:val="20"/>
          <w:szCs w:val="20"/>
        </w:rPr>
        <w:t>Irregular Expenditure</w:t>
      </w:r>
    </w:p>
    <w:p w:rsidR="00355D8B" w:rsidRPr="00B217DC" w:rsidRDefault="00355D8B"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The ARC notes that as at the date of reporting, management had not determined recoverability or write-off on expenses relating to the disclosure of irregular expenditure related to remuneration claims by commissioners.</w:t>
      </w:r>
    </w:p>
    <w:p w:rsidR="001274A3" w:rsidRPr="00B217DC" w:rsidRDefault="00355D8B" w:rsidP="00B217DC">
      <w:pPr>
        <w:pStyle w:val="ListParagraph"/>
        <w:numPr>
          <w:ilvl w:val="0"/>
          <w:numId w:val="82"/>
        </w:numPr>
        <w:rPr>
          <w:rFonts w:cs="Arial"/>
          <w:color w:val="auto"/>
          <w:spacing w:val="0"/>
          <w:kern w:val="28"/>
          <w:sz w:val="20"/>
          <w:szCs w:val="20"/>
        </w:rPr>
      </w:pPr>
      <w:r w:rsidRPr="00B217DC">
        <w:rPr>
          <w:rFonts w:cs="Arial"/>
          <w:color w:val="auto"/>
          <w:spacing w:val="0"/>
          <w:kern w:val="28"/>
          <w:sz w:val="20"/>
          <w:szCs w:val="20"/>
        </w:rPr>
        <w:t>Per the recommendation of the Auditor General, management had reclassified these expenses to fruitless and wasteful expenditure.</w:t>
      </w:r>
    </w:p>
    <w:p w:rsidR="00355D8B" w:rsidRPr="00B217DC" w:rsidRDefault="00355D8B" w:rsidP="00B217DC">
      <w:pPr>
        <w:rPr>
          <w:rFonts w:cs="Arial"/>
          <w:color w:val="auto"/>
          <w:spacing w:val="0"/>
          <w:kern w:val="28"/>
          <w:sz w:val="20"/>
          <w:szCs w:val="20"/>
        </w:rPr>
      </w:pPr>
    </w:p>
    <w:p w:rsidR="001274A3" w:rsidRPr="00B217DC" w:rsidRDefault="001274A3" w:rsidP="00B217DC">
      <w:pPr>
        <w:rPr>
          <w:rFonts w:cs="Arial"/>
          <w:b/>
          <w:color w:val="auto"/>
          <w:spacing w:val="0"/>
          <w:kern w:val="28"/>
          <w:sz w:val="20"/>
          <w:szCs w:val="20"/>
        </w:rPr>
      </w:pPr>
      <w:r w:rsidRPr="00B217DC">
        <w:rPr>
          <w:rFonts w:cs="Arial"/>
          <w:b/>
          <w:color w:val="auto"/>
          <w:spacing w:val="0"/>
          <w:kern w:val="28"/>
          <w:sz w:val="20"/>
          <w:szCs w:val="20"/>
        </w:rPr>
        <w:t>13.</w:t>
      </w:r>
      <w:r w:rsidR="00355D8B" w:rsidRPr="00B217DC">
        <w:rPr>
          <w:rFonts w:cs="Arial"/>
          <w:b/>
          <w:color w:val="auto"/>
          <w:spacing w:val="0"/>
          <w:kern w:val="28"/>
          <w:sz w:val="20"/>
          <w:szCs w:val="20"/>
        </w:rPr>
        <w:t>2.2</w:t>
      </w:r>
      <w:r w:rsidRPr="00B217DC">
        <w:rPr>
          <w:rFonts w:cs="Arial"/>
          <w:b/>
          <w:color w:val="auto"/>
          <w:spacing w:val="0"/>
          <w:kern w:val="28"/>
          <w:sz w:val="20"/>
          <w:szCs w:val="20"/>
        </w:rPr>
        <w:t xml:space="preserve"> </w:t>
      </w:r>
      <w:r w:rsidR="00355D8B" w:rsidRPr="00B217DC">
        <w:rPr>
          <w:rFonts w:cs="Arial"/>
          <w:b/>
          <w:color w:val="auto"/>
          <w:spacing w:val="0"/>
          <w:kern w:val="28"/>
          <w:sz w:val="20"/>
          <w:szCs w:val="20"/>
        </w:rPr>
        <w:t>Risk management</w:t>
      </w:r>
    </w:p>
    <w:p w:rsidR="001274A3" w:rsidRPr="00B217DC" w:rsidRDefault="00355D8B" w:rsidP="00B217DC">
      <w:pPr>
        <w:pStyle w:val="ListParagraph"/>
        <w:numPr>
          <w:ilvl w:val="0"/>
          <w:numId w:val="55"/>
        </w:numPr>
        <w:rPr>
          <w:rFonts w:cs="Arial"/>
          <w:color w:val="auto"/>
          <w:spacing w:val="0"/>
          <w:kern w:val="28"/>
          <w:sz w:val="20"/>
          <w:szCs w:val="20"/>
        </w:rPr>
      </w:pPr>
      <w:r w:rsidRPr="00B217DC">
        <w:rPr>
          <w:rFonts w:cs="Arial"/>
          <w:color w:val="auto"/>
          <w:spacing w:val="0"/>
          <w:kern w:val="28"/>
          <w:sz w:val="20"/>
          <w:szCs w:val="20"/>
        </w:rPr>
        <w:lastRenderedPageBreak/>
        <w:t>Urgent attention is required in relation to risk management systems and processes at the CGE - this entails the development of risk mitigation strategies &amp; plans, risk registers and assignment of resources to monitor and report on risk management activities</w:t>
      </w:r>
      <w:r w:rsidR="001274A3" w:rsidRPr="00B217DC">
        <w:rPr>
          <w:rFonts w:cs="Arial"/>
          <w:color w:val="auto"/>
          <w:spacing w:val="0"/>
          <w:kern w:val="28"/>
          <w:sz w:val="20"/>
          <w:szCs w:val="20"/>
        </w:rPr>
        <w:t xml:space="preserve">. </w:t>
      </w:r>
    </w:p>
    <w:p w:rsidR="00355D8B" w:rsidRPr="00B217DC" w:rsidRDefault="00355D8B" w:rsidP="00B217DC">
      <w:pPr>
        <w:pStyle w:val="ListParagraph"/>
        <w:numPr>
          <w:ilvl w:val="0"/>
          <w:numId w:val="55"/>
        </w:numPr>
        <w:rPr>
          <w:rFonts w:cs="Arial"/>
          <w:color w:val="auto"/>
          <w:spacing w:val="0"/>
          <w:kern w:val="28"/>
          <w:sz w:val="20"/>
          <w:szCs w:val="20"/>
        </w:rPr>
      </w:pPr>
      <w:r w:rsidRPr="00B217DC">
        <w:rPr>
          <w:rFonts w:cs="Arial"/>
          <w:color w:val="auto"/>
          <w:spacing w:val="0"/>
          <w:kern w:val="28"/>
          <w:sz w:val="20"/>
          <w:szCs w:val="20"/>
        </w:rPr>
        <w:t>The ARC had raised concern about the vacancy of the chairperson of the risk management committee which was still vacant as at the end of the financial year. This had in part contributed to the ineffective risk management activities and the deficiencies communicated in the section on effectiveness of internal controls.</w:t>
      </w:r>
    </w:p>
    <w:p w:rsidR="001274A3" w:rsidRPr="00B217DC" w:rsidRDefault="00355D8B" w:rsidP="00B217DC">
      <w:pPr>
        <w:pStyle w:val="ListParagraph"/>
        <w:numPr>
          <w:ilvl w:val="0"/>
          <w:numId w:val="55"/>
        </w:numPr>
        <w:rPr>
          <w:rFonts w:cs="Arial"/>
          <w:color w:val="auto"/>
          <w:spacing w:val="0"/>
          <w:kern w:val="28"/>
          <w:sz w:val="20"/>
          <w:szCs w:val="20"/>
        </w:rPr>
      </w:pPr>
      <w:r w:rsidRPr="00B217DC">
        <w:rPr>
          <w:rFonts w:cs="Arial"/>
          <w:color w:val="auto"/>
          <w:spacing w:val="0"/>
          <w:kern w:val="28"/>
          <w:sz w:val="20"/>
          <w:szCs w:val="20"/>
        </w:rPr>
        <w:t>The ARC had recommended to management for the appointment of the risk management committee chairperson, the appropriate composition of the risk management committee, and the appointment or a risk officer or equivalent who shall facilitate risk management activities at the CGE.</w:t>
      </w:r>
    </w:p>
    <w:p w:rsidR="002702F2" w:rsidRPr="00B217DC" w:rsidRDefault="002702F2" w:rsidP="00B217DC">
      <w:pPr>
        <w:rPr>
          <w:rFonts w:cs="Arial"/>
          <w:b/>
          <w:color w:val="auto"/>
          <w:spacing w:val="0"/>
          <w:kern w:val="28"/>
          <w:sz w:val="20"/>
          <w:szCs w:val="20"/>
        </w:rPr>
      </w:pPr>
      <w:r w:rsidRPr="00B217DC">
        <w:rPr>
          <w:rFonts w:cs="Arial"/>
          <w:b/>
          <w:color w:val="auto"/>
          <w:spacing w:val="0"/>
          <w:kern w:val="28"/>
          <w:sz w:val="20"/>
          <w:szCs w:val="20"/>
        </w:rPr>
        <w:t>13.2.3 Leadership</w:t>
      </w:r>
    </w:p>
    <w:p w:rsidR="002702F2" w:rsidRPr="00B217DC" w:rsidRDefault="002702F2" w:rsidP="00B217DC">
      <w:pPr>
        <w:pStyle w:val="ListParagraph"/>
        <w:numPr>
          <w:ilvl w:val="0"/>
          <w:numId w:val="148"/>
        </w:numPr>
        <w:rPr>
          <w:rFonts w:cs="Arial"/>
          <w:color w:val="auto"/>
          <w:spacing w:val="0"/>
          <w:kern w:val="28"/>
          <w:sz w:val="20"/>
          <w:szCs w:val="20"/>
        </w:rPr>
      </w:pPr>
      <w:r w:rsidRPr="00B217DC">
        <w:rPr>
          <w:rFonts w:cs="Arial"/>
          <w:color w:val="auto"/>
          <w:spacing w:val="0"/>
          <w:kern w:val="28"/>
          <w:sz w:val="20"/>
          <w:szCs w:val="20"/>
        </w:rPr>
        <w:t>The ARC highlights that the AGSA has raised concerns on the effectiveness of leadership at the CGE.</w:t>
      </w:r>
    </w:p>
    <w:p w:rsidR="002702F2" w:rsidRPr="00B217DC" w:rsidRDefault="002702F2" w:rsidP="00B217DC">
      <w:pPr>
        <w:rPr>
          <w:rFonts w:cs="Arial"/>
          <w:color w:val="auto"/>
          <w:spacing w:val="0"/>
          <w:kern w:val="28"/>
          <w:sz w:val="20"/>
          <w:szCs w:val="20"/>
        </w:rPr>
      </w:pPr>
    </w:p>
    <w:p w:rsidR="002702F2" w:rsidRPr="00B217DC" w:rsidRDefault="002702F2" w:rsidP="00B217DC">
      <w:pPr>
        <w:rPr>
          <w:rFonts w:cs="Arial"/>
          <w:b/>
          <w:color w:val="auto"/>
          <w:spacing w:val="0"/>
          <w:kern w:val="28"/>
          <w:sz w:val="20"/>
          <w:szCs w:val="20"/>
        </w:rPr>
      </w:pPr>
      <w:r w:rsidRPr="00B217DC">
        <w:rPr>
          <w:rFonts w:cs="Arial"/>
          <w:b/>
          <w:color w:val="auto"/>
          <w:spacing w:val="0"/>
          <w:kern w:val="28"/>
          <w:sz w:val="20"/>
          <w:szCs w:val="20"/>
        </w:rPr>
        <w:t>13.2.4 Non-compliance</w:t>
      </w:r>
    </w:p>
    <w:p w:rsidR="002702F2" w:rsidRPr="00B217DC" w:rsidRDefault="002702F2" w:rsidP="00B217DC">
      <w:pPr>
        <w:pStyle w:val="ListParagraph"/>
        <w:numPr>
          <w:ilvl w:val="0"/>
          <w:numId w:val="148"/>
        </w:numPr>
        <w:rPr>
          <w:rFonts w:cs="Arial"/>
          <w:color w:val="auto"/>
          <w:spacing w:val="0"/>
          <w:kern w:val="28"/>
          <w:sz w:val="20"/>
          <w:szCs w:val="20"/>
        </w:rPr>
      </w:pPr>
      <w:r w:rsidRPr="00B217DC">
        <w:rPr>
          <w:rFonts w:cs="Arial"/>
          <w:color w:val="auto"/>
          <w:spacing w:val="0"/>
          <w:kern w:val="28"/>
          <w:sz w:val="20"/>
          <w:szCs w:val="20"/>
        </w:rPr>
        <w:t>Non-compliance with legislations were identified and communicated in the report by the Auditor General.</w:t>
      </w:r>
    </w:p>
    <w:p w:rsidR="002702F2" w:rsidRPr="00B217DC" w:rsidRDefault="002702F2" w:rsidP="00B217DC">
      <w:pPr>
        <w:pStyle w:val="ListParagraph"/>
        <w:numPr>
          <w:ilvl w:val="0"/>
          <w:numId w:val="148"/>
        </w:numPr>
        <w:rPr>
          <w:rFonts w:cs="Arial"/>
          <w:color w:val="auto"/>
          <w:spacing w:val="0"/>
          <w:kern w:val="28"/>
          <w:sz w:val="20"/>
          <w:szCs w:val="20"/>
        </w:rPr>
      </w:pPr>
      <w:r w:rsidRPr="00B217DC">
        <w:rPr>
          <w:rFonts w:cs="Arial"/>
          <w:color w:val="auto"/>
          <w:spacing w:val="0"/>
          <w:kern w:val="28"/>
          <w:sz w:val="20"/>
          <w:szCs w:val="20"/>
        </w:rPr>
        <w:t>The ARC had advised management to establish a compliance universe, which must list all the key provisions of legislations applicable to the operations of the CGE.</w:t>
      </w:r>
    </w:p>
    <w:p w:rsidR="002702F2" w:rsidRPr="00B217DC" w:rsidRDefault="002702F2" w:rsidP="00B217DC">
      <w:pPr>
        <w:pStyle w:val="ListParagraph"/>
        <w:numPr>
          <w:ilvl w:val="0"/>
          <w:numId w:val="148"/>
        </w:numPr>
        <w:rPr>
          <w:rFonts w:cs="Arial"/>
          <w:color w:val="auto"/>
          <w:spacing w:val="0"/>
          <w:kern w:val="28"/>
          <w:sz w:val="20"/>
          <w:szCs w:val="20"/>
        </w:rPr>
      </w:pPr>
      <w:r w:rsidRPr="00B217DC">
        <w:rPr>
          <w:rFonts w:cs="Arial"/>
          <w:color w:val="auto"/>
          <w:spacing w:val="0"/>
          <w:kern w:val="28"/>
          <w:sz w:val="20"/>
          <w:szCs w:val="20"/>
        </w:rPr>
        <w:t>This tool should be used to monitor compliance and the severity of non-compliance with laws and regulations.</w:t>
      </w:r>
    </w:p>
    <w:p w:rsidR="002702F2" w:rsidRPr="00B217DC" w:rsidRDefault="002702F2" w:rsidP="00B217DC">
      <w:pPr>
        <w:pStyle w:val="ListParagraph"/>
        <w:numPr>
          <w:ilvl w:val="0"/>
          <w:numId w:val="148"/>
        </w:numPr>
        <w:rPr>
          <w:rFonts w:cs="Arial"/>
          <w:color w:val="auto"/>
          <w:spacing w:val="0"/>
          <w:kern w:val="28"/>
          <w:sz w:val="20"/>
          <w:szCs w:val="20"/>
        </w:rPr>
      </w:pPr>
      <w:r w:rsidRPr="00B217DC">
        <w:rPr>
          <w:rFonts w:cs="Arial"/>
          <w:color w:val="auto"/>
          <w:spacing w:val="0"/>
          <w:kern w:val="28"/>
          <w:sz w:val="20"/>
          <w:szCs w:val="20"/>
        </w:rPr>
        <w:t>There is also a need to improve staff capacity within finance to ensure segregation of duties.</w:t>
      </w:r>
    </w:p>
    <w:p w:rsidR="002702F2" w:rsidRPr="00B217DC" w:rsidRDefault="002702F2" w:rsidP="00B217DC">
      <w:pPr>
        <w:rPr>
          <w:rFonts w:cs="Arial"/>
          <w:color w:val="auto"/>
          <w:spacing w:val="0"/>
          <w:kern w:val="28"/>
          <w:sz w:val="20"/>
          <w:szCs w:val="20"/>
        </w:rPr>
      </w:pPr>
    </w:p>
    <w:p w:rsidR="002702F2" w:rsidRPr="00B217DC" w:rsidRDefault="002702F2" w:rsidP="00B217DC">
      <w:pPr>
        <w:rPr>
          <w:rFonts w:cs="Arial"/>
          <w:b/>
          <w:color w:val="auto"/>
          <w:spacing w:val="0"/>
          <w:kern w:val="28"/>
          <w:sz w:val="20"/>
          <w:szCs w:val="20"/>
        </w:rPr>
      </w:pPr>
      <w:r w:rsidRPr="00B217DC">
        <w:rPr>
          <w:rFonts w:cs="Arial"/>
          <w:b/>
          <w:color w:val="auto"/>
          <w:spacing w:val="0"/>
          <w:kern w:val="28"/>
          <w:sz w:val="20"/>
          <w:szCs w:val="20"/>
        </w:rPr>
        <w:t xml:space="preserve">13.2.5 Material compliance </w:t>
      </w:r>
    </w:p>
    <w:p w:rsidR="002702F2" w:rsidRPr="00B217DC" w:rsidRDefault="002702F2" w:rsidP="00B217DC">
      <w:pPr>
        <w:rPr>
          <w:rFonts w:cs="Arial"/>
          <w:color w:val="auto"/>
          <w:spacing w:val="0"/>
          <w:kern w:val="28"/>
          <w:sz w:val="20"/>
          <w:szCs w:val="20"/>
        </w:rPr>
      </w:pPr>
      <w:r w:rsidRPr="00B217DC">
        <w:rPr>
          <w:rFonts w:cs="Arial"/>
          <w:color w:val="auto"/>
          <w:spacing w:val="0"/>
          <w:kern w:val="28"/>
          <w:sz w:val="20"/>
          <w:szCs w:val="20"/>
        </w:rPr>
        <w:t>The ARC also highlights Material compliance findings in relation to:</w:t>
      </w:r>
    </w:p>
    <w:p w:rsidR="002702F2" w:rsidRPr="00B217DC" w:rsidRDefault="002702F2" w:rsidP="00B217DC">
      <w:pPr>
        <w:pStyle w:val="ListParagraph"/>
        <w:numPr>
          <w:ilvl w:val="0"/>
          <w:numId w:val="149"/>
        </w:numPr>
        <w:rPr>
          <w:rFonts w:cs="Arial"/>
          <w:color w:val="auto"/>
          <w:spacing w:val="0"/>
          <w:kern w:val="28"/>
          <w:sz w:val="20"/>
          <w:szCs w:val="20"/>
        </w:rPr>
      </w:pPr>
      <w:r w:rsidRPr="00B217DC">
        <w:rPr>
          <w:rFonts w:cs="Arial"/>
          <w:color w:val="auto"/>
          <w:spacing w:val="0"/>
          <w:kern w:val="28"/>
          <w:sz w:val="20"/>
          <w:szCs w:val="20"/>
        </w:rPr>
        <w:t>Expenditure Management: Funds dispersed without approval of the AO or appropriate delegate.</w:t>
      </w:r>
    </w:p>
    <w:p w:rsidR="002702F2" w:rsidRPr="00B217DC" w:rsidRDefault="002702F2" w:rsidP="00B217DC">
      <w:pPr>
        <w:pStyle w:val="ListParagraph"/>
        <w:numPr>
          <w:ilvl w:val="0"/>
          <w:numId w:val="149"/>
        </w:numPr>
        <w:rPr>
          <w:rFonts w:cs="Arial"/>
          <w:color w:val="auto"/>
          <w:spacing w:val="0"/>
          <w:kern w:val="28"/>
          <w:sz w:val="20"/>
          <w:szCs w:val="20"/>
        </w:rPr>
      </w:pPr>
      <w:r w:rsidRPr="00B217DC">
        <w:rPr>
          <w:rFonts w:cs="Arial"/>
          <w:color w:val="auto"/>
          <w:spacing w:val="0"/>
          <w:kern w:val="28"/>
          <w:sz w:val="20"/>
          <w:szCs w:val="20"/>
        </w:rPr>
        <w:t>Consequence management: Failure to timeously implement remedial action against those who allow/ committed IE &amp; F&amp;WE.</w:t>
      </w:r>
    </w:p>
    <w:p w:rsidR="00141BB2" w:rsidRPr="00B217DC" w:rsidRDefault="00141BB2" w:rsidP="00B217DC">
      <w:pPr>
        <w:rPr>
          <w:rFonts w:cs="Arial"/>
          <w:color w:val="auto"/>
          <w:spacing w:val="0"/>
          <w:kern w:val="28"/>
          <w:sz w:val="20"/>
          <w:szCs w:val="20"/>
        </w:rPr>
      </w:pPr>
    </w:p>
    <w:p w:rsidR="002702F2" w:rsidRPr="00B217DC" w:rsidRDefault="002702F2" w:rsidP="00B217DC">
      <w:pPr>
        <w:rPr>
          <w:rFonts w:cs="Arial"/>
          <w:b/>
          <w:color w:val="auto"/>
          <w:spacing w:val="0"/>
          <w:kern w:val="28"/>
          <w:sz w:val="20"/>
          <w:szCs w:val="20"/>
        </w:rPr>
      </w:pPr>
      <w:r w:rsidRPr="00B217DC">
        <w:rPr>
          <w:rFonts w:cs="Arial"/>
          <w:b/>
          <w:color w:val="auto"/>
          <w:spacing w:val="0"/>
          <w:kern w:val="28"/>
          <w:sz w:val="20"/>
          <w:szCs w:val="20"/>
        </w:rPr>
        <w:t>13.2.6 Internal Audit</w:t>
      </w:r>
    </w:p>
    <w:p w:rsidR="002702F2" w:rsidRPr="00B217DC" w:rsidRDefault="002702F2" w:rsidP="00B217DC">
      <w:pPr>
        <w:pStyle w:val="ListParagraph"/>
        <w:numPr>
          <w:ilvl w:val="0"/>
          <w:numId w:val="150"/>
        </w:numPr>
        <w:rPr>
          <w:rFonts w:cs="Arial"/>
          <w:color w:val="auto"/>
          <w:spacing w:val="0"/>
          <w:kern w:val="28"/>
          <w:sz w:val="20"/>
          <w:szCs w:val="20"/>
        </w:rPr>
      </w:pPr>
      <w:r w:rsidRPr="00B217DC">
        <w:rPr>
          <w:rFonts w:cs="Arial"/>
          <w:color w:val="auto"/>
          <w:spacing w:val="0"/>
          <w:kern w:val="28"/>
          <w:sz w:val="20"/>
          <w:szCs w:val="20"/>
        </w:rPr>
        <w:t>The ARC has continued to register its concerns to management regarding the adequacy of human resources in the internal audit unit. The limitations on the staff capacity of the Internal audit led to a revision of the annual plan to postpone audit tasks which were due in the year under review when the unit experienced a resignation of one auditor. Management committed to apply alternative sourcing arrangements where necessary to ensure that the work of Internal Audit complies with the requirements of the standards for Professional Practice of Internal Audit.</w:t>
      </w:r>
    </w:p>
    <w:p w:rsidR="00355D8B" w:rsidRPr="00B217DC" w:rsidRDefault="00355D8B" w:rsidP="00B217DC">
      <w:pPr>
        <w:rPr>
          <w:rFonts w:cs="Arial"/>
          <w:b/>
          <w:color w:val="auto"/>
          <w:spacing w:val="0"/>
          <w:kern w:val="28"/>
          <w:sz w:val="20"/>
          <w:szCs w:val="20"/>
        </w:rPr>
      </w:pPr>
      <w:r w:rsidRPr="00B217DC">
        <w:rPr>
          <w:rFonts w:cs="Arial"/>
          <w:b/>
          <w:color w:val="auto"/>
          <w:spacing w:val="0"/>
          <w:kern w:val="28"/>
          <w:sz w:val="20"/>
          <w:szCs w:val="20"/>
        </w:rPr>
        <w:t>13.3 ARC NYDA</w:t>
      </w:r>
    </w:p>
    <w:p w:rsidR="00F05CFA" w:rsidRPr="00B217DC" w:rsidRDefault="00F05CFA" w:rsidP="00B217DC">
      <w:pPr>
        <w:rPr>
          <w:rFonts w:cs="Arial"/>
          <w:color w:val="auto"/>
          <w:spacing w:val="0"/>
          <w:kern w:val="28"/>
          <w:sz w:val="20"/>
          <w:szCs w:val="20"/>
        </w:rPr>
      </w:pPr>
      <w:r w:rsidRPr="00B217DC">
        <w:rPr>
          <w:rFonts w:cs="Arial"/>
          <w:color w:val="auto"/>
          <w:spacing w:val="0"/>
          <w:kern w:val="28"/>
          <w:sz w:val="20"/>
          <w:szCs w:val="20"/>
        </w:rPr>
        <w:t>With respect to the NYDA, its ARC noted the following:</w:t>
      </w:r>
    </w:p>
    <w:p w:rsidR="00F05CFA" w:rsidRPr="00B217DC" w:rsidRDefault="00F05CFA" w:rsidP="00B217DC">
      <w:pPr>
        <w:rPr>
          <w:rFonts w:cs="Arial"/>
          <w:color w:val="auto"/>
          <w:spacing w:val="0"/>
          <w:kern w:val="28"/>
          <w:sz w:val="20"/>
          <w:szCs w:val="20"/>
        </w:rPr>
      </w:pPr>
    </w:p>
    <w:p w:rsidR="007D2C81" w:rsidRPr="00B217DC" w:rsidRDefault="007D2C81" w:rsidP="00B217DC">
      <w:pPr>
        <w:pStyle w:val="ListParagraph"/>
        <w:numPr>
          <w:ilvl w:val="0"/>
          <w:numId w:val="152"/>
        </w:numPr>
        <w:rPr>
          <w:rFonts w:cs="Arial"/>
          <w:color w:val="auto"/>
          <w:spacing w:val="0"/>
          <w:kern w:val="28"/>
          <w:sz w:val="20"/>
          <w:szCs w:val="20"/>
        </w:rPr>
      </w:pPr>
      <w:r w:rsidRPr="00B217DC">
        <w:rPr>
          <w:rFonts w:cs="Arial"/>
          <w:color w:val="auto"/>
          <w:spacing w:val="0"/>
          <w:kern w:val="28"/>
          <w:sz w:val="20"/>
          <w:szCs w:val="20"/>
        </w:rPr>
        <w:t>For the 2021/22, audit findings that relate to the internal control environment such as leadership, financial and performance management, and governance are reflected as below:</w:t>
      </w:r>
    </w:p>
    <w:p w:rsidR="007D2C81" w:rsidRPr="00B217DC" w:rsidRDefault="007D2C81" w:rsidP="00B217DC">
      <w:pPr>
        <w:pStyle w:val="ListParagraph"/>
        <w:numPr>
          <w:ilvl w:val="0"/>
          <w:numId w:val="143"/>
        </w:numPr>
        <w:ind w:left="1985"/>
        <w:rPr>
          <w:rFonts w:cs="Arial"/>
          <w:color w:val="auto"/>
          <w:spacing w:val="0"/>
          <w:kern w:val="28"/>
          <w:sz w:val="20"/>
          <w:szCs w:val="20"/>
        </w:rPr>
      </w:pPr>
      <w:r w:rsidRPr="00B217DC">
        <w:rPr>
          <w:rFonts w:cs="Arial"/>
          <w:color w:val="auto"/>
          <w:spacing w:val="0"/>
          <w:kern w:val="28"/>
          <w:sz w:val="20"/>
          <w:szCs w:val="20"/>
        </w:rPr>
        <w:t>Consistent in financial management at 71%</w:t>
      </w:r>
    </w:p>
    <w:p w:rsidR="007D2C81" w:rsidRPr="00B217DC" w:rsidRDefault="007D2C81" w:rsidP="00B217DC">
      <w:pPr>
        <w:pStyle w:val="ListParagraph"/>
        <w:numPr>
          <w:ilvl w:val="0"/>
          <w:numId w:val="143"/>
        </w:numPr>
        <w:ind w:left="1985"/>
        <w:rPr>
          <w:rFonts w:cs="Arial"/>
          <w:color w:val="auto"/>
          <w:spacing w:val="0"/>
          <w:kern w:val="28"/>
          <w:sz w:val="20"/>
          <w:szCs w:val="20"/>
        </w:rPr>
      </w:pPr>
      <w:r w:rsidRPr="00B217DC">
        <w:rPr>
          <w:rFonts w:cs="Arial"/>
          <w:color w:val="auto"/>
          <w:spacing w:val="0"/>
          <w:kern w:val="28"/>
          <w:sz w:val="20"/>
          <w:szCs w:val="20"/>
        </w:rPr>
        <w:t>Improvement in performance information reporting from 79% to 100%</w:t>
      </w:r>
    </w:p>
    <w:p w:rsidR="007D2C81" w:rsidRPr="00B217DC" w:rsidRDefault="007D2C81" w:rsidP="00B217DC">
      <w:pPr>
        <w:pStyle w:val="ListParagraph"/>
        <w:numPr>
          <w:ilvl w:val="0"/>
          <w:numId w:val="143"/>
        </w:numPr>
        <w:ind w:left="1985"/>
        <w:rPr>
          <w:rFonts w:cs="Arial"/>
          <w:color w:val="auto"/>
          <w:spacing w:val="0"/>
          <w:kern w:val="28"/>
          <w:sz w:val="20"/>
          <w:szCs w:val="20"/>
        </w:rPr>
      </w:pPr>
      <w:r w:rsidRPr="00B217DC">
        <w:rPr>
          <w:rFonts w:cs="Arial"/>
          <w:color w:val="auto"/>
          <w:spacing w:val="0"/>
          <w:kern w:val="28"/>
          <w:sz w:val="20"/>
          <w:szCs w:val="20"/>
        </w:rPr>
        <w:t>Improvement in compliance from 86% to 93%</w:t>
      </w:r>
    </w:p>
    <w:p w:rsidR="007D2C81" w:rsidRPr="00B217DC" w:rsidRDefault="007D2C81" w:rsidP="00B217DC">
      <w:pPr>
        <w:pStyle w:val="ListParagraph"/>
        <w:numPr>
          <w:ilvl w:val="0"/>
          <w:numId w:val="152"/>
        </w:numPr>
        <w:rPr>
          <w:rFonts w:cs="Arial"/>
          <w:color w:val="auto"/>
          <w:spacing w:val="0"/>
          <w:kern w:val="28"/>
          <w:sz w:val="20"/>
          <w:szCs w:val="20"/>
        </w:rPr>
      </w:pPr>
      <w:r w:rsidRPr="00B217DC">
        <w:rPr>
          <w:rFonts w:cs="Arial"/>
          <w:color w:val="auto"/>
          <w:spacing w:val="0"/>
          <w:kern w:val="28"/>
          <w:sz w:val="20"/>
          <w:szCs w:val="20"/>
        </w:rPr>
        <w:t>The ARC noted that Irregular expenditure has significantly reduced over the years - from R133 million in 2011/12 to R0.00 in 2021/22.</w:t>
      </w:r>
    </w:p>
    <w:p w:rsidR="007D2C81" w:rsidRPr="00B217DC" w:rsidRDefault="007D2C81" w:rsidP="00B217DC">
      <w:pPr>
        <w:pStyle w:val="ListParagraph"/>
        <w:numPr>
          <w:ilvl w:val="0"/>
          <w:numId w:val="152"/>
        </w:numPr>
        <w:rPr>
          <w:rFonts w:cs="Arial"/>
          <w:color w:val="auto"/>
          <w:spacing w:val="0"/>
          <w:kern w:val="28"/>
          <w:sz w:val="20"/>
          <w:szCs w:val="20"/>
        </w:rPr>
      </w:pPr>
      <w:r w:rsidRPr="00B217DC">
        <w:rPr>
          <w:rFonts w:cs="Arial"/>
          <w:color w:val="auto"/>
          <w:spacing w:val="0"/>
          <w:kern w:val="28"/>
          <w:sz w:val="20"/>
          <w:szCs w:val="20"/>
        </w:rPr>
        <w:t>Based on the various reports by the Internal Auditors, and the Management Report and Audit Report by the Auditor-General of South Africa, it is noted that there has been a stabilisation in the internal controls environment which has culminated in the NYDA sustaining the clean audit again for the 2021/22 financial year (eight years in succession).</w:t>
      </w:r>
    </w:p>
    <w:p w:rsidR="007D2C81" w:rsidRPr="00B217DC" w:rsidRDefault="007D2C81" w:rsidP="00B217DC">
      <w:pPr>
        <w:pStyle w:val="ListParagraph"/>
        <w:numPr>
          <w:ilvl w:val="0"/>
          <w:numId w:val="152"/>
        </w:numPr>
        <w:rPr>
          <w:rFonts w:cs="Arial"/>
          <w:color w:val="auto"/>
          <w:spacing w:val="0"/>
          <w:kern w:val="28"/>
          <w:sz w:val="20"/>
          <w:szCs w:val="20"/>
        </w:rPr>
      </w:pPr>
      <w:r w:rsidRPr="00B217DC">
        <w:rPr>
          <w:rFonts w:cs="Arial"/>
          <w:color w:val="auto"/>
          <w:spacing w:val="0"/>
          <w:kern w:val="28"/>
          <w:sz w:val="20"/>
          <w:szCs w:val="20"/>
        </w:rPr>
        <w:t>Of significance, is the 100% achievement of planned targets. The quality on In-Year management and monthly/ quarterly reports submitted in terms of the PFMA and Division of Revenue Act improved.</w:t>
      </w:r>
    </w:p>
    <w:p w:rsidR="007D2C81" w:rsidRPr="00B217DC" w:rsidRDefault="007D2C81" w:rsidP="00B217DC">
      <w:pPr>
        <w:pStyle w:val="ListParagraph"/>
        <w:numPr>
          <w:ilvl w:val="0"/>
          <w:numId w:val="152"/>
        </w:numPr>
        <w:rPr>
          <w:rFonts w:cs="Arial"/>
          <w:color w:val="auto"/>
          <w:spacing w:val="0"/>
          <w:kern w:val="28"/>
          <w:sz w:val="20"/>
          <w:szCs w:val="20"/>
        </w:rPr>
      </w:pPr>
      <w:r w:rsidRPr="00B217DC">
        <w:rPr>
          <w:rFonts w:cs="Arial"/>
          <w:color w:val="auto"/>
          <w:spacing w:val="0"/>
          <w:kern w:val="28"/>
          <w:sz w:val="20"/>
          <w:szCs w:val="20"/>
        </w:rPr>
        <w:t>The Audit and Risk Committee is satisfied with the content and quality of monthly reports prepared and issued by the NYDA during the year under review, noting that there has been a significant improvement on the compilation of the performance information and the reporting thereof.</w:t>
      </w:r>
    </w:p>
    <w:p w:rsidR="006A7CF6" w:rsidRPr="00B217DC" w:rsidRDefault="007D2C81" w:rsidP="00B217DC">
      <w:pPr>
        <w:pStyle w:val="ListParagraph"/>
        <w:numPr>
          <w:ilvl w:val="0"/>
          <w:numId w:val="152"/>
        </w:numPr>
        <w:rPr>
          <w:rFonts w:cs="Arial"/>
          <w:color w:val="auto"/>
          <w:spacing w:val="0"/>
          <w:kern w:val="28"/>
          <w:sz w:val="20"/>
          <w:szCs w:val="20"/>
        </w:rPr>
      </w:pPr>
      <w:r w:rsidRPr="00B217DC">
        <w:rPr>
          <w:rFonts w:cs="Arial"/>
          <w:color w:val="auto"/>
          <w:spacing w:val="0"/>
          <w:kern w:val="28"/>
          <w:sz w:val="20"/>
          <w:szCs w:val="20"/>
        </w:rPr>
        <w:t>The Audit and Risk Committee will continue to monitor the achievement of all planned targets for the forthcoming financial year to achieve clean audit.</w:t>
      </w:r>
    </w:p>
    <w:p w:rsidR="00A05285" w:rsidRPr="00B217DC" w:rsidRDefault="00A05285" w:rsidP="00B217DC">
      <w:pPr>
        <w:rPr>
          <w:rFonts w:cs="Arial"/>
          <w:color w:val="auto"/>
          <w:spacing w:val="0"/>
          <w:kern w:val="28"/>
          <w:sz w:val="20"/>
          <w:szCs w:val="20"/>
        </w:rPr>
      </w:pPr>
    </w:p>
    <w:p w:rsidR="00170BD2" w:rsidRPr="00B217DC" w:rsidRDefault="00A9692C" w:rsidP="00B217DC">
      <w:pPr>
        <w:pStyle w:val="ListParagraph"/>
        <w:numPr>
          <w:ilvl w:val="0"/>
          <w:numId w:val="147"/>
        </w:numPr>
        <w:ind w:left="426"/>
        <w:rPr>
          <w:rFonts w:cs="Arial"/>
          <w:b/>
          <w:color w:val="auto"/>
          <w:spacing w:val="0"/>
          <w:kern w:val="28"/>
          <w:sz w:val="20"/>
          <w:szCs w:val="20"/>
        </w:rPr>
      </w:pPr>
      <w:r w:rsidRPr="00B217DC">
        <w:rPr>
          <w:rFonts w:cs="Arial"/>
          <w:b/>
          <w:color w:val="auto"/>
          <w:spacing w:val="0"/>
          <w:kern w:val="28"/>
          <w:sz w:val="20"/>
          <w:szCs w:val="20"/>
        </w:rPr>
        <w:t xml:space="preserve">OVERVIEW AND ASSESSMENT OF SERVICE DELIVERY </w:t>
      </w:r>
      <w:r w:rsidR="00097EF3" w:rsidRPr="00B217DC">
        <w:rPr>
          <w:rFonts w:cs="Arial"/>
          <w:b/>
          <w:color w:val="auto"/>
          <w:spacing w:val="0"/>
          <w:kern w:val="28"/>
          <w:sz w:val="20"/>
          <w:szCs w:val="20"/>
        </w:rPr>
        <w:t xml:space="preserve">&amp; FINANCIAL </w:t>
      </w:r>
      <w:r w:rsidRPr="00B217DC">
        <w:rPr>
          <w:rFonts w:cs="Arial"/>
          <w:b/>
          <w:color w:val="auto"/>
          <w:spacing w:val="0"/>
          <w:kern w:val="28"/>
          <w:sz w:val="20"/>
          <w:szCs w:val="20"/>
        </w:rPr>
        <w:t>PERFORMANCE</w:t>
      </w:r>
      <w:r w:rsidR="00097EF3" w:rsidRPr="00B217DC">
        <w:rPr>
          <w:rFonts w:cs="Arial"/>
          <w:b/>
          <w:color w:val="auto"/>
          <w:spacing w:val="0"/>
          <w:kern w:val="28"/>
          <w:sz w:val="20"/>
          <w:szCs w:val="20"/>
        </w:rPr>
        <w:t xml:space="preserve"> PER PROGRAMME</w:t>
      </w:r>
    </w:p>
    <w:p w:rsidR="00170BD2" w:rsidRPr="00B217DC" w:rsidRDefault="00170BD2" w:rsidP="00B217DC">
      <w:pPr>
        <w:rPr>
          <w:rFonts w:cs="Arial"/>
          <w:b/>
          <w:color w:val="auto"/>
          <w:sz w:val="20"/>
          <w:szCs w:val="20"/>
          <w:lang w:val="en-GB"/>
        </w:rPr>
      </w:pPr>
    </w:p>
    <w:p w:rsidR="00DA6655" w:rsidRPr="00B217DC" w:rsidRDefault="00BB1C5D" w:rsidP="00B217DC">
      <w:pPr>
        <w:autoSpaceDE w:val="0"/>
        <w:autoSpaceDN w:val="0"/>
        <w:adjustRightInd w:val="0"/>
        <w:rPr>
          <w:rFonts w:eastAsiaTheme="minorHAnsi" w:cs="Arial"/>
          <w:color w:val="auto"/>
          <w:spacing w:val="0"/>
          <w:sz w:val="20"/>
          <w:szCs w:val="20"/>
          <w:lang w:eastAsia="en-US"/>
        </w:rPr>
      </w:pPr>
      <w:r w:rsidRPr="00B217DC">
        <w:rPr>
          <w:rFonts w:eastAsiaTheme="minorHAnsi" w:cs="Arial"/>
          <w:color w:val="auto"/>
          <w:spacing w:val="0"/>
          <w:sz w:val="20"/>
          <w:szCs w:val="20"/>
          <w:lang w:eastAsia="en-US"/>
        </w:rPr>
        <w:lastRenderedPageBreak/>
        <w:t>This section provides</w:t>
      </w:r>
      <w:r w:rsidR="00DA6655" w:rsidRPr="00B217DC">
        <w:rPr>
          <w:rFonts w:eastAsiaTheme="minorHAnsi" w:cs="Arial"/>
          <w:color w:val="auto"/>
          <w:spacing w:val="0"/>
          <w:sz w:val="20"/>
          <w:szCs w:val="20"/>
          <w:lang w:eastAsia="en-US"/>
        </w:rPr>
        <w:t xml:space="preserve"> details of annual targets as per the original APP</w:t>
      </w:r>
      <w:r w:rsidR="00C15BE3" w:rsidRPr="00B217DC">
        <w:rPr>
          <w:rFonts w:eastAsiaTheme="minorHAnsi" w:cs="Arial"/>
          <w:color w:val="auto"/>
          <w:spacing w:val="0"/>
          <w:sz w:val="20"/>
          <w:szCs w:val="20"/>
          <w:lang w:eastAsia="en-US"/>
        </w:rPr>
        <w:t xml:space="preserve"> and</w:t>
      </w:r>
      <w:r w:rsidR="00DA6655" w:rsidRPr="00B217DC">
        <w:rPr>
          <w:rFonts w:eastAsiaTheme="minorHAnsi" w:cs="Arial"/>
          <w:color w:val="auto"/>
          <w:spacing w:val="0"/>
          <w:sz w:val="20"/>
          <w:szCs w:val="20"/>
          <w:lang w:eastAsia="en-US"/>
        </w:rPr>
        <w:t xml:space="preserve"> the revised APP </w:t>
      </w:r>
      <w:r w:rsidRPr="00B217DC">
        <w:rPr>
          <w:rFonts w:eastAsiaTheme="minorHAnsi" w:cs="Arial"/>
          <w:color w:val="auto"/>
          <w:spacing w:val="0"/>
          <w:sz w:val="20"/>
          <w:szCs w:val="20"/>
          <w:lang w:eastAsia="en-US"/>
        </w:rPr>
        <w:t xml:space="preserve">for each programme </w:t>
      </w:r>
      <w:r w:rsidR="00DA6655" w:rsidRPr="00B217DC">
        <w:rPr>
          <w:rFonts w:eastAsiaTheme="minorHAnsi" w:cs="Arial"/>
          <w:color w:val="auto"/>
          <w:spacing w:val="0"/>
          <w:sz w:val="20"/>
          <w:szCs w:val="20"/>
          <w:lang w:eastAsia="en-US"/>
        </w:rPr>
        <w:t xml:space="preserve">as well as an indication as to which targets have been reported on in the Annual Report. An indication is also provided of whether targets have been achieved or not. </w:t>
      </w:r>
    </w:p>
    <w:p w:rsidR="00037430" w:rsidRPr="00B217DC" w:rsidRDefault="00037430"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A323CA" w:rsidRPr="00B217DC">
        <w:rPr>
          <w:rFonts w:cs="Arial"/>
          <w:b/>
          <w:color w:val="auto"/>
          <w:sz w:val="20"/>
          <w:szCs w:val="20"/>
          <w:lang w:val="en-GB"/>
        </w:rPr>
        <w:t>4</w:t>
      </w:r>
      <w:r w:rsidRPr="00B217DC">
        <w:rPr>
          <w:rFonts w:cs="Arial"/>
          <w:b/>
          <w:color w:val="auto"/>
          <w:sz w:val="20"/>
          <w:szCs w:val="20"/>
          <w:lang w:val="en-GB"/>
        </w:rPr>
        <w:t>.1 Programme 1: Administration</w:t>
      </w:r>
    </w:p>
    <w:p w:rsidR="00170BD2" w:rsidRPr="00B217DC" w:rsidRDefault="00170BD2" w:rsidP="00B217DC">
      <w:pPr>
        <w:rPr>
          <w:rFonts w:cs="Arial"/>
          <w:color w:val="auto"/>
          <w:sz w:val="20"/>
          <w:szCs w:val="20"/>
          <w:lang w:val="en-GB"/>
        </w:rPr>
      </w:pPr>
    </w:p>
    <w:p w:rsidR="00300FD3" w:rsidRPr="00B217DC" w:rsidRDefault="00300FD3" w:rsidP="00B217DC">
      <w:pPr>
        <w:rPr>
          <w:rFonts w:cs="Arial"/>
          <w:color w:val="auto"/>
          <w:sz w:val="20"/>
          <w:szCs w:val="20"/>
        </w:rPr>
      </w:pPr>
      <w:r w:rsidRPr="00B217DC">
        <w:rPr>
          <w:rFonts w:cs="Arial"/>
          <w:bCs/>
          <w:color w:val="auto"/>
          <w:sz w:val="20"/>
          <w:szCs w:val="20"/>
        </w:rPr>
        <w:t>The purpose of this Programme is to</w:t>
      </w:r>
      <w:r w:rsidRPr="00B217DC">
        <w:rPr>
          <w:rFonts w:cs="Arial"/>
          <w:b/>
          <w:bCs/>
          <w:color w:val="auto"/>
          <w:sz w:val="20"/>
          <w:szCs w:val="20"/>
        </w:rPr>
        <w:t xml:space="preserve"> </w:t>
      </w:r>
      <w:r w:rsidRPr="00B217DC">
        <w:rPr>
          <w:rFonts w:cs="Arial"/>
          <w:color w:val="auto"/>
          <w:sz w:val="20"/>
          <w:szCs w:val="20"/>
        </w:rPr>
        <w:t xml:space="preserve">provide </w:t>
      </w:r>
      <w:r w:rsidR="00C15BE3" w:rsidRPr="00B217DC">
        <w:rPr>
          <w:rFonts w:cs="Arial"/>
          <w:color w:val="auto"/>
          <w:sz w:val="20"/>
          <w:szCs w:val="20"/>
        </w:rPr>
        <w:t xml:space="preserve">institutional overarching support </w:t>
      </w:r>
      <w:r w:rsidRPr="00B217DC">
        <w:rPr>
          <w:rFonts w:cs="Arial"/>
          <w:color w:val="auto"/>
          <w:sz w:val="20"/>
          <w:szCs w:val="20"/>
        </w:rPr>
        <w:t>to the Department.</w:t>
      </w:r>
      <w:r w:rsidR="00857A57" w:rsidRPr="00B217DC">
        <w:rPr>
          <w:rFonts w:cs="Arial"/>
          <w:color w:val="auto"/>
          <w:sz w:val="20"/>
          <w:szCs w:val="20"/>
        </w:rPr>
        <w:t xml:space="preserve"> In turn, it is supported by </w:t>
      </w:r>
      <w:r w:rsidR="00C15BE3" w:rsidRPr="00B217DC">
        <w:rPr>
          <w:rFonts w:cs="Arial"/>
          <w:color w:val="auto"/>
          <w:sz w:val="20"/>
          <w:szCs w:val="20"/>
        </w:rPr>
        <w:t>five</w:t>
      </w:r>
      <w:r w:rsidR="00857A57" w:rsidRPr="00B217DC">
        <w:rPr>
          <w:rFonts w:cs="Arial"/>
          <w:color w:val="auto"/>
          <w:sz w:val="20"/>
          <w:szCs w:val="20"/>
        </w:rPr>
        <w:t xml:space="preserve"> </w:t>
      </w:r>
      <w:r w:rsidRPr="00B217DC">
        <w:rPr>
          <w:rFonts w:cs="Arial"/>
          <w:bCs/>
          <w:color w:val="auto"/>
          <w:sz w:val="20"/>
          <w:szCs w:val="20"/>
        </w:rPr>
        <w:t xml:space="preserve">Sub-Programmes: </w:t>
      </w:r>
      <w:r w:rsidR="00C15BE3" w:rsidRPr="00B217DC">
        <w:rPr>
          <w:rFonts w:cs="Arial"/>
          <w:bCs/>
          <w:color w:val="auto"/>
          <w:sz w:val="20"/>
          <w:szCs w:val="20"/>
        </w:rPr>
        <w:t xml:space="preserve">Ministry; </w:t>
      </w:r>
      <w:r w:rsidRPr="00B217DC">
        <w:rPr>
          <w:rFonts w:cs="Arial"/>
          <w:color w:val="auto"/>
          <w:sz w:val="20"/>
          <w:szCs w:val="20"/>
        </w:rPr>
        <w:t xml:space="preserve">Departmental Management; Financial Management; </w:t>
      </w:r>
      <w:r w:rsidR="00C15BE3" w:rsidRPr="00B217DC">
        <w:rPr>
          <w:rFonts w:cs="Arial"/>
          <w:color w:val="auto"/>
          <w:sz w:val="20"/>
          <w:szCs w:val="20"/>
        </w:rPr>
        <w:t xml:space="preserve">Office accommodation </w:t>
      </w:r>
      <w:r w:rsidRPr="00B217DC">
        <w:rPr>
          <w:rFonts w:cs="Arial"/>
          <w:color w:val="auto"/>
          <w:sz w:val="20"/>
          <w:szCs w:val="20"/>
        </w:rPr>
        <w:t>and Corporate Management.</w:t>
      </w:r>
      <w:r w:rsidR="00857A57" w:rsidRPr="00B217DC">
        <w:rPr>
          <w:rFonts w:cs="Arial"/>
          <w:color w:val="auto"/>
          <w:sz w:val="20"/>
          <w:szCs w:val="20"/>
        </w:rPr>
        <w:t xml:space="preserve"> The purpose of each sub-programme is as follows:</w:t>
      </w:r>
    </w:p>
    <w:p w:rsidR="00857A57" w:rsidRPr="00B217DC" w:rsidRDefault="00857A57" w:rsidP="00B217DC">
      <w:pPr>
        <w:rPr>
          <w:rFonts w:cs="Arial"/>
          <w:color w:val="auto"/>
          <w:sz w:val="20"/>
          <w:szCs w:val="20"/>
        </w:rPr>
      </w:pPr>
    </w:p>
    <w:p w:rsidR="00300FD3" w:rsidRPr="00B217DC" w:rsidRDefault="00300FD3" w:rsidP="00B217DC">
      <w:pPr>
        <w:pStyle w:val="ListParagraph"/>
        <w:numPr>
          <w:ilvl w:val="0"/>
          <w:numId w:val="47"/>
        </w:numPr>
        <w:rPr>
          <w:rFonts w:cs="Arial"/>
          <w:color w:val="auto"/>
          <w:sz w:val="20"/>
          <w:szCs w:val="20"/>
        </w:rPr>
      </w:pPr>
      <w:r w:rsidRPr="00B217DC">
        <w:rPr>
          <w:rFonts w:cs="Arial"/>
          <w:b/>
          <w:color w:val="auto"/>
          <w:sz w:val="20"/>
          <w:szCs w:val="20"/>
        </w:rPr>
        <w:t>Departmental Management</w:t>
      </w:r>
      <w:r w:rsidRPr="00B217DC">
        <w:rPr>
          <w:rFonts w:cs="Arial"/>
          <w:color w:val="auto"/>
          <w:sz w:val="20"/>
          <w:szCs w:val="20"/>
        </w:rPr>
        <w:t>: T</w:t>
      </w:r>
      <w:r w:rsidR="00566619" w:rsidRPr="00B217DC">
        <w:rPr>
          <w:rFonts w:cs="Arial"/>
          <w:color w:val="auto"/>
          <w:sz w:val="20"/>
          <w:szCs w:val="20"/>
        </w:rPr>
        <w:t>he purpose of this sub-programme is t</w:t>
      </w:r>
      <w:r w:rsidRPr="00B217DC">
        <w:rPr>
          <w:rFonts w:cs="Arial"/>
          <w:color w:val="auto"/>
          <w:sz w:val="20"/>
          <w:szCs w:val="20"/>
        </w:rPr>
        <w:t>o provide executive support, strategic leadership and management to the D</w:t>
      </w:r>
      <w:r w:rsidR="00DC537F" w:rsidRPr="00B217DC">
        <w:rPr>
          <w:rFonts w:cs="Arial"/>
          <w:color w:val="auto"/>
          <w:sz w:val="20"/>
          <w:szCs w:val="20"/>
        </w:rPr>
        <w:t>epartment.</w:t>
      </w:r>
    </w:p>
    <w:p w:rsidR="00300FD3" w:rsidRPr="00B217DC" w:rsidRDefault="00300FD3" w:rsidP="00B217DC">
      <w:pPr>
        <w:pStyle w:val="ListParagraph"/>
        <w:numPr>
          <w:ilvl w:val="0"/>
          <w:numId w:val="47"/>
        </w:numPr>
        <w:rPr>
          <w:rFonts w:cs="Arial"/>
          <w:color w:val="auto"/>
          <w:sz w:val="20"/>
          <w:szCs w:val="20"/>
        </w:rPr>
      </w:pPr>
      <w:r w:rsidRPr="00B217DC">
        <w:rPr>
          <w:rFonts w:cs="Arial"/>
          <w:b/>
          <w:color w:val="auto"/>
          <w:sz w:val="20"/>
          <w:szCs w:val="20"/>
        </w:rPr>
        <w:t>Financial Management</w:t>
      </w:r>
      <w:r w:rsidRPr="00B217DC">
        <w:rPr>
          <w:rFonts w:cs="Arial"/>
          <w:color w:val="auto"/>
          <w:sz w:val="20"/>
          <w:szCs w:val="20"/>
        </w:rPr>
        <w:t xml:space="preserve">: </w:t>
      </w:r>
      <w:r w:rsidR="00566619" w:rsidRPr="00B217DC">
        <w:rPr>
          <w:rFonts w:cs="Arial"/>
          <w:color w:val="auto"/>
          <w:sz w:val="20"/>
          <w:szCs w:val="20"/>
        </w:rPr>
        <w:t xml:space="preserve">The purpose of this sub-programme is to </w:t>
      </w:r>
      <w:r w:rsidRPr="00B217DC">
        <w:rPr>
          <w:rFonts w:cs="Arial"/>
          <w:color w:val="auto"/>
          <w:sz w:val="20"/>
          <w:szCs w:val="20"/>
        </w:rPr>
        <w:t>provide and ensure effective, efficient financial management and</w:t>
      </w:r>
      <w:r w:rsidR="00857A57" w:rsidRPr="00B217DC">
        <w:rPr>
          <w:rFonts w:cs="Arial"/>
          <w:color w:val="auto"/>
          <w:sz w:val="20"/>
          <w:szCs w:val="20"/>
        </w:rPr>
        <w:t xml:space="preserve"> </w:t>
      </w:r>
      <w:r w:rsidRPr="00B217DC">
        <w:rPr>
          <w:rFonts w:cs="Arial"/>
          <w:color w:val="auto"/>
          <w:sz w:val="20"/>
          <w:szCs w:val="20"/>
        </w:rPr>
        <w:t>supply chain services. This includes budget planning and expenditure monitoring; and the management of procurement, acquisition, logistics, asset, and financial transactions.</w:t>
      </w:r>
    </w:p>
    <w:p w:rsidR="00300FD3" w:rsidRPr="00B217DC" w:rsidRDefault="00300FD3" w:rsidP="00B217DC">
      <w:pPr>
        <w:pStyle w:val="ListParagraph"/>
        <w:numPr>
          <w:ilvl w:val="0"/>
          <w:numId w:val="47"/>
        </w:numPr>
        <w:rPr>
          <w:rFonts w:cs="Arial"/>
          <w:color w:val="auto"/>
          <w:sz w:val="20"/>
          <w:szCs w:val="20"/>
        </w:rPr>
      </w:pPr>
      <w:r w:rsidRPr="00B217DC">
        <w:rPr>
          <w:rFonts w:cs="Arial"/>
          <w:b/>
          <w:color w:val="auto"/>
          <w:sz w:val="20"/>
          <w:szCs w:val="20"/>
        </w:rPr>
        <w:t>Corporate Management</w:t>
      </w:r>
      <w:r w:rsidRPr="00B217DC">
        <w:rPr>
          <w:rFonts w:cs="Arial"/>
          <w:color w:val="auto"/>
          <w:sz w:val="20"/>
          <w:szCs w:val="20"/>
        </w:rPr>
        <w:t xml:space="preserve">: </w:t>
      </w:r>
      <w:r w:rsidR="00566619" w:rsidRPr="00B217DC">
        <w:rPr>
          <w:rFonts w:cs="Arial"/>
          <w:color w:val="auto"/>
          <w:sz w:val="20"/>
          <w:szCs w:val="20"/>
        </w:rPr>
        <w:t>The purpose of this sub-programme is to</w:t>
      </w:r>
      <w:r w:rsidRPr="00B217DC">
        <w:rPr>
          <w:rFonts w:cs="Arial"/>
          <w:color w:val="auto"/>
          <w:sz w:val="20"/>
          <w:szCs w:val="20"/>
        </w:rPr>
        <w:t xml:space="preserve"> provide effective human capital management, facilities and auxiliary management and ICT systems enablers for the </w:t>
      </w:r>
      <w:r w:rsidR="00857A57" w:rsidRPr="00B217DC">
        <w:rPr>
          <w:rFonts w:cs="Arial"/>
          <w:color w:val="auto"/>
          <w:sz w:val="20"/>
          <w:szCs w:val="20"/>
        </w:rPr>
        <w:t>Department</w:t>
      </w:r>
      <w:r w:rsidRPr="00B217DC">
        <w:rPr>
          <w:rFonts w:cs="Arial"/>
          <w:color w:val="auto"/>
          <w:sz w:val="20"/>
          <w:szCs w:val="20"/>
        </w:rPr>
        <w:t>.</w:t>
      </w:r>
    </w:p>
    <w:p w:rsidR="00300FD3" w:rsidRPr="00B217DC" w:rsidRDefault="00300FD3" w:rsidP="00B217DC">
      <w:pPr>
        <w:rPr>
          <w:rFonts w:cs="Arial"/>
          <w:b/>
          <w:bCs/>
          <w:color w:val="auto"/>
          <w:sz w:val="20"/>
          <w:szCs w:val="20"/>
        </w:rPr>
      </w:pPr>
    </w:p>
    <w:p w:rsidR="00097EF3" w:rsidRPr="00B217DC" w:rsidRDefault="00097EF3" w:rsidP="00B217DC">
      <w:pPr>
        <w:shd w:val="clear" w:color="auto" w:fill="FFFFFF" w:themeFill="background1"/>
        <w:contextualSpacing/>
        <w:rPr>
          <w:rFonts w:cs="Arial"/>
          <w:color w:val="auto"/>
          <w:sz w:val="20"/>
          <w:szCs w:val="20"/>
          <w:shd w:val="clear" w:color="auto" w:fill="FFFFFF"/>
        </w:rPr>
      </w:pPr>
      <w:r w:rsidRPr="00B217DC">
        <w:rPr>
          <w:rFonts w:cs="Arial"/>
          <w:color w:val="auto"/>
          <w:sz w:val="20"/>
          <w:szCs w:val="20"/>
          <w:shd w:val="clear" w:color="auto" w:fill="FFFFFF"/>
        </w:rPr>
        <w:t xml:space="preserve">This programme planned to achieve </w:t>
      </w:r>
      <w:r w:rsidR="00C15BE3" w:rsidRPr="00B217DC">
        <w:rPr>
          <w:rFonts w:cs="Arial"/>
          <w:color w:val="auto"/>
          <w:sz w:val="20"/>
          <w:szCs w:val="20"/>
          <w:shd w:val="clear" w:color="auto" w:fill="FFFFFF"/>
        </w:rPr>
        <w:t>6</w:t>
      </w:r>
      <w:r w:rsidRPr="00B217DC">
        <w:rPr>
          <w:rFonts w:cs="Arial"/>
          <w:color w:val="auto"/>
          <w:sz w:val="20"/>
          <w:szCs w:val="20"/>
          <w:shd w:val="clear" w:color="auto" w:fill="FFFFFF"/>
        </w:rPr>
        <w:t xml:space="preserve"> targets of which </w:t>
      </w:r>
      <w:r w:rsidR="00C15BE3" w:rsidRPr="00B217DC">
        <w:rPr>
          <w:rFonts w:cs="Arial"/>
          <w:color w:val="auto"/>
          <w:sz w:val="20"/>
          <w:szCs w:val="20"/>
          <w:shd w:val="clear" w:color="auto" w:fill="FFFFFF"/>
        </w:rPr>
        <w:t>4</w:t>
      </w:r>
      <w:r w:rsidRPr="00B217DC">
        <w:rPr>
          <w:rFonts w:cs="Arial"/>
          <w:color w:val="auto"/>
          <w:sz w:val="20"/>
          <w:szCs w:val="20"/>
          <w:shd w:val="clear" w:color="auto" w:fill="FFFFFF"/>
        </w:rPr>
        <w:t xml:space="preserve"> </w:t>
      </w:r>
      <w:r w:rsidR="00982E2C" w:rsidRPr="00B217DC">
        <w:rPr>
          <w:rFonts w:cs="Arial"/>
          <w:color w:val="auto"/>
          <w:sz w:val="20"/>
          <w:szCs w:val="20"/>
          <w:shd w:val="clear" w:color="auto" w:fill="FFFFFF"/>
        </w:rPr>
        <w:t>(</w:t>
      </w:r>
      <w:r w:rsidR="00C15BE3" w:rsidRPr="00B217DC">
        <w:rPr>
          <w:rFonts w:cs="Arial"/>
          <w:color w:val="auto"/>
          <w:sz w:val="20"/>
          <w:szCs w:val="20"/>
          <w:shd w:val="clear" w:color="auto" w:fill="FFFFFF"/>
        </w:rPr>
        <w:t>66.7</w:t>
      </w:r>
      <w:r w:rsidRPr="00B217DC">
        <w:rPr>
          <w:rFonts w:cs="Arial"/>
          <w:color w:val="auto"/>
          <w:sz w:val="20"/>
          <w:szCs w:val="20"/>
          <w:shd w:val="clear" w:color="auto" w:fill="FFFFFF"/>
        </w:rPr>
        <w:t xml:space="preserve">%) were achieved and </w:t>
      </w:r>
      <w:r w:rsidR="00C15BE3" w:rsidRPr="00B217DC">
        <w:rPr>
          <w:rFonts w:cs="Arial"/>
          <w:color w:val="auto"/>
          <w:sz w:val="20"/>
          <w:szCs w:val="20"/>
          <w:shd w:val="clear" w:color="auto" w:fill="FFFFFF"/>
        </w:rPr>
        <w:t>2 targets</w:t>
      </w:r>
      <w:r w:rsidRPr="00B217DC">
        <w:rPr>
          <w:rFonts w:cs="Arial"/>
          <w:color w:val="auto"/>
          <w:sz w:val="20"/>
          <w:szCs w:val="20"/>
          <w:shd w:val="clear" w:color="auto" w:fill="FFFFFF"/>
        </w:rPr>
        <w:t xml:space="preserve"> were not achieved</w:t>
      </w:r>
      <w:r w:rsidR="002D0EBD" w:rsidRPr="00B217DC">
        <w:rPr>
          <w:rFonts w:cs="Arial"/>
          <w:color w:val="auto"/>
          <w:sz w:val="20"/>
          <w:szCs w:val="20"/>
          <w:shd w:val="clear" w:color="auto" w:fill="FFFFFF"/>
        </w:rPr>
        <w:t xml:space="preserve"> as reflected in the Annual Report</w:t>
      </w:r>
      <w:r w:rsidRPr="00B217DC">
        <w:rPr>
          <w:rFonts w:cs="Arial"/>
          <w:color w:val="auto"/>
          <w:sz w:val="20"/>
          <w:szCs w:val="20"/>
          <w:shd w:val="clear" w:color="auto" w:fill="FFFFFF"/>
        </w:rPr>
        <w:t xml:space="preserve">. </w:t>
      </w:r>
      <w:r w:rsidR="00A94BEA" w:rsidRPr="00B217DC">
        <w:rPr>
          <w:rFonts w:cs="Arial"/>
          <w:color w:val="auto"/>
          <w:sz w:val="20"/>
          <w:szCs w:val="20"/>
          <w:shd w:val="clear" w:color="auto" w:fill="FFFFFF"/>
        </w:rPr>
        <w:t xml:space="preserve">The </w:t>
      </w:r>
      <w:r w:rsidR="00C15BE3" w:rsidRPr="00B217DC">
        <w:rPr>
          <w:rFonts w:cs="Arial"/>
          <w:color w:val="auto"/>
          <w:sz w:val="20"/>
          <w:szCs w:val="20"/>
          <w:shd w:val="clear" w:color="auto" w:fill="FFFFFF"/>
        </w:rPr>
        <w:t>2</w:t>
      </w:r>
      <w:r w:rsidR="00A94BEA" w:rsidRPr="00B217DC">
        <w:rPr>
          <w:rFonts w:cs="Arial"/>
          <w:color w:val="auto"/>
          <w:sz w:val="20"/>
          <w:szCs w:val="20"/>
          <w:shd w:val="clear" w:color="auto" w:fill="FFFFFF"/>
        </w:rPr>
        <w:t xml:space="preserve"> targets not achieved related to</w:t>
      </w:r>
    </w:p>
    <w:p w:rsidR="00A94BEA" w:rsidRPr="00B217DC" w:rsidRDefault="00A94BEA" w:rsidP="00B217DC">
      <w:pPr>
        <w:shd w:val="clear" w:color="auto" w:fill="FFFFFF" w:themeFill="background1"/>
        <w:contextualSpacing/>
        <w:rPr>
          <w:rFonts w:cs="Arial"/>
          <w:color w:val="auto"/>
          <w:sz w:val="20"/>
          <w:szCs w:val="20"/>
          <w:shd w:val="clear" w:color="auto" w:fill="FFFFFF"/>
        </w:rPr>
      </w:pPr>
    </w:p>
    <w:p w:rsidR="00C15BE3" w:rsidRPr="00B217DC" w:rsidRDefault="00C15BE3" w:rsidP="00B217DC">
      <w:pPr>
        <w:pStyle w:val="ListParagraph"/>
        <w:numPr>
          <w:ilvl w:val="0"/>
          <w:numId w:val="88"/>
        </w:numPr>
        <w:shd w:val="clear" w:color="auto" w:fill="FFFFFF" w:themeFill="background1"/>
        <w:rPr>
          <w:rFonts w:cs="Arial"/>
          <w:color w:val="auto"/>
          <w:sz w:val="20"/>
          <w:szCs w:val="20"/>
          <w:shd w:val="clear" w:color="auto" w:fill="FFFFFF"/>
        </w:rPr>
      </w:pPr>
      <w:r w:rsidRPr="00B217DC">
        <w:rPr>
          <w:rFonts w:cs="Arial"/>
          <w:color w:val="auto"/>
          <w:sz w:val="20"/>
          <w:szCs w:val="20"/>
          <w:shd w:val="clear" w:color="auto" w:fill="FFFFFF"/>
        </w:rPr>
        <w:t>100% payment of all valid invoices within 30 days</w:t>
      </w:r>
    </w:p>
    <w:p w:rsidR="002D0EBD" w:rsidRPr="00B217DC" w:rsidRDefault="00C15BE3" w:rsidP="00B217DC">
      <w:pPr>
        <w:pStyle w:val="ListParagraph"/>
        <w:numPr>
          <w:ilvl w:val="0"/>
          <w:numId w:val="88"/>
        </w:numPr>
        <w:shd w:val="clear" w:color="auto" w:fill="FFFFFF" w:themeFill="background1"/>
        <w:rPr>
          <w:rFonts w:cs="Arial"/>
          <w:color w:val="auto"/>
          <w:sz w:val="20"/>
          <w:szCs w:val="20"/>
          <w:shd w:val="clear" w:color="auto" w:fill="FFFFFF"/>
        </w:rPr>
      </w:pPr>
      <w:r w:rsidRPr="00B217DC">
        <w:rPr>
          <w:rFonts w:cs="Arial"/>
          <w:color w:val="auto"/>
          <w:sz w:val="20"/>
          <w:szCs w:val="20"/>
          <w:shd w:val="clear" w:color="auto" w:fill="FFFFFF"/>
        </w:rPr>
        <w:t>Master Information Technology Strategy and Plan</w:t>
      </w:r>
    </w:p>
    <w:p w:rsidR="00982E2C" w:rsidRPr="00B217DC" w:rsidRDefault="00982E2C" w:rsidP="00B217DC">
      <w:pPr>
        <w:ind w:firstLine="720"/>
        <w:rPr>
          <w:rFonts w:cs="Arial"/>
          <w:color w:val="auto"/>
          <w:sz w:val="20"/>
          <w:szCs w:val="20"/>
          <w:lang w:val="en-GB"/>
        </w:rPr>
      </w:pPr>
    </w:p>
    <w:p w:rsidR="00A74CC2" w:rsidRPr="00B217DC" w:rsidRDefault="00170BD2" w:rsidP="00B217DC">
      <w:pPr>
        <w:rPr>
          <w:rFonts w:cs="Arial"/>
          <w:color w:val="auto"/>
          <w:sz w:val="20"/>
          <w:szCs w:val="20"/>
          <w:shd w:val="clear" w:color="auto" w:fill="FFFFFF"/>
        </w:rPr>
      </w:pPr>
      <w:r w:rsidRPr="00B217DC">
        <w:rPr>
          <w:rFonts w:cs="Arial"/>
          <w:color w:val="auto"/>
          <w:sz w:val="20"/>
          <w:szCs w:val="20"/>
          <w:lang w:val="en-GB"/>
        </w:rPr>
        <w:t xml:space="preserve">The total allocation for this programme </w:t>
      </w:r>
      <w:r w:rsidR="00CA1D7E" w:rsidRPr="00B217DC">
        <w:rPr>
          <w:rFonts w:cs="Arial"/>
          <w:color w:val="auto"/>
          <w:sz w:val="20"/>
          <w:szCs w:val="20"/>
          <w:lang w:val="en-GB"/>
        </w:rPr>
        <w:t>wa</w:t>
      </w:r>
      <w:r w:rsidRPr="00B217DC">
        <w:rPr>
          <w:rFonts w:cs="Arial"/>
          <w:color w:val="auto"/>
          <w:sz w:val="20"/>
          <w:szCs w:val="20"/>
          <w:lang w:val="en-GB"/>
        </w:rPr>
        <w:t>s R</w:t>
      </w:r>
      <w:r w:rsidR="007D2AB0" w:rsidRPr="00B217DC">
        <w:rPr>
          <w:rFonts w:cs="Arial"/>
          <w:color w:val="auto"/>
          <w:sz w:val="20"/>
          <w:szCs w:val="20"/>
          <w:lang w:val="en-GB"/>
        </w:rPr>
        <w:t>98</w:t>
      </w:r>
      <w:r w:rsidR="00F13053" w:rsidRPr="00B217DC">
        <w:rPr>
          <w:rFonts w:cs="Arial"/>
          <w:color w:val="auto"/>
          <w:sz w:val="20"/>
          <w:szCs w:val="20"/>
          <w:lang w:val="en-GB"/>
        </w:rPr>
        <w:t xml:space="preserve"> million as per the initial Estimates of National Expenditure (ENE) 20</w:t>
      </w:r>
      <w:r w:rsidR="00F8104F" w:rsidRPr="00B217DC">
        <w:rPr>
          <w:rFonts w:cs="Arial"/>
          <w:color w:val="auto"/>
          <w:sz w:val="20"/>
          <w:szCs w:val="20"/>
          <w:lang w:val="en-GB"/>
        </w:rPr>
        <w:t>2</w:t>
      </w:r>
      <w:r w:rsidR="00982E2C" w:rsidRPr="00B217DC">
        <w:rPr>
          <w:rFonts w:cs="Arial"/>
          <w:color w:val="auto"/>
          <w:sz w:val="20"/>
          <w:szCs w:val="20"/>
          <w:lang w:val="en-GB"/>
        </w:rPr>
        <w:t>1</w:t>
      </w:r>
      <w:r w:rsidR="00F8104F" w:rsidRPr="00B217DC">
        <w:rPr>
          <w:rFonts w:cs="Arial"/>
          <w:color w:val="auto"/>
          <w:sz w:val="20"/>
          <w:szCs w:val="20"/>
          <w:lang w:val="en-GB"/>
        </w:rPr>
        <w:t>. The programme saw a significant increase to a final appropriation of R</w:t>
      </w:r>
      <w:r w:rsidR="007D2AB0" w:rsidRPr="00B217DC">
        <w:rPr>
          <w:rFonts w:cs="Arial"/>
          <w:color w:val="auto"/>
          <w:sz w:val="20"/>
          <w:szCs w:val="20"/>
          <w:lang w:val="en-GB"/>
        </w:rPr>
        <w:t>111,</w:t>
      </w:r>
      <w:r w:rsidR="00AB4941" w:rsidRPr="00B217DC">
        <w:rPr>
          <w:rFonts w:cs="Arial"/>
          <w:color w:val="auto"/>
          <w:sz w:val="20"/>
          <w:szCs w:val="20"/>
          <w:lang w:val="en-GB"/>
        </w:rPr>
        <w:t>9</w:t>
      </w:r>
      <w:r w:rsidR="007D2AB0" w:rsidRPr="00B217DC">
        <w:rPr>
          <w:rFonts w:cs="Arial"/>
          <w:color w:val="auto"/>
          <w:sz w:val="20"/>
          <w:szCs w:val="20"/>
          <w:lang w:val="en-GB"/>
        </w:rPr>
        <w:t>0</w:t>
      </w:r>
      <w:r w:rsidR="00AB4941" w:rsidRPr="00B217DC">
        <w:rPr>
          <w:rFonts w:cs="Arial"/>
          <w:color w:val="auto"/>
          <w:sz w:val="20"/>
          <w:szCs w:val="20"/>
          <w:lang w:val="en-GB"/>
        </w:rPr>
        <w:t>9</w:t>
      </w:r>
      <w:r w:rsidR="00F8104F" w:rsidRPr="00B217DC">
        <w:rPr>
          <w:rFonts w:cs="Arial"/>
          <w:color w:val="auto"/>
          <w:sz w:val="20"/>
          <w:szCs w:val="20"/>
          <w:lang w:val="en-GB"/>
        </w:rPr>
        <w:t xml:space="preserve"> million</w:t>
      </w:r>
      <w:r w:rsidRPr="00B217DC">
        <w:rPr>
          <w:rFonts w:cs="Arial"/>
          <w:color w:val="auto"/>
          <w:sz w:val="20"/>
          <w:szCs w:val="20"/>
          <w:lang w:val="en-GB"/>
        </w:rPr>
        <w:t xml:space="preserve">. </w:t>
      </w:r>
      <w:r w:rsidR="00333EB4" w:rsidRPr="00B217DC">
        <w:rPr>
          <w:rFonts w:cs="Arial"/>
          <w:color w:val="auto"/>
          <w:sz w:val="20"/>
          <w:szCs w:val="20"/>
          <w:lang w:val="en-GB"/>
        </w:rPr>
        <w:t>Thus</w:t>
      </w:r>
      <w:r w:rsidR="00097EF3" w:rsidRPr="00B217DC">
        <w:rPr>
          <w:rFonts w:cs="Arial"/>
          <w:color w:val="auto"/>
          <w:sz w:val="20"/>
          <w:szCs w:val="20"/>
          <w:shd w:val="clear" w:color="auto" w:fill="FFFFFF"/>
        </w:rPr>
        <w:t xml:space="preserve"> an </w:t>
      </w:r>
      <w:r w:rsidR="00C71D68" w:rsidRPr="00B217DC">
        <w:rPr>
          <w:rFonts w:cs="Arial"/>
          <w:bCs/>
          <w:color w:val="auto"/>
          <w:sz w:val="20"/>
          <w:szCs w:val="20"/>
          <w:shd w:val="clear" w:color="auto" w:fill="FFFFFF"/>
        </w:rPr>
        <w:t xml:space="preserve">increase of </w:t>
      </w:r>
      <w:r w:rsidR="00AB4941" w:rsidRPr="00B217DC">
        <w:rPr>
          <w:rFonts w:cs="Arial"/>
          <w:bCs/>
          <w:color w:val="auto"/>
          <w:sz w:val="20"/>
          <w:szCs w:val="20"/>
          <w:shd w:val="clear" w:color="auto" w:fill="FFFFFF"/>
        </w:rPr>
        <w:t xml:space="preserve">nearly </w:t>
      </w:r>
      <w:r w:rsidR="00C71D68" w:rsidRPr="00B217DC">
        <w:rPr>
          <w:rFonts w:cs="Arial"/>
          <w:bCs/>
          <w:color w:val="auto"/>
          <w:sz w:val="20"/>
          <w:szCs w:val="20"/>
          <w:shd w:val="clear" w:color="auto" w:fill="FFFFFF"/>
        </w:rPr>
        <w:t>R</w:t>
      </w:r>
      <w:r w:rsidR="00C15BE3" w:rsidRPr="00B217DC">
        <w:rPr>
          <w:rFonts w:cs="Arial"/>
          <w:bCs/>
          <w:color w:val="auto"/>
          <w:sz w:val="20"/>
          <w:szCs w:val="20"/>
          <w:shd w:val="clear" w:color="auto" w:fill="FFFFFF"/>
        </w:rPr>
        <w:t>1</w:t>
      </w:r>
      <w:r w:rsidR="00AB4941" w:rsidRPr="00B217DC">
        <w:rPr>
          <w:rFonts w:cs="Arial"/>
          <w:bCs/>
          <w:color w:val="auto"/>
          <w:sz w:val="20"/>
          <w:szCs w:val="20"/>
          <w:shd w:val="clear" w:color="auto" w:fill="FFFFFF"/>
        </w:rPr>
        <w:t>4</w:t>
      </w:r>
      <w:r w:rsidR="00097EF3" w:rsidRPr="00B217DC">
        <w:rPr>
          <w:rFonts w:cs="Arial"/>
          <w:bCs/>
          <w:color w:val="auto"/>
          <w:sz w:val="20"/>
          <w:szCs w:val="20"/>
          <w:shd w:val="clear" w:color="auto" w:fill="FFFFFF"/>
        </w:rPr>
        <w:t xml:space="preserve"> million</w:t>
      </w:r>
      <w:r w:rsidR="00333EB4" w:rsidRPr="00B217DC">
        <w:rPr>
          <w:rFonts w:cs="Arial"/>
          <w:bCs/>
          <w:color w:val="auto"/>
          <w:sz w:val="20"/>
          <w:szCs w:val="20"/>
          <w:shd w:val="clear" w:color="auto" w:fill="FFFFFF"/>
        </w:rPr>
        <w:t xml:space="preserve"> from its initial budget to final appropriation</w:t>
      </w:r>
      <w:r w:rsidR="00097EF3" w:rsidRPr="00B217DC">
        <w:rPr>
          <w:rFonts w:cs="Arial"/>
          <w:bCs/>
          <w:color w:val="auto"/>
          <w:sz w:val="20"/>
          <w:szCs w:val="20"/>
          <w:shd w:val="clear" w:color="auto" w:fill="FFFFFF"/>
        </w:rPr>
        <w:t xml:space="preserve">. </w:t>
      </w:r>
      <w:r w:rsidR="00782A5C" w:rsidRPr="00B217DC">
        <w:rPr>
          <w:rFonts w:cs="Arial"/>
          <w:bCs/>
          <w:color w:val="auto"/>
          <w:sz w:val="20"/>
          <w:szCs w:val="20"/>
          <w:shd w:val="clear" w:color="auto" w:fill="FFFFFF"/>
        </w:rPr>
        <w:t>A virement of R1,662 million for CoE was recorded in addition to R193 000 for Goods and Services. This</w:t>
      </w:r>
      <w:r w:rsidR="00CA1D7E" w:rsidRPr="00B217DC">
        <w:rPr>
          <w:rFonts w:cs="Arial"/>
          <w:color w:val="auto"/>
          <w:sz w:val="20"/>
          <w:szCs w:val="20"/>
          <w:lang w:val="en-GB"/>
        </w:rPr>
        <w:t xml:space="preserve"> programme</w:t>
      </w:r>
      <w:r w:rsidRPr="00B217DC">
        <w:rPr>
          <w:rFonts w:cs="Arial"/>
          <w:color w:val="auto"/>
          <w:sz w:val="20"/>
          <w:szCs w:val="20"/>
          <w:lang w:val="en-GB"/>
        </w:rPr>
        <w:t xml:space="preserve"> still consume</w:t>
      </w:r>
      <w:r w:rsidR="00F13053" w:rsidRPr="00B217DC">
        <w:rPr>
          <w:rFonts w:cs="Arial"/>
          <w:color w:val="auto"/>
          <w:sz w:val="20"/>
          <w:szCs w:val="20"/>
          <w:lang w:val="en-GB"/>
        </w:rPr>
        <w:t>d</w:t>
      </w:r>
      <w:r w:rsidRPr="00B217DC">
        <w:rPr>
          <w:rFonts w:cs="Arial"/>
          <w:color w:val="auto"/>
          <w:sz w:val="20"/>
          <w:szCs w:val="20"/>
          <w:lang w:val="en-GB"/>
        </w:rPr>
        <w:t xml:space="preserve"> the highest proportion </w:t>
      </w:r>
      <w:r w:rsidR="00333EB4" w:rsidRPr="00B217DC">
        <w:rPr>
          <w:rFonts w:cs="Arial"/>
          <w:color w:val="auto"/>
          <w:sz w:val="20"/>
          <w:szCs w:val="20"/>
          <w:lang w:val="en-GB"/>
        </w:rPr>
        <w:t>(</w:t>
      </w:r>
      <w:r w:rsidR="007D2AB0" w:rsidRPr="00B217DC">
        <w:rPr>
          <w:rFonts w:cs="Arial"/>
          <w:color w:val="auto"/>
          <w:sz w:val="20"/>
          <w:szCs w:val="20"/>
          <w:lang w:val="en-GB"/>
        </w:rPr>
        <w:t>55</w:t>
      </w:r>
      <w:r w:rsidR="00333EB4" w:rsidRPr="00B217DC">
        <w:rPr>
          <w:rFonts w:cs="Arial"/>
          <w:color w:val="auto"/>
          <w:sz w:val="20"/>
          <w:szCs w:val="20"/>
          <w:lang w:val="en-GB"/>
        </w:rPr>
        <w:t xml:space="preserve">%) </w:t>
      </w:r>
      <w:r w:rsidRPr="00B217DC">
        <w:rPr>
          <w:rFonts w:cs="Arial"/>
          <w:color w:val="auto"/>
          <w:sz w:val="20"/>
          <w:szCs w:val="20"/>
          <w:lang w:val="en-GB"/>
        </w:rPr>
        <w:t xml:space="preserve">of the Department’s </w:t>
      </w:r>
      <w:r w:rsidR="00333EB4" w:rsidRPr="00B217DC">
        <w:rPr>
          <w:rFonts w:cs="Arial"/>
          <w:color w:val="auto"/>
          <w:sz w:val="20"/>
          <w:szCs w:val="20"/>
          <w:lang w:val="en-GB"/>
        </w:rPr>
        <w:t xml:space="preserve">operational </w:t>
      </w:r>
      <w:r w:rsidRPr="00B217DC">
        <w:rPr>
          <w:rFonts w:cs="Arial"/>
          <w:color w:val="auto"/>
          <w:sz w:val="20"/>
          <w:szCs w:val="20"/>
          <w:lang w:val="en-GB"/>
        </w:rPr>
        <w:t>budget</w:t>
      </w:r>
      <w:r w:rsidR="00F13053" w:rsidRPr="00B217DC">
        <w:rPr>
          <w:rFonts w:cs="Arial"/>
          <w:color w:val="auto"/>
          <w:sz w:val="20"/>
          <w:szCs w:val="20"/>
          <w:lang w:val="en-GB"/>
        </w:rPr>
        <w:t xml:space="preserve"> in </w:t>
      </w:r>
      <w:r w:rsidR="00F8104F" w:rsidRPr="00B217DC">
        <w:rPr>
          <w:rFonts w:cs="Arial"/>
          <w:color w:val="auto"/>
          <w:sz w:val="20"/>
          <w:szCs w:val="20"/>
          <w:lang w:val="en-GB"/>
        </w:rPr>
        <w:t>202</w:t>
      </w:r>
      <w:r w:rsidR="00982E2C" w:rsidRPr="00B217DC">
        <w:rPr>
          <w:rFonts w:cs="Arial"/>
          <w:color w:val="auto"/>
          <w:sz w:val="20"/>
          <w:szCs w:val="20"/>
          <w:lang w:val="en-GB"/>
        </w:rPr>
        <w:t>1/22</w:t>
      </w:r>
      <w:r w:rsidRPr="00B217DC">
        <w:rPr>
          <w:rFonts w:cs="Arial"/>
          <w:color w:val="auto"/>
          <w:sz w:val="20"/>
          <w:szCs w:val="20"/>
          <w:lang w:val="en-GB"/>
        </w:rPr>
        <w:t xml:space="preserve">. </w:t>
      </w:r>
      <w:r w:rsidR="00C71D68" w:rsidRPr="00B217DC">
        <w:rPr>
          <w:rFonts w:cs="Arial"/>
          <w:color w:val="auto"/>
          <w:sz w:val="20"/>
          <w:szCs w:val="20"/>
          <w:lang w:val="en-GB"/>
        </w:rPr>
        <w:t>The actual expenditure was R</w:t>
      </w:r>
      <w:r w:rsidR="007D2AB0" w:rsidRPr="00B217DC">
        <w:rPr>
          <w:rFonts w:cs="Arial"/>
          <w:color w:val="auto"/>
          <w:sz w:val="20"/>
          <w:szCs w:val="20"/>
          <w:lang w:val="en-GB"/>
        </w:rPr>
        <w:t>103,486</w:t>
      </w:r>
      <w:r w:rsidR="00F13053" w:rsidRPr="00B217DC">
        <w:rPr>
          <w:rFonts w:cs="Arial"/>
          <w:color w:val="auto"/>
          <w:sz w:val="20"/>
          <w:szCs w:val="20"/>
          <w:lang w:val="en-GB"/>
        </w:rPr>
        <w:t xml:space="preserve"> million</w:t>
      </w:r>
      <w:r w:rsidR="007D2AB0" w:rsidRPr="00B217DC">
        <w:rPr>
          <w:rFonts w:cs="Arial"/>
          <w:color w:val="auto"/>
          <w:sz w:val="20"/>
          <w:szCs w:val="20"/>
          <w:lang w:val="en-GB"/>
        </w:rPr>
        <w:t xml:space="preserve"> which amounts to 60.1% of the </w:t>
      </w:r>
      <w:r w:rsidR="00B8284F" w:rsidRPr="00B217DC">
        <w:rPr>
          <w:rFonts w:cs="Arial"/>
          <w:color w:val="auto"/>
          <w:sz w:val="20"/>
          <w:szCs w:val="20"/>
          <w:lang w:val="en-GB"/>
        </w:rPr>
        <w:t xml:space="preserve">total </w:t>
      </w:r>
      <w:r w:rsidR="007D2AB0" w:rsidRPr="00B217DC">
        <w:rPr>
          <w:rFonts w:cs="Arial"/>
          <w:color w:val="auto"/>
          <w:sz w:val="20"/>
          <w:szCs w:val="20"/>
          <w:lang w:val="en-GB"/>
        </w:rPr>
        <w:t xml:space="preserve">operational </w:t>
      </w:r>
      <w:r w:rsidR="00B8284F" w:rsidRPr="00B217DC">
        <w:rPr>
          <w:rFonts w:cs="Arial"/>
          <w:color w:val="auto"/>
          <w:sz w:val="20"/>
          <w:szCs w:val="20"/>
          <w:lang w:val="en-GB"/>
        </w:rPr>
        <w:t>expenditure</w:t>
      </w:r>
      <w:r w:rsidR="0028251D" w:rsidRPr="00B217DC">
        <w:rPr>
          <w:rFonts w:cs="Arial"/>
          <w:color w:val="auto"/>
          <w:sz w:val="20"/>
          <w:szCs w:val="20"/>
          <w:lang w:val="en-GB"/>
        </w:rPr>
        <w:t xml:space="preserve"> and 92.4% of the total programme budget</w:t>
      </w:r>
      <w:r w:rsidR="00B8284F" w:rsidRPr="00B217DC">
        <w:rPr>
          <w:rFonts w:cs="Arial"/>
          <w:color w:val="auto"/>
          <w:sz w:val="20"/>
          <w:szCs w:val="20"/>
          <w:lang w:val="en-GB"/>
        </w:rPr>
        <w:t>. An</w:t>
      </w:r>
      <w:r w:rsidR="00C71D68" w:rsidRPr="00B217DC">
        <w:rPr>
          <w:rFonts w:cs="Arial"/>
          <w:color w:val="auto"/>
          <w:sz w:val="20"/>
          <w:szCs w:val="20"/>
          <w:lang w:val="en-GB"/>
        </w:rPr>
        <w:t xml:space="preserve"> </w:t>
      </w:r>
      <w:r w:rsidR="00333EB4" w:rsidRPr="00B217DC">
        <w:rPr>
          <w:rFonts w:cs="Arial"/>
          <w:color w:val="auto"/>
          <w:sz w:val="20"/>
          <w:szCs w:val="20"/>
          <w:lang w:val="en-GB"/>
        </w:rPr>
        <w:t>under</w:t>
      </w:r>
      <w:r w:rsidR="00C71D68" w:rsidRPr="00B217DC">
        <w:rPr>
          <w:rFonts w:cs="Arial"/>
          <w:color w:val="auto"/>
          <w:sz w:val="20"/>
          <w:szCs w:val="20"/>
          <w:lang w:val="en-GB"/>
        </w:rPr>
        <w:t>-expenditure of R</w:t>
      </w:r>
      <w:r w:rsidR="007D2AB0" w:rsidRPr="00B217DC">
        <w:rPr>
          <w:rFonts w:cs="Arial"/>
          <w:color w:val="auto"/>
          <w:sz w:val="20"/>
          <w:szCs w:val="20"/>
          <w:lang w:val="en-GB"/>
        </w:rPr>
        <w:t>8.423</w:t>
      </w:r>
      <w:r w:rsidR="00097EF3" w:rsidRPr="00B217DC">
        <w:rPr>
          <w:rFonts w:cs="Arial"/>
          <w:color w:val="auto"/>
          <w:sz w:val="20"/>
          <w:szCs w:val="20"/>
          <w:lang w:val="en-GB"/>
        </w:rPr>
        <w:t xml:space="preserve"> million</w:t>
      </w:r>
      <w:r w:rsidR="00097EF3" w:rsidRPr="00B217DC">
        <w:rPr>
          <w:rFonts w:cs="Arial"/>
          <w:color w:val="auto"/>
          <w:sz w:val="20"/>
          <w:szCs w:val="20"/>
        </w:rPr>
        <w:t xml:space="preserve"> was recorded.</w:t>
      </w:r>
      <w:r w:rsidR="00A74CC2" w:rsidRPr="00B217DC">
        <w:rPr>
          <w:rFonts w:cs="Arial"/>
          <w:color w:val="auto"/>
          <w:sz w:val="20"/>
          <w:szCs w:val="20"/>
        </w:rPr>
        <w:t xml:space="preserve"> </w:t>
      </w:r>
    </w:p>
    <w:p w:rsidR="00097EF3" w:rsidRPr="00B217DC" w:rsidRDefault="00097EF3" w:rsidP="00B217DC">
      <w:pPr>
        <w:rPr>
          <w:rFonts w:cs="Arial"/>
          <w:color w:val="auto"/>
          <w:sz w:val="20"/>
          <w:szCs w:val="20"/>
          <w:lang w:val="en-GB"/>
        </w:rPr>
      </w:pPr>
      <w:r w:rsidRPr="00B217DC">
        <w:rPr>
          <w:rFonts w:cs="Arial"/>
          <w:color w:val="auto"/>
          <w:sz w:val="20"/>
          <w:szCs w:val="20"/>
          <w:lang w:val="en-GB"/>
        </w:rPr>
        <w:t>The key cost drivers for Programme 1 were as follows:</w:t>
      </w:r>
    </w:p>
    <w:p w:rsidR="00097EF3" w:rsidRPr="00B217DC" w:rsidRDefault="00097EF3" w:rsidP="00B217DC">
      <w:pPr>
        <w:pStyle w:val="ListParagraph"/>
        <w:numPr>
          <w:ilvl w:val="0"/>
          <w:numId w:val="48"/>
        </w:numPr>
        <w:rPr>
          <w:rFonts w:cs="Arial"/>
          <w:color w:val="auto"/>
          <w:sz w:val="20"/>
          <w:szCs w:val="20"/>
          <w:lang w:val="en-GB"/>
        </w:rPr>
      </w:pPr>
      <w:r w:rsidRPr="00B217DC">
        <w:rPr>
          <w:rFonts w:cs="Arial"/>
          <w:color w:val="auto"/>
          <w:sz w:val="20"/>
          <w:szCs w:val="20"/>
          <w:lang w:val="en-GB"/>
        </w:rPr>
        <w:t xml:space="preserve">Compensation of Employees accounted for </w:t>
      </w:r>
      <w:r w:rsidR="00B8284F" w:rsidRPr="00B217DC">
        <w:rPr>
          <w:rFonts w:cs="Arial"/>
          <w:color w:val="auto"/>
          <w:sz w:val="20"/>
          <w:szCs w:val="20"/>
          <w:lang w:val="en-GB"/>
        </w:rPr>
        <w:t>53.7</w:t>
      </w:r>
      <w:r w:rsidR="00C71D68" w:rsidRPr="00B217DC">
        <w:rPr>
          <w:rFonts w:cs="Arial"/>
          <w:color w:val="auto"/>
          <w:sz w:val="20"/>
          <w:szCs w:val="20"/>
          <w:lang w:val="en-GB"/>
        </w:rPr>
        <w:t>% of the programme budget (R</w:t>
      </w:r>
      <w:r w:rsidR="00B8284F" w:rsidRPr="00B217DC">
        <w:rPr>
          <w:rFonts w:cs="Arial"/>
          <w:color w:val="auto"/>
          <w:sz w:val="20"/>
          <w:szCs w:val="20"/>
          <w:lang w:val="en-GB"/>
        </w:rPr>
        <w:t>60.1</w:t>
      </w:r>
      <w:r w:rsidRPr="00B217DC">
        <w:rPr>
          <w:rFonts w:cs="Arial"/>
          <w:color w:val="auto"/>
          <w:sz w:val="20"/>
          <w:szCs w:val="20"/>
          <w:lang w:val="en-GB"/>
        </w:rPr>
        <w:t>m)</w:t>
      </w:r>
      <w:r w:rsidR="00C71D68" w:rsidRPr="00B217DC">
        <w:rPr>
          <w:rFonts w:cs="Arial"/>
          <w:color w:val="auto"/>
          <w:sz w:val="20"/>
          <w:szCs w:val="20"/>
          <w:lang w:val="en-GB"/>
        </w:rPr>
        <w:t xml:space="preserve">, an </w:t>
      </w:r>
      <w:r w:rsidR="00782A5C" w:rsidRPr="00B217DC">
        <w:rPr>
          <w:rFonts w:cs="Arial"/>
          <w:color w:val="auto"/>
          <w:sz w:val="20"/>
          <w:szCs w:val="20"/>
          <w:lang w:val="en-GB"/>
        </w:rPr>
        <w:t>under</w:t>
      </w:r>
      <w:r w:rsidR="00C71D68" w:rsidRPr="00B217DC">
        <w:rPr>
          <w:rFonts w:cs="Arial"/>
          <w:color w:val="auto"/>
          <w:sz w:val="20"/>
          <w:szCs w:val="20"/>
          <w:lang w:val="en-GB"/>
        </w:rPr>
        <w:t>-expenditure of R</w:t>
      </w:r>
      <w:r w:rsidR="00782A5C" w:rsidRPr="00B217DC">
        <w:rPr>
          <w:rFonts w:cs="Arial"/>
          <w:color w:val="auto"/>
          <w:sz w:val="20"/>
          <w:szCs w:val="20"/>
          <w:lang w:val="en-GB"/>
        </w:rPr>
        <w:t>152 000</w:t>
      </w:r>
      <w:r w:rsidR="00B51127" w:rsidRPr="00B217DC">
        <w:rPr>
          <w:rFonts w:cs="Arial"/>
          <w:color w:val="auto"/>
          <w:sz w:val="20"/>
          <w:szCs w:val="20"/>
          <w:lang w:val="en-GB"/>
        </w:rPr>
        <w:t xml:space="preserve"> incurred.</w:t>
      </w:r>
    </w:p>
    <w:p w:rsidR="00097EF3" w:rsidRPr="00B217DC" w:rsidRDefault="00097EF3" w:rsidP="00B217DC">
      <w:pPr>
        <w:pStyle w:val="ListParagraph"/>
        <w:numPr>
          <w:ilvl w:val="0"/>
          <w:numId w:val="48"/>
        </w:numPr>
        <w:rPr>
          <w:rFonts w:cs="Arial"/>
          <w:color w:val="auto"/>
          <w:sz w:val="20"/>
          <w:szCs w:val="20"/>
          <w:lang w:val="en-GB"/>
        </w:rPr>
      </w:pPr>
      <w:r w:rsidRPr="00B217DC">
        <w:rPr>
          <w:rFonts w:cs="Arial"/>
          <w:color w:val="auto"/>
          <w:sz w:val="20"/>
          <w:szCs w:val="20"/>
          <w:lang w:val="en-GB"/>
        </w:rPr>
        <w:t xml:space="preserve">Goods and Services accounted for </w:t>
      </w:r>
      <w:r w:rsidR="00AB4941" w:rsidRPr="00B217DC">
        <w:rPr>
          <w:rFonts w:cs="Arial"/>
          <w:color w:val="auto"/>
          <w:sz w:val="20"/>
          <w:szCs w:val="20"/>
          <w:lang w:val="en-GB"/>
        </w:rPr>
        <w:t>34.6</w:t>
      </w:r>
      <w:r w:rsidRPr="00B217DC">
        <w:rPr>
          <w:rFonts w:cs="Arial"/>
          <w:color w:val="auto"/>
          <w:sz w:val="20"/>
          <w:szCs w:val="20"/>
          <w:lang w:val="en-GB"/>
        </w:rPr>
        <w:t xml:space="preserve">% of the </w:t>
      </w:r>
      <w:r w:rsidR="00AB4941" w:rsidRPr="00B217DC">
        <w:rPr>
          <w:rFonts w:cs="Arial"/>
          <w:color w:val="auto"/>
          <w:sz w:val="20"/>
          <w:szCs w:val="20"/>
          <w:lang w:val="en-GB"/>
        </w:rPr>
        <w:t xml:space="preserve">programme </w:t>
      </w:r>
      <w:r w:rsidRPr="00B217DC">
        <w:rPr>
          <w:rFonts w:cs="Arial"/>
          <w:color w:val="auto"/>
          <w:sz w:val="20"/>
          <w:szCs w:val="20"/>
          <w:lang w:val="en-GB"/>
        </w:rPr>
        <w:t>budget (R</w:t>
      </w:r>
      <w:r w:rsidR="00AB4941" w:rsidRPr="00B217DC">
        <w:rPr>
          <w:rFonts w:cs="Arial"/>
          <w:color w:val="auto"/>
          <w:sz w:val="20"/>
          <w:szCs w:val="20"/>
          <w:lang w:val="en-GB"/>
        </w:rPr>
        <w:t>38,7</w:t>
      </w:r>
      <w:r w:rsidRPr="00B217DC">
        <w:rPr>
          <w:rFonts w:cs="Arial"/>
          <w:color w:val="auto"/>
          <w:sz w:val="20"/>
          <w:szCs w:val="20"/>
          <w:lang w:val="en-GB"/>
        </w:rPr>
        <w:t>m)</w:t>
      </w:r>
      <w:r w:rsidR="00C71D68" w:rsidRPr="00B217DC">
        <w:rPr>
          <w:rFonts w:cs="Arial"/>
          <w:color w:val="auto"/>
          <w:sz w:val="20"/>
          <w:szCs w:val="20"/>
          <w:lang w:val="en-GB"/>
        </w:rPr>
        <w:t xml:space="preserve">, an </w:t>
      </w:r>
      <w:r w:rsidR="00D54112" w:rsidRPr="00B217DC">
        <w:rPr>
          <w:rFonts w:cs="Arial"/>
          <w:color w:val="auto"/>
          <w:sz w:val="20"/>
          <w:szCs w:val="20"/>
          <w:lang w:val="en-GB"/>
        </w:rPr>
        <w:t>under</w:t>
      </w:r>
      <w:r w:rsidR="00C71D68" w:rsidRPr="00B217DC">
        <w:rPr>
          <w:rFonts w:cs="Arial"/>
          <w:color w:val="auto"/>
          <w:sz w:val="20"/>
          <w:szCs w:val="20"/>
          <w:lang w:val="en-GB"/>
        </w:rPr>
        <w:t>-expenditure of R</w:t>
      </w:r>
      <w:r w:rsidR="00782A5C" w:rsidRPr="00B217DC">
        <w:rPr>
          <w:rFonts w:cs="Arial"/>
          <w:color w:val="auto"/>
          <w:sz w:val="20"/>
          <w:szCs w:val="20"/>
          <w:lang w:val="en-GB"/>
        </w:rPr>
        <w:t>5,524 million</w:t>
      </w:r>
      <w:r w:rsidR="00B51127" w:rsidRPr="00B217DC">
        <w:rPr>
          <w:rFonts w:cs="Arial"/>
          <w:color w:val="auto"/>
          <w:sz w:val="20"/>
          <w:szCs w:val="20"/>
          <w:lang w:val="en-GB"/>
        </w:rPr>
        <w:t xml:space="preserve"> incurred.</w:t>
      </w:r>
    </w:p>
    <w:p w:rsidR="00A46F70" w:rsidRPr="00B217DC" w:rsidRDefault="00A46F70" w:rsidP="00B217DC">
      <w:pPr>
        <w:rPr>
          <w:rFonts w:cs="Arial"/>
          <w:color w:val="auto"/>
          <w:sz w:val="20"/>
          <w:szCs w:val="20"/>
          <w:lang w:val="en-GB"/>
        </w:rPr>
      </w:pPr>
    </w:p>
    <w:p w:rsidR="00A46F70" w:rsidRPr="00B217DC" w:rsidRDefault="00A46F70" w:rsidP="00B217DC">
      <w:pPr>
        <w:rPr>
          <w:rFonts w:cs="Arial"/>
          <w:color w:val="auto"/>
          <w:sz w:val="20"/>
          <w:szCs w:val="20"/>
          <w:lang w:val="en-GB"/>
        </w:rPr>
      </w:pPr>
      <w:r w:rsidRPr="00B217DC">
        <w:rPr>
          <w:rFonts w:cs="Arial"/>
          <w:color w:val="auto"/>
          <w:sz w:val="20"/>
          <w:szCs w:val="20"/>
          <w:lang w:val="en-GB"/>
        </w:rPr>
        <w:t>Under Goods and Services</w:t>
      </w:r>
      <w:r w:rsidR="0028251D" w:rsidRPr="00B217DC">
        <w:rPr>
          <w:rFonts w:cs="Arial"/>
          <w:color w:val="auto"/>
          <w:sz w:val="20"/>
          <w:szCs w:val="20"/>
          <w:lang w:val="en-GB"/>
        </w:rPr>
        <w:t>,</w:t>
      </w:r>
      <w:r w:rsidRPr="00B217DC">
        <w:rPr>
          <w:rFonts w:cs="Arial"/>
          <w:color w:val="auto"/>
          <w:sz w:val="20"/>
          <w:szCs w:val="20"/>
          <w:lang w:val="en-GB"/>
        </w:rPr>
        <w:t xml:space="preserve"> the key cost drivers were as follows:</w:t>
      </w:r>
    </w:p>
    <w:p w:rsidR="00A46F70" w:rsidRPr="00B217DC" w:rsidRDefault="00A46F70" w:rsidP="00B217DC">
      <w:pPr>
        <w:pStyle w:val="ListParagraph"/>
        <w:numPr>
          <w:ilvl w:val="0"/>
          <w:numId w:val="136"/>
        </w:numPr>
        <w:rPr>
          <w:rFonts w:cs="Arial"/>
          <w:color w:val="auto"/>
          <w:sz w:val="20"/>
          <w:szCs w:val="20"/>
          <w:lang w:val="en-GB"/>
        </w:rPr>
      </w:pPr>
      <w:r w:rsidRPr="00B217DC">
        <w:rPr>
          <w:rFonts w:cs="Arial"/>
          <w:color w:val="auto"/>
          <w:sz w:val="20"/>
          <w:szCs w:val="20"/>
          <w:lang w:val="en-GB"/>
        </w:rPr>
        <w:t>Property Payments = R21.649 m</w:t>
      </w:r>
    </w:p>
    <w:p w:rsidR="00A46F70" w:rsidRPr="00B217DC" w:rsidRDefault="00A46F70" w:rsidP="00B217DC">
      <w:pPr>
        <w:pStyle w:val="ListParagraph"/>
        <w:numPr>
          <w:ilvl w:val="0"/>
          <w:numId w:val="136"/>
        </w:numPr>
        <w:rPr>
          <w:rFonts w:cs="Arial"/>
          <w:color w:val="auto"/>
          <w:sz w:val="20"/>
          <w:szCs w:val="20"/>
          <w:lang w:val="en-GB"/>
        </w:rPr>
      </w:pPr>
      <w:r w:rsidRPr="00B217DC">
        <w:rPr>
          <w:rFonts w:cs="Arial"/>
          <w:color w:val="auto"/>
          <w:sz w:val="20"/>
          <w:szCs w:val="20"/>
          <w:lang w:val="en-GB"/>
        </w:rPr>
        <w:t>Machinery &amp; Equipment = R6.072 m</w:t>
      </w:r>
    </w:p>
    <w:p w:rsidR="00A46F70" w:rsidRPr="00B217DC" w:rsidRDefault="00A46F70" w:rsidP="00B217DC">
      <w:pPr>
        <w:pStyle w:val="ListParagraph"/>
        <w:numPr>
          <w:ilvl w:val="0"/>
          <w:numId w:val="136"/>
        </w:numPr>
        <w:rPr>
          <w:rFonts w:cs="Arial"/>
          <w:color w:val="auto"/>
          <w:sz w:val="20"/>
          <w:szCs w:val="20"/>
          <w:lang w:val="en-GB"/>
        </w:rPr>
      </w:pPr>
      <w:r w:rsidRPr="00B217DC">
        <w:rPr>
          <w:rFonts w:cs="Arial"/>
          <w:color w:val="auto"/>
          <w:sz w:val="20"/>
          <w:szCs w:val="20"/>
          <w:lang w:val="en-GB"/>
        </w:rPr>
        <w:t>Computer services = R4.224 m</w:t>
      </w:r>
    </w:p>
    <w:p w:rsidR="00A46F70" w:rsidRPr="00B217DC" w:rsidRDefault="00A46F70" w:rsidP="00B217DC">
      <w:pPr>
        <w:pStyle w:val="ListParagraph"/>
        <w:numPr>
          <w:ilvl w:val="0"/>
          <w:numId w:val="136"/>
        </w:numPr>
        <w:rPr>
          <w:rFonts w:cs="Arial"/>
          <w:color w:val="auto"/>
          <w:sz w:val="20"/>
          <w:szCs w:val="20"/>
          <w:lang w:val="en-GB"/>
        </w:rPr>
      </w:pPr>
      <w:r w:rsidRPr="00B217DC">
        <w:rPr>
          <w:rFonts w:cs="Arial"/>
          <w:color w:val="auto"/>
          <w:sz w:val="20"/>
          <w:szCs w:val="20"/>
          <w:lang w:val="en-GB"/>
        </w:rPr>
        <w:t>Audit Costs = R3.082 m</w:t>
      </w:r>
    </w:p>
    <w:p w:rsidR="00A46F70" w:rsidRPr="00B217DC" w:rsidRDefault="00A46F70" w:rsidP="00B217DC">
      <w:pPr>
        <w:pStyle w:val="ListParagraph"/>
        <w:numPr>
          <w:ilvl w:val="0"/>
          <w:numId w:val="136"/>
        </w:numPr>
        <w:rPr>
          <w:rFonts w:cs="Arial"/>
          <w:color w:val="auto"/>
          <w:sz w:val="20"/>
          <w:szCs w:val="20"/>
          <w:lang w:val="en-GB"/>
        </w:rPr>
      </w:pPr>
      <w:r w:rsidRPr="00B217DC">
        <w:rPr>
          <w:rFonts w:cs="Arial"/>
          <w:color w:val="auto"/>
          <w:sz w:val="20"/>
          <w:szCs w:val="20"/>
          <w:lang w:val="en-GB"/>
        </w:rPr>
        <w:t>Transport Equipment = R3.670 m</w:t>
      </w:r>
    </w:p>
    <w:p w:rsidR="00A46F70" w:rsidRPr="00B217DC" w:rsidRDefault="00A46F70" w:rsidP="00B217DC">
      <w:pPr>
        <w:pStyle w:val="ListParagraph"/>
        <w:numPr>
          <w:ilvl w:val="0"/>
          <w:numId w:val="136"/>
        </w:numPr>
        <w:rPr>
          <w:rFonts w:cs="Arial"/>
          <w:color w:val="auto"/>
          <w:sz w:val="20"/>
          <w:szCs w:val="20"/>
          <w:lang w:val="en-GB"/>
        </w:rPr>
      </w:pPr>
      <w:r w:rsidRPr="00B217DC">
        <w:rPr>
          <w:rFonts w:cs="Arial"/>
          <w:color w:val="auto"/>
          <w:sz w:val="20"/>
          <w:szCs w:val="20"/>
          <w:lang w:val="en-GB"/>
        </w:rPr>
        <w:t>Travel &amp; subsistence = R2.662 m</w:t>
      </w:r>
    </w:p>
    <w:p w:rsidR="00097EF3" w:rsidRPr="00B217DC" w:rsidRDefault="00097EF3" w:rsidP="00B217DC">
      <w:pPr>
        <w:ind w:firstLine="720"/>
        <w:rPr>
          <w:rFonts w:cs="Arial"/>
          <w:color w:val="auto"/>
          <w:sz w:val="20"/>
          <w:szCs w:val="20"/>
          <w:lang w:val="en-GB"/>
        </w:rPr>
      </w:pPr>
    </w:p>
    <w:p w:rsidR="00972178" w:rsidRPr="00B217DC" w:rsidRDefault="00097EF3" w:rsidP="00B217DC">
      <w:pPr>
        <w:rPr>
          <w:rFonts w:cs="Arial"/>
          <w:color w:val="auto"/>
          <w:sz w:val="20"/>
          <w:szCs w:val="20"/>
          <w:lang w:val="en-GB"/>
        </w:rPr>
      </w:pPr>
      <w:r w:rsidRPr="00B217DC">
        <w:rPr>
          <w:rFonts w:cs="Arial"/>
          <w:color w:val="auto"/>
          <w:sz w:val="20"/>
          <w:szCs w:val="20"/>
          <w:lang w:val="en-GB"/>
        </w:rPr>
        <w:t>With respect to the expenditure per sub-programme, the Ministry</w:t>
      </w:r>
      <w:r w:rsidR="00E60749" w:rsidRPr="00B217DC">
        <w:rPr>
          <w:rFonts w:cs="Arial"/>
          <w:color w:val="auto"/>
          <w:sz w:val="20"/>
          <w:szCs w:val="20"/>
          <w:lang w:val="en-GB"/>
        </w:rPr>
        <w:t xml:space="preserve"> wi</w:t>
      </w:r>
      <w:r w:rsidR="00C71D68" w:rsidRPr="00B217DC">
        <w:rPr>
          <w:rFonts w:cs="Arial"/>
          <w:color w:val="auto"/>
          <w:sz w:val="20"/>
          <w:szCs w:val="20"/>
          <w:lang w:val="en-GB"/>
        </w:rPr>
        <w:t>th a final appropriation of R</w:t>
      </w:r>
      <w:r w:rsidR="00B8284F" w:rsidRPr="00B217DC">
        <w:rPr>
          <w:rFonts w:cs="Arial"/>
          <w:color w:val="auto"/>
          <w:sz w:val="20"/>
          <w:szCs w:val="20"/>
          <w:lang w:val="en-GB"/>
        </w:rPr>
        <w:t>20,976</w:t>
      </w:r>
      <w:r w:rsidR="00C71D68" w:rsidRPr="00B217DC">
        <w:rPr>
          <w:rFonts w:cs="Arial"/>
          <w:color w:val="auto"/>
          <w:sz w:val="20"/>
          <w:szCs w:val="20"/>
          <w:lang w:val="en-GB"/>
        </w:rPr>
        <w:t xml:space="preserve"> million spent R</w:t>
      </w:r>
      <w:r w:rsidR="00B8284F" w:rsidRPr="00B217DC">
        <w:rPr>
          <w:rFonts w:cs="Arial"/>
          <w:color w:val="auto"/>
          <w:sz w:val="20"/>
          <w:szCs w:val="20"/>
          <w:lang w:val="en-GB"/>
        </w:rPr>
        <w:t>18,470</w:t>
      </w:r>
      <w:r w:rsidR="007E0C35" w:rsidRPr="00B217DC">
        <w:rPr>
          <w:rFonts w:cs="Arial"/>
          <w:color w:val="auto"/>
          <w:sz w:val="20"/>
          <w:szCs w:val="20"/>
          <w:lang w:val="en-GB"/>
        </w:rPr>
        <w:t xml:space="preserve"> million</w:t>
      </w:r>
      <w:r w:rsidR="00E60749" w:rsidRPr="00B217DC">
        <w:rPr>
          <w:rFonts w:cs="Arial"/>
          <w:color w:val="auto"/>
          <w:sz w:val="20"/>
          <w:szCs w:val="20"/>
          <w:lang w:val="en-GB"/>
        </w:rPr>
        <w:t xml:space="preserve"> thus</w:t>
      </w:r>
      <w:r w:rsidRPr="00B217DC">
        <w:rPr>
          <w:rFonts w:cs="Arial"/>
          <w:color w:val="auto"/>
          <w:sz w:val="20"/>
          <w:szCs w:val="20"/>
          <w:lang w:val="en-GB"/>
        </w:rPr>
        <w:t xml:space="preserve"> incurr</w:t>
      </w:r>
      <w:r w:rsidR="00D54112" w:rsidRPr="00B217DC">
        <w:rPr>
          <w:rFonts w:cs="Arial"/>
          <w:color w:val="auto"/>
          <w:sz w:val="20"/>
          <w:szCs w:val="20"/>
          <w:lang w:val="en-GB"/>
        </w:rPr>
        <w:t>ing</w:t>
      </w:r>
      <w:r w:rsidRPr="00B217DC">
        <w:rPr>
          <w:rFonts w:cs="Arial"/>
          <w:color w:val="auto"/>
          <w:sz w:val="20"/>
          <w:szCs w:val="20"/>
          <w:lang w:val="en-GB"/>
        </w:rPr>
        <w:t xml:space="preserve"> </w:t>
      </w:r>
      <w:r w:rsidR="00B8284F" w:rsidRPr="00B217DC">
        <w:rPr>
          <w:rFonts w:cs="Arial"/>
          <w:color w:val="auto"/>
          <w:sz w:val="20"/>
          <w:szCs w:val="20"/>
          <w:lang w:val="en-GB"/>
        </w:rPr>
        <w:t>an unde</w:t>
      </w:r>
      <w:r w:rsidR="00C71D68" w:rsidRPr="00B217DC">
        <w:rPr>
          <w:rFonts w:cs="Arial"/>
          <w:color w:val="auto"/>
          <w:sz w:val="20"/>
          <w:szCs w:val="20"/>
          <w:lang w:val="en-GB"/>
        </w:rPr>
        <w:t>r-expenditure of R</w:t>
      </w:r>
      <w:r w:rsidR="00B8284F" w:rsidRPr="00B217DC">
        <w:rPr>
          <w:rFonts w:cs="Arial"/>
          <w:color w:val="auto"/>
          <w:sz w:val="20"/>
          <w:szCs w:val="20"/>
          <w:lang w:val="en-GB"/>
        </w:rPr>
        <w:t>2,506 million</w:t>
      </w:r>
      <w:r w:rsidR="00E60749" w:rsidRPr="00B217DC">
        <w:rPr>
          <w:rFonts w:cs="Arial"/>
          <w:color w:val="auto"/>
          <w:sz w:val="20"/>
          <w:szCs w:val="20"/>
          <w:lang w:val="en-GB"/>
        </w:rPr>
        <w:t>.</w:t>
      </w:r>
      <w:r w:rsidR="00972178" w:rsidRPr="00B217DC">
        <w:rPr>
          <w:rFonts w:cs="Arial"/>
          <w:color w:val="auto"/>
          <w:sz w:val="20"/>
          <w:szCs w:val="20"/>
          <w:lang w:val="en-GB"/>
        </w:rPr>
        <w:t xml:space="preserve"> </w:t>
      </w:r>
      <w:r w:rsidR="0028251D" w:rsidRPr="00B217DC">
        <w:rPr>
          <w:rFonts w:cs="Arial"/>
          <w:color w:val="auto"/>
          <w:sz w:val="20"/>
          <w:szCs w:val="20"/>
          <w:lang w:val="en-GB"/>
        </w:rPr>
        <w:t>The Departmental Management had a final appropriation of R20,473 million and spent R20,183 million with slight under-expenditure of R290 000. Corporate management had a final appropriation of R31,338 million and spent R26,945 million incurring an under-expenditure of R4,613 million. Financial management had a final appropriation of R17,279 million and spent R16,267 million incurring an under-expenditure of R1,012 million. Office accommodation had a final appropriation of R21,623 million and spent R21,622 million incurring an under-expenditure of R1 000.</w:t>
      </w:r>
    </w:p>
    <w:p w:rsidR="00E60749" w:rsidRPr="00B217DC" w:rsidRDefault="00E60749"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b/>
          <w:color w:val="auto"/>
          <w:sz w:val="20"/>
          <w:szCs w:val="20"/>
          <w:lang w:val="en-GB"/>
        </w:rPr>
        <w:t>1</w:t>
      </w:r>
      <w:r w:rsidR="00A323CA" w:rsidRPr="00B217DC">
        <w:rPr>
          <w:rFonts w:cs="Arial"/>
          <w:b/>
          <w:color w:val="auto"/>
          <w:sz w:val="20"/>
          <w:szCs w:val="20"/>
          <w:lang w:val="en-GB"/>
        </w:rPr>
        <w:t>4</w:t>
      </w:r>
      <w:r w:rsidRPr="00B217DC">
        <w:rPr>
          <w:rFonts w:cs="Arial"/>
          <w:b/>
          <w:color w:val="auto"/>
          <w:sz w:val="20"/>
          <w:szCs w:val="20"/>
          <w:lang w:val="en-GB"/>
        </w:rPr>
        <w:t>.2 Programme 2</w:t>
      </w:r>
      <w:r w:rsidRPr="00B217DC">
        <w:rPr>
          <w:rFonts w:cs="Arial"/>
          <w:color w:val="auto"/>
          <w:sz w:val="20"/>
          <w:szCs w:val="20"/>
          <w:lang w:val="en-GB"/>
        </w:rPr>
        <w:t xml:space="preserve">:  </w:t>
      </w:r>
      <w:r w:rsidRPr="00B217DC">
        <w:rPr>
          <w:rFonts w:cs="Arial"/>
          <w:b/>
          <w:color w:val="auto"/>
          <w:sz w:val="20"/>
          <w:szCs w:val="20"/>
          <w:lang w:val="en-GB"/>
        </w:rPr>
        <w:t>Social Transformation and Economic Empowerment</w:t>
      </w:r>
      <w:r w:rsidR="00C64C63" w:rsidRPr="00B217DC">
        <w:rPr>
          <w:rFonts w:cs="Arial"/>
          <w:b/>
          <w:color w:val="auto"/>
          <w:sz w:val="20"/>
          <w:szCs w:val="20"/>
          <w:lang w:val="en-GB"/>
        </w:rPr>
        <w:t xml:space="preserve"> (STEE)</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 xml:space="preserve">The purpose of the programme is to </w:t>
      </w:r>
      <w:r w:rsidR="00553FCB" w:rsidRPr="00B217DC">
        <w:rPr>
          <w:rFonts w:cs="Arial"/>
          <w:color w:val="auto"/>
          <w:sz w:val="20"/>
          <w:szCs w:val="20"/>
          <w:lang w:val="en-GB"/>
        </w:rPr>
        <w:t>manage policies and programmes that mainstream the social transformation and economic empowerment of women in South Africa</w:t>
      </w:r>
      <w:r w:rsidRPr="00B217DC">
        <w:rPr>
          <w:rFonts w:cs="Arial"/>
          <w:color w:val="auto"/>
          <w:sz w:val="20"/>
          <w:szCs w:val="20"/>
          <w:lang w:val="en-GB"/>
        </w:rPr>
        <w:t>.</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 xml:space="preserve">The programme consists of </w:t>
      </w:r>
      <w:r w:rsidR="00B51127" w:rsidRPr="00B217DC">
        <w:rPr>
          <w:rFonts w:cs="Arial"/>
          <w:color w:val="auto"/>
          <w:sz w:val="20"/>
          <w:szCs w:val="20"/>
          <w:lang w:val="en-GB"/>
        </w:rPr>
        <w:t>the following</w:t>
      </w:r>
      <w:r w:rsidRPr="00B217DC">
        <w:rPr>
          <w:rFonts w:cs="Arial"/>
          <w:color w:val="auto"/>
          <w:sz w:val="20"/>
          <w:szCs w:val="20"/>
          <w:lang w:val="en-GB"/>
        </w:rPr>
        <w:t xml:space="preserve"> sub-programmes namely; </w:t>
      </w:r>
    </w:p>
    <w:p w:rsidR="0028251D" w:rsidRPr="00B217DC" w:rsidRDefault="0028251D" w:rsidP="00B217DC">
      <w:pPr>
        <w:numPr>
          <w:ilvl w:val="0"/>
          <w:numId w:val="8"/>
        </w:numPr>
        <w:contextualSpacing/>
        <w:rPr>
          <w:rFonts w:cs="Arial"/>
          <w:b/>
          <w:color w:val="auto"/>
          <w:sz w:val="20"/>
          <w:szCs w:val="20"/>
          <w:lang w:val="en-GB" w:eastAsia="ja-JP"/>
        </w:rPr>
      </w:pPr>
      <w:r w:rsidRPr="00B217DC">
        <w:rPr>
          <w:rFonts w:cs="Arial"/>
          <w:b/>
          <w:color w:val="auto"/>
          <w:sz w:val="20"/>
          <w:szCs w:val="20"/>
          <w:lang w:val="en-GB" w:eastAsia="ja-JP"/>
        </w:rPr>
        <w:lastRenderedPageBreak/>
        <w:t>Management: Social Transformation and Economic Empowerment</w:t>
      </w:r>
    </w:p>
    <w:p w:rsidR="00DC537F" w:rsidRPr="00B217DC" w:rsidRDefault="00DC537F" w:rsidP="00B217DC">
      <w:pPr>
        <w:numPr>
          <w:ilvl w:val="0"/>
          <w:numId w:val="8"/>
        </w:numPr>
        <w:contextualSpacing/>
        <w:rPr>
          <w:rFonts w:cs="Arial"/>
          <w:color w:val="auto"/>
          <w:sz w:val="20"/>
          <w:szCs w:val="20"/>
          <w:lang w:val="en-GB" w:eastAsia="ja-JP"/>
        </w:rPr>
      </w:pPr>
      <w:r w:rsidRPr="00B217DC">
        <w:rPr>
          <w:rFonts w:cs="Arial"/>
          <w:b/>
          <w:color w:val="auto"/>
          <w:sz w:val="20"/>
          <w:szCs w:val="20"/>
          <w:lang w:val="en-GB" w:eastAsia="ja-JP"/>
        </w:rPr>
        <w:t>Social Empowerment and Transformation:</w:t>
      </w:r>
      <w:r w:rsidRPr="00B217DC">
        <w:rPr>
          <w:rFonts w:cs="Arial"/>
          <w:color w:val="auto"/>
          <w:sz w:val="20"/>
          <w:szCs w:val="20"/>
          <w:lang w:val="en-GB" w:eastAsia="ja-JP"/>
        </w:rPr>
        <w:t xml:space="preserve"> the purpose of the sub-programme is to </w:t>
      </w:r>
      <w:r w:rsidR="00553FCB" w:rsidRPr="00B217DC">
        <w:rPr>
          <w:rFonts w:cs="Arial"/>
          <w:color w:val="auto"/>
          <w:sz w:val="20"/>
          <w:szCs w:val="20"/>
          <w:lang w:val="en-GB" w:eastAsia="ja-JP"/>
        </w:rPr>
        <w:t>provide intervention mechanisms on policies and programme implementation</w:t>
      </w:r>
      <w:r w:rsidRPr="00B217DC">
        <w:rPr>
          <w:rFonts w:cs="Arial"/>
          <w:color w:val="auto"/>
          <w:sz w:val="20"/>
          <w:szCs w:val="20"/>
          <w:lang w:val="en-GB" w:eastAsia="ja-JP"/>
        </w:rPr>
        <w:t xml:space="preserve"> for mainstreaming the social empowerment and participation of women towards social transformation.</w:t>
      </w:r>
    </w:p>
    <w:p w:rsidR="00DC537F" w:rsidRPr="00B217DC" w:rsidRDefault="00DC537F" w:rsidP="00B217DC">
      <w:pPr>
        <w:numPr>
          <w:ilvl w:val="0"/>
          <w:numId w:val="8"/>
        </w:numPr>
        <w:contextualSpacing/>
        <w:rPr>
          <w:rFonts w:cs="Arial"/>
          <w:color w:val="auto"/>
          <w:sz w:val="20"/>
          <w:szCs w:val="20"/>
          <w:lang w:val="en-GB" w:eastAsia="ja-JP"/>
        </w:rPr>
      </w:pPr>
      <w:r w:rsidRPr="00B217DC">
        <w:rPr>
          <w:rFonts w:cs="Arial"/>
          <w:b/>
          <w:color w:val="auto"/>
          <w:sz w:val="20"/>
          <w:szCs w:val="20"/>
          <w:lang w:val="en-GB" w:eastAsia="ja-JP"/>
        </w:rPr>
        <w:t>Economic Empowerment and Participation:</w:t>
      </w:r>
      <w:r w:rsidRPr="00B217DC">
        <w:rPr>
          <w:rFonts w:cs="Arial"/>
          <w:color w:val="auto"/>
          <w:sz w:val="20"/>
          <w:szCs w:val="20"/>
          <w:lang w:val="en-GB" w:eastAsia="ja-JP"/>
        </w:rPr>
        <w:t xml:space="preserve"> the purpose of the sub-programme is to develop and implement intervention for mainstreaming the economic empowerment and participation of women towards economic transformation and development.</w:t>
      </w:r>
    </w:p>
    <w:p w:rsidR="00170BD2" w:rsidRPr="00B217DC" w:rsidRDefault="00DC537F" w:rsidP="00B217DC">
      <w:pPr>
        <w:numPr>
          <w:ilvl w:val="0"/>
          <w:numId w:val="8"/>
        </w:numPr>
        <w:contextualSpacing/>
        <w:rPr>
          <w:rFonts w:cs="Arial"/>
          <w:color w:val="auto"/>
          <w:sz w:val="20"/>
          <w:szCs w:val="20"/>
          <w:lang w:val="en-GB" w:eastAsia="ja-JP"/>
        </w:rPr>
      </w:pPr>
      <w:r w:rsidRPr="00B217DC">
        <w:rPr>
          <w:rFonts w:cs="Arial"/>
          <w:b/>
          <w:color w:val="auto"/>
          <w:sz w:val="20"/>
          <w:szCs w:val="20"/>
          <w:lang w:val="en-GB" w:eastAsia="ja-JP"/>
        </w:rPr>
        <w:t>Governance Transformation, Justice and Security:</w:t>
      </w:r>
      <w:r w:rsidRPr="00B217DC">
        <w:rPr>
          <w:rFonts w:cs="Arial"/>
          <w:color w:val="auto"/>
          <w:sz w:val="20"/>
          <w:szCs w:val="20"/>
          <w:lang w:val="en-GB" w:eastAsia="ja-JP"/>
        </w:rPr>
        <w:t xml:space="preserve"> the purpose of the sub-programme is to </w:t>
      </w:r>
      <w:r w:rsidR="00553FCB" w:rsidRPr="00B217DC">
        <w:rPr>
          <w:rFonts w:cs="Arial"/>
          <w:color w:val="auto"/>
          <w:sz w:val="20"/>
          <w:szCs w:val="20"/>
          <w:lang w:val="en-GB" w:eastAsia="ja-JP"/>
        </w:rPr>
        <w:t xml:space="preserve">provide guidance for enhancing existing systems and procedures, addressed barriers to the equal participation of women in the public and private sectors, and contributes to the </w:t>
      </w:r>
      <w:r w:rsidRPr="00B217DC">
        <w:rPr>
          <w:rFonts w:cs="Arial"/>
          <w:color w:val="auto"/>
          <w:sz w:val="20"/>
          <w:szCs w:val="20"/>
          <w:lang w:val="en-GB" w:eastAsia="ja-JP"/>
        </w:rPr>
        <w:t>eliminati</w:t>
      </w:r>
      <w:r w:rsidR="00553FCB" w:rsidRPr="00B217DC">
        <w:rPr>
          <w:rFonts w:cs="Arial"/>
          <w:color w:val="auto"/>
          <w:sz w:val="20"/>
          <w:szCs w:val="20"/>
          <w:lang w:val="en-GB" w:eastAsia="ja-JP"/>
        </w:rPr>
        <w:t>o</w:t>
      </w:r>
      <w:r w:rsidRPr="00B217DC">
        <w:rPr>
          <w:rFonts w:cs="Arial"/>
          <w:color w:val="auto"/>
          <w:sz w:val="20"/>
          <w:szCs w:val="20"/>
          <w:lang w:val="en-GB" w:eastAsia="ja-JP"/>
        </w:rPr>
        <w:t>n</w:t>
      </w:r>
      <w:r w:rsidR="00553FCB" w:rsidRPr="00B217DC">
        <w:rPr>
          <w:rFonts w:cs="Arial"/>
          <w:color w:val="auto"/>
          <w:sz w:val="20"/>
          <w:szCs w:val="20"/>
          <w:lang w:val="en-GB" w:eastAsia="ja-JP"/>
        </w:rPr>
        <w:t xml:space="preserve"> of</w:t>
      </w:r>
      <w:r w:rsidRPr="00B217DC">
        <w:rPr>
          <w:rFonts w:cs="Arial"/>
          <w:color w:val="auto"/>
          <w:sz w:val="20"/>
          <w:szCs w:val="20"/>
          <w:lang w:val="en-GB" w:eastAsia="ja-JP"/>
        </w:rPr>
        <w:t xml:space="preserve"> gender</w:t>
      </w:r>
      <w:r w:rsidR="00553FCB" w:rsidRPr="00B217DC">
        <w:rPr>
          <w:rFonts w:cs="Arial"/>
          <w:color w:val="auto"/>
          <w:sz w:val="20"/>
          <w:szCs w:val="20"/>
          <w:lang w:val="en-GB" w:eastAsia="ja-JP"/>
        </w:rPr>
        <w:t>-</w:t>
      </w:r>
      <w:r w:rsidRPr="00B217DC">
        <w:rPr>
          <w:rFonts w:cs="Arial"/>
          <w:color w:val="auto"/>
          <w:sz w:val="20"/>
          <w:szCs w:val="20"/>
          <w:lang w:val="en-GB" w:eastAsia="ja-JP"/>
        </w:rPr>
        <w:t>based violence.</w:t>
      </w:r>
    </w:p>
    <w:p w:rsidR="00170BD2" w:rsidRPr="00B217DC" w:rsidRDefault="00170BD2" w:rsidP="00B217DC">
      <w:pPr>
        <w:rPr>
          <w:rFonts w:cs="Arial"/>
          <w:color w:val="auto"/>
          <w:sz w:val="20"/>
          <w:szCs w:val="20"/>
        </w:rPr>
      </w:pPr>
    </w:p>
    <w:p w:rsidR="00F63F41" w:rsidRPr="00B217DC" w:rsidRDefault="003653A0" w:rsidP="00B217DC">
      <w:pPr>
        <w:shd w:val="clear" w:color="auto" w:fill="FFFFFF" w:themeFill="background1"/>
        <w:rPr>
          <w:rFonts w:cs="Arial"/>
          <w:color w:val="auto"/>
          <w:sz w:val="20"/>
          <w:szCs w:val="20"/>
        </w:rPr>
      </w:pPr>
      <w:r w:rsidRPr="00B217DC">
        <w:rPr>
          <w:rFonts w:cs="Arial"/>
          <w:color w:val="auto"/>
          <w:sz w:val="20"/>
          <w:szCs w:val="20"/>
        </w:rPr>
        <w:t>For the year under review, t</w:t>
      </w:r>
      <w:r w:rsidR="00170BD2" w:rsidRPr="00B217DC">
        <w:rPr>
          <w:rFonts w:cs="Arial"/>
          <w:color w:val="auto"/>
          <w:sz w:val="20"/>
          <w:szCs w:val="20"/>
        </w:rPr>
        <w:t>h</w:t>
      </w:r>
      <w:r w:rsidR="00DC537F" w:rsidRPr="00B217DC">
        <w:rPr>
          <w:rFonts w:cs="Arial"/>
          <w:color w:val="auto"/>
          <w:sz w:val="20"/>
          <w:szCs w:val="20"/>
        </w:rPr>
        <w:t xml:space="preserve">is programme </w:t>
      </w:r>
      <w:r w:rsidRPr="00B217DC">
        <w:rPr>
          <w:rFonts w:cs="Arial"/>
          <w:color w:val="auto"/>
          <w:sz w:val="20"/>
          <w:szCs w:val="20"/>
        </w:rPr>
        <w:t xml:space="preserve">had </w:t>
      </w:r>
      <w:r w:rsidR="00170BD2" w:rsidRPr="00B217DC">
        <w:rPr>
          <w:rFonts w:cs="Arial"/>
          <w:color w:val="auto"/>
          <w:sz w:val="20"/>
          <w:szCs w:val="20"/>
        </w:rPr>
        <w:t>plan</w:t>
      </w:r>
      <w:r w:rsidR="00037430" w:rsidRPr="00B217DC">
        <w:rPr>
          <w:rFonts w:cs="Arial"/>
          <w:color w:val="auto"/>
          <w:sz w:val="20"/>
          <w:szCs w:val="20"/>
        </w:rPr>
        <w:t>ned</w:t>
      </w:r>
      <w:r w:rsidR="00170BD2" w:rsidRPr="00B217DC">
        <w:rPr>
          <w:rFonts w:cs="Arial"/>
          <w:color w:val="auto"/>
          <w:sz w:val="20"/>
          <w:szCs w:val="20"/>
        </w:rPr>
        <w:t xml:space="preserve"> </w:t>
      </w:r>
      <w:r w:rsidR="00DC537F" w:rsidRPr="00B217DC">
        <w:rPr>
          <w:rFonts w:cs="Arial"/>
          <w:color w:val="auto"/>
          <w:sz w:val="20"/>
          <w:szCs w:val="20"/>
        </w:rPr>
        <w:t>for</w:t>
      </w:r>
      <w:r w:rsidRPr="00B217DC">
        <w:rPr>
          <w:rFonts w:cs="Arial"/>
          <w:color w:val="auto"/>
          <w:sz w:val="20"/>
          <w:szCs w:val="20"/>
        </w:rPr>
        <w:t xml:space="preserve"> </w:t>
      </w:r>
      <w:r w:rsidR="0028251D" w:rsidRPr="00B217DC">
        <w:rPr>
          <w:rFonts w:cs="Arial"/>
          <w:color w:val="auto"/>
          <w:sz w:val="20"/>
          <w:szCs w:val="20"/>
        </w:rPr>
        <w:t>10</w:t>
      </w:r>
      <w:r w:rsidRPr="00B217DC">
        <w:rPr>
          <w:rFonts w:cs="Arial"/>
          <w:color w:val="auto"/>
          <w:sz w:val="20"/>
          <w:szCs w:val="20"/>
        </w:rPr>
        <w:t xml:space="preserve"> targets</w:t>
      </w:r>
      <w:r w:rsidR="0028251D" w:rsidRPr="00B217DC">
        <w:rPr>
          <w:rFonts w:cs="Arial"/>
          <w:color w:val="auto"/>
          <w:sz w:val="20"/>
          <w:szCs w:val="20"/>
        </w:rPr>
        <w:t xml:space="preserve"> and achieved all of them.</w:t>
      </w:r>
      <w:r w:rsidRPr="00B217DC">
        <w:rPr>
          <w:rFonts w:cs="Arial"/>
          <w:color w:val="auto"/>
          <w:sz w:val="20"/>
          <w:szCs w:val="20"/>
        </w:rPr>
        <w:t xml:space="preserve"> </w:t>
      </w:r>
    </w:p>
    <w:p w:rsidR="00594C22" w:rsidRPr="00B217DC" w:rsidRDefault="00594C22" w:rsidP="00B217DC">
      <w:pPr>
        <w:shd w:val="clear" w:color="auto" w:fill="FFFFFF" w:themeFill="background1"/>
        <w:rPr>
          <w:rFonts w:cs="Arial"/>
          <w:color w:val="auto"/>
          <w:sz w:val="20"/>
          <w:szCs w:val="20"/>
        </w:rPr>
      </w:pPr>
    </w:p>
    <w:p w:rsidR="00C71D68" w:rsidRPr="00B217DC" w:rsidRDefault="00037430" w:rsidP="00B217DC">
      <w:pPr>
        <w:shd w:val="clear" w:color="auto" w:fill="FFFFFF" w:themeFill="background1"/>
        <w:rPr>
          <w:rFonts w:cs="Arial"/>
          <w:color w:val="auto"/>
          <w:sz w:val="20"/>
          <w:szCs w:val="20"/>
        </w:rPr>
      </w:pPr>
      <w:r w:rsidRPr="00B217DC">
        <w:rPr>
          <w:rFonts w:cs="Arial"/>
          <w:color w:val="auto"/>
          <w:sz w:val="20"/>
          <w:szCs w:val="20"/>
        </w:rPr>
        <w:t>In terms of th</w:t>
      </w:r>
      <w:r w:rsidR="00F63F41" w:rsidRPr="00B217DC">
        <w:rPr>
          <w:rFonts w:cs="Arial"/>
          <w:color w:val="auto"/>
          <w:sz w:val="20"/>
          <w:szCs w:val="20"/>
        </w:rPr>
        <w:t>is</w:t>
      </w:r>
      <w:r w:rsidRPr="00B217DC">
        <w:rPr>
          <w:rFonts w:cs="Arial"/>
          <w:color w:val="auto"/>
          <w:sz w:val="20"/>
          <w:szCs w:val="20"/>
        </w:rPr>
        <w:t xml:space="preserve"> p</w:t>
      </w:r>
      <w:r w:rsidR="00A74CC2" w:rsidRPr="00B217DC">
        <w:rPr>
          <w:rFonts w:cs="Arial"/>
          <w:color w:val="auto"/>
          <w:sz w:val="20"/>
          <w:szCs w:val="20"/>
        </w:rPr>
        <w:t>rogramme’s operating budget i.e. excluding the transfer</w:t>
      </w:r>
      <w:r w:rsidR="003C6878" w:rsidRPr="00B217DC">
        <w:rPr>
          <w:rFonts w:cs="Arial"/>
          <w:color w:val="auto"/>
          <w:sz w:val="20"/>
          <w:szCs w:val="20"/>
        </w:rPr>
        <w:t xml:space="preserve"> (R</w:t>
      </w:r>
      <w:r w:rsidR="007C35F7" w:rsidRPr="00B217DC">
        <w:rPr>
          <w:rFonts w:cs="Arial"/>
          <w:color w:val="auto"/>
          <w:sz w:val="20"/>
          <w:szCs w:val="20"/>
        </w:rPr>
        <w:t>91,376</w:t>
      </w:r>
      <w:r w:rsidR="003C6878" w:rsidRPr="00B217DC">
        <w:rPr>
          <w:rFonts w:cs="Arial"/>
          <w:color w:val="auto"/>
          <w:sz w:val="20"/>
          <w:szCs w:val="20"/>
        </w:rPr>
        <w:t xml:space="preserve"> million)</w:t>
      </w:r>
      <w:r w:rsidR="00A74CC2" w:rsidRPr="00B217DC">
        <w:rPr>
          <w:rFonts w:cs="Arial"/>
          <w:color w:val="auto"/>
          <w:sz w:val="20"/>
          <w:szCs w:val="20"/>
        </w:rPr>
        <w:t xml:space="preserve"> to the CGE, t</w:t>
      </w:r>
      <w:r w:rsidR="00170BD2" w:rsidRPr="00B217DC">
        <w:rPr>
          <w:rFonts w:cs="Arial"/>
          <w:color w:val="auto"/>
          <w:sz w:val="20"/>
          <w:szCs w:val="20"/>
        </w:rPr>
        <w:t xml:space="preserve">his </w:t>
      </w:r>
      <w:r w:rsidRPr="00B217DC">
        <w:rPr>
          <w:rFonts w:cs="Arial"/>
          <w:color w:val="auto"/>
          <w:sz w:val="20"/>
          <w:szCs w:val="20"/>
        </w:rPr>
        <w:t>p</w:t>
      </w:r>
      <w:r w:rsidR="00170BD2" w:rsidRPr="00B217DC">
        <w:rPr>
          <w:rFonts w:cs="Arial"/>
          <w:color w:val="auto"/>
          <w:sz w:val="20"/>
          <w:szCs w:val="20"/>
        </w:rPr>
        <w:t xml:space="preserve">rogramme was allocated </w:t>
      </w:r>
      <w:r w:rsidR="00C71D68" w:rsidRPr="00B217DC">
        <w:rPr>
          <w:rFonts w:cs="Arial"/>
          <w:color w:val="auto"/>
          <w:sz w:val="20"/>
          <w:szCs w:val="20"/>
        </w:rPr>
        <w:t>R</w:t>
      </w:r>
      <w:r w:rsidR="00A46F70" w:rsidRPr="00B217DC">
        <w:rPr>
          <w:rFonts w:cs="Arial"/>
          <w:color w:val="auto"/>
          <w:sz w:val="20"/>
          <w:szCs w:val="20"/>
        </w:rPr>
        <w:t>32.8</w:t>
      </w:r>
      <w:r w:rsidR="00C71D68" w:rsidRPr="00B217DC">
        <w:rPr>
          <w:rFonts w:cs="Arial"/>
          <w:color w:val="auto"/>
          <w:sz w:val="20"/>
          <w:szCs w:val="20"/>
        </w:rPr>
        <w:t xml:space="preserve"> million as per the initial ENE</w:t>
      </w:r>
      <w:r w:rsidR="003C6878" w:rsidRPr="00B217DC">
        <w:rPr>
          <w:rFonts w:cs="Arial"/>
          <w:color w:val="auto"/>
          <w:sz w:val="20"/>
          <w:szCs w:val="20"/>
        </w:rPr>
        <w:t xml:space="preserve"> 202</w:t>
      </w:r>
      <w:r w:rsidR="007C35F7" w:rsidRPr="00B217DC">
        <w:rPr>
          <w:rFonts w:cs="Arial"/>
          <w:color w:val="auto"/>
          <w:sz w:val="20"/>
          <w:szCs w:val="20"/>
        </w:rPr>
        <w:t>1</w:t>
      </w:r>
      <w:r w:rsidR="007072DF" w:rsidRPr="00B217DC">
        <w:rPr>
          <w:rFonts w:cs="Arial"/>
          <w:color w:val="auto"/>
          <w:sz w:val="20"/>
          <w:szCs w:val="20"/>
        </w:rPr>
        <w:t xml:space="preserve">. </w:t>
      </w:r>
      <w:r w:rsidR="003C6878" w:rsidRPr="00B217DC">
        <w:rPr>
          <w:rFonts w:cs="Arial"/>
          <w:color w:val="auto"/>
          <w:sz w:val="20"/>
          <w:szCs w:val="20"/>
        </w:rPr>
        <w:t>T</w:t>
      </w:r>
      <w:r w:rsidR="00C71D68" w:rsidRPr="00B217DC">
        <w:rPr>
          <w:rFonts w:cs="Arial"/>
          <w:color w:val="auto"/>
          <w:sz w:val="20"/>
          <w:szCs w:val="20"/>
        </w:rPr>
        <w:t>he final appropriation was R</w:t>
      </w:r>
      <w:r w:rsidR="00AB4941" w:rsidRPr="00B217DC">
        <w:rPr>
          <w:rFonts w:cs="Arial"/>
          <w:color w:val="auto"/>
          <w:sz w:val="20"/>
          <w:szCs w:val="20"/>
        </w:rPr>
        <w:t>118,407 million (include CGE transfer)</w:t>
      </w:r>
      <w:r w:rsidR="00DF06AF" w:rsidRPr="00B217DC">
        <w:rPr>
          <w:rFonts w:cs="Arial"/>
          <w:color w:val="auto"/>
          <w:sz w:val="20"/>
          <w:szCs w:val="20"/>
        </w:rPr>
        <w:t>. E</w:t>
      </w:r>
      <w:r w:rsidR="00782A5C" w:rsidRPr="00B217DC">
        <w:rPr>
          <w:rFonts w:cs="Arial"/>
          <w:color w:val="auto"/>
          <w:sz w:val="20"/>
          <w:szCs w:val="20"/>
        </w:rPr>
        <w:t>xcluding t</w:t>
      </w:r>
      <w:r w:rsidR="00A46F70" w:rsidRPr="00B217DC">
        <w:rPr>
          <w:rFonts w:cs="Arial"/>
          <w:color w:val="auto"/>
          <w:sz w:val="20"/>
          <w:szCs w:val="20"/>
        </w:rPr>
        <w:t xml:space="preserve">he CGE transfer </w:t>
      </w:r>
      <w:r w:rsidR="00DF06AF" w:rsidRPr="00B217DC">
        <w:rPr>
          <w:rFonts w:cs="Arial"/>
          <w:color w:val="auto"/>
          <w:sz w:val="20"/>
          <w:szCs w:val="20"/>
        </w:rPr>
        <w:t xml:space="preserve">the operating budget for this programme is </w:t>
      </w:r>
      <w:r w:rsidR="00A46F70" w:rsidRPr="00B217DC">
        <w:rPr>
          <w:rFonts w:cs="Arial"/>
          <w:color w:val="auto"/>
          <w:sz w:val="20"/>
          <w:szCs w:val="20"/>
        </w:rPr>
        <w:t xml:space="preserve">R27,031 million noting the </w:t>
      </w:r>
      <w:r w:rsidR="00C71D68" w:rsidRPr="00B217DC">
        <w:rPr>
          <w:rFonts w:cs="Arial"/>
          <w:color w:val="auto"/>
          <w:sz w:val="20"/>
          <w:szCs w:val="20"/>
        </w:rPr>
        <w:t>virement</w:t>
      </w:r>
      <w:r w:rsidR="007072DF" w:rsidRPr="00B217DC">
        <w:rPr>
          <w:rFonts w:cs="Arial"/>
          <w:color w:val="auto"/>
          <w:sz w:val="20"/>
          <w:szCs w:val="20"/>
        </w:rPr>
        <w:t xml:space="preserve"> of R</w:t>
      </w:r>
      <w:r w:rsidR="00AB4941" w:rsidRPr="00B217DC">
        <w:rPr>
          <w:rFonts w:cs="Arial"/>
          <w:color w:val="auto"/>
          <w:sz w:val="20"/>
          <w:szCs w:val="20"/>
        </w:rPr>
        <w:t>64</w:t>
      </w:r>
      <w:r w:rsidR="00C75D88" w:rsidRPr="00B217DC">
        <w:rPr>
          <w:rFonts w:cs="Arial"/>
          <w:color w:val="auto"/>
          <w:sz w:val="20"/>
          <w:szCs w:val="20"/>
        </w:rPr>
        <w:t> </w:t>
      </w:r>
      <w:r w:rsidR="00AB4941" w:rsidRPr="00B217DC">
        <w:rPr>
          <w:rFonts w:cs="Arial"/>
          <w:color w:val="auto"/>
          <w:sz w:val="20"/>
          <w:szCs w:val="20"/>
        </w:rPr>
        <w:t>000</w:t>
      </w:r>
      <w:r w:rsidR="00C75D88" w:rsidRPr="00B217DC">
        <w:rPr>
          <w:rFonts w:cs="Arial"/>
          <w:color w:val="auto"/>
          <w:sz w:val="20"/>
          <w:szCs w:val="20"/>
        </w:rPr>
        <w:t xml:space="preserve"> for CoE</w:t>
      </w:r>
      <w:r w:rsidR="00C71D68" w:rsidRPr="00B217DC">
        <w:rPr>
          <w:rFonts w:cs="Arial"/>
          <w:color w:val="auto"/>
          <w:sz w:val="20"/>
          <w:szCs w:val="20"/>
        </w:rPr>
        <w:t xml:space="preserve">. </w:t>
      </w:r>
      <w:r w:rsidR="00826B57" w:rsidRPr="00B217DC">
        <w:rPr>
          <w:rFonts w:cs="Arial"/>
          <w:color w:val="auto"/>
          <w:sz w:val="20"/>
          <w:szCs w:val="20"/>
        </w:rPr>
        <w:t xml:space="preserve">Notwithstanding that, this programme saw a significant decrease in its operational budget from R32.8 million to R27 million. </w:t>
      </w:r>
      <w:r w:rsidR="00C71D68" w:rsidRPr="00B217DC">
        <w:rPr>
          <w:rFonts w:cs="Arial"/>
          <w:color w:val="auto"/>
          <w:sz w:val="20"/>
          <w:szCs w:val="20"/>
        </w:rPr>
        <w:t>The actual expenditure incurred was</w:t>
      </w:r>
      <w:r w:rsidR="00AB4941" w:rsidRPr="00B217DC">
        <w:rPr>
          <w:rFonts w:cs="Arial"/>
          <w:color w:val="auto"/>
          <w:sz w:val="20"/>
          <w:szCs w:val="20"/>
        </w:rPr>
        <w:t xml:space="preserve"> R113,311 but excluding the transfer to the CGE it was</w:t>
      </w:r>
      <w:r w:rsidR="00C71D68" w:rsidRPr="00B217DC">
        <w:rPr>
          <w:rFonts w:cs="Arial"/>
          <w:color w:val="auto"/>
          <w:sz w:val="20"/>
          <w:szCs w:val="20"/>
        </w:rPr>
        <w:t xml:space="preserve"> R</w:t>
      </w:r>
      <w:r w:rsidR="007C35F7" w:rsidRPr="00B217DC">
        <w:rPr>
          <w:rFonts w:cs="Arial"/>
          <w:color w:val="auto"/>
          <w:sz w:val="20"/>
          <w:szCs w:val="20"/>
        </w:rPr>
        <w:t>21,935</w:t>
      </w:r>
      <w:r w:rsidR="00C71D68" w:rsidRPr="00B217DC">
        <w:rPr>
          <w:rFonts w:cs="Arial"/>
          <w:color w:val="auto"/>
          <w:sz w:val="20"/>
          <w:szCs w:val="20"/>
        </w:rPr>
        <w:t xml:space="preserve"> million, </w:t>
      </w:r>
      <w:r w:rsidR="007C35F7" w:rsidRPr="00B217DC">
        <w:rPr>
          <w:rFonts w:cs="Arial"/>
          <w:color w:val="auto"/>
          <w:sz w:val="20"/>
          <w:szCs w:val="20"/>
        </w:rPr>
        <w:t>12.7</w:t>
      </w:r>
      <w:r w:rsidR="00AB4941" w:rsidRPr="00B217DC">
        <w:rPr>
          <w:rFonts w:cs="Arial"/>
          <w:color w:val="auto"/>
          <w:sz w:val="20"/>
          <w:szCs w:val="20"/>
        </w:rPr>
        <w:t>% of the total operational expenditure</w:t>
      </w:r>
      <w:r w:rsidR="00DF06AF" w:rsidRPr="00B217DC">
        <w:rPr>
          <w:rFonts w:cs="Arial"/>
          <w:color w:val="auto"/>
          <w:sz w:val="20"/>
          <w:szCs w:val="20"/>
        </w:rPr>
        <w:t xml:space="preserve"> and 81,1% of the total programme budget</w:t>
      </w:r>
      <w:r w:rsidR="00C71D68" w:rsidRPr="00B217DC">
        <w:rPr>
          <w:rFonts w:cs="Arial"/>
          <w:color w:val="auto"/>
          <w:sz w:val="20"/>
          <w:szCs w:val="20"/>
        </w:rPr>
        <w:t>.</w:t>
      </w:r>
      <w:r w:rsidR="00333EB4" w:rsidRPr="00B217DC">
        <w:rPr>
          <w:rFonts w:cs="Arial"/>
          <w:color w:val="auto"/>
          <w:sz w:val="20"/>
          <w:szCs w:val="20"/>
        </w:rPr>
        <w:t xml:space="preserve"> Thus an under-expenditure of R</w:t>
      </w:r>
      <w:r w:rsidR="00B8284F" w:rsidRPr="00B217DC">
        <w:rPr>
          <w:rFonts w:cs="Arial"/>
          <w:color w:val="auto"/>
          <w:sz w:val="20"/>
          <w:szCs w:val="20"/>
        </w:rPr>
        <w:t>5,096</w:t>
      </w:r>
      <w:r w:rsidR="00333EB4" w:rsidRPr="00B217DC">
        <w:rPr>
          <w:rFonts w:cs="Arial"/>
          <w:color w:val="auto"/>
          <w:sz w:val="20"/>
          <w:szCs w:val="20"/>
        </w:rPr>
        <w:t xml:space="preserve"> million</w:t>
      </w:r>
      <w:r w:rsidR="00B8284F" w:rsidRPr="00B217DC">
        <w:rPr>
          <w:rFonts w:cs="Arial"/>
          <w:color w:val="auto"/>
          <w:sz w:val="20"/>
          <w:szCs w:val="20"/>
        </w:rPr>
        <w:t xml:space="preserve"> which amounted to 18.8% of the programme operational budget</w:t>
      </w:r>
      <w:r w:rsidR="00333EB4" w:rsidRPr="00B217DC">
        <w:rPr>
          <w:rFonts w:cs="Arial"/>
          <w:color w:val="auto"/>
          <w:sz w:val="20"/>
          <w:szCs w:val="20"/>
        </w:rPr>
        <w:t>.</w:t>
      </w:r>
      <w:r w:rsidR="00C71D68" w:rsidRPr="00B217DC">
        <w:rPr>
          <w:rFonts w:cs="Arial"/>
          <w:color w:val="auto"/>
          <w:sz w:val="20"/>
          <w:szCs w:val="20"/>
        </w:rPr>
        <w:t xml:space="preserve"> The key cost driver</w:t>
      </w:r>
      <w:r w:rsidR="00333EB4" w:rsidRPr="00B217DC">
        <w:rPr>
          <w:rFonts w:cs="Arial"/>
          <w:color w:val="auto"/>
          <w:sz w:val="20"/>
          <w:szCs w:val="20"/>
        </w:rPr>
        <w:t>s</w:t>
      </w:r>
      <w:r w:rsidR="00C71D68" w:rsidRPr="00B217DC">
        <w:rPr>
          <w:rFonts w:cs="Arial"/>
          <w:color w:val="auto"/>
          <w:sz w:val="20"/>
          <w:szCs w:val="20"/>
        </w:rPr>
        <w:t xml:space="preserve"> for this programme was as follows:</w:t>
      </w:r>
    </w:p>
    <w:p w:rsidR="00C71D68" w:rsidRPr="00B217DC" w:rsidRDefault="00C71D68" w:rsidP="00B217DC">
      <w:pPr>
        <w:shd w:val="clear" w:color="auto" w:fill="FFFFFF" w:themeFill="background1"/>
        <w:rPr>
          <w:rFonts w:cs="Arial"/>
          <w:color w:val="auto"/>
          <w:sz w:val="20"/>
          <w:szCs w:val="20"/>
        </w:rPr>
      </w:pPr>
    </w:p>
    <w:p w:rsidR="00C71D68" w:rsidRPr="00B217DC" w:rsidRDefault="00C71D68" w:rsidP="00B217DC">
      <w:pPr>
        <w:pStyle w:val="ListParagraph"/>
        <w:numPr>
          <w:ilvl w:val="0"/>
          <w:numId w:val="49"/>
        </w:numPr>
        <w:shd w:val="clear" w:color="auto" w:fill="FFFFFF" w:themeFill="background1"/>
        <w:rPr>
          <w:rFonts w:cs="Arial"/>
          <w:color w:val="auto"/>
          <w:sz w:val="20"/>
          <w:szCs w:val="20"/>
        </w:rPr>
      </w:pPr>
      <w:r w:rsidRPr="00B217DC">
        <w:rPr>
          <w:rFonts w:cs="Arial"/>
          <w:color w:val="auto"/>
          <w:sz w:val="20"/>
          <w:szCs w:val="20"/>
        </w:rPr>
        <w:t xml:space="preserve">Compensation of Employees accounted for </w:t>
      </w:r>
      <w:r w:rsidR="00A46F70" w:rsidRPr="00B217DC">
        <w:rPr>
          <w:rFonts w:cs="Arial"/>
          <w:color w:val="auto"/>
          <w:sz w:val="20"/>
          <w:szCs w:val="20"/>
        </w:rPr>
        <w:t>63,8</w:t>
      </w:r>
      <w:r w:rsidRPr="00B217DC">
        <w:rPr>
          <w:rFonts w:cs="Arial"/>
          <w:color w:val="auto"/>
          <w:sz w:val="20"/>
          <w:szCs w:val="20"/>
        </w:rPr>
        <w:t>% of the programme budget (R</w:t>
      </w:r>
      <w:r w:rsidR="00A46F70" w:rsidRPr="00B217DC">
        <w:rPr>
          <w:rFonts w:cs="Arial"/>
          <w:color w:val="auto"/>
          <w:sz w:val="20"/>
          <w:szCs w:val="20"/>
        </w:rPr>
        <w:t>17,2</w:t>
      </w:r>
      <w:r w:rsidR="00F75674" w:rsidRPr="00B217DC">
        <w:rPr>
          <w:rFonts w:cs="Arial"/>
          <w:color w:val="auto"/>
          <w:sz w:val="20"/>
          <w:szCs w:val="20"/>
        </w:rPr>
        <w:t xml:space="preserve">m), </w:t>
      </w:r>
    </w:p>
    <w:p w:rsidR="00C71D68" w:rsidRPr="00B217DC" w:rsidRDefault="00C71D68" w:rsidP="00B217DC">
      <w:pPr>
        <w:pStyle w:val="ListParagraph"/>
        <w:numPr>
          <w:ilvl w:val="0"/>
          <w:numId w:val="49"/>
        </w:numPr>
        <w:shd w:val="clear" w:color="auto" w:fill="FFFFFF" w:themeFill="background1"/>
        <w:rPr>
          <w:rFonts w:cs="Arial"/>
          <w:color w:val="auto"/>
          <w:sz w:val="20"/>
          <w:szCs w:val="20"/>
        </w:rPr>
      </w:pPr>
      <w:r w:rsidRPr="00B217DC">
        <w:rPr>
          <w:rFonts w:cs="Arial"/>
          <w:color w:val="auto"/>
          <w:sz w:val="20"/>
          <w:szCs w:val="20"/>
        </w:rPr>
        <w:t xml:space="preserve">Goods and Services accounted for </w:t>
      </w:r>
      <w:r w:rsidR="00A46F70" w:rsidRPr="00B217DC">
        <w:rPr>
          <w:rFonts w:cs="Arial"/>
          <w:color w:val="auto"/>
          <w:sz w:val="20"/>
          <w:szCs w:val="20"/>
        </w:rPr>
        <w:t>17</w:t>
      </w:r>
      <w:r w:rsidRPr="00B217DC">
        <w:rPr>
          <w:rFonts w:cs="Arial"/>
          <w:color w:val="auto"/>
          <w:sz w:val="20"/>
          <w:szCs w:val="20"/>
        </w:rPr>
        <w:t>% of the budget (R</w:t>
      </w:r>
      <w:r w:rsidR="00A46F70" w:rsidRPr="00B217DC">
        <w:rPr>
          <w:rFonts w:cs="Arial"/>
          <w:color w:val="auto"/>
          <w:sz w:val="20"/>
          <w:szCs w:val="20"/>
        </w:rPr>
        <w:t>4,5</w:t>
      </w:r>
      <w:r w:rsidRPr="00B217DC">
        <w:rPr>
          <w:rFonts w:cs="Arial"/>
          <w:color w:val="auto"/>
          <w:sz w:val="20"/>
          <w:szCs w:val="20"/>
        </w:rPr>
        <w:t xml:space="preserve">m) </w:t>
      </w:r>
    </w:p>
    <w:p w:rsidR="00C71D68" w:rsidRPr="00B217DC" w:rsidRDefault="00C71D68" w:rsidP="00B217DC">
      <w:pPr>
        <w:shd w:val="clear" w:color="auto" w:fill="FFFFFF" w:themeFill="background1"/>
        <w:rPr>
          <w:rFonts w:cs="Arial"/>
          <w:color w:val="auto"/>
          <w:sz w:val="20"/>
          <w:szCs w:val="20"/>
        </w:rPr>
      </w:pPr>
    </w:p>
    <w:p w:rsidR="00DF06AF" w:rsidRPr="00B217DC" w:rsidRDefault="00DF06AF" w:rsidP="00B217DC">
      <w:pPr>
        <w:shd w:val="clear" w:color="auto" w:fill="FFFFFF" w:themeFill="background1"/>
        <w:rPr>
          <w:rFonts w:cs="Arial"/>
          <w:color w:val="auto"/>
          <w:sz w:val="20"/>
          <w:szCs w:val="20"/>
        </w:rPr>
      </w:pPr>
      <w:r w:rsidRPr="00B217DC">
        <w:rPr>
          <w:rFonts w:cs="Arial"/>
          <w:color w:val="auto"/>
          <w:sz w:val="20"/>
          <w:szCs w:val="20"/>
        </w:rPr>
        <w:t>Under Good and Services, the key costs drivers were as follows:</w:t>
      </w:r>
    </w:p>
    <w:p w:rsidR="00DF06AF" w:rsidRPr="00B217DC" w:rsidRDefault="00DF06AF" w:rsidP="00B217DC">
      <w:pPr>
        <w:pStyle w:val="ListParagraph"/>
        <w:numPr>
          <w:ilvl w:val="0"/>
          <w:numId w:val="137"/>
        </w:numPr>
        <w:shd w:val="clear" w:color="auto" w:fill="FFFFFF" w:themeFill="background1"/>
        <w:tabs>
          <w:tab w:val="left" w:pos="1020"/>
        </w:tabs>
        <w:rPr>
          <w:rFonts w:cs="Arial"/>
          <w:color w:val="auto"/>
          <w:sz w:val="20"/>
          <w:szCs w:val="20"/>
        </w:rPr>
      </w:pPr>
      <w:r w:rsidRPr="00B217DC">
        <w:rPr>
          <w:rFonts w:cs="Arial"/>
          <w:color w:val="auto"/>
          <w:sz w:val="20"/>
          <w:szCs w:val="20"/>
        </w:rPr>
        <w:t>Consultants: Business and Advisory services = R2.762 m</w:t>
      </w:r>
    </w:p>
    <w:p w:rsidR="00DF06AF" w:rsidRPr="00B217DC" w:rsidRDefault="00DF06AF" w:rsidP="00B217DC">
      <w:pPr>
        <w:pStyle w:val="ListParagraph"/>
        <w:numPr>
          <w:ilvl w:val="0"/>
          <w:numId w:val="137"/>
        </w:numPr>
        <w:shd w:val="clear" w:color="auto" w:fill="FFFFFF" w:themeFill="background1"/>
        <w:tabs>
          <w:tab w:val="left" w:pos="1020"/>
        </w:tabs>
        <w:rPr>
          <w:rFonts w:cs="Arial"/>
          <w:color w:val="auto"/>
          <w:sz w:val="20"/>
          <w:szCs w:val="20"/>
        </w:rPr>
      </w:pPr>
      <w:r w:rsidRPr="00B217DC">
        <w:rPr>
          <w:rFonts w:cs="Arial"/>
          <w:color w:val="auto"/>
          <w:sz w:val="20"/>
          <w:szCs w:val="20"/>
        </w:rPr>
        <w:t>Travel &amp; Subsistence = R511 000</w:t>
      </w:r>
    </w:p>
    <w:p w:rsidR="00DF06AF" w:rsidRPr="00B217DC" w:rsidRDefault="00DF06AF" w:rsidP="00B217DC">
      <w:pPr>
        <w:pStyle w:val="ListParagraph"/>
        <w:numPr>
          <w:ilvl w:val="0"/>
          <w:numId w:val="137"/>
        </w:numPr>
        <w:shd w:val="clear" w:color="auto" w:fill="FFFFFF" w:themeFill="background1"/>
        <w:tabs>
          <w:tab w:val="left" w:pos="1020"/>
        </w:tabs>
        <w:rPr>
          <w:rFonts w:cs="Arial"/>
          <w:color w:val="auto"/>
          <w:sz w:val="20"/>
          <w:szCs w:val="20"/>
        </w:rPr>
      </w:pPr>
      <w:r w:rsidRPr="00B217DC">
        <w:rPr>
          <w:rFonts w:cs="Arial"/>
          <w:color w:val="auto"/>
          <w:sz w:val="20"/>
          <w:szCs w:val="20"/>
        </w:rPr>
        <w:t>Communication = R467 000</w:t>
      </w:r>
    </w:p>
    <w:p w:rsidR="00DF06AF" w:rsidRPr="00B217DC" w:rsidRDefault="00DF06AF" w:rsidP="00B217DC">
      <w:pPr>
        <w:pStyle w:val="ListParagraph"/>
        <w:numPr>
          <w:ilvl w:val="0"/>
          <w:numId w:val="137"/>
        </w:numPr>
        <w:shd w:val="clear" w:color="auto" w:fill="FFFFFF" w:themeFill="background1"/>
        <w:tabs>
          <w:tab w:val="left" w:pos="1020"/>
        </w:tabs>
        <w:rPr>
          <w:rFonts w:cs="Arial"/>
          <w:color w:val="auto"/>
          <w:sz w:val="20"/>
          <w:szCs w:val="20"/>
        </w:rPr>
      </w:pPr>
      <w:r w:rsidRPr="00B217DC">
        <w:rPr>
          <w:rFonts w:cs="Arial"/>
          <w:color w:val="auto"/>
          <w:sz w:val="20"/>
          <w:szCs w:val="20"/>
        </w:rPr>
        <w:t>Venues &amp; Facilities = R296 000</w:t>
      </w:r>
    </w:p>
    <w:p w:rsidR="00DF06AF" w:rsidRPr="00B217DC" w:rsidRDefault="00DF06AF" w:rsidP="00B217DC">
      <w:pPr>
        <w:shd w:val="clear" w:color="auto" w:fill="FFFFFF" w:themeFill="background1"/>
        <w:rPr>
          <w:rFonts w:cs="Arial"/>
          <w:color w:val="auto"/>
          <w:sz w:val="20"/>
          <w:szCs w:val="20"/>
        </w:rPr>
      </w:pPr>
    </w:p>
    <w:p w:rsidR="00C71D68" w:rsidRPr="00B217DC" w:rsidRDefault="00C75D88" w:rsidP="00B217DC">
      <w:pPr>
        <w:shd w:val="clear" w:color="auto" w:fill="FFFFFF" w:themeFill="background1"/>
        <w:rPr>
          <w:rFonts w:cs="Arial"/>
          <w:color w:val="auto"/>
          <w:sz w:val="20"/>
          <w:szCs w:val="20"/>
        </w:rPr>
      </w:pPr>
      <w:r w:rsidRPr="00B217DC">
        <w:rPr>
          <w:rFonts w:cs="Arial"/>
          <w:color w:val="auto"/>
          <w:sz w:val="20"/>
          <w:szCs w:val="20"/>
          <w:lang w:val="en-GB"/>
        </w:rPr>
        <w:t>With respect to the expenditure per sub-programme, Management with a final appropriation of R3,637 million spent R3,526 million with an under-expenditure of R111 000. The Social Empowerment and Participation Programme with a final appropriation of R4,412 million spent R3,614 million incurring an under-expenditure of R528 000. The Governance Transformation, Justice and Security with a final appropriation of R12,096 million spent R7,639 million incurring an under-expenditure of R4,457 million.</w:t>
      </w:r>
      <w:r w:rsidRPr="00B217DC">
        <w:rPr>
          <w:rFonts w:cs="Arial"/>
          <w:color w:val="auto"/>
          <w:sz w:val="20"/>
          <w:szCs w:val="20"/>
        </w:rPr>
        <w:t xml:space="preserve"> </w:t>
      </w:r>
      <w:r w:rsidR="00C71D68" w:rsidRPr="00B217DC">
        <w:rPr>
          <w:rFonts w:cs="Arial"/>
          <w:color w:val="auto"/>
          <w:sz w:val="20"/>
          <w:szCs w:val="20"/>
        </w:rPr>
        <w:t xml:space="preserve">The </w:t>
      </w:r>
      <w:r w:rsidR="004D5054" w:rsidRPr="00B217DC">
        <w:rPr>
          <w:rFonts w:cs="Arial"/>
          <w:color w:val="auto"/>
          <w:sz w:val="20"/>
          <w:szCs w:val="20"/>
        </w:rPr>
        <w:t>Economic Empowerment &amp; Participation</w:t>
      </w:r>
      <w:r w:rsidR="00C71D68" w:rsidRPr="00B217DC">
        <w:rPr>
          <w:rFonts w:cs="Arial"/>
          <w:color w:val="auto"/>
          <w:sz w:val="20"/>
          <w:szCs w:val="20"/>
        </w:rPr>
        <w:t xml:space="preserve"> sub-programme </w:t>
      </w:r>
      <w:r w:rsidRPr="00B217DC">
        <w:rPr>
          <w:rFonts w:cs="Arial"/>
          <w:color w:val="auto"/>
          <w:sz w:val="20"/>
          <w:szCs w:val="20"/>
        </w:rPr>
        <w:t>with a final appropriation of R7,156 million spent all its funds.</w:t>
      </w:r>
      <w:r w:rsidR="00C71D68" w:rsidRPr="00B217DC">
        <w:rPr>
          <w:rFonts w:cs="Arial"/>
          <w:color w:val="auto"/>
          <w:sz w:val="20"/>
          <w:szCs w:val="20"/>
        </w:rPr>
        <w:t xml:space="preserve"> </w:t>
      </w:r>
      <w:r w:rsidR="00972178" w:rsidRPr="00B217DC">
        <w:rPr>
          <w:rFonts w:cs="Arial"/>
          <w:color w:val="auto"/>
          <w:sz w:val="20"/>
          <w:szCs w:val="20"/>
        </w:rPr>
        <w:t xml:space="preserve"> </w:t>
      </w:r>
    </w:p>
    <w:p w:rsidR="00037430" w:rsidRPr="00B217DC" w:rsidRDefault="00037430" w:rsidP="00B217DC">
      <w:pPr>
        <w:rPr>
          <w:rFonts w:cs="Arial"/>
          <w:color w:val="auto"/>
          <w:sz w:val="20"/>
          <w:szCs w:val="20"/>
        </w:rPr>
      </w:pPr>
    </w:p>
    <w:p w:rsidR="00170BD2" w:rsidRPr="00B217DC" w:rsidRDefault="00170BD2" w:rsidP="00B217DC">
      <w:pPr>
        <w:rPr>
          <w:rFonts w:cs="Arial"/>
          <w:b/>
          <w:color w:val="auto"/>
          <w:sz w:val="20"/>
          <w:szCs w:val="20"/>
        </w:rPr>
      </w:pPr>
      <w:r w:rsidRPr="00B217DC">
        <w:rPr>
          <w:rFonts w:cs="Arial"/>
          <w:b/>
          <w:color w:val="auto"/>
          <w:sz w:val="20"/>
          <w:szCs w:val="20"/>
        </w:rPr>
        <w:t>1</w:t>
      </w:r>
      <w:r w:rsidR="00A323CA" w:rsidRPr="00B217DC">
        <w:rPr>
          <w:rFonts w:cs="Arial"/>
          <w:b/>
          <w:color w:val="auto"/>
          <w:sz w:val="20"/>
          <w:szCs w:val="20"/>
        </w:rPr>
        <w:t>4</w:t>
      </w:r>
      <w:r w:rsidRPr="00B217DC">
        <w:rPr>
          <w:rFonts w:cs="Arial"/>
          <w:b/>
          <w:color w:val="auto"/>
          <w:sz w:val="20"/>
          <w:szCs w:val="20"/>
        </w:rPr>
        <w:t>.3</w:t>
      </w:r>
      <w:r w:rsidRPr="00B217DC">
        <w:rPr>
          <w:rFonts w:cs="Arial"/>
          <w:color w:val="auto"/>
          <w:sz w:val="20"/>
          <w:szCs w:val="20"/>
        </w:rPr>
        <w:t xml:space="preserve"> </w:t>
      </w:r>
      <w:r w:rsidRPr="00B217DC">
        <w:rPr>
          <w:rFonts w:cs="Arial"/>
          <w:b/>
          <w:color w:val="auto"/>
          <w:sz w:val="20"/>
          <w:szCs w:val="20"/>
        </w:rPr>
        <w:t>Programme 3:  Policy, Stakeholder Coordination and Knowledge Management</w:t>
      </w:r>
      <w:r w:rsidR="00C64C63" w:rsidRPr="00B217DC">
        <w:rPr>
          <w:rFonts w:cs="Arial"/>
          <w:b/>
          <w:color w:val="auto"/>
          <w:sz w:val="20"/>
          <w:szCs w:val="20"/>
        </w:rPr>
        <w:t xml:space="preserve"> (PSCKM)</w:t>
      </w:r>
    </w:p>
    <w:p w:rsidR="00170BD2" w:rsidRPr="00B217DC" w:rsidRDefault="00170BD2" w:rsidP="00B217DC">
      <w:pPr>
        <w:rPr>
          <w:rFonts w:cs="Arial"/>
          <w:color w:val="auto"/>
          <w:sz w:val="20"/>
          <w:szCs w:val="20"/>
        </w:rPr>
      </w:pPr>
    </w:p>
    <w:p w:rsidR="00170BD2" w:rsidRPr="00B217DC" w:rsidRDefault="00170BD2" w:rsidP="00B217DC">
      <w:pPr>
        <w:rPr>
          <w:rFonts w:cs="Arial"/>
          <w:color w:val="auto"/>
          <w:sz w:val="20"/>
          <w:szCs w:val="20"/>
        </w:rPr>
      </w:pPr>
      <w:r w:rsidRPr="00B217DC">
        <w:rPr>
          <w:rFonts w:cs="Arial"/>
          <w:color w:val="auto"/>
          <w:sz w:val="20"/>
          <w:szCs w:val="20"/>
        </w:rPr>
        <w:t xml:space="preserve">The purpose of programme 3 </w:t>
      </w:r>
      <w:r w:rsidR="00705878" w:rsidRPr="00B217DC">
        <w:rPr>
          <w:rFonts w:cs="Arial"/>
          <w:color w:val="auto"/>
          <w:sz w:val="20"/>
          <w:szCs w:val="20"/>
        </w:rPr>
        <w:t xml:space="preserve">is to </w:t>
      </w:r>
      <w:r w:rsidR="00E7277B" w:rsidRPr="00B217DC">
        <w:rPr>
          <w:rFonts w:cs="Arial"/>
          <w:color w:val="auto"/>
          <w:sz w:val="20"/>
          <w:szCs w:val="20"/>
        </w:rPr>
        <w:t>ensure polic</w:t>
      </w:r>
      <w:r w:rsidR="00705878" w:rsidRPr="00B217DC">
        <w:rPr>
          <w:rFonts w:cs="Arial"/>
          <w:color w:val="auto"/>
          <w:sz w:val="20"/>
          <w:szCs w:val="20"/>
        </w:rPr>
        <w:t>y</w:t>
      </w:r>
      <w:r w:rsidR="00E7277B" w:rsidRPr="00B217DC">
        <w:rPr>
          <w:rFonts w:cs="Arial"/>
          <w:color w:val="auto"/>
          <w:sz w:val="20"/>
          <w:szCs w:val="20"/>
        </w:rPr>
        <w:t xml:space="preserve"> and stakeholder coordination and knowledge management for the social transformation of women in South Africa</w:t>
      </w:r>
      <w:r w:rsidR="00705878" w:rsidRPr="00B217DC">
        <w:rPr>
          <w:rFonts w:cs="Arial"/>
          <w:color w:val="auto"/>
          <w:sz w:val="20"/>
          <w:szCs w:val="20"/>
        </w:rPr>
        <w:t>.</w:t>
      </w:r>
    </w:p>
    <w:p w:rsidR="00170BD2" w:rsidRPr="00B217DC" w:rsidRDefault="00170BD2" w:rsidP="00B217DC">
      <w:pPr>
        <w:ind w:left="1080"/>
        <w:contextualSpacing/>
        <w:rPr>
          <w:rFonts w:cs="Arial"/>
          <w:color w:val="auto"/>
          <w:sz w:val="20"/>
          <w:szCs w:val="20"/>
        </w:rPr>
      </w:pPr>
    </w:p>
    <w:p w:rsidR="00170BD2" w:rsidRPr="00B217DC" w:rsidRDefault="00170BD2" w:rsidP="00B217DC">
      <w:pPr>
        <w:rPr>
          <w:rFonts w:cs="Arial"/>
          <w:color w:val="auto"/>
          <w:sz w:val="20"/>
          <w:szCs w:val="20"/>
        </w:rPr>
      </w:pPr>
      <w:r w:rsidRPr="00B217DC">
        <w:rPr>
          <w:rFonts w:cs="Arial"/>
          <w:color w:val="auto"/>
          <w:sz w:val="20"/>
          <w:szCs w:val="20"/>
        </w:rPr>
        <w:t>The programme consists of</w:t>
      </w:r>
      <w:r w:rsidR="00615934" w:rsidRPr="00B217DC">
        <w:rPr>
          <w:rFonts w:cs="Arial"/>
          <w:color w:val="auto"/>
          <w:sz w:val="20"/>
          <w:szCs w:val="20"/>
        </w:rPr>
        <w:t xml:space="preserve"> the following sub-programmes</w:t>
      </w:r>
      <w:r w:rsidRPr="00B217DC">
        <w:rPr>
          <w:rFonts w:cs="Arial"/>
          <w:color w:val="auto"/>
          <w:sz w:val="20"/>
          <w:szCs w:val="20"/>
        </w:rPr>
        <w:t>:</w:t>
      </w:r>
    </w:p>
    <w:p w:rsidR="00615934" w:rsidRPr="00B217DC" w:rsidRDefault="00615934" w:rsidP="00B217DC">
      <w:pPr>
        <w:numPr>
          <w:ilvl w:val="0"/>
          <w:numId w:val="9"/>
        </w:numPr>
        <w:contextualSpacing/>
        <w:rPr>
          <w:rFonts w:cs="Arial"/>
          <w:color w:val="auto"/>
          <w:spacing w:val="0"/>
          <w:kern w:val="28"/>
          <w:sz w:val="20"/>
          <w:szCs w:val="20"/>
        </w:rPr>
      </w:pPr>
      <w:r w:rsidRPr="00B217DC">
        <w:rPr>
          <w:rFonts w:cs="Arial"/>
          <w:b/>
          <w:color w:val="auto"/>
          <w:spacing w:val="0"/>
          <w:kern w:val="28"/>
          <w:sz w:val="20"/>
          <w:szCs w:val="20"/>
        </w:rPr>
        <w:t>Research, Policy Analysis and Knowledge Management</w:t>
      </w:r>
      <w:r w:rsidRPr="00B217DC">
        <w:rPr>
          <w:rFonts w:cs="Arial"/>
          <w:color w:val="auto"/>
          <w:spacing w:val="0"/>
          <w:kern w:val="28"/>
          <w:sz w:val="20"/>
          <w:szCs w:val="20"/>
        </w:rPr>
        <w:t>: the purpose of the sub-programme is to promote the development of gender sensitive research, position the department as a hub to content relating to the socio-economic empowerment of women, and conduct policy analysis to intervene in transformation for women’s socio-economic empowerment and gender equality.</w:t>
      </w:r>
    </w:p>
    <w:p w:rsidR="00615934" w:rsidRPr="00B217DC" w:rsidRDefault="00615934" w:rsidP="00B217DC">
      <w:pPr>
        <w:numPr>
          <w:ilvl w:val="0"/>
          <w:numId w:val="9"/>
        </w:numPr>
        <w:contextualSpacing/>
        <w:rPr>
          <w:rFonts w:cs="Arial"/>
          <w:color w:val="auto"/>
          <w:spacing w:val="0"/>
          <w:kern w:val="28"/>
          <w:sz w:val="20"/>
          <w:szCs w:val="20"/>
        </w:rPr>
      </w:pPr>
      <w:r w:rsidRPr="00B217DC">
        <w:rPr>
          <w:rFonts w:cs="Arial"/>
          <w:b/>
          <w:color w:val="auto"/>
          <w:spacing w:val="0"/>
          <w:kern w:val="28"/>
          <w:sz w:val="20"/>
          <w:szCs w:val="20"/>
        </w:rPr>
        <w:t>Stakeholder Coordination and Outreach</w:t>
      </w:r>
      <w:r w:rsidRPr="00B217DC">
        <w:rPr>
          <w:rFonts w:cs="Arial"/>
          <w:color w:val="auto"/>
          <w:spacing w:val="0"/>
          <w:kern w:val="28"/>
          <w:sz w:val="20"/>
          <w:szCs w:val="20"/>
        </w:rPr>
        <w:t xml:space="preserve">: the purpose of the sub-programme is </w:t>
      </w:r>
      <w:r w:rsidR="00E7277B" w:rsidRPr="00B217DC">
        <w:rPr>
          <w:rFonts w:cs="Arial"/>
          <w:color w:val="auto"/>
          <w:spacing w:val="0"/>
          <w:kern w:val="28"/>
          <w:sz w:val="20"/>
          <w:szCs w:val="20"/>
        </w:rPr>
        <w:t>to</w:t>
      </w:r>
      <w:r w:rsidRPr="00B217DC">
        <w:rPr>
          <w:rFonts w:cs="Arial"/>
          <w:color w:val="auto"/>
          <w:spacing w:val="0"/>
          <w:kern w:val="28"/>
          <w:sz w:val="20"/>
          <w:szCs w:val="20"/>
        </w:rPr>
        <w:t xml:space="preserve"> conduct </w:t>
      </w:r>
      <w:r w:rsidR="00E7277B" w:rsidRPr="00B217DC">
        <w:rPr>
          <w:rFonts w:cs="Arial"/>
          <w:color w:val="auto"/>
          <w:spacing w:val="0"/>
          <w:kern w:val="28"/>
          <w:sz w:val="20"/>
          <w:szCs w:val="20"/>
        </w:rPr>
        <w:t xml:space="preserve">stakeholder engagements and </w:t>
      </w:r>
      <w:r w:rsidRPr="00B217DC">
        <w:rPr>
          <w:rFonts w:cs="Arial"/>
          <w:color w:val="auto"/>
          <w:spacing w:val="0"/>
          <w:kern w:val="28"/>
          <w:sz w:val="20"/>
          <w:szCs w:val="20"/>
        </w:rPr>
        <w:t xml:space="preserve">outreach initiatives </w:t>
      </w:r>
      <w:r w:rsidR="00E7277B" w:rsidRPr="00B217DC">
        <w:rPr>
          <w:rFonts w:cs="Arial"/>
          <w:color w:val="auto"/>
          <w:spacing w:val="0"/>
          <w:kern w:val="28"/>
          <w:sz w:val="20"/>
          <w:szCs w:val="20"/>
        </w:rPr>
        <w:t>to</w:t>
      </w:r>
      <w:r w:rsidRPr="00B217DC">
        <w:rPr>
          <w:rFonts w:cs="Arial"/>
          <w:color w:val="auto"/>
          <w:spacing w:val="0"/>
          <w:kern w:val="28"/>
          <w:sz w:val="20"/>
          <w:szCs w:val="20"/>
        </w:rPr>
        <w:t xml:space="preserve"> promote </w:t>
      </w:r>
      <w:r w:rsidR="00E7277B" w:rsidRPr="00B217DC">
        <w:rPr>
          <w:rFonts w:cs="Arial"/>
          <w:color w:val="auto"/>
          <w:spacing w:val="0"/>
          <w:kern w:val="28"/>
          <w:sz w:val="20"/>
          <w:szCs w:val="20"/>
        </w:rPr>
        <w:t>empowerment and inclusion of women, youth and persons with disabilities</w:t>
      </w:r>
      <w:r w:rsidRPr="00B217DC">
        <w:rPr>
          <w:rFonts w:cs="Arial"/>
          <w:color w:val="auto"/>
          <w:spacing w:val="0"/>
          <w:kern w:val="28"/>
          <w:sz w:val="20"/>
          <w:szCs w:val="20"/>
        </w:rPr>
        <w:t>.</w:t>
      </w:r>
    </w:p>
    <w:p w:rsidR="00615934" w:rsidRPr="00B217DC" w:rsidRDefault="00615934" w:rsidP="00B217DC">
      <w:pPr>
        <w:numPr>
          <w:ilvl w:val="0"/>
          <w:numId w:val="9"/>
        </w:numPr>
        <w:contextualSpacing/>
        <w:rPr>
          <w:rFonts w:cs="Arial"/>
          <w:color w:val="auto"/>
          <w:spacing w:val="0"/>
          <w:kern w:val="28"/>
          <w:sz w:val="20"/>
          <w:szCs w:val="20"/>
        </w:rPr>
      </w:pPr>
      <w:r w:rsidRPr="00B217DC">
        <w:rPr>
          <w:rFonts w:cs="Arial"/>
          <w:b/>
          <w:color w:val="auto"/>
          <w:spacing w:val="0"/>
          <w:kern w:val="28"/>
          <w:sz w:val="20"/>
          <w:szCs w:val="20"/>
        </w:rPr>
        <w:t>International Relations</w:t>
      </w:r>
      <w:r w:rsidRPr="00B217DC">
        <w:rPr>
          <w:rFonts w:cs="Arial"/>
          <w:color w:val="auto"/>
          <w:spacing w:val="0"/>
          <w:kern w:val="28"/>
          <w:sz w:val="20"/>
          <w:szCs w:val="20"/>
        </w:rPr>
        <w:t xml:space="preserve">: the purpose of the sub-programme is to promote international engagements on women, as well as ensure South Africa’s compliance with international treaties on women. </w:t>
      </w:r>
    </w:p>
    <w:p w:rsidR="00170BD2" w:rsidRPr="00B217DC" w:rsidRDefault="00615934" w:rsidP="00B217DC">
      <w:pPr>
        <w:numPr>
          <w:ilvl w:val="0"/>
          <w:numId w:val="9"/>
        </w:numPr>
        <w:contextualSpacing/>
        <w:rPr>
          <w:rFonts w:cs="Arial"/>
          <w:color w:val="auto"/>
          <w:spacing w:val="0"/>
          <w:kern w:val="28"/>
          <w:sz w:val="20"/>
          <w:szCs w:val="20"/>
        </w:rPr>
      </w:pPr>
      <w:r w:rsidRPr="00B217DC">
        <w:rPr>
          <w:rFonts w:cs="Arial"/>
          <w:b/>
          <w:color w:val="auto"/>
          <w:spacing w:val="0"/>
          <w:kern w:val="28"/>
          <w:sz w:val="20"/>
          <w:szCs w:val="20"/>
        </w:rPr>
        <w:t>Monitoring and evaluation</w:t>
      </w:r>
      <w:r w:rsidRPr="00B217DC">
        <w:rPr>
          <w:rFonts w:cs="Arial"/>
          <w:color w:val="auto"/>
          <w:spacing w:val="0"/>
          <w:kern w:val="28"/>
          <w:sz w:val="20"/>
          <w:szCs w:val="20"/>
        </w:rPr>
        <w:t xml:space="preserve">: the purpose of the sub-programme is to monitor and evaluate progress on the </w:t>
      </w:r>
      <w:r w:rsidR="00E7277B" w:rsidRPr="00B217DC">
        <w:rPr>
          <w:rFonts w:cs="Arial"/>
          <w:color w:val="auto"/>
          <w:spacing w:val="0"/>
          <w:kern w:val="28"/>
          <w:sz w:val="20"/>
          <w:szCs w:val="20"/>
        </w:rPr>
        <w:t xml:space="preserve">socioeconomic </w:t>
      </w:r>
      <w:r w:rsidRPr="00B217DC">
        <w:rPr>
          <w:rFonts w:cs="Arial"/>
          <w:color w:val="auto"/>
          <w:spacing w:val="0"/>
          <w:kern w:val="28"/>
          <w:sz w:val="20"/>
          <w:szCs w:val="20"/>
        </w:rPr>
        <w:t xml:space="preserve">empowerment of women in line with national </w:t>
      </w:r>
      <w:r w:rsidR="00E7277B" w:rsidRPr="00B217DC">
        <w:rPr>
          <w:rFonts w:cs="Arial"/>
          <w:color w:val="auto"/>
          <w:spacing w:val="0"/>
          <w:kern w:val="28"/>
          <w:sz w:val="20"/>
          <w:szCs w:val="20"/>
        </w:rPr>
        <w:t>laws, and regional and continental and international treatie</w:t>
      </w:r>
      <w:r w:rsidRPr="00B217DC">
        <w:rPr>
          <w:rFonts w:cs="Arial"/>
          <w:color w:val="auto"/>
          <w:spacing w:val="0"/>
          <w:kern w:val="28"/>
          <w:sz w:val="20"/>
          <w:szCs w:val="20"/>
        </w:rPr>
        <w:t>s</w:t>
      </w:r>
      <w:r w:rsidR="00E7277B" w:rsidRPr="00B217DC">
        <w:rPr>
          <w:rFonts w:cs="Arial"/>
          <w:color w:val="auto"/>
          <w:spacing w:val="0"/>
          <w:kern w:val="28"/>
          <w:sz w:val="20"/>
          <w:szCs w:val="20"/>
        </w:rPr>
        <w:t xml:space="preserve"> and commitments</w:t>
      </w:r>
      <w:r w:rsidRPr="00B217DC">
        <w:rPr>
          <w:rFonts w:cs="Arial"/>
          <w:color w:val="auto"/>
          <w:spacing w:val="0"/>
          <w:kern w:val="28"/>
          <w:sz w:val="20"/>
          <w:szCs w:val="20"/>
        </w:rPr>
        <w:t xml:space="preserve">. </w:t>
      </w:r>
    </w:p>
    <w:p w:rsidR="00170BD2" w:rsidRPr="00B217DC" w:rsidRDefault="00170BD2" w:rsidP="00B217DC">
      <w:pPr>
        <w:rPr>
          <w:rFonts w:cs="Arial"/>
          <w:color w:val="auto"/>
          <w:sz w:val="20"/>
          <w:szCs w:val="20"/>
          <w:lang w:val="en-GB"/>
        </w:rPr>
      </w:pPr>
    </w:p>
    <w:p w:rsidR="008754A6" w:rsidRPr="00B217DC" w:rsidRDefault="00037430" w:rsidP="00B217DC">
      <w:pPr>
        <w:rPr>
          <w:rFonts w:cs="Arial"/>
          <w:color w:val="auto"/>
          <w:sz w:val="20"/>
          <w:szCs w:val="20"/>
          <w:lang w:val="en-GB"/>
        </w:rPr>
      </w:pPr>
      <w:r w:rsidRPr="00B217DC">
        <w:rPr>
          <w:rFonts w:cs="Arial"/>
          <w:color w:val="auto"/>
          <w:sz w:val="20"/>
          <w:szCs w:val="20"/>
          <w:lang w:val="en-GB"/>
        </w:rPr>
        <w:t>This p</w:t>
      </w:r>
      <w:r w:rsidR="00170BD2" w:rsidRPr="00B217DC">
        <w:rPr>
          <w:rFonts w:cs="Arial"/>
          <w:color w:val="auto"/>
          <w:sz w:val="20"/>
          <w:szCs w:val="20"/>
          <w:lang w:val="en-GB"/>
        </w:rPr>
        <w:t>rogramme planned</w:t>
      </w:r>
      <w:r w:rsidR="000E1F14" w:rsidRPr="00B217DC">
        <w:rPr>
          <w:rFonts w:cs="Arial"/>
          <w:color w:val="auto"/>
          <w:sz w:val="20"/>
          <w:szCs w:val="20"/>
          <w:lang w:val="en-GB"/>
        </w:rPr>
        <w:t xml:space="preserve"> for </w:t>
      </w:r>
      <w:r w:rsidR="004F0AB0" w:rsidRPr="00B217DC">
        <w:rPr>
          <w:rFonts w:cs="Arial"/>
          <w:color w:val="auto"/>
          <w:sz w:val="20"/>
          <w:szCs w:val="20"/>
          <w:lang w:val="en-GB"/>
        </w:rPr>
        <w:t>13</w:t>
      </w:r>
      <w:r w:rsidR="000E1F14" w:rsidRPr="00B217DC">
        <w:rPr>
          <w:rFonts w:cs="Arial"/>
          <w:color w:val="auto"/>
          <w:sz w:val="20"/>
          <w:szCs w:val="20"/>
          <w:lang w:val="en-GB"/>
        </w:rPr>
        <w:t xml:space="preserve"> targets </w:t>
      </w:r>
      <w:r w:rsidR="008754A6" w:rsidRPr="00B217DC">
        <w:rPr>
          <w:rFonts w:cs="Arial"/>
          <w:color w:val="auto"/>
          <w:sz w:val="20"/>
          <w:szCs w:val="20"/>
          <w:lang w:val="en-GB"/>
        </w:rPr>
        <w:t xml:space="preserve">as per the revised APP </w:t>
      </w:r>
      <w:r w:rsidR="000E1F14" w:rsidRPr="00B217DC">
        <w:rPr>
          <w:rFonts w:cs="Arial"/>
          <w:color w:val="auto"/>
          <w:sz w:val="20"/>
          <w:szCs w:val="20"/>
          <w:lang w:val="en-GB"/>
        </w:rPr>
        <w:t xml:space="preserve">and achieved </w:t>
      </w:r>
      <w:r w:rsidR="004F0AB0" w:rsidRPr="00B217DC">
        <w:rPr>
          <w:rFonts w:cs="Arial"/>
          <w:color w:val="auto"/>
          <w:sz w:val="20"/>
          <w:szCs w:val="20"/>
          <w:lang w:val="en-GB"/>
        </w:rPr>
        <w:t>all</w:t>
      </w:r>
      <w:r w:rsidR="000E1F14" w:rsidRPr="00B217DC">
        <w:rPr>
          <w:rFonts w:cs="Arial"/>
          <w:color w:val="auto"/>
          <w:sz w:val="20"/>
          <w:szCs w:val="20"/>
          <w:lang w:val="en-GB"/>
        </w:rPr>
        <w:t>.</w:t>
      </w:r>
      <w:r w:rsidR="008754A6" w:rsidRPr="00B217DC">
        <w:rPr>
          <w:rFonts w:cs="Arial"/>
          <w:color w:val="auto"/>
          <w:sz w:val="20"/>
          <w:szCs w:val="20"/>
          <w:lang w:val="en-GB"/>
        </w:rPr>
        <w:t xml:space="preserve"> </w:t>
      </w:r>
    </w:p>
    <w:p w:rsidR="000E1F14" w:rsidRPr="00B217DC" w:rsidRDefault="000E1F14" w:rsidP="00B217DC">
      <w:pPr>
        <w:rPr>
          <w:rFonts w:cs="Arial"/>
          <w:color w:val="auto"/>
          <w:sz w:val="20"/>
          <w:szCs w:val="20"/>
          <w:lang w:val="en-GB"/>
        </w:rPr>
      </w:pPr>
    </w:p>
    <w:p w:rsidR="000E1F14" w:rsidRPr="00B217DC" w:rsidRDefault="000E1F14" w:rsidP="00B217DC">
      <w:pPr>
        <w:rPr>
          <w:rFonts w:cs="Arial"/>
          <w:color w:val="auto"/>
          <w:sz w:val="20"/>
          <w:szCs w:val="20"/>
          <w:lang w:val="en-GB"/>
        </w:rPr>
      </w:pPr>
      <w:r w:rsidRPr="00B217DC">
        <w:rPr>
          <w:rFonts w:cs="Arial"/>
          <w:color w:val="auto"/>
          <w:sz w:val="20"/>
          <w:szCs w:val="20"/>
          <w:lang w:val="en-GB"/>
        </w:rPr>
        <w:lastRenderedPageBreak/>
        <w:t>The programme was allocated R</w:t>
      </w:r>
      <w:r w:rsidR="004F0AB0" w:rsidRPr="00B217DC">
        <w:rPr>
          <w:rFonts w:cs="Arial"/>
          <w:color w:val="auto"/>
          <w:sz w:val="20"/>
          <w:szCs w:val="20"/>
          <w:lang w:val="en-GB"/>
        </w:rPr>
        <w:t>40,6</w:t>
      </w:r>
      <w:r w:rsidRPr="00B217DC">
        <w:rPr>
          <w:rFonts w:cs="Arial"/>
          <w:color w:val="auto"/>
          <w:sz w:val="20"/>
          <w:szCs w:val="20"/>
          <w:lang w:val="en-GB"/>
        </w:rPr>
        <w:t xml:space="preserve"> million as per the ENE </w:t>
      </w:r>
      <w:r w:rsidR="00787881" w:rsidRPr="00B217DC">
        <w:rPr>
          <w:rFonts w:cs="Arial"/>
          <w:color w:val="auto"/>
          <w:sz w:val="20"/>
          <w:szCs w:val="20"/>
          <w:lang w:val="en-GB"/>
        </w:rPr>
        <w:t>202</w:t>
      </w:r>
      <w:r w:rsidR="003F1677" w:rsidRPr="00B217DC">
        <w:rPr>
          <w:rFonts w:cs="Arial"/>
          <w:color w:val="auto"/>
          <w:sz w:val="20"/>
          <w:szCs w:val="20"/>
          <w:lang w:val="en-GB"/>
        </w:rPr>
        <w:t>1</w:t>
      </w:r>
      <w:r w:rsidR="00787881" w:rsidRPr="00B217DC">
        <w:rPr>
          <w:rFonts w:cs="Arial"/>
          <w:color w:val="auto"/>
          <w:sz w:val="20"/>
          <w:szCs w:val="20"/>
          <w:lang w:val="en-GB"/>
        </w:rPr>
        <w:t>.</w:t>
      </w:r>
      <w:r w:rsidRPr="00B217DC">
        <w:rPr>
          <w:rFonts w:cs="Arial"/>
          <w:color w:val="auto"/>
          <w:sz w:val="20"/>
          <w:szCs w:val="20"/>
          <w:lang w:val="en-GB"/>
        </w:rPr>
        <w:t xml:space="preserve"> </w:t>
      </w:r>
      <w:r w:rsidR="00787881" w:rsidRPr="00B217DC">
        <w:rPr>
          <w:rFonts w:cs="Arial"/>
          <w:color w:val="auto"/>
          <w:sz w:val="20"/>
          <w:szCs w:val="20"/>
          <w:lang w:val="en-GB"/>
        </w:rPr>
        <w:t>The</w:t>
      </w:r>
      <w:r w:rsidRPr="00B217DC">
        <w:rPr>
          <w:rFonts w:cs="Arial"/>
          <w:color w:val="auto"/>
          <w:sz w:val="20"/>
          <w:szCs w:val="20"/>
          <w:lang w:val="en-GB"/>
        </w:rPr>
        <w:t xml:space="preserve"> final appropriation was </w:t>
      </w:r>
      <w:r w:rsidR="00333EB4" w:rsidRPr="00B217DC">
        <w:rPr>
          <w:rFonts w:cs="Arial"/>
          <w:color w:val="auto"/>
          <w:sz w:val="20"/>
          <w:szCs w:val="20"/>
          <w:lang w:val="en-GB"/>
        </w:rPr>
        <w:t>R</w:t>
      </w:r>
      <w:r w:rsidR="00AB4941" w:rsidRPr="00B217DC">
        <w:rPr>
          <w:rFonts w:cs="Arial"/>
          <w:color w:val="auto"/>
          <w:sz w:val="20"/>
          <w:szCs w:val="20"/>
          <w:lang w:val="en-GB"/>
        </w:rPr>
        <w:t>35,668</w:t>
      </w:r>
      <w:r w:rsidRPr="00B217DC">
        <w:rPr>
          <w:rFonts w:cs="Arial"/>
          <w:color w:val="auto"/>
          <w:sz w:val="20"/>
          <w:szCs w:val="20"/>
          <w:lang w:val="en-GB"/>
        </w:rPr>
        <w:t xml:space="preserve"> million</w:t>
      </w:r>
      <w:r w:rsidR="00826B57" w:rsidRPr="00B217DC">
        <w:rPr>
          <w:rFonts w:cs="Arial"/>
          <w:color w:val="auto"/>
          <w:sz w:val="20"/>
          <w:szCs w:val="20"/>
          <w:lang w:val="en-GB"/>
        </w:rPr>
        <w:t xml:space="preserve"> hence a decrease of R4,4 million</w:t>
      </w:r>
      <w:r w:rsidR="004F0AB0" w:rsidRPr="00B217DC">
        <w:rPr>
          <w:rFonts w:cs="Arial"/>
          <w:color w:val="auto"/>
          <w:sz w:val="20"/>
          <w:szCs w:val="20"/>
          <w:lang w:val="en-GB"/>
        </w:rPr>
        <w:t>. A</w:t>
      </w:r>
      <w:r w:rsidRPr="00B217DC">
        <w:rPr>
          <w:rFonts w:cs="Arial"/>
          <w:color w:val="auto"/>
          <w:sz w:val="20"/>
          <w:szCs w:val="20"/>
          <w:lang w:val="en-GB"/>
        </w:rPr>
        <w:t xml:space="preserve"> virement</w:t>
      </w:r>
      <w:r w:rsidR="00306DCD" w:rsidRPr="00B217DC">
        <w:rPr>
          <w:rFonts w:cs="Arial"/>
          <w:color w:val="auto"/>
          <w:sz w:val="20"/>
          <w:szCs w:val="20"/>
          <w:lang w:val="en-GB"/>
        </w:rPr>
        <w:t xml:space="preserve"> </w:t>
      </w:r>
      <w:r w:rsidR="004F0AB0" w:rsidRPr="00B217DC">
        <w:rPr>
          <w:rFonts w:cs="Arial"/>
          <w:color w:val="auto"/>
          <w:sz w:val="20"/>
          <w:szCs w:val="20"/>
          <w:lang w:val="en-GB"/>
        </w:rPr>
        <w:t xml:space="preserve">of </w:t>
      </w:r>
      <w:r w:rsidR="00306DCD" w:rsidRPr="00B217DC">
        <w:rPr>
          <w:rFonts w:cs="Arial"/>
          <w:color w:val="auto"/>
          <w:sz w:val="20"/>
          <w:szCs w:val="20"/>
          <w:lang w:val="en-GB"/>
        </w:rPr>
        <w:t>R</w:t>
      </w:r>
      <w:r w:rsidR="004F0AB0" w:rsidRPr="00B217DC">
        <w:rPr>
          <w:rFonts w:cs="Arial"/>
          <w:color w:val="auto"/>
          <w:sz w:val="20"/>
          <w:szCs w:val="20"/>
          <w:lang w:val="en-GB"/>
        </w:rPr>
        <w:t>1,992</w:t>
      </w:r>
      <w:r w:rsidR="00306DCD" w:rsidRPr="00B217DC">
        <w:rPr>
          <w:rFonts w:cs="Arial"/>
          <w:color w:val="auto"/>
          <w:sz w:val="20"/>
          <w:szCs w:val="20"/>
          <w:lang w:val="en-GB"/>
        </w:rPr>
        <w:t xml:space="preserve"> million</w:t>
      </w:r>
      <w:r w:rsidR="004F0AB0" w:rsidRPr="00B217DC">
        <w:rPr>
          <w:rFonts w:cs="Arial"/>
          <w:color w:val="auto"/>
          <w:sz w:val="20"/>
          <w:szCs w:val="20"/>
          <w:lang w:val="en-GB"/>
        </w:rPr>
        <w:t xml:space="preserve"> for CoE</w:t>
      </w:r>
      <w:r w:rsidR="00306DCD" w:rsidRPr="00B217DC">
        <w:rPr>
          <w:rFonts w:cs="Arial"/>
          <w:color w:val="auto"/>
          <w:sz w:val="20"/>
          <w:szCs w:val="20"/>
          <w:lang w:val="en-GB"/>
        </w:rPr>
        <w:t xml:space="preserve"> </w:t>
      </w:r>
      <w:r w:rsidR="004F0AB0" w:rsidRPr="00B217DC">
        <w:rPr>
          <w:rFonts w:cs="Arial"/>
          <w:color w:val="auto"/>
          <w:sz w:val="20"/>
          <w:szCs w:val="20"/>
          <w:lang w:val="en-GB"/>
        </w:rPr>
        <w:t>was recorded within the management and Stakeholder Coordination and Outreach sub-programmes</w:t>
      </w:r>
      <w:r w:rsidRPr="00B217DC">
        <w:rPr>
          <w:rFonts w:cs="Arial"/>
          <w:color w:val="auto"/>
          <w:sz w:val="20"/>
          <w:szCs w:val="20"/>
          <w:lang w:val="en-GB"/>
        </w:rPr>
        <w:t>. The actual expenditure incurred was R</w:t>
      </w:r>
      <w:r w:rsidR="007C35F7" w:rsidRPr="00B217DC">
        <w:rPr>
          <w:rFonts w:cs="Arial"/>
          <w:color w:val="auto"/>
          <w:sz w:val="20"/>
          <w:szCs w:val="20"/>
          <w:lang w:val="en-GB"/>
        </w:rPr>
        <w:t>26,059</w:t>
      </w:r>
      <w:r w:rsidRPr="00B217DC">
        <w:rPr>
          <w:rFonts w:cs="Arial"/>
          <w:color w:val="auto"/>
          <w:sz w:val="20"/>
          <w:szCs w:val="20"/>
          <w:lang w:val="en-GB"/>
        </w:rPr>
        <w:t xml:space="preserve"> million</w:t>
      </w:r>
      <w:r w:rsidR="004F0AB0" w:rsidRPr="00B217DC">
        <w:rPr>
          <w:rFonts w:cs="Arial"/>
          <w:color w:val="auto"/>
          <w:sz w:val="20"/>
          <w:szCs w:val="20"/>
          <w:lang w:val="en-GB"/>
        </w:rPr>
        <w:t xml:space="preserve"> which is 73% of the total programme budget spent and</w:t>
      </w:r>
      <w:r w:rsidRPr="00B217DC">
        <w:rPr>
          <w:rFonts w:cs="Arial"/>
          <w:color w:val="auto"/>
          <w:sz w:val="20"/>
          <w:szCs w:val="20"/>
          <w:lang w:val="en-GB"/>
        </w:rPr>
        <w:t xml:space="preserve"> </w:t>
      </w:r>
      <w:r w:rsidR="007C35F7" w:rsidRPr="00B217DC">
        <w:rPr>
          <w:rFonts w:cs="Arial"/>
          <w:color w:val="auto"/>
          <w:sz w:val="20"/>
          <w:szCs w:val="20"/>
          <w:lang w:val="en-GB"/>
        </w:rPr>
        <w:t>15.1% of the operational</w:t>
      </w:r>
      <w:r w:rsidRPr="00B217DC">
        <w:rPr>
          <w:rFonts w:cs="Arial"/>
          <w:color w:val="auto"/>
          <w:sz w:val="20"/>
          <w:szCs w:val="20"/>
          <w:lang w:val="en-GB"/>
        </w:rPr>
        <w:t xml:space="preserve"> </w:t>
      </w:r>
      <w:r w:rsidR="007C35F7" w:rsidRPr="00B217DC">
        <w:rPr>
          <w:rFonts w:cs="Arial"/>
          <w:color w:val="auto"/>
          <w:sz w:val="20"/>
          <w:szCs w:val="20"/>
          <w:lang w:val="en-GB"/>
        </w:rPr>
        <w:t>expenditure</w:t>
      </w:r>
      <w:r w:rsidRPr="00B217DC">
        <w:rPr>
          <w:rFonts w:cs="Arial"/>
          <w:color w:val="auto"/>
          <w:sz w:val="20"/>
          <w:szCs w:val="20"/>
          <w:lang w:val="en-GB"/>
        </w:rPr>
        <w:t xml:space="preserve">. Notwithstanding the virement, this programme </w:t>
      </w:r>
      <w:r w:rsidR="00306DCD" w:rsidRPr="00B217DC">
        <w:rPr>
          <w:rFonts w:cs="Arial"/>
          <w:color w:val="auto"/>
          <w:sz w:val="20"/>
          <w:szCs w:val="20"/>
          <w:lang w:val="en-GB"/>
        </w:rPr>
        <w:t xml:space="preserve">still incurred </w:t>
      </w:r>
      <w:r w:rsidRPr="00B217DC">
        <w:rPr>
          <w:rFonts w:cs="Arial"/>
          <w:color w:val="auto"/>
          <w:sz w:val="20"/>
          <w:szCs w:val="20"/>
          <w:lang w:val="en-GB"/>
        </w:rPr>
        <w:t>a</w:t>
      </w:r>
      <w:r w:rsidR="00FC2628" w:rsidRPr="00B217DC">
        <w:rPr>
          <w:rFonts w:cs="Arial"/>
          <w:color w:val="auto"/>
          <w:sz w:val="20"/>
          <w:szCs w:val="20"/>
          <w:lang w:val="en-GB"/>
        </w:rPr>
        <w:t>n</w:t>
      </w:r>
      <w:r w:rsidRPr="00B217DC">
        <w:rPr>
          <w:rFonts w:cs="Arial"/>
          <w:color w:val="auto"/>
          <w:sz w:val="20"/>
          <w:szCs w:val="20"/>
          <w:lang w:val="en-GB"/>
        </w:rPr>
        <w:t xml:space="preserve"> under-expenditure </w:t>
      </w:r>
      <w:r w:rsidR="00051D90" w:rsidRPr="00B217DC">
        <w:rPr>
          <w:rFonts w:cs="Arial"/>
          <w:color w:val="auto"/>
          <w:sz w:val="20"/>
          <w:szCs w:val="20"/>
          <w:lang w:val="en-GB"/>
        </w:rPr>
        <w:t>of R</w:t>
      </w:r>
      <w:r w:rsidR="00E37C6B" w:rsidRPr="00B217DC">
        <w:rPr>
          <w:rFonts w:cs="Arial"/>
          <w:color w:val="auto"/>
          <w:sz w:val="20"/>
          <w:szCs w:val="20"/>
          <w:lang w:val="en-GB"/>
        </w:rPr>
        <w:t>9,</w:t>
      </w:r>
      <w:r w:rsidR="00B8284F" w:rsidRPr="00B217DC">
        <w:rPr>
          <w:rFonts w:cs="Arial"/>
          <w:color w:val="auto"/>
          <w:sz w:val="20"/>
          <w:szCs w:val="20"/>
          <w:lang w:val="en-GB"/>
        </w:rPr>
        <w:t>609</w:t>
      </w:r>
      <w:r w:rsidR="00FC2628" w:rsidRPr="00B217DC">
        <w:rPr>
          <w:rFonts w:cs="Arial"/>
          <w:color w:val="auto"/>
          <w:sz w:val="20"/>
          <w:szCs w:val="20"/>
          <w:lang w:val="en-GB"/>
        </w:rPr>
        <w:t xml:space="preserve"> million</w:t>
      </w:r>
      <w:r w:rsidR="00B8284F" w:rsidRPr="00B217DC">
        <w:rPr>
          <w:rFonts w:cs="Arial"/>
          <w:color w:val="auto"/>
          <w:sz w:val="20"/>
          <w:szCs w:val="20"/>
          <w:lang w:val="en-GB"/>
        </w:rPr>
        <w:t xml:space="preserve"> which amounts to</w:t>
      </w:r>
      <w:r w:rsidR="00AB4941" w:rsidRPr="00B217DC">
        <w:rPr>
          <w:rFonts w:cs="Arial"/>
          <w:color w:val="auto"/>
          <w:sz w:val="20"/>
          <w:szCs w:val="20"/>
          <w:lang w:val="en-GB"/>
        </w:rPr>
        <w:t xml:space="preserve"> </w:t>
      </w:r>
      <w:r w:rsidR="00B8284F" w:rsidRPr="00B217DC">
        <w:rPr>
          <w:rFonts w:cs="Arial"/>
          <w:color w:val="auto"/>
          <w:sz w:val="20"/>
          <w:szCs w:val="20"/>
          <w:lang w:val="en-GB"/>
        </w:rPr>
        <w:t>26.9% of the programme operational budget</w:t>
      </w:r>
      <w:r w:rsidRPr="00B217DC">
        <w:rPr>
          <w:rFonts w:cs="Arial"/>
          <w:color w:val="auto"/>
          <w:sz w:val="20"/>
          <w:szCs w:val="20"/>
          <w:lang w:val="en-GB"/>
        </w:rPr>
        <w:t>. The key cost driver</w:t>
      </w:r>
      <w:r w:rsidR="003E25D7" w:rsidRPr="00B217DC">
        <w:rPr>
          <w:rFonts w:cs="Arial"/>
          <w:color w:val="auto"/>
          <w:sz w:val="20"/>
          <w:szCs w:val="20"/>
          <w:lang w:val="en-GB"/>
        </w:rPr>
        <w:t>s</w:t>
      </w:r>
      <w:r w:rsidRPr="00B217DC">
        <w:rPr>
          <w:rFonts w:cs="Arial"/>
          <w:color w:val="auto"/>
          <w:sz w:val="20"/>
          <w:szCs w:val="20"/>
          <w:lang w:val="en-GB"/>
        </w:rPr>
        <w:t xml:space="preserve"> for this programme was as follows:</w:t>
      </w:r>
    </w:p>
    <w:p w:rsidR="000E1F14" w:rsidRPr="00B217DC" w:rsidRDefault="000E1F14" w:rsidP="00B217DC">
      <w:pPr>
        <w:rPr>
          <w:rFonts w:cs="Arial"/>
          <w:color w:val="auto"/>
          <w:sz w:val="20"/>
          <w:szCs w:val="20"/>
          <w:lang w:val="en-GB"/>
        </w:rPr>
      </w:pPr>
    </w:p>
    <w:p w:rsidR="00FC2628" w:rsidRPr="00B217DC" w:rsidRDefault="000E1F14" w:rsidP="00B217DC">
      <w:pPr>
        <w:pStyle w:val="ListParagraph"/>
        <w:numPr>
          <w:ilvl w:val="0"/>
          <w:numId w:val="50"/>
        </w:numPr>
        <w:rPr>
          <w:rFonts w:cs="Arial"/>
          <w:color w:val="auto"/>
          <w:sz w:val="20"/>
          <w:szCs w:val="20"/>
          <w:lang w:val="en-GB"/>
        </w:rPr>
      </w:pPr>
      <w:r w:rsidRPr="00B217DC">
        <w:rPr>
          <w:rFonts w:cs="Arial"/>
          <w:color w:val="auto"/>
          <w:sz w:val="20"/>
          <w:szCs w:val="20"/>
          <w:lang w:val="en-GB"/>
        </w:rPr>
        <w:t xml:space="preserve">Compensation of Employees accounted for </w:t>
      </w:r>
      <w:r w:rsidR="004F0AB0" w:rsidRPr="00B217DC">
        <w:rPr>
          <w:rFonts w:cs="Arial"/>
          <w:color w:val="auto"/>
          <w:sz w:val="20"/>
          <w:szCs w:val="20"/>
          <w:lang w:val="en-GB"/>
        </w:rPr>
        <w:t>60.3</w:t>
      </w:r>
      <w:r w:rsidR="003E25D7" w:rsidRPr="00B217DC">
        <w:rPr>
          <w:rFonts w:cs="Arial"/>
          <w:color w:val="auto"/>
          <w:sz w:val="20"/>
          <w:szCs w:val="20"/>
          <w:lang w:val="en-GB"/>
        </w:rPr>
        <w:t>% of the programme budget (R</w:t>
      </w:r>
      <w:r w:rsidR="004F0AB0" w:rsidRPr="00B217DC">
        <w:rPr>
          <w:rFonts w:cs="Arial"/>
          <w:color w:val="auto"/>
          <w:sz w:val="20"/>
          <w:szCs w:val="20"/>
          <w:lang w:val="en-GB"/>
        </w:rPr>
        <w:t>21,539</w:t>
      </w:r>
      <w:r w:rsidR="00FC2628" w:rsidRPr="00B217DC">
        <w:rPr>
          <w:rFonts w:cs="Arial"/>
          <w:color w:val="auto"/>
          <w:sz w:val="20"/>
          <w:szCs w:val="20"/>
          <w:lang w:val="en-GB"/>
        </w:rPr>
        <w:t>m)</w:t>
      </w:r>
    </w:p>
    <w:p w:rsidR="000E1F14" w:rsidRPr="00B217DC" w:rsidRDefault="000E1F14" w:rsidP="00B217DC">
      <w:pPr>
        <w:pStyle w:val="ListParagraph"/>
        <w:numPr>
          <w:ilvl w:val="0"/>
          <w:numId w:val="50"/>
        </w:numPr>
        <w:rPr>
          <w:rFonts w:cs="Arial"/>
          <w:color w:val="auto"/>
          <w:sz w:val="20"/>
          <w:szCs w:val="20"/>
          <w:lang w:val="en-GB"/>
        </w:rPr>
      </w:pPr>
      <w:r w:rsidRPr="00B217DC">
        <w:rPr>
          <w:rFonts w:cs="Arial"/>
          <w:color w:val="auto"/>
          <w:sz w:val="20"/>
          <w:szCs w:val="20"/>
          <w:lang w:val="en-GB"/>
        </w:rPr>
        <w:t xml:space="preserve">Goods and Services accounted for </w:t>
      </w:r>
      <w:r w:rsidR="004F0AB0" w:rsidRPr="00B217DC">
        <w:rPr>
          <w:rFonts w:cs="Arial"/>
          <w:color w:val="auto"/>
          <w:sz w:val="20"/>
          <w:szCs w:val="20"/>
          <w:lang w:val="en-GB"/>
        </w:rPr>
        <w:t>12.5</w:t>
      </w:r>
      <w:r w:rsidR="00AD518B" w:rsidRPr="00B217DC">
        <w:rPr>
          <w:rFonts w:cs="Arial"/>
          <w:color w:val="auto"/>
          <w:sz w:val="20"/>
          <w:szCs w:val="20"/>
          <w:lang w:val="en-GB"/>
        </w:rPr>
        <w:t>% of the budget (R</w:t>
      </w:r>
      <w:r w:rsidR="004F0AB0" w:rsidRPr="00B217DC">
        <w:rPr>
          <w:rFonts w:cs="Arial"/>
          <w:color w:val="auto"/>
          <w:sz w:val="20"/>
          <w:szCs w:val="20"/>
          <w:lang w:val="en-GB"/>
        </w:rPr>
        <w:t>4,4</w:t>
      </w:r>
      <w:r w:rsidR="00FC2628" w:rsidRPr="00B217DC">
        <w:rPr>
          <w:rFonts w:cs="Arial"/>
          <w:color w:val="auto"/>
          <w:sz w:val="20"/>
          <w:szCs w:val="20"/>
          <w:lang w:val="en-GB"/>
        </w:rPr>
        <w:t>m)</w:t>
      </w:r>
    </w:p>
    <w:p w:rsidR="00972178" w:rsidRPr="00B217DC" w:rsidRDefault="00972178" w:rsidP="00B217DC">
      <w:pPr>
        <w:rPr>
          <w:rFonts w:cs="Arial"/>
          <w:color w:val="auto"/>
          <w:sz w:val="20"/>
          <w:szCs w:val="20"/>
          <w:lang w:val="en-GB"/>
        </w:rPr>
      </w:pPr>
    </w:p>
    <w:p w:rsidR="004F0AB0" w:rsidRPr="00B217DC" w:rsidRDefault="004F0AB0" w:rsidP="00B217DC">
      <w:pPr>
        <w:rPr>
          <w:rFonts w:cs="Arial"/>
          <w:color w:val="auto"/>
          <w:sz w:val="20"/>
          <w:szCs w:val="20"/>
          <w:lang w:val="en-GB"/>
        </w:rPr>
      </w:pPr>
      <w:r w:rsidRPr="00B217DC">
        <w:rPr>
          <w:rFonts w:cs="Arial"/>
          <w:color w:val="auto"/>
          <w:sz w:val="20"/>
          <w:szCs w:val="20"/>
          <w:lang w:val="en-GB"/>
        </w:rPr>
        <w:t>Under Goods and Services, the key cost drivers were as follows:</w:t>
      </w:r>
    </w:p>
    <w:p w:rsidR="004F0AB0" w:rsidRPr="00B217DC" w:rsidRDefault="004F0AB0" w:rsidP="00B217DC">
      <w:pPr>
        <w:pStyle w:val="ListParagraph"/>
        <w:numPr>
          <w:ilvl w:val="0"/>
          <w:numId w:val="138"/>
        </w:numPr>
        <w:rPr>
          <w:rFonts w:cs="Arial"/>
          <w:color w:val="auto"/>
          <w:sz w:val="20"/>
          <w:szCs w:val="20"/>
          <w:lang w:val="en-GB"/>
        </w:rPr>
      </w:pPr>
      <w:r w:rsidRPr="00B217DC">
        <w:rPr>
          <w:rFonts w:cs="Arial"/>
          <w:color w:val="auto"/>
          <w:sz w:val="20"/>
          <w:szCs w:val="20"/>
          <w:lang w:val="en-GB"/>
        </w:rPr>
        <w:t>Advertising = R1.042 m</w:t>
      </w:r>
    </w:p>
    <w:p w:rsidR="004F0AB0" w:rsidRPr="00B217DC" w:rsidRDefault="004F0AB0" w:rsidP="00B217DC">
      <w:pPr>
        <w:pStyle w:val="ListParagraph"/>
        <w:numPr>
          <w:ilvl w:val="0"/>
          <w:numId w:val="138"/>
        </w:numPr>
        <w:rPr>
          <w:rFonts w:cs="Arial"/>
          <w:color w:val="auto"/>
          <w:sz w:val="20"/>
          <w:szCs w:val="20"/>
          <w:lang w:val="en-GB"/>
        </w:rPr>
      </w:pPr>
      <w:r w:rsidRPr="00B217DC">
        <w:rPr>
          <w:rFonts w:cs="Arial"/>
          <w:color w:val="auto"/>
          <w:sz w:val="20"/>
          <w:szCs w:val="20"/>
          <w:lang w:val="en-GB"/>
        </w:rPr>
        <w:t>Travel &amp; Subsistence = R835 000</w:t>
      </w:r>
    </w:p>
    <w:p w:rsidR="004F0AB0" w:rsidRPr="00B217DC" w:rsidRDefault="004F0AB0" w:rsidP="00B217DC">
      <w:pPr>
        <w:pStyle w:val="ListParagraph"/>
        <w:numPr>
          <w:ilvl w:val="0"/>
          <w:numId w:val="138"/>
        </w:numPr>
        <w:rPr>
          <w:rFonts w:cs="Arial"/>
          <w:color w:val="auto"/>
          <w:sz w:val="20"/>
          <w:szCs w:val="20"/>
          <w:lang w:val="en-GB"/>
        </w:rPr>
      </w:pPr>
      <w:r w:rsidRPr="00B217DC">
        <w:rPr>
          <w:rFonts w:cs="Arial"/>
          <w:color w:val="auto"/>
          <w:sz w:val="20"/>
          <w:szCs w:val="20"/>
          <w:lang w:val="en-GB"/>
        </w:rPr>
        <w:t>Consultants: Business and Advisory services = R 727 000</w:t>
      </w:r>
    </w:p>
    <w:p w:rsidR="004F0AB0" w:rsidRPr="00B217DC" w:rsidRDefault="004F0AB0" w:rsidP="00B217DC">
      <w:pPr>
        <w:pStyle w:val="ListParagraph"/>
        <w:numPr>
          <w:ilvl w:val="0"/>
          <w:numId w:val="138"/>
        </w:numPr>
        <w:rPr>
          <w:rFonts w:cs="Arial"/>
          <w:color w:val="auto"/>
          <w:sz w:val="20"/>
          <w:szCs w:val="20"/>
          <w:lang w:val="en-GB"/>
        </w:rPr>
      </w:pPr>
      <w:r w:rsidRPr="00B217DC">
        <w:rPr>
          <w:rFonts w:cs="Arial"/>
          <w:color w:val="auto"/>
          <w:sz w:val="20"/>
          <w:szCs w:val="20"/>
          <w:lang w:val="en-GB"/>
        </w:rPr>
        <w:t>Venues &amp; Facilities = R 680 000</w:t>
      </w:r>
    </w:p>
    <w:p w:rsidR="004F0AB0" w:rsidRPr="00B217DC" w:rsidRDefault="004F0AB0" w:rsidP="00B217DC">
      <w:pPr>
        <w:rPr>
          <w:rFonts w:cs="Arial"/>
          <w:color w:val="auto"/>
          <w:sz w:val="20"/>
          <w:szCs w:val="20"/>
          <w:lang w:val="en-GB"/>
        </w:rPr>
      </w:pPr>
    </w:p>
    <w:p w:rsidR="00A323CA" w:rsidRPr="00B217DC" w:rsidRDefault="00AD518B" w:rsidP="00B217DC">
      <w:pPr>
        <w:rPr>
          <w:rFonts w:cs="Arial"/>
          <w:color w:val="auto"/>
          <w:sz w:val="20"/>
          <w:szCs w:val="20"/>
          <w:lang w:val="en-GB"/>
        </w:rPr>
      </w:pPr>
      <w:r w:rsidRPr="00B217DC">
        <w:rPr>
          <w:rFonts w:cs="Arial"/>
          <w:color w:val="auto"/>
          <w:sz w:val="20"/>
          <w:szCs w:val="20"/>
          <w:lang w:val="en-GB"/>
        </w:rPr>
        <w:t>The sub-programme Stakeholder Coordination and Outreach</w:t>
      </w:r>
      <w:r w:rsidRPr="00B217DC">
        <w:rPr>
          <w:rFonts w:cs="Arial"/>
          <w:color w:val="auto"/>
          <w:sz w:val="20"/>
          <w:szCs w:val="20"/>
        </w:rPr>
        <w:t xml:space="preserve"> incurred </w:t>
      </w:r>
      <w:r w:rsidR="00DB0153" w:rsidRPr="00B217DC">
        <w:rPr>
          <w:rFonts w:cs="Arial"/>
          <w:color w:val="auto"/>
          <w:sz w:val="20"/>
          <w:szCs w:val="20"/>
        </w:rPr>
        <w:t>43.9%</w:t>
      </w:r>
      <w:r w:rsidRPr="00B217DC">
        <w:rPr>
          <w:rFonts w:cs="Arial"/>
          <w:color w:val="auto"/>
          <w:sz w:val="20"/>
          <w:szCs w:val="20"/>
        </w:rPr>
        <w:t xml:space="preserve"> of the </w:t>
      </w:r>
      <w:r w:rsidR="00DB0153" w:rsidRPr="00B217DC">
        <w:rPr>
          <w:rFonts w:cs="Arial"/>
          <w:color w:val="auto"/>
          <w:sz w:val="20"/>
          <w:szCs w:val="20"/>
        </w:rPr>
        <w:t xml:space="preserve">total </w:t>
      </w:r>
      <w:r w:rsidRPr="00B217DC">
        <w:rPr>
          <w:rFonts w:cs="Arial"/>
          <w:color w:val="auto"/>
          <w:sz w:val="20"/>
          <w:szCs w:val="20"/>
        </w:rPr>
        <w:t xml:space="preserve">expenditure for </w:t>
      </w:r>
      <w:r w:rsidR="00DB0153" w:rsidRPr="00B217DC">
        <w:rPr>
          <w:rFonts w:cs="Arial"/>
          <w:color w:val="auto"/>
          <w:sz w:val="20"/>
          <w:szCs w:val="20"/>
        </w:rPr>
        <w:t>this Programme</w:t>
      </w:r>
      <w:r w:rsidRPr="00B217DC">
        <w:rPr>
          <w:rFonts w:cs="Arial"/>
          <w:color w:val="auto"/>
          <w:sz w:val="20"/>
          <w:szCs w:val="20"/>
        </w:rPr>
        <w:t>, R</w:t>
      </w:r>
      <w:r w:rsidR="00DB0153" w:rsidRPr="00B217DC">
        <w:rPr>
          <w:rFonts w:cs="Arial"/>
          <w:color w:val="auto"/>
          <w:sz w:val="20"/>
          <w:szCs w:val="20"/>
        </w:rPr>
        <w:t>11,431</w:t>
      </w:r>
      <w:r w:rsidRPr="00B217DC">
        <w:rPr>
          <w:rFonts w:cs="Arial"/>
          <w:color w:val="auto"/>
          <w:sz w:val="20"/>
          <w:szCs w:val="20"/>
        </w:rPr>
        <w:t xml:space="preserve"> million</w:t>
      </w:r>
      <w:r w:rsidR="00DB0153" w:rsidRPr="00B217DC">
        <w:rPr>
          <w:rFonts w:cs="Arial"/>
          <w:color w:val="auto"/>
          <w:sz w:val="20"/>
          <w:szCs w:val="20"/>
        </w:rPr>
        <w:t xml:space="preserve"> but still incurring an </w:t>
      </w:r>
      <w:r w:rsidR="00787881" w:rsidRPr="00B217DC">
        <w:rPr>
          <w:rFonts w:cs="Arial"/>
          <w:color w:val="auto"/>
          <w:sz w:val="20"/>
          <w:szCs w:val="20"/>
        </w:rPr>
        <w:t>under</w:t>
      </w:r>
      <w:r w:rsidRPr="00B217DC">
        <w:rPr>
          <w:rFonts w:cs="Arial"/>
          <w:color w:val="auto"/>
          <w:sz w:val="20"/>
          <w:szCs w:val="20"/>
        </w:rPr>
        <w:t>-expenditure of R</w:t>
      </w:r>
      <w:r w:rsidR="00DB0153" w:rsidRPr="00B217DC">
        <w:rPr>
          <w:rFonts w:cs="Arial"/>
          <w:color w:val="auto"/>
          <w:sz w:val="20"/>
          <w:szCs w:val="20"/>
        </w:rPr>
        <w:t xml:space="preserve">4,178 </w:t>
      </w:r>
      <w:r w:rsidR="00787881" w:rsidRPr="00B217DC">
        <w:rPr>
          <w:rFonts w:cs="Arial"/>
          <w:color w:val="auto"/>
          <w:sz w:val="20"/>
          <w:szCs w:val="20"/>
        </w:rPr>
        <w:t>million</w:t>
      </w:r>
      <w:r w:rsidR="00DB0153" w:rsidRPr="00B217DC">
        <w:rPr>
          <w:rFonts w:cs="Arial"/>
          <w:color w:val="auto"/>
          <w:sz w:val="20"/>
          <w:szCs w:val="20"/>
        </w:rPr>
        <w:t xml:space="preserve"> out of the final appropriation of R15,509 million</w:t>
      </w:r>
      <w:r w:rsidRPr="00B217DC">
        <w:rPr>
          <w:rFonts w:cs="Arial"/>
          <w:color w:val="auto"/>
          <w:sz w:val="20"/>
          <w:szCs w:val="20"/>
        </w:rPr>
        <w:t>.</w:t>
      </w:r>
      <w:r w:rsidR="00972178" w:rsidRPr="00B217DC">
        <w:rPr>
          <w:rFonts w:cs="Arial"/>
          <w:color w:val="auto"/>
          <w:sz w:val="20"/>
          <w:szCs w:val="20"/>
        </w:rPr>
        <w:t xml:space="preserve"> </w:t>
      </w:r>
      <w:r w:rsidR="00DB0153" w:rsidRPr="00B217DC">
        <w:rPr>
          <w:rFonts w:cs="Arial"/>
          <w:color w:val="auto"/>
          <w:sz w:val="20"/>
          <w:szCs w:val="20"/>
        </w:rPr>
        <w:t xml:space="preserve">The Management sub-programme </w:t>
      </w:r>
      <w:r w:rsidR="00DB0153" w:rsidRPr="00B217DC">
        <w:rPr>
          <w:rFonts w:cs="Arial"/>
          <w:color w:val="auto"/>
          <w:sz w:val="20"/>
          <w:szCs w:val="20"/>
          <w:lang w:val="en-GB"/>
        </w:rPr>
        <w:t>t with a final appropriation of R2,516 million spent R1,485 million with an under-expenditure of R1,031 million. The Research sub-programme with a final appropriation of R7,931 million spent R6,769 million incurring an under-expenditure of R1,1162 million. The Monitoring and Evaluation sub-programme with a final appropriation of R9,612 million spent R6,374 million incurring an under-expenditure of R3,238 million.</w:t>
      </w:r>
    </w:p>
    <w:p w:rsidR="00DB0153" w:rsidRPr="00B217DC" w:rsidRDefault="00DB0153" w:rsidP="00B217DC">
      <w:pPr>
        <w:rPr>
          <w:rFonts w:cs="Arial"/>
          <w:color w:val="auto"/>
          <w:sz w:val="20"/>
          <w:szCs w:val="20"/>
          <w:lang w:val="en-GB"/>
        </w:rPr>
      </w:pPr>
    </w:p>
    <w:p w:rsidR="00A9692C" w:rsidRPr="00B217DC" w:rsidRDefault="00A323CA" w:rsidP="00B217DC">
      <w:pPr>
        <w:pStyle w:val="ListParagraph"/>
        <w:numPr>
          <w:ilvl w:val="1"/>
          <w:numId w:val="56"/>
        </w:numPr>
        <w:rPr>
          <w:rFonts w:cs="Arial"/>
          <w:b/>
          <w:color w:val="auto"/>
          <w:spacing w:val="0"/>
          <w:kern w:val="28"/>
          <w:sz w:val="20"/>
          <w:szCs w:val="20"/>
        </w:rPr>
      </w:pPr>
      <w:r w:rsidRPr="00B217DC">
        <w:rPr>
          <w:rFonts w:cs="Arial"/>
          <w:b/>
          <w:color w:val="auto"/>
          <w:spacing w:val="0"/>
          <w:kern w:val="28"/>
          <w:sz w:val="20"/>
          <w:szCs w:val="20"/>
        </w:rPr>
        <w:t xml:space="preserve">  </w:t>
      </w:r>
      <w:r w:rsidR="00A9692C" w:rsidRPr="00B217DC">
        <w:rPr>
          <w:rFonts w:cs="Arial"/>
          <w:b/>
          <w:color w:val="auto"/>
          <w:spacing w:val="0"/>
          <w:kern w:val="28"/>
          <w:sz w:val="20"/>
          <w:szCs w:val="20"/>
        </w:rPr>
        <w:t xml:space="preserve">Programme </w:t>
      </w:r>
      <w:r w:rsidR="003E25D7" w:rsidRPr="00B217DC">
        <w:rPr>
          <w:rFonts w:cs="Arial"/>
          <w:b/>
          <w:color w:val="auto"/>
          <w:spacing w:val="0"/>
          <w:kern w:val="28"/>
          <w:sz w:val="20"/>
          <w:szCs w:val="20"/>
        </w:rPr>
        <w:t>4</w:t>
      </w:r>
      <w:r w:rsidR="00C64C63" w:rsidRPr="00B217DC">
        <w:rPr>
          <w:rFonts w:cs="Arial"/>
          <w:b/>
          <w:color w:val="auto"/>
          <w:spacing w:val="0"/>
          <w:kern w:val="28"/>
          <w:sz w:val="20"/>
          <w:szCs w:val="20"/>
        </w:rPr>
        <w:t>: Rights of Persons with Disabilities</w:t>
      </w:r>
    </w:p>
    <w:p w:rsidR="00442157" w:rsidRPr="00B217DC" w:rsidRDefault="00442157" w:rsidP="00B217DC">
      <w:pPr>
        <w:rPr>
          <w:rFonts w:cs="Arial"/>
          <w:b/>
          <w:color w:val="auto"/>
          <w:spacing w:val="0"/>
          <w:kern w:val="28"/>
          <w:sz w:val="20"/>
          <w:szCs w:val="20"/>
        </w:rPr>
      </w:pPr>
    </w:p>
    <w:p w:rsidR="00E65153" w:rsidRPr="00B217DC" w:rsidRDefault="00AD518B" w:rsidP="00B217DC">
      <w:pPr>
        <w:rPr>
          <w:rFonts w:cs="Arial"/>
          <w:color w:val="auto"/>
          <w:spacing w:val="0"/>
          <w:kern w:val="28"/>
          <w:sz w:val="20"/>
          <w:szCs w:val="20"/>
        </w:rPr>
      </w:pPr>
      <w:r w:rsidRPr="00B217DC">
        <w:rPr>
          <w:rFonts w:cs="Arial"/>
          <w:color w:val="auto"/>
          <w:spacing w:val="0"/>
          <w:kern w:val="28"/>
          <w:sz w:val="20"/>
          <w:szCs w:val="20"/>
        </w:rPr>
        <w:t xml:space="preserve">The purpose of this programme is to </w:t>
      </w:r>
      <w:r w:rsidR="00265B75" w:rsidRPr="00B217DC">
        <w:rPr>
          <w:rFonts w:cs="Arial"/>
          <w:color w:val="auto"/>
          <w:spacing w:val="0"/>
          <w:kern w:val="28"/>
          <w:sz w:val="20"/>
          <w:szCs w:val="20"/>
        </w:rPr>
        <w:t>oversee the implementation of programmes pertaining to persons with disabilities</w:t>
      </w:r>
      <w:r w:rsidR="00E65153" w:rsidRPr="00B217DC">
        <w:rPr>
          <w:rFonts w:cs="Arial"/>
          <w:color w:val="auto"/>
          <w:spacing w:val="0"/>
          <w:kern w:val="28"/>
          <w:sz w:val="20"/>
          <w:szCs w:val="20"/>
        </w:rPr>
        <w:t>.</w:t>
      </w:r>
    </w:p>
    <w:p w:rsidR="00E65153" w:rsidRPr="00B217DC" w:rsidRDefault="00E65153" w:rsidP="00B217DC">
      <w:pPr>
        <w:rPr>
          <w:rFonts w:cs="Arial"/>
          <w:color w:val="auto"/>
          <w:spacing w:val="0"/>
          <w:kern w:val="28"/>
          <w:sz w:val="20"/>
          <w:szCs w:val="20"/>
        </w:rPr>
      </w:pPr>
    </w:p>
    <w:p w:rsidR="00E65153" w:rsidRPr="00B217DC" w:rsidRDefault="00E65153" w:rsidP="00B217DC">
      <w:pPr>
        <w:rPr>
          <w:rFonts w:cs="Arial"/>
          <w:color w:val="auto"/>
          <w:spacing w:val="0"/>
          <w:kern w:val="28"/>
          <w:sz w:val="20"/>
          <w:szCs w:val="20"/>
        </w:rPr>
      </w:pPr>
      <w:r w:rsidRPr="00B217DC">
        <w:rPr>
          <w:rFonts w:cs="Arial"/>
          <w:color w:val="auto"/>
          <w:spacing w:val="0"/>
          <w:kern w:val="28"/>
          <w:sz w:val="20"/>
          <w:szCs w:val="20"/>
        </w:rPr>
        <w:t>This Programme</w:t>
      </w:r>
      <w:r w:rsidR="00265B75" w:rsidRPr="00B217DC">
        <w:rPr>
          <w:rFonts w:cs="Arial"/>
          <w:color w:val="auto"/>
          <w:spacing w:val="0"/>
          <w:kern w:val="28"/>
          <w:sz w:val="20"/>
          <w:szCs w:val="20"/>
        </w:rPr>
        <w:t>’s</w:t>
      </w:r>
      <w:r w:rsidRPr="00B217DC">
        <w:rPr>
          <w:rFonts w:cs="Arial"/>
          <w:color w:val="auto"/>
          <w:spacing w:val="0"/>
          <w:kern w:val="28"/>
          <w:sz w:val="20"/>
          <w:szCs w:val="20"/>
        </w:rPr>
        <w:t xml:space="preserve"> sub-programme</w:t>
      </w:r>
      <w:r w:rsidR="00265B75" w:rsidRPr="00B217DC">
        <w:rPr>
          <w:rFonts w:cs="Arial"/>
          <w:color w:val="auto"/>
          <w:spacing w:val="0"/>
          <w:kern w:val="28"/>
          <w:sz w:val="20"/>
          <w:szCs w:val="20"/>
        </w:rPr>
        <w:t xml:space="preserve"> aim is stated as follows</w:t>
      </w:r>
      <w:r w:rsidRPr="00B217DC">
        <w:rPr>
          <w:rFonts w:cs="Arial"/>
          <w:color w:val="auto"/>
          <w:spacing w:val="0"/>
          <w:kern w:val="28"/>
          <w:sz w:val="20"/>
          <w:szCs w:val="20"/>
        </w:rPr>
        <w:t>:</w:t>
      </w:r>
    </w:p>
    <w:p w:rsidR="00E65153" w:rsidRPr="00B217DC" w:rsidRDefault="00265B75" w:rsidP="00B217DC">
      <w:pPr>
        <w:pStyle w:val="ListParagraph"/>
        <w:numPr>
          <w:ilvl w:val="0"/>
          <w:numId w:val="53"/>
        </w:numPr>
        <w:rPr>
          <w:rFonts w:cs="Arial"/>
          <w:color w:val="auto"/>
          <w:spacing w:val="0"/>
          <w:kern w:val="28"/>
          <w:sz w:val="20"/>
          <w:szCs w:val="20"/>
        </w:rPr>
      </w:pPr>
      <w:r w:rsidRPr="00B217DC">
        <w:rPr>
          <w:rFonts w:cs="Arial"/>
          <w:color w:val="auto"/>
          <w:spacing w:val="0"/>
          <w:kern w:val="28"/>
          <w:sz w:val="20"/>
          <w:szCs w:val="20"/>
        </w:rPr>
        <w:t>Maintains and implements advocacy and mainstreaming guidelines and frameworks for the rights of people with disabilities</w:t>
      </w:r>
      <w:r w:rsidR="00E65153" w:rsidRPr="00B217DC">
        <w:rPr>
          <w:rFonts w:cs="Arial"/>
          <w:color w:val="auto"/>
          <w:spacing w:val="0"/>
          <w:kern w:val="28"/>
          <w:sz w:val="20"/>
          <w:szCs w:val="20"/>
        </w:rPr>
        <w:t>.</w:t>
      </w:r>
    </w:p>
    <w:p w:rsidR="00E65153" w:rsidRPr="00B217DC" w:rsidRDefault="00E65153" w:rsidP="00B217DC">
      <w:pPr>
        <w:rPr>
          <w:rFonts w:cs="Arial"/>
          <w:color w:val="auto"/>
          <w:spacing w:val="0"/>
          <w:kern w:val="28"/>
          <w:sz w:val="20"/>
          <w:szCs w:val="20"/>
        </w:rPr>
      </w:pPr>
    </w:p>
    <w:p w:rsidR="00DE0040" w:rsidRPr="00B217DC" w:rsidRDefault="00E65153" w:rsidP="00B217DC">
      <w:pPr>
        <w:rPr>
          <w:rFonts w:cs="Arial"/>
          <w:color w:val="auto"/>
          <w:spacing w:val="0"/>
          <w:kern w:val="28"/>
          <w:sz w:val="20"/>
          <w:szCs w:val="20"/>
          <w:lang w:val="en-GB"/>
        </w:rPr>
      </w:pPr>
      <w:r w:rsidRPr="00B217DC">
        <w:rPr>
          <w:rFonts w:cs="Arial"/>
          <w:color w:val="auto"/>
          <w:spacing w:val="0"/>
          <w:kern w:val="28"/>
          <w:sz w:val="20"/>
          <w:szCs w:val="20"/>
          <w:lang w:val="en-GB"/>
        </w:rPr>
        <w:t xml:space="preserve">This programme planned for </w:t>
      </w:r>
      <w:r w:rsidR="00826B57" w:rsidRPr="00B217DC">
        <w:rPr>
          <w:rFonts w:cs="Arial"/>
          <w:color w:val="auto"/>
          <w:spacing w:val="0"/>
          <w:kern w:val="28"/>
          <w:sz w:val="20"/>
          <w:szCs w:val="20"/>
          <w:lang w:val="en-GB"/>
        </w:rPr>
        <w:t>7</w:t>
      </w:r>
      <w:r w:rsidRPr="00B217DC">
        <w:rPr>
          <w:rFonts w:cs="Arial"/>
          <w:color w:val="auto"/>
          <w:spacing w:val="0"/>
          <w:kern w:val="28"/>
          <w:sz w:val="20"/>
          <w:szCs w:val="20"/>
          <w:lang w:val="en-GB"/>
        </w:rPr>
        <w:t xml:space="preserve"> targets and achieved</w:t>
      </w:r>
      <w:r w:rsidR="00826B57" w:rsidRPr="00B217DC">
        <w:rPr>
          <w:rFonts w:cs="Arial"/>
          <w:color w:val="auto"/>
          <w:spacing w:val="0"/>
          <w:kern w:val="28"/>
          <w:sz w:val="20"/>
          <w:szCs w:val="20"/>
          <w:lang w:val="en-GB"/>
        </w:rPr>
        <w:t xml:space="preserve"> all</w:t>
      </w:r>
      <w:r w:rsidRPr="00B217DC">
        <w:rPr>
          <w:rFonts w:cs="Arial"/>
          <w:color w:val="auto"/>
          <w:spacing w:val="0"/>
          <w:kern w:val="28"/>
          <w:sz w:val="20"/>
          <w:szCs w:val="20"/>
          <w:lang w:val="en-GB"/>
        </w:rPr>
        <w:t xml:space="preserve">. </w:t>
      </w:r>
    </w:p>
    <w:p w:rsidR="003E25D7" w:rsidRPr="00B217DC" w:rsidRDefault="003E25D7" w:rsidP="00B217DC">
      <w:pPr>
        <w:rPr>
          <w:rFonts w:cs="Arial"/>
          <w:color w:val="auto"/>
          <w:spacing w:val="0"/>
          <w:kern w:val="28"/>
          <w:sz w:val="20"/>
          <w:szCs w:val="20"/>
          <w:lang w:val="en-GB"/>
        </w:rPr>
      </w:pPr>
      <w:r w:rsidRPr="00B217DC">
        <w:rPr>
          <w:rFonts w:cs="Arial"/>
          <w:color w:val="auto"/>
          <w:spacing w:val="0"/>
          <w:kern w:val="28"/>
          <w:sz w:val="20"/>
          <w:szCs w:val="20"/>
          <w:lang w:val="en-GB"/>
        </w:rPr>
        <w:t>The programme was allocated R</w:t>
      </w:r>
      <w:r w:rsidR="00826B57" w:rsidRPr="00B217DC">
        <w:rPr>
          <w:rFonts w:cs="Arial"/>
          <w:color w:val="auto"/>
          <w:spacing w:val="0"/>
          <w:kern w:val="28"/>
          <w:sz w:val="20"/>
          <w:szCs w:val="20"/>
          <w:lang w:val="en-GB"/>
        </w:rPr>
        <w:t>17,3</w:t>
      </w:r>
      <w:r w:rsidRPr="00B217DC">
        <w:rPr>
          <w:rFonts w:cs="Arial"/>
          <w:color w:val="auto"/>
          <w:spacing w:val="0"/>
          <w:kern w:val="28"/>
          <w:sz w:val="20"/>
          <w:szCs w:val="20"/>
          <w:lang w:val="en-GB"/>
        </w:rPr>
        <w:t xml:space="preserve"> million as per the ENE </w:t>
      </w:r>
      <w:r w:rsidR="004D5054" w:rsidRPr="00B217DC">
        <w:rPr>
          <w:rFonts w:cs="Arial"/>
          <w:color w:val="auto"/>
          <w:spacing w:val="0"/>
          <w:kern w:val="28"/>
          <w:sz w:val="20"/>
          <w:szCs w:val="20"/>
          <w:lang w:val="en-GB"/>
        </w:rPr>
        <w:t>202</w:t>
      </w:r>
      <w:r w:rsidR="003F1677" w:rsidRPr="00B217DC">
        <w:rPr>
          <w:rFonts w:cs="Arial"/>
          <w:color w:val="auto"/>
          <w:spacing w:val="0"/>
          <w:kern w:val="28"/>
          <w:sz w:val="20"/>
          <w:szCs w:val="20"/>
          <w:lang w:val="en-GB"/>
        </w:rPr>
        <w:t>1</w:t>
      </w:r>
      <w:r w:rsidR="00830725" w:rsidRPr="00B217DC">
        <w:rPr>
          <w:rFonts w:cs="Arial"/>
          <w:color w:val="auto"/>
          <w:spacing w:val="0"/>
          <w:kern w:val="28"/>
          <w:sz w:val="20"/>
          <w:szCs w:val="20"/>
          <w:lang w:val="en-GB"/>
        </w:rPr>
        <w:t>. T</w:t>
      </w:r>
      <w:r w:rsidRPr="00B217DC">
        <w:rPr>
          <w:rFonts w:cs="Arial"/>
          <w:color w:val="auto"/>
          <w:spacing w:val="0"/>
          <w:kern w:val="28"/>
          <w:sz w:val="20"/>
          <w:szCs w:val="20"/>
          <w:lang w:val="en-GB"/>
        </w:rPr>
        <w:t>he final appropriation was R</w:t>
      </w:r>
      <w:r w:rsidR="00782A5C" w:rsidRPr="00B217DC">
        <w:rPr>
          <w:rFonts w:cs="Arial"/>
          <w:color w:val="auto"/>
          <w:spacing w:val="0"/>
          <w:kern w:val="28"/>
          <w:sz w:val="20"/>
          <w:szCs w:val="20"/>
          <w:lang w:val="en-GB"/>
        </w:rPr>
        <w:t>16,383</w:t>
      </w:r>
      <w:r w:rsidRPr="00B217DC">
        <w:rPr>
          <w:rFonts w:cs="Arial"/>
          <w:color w:val="auto"/>
          <w:spacing w:val="0"/>
          <w:kern w:val="28"/>
          <w:sz w:val="20"/>
          <w:szCs w:val="20"/>
          <w:lang w:val="en-GB"/>
        </w:rPr>
        <w:t xml:space="preserve"> million</w:t>
      </w:r>
      <w:r w:rsidR="00826B57" w:rsidRPr="00B217DC">
        <w:rPr>
          <w:rFonts w:cs="Arial"/>
          <w:color w:val="auto"/>
          <w:spacing w:val="0"/>
          <w:kern w:val="28"/>
          <w:sz w:val="20"/>
          <w:szCs w:val="20"/>
          <w:lang w:val="en-GB"/>
        </w:rPr>
        <w:t xml:space="preserve"> hence a decrease. A</w:t>
      </w:r>
      <w:r w:rsidRPr="00B217DC">
        <w:rPr>
          <w:rFonts w:cs="Arial"/>
          <w:color w:val="auto"/>
          <w:spacing w:val="0"/>
          <w:kern w:val="28"/>
          <w:sz w:val="20"/>
          <w:szCs w:val="20"/>
          <w:lang w:val="en-GB"/>
        </w:rPr>
        <w:t xml:space="preserve"> vi</w:t>
      </w:r>
      <w:r w:rsidR="007C35F7" w:rsidRPr="00B217DC">
        <w:rPr>
          <w:rFonts w:cs="Arial"/>
          <w:color w:val="auto"/>
          <w:spacing w:val="0"/>
          <w:kern w:val="28"/>
          <w:sz w:val="20"/>
          <w:szCs w:val="20"/>
          <w:lang w:val="en-GB"/>
        </w:rPr>
        <w:t xml:space="preserve">rement </w:t>
      </w:r>
      <w:r w:rsidR="00826B57" w:rsidRPr="00B217DC">
        <w:rPr>
          <w:rFonts w:cs="Arial"/>
          <w:color w:val="auto"/>
          <w:spacing w:val="0"/>
          <w:kern w:val="28"/>
          <w:sz w:val="20"/>
          <w:szCs w:val="20"/>
          <w:lang w:val="en-GB"/>
        </w:rPr>
        <w:t xml:space="preserve">of </w:t>
      </w:r>
      <w:r w:rsidR="007C35F7" w:rsidRPr="00B217DC">
        <w:rPr>
          <w:rFonts w:cs="Arial"/>
          <w:color w:val="auto"/>
          <w:spacing w:val="0"/>
          <w:kern w:val="28"/>
          <w:sz w:val="20"/>
          <w:szCs w:val="20"/>
          <w:lang w:val="en-GB"/>
        </w:rPr>
        <w:t>R</w:t>
      </w:r>
      <w:r w:rsidR="00826B57" w:rsidRPr="00B217DC">
        <w:rPr>
          <w:rFonts w:cs="Arial"/>
          <w:color w:val="auto"/>
          <w:spacing w:val="0"/>
          <w:kern w:val="28"/>
          <w:sz w:val="20"/>
          <w:szCs w:val="20"/>
          <w:lang w:val="en-GB"/>
        </w:rPr>
        <w:t>266 000 for CoE was recorded</w:t>
      </w:r>
      <w:r w:rsidRPr="00B217DC">
        <w:rPr>
          <w:rFonts w:cs="Arial"/>
          <w:color w:val="auto"/>
          <w:spacing w:val="0"/>
          <w:kern w:val="28"/>
          <w:sz w:val="20"/>
          <w:szCs w:val="20"/>
          <w:lang w:val="en-GB"/>
        </w:rPr>
        <w:t>. The actual expenditure incurred was R</w:t>
      </w:r>
      <w:r w:rsidR="007C35F7" w:rsidRPr="00B217DC">
        <w:rPr>
          <w:rFonts w:cs="Arial"/>
          <w:color w:val="auto"/>
          <w:spacing w:val="0"/>
          <w:kern w:val="28"/>
          <w:sz w:val="20"/>
          <w:szCs w:val="20"/>
          <w:lang w:val="en-GB"/>
        </w:rPr>
        <w:t>10,887</w:t>
      </w:r>
      <w:r w:rsidRPr="00B217DC">
        <w:rPr>
          <w:rFonts w:cs="Arial"/>
          <w:color w:val="auto"/>
          <w:spacing w:val="0"/>
          <w:kern w:val="28"/>
          <w:sz w:val="20"/>
          <w:szCs w:val="20"/>
          <w:lang w:val="en-GB"/>
        </w:rPr>
        <w:t xml:space="preserve"> million, </w:t>
      </w:r>
      <w:r w:rsidR="007C35F7" w:rsidRPr="00B217DC">
        <w:rPr>
          <w:rFonts w:cs="Arial"/>
          <w:color w:val="auto"/>
          <w:spacing w:val="0"/>
          <w:kern w:val="28"/>
          <w:sz w:val="20"/>
          <w:szCs w:val="20"/>
          <w:lang w:val="en-GB"/>
        </w:rPr>
        <w:t>66.4</w:t>
      </w:r>
      <w:r w:rsidRPr="00B217DC">
        <w:rPr>
          <w:rFonts w:cs="Arial"/>
          <w:color w:val="auto"/>
          <w:spacing w:val="0"/>
          <w:kern w:val="28"/>
          <w:sz w:val="20"/>
          <w:szCs w:val="20"/>
          <w:lang w:val="en-GB"/>
        </w:rPr>
        <w:t xml:space="preserve">% of its </w:t>
      </w:r>
      <w:r w:rsidR="007C35F7" w:rsidRPr="00B217DC">
        <w:rPr>
          <w:rFonts w:cs="Arial"/>
          <w:color w:val="auto"/>
          <w:spacing w:val="0"/>
          <w:kern w:val="28"/>
          <w:sz w:val="20"/>
          <w:szCs w:val="20"/>
          <w:lang w:val="en-GB"/>
        </w:rPr>
        <w:t xml:space="preserve">allocated programme </w:t>
      </w:r>
      <w:r w:rsidRPr="00B217DC">
        <w:rPr>
          <w:rFonts w:cs="Arial"/>
          <w:color w:val="auto"/>
          <w:spacing w:val="0"/>
          <w:kern w:val="28"/>
          <w:sz w:val="20"/>
          <w:szCs w:val="20"/>
          <w:lang w:val="en-GB"/>
        </w:rPr>
        <w:t>budget</w:t>
      </w:r>
      <w:r w:rsidR="007C35F7" w:rsidRPr="00B217DC">
        <w:rPr>
          <w:rFonts w:cs="Arial"/>
          <w:color w:val="auto"/>
          <w:spacing w:val="0"/>
          <w:kern w:val="28"/>
          <w:sz w:val="20"/>
          <w:szCs w:val="20"/>
          <w:lang w:val="en-GB"/>
        </w:rPr>
        <w:t xml:space="preserve"> and 6.3% of the total operational expenditure</w:t>
      </w:r>
      <w:r w:rsidRPr="00B217DC">
        <w:rPr>
          <w:rFonts w:cs="Arial"/>
          <w:color w:val="auto"/>
          <w:spacing w:val="0"/>
          <w:kern w:val="28"/>
          <w:sz w:val="20"/>
          <w:szCs w:val="20"/>
          <w:lang w:val="en-GB"/>
        </w:rPr>
        <w:t>. Notwithstanding the virement, this programme still incurred an under-expenditure of R</w:t>
      </w:r>
      <w:r w:rsidR="00B8284F" w:rsidRPr="00B217DC">
        <w:rPr>
          <w:rFonts w:cs="Arial"/>
          <w:color w:val="auto"/>
          <w:spacing w:val="0"/>
          <w:kern w:val="28"/>
          <w:sz w:val="20"/>
          <w:szCs w:val="20"/>
          <w:lang w:val="en-GB"/>
        </w:rPr>
        <w:t>5,496</w:t>
      </w:r>
      <w:r w:rsidRPr="00B217DC">
        <w:rPr>
          <w:rFonts w:cs="Arial"/>
          <w:color w:val="auto"/>
          <w:spacing w:val="0"/>
          <w:kern w:val="28"/>
          <w:sz w:val="20"/>
          <w:szCs w:val="20"/>
          <w:lang w:val="en-GB"/>
        </w:rPr>
        <w:t xml:space="preserve"> million</w:t>
      </w:r>
      <w:r w:rsidR="00B8284F" w:rsidRPr="00B217DC">
        <w:rPr>
          <w:rFonts w:cs="Arial"/>
          <w:color w:val="auto"/>
          <w:spacing w:val="0"/>
          <w:kern w:val="28"/>
          <w:sz w:val="20"/>
          <w:szCs w:val="20"/>
          <w:lang w:val="en-GB"/>
        </w:rPr>
        <w:t xml:space="preserve"> which amounts to 33.5% of the programme operational budget</w:t>
      </w:r>
      <w:r w:rsidRPr="00B217DC">
        <w:rPr>
          <w:rFonts w:cs="Arial"/>
          <w:color w:val="auto"/>
          <w:spacing w:val="0"/>
          <w:kern w:val="28"/>
          <w:sz w:val="20"/>
          <w:szCs w:val="20"/>
          <w:lang w:val="en-GB"/>
        </w:rPr>
        <w:t>. The key cost drivers for this programme was as follows:</w:t>
      </w:r>
    </w:p>
    <w:p w:rsidR="003E25D7" w:rsidRPr="00B217DC" w:rsidRDefault="003E25D7" w:rsidP="00B217DC">
      <w:pPr>
        <w:rPr>
          <w:rFonts w:cs="Arial"/>
          <w:color w:val="auto"/>
          <w:spacing w:val="0"/>
          <w:kern w:val="28"/>
          <w:sz w:val="20"/>
          <w:szCs w:val="20"/>
          <w:lang w:val="en-GB"/>
        </w:rPr>
      </w:pPr>
    </w:p>
    <w:p w:rsidR="003E25D7" w:rsidRPr="00B217DC" w:rsidRDefault="003E25D7" w:rsidP="00B217DC">
      <w:pPr>
        <w:numPr>
          <w:ilvl w:val="0"/>
          <w:numId w:val="50"/>
        </w:numPr>
        <w:rPr>
          <w:rFonts w:cs="Arial"/>
          <w:color w:val="auto"/>
          <w:spacing w:val="0"/>
          <w:kern w:val="28"/>
          <w:sz w:val="20"/>
          <w:szCs w:val="20"/>
          <w:lang w:val="en-GB"/>
        </w:rPr>
      </w:pPr>
      <w:r w:rsidRPr="00B217DC">
        <w:rPr>
          <w:rFonts w:cs="Arial"/>
          <w:color w:val="auto"/>
          <w:spacing w:val="0"/>
          <w:kern w:val="28"/>
          <w:sz w:val="20"/>
          <w:szCs w:val="20"/>
          <w:lang w:val="en-GB"/>
        </w:rPr>
        <w:t xml:space="preserve">Compensation of Employees accounted for </w:t>
      </w:r>
      <w:r w:rsidR="00826B57" w:rsidRPr="00B217DC">
        <w:rPr>
          <w:rFonts w:cs="Arial"/>
          <w:color w:val="auto"/>
          <w:spacing w:val="0"/>
          <w:kern w:val="28"/>
          <w:sz w:val="20"/>
          <w:szCs w:val="20"/>
          <w:lang w:val="en-GB"/>
        </w:rPr>
        <w:t>54.3</w:t>
      </w:r>
      <w:r w:rsidRPr="00B217DC">
        <w:rPr>
          <w:rFonts w:cs="Arial"/>
          <w:color w:val="auto"/>
          <w:spacing w:val="0"/>
          <w:kern w:val="28"/>
          <w:sz w:val="20"/>
          <w:szCs w:val="20"/>
          <w:lang w:val="en-GB"/>
        </w:rPr>
        <w:t>% of the programme budget (R</w:t>
      </w:r>
      <w:r w:rsidR="00826B57" w:rsidRPr="00B217DC">
        <w:rPr>
          <w:rFonts w:cs="Arial"/>
          <w:color w:val="auto"/>
          <w:spacing w:val="0"/>
          <w:kern w:val="28"/>
          <w:sz w:val="20"/>
          <w:szCs w:val="20"/>
          <w:lang w:val="en-GB"/>
        </w:rPr>
        <w:t>8,9</w:t>
      </w:r>
      <w:r w:rsidRPr="00B217DC">
        <w:rPr>
          <w:rFonts w:cs="Arial"/>
          <w:color w:val="auto"/>
          <w:spacing w:val="0"/>
          <w:kern w:val="28"/>
          <w:sz w:val="20"/>
          <w:szCs w:val="20"/>
          <w:lang w:val="en-GB"/>
        </w:rPr>
        <w:t>m)</w:t>
      </w:r>
    </w:p>
    <w:p w:rsidR="003E25D7" w:rsidRPr="00B217DC" w:rsidRDefault="003E25D7" w:rsidP="00B217DC">
      <w:pPr>
        <w:numPr>
          <w:ilvl w:val="0"/>
          <w:numId w:val="50"/>
        </w:numPr>
        <w:rPr>
          <w:rFonts w:cs="Arial"/>
          <w:color w:val="auto"/>
          <w:spacing w:val="0"/>
          <w:kern w:val="28"/>
          <w:sz w:val="20"/>
          <w:szCs w:val="20"/>
          <w:lang w:val="en-GB"/>
        </w:rPr>
      </w:pPr>
      <w:r w:rsidRPr="00B217DC">
        <w:rPr>
          <w:rFonts w:cs="Arial"/>
          <w:color w:val="auto"/>
          <w:spacing w:val="0"/>
          <w:kern w:val="28"/>
          <w:sz w:val="20"/>
          <w:szCs w:val="20"/>
          <w:lang w:val="en-GB"/>
        </w:rPr>
        <w:t xml:space="preserve">Goods and Services accounted for </w:t>
      </w:r>
      <w:r w:rsidR="00826B57" w:rsidRPr="00B217DC">
        <w:rPr>
          <w:rFonts w:cs="Arial"/>
          <w:color w:val="auto"/>
          <w:spacing w:val="0"/>
          <w:kern w:val="28"/>
          <w:sz w:val="20"/>
          <w:szCs w:val="20"/>
          <w:lang w:val="en-GB"/>
        </w:rPr>
        <w:t>11.9</w:t>
      </w:r>
      <w:r w:rsidRPr="00B217DC">
        <w:rPr>
          <w:rFonts w:cs="Arial"/>
          <w:color w:val="auto"/>
          <w:spacing w:val="0"/>
          <w:kern w:val="28"/>
          <w:sz w:val="20"/>
          <w:szCs w:val="20"/>
          <w:lang w:val="en-GB"/>
        </w:rPr>
        <w:t xml:space="preserve">% of the </w:t>
      </w:r>
      <w:r w:rsidR="00826B57" w:rsidRPr="00B217DC">
        <w:rPr>
          <w:rFonts w:cs="Arial"/>
          <w:color w:val="auto"/>
          <w:spacing w:val="0"/>
          <w:kern w:val="28"/>
          <w:sz w:val="20"/>
          <w:szCs w:val="20"/>
          <w:lang w:val="en-GB"/>
        </w:rPr>
        <w:t xml:space="preserve">programme </w:t>
      </w:r>
      <w:r w:rsidRPr="00B217DC">
        <w:rPr>
          <w:rFonts w:cs="Arial"/>
          <w:color w:val="auto"/>
          <w:spacing w:val="0"/>
          <w:kern w:val="28"/>
          <w:sz w:val="20"/>
          <w:szCs w:val="20"/>
          <w:lang w:val="en-GB"/>
        </w:rPr>
        <w:t>budget (R</w:t>
      </w:r>
      <w:r w:rsidR="00826B57" w:rsidRPr="00B217DC">
        <w:rPr>
          <w:rFonts w:cs="Arial"/>
          <w:color w:val="auto"/>
          <w:spacing w:val="0"/>
          <w:kern w:val="28"/>
          <w:sz w:val="20"/>
          <w:szCs w:val="20"/>
          <w:lang w:val="en-GB"/>
        </w:rPr>
        <w:t>1,9</w:t>
      </w:r>
      <w:r w:rsidRPr="00B217DC">
        <w:rPr>
          <w:rFonts w:cs="Arial"/>
          <w:color w:val="auto"/>
          <w:spacing w:val="0"/>
          <w:kern w:val="28"/>
          <w:sz w:val="20"/>
          <w:szCs w:val="20"/>
          <w:lang w:val="en-GB"/>
        </w:rPr>
        <w:t>m)</w:t>
      </w:r>
    </w:p>
    <w:p w:rsidR="003E25D7" w:rsidRPr="00B217DC" w:rsidRDefault="003E25D7" w:rsidP="00B217DC">
      <w:pPr>
        <w:rPr>
          <w:rFonts w:cs="Arial"/>
          <w:color w:val="auto"/>
          <w:spacing w:val="0"/>
          <w:kern w:val="28"/>
          <w:sz w:val="20"/>
          <w:szCs w:val="20"/>
        </w:rPr>
      </w:pPr>
    </w:p>
    <w:p w:rsidR="00826B57" w:rsidRPr="00B217DC" w:rsidRDefault="00826B57" w:rsidP="00B217DC">
      <w:pPr>
        <w:rPr>
          <w:rFonts w:cs="Arial"/>
          <w:color w:val="auto"/>
          <w:spacing w:val="0"/>
          <w:kern w:val="28"/>
          <w:sz w:val="20"/>
          <w:szCs w:val="20"/>
        </w:rPr>
      </w:pPr>
      <w:r w:rsidRPr="00B217DC">
        <w:rPr>
          <w:rFonts w:cs="Arial"/>
          <w:color w:val="auto"/>
          <w:spacing w:val="0"/>
          <w:kern w:val="28"/>
          <w:sz w:val="20"/>
          <w:szCs w:val="20"/>
        </w:rPr>
        <w:t>Under Goods and Services, the key cost drivers were as follows:</w:t>
      </w:r>
    </w:p>
    <w:p w:rsidR="00826B57" w:rsidRPr="00B217DC" w:rsidRDefault="00826B57" w:rsidP="00B217DC">
      <w:pPr>
        <w:pStyle w:val="ListParagraph"/>
        <w:numPr>
          <w:ilvl w:val="0"/>
          <w:numId w:val="139"/>
        </w:numPr>
        <w:ind w:left="851" w:hanging="284"/>
        <w:rPr>
          <w:rFonts w:cs="Arial"/>
          <w:color w:val="auto"/>
          <w:spacing w:val="0"/>
          <w:kern w:val="28"/>
          <w:sz w:val="20"/>
          <w:szCs w:val="20"/>
        </w:rPr>
      </w:pPr>
      <w:r w:rsidRPr="00B217DC">
        <w:rPr>
          <w:rFonts w:cs="Arial"/>
          <w:color w:val="auto"/>
          <w:spacing w:val="0"/>
          <w:kern w:val="28"/>
          <w:sz w:val="20"/>
          <w:szCs w:val="20"/>
        </w:rPr>
        <w:t>Advertising = R1.0 35 m</w:t>
      </w:r>
    </w:p>
    <w:p w:rsidR="00826B57" w:rsidRPr="00B217DC" w:rsidRDefault="00826B57" w:rsidP="00B217DC">
      <w:pPr>
        <w:pStyle w:val="ListParagraph"/>
        <w:numPr>
          <w:ilvl w:val="0"/>
          <w:numId w:val="139"/>
        </w:numPr>
        <w:ind w:left="851" w:hanging="284"/>
        <w:rPr>
          <w:rFonts w:cs="Arial"/>
          <w:color w:val="auto"/>
          <w:spacing w:val="0"/>
          <w:kern w:val="28"/>
          <w:sz w:val="20"/>
          <w:szCs w:val="20"/>
        </w:rPr>
      </w:pPr>
      <w:r w:rsidRPr="00B217DC">
        <w:rPr>
          <w:rFonts w:cs="Arial"/>
          <w:color w:val="auto"/>
          <w:spacing w:val="0"/>
          <w:kern w:val="28"/>
          <w:sz w:val="20"/>
          <w:szCs w:val="20"/>
        </w:rPr>
        <w:t>Consultants: Business and Advisory services = R 470 000</w:t>
      </w:r>
    </w:p>
    <w:p w:rsidR="00826B57" w:rsidRPr="00B217DC" w:rsidRDefault="00826B57" w:rsidP="00B217DC">
      <w:pPr>
        <w:pStyle w:val="ListParagraph"/>
        <w:numPr>
          <w:ilvl w:val="0"/>
          <w:numId w:val="139"/>
        </w:numPr>
        <w:ind w:left="851" w:hanging="284"/>
        <w:rPr>
          <w:rFonts w:cs="Arial"/>
          <w:color w:val="auto"/>
          <w:spacing w:val="0"/>
          <w:kern w:val="28"/>
          <w:sz w:val="20"/>
          <w:szCs w:val="20"/>
        </w:rPr>
      </w:pPr>
      <w:r w:rsidRPr="00B217DC">
        <w:rPr>
          <w:rFonts w:cs="Arial"/>
          <w:color w:val="auto"/>
          <w:spacing w:val="0"/>
          <w:kern w:val="28"/>
          <w:sz w:val="20"/>
          <w:szCs w:val="20"/>
        </w:rPr>
        <w:t>Communication = R250 000</w:t>
      </w:r>
    </w:p>
    <w:p w:rsidR="00826B57" w:rsidRPr="00B217DC" w:rsidRDefault="00826B57" w:rsidP="00B217DC">
      <w:pPr>
        <w:rPr>
          <w:rFonts w:cs="Arial"/>
          <w:color w:val="auto"/>
          <w:spacing w:val="0"/>
          <w:kern w:val="28"/>
          <w:sz w:val="20"/>
          <w:szCs w:val="20"/>
        </w:rPr>
      </w:pPr>
    </w:p>
    <w:p w:rsidR="003E25D7" w:rsidRPr="00B217DC" w:rsidRDefault="003E25D7" w:rsidP="00B217DC">
      <w:pPr>
        <w:pStyle w:val="ListParagraph"/>
        <w:numPr>
          <w:ilvl w:val="1"/>
          <w:numId w:val="56"/>
        </w:numPr>
        <w:rPr>
          <w:rFonts w:cs="Arial"/>
          <w:b/>
          <w:color w:val="auto"/>
          <w:spacing w:val="0"/>
          <w:kern w:val="28"/>
          <w:sz w:val="20"/>
          <w:szCs w:val="20"/>
        </w:rPr>
      </w:pPr>
      <w:r w:rsidRPr="00B217DC">
        <w:rPr>
          <w:rFonts w:cs="Arial"/>
          <w:b/>
          <w:color w:val="auto"/>
          <w:spacing w:val="0"/>
          <w:kern w:val="28"/>
          <w:sz w:val="20"/>
          <w:szCs w:val="20"/>
        </w:rPr>
        <w:t xml:space="preserve"> Programme 5: National Youth Development (NYD)</w:t>
      </w:r>
    </w:p>
    <w:p w:rsidR="003E25D7" w:rsidRPr="00B217DC" w:rsidRDefault="003E25D7" w:rsidP="00B217DC">
      <w:pPr>
        <w:rPr>
          <w:rFonts w:cs="Arial"/>
          <w:b/>
          <w:color w:val="auto"/>
          <w:spacing w:val="0"/>
          <w:kern w:val="28"/>
          <w:sz w:val="20"/>
          <w:szCs w:val="20"/>
        </w:rPr>
      </w:pPr>
    </w:p>
    <w:p w:rsidR="003E25D7" w:rsidRPr="00B217DC" w:rsidRDefault="003E25D7" w:rsidP="00B217DC">
      <w:pPr>
        <w:rPr>
          <w:rFonts w:cs="Arial"/>
          <w:color w:val="auto"/>
          <w:spacing w:val="0"/>
          <w:kern w:val="28"/>
          <w:sz w:val="20"/>
          <w:szCs w:val="20"/>
        </w:rPr>
      </w:pPr>
      <w:r w:rsidRPr="00B217DC">
        <w:rPr>
          <w:rFonts w:cs="Arial"/>
          <w:color w:val="auto"/>
          <w:spacing w:val="0"/>
          <w:kern w:val="28"/>
          <w:sz w:val="20"/>
          <w:szCs w:val="20"/>
        </w:rPr>
        <w:t xml:space="preserve">The purpose of this programme is to </w:t>
      </w:r>
      <w:r w:rsidR="00EF52E7" w:rsidRPr="00B217DC">
        <w:rPr>
          <w:rFonts w:cs="Arial"/>
          <w:color w:val="auto"/>
          <w:spacing w:val="0"/>
          <w:kern w:val="28"/>
          <w:sz w:val="20"/>
          <w:szCs w:val="20"/>
        </w:rPr>
        <w:t>promote the development and empowerment of young people by reviewing the legislative framework and other interventions to advance youth rights over the medium term</w:t>
      </w:r>
      <w:r w:rsidRPr="00B217DC">
        <w:rPr>
          <w:rFonts w:cs="Arial"/>
          <w:color w:val="auto"/>
          <w:spacing w:val="0"/>
          <w:kern w:val="28"/>
          <w:sz w:val="20"/>
          <w:szCs w:val="20"/>
        </w:rPr>
        <w:t>.</w:t>
      </w:r>
    </w:p>
    <w:p w:rsidR="003E25D7" w:rsidRPr="00B217DC" w:rsidRDefault="003E25D7" w:rsidP="00B217DC">
      <w:pPr>
        <w:rPr>
          <w:rFonts w:cs="Arial"/>
          <w:b/>
          <w:color w:val="auto"/>
          <w:spacing w:val="0"/>
          <w:kern w:val="28"/>
          <w:sz w:val="20"/>
          <w:szCs w:val="20"/>
        </w:rPr>
      </w:pPr>
    </w:p>
    <w:p w:rsidR="003E25D7" w:rsidRPr="00B217DC" w:rsidRDefault="003E25D7" w:rsidP="00B217DC">
      <w:pPr>
        <w:rPr>
          <w:rFonts w:cs="Arial"/>
          <w:color w:val="auto"/>
          <w:spacing w:val="0"/>
          <w:kern w:val="28"/>
          <w:sz w:val="20"/>
          <w:szCs w:val="20"/>
        </w:rPr>
      </w:pPr>
      <w:r w:rsidRPr="00B217DC">
        <w:rPr>
          <w:rFonts w:cs="Arial"/>
          <w:color w:val="auto"/>
          <w:spacing w:val="0"/>
          <w:kern w:val="28"/>
          <w:sz w:val="20"/>
          <w:szCs w:val="20"/>
        </w:rPr>
        <w:t>The programme consists of the following sub-programmes:</w:t>
      </w:r>
    </w:p>
    <w:p w:rsidR="003E25D7" w:rsidRPr="00B217DC" w:rsidRDefault="00EF52E7" w:rsidP="00B217DC">
      <w:pPr>
        <w:pStyle w:val="ListParagraph"/>
        <w:numPr>
          <w:ilvl w:val="0"/>
          <w:numId w:val="52"/>
        </w:numPr>
        <w:rPr>
          <w:rFonts w:cs="Arial"/>
          <w:color w:val="auto"/>
          <w:spacing w:val="0"/>
          <w:kern w:val="28"/>
          <w:sz w:val="20"/>
          <w:szCs w:val="20"/>
        </w:rPr>
      </w:pPr>
      <w:r w:rsidRPr="00B217DC">
        <w:rPr>
          <w:rFonts w:cs="Arial"/>
          <w:b/>
          <w:color w:val="auto"/>
          <w:spacing w:val="0"/>
          <w:kern w:val="28"/>
          <w:sz w:val="20"/>
          <w:szCs w:val="20"/>
        </w:rPr>
        <w:t xml:space="preserve">Management: </w:t>
      </w:r>
      <w:r w:rsidRPr="00B217DC">
        <w:rPr>
          <w:rFonts w:cs="Arial"/>
          <w:color w:val="auto"/>
          <w:spacing w:val="0"/>
          <w:kern w:val="28"/>
          <w:sz w:val="20"/>
          <w:szCs w:val="20"/>
        </w:rPr>
        <w:t>National Youth Development facilitates the development and implementation of national strategies and policies aimed at young people.</w:t>
      </w:r>
    </w:p>
    <w:p w:rsidR="00EF52E7" w:rsidRPr="00B217DC" w:rsidRDefault="00EF52E7" w:rsidP="00B217DC">
      <w:pPr>
        <w:pStyle w:val="ListParagraph"/>
        <w:numPr>
          <w:ilvl w:val="0"/>
          <w:numId w:val="52"/>
        </w:numPr>
        <w:rPr>
          <w:rFonts w:cs="Arial"/>
          <w:color w:val="auto"/>
          <w:spacing w:val="0"/>
          <w:kern w:val="28"/>
          <w:sz w:val="20"/>
          <w:szCs w:val="20"/>
        </w:rPr>
      </w:pPr>
      <w:r w:rsidRPr="00B217DC">
        <w:rPr>
          <w:rFonts w:cs="Arial"/>
          <w:b/>
          <w:color w:val="auto"/>
          <w:spacing w:val="0"/>
          <w:kern w:val="28"/>
          <w:sz w:val="20"/>
          <w:szCs w:val="20"/>
        </w:rPr>
        <w:t xml:space="preserve">Youth Development Programme: </w:t>
      </w:r>
      <w:r w:rsidRPr="00B217DC">
        <w:rPr>
          <w:rFonts w:cs="Arial"/>
          <w:color w:val="auto"/>
          <w:spacing w:val="0"/>
          <w:kern w:val="28"/>
          <w:sz w:val="20"/>
          <w:szCs w:val="20"/>
        </w:rPr>
        <w:t>Oversees the transfer of funds to the NYDA.</w:t>
      </w:r>
    </w:p>
    <w:p w:rsidR="003E25D7" w:rsidRPr="00B217DC" w:rsidRDefault="003E25D7" w:rsidP="00B217DC">
      <w:pPr>
        <w:rPr>
          <w:rFonts w:cs="Arial"/>
          <w:color w:val="auto"/>
          <w:spacing w:val="0"/>
          <w:kern w:val="28"/>
          <w:sz w:val="20"/>
          <w:szCs w:val="20"/>
        </w:rPr>
      </w:pPr>
    </w:p>
    <w:p w:rsidR="003E25D7" w:rsidRPr="00B217DC" w:rsidRDefault="003E25D7" w:rsidP="00B217DC">
      <w:pPr>
        <w:rPr>
          <w:rFonts w:cs="Arial"/>
          <w:color w:val="auto"/>
          <w:spacing w:val="0"/>
          <w:kern w:val="28"/>
          <w:sz w:val="20"/>
          <w:szCs w:val="20"/>
        </w:rPr>
      </w:pPr>
      <w:r w:rsidRPr="00B217DC">
        <w:rPr>
          <w:rFonts w:cs="Arial"/>
          <w:color w:val="auto"/>
          <w:spacing w:val="0"/>
          <w:kern w:val="28"/>
          <w:sz w:val="20"/>
          <w:szCs w:val="20"/>
        </w:rPr>
        <w:t>The sub-programme Strategic Objectives are as follows:</w:t>
      </w:r>
    </w:p>
    <w:p w:rsidR="003E25D7" w:rsidRPr="00B217DC" w:rsidRDefault="003E25D7" w:rsidP="00B217DC">
      <w:pPr>
        <w:pStyle w:val="ListParagraph"/>
        <w:numPr>
          <w:ilvl w:val="0"/>
          <w:numId w:val="51"/>
        </w:numPr>
        <w:rPr>
          <w:rFonts w:cs="Arial"/>
          <w:color w:val="auto"/>
          <w:spacing w:val="0"/>
          <w:kern w:val="28"/>
          <w:sz w:val="20"/>
          <w:szCs w:val="20"/>
        </w:rPr>
      </w:pPr>
      <w:r w:rsidRPr="00B217DC">
        <w:rPr>
          <w:rFonts w:cs="Arial"/>
          <w:b/>
          <w:color w:val="auto"/>
          <w:spacing w:val="0"/>
          <w:kern w:val="28"/>
          <w:sz w:val="20"/>
          <w:szCs w:val="20"/>
        </w:rPr>
        <w:t>National Youth Policy and Legislation Development</w:t>
      </w:r>
      <w:r w:rsidRPr="00B217DC">
        <w:rPr>
          <w:rFonts w:cs="Arial"/>
          <w:color w:val="auto"/>
          <w:spacing w:val="0"/>
          <w:kern w:val="28"/>
          <w:sz w:val="20"/>
          <w:szCs w:val="20"/>
        </w:rPr>
        <w:t>: Develop national youth policy, legislation, frameworks and strategies as well as ensure monitoring and evaluation thereof.</w:t>
      </w:r>
    </w:p>
    <w:p w:rsidR="003E25D7" w:rsidRPr="00B217DC" w:rsidRDefault="003E25D7" w:rsidP="00B217DC">
      <w:pPr>
        <w:pStyle w:val="ListParagraph"/>
        <w:numPr>
          <w:ilvl w:val="0"/>
          <w:numId w:val="51"/>
        </w:numPr>
        <w:rPr>
          <w:rFonts w:cs="Arial"/>
          <w:color w:val="auto"/>
          <w:spacing w:val="0"/>
          <w:kern w:val="28"/>
          <w:sz w:val="20"/>
          <w:szCs w:val="20"/>
        </w:rPr>
      </w:pPr>
      <w:r w:rsidRPr="00B217DC">
        <w:rPr>
          <w:rFonts w:cs="Arial"/>
          <w:b/>
          <w:color w:val="auto"/>
          <w:spacing w:val="0"/>
          <w:kern w:val="28"/>
          <w:sz w:val="20"/>
          <w:szCs w:val="20"/>
        </w:rPr>
        <w:lastRenderedPageBreak/>
        <w:t>Stakeholder Engagement and Support</w:t>
      </w:r>
      <w:r w:rsidRPr="00B217DC">
        <w:rPr>
          <w:rFonts w:cs="Arial"/>
          <w:color w:val="auto"/>
          <w:spacing w:val="0"/>
          <w:kern w:val="28"/>
          <w:sz w:val="20"/>
          <w:szCs w:val="20"/>
        </w:rPr>
        <w:t>: Engagement and support youth stakeholders nationally and internationally; conduct oversight of the National Youth Development Agency; and facilitate transfer of funds to the agency.</w:t>
      </w:r>
    </w:p>
    <w:p w:rsidR="003E25D7" w:rsidRPr="00B217DC" w:rsidRDefault="003E25D7" w:rsidP="00B217DC">
      <w:pPr>
        <w:rPr>
          <w:rFonts w:cs="Arial"/>
          <w:b/>
          <w:color w:val="auto"/>
          <w:spacing w:val="0"/>
          <w:kern w:val="28"/>
          <w:sz w:val="20"/>
          <w:szCs w:val="20"/>
        </w:rPr>
      </w:pPr>
    </w:p>
    <w:p w:rsidR="00A323CA" w:rsidRPr="00B217DC" w:rsidRDefault="00E7277B" w:rsidP="00B217DC">
      <w:pPr>
        <w:rPr>
          <w:rFonts w:cs="Arial"/>
          <w:color w:val="auto"/>
          <w:spacing w:val="0"/>
          <w:kern w:val="28"/>
          <w:sz w:val="20"/>
          <w:szCs w:val="20"/>
        </w:rPr>
      </w:pPr>
      <w:r w:rsidRPr="00B217DC">
        <w:rPr>
          <w:rFonts w:cs="Arial"/>
          <w:color w:val="auto"/>
          <w:spacing w:val="0"/>
          <w:kern w:val="28"/>
          <w:sz w:val="20"/>
          <w:szCs w:val="20"/>
          <w:lang w:val="en-GB"/>
        </w:rPr>
        <w:t>As per the Annual Report for 202</w:t>
      </w:r>
      <w:r w:rsidR="003F1677" w:rsidRPr="00B217DC">
        <w:rPr>
          <w:rFonts w:cs="Arial"/>
          <w:color w:val="auto"/>
          <w:spacing w:val="0"/>
          <w:kern w:val="28"/>
          <w:sz w:val="20"/>
          <w:szCs w:val="20"/>
          <w:lang w:val="en-GB"/>
        </w:rPr>
        <w:t>1/22</w:t>
      </w:r>
      <w:r w:rsidRPr="00B217DC">
        <w:rPr>
          <w:rFonts w:cs="Arial"/>
          <w:color w:val="auto"/>
          <w:spacing w:val="0"/>
          <w:kern w:val="28"/>
          <w:sz w:val="20"/>
          <w:szCs w:val="20"/>
          <w:lang w:val="en-GB"/>
        </w:rPr>
        <w:t>, t</w:t>
      </w:r>
      <w:r w:rsidR="00EF52E7" w:rsidRPr="00B217DC">
        <w:rPr>
          <w:rFonts w:cs="Arial"/>
          <w:color w:val="auto"/>
          <w:spacing w:val="0"/>
          <w:kern w:val="28"/>
          <w:sz w:val="20"/>
          <w:szCs w:val="20"/>
          <w:lang w:val="en-GB"/>
        </w:rPr>
        <w:t xml:space="preserve">his programme planned for </w:t>
      </w:r>
      <w:r w:rsidR="003E55D8" w:rsidRPr="00B217DC">
        <w:rPr>
          <w:rFonts w:cs="Arial"/>
          <w:color w:val="auto"/>
          <w:spacing w:val="0"/>
          <w:kern w:val="28"/>
          <w:sz w:val="20"/>
          <w:szCs w:val="20"/>
          <w:lang w:val="en-GB"/>
        </w:rPr>
        <w:t>5</w:t>
      </w:r>
      <w:r w:rsidR="003E25D7" w:rsidRPr="00B217DC">
        <w:rPr>
          <w:rFonts w:cs="Arial"/>
          <w:color w:val="auto"/>
          <w:spacing w:val="0"/>
          <w:kern w:val="28"/>
          <w:sz w:val="20"/>
          <w:szCs w:val="20"/>
          <w:lang w:val="en-GB"/>
        </w:rPr>
        <w:t xml:space="preserve"> targets and achieved all.</w:t>
      </w:r>
    </w:p>
    <w:p w:rsidR="00E7277B" w:rsidRPr="00B217DC" w:rsidRDefault="00E7277B" w:rsidP="00B217DC">
      <w:pPr>
        <w:rPr>
          <w:rFonts w:cs="Arial"/>
          <w:color w:val="auto"/>
          <w:spacing w:val="0"/>
          <w:kern w:val="28"/>
          <w:sz w:val="20"/>
          <w:szCs w:val="20"/>
        </w:rPr>
      </w:pPr>
    </w:p>
    <w:p w:rsidR="003E25D7" w:rsidRPr="00B217DC" w:rsidRDefault="003E25D7" w:rsidP="00B217DC">
      <w:pPr>
        <w:rPr>
          <w:rFonts w:cs="Arial"/>
          <w:color w:val="auto"/>
          <w:spacing w:val="0"/>
          <w:kern w:val="28"/>
          <w:sz w:val="20"/>
          <w:szCs w:val="20"/>
          <w:lang w:val="en-GB"/>
        </w:rPr>
      </w:pPr>
      <w:r w:rsidRPr="00B217DC">
        <w:rPr>
          <w:rFonts w:cs="Arial"/>
          <w:color w:val="auto"/>
          <w:spacing w:val="0"/>
          <w:kern w:val="28"/>
          <w:sz w:val="20"/>
          <w:szCs w:val="20"/>
          <w:lang w:val="en-GB"/>
        </w:rPr>
        <w:t>The programme was allocated R</w:t>
      </w:r>
      <w:r w:rsidR="000B7F3A" w:rsidRPr="00B217DC">
        <w:rPr>
          <w:rFonts w:cs="Arial"/>
          <w:color w:val="auto"/>
          <w:spacing w:val="0"/>
          <w:kern w:val="28"/>
          <w:sz w:val="20"/>
          <w:szCs w:val="20"/>
          <w:lang w:val="en-GB"/>
        </w:rPr>
        <w:t>483,2</w:t>
      </w:r>
      <w:r w:rsidRPr="00B217DC">
        <w:rPr>
          <w:rFonts w:cs="Arial"/>
          <w:color w:val="auto"/>
          <w:spacing w:val="0"/>
          <w:kern w:val="28"/>
          <w:sz w:val="20"/>
          <w:szCs w:val="20"/>
          <w:lang w:val="en-GB"/>
        </w:rPr>
        <w:t xml:space="preserve"> million as per the ENE </w:t>
      </w:r>
      <w:r w:rsidR="00830725" w:rsidRPr="00B217DC">
        <w:rPr>
          <w:rFonts w:cs="Arial"/>
          <w:color w:val="auto"/>
          <w:spacing w:val="0"/>
          <w:kern w:val="28"/>
          <w:sz w:val="20"/>
          <w:szCs w:val="20"/>
          <w:lang w:val="en-GB"/>
        </w:rPr>
        <w:t>202</w:t>
      </w:r>
      <w:r w:rsidR="003F1677" w:rsidRPr="00B217DC">
        <w:rPr>
          <w:rFonts w:cs="Arial"/>
          <w:color w:val="auto"/>
          <w:spacing w:val="0"/>
          <w:kern w:val="28"/>
          <w:sz w:val="20"/>
          <w:szCs w:val="20"/>
          <w:lang w:val="en-GB"/>
        </w:rPr>
        <w:t>1</w:t>
      </w:r>
      <w:r w:rsidR="00830725" w:rsidRPr="00B217DC">
        <w:rPr>
          <w:rFonts w:cs="Arial"/>
          <w:color w:val="auto"/>
          <w:spacing w:val="0"/>
          <w:kern w:val="28"/>
          <w:sz w:val="20"/>
          <w:szCs w:val="20"/>
          <w:lang w:val="en-GB"/>
        </w:rPr>
        <w:t xml:space="preserve"> with R</w:t>
      </w:r>
      <w:r w:rsidR="000B7F3A" w:rsidRPr="00B217DC">
        <w:rPr>
          <w:rFonts w:cs="Arial"/>
          <w:color w:val="auto"/>
          <w:spacing w:val="0"/>
          <w:kern w:val="28"/>
          <w:sz w:val="20"/>
          <w:szCs w:val="20"/>
          <w:lang w:val="en-GB"/>
        </w:rPr>
        <w:t>471,1</w:t>
      </w:r>
      <w:r w:rsidR="00830725" w:rsidRPr="00B217DC">
        <w:rPr>
          <w:rFonts w:cs="Arial"/>
          <w:color w:val="auto"/>
          <w:spacing w:val="0"/>
          <w:kern w:val="28"/>
          <w:sz w:val="20"/>
          <w:szCs w:val="20"/>
          <w:lang w:val="en-GB"/>
        </w:rPr>
        <w:t xml:space="preserve"> million being transferred to the NYDA leaving the programme with an original allocation</w:t>
      </w:r>
      <w:r w:rsidR="000B7F3A" w:rsidRPr="00B217DC">
        <w:rPr>
          <w:rFonts w:cs="Arial"/>
          <w:color w:val="auto"/>
          <w:spacing w:val="0"/>
          <w:kern w:val="28"/>
          <w:sz w:val="20"/>
          <w:szCs w:val="20"/>
          <w:lang w:val="en-GB"/>
        </w:rPr>
        <w:t>/operating budget</w:t>
      </w:r>
      <w:r w:rsidR="00830725" w:rsidRPr="00B217DC">
        <w:rPr>
          <w:rFonts w:cs="Arial"/>
          <w:color w:val="auto"/>
          <w:spacing w:val="0"/>
          <w:kern w:val="28"/>
          <w:sz w:val="20"/>
          <w:szCs w:val="20"/>
          <w:lang w:val="en-GB"/>
        </w:rPr>
        <w:t xml:space="preserve"> of R</w:t>
      </w:r>
      <w:r w:rsidR="000B7F3A" w:rsidRPr="00B217DC">
        <w:rPr>
          <w:rFonts w:cs="Arial"/>
          <w:color w:val="auto"/>
          <w:spacing w:val="0"/>
          <w:kern w:val="28"/>
          <w:sz w:val="20"/>
          <w:szCs w:val="20"/>
          <w:lang w:val="en-GB"/>
        </w:rPr>
        <w:t xml:space="preserve">12,2 </w:t>
      </w:r>
      <w:r w:rsidR="00830725" w:rsidRPr="00B217DC">
        <w:rPr>
          <w:rFonts w:cs="Arial"/>
          <w:color w:val="auto"/>
          <w:spacing w:val="0"/>
          <w:kern w:val="28"/>
          <w:sz w:val="20"/>
          <w:szCs w:val="20"/>
          <w:lang w:val="en-GB"/>
        </w:rPr>
        <w:t xml:space="preserve">million. </w:t>
      </w:r>
      <w:r w:rsidR="000B7F3A" w:rsidRPr="00B217DC">
        <w:rPr>
          <w:rFonts w:cs="Arial"/>
          <w:color w:val="auto"/>
          <w:spacing w:val="0"/>
          <w:kern w:val="28"/>
          <w:sz w:val="20"/>
          <w:szCs w:val="20"/>
          <w:lang w:val="en-GB"/>
        </w:rPr>
        <w:t>The NYDA had received a cash injection totalling R430 milli</w:t>
      </w:r>
      <w:r w:rsidR="003E55D8" w:rsidRPr="00B217DC">
        <w:rPr>
          <w:rFonts w:cs="Arial"/>
          <w:color w:val="auto"/>
          <w:spacing w:val="0"/>
          <w:kern w:val="28"/>
          <w:sz w:val="20"/>
          <w:szCs w:val="20"/>
          <w:lang w:val="en-GB"/>
        </w:rPr>
        <w:t xml:space="preserve">on. </w:t>
      </w:r>
      <w:r w:rsidR="00830725" w:rsidRPr="00B217DC">
        <w:rPr>
          <w:rFonts w:cs="Arial"/>
          <w:color w:val="auto"/>
          <w:spacing w:val="0"/>
          <w:kern w:val="28"/>
          <w:sz w:val="20"/>
          <w:szCs w:val="20"/>
          <w:lang w:val="en-GB"/>
        </w:rPr>
        <w:t>T</w:t>
      </w:r>
      <w:r w:rsidRPr="00B217DC">
        <w:rPr>
          <w:rFonts w:cs="Arial"/>
          <w:color w:val="auto"/>
          <w:spacing w:val="0"/>
          <w:kern w:val="28"/>
          <w:sz w:val="20"/>
          <w:szCs w:val="20"/>
          <w:lang w:val="en-GB"/>
        </w:rPr>
        <w:t>he final appropriation</w:t>
      </w:r>
      <w:r w:rsidR="003E55D8" w:rsidRPr="00B217DC">
        <w:rPr>
          <w:rFonts w:cs="Arial"/>
          <w:color w:val="auto"/>
          <w:spacing w:val="0"/>
          <w:kern w:val="28"/>
          <w:sz w:val="20"/>
          <w:szCs w:val="20"/>
          <w:lang w:val="en-GB"/>
        </w:rPr>
        <w:t xml:space="preserve"> for the programme was thus R913,141 million. Ex</w:t>
      </w:r>
      <w:r w:rsidR="00782A5C" w:rsidRPr="00B217DC">
        <w:rPr>
          <w:rFonts w:cs="Arial"/>
          <w:color w:val="auto"/>
          <w:spacing w:val="0"/>
          <w:kern w:val="28"/>
          <w:sz w:val="20"/>
          <w:szCs w:val="20"/>
          <w:lang w:val="en-GB"/>
        </w:rPr>
        <w:t>cluding the transfer to the NYDA</w:t>
      </w:r>
      <w:r w:rsidR="003E55D8" w:rsidRPr="00B217DC">
        <w:rPr>
          <w:rFonts w:cs="Arial"/>
          <w:color w:val="auto"/>
          <w:spacing w:val="0"/>
          <w:kern w:val="28"/>
          <w:sz w:val="20"/>
          <w:szCs w:val="20"/>
          <w:lang w:val="en-GB"/>
        </w:rPr>
        <w:t xml:space="preserve"> the final operational budget for this programme was R12,179 million</w:t>
      </w:r>
      <w:r w:rsidR="000B7F3A" w:rsidRPr="00B217DC">
        <w:rPr>
          <w:rFonts w:cs="Arial"/>
          <w:color w:val="auto"/>
          <w:spacing w:val="0"/>
          <w:kern w:val="28"/>
          <w:sz w:val="20"/>
          <w:szCs w:val="20"/>
          <w:lang w:val="en-GB"/>
        </w:rPr>
        <w:t>.</w:t>
      </w:r>
      <w:r w:rsidR="00782A5C" w:rsidRPr="00B217DC">
        <w:rPr>
          <w:rFonts w:cs="Arial"/>
          <w:color w:val="auto"/>
          <w:spacing w:val="0"/>
          <w:kern w:val="28"/>
          <w:sz w:val="20"/>
          <w:szCs w:val="20"/>
          <w:lang w:val="en-GB"/>
        </w:rPr>
        <w:t xml:space="preserve"> </w:t>
      </w:r>
      <w:r w:rsidR="000B7F3A" w:rsidRPr="00B217DC">
        <w:rPr>
          <w:rFonts w:cs="Arial"/>
          <w:color w:val="auto"/>
          <w:spacing w:val="0"/>
          <w:kern w:val="28"/>
          <w:sz w:val="20"/>
          <w:szCs w:val="20"/>
          <w:lang w:val="en-GB"/>
        </w:rPr>
        <w:t>No</w:t>
      </w:r>
      <w:r w:rsidRPr="00B217DC">
        <w:rPr>
          <w:rFonts w:cs="Arial"/>
          <w:color w:val="auto"/>
          <w:spacing w:val="0"/>
          <w:kern w:val="28"/>
          <w:sz w:val="20"/>
          <w:szCs w:val="20"/>
          <w:lang w:val="en-GB"/>
        </w:rPr>
        <w:t xml:space="preserve"> virement</w:t>
      </w:r>
      <w:r w:rsidR="000B7F3A" w:rsidRPr="00B217DC">
        <w:rPr>
          <w:rFonts w:cs="Arial"/>
          <w:color w:val="auto"/>
          <w:spacing w:val="0"/>
          <w:kern w:val="28"/>
          <w:sz w:val="20"/>
          <w:szCs w:val="20"/>
          <w:lang w:val="en-GB"/>
        </w:rPr>
        <w:t xml:space="preserve"> w</w:t>
      </w:r>
      <w:r w:rsidR="003E55D8" w:rsidRPr="00B217DC">
        <w:rPr>
          <w:rFonts w:cs="Arial"/>
          <w:color w:val="auto"/>
          <w:spacing w:val="0"/>
          <w:kern w:val="28"/>
          <w:sz w:val="20"/>
          <w:szCs w:val="20"/>
          <w:lang w:val="en-GB"/>
        </w:rPr>
        <w:t>as</w:t>
      </w:r>
      <w:r w:rsidR="000B7F3A" w:rsidRPr="00B217DC">
        <w:rPr>
          <w:rFonts w:cs="Arial"/>
          <w:color w:val="auto"/>
          <w:spacing w:val="0"/>
          <w:kern w:val="28"/>
          <w:sz w:val="20"/>
          <w:szCs w:val="20"/>
          <w:lang w:val="en-GB"/>
        </w:rPr>
        <w:t xml:space="preserve"> recorded </w:t>
      </w:r>
      <w:r w:rsidR="003E55D8" w:rsidRPr="00B217DC">
        <w:rPr>
          <w:rFonts w:cs="Arial"/>
          <w:color w:val="auto"/>
          <w:spacing w:val="0"/>
          <w:kern w:val="28"/>
          <w:sz w:val="20"/>
          <w:szCs w:val="20"/>
          <w:lang w:val="en-GB"/>
        </w:rPr>
        <w:t>for</w:t>
      </w:r>
      <w:r w:rsidR="000B7F3A" w:rsidRPr="00B217DC">
        <w:rPr>
          <w:rFonts w:cs="Arial"/>
          <w:color w:val="auto"/>
          <w:spacing w:val="0"/>
          <w:kern w:val="28"/>
          <w:sz w:val="20"/>
          <w:szCs w:val="20"/>
          <w:lang w:val="en-GB"/>
        </w:rPr>
        <w:t xml:space="preserve"> this programme</w:t>
      </w:r>
      <w:r w:rsidRPr="00B217DC">
        <w:rPr>
          <w:rFonts w:cs="Arial"/>
          <w:color w:val="auto"/>
          <w:spacing w:val="0"/>
          <w:kern w:val="28"/>
          <w:sz w:val="20"/>
          <w:szCs w:val="20"/>
          <w:lang w:val="en-GB"/>
        </w:rPr>
        <w:t>. The actual expenditure incurred was R</w:t>
      </w:r>
      <w:r w:rsidR="007C35F7" w:rsidRPr="00B217DC">
        <w:rPr>
          <w:rFonts w:cs="Arial"/>
          <w:color w:val="auto"/>
          <w:spacing w:val="0"/>
          <w:kern w:val="28"/>
          <w:sz w:val="20"/>
          <w:szCs w:val="20"/>
          <w:lang w:val="en-GB"/>
        </w:rPr>
        <w:t>9,718</w:t>
      </w:r>
      <w:r w:rsidRPr="00B217DC">
        <w:rPr>
          <w:rFonts w:cs="Arial"/>
          <w:color w:val="auto"/>
          <w:spacing w:val="0"/>
          <w:kern w:val="28"/>
          <w:sz w:val="20"/>
          <w:szCs w:val="20"/>
          <w:lang w:val="en-GB"/>
        </w:rPr>
        <w:t xml:space="preserve"> million, </w:t>
      </w:r>
      <w:r w:rsidR="007C35F7" w:rsidRPr="00B217DC">
        <w:rPr>
          <w:rFonts w:cs="Arial"/>
          <w:color w:val="auto"/>
          <w:spacing w:val="0"/>
          <w:kern w:val="28"/>
          <w:sz w:val="20"/>
          <w:szCs w:val="20"/>
          <w:lang w:val="en-GB"/>
        </w:rPr>
        <w:t xml:space="preserve">5.6% of the operational </w:t>
      </w:r>
      <w:r w:rsidR="00B8284F" w:rsidRPr="00B217DC">
        <w:rPr>
          <w:rFonts w:cs="Arial"/>
          <w:color w:val="auto"/>
          <w:spacing w:val="0"/>
          <w:kern w:val="28"/>
          <w:sz w:val="20"/>
          <w:szCs w:val="20"/>
          <w:lang w:val="en-GB"/>
        </w:rPr>
        <w:t>expenditure</w:t>
      </w:r>
      <w:r w:rsidR="007C35F7" w:rsidRPr="00B217DC">
        <w:rPr>
          <w:rFonts w:cs="Arial"/>
          <w:color w:val="auto"/>
          <w:spacing w:val="0"/>
          <w:kern w:val="28"/>
          <w:sz w:val="20"/>
          <w:szCs w:val="20"/>
          <w:lang w:val="en-GB"/>
        </w:rPr>
        <w:t xml:space="preserve"> and 79.7% of its allocated programme budget</w:t>
      </w:r>
      <w:r w:rsidRPr="00B217DC">
        <w:rPr>
          <w:rFonts w:cs="Arial"/>
          <w:color w:val="auto"/>
          <w:spacing w:val="0"/>
          <w:kern w:val="28"/>
          <w:sz w:val="20"/>
          <w:szCs w:val="20"/>
          <w:lang w:val="en-GB"/>
        </w:rPr>
        <w:t>. This programme incurred a</w:t>
      </w:r>
      <w:r w:rsidR="00782A5C" w:rsidRPr="00B217DC">
        <w:rPr>
          <w:rFonts w:cs="Arial"/>
          <w:color w:val="auto"/>
          <w:spacing w:val="0"/>
          <w:kern w:val="28"/>
          <w:sz w:val="20"/>
          <w:szCs w:val="20"/>
          <w:lang w:val="en-GB"/>
        </w:rPr>
        <w:t>n</w:t>
      </w:r>
      <w:r w:rsidRPr="00B217DC">
        <w:rPr>
          <w:rFonts w:cs="Arial"/>
          <w:color w:val="auto"/>
          <w:spacing w:val="0"/>
          <w:kern w:val="28"/>
          <w:sz w:val="20"/>
          <w:szCs w:val="20"/>
          <w:lang w:val="en-GB"/>
        </w:rPr>
        <w:t xml:space="preserve"> under-expenditure of R</w:t>
      </w:r>
      <w:r w:rsidR="00B8284F" w:rsidRPr="00B217DC">
        <w:rPr>
          <w:rFonts w:cs="Arial"/>
          <w:color w:val="auto"/>
          <w:spacing w:val="0"/>
          <w:kern w:val="28"/>
          <w:sz w:val="20"/>
          <w:szCs w:val="20"/>
          <w:lang w:val="en-GB"/>
        </w:rPr>
        <w:t>2,461 million which amounts to 20.2% of the programme operational budget.</w:t>
      </w:r>
      <w:r w:rsidRPr="00B217DC">
        <w:rPr>
          <w:rFonts w:cs="Arial"/>
          <w:color w:val="auto"/>
          <w:spacing w:val="0"/>
          <w:kern w:val="28"/>
          <w:sz w:val="20"/>
          <w:szCs w:val="20"/>
          <w:lang w:val="en-GB"/>
        </w:rPr>
        <w:t xml:space="preserve"> The key cost drivers for this programme was as follows:</w:t>
      </w:r>
    </w:p>
    <w:p w:rsidR="003E25D7" w:rsidRPr="00B217DC" w:rsidRDefault="003E25D7" w:rsidP="00B217DC">
      <w:pPr>
        <w:rPr>
          <w:rFonts w:cs="Arial"/>
          <w:color w:val="auto"/>
          <w:spacing w:val="0"/>
          <w:kern w:val="28"/>
          <w:sz w:val="20"/>
          <w:szCs w:val="20"/>
          <w:lang w:val="en-GB"/>
        </w:rPr>
      </w:pPr>
    </w:p>
    <w:p w:rsidR="003E25D7" w:rsidRPr="00B217DC" w:rsidRDefault="003E25D7" w:rsidP="00B217DC">
      <w:pPr>
        <w:numPr>
          <w:ilvl w:val="0"/>
          <w:numId w:val="50"/>
        </w:numPr>
        <w:rPr>
          <w:rFonts w:cs="Arial"/>
          <w:color w:val="auto"/>
          <w:spacing w:val="0"/>
          <w:kern w:val="28"/>
          <w:sz w:val="20"/>
          <w:szCs w:val="20"/>
          <w:lang w:val="en-GB"/>
        </w:rPr>
      </w:pPr>
      <w:r w:rsidRPr="00B217DC">
        <w:rPr>
          <w:rFonts w:cs="Arial"/>
          <w:color w:val="auto"/>
          <w:spacing w:val="0"/>
          <w:kern w:val="28"/>
          <w:sz w:val="20"/>
          <w:szCs w:val="20"/>
          <w:lang w:val="en-GB"/>
        </w:rPr>
        <w:t xml:space="preserve">Compensation of Employees accounted for </w:t>
      </w:r>
      <w:r w:rsidR="000B7F3A" w:rsidRPr="00B217DC">
        <w:rPr>
          <w:rFonts w:cs="Arial"/>
          <w:color w:val="auto"/>
          <w:spacing w:val="0"/>
          <w:kern w:val="28"/>
          <w:sz w:val="20"/>
          <w:szCs w:val="20"/>
          <w:lang w:val="en-GB"/>
        </w:rPr>
        <w:t>7,2</w:t>
      </w:r>
      <w:r w:rsidRPr="00B217DC">
        <w:rPr>
          <w:rFonts w:cs="Arial"/>
          <w:color w:val="auto"/>
          <w:spacing w:val="0"/>
          <w:kern w:val="28"/>
          <w:sz w:val="20"/>
          <w:szCs w:val="20"/>
          <w:lang w:val="en-GB"/>
        </w:rPr>
        <w:t>% of the programme budget (R</w:t>
      </w:r>
      <w:r w:rsidR="000B7F3A" w:rsidRPr="00B217DC">
        <w:rPr>
          <w:rFonts w:cs="Arial"/>
          <w:color w:val="auto"/>
          <w:spacing w:val="0"/>
          <w:kern w:val="28"/>
          <w:sz w:val="20"/>
          <w:szCs w:val="20"/>
          <w:lang w:val="en-GB"/>
        </w:rPr>
        <w:t>7,247</w:t>
      </w:r>
      <w:r w:rsidRPr="00B217DC">
        <w:rPr>
          <w:rFonts w:cs="Arial"/>
          <w:color w:val="auto"/>
          <w:spacing w:val="0"/>
          <w:kern w:val="28"/>
          <w:sz w:val="20"/>
          <w:szCs w:val="20"/>
          <w:lang w:val="en-GB"/>
        </w:rPr>
        <w:t>m)</w:t>
      </w:r>
    </w:p>
    <w:p w:rsidR="003E25D7" w:rsidRPr="00B217DC" w:rsidRDefault="003E25D7" w:rsidP="00B217DC">
      <w:pPr>
        <w:numPr>
          <w:ilvl w:val="0"/>
          <w:numId w:val="50"/>
        </w:numPr>
        <w:rPr>
          <w:rFonts w:cs="Arial"/>
          <w:color w:val="auto"/>
          <w:spacing w:val="0"/>
          <w:kern w:val="28"/>
          <w:sz w:val="20"/>
          <w:szCs w:val="20"/>
          <w:lang w:val="en-GB"/>
        </w:rPr>
      </w:pPr>
      <w:r w:rsidRPr="00B217DC">
        <w:rPr>
          <w:rFonts w:cs="Arial"/>
          <w:color w:val="auto"/>
          <w:spacing w:val="0"/>
          <w:kern w:val="28"/>
          <w:sz w:val="20"/>
          <w:szCs w:val="20"/>
          <w:lang w:val="en-GB"/>
        </w:rPr>
        <w:t xml:space="preserve">Goods and Services accounted for </w:t>
      </w:r>
      <w:r w:rsidR="000B7F3A" w:rsidRPr="00B217DC">
        <w:rPr>
          <w:rFonts w:cs="Arial"/>
          <w:color w:val="auto"/>
          <w:spacing w:val="0"/>
          <w:kern w:val="28"/>
          <w:sz w:val="20"/>
          <w:szCs w:val="20"/>
          <w:lang w:val="en-GB"/>
        </w:rPr>
        <w:t>9.3</w:t>
      </w:r>
      <w:r w:rsidRPr="00B217DC">
        <w:rPr>
          <w:rFonts w:cs="Arial"/>
          <w:color w:val="auto"/>
          <w:spacing w:val="0"/>
          <w:kern w:val="28"/>
          <w:sz w:val="20"/>
          <w:szCs w:val="20"/>
          <w:lang w:val="en-GB"/>
        </w:rPr>
        <w:t>% of the budget (R</w:t>
      </w:r>
      <w:r w:rsidR="000B7F3A" w:rsidRPr="00B217DC">
        <w:rPr>
          <w:rFonts w:cs="Arial"/>
          <w:color w:val="auto"/>
          <w:spacing w:val="0"/>
          <w:kern w:val="28"/>
          <w:sz w:val="20"/>
          <w:szCs w:val="20"/>
          <w:lang w:val="en-GB"/>
        </w:rPr>
        <w:t>1,140</w:t>
      </w:r>
      <w:r w:rsidRPr="00B217DC">
        <w:rPr>
          <w:rFonts w:cs="Arial"/>
          <w:color w:val="auto"/>
          <w:spacing w:val="0"/>
          <w:kern w:val="28"/>
          <w:sz w:val="20"/>
          <w:szCs w:val="20"/>
          <w:lang w:val="en-GB"/>
        </w:rPr>
        <w:t>m)</w:t>
      </w:r>
    </w:p>
    <w:p w:rsidR="000B7F3A" w:rsidRPr="00B217DC" w:rsidRDefault="000B7F3A" w:rsidP="00B217DC">
      <w:pPr>
        <w:rPr>
          <w:rFonts w:cs="Arial"/>
          <w:color w:val="auto"/>
          <w:spacing w:val="0"/>
          <w:kern w:val="28"/>
          <w:sz w:val="20"/>
          <w:szCs w:val="20"/>
          <w:lang w:val="en-GB"/>
        </w:rPr>
      </w:pPr>
    </w:p>
    <w:p w:rsidR="000B7F3A" w:rsidRPr="00B217DC" w:rsidRDefault="000B7F3A" w:rsidP="00B217DC">
      <w:pPr>
        <w:rPr>
          <w:rFonts w:cs="Arial"/>
          <w:color w:val="auto"/>
          <w:spacing w:val="0"/>
          <w:kern w:val="28"/>
          <w:sz w:val="20"/>
          <w:szCs w:val="20"/>
          <w:lang w:val="en-GB"/>
        </w:rPr>
      </w:pPr>
      <w:r w:rsidRPr="00B217DC">
        <w:rPr>
          <w:rFonts w:cs="Arial"/>
          <w:color w:val="auto"/>
          <w:spacing w:val="0"/>
          <w:kern w:val="28"/>
          <w:sz w:val="20"/>
          <w:szCs w:val="20"/>
          <w:lang w:val="en-GB"/>
        </w:rPr>
        <w:t>They key cost drivers under Goods and Services were as follows:</w:t>
      </w:r>
    </w:p>
    <w:p w:rsidR="000B7F3A" w:rsidRPr="00B217DC" w:rsidRDefault="000B7F3A" w:rsidP="00B217DC">
      <w:pPr>
        <w:pStyle w:val="ListParagraph"/>
        <w:numPr>
          <w:ilvl w:val="0"/>
          <w:numId w:val="140"/>
        </w:numPr>
        <w:rPr>
          <w:rFonts w:cs="Arial"/>
          <w:color w:val="auto"/>
          <w:spacing w:val="0"/>
          <w:kern w:val="28"/>
          <w:sz w:val="20"/>
          <w:szCs w:val="20"/>
          <w:lang w:val="en-GB"/>
        </w:rPr>
      </w:pPr>
      <w:r w:rsidRPr="00B217DC">
        <w:rPr>
          <w:rFonts w:cs="Arial"/>
          <w:color w:val="auto"/>
          <w:spacing w:val="0"/>
          <w:kern w:val="28"/>
          <w:sz w:val="20"/>
          <w:szCs w:val="20"/>
          <w:lang w:val="en-GB"/>
        </w:rPr>
        <w:t>Transfer payment to foreign govt. and/or international org (Commonwealth annual subscription) = R1.331m</w:t>
      </w:r>
    </w:p>
    <w:p w:rsidR="000B7F3A" w:rsidRPr="00B217DC" w:rsidRDefault="000B7F3A" w:rsidP="00B217DC">
      <w:pPr>
        <w:pStyle w:val="ListParagraph"/>
        <w:numPr>
          <w:ilvl w:val="0"/>
          <w:numId w:val="140"/>
        </w:numPr>
        <w:rPr>
          <w:rFonts w:cs="Arial"/>
          <w:color w:val="auto"/>
          <w:spacing w:val="0"/>
          <w:kern w:val="28"/>
          <w:sz w:val="20"/>
          <w:szCs w:val="20"/>
          <w:lang w:val="en-GB"/>
        </w:rPr>
      </w:pPr>
      <w:r w:rsidRPr="00B217DC">
        <w:rPr>
          <w:rFonts w:cs="Arial"/>
          <w:color w:val="auto"/>
          <w:spacing w:val="0"/>
          <w:kern w:val="28"/>
          <w:sz w:val="20"/>
          <w:szCs w:val="20"/>
          <w:lang w:val="en-GB"/>
        </w:rPr>
        <w:t>Operating Expenses = R393 000</w:t>
      </w:r>
    </w:p>
    <w:p w:rsidR="000B7F3A" w:rsidRPr="00B217DC" w:rsidRDefault="000B7F3A" w:rsidP="00B217DC">
      <w:pPr>
        <w:pStyle w:val="ListParagraph"/>
        <w:numPr>
          <w:ilvl w:val="0"/>
          <w:numId w:val="140"/>
        </w:numPr>
        <w:rPr>
          <w:rFonts w:cs="Arial"/>
          <w:color w:val="auto"/>
          <w:spacing w:val="0"/>
          <w:kern w:val="28"/>
          <w:sz w:val="20"/>
          <w:szCs w:val="20"/>
          <w:lang w:val="en-GB"/>
        </w:rPr>
      </w:pPr>
      <w:r w:rsidRPr="00B217DC">
        <w:rPr>
          <w:rFonts w:cs="Arial"/>
          <w:color w:val="auto"/>
          <w:spacing w:val="0"/>
          <w:kern w:val="28"/>
          <w:sz w:val="20"/>
          <w:szCs w:val="20"/>
          <w:lang w:val="en-GB"/>
        </w:rPr>
        <w:t>Travel &amp; Subsistence = R 382 000</w:t>
      </w:r>
    </w:p>
    <w:p w:rsidR="000B7F3A" w:rsidRPr="00B217DC" w:rsidRDefault="000B7F3A" w:rsidP="00B217DC">
      <w:pPr>
        <w:pStyle w:val="ListParagraph"/>
        <w:numPr>
          <w:ilvl w:val="0"/>
          <w:numId w:val="140"/>
        </w:numPr>
        <w:rPr>
          <w:rFonts w:cs="Arial"/>
          <w:color w:val="auto"/>
          <w:spacing w:val="0"/>
          <w:kern w:val="28"/>
          <w:sz w:val="20"/>
          <w:szCs w:val="20"/>
          <w:lang w:val="en-GB"/>
        </w:rPr>
      </w:pPr>
      <w:r w:rsidRPr="00B217DC">
        <w:rPr>
          <w:rFonts w:cs="Arial"/>
          <w:color w:val="auto"/>
          <w:spacing w:val="0"/>
          <w:kern w:val="28"/>
          <w:sz w:val="20"/>
          <w:szCs w:val="20"/>
          <w:lang w:val="en-GB"/>
        </w:rPr>
        <w:t>Communications = R205 000</w:t>
      </w:r>
    </w:p>
    <w:p w:rsidR="000B7F3A" w:rsidRPr="00B217DC" w:rsidRDefault="000B7F3A" w:rsidP="00B217DC">
      <w:pPr>
        <w:rPr>
          <w:rFonts w:cs="Arial"/>
          <w:color w:val="auto"/>
          <w:spacing w:val="0"/>
          <w:kern w:val="28"/>
          <w:sz w:val="20"/>
          <w:szCs w:val="20"/>
          <w:lang w:val="en-GB"/>
        </w:rPr>
      </w:pPr>
    </w:p>
    <w:p w:rsidR="00170BD2" w:rsidRPr="00B217DC" w:rsidRDefault="00972178" w:rsidP="00B217DC">
      <w:pPr>
        <w:pStyle w:val="ListParagraph"/>
        <w:numPr>
          <w:ilvl w:val="1"/>
          <w:numId w:val="56"/>
        </w:numPr>
        <w:rPr>
          <w:rFonts w:cs="Arial"/>
          <w:b/>
          <w:color w:val="auto"/>
          <w:spacing w:val="0"/>
          <w:kern w:val="28"/>
          <w:sz w:val="20"/>
          <w:szCs w:val="20"/>
        </w:rPr>
      </w:pPr>
      <w:r w:rsidRPr="00B217DC">
        <w:rPr>
          <w:rFonts w:cs="Arial"/>
          <w:b/>
          <w:color w:val="auto"/>
          <w:spacing w:val="0"/>
          <w:kern w:val="28"/>
          <w:sz w:val="20"/>
          <w:szCs w:val="20"/>
        </w:rPr>
        <w:t xml:space="preserve"> H</w:t>
      </w:r>
      <w:r w:rsidR="00170BD2" w:rsidRPr="00B217DC">
        <w:rPr>
          <w:rFonts w:cs="Arial"/>
          <w:b/>
          <w:color w:val="auto"/>
          <w:spacing w:val="0"/>
          <w:kern w:val="28"/>
          <w:sz w:val="20"/>
          <w:szCs w:val="20"/>
        </w:rPr>
        <w:t>uman Resources</w:t>
      </w:r>
    </w:p>
    <w:p w:rsidR="002B202E" w:rsidRPr="00B217DC" w:rsidRDefault="002B202E" w:rsidP="00B217DC">
      <w:pPr>
        <w:rPr>
          <w:rFonts w:cs="Arial"/>
          <w:color w:val="auto"/>
          <w:sz w:val="20"/>
          <w:szCs w:val="20"/>
        </w:rPr>
      </w:pPr>
    </w:p>
    <w:p w:rsidR="00061C47" w:rsidRPr="00B217DC" w:rsidRDefault="00A74CC2" w:rsidP="00B217DC">
      <w:pPr>
        <w:rPr>
          <w:rFonts w:cs="Arial"/>
          <w:color w:val="auto"/>
          <w:sz w:val="20"/>
          <w:szCs w:val="20"/>
        </w:rPr>
      </w:pPr>
      <w:r w:rsidRPr="00B217DC">
        <w:rPr>
          <w:rFonts w:cs="Arial"/>
          <w:color w:val="auto"/>
          <w:sz w:val="20"/>
          <w:szCs w:val="20"/>
        </w:rPr>
        <w:t xml:space="preserve">The </w:t>
      </w:r>
      <w:r w:rsidR="00DE4FC4" w:rsidRPr="00B217DC">
        <w:rPr>
          <w:rFonts w:cs="Arial"/>
          <w:color w:val="auto"/>
          <w:sz w:val="20"/>
          <w:szCs w:val="20"/>
        </w:rPr>
        <w:t>Department notes in its Annual Report as at 31 March 202</w:t>
      </w:r>
      <w:r w:rsidR="00C20591" w:rsidRPr="00B217DC">
        <w:rPr>
          <w:rFonts w:cs="Arial"/>
          <w:color w:val="auto"/>
          <w:sz w:val="20"/>
          <w:szCs w:val="20"/>
        </w:rPr>
        <w:t>2</w:t>
      </w:r>
      <w:r w:rsidR="00CE5F06" w:rsidRPr="00B217DC">
        <w:rPr>
          <w:rFonts w:cs="Arial"/>
          <w:color w:val="auto"/>
          <w:sz w:val="20"/>
          <w:szCs w:val="20"/>
        </w:rPr>
        <w:t xml:space="preserve"> that it had a vacancy rate of </w:t>
      </w:r>
      <w:r w:rsidR="003E55D8" w:rsidRPr="00B217DC">
        <w:rPr>
          <w:rFonts w:cs="Arial"/>
          <w:color w:val="auto"/>
          <w:sz w:val="20"/>
          <w:szCs w:val="20"/>
        </w:rPr>
        <w:t>5.6</w:t>
      </w:r>
      <w:r w:rsidR="00C20591" w:rsidRPr="00B217DC">
        <w:rPr>
          <w:rFonts w:cs="Arial"/>
          <w:color w:val="auto"/>
          <w:sz w:val="20"/>
          <w:szCs w:val="20"/>
        </w:rPr>
        <w:t xml:space="preserve">%, thus </w:t>
      </w:r>
      <w:r w:rsidR="003E55D8" w:rsidRPr="00B217DC">
        <w:rPr>
          <w:rFonts w:cs="Arial"/>
          <w:color w:val="auto"/>
          <w:sz w:val="20"/>
          <w:szCs w:val="20"/>
        </w:rPr>
        <w:t>8</w:t>
      </w:r>
      <w:r w:rsidR="00C20591" w:rsidRPr="00B217DC">
        <w:rPr>
          <w:rFonts w:cs="Arial"/>
          <w:color w:val="auto"/>
          <w:sz w:val="20"/>
          <w:szCs w:val="20"/>
        </w:rPr>
        <w:t xml:space="preserve"> </w:t>
      </w:r>
      <w:r w:rsidR="00CE5F06" w:rsidRPr="00B217DC">
        <w:rPr>
          <w:rFonts w:cs="Arial"/>
          <w:color w:val="auto"/>
          <w:sz w:val="20"/>
          <w:szCs w:val="20"/>
        </w:rPr>
        <w:t xml:space="preserve">vacancies of </w:t>
      </w:r>
      <w:r w:rsidR="003E55D8" w:rsidRPr="00B217DC">
        <w:rPr>
          <w:rFonts w:cs="Arial"/>
          <w:color w:val="auto"/>
          <w:sz w:val="20"/>
          <w:szCs w:val="20"/>
        </w:rPr>
        <w:t>143</w:t>
      </w:r>
      <w:r w:rsidR="00CE5F06" w:rsidRPr="00B217DC">
        <w:rPr>
          <w:rFonts w:cs="Arial"/>
          <w:color w:val="auto"/>
          <w:sz w:val="20"/>
          <w:szCs w:val="20"/>
        </w:rPr>
        <w:t xml:space="preserve"> </w:t>
      </w:r>
      <w:r w:rsidR="00D468D0" w:rsidRPr="00B217DC">
        <w:rPr>
          <w:rFonts w:cs="Arial"/>
          <w:color w:val="auto"/>
          <w:sz w:val="20"/>
          <w:szCs w:val="20"/>
        </w:rPr>
        <w:t xml:space="preserve">approved </w:t>
      </w:r>
      <w:r w:rsidR="00CE5F06" w:rsidRPr="00B217DC">
        <w:rPr>
          <w:rFonts w:cs="Arial"/>
          <w:color w:val="auto"/>
          <w:sz w:val="20"/>
          <w:szCs w:val="20"/>
        </w:rPr>
        <w:t>funded posts.</w:t>
      </w:r>
      <w:r w:rsidR="00EC7443" w:rsidRPr="00B217DC">
        <w:rPr>
          <w:rFonts w:cs="Arial"/>
          <w:color w:val="auto"/>
          <w:sz w:val="20"/>
          <w:szCs w:val="20"/>
        </w:rPr>
        <w:t xml:space="preserve"> Furthermore, the Department had a tota</w:t>
      </w:r>
      <w:r w:rsidR="00C20591" w:rsidRPr="00B217DC">
        <w:rPr>
          <w:rFonts w:cs="Arial"/>
          <w:color w:val="auto"/>
          <w:sz w:val="20"/>
          <w:szCs w:val="20"/>
        </w:rPr>
        <w:t xml:space="preserve">l of </w:t>
      </w:r>
      <w:r w:rsidR="003E55D8" w:rsidRPr="00B217DC">
        <w:rPr>
          <w:rFonts w:cs="Arial"/>
          <w:color w:val="auto"/>
          <w:sz w:val="20"/>
          <w:szCs w:val="20"/>
        </w:rPr>
        <w:t>21</w:t>
      </w:r>
      <w:r w:rsidR="00EC7443" w:rsidRPr="00B217DC">
        <w:rPr>
          <w:rFonts w:cs="Arial"/>
          <w:color w:val="auto"/>
          <w:sz w:val="20"/>
          <w:szCs w:val="20"/>
        </w:rPr>
        <w:t xml:space="preserve"> employees additional to the establishment. </w:t>
      </w:r>
      <w:r w:rsidR="00DE721E" w:rsidRPr="00B217DC">
        <w:rPr>
          <w:rFonts w:cs="Arial"/>
          <w:color w:val="auto"/>
          <w:sz w:val="20"/>
          <w:szCs w:val="20"/>
        </w:rPr>
        <w:t xml:space="preserve">In terms of gender, </w:t>
      </w:r>
      <w:r w:rsidR="003E55D8" w:rsidRPr="00B217DC">
        <w:rPr>
          <w:rFonts w:cs="Arial"/>
          <w:color w:val="auto"/>
          <w:sz w:val="20"/>
          <w:szCs w:val="20"/>
        </w:rPr>
        <w:t>89/135</w:t>
      </w:r>
      <w:r w:rsidR="00DE721E" w:rsidRPr="00B217DC">
        <w:rPr>
          <w:rFonts w:cs="Arial"/>
          <w:color w:val="auto"/>
          <w:sz w:val="20"/>
          <w:szCs w:val="20"/>
        </w:rPr>
        <w:t xml:space="preserve"> staff members are female (</w:t>
      </w:r>
      <w:r w:rsidR="003E55D8" w:rsidRPr="00B217DC">
        <w:rPr>
          <w:rFonts w:cs="Arial"/>
          <w:color w:val="auto"/>
          <w:sz w:val="20"/>
          <w:szCs w:val="20"/>
        </w:rPr>
        <w:t>66</w:t>
      </w:r>
      <w:r w:rsidR="00C20591" w:rsidRPr="00B217DC">
        <w:rPr>
          <w:rFonts w:cs="Arial"/>
          <w:color w:val="auto"/>
          <w:sz w:val="20"/>
          <w:szCs w:val="20"/>
        </w:rPr>
        <w:t xml:space="preserve">%) and </w:t>
      </w:r>
      <w:r w:rsidR="003E55D8" w:rsidRPr="00B217DC">
        <w:rPr>
          <w:rFonts w:cs="Arial"/>
          <w:color w:val="auto"/>
          <w:sz w:val="20"/>
          <w:szCs w:val="20"/>
        </w:rPr>
        <w:t>46</w:t>
      </w:r>
      <w:r w:rsidR="00DE721E" w:rsidRPr="00B217DC">
        <w:rPr>
          <w:rFonts w:cs="Arial"/>
          <w:color w:val="auto"/>
          <w:sz w:val="20"/>
          <w:szCs w:val="20"/>
        </w:rPr>
        <w:t xml:space="preserve"> are male (</w:t>
      </w:r>
      <w:r w:rsidR="003E55D8" w:rsidRPr="00B217DC">
        <w:rPr>
          <w:rFonts w:cs="Arial"/>
          <w:color w:val="auto"/>
          <w:sz w:val="20"/>
          <w:szCs w:val="20"/>
        </w:rPr>
        <w:t>34</w:t>
      </w:r>
      <w:r w:rsidR="00061C47" w:rsidRPr="00B217DC">
        <w:rPr>
          <w:rFonts w:cs="Arial"/>
          <w:color w:val="auto"/>
          <w:sz w:val="20"/>
          <w:szCs w:val="20"/>
        </w:rPr>
        <w:t>%). The majority of women (36) are in clerical positions, while 27 occupy professional positions</w:t>
      </w:r>
      <w:r w:rsidR="00061C47" w:rsidRPr="00B217DC">
        <w:rPr>
          <w:rFonts w:cs="Arial"/>
          <w:color w:val="auto"/>
          <w:sz w:val="20"/>
          <w:szCs w:val="20"/>
          <w:lang w:val="en-GB"/>
        </w:rPr>
        <w:t xml:space="preserve"> and 21 fall within the “legislators, senior officials and managers” category.</w:t>
      </w:r>
      <w:r w:rsidR="00061C47" w:rsidRPr="00B217DC">
        <w:rPr>
          <w:rFonts w:cs="Arial"/>
          <w:color w:val="auto"/>
          <w:sz w:val="20"/>
          <w:szCs w:val="20"/>
        </w:rPr>
        <w:t xml:space="preserve"> The majority of males employed in the Department are in “legislators, senior officials and managers” positions (19), followed by 14 occupying professional positions. </w:t>
      </w:r>
    </w:p>
    <w:p w:rsidR="00DE721E" w:rsidRPr="00B217DC" w:rsidRDefault="00061C47" w:rsidP="00B217DC">
      <w:pPr>
        <w:rPr>
          <w:rFonts w:cs="Arial"/>
          <w:color w:val="auto"/>
          <w:sz w:val="20"/>
          <w:szCs w:val="20"/>
        </w:rPr>
      </w:pPr>
      <w:r w:rsidRPr="00B217DC">
        <w:rPr>
          <w:rFonts w:cs="Arial"/>
          <w:color w:val="auto"/>
          <w:sz w:val="20"/>
          <w:szCs w:val="20"/>
        </w:rPr>
        <w:t>7</w:t>
      </w:r>
      <w:r w:rsidR="00DE721E" w:rsidRPr="00B217DC">
        <w:rPr>
          <w:rFonts w:cs="Arial"/>
          <w:color w:val="auto"/>
          <w:sz w:val="20"/>
          <w:szCs w:val="20"/>
        </w:rPr>
        <w:t xml:space="preserve"> </w:t>
      </w:r>
      <w:r w:rsidRPr="00B217DC">
        <w:rPr>
          <w:rFonts w:cs="Arial"/>
          <w:color w:val="auto"/>
          <w:sz w:val="20"/>
          <w:szCs w:val="20"/>
        </w:rPr>
        <w:t>employees</w:t>
      </w:r>
      <w:r w:rsidR="00DE721E" w:rsidRPr="00B217DC">
        <w:rPr>
          <w:rFonts w:cs="Arial"/>
          <w:color w:val="auto"/>
          <w:sz w:val="20"/>
          <w:szCs w:val="20"/>
        </w:rPr>
        <w:t xml:space="preserve"> are persons with disabilities (</w:t>
      </w:r>
      <w:r w:rsidRPr="00B217DC">
        <w:rPr>
          <w:rFonts w:cs="Arial"/>
          <w:color w:val="auto"/>
          <w:sz w:val="20"/>
          <w:szCs w:val="20"/>
        </w:rPr>
        <w:t>5.2</w:t>
      </w:r>
      <w:r w:rsidR="00DE721E" w:rsidRPr="00B217DC">
        <w:rPr>
          <w:rFonts w:cs="Arial"/>
          <w:color w:val="auto"/>
          <w:sz w:val="20"/>
          <w:szCs w:val="20"/>
        </w:rPr>
        <w:t xml:space="preserve">% of staff complement). </w:t>
      </w:r>
    </w:p>
    <w:p w:rsidR="00EC7443" w:rsidRPr="00B217DC" w:rsidRDefault="00EC7443" w:rsidP="00B217DC">
      <w:pPr>
        <w:rPr>
          <w:rFonts w:cs="Arial"/>
          <w:color w:val="auto"/>
          <w:sz w:val="20"/>
          <w:szCs w:val="20"/>
        </w:rPr>
      </w:pPr>
    </w:p>
    <w:p w:rsidR="00C20591" w:rsidRPr="00B217DC" w:rsidRDefault="00EC7443" w:rsidP="00B217DC">
      <w:pPr>
        <w:rPr>
          <w:rFonts w:cs="Arial"/>
          <w:color w:val="auto"/>
          <w:sz w:val="20"/>
          <w:szCs w:val="20"/>
        </w:rPr>
      </w:pPr>
      <w:r w:rsidRPr="00B217DC">
        <w:rPr>
          <w:rFonts w:cs="Arial"/>
          <w:color w:val="auto"/>
          <w:sz w:val="20"/>
          <w:szCs w:val="20"/>
        </w:rPr>
        <w:t>In the year under review</w:t>
      </w:r>
      <w:r w:rsidR="00061C47" w:rsidRPr="00B217DC">
        <w:rPr>
          <w:rFonts w:cs="Arial"/>
          <w:color w:val="auto"/>
          <w:sz w:val="20"/>
          <w:szCs w:val="20"/>
        </w:rPr>
        <w:t xml:space="preserve"> 16 out 21</w:t>
      </w:r>
      <w:r w:rsidRPr="00B217DC">
        <w:rPr>
          <w:rFonts w:cs="Arial"/>
          <w:color w:val="auto"/>
          <w:sz w:val="20"/>
          <w:szCs w:val="20"/>
        </w:rPr>
        <w:t xml:space="preserve"> </w:t>
      </w:r>
      <w:r w:rsidR="00061C47" w:rsidRPr="00B217DC">
        <w:rPr>
          <w:rFonts w:cs="Arial"/>
          <w:color w:val="auto"/>
          <w:sz w:val="20"/>
          <w:szCs w:val="20"/>
        </w:rPr>
        <w:t xml:space="preserve">posts additional to the establishment were in the Administration programme as compared to the previous FY </w:t>
      </w:r>
      <w:r w:rsidRPr="00B217DC">
        <w:rPr>
          <w:rFonts w:cs="Arial"/>
          <w:color w:val="auto"/>
          <w:sz w:val="20"/>
          <w:szCs w:val="20"/>
        </w:rPr>
        <w:t xml:space="preserve">2020/21, 18 out of the 24 </w:t>
      </w:r>
    </w:p>
    <w:p w:rsidR="00DE721E" w:rsidRPr="00B217DC" w:rsidRDefault="00DE721E" w:rsidP="00B217DC">
      <w:pPr>
        <w:rPr>
          <w:rFonts w:cs="Arial"/>
          <w:color w:val="auto"/>
          <w:sz w:val="20"/>
          <w:szCs w:val="20"/>
        </w:rPr>
      </w:pPr>
    </w:p>
    <w:p w:rsidR="00425767" w:rsidRPr="00B217DC" w:rsidRDefault="00DE721E" w:rsidP="00B217DC">
      <w:pPr>
        <w:rPr>
          <w:rFonts w:cs="Arial"/>
          <w:color w:val="auto"/>
          <w:sz w:val="20"/>
          <w:szCs w:val="20"/>
        </w:rPr>
      </w:pPr>
      <w:r w:rsidRPr="00B217DC">
        <w:rPr>
          <w:rFonts w:cs="Arial"/>
          <w:color w:val="auto"/>
          <w:sz w:val="20"/>
          <w:szCs w:val="20"/>
        </w:rPr>
        <w:t xml:space="preserve">In terms of vacancies by critical occupations, the Department has a vacancy rate of </w:t>
      </w:r>
      <w:r w:rsidR="00425767" w:rsidRPr="00B217DC">
        <w:rPr>
          <w:rFonts w:cs="Arial"/>
          <w:color w:val="auto"/>
          <w:sz w:val="20"/>
          <w:szCs w:val="20"/>
        </w:rPr>
        <w:t>7</w:t>
      </w:r>
      <w:r w:rsidRPr="00B217DC">
        <w:rPr>
          <w:rFonts w:cs="Arial"/>
          <w:color w:val="auto"/>
          <w:sz w:val="20"/>
          <w:szCs w:val="20"/>
        </w:rPr>
        <w:t xml:space="preserve">% for senior </w:t>
      </w:r>
      <w:r w:rsidR="00425767" w:rsidRPr="00B217DC">
        <w:rPr>
          <w:rFonts w:cs="Arial"/>
          <w:color w:val="auto"/>
          <w:sz w:val="20"/>
          <w:szCs w:val="20"/>
        </w:rPr>
        <w:t>management</w:t>
      </w:r>
      <w:r w:rsidRPr="00B217DC">
        <w:rPr>
          <w:rFonts w:cs="Arial"/>
          <w:color w:val="auto"/>
          <w:sz w:val="20"/>
          <w:szCs w:val="20"/>
        </w:rPr>
        <w:t xml:space="preserve">, with </w:t>
      </w:r>
      <w:r w:rsidR="00425767" w:rsidRPr="00B217DC">
        <w:rPr>
          <w:rFonts w:cs="Arial"/>
          <w:color w:val="auto"/>
          <w:sz w:val="20"/>
          <w:szCs w:val="20"/>
        </w:rPr>
        <w:t>40/43</w:t>
      </w:r>
      <w:r w:rsidRPr="00B217DC">
        <w:rPr>
          <w:rFonts w:cs="Arial"/>
          <w:color w:val="auto"/>
          <w:sz w:val="20"/>
          <w:szCs w:val="20"/>
        </w:rPr>
        <w:t xml:space="preserve"> posts filled</w:t>
      </w:r>
      <w:r w:rsidR="00425767" w:rsidRPr="00B217DC">
        <w:rPr>
          <w:rFonts w:cs="Arial"/>
          <w:color w:val="auto"/>
          <w:sz w:val="20"/>
          <w:szCs w:val="20"/>
        </w:rPr>
        <w:t>.</w:t>
      </w:r>
      <w:r w:rsidRPr="00B217DC">
        <w:rPr>
          <w:rFonts w:cs="Arial"/>
          <w:color w:val="auto"/>
          <w:sz w:val="20"/>
          <w:szCs w:val="20"/>
        </w:rPr>
        <w:t xml:space="preserve"> The Department had a</w:t>
      </w:r>
      <w:r w:rsidR="00425767" w:rsidRPr="00B217DC">
        <w:rPr>
          <w:rFonts w:cs="Arial"/>
          <w:color w:val="auto"/>
          <w:sz w:val="20"/>
          <w:szCs w:val="20"/>
        </w:rPr>
        <w:t xml:space="preserve"> total </w:t>
      </w:r>
      <w:r w:rsidRPr="00B217DC">
        <w:rPr>
          <w:rFonts w:cs="Arial"/>
          <w:color w:val="auto"/>
          <w:sz w:val="20"/>
          <w:szCs w:val="20"/>
        </w:rPr>
        <w:t xml:space="preserve">turnover rate of </w:t>
      </w:r>
      <w:r w:rsidR="00425767" w:rsidRPr="00B217DC">
        <w:rPr>
          <w:rFonts w:cs="Arial"/>
          <w:color w:val="auto"/>
          <w:sz w:val="20"/>
          <w:szCs w:val="20"/>
        </w:rPr>
        <w:t>9.6</w:t>
      </w:r>
      <w:r w:rsidRPr="00B217DC">
        <w:rPr>
          <w:rFonts w:cs="Arial"/>
          <w:color w:val="auto"/>
          <w:sz w:val="20"/>
          <w:szCs w:val="20"/>
        </w:rPr>
        <w:t xml:space="preserve">%. In terms of people leaving and joining the Department during the financial year, a total of </w:t>
      </w:r>
      <w:r w:rsidR="00425767" w:rsidRPr="00B217DC">
        <w:rPr>
          <w:rFonts w:cs="Arial"/>
          <w:color w:val="auto"/>
          <w:sz w:val="20"/>
          <w:szCs w:val="20"/>
        </w:rPr>
        <w:t>17</w:t>
      </w:r>
      <w:r w:rsidRPr="00B217DC">
        <w:rPr>
          <w:rFonts w:cs="Arial"/>
          <w:color w:val="auto"/>
          <w:sz w:val="20"/>
          <w:szCs w:val="20"/>
        </w:rPr>
        <w:t xml:space="preserve"> staff left</w:t>
      </w:r>
      <w:r w:rsidR="00425767" w:rsidRPr="00B217DC">
        <w:rPr>
          <w:rFonts w:cs="Arial"/>
          <w:color w:val="auto"/>
          <w:sz w:val="20"/>
          <w:szCs w:val="20"/>
        </w:rPr>
        <w:t xml:space="preserve"> but the Department only provided the reasons why 12 left namely, 1 dismissal, 5 resignations and 6 termination of contracts</w:t>
      </w:r>
      <w:r w:rsidRPr="00B217DC">
        <w:rPr>
          <w:rFonts w:cs="Arial"/>
          <w:color w:val="auto"/>
          <w:sz w:val="20"/>
          <w:szCs w:val="20"/>
        </w:rPr>
        <w:t xml:space="preserve">. During the year under review, </w:t>
      </w:r>
      <w:r w:rsidR="00425767" w:rsidRPr="00B217DC">
        <w:rPr>
          <w:rFonts w:cs="Arial"/>
          <w:color w:val="auto"/>
          <w:sz w:val="20"/>
          <w:szCs w:val="20"/>
        </w:rPr>
        <w:t>a total of 21 disciplinary actions were instituted during 2021/22:</w:t>
      </w:r>
    </w:p>
    <w:p w:rsidR="00425767" w:rsidRPr="00B217DC" w:rsidRDefault="00425767" w:rsidP="00B217DC">
      <w:pPr>
        <w:pStyle w:val="ListParagraph"/>
        <w:numPr>
          <w:ilvl w:val="0"/>
          <w:numId w:val="141"/>
        </w:numPr>
        <w:tabs>
          <w:tab w:val="left" w:pos="1290"/>
        </w:tabs>
        <w:rPr>
          <w:rFonts w:cs="Arial"/>
          <w:color w:val="auto"/>
          <w:sz w:val="20"/>
          <w:szCs w:val="20"/>
        </w:rPr>
      </w:pPr>
      <w:r w:rsidRPr="00B217DC">
        <w:rPr>
          <w:rFonts w:cs="Arial"/>
          <w:iCs/>
          <w:color w:val="auto"/>
          <w:sz w:val="20"/>
          <w:szCs w:val="20"/>
        </w:rPr>
        <w:t>2 hearings</w:t>
      </w:r>
    </w:p>
    <w:p w:rsidR="00425767" w:rsidRPr="00B217DC" w:rsidRDefault="00425767" w:rsidP="00B217DC">
      <w:pPr>
        <w:pStyle w:val="ListParagraph"/>
        <w:numPr>
          <w:ilvl w:val="0"/>
          <w:numId w:val="141"/>
        </w:numPr>
        <w:tabs>
          <w:tab w:val="left" w:pos="1290"/>
        </w:tabs>
        <w:rPr>
          <w:rFonts w:cs="Arial"/>
          <w:color w:val="auto"/>
          <w:sz w:val="20"/>
          <w:szCs w:val="20"/>
        </w:rPr>
      </w:pPr>
      <w:r w:rsidRPr="00B217DC">
        <w:rPr>
          <w:rFonts w:cs="Arial"/>
          <w:iCs/>
          <w:color w:val="auto"/>
          <w:sz w:val="20"/>
          <w:szCs w:val="20"/>
        </w:rPr>
        <w:t>1 final written warning</w:t>
      </w:r>
    </w:p>
    <w:p w:rsidR="00425767" w:rsidRPr="00B217DC" w:rsidRDefault="00425767" w:rsidP="00B217DC">
      <w:pPr>
        <w:pStyle w:val="ListParagraph"/>
        <w:numPr>
          <w:ilvl w:val="0"/>
          <w:numId w:val="141"/>
        </w:numPr>
        <w:tabs>
          <w:tab w:val="left" w:pos="1290"/>
        </w:tabs>
        <w:rPr>
          <w:rFonts w:cs="Arial"/>
          <w:color w:val="auto"/>
          <w:sz w:val="20"/>
          <w:szCs w:val="20"/>
        </w:rPr>
      </w:pPr>
      <w:r w:rsidRPr="00B217DC">
        <w:rPr>
          <w:rFonts w:cs="Arial"/>
          <w:iCs/>
          <w:color w:val="auto"/>
          <w:sz w:val="20"/>
          <w:szCs w:val="20"/>
        </w:rPr>
        <w:t>8 written warnings</w:t>
      </w:r>
    </w:p>
    <w:p w:rsidR="00425767" w:rsidRPr="00B217DC" w:rsidRDefault="00425767" w:rsidP="00B217DC">
      <w:pPr>
        <w:pStyle w:val="ListParagraph"/>
        <w:numPr>
          <w:ilvl w:val="0"/>
          <w:numId w:val="141"/>
        </w:numPr>
        <w:tabs>
          <w:tab w:val="left" w:pos="1290"/>
        </w:tabs>
        <w:rPr>
          <w:rFonts w:cs="Arial"/>
          <w:color w:val="auto"/>
          <w:sz w:val="20"/>
          <w:szCs w:val="20"/>
        </w:rPr>
      </w:pPr>
      <w:r w:rsidRPr="00B217DC">
        <w:rPr>
          <w:rFonts w:cs="Arial"/>
          <w:iCs/>
          <w:color w:val="auto"/>
          <w:sz w:val="20"/>
          <w:szCs w:val="20"/>
        </w:rPr>
        <w:t>21 verbal warnings</w:t>
      </w:r>
    </w:p>
    <w:p w:rsidR="00425767" w:rsidRPr="00B217DC" w:rsidRDefault="00425767" w:rsidP="00B217DC">
      <w:pPr>
        <w:tabs>
          <w:tab w:val="left" w:pos="1290"/>
        </w:tabs>
        <w:rPr>
          <w:rFonts w:cs="Arial"/>
          <w:color w:val="auto"/>
          <w:sz w:val="20"/>
          <w:szCs w:val="20"/>
        </w:rPr>
      </w:pPr>
    </w:p>
    <w:p w:rsidR="001D2595" w:rsidRPr="00B217DC" w:rsidRDefault="00425767" w:rsidP="00B217DC">
      <w:pPr>
        <w:rPr>
          <w:rFonts w:cs="Arial"/>
          <w:color w:val="auto"/>
          <w:sz w:val="20"/>
          <w:szCs w:val="20"/>
        </w:rPr>
      </w:pPr>
      <w:r w:rsidRPr="00B217DC">
        <w:rPr>
          <w:rFonts w:cs="Arial"/>
          <w:color w:val="auto"/>
          <w:sz w:val="20"/>
          <w:szCs w:val="20"/>
        </w:rPr>
        <w:t>To this end, 1 hearing was due to poor performance, 1 hearing was due to insubordination/negligence dereliction of duty and 30 financial misconduct warnings.</w:t>
      </w:r>
      <w:r w:rsidR="001D2595" w:rsidRPr="00B217DC">
        <w:rPr>
          <w:rFonts w:cs="Arial"/>
          <w:color w:val="auto"/>
          <w:sz w:val="20"/>
          <w:szCs w:val="20"/>
        </w:rPr>
        <w:t xml:space="preserve"> A total of </w:t>
      </w:r>
      <w:r w:rsidR="001D2595" w:rsidRPr="00B217DC">
        <w:rPr>
          <w:rFonts w:cs="Arial"/>
          <w:iCs/>
          <w:color w:val="auto"/>
          <w:sz w:val="20"/>
          <w:szCs w:val="20"/>
        </w:rPr>
        <w:t>15 grievances were lodged during the financial year under review.</w:t>
      </w:r>
    </w:p>
    <w:p w:rsidR="00425767" w:rsidRPr="00B217DC" w:rsidRDefault="00425767" w:rsidP="00B217DC">
      <w:pPr>
        <w:rPr>
          <w:rFonts w:cs="Arial"/>
          <w:color w:val="auto"/>
          <w:sz w:val="20"/>
          <w:szCs w:val="20"/>
        </w:rPr>
      </w:pPr>
    </w:p>
    <w:p w:rsidR="00425767" w:rsidRPr="00B217DC" w:rsidRDefault="00DE721E" w:rsidP="00B217DC">
      <w:pPr>
        <w:rPr>
          <w:rFonts w:cs="Arial"/>
          <w:color w:val="auto"/>
          <w:sz w:val="20"/>
          <w:szCs w:val="20"/>
        </w:rPr>
      </w:pPr>
      <w:r w:rsidRPr="00B217DC">
        <w:rPr>
          <w:rFonts w:cs="Arial"/>
          <w:color w:val="auto"/>
          <w:sz w:val="20"/>
          <w:szCs w:val="20"/>
        </w:rPr>
        <w:t xml:space="preserve">Out of </w:t>
      </w:r>
      <w:r w:rsidR="00425767" w:rsidRPr="00B217DC">
        <w:rPr>
          <w:rFonts w:cs="Arial"/>
          <w:color w:val="auto"/>
          <w:sz w:val="20"/>
          <w:szCs w:val="20"/>
        </w:rPr>
        <w:t>40</w:t>
      </w:r>
      <w:r w:rsidRPr="00B217DC">
        <w:rPr>
          <w:rFonts w:cs="Arial"/>
          <w:color w:val="auto"/>
          <w:sz w:val="20"/>
          <w:szCs w:val="20"/>
        </w:rPr>
        <w:t xml:space="preserve"> staff in senior management, </w:t>
      </w:r>
      <w:r w:rsidR="00425767" w:rsidRPr="00B217DC">
        <w:rPr>
          <w:rFonts w:cs="Arial"/>
          <w:color w:val="auto"/>
          <w:sz w:val="20"/>
          <w:szCs w:val="20"/>
        </w:rPr>
        <w:t>37</w:t>
      </w:r>
      <w:r w:rsidRPr="00B217DC">
        <w:rPr>
          <w:rFonts w:cs="Arial"/>
          <w:color w:val="auto"/>
          <w:sz w:val="20"/>
          <w:szCs w:val="20"/>
        </w:rPr>
        <w:t xml:space="preserve"> had signed performance agreements. Among</w:t>
      </w:r>
      <w:r w:rsidR="00425767" w:rsidRPr="00B217DC">
        <w:rPr>
          <w:rFonts w:cs="Arial"/>
          <w:color w:val="auto"/>
          <w:sz w:val="20"/>
          <w:szCs w:val="20"/>
        </w:rPr>
        <w:t xml:space="preserve"> the reasons cited for this are </w:t>
      </w:r>
      <w:r w:rsidR="001D2595" w:rsidRPr="00B217DC">
        <w:rPr>
          <w:rFonts w:cs="Arial"/>
          <w:color w:val="auto"/>
          <w:sz w:val="20"/>
          <w:szCs w:val="20"/>
        </w:rPr>
        <w:t>in</w:t>
      </w:r>
      <w:r w:rsidR="00425767" w:rsidRPr="00B217DC">
        <w:rPr>
          <w:rFonts w:cs="Arial"/>
          <w:color w:val="auto"/>
          <w:sz w:val="20"/>
          <w:szCs w:val="20"/>
        </w:rPr>
        <w:t>valid/unsigned agreement being submitted</w:t>
      </w:r>
      <w:r w:rsidR="001D2595" w:rsidRPr="00B217DC">
        <w:rPr>
          <w:rFonts w:cs="Arial"/>
          <w:color w:val="auto"/>
          <w:sz w:val="20"/>
          <w:szCs w:val="20"/>
        </w:rPr>
        <w:t xml:space="preserve"> </w:t>
      </w:r>
      <w:r w:rsidR="00425767" w:rsidRPr="00B217DC">
        <w:rPr>
          <w:rFonts w:cs="Arial"/>
          <w:color w:val="auto"/>
          <w:sz w:val="20"/>
          <w:szCs w:val="20"/>
        </w:rPr>
        <w:t>and one non-</w:t>
      </w:r>
      <w:r w:rsidR="001D2595" w:rsidRPr="00B217DC">
        <w:rPr>
          <w:rFonts w:cs="Arial"/>
          <w:color w:val="auto"/>
          <w:sz w:val="20"/>
          <w:szCs w:val="20"/>
        </w:rPr>
        <w:t>submission.</w:t>
      </w:r>
    </w:p>
    <w:p w:rsidR="001D2595" w:rsidRPr="00B217DC" w:rsidRDefault="001D2595" w:rsidP="00B217DC">
      <w:pPr>
        <w:rPr>
          <w:rFonts w:cs="Arial"/>
          <w:color w:val="auto"/>
          <w:sz w:val="20"/>
          <w:szCs w:val="20"/>
        </w:rPr>
      </w:pPr>
    </w:p>
    <w:p w:rsidR="001D2595" w:rsidRPr="00B217DC" w:rsidRDefault="001D2595" w:rsidP="00B217DC">
      <w:pPr>
        <w:rPr>
          <w:rFonts w:cs="Arial"/>
          <w:color w:val="auto"/>
          <w:sz w:val="20"/>
          <w:szCs w:val="20"/>
        </w:rPr>
      </w:pPr>
      <w:r w:rsidRPr="00B217DC">
        <w:rPr>
          <w:rFonts w:cs="Arial"/>
          <w:color w:val="auto"/>
          <w:sz w:val="20"/>
          <w:szCs w:val="20"/>
        </w:rPr>
        <w:t>submission. In these instances, 2 SMS members were issued with letters of non-compliance. One level 13 was appointed in May 2021 and in terms of policy, the incumbent must sign the PA within three months of being appointed; at the time of reporting she were still within the three-month period</w:t>
      </w:r>
    </w:p>
    <w:p w:rsidR="00DE721E" w:rsidRPr="00B217DC" w:rsidRDefault="00DE721E" w:rsidP="00B217DC">
      <w:pPr>
        <w:rPr>
          <w:rFonts w:cs="Arial"/>
          <w:color w:val="auto"/>
          <w:sz w:val="20"/>
          <w:szCs w:val="20"/>
        </w:rPr>
      </w:pPr>
    </w:p>
    <w:p w:rsidR="00DE0ADD" w:rsidRPr="00B217DC" w:rsidRDefault="00DE4FC4" w:rsidP="00B217DC">
      <w:pPr>
        <w:rPr>
          <w:rFonts w:cs="Arial"/>
          <w:color w:val="auto"/>
          <w:sz w:val="20"/>
          <w:szCs w:val="20"/>
        </w:rPr>
      </w:pPr>
      <w:r w:rsidRPr="00B217DC">
        <w:rPr>
          <w:rFonts w:cs="Arial"/>
          <w:color w:val="auto"/>
          <w:sz w:val="20"/>
          <w:szCs w:val="20"/>
        </w:rPr>
        <w:t xml:space="preserve">The </w:t>
      </w:r>
      <w:r w:rsidR="002B202E" w:rsidRPr="00B217DC">
        <w:rPr>
          <w:rFonts w:cs="Arial"/>
          <w:color w:val="auto"/>
          <w:sz w:val="20"/>
          <w:szCs w:val="20"/>
        </w:rPr>
        <w:t xml:space="preserve">majority of personnel in the Department’s employ </w:t>
      </w:r>
      <w:r w:rsidRPr="00B217DC">
        <w:rPr>
          <w:rFonts w:cs="Arial"/>
          <w:color w:val="auto"/>
          <w:sz w:val="20"/>
          <w:szCs w:val="20"/>
        </w:rPr>
        <w:t>were</w:t>
      </w:r>
      <w:r w:rsidR="002B202E" w:rsidRPr="00B217DC">
        <w:rPr>
          <w:rFonts w:cs="Arial"/>
          <w:color w:val="auto"/>
          <w:sz w:val="20"/>
          <w:szCs w:val="20"/>
        </w:rPr>
        <w:t xml:space="preserve"> in the Administration Programme (</w:t>
      </w:r>
      <w:r w:rsidR="001D2595" w:rsidRPr="00B217DC">
        <w:rPr>
          <w:rFonts w:cs="Arial"/>
          <w:color w:val="auto"/>
          <w:sz w:val="20"/>
          <w:szCs w:val="20"/>
        </w:rPr>
        <w:t>69</w:t>
      </w:r>
      <w:r w:rsidR="002B202E" w:rsidRPr="00B217DC">
        <w:rPr>
          <w:rFonts w:cs="Arial"/>
          <w:color w:val="auto"/>
          <w:sz w:val="20"/>
          <w:szCs w:val="20"/>
        </w:rPr>
        <w:t>)</w:t>
      </w:r>
      <w:r w:rsidRPr="00B217DC">
        <w:rPr>
          <w:rFonts w:cs="Arial"/>
          <w:color w:val="auto"/>
          <w:sz w:val="20"/>
          <w:szCs w:val="20"/>
        </w:rPr>
        <w:t xml:space="preserve">, </w:t>
      </w:r>
      <w:r w:rsidR="001D2595" w:rsidRPr="00B217DC">
        <w:rPr>
          <w:rFonts w:cs="Arial"/>
          <w:color w:val="auto"/>
          <w:sz w:val="20"/>
          <w:szCs w:val="20"/>
        </w:rPr>
        <w:t xml:space="preserve">22 </w:t>
      </w:r>
      <w:r w:rsidRPr="00B217DC">
        <w:rPr>
          <w:rFonts w:cs="Arial"/>
          <w:color w:val="auto"/>
          <w:sz w:val="20"/>
          <w:szCs w:val="20"/>
        </w:rPr>
        <w:t>posts filled Programme 2</w:t>
      </w:r>
      <w:r w:rsidR="00DE0ADD" w:rsidRPr="00B217DC">
        <w:rPr>
          <w:rFonts w:cs="Arial"/>
          <w:color w:val="auto"/>
          <w:sz w:val="20"/>
          <w:szCs w:val="20"/>
        </w:rPr>
        <w:t>,</w:t>
      </w:r>
      <w:r w:rsidR="001D2595" w:rsidRPr="00B217DC">
        <w:rPr>
          <w:rFonts w:cs="Arial"/>
          <w:color w:val="auto"/>
          <w:sz w:val="20"/>
          <w:szCs w:val="20"/>
        </w:rPr>
        <w:t xml:space="preserve"> 24</w:t>
      </w:r>
      <w:r w:rsidRPr="00B217DC">
        <w:rPr>
          <w:rFonts w:cs="Arial"/>
          <w:color w:val="auto"/>
          <w:sz w:val="20"/>
          <w:szCs w:val="20"/>
        </w:rPr>
        <w:t xml:space="preserve"> in Programme 3</w:t>
      </w:r>
      <w:r w:rsidR="00DE0ADD" w:rsidRPr="00B217DC">
        <w:rPr>
          <w:rFonts w:cs="Arial"/>
          <w:color w:val="auto"/>
          <w:sz w:val="20"/>
          <w:szCs w:val="20"/>
        </w:rPr>
        <w:t xml:space="preserve">, </w:t>
      </w:r>
      <w:r w:rsidR="001D2595" w:rsidRPr="00B217DC">
        <w:rPr>
          <w:rFonts w:cs="Arial"/>
          <w:color w:val="auto"/>
          <w:sz w:val="20"/>
          <w:szCs w:val="20"/>
        </w:rPr>
        <w:t>11</w:t>
      </w:r>
      <w:r w:rsidR="00DE0ADD" w:rsidRPr="00B217DC">
        <w:rPr>
          <w:rFonts w:cs="Arial"/>
          <w:color w:val="auto"/>
          <w:sz w:val="20"/>
          <w:szCs w:val="20"/>
        </w:rPr>
        <w:t xml:space="preserve"> in Programme 4 and </w:t>
      </w:r>
      <w:r w:rsidR="001D2595" w:rsidRPr="00B217DC">
        <w:rPr>
          <w:rFonts w:cs="Arial"/>
          <w:color w:val="auto"/>
          <w:sz w:val="20"/>
          <w:szCs w:val="20"/>
        </w:rPr>
        <w:t>9</w:t>
      </w:r>
      <w:r w:rsidR="00DE0ADD" w:rsidRPr="00B217DC">
        <w:rPr>
          <w:rFonts w:cs="Arial"/>
          <w:color w:val="auto"/>
          <w:sz w:val="20"/>
          <w:szCs w:val="20"/>
        </w:rPr>
        <w:t xml:space="preserve"> in Programme 5</w:t>
      </w:r>
      <w:r w:rsidR="002B202E" w:rsidRPr="00B217DC">
        <w:rPr>
          <w:rFonts w:cs="Arial"/>
          <w:color w:val="auto"/>
          <w:sz w:val="20"/>
          <w:szCs w:val="20"/>
        </w:rPr>
        <w:t>.</w:t>
      </w:r>
      <w:r w:rsidR="00615301" w:rsidRPr="00B217DC">
        <w:rPr>
          <w:rFonts w:cs="Arial"/>
          <w:color w:val="auto"/>
          <w:sz w:val="20"/>
          <w:szCs w:val="20"/>
        </w:rPr>
        <w:t xml:space="preserve"> </w:t>
      </w:r>
    </w:p>
    <w:p w:rsidR="00DE0ADD" w:rsidRPr="00B217DC" w:rsidRDefault="00DE0ADD" w:rsidP="00B217DC">
      <w:pPr>
        <w:rPr>
          <w:rFonts w:cs="Arial"/>
          <w:color w:val="auto"/>
          <w:sz w:val="20"/>
          <w:szCs w:val="20"/>
        </w:rPr>
      </w:pPr>
    </w:p>
    <w:p w:rsidR="001D2595" w:rsidRPr="00B217DC" w:rsidRDefault="001D2595" w:rsidP="00B217DC">
      <w:pPr>
        <w:rPr>
          <w:rFonts w:cs="Arial"/>
          <w:color w:val="auto"/>
          <w:sz w:val="20"/>
          <w:szCs w:val="20"/>
        </w:rPr>
      </w:pPr>
      <w:r w:rsidRPr="00B217DC">
        <w:rPr>
          <w:rFonts w:cs="Arial"/>
          <w:color w:val="auto"/>
          <w:sz w:val="20"/>
          <w:szCs w:val="20"/>
        </w:rPr>
        <w:lastRenderedPageBreak/>
        <w:t>The majority of employees (58) are employed in the Highly skilled supervision salary band (levels 9-12), at an average cost of R632600 per employee.  51 employees are employed in the Senior and Top Management level (level 13-16), at an average cost of R1 1160 000per employee.</w:t>
      </w:r>
    </w:p>
    <w:p w:rsidR="00DE4FC4" w:rsidRPr="00B217DC" w:rsidRDefault="00DE4FC4" w:rsidP="00B217DC">
      <w:pPr>
        <w:rPr>
          <w:rFonts w:cs="Arial"/>
          <w:color w:val="auto"/>
          <w:sz w:val="20"/>
          <w:szCs w:val="20"/>
        </w:rPr>
      </w:pPr>
    </w:p>
    <w:p w:rsidR="00170BD2" w:rsidRPr="00B217DC" w:rsidRDefault="00F94669" w:rsidP="00B217DC">
      <w:pPr>
        <w:pStyle w:val="ListParagraph"/>
        <w:numPr>
          <w:ilvl w:val="1"/>
          <w:numId w:val="56"/>
        </w:numPr>
        <w:ind w:left="426"/>
        <w:rPr>
          <w:rFonts w:cs="Arial"/>
          <w:b/>
          <w:color w:val="auto"/>
          <w:spacing w:val="0"/>
          <w:kern w:val="28"/>
          <w:sz w:val="20"/>
          <w:szCs w:val="20"/>
        </w:rPr>
      </w:pPr>
      <w:r w:rsidRPr="00B217DC">
        <w:rPr>
          <w:rFonts w:cs="Arial"/>
          <w:b/>
          <w:color w:val="auto"/>
          <w:spacing w:val="0"/>
          <w:kern w:val="28"/>
          <w:sz w:val="20"/>
          <w:szCs w:val="20"/>
        </w:rPr>
        <w:t xml:space="preserve"> </w:t>
      </w:r>
      <w:r w:rsidR="00170BD2" w:rsidRPr="00B217DC">
        <w:rPr>
          <w:rFonts w:cs="Arial"/>
          <w:b/>
          <w:color w:val="auto"/>
          <w:spacing w:val="0"/>
          <w:kern w:val="28"/>
          <w:sz w:val="20"/>
          <w:szCs w:val="20"/>
        </w:rPr>
        <w:t>Concluding comments on service delivery performance</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rPr>
      </w:pPr>
      <w:r w:rsidRPr="00B217DC">
        <w:rPr>
          <w:rFonts w:cs="Arial"/>
          <w:color w:val="auto"/>
          <w:sz w:val="20"/>
          <w:szCs w:val="20"/>
        </w:rPr>
        <w:t>In examining the significant achievements which the Department noted in the 20</w:t>
      </w:r>
      <w:r w:rsidR="00265C31" w:rsidRPr="00B217DC">
        <w:rPr>
          <w:rFonts w:cs="Arial"/>
          <w:color w:val="auto"/>
          <w:sz w:val="20"/>
          <w:szCs w:val="20"/>
        </w:rPr>
        <w:t>2</w:t>
      </w:r>
      <w:r w:rsidR="0059375B" w:rsidRPr="00B217DC">
        <w:rPr>
          <w:rFonts w:cs="Arial"/>
          <w:color w:val="auto"/>
          <w:sz w:val="20"/>
          <w:szCs w:val="20"/>
        </w:rPr>
        <w:t>1/22</w:t>
      </w:r>
      <w:r w:rsidRPr="00B217DC">
        <w:rPr>
          <w:rFonts w:cs="Arial"/>
          <w:color w:val="auto"/>
          <w:sz w:val="20"/>
          <w:szCs w:val="20"/>
        </w:rPr>
        <w:t xml:space="preserve"> Annual Report, the following</w:t>
      </w:r>
      <w:r w:rsidR="00985719" w:rsidRPr="00B217DC">
        <w:rPr>
          <w:rFonts w:cs="Arial"/>
          <w:color w:val="auto"/>
          <w:sz w:val="20"/>
          <w:szCs w:val="20"/>
        </w:rPr>
        <w:t xml:space="preserve"> have been highlighted</w:t>
      </w:r>
      <w:r w:rsidRPr="00B217DC">
        <w:rPr>
          <w:rFonts w:cs="Arial"/>
          <w:color w:val="auto"/>
          <w:sz w:val="20"/>
          <w:szCs w:val="20"/>
        </w:rPr>
        <w:t>:</w:t>
      </w:r>
    </w:p>
    <w:p w:rsidR="00913313" w:rsidRPr="00B217DC" w:rsidRDefault="00913313" w:rsidP="00B217DC">
      <w:pPr>
        <w:tabs>
          <w:tab w:val="left" w:pos="1227"/>
        </w:tabs>
        <w:rPr>
          <w:rFonts w:cs="Arial"/>
          <w:color w:val="auto"/>
          <w:sz w:val="20"/>
          <w:szCs w:val="20"/>
        </w:rPr>
      </w:pPr>
    </w:p>
    <w:p w:rsidR="008319AA"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Maintained a vacancy rate of less than 10% - on 31 March 2022 the vacancy rate was 5.6%;</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Three reports were developed on the implementation of HR Plan year 1;</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Progress Report was produced on the Implementation of the Gender Responsive Planning, Budgeting, Monitoring, Evaluation and Auditing Framework;</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A Rapid Evaluation on the implementation of Government's Policy on Procurement towards women-owned businesses and the report was approved by the minister;</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Gender Responsive Planning, Budgeting, Monitoring, Evaluation and Auditing Framework (GRPBMEAF) Coordination;</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The NYDA Amendment Bill was approved by Cabinet for tabling in Parliament;</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Regulatory framework for WYPD mainstreaming developed;</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Report produced on the consultation for the research report on the development of a socioeconomic empowerment index for women, youth and persons with disabilities;</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Research report produced on the development of a socio-economic empowerment index for women, youth and persons with disabilities;</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One status report on National and International obligations on the rights of persons with disabilities produced;</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3 monthly reports coordinated, developed and analysed on the implementation of the NSP on GBVF by national government departments and including contributions of other sectors coming mainly from the End GBVF multisectoral collaborative platform. The annual total reports are 12 as 3 reports were produced per quarter; and</w:t>
      </w:r>
    </w:p>
    <w:p w:rsidR="001D2595" w:rsidRPr="00B217DC" w:rsidRDefault="001D2595" w:rsidP="00B217DC">
      <w:pPr>
        <w:pStyle w:val="ListParagraph"/>
        <w:numPr>
          <w:ilvl w:val="0"/>
          <w:numId w:val="89"/>
        </w:numPr>
        <w:tabs>
          <w:tab w:val="left" w:pos="1227"/>
        </w:tabs>
        <w:rPr>
          <w:rFonts w:cs="Arial"/>
          <w:color w:val="auto"/>
          <w:sz w:val="20"/>
          <w:szCs w:val="20"/>
        </w:rPr>
      </w:pPr>
      <w:r w:rsidRPr="00B217DC">
        <w:rPr>
          <w:rFonts w:cs="Arial"/>
          <w:color w:val="auto"/>
          <w:sz w:val="20"/>
          <w:szCs w:val="20"/>
        </w:rPr>
        <w:t>Comprehensive National GBVF Prevention Strategy was developed and approved by Minister for tabling to Cabinet.</w:t>
      </w:r>
    </w:p>
    <w:p w:rsidR="00BB1C5D" w:rsidRPr="00B217DC" w:rsidRDefault="00BB1C5D" w:rsidP="00B217DC">
      <w:pPr>
        <w:rPr>
          <w:rFonts w:cs="Arial"/>
          <w:color w:val="auto"/>
          <w:sz w:val="20"/>
          <w:szCs w:val="20"/>
        </w:rPr>
      </w:pPr>
    </w:p>
    <w:p w:rsidR="00DE7AAC" w:rsidRPr="00B217DC" w:rsidRDefault="00170BD2" w:rsidP="00B217DC">
      <w:pPr>
        <w:rPr>
          <w:rFonts w:cs="Arial"/>
          <w:color w:val="auto"/>
          <w:sz w:val="20"/>
          <w:szCs w:val="20"/>
        </w:rPr>
      </w:pPr>
      <w:r w:rsidRPr="00B217DC">
        <w:rPr>
          <w:rFonts w:cs="Arial"/>
          <w:color w:val="auto"/>
          <w:sz w:val="20"/>
          <w:szCs w:val="20"/>
        </w:rPr>
        <w:t xml:space="preserve">Thus of the notable achievements, </w:t>
      </w:r>
      <w:r w:rsidR="001C3AC3" w:rsidRPr="00B217DC">
        <w:rPr>
          <w:rFonts w:cs="Arial"/>
          <w:color w:val="auto"/>
          <w:sz w:val="20"/>
          <w:szCs w:val="20"/>
        </w:rPr>
        <w:t>2</w:t>
      </w:r>
      <w:r w:rsidRPr="00B217DC">
        <w:rPr>
          <w:rFonts w:cs="Arial"/>
          <w:color w:val="auto"/>
          <w:sz w:val="20"/>
          <w:szCs w:val="20"/>
        </w:rPr>
        <w:t xml:space="preserve"> relate to compliance matters in the Administration programme </w:t>
      </w:r>
      <w:r w:rsidR="00DE7AAC" w:rsidRPr="00B217DC">
        <w:rPr>
          <w:rFonts w:cs="Arial"/>
          <w:color w:val="auto"/>
          <w:sz w:val="20"/>
          <w:szCs w:val="20"/>
        </w:rPr>
        <w:t>and the rest are in relation to the core programmes 2-5.</w:t>
      </w:r>
    </w:p>
    <w:p w:rsidR="00DE7AAC" w:rsidRPr="00B217DC" w:rsidRDefault="00DE7AAC" w:rsidP="00B217DC">
      <w:pPr>
        <w:rPr>
          <w:rFonts w:cs="Arial"/>
          <w:color w:val="auto"/>
          <w:sz w:val="20"/>
          <w:szCs w:val="20"/>
        </w:rPr>
      </w:pPr>
    </w:p>
    <w:p w:rsidR="00170BD2" w:rsidRPr="00B217DC" w:rsidRDefault="00170BD2" w:rsidP="00B217DC">
      <w:pPr>
        <w:rPr>
          <w:rFonts w:cs="Arial"/>
          <w:b/>
          <w:color w:val="auto"/>
          <w:sz w:val="20"/>
          <w:szCs w:val="20"/>
        </w:rPr>
      </w:pPr>
      <w:r w:rsidRPr="00B217DC">
        <w:rPr>
          <w:rFonts w:cs="Arial"/>
          <w:b/>
          <w:color w:val="auto"/>
          <w:sz w:val="20"/>
          <w:szCs w:val="20"/>
        </w:rPr>
        <w:t>1</w:t>
      </w:r>
      <w:r w:rsidR="00A323CA" w:rsidRPr="00B217DC">
        <w:rPr>
          <w:rFonts w:cs="Arial"/>
          <w:b/>
          <w:color w:val="auto"/>
          <w:sz w:val="20"/>
          <w:szCs w:val="20"/>
        </w:rPr>
        <w:t>4</w:t>
      </w:r>
      <w:r w:rsidRPr="00B217DC">
        <w:rPr>
          <w:rFonts w:cs="Arial"/>
          <w:b/>
          <w:color w:val="auto"/>
          <w:sz w:val="20"/>
          <w:szCs w:val="20"/>
        </w:rPr>
        <w:t>.</w:t>
      </w:r>
      <w:r w:rsidR="001967BA" w:rsidRPr="00B217DC">
        <w:rPr>
          <w:rFonts w:cs="Arial"/>
          <w:b/>
          <w:color w:val="auto"/>
          <w:sz w:val="20"/>
          <w:szCs w:val="20"/>
        </w:rPr>
        <w:t>8</w:t>
      </w:r>
      <w:r w:rsidRPr="00B217DC">
        <w:rPr>
          <w:rFonts w:cs="Arial"/>
          <w:b/>
          <w:color w:val="auto"/>
          <w:sz w:val="20"/>
          <w:szCs w:val="20"/>
        </w:rPr>
        <w:t xml:space="preserve"> Summary: Finance and Service Delivery Performance Assessment</w:t>
      </w:r>
    </w:p>
    <w:p w:rsidR="00170BD2" w:rsidRPr="00B217DC" w:rsidRDefault="00170BD2" w:rsidP="00B217DC">
      <w:pPr>
        <w:rPr>
          <w:rFonts w:cs="Arial"/>
          <w:color w:val="auto"/>
          <w:sz w:val="20"/>
          <w:szCs w:val="20"/>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 xml:space="preserve">This section provides a synopsis of the service delivery performance against spending patterns for </w:t>
      </w:r>
      <w:r w:rsidR="00265C31" w:rsidRPr="00B217DC">
        <w:rPr>
          <w:rFonts w:cs="Arial"/>
          <w:color w:val="auto"/>
          <w:sz w:val="20"/>
          <w:szCs w:val="20"/>
          <w:lang w:val="en-GB"/>
        </w:rPr>
        <w:t>20</w:t>
      </w:r>
      <w:r w:rsidR="00C76407" w:rsidRPr="00B217DC">
        <w:rPr>
          <w:rFonts w:cs="Arial"/>
          <w:color w:val="auto"/>
          <w:sz w:val="20"/>
          <w:szCs w:val="20"/>
          <w:lang w:val="en-GB"/>
        </w:rPr>
        <w:t>2</w:t>
      </w:r>
      <w:r w:rsidR="00265C31" w:rsidRPr="00B217DC">
        <w:rPr>
          <w:rFonts w:cs="Arial"/>
          <w:color w:val="auto"/>
          <w:sz w:val="20"/>
          <w:szCs w:val="20"/>
          <w:lang w:val="en-GB"/>
        </w:rPr>
        <w:t>0</w:t>
      </w:r>
      <w:r w:rsidR="00C76407" w:rsidRPr="00B217DC">
        <w:rPr>
          <w:rFonts w:cs="Arial"/>
          <w:color w:val="auto"/>
          <w:sz w:val="20"/>
          <w:szCs w:val="20"/>
          <w:lang w:val="en-GB"/>
        </w:rPr>
        <w:t>/21</w:t>
      </w:r>
      <w:r w:rsidR="0059375B" w:rsidRPr="00B217DC">
        <w:rPr>
          <w:rFonts w:cs="Arial"/>
          <w:color w:val="auto"/>
          <w:sz w:val="20"/>
          <w:szCs w:val="20"/>
          <w:lang w:val="en-GB"/>
        </w:rPr>
        <w:t>-2021/22</w:t>
      </w:r>
      <w:r w:rsidR="00784F96" w:rsidRPr="00B217DC">
        <w:rPr>
          <w:rFonts w:cs="Arial"/>
          <w:color w:val="auto"/>
          <w:sz w:val="20"/>
          <w:szCs w:val="20"/>
          <w:lang w:val="en-GB"/>
        </w:rPr>
        <w:t xml:space="preserve"> </w:t>
      </w:r>
      <w:r w:rsidRPr="00B217DC">
        <w:rPr>
          <w:rFonts w:cs="Arial"/>
          <w:color w:val="auto"/>
          <w:sz w:val="20"/>
          <w:szCs w:val="20"/>
          <w:lang w:val="en-GB"/>
        </w:rPr>
        <w:t>a</w:t>
      </w:r>
      <w:r w:rsidR="00784F96" w:rsidRPr="00B217DC">
        <w:rPr>
          <w:rFonts w:cs="Arial"/>
          <w:color w:val="auto"/>
          <w:sz w:val="20"/>
          <w:szCs w:val="20"/>
          <w:lang w:val="en-GB"/>
        </w:rPr>
        <w:t xml:space="preserve">s well as the </w:t>
      </w:r>
      <w:r w:rsidRPr="00B217DC">
        <w:rPr>
          <w:rFonts w:cs="Arial"/>
          <w:color w:val="auto"/>
          <w:sz w:val="20"/>
          <w:szCs w:val="20"/>
          <w:lang w:val="en-GB"/>
        </w:rPr>
        <w:t>1</w:t>
      </w:r>
      <w:r w:rsidRPr="00B217DC">
        <w:rPr>
          <w:rFonts w:cs="Arial"/>
          <w:color w:val="auto"/>
          <w:sz w:val="20"/>
          <w:szCs w:val="20"/>
          <w:vertAlign w:val="superscript"/>
          <w:lang w:val="en-GB"/>
        </w:rPr>
        <w:t>st</w:t>
      </w:r>
      <w:r w:rsidRPr="00B217DC">
        <w:rPr>
          <w:rFonts w:cs="Arial"/>
          <w:color w:val="auto"/>
          <w:sz w:val="20"/>
          <w:szCs w:val="20"/>
          <w:lang w:val="en-GB"/>
        </w:rPr>
        <w:t xml:space="preserve"> quarter of </w:t>
      </w:r>
      <w:r w:rsidR="00097EF3" w:rsidRPr="00B217DC">
        <w:rPr>
          <w:rFonts w:cs="Arial"/>
          <w:color w:val="auto"/>
          <w:sz w:val="20"/>
          <w:szCs w:val="20"/>
          <w:lang w:val="en-GB"/>
        </w:rPr>
        <w:t>202</w:t>
      </w:r>
      <w:r w:rsidR="0059375B" w:rsidRPr="00B217DC">
        <w:rPr>
          <w:rFonts w:cs="Arial"/>
          <w:color w:val="auto"/>
          <w:sz w:val="20"/>
          <w:szCs w:val="20"/>
          <w:lang w:val="en-GB"/>
        </w:rPr>
        <w:t>2/23</w:t>
      </w:r>
      <w:r w:rsidR="00097EF3" w:rsidRPr="00B217DC">
        <w:rPr>
          <w:rFonts w:cs="Arial"/>
          <w:color w:val="auto"/>
          <w:sz w:val="20"/>
          <w:szCs w:val="20"/>
          <w:lang w:val="en-GB"/>
        </w:rPr>
        <w:t xml:space="preserve"> </w:t>
      </w:r>
      <w:r w:rsidRPr="00B217DC">
        <w:rPr>
          <w:rFonts w:cs="Arial"/>
          <w:color w:val="auto"/>
          <w:sz w:val="20"/>
          <w:szCs w:val="20"/>
          <w:lang w:val="en-GB"/>
        </w:rPr>
        <w:t xml:space="preserve">of the Department. </w:t>
      </w:r>
    </w:p>
    <w:p w:rsidR="00972178" w:rsidRPr="00B217DC" w:rsidRDefault="00972178" w:rsidP="00B217DC">
      <w:pPr>
        <w:rPr>
          <w:rFonts w:cs="Arial"/>
          <w:b/>
          <w:color w:val="auto"/>
          <w:sz w:val="20"/>
          <w:szCs w:val="20"/>
          <w:lang w:val="en-GB"/>
        </w:rPr>
      </w:pPr>
    </w:p>
    <w:p w:rsidR="004B33E6" w:rsidRPr="00B217DC" w:rsidRDefault="001967BA" w:rsidP="00B217DC">
      <w:pPr>
        <w:rPr>
          <w:rFonts w:cs="Arial"/>
          <w:b/>
          <w:color w:val="auto"/>
          <w:sz w:val="20"/>
          <w:szCs w:val="20"/>
          <w:lang w:val="en-GB"/>
        </w:rPr>
      </w:pPr>
      <w:r w:rsidRPr="00B217DC">
        <w:rPr>
          <w:rFonts w:cs="Arial"/>
          <w:b/>
          <w:color w:val="auto"/>
          <w:sz w:val="20"/>
          <w:szCs w:val="20"/>
          <w:lang w:val="en-GB"/>
        </w:rPr>
        <w:t>14.8</w:t>
      </w:r>
      <w:r w:rsidR="004B33E6" w:rsidRPr="00B217DC">
        <w:rPr>
          <w:rFonts w:cs="Arial"/>
          <w:b/>
          <w:color w:val="auto"/>
          <w:sz w:val="20"/>
          <w:szCs w:val="20"/>
          <w:lang w:val="en-GB"/>
        </w:rPr>
        <w:t>.1 General commentary</w:t>
      </w:r>
    </w:p>
    <w:p w:rsidR="00DE7AAC" w:rsidRPr="00B217DC" w:rsidRDefault="00D966A5" w:rsidP="00B217DC">
      <w:pPr>
        <w:rPr>
          <w:rFonts w:cs="Arial"/>
          <w:color w:val="auto"/>
          <w:sz w:val="20"/>
          <w:szCs w:val="20"/>
          <w:lang w:val="en-GB"/>
        </w:rPr>
      </w:pPr>
      <w:r w:rsidRPr="00B217DC">
        <w:rPr>
          <w:rFonts w:cs="Arial"/>
          <w:color w:val="auto"/>
          <w:sz w:val="20"/>
          <w:szCs w:val="20"/>
          <w:lang w:val="en-GB"/>
        </w:rPr>
        <w:t>The Department has improved in its performance since its inception as reflected i</w:t>
      </w:r>
      <w:r w:rsidR="00DE7AAC" w:rsidRPr="00B217DC">
        <w:rPr>
          <w:rFonts w:cs="Arial"/>
          <w:color w:val="auto"/>
          <w:sz w:val="20"/>
          <w:szCs w:val="20"/>
          <w:lang w:val="en-GB"/>
        </w:rPr>
        <w:t xml:space="preserve">n Table </w:t>
      </w:r>
      <w:r w:rsidR="00E37C6B" w:rsidRPr="00B217DC">
        <w:rPr>
          <w:rFonts w:cs="Arial"/>
          <w:color w:val="auto"/>
          <w:sz w:val="20"/>
          <w:szCs w:val="20"/>
          <w:lang w:val="en-GB"/>
        </w:rPr>
        <w:t>5</w:t>
      </w:r>
      <w:r w:rsidR="00DE7AAC" w:rsidRPr="00B217DC">
        <w:rPr>
          <w:rFonts w:cs="Arial"/>
          <w:color w:val="auto"/>
          <w:sz w:val="20"/>
          <w:szCs w:val="20"/>
          <w:lang w:val="en-GB"/>
        </w:rPr>
        <w:t xml:space="preserve"> below. </w:t>
      </w:r>
      <w:r w:rsidRPr="00B217DC">
        <w:rPr>
          <w:rFonts w:cs="Arial"/>
          <w:color w:val="auto"/>
          <w:sz w:val="20"/>
          <w:szCs w:val="20"/>
          <w:lang w:val="en-GB"/>
        </w:rPr>
        <w:t>Notwithstanding that, s</w:t>
      </w:r>
      <w:r w:rsidR="007405B1" w:rsidRPr="00B217DC">
        <w:rPr>
          <w:rFonts w:cs="Arial"/>
          <w:color w:val="auto"/>
          <w:sz w:val="20"/>
          <w:szCs w:val="20"/>
          <w:lang w:val="en-GB"/>
        </w:rPr>
        <w:t>ome of the unmet targets from 2019/20 were still unmet in 202</w:t>
      </w:r>
      <w:r w:rsidRPr="00B217DC">
        <w:rPr>
          <w:rFonts w:cs="Arial"/>
          <w:color w:val="auto"/>
          <w:sz w:val="20"/>
          <w:szCs w:val="20"/>
          <w:lang w:val="en-GB"/>
        </w:rPr>
        <w:t>1/22</w:t>
      </w:r>
      <w:r w:rsidR="007405B1" w:rsidRPr="00B217DC">
        <w:rPr>
          <w:rFonts w:cs="Arial"/>
          <w:color w:val="auto"/>
          <w:sz w:val="20"/>
          <w:szCs w:val="20"/>
          <w:lang w:val="en-GB"/>
        </w:rPr>
        <w:t xml:space="preserve"> like </w:t>
      </w:r>
      <w:r w:rsidR="00641F7E" w:rsidRPr="00B217DC">
        <w:rPr>
          <w:rFonts w:cs="Arial"/>
          <w:color w:val="auto"/>
          <w:sz w:val="20"/>
          <w:szCs w:val="20"/>
          <w:lang w:val="en-GB"/>
        </w:rPr>
        <w:t>the establishment of the NCGBVF</w:t>
      </w:r>
      <w:r w:rsidRPr="00B217DC">
        <w:rPr>
          <w:rFonts w:cs="Arial"/>
          <w:color w:val="auto"/>
          <w:sz w:val="20"/>
          <w:szCs w:val="20"/>
          <w:lang w:val="en-GB"/>
        </w:rPr>
        <w:t xml:space="preserve"> it is only recently that a Bill in this regard has been tabled in Parliament</w:t>
      </w:r>
      <w:r w:rsidR="007405B1" w:rsidRPr="00B217DC">
        <w:rPr>
          <w:rFonts w:cs="Arial"/>
          <w:color w:val="auto"/>
          <w:sz w:val="20"/>
          <w:szCs w:val="20"/>
          <w:lang w:val="en-GB"/>
        </w:rPr>
        <w:t>.</w:t>
      </w:r>
      <w:r w:rsidRPr="00B217DC">
        <w:rPr>
          <w:rFonts w:cs="Arial"/>
          <w:color w:val="auto"/>
          <w:sz w:val="20"/>
          <w:szCs w:val="20"/>
          <w:lang w:val="en-GB"/>
        </w:rPr>
        <w:t xml:space="preserve"> Whilst several of the policies have been finalised, the implementation and popularisation in this regard has been lacking. Of particular concern to note is that despite the achievement of targets the under-expenditure incurred has increased year-on-year and is a cause of concern so too the Department’s reliance on consultants to help achieve its targets. Furthermore, the achievement of targets has not translated into visible, tangible differences to the lives of women, youth and persons with disabilities in the country.</w:t>
      </w:r>
    </w:p>
    <w:p w:rsidR="00DE7AAC" w:rsidRPr="00B217DC" w:rsidRDefault="00DE7AAC" w:rsidP="00B217DC">
      <w:pPr>
        <w:rPr>
          <w:rFonts w:cs="Arial"/>
          <w:b/>
          <w:color w:val="auto"/>
          <w:sz w:val="20"/>
          <w:szCs w:val="20"/>
        </w:rPr>
      </w:pPr>
    </w:p>
    <w:p w:rsidR="00DE7AAC" w:rsidRPr="00B217DC" w:rsidRDefault="00DE7AAC" w:rsidP="00B217DC">
      <w:pPr>
        <w:rPr>
          <w:rFonts w:cs="Arial"/>
          <w:b/>
          <w:color w:val="auto"/>
          <w:sz w:val="20"/>
          <w:szCs w:val="20"/>
        </w:rPr>
      </w:pPr>
      <w:r w:rsidRPr="00B217DC">
        <w:rPr>
          <w:rFonts w:cs="Arial"/>
          <w:b/>
          <w:color w:val="auto"/>
          <w:sz w:val="20"/>
          <w:szCs w:val="20"/>
        </w:rPr>
        <w:t xml:space="preserve">Table </w:t>
      </w:r>
      <w:r w:rsidR="00F62BC0" w:rsidRPr="00B217DC">
        <w:rPr>
          <w:rFonts w:cs="Arial"/>
          <w:b/>
          <w:color w:val="auto"/>
          <w:sz w:val="20"/>
          <w:szCs w:val="20"/>
        </w:rPr>
        <w:t>5</w:t>
      </w:r>
      <w:r w:rsidRPr="00B217DC">
        <w:rPr>
          <w:rFonts w:cs="Arial"/>
          <w:b/>
          <w:color w:val="auto"/>
          <w:sz w:val="20"/>
          <w:szCs w:val="20"/>
        </w:rPr>
        <w:t>: Targets Achieved per programme 2019/20 – 2021/22</w:t>
      </w:r>
      <w:r w:rsidR="00C92994" w:rsidRPr="00B217DC">
        <w:rPr>
          <w:rFonts w:cs="Arial"/>
          <w:b/>
          <w:color w:val="auto"/>
          <w:sz w:val="20"/>
          <w:szCs w:val="20"/>
        </w:rPr>
        <w:t>-2021/23</w:t>
      </w:r>
    </w:p>
    <w:tbl>
      <w:tblPr>
        <w:tblStyle w:val="TableGrid"/>
        <w:tblW w:w="0" w:type="auto"/>
        <w:jc w:val="center"/>
        <w:tblLook w:val="04A0"/>
      </w:tblPr>
      <w:tblGrid>
        <w:gridCol w:w="2252"/>
        <w:gridCol w:w="1541"/>
        <w:gridCol w:w="2048"/>
        <w:gridCol w:w="2048"/>
        <w:gridCol w:w="1739"/>
      </w:tblGrid>
      <w:tr w:rsidR="006675BE" w:rsidRPr="00B217DC" w:rsidTr="0059375B">
        <w:trPr>
          <w:trHeight w:val="296"/>
          <w:jc w:val="center"/>
        </w:trPr>
        <w:tc>
          <w:tcPr>
            <w:tcW w:w="2252"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Programme</w:t>
            </w:r>
          </w:p>
        </w:tc>
        <w:tc>
          <w:tcPr>
            <w:tcW w:w="1541"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2019/20</w:t>
            </w:r>
          </w:p>
        </w:tc>
        <w:tc>
          <w:tcPr>
            <w:tcW w:w="2048"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2020/21</w:t>
            </w:r>
          </w:p>
        </w:tc>
        <w:tc>
          <w:tcPr>
            <w:tcW w:w="2048"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2021/22</w:t>
            </w:r>
            <w:r w:rsidR="00641F7E" w:rsidRPr="00B217DC">
              <w:rPr>
                <w:rFonts w:cs="Arial"/>
                <w:b/>
                <w:color w:val="auto"/>
                <w:sz w:val="20"/>
                <w:szCs w:val="20"/>
              </w:rPr>
              <w:t xml:space="preserve"> </w:t>
            </w:r>
          </w:p>
        </w:tc>
        <w:tc>
          <w:tcPr>
            <w:tcW w:w="1739"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202</w:t>
            </w:r>
            <w:r w:rsidR="002306FF" w:rsidRPr="00B217DC">
              <w:rPr>
                <w:rFonts w:cs="Arial"/>
                <w:b/>
                <w:color w:val="auto"/>
                <w:sz w:val="20"/>
                <w:szCs w:val="20"/>
              </w:rPr>
              <w:t>2</w:t>
            </w:r>
            <w:r w:rsidRPr="00B217DC">
              <w:rPr>
                <w:rFonts w:cs="Arial"/>
                <w:b/>
                <w:color w:val="auto"/>
                <w:sz w:val="20"/>
                <w:szCs w:val="20"/>
              </w:rPr>
              <w:t>/2</w:t>
            </w:r>
            <w:r w:rsidR="002306FF" w:rsidRPr="00B217DC">
              <w:rPr>
                <w:rFonts w:cs="Arial"/>
                <w:b/>
                <w:color w:val="auto"/>
                <w:sz w:val="20"/>
                <w:szCs w:val="20"/>
              </w:rPr>
              <w:t>3</w:t>
            </w:r>
            <w:r w:rsidRPr="00B217DC">
              <w:rPr>
                <w:rFonts w:cs="Arial"/>
                <w:b/>
                <w:color w:val="auto"/>
                <w:sz w:val="20"/>
                <w:szCs w:val="20"/>
              </w:rPr>
              <w:t xml:space="preserve"> (Q1)</w:t>
            </w:r>
          </w:p>
        </w:tc>
      </w:tr>
      <w:tr w:rsidR="006675BE" w:rsidRPr="00B217DC" w:rsidTr="0059375B">
        <w:trPr>
          <w:jc w:val="center"/>
        </w:trPr>
        <w:tc>
          <w:tcPr>
            <w:tcW w:w="2252" w:type="dxa"/>
          </w:tcPr>
          <w:p w:rsidR="0059375B" w:rsidRPr="00B217DC" w:rsidRDefault="0059375B" w:rsidP="00B217DC">
            <w:pPr>
              <w:rPr>
                <w:rFonts w:cs="Arial"/>
                <w:b/>
                <w:color w:val="auto"/>
                <w:sz w:val="20"/>
                <w:szCs w:val="20"/>
              </w:rPr>
            </w:pPr>
            <w:r w:rsidRPr="00B217DC">
              <w:rPr>
                <w:rFonts w:cs="Arial"/>
                <w:b/>
                <w:color w:val="auto"/>
                <w:sz w:val="20"/>
                <w:szCs w:val="20"/>
              </w:rPr>
              <w:t xml:space="preserve">Administration </w:t>
            </w:r>
          </w:p>
        </w:tc>
        <w:tc>
          <w:tcPr>
            <w:tcW w:w="1541" w:type="dxa"/>
          </w:tcPr>
          <w:p w:rsidR="0059375B" w:rsidRPr="00B217DC" w:rsidRDefault="0059375B" w:rsidP="00B217DC">
            <w:pPr>
              <w:rPr>
                <w:rFonts w:cs="Arial"/>
                <w:color w:val="auto"/>
                <w:sz w:val="20"/>
                <w:szCs w:val="20"/>
              </w:rPr>
            </w:pPr>
            <w:r w:rsidRPr="00B217DC">
              <w:rPr>
                <w:rFonts w:cs="Arial"/>
                <w:color w:val="auto"/>
                <w:sz w:val="20"/>
                <w:szCs w:val="20"/>
              </w:rPr>
              <w:t>11/14 (79%)</w:t>
            </w:r>
          </w:p>
        </w:tc>
        <w:tc>
          <w:tcPr>
            <w:tcW w:w="2048" w:type="dxa"/>
            <w:shd w:val="clear" w:color="auto" w:fill="FFFFFF" w:themeFill="background1"/>
          </w:tcPr>
          <w:p w:rsidR="0059375B" w:rsidRPr="00B217DC" w:rsidRDefault="0059375B" w:rsidP="00B217DC">
            <w:pPr>
              <w:rPr>
                <w:rFonts w:cs="Arial"/>
                <w:color w:val="auto"/>
                <w:sz w:val="20"/>
                <w:szCs w:val="20"/>
              </w:rPr>
            </w:pPr>
            <w:r w:rsidRPr="00B217DC">
              <w:rPr>
                <w:rFonts w:cs="Arial"/>
                <w:color w:val="auto"/>
                <w:sz w:val="20"/>
                <w:szCs w:val="20"/>
              </w:rPr>
              <w:t>3/7 (43%)</w:t>
            </w:r>
          </w:p>
        </w:tc>
        <w:tc>
          <w:tcPr>
            <w:tcW w:w="2048" w:type="dxa"/>
            <w:shd w:val="clear" w:color="auto" w:fill="FFFFFF" w:themeFill="background1"/>
          </w:tcPr>
          <w:p w:rsidR="0059375B" w:rsidRPr="00B217DC" w:rsidRDefault="00D07A11" w:rsidP="00B217DC">
            <w:pPr>
              <w:rPr>
                <w:rFonts w:cs="Arial"/>
                <w:color w:val="auto"/>
                <w:sz w:val="20"/>
                <w:szCs w:val="20"/>
              </w:rPr>
            </w:pPr>
            <w:r w:rsidRPr="00B217DC">
              <w:rPr>
                <w:rFonts w:cs="Arial"/>
                <w:color w:val="auto"/>
                <w:sz w:val="20"/>
                <w:szCs w:val="20"/>
              </w:rPr>
              <w:t>4</w:t>
            </w:r>
            <w:r w:rsidR="0059375B" w:rsidRPr="00B217DC">
              <w:rPr>
                <w:rFonts w:cs="Arial"/>
                <w:color w:val="auto"/>
                <w:sz w:val="20"/>
                <w:szCs w:val="20"/>
              </w:rPr>
              <w:t>/</w:t>
            </w:r>
            <w:r w:rsidRPr="00B217DC">
              <w:rPr>
                <w:rFonts w:cs="Arial"/>
                <w:color w:val="auto"/>
                <w:sz w:val="20"/>
                <w:szCs w:val="20"/>
              </w:rPr>
              <w:t>6 (66.7</w:t>
            </w:r>
            <w:r w:rsidR="0059375B" w:rsidRPr="00B217DC">
              <w:rPr>
                <w:rFonts w:cs="Arial"/>
                <w:color w:val="auto"/>
                <w:sz w:val="20"/>
                <w:szCs w:val="20"/>
              </w:rPr>
              <w:t>%)</w:t>
            </w:r>
          </w:p>
        </w:tc>
        <w:tc>
          <w:tcPr>
            <w:tcW w:w="1739" w:type="dxa"/>
            <w:shd w:val="clear" w:color="auto" w:fill="FFFFFF" w:themeFill="background1"/>
          </w:tcPr>
          <w:p w:rsidR="0059375B" w:rsidRPr="00B217DC" w:rsidRDefault="00D966A5" w:rsidP="00B217DC">
            <w:pPr>
              <w:rPr>
                <w:rFonts w:cs="Arial"/>
                <w:color w:val="auto"/>
                <w:sz w:val="20"/>
                <w:szCs w:val="20"/>
              </w:rPr>
            </w:pPr>
            <w:r w:rsidRPr="00B217DC">
              <w:rPr>
                <w:rFonts w:cs="Arial"/>
                <w:color w:val="auto"/>
                <w:sz w:val="20"/>
                <w:szCs w:val="20"/>
              </w:rPr>
              <w:t>4/4 (100%)</w:t>
            </w:r>
          </w:p>
        </w:tc>
      </w:tr>
      <w:tr w:rsidR="006675BE" w:rsidRPr="00B217DC" w:rsidTr="0059375B">
        <w:trPr>
          <w:jc w:val="center"/>
        </w:trPr>
        <w:tc>
          <w:tcPr>
            <w:tcW w:w="2252" w:type="dxa"/>
          </w:tcPr>
          <w:p w:rsidR="0059375B" w:rsidRPr="00B217DC" w:rsidRDefault="0059375B" w:rsidP="00B217DC">
            <w:pPr>
              <w:rPr>
                <w:rFonts w:cs="Arial"/>
                <w:b/>
                <w:color w:val="auto"/>
                <w:sz w:val="20"/>
                <w:szCs w:val="20"/>
              </w:rPr>
            </w:pPr>
            <w:r w:rsidRPr="00B217DC">
              <w:rPr>
                <w:rFonts w:cs="Arial"/>
                <w:b/>
                <w:color w:val="auto"/>
                <w:sz w:val="20"/>
                <w:szCs w:val="20"/>
              </w:rPr>
              <w:t>STEE</w:t>
            </w:r>
          </w:p>
        </w:tc>
        <w:tc>
          <w:tcPr>
            <w:tcW w:w="1541" w:type="dxa"/>
          </w:tcPr>
          <w:p w:rsidR="0059375B" w:rsidRPr="00B217DC" w:rsidRDefault="0059375B" w:rsidP="00B217DC">
            <w:pPr>
              <w:rPr>
                <w:rFonts w:cs="Arial"/>
                <w:color w:val="auto"/>
                <w:sz w:val="20"/>
                <w:szCs w:val="20"/>
              </w:rPr>
            </w:pPr>
            <w:r w:rsidRPr="00B217DC">
              <w:rPr>
                <w:rFonts w:cs="Arial"/>
                <w:color w:val="auto"/>
                <w:sz w:val="20"/>
                <w:szCs w:val="20"/>
              </w:rPr>
              <w:t>5/7 (79%)</w:t>
            </w:r>
          </w:p>
        </w:tc>
        <w:tc>
          <w:tcPr>
            <w:tcW w:w="2048" w:type="dxa"/>
            <w:shd w:val="clear" w:color="auto" w:fill="FFFFFF" w:themeFill="background1"/>
          </w:tcPr>
          <w:p w:rsidR="0059375B" w:rsidRPr="00B217DC" w:rsidRDefault="0059375B" w:rsidP="00B217DC">
            <w:pPr>
              <w:rPr>
                <w:rFonts w:cs="Arial"/>
                <w:color w:val="auto"/>
                <w:sz w:val="20"/>
                <w:szCs w:val="20"/>
              </w:rPr>
            </w:pPr>
            <w:r w:rsidRPr="00B217DC">
              <w:rPr>
                <w:rFonts w:cs="Arial"/>
                <w:color w:val="auto"/>
                <w:sz w:val="20"/>
                <w:szCs w:val="20"/>
              </w:rPr>
              <w:t>6/9 (67%)</w:t>
            </w:r>
          </w:p>
        </w:tc>
        <w:tc>
          <w:tcPr>
            <w:tcW w:w="2048" w:type="dxa"/>
            <w:shd w:val="clear" w:color="auto" w:fill="FFFFFF" w:themeFill="background1"/>
          </w:tcPr>
          <w:p w:rsidR="0059375B" w:rsidRPr="00B217DC" w:rsidRDefault="00D966A5" w:rsidP="00B217DC">
            <w:pPr>
              <w:rPr>
                <w:rFonts w:cs="Arial"/>
                <w:color w:val="auto"/>
                <w:sz w:val="20"/>
                <w:szCs w:val="20"/>
              </w:rPr>
            </w:pPr>
            <w:r w:rsidRPr="00B217DC">
              <w:rPr>
                <w:rFonts w:cs="Arial"/>
                <w:color w:val="auto"/>
                <w:sz w:val="20"/>
                <w:szCs w:val="20"/>
              </w:rPr>
              <w:t>10</w:t>
            </w:r>
            <w:r w:rsidR="0059375B" w:rsidRPr="00B217DC">
              <w:rPr>
                <w:rFonts w:cs="Arial"/>
                <w:color w:val="auto"/>
                <w:sz w:val="20"/>
                <w:szCs w:val="20"/>
              </w:rPr>
              <w:t>/</w:t>
            </w:r>
            <w:r w:rsidRPr="00B217DC">
              <w:rPr>
                <w:rFonts w:cs="Arial"/>
                <w:color w:val="auto"/>
                <w:sz w:val="20"/>
                <w:szCs w:val="20"/>
              </w:rPr>
              <w:t>10</w:t>
            </w:r>
            <w:r w:rsidR="0059375B" w:rsidRPr="00B217DC">
              <w:rPr>
                <w:rFonts w:cs="Arial"/>
                <w:color w:val="auto"/>
                <w:sz w:val="20"/>
                <w:szCs w:val="20"/>
              </w:rPr>
              <w:t xml:space="preserve"> (</w:t>
            </w:r>
            <w:r w:rsidR="00D07A11" w:rsidRPr="00B217DC">
              <w:rPr>
                <w:rFonts w:cs="Arial"/>
                <w:color w:val="auto"/>
                <w:sz w:val="20"/>
                <w:szCs w:val="20"/>
              </w:rPr>
              <w:t>100</w:t>
            </w:r>
            <w:r w:rsidR="0059375B" w:rsidRPr="00B217DC">
              <w:rPr>
                <w:rFonts w:cs="Arial"/>
                <w:color w:val="auto"/>
                <w:sz w:val="20"/>
                <w:szCs w:val="20"/>
              </w:rPr>
              <w:t>%)</w:t>
            </w:r>
          </w:p>
        </w:tc>
        <w:tc>
          <w:tcPr>
            <w:tcW w:w="1739" w:type="dxa"/>
            <w:shd w:val="clear" w:color="auto" w:fill="FFFFFF" w:themeFill="background1"/>
          </w:tcPr>
          <w:p w:rsidR="0059375B" w:rsidRPr="00B217DC" w:rsidRDefault="00D966A5" w:rsidP="00B217DC">
            <w:pPr>
              <w:rPr>
                <w:rFonts w:cs="Arial"/>
                <w:color w:val="auto"/>
                <w:sz w:val="20"/>
                <w:szCs w:val="20"/>
              </w:rPr>
            </w:pPr>
            <w:r w:rsidRPr="00B217DC">
              <w:rPr>
                <w:rFonts w:cs="Arial"/>
                <w:color w:val="auto"/>
                <w:sz w:val="20"/>
                <w:szCs w:val="20"/>
              </w:rPr>
              <w:t>8/8 (100%)</w:t>
            </w:r>
          </w:p>
        </w:tc>
      </w:tr>
      <w:tr w:rsidR="006675BE" w:rsidRPr="00B217DC" w:rsidTr="0059375B">
        <w:trPr>
          <w:jc w:val="center"/>
        </w:trPr>
        <w:tc>
          <w:tcPr>
            <w:tcW w:w="2252" w:type="dxa"/>
          </w:tcPr>
          <w:p w:rsidR="0059375B" w:rsidRPr="00B217DC" w:rsidRDefault="0059375B" w:rsidP="00B217DC">
            <w:pPr>
              <w:rPr>
                <w:rFonts w:cs="Arial"/>
                <w:b/>
                <w:color w:val="auto"/>
                <w:sz w:val="20"/>
                <w:szCs w:val="20"/>
              </w:rPr>
            </w:pPr>
            <w:r w:rsidRPr="00B217DC">
              <w:rPr>
                <w:rFonts w:cs="Arial"/>
                <w:b/>
                <w:color w:val="auto"/>
                <w:sz w:val="20"/>
                <w:szCs w:val="20"/>
              </w:rPr>
              <w:t>PSCKM</w:t>
            </w:r>
          </w:p>
        </w:tc>
        <w:tc>
          <w:tcPr>
            <w:tcW w:w="1541" w:type="dxa"/>
          </w:tcPr>
          <w:p w:rsidR="0059375B" w:rsidRPr="00B217DC" w:rsidRDefault="0059375B" w:rsidP="00B217DC">
            <w:pPr>
              <w:rPr>
                <w:rFonts w:cs="Arial"/>
                <w:color w:val="auto"/>
                <w:sz w:val="20"/>
                <w:szCs w:val="20"/>
              </w:rPr>
            </w:pPr>
            <w:r w:rsidRPr="00B217DC">
              <w:rPr>
                <w:rFonts w:cs="Arial"/>
                <w:color w:val="auto"/>
                <w:sz w:val="20"/>
                <w:szCs w:val="20"/>
              </w:rPr>
              <w:t>11/12 (92%)</w:t>
            </w:r>
          </w:p>
        </w:tc>
        <w:tc>
          <w:tcPr>
            <w:tcW w:w="2048" w:type="dxa"/>
            <w:shd w:val="clear" w:color="auto" w:fill="FFFFFF" w:themeFill="background1"/>
          </w:tcPr>
          <w:p w:rsidR="0059375B" w:rsidRPr="00B217DC" w:rsidRDefault="0059375B" w:rsidP="00B217DC">
            <w:pPr>
              <w:rPr>
                <w:rFonts w:cs="Arial"/>
                <w:color w:val="auto"/>
                <w:sz w:val="20"/>
                <w:szCs w:val="20"/>
              </w:rPr>
            </w:pPr>
            <w:r w:rsidRPr="00B217DC">
              <w:rPr>
                <w:rFonts w:cs="Arial"/>
                <w:color w:val="auto"/>
                <w:sz w:val="20"/>
                <w:szCs w:val="20"/>
              </w:rPr>
              <w:t>8/8 (100%)</w:t>
            </w:r>
          </w:p>
        </w:tc>
        <w:tc>
          <w:tcPr>
            <w:tcW w:w="2048" w:type="dxa"/>
            <w:shd w:val="clear" w:color="auto" w:fill="FFFFFF" w:themeFill="background1"/>
          </w:tcPr>
          <w:p w:rsidR="0059375B" w:rsidRPr="00B217DC" w:rsidRDefault="00D07A11" w:rsidP="00B217DC">
            <w:pPr>
              <w:rPr>
                <w:rFonts w:cs="Arial"/>
                <w:color w:val="auto"/>
                <w:sz w:val="20"/>
                <w:szCs w:val="20"/>
              </w:rPr>
            </w:pPr>
            <w:r w:rsidRPr="00B217DC">
              <w:rPr>
                <w:rFonts w:cs="Arial"/>
                <w:color w:val="auto"/>
                <w:sz w:val="20"/>
                <w:szCs w:val="20"/>
              </w:rPr>
              <w:t>13</w:t>
            </w:r>
            <w:r w:rsidR="00641F7E" w:rsidRPr="00B217DC">
              <w:rPr>
                <w:rFonts w:cs="Arial"/>
                <w:color w:val="auto"/>
                <w:sz w:val="20"/>
                <w:szCs w:val="20"/>
              </w:rPr>
              <w:t>/</w:t>
            </w:r>
            <w:r w:rsidRPr="00B217DC">
              <w:rPr>
                <w:rFonts w:cs="Arial"/>
                <w:color w:val="auto"/>
                <w:sz w:val="20"/>
                <w:szCs w:val="20"/>
              </w:rPr>
              <w:t>13</w:t>
            </w:r>
            <w:r w:rsidR="0059375B" w:rsidRPr="00B217DC">
              <w:rPr>
                <w:rFonts w:cs="Arial"/>
                <w:color w:val="auto"/>
                <w:sz w:val="20"/>
                <w:szCs w:val="20"/>
              </w:rPr>
              <w:t xml:space="preserve"> (</w:t>
            </w:r>
            <w:r w:rsidRPr="00B217DC">
              <w:rPr>
                <w:rFonts w:cs="Arial"/>
                <w:color w:val="auto"/>
                <w:sz w:val="20"/>
                <w:szCs w:val="20"/>
              </w:rPr>
              <w:t>100</w:t>
            </w:r>
            <w:r w:rsidR="0059375B" w:rsidRPr="00B217DC">
              <w:rPr>
                <w:rFonts w:cs="Arial"/>
                <w:color w:val="auto"/>
                <w:sz w:val="20"/>
                <w:szCs w:val="20"/>
              </w:rPr>
              <w:t>%)</w:t>
            </w:r>
          </w:p>
        </w:tc>
        <w:tc>
          <w:tcPr>
            <w:tcW w:w="1739" w:type="dxa"/>
            <w:shd w:val="clear" w:color="auto" w:fill="FFFFFF" w:themeFill="background1"/>
          </w:tcPr>
          <w:p w:rsidR="0059375B" w:rsidRPr="00B217DC" w:rsidRDefault="00D966A5" w:rsidP="00B217DC">
            <w:pPr>
              <w:rPr>
                <w:rFonts w:cs="Arial"/>
                <w:color w:val="auto"/>
                <w:sz w:val="20"/>
                <w:szCs w:val="20"/>
              </w:rPr>
            </w:pPr>
            <w:r w:rsidRPr="00B217DC">
              <w:rPr>
                <w:rFonts w:cs="Arial"/>
                <w:color w:val="auto"/>
                <w:sz w:val="20"/>
                <w:szCs w:val="20"/>
              </w:rPr>
              <w:t>8/8 (100%)</w:t>
            </w:r>
          </w:p>
        </w:tc>
      </w:tr>
      <w:tr w:rsidR="006675BE" w:rsidRPr="00B217DC" w:rsidTr="0059375B">
        <w:trPr>
          <w:jc w:val="center"/>
        </w:trPr>
        <w:tc>
          <w:tcPr>
            <w:tcW w:w="2252" w:type="dxa"/>
          </w:tcPr>
          <w:p w:rsidR="00D966A5" w:rsidRPr="00B217DC" w:rsidRDefault="00D966A5" w:rsidP="00B217DC">
            <w:pPr>
              <w:rPr>
                <w:rFonts w:cs="Arial"/>
                <w:b/>
                <w:color w:val="auto"/>
                <w:sz w:val="20"/>
                <w:szCs w:val="20"/>
              </w:rPr>
            </w:pPr>
            <w:r w:rsidRPr="00B217DC">
              <w:rPr>
                <w:rFonts w:cs="Arial"/>
                <w:b/>
                <w:color w:val="auto"/>
                <w:sz w:val="20"/>
                <w:szCs w:val="20"/>
              </w:rPr>
              <w:t>NYD</w:t>
            </w:r>
          </w:p>
        </w:tc>
        <w:tc>
          <w:tcPr>
            <w:tcW w:w="1541" w:type="dxa"/>
          </w:tcPr>
          <w:p w:rsidR="00D966A5" w:rsidRPr="00B217DC" w:rsidRDefault="00D966A5" w:rsidP="00B217DC">
            <w:pPr>
              <w:rPr>
                <w:rFonts w:cs="Arial"/>
                <w:color w:val="auto"/>
                <w:sz w:val="20"/>
                <w:szCs w:val="20"/>
              </w:rPr>
            </w:pPr>
            <w:r w:rsidRPr="00B217DC">
              <w:rPr>
                <w:rFonts w:cs="Arial"/>
                <w:color w:val="auto"/>
                <w:sz w:val="20"/>
                <w:szCs w:val="20"/>
              </w:rPr>
              <w:t>4/4 (100%)</w:t>
            </w:r>
          </w:p>
        </w:tc>
        <w:tc>
          <w:tcPr>
            <w:tcW w:w="2048" w:type="dxa"/>
            <w:shd w:val="clear" w:color="auto" w:fill="FFFFFF" w:themeFill="background1"/>
          </w:tcPr>
          <w:p w:rsidR="00D966A5" w:rsidRPr="00B217DC" w:rsidRDefault="00D966A5" w:rsidP="00B217DC">
            <w:pPr>
              <w:rPr>
                <w:rFonts w:cs="Arial"/>
                <w:color w:val="auto"/>
                <w:sz w:val="20"/>
                <w:szCs w:val="20"/>
              </w:rPr>
            </w:pPr>
            <w:r w:rsidRPr="00B217DC">
              <w:rPr>
                <w:rFonts w:cs="Arial"/>
                <w:color w:val="auto"/>
                <w:sz w:val="20"/>
                <w:szCs w:val="20"/>
              </w:rPr>
              <w:t>2/4 (50%)</w:t>
            </w:r>
          </w:p>
        </w:tc>
        <w:tc>
          <w:tcPr>
            <w:tcW w:w="2048" w:type="dxa"/>
            <w:shd w:val="clear" w:color="auto" w:fill="FFFFFF" w:themeFill="background1"/>
          </w:tcPr>
          <w:p w:rsidR="00D966A5" w:rsidRPr="00B217DC" w:rsidRDefault="00D966A5" w:rsidP="00B217DC">
            <w:pPr>
              <w:rPr>
                <w:rFonts w:cs="Arial"/>
                <w:color w:val="auto"/>
                <w:sz w:val="20"/>
                <w:szCs w:val="20"/>
              </w:rPr>
            </w:pPr>
            <w:r w:rsidRPr="00B217DC">
              <w:rPr>
                <w:rFonts w:cs="Arial"/>
                <w:color w:val="auto"/>
                <w:sz w:val="20"/>
                <w:szCs w:val="20"/>
              </w:rPr>
              <w:t>7/7 (</w:t>
            </w:r>
            <w:r w:rsidR="00991FBB" w:rsidRPr="00B217DC">
              <w:rPr>
                <w:rFonts w:cs="Arial"/>
                <w:color w:val="auto"/>
                <w:sz w:val="20"/>
                <w:szCs w:val="20"/>
              </w:rPr>
              <w:t>100</w:t>
            </w:r>
            <w:r w:rsidRPr="00B217DC">
              <w:rPr>
                <w:rFonts w:cs="Arial"/>
                <w:color w:val="auto"/>
                <w:sz w:val="20"/>
                <w:szCs w:val="20"/>
              </w:rPr>
              <w:t>%)</w:t>
            </w:r>
          </w:p>
        </w:tc>
        <w:tc>
          <w:tcPr>
            <w:tcW w:w="1739" w:type="dxa"/>
            <w:vMerge w:val="restart"/>
            <w:shd w:val="clear" w:color="auto" w:fill="FFFFFF" w:themeFill="background1"/>
          </w:tcPr>
          <w:p w:rsidR="00D966A5" w:rsidRPr="00B217DC" w:rsidRDefault="00D966A5" w:rsidP="00B217DC">
            <w:pPr>
              <w:rPr>
                <w:rFonts w:cs="Arial"/>
                <w:color w:val="auto"/>
                <w:sz w:val="20"/>
                <w:szCs w:val="20"/>
              </w:rPr>
            </w:pPr>
            <w:r w:rsidRPr="00B217DC">
              <w:rPr>
                <w:rFonts w:cs="Arial"/>
                <w:color w:val="auto"/>
                <w:sz w:val="20"/>
                <w:szCs w:val="20"/>
              </w:rPr>
              <w:t>8/9 (89%)</w:t>
            </w:r>
          </w:p>
        </w:tc>
      </w:tr>
      <w:tr w:rsidR="006675BE" w:rsidRPr="00B217DC" w:rsidTr="0059375B">
        <w:trPr>
          <w:jc w:val="center"/>
        </w:trPr>
        <w:tc>
          <w:tcPr>
            <w:tcW w:w="2252" w:type="dxa"/>
          </w:tcPr>
          <w:p w:rsidR="00D966A5" w:rsidRPr="00B217DC" w:rsidRDefault="00D966A5" w:rsidP="00B217DC">
            <w:pPr>
              <w:rPr>
                <w:rFonts w:cs="Arial"/>
                <w:b/>
                <w:color w:val="auto"/>
                <w:sz w:val="20"/>
                <w:szCs w:val="20"/>
              </w:rPr>
            </w:pPr>
            <w:r w:rsidRPr="00B217DC">
              <w:rPr>
                <w:rFonts w:cs="Arial"/>
                <w:b/>
                <w:color w:val="auto"/>
                <w:sz w:val="20"/>
                <w:szCs w:val="20"/>
              </w:rPr>
              <w:t>RPD</w:t>
            </w:r>
          </w:p>
        </w:tc>
        <w:tc>
          <w:tcPr>
            <w:tcW w:w="1541" w:type="dxa"/>
          </w:tcPr>
          <w:p w:rsidR="00D966A5" w:rsidRPr="00B217DC" w:rsidRDefault="00D966A5" w:rsidP="00B217DC">
            <w:pPr>
              <w:rPr>
                <w:rFonts w:cs="Arial"/>
                <w:color w:val="auto"/>
                <w:sz w:val="20"/>
                <w:szCs w:val="20"/>
              </w:rPr>
            </w:pPr>
            <w:r w:rsidRPr="00B217DC">
              <w:rPr>
                <w:rFonts w:cs="Arial"/>
                <w:color w:val="auto"/>
                <w:sz w:val="20"/>
                <w:szCs w:val="20"/>
              </w:rPr>
              <w:t>1/3 (33%)</w:t>
            </w:r>
          </w:p>
        </w:tc>
        <w:tc>
          <w:tcPr>
            <w:tcW w:w="2048" w:type="dxa"/>
            <w:shd w:val="clear" w:color="auto" w:fill="FFFFFF" w:themeFill="background1"/>
          </w:tcPr>
          <w:p w:rsidR="00D966A5" w:rsidRPr="00B217DC" w:rsidRDefault="00D966A5" w:rsidP="00B217DC">
            <w:pPr>
              <w:rPr>
                <w:rFonts w:cs="Arial"/>
                <w:color w:val="auto"/>
                <w:sz w:val="20"/>
                <w:szCs w:val="20"/>
              </w:rPr>
            </w:pPr>
            <w:r w:rsidRPr="00B217DC">
              <w:rPr>
                <w:rFonts w:cs="Arial"/>
                <w:color w:val="auto"/>
                <w:sz w:val="20"/>
                <w:szCs w:val="20"/>
              </w:rPr>
              <w:t>5/5 (100%)</w:t>
            </w:r>
          </w:p>
        </w:tc>
        <w:tc>
          <w:tcPr>
            <w:tcW w:w="2048" w:type="dxa"/>
            <w:shd w:val="clear" w:color="auto" w:fill="FFFFFF" w:themeFill="background1"/>
          </w:tcPr>
          <w:p w:rsidR="00D966A5" w:rsidRPr="00B217DC" w:rsidRDefault="00D966A5" w:rsidP="00B217DC">
            <w:pPr>
              <w:rPr>
                <w:rFonts w:cs="Arial"/>
                <w:color w:val="auto"/>
                <w:sz w:val="20"/>
                <w:szCs w:val="20"/>
              </w:rPr>
            </w:pPr>
            <w:r w:rsidRPr="00B217DC">
              <w:rPr>
                <w:rFonts w:cs="Arial"/>
                <w:color w:val="auto"/>
                <w:sz w:val="20"/>
                <w:szCs w:val="20"/>
              </w:rPr>
              <w:t>5/5 (100%)</w:t>
            </w:r>
          </w:p>
        </w:tc>
        <w:tc>
          <w:tcPr>
            <w:tcW w:w="1739" w:type="dxa"/>
            <w:vMerge/>
            <w:shd w:val="clear" w:color="auto" w:fill="FFFFFF" w:themeFill="background1"/>
          </w:tcPr>
          <w:p w:rsidR="00D966A5" w:rsidRPr="00B217DC" w:rsidRDefault="00D966A5" w:rsidP="00B217DC">
            <w:pPr>
              <w:rPr>
                <w:rFonts w:cs="Arial"/>
                <w:color w:val="auto"/>
                <w:sz w:val="20"/>
                <w:szCs w:val="20"/>
              </w:rPr>
            </w:pPr>
          </w:p>
        </w:tc>
      </w:tr>
      <w:tr w:rsidR="006675BE" w:rsidRPr="00B217DC" w:rsidTr="0059375B">
        <w:trPr>
          <w:jc w:val="center"/>
        </w:trPr>
        <w:tc>
          <w:tcPr>
            <w:tcW w:w="2252"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Total</w:t>
            </w:r>
          </w:p>
        </w:tc>
        <w:tc>
          <w:tcPr>
            <w:tcW w:w="1541"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32/40 (80%)</w:t>
            </w:r>
          </w:p>
        </w:tc>
        <w:tc>
          <w:tcPr>
            <w:tcW w:w="2048" w:type="dxa"/>
            <w:shd w:val="clear" w:color="auto" w:fill="D9D9D9" w:themeFill="background1" w:themeFillShade="D9"/>
          </w:tcPr>
          <w:p w:rsidR="0059375B" w:rsidRPr="00B217DC" w:rsidRDefault="0059375B" w:rsidP="00B217DC">
            <w:pPr>
              <w:rPr>
                <w:rFonts w:cs="Arial"/>
                <w:b/>
                <w:color w:val="auto"/>
                <w:sz w:val="20"/>
                <w:szCs w:val="20"/>
              </w:rPr>
            </w:pPr>
            <w:r w:rsidRPr="00B217DC">
              <w:rPr>
                <w:rFonts w:cs="Arial"/>
                <w:b/>
                <w:color w:val="auto"/>
                <w:sz w:val="20"/>
                <w:szCs w:val="20"/>
              </w:rPr>
              <w:t>24/33 (73%)</w:t>
            </w:r>
          </w:p>
        </w:tc>
        <w:tc>
          <w:tcPr>
            <w:tcW w:w="2048" w:type="dxa"/>
            <w:shd w:val="clear" w:color="auto" w:fill="D9D9D9" w:themeFill="background1" w:themeFillShade="D9"/>
          </w:tcPr>
          <w:p w:rsidR="0059375B" w:rsidRPr="00B217DC" w:rsidRDefault="00D966A5" w:rsidP="00B217DC">
            <w:pPr>
              <w:rPr>
                <w:rFonts w:cs="Arial"/>
                <w:b/>
                <w:color w:val="auto"/>
                <w:sz w:val="20"/>
                <w:szCs w:val="20"/>
              </w:rPr>
            </w:pPr>
            <w:r w:rsidRPr="00B217DC">
              <w:rPr>
                <w:rFonts w:cs="Arial"/>
                <w:b/>
                <w:color w:val="auto"/>
                <w:sz w:val="20"/>
                <w:szCs w:val="20"/>
              </w:rPr>
              <w:t>39</w:t>
            </w:r>
            <w:r w:rsidR="0059375B" w:rsidRPr="00B217DC">
              <w:rPr>
                <w:rFonts w:cs="Arial"/>
                <w:b/>
                <w:color w:val="auto"/>
                <w:sz w:val="20"/>
                <w:szCs w:val="20"/>
              </w:rPr>
              <w:t>/</w:t>
            </w:r>
            <w:r w:rsidRPr="00B217DC">
              <w:rPr>
                <w:rFonts w:cs="Arial"/>
                <w:b/>
                <w:color w:val="auto"/>
                <w:sz w:val="20"/>
                <w:szCs w:val="20"/>
              </w:rPr>
              <w:t>41</w:t>
            </w:r>
            <w:r w:rsidR="00641F7E" w:rsidRPr="00B217DC">
              <w:rPr>
                <w:rFonts w:cs="Arial"/>
                <w:b/>
                <w:color w:val="auto"/>
                <w:sz w:val="20"/>
                <w:szCs w:val="20"/>
              </w:rPr>
              <w:t xml:space="preserve"> (</w:t>
            </w:r>
            <w:r w:rsidR="00D07A11" w:rsidRPr="00B217DC">
              <w:rPr>
                <w:rFonts w:cs="Arial"/>
                <w:b/>
                <w:color w:val="auto"/>
                <w:sz w:val="20"/>
                <w:szCs w:val="20"/>
              </w:rPr>
              <w:t>95.1</w:t>
            </w:r>
            <w:r w:rsidR="0059375B" w:rsidRPr="00B217DC">
              <w:rPr>
                <w:rFonts w:cs="Arial"/>
                <w:b/>
                <w:color w:val="auto"/>
                <w:sz w:val="20"/>
                <w:szCs w:val="20"/>
              </w:rPr>
              <w:t>%)</w:t>
            </w:r>
          </w:p>
        </w:tc>
        <w:tc>
          <w:tcPr>
            <w:tcW w:w="1739" w:type="dxa"/>
            <w:shd w:val="clear" w:color="auto" w:fill="D9D9D9" w:themeFill="background1" w:themeFillShade="D9"/>
          </w:tcPr>
          <w:p w:rsidR="0059375B" w:rsidRPr="00B217DC" w:rsidRDefault="00D966A5" w:rsidP="00B217DC">
            <w:pPr>
              <w:rPr>
                <w:rFonts w:cs="Arial"/>
                <w:b/>
                <w:color w:val="auto"/>
                <w:sz w:val="20"/>
                <w:szCs w:val="20"/>
              </w:rPr>
            </w:pPr>
            <w:r w:rsidRPr="00B217DC">
              <w:rPr>
                <w:rFonts w:cs="Arial"/>
                <w:b/>
                <w:color w:val="auto"/>
                <w:sz w:val="20"/>
                <w:szCs w:val="20"/>
              </w:rPr>
              <w:t>28/29 (97%)</w:t>
            </w:r>
          </w:p>
        </w:tc>
      </w:tr>
    </w:tbl>
    <w:p w:rsidR="00DE7AAC" w:rsidRPr="00B217DC" w:rsidRDefault="00DE7AAC" w:rsidP="00B217DC">
      <w:pPr>
        <w:rPr>
          <w:rFonts w:cs="Arial"/>
          <w:b/>
          <w:color w:val="auto"/>
          <w:sz w:val="20"/>
          <w:szCs w:val="20"/>
        </w:rPr>
      </w:pPr>
    </w:p>
    <w:p w:rsidR="008B0B9D" w:rsidRPr="00B217DC" w:rsidRDefault="001967BA" w:rsidP="00B217DC">
      <w:pPr>
        <w:rPr>
          <w:rFonts w:cs="Arial"/>
          <w:b/>
          <w:color w:val="auto"/>
          <w:sz w:val="20"/>
          <w:szCs w:val="20"/>
        </w:rPr>
      </w:pPr>
      <w:r w:rsidRPr="00B217DC">
        <w:rPr>
          <w:rFonts w:cs="Arial"/>
          <w:b/>
          <w:color w:val="auto"/>
          <w:sz w:val="20"/>
          <w:szCs w:val="20"/>
        </w:rPr>
        <w:t>14.8</w:t>
      </w:r>
      <w:r w:rsidR="004B33E6" w:rsidRPr="00B217DC">
        <w:rPr>
          <w:rFonts w:cs="Arial"/>
          <w:b/>
          <w:color w:val="auto"/>
          <w:sz w:val="20"/>
          <w:szCs w:val="20"/>
        </w:rPr>
        <w:t xml:space="preserve">.2 </w:t>
      </w:r>
      <w:r w:rsidR="008B0B9D" w:rsidRPr="00B217DC">
        <w:rPr>
          <w:rFonts w:cs="Arial"/>
          <w:b/>
          <w:color w:val="auto"/>
          <w:sz w:val="20"/>
          <w:szCs w:val="20"/>
        </w:rPr>
        <w:t>Overview of performance for 202</w:t>
      </w:r>
      <w:r w:rsidR="00641F7E" w:rsidRPr="00B217DC">
        <w:rPr>
          <w:rFonts w:cs="Arial"/>
          <w:b/>
          <w:color w:val="auto"/>
          <w:sz w:val="20"/>
          <w:szCs w:val="20"/>
        </w:rPr>
        <w:t>1/22</w:t>
      </w:r>
    </w:p>
    <w:p w:rsidR="00133287" w:rsidRPr="00B217DC" w:rsidRDefault="00133287" w:rsidP="00B217DC">
      <w:pPr>
        <w:pStyle w:val="ListParagraph"/>
        <w:numPr>
          <w:ilvl w:val="0"/>
          <w:numId w:val="92"/>
        </w:numPr>
        <w:rPr>
          <w:rFonts w:cs="Arial"/>
          <w:color w:val="auto"/>
          <w:sz w:val="20"/>
          <w:szCs w:val="20"/>
        </w:rPr>
      </w:pPr>
      <w:r w:rsidRPr="00B217DC">
        <w:rPr>
          <w:rFonts w:cs="Arial"/>
          <w:color w:val="auto"/>
          <w:sz w:val="20"/>
          <w:szCs w:val="20"/>
        </w:rPr>
        <w:t xml:space="preserve">When reflecting back on the Department’s performance, in the 2018/19 FY, the Department planned 32 of which 22 targets (69%) were achieved and 10 targets (31%) were not achieved. </w:t>
      </w:r>
      <w:r w:rsidRPr="00B217DC">
        <w:rPr>
          <w:rFonts w:cs="Arial"/>
          <w:color w:val="auto"/>
          <w:sz w:val="20"/>
          <w:szCs w:val="20"/>
        </w:rPr>
        <w:lastRenderedPageBreak/>
        <w:t xml:space="preserve">In comparison to the 2019/20 FY, in which the Department planned for 40 targets, 32 targets (80%) were achieved and 08 targets (20%) were not achieved. </w:t>
      </w:r>
      <w:r w:rsidR="00991FBB" w:rsidRPr="00B217DC">
        <w:rPr>
          <w:rFonts w:cs="Arial"/>
          <w:color w:val="auto"/>
          <w:sz w:val="20"/>
          <w:szCs w:val="20"/>
        </w:rPr>
        <w:t>Subsequently, the Department achieved 95.1% in 2021/22 which is marked improvement compared to the previous FY</w:t>
      </w:r>
      <w:r w:rsidRPr="00B217DC">
        <w:rPr>
          <w:rFonts w:cs="Arial"/>
          <w:color w:val="auto"/>
          <w:sz w:val="20"/>
          <w:szCs w:val="20"/>
        </w:rPr>
        <w:t>.</w:t>
      </w:r>
    </w:p>
    <w:p w:rsidR="008B0B9D" w:rsidRPr="00B217DC" w:rsidRDefault="008B0B9D" w:rsidP="00B217DC">
      <w:pPr>
        <w:pStyle w:val="ListParagraph"/>
        <w:numPr>
          <w:ilvl w:val="0"/>
          <w:numId w:val="92"/>
        </w:numPr>
        <w:rPr>
          <w:rFonts w:cs="Arial"/>
          <w:color w:val="auto"/>
          <w:sz w:val="20"/>
          <w:szCs w:val="20"/>
        </w:rPr>
      </w:pPr>
      <w:r w:rsidRPr="00B217DC">
        <w:rPr>
          <w:rFonts w:cs="Arial"/>
          <w:color w:val="auto"/>
          <w:sz w:val="20"/>
          <w:szCs w:val="20"/>
        </w:rPr>
        <w:t xml:space="preserve">Programme 1 </w:t>
      </w:r>
      <w:r w:rsidR="00991FBB" w:rsidRPr="00B217DC">
        <w:rPr>
          <w:rFonts w:cs="Arial"/>
          <w:color w:val="auto"/>
          <w:sz w:val="20"/>
          <w:szCs w:val="20"/>
        </w:rPr>
        <w:t xml:space="preserve">consistently </w:t>
      </w:r>
      <w:r w:rsidRPr="00B217DC">
        <w:rPr>
          <w:rFonts w:cs="Arial"/>
          <w:color w:val="auto"/>
          <w:sz w:val="20"/>
          <w:szCs w:val="20"/>
        </w:rPr>
        <w:t>consumes the greatest p</w:t>
      </w:r>
      <w:r w:rsidR="00641F7E" w:rsidRPr="00B217DC">
        <w:rPr>
          <w:rFonts w:cs="Arial"/>
          <w:color w:val="auto"/>
          <w:sz w:val="20"/>
          <w:szCs w:val="20"/>
        </w:rPr>
        <w:t xml:space="preserve">roportion of the </w:t>
      </w:r>
      <w:r w:rsidR="00991FBB" w:rsidRPr="00B217DC">
        <w:rPr>
          <w:rFonts w:cs="Arial"/>
          <w:color w:val="auto"/>
          <w:sz w:val="20"/>
          <w:szCs w:val="20"/>
        </w:rPr>
        <w:t>operational budget.</w:t>
      </w:r>
    </w:p>
    <w:p w:rsidR="00133287" w:rsidRPr="00B217DC" w:rsidRDefault="00991FBB" w:rsidP="00B217DC">
      <w:pPr>
        <w:numPr>
          <w:ilvl w:val="0"/>
          <w:numId w:val="92"/>
        </w:numPr>
        <w:rPr>
          <w:rFonts w:cs="Arial"/>
          <w:color w:val="auto"/>
          <w:sz w:val="20"/>
          <w:szCs w:val="20"/>
        </w:rPr>
      </w:pPr>
      <w:r w:rsidRPr="00B217DC">
        <w:rPr>
          <w:rFonts w:cs="Arial"/>
          <w:color w:val="auto"/>
          <w:sz w:val="20"/>
          <w:szCs w:val="20"/>
        </w:rPr>
        <w:t>All Programmes have improved by achieving targets the key concern is the under-expenditure incurred across all programmes more so in the core programmes</w:t>
      </w:r>
    </w:p>
    <w:p w:rsidR="00133287" w:rsidRPr="00B217DC" w:rsidRDefault="00133287" w:rsidP="00B217DC">
      <w:pPr>
        <w:rPr>
          <w:rFonts w:cs="Arial"/>
          <w:b/>
          <w:color w:val="auto"/>
          <w:sz w:val="20"/>
          <w:szCs w:val="20"/>
          <w:lang w:val="en-GB"/>
        </w:rPr>
      </w:pPr>
    </w:p>
    <w:p w:rsidR="007405B1" w:rsidRPr="00B217DC" w:rsidRDefault="001967BA" w:rsidP="00B217DC">
      <w:pPr>
        <w:rPr>
          <w:rFonts w:cs="Arial"/>
          <w:b/>
          <w:color w:val="auto"/>
          <w:sz w:val="20"/>
          <w:szCs w:val="20"/>
          <w:lang w:val="en-GB"/>
        </w:rPr>
      </w:pPr>
      <w:r w:rsidRPr="00B217DC">
        <w:rPr>
          <w:rFonts w:cs="Arial"/>
          <w:b/>
          <w:color w:val="auto"/>
          <w:sz w:val="20"/>
          <w:szCs w:val="20"/>
          <w:lang w:val="en-GB"/>
        </w:rPr>
        <w:t>14.8</w:t>
      </w:r>
      <w:r w:rsidR="004B33E6" w:rsidRPr="00B217DC">
        <w:rPr>
          <w:rFonts w:cs="Arial"/>
          <w:b/>
          <w:color w:val="auto"/>
          <w:sz w:val="20"/>
          <w:szCs w:val="20"/>
          <w:lang w:val="en-GB"/>
        </w:rPr>
        <w:t xml:space="preserve">.3 </w:t>
      </w:r>
      <w:r w:rsidR="00CD2F54" w:rsidRPr="00B217DC">
        <w:rPr>
          <w:rFonts w:cs="Arial"/>
          <w:b/>
          <w:color w:val="auto"/>
          <w:sz w:val="20"/>
          <w:szCs w:val="20"/>
          <w:lang w:val="en-GB"/>
        </w:rPr>
        <w:t xml:space="preserve">Overview of budget for </w:t>
      </w:r>
      <w:r w:rsidR="00C76407" w:rsidRPr="00B217DC">
        <w:rPr>
          <w:rFonts w:cs="Arial"/>
          <w:b/>
          <w:color w:val="auto"/>
          <w:sz w:val="20"/>
          <w:szCs w:val="20"/>
          <w:lang w:val="en-GB"/>
        </w:rPr>
        <w:t>2021</w:t>
      </w:r>
      <w:r w:rsidR="001719DB" w:rsidRPr="00B217DC">
        <w:rPr>
          <w:rFonts w:cs="Arial"/>
          <w:b/>
          <w:color w:val="auto"/>
          <w:sz w:val="20"/>
          <w:szCs w:val="20"/>
          <w:lang w:val="en-GB"/>
        </w:rPr>
        <w:t>/22</w:t>
      </w:r>
    </w:p>
    <w:p w:rsidR="00CD2F54" w:rsidRPr="00B217DC" w:rsidRDefault="00CD2F54" w:rsidP="00B217DC">
      <w:pPr>
        <w:pStyle w:val="ListParagraph"/>
        <w:numPr>
          <w:ilvl w:val="0"/>
          <w:numId w:val="90"/>
        </w:numPr>
        <w:rPr>
          <w:rFonts w:cs="Arial"/>
          <w:color w:val="auto"/>
          <w:sz w:val="20"/>
          <w:szCs w:val="20"/>
          <w:lang w:val="en-GB"/>
        </w:rPr>
      </w:pPr>
      <w:r w:rsidRPr="00B217DC">
        <w:rPr>
          <w:rFonts w:cs="Arial"/>
          <w:color w:val="auto"/>
          <w:sz w:val="20"/>
          <w:szCs w:val="20"/>
          <w:lang w:val="en-GB"/>
        </w:rPr>
        <w:t>The Department started the financial year with a budget of R</w:t>
      </w:r>
      <w:r w:rsidR="00991FBB" w:rsidRPr="00B217DC">
        <w:rPr>
          <w:rFonts w:cs="Arial"/>
          <w:color w:val="auto"/>
          <w:sz w:val="20"/>
          <w:szCs w:val="20"/>
          <w:lang w:val="en-GB"/>
        </w:rPr>
        <w:t>763,5</w:t>
      </w:r>
      <w:r w:rsidRPr="00B217DC">
        <w:rPr>
          <w:rFonts w:cs="Arial"/>
          <w:color w:val="auto"/>
          <w:sz w:val="20"/>
          <w:szCs w:val="20"/>
          <w:lang w:val="en-GB"/>
        </w:rPr>
        <w:t xml:space="preserve"> million (including the transfer payments to the Commission for Gender Equality and the National Youth Development Agency). </w:t>
      </w:r>
    </w:p>
    <w:p w:rsidR="00991FBB" w:rsidRPr="00B217DC" w:rsidRDefault="00991FBB" w:rsidP="00B217DC">
      <w:pPr>
        <w:pStyle w:val="ListParagraph"/>
        <w:numPr>
          <w:ilvl w:val="0"/>
          <w:numId w:val="90"/>
        </w:numPr>
        <w:rPr>
          <w:rFonts w:cs="Arial"/>
          <w:color w:val="auto"/>
          <w:sz w:val="20"/>
          <w:szCs w:val="20"/>
          <w:lang w:val="en-GB"/>
        </w:rPr>
      </w:pPr>
      <w:r w:rsidRPr="00B217DC">
        <w:rPr>
          <w:rFonts w:cs="Arial"/>
          <w:color w:val="auto"/>
          <w:sz w:val="20"/>
          <w:szCs w:val="20"/>
          <w:lang w:val="en-GB"/>
        </w:rPr>
        <w:t>During the 2021/22 financial year, the Department would transfer approximately R91.4 million to the CGE and approximately R471 million to the NYDA. This amounted to R562.2 million.</w:t>
      </w:r>
    </w:p>
    <w:p w:rsidR="00991FBB" w:rsidRPr="00B217DC" w:rsidRDefault="00991FBB" w:rsidP="00B217DC">
      <w:pPr>
        <w:pStyle w:val="ListParagraph"/>
        <w:numPr>
          <w:ilvl w:val="0"/>
          <w:numId w:val="90"/>
        </w:numPr>
        <w:rPr>
          <w:rFonts w:cs="Arial"/>
          <w:color w:val="auto"/>
          <w:sz w:val="20"/>
          <w:szCs w:val="20"/>
          <w:lang w:val="en-GB"/>
        </w:rPr>
      </w:pPr>
      <w:r w:rsidRPr="00B217DC">
        <w:rPr>
          <w:rFonts w:cs="Arial"/>
          <w:color w:val="auto"/>
          <w:sz w:val="20"/>
          <w:szCs w:val="20"/>
          <w:lang w:val="en-GB"/>
        </w:rPr>
        <w:t>In quarter 3 of the financial year, the provisional allocation of R430 million for Presidential Youth Employment Intervention (PYEI) increased transfers to NYDA to R901 million for 2021/22, and increased the total available budget to R1</w:t>
      </w:r>
      <w:r w:rsidR="00E37C6B" w:rsidRPr="00B217DC">
        <w:rPr>
          <w:rFonts w:cs="Arial"/>
          <w:color w:val="auto"/>
          <w:sz w:val="20"/>
          <w:szCs w:val="20"/>
          <w:lang w:val="en-GB"/>
        </w:rPr>
        <w:t>,</w:t>
      </w:r>
      <w:r w:rsidRPr="00B217DC">
        <w:rPr>
          <w:rFonts w:cs="Arial"/>
          <w:color w:val="auto"/>
          <w:sz w:val="20"/>
          <w:szCs w:val="20"/>
          <w:lang w:val="en-GB"/>
        </w:rPr>
        <w:t>12 billion. NYDA was allocated R400 million for the National Youth Service programmes and R30 million for entrepreneurship support.</w:t>
      </w:r>
    </w:p>
    <w:p w:rsidR="00CD2F54" w:rsidRPr="00B217DC" w:rsidRDefault="00991FBB" w:rsidP="00B217DC">
      <w:pPr>
        <w:pStyle w:val="ListParagraph"/>
        <w:numPr>
          <w:ilvl w:val="0"/>
          <w:numId w:val="90"/>
        </w:numPr>
        <w:rPr>
          <w:rFonts w:cs="Arial"/>
          <w:color w:val="auto"/>
          <w:sz w:val="20"/>
          <w:szCs w:val="20"/>
          <w:lang w:val="en-GB"/>
        </w:rPr>
      </w:pPr>
      <w:r w:rsidRPr="00B217DC">
        <w:rPr>
          <w:rFonts w:cs="Arial"/>
          <w:color w:val="auto"/>
          <w:sz w:val="20"/>
          <w:szCs w:val="20"/>
          <w:lang w:val="en-GB"/>
        </w:rPr>
        <w:t>Departmental transfers therefore amounted to R992</w:t>
      </w:r>
      <w:r w:rsidR="00E37C6B" w:rsidRPr="00B217DC">
        <w:rPr>
          <w:rFonts w:cs="Arial"/>
          <w:color w:val="auto"/>
          <w:sz w:val="20"/>
          <w:szCs w:val="20"/>
          <w:lang w:val="en-GB"/>
        </w:rPr>
        <w:t>,</w:t>
      </w:r>
      <w:r w:rsidRPr="00B217DC">
        <w:rPr>
          <w:rFonts w:cs="Arial"/>
          <w:color w:val="auto"/>
          <w:sz w:val="20"/>
          <w:szCs w:val="20"/>
          <w:lang w:val="en-GB"/>
        </w:rPr>
        <w:t>338 million. Thus leaving the Department with an operating budget of approximately R203</w:t>
      </w:r>
      <w:r w:rsidR="00E37C6B" w:rsidRPr="00B217DC">
        <w:rPr>
          <w:rFonts w:cs="Arial"/>
          <w:color w:val="auto"/>
          <w:sz w:val="20"/>
          <w:szCs w:val="20"/>
          <w:lang w:val="en-GB"/>
        </w:rPr>
        <w:t>,</w:t>
      </w:r>
      <w:r w:rsidRPr="00B217DC">
        <w:rPr>
          <w:rFonts w:cs="Arial"/>
          <w:color w:val="auto"/>
          <w:sz w:val="20"/>
          <w:szCs w:val="20"/>
          <w:lang w:val="en-GB"/>
        </w:rPr>
        <w:t>1 million to undertake its programmes and meet its targets for 2021/22</w:t>
      </w:r>
      <w:r w:rsidR="00CD2F54" w:rsidRPr="00B217DC">
        <w:rPr>
          <w:rFonts w:cs="Arial"/>
          <w:color w:val="auto"/>
          <w:sz w:val="20"/>
          <w:szCs w:val="20"/>
          <w:lang w:val="en-GB"/>
        </w:rPr>
        <w:t xml:space="preserve">. </w:t>
      </w:r>
    </w:p>
    <w:p w:rsidR="00CD2F54" w:rsidRPr="00B217DC" w:rsidRDefault="00CD2F54" w:rsidP="00B217DC">
      <w:pPr>
        <w:pStyle w:val="ListParagraph"/>
        <w:numPr>
          <w:ilvl w:val="0"/>
          <w:numId w:val="90"/>
        </w:numPr>
        <w:rPr>
          <w:rFonts w:cs="Arial"/>
          <w:color w:val="auto"/>
          <w:sz w:val="20"/>
          <w:szCs w:val="20"/>
          <w:lang w:val="en-GB"/>
        </w:rPr>
      </w:pPr>
      <w:r w:rsidRPr="00B217DC">
        <w:rPr>
          <w:rFonts w:cs="Arial"/>
          <w:color w:val="auto"/>
          <w:sz w:val="20"/>
          <w:szCs w:val="20"/>
          <w:lang w:val="en-GB"/>
        </w:rPr>
        <w:t xml:space="preserve">The </w:t>
      </w:r>
      <w:r w:rsidR="002D4EE5" w:rsidRPr="00B217DC">
        <w:rPr>
          <w:rFonts w:cs="Arial"/>
          <w:color w:val="auto"/>
          <w:sz w:val="20"/>
          <w:szCs w:val="20"/>
          <w:lang w:val="en-GB"/>
        </w:rPr>
        <w:t>Department reports a total of R</w:t>
      </w:r>
      <w:r w:rsidR="00991FBB" w:rsidRPr="00B217DC">
        <w:rPr>
          <w:rFonts w:cs="Arial"/>
          <w:color w:val="auto"/>
          <w:sz w:val="20"/>
          <w:szCs w:val="20"/>
          <w:lang w:val="en-GB"/>
        </w:rPr>
        <w:t>2,185</w:t>
      </w:r>
      <w:r w:rsidRPr="00B217DC">
        <w:rPr>
          <w:rFonts w:cs="Arial"/>
          <w:color w:val="auto"/>
          <w:sz w:val="20"/>
          <w:szCs w:val="20"/>
          <w:lang w:val="en-GB"/>
        </w:rPr>
        <w:t xml:space="preserve"> million in virements from Programmes </w:t>
      </w:r>
      <w:r w:rsidR="00991FBB" w:rsidRPr="00B217DC">
        <w:rPr>
          <w:rFonts w:cs="Arial"/>
          <w:color w:val="auto"/>
          <w:sz w:val="20"/>
          <w:szCs w:val="20"/>
          <w:lang w:val="en-GB"/>
        </w:rPr>
        <w:t>3 and 1 to</w:t>
      </w:r>
      <w:r w:rsidRPr="00B217DC">
        <w:rPr>
          <w:rFonts w:cs="Arial"/>
          <w:color w:val="auto"/>
          <w:sz w:val="20"/>
          <w:szCs w:val="20"/>
          <w:lang w:val="en-GB"/>
        </w:rPr>
        <w:t xml:space="preserve"> Programme </w:t>
      </w:r>
      <w:r w:rsidR="00991FBB" w:rsidRPr="00B217DC">
        <w:rPr>
          <w:rFonts w:cs="Arial"/>
          <w:color w:val="auto"/>
          <w:sz w:val="20"/>
          <w:szCs w:val="20"/>
          <w:lang w:val="en-GB"/>
        </w:rPr>
        <w:t>1-4</w:t>
      </w:r>
      <w:r w:rsidRPr="00B217DC">
        <w:rPr>
          <w:rFonts w:cs="Arial"/>
          <w:color w:val="auto"/>
          <w:sz w:val="20"/>
          <w:szCs w:val="20"/>
          <w:lang w:val="en-GB"/>
        </w:rPr>
        <w:t>.</w:t>
      </w:r>
      <w:r w:rsidR="00991FBB" w:rsidRPr="00B217DC">
        <w:rPr>
          <w:rFonts w:cs="Arial"/>
          <w:color w:val="auto"/>
          <w:sz w:val="20"/>
          <w:szCs w:val="20"/>
          <w:lang w:val="en-GB"/>
        </w:rPr>
        <w:t xml:space="preserve"> An internal virement had been recorded in Programme 1 between sub-programmes</w:t>
      </w:r>
    </w:p>
    <w:p w:rsidR="00F5076D" w:rsidRPr="00B217DC" w:rsidRDefault="00991FBB" w:rsidP="00B217DC">
      <w:pPr>
        <w:pStyle w:val="ListParagraph"/>
        <w:numPr>
          <w:ilvl w:val="0"/>
          <w:numId w:val="91"/>
        </w:numPr>
        <w:rPr>
          <w:rFonts w:cs="Arial"/>
          <w:color w:val="auto"/>
          <w:sz w:val="20"/>
          <w:szCs w:val="20"/>
        </w:rPr>
      </w:pPr>
      <w:r w:rsidRPr="00B217DC">
        <w:rPr>
          <w:rFonts w:cs="Arial"/>
          <w:color w:val="auto"/>
          <w:sz w:val="20"/>
          <w:szCs w:val="20"/>
          <w:lang w:val="en-GB"/>
        </w:rPr>
        <w:t>When considering the overall expenditure of the Department based on its total appropriation of R1</w:t>
      </w:r>
      <w:r w:rsidR="00E37C6B" w:rsidRPr="00B217DC">
        <w:rPr>
          <w:rFonts w:cs="Arial"/>
          <w:color w:val="auto"/>
          <w:sz w:val="20"/>
          <w:szCs w:val="20"/>
          <w:lang w:val="en-GB"/>
        </w:rPr>
        <w:t>,</w:t>
      </w:r>
      <w:r w:rsidRPr="00B217DC">
        <w:rPr>
          <w:rFonts w:cs="Arial"/>
          <w:color w:val="auto"/>
          <w:sz w:val="20"/>
          <w:szCs w:val="20"/>
          <w:lang w:val="en-GB"/>
        </w:rPr>
        <w:t>195 508 billion, it appears that the Department has spent 97.3% or R1</w:t>
      </w:r>
      <w:r w:rsidR="00E37C6B" w:rsidRPr="00B217DC">
        <w:rPr>
          <w:rFonts w:cs="Arial"/>
          <w:color w:val="auto"/>
          <w:sz w:val="20"/>
          <w:szCs w:val="20"/>
          <w:lang w:val="en-GB"/>
        </w:rPr>
        <w:t>,</w:t>
      </w:r>
      <w:r w:rsidR="00F5076D" w:rsidRPr="00B217DC">
        <w:rPr>
          <w:rFonts w:cs="Arial"/>
          <w:color w:val="auto"/>
          <w:sz w:val="20"/>
          <w:szCs w:val="20"/>
          <w:lang w:val="en-GB"/>
        </w:rPr>
        <w:t xml:space="preserve">164 423 billion of its budget. </w:t>
      </w:r>
      <w:r w:rsidRPr="00B217DC">
        <w:rPr>
          <w:rFonts w:cs="Arial"/>
          <w:color w:val="auto"/>
          <w:sz w:val="20"/>
          <w:szCs w:val="20"/>
          <w:lang w:val="en-GB"/>
        </w:rPr>
        <w:t xml:space="preserve">However, when considering the budget less the transfer payments to the CGE and NYDA, i.e. the operational budget (R203.170 million), the Department has spent 74.7% or </w:t>
      </w:r>
      <w:r w:rsidR="00E37C6B" w:rsidRPr="00B217DC">
        <w:rPr>
          <w:rFonts w:cs="Arial"/>
          <w:color w:val="auto"/>
          <w:sz w:val="20"/>
          <w:szCs w:val="20"/>
          <w:lang w:val="en-GB"/>
        </w:rPr>
        <w:t>R172,</w:t>
      </w:r>
      <w:r w:rsidRPr="00B217DC">
        <w:rPr>
          <w:rFonts w:cs="Arial"/>
          <w:color w:val="auto"/>
          <w:sz w:val="20"/>
          <w:szCs w:val="20"/>
          <w:lang w:val="en-GB"/>
        </w:rPr>
        <w:t xml:space="preserve">085 million of the operational budget. </w:t>
      </w:r>
    </w:p>
    <w:p w:rsidR="00F5076D" w:rsidRPr="00B217DC" w:rsidRDefault="00991FBB" w:rsidP="00B217DC">
      <w:pPr>
        <w:pStyle w:val="ListParagraph"/>
        <w:numPr>
          <w:ilvl w:val="0"/>
          <w:numId w:val="91"/>
        </w:numPr>
        <w:rPr>
          <w:rFonts w:cs="Arial"/>
          <w:color w:val="auto"/>
          <w:sz w:val="20"/>
          <w:szCs w:val="20"/>
        </w:rPr>
      </w:pPr>
      <w:r w:rsidRPr="00B217DC">
        <w:rPr>
          <w:rFonts w:cs="Arial"/>
          <w:color w:val="auto"/>
          <w:sz w:val="20"/>
          <w:szCs w:val="20"/>
          <w:lang w:val="en-GB"/>
        </w:rPr>
        <w:t xml:space="preserve">When looking at the programme expenditure as a percentage of overall expenditure, 60% of the budget has been spent on the Administration programme. Programme 4, the Rights of Persons with Disabilities accounts for only 6.3% of expenditure, while Programme 5, National Youth Development accounts for only 5.6% of operational expenditure. </w:t>
      </w:r>
    </w:p>
    <w:p w:rsidR="00F5076D" w:rsidRPr="00B217DC" w:rsidRDefault="00F5076D" w:rsidP="00B217DC">
      <w:pPr>
        <w:pStyle w:val="ListParagraph"/>
        <w:numPr>
          <w:ilvl w:val="0"/>
          <w:numId w:val="91"/>
        </w:numPr>
        <w:rPr>
          <w:rFonts w:cs="Arial"/>
          <w:color w:val="auto"/>
          <w:sz w:val="20"/>
          <w:szCs w:val="20"/>
        </w:rPr>
      </w:pPr>
      <w:r w:rsidRPr="00B217DC">
        <w:rPr>
          <w:rFonts w:cs="Arial"/>
          <w:color w:val="auto"/>
          <w:sz w:val="20"/>
          <w:szCs w:val="20"/>
          <w:lang w:val="en-GB"/>
        </w:rPr>
        <w:t xml:space="preserve">The </w:t>
      </w:r>
      <w:r w:rsidR="00991FBB" w:rsidRPr="00B217DC">
        <w:rPr>
          <w:rFonts w:cs="Arial"/>
          <w:color w:val="auto"/>
          <w:sz w:val="20"/>
          <w:szCs w:val="20"/>
          <w:lang w:val="en-GB"/>
        </w:rPr>
        <w:t>Total under-expenditure for the year amounts to R31</w:t>
      </w:r>
      <w:r w:rsidR="00E37C6B" w:rsidRPr="00B217DC">
        <w:rPr>
          <w:rFonts w:cs="Arial"/>
          <w:color w:val="auto"/>
          <w:sz w:val="20"/>
          <w:szCs w:val="20"/>
          <w:lang w:val="en-GB"/>
        </w:rPr>
        <w:t>,</w:t>
      </w:r>
      <w:r w:rsidR="00991FBB" w:rsidRPr="00B217DC">
        <w:rPr>
          <w:rFonts w:cs="Arial"/>
          <w:color w:val="auto"/>
          <w:sz w:val="20"/>
          <w:szCs w:val="20"/>
          <w:lang w:val="en-GB"/>
        </w:rPr>
        <w:t xml:space="preserve">085 million. </w:t>
      </w:r>
    </w:p>
    <w:p w:rsidR="00646F6F" w:rsidRPr="00B217DC" w:rsidRDefault="00F5076D" w:rsidP="00B217DC">
      <w:pPr>
        <w:pStyle w:val="ListParagraph"/>
        <w:numPr>
          <w:ilvl w:val="0"/>
          <w:numId w:val="91"/>
        </w:numPr>
        <w:rPr>
          <w:rFonts w:cs="Arial"/>
          <w:color w:val="auto"/>
          <w:sz w:val="20"/>
          <w:szCs w:val="20"/>
        </w:rPr>
      </w:pPr>
      <w:r w:rsidRPr="00B217DC">
        <w:rPr>
          <w:rFonts w:cs="Arial"/>
          <w:color w:val="auto"/>
          <w:sz w:val="20"/>
          <w:szCs w:val="20"/>
        </w:rPr>
        <w:t xml:space="preserve">No irregular expenditure was incurred for the 2021/22 financial year. Similarly, </w:t>
      </w:r>
      <w:r w:rsidR="00CD2F54" w:rsidRPr="00B217DC">
        <w:rPr>
          <w:rFonts w:cs="Arial"/>
          <w:color w:val="auto"/>
          <w:sz w:val="20"/>
          <w:szCs w:val="20"/>
          <w:lang w:val="en-GB"/>
        </w:rPr>
        <w:t xml:space="preserve">no </w:t>
      </w:r>
      <w:r w:rsidR="00646F6F" w:rsidRPr="00B217DC">
        <w:rPr>
          <w:rFonts w:cs="Arial"/>
          <w:color w:val="auto"/>
          <w:sz w:val="20"/>
          <w:szCs w:val="20"/>
          <w:lang w:val="en-GB"/>
        </w:rPr>
        <w:t>Unauthorised Expenditure</w:t>
      </w:r>
      <w:r w:rsidR="00CD2F54" w:rsidRPr="00B217DC">
        <w:rPr>
          <w:rFonts w:cs="Arial"/>
          <w:color w:val="auto"/>
          <w:sz w:val="20"/>
          <w:szCs w:val="20"/>
          <w:lang w:val="en-GB"/>
        </w:rPr>
        <w:t xml:space="preserve"> and </w:t>
      </w:r>
      <w:r w:rsidR="00646F6F" w:rsidRPr="00B217DC">
        <w:rPr>
          <w:rFonts w:cs="Arial"/>
          <w:color w:val="auto"/>
          <w:sz w:val="20"/>
          <w:szCs w:val="20"/>
          <w:lang w:val="en-GB"/>
        </w:rPr>
        <w:t>Fruitless and wasteful expenditure</w:t>
      </w:r>
      <w:r w:rsidRPr="00B217DC">
        <w:rPr>
          <w:rFonts w:cs="Arial"/>
          <w:color w:val="auto"/>
          <w:sz w:val="20"/>
          <w:szCs w:val="20"/>
        </w:rPr>
        <w:t xml:space="preserve"> was incurred for the year under review. There was however, historical debt from previous years still on record.</w:t>
      </w:r>
    </w:p>
    <w:p w:rsidR="00F62BC0" w:rsidRPr="00B217DC" w:rsidRDefault="00F62BC0" w:rsidP="00B217DC">
      <w:pPr>
        <w:rPr>
          <w:rFonts w:cs="Arial"/>
          <w:color w:val="auto"/>
          <w:sz w:val="20"/>
          <w:szCs w:val="20"/>
        </w:rPr>
      </w:pPr>
    </w:p>
    <w:p w:rsidR="00F62BC0" w:rsidRPr="00B217DC" w:rsidRDefault="00F62BC0" w:rsidP="00B217DC">
      <w:pPr>
        <w:rPr>
          <w:rFonts w:cs="Arial"/>
          <w:color w:val="auto"/>
          <w:sz w:val="20"/>
          <w:szCs w:val="20"/>
        </w:rPr>
      </w:pPr>
    </w:p>
    <w:p w:rsidR="002F02E1" w:rsidRPr="00B217DC" w:rsidRDefault="001967BA" w:rsidP="00B217DC">
      <w:pPr>
        <w:rPr>
          <w:rFonts w:cs="Arial"/>
          <w:b/>
          <w:color w:val="auto"/>
          <w:sz w:val="20"/>
          <w:szCs w:val="20"/>
        </w:rPr>
      </w:pPr>
      <w:r w:rsidRPr="00B217DC">
        <w:rPr>
          <w:rFonts w:cs="Arial"/>
          <w:b/>
          <w:color w:val="auto"/>
          <w:sz w:val="20"/>
          <w:szCs w:val="20"/>
        </w:rPr>
        <w:t>14.8.</w:t>
      </w:r>
      <w:r w:rsidR="004B33E6" w:rsidRPr="00B217DC">
        <w:rPr>
          <w:rFonts w:cs="Arial"/>
          <w:b/>
          <w:color w:val="auto"/>
          <w:sz w:val="20"/>
          <w:szCs w:val="20"/>
        </w:rPr>
        <w:t xml:space="preserve">4 </w:t>
      </w:r>
      <w:r w:rsidR="002F02E1" w:rsidRPr="00B217DC">
        <w:rPr>
          <w:rFonts w:cs="Arial"/>
          <w:b/>
          <w:color w:val="auto"/>
          <w:sz w:val="20"/>
          <w:szCs w:val="20"/>
        </w:rPr>
        <w:t xml:space="preserve">Overview of </w:t>
      </w:r>
      <w:r w:rsidR="004B33E6" w:rsidRPr="00B217DC">
        <w:rPr>
          <w:rFonts w:cs="Arial"/>
          <w:b/>
          <w:color w:val="auto"/>
          <w:sz w:val="20"/>
          <w:szCs w:val="20"/>
        </w:rPr>
        <w:t>budget</w:t>
      </w:r>
      <w:r w:rsidR="002F02E1" w:rsidRPr="00B217DC">
        <w:rPr>
          <w:rFonts w:cs="Arial"/>
          <w:b/>
          <w:color w:val="auto"/>
          <w:sz w:val="20"/>
          <w:szCs w:val="20"/>
        </w:rPr>
        <w:t xml:space="preserve"> for Q1 of 202</w:t>
      </w:r>
      <w:r w:rsidR="002D4EE5" w:rsidRPr="00B217DC">
        <w:rPr>
          <w:rFonts w:cs="Arial"/>
          <w:b/>
          <w:color w:val="auto"/>
          <w:sz w:val="20"/>
          <w:szCs w:val="20"/>
        </w:rPr>
        <w:t>2/23</w:t>
      </w:r>
    </w:p>
    <w:p w:rsidR="002F02E1" w:rsidRPr="00B217DC" w:rsidRDefault="002F02E1" w:rsidP="00B217DC">
      <w:pPr>
        <w:pStyle w:val="ListParagraph"/>
        <w:numPr>
          <w:ilvl w:val="0"/>
          <w:numId w:val="93"/>
        </w:numPr>
        <w:rPr>
          <w:rFonts w:cs="Arial"/>
          <w:color w:val="auto"/>
          <w:sz w:val="20"/>
          <w:szCs w:val="20"/>
          <w:lang w:val="en-US"/>
        </w:rPr>
      </w:pPr>
      <w:r w:rsidRPr="00B217DC">
        <w:rPr>
          <w:rFonts w:cs="Arial"/>
          <w:color w:val="auto"/>
          <w:sz w:val="20"/>
          <w:szCs w:val="20"/>
          <w:lang w:val="en-US"/>
        </w:rPr>
        <w:t>According to the National Treasury 202</w:t>
      </w:r>
      <w:r w:rsidR="002D4EE5" w:rsidRPr="00B217DC">
        <w:rPr>
          <w:rFonts w:cs="Arial"/>
          <w:color w:val="auto"/>
          <w:sz w:val="20"/>
          <w:szCs w:val="20"/>
          <w:lang w:val="en-US"/>
        </w:rPr>
        <w:t>2</w:t>
      </w:r>
      <w:r w:rsidRPr="00B217DC">
        <w:rPr>
          <w:rFonts w:cs="Arial"/>
          <w:color w:val="auto"/>
          <w:sz w:val="20"/>
          <w:szCs w:val="20"/>
          <w:lang w:val="en-US"/>
        </w:rPr>
        <w:t xml:space="preserve"> Estimates of National Expenditure (ENE) released in February 202</w:t>
      </w:r>
      <w:r w:rsidR="00F5076D" w:rsidRPr="00B217DC">
        <w:rPr>
          <w:rFonts w:cs="Arial"/>
          <w:color w:val="auto"/>
          <w:sz w:val="20"/>
          <w:szCs w:val="20"/>
          <w:lang w:val="en-US"/>
        </w:rPr>
        <w:t>2</w:t>
      </w:r>
      <w:r w:rsidRPr="00B217DC">
        <w:rPr>
          <w:rFonts w:cs="Arial"/>
          <w:color w:val="auto"/>
          <w:sz w:val="20"/>
          <w:szCs w:val="20"/>
          <w:lang w:val="en-US"/>
        </w:rPr>
        <w:t>, the Department under Vote 20, receives an annual appropriation of R</w:t>
      </w:r>
      <w:r w:rsidR="006B6450" w:rsidRPr="00B217DC">
        <w:rPr>
          <w:rFonts w:cs="Arial"/>
          <w:color w:val="auto"/>
          <w:sz w:val="20"/>
          <w:szCs w:val="20"/>
          <w:lang w:val="en-US"/>
        </w:rPr>
        <w:t>987.3</w:t>
      </w:r>
      <w:r w:rsidRPr="00B217DC">
        <w:rPr>
          <w:rFonts w:cs="Arial"/>
          <w:color w:val="auto"/>
          <w:sz w:val="20"/>
          <w:szCs w:val="20"/>
          <w:lang w:val="en-US"/>
        </w:rPr>
        <w:t xml:space="preserve"> million. The Department also facilitates two transfer payments to the Commission for Gender Equality (CGE) and the National Youth Development Agency (NYDA) respectively. As such for the 202</w:t>
      </w:r>
      <w:r w:rsidR="002D4EE5" w:rsidRPr="00B217DC">
        <w:rPr>
          <w:rFonts w:cs="Arial"/>
          <w:color w:val="auto"/>
          <w:sz w:val="20"/>
          <w:szCs w:val="20"/>
          <w:lang w:val="en-US"/>
        </w:rPr>
        <w:t>2/23</w:t>
      </w:r>
      <w:r w:rsidRPr="00B217DC">
        <w:rPr>
          <w:rFonts w:cs="Arial"/>
          <w:color w:val="auto"/>
          <w:sz w:val="20"/>
          <w:szCs w:val="20"/>
          <w:lang w:val="en-US"/>
        </w:rPr>
        <w:t xml:space="preserve"> FY, the Department would transfer R</w:t>
      </w:r>
      <w:r w:rsidR="006B6450" w:rsidRPr="00B217DC">
        <w:rPr>
          <w:rFonts w:cs="Arial"/>
          <w:color w:val="auto"/>
          <w:sz w:val="20"/>
          <w:szCs w:val="20"/>
          <w:lang w:val="en-US"/>
        </w:rPr>
        <w:t xml:space="preserve">100.7 </w:t>
      </w:r>
      <w:r w:rsidRPr="00B217DC">
        <w:rPr>
          <w:rFonts w:cs="Arial"/>
          <w:color w:val="auto"/>
          <w:sz w:val="20"/>
          <w:szCs w:val="20"/>
          <w:lang w:val="en-US"/>
        </w:rPr>
        <w:t xml:space="preserve">million to the CGE and approximately </w:t>
      </w:r>
      <w:r w:rsidR="006B6450" w:rsidRPr="00B217DC">
        <w:rPr>
          <w:rFonts w:cs="Arial"/>
          <w:color w:val="auto"/>
          <w:sz w:val="20"/>
          <w:szCs w:val="20"/>
          <w:lang w:val="en-US"/>
        </w:rPr>
        <w:t>R681</w:t>
      </w:r>
      <w:r w:rsidR="00E37C6B" w:rsidRPr="00B217DC">
        <w:rPr>
          <w:rFonts w:cs="Arial"/>
          <w:color w:val="auto"/>
          <w:sz w:val="20"/>
          <w:szCs w:val="20"/>
          <w:lang w:val="en-US"/>
        </w:rPr>
        <w:t>,</w:t>
      </w:r>
      <w:r w:rsidR="006B6450" w:rsidRPr="00B217DC">
        <w:rPr>
          <w:rFonts w:cs="Arial"/>
          <w:color w:val="auto"/>
          <w:sz w:val="20"/>
          <w:szCs w:val="20"/>
          <w:lang w:val="en-US"/>
        </w:rPr>
        <w:t xml:space="preserve">5 </w:t>
      </w:r>
      <w:r w:rsidRPr="00B217DC">
        <w:rPr>
          <w:rFonts w:cs="Arial"/>
          <w:color w:val="auto"/>
          <w:sz w:val="20"/>
          <w:szCs w:val="20"/>
          <w:lang w:val="en-US"/>
        </w:rPr>
        <w:t xml:space="preserve">million to the NYDA. Hence the transfers in total amounts to </w:t>
      </w:r>
      <w:r w:rsidR="006B6450" w:rsidRPr="00B217DC">
        <w:rPr>
          <w:rFonts w:cs="Arial"/>
          <w:color w:val="auto"/>
          <w:sz w:val="20"/>
          <w:szCs w:val="20"/>
          <w:lang w:val="en-US"/>
        </w:rPr>
        <w:t>R782</w:t>
      </w:r>
      <w:r w:rsidR="00E37C6B" w:rsidRPr="00B217DC">
        <w:rPr>
          <w:rFonts w:cs="Arial"/>
          <w:color w:val="auto"/>
          <w:sz w:val="20"/>
          <w:szCs w:val="20"/>
          <w:lang w:val="en-US"/>
        </w:rPr>
        <w:t>,</w:t>
      </w:r>
      <w:r w:rsidR="006B6450" w:rsidRPr="00B217DC">
        <w:rPr>
          <w:rFonts w:cs="Arial"/>
          <w:color w:val="auto"/>
          <w:sz w:val="20"/>
          <w:szCs w:val="20"/>
          <w:lang w:val="en-US"/>
        </w:rPr>
        <w:t xml:space="preserve"> </w:t>
      </w:r>
      <w:r w:rsidRPr="00B217DC">
        <w:rPr>
          <w:rFonts w:cs="Arial"/>
          <w:color w:val="auto"/>
          <w:sz w:val="20"/>
          <w:szCs w:val="20"/>
          <w:lang w:val="en-US"/>
        </w:rPr>
        <w:t>million. As such the Department is left with an operating budget of approximately R</w:t>
      </w:r>
      <w:r w:rsidR="006B6450" w:rsidRPr="00B217DC">
        <w:rPr>
          <w:rFonts w:cs="Arial"/>
          <w:color w:val="auto"/>
          <w:sz w:val="20"/>
          <w:szCs w:val="20"/>
          <w:lang w:val="en-US"/>
        </w:rPr>
        <w:t>205</w:t>
      </w:r>
      <w:r w:rsidR="00E37C6B" w:rsidRPr="00B217DC">
        <w:rPr>
          <w:rFonts w:cs="Arial"/>
          <w:color w:val="auto"/>
          <w:sz w:val="20"/>
          <w:szCs w:val="20"/>
          <w:lang w:val="en-US"/>
        </w:rPr>
        <w:t>,</w:t>
      </w:r>
      <w:r w:rsidR="006B6450" w:rsidRPr="00B217DC">
        <w:rPr>
          <w:rFonts w:cs="Arial"/>
          <w:color w:val="auto"/>
          <w:sz w:val="20"/>
          <w:szCs w:val="20"/>
          <w:lang w:val="en-US"/>
        </w:rPr>
        <w:t>1</w:t>
      </w:r>
      <w:r w:rsidRPr="00B217DC">
        <w:rPr>
          <w:rFonts w:cs="Arial"/>
          <w:color w:val="auto"/>
          <w:sz w:val="20"/>
          <w:szCs w:val="20"/>
          <w:lang w:val="en-US"/>
        </w:rPr>
        <w:t xml:space="preserve"> million to undertake its programmes and meet its targets for 202</w:t>
      </w:r>
      <w:r w:rsidR="002D4EE5" w:rsidRPr="00B217DC">
        <w:rPr>
          <w:rFonts w:cs="Arial"/>
          <w:color w:val="auto"/>
          <w:sz w:val="20"/>
          <w:szCs w:val="20"/>
          <w:lang w:val="en-US"/>
        </w:rPr>
        <w:t>2/23</w:t>
      </w:r>
      <w:r w:rsidRPr="00B217DC">
        <w:rPr>
          <w:rFonts w:cs="Arial"/>
          <w:color w:val="auto"/>
          <w:sz w:val="20"/>
          <w:szCs w:val="20"/>
          <w:lang w:val="en-US"/>
        </w:rPr>
        <w:t>.</w:t>
      </w:r>
    </w:p>
    <w:p w:rsidR="002F02E1" w:rsidRPr="00B217DC" w:rsidRDefault="002F02E1" w:rsidP="00B217DC">
      <w:pPr>
        <w:pStyle w:val="ListParagraph"/>
        <w:numPr>
          <w:ilvl w:val="0"/>
          <w:numId w:val="93"/>
        </w:numPr>
        <w:rPr>
          <w:rFonts w:cs="Arial"/>
          <w:bCs/>
          <w:color w:val="auto"/>
          <w:sz w:val="20"/>
          <w:szCs w:val="20"/>
          <w:lang w:val="en-US"/>
        </w:rPr>
      </w:pPr>
      <w:r w:rsidRPr="00B217DC">
        <w:rPr>
          <w:rFonts w:cs="Arial"/>
          <w:color w:val="auto"/>
          <w:sz w:val="20"/>
          <w:szCs w:val="20"/>
          <w:lang w:val="en-US"/>
        </w:rPr>
        <w:t>The Department underspent on all five programmes: Programme 1 (Administration) spent the highest propo</w:t>
      </w:r>
      <w:r w:rsidR="002D4EE5" w:rsidRPr="00B217DC">
        <w:rPr>
          <w:rFonts w:cs="Arial"/>
          <w:color w:val="auto"/>
          <w:sz w:val="20"/>
          <w:szCs w:val="20"/>
          <w:lang w:val="en-US"/>
        </w:rPr>
        <w:t>rtion of its programme budget</w:t>
      </w:r>
      <w:r w:rsidR="00137ABC" w:rsidRPr="00B217DC">
        <w:rPr>
          <w:rFonts w:cs="Arial"/>
          <w:color w:val="auto"/>
          <w:sz w:val="20"/>
          <w:szCs w:val="20"/>
          <w:lang w:val="en-US"/>
        </w:rPr>
        <w:t xml:space="preserve"> R24 million</w:t>
      </w:r>
      <w:r w:rsidR="002D4EE5" w:rsidRPr="00B217DC">
        <w:rPr>
          <w:rFonts w:cs="Arial"/>
          <w:color w:val="auto"/>
          <w:sz w:val="20"/>
          <w:szCs w:val="20"/>
          <w:lang w:val="en-US"/>
        </w:rPr>
        <w:t xml:space="preserve"> (</w:t>
      </w:r>
      <w:r w:rsidR="00137ABC" w:rsidRPr="00B217DC">
        <w:rPr>
          <w:rFonts w:cs="Arial"/>
          <w:color w:val="auto"/>
          <w:sz w:val="20"/>
          <w:szCs w:val="20"/>
          <w:lang w:val="en-US"/>
        </w:rPr>
        <w:t>24.3</w:t>
      </w:r>
      <w:r w:rsidRPr="00B217DC">
        <w:rPr>
          <w:rFonts w:cs="Arial"/>
          <w:color w:val="auto"/>
          <w:sz w:val="20"/>
          <w:szCs w:val="20"/>
          <w:lang w:val="en-US"/>
        </w:rPr>
        <w:t xml:space="preserve"> per cent) as well as the overall operational budget (</w:t>
      </w:r>
      <w:r w:rsidR="008B3BA1" w:rsidRPr="00B217DC">
        <w:rPr>
          <w:rFonts w:cs="Arial"/>
          <w:color w:val="auto"/>
          <w:sz w:val="20"/>
          <w:szCs w:val="20"/>
          <w:lang w:val="en-US"/>
        </w:rPr>
        <w:t>11.7%</w:t>
      </w:r>
      <w:r w:rsidR="00137ABC" w:rsidRPr="00B217DC">
        <w:rPr>
          <w:rFonts w:cs="Arial"/>
          <w:color w:val="auto"/>
          <w:sz w:val="20"/>
          <w:szCs w:val="20"/>
          <w:lang w:val="en-US"/>
        </w:rPr>
        <w:t>). Programme 4</w:t>
      </w:r>
      <w:r w:rsidRPr="00B217DC">
        <w:rPr>
          <w:rFonts w:cs="Arial"/>
          <w:color w:val="auto"/>
          <w:sz w:val="20"/>
          <w:szCs w:val="20"/>
          <w:lang w:val="en-US"/>
        </w:rPr>
        <w:t xml:space="preserve"> </w:t>
      </w:r>
      <w:r w:rsidR="00137ABC" w:rsidRPr="00B217DC">
        <w:rPr>
          <w:rFonts w:cs="Arial"/>
          <w:color w:val="auto"/>
          <w:sz w:val="20"/>
          <w:szCs w:val="20"/>
          <w:lang w:val="en-US"/>
        </w:rPr>
        <w:t xml:space="preserve">(Mainstreaming Youth &amp; Persons with Disabilities Rights and Advocacy) </w:t>
      </w:r>
      <w:r w:rsidRPr="00B217DC">
        <w:rPr>
          <w:rFonts w:cs="Arial"/>
          <w:color w:val="auto"/>
          <w:sz w:val="20"/>
          <w:szCs w:val="20"/>
          <w:lang w:val="en-US"/>
        </w:rPr>
        <w:t>spent the smallest proportio</w:t>
      </w:r>
      <w:r w:rsidR="002D4EE5" w:rsidRPr="00B217DC">
        <w:rPr>
          <w:rFonts w:cs="Arial"/>
          <w:color w:val="auto"/>
          <w:sz w:val="20"/>
          <w:szCs w:val="20"/>
          <w:lang w:val="en-US"/>
        </w:rPr>
        <w:t xml:space="preserve">n of its operational budget at </w:t>
      </w:r>
      <w:r w:rsidR="00137ABC" w:rsidRPr="00B217DC">
        <w:rPr>
          <w:rFonts w:cs="Arial"/>
          <w:color w:val="auto"/>
          <w:sz w:val="20"/>
          <w:szCs w:val="20"/>
          <w:lang w:val="en-US"/>
        </w:rPr>
        <w:t>14.6%</w:t>
      </w:r>
      <w:r w:rsidRPr="00B217DC">
        <w:rPr>
          <w:rFonts w:cs="Arial"/>
          <w:color w:val="auto"/>
          <w:sz w:val="20"/>
          <w:szCs w:val="20"/>
          <w:lang w:val="en-US"/>
        </w:rPr>
        <w:t xml:space="preserve"> or R</w:t>
      </w:r>
      <w:r w:rsidR="00137ABC" w:rsidRPr="00B217DC">
        <w:rPr>
          <w:rFonts w:cs="Arial"/>
          <w:color w:val="auto"/>
          <w:sz w:val="20"/>
          <w:szCs w:val="20"/>
          <w:lang w:val="en-US"/>
        </w:rPr>
        <w:t>4</w:t>
      </w:r>
      <w:r w:rsidR="00E37C6B" w:rsidRPr="00B217DC">
        <w:rPr>
          <w:rFonts w:cs="Arial"/>
          <w:color w:val="auto"/>
          <w:sz w:val="20"/>
          <w:szCs w:val="20"/>
          <w:lang w:val="en-US"/>
        </w:rPr>
        <w:t>,</w:t>
      </w:r>
      <w:r w:rsidR="00137ABC" w:rsidRPr="00B217DC">
        <w:rPr>
          <w:rFonts w:cs="Arial"/>
          <w:color w:val="auto"/>
          <w:sz w:val="20"/>
          <w:szCs w:val="20"/>
          <w:lang w:val="en-US"/>
        </w:rPr>
        <w:t>4</w:t>
      </w:r>
      <w:r w:rsidRPr="00B217DC">
        <w:rPr>
          <w:rFonts w:cs="Arial"/>
          <w:color w:val="auto"/>
          <w:sz w:val="20"/>
          <w:szCs w:val="20"/>
          <w:lang w:val="en-US"/>
        </w:rPr>
        <w:t xml:space="preserve"> million, followed by</w:t>
      </w:r>
      <w:r w:rsidR="00576E0D" w:rsidRPr="00B217DC">
        <w:rPr>
          <w:rFonts w:cs="Arial"/>
          <w:color w:val="auto"/>
          <w:sz w:val="20"/>
          <w:szCs w:val="20"/>
          <w:lang w:val="en-US"/>
        </w:rPr>
        <w:t xml:space="preserve"> Programme 2 (Mainstreaming Women’s Rights and Advocacy)</w:t>
      </w:r>
      <w:r w:rsidRPr="00B217DC">
        <w:rPr>
          <w:rFonts w:cs="Arial"/>
          <w:color w:val="auto"/>
          <w:sz w:val="20"/>
          <w:szCs w:val="20"/>
          <w:lang w:val="en-US"/>
        </w:rPr>
        <w:t xml:space="preserve"> which spent </w:t>
      </w:r>
      <w:r w:rsidR="00137ABC" w:rsidRPr="00B217DC">
        <w:rPr>
          <w:rFonts w:cs="Arial"/>
          <w:color w:val="auto"/>
          <w:sz w:val="20"/>
          <w:szCs w:val="20"/>
          <w:lang w:val="en-US"/>
        </w:rPr>
        <w:t>16.7%</w:t>
      </w:r>
      <w:r w:rsidRPr="00B217DC">
        <w:rPr>
          <w:rFonts w:cs="Arial"/>
          <w:color w:val="auto"/>
          <w:sz w:val="20"/>
          <w:szCs w:val="20"/>
          <w:lang w:val="en-US"/>
        </w:rPr>
        <w:t xml:space="preserve"> or R</w:t>
      </w:r>
      <w:r w:rsidR="00137ABC" w:rsidRPr="00B217DC">
        <w:rPr>
          <w:rFonts w:cs="Arial"/>
          <w:color w:val="auto"/>
          <w:sz w:val="20"/>
          <w:szCs w:val="20"/>
          <w:lang w:val="en-US"/>
        </w:rPr>
        <w:t>5</w:t>
      </w:r>
      <w:r w:rsidR="00E37C6B" w:rsidRPr="00B217DC">
        <w:rPr>
          <w:rFonts w:cs="Arial"/>
          <w:color w:val="auto"/>
          <w:sz w:val="20"/>
          <w:szCs w:val="20"/>
          <w:lang w:val="en-US"/>
        </w:rPr>
        <w:t>,</w:t>
      </w:r>
      <w:r w:rsidR="00137ABC" w:rsidRPr="00B217DC">
        <w:rPr>
          <w:rFonts w:cs="Arial"/>
          <w:color w:val="auto"/>
          <w:sz w:val="20"/>
          <w:szCs w:val="20"/>
          <w:lang w:val="en-US"/>
        </w:rPr>
        <w:t>5</w:t>
      </w:r>
      <w:r w:rsidRPr="00B217DC">
        <w:rPr>
          <w:rFonts w:cs="Arial"/>
          <w:color w:val="auto"/>
          <w:sz w:val="20"/>
          <w:szCs w:val="20"/>
          <w:lang w:val="en-US"/>
        </w:rPr>
        <w:t xml:space="preserve"> million</w:t>
      </w:r>
      <w:r w:rsidR="00576E0D" w:rsidRPr="00B217DC">
        <w:rPr>
          <w:rFonts w:cs="Arial"/>
          <w:color w:val="auto"/>
          <w:sz w:val="20"/>
          <w:szCs w:val="20"/>
          <w:lang w:val="en-US"/>
        </w:rPr>
        <w:t xml:space="preserve"> then Programme 3 (Monitoring, Evaluation, Research and Coordination) at 16.9%</w:t>
      </w:r>
      <w:r w:rsidRPr="00B217DC">
        <w:rPr>
          <w:rFonts w:cs="Arial"/>
          <w:color w:val="auto"/>
          <w:sz w:val="20"/>
          <w:szCs w:val="20"/>
          <w:lang w:val="en-US"/>
        </w:rPr>
        <w:t xml:space="preserve">. </w:t>
      </w:r>
      <w:r w:rsidRPr="00B217DC">
        <w:rPr>
          <w:rFonts w:cs="Arial"/>
          <w:color w:val="auto"/>
          <w:sz w:val="20"/>
          <w:szCs w:val="20"/>
        </w:rPr>
        <w:t>Across all programmes savings/underspending has been recorded, primarily as a result travel</w:t>
      </w:r>
      <w:r w:rsidR="00576E0D" w:rsidRPr="00B217DC">
        <w:rPr>
          <w:rFonts w:cs="Arial"/>
          <w:color w:val="auto"/>
          <w:sz w:val="20"/>
          <w:szCs w:val="20"/>
        </w:rPr>
        <w:t>, accommodation and venue/facilities hire</w:t>
      </w:r>
      <w:r w:rsidRPr="00B217DC">
        <w:rPr>
          <w:rFonts w:cs="Arial"/>
          <w:color w:val="auto"/>
          <w:sz w:val="20"/>
          <w:szCs w:val="20"/>
        </w:rPr>
        <w:t xml:space="preserve">. </w:t>
      </w:r>
      <w:r w:rsidR="008B3BA1" w:rsidRPr="00B217DC">
        <w:rPr>
          <w:rFonts w:cs="Arial"/>
          <w:color w:val="auto"/>
          <w:sz w:val="20"/>
          <w:szCs w:val="20"/>
        </w:rPr>
        <w:t xml:space="preserve">Notwithstanding that, the Department had not managed to spend on printing and circulation of documents, frameworks etc. in its core programmes as well as on (unspecified) project milestones which was concerning. </w:t>
      </w:r>
      <w:r w:rsidRPr="00B217DC">
        <w:rPr>
          <w:rFonts w:cs="Arial"/>
          <w:color w:val="auto"/>
          <w:sz w:val="20"/>
          <w:szCs w:val="20"/>
          <w:lang w:val="en-US"/>
        </w:rPr>
        <w:t>The table below outlines the Overall Financial Performance - Per Programme as at 30 June 202</w:t>
      </w:r>
      <w:r w:rsidR="002D4EE5" w:rsidRPr="00B217DC">
        <w:rPr>
          <w:rFonts w:cs="Arial"/>
          <w:color w:val="auto"/>
          <w:sz w:val="20"/>
          <w:szCs w:val="20"/>
          <w:lang w:val="en-US"/>
        </w:rPr>
        <w:t>2</w:t>
      </w:r>
      <w:r w:rsidRPr="00B217DC">
        <w:rPr>
          <w:rFonts w:cs="Arial"/>
          <w:color w:val="auto"/>
          <w:sz w:val="20"/>
          <w:szCs w:val="20"/>
          <w:lang w:val="en-US"/>
        </w:rPr>
        <w:t>.</w:t>
      </w:r>
    </w:p>
    <w:p w:rsidR="004B33E6" w:rsidRPr="00B217DC" w:rsidRDefault="004B33E6" w:rsidP="00B217DC">
      <w:pPr>
        <w:rPr>
          <w:rFonts w:cs="Arial"/>
          <w:b/>
          <w:color w:val="auto"/>
          <w:sz w:val="20"/>
          <w:szCs w:val="20"/>
          <w:lang w:val="en-US"/>
        </w:rPr>
      </w:pPr>
    </w:p>
    <w:p w:rsidR="00141BB2" w:rsidRPr="00B217DC" w:rsidRDefault="00141BB2"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F62BC0" w:rsidRPr="00B217DC" w:rsidRDefault="00F62BC0" w:rsidP="00B217DC">
      <w:pPr>
        <w:rPr>
          <w:rFonts w:cs="Arial"/>
          <w:b/>
          <w:color w:val="auto"/>
          <w:sz w:val="20"/>
          <w:szCs w:val="20"/>
          <w:lang w:val="en-US"/>
        </w:rPr>
      </w:pPr>
    </w:p>
    <w:p w:rsidR="002F02E1" w:rsidRPr="00B217DC" w:rsidRDefault="002F02E1" w:rsidP="00B217DC">
      <w:pPr>
        <w:rPr>
          <w:rFonts w:cs="Arial"/>
          <w:b/>
          <w:color w:val="auto"/>
          <w:sz w:val="20"/>
          <w:szCs w:val="20"/>
          <w:lang w:val="en-US"/>
        </w:rPr>
      </w:pPr>
      <w:r w:rsidRPr="00B217DC">
        <w:rPr>
          <w:rFonts w:cs="Arial"/>
          <w:b/>
          <w:color w:val="auto"/>
          <w:sz w:val="20"/>
          <w:szCs w:val="20"/>
          <w:lang w:val="en-US"/>
        </w:rPr>
        <w:t xml:space="preserve">Table </w:t>
      </w:r>
      <w:r w:rsidR="00F62BC0" w:rsidRPr="00B217DC">
        <w:rPr>
          <w:rFonts w:cs="Arial"/>
          <w:b/>
          <w:color w:val="auto"/>
          <w:sz w:val="20"/>
          <w:szCs w:val="20"/>
          <w:lang w:val="en-US"/>
        </w:rPr>
        <w:t>6</w:t>
      </w:r>
      <w:r w:rsidRPr="00B217DC">
        <w:rPr>
          <w:rFonts w:cs="Arial"/>
          <w:b/>
          <w:color w:val="auto"/>
          <w:sz w:val="20"/>
          <w:szCs w:val="20"/>
          <w:lang w:val="en-US"/>
        </w:rPr>
        <w:t>: Overall Financial Performance - Per Programme</w:t>
      </w:r>
    </w:p>
    <w:tbl>
      <w:tblPr>
        <w:tblW w:w="4898" w:type="pct"/>
        <w:tblCellMar>
          <w:left w:w="0" w:type="dxa"/>
          <w:right w:w="0" w:type="dxa"/>
        </w:tblCellMar>
        <w:tblLook w:val="0600"/>
      </w:tblPr>
      <w:tblGrid>
        <w:gridCol w:w="4104"/>
        <w:gridCol w:w="1684"/>
        <w:gridCol w:w="1832"/>
        <w:gridCol w:w="1851"/>
      </w:tblGrid>
      <w:tr w:rsidR="006675BE" w:rsidRPr="00B217DC" w:rsidTr="00EE4930">
        <w:trPr>
          <w:trHeight w:val="1222"/>
        </w:trPr>
        <w:tc>
          <w:tcPr>
            <w:tcW w:w="2167"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rPr>
              <w:t>Programmes</w:t>
            </w:r>
          </w:p>
        </w:tc>
        <w:tc>
          <w:tcPr>
            <w:tcW w:w="88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rPr>
              <w:t>Final Appropriation</w:t>
            </w:r>
          </w:p>
        </w:tc>
        <w:tc>
          <w:tcPr>
            <w:tcW w:w="967"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rPr>
              <w:t>Actual Expenditure as at 30 June 2022</w:t>
            </w:r>
          </w:p>
        </w:tc>
        <w:tc>
          <w:tcPr>
            <w:tcW w:w="977"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rPr>
              <w:t>Expenditure as  % of Budget</w:t>
            </w:r>
          </w:p>
        </w:tc>
      </w:tr>
      <w:tr w:rsidR="006675BE" w:rsidRPr="00B217DC" w:rsidTr="00EE4930">
        <w:trPr>
          <w:trHeight w:val="59"/>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EE4930" w:rsidRPr="00B217DC" w:rsidRDefault="00EE4930" w:rsidP="00B217DC">
            <w:pPr>
              <w:rPr>
                <w:rFonts w:cs="Arial"/>
                <w:color w:val="auto"/>
                <w:sz w:val="20"/>
                <w:szCs w:val="20"/>
              </w:rPr>
            </w:pPr>
            <w:r w:rsidRPr="00B217DC">
              <w:rPr>
                <w:rFonts w:cs="Arial"/>
                <w:color w:val="auto"/>
                <w:sz w:val="20"/>
                <w:szCs w:val="20"/>
              </w:rPr>
              <w:t> </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EE4930" w:rsidRPr="00B217DC" w:rsidRDefault="00EE4930" w:rsidP="00B217DC">
            <w:pPr>
              <w:rPr>
                <w:rFonts w:cs="Arial"/>
                <w:color w:val="auto"/>
                <w:sz w:val="20"/>
                <w:szCs w:val="20"/>
              </w:rPr>
            </w:pPr>
            <w:r w:rsidRPr="00B217DC">
              <w:rPr>
                <w:rFonts w:cs="Arial"/>
                <w:b/>
                <w:bCs/>
                <w:color w:val="auto"/>
                <w:sz w:val="20"/>
                <w:szCs w:val="20"/>
              </w:rPr>
              <w:t>R’000</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EE4930" w:rsidRPr="00B217DC" w:rsidRDefault="00EE4930" w:rsidP="00B217DC">
            <w:pPr>
              <w:rPr>
                <w:rFonts w:cs="Arial"/>
                <w:color w:val="auto"/>
                <w:sz w:val="20"/>
                <w:szCs w:val="20"/>
              </w:rPr>
            </w:pPr>
            <w:r w:rsidRPr="00B217DC">
              <w:rPr>
                <w:rFonts w:cs="Arial"/>
                <w:b/>
                <w:bCs/>
                <w:color w:val="auto"/>
                <w:sz w:val="20"/>
                <w:szCs w:val="20"/>
              </w:rPr>
              <w:t>R’000</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EE4930" w:rsidRPr="00B217DC" w:rsidRDefault="00EE4930" w:rsidP="00B217DC">
            <w:pPr>
              <w:rPr>
                <w:rFonts w:cs="Arial"/>
                <w:color w:val="auto"/>
                <w:sz w:val="20"/>
                <w:szCs w:val="20"/>
              </w:rPr>
            </w:pPr>
            <w:r w:rsidRPr="00B217DC">
              <w:rPr>
                <w:rFonts w:cs="Arial"/>
                <w:b/>
                <w:bCs/>
                <w:color w:val="auto"/>
                <w:sz w:val="20"/>
                <w:szCs w:val="20"/>
              </w:rPr>
              <w:t>%</w:t>
            </w:r>
          </w:p>
        </w:tc>
      </w:tr>
      <w:tr w:rsidR="006675BE" w:rsidRPr="00B217DC" w:rsidTr="00EE4930">
        <w:trPr>
          <w:trHeight w:val="504"/>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Administration</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98.7</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24</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24.3%</w:t>
            </w:r>
          </w:p>
        </w:tc>
      </w:tr>
      <w:tr w:rsidR="006675BE" w:rsidRPr="00B217DC" w:rsidTr="00EE4930">
        <w:trPr>
          <w:trHeight w:val="249"/>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 xml:space="preserve">Mainstreaming Women’s Rights and Advocacy </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33.5</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5.</w:t>
            </w:r>
            <w:r w:rsidR="00446385" w:rsidRPr="00B217DC">
              <w:rPr>
                <w:rFonts w:cs="Arial"/>
                <w:color w:val="auto"/>
                <w:sz w:val="20"/>
                <w:szCs w:val="20"/>
              </w:rPr>
              <w:t>6</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16.7%</w:t>
            </w:r>
          </w:p>
        </w:tc>
      </w:tr>
      <w:tr w:rsidR="006675BE" w:rsidRPr="00B217DC" w:rsidTr="00EE4930">
        <w:trPr>
          <w:trHeight w:val="113"/>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 xml:space="preserve">Monitoring, Evaluation Research and  Coordination </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42.5</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7.1</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16.0%</w:t>
            </w:r>
          </w:p>
        </w:tc>
      </w:tr>
      <w:tr w:rsidR="006675BE" w:rsidRPr="00B217DC" w:rsidTr="00EE4930">
        <w:trPr>
          <w:trHeight w:val="153"/>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Mainstreaming Youth and Persons with Disabilities Rights and Advocacy</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30.4</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4.</w:t>
            </w:r>
            <w:r w:rsidR="00446385" w:rsidRPr="00B217DC">
              <w:rPr>
                <w:rFonts w:cs="Arial"/>
                <w:color w:val="auto"/>
                <w:sz w:val="20"/>
                <w:szCs w:val="20"/>
              </w:rPr>
              <w:t>5</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rPr>
              <w:t>14.6%</w:t>
            </w:r>
          </w:p>
        </w:tc>
      </w:tr>
      <w:tr w:rsidR="006675BE" w:rsidRPr="00B217DC" w:rsidTr="00EE4930">
        <w:trPr>
          <w:trHeight w:val="442"/>
        </w:trPr>
        <w:tc>
          <w:tcPr>
            <w:tcW w:w="2167"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lang w:val="en-US"/>
              </w:rPr>
              <w:t>S</w:t>
            </w:r>
            <w:r w:rsidRPr="00B217DC">
              <w:rPr>
                <w:rFonts w:cs="Arial"/>
                <w:b/>
                <w:bCs/>
                <w:color w:val="auto"/>
                <w:sz w:val="20"/>
                <w:szCs w:val="20"/>
              </w:rPr>
              <w:t>ub-total Operational Appropriation</w:t>
            </w:r>
          </w:p>
        </w:tc>
        <w:tc>
          <w:tcPr>
            <w:tcW w:w="889"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205.1</w:t>
            </w:r>
          </w:p>
        </w:tc>
        <w:tc>
          <w:tcPr>
            <w:tcW w:w="967"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41.2</w:t>
            </w:r>
          </w:p>
        </w:tc>
        <w:tc>
          <w:tcPr>
            <w:tcW w:w="977"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rPr>
              <w:t>20.1%</w:t>
            </w:r>
          </w:p>
        </w:tc>
      </w:tr>
      <w:tr w:rsidR="006675BE" w:rsidRPr="00B217DC" w:rsidTr="00EE4930">
        <w:trPr>
          <w:trHeight w:val="471"/>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lang w:val="en-US"/>
              </w:rPr>
              <w:t>Commission for Gender Equality</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100.7</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25.2</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lang w:val="en-US"/>
              </w:rPr>
              <w:t>25%</w:t>
            </w:r>
          </w:p>
        </w:tc>
      </w:tr>
      <w:tr w:rsidR="006675BE" w:rsidRPr="00B217DC" w:rsidTr="00EE4930">
        <w:trPr>
          <w:trHeight w:val="419"/>
        </w:trPr>
        <w:tc>
          <w:tcPr>
            <w:tcW w:w="21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lang w:val="en-US"/>
              </w:rPr>
              <w:t>National Youth Development Agency</w:t>
            </w:r>
          </w:p>
        </w:tc>
        <w:tc>
          <w:tcPr>
            <w:tcW w:w="889"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681.5</w:t>
            </w:r>
          </w:p>
        </w:tc>
        <w:tc>
          <w:tcPr>
            <w:tcW w:w="96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381.0</w:t>
            </w:r>
          </w:p>
        </w:tc>
        <w:tc>
          <w:tcPr>
            <w:tcW w:w="977"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color w:val="auto"/>
                <w:sz w:val="20"/>
                <w:szCs w:val="20"/>
                <w:lang w:val="en-US"/>
              </w:rPr>
              <w:t>55.9%</w:t>
            </w:r>
          </w:p>
        </w:tc>
      </w:tr>
      <w:tr w:rsidR="006675BE" w:rsidRPr="00B217DC" w:rsidTr="00EE4930">
        <w:trPr>
          <w:trHeight w:val="499"/>
        </w:trPr>
        <w:tc>
          <w:tcPr>
            <w:tcW w:w="2167"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lang w:val="en-US"/>
              </w:rPr>
              <w:t>Total Appropriation</w:t>
            </w:r>
          </w:p>
        </w:tc>
        <w:tc>
          <w:tcPr>
            <w:tcW w:w="889"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987.3</w:t>
            </w:r>
          </w:p>
        </w:tc>
        <w:tc>
          <w:tcPr>
            <w:tcW w:w="967"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tcPr>
          <w:p w:rsidR="00EE4930" w:rsidRPr="00B217DC" w:rsidRDefault="00EE4930" w:rsidP="00B217DC">
            <w:pPr>
              <w:rPr>
                <w:rFonts w:cs="Arial"/>
                <w:color w:val="auto"/>
                <w:sz w:val="20"/>
                <w:szCs w:val="20"/>
              </w:rPr>
            </w:pPr>
            <w:r w:rsidRPr="00B217DC">
              <w:rPr>
                <w:rFonts w:cs="Arial"/>
                <w:color w:val="auto"/>
                <w:sz w:val="20"/>
                <w:szCs w:val="20"/>
              </w:rPr>
              <w:t>447.4</w:t>
            </w:r>
          </w:p>
        </w:tc>
        <w:tc>
          <w:tcPr>
            <w:tcW w:w="977"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hideMark/>
          </w:tcPr>
          <w:p w:rsidR="00EE4930" w:rsidRPr="00B217DC" w:rsidRDefault="00EE4930" w:rsidP="00B217DC">
            <w:pPr>
              <w:rPr>
                <w:rFonts w:cs="Arial"/>
                <w:color w:val="auto"/>
                <w:sz w:val="20"/>
                <w:szCs w:val="20"/>
              </w:rPr>
            </w:pPr>
            <w:r w:rsidRPr="00B217DC">
              <w:rPr>
                <w:rFonts w:cs="Arial"/>
                <w:b/>
                <w:bCs/>
                <w:color w:val="auto"/>
                <w:sz w:val="20"/>
                <w:szCs w:val="20"/>
                <w:lang w:val="en-US"/>
              </w:rPr>
              <w:t>45.3%</w:t>
            </w:r>
          </w:p>
        </w:tc>
      </w:tr>
    </w:tbl>
    <w:p w:rsidR="002F02E1" w:rsidRPr="00B217DC" w:rsidRDefault="002F02E1" w:rsidP="00B217DC">
      <w:pPr>
        <w:rPr>
          <w:rFonts w:cs="Arial"/>
          <w:color w:val="auto"/>
          <w:sz w:val="20"/>
          <w:szCs w:val="20"/>
          <w:lang w:val="en-US"/>
        </w:rPr>
      </w:pPr>
    </w:p>
    <w:p w:rsidR="002F02E1" w:rsidRPr="00B217DC" w:rsidRDefault="00F07D09" w:rsidP="00B217DC">
      <w:pPr>
        <w:pStyle w:val="ListParagraph"/>
        <w:numPr>
          <w:ilvl w:val="0"/>
          <w:numId w:val="94"/>
        </w:numPr>
        <w:rPr>
          <w:rFonts w:cs="Arial"/>
          <w:color w:val="auto"/>
          <w:sz w:val="20"/>
          <w:szCs w:val="20"/>
          <w:lang w:val="en-US"/>
        </w:rPr>
      </w:pPr>
      <w:r w:rsidRPr="00B217DC">
        <w:rPr>
          <w:rFonts w:cs="Arial"/>
          <w:color w:val="auto"/>
          <w:sz w:val="20"/>
          <w:szCs w:val="20"/>
          <w:lang w:val="en-US"/>
        </w:rPr>
        <w:t>C</w:t>
      </w:r>
      <w:r w:rsidR="002F02E1" w:rsidRPr="00B217DC">
        <w:rPr>
          <w:rFonts w:cs="Arial"/>
          <w:color w:val="auto"/>
          <w:sz w:val="20"/>
          <w:szCs w:val="20"/>
          <w:lang w:val="en-US"/>
        </w:rPr>
        <w:t xml:space="preserve">ompensation of employees accounts for </w:t>
      </w:r>
      <w:r w:rsidR="006B6450" w:rsidRPr="00B217DC">
        <w:rPr>
          <w:rFonts w:cs="Arial"/>
          <w:color w:val="auto"/>
          <w:sz w:val="20"/>
          <w:szCs w:val="20"/>
          <w:lang w:val="en-US"/>
        </w:rPr>
        <w:t>55.1</w:t>
      </w:r>
      <w:r w:rsidR="00E0609C" w:rsidRPr="00B217DC">
        <w:rPr>
          <w:rFonts w:cs="Arial"/>
          <w:color w:val="auto"/>
          <w:sz w:val="20"/>
          <w:szCs w:val="20"/>
          <w:lang w:val="en-US"/>
        </w:rPr>
        <w:t>%</w:t>
      </w:r>
      <w:r w:rsidR="006B6450" w:rsidRPr="00B217DC">
        <w:rPr>
          <w:rFonts w:cs="Arial"/>
          <w:color w:val="auto"/>
          <w:sz w:val="20"/>
          <w:szCs w:val="20"/>
          <w:lang w:val="en-US"/>
        </w:rPr>
        <w:t xml:space="preserve"> (R113 million) of the budget and G</w:t>
      </w:r>
      <w:r w:rsidR="002F02E1" w:rsidRPr="00B217DC">
        <w:rPr>
          <w:rFonts w:cs="Arial"/>
          <w:color w:val="auto"/>
          <w:sz w:val="20"/>
          <w:szCs w:val="20"/>
          <w:lang w:val="en-US"/>
        </w:rPr>
        <w:t xml:space="preserve">oods and services consumes </w:t>
      </w:r>
      <w:r w:rsidR="002D4EE5" w:rsidRPr="00B217DC">
        <w:rPr>
          <w:rFonts w:cs="Arial"/>
          <w:color w:val="auto"/>
          <w:sz w:val="20"/>
          <w:szCs w:val="20"/>
          <w:lang w:val="en-US"/>
        </w:rPr>
        <w:t xml:space="preserve">approximately </w:t>
      </w:r>
      <w:r w:rsidR="006B6450" w:rsidRPr="00B217DC">
        <w:rPr>
          <w:rFonts w:cs="Arial"/>
          <w:color w:val="auto"/>
          <w:sz w:val="20"/>
          <w:szCs w:val="20"/>
          <w:lang w:val="en-US"/>
        </w:rPr>
        <w:t>42.8</w:t>
      </w:r>
      <w:r w:rsidR="00E0609C" w:rsidRPr="00B217DC">
        <w:rPr>
          <w:rFonts w:cs="Arial"/>
          <w:color w:val="auto"/>
          <w:sz w:val="20"/>
          <w:szCs w:val="20"/>
          <w:lang w:val="en-US"/>
        </w:rPr>
        <w:t>%</w:t>
      </w:r>
      <w:r w:rsidR="006B6450" w:rsidRPr="00B217DC">
        <w:rPr>
          <w:rFonts w:cs="Arial"/>
          <w:color w:val="auto"/>
          <w:sz w:val="20"/>
          <w:szCs w:val="20"/>
          <w:lang w:val="en-US"/>
        </w:rPr>
        <w:t xml:space="preserve"> (R87</w:t>
      </w:r>
      <w:r w:rsidR="00E37C6B" w:rsidRPr="00B217DC">
        <w:rPr>
          <w:rFonts w:cs="Arial"/>
          <w:color w:val="auto"/>
          <w:sz w:val="20"/>
          <w:szCs w:val="20"/>
          <w:lang w:val="en-US"/>
        </w:rPr>
        <w:t>,</w:t>
      </w:r>
      <w:r w:rsidR="006B6450" w:rsidRPr="00B217DC">
        <w:rPr>
          <w:rFonts w:cs="Arial"/>
          <w:color w:val="auto"/>
          <w:sz w:val="20"/>
          <w:szCs w:val="20"/>
          <w:lang w:val="en-US"/>
        </w:rPr>
        <w:t>9 million) and 2% (R4.2 million) for Capital Assets</w:t>
      </w:r>
      <w:r w:rsidR="002F02E1" w:rsidRPr="00B217DC">
        <w:rPr>
          <w:rFonts w:cs="Arial"/>
          <w:color w:val="auto"/>
          <w:sz w:val="20"/>
          <w:szCs w:val="20"/>
          <w:lang w:val="en-US"/>
        </w:rPr>
        <w:t xml:space="preserve">.  </w:t>
      </w:r>
    </w:p>
    <w:p w:rsidR="00E0609C" w:rsidRPr="00B217DC" w:rsidRDefault="00E0609C" w:rsidP="00B217DC">
      <w:pPr>
        <w:pStyle w:val="ListParagraph"/>
        <w:numPr>
          <w:ilvl w:val="0"/>
          <w:numId w:val="94"/>
        </w:numPr>
        <w:rPr>
          <w:rFonts w:cs="Arial"/>
          <w:color w:val="auto"/>
          <w:sz w:val="20"/>
          <w:szCs w:val="20"/>
          <w:lang w:val="en-US"/>
        </w:rPr>
      </w:pPr>
      <w:r w:rsidRPr="00B217DC">
        <w:rPr>
          <w:rFonts w:cs="Arial"/>
          <w:color w:val="auto"/>
          <w:sz w:val="20"/>
          <w:szCs w:val="20"/>
          <w:lang w:val="en-US"/>
        </w:rPr>
        <w:t>In Q1 of 2022/23, the Department spent 13.8% (R28</w:t>
      </w:r>
      <w:r w:rsidR="00E37C6B" w:rsidRPr="00B217DC">
        <w:rPr>
          <w:rFonts w:cs="Arial"/>
          <w:color w:val="auto"/>
          <w:sz w:val="20"/>
          <w:szCs w:val="20"/>
          <w:lang w:val="en-US"/>
        </w:rPr>
        <w:t>,</w:t>
      </w:r>
      <w:r w:rsidRPr="00B217DC">
        <w:rPr>
          <w:rFonts w:cs="Arial"/>
          <w:color w:val="auto"/>
          <w:sz w:val="20"/>
          <w:szCs w:val="20"/>
          <w:lang w:val="en-US"/>
        </w:rPr>
        <w:t>372 million) on Compensation of Employees, 5.4% (R11</w:t>
      </w:r>
      <w:r w:rsidR="00E37C6B" w:rsidRPr="00B217DC">
        <w:rPr>
          <w:rFonts w:cs="Arial"/>
          <w:color w:val="auto"/>
          <w:sz w:val="20"/>
          <w:szCs w:val="20"/>
          <w:lang w:val="en-US"/>
        </w:rPr>
        <w:t>,</w:t>
      </w:r>
      <w:r w:rsidRPr="00B217DC">
        <w:rPr>
          <w:rFonts w:cs="Arial"/>
          <w:color w:val="auto"/>
          <w:sz w:val="20"/>
          <w:szCs w:val="20"/>
          <w:lang w:val="en-US"/>
        </w:rPr>
        <w:t>077 million) was spent on Goods and services and 0.8% (R1</w:t>
      </w:r>
      <w:r w:rsidR="00E37C6B" w:rsidRPr="00B217DC">
        <w:rPr>
          <w:rFonts w:cs="Arial"/>
          <w:color w:val="auto"/>
          <w:sz w:val="20"/>
          <w:szCs w:val="20"/>
          <w:lang w:val="en-US"/>
        </w:rPr>
        <w:t>,</w:t>
      </w:r>
      <w:r w:rsidRPr="00B217DC">
        <w:rPr>
          <w:rFonts w:cs="Arial"/>
          <w:color w:val="auto"/>
          <w:sz w:val="20"/>
          <w:szCs w:val="20"/>
          <w:lang w:val="en-US"/>
        </w:rPr>
        <w:t>046 million, R709 000) on Machinery &amp; Equipment, Software and intangible assets</w:t>
      </w:r>
      <w:r w:rsidR="00446385" w:rsidRPr="00B217DC">
        <w:rPr>
          <w:rFonts w:cs="Arial"/>
          <w:color w:val="auto"/>
          <w:sz w:val="20"/>
          <w:szCs w:val="20"/>
          <w:lang w:val="en-US"/>
        </w:rPr>
        <w:t xml:space="preserve"> in relation to its operating budget</w:t>
      </w:r>
      <w:r w:rsidRPr="00B217DC">
        <w:rPr>
          <w:rFonts w:cs="Arial"/>
          <w:color w:val="auto"/>
          <w:sz w:val="20"/>
          <w:szCs w:val="20"/>
          <w:lang w:val="en-US"/>
        </w:rPr>
        <w:t>.</w:t>
      </w:r>
    </w:p>
    <w:p w:rsidR="002F02E1" w:rsidRPr="00B217DC" w:rsidRDefault="002F02E1" w:rsidP="00B217DC">
      <w:pPr>
        <w:rPr>
          <w:rFonts w:cs="Arial"/>
          <w:b/>
          <w:color w:val="auto"/>
          <w:sz w:val="20"/>
          <w:szCs w:val="20"/>
          <w:lang w:val="en-US"/>
        </w:rPr>
      </w:pPr>
    </w:p>
    <w:p w:rsidR="002F02E1" w:rsidRPr="00B217DC" w:rsidRDefault="002F02E1" w:rsidP="00B217DC">
      <w:pPr>
        <w:rPr>
          <w:rFonts w:cs="Arial"/>
          <w:b/>
          <w:bCs/>
          <w:color w:val="auto"/>
          <w:sz w:val="20"/>
          <w:szCs w:val="20"/>
          <w:lang w:val="en-US"/>
        </w:rPr>
      </w:pPr>
      <w:r w:rsidRPr="00B217DC">
        <w:rPr>
          <w:rFonts w:cs="Arial"/>
          <w:b/>
          <w:color w:val="auto"/>
          <w:sz w:val="20"/>
          <w:szCs w:val="20"/>
          <w:lang w:val="en-US"/>
        </w:rPr>
        <w:t xml:space="preserve">Table </w:t>
      </w:r>
      <w:r w:rsidR="00F62BC0" w:rsidRPr="00B217DC">
        <w:rPr>
          <w:rFonts w:cs="Arial"/>
          <w:b/>
          <w:color w:val="auto"/>
          <w:sz w:val="20"/>
          <w:szCs w:val="20"/>
          <w:lang w:val="en-US"/>
        </w:rPr>
        <w:t>7</w:t>
      </w:r>
      <w:r w:rsidRPr="00B217DC">
        <w:rPr>
          <w:rFonts w:cs="Arial"/>
          <w:b/>
          <w:color w:val="auto"/>
          <w:sz w:val="20"/>
          <w:szCs w:val="20"/>
          <w:lang w:val="en-US"/>
        </w:rPr>
        <w:t xml:space="preserve">: </w:t>
      </w:r>
      <w:r w:rsidRPr="00B217DC">
        <w:rPr>
          <w:rFonts w:cs="Arial"/>
          <w:b/>
          <w:bCs/>
          <w:color w:val="auto"/>
          <w:sz w:val="20"/>
          <w:szCs w:val="20"/>
          <w:lang w:val="en-US"/>
        </w:rPr>
        <w:t xml:space="preserve">Overall Financial Performance - </w:t>
      </w:r>
      <w:r w:rsidR="002D4EE5" w:rsidRPr="00B217DC">
        <w:rPr>
          <w:rFonts w:cs="Arial"/>
          <w:b/>
          <w:bCs/>
          <w:color w:val="auto"/>
          <w:sz w:val="20"/>
          <w:szCs w:val="20"/>
          <w:lang w:val="en-US"/>
        </w:rPr>
        <w:t>Economic Classification (Q1 2022/23</w:t>
      </w:r>
      <w:r w:rsidRPr="00B217DC">
        <w:rPr>
          <w:rFonts w:cs="Arial"/>
          <w:b/>
          <w:bCs/>
          <w:color w:val="auto"/>
          <w:sz w:val="20"/>
          <w:szCs w:val="20"/>
          <w:lang w:val="en-US"/>
        </w:rPr>
        <w:t>)</w:t>
      </w:r>
    </w:p>
    <w:tbl>
      <w:tblPr>
        <w:tblW w:w="4711" w:type="pct"/>
        <w:tblCellMar>
          <w:left w:w="0" w:type="dxa"/>
          <w:right w:w="0" w:type="dxa"/>
        </w:tblCellMar>
        <w:tblLook w:val="0600"/>
      </w:tblPr>
      <w:tblGrid>
        <w:gridCol w:w="2842"/>
        <w:gridCol w:w="2059"/>
        <w:gridCol w:w="2104"/>
        <w:gridCol w:w="2104"/>
      </w:tblGrid>
      <w:tr w:rsidR="006675BE" w:rsidRPr="00B217DC" w:rsidTr="0043220C">
        <w:trPr>
          <w:trHeight w:val="493"/>
        </w:trPr>
        <w:tc>
          <w:tcPr>
            <w:tcW w:w="1560"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b/>
                <w:bCs/>
                <w:color w:val="auto"/>
                <w:sz w:val="20"/>
                <w:szCs w:val="20"/>
              </w:rPr>
              <w:t>Programmes</w:t>
            </w:r>
          </w:p>
        </w:tc>
        <w:tc>
          <w:tcPr>
            <w:tcW w:w="1130"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b/>
                <w:bCs/>
                <w:color w:val="auto"/>
                <w:sz w:val="20"/>
                <w:szCs w:val="20"/>
              </w:rPr>
              <w:t>Final Appropriation</w:t>
            </w:r>
          </w:p>
        </w:tc>
        <w:tc>
          <w:tcPr>
            <w:tcW w:w="1155"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b/>
                <w:bCs/>
                <w:color w:val="auto"/>
                <w:sz w:val="20"/>
                <w:szCs w:val="20"/>
              </w:rPr>
              <w:t>Actual Expenditure as at 30 June 2022</w:t>
            </w:r>
          </w:p>
        </w:tc>
        <w:tc>
          <w:tcPr>
            <w:tcW w:w="1155"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b/>
                <w:bCs/>
                <w:color w:val="auto"/>
                <w:sz w:val="20"/>
                <w:szCs w:val="20"/>
              </w:rPr>
              <w:t>Expenditure as  % of Budget</w:t>
            </w:r>
          </w:p>
        </w:tc>
      </w:tr>
      <w:tr w:rsidR="006675BE" w:rsidRPr="00B217DC" w:rsidTr="0043220C">
        <w:trPr>
          <w:trHeight w:val="132"/>
        </w:trPr>
        <w:tc>
          <w:tcPr>
            <w:tcW w:w="156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43220C" w:rsidRPr="00B217DC" w:rsidRDefault="0043220C" w:rsidP="00B217DC">
            <w:pPr>
              <w:rPr>
                <w:rFonts w:cs="Arial"/>
                <w:color w:val="auto"/>
                <w:sz w:val="20"/>
                <w:szCs w:val="20"/>
              </w:rPr>
            </w:pPr>
            <w:r w:rsidRPr="00B217DC">
              <w:rPr>
                <w:rFonts w:cs="Arial"/>
                <w:color w:val="auto"/>
                <w:sz w:val="20"/>
                <w:szCs w:val="20"/>
              </w:rPr>
              <w:t> </w:t>
            </w:r>
          </w:p>
        </w:tc>
        <w:tc>
          <w:tcPr>
            <w:tcW w:w="113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43220C" w:rsidRPr="00B217DC" w:rsidRDefault="0043220C" w:rsidP="00B217DC">
            <w:pPr>
              <w:rPr>
                <w:rFonts w:cs="Arial"/>
                <w:color w:val="auto"/>
                <w:sz w:val="20"/>
                <w:szCs w:val="20"/>
              </w:rPr>
            </w:pPr>
            <w:r w:rsidRPr="00B217DC">
              <w:rPr>
                <w:rFonts w:cs="Arial"/>
                <w:b/>
                <w:bCs/>
                <w:color w:val="auto"/>
                <w:sz w:val="20"/>
                <w:szCs w:val="20"/>
              </w:rPr>
              <w:t>R’000</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43220C" w:rsidRPr="00B217DC" w:rsidRDefault="0043220C" w:rsidP="00B217DC">
            <w:pPr>
              <w:rPr>
                <w:rFonts w:cs="Arial"/>
                <w:color w:val="auto"/>
                <w:sz w:val="20"/>
                <w:szCs w:val="20"/>
              </w:rPr>
            </w:pPr>
            <w:r w:rsidRPr="00B217DC">
              <w:rPr>
                <w:rFonts w:cs="Arial"/>
                <w:b/>
                <w:bCs/>
                <w:color w:val="auto"/>
                <w:sz w:val="20"/>
                <w:szCs w:val="20"/>
              </w:rPr>
              <w:t>R’000</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43220C" w:rsidRPr="00B217DC" w:rsidRDefault="0043220C" w:rsidP="00B217DC">
            <w:pPr>
              <w:rPr>
                <w:rFonts w:cs="Arial"/>
                <w:color w:val="auto"/>
                <w:sz w:val="20"/>
                <w:szCs w:val="20"/>
              </w:rPr>
            </w:pPr>
            <w:r w:rsidRPr="00B217DC">
              <w:rPr>
                <w:rFonts w:cs="Arial"/>
                <w:b/>
                <w:bCs/>
                <w:color w:val="auto"/>
                <w:sz w:val="20"/>
                <w:szCs w:val="20"/>
              </w:rPr>
              <w:t>%</w:t>
            </w:r>
          </w:p>
        </w:tc>
      </w:tr>
      <w:tr w:rsidR="006675BE" w:rsidRPr="00B217DC" w:rsidTr="0043220C">
        <w:trPr>
          <w:trHeight w:val="109"/>
        </w:trPr>
        <w:tc>
          <w:tcPr>
            <w:tcW w:w="156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Compensation of Employees</w:t>
            </w:r>
          </w:p>
        </w:tc>
        <w:tc>
          <w:tcPr>
            <w:tcW w:w="113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rPr>
              <w:t>113.1</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lang w:val="en-US"/>
              </w:rPr>
              <w:t>28.4</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25.1%</w:t>
            </w:r>
          </w:p>
        </w:tc>
      </w:tr>
      <w:tr w:rsidR="006675BE" w:rsidRPr="00B217DC" w:rsidTr="0043220C">
        <w:trPr>
          <w:trHeight w:val="169"/>
        </w:trPr>
        <w:tc>
          <w:tcPr>
            <w:tcW w:w="156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Goods  &amp; Services</w:t>
            </w:r>
          </w:p>
        </w:tc>
        <w:tc>
          <w:tcPr>
            <w:tcW w:w="113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rPr>
              <w:t>87.9</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lang w:val="en-US"/>
              </w:rPr>
              <w:t>11.1</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12.6%</w:t>
            </w:r>
          </w:p>
        </w:tc>
      </w:tr>
      <w:tr w:rsidR="006675BE" w:rsidRPr="00B217DC" w:rsidTr="0043220C">
        <w:trPr>
          <w:trHeight w:val="84"/>
        </w:trPr>
        <w:tc>
          <w:tcPr>
            <w:tcW w:w="156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Transfers &amp; Subsidies</w:t>
            </w:r>
          </w:p>
        </w:tc>
        <w:tc>
          <w:tcPr>
            <w:tcW w:w="113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rPr>
              <w:t>782.2</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rPr>
              <w:t>406.2</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51.9%</w:t>
            </w:r>
          </w:p>
        </w:tc>
      </w:tr>
      <w:tr w:rsidR="006675BE" w:rsidRPr="00B217DC" w:rsidTr="0043220C">
        <w:trPr>
          <w:trHeight w:val="24"/>
        </w:trPr>
        <w:tc>
          <w:tcPr>
            <w:tcW w:w="156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Payment for Capital Assets</w:t>
            </w:r>
          </w:p>
        </w:tc>
        <w:tc>
          <w:tcPr>
            <w:tcW w:w="1130"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rPr>
              <w:t>4.1</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43220C" w:rsidRPr="00B217DC" w:rsidRDefault="0043220C" w:rsidP="00B217DC">
            <w:pPr>
              <w:rPr>
                <w:rFonts w:cs="Arial"/>
                <w:color w:val="auto"/>
                <w:sz w:val="20"/>
                <w:szCs w:val="20"/>
              </w:rPr>
            </w:pPr>
            <w:r w:rsidRPr="00B217DC">
              <w:rPr>
                <w:rFonts w:cs="Arial"/>
                <w:color w:val="auto"/>
                <w:sz w:val="20"/>
                <w:szCs w:val="20"/>
                <w:lang w:val="en-US"/>
              </w:rPr>
              <w:t>1.8</w:t>
            </w:r>
          </w:p>
        </w:tc>
        <w:tc>
          <w:tcPr>
            <w:tcW w:w="1155" w:type="pct"/>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color w:val="auto"/>
                <w:sz w:val="20"/>
                <w:szCs w:val="20"/>
              </w:rPr>
              <w:t>43%</w:t>
            </w:r>
          </w:p>
        </w:tc>
      </w:tr>
      <w:tr w:rsidR="006675BE" w:rsidRPr="00B217DC" w:rsidTr="0043220C">
        <w:trPr>
          <w:trHeight w:val="178"/>
        </w:trPr>
        <w:tc>
          <w:tcPr>
            <w:tcW w:w="1560"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b/>
                <w:bCs/>
                <w:color w:val="auto"/>
                <w:sz w:val="20"/>
                <w:szCs w:val="20"/>
                <w:lang w:val="en-US"/>
              </w:rPr>
              <w:t>Total Appropriation</w:t>
            </w:r>
          </w:p>
        </w:tc>
        <w:tc>
          <w:tcPr>
            <w:tcW w:w="1130"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tcPr>
          <w:p w:rsidR="0043220C" w:rsidRPr="00B217DC" w:rsidRDefault="0043220C" w:rsidP="00B217DC">
            <w:pPr>
              <w:rPr>
                <w:rFonts w:cs="Arial"/>
                <w:b/>
                <w:color w:val="auto"/>
                <w:sz w:val="20"/>
                <w:szCs w:val="20"/>
              </w:rPr>
            </w:pPr>
            <w:r w:rsidRPr="00B217DC">
              <w:rPr>
                <w:rFonts w:cs="Arial"/>
                <w:b/>
                <w:color w:val="auto"/>
                <w:sz w:val="20"/>
                <w:szCs w:val="20"/>
              </w:rPr>
              <w:t>987.3</w:t>
            </w:r>
          </w:p>
        </w:tc>
        <w:tc>
          <w:tcPr>
            <w:tcW w:w="1155"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tcPr>
          <w:p w:rsidR="0043220C" w:rsidRPr="00B217DC" w:rsidRDefault="0043220C" w:rsidP="00B217DC">
            <w:pPr>
              <w:rPr>
                <w:rFonts w:cs="Arial"/>
                <w:b/>
                <w:color w:val="auto"/>
                <w:sz w:val="20"/>
                <w:szCs w:val="20"/>
              </w:rPr>
            </w:pPr>
            <w:r w:rsidRPr="00B217DC">
              <w:rPr>
                <w:rFonts w:cs="Arial"/>
                <w:b/>
                <w:color w:val="auto"/>
                <w:sz w:val="20"/>
                <w:szCs w:val="20"/>
              </w:rPr>
              <w:t>447.4</w:t>
            </w:r>
          </w:p>
        </w:tc>
        <w:tc>
          <w:tcPr>
            <w:tcW w:w="1155" w:type="pct"/>
            <w:tcBorders>
              <w:top w:val="single" w:sz="2" w:space="0" w:color="000000"/>
              <w:left w:val="single" w:sz="2" w:space="0" w:color="000000"/>
              <w:bottom w:val="single" w:sz="2" w:space="0" w:color="000000"/>
              <w:right w:val="single" w:sz="2" w:space="0" w:color="000000"/>
            </w:tcBorders>
            <w:shd w:val="clear" w:color="auto" w:fill="BFBFBF"/>
            <w:tcMar>
              <w:top w:w="15" w:type="dxa"/>
              <w:left w:w="15" w:type="dxa"/>
              <w:bottom w:w="0" w:type="dxa"/>
              <w:right w:w="15" w:type="dxa"/>
            </w:tcMar>
            <w:vAlign w:val="center"/>
            <w:hideMark/>
          </w:tcPr>
          <w:p w:rsidR="0043220C" w:rsidRPr="00B217DC" w:rsidRDefault="0043220C" w:rsidP="00B217DC">
            <w:pPr>
              <w:rPr>
                <w:rFonts w:cs="Arial"/>
                <w:color w:val="auto"/>
                <w:sz w:val="20"/>
                <w:szCs w:val="20"/>
              </w:rPr>
            </w:pPr>
            <w:r w:rsidRPr="00B217DC">
              <w:rPr>
                <w:rFonts w:cs="Arial"/>
                <w:b/>
                <w:bCs/>
                <w:color w:val="auto"/>
                <w:sz w:val="20"/>
                <w:szCs w:val="20"/>
                <w:lang w:val="en-US"/>
              </w:rPr>
              <w:t>45.3%</w:t>
            </w:r>
          </w:p>
        </w:tc>
      </w:tr>
    </w:tbl>
    <w:p w:rsidR="002F02E1" w:rsidRPr="00B217DC" w:rsidRDefault="002F02E1" w:rsidP="00B217DC">
      <w:pPr>
        <w:rPr>
          <w:rFonts w:cs="Arial"/>
          <w:color w:val="auto"/>
          <w:sz w:val="20"/>
          <w:szCs w:val="20"/>
          <w:lang w:val="en-US"/>
        </w:rPr>
      </w:pPr>
    </w:p>
    <w:p w:rsidR="002F02E1" w:rsidRPr="00B217DC" w:rsidRDefault="002F02E1" w:rsidP="00B217DC">
      <w:pPr>
        <w:pStyle w:val="ListParagraph"/>
        <w:numPr>
          <w:ilvl w:val="0"/>
          <w:numId w:val="94"/>
        </w:numPr>
        <w:rPr>
          <w:rFonts w:cs="Arial"/>
          <w:color w:val="auto"/>
          <w:sz w:val="20"/>
          <w:szCs w:val="20"/>
        </w:rPr>
      </w:pPr>
      <w:r w:rsidRPr="00B217DC">
        <w:rPr>
          <w:rFonts w:cs="Arial"/>
          <w:color w:val="auto"/>
          <w:sz w:val="20"/>
          <w:szCs w:val="20"/>
        </w:rPr>
        <w:t xml:space="preserve">The </w:t>
      </w:r>
      <w:r w:rsidR="004B33E6" w:rsidRPr="00B217DC">
        <w:rPr>
          <w:rFonts w:cs="Arial"/>
          <w:color w:val="auto"/>
          <w:sz w:val="20"/>
          <w:szCs w:val="20"/>
        </w:rPr>
        <w:t>D</w:t>
      </w:r>
      <w:r w:rsidRPr="00B217DC">
        <w:rPr>
          <w:rFonts w:cs="Arial"/>
          <w:color w:val="auto"/>
          <w:sz w:val="20"/>
          <w:szCs w:val="20"/>
        </w:rPr>
        <w:t xml:space="preserve">epartment did not </w:t>
      </w:r>
      <w:r w:rsidRPr="00B217DC">
        <w:rPr>
          <w:rFonts w:cs="Arial"/>
          <w:color w:val="auto"/>
          <w:sz w:val="20"/>
          <w:szCs w:val="20"/>
          <w:lang w:val="en-US"/>
        </w:rPr>
        <w:t xml:space="preserve">fruitless and wasteful expenditure </w:t>
      </w:r>
      <w:r w:rsidRPr="00B217DC">
        <w:rPr>
          <w:rFonts w:cs="Arial"/>
          <w:color w:val="auto"/>
          <w:sz w:val="20"/>
          <w:szCs w:val="20"/>
        </w:rPr>
        <w:t xml:space="preserve">during the quarter under review. </w:t>
      </w:r>
    </w:p>
    <w:p w:rsidR="002F02E1" w:rsidRPr="00B217DC" w:rsidRDefault="002F02E1" w:rsidP="00B217DC">
      <w:pPr>
        <w:pStyle w:val="ListParagraph"/>
        <w:numPr>
          <w:ilvl w:val="0"/>
          <w:numId w:val="94"/>
        </w:numPr>
        <w:rPr>
          <w:rFonts w:cs="Arial"/>
          <w:color w:val="auto"/>
          <w:sz w:val="20"/>
          <w:szCs w:val="20"/>
        </w:rPr>
      </w:pPr>
      <w:r w:rsidRPr="00B217DC">
        <w:rPr>
          <w:rFonts w:cs="Arial"/>
          <w:color w:val="auto"/>
          <w:sz w:val="20"/>
          <w:szCs w:val="20"/>
        </w:rPr>
        <w:t xml:space="preserve">The Department reported deviations amounting to </w:t>
      </w:r>
      <w:r w:rsidR="00137ABC" w:rsidRPr="00B217DC">
        <w:rPr>
          <w:rFonts w:cs="Arial"/>
          <w:color w:val="auto"/>
          <w:sz w:val="20"/>
          <w:szCs w:val="20"/>
        </w:rPr>
        <w:t>R9</w:t>
      </w:r>
      <w:r w:rsidR="00E37C6B" w:rsidRPr="00B217DC">
        <w:rPr>
          <w:rFonts w:cs="Arial"/>
          <w:color w:val="auto"/>
          <w:sz w:val="20"/>
          <w:szCs w:val="20"/>
        </w:rPr>
        <w:t>,</w:t>
      </w:r>
      <w:r w:rsidR="00137ABC" w:rsidRPr="00B217DC">
        <w:rPr>
          <w:rFonts w:cs="Arial"/>
          <w:color w:val="auto"/>
          <w:sz w:val="20"/>
          <w:szCs w:val="20"/>
        </w:rPr>
        <w:t>502 414</w:t>
      </w:r>
      <w:r w:rsidRPr="00B217DC">
        <w:rPr>
          <w:rFonts w:cs="Arial"/>
          <w:color w:val="auto"/>
          <w:sz w:val="20"/>
          <w:szCs w:val="20"/>
        </w:rPr>
        <w:t xml:space="preserve"> as at 30 June 202</w:t>
      </w:r>
      <w:r w:rsidR="002D4EE5" w:rsidRPr="00B217DC">
        <w:rPr>
          <w:rFonts w:cs="Arial"/>
          <w:color w:val="auto"/>
          <w:sz w:val="20"/>
          <w:szCs w:val="20"/>
        </w:rPr>
        <w:t>2</w:t>
      </w:r>
      <w:r w:rsidRPr="00B217DC">
        <w:rPr>
          <w:rFonts w:cs="Arial"/>
          <w:color w:val="auto"/>
          <w:sz w:val="20"/>
          <w:szCs w:val="20"/>
        </w:rPr>
        <w:t xml:space="preserve"> owing to:</w:t>
      </w:r>
    </w:p>
    <w:p w:rsidR="00137ABC" w:rsidRPr="00B217DC" w:rsidRDefault="00137ABC" w:rsidP="00B217DC">
      <w:pPr>
        <w:numPr>
          <w:ilvl w:val="1"/>
          <w:numId w:val="95"/>
        </w:numPr>
        <w:rPr>
          <w:rFonts w:cs="Arial"/>
          <w:color w:val="auto"/>
          <w:sz w:val="20"/>
          <w:szCs w:val="20"/>
        </w:rPr>
      </w:pPr>
      <w:r w:rsidRPr="00B217DC">
        <w:rPr>
          <w:rFonts w:cs="Arial"/>
          <w:color w:val="auto"/>
          <w:sz w:val="20"/>
          <w:szCs w:val="20"/>
        </w:rPr>
        <w:t>Single source appointment of R8</w:t>
      </w:r>
      <w:r w:rsidR="00E37C6B" w:rsidRPr="00B217DC">
        <w:rPr>
          <w:rFonts w:cs="Arial"/>
          <w:color w:val="auto"/>
          <w:sz w:val="20"/>
          <w:szCs w:val="20"/>
        </w:rPr>
        <w:t>,</w:t>
      </w:r>
      <w:r w:rsidRPr="00B217DC">
        <w:rPr>
          <w:rFonts w:cs="Arial"/>
          <w:color w:val="auto"/>
          <w:sz w:val="20"/>
          <w:szCs w:val="20"/>
        </w:rPr>
        <w:t>8 million to HSRC to manage and execute research and evaluation</w:t>
      </w:r>
    </w:p>
    <w:p w:rsidR="00137ABC" w:rsidRPr="00B217DC" w:rsidRDefault="00137ABC" w:rsidP="00B217DC">
      <w:pPr>
        <w:numPr>
          <w:ilvl w:val="1"/>
          <w:numId w:val="95"/>
        </w:numPr>
        <w:rPr>
          <w:rFonts w:cs="Arial"/>
          <w:color w:val="auto"/>
          <w:sz w:val="20"/>
          <w:szCs w:val="20"/>
        </w:rPr>
      </w:pPr>
      <w:r w:rsidRPr="00B217DC">
        <w:rPr>
          <w:rFonts w:cs="Arial"/>
          <w:color w:val="auto"/>
          <w:sz w:val="20"/>
          <w:szCs w:val="20"/>
        </w:rPr>
        <w:t>Single source appointment of R200 thousand for relocation-removal and reinstallation of biometric system and key cabinet</w:t>
      </w:r>
    </w:p>
    <w:p w:rsidR="002F02E1" w:rsidRPr="00B217DC" w:rsidRDefault="00137ABC" w:rsidP="00B217DC">
      <w:pPr>
        <w:numPr>
          <w:ilvl w:val="1"/>
          <w:numId w:val="95"/>
        </w:numPr>
        <w:rPr>
          <w:rFonts w:cs="Arial"/>
          <w:color w:val="auto"/>
          <w:sz w:val="20"/>
          <w:szCs w:val="20"/>
        </w:rPr>
      </w:pPr>
      <w:r w:rsidRPr="00B217DC">
        <w:rPr>
          <w:rFonts w:cs="Arial"/>
          <w:color w:val="auto"/>
          <w:sz w:val="20"/>
          <w:szCs w:val="20"/>
        </w:rPr>
        <w:t>Single source appointment of R501 thousand to Karabo Parking –66 additional parking for staff members as part of relocation</w:t>
      </w:r>
    </w:p>
    <w:p w:rsidR="004B33E6" w:rsidRPr="00B217DC" w:rsidRDefault="004B33E6" w:rsidP="00B217DC">
      <w:pPr>
        <w:rPr>
          <w:rFonts w:cs="Arial"/>
          <w:color w:val="auto"/>
          <w:sz w:val="20"/>
          <w:szCs w:val="20"/>
        </w:rPr>
      </w:pPr>
    </w:p>
    <w:p w:rsidR="004B33E6" w:rsidRPr="00B217DC" w:rsidRDefault="004B33E6" w:rsidP="00B217DC">
      <w:pPr>
        <w:rPr>
          <w:rFonts w:cs="Arial"/>
          <w:b/>
          <w:color w:val="auto"/>
          <w:sz w:val="20"/>
          <w:szCs w:val="20"/>
        </w:rPr>
      </w:pPr>
      <w:r w:rsidRPr="00B217DC">
        <w:rPr>
          <w:rFonts w:cs="Arial"/>
          <w:b/>
          <w:color w:val="auto"/>
          <w:sz w:val="20"/>
          <w:szCs w:val="20"/>
        </w:rPr>
        <w:t>14.</w:t>
      </w:r>
      <w:r w:rsidR="001967BA" w:rsidRPr="00B217DC">
        <w:rPr>
          <w:rFonts w:cs="Arial"/>
          <w:b/>
          <w:color w:val="auto"/>
          <w:sz w:val="20"/>
          <w:szCs w:val="20"/>
        </w:rPr>
        <w:t>8</w:t>
      </w:r>
      <w:r w:rsidRPr="00B217DC">
        <w:rPr>
          <w:rFonts w:cs="Arial"/>
          <w:b/>
          <w:color w:val="auto"/>
          <w:sz w:val="20"/>
          <w:szCs w:val="20"/>
        </w:rPr>
        <w:t>.5 Overview of performance for Q1 of 202</w:t>
      </w:r>
      <w:r w:rsidR="001719DB" w:rsidRPr="00B217DC">
        <w:rPr>
          <w:rFonts w:cs="Arial"/>
          <w:b/>
          <w:color w:val="auto"/>
          <w:sz w:val="20"/>
          <w:szCs w:val="20"/>
        </w:rPr>
        <w:t>22/23</w:t>
      </w:r>
    </w:p>
    <w:p w:rsidR="002F02E1" w:rsidRPr="00B217DC" w:rsidRDefault="008B3BA1" w:rsidP="00B217DC">
      <w:pPr>
        <w:pStyle w:val="ListParagraph"/>
        <w:numPr>
          <w:ilvl w:val="0"/>
          <w:numId w:val="96"/>
        </w:numPr>
        <w:rPr>
          <w:rFonts w:cs="Arial"/>
          <w:color w:val="auto"/>
          <w:sz w:val="20"/>
          <w:szCs w:val="20"/>
        </w:rPr>
      </w:pPr>
      <w:r w:rsidRPr="00B217DC">
        <w:rPr>
          <w:rFonts w:cs="Arial"/>
          <w:color w:val="auto"/>
          <w:sz w:val="20"/>
          <w:szCs w:val="20"/>
          <w:lang w:val="en-US"/>
        </w:rPr>
        <w:t xml:space="preserve">As per the amended 2022/23 Annual Performance Plan, the Department planned for 29 targets in quarter 1 of which 28 targets (97%) were achieved and 1 (3%) was not achieved. Programme 1 achieved 4 out 4 targets. Programme 2 achieved 8 out of 8 targets so too did Programme 3. Programme 4 achieved 8 out of 9 targets. The target not achieved related to </w:t>
      </w:r>
      <w:r w:rsidRPr="00B217DC">
        <w:rPr>
          <w:rFonts w:cs="Arial"/>
          <w:color w:val="auto"/>
          <w:sz w:val="20"/>
          <w:szCs w:val="20"/>
          <w:lang w:val="en-US"/>
        </w:rPr>
        <w:lastRenderedPageBreak/>
        <w:t>the draft status report on national and international obligations on the inclusion of persons with disabilities which was only approved in Q2 of 2022/23.</w:t>
      </w:r>
    </w:p>
    <w:p w:rsidR="002F02E1" w:rsidRPr="00B217DC" w:rsidRDefault="002F02E1" w:rsidP="00B217DC">
      <w:pPr>
        <w:pStyle w:val="ListParagraph"/>
        <w:numPr>
          <w:ilvl w:val="0"/>
          <w:numId w:val="96"/>
        </w:numPr>
        <w:rPr>
          <w:rFonts w:cs="Arial"/>
          <w:color w:val="auto"/>
          <w:sz w:val="20"/>
          <w:szCs w:val="20"/>
          <w:lang w:val="en-US"/>
        </w:rPr>
      </w:pPr>
      <w:r w:rsidRPr="00B217DC">
        <w:rPr>
          <w:rFonts w:cs="Arial"/>
          <w:i/>
          <w:color w:val="auto"/>
          <w:sz w:val="20"/>
          <w:szCs w:val="20"/>
          <w:lang w:val="en-US"/>
        </w:rPr>
        <w:t>Human Resources</w:t>
      </w:r>
      <w:r w:rsidRPr="00B217DC">
        <w:rPr>
          <w:rFonts w:cs="Arial"/>
          <w:color w:val="auto"/>
          <w:sz w:val="20"/>
          <w:szCs w:val="20"/>
          <w:lang w:val="en-US"/>
        </w:rPr>
        <w:t xml:space="preserve">: </w:t>
      </w:r>
      <w:r w:rsidRPr="00B217DC">
        <w:rPr>
          <w:rFonts w:cs="Arial"/>
          <w:color w:val="auto"/>
          <w:sz w:val="20"/>
          <w:szCs w:val="20"/>
        </w:rPr>
        <w:t>The vacancy rate (</w:t>
      </w:r>
      <w:r w:rsidR="008B3BA1" w:rsidRPr="00B217DC">
        <w:rPr>
          <w:rFonts w:cs="Arial"/>
          <w:color w:val="auto"/>
          <w:sz w:val="20"/>
          <w:szCs w:val="20"/>
        </w:rPr>
        <w:t>5.6</w:t>
      </w:r>
      <w:r w:rsidRPr="00B217DC">
        <w:rPr>
          <w:rFonts w:cs="Arial"/>
          <w:color w:val="auto"/>
          <w:sz w:val="20"/>
          <w:szCs w:val="20"/>
        </w:rPr>
        <w:t xml:space="preserve"> </w:t>
      </w:r>
      <w:r w:rsidR="00E37C6B" w:rsidRPr="00B217DC">
        <w:rPr>
          <w:rFonts w:cs="Arial"/>
          <w:color w:val="auto"/>
          <w:sz w:val="20"/>
          <w:szCs w:val="20"/>
        </w:rPr>
        <w:t>%</w:t>
      </w:r>
      <w:r w:rsidRPr="00B217DC">
        <w:rPr>
          <w:rFonts w:cs="Arial"/>
          <w:color w:val="auto"/>
          <w:sz w:val="20"/>
          <w:szCs w:val="20"/>
        </w:rPr>
        <w:t>) is</w:t>
      </w:r>
      <w:r w:rsidR="00566502" w:rsidRPr="00B217DC">
        <w:rPr>
          <w:rFonts w:cs="Arial"/>
          <w:color w:val="auto"/>
          <w:sz w:val="20"/>
          <w:szCs w:val="20"/>
        </w:rPr>
        <w:t xml:space="preserve"> well below the targeted </w:t>
      </w:r>
      <w:r w:rsidR="008B3BA1" w:rsidRPr="00B217DC">
        <w:rPr>
          <w:rFonts w:cs="Arial"/>
          <w:color w:val="auto"/>
          <w:sz w:val="20"/>
          <w:szCs w:val="20"/>
        </w:rPr>
        <w:t>10</w:t>
      </w:r>
      <w:r w:rsidRPr="00B217DC">
        <w:rPr>
          <w:rFonts w:cs="Arial"/>
          <w:color w:val="auto"/>
          <w:sz w:val="20"/>
          <w:szCs w:val="20"/>
        </w:rPr>
        <w:t xml:space="preserve"> percent</w:t>
      </w:r>
      <w:r w:rsidR="008B3BA1" w:rsidRPr="00B217DC">
        <w:rPr>
          <w:rFonts w:cs="Arial"/>
          <w:color w:val="auto"/>
          <w:sz w:val="20"/>
          <w:szCs w:val="20"/>
        </w:rPr>
        <w:t xml:space="preserve"> for the FY</w:t>
      </w:r>
      <w:r w:rsidRPr="00B217DC">
        <w:rPr>
          <w:rFonts w:cs="Arial"/>
          <w:color w:val="auto"/>
          <w:sz w:val="20"/>
          <w:szCs w:val="20"/>
        </w:rPr>
        <w:t>.</w:t>
      </w:r>
      <w:r w:rsidRPr="00B217DC">
        <w:rPr>
          <w:rFonts w:cs="Arial"/>
          <w:color w:val="auto"/>
          <w:sz w:val="20"/>
          <w:szCs w:val="20"/>
          <w:lang w:val="en-US"/>
        </w:rPr>
        <w:t xml:space="preserve"> </w:t>
      </w:r>
      <w:r w:rsidR="00342C0C" w:rsidRPr="00B217DC">
        <w:rPr>
          <w:rFonts w:cs="Arial"/>
          <w:color w:val="auto"/>
          <w:sz w:val="20"/>
          <w:szCs w:val="20"/>
          <w:lang w:val="en-US"/>
        </w:rPr>
        <w:t>The Department indicated that as at 30 June 2022, it had 143 approved posts, of which 8 were vacant which were listed as follows:</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 xml:space="preserve">Deputy Director-General: PSCKM Deferred to September 2022 </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 xml:space="preserve">Chief Director, Stakeholder Coordination and Outreach Deferred to September 2022 </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Head of Office, DM Subject to the appointment of a Deputy Minister</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 xml:space="preserve">Private Secretary, DM </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 xml:space="preserve">Parliamentary and Cabinet Coordination, DM </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 xml:space="preserve">Registry Clerk, DM </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 xml:space="preserve">Driver/Messenger, DM </w:t>
      </w:r>
    </w:p>
    <w:p w:rsidR="00342C0C" w:rsidRPr="00B217DC" w:rsidRDefault="00342C0C" w:rsidP="00B217DC">
      <w:pPr>
        <w:pStyle w:val="ListParagraph"/>
        <w:numPr>
          <w:ilvl w:val="0"/>
          <w:numId w:val="99"/>
        </w:numPr>
        <w:rPr>
          <w:rFonts w:cs="Arial"/>
          <w:color w:val="auto"/>
          <w:sz w:val="20"/>
          <w:szCs w:val="20"/>
          <w:lang w:val="en-US"/>
        </w:rPr>
      </w:pPr>
      <w:r w:rsidRPr="00B217DC">
        <w:rPr>
          <w:rFonts w:cs="Arial"/>
          <w:color w:val="auto"/>
          <w:sz w:val="20"/>
          <w:szCs w:val="20"/>
          <w:lang w:val="en-US"/>
        </w:rPr>
        <w:t>Domestic Worker, DM</w:t>
      </w:r>
    </w:p>
    <w:p w:rsidR="00342C0C" w:rsidRPr="00B217DC" w:rsidRDefault="00342C0C" w:rsidP="00B217DC">
      <w:pPr>
        <w:pStyle w:val="ListParagraph"/>
        <w:numPr>
          <w:ilvl w:val="0"/>
          <w:numId w:val="96"/>
        </w:numPr>
        <w:rPr>
          <w:rFonts w:cs="Arial"/>
          <w:color w:val="auto"/>
          <w:sz w:val="20"/>
          <w:szCs w:val="20"/>
          <w:lang w:val="en-US"/>
        </w:rPr>
      </w:pPr>
      <w:r w:rsidRPr="00B217DC">
        <w:rPr>
          <w:rFonts w:cs="Arial"/>
          <w:color w:val="auto"/>
          <w:sz w:val="20"/>
          <w:szCs w:val="20"/>
          <w:lang w:val="en-US"/>
        </w:rPr>
        <w:t>In addition, the Department noted that the contracts of 28 staff members had expired by the end of June 2022.</w:t>
      </w:r>
    </w:p>
    <w:p w:rsidR="00C20758" w:rsidRPr="00B217DC" w:rsidRDefault="00C20758" w:rsidP="00B217DC">
      <w:pPr>
        <w:rPr>
          <w:rFonts w:cs="Arial"/>
          <w:color w:val="auto"/>
          <w:sz w:val="20"/>
          <w:szCs w:val="20"/>
        </w:rPr>
      </w:pPr>
    </w:p>
    <w:p w:rsidR="00C20758" w:rsidRPr="00B217DC" w:rsidRDefault="00C20758" w:rsidP="00B217DC">
      <w:pPr>
        <w:rPr>
          <w:rFonts w:cs="Arial"/>
          <w:color w:val="auto"/>
          <w:sz w:val="20"/>
          <w:szCs w:val="20"/>
        </w:rPr>
      </w:pPr>
    </w:p>
    <w:p w:rsidR="00170BD2" w:rsidRPr="00B217DC" w:rsidRDefault="00170BD2" w:rsidP="00B217DC">
      <w:pPr>
        <w:numPr>
          <w:ilvl w:val="0"/>
          <w:numId w:val="56"/>
        </w:numPr>
        <w:ind w:left="426"/>
        <w:contextualSpacing/>
        <w:rPr>
          <w:rFonts w:cs="Arial"/>
          <w:b/>
          <w:color w:val="auto"/>
          <w:spacing w:val="0"/>
          <w:kern w:val="28"/>
          <w:sz w:val="20"/>
          <w:szCs w:val="20"/>
        </w:rPr>
      </w:pPr>
      <w:r w:rsidRPr="00B217DC">
        <w:rPr>
          <w:rFonts w:cs="Arial"/>
          <w:b/>
          <w:color w:val="auto"/>
          <w:spacing w:val="0"/>
          <w:kern w:val="28"/>
          <w:sz w:val="20"/>
          <w:szCs w:val="20"/>
        </w:rPr>
        <w:t>COMMITTEE’S OBSERVATIONS</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 xml:space="preserve">Having interacted with </w:t>
      </w:r>
      <w:r w:rsidR="001B4B60" w:rsidRPr="00B217DC">
        <w:rPr>
          <w:rFonts w:cs="Arial"/>
          <w:color w:val="auto"/>
          <w:sz w:val="20"/>
          <w:szCs w:val="20"/>
          <w:lang w:val="en-GB"/>
        </w:rPr>
        <w:t xml:space="preserve">the Department, the </w:t>
      </w:r>
      <w:r w:rsidRPr="00B217DC">
        <w:rPr>
          <w:rFonts w:cs="Arial"/>
          <w:color w:val="auto"/>
          <w:sz w:val="20"/>
          <w:szCs w:val="20"/>
          <w:lang w:val="en-GB"/>
        </w:rPr>
        <w:t xml:space="preserve">AGSA, </w:t>
      </w:r>
      <w:r w:rsidR="001B4B60" w:rsidRPr="00B217DC">
        <w:rPr>
          <w:rFonts w:cs="Arial"/>
          <w:color w:val="auto"/>
          <w:sz w:val="20"/>
          <w:szCs w:val="20"/>
          <w:lang w:val="en-GB"/>
        </w:rPr>
        <w:t xml:space="preserve">the </w:t>
      </w:r>
      <w:r w:rsidR="00D239FC" w:rsidRPr="00B217DC">
        <w:rPr>
          <w:rFonts w:cs="Arial"/>
          <w:color w:val="auto"/>
          <w:sz w:val="20"/>
          <w:szCs w:val="20"/>
          <w:lang w:val="en-GB"/>
        </w:rPr>
        <w:t>NYDA</w:t>
      </w:r>
      <w:r w:rsidRPr="00B217DC">
        <w:rPr>
          <w:rFonts w:cs="Arial"/>
          <w:color w:val="auto"/>
          <w:sz w:val="20"/>
          <w:szCs w:val="20"/>
          <w:lang w:val="en-GB"/>
        </w:rPr>
        <w:t xml:space="preserve"> and </w:t>
      </w:r>
      <w:r w:rsidR="001B4B60" w:rsidRPr="00B217DC">
        <w:rPr>
          <w:rFonts w:cs="Arial"/>
          <w:color w:val="auto"/>
          <w:sz w:val="20"/>
          <w:szCs w:val="20"/>
          <w:lang w:val="en-GB"/>
        </w:rPr>
        <w:t xml:space="preserve">the </w:t>
      </w:r>
      <w:r w:rsidRPr="00B217DC">
        <w:rPr>
          <w:rFonts w:cs="Arial"/>
          <w:color w:val="auto"/>
          <w:sz w:val="20"/>
          <w:szCs w:val="20"/>
          <w:lang w:val="en-GB"/>
        </w:rPr>
        <w:t>CGE, the Committee made the following observations:</w:t>
      </w:r>
    </w:p>
    <w:p w:rsidR="00170BD2" w:rsidRPr="00B217DC" w:rsidRDefault="00170BD2" w:rsidP="00B217DC">
      <w:pPr>
        <w:rPr>
          <w:rFonts w:cs="Arial"/>
          <w:color w:val="auto"/>
          <w:sz w:val="20"/>
          <w:szCs w:val="20"/>
          <w:lang w:val="en-GB"/>
        </w:rPr>
      </w:pPr>
    </w:p>
    <w:p w:rsidR="00501146" w:rsidRPr="00B217DC" w:rsidRDefault="00501146" w:rsidP="00B217DC">
      <w:pPr>
        <w:rPr>
          <w:rFonts w:cs="Arial"/>
          <w:b/>
          <w:color w:val="auto"/>
          <w:sz w:val="20"/>
          <w:szCs w:val="20"/>
          <w:lang w:val="en-GB"/>
        </w:rPr>
      </w:pPr>
      <w:r w:rsidRPr="00B217DC">
        <w:rPr>
          <w:rFonts w:cs="Arial"/>
          <w:b/>
          <w:color w:val="auto"/>
          <w:sz w:val="20"/>
          <w:szCs w:val="20"/>
          <w:lang w:val="en-GB"/>
        </w:rPr>
        <w:t>Observations with respect to the Department of Women, Youth and Persons with Disabilities</w:t>
      </w:r>
    </w:p>
    <w:p w:rsidR="00501146" w:rsidRPr="00B217DC" w:rsidRDefault="00501146"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A323CA" w:rsidRPr="00B217DC">
        <w:rPr>
          <w:rFonts w:cs="Arial"/>
          <w:b/>
          <w:color w:val="auto"/>
          <w:sz w:val="20"/>
          <w:szCs w:val="20"/>
          <w:lang w:val="en-GB"/>
        </w:rPr>
        <w:t>5</w:t>
      </w:r>
      <w:r w:rsidRPr="00B217DC">
        <w:rPr>
          <w:rFonts w:cs="Arial"/>
          <w:b/>
          <w:color w:val="auto"/>
          <w:sz w:val="20"/>
          <w:szCs w:val="20"/>
          <w:lang w:val="en-GB"/>
        </w:rPr>
        <w:t xml:space="preserve">.1 General </w:t>
      </w:r>
    </w:p>
    <w:p w:rsidR="00170BD2" w:rsidRPr="00B217DC" w:rsidRDefault="00170BD2" w:rsidP="00B217DC">
      <w:pPr>
        <w:rPr>
          <w:rFonts w:cs="Arial"/>
          <w:color w:val="auto"/>
          <w:sz w:val="20"/>
          <w:szCs w:val="20"/>
          <w:lang w:val="en-GB"/>
        </w:rPr>
      </w:pPr>
    </w:p>
    <w:p w:rsidR="00170BD2" w:rsidRPr="00B217DC" w:rsidRDefault="00170BD2" w:rsidP="00B217DC">
      <w:pPr>
        <w:numPr>
          <w:ilvl w:val="0"/>
          <w:numId w:val="15"/>
        </w:numPr>
        <w:ind w:left="426"/>
        <w:rPr>
          <w:rFonts w:cs="Arial"/>
          <w:color w:val="auto"/>
          <w:sz w:val="20"/>
          <w:szCs w:val="20"/>
          <w:lang w:val="en-GB"/>
        </w:rPr>
      </w:pPr>
      <w:r w:rsidRPr="00B217DC">
        <w:rPr>
          <w:rFonts w:cs="Arial"/>
          <w:color w:val="auto"/>
          <w:sz w:val="20"/>
          <w:szCs w:val="20"/>
          <w:lang w:val="en-GB"/>
        </w:rPr>
        <w:t>The Committee commends the Department</w:t>
      </w:r>
      <w:r w:rsidR="00A323CA" w:rsidRPr="00B217DC">
        <w:rPr>
          <w:rFonts w:cs="Arial"/>
          <w:color w:val="auto"/>
          <w:sz w:val="20"/>
          <w:szCs w:val="20"/>
          <w:lang w:val="en-GB"/>
        </w:rPr>
        <w:t>, the NYDA</w:t>
      </w:r>
      <w:r w:rsidRPr="00B217DC">
        <w:rPr>
          <w:rFonts w:cs="Arial"/>
          <w:color w:val="auto"/>
          <w:sz w:val="20"/>
          <w:szCs w:val="20"/>
          <w:lang w:val="en-GB"/>
        </w:rPr>
        <w:t xml:space="preserve"> and the </w:t>
      </w:r>
      <w:r w:rsidR="004F417F" w:rsidRPr="00B217DC">
        <w:rPr>
          <w:rFonts w:cs="Arial"/>
          <w:color w:val="auto"/>
          <w:sz w:val="20"/>
          <w:szCs w:val="20"/>
          <w:lang w:val="en-GB"/>
        </w:rPr>
        <w:t>CGE</w:t>
      </w:r>
      <w:r w:rsidRPr="00B217DC">
        <w:rPr>
          <w:rFonts w:cs="Arial"/>
          <w:color w:val="auto"/>
          <w:sz w:val="20"/>
          <w:szCs w:val="20"/>
          <w:lang w:val="en-GB"/>
        </w:rPr>
        <w:t xml:space="preserve"> for tabling the Annual Reports within the specified time.</w:t>
      </w:r>
    </w:p>
    <w:p w:rsidR="00D4774C" w:rsidRPr="00B217DC" w:rsidRDefault="00170BD2" w:rsidP="00B217DC">
      <w:pPr>
        <w:numPr>
          <w:ilvl w:val="0"/>
          <w:numId w:val="15"/>
        </w:numPr>
        <w:ind w:left="426"/>
        <w:rPr>
          <w:rFonts w:cs="Arial"/>
          <w:color w:val="auto"/>
          <w:sz w:val="20"/>
          <w:szCs w:val="20"/>
          <w:lang w:val="en-GB"/>
        </w:rPr>
      </w:pPr>
      <w:r w:rsidRPr="00B217DC">
        <w:rPr>
          <w:rFonts w:cs="Arial"/>
          <w:color w:val="auto"/>
          <w:sz w:val="20"/>
          <w:szCs w:val="20"/>
          <w:lang w:val="en-GB"/>
        </w:rPr>
        <w:t xml:space="preserve">The Committee observed that </w:t>
      </w:r>
      <w:r w:rsidR="00D4774C" w:rsidRPr="00B217DC">
        <w:rPr>
          <w:rFonts w:cs="Arial"/>
          <w:color w:val="auto"/>
          <w:sz w:val="20"/>
          <w:szCs w:val="20"/>
        </w:rPr>
        <w:t>39/41</w:t>
      </w:r>
      <w:r w:rsidR="008D4C28" w:rsidRPr="00B217DC">
        <w:rPr>
          <w:rFonts w:cs="Arial"/>
          <w:color w:val="auto"/>
          <w:sz w:val="20"/>
          <w:szCs w:val="20"/>
        </w:rPr>
        <w:t xml:space="preserve"> (</w:t>
      </w:r>
      <w:r w:rsidR="00D4774C" w:rsidRPr="00B217DC">
        <w:rPr>
          <w:rFonts w:cs="Arial"/>
          <w:color w:val="auto"/>
          <w:sz w:val="20"/>
          <w:szCs w:val="20"/>
        </w:rPr>
        <w:t>95.1</w:t>
      </w:r>
      <w:r w:rsidR="008D4C28" w:rsidRPr="00B217DC">
        <w:rPr>
          <w:rFonts w:cs="Arial"/>
          <w:color w:val="auto"/>
          <w:sz w:val="20"/>
          <w:szCs w:val="20"/>
        </w:rPr>
        <w:t>%)</w:t>
      </w:r>
      <w:r w:rsidR="008D4C28" w:rsidRPr="00B217DC">
        <w:rPr>
          <w:rFonts w:cs="Arial"/>
          <w:b/>
          <w:color w:val="auto"/>
          <w:sz w:val="20"/>
          <w:szCs w:val="20"/>
        </w:rPr>
        <w:t xml:space="preserve"> </w:t>
      </w:r>
      <w:r w:rsidRPr="00B217DC">
        <w:rPr>
          <w:rFonts w:cs="Arial"/>
          <w:color w:val="auto"/>
          <w:sz w:val="20"/>
          <w:szCs w:val="20"/>
          <w:lang w:val="en-GB"/>
        </w:rPr>
        <w:t xml:space="preserve">of the Department’s targets were met and </w:t>
      </w:r>
      <w:r w:rsidR="005E2969" w:rsidRPr="00B217DC">
        <w:rPr>
          <w:rFonts w:cs="Arial"/>
          <w:color w:val="auto"/>
          <w:sz w:val="20"/>
          <w:szCs w:val="20"/>
          <w:lang w:val="en-GB"/>
        </w:rPr>
        <w:t>2</w:t>
      </w:r>
      <w:r w:rsidR="00173D0A" w:rsidRPr="00B217DC">
        <w:rPr>
          <w:rFonts w:cs="Arial"/>
          <w:color w:val="auto"/>
          <w:sz w:val="20"/>
          <w:szCs w:val="20"/>
          <w:lang w:val="en-GB"/>
        </w:rPr>
        <w:t>7</w:t>
      </w:r>
      <w:r w:rsidRPr="00B217DC">
        <w:rPr>
          <w:rFonts w:cs="Arial"/>
          <w:color w:val="auto"/>
          <w:sz w:val="20"/>
          <w:szCs w:val="20"/>
          <w:lang w:val="en-GB"/>
        </w:rPr>
        <w:t>% (</w:t>
      </w:r>
      <w:r w:rsidR="00D4774C" w:rsidRPr="00B217DC">
        <w:rPr>
          <w:rFonts w:cs="Arial"/>
          <w:color w:val="auto"/>
          <w:sz w:val="20"/>
          <w:szCs w:val="20"/>
          <w:lang w:val="en-GB"/>
        </w:rPr>
        <w:t>2</w:t>
      </w:r>
      <w:r w:rsidR="005E2969" w:rsidRPr="00B217DC">
        <w:rPr>
          <w:rFonts w:cs="Arial"/>
          <w:color w:val="auto"/>
          <w:sz w:val="20"/>
          <w:szCs w:val="20"/>
          <w:lang w:val="en-GB"/>
        </w:rPr>
        <w:t>/</w:t>
      </w:r>
      <w:r w:rsidR="00D4774C" w:rsidRPr="00B217DC">
        <w:rPr>
          <w:rFonts w:cs="Arial"/>
          <w:color w:val="auto"/>
          <w:sz w:val="20"/>
          <w:szCs w:val="20"/>
          <w:lang w:val="en-GB"/>
        </w:rPr>
        <w:t>41</w:t>
      </w:r>
      <w:r w:rsidRPr="00B217DC">
        <w:rPr>
          <w:rFonts w:cs="Arial"/>
          <w:color w:val="auto"/>
          <w:sz w:val="20"/>
          <w:szCs w:val="20"/>
          <w:lang w:val="en-GB"/>
        </w:rPr>
        <w:t>) were not met</w:t>
      </w:r>
      <w:r w:rsidR="008D4C28" w:rsidRPr="00B217DC">
        <w:rPr>
          <w:rFonts w:cs="Arial"/>
          <w:color w:val="auto"/>
          <w:sz w:val="20"/>
          <w:szCs w:val="20"/>
          <w:lang w:val="en-GB"/>
        </w:rPr>
        <w:t xml:space="preserve"> as per the revised APP targets reflected in the Annual Report for 2021</w:t>
      </w:r>
      <w:r w:rsidR="00D4774C" w:rsidRPr="00B217DC">
        <w:rPr>
          <w:rFonts w:cs="Arial"/>
          <w:color w:val="auto"/>
          <w:sz w:val="20"/>
          <w:szCs w:val="20"/>
          <w:lang w:val="en-GB"/>
        </w:rPr>
        <w:t>/22</w:t>
      </w:r>
      <w:r w:rsidR="008D4C28" w:rsidRPr="00B217DC">
        <w:rPr>
          <w:rFonts w:cs="Arial"/>
          <w:color w:val="auto"/>
          <w:sz w:val="20"/>
          <w:szCs w:val="20"/>
          <w:lang w:val="en-GB"/>
        </w:rPr>
        <w:t>.</w:t>
      </w:r>
      <w:r w:rsidR="00503C4E" w:rsidRPr="00B217DC">
        <w:rPr>
          <w:rFonts w:cs="Arial"/>
          <w:color w:val="auto"/>
          <w:sz w:val="20"/>
          <w:szCs w:val="20"/>
          <w:lang w:val="en-GB"/>
        </w:rPr>
        <w:t xml:space="preserve"> </w:t>
      </w:r>
      <w:r w:rsidR="00D4774C" w:rsidRPr="00B217DC">
        <w:rPr>
          <w:rFonts w:cs="Arial"/>
          <w:color w:val="auto"/>
          <w:sz w:val="20"/>
          <w:szCs w:val="20"/>
          <w:lang w:val="en-GB"/>
        </w:rPr>
        <w:t>This improvement in performance from 73% in the previous FY is commendable.</w:t>
      </w:r>
    </w:p>
    <w:p w:rsidR="00D4774C" w:rsidRPr="00B217DC" w:rsidRDefault="00503C4E" w:rsidP="00B217DC">
      <w:pPr>
        <w:numPr>
          <w:ilvl w:val="0"/>
          <w:numId w:val="15"/>
        </w:numPr>
        <w:ind w:left="426"/>
        <w:rPr>
          <w:rFonts w:cs="Arial"/>
          <w:color w:val="auto"/>
          <w:sz w:val="20"/>
          <w:szCs w:val="20"/>
        </w:rPr>
      </w:pPr>
      <w:r w:rsidRPr="00B217DC">
        <w:rPr>
          <w:rFonts w:cs="Arial"/>
          <w:color w:val="auto"/>
          <w:sz w:val="20"/>
          <w:szCs w:val="20"/>
          <w:lang w:val="en-GB"/>
        </w:rPr>
        <w:t>Th</w:t>
      </w:r>
      <w:r w:rsidR="00D4774C" w:rsidRPr="00B217DC">
        <w:rPr>
          <w:rFonts w:cs="Arial"/>
          <w:color w:val="auto"/>
          <w:sz w:val="20"/>
          <w:szCs w:val="20"/>
          <w:lang w:val="en-GB"/>
        </w:rPr>
        <w:t xml:space="preserve">e Department spent </w:t>
      </w:r>
      <w:r w:rsidR="00DC7132" w:rsidRPr="00B217DC">
        <w:rPr>
          <w:rFonts w:cs="Arial"/>
          <w:color w:val="auto"/>
          <w:sz w:val="20"/>
          <w:szCs w:val="20"/>
          <w:lang w:val="en-GB"/>
        </w:rPr>
        <w:t>84.7</w:t>
      </w:r>
      <w:r w:rsidR="00170BD2" w:rsidRPr="00B217DC">
        <w:rPr>
          <w:rFonts w:cs="Arial"/>
          <w:color w:val="auto"/>
          <w:sz w:val="20"/>
          <w:szCs w:val="20"/>
          <w:lang w:val="en-GB"/>
        </w:rPr>
        <w:t xml:space="preserve">% of the budget </w:t>
      </w:r>
      <w:r w:rsidR="00987570" w:rsidRPr="00B217DC">
        <w:rPr>
          <w:rFonts w:cs="Arial"/>
          <w:color w:val="auto"/>
          <w:sz w:val="20"/>
          <w:szCs w:val="20"/>
          <w:lang w:val="en-GB"/>
        </w:rPr>
        <w:t>(i.e. its operating budget</w:t>
      </w:r>
      <w:r w:rsidR="00166BE5" w:rsidRPr="00B217DC">
        <w:rPr>
          <w:rFonts w:cs="Arial"/>
          <w:color w:val="auto"/>
          <w:sz w:val="20"/>
          <w:szCs w:val="20"/>
          <w:lang w:val="en-GB"/>
        </w:rPr>
        <w:t xml:space="preserve"> of</w:t>
      </w:r>
      <w:r w:rsidR="005E2969" w:rsidRPr="00B217DC">
        <w:rPr>
          <w:rFonts w:cs="Arial"/>
          <w:color w:val="auto"/>
          <w:sz w:val="20"/>
          <w:szCs w:val="20"/>
          <w:lang w:val="en-GB"/>
        </w:rPr>
        <w:t xml:space="preserve"> R</w:t>
      </w:r>
      <w:r w:rsidR="00DC7132" w:rsidRPr="00B217DC">
        <w:rPr>
          <w:rFonts w:cs="Arial"/>
          <w:color w:val="auto"/>
          <w:sz w:val="20"/>
          <w:szCs w:val="20"/>
          <w:lang w:val="en-GB"/>
        </w:rPr>
        <w:t>203,170</w:t>
      </w:r>
      <w:r w:rsidR="005E2969" w:rsidRPr="00B217DC">
        <w:rPr>
          <w:rFonts w:cs="Arial"/>
          <w:color w:val="auto"/>
          <w:sz w:val="20"/>
          <w:szCs w:val="20"/>
          <w:lang w:val="en-GB"/>
        </w:rPr>
        <w:t xml:space="preserve"> million</w:t>
      </w:r>
      <w:r w:rsidR="00987570" w:rsidRPr="00B217DC">
        <w:rPr>
          <w:rFonts w:cs="Arial"/>
          <w:color w:val="auto"/>
          <w:sz w:val="20"/>
          <w:szCs w:val="20"/>
          <w:lang w:val="en-GB"/>
        </w:rPr>
        <w:t xml:space="preserve">) </w:t>
      </w:r>
      <w:r w:rsidR="00170BD2" w:rsidRPr="00B217DC">
        <w:rPr>
          <w:rFonts w:cs="Arial"/>
          <w:color w:val="auto"/>
          <w:sz w:val="20"/>
          <w:szCs w:val="20"/>
          <w:lang w:val="en-GB"/>
        </w:rPr>
        <w:t>was spent (R</w:t>
      </w:r>
      <w:r w:rsidR="00DC7132" w:rsidRPr="00B217DC">
        <w:rPr>
          <w:rFonts w:cs="Arial"/>
          <w:color w:val="auto"/>
          <w:sz w:val="20"/>
          <w:szCs w:val="20"/>
          <w:lang w:val="en-GB"/>
        </w:rPr>
        <w:t>1</w:t>
      </w:r>
      <w:r w:rsidR="00580B4D" w:rsidRPr="00B217DC">
        <w:rPr>
          <w:rFonts w:cs="Arial"/>
          <w:color w:val="auto"/>
          <w:sz w:val="20"/>
          <w:szCs w:val="20"/>
          <w:lang w:val="en-GB"/>
        </w:rPr>
        <w:t>72,</w:t>
      </w:r>
      <w:r w:rsidR="00DC7132" w:rsidRPr="00B217DC">
        <w:rPr>
          <w:rFonts w:cs="Arial"/>
          <w:color w:val="auto"/>
          <w:sz w:val="20"/>
          <w:szCs w:val="20"/>
          <w:lang w:val="en-GB"/>
        </w:rPr>
        <w:t>085</w:t>
      </w:r>
      <w:r w:rsidR="00170BD2" w:rsidRPr="00B217DC">
        <w:rPr>
          <w:rFonts w:cs="Arial"/>
          <w:color w:val="auto"/>
          <w:sz w:val="20"/>
          <w:szCs w:val="20"/>
          <w:lang w:val="en-GB"/>
        </w:rPr>
        <w:t xml:space="preserve"> million) with a surplus/</w:t>
      </w:r>
      <w:r w:rsidR="00D508DA" w:rsidRPr="00B217DC">
        <w:rPr>
          <w:rFonts w:cs="Arial"/>
          <w:color w:val="auto"/>
          <w:sz w:val="20"/>
          <w:szCs w:val="20"/>
          <w:lang w:val="en-GB"/>
        </w:rPr>
        <w:t xml:space="preserve">under-expenditure </w:t>
      </w:r>
      <w:r w:rsidR="00170BD2" w:rsidRPr="00B217DC">
        <w:rPr>
          <w:rFonts w:cs="Arial"/>
          <w:color w:val="auto"/>
          <w:sz w:val="20"/>
          <w:szCs w:val="20"/>
          <w:lang w:val="en-GB"/>
        </w:rPr>
        <w:t>of R</w:t>
      </w:r>
      <w:r w:rsidR="00D4774C" w:rsidRPr="00B217DC">
        <w:rPr>
          <w:rFonts w:cs="Arial"/>
          <w:color w:val="auto"/>
          <w:sz w:val="20"/>
          <w:szCs w:val="20"/>
          <w:lang w:val="en-GB"/>
        </w:rPr>
        <w:t>31,</w:t>
      </w:r>
      <w:r w:rsidR="00DC7132" w:rsidRPr="00B217DC">
        <w:rPr>
          <w:rFonts w:cs="Arial"/>
          <w:color w:val="auto"/>
          <w:sz w:val="20"/>
          <w:szCs w:val="20"/>
          <w:lang w:val="en-GB"/>
        </w:rPr>
        <w:t>05</w:t>
      </w:r>
      <w:r w:rsidR="00170BD2" w:rsidRPr="00B217DC">
        <w:rPr>
          <w:rFonts w:cs="Arial"/>
          <w:color w:val="auto"/>
          <w:sz w:val="20"/>
          <w:szCs w:val="20"/>
          <w:lang w:val="en-GB"/>
        </w:rPr>
        <w:t xml:space="preserve"> million. </w:t>
      </w:r>
      <w:r w:rsidR="00D4774C" w:rsidRPr="00B217DC">
        <w:rPr>
          <w:rFonts w:cs="Arial"/>
          <w:color w:val="auto"/>
          <w:sz w:val="20"/>
          <w:szCs w:val="20"/>
          <w:lang w:val="en-GB"/>
        </w:rPr>
        <w:t xml:space="preserve"> This u</w:t>
      </w:r>
      <w:r w:rsidR="00DC7132" w:rsidRPr="00B217DC">
        <w:rPr>
          <w:rFonts w:cs="Arial"/>
          <w:color w:val="auto"/>
          <w:sz w:val="20"/>
          <w:szCs w:val="20"/>
          <w:lang w:val="en-GB"/>
        </w:rPr>
        <w:t xml:space="preserve">nderspending </w:t>
      </w:r>
      <w:r w:rsidR="00580B4D" w:rsidRPr="00B217DC">
        <w:rPr>
          <w:rFonts w:cs="Arial"/>
          <w:bCs/>
          <w:color w:val="auto"/>
          <w:sz w:val="20"/>
          <w:szCs w:val="20"/>
        </w:rPr>
        <w:t>increased from R18,</w:t>
      </w:r>
      <w:r w:rsidR="00D4774C" w:rsidRPr="00B217DC">
        <w:rPr>
          <w:rFonts w:cs="Arial"/>
          <w:bCs/>
          <w:color w:val="auto"/>
          <w:sz w:val="20"/>
          <w:szCs w:val="20"/>
        </w:rPr>
        <w:t>575 million in the previous financial year</w:t>
      </w:r>
      <w:r w:rsidR="00312FCC" w:rsidRPr="00B217DC">
        <w:rPr>
          <w:rFonts w:cs="Arial"/>
          <w:bCs/>
          <w:color w:val="auto"/>
          <w:sz w:val="20"/>
          <w:szCs w:val="20"/>
        </w:rPr>
        <w:t xml:space="preserve"> 2020/21</w:t>
      </w:r>
      <w:r w:rsidR="00D4774C" w:rsidRPr="00B217DC">
        <w:rPr>
          <w:rFonts w:cs="Arial"/>
          <w:bCs/>
          <w:color w:val="auto"/>
          <w:sz w:val="20"/>
          <w:szCs w:val="20"/>
        </w:rPr>
        <w:t xml:space="preserve"> </w:t>
      </w:r>
      <w:r w:rsidR="00DC7132" w:rsidRPr="00B217DC">
        <w:rPr>
          <w:rFonts w:cs="Arial"/>
          <w:bCs/>
          <w:color w:val="auto"/>
          <w:sz w:val="20"/>
          <w:szCs w:val="20"/>
        </w:rPr>
        <w:t>t</w:t>
      </w:r>
      <w:r w:rsidR="00580B4D" w:rsidRPr="00B217DC">
        <w:rPr>
          <w:rFonts w:cs="Arial"/>
          <w:bCs/>
          <w:color w:val="auto"/>
          <w:sz w:val="20"/>
          <w:szCs w:val="20"/>
        </w:rPr>
        <w:t>o R31,</w:t>
      </w:r>
      <w:r w:rsidR="00D4774C" w:rsidRPr="00B217DC">
        <w:rPr>
          <w:rFonts w:cs="Arial"/>
          <w:bCs/>
          <w:color w:val="auto"/>
          <w:sz w:val="20"/>
          <w:szCs w:val="20"/>
        </w:rPr>
        <w:t>085 million</w:t>
      </w:r>
      <w:r w:rsidR="00DC7132" w:rsidRPr="00B217DC">
        <w:rPr>
          <w:rFonts w:cs="Arial"/>
          <w:bCs/>
          <w:color w:val="auto"/>
          <w:sz w:val="20"/>
          <w:szCs w:val="20"/>
        </w:rPr>
        <w:t xml:space="preserve"> in the current FY</w:t>
      </w:r>
      <w:r w:rsidR="00312FCC" w:rsidRPr="00B217DC">
        <w:rPr>
          <w:rFonts w:cs="Arial"/>
          <w:bCs/>
          <w:color w:val="auto"/>
          <w:sz w:val="20"/>
          <w:szCs w:val="20"/>
        </w:rPr>
        <w:t xml:space="preserve"> under review 2021/22 - </w:t>
      </w:r>
      <w:r w:rsidR="00DC7132" w:rsidRPr="00B217DC">
        <w:rPr>
          <w:rFonts w:cs="Arial"/>
          <w:bCs/>
          <w:color w:val="auto"/>
          <w:sz w:val="20"/>
          <w:szCs w:val="20"/>
        </w:rPr>
        <w:t>which is concerning</w:t>
      </w:r>
      <w:r w:rsidR="00D4774C" w:rsidRPr="00B217DC">
        <w:rPr>
          <w:rFonts w:cs="Arial"/>
          <w:bCs/>
          <w:color w:val="auto"/>
          <w:sz w:val="20"/>
          <w:szCs w:val="20"/>
        </w:rPr>
        <w:t>.</w:t>
      </w:r>
    </w:p>
    <w:p w:rsidR="00D508DA" w:rsidRPr="00B217DC" w:rsidRDefault="00D508DA" w:rsidP="00B217DC">
      <w:pPr>
        <w:numPr>
          <w:ilvl w:val="0"/>
          <w:numId w:val="15"/>
        </w:numPr>
        <w:ind w:left="426"/>
        <w:rPr>
          <w:rFonts w:cs="Arial"/>
          <w:color w:val="auto"/>
          <w:sz w:val="20"/>
          <w:szCs w:val="20"/>
          <w:lang w:val="en-GB"/>
        </w:rPr>
      </w:pPr>
      <w:r w:rsidRPr="00B217DC">
        <w:rPr>
          <w:rFonts w:cs="Arial"/>
          <w:color w:val="auto"/>
          <w:sz w:val="20"/>
          <w:szCs w:val="20"/>
          <w:lang w:val="en-GB"/>
        </w:rPr>
        <w:t xml:space="preserve">The Committee observed that of the total </w:t>
      </w:r>
      <w:r w:rsidR="008D4C28" w:rsidRPr="00B217DC">
        <w:rPr>
          <w:rFonts w:cs="Arial"/>
          <w:color w:val="auto"/>
          <w:sz w:val="20"/>
          <w:szCs w:val="20"/>
          <w:lang w:val="en-GB"/>
        </w:rPr>
        <w:t>appropriation as per Vote 20</w:t>
      </w:r>
      <w:r w:rsidRPr="00B217DC">
        <w:rPr>
          <w:rFonts w:cs="Arial"/>
          <w:color w:val="auto"/>
          <w:sz w:val="20"/>
          <w:szCs w:val="20"/>
          <w:lang w:val="en-GB"/>
        </w:rPr>
        <w:t xml:space="preserve"> (R</w:t>
      </w:r>
      <w:r w:rsidR="00580B4D" w:rsidRPr="00B217DC">
        <w:rPr>
          <w:rFonts w:cs="Arial"/>
          <w:color w:val="auto"/>
          <w:sz w:val="20"/>
          <w:szCs w:val="20"/>
          <w:lang w:val="en-GB"/>
        </w:rPr>
        <w:t xml:space="preserve">1,195 508 </w:t>
      </w:r>
      <w:r w:rsidR="00DC7132" w:rsidRPr="00B217DC">
        <w:rPr>
          <w:rFonts w:cs="Arial"/>
          <w:color w:val="auto"/>
          <w:sz w:val="20"/>
          <w:szCs w:val="20"/>
          <w:lang w:val="en-GB"/>
        </w:rPr>
        <w:t>b</w:t>
      </w:r>
      <w:r w:rsidRPr="00B217DC">
        <w:rPr>
          <w:rFonts w:cs="Arial"/>
          <w:color w:val="auto"/>
          <w:sz w:val="20"/>
          <w:szCs w:val="20"/>
          <w:lang w:val="en-GB"/>
        </w:rPr>
        <w:t>illion) which included the transfers to entities, 97% (R</w:t>
      </w:r>
      <w:r w:rsidR="00580B4D" w:rsidRPr="00B217DC">
        <w:rPr>
          <w:rFonts w:cs="Arial"/>
          <w:color w:val="auto"/>
          <w:sz w:val="20"/>
          <w:szCs w:val="20"/>
          <w:lang w:val="en-GB"/>
        </w:rPr>
        <w:t>1,164 423</w:t>
      </w:r>
      <w:r w:rsidRPr="00B217DC">
        <w:rPr>
          <w:rFonts w:cs="Arial"/>
          <w:color w:val="auto"/>
          <w:sz w:val="20"/>
          <w:szCs w:val="20"/>
          <w:lang w:val="en-GB"/>
        </w:rPr>
        <w:t xml:space="preserve"> </w:t>
      </w:r>
      <w:r w:rsidR="00580B4D" w:rsidRPr="00B217DC">
        <w:rPr>
          <w:rFonts w:cs="Arial"/>
          <w:color w:val="auto"/>
          <w:sz w:val="20"/>
          <w:szCs w:val="20"/>
          <w:lang w:val="en-GB"/>
        </w:rPr>
        <w:t>b</w:t>
      </w:r>
      <w:r w:rsidRPr="00B217DC">
        <w:rPr>
          <w:rFonts w:cs="Arial"/>
          <w:color w:val="auto"/>
          <w:sz w:val="20"/>
          <w:szCs w:val="20"/>
          <w:lang w:val="en-GB"/>
        </w:rPr>
        <w:t>illion) was spent</w:t>
      </w:r>
      <w:r w:rsidR="008D4C28" w:rsidRPr="00B217DC">
        <w:rPr>
          <w:rFonts w:cs="Arial"/>
          <w:color w:val="auto"/>
          <w:sz w:val="20"/>
          <w:szCs w:val="20"/>
          <w:lang w:val="en-GB"/>
        </w:rPr>
        <w:t>.</w:t>
      </w:r>
    </w:p>
    <w:p w:rsidR="00BB71B1" w:rsidRPr="00B217DC" w:rsidRDefault="00A323CA" w:rsidP="00B217DC">
      <w:pPr>
        <w:numPr>
          <w:ilvl w:val="0"/>
          <w:numId w:val="15"/>
        </w:numPr>
        <w:ind w:left="426"/>
        <w:rPr>
          <w:rFonts w:cs="Arial"/>
          <w:color w:val="auto"/>
          <w:spacing w:val="0"/>
          <w:kern w:val="28"/>
          <w:sz w:val="20"/>
          <w:szCs w:val="20"/>
        </w:rPr>
      </w:pPr>
      <w:r w:rsidRPr="00B217DC">
        <w:rPr>
          <w:rFonts w:cs="Arial"/>
          <w:color w:val="auto"/>
          <w:sz w:val="20"/>
          <w:szCs w:val="20"/>
          <w:lang w:val="en-GB"/>
        </w:rPr>
        <w:t>The performance of the R</w:t>
      </w:r>
      <w:r w:rsidR="00FD1254" w:rsidRPr="00B217DC">
        <w:rPr>
          <w:rFonts w:cs="Arial"/>
          <w:color w:val="auto"/>
          <w:sz w:val="20"/>
          <w:szCs w:val="20"/>
          <w:lang w:val="en-GB"/>
        </w:rPr>
        <w:t>ights of Persons with Disabilities</w:t>
      </w:r>
      <w:r w:rsidRPr="00B217DC">
        <w:rPr>
          <w:rFonts w:cs="Arial"/>
          <w:color w:val="auto"/>
          <w:sz w:val="20"/>
          <w:szCs w:val="20"/>
          <w:lang w:val="en-GB"/>
        </w:rPr>
        <w:t xml:space="preserve"> programme </w:t>
      </w:r>
      <w:r w:rsidR="00566F8C" w:rsidRPr="00B217DC">
        <w:rPr>
          <w:rFonts w:cs="Arial"/>
          <w:color w:val="auto"/>
          <w:sz w:val="20"/>
          <w:szCs w:val="20"/>
          <w:lang w:val="en-GB"/>
        </w:rPr>
        <w:t>remains a key area of</w:t>
      </w:r>
      <w:r w:rsidR="00636318" w:rsidRPr="00B217DC">
        <w:rPr>
          <w:rFonts w:cs="Arial"/>
          <w:color w:val="auto"/>
          <w:sz w:val="20"/>
          <w:szCs w:val="20"/>
          <w:lang w:val="en-GB"/>
        </w:rPr>
        <w:t xml:space="preserve"> concern</w:t>
      </w:r>
      <w:r w:rsidR="00566F8C" w:rsidRPr="00B217DC">
        <w:rPr>
          <w:rFonts w:cs="Arial"/>
          <w:color w:val="auto"/>
          <w:sz w:val="20"/>
          <w:szCs w:val="20"/>
          <w:lang w:val="en-GB"/>
        </w:rPr>
        <w:t xml:space="preserve"> for the Committee</w:t>
      </w:r>
      <w:r w:rsidR="00636318" w:rsidRPr="00B217DC">
        <w:rPr>
          <w:rFonts w:cs="Arial"/>
          <w:color w:val="auto"/>
          <w:sz w:val="20"/>
          <w:szCs w:val="20"/>
          <w:lang w:val="en-GB"/>
        </w:rPr>
        <w:t xml:space="preserve">. </w:t>
      </w:r>
      <w:r w:rsidR="00170BD2" w:rsidRPr="00B217DC">
        <w:rPr>
          <w:rFonts w:cs="Arial"/>
          <w:color w:val="auto"/>
          <w:sz w:val="20"/>
          <w:szCs w:val="20"/>
          <w:lang w:val="en-GB"/>
        </w:rPr>
        <w:t xml:space="preserve"> </w:t>
      </w:r>
      <w:r w:rsidR="00636318" w:rsidRPr="00B217DC">
        <w:rPr>
          <w:rFonts w:cs="Arial"/>
          <w:color w:val="auto"/>
          <w:sz w:val="20"/>
          <w:szCs w:val="20"/>
          <w:lang w:val="en-GB"/>
        </w:rPr>
        <w:t>The majority of the targets met in Programme 1 relate</w:t>
      </w:r>
      <w:r w:rsidR="00566F8C" w:rsidRPr="00B217DC">
        <w:rPr>
          <w:rFonts w:cs="Arial"/>
          <w:color w:val="auto"/>
          <w:sz w:val="20"/>
          <w:szCs w:val="20"/>
          <w:lang w:val="en-GB"/>
        </w:rPr>
        <w:t>s</w:t>
      </w:r>
      <w:r w:rsidR="00636318" w:rsidRPr="00B217DC">
        <w:rPr>
          <w:rFonts w:cs="Arial"/>
          <w:color w:val="auto"/>
          <w:sz w:val="20"/>
          <w:szCs w:val="20"/>
          <w:lang w:val="en-GB"/>
        </w:rPr>
        <w:t xml:space="preserve"> to compliance matters in terms of the development and submission of reports</w:t>
      </w:r>
      <w:r w:rsidR="00170BD2" w:rsidRPr="00B217DC">
        <w:rPr>
          <w:rFonts w:cs="Arial"/>
          <w:color w:val="auto"/>
          <w:sz w:val="20"/>
          <w:szCs w:val="20"/>
          <w:lang w:val="en-GB"/>
        </w:rPr>
        <w:t xml:space="preserve"> </w:t>
      </w:r>
      <w:r w:rsidR="00312FCC" w:rsidRPr="00B217DC">
        <w:rPr>
          <w:rFonts w:cs="Arial"/>
          <w:color w:val="auto"/>
          <w:sz w:val="20"/>
          <w:szCs w:val="20"/>
          <w:lang w:val="en-GB"/>
        </w:rPr>
        <w:t>it</w:t>
      </w:r>
      <w:r w:rsidR="00266EE4" w:rsidRPr="00B217DC">
        <w:rPr>
          <w:rFonts w:cs="Arial"/>
          <w:color w:val="auto"/>
          <w:sz w:val="20"/>
          <w:szCs w:val="20"/>
          <w:lang w:val="en-GB"/>
        </w:rPr>
        <w:t xml:space="preserve"> remains a concern that it</w:t>
      </w:r>
      <w:r w:rsidR="00312FCC" w:rsidRPr="00B217DC">
        <w:rPr>
          <w:rFonts w:cs="Arial"/>
          <w:color w:val="auto"/>
          <w:sz w:val="20"/>
          <w:szCs w:val="20"/>
          <w:lang w:val="en-GB"/>
        </w:rPr>
        <w:t xml:space="preserve"> continuously </w:t>
      </w:r>
      <w:r w:rsidR="00503C4E" w:rsidRPr="00B217DC">
        <w:rPr>
          <w:rFonts w:cs="Arial"/>
          <w:color w:val="auto"/>
          <w:sz w:val="20"/>
          <w:szCs w:val="20"/>
          <w:lang w:val="en-GB"/>
        </w:rPr>
        <w:t xml:space="preserve">consumed the largest proportion of the Department’s </w:t>
      </w:r>
      <w:r w:rsidR="00312FCC" w:rsidRPr="00B217DC">
        <w:rPr>
          <w:rFonts w:cs="Arial"/>
          <w:color w:val="auto"/>
          <w:sz w:val="20"/>
          <w:szCs w:val="20"/>
          <w:lang w:val="en-GB"/>
        </w:rPr>
        <w:t xml:space="preserve">operational </w:t>
      </w:r>
      <w:r w:rsidR="00503C4E" w:rsidRPr="00B217DC">
        <w:rPr>
          <w:rFonts w:cs="Arial"/>
          <w:color w:val="auto"/>
          <w:sz w:val="20"/>
          <w:szCs w:val="20"/>
          <w:lang w:val="en-GB"/>
        </w:rPr>
        <w:t>budget and staff compliment</w:t>
      </w:r>
      <w:r w:rsidR="005A3E37" w:rsidRPr="00B217DC">
        <w:rPr>
          <w:rFonts w:cs="Arial"/>
          <w:color w:val="auto"/>
          <w:sz w:val="20"/>
          <w:szCs w:val="20"/>
          <w:lang w:val="en-GB"/>
        </w:rPr>
        <w:t xml:space="preserve">. </w:t>
      </w:r>
    </w:p>
    <w:p w:rsidR="00A33A10" w:rsidRPr="00B217DC" w:rsidRDefault="00A33A10" w:rsidP="00B217DC">
      <w:pPr>
        <w:numPr>
          <w:ilvl w:val="0"/>
          <w:numId w:val="15"/>
        </w:numPr>
        <w:ind w:left="426"/>
        <w:rPr>
          <w:rFonts w:cs="Arial"/>
          <w:color w:val="auto"/>
          <w:spacing w:val="0"/>
          <w:kern w:val="28"/>
          <w:sz w:val="20"/>
          <w:szCs w:val="20"/>
        </w:rPr>
      </w:pPr>
      <w:r w:rsidRPr="00B217DC">
        <w:rPr>
          <w:rFonts w:cs="Arial"/>
          <w:color w:val="auto"/>
          <w:sz w:val="20"/>
          <w:szCs w:val="20"/>
          <w:lang w:val="en-GB"/>
        </w:rPr>
        <w:t>The Committee noted with concern the Department’s continued reliance on external service providers to complete the targets it sets out within a FY and is then further hamstrung when the market does not respond or tenders have to be re-advertised</w:t>
      </w:r>
      <w:r w:rsidR="00BE7740" w:rsidRPr="00B217DC">
        <w:rPr>
          <w:rFonts w:cs="Arial"/>
          <w:color w:val="auto"/>
          <w:sz w:val="20"/>
          <w:szCs w:val="20"/>
          <w:lang w:val="en-GB"/>
        </w:rPr>
        <w:t xml:space="preserve"> by partner</w:t>
      </w:r>
      <w:r w:rsidR="00312FCC" w:rsidRPr="00B217DC">
        <w:rPr>
          <w:rFonts w:cs="Arial"/>
          <w:color w:val="auto"/>
          <w:sz w:val="20"/>
          <w:szCs w:val="20"/>
          <w:lang w:val="en-GB"/>
        </w:rPr>
        <w:t>s</w:t>
      </w:r>
      <w:r w:rsidRPr="00B217DC">
        <w:rPr>
          <w:rFonts w:cs="Arial"/>
          <w:color w:val="auto"/>
          <w:sz w:val="20"/>
          <w:szCs w:val="20"/>
          <w:lang w:val="en-GB"/>
        </w:rPr>
        <w:t>.</w:t>
      </w:r>
    </w:p>
    <w:p w:rsidR="00BB71B1" w:rsidRPr="00B217DC" w:rsidRDefault="00BB71B1" w:rsidP="00B217DC">
      <w:pPr>
        <w:numPr>
          <w:ilvl w:val="0"/>
          <w:numId w:val="15"/>
        </w:numPr>
        <w:ind w:left="426"/>
        <w:rPr>
          <w:rFonts w:cs="Arial"/>
          <w:color w:val="auto"/>
          <w:sz w:val="20"/>
          <w:szCs w:val="20"/>
          <w:lang w:val="en-GB"/>
        </w:rPr>
      </w:pPr>
      <w:r w:rsidRPr="00B217DC">
        <w:rPr>
          <w:rFonts w:cs="Arial"/>
          <w:color w:val="auto"/>
          <w:sz w:val="20"/>
          <w:szCs w:val="20"/>
          <w:lang w:val="en-GB"/>
        </w:rPr>
        <w:t>The Committee concurred with all of the findings and recommendations of the AGSA and the ARC.</w:t>
      </w:r>
    </w:p>
    <w:p w:rsidR="00EF248D" w:rsidRPr="00B217DC" w:rsidRDefault="00BB71B1" w:rsidP="00B217DC">
      <w:pPr>
        <w:numPr>
          <w:ilvl w:val="0"/>
          <w:numId w:val="15"/>
        </w:numPr>
        <w:ind w:left="426"/>
        <w:rPr>
          <w:rFonts w:cs="Arial"/>
          <w:color w:val="auto"/>
          <w:sz w:val="20"/>
          <w:szCs w:val="20"/>
          <w:lang w:val="en-GB"/>
        </w:rPr>
      </w:pPr>
      <w:r w:rsidRPr="00B217DC">
        <w:rPr>
          <w:rFonts w:cs="Arial"/>
          <w:color w:val="auto"/>
          <w:sz w:val="20"/>
          <w:szCs w:val="20"/>
          <w:lang w:val="en-GB"/>
        </w:rPr>
        <w:t>The Committee observed that the Department was not effectively implementing the AGSA recommendations and those of the ARC, hence the repeat findings. The Committee raised this as a major concern.</w:t>
      </w:r>
    </w:p>
    <w:p w:rsidR="00E00C81" w:rsidRPr="00B217DC" w:rsidRDefault="00E00C81" w:rsidP="00B217DC">
      <w:pPr>
        <w:numPr>
          <w:ilvl w:val="0"/>
          <w:numId w:val="15"/>
        </w:numPr>
        <w:ind w:left="426"/>
        <w:rPr>
          <w:rFonts w:cs="Arial"/>
          <w:color w:val="auto"/>
          <w:sz w:val="20"/>
          <w:szCs w:val="20"/>
          <w:lang w:val="en-GB"/>
        </w:rPr>
      </w:pPr>
      <w:r w:rsidRPr="00B217DC">
        <w:rPr>
          <w:rFonts w:cs="Arial"/>
          <w:color w:val="auto"/>
          <w:sz w:val="20"/>
          <w:szCs w:val="20"/>
          <w:lang w:val="en-GB"/>
        </w:rPr>
        <w:t>The Committee was concerned th</w:t>
      </w:r>
      <w:r w:rsidR="007513D0" w:rsidRPr="00B217DC">
        <w:rPr>
          <w:rFonts w:cs="Arial"/>
          <w:color w:val="auto"/>
          <w:sz w:val="20"/>
          <w:szCs w:val="20"/>
          <w:lang w:val="en-GB"/>
        </w:rPr>
        <w:t>at the</w:t>
      </w:r>
      <w:r w:rsidR="00D2150F" w:rsidRPr="00B217DC">
        <w:rPr>
          <w:rFonts w:cs="Arial"/>
          <w:color w:val="auto"/>
          <w:sz w:val="20"/>
          <w:szCs w:val="20"/>
          <w:lang w:val="en-GB"/>
        </w:rPr>
        <w:t xml:space="preserve"> Minister had not attended</w:t>
      </w:r>
      <w:r w:rsidRPr="00B217DC">
        <w:rPr>
          <w:rFonts w:cs="Arial"/>
          <w:color w:val="auto"/>
          <w:sz w:val="20"/>
          <w:szCs w:val="20"/>
          <w:lang w:val="en-GB"/>
        </w:rPr>
        <w:t xml:space="preserve"> Committee meetings and that </w:t>
      </w:r>
      <w:r w:rsidR="00037235" w:rsidRPr="00B217DC">
        <w:rPr>
          <w:rFonts w:cs="Arial"/>
          <w:color w:val="auto"/>
          <w:sz w:val="20"/>
          <w:szCs w:val="20"/>
          <w:lang w:val="en-GB"/>
        </w:rPr>
        <w:t>several</w:t>
      </w:r>
      <w:r w:rsidRPr="00B217DC">
        <w:rPr>
          <w:rFonts w:cs="Arial"/>
          <w:color w:val="auto"/>
          <w:sz w:val="20"/>
          <w:szCs w:val="20"/>
          <w:lang w:val="en-GB"/>
        </w:rPr>
        <w:t xml:space="preserve"> issues raised by the Committee at the time required the attention of the Minister e.g. under-spending of the Department.</w:t>
      </w:r>
      <w:r w:rsidR="00D2150F" w:rsidRPr="00B217DC">
        <w:rPr>
          <w:rFonts w:cs="Arial"/>
          <w:color w:val="auto"/>
          <w:sz w:val="20"/>
          <w:szCs w:val="20"/>
          <w:lang w:val="en-GB"/>
        </w:rPr>
        <w:t xml:space="preserve"> Notwithstanding, the Minister’s responsibilities for attendance at Cabinet meetings as an example and the apology she submitted in that regard.</w:t>
      </w:r>
      <w:r w:rsidRPr="00B217DC">
        <w:rPr>
          <w:rFonts w:cs="Arial"/>
          <w:color w:val="auto"/>
          <w:sz w:val="20"/>
          <w:szCs w:val="20"/>
          <w:lang w:val="en-GB"/>
        </w:rPr>
        <w:t xml:space="preserve"> </w:t>
      </w:r>
      <w:r w:rsidR="00D2150F" w:rsidRPr="00B217DC">
        <w:rPr>
          <w:rFonts w:cs="Arial"/>
          <w:color w:val="auto"/>
          <w:sz w:val="20"/>
          <w:szCs w:val="20"/>
          <w:lang w:val="en-GB"/>
        </w:rPr>
        <w:t>However</w:t>
      </w:r>
      <w:r w:rsidRPr="00B217DC">
        <w:rPr>
          <w:rFonts w:cs="Arial"/>
          <w:color w:val="auto"/>
          <w:sz w:val="20"/>
          <w:szCs w:val="20"/>
          <w:lang w:val="en-GB"/>
        </w:rPr>
        <w:t>, the Committee so</w:t>
      </w:r>
      <w:r w:rsidR="00266EE4" w:rsidRPr="00B217DC">
        <w:rPr>
          <w:rFonts w:cs="Arial"/>
          <w:color w:val="auto"/>
          <w:sz w:val="20"/>
          <w:szCs w:val="20"/>
          <w:lang w:val="en-GB"/>
        </w:rPr>
        <w:t>ught</w:t>
      </w:r>
      <w:r w:rsidRPr="00B217DC">
        <w:rPr>
          <w:rFonts w:cs="Arial"/>
          <w:color w:val="auto"/>
          <w:sz w:val="20"/>
          <w:szCs w:val="20"/>
          <w:lang w:val="en-GB"/>
        </w:rPr>
        <w:t xml:space="preserve"> clarity and asked the Minister to </w:t>
      </w:r>
      <w:r w:rsidR="00D2150F" w:rsidRPr="00B217DC">
        <w:rPr>
          <w:rFonts w:cs="Arial"/>
          <w:color w:val="auto"/>
          <w:sz w:val="20"/>
          <w:szCs w:val="20"/>
          <w:lang w:val="en-GB"/>
        </w:rPr>
        <w:t>cite reasons for not attending Co</w:t>
      </w:r>
      <w:r w:rsidRPr="00B217DC">
        <w:rPr>
          <w:rFonts w:cs="Arial"/>
          <w:color w:val="auto"/>
          <w:sz w:val="20"/>
          <w:szCs w:val="20"/>
          <w:lang w:val="en-GB"/>
        </w:rPr>
        <w:t>mmittee meetings.</w:t>
      </w:r>
    </w:p>
    <w:p w:rsidR="00E00C81" w:rsidRPr="00B217DC" w:rsidRDefault="00E00C81" w:rsidP="00B217DC">
      <w:pPr>
        <w:numPr>
          <w:ilvl w:val="0"/>
          <w:numId w:val="15"/>
        </w:numPr>
        <w:ind w:left="426"/>
        <w:rPr>
          <w:rFonts w:cs="Arial"/>
          <w:color w:val="auto"/>
          <w:sz w:val="20"/>
          <w:szCs w:val="20"/>
          <w:lang w:val="en-GB"/>
        </w:rPr>
      </w:pPr>
      <w:r w:rsidRPr="00B217DC">
        <w:rPr>
          <w:rFonts w:cs="Arial"/>
          <w:color w:val="auto"/>
          <w:sz w:val="20"/>
          <w:szCs w:val="20"/>
          <w:lang w:val="en-GB"/>
        </w:rPr>
        <w:t xml:space="preserve">The Committee was concerned about the performance of the Minister and the Department for 2021/22 and the leadership of the Department in general. </w:t>
      </w:r>
    </w:p>
    <w:p w:rsidR="00E00C81" w:rsidRPr="00B217DC" w:rsidRDefault="00E00C81" w:rsidP="00B217DC">
      <w:pPr>
        <w:numPr>
          <w:ilvl w:val="0"/>
          <w:numId w:val="15"/>
        </w:numPr>
        <w:ind w:left="426"/>
        <w:rPr>
          <w:rFonts w:cs="Arial"/>
          <w:color w:val="auto"/>
          <w:sz w:val="20"/>
          <w:szCs w:val="20"/>
          <w:lang w:val="en-GB"/>
        </w:rPr>
      </w:pPr>
      <w:r w:rsidRPr="00B217DC">
        <w:rPr>
          <w:rFonts w:cs="Arial"/>
          <w:color w:val="auto"/>
          <w:sz w:val="20"/>
          <w:szCs w:val="20"/>
          <w:lang w:val="en-GB"/>
        </w:rPr>
        <w:t>The Committee was concerned about the lack of visibility by the Minister and by the Department on the whole to key emerging issues in the country that related to women, youth and persons with disabilities.</w:t>
      </w:r>
    </w:p>
    <w:p w:rsidR="00170BD2" w:rsidRPr="00B217DC" w:rsidRDefault="00170BD2" w:rsidP="00B217DC">
      <w:pPr>
        <w:rPr>
          <w:rFonts w:cs="Arial"/>
          <w:color w:val="auto"/>
          <w:sz w:val="20"/>
          <w:szCs w:val="20"/>
          <w:lang w:val="en-GB"/>
        </w:rPr>
      </w:pPr>
    </w:p>
    <w:p w:rsidR="00170BD2" w:rsidRPr="00B217DC" w:rsidRDefault="00BE458B" w:rsidP="00B217DC">
      <w:pPr>
        <w:contextualSpacing/>
        <w:rPr>
          <w:rFonts w:cs="Arial"/>
          <w:b/>
          <w:color w:val="auto"/>
          <w:spacing w:val="0"/>
          <w:kern w:val="28"/>
          <w:sz w:val="20"/>
          <w:szCs w:val="20"/>
        </w:rPr>
      </w:pPr>
      <w:r w:rsidRPr="00B217DC">
        <w:rPr>
          <w:rFonts w:cs="Arial"/>
          <w:b/>
          <w:color w:val="auto"/>
          <w:spacing w:val="0"/>
          <w:kern w:val="28"/>
          <w:sz w:val="20"/>
          <w:szCs w:val="20"/>
        </w:rPr>
        <w:t>1</w:t>
      </w:r>
      <w:r w:rsidR="00F91F57" w:rsidRPr="00B217DC">
        <w:rPr>
          <w:rFonts w:cs="Arial"/>
          <w:b/>
          <w:color w:val="auto"/>
          <w:spacing w:val="0"/>
          <w:kern w:val="28"/>
          <w:sz w:val="20"/>
          <w:szCs w:val="20"/>
        </w:rPr>
        <w:t>5</w:t>
      </w:r>
      <w:r w:rsidRPr="00B217DC">
        <w:rPr>
          <w:rFonts w:cs="Arial"/>
          <w:b/>
          <w:color w:val="auto"/>
          <w:spacing w:val="0"/>
          <w:kern w:val="28"/>
          <w:sz w:val="20"/>
          <w:szCs w:val="20"/>
        </w:rPr>
        <w:t>.2</w:t>
      </w:r>
      <w:r w:rsidR="00170BD2" w:rsidRPr="00B217DC">
        <w:rPr>
          <w:rFonts w:cs="Arial"/>
          <w:b/>
          <w:color w:val="auto"/>
          <w:spacing w:val="0"/>
          <w:kern w:val="28"/>
          <w:sz w:val="20"/>
          <w:szCs w:val="20"/>
        </w:rPr>
        <w:t xml:space="preserve"> </w:t>
      </w:r>
      <w:r w:rsidR="00312FCC" w:rsidRPr="00B217DC">
        <w:rPr>
          <w:rFonts w:cs="Arial"/>
          <w:b/>
          <w:color w:val="auto"/>
          <w:spacing w:val="0"/>
          <w:kern w:val="28"/>
          <w:sz w:val="20"/>
          <w:szCs w:val="20"/>
        </w:rPr>
        <w:t>Mandate, Mission and Vision</w:t>
      </w:r>
    </w:p>
    <w:p w:rsidR="00312FCC" w:rsidRPr="00B217DC" w:rsidRDefault="00CF7338" w:rsidP="00B217DC">
      <w:pPr>
        <w:numPr>
          <w:ilvl w:val="0"/>
          <w:numId w:val="29"/>
        </w:numPr>
        <w:ind w:left="426"/>
        <w:rPr>
          <w:rFonts w:cs="Arial"/>
          <w:bCs/>
          <w:color w:val="auto"/>
          <w:sz w:val="20"/>
          <w:szCs w:val="20"/>
          <w:lang w:val="en-GB"/>
        </w:rPr>
      </w:pPr>
      <w:r w:rsidRPr="00B217DC">
        <w:rPr>
          <w:rFonts w:cs="Arial"/>
          <w:bCs/>
          <w:i/>
          <w:color w:val="auto"/>
          <w:sz w:val="20"/>
          <w:szCs w:val="20"/>
          <w:lang w:val="en-GB"/>
        </w:rPr>
        <w:lastRenderedPageBreak/>
        <w:t>Mandate</w:t>
      </w:r>
      <w:r w:rsidRPr="00B217DC">
        <w:rPr>
          <w:rFonts w:cs="Arial"/>
          <w:bCs/>
          <w:color w:val="auto"/>
          <w:sz w:val="20"/>
          <w:szCs w:val="20"/>
          <w:lang w:val="en-GB"/>
        </w:rPr>
        <w:t xml:space="preserve">: </w:t>
      </w:r>
      <w:r w:rsidR="00312FCC" w:rsidRPr="00B217DC">
        <w:rPr>
          <w:rFonts w:cs="Arial"/>
          <w:bCs/>
          <w:color w:val="auto"/>
          <w:sz w:val="20"/>
          <w:szCs w:val="20"/>
          <w:lang w:val="en-GB"/>
        </w:rPr>
        <w:t>The Committee questioned how the Department’s new mandate as a Regulator was given effect to in 2021/22 and what was the evidence to support this. The concern was that this was not evident.</w:t>
      </w:r>
    </w:p>
    <w:p w:rsidR="00312FCC" w:rsidRPr="00B217DC" w:rsidRDefault="00CF7338" w:rsidP="00B217DC">
      <w:pPr>
        <w:numPr>
          <w:ilvl w:val="0"/>
          <w:numId w:val="29"/>
        </w:numPr>
        <w:ind w:left="426"/>
        <w:rPr>
          <w:rFonts w:cs="Arial"/>
          <w:b/>
          <w:bCs/>
          <w:color w:val="auto"/>
          <w:sz w:val="20"/>
          <w:szCs w:val="20"/>
          <w:lang w:val="en-GB"/>
        </w:rPr>
      </w:pPr>
      <w:r w:rsidRPr="00B217DC">
        <w:rPr>
          <w:rFonts w:cs="Arial"/>
          <w:bCs/>
          <w:i/>
          <w:color w:val="auto"/>
          <w:sz w:val="20"/>
          <w:szCs w:val="20"/>
          <w:lang w:val="en-GB"/>
        </w:rPr>
        <w:t>Policy imperatives</w:t>
      </w:r>
      <w:r w:rsidRPr="00B217DC">
        <w:rPr>
          <w:rFonts w:cs="Arial"/>
          <w:bCs/>
          <w:color w:val="auto"/>
          <w:sz w:val="20"/>
          <w:szCs w:val="20"/>
          <w:lang w:val="en-GB"/>
        </w:rPr>
        <w:t xml:space="preserve">: </w:t>
      </w:r>
      <w:r w:rsidR="00312FCC" w:rsidRPr="00B217DC">
        <w:rPr>
          <w:rFonts w:cs="Arial"/>
          <w:bCs/>
          <w:color w:val="auto"/>
          <w:sz w:val="20"/>
          <w:szCs w:val="20"/>
          <w:lang w:val="en-GB"/>
        </w:rPr>
        <w:t>The Committee asked what was the Department’s assessment of how Government has performed insofar as the various goals and targets related to women, youth and persons with disabilities as outlined in the NDP, MTSF, SDG 5 and Agenda 2063. It was not evi</w:t>
      </w:r>
      <w:r w:rsidR="00380F2D" w:rsidRPr="00B217DC">
        <w:rPr>
          <w:rFonts w:cs="Arial"/>
          <w:bCs/>
          <w:color w:val="auto"/>
          <w:sz w:val="20"/>
          <w:szCs w:val="20"/>
          <w:lang w:val="en-GB"/>
        </w:rPr>
        <w:t>dent from the Annual Report under review.</w:t>
      </w:r>
    </w:p>
    <w:p w:rsidR="00312FCC" w:rsidRPr="00B217DC" w:rsidRDefault="00CF7338" w:rsidP="00B217DC">
      <w:pPr>
        <w:numPr>
          <w:ilvl w:val="0"/>
          <w:numId w:val="29"/>
        </w:numPr>
        <w:ind w:left="426"/>
        <w:rPr>
          <w:rFonts w:cs="Arial"/>
          <w:b/>
          <w:bCs/>
          <w:color w:val="auto"/>
          <w:sz w:val="20"/>
          <w:szCs w:val="20"/>
          <w:lang w:val="en-GB"/>
        </w:rPr>
      </w:pPr>
      <w:r w:rsidRPr="00B217DC">
        <w:rPr>
          <w:rFonts w:cs="Arial"/>
          <w:bCs/>
          <w:i/>
          <w:color w:val="auto"/>
          <w:sz w:val="20"/>
          <w:szCs w:val="20"/>
          <w:lang w:val="en-GB"/>
        </w:rPr>
        <w:t>SDG 5</w:t>
      </w:r>
      <w:r w:rsidRPr="00B217DC">
        <w:rPr>
          <w:rFonts w:cs="Arial"/>
          <w:bCs/>
          <w:color w:val="auto"/>
          <w:sz w:val="20"/>
          <w:szCs w:val="20"/>
          <w:lang w:val="en-GB"/>
        </w:rPr>
        <w:t xml:space="preserve">: </w:t>
      </w:r>
      <w:r w:rsidR="00312FCC" w:rsidRPr="00B217DC">
        <w:rPr>
          <w:rFonts w:cs="Arial"/>
          <w:bCs/>
          <w:color w:val="auto"/>
          <w:sz w:val="20"/>
          <w:szCs w:val="20"/>
          <w:lang w:val="en-GB"/>
        </w:rPr>
        <w:t xml:space="preserve">With 8 years left in order to achieve SDG 5, the Committee asked the Department </w:t>
      </w:r>
      <w:r w:rsidR="00380F2D" w:rsidRPr="00B217DC">
        <w:rPr>
          <w:rFonts w:cs="Arial"/>
          <w:bCs/>
          <w:color w:val="auto"/>
          <w:sz w:val="20"/>
          <w:szCs w:val="20"/>
          <w:lang w:val="en-GB"/>
        </w:rPr>
        <w:t xml:space="preserve">what </w:t>
      </w:r>
      <w:r w:rsidR="00312FCC" w:rsidRPr="00B217DC">
        <w:rPr>
          <w:rFonts w:cs="Arial"/>
          <w:bCs/>
          <w:color w:val="auto"/>
          <w:sz w:val="20"/>
          <w:szCs w:val="20"/>
          <w:lang w:val="en-GB"/>
        </w:rPr>
        <w:t>it proposes needs to be done in order to achieve the goals.</w:t>
      </w:r>
      <w:r w:rsidR="00380F2D" w:rsidRPr="00B217DC">
        <w:rPr>
          <w:rFonts w:cs="Arial"/>
          <w:bCs/>
          <w:color w:val="auto"/>
          <w:sz w:val="20"/>
          <w:szCs w:val="20"/>
          <w:lang w:val="en-GB"/>
        </w:rPr>
        <w:t xml:space="preserve"> Whilst reference was made to the SDG the Department did not clearly articulate what was required of Government.</w:t>
      </w:r>
    </w:p>
    <w:p w:rsidR="000D0709" w:rsidRPr="00B217DC" w:rsidRDefault="00CF7338" w:rsidP="00B217DC">
      <w:pPr>
        <w:numPr>
          <w:ilvl w:val="0"/>
          <w:numId w:val="29"/>
        </w:numPr>
        <w:ind w:left="426"/>
        <w:rPr>
          <w:rFonts w:cs="Arial"/>
          <w:bCs/>
          <w:color w:val="auto"/>
          <w:sz w:val="20"/>
          <w:szCs w:val="20"/>
        </w:rPr>
      </w:pPr>
      <w:r w:rsidRPr="00B217DC">
        <w:rPr>
          <w:rFonts w:cs="Arial"/>
          <w:bCs/>
          <w:i/>
          <w:color w:val="auto"/>
          <w:sz w:val="20"/>
          <w:szCs w:val="20"/>
          <w:lang w:val="en-GB"/>
        </w:rPr>
        <w:t>Vision and Mission</w:t>
      </w:r>
      <w:r w:rsidRPr="00B217DC">
        <w:rPr>
          <w:rFonts w:cs="Arial"/>
          <w:bCs/>
          <w:color w:val="auto"/>
          <w:sz w:val="20"/>
          <w:szCs w:val="20"/>
          <w:lang w:val="en-GB"/>
        </w:rPr>
        <w:t xml:space="preserve">: </w:t>
      </w:r>
      <w:r w:rsidR="00312FCC" w:rsidRPr="00B217DC">
        <w:rPr>
          <w:rFonts w:cs="Arial"/>
          <w:bCs/>
          <w:color w:val="auto"/>
          <w:sz w:val="20"/>
          <w:szCs w:val="20"/>
          <w:lang w:val="en-GB"/>
        </w:rPr>
        <w:t>The Committee questioned how the Department has ensured that the rights of women, youth and persons with disabilities</w:t>
      </w:r>
      <w:r w:rsidR="00312FCC" w:rsidRPr="00B217DC">
        <w:rPr>
          <w:rFonts w:cs="Arial"/>
          <w:b/>
          <w:bCs/>
          <w:color w:val="auto"/>
          <w:sz w:val="20"/>
          <w:szCs w:val="20"/>
          <w:lang w:val="en-GB"/>
        </w:rPr>
        <w:t xml:space="preserve"> </w:t>
      </w:r>
      <w:r w:rsidR="00380F2D" w:rsidRPr="00B217DC">
        <w:rPr>
          <w:rFonts w:cs="Arial"/>
          <w:bCs/>
          <w:color w:val="auto"/>
          <w:sz w:val="20"/>
          <w:szCs w:val="20"/>
          <w:lang w:val="en-GB"/>
        </w:rPr>
        <w:t>we</w:t>
      </w:r>
      <w:r w:rsidR="00312FCC" w:rsidRPr="00B217DC">
        <w:rPr>
          <w:rFonts w:cs="Arial"/>
          <w:bCs/>
          <w:color w:val="auto"/>
          <w:sz w:val="20"/>
          <w:szCs w:val="20"/>
          <w:lang w:val="en-GB"/>
        </w:rPr>
        <w:t>re realised in 2021/22. In addition, the Committee enquired about what the Department</w:t>
      </w:r>
      <w:r w:rsidR="00266EE4" w:rsidRPr="00B217DC">
        <w:rPr>
          <w:rFonts w:cs="Arial"/>
          <w:bCs/>
          <w:color w:val="auto"/>
          <w:sz w:val="20"/>
          <w:szCs w:val="20"/>
          <w:lang w:val="en-GB"/>
        </w:rPr>
        <w:t xml:space="preserve"> has</w:t>
      </w:r>
      <w:r w:rsidR="00312FCC" w:rsidRPr="00B217DC">
        <w:rPr>
          <w:rFonts w:cs="Arial"/>
          <w:bCs/>
          <w:color w:val="auto"/>
          <w:sz w:val="20"/>
          <w:szCs w:val="20"/>
          <w:lang w:val="en-GB"/>
        </w:rPr>
        <w:t xml:space="preserve"> done to regulate the rights of women, youth and persons with disabilities in 2021/22. Evidence in this regard was important for the Committee to consider how the Department then gave effect to its vision and mission during the year under review.</w:t>
      </w:r>
    </w:p>
    <w:p w:rsidR="00170BD2" w:rsidRPr="00B217DC" w:rsidRDefault="00CF7338" w:rsidP="00B217DC">
      <w:pPr>
        <w:pStyle w:val="ListParagraph"/>
        <w:numPr>
          <w:ilvl w:val="0"/>
          <w:numId w:val="29"/>
        </w:numPr>
        <w:ind w:left="426"/>
        <w:rPr>
          <w:rFonts w:cs="Arial"/>
          <w:color w:val="auto"/>
          <w:sz w:val="20"/>
          <w:szCs w:val="20"/>
          <w:lang w:val="en-GB"/>
        </w:rPr>
      </w:pPr>
      <w:r w:rsidRPr="00B217DC">
        <w:rPr>
          <w:rFonts w:cs="Arial"/>
          <w:i/>
          <w:color w:val="auto"/>
          <w:sz w:val="20"/>
          <w:szCs w:val="20"/>
          <w:lang w:val="en-GB"/>
        </w:rPr>
        <w:t>Key achievements</w:t>
      </w:r>
      <w:r w:rsidRPr="00B217DC">
        <w:rPr>
          <w:rFonts w:cs="Arial"/>
          <w:color w:val="auto"/>
          <w:sz w:val="20"/>
          <w:szCs w:val="20"/>
          <w:lang w:val="en-GB"/>
        </w:rPr>
        <w:t xml:space="preserve">: </w:t>
      </w:r>
      <w:r w:rsidR="00380F2D" w:rsidRPr="00B217DC">
        <w:rPr>
          <w:rFonts w:cs="Arial"/>
          <w:color w:val="auto"/>
          <w:sz w:val="20"/>
          <w:szCs w:val="20"/>
          <w:lang w:val="en-GB"/>
        </w:rPr>
        <w:t>The Committee questioned what of the Department’s key achievements for 2021/22 demonstrated the fulfilment of the Department’s vision and mission.</w:t>
      </w:r>
    </w:p>
    <w:p w:rsidR="00CF7338" w:rsidRPr="00B217DC" w:rsidRDefault="00CF7338" w:rsidP="00B217DC">
      <w:pPr>
        <w:pStyle w:val="ListParagraph"/>
        <w:numPr>
          <w:ilvl w:val="0"/>
          <w:numId w:val="29"/>
        </w:numPr>
        <w:ind w:left="426"/>
        <w:rPr>
          <w:rFonts w:cs="Arial"/>
          <w:color w:val="auto"/>
          <w:sz w:val="20"/>
          <w:szCs w:val="20"/>
          <w:lang w:val="en-GB"/>
        </w:rPr>
      </w:pPr>
      <w:r w:rsidRPr="00B217DC">
        <w:rPr>
          <w:rFonts w:cs="Arial"/>
          <w:i/>
          <w:color w:val="auto"/>
          <w:sz w:val="20"/>
          <w:szCs w:val="20"/>
          <w:lang w:val="en-GB"/>
        </w:rPr>
        <w:t>Visibility of Department</w:t>
      </w:r>
      <w:r w:rsidRPr="00B217DC">
        <w:rPr>
          <w:rFonts w:cs="Arial"/>
          <w:color w:val="auto"/>
          <w:sz w:val="20"/>
          <w:szCs w:val="20"/>
          <w:lang w:val="en-GB"/>
        </w:rPr>
        <w:t>: The Committee was concerned about the effectiveness of the Department’s Communication Unit in terms of issuing statements on time and marketing the Department.</w:t>
      </w:r>
    </w:p>
    <w:p w:rsidR="00380F2D" w:rsidRPr="00B217DC" w:rsidRDefault="00380F2D" w:rsidP="00B217DC">
      <w:pPr>
        <w:pStyle w:val="ListParagraph"/>
        <w:ind w:left="426"/>
        <w:rPr>
          <w:rFonts w:cs="Arial"/>
          <w:color w:val="auto"/>
          <w:sz w:val="20"/>
          <w:szCs w:val="20"/>
          <w:lang w:val="en-GB"/>
        </w:rPr>
      </w:pPr>
    </w:p>
    <w:p w:rsidR="00CF7338"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5</w:t>
      </w:r>
      <w:r w:rsidRPr="00B217DC">
        <w:rPr>
          <w:rFonts w:cs="Arial"/>
          <w:b/>
          <w:color w:val="auto"/>
          <w:sz w:val="20"/>
          <w:szCs w:val="20"/>
          <w:lang w:val="en-GB"/>
        </w:rPr>
        <w:t xml:space="preserve">.3 </w:t>
      </w:r>
      <w:r w:rsidR="00CF7338" w:rsidRPr="00B217DC">
        <w:rPr>
          <w:rFonts w:cs="Arial"/>
          <w:b/>
          <w:color w:val="auto"/>
          <w:sz w:val="20"/>
          <w:szCs w:val="20"/>
          <w:lang w:val="en-GB"/>
        </w:rPr>
        <w:t>Policy and Law Reform</w:t>
      </w:r>
    </w:p>
    <w:p w:rsidR="00CF7338" w:rsidRPr="00B217DC" w:rsidRDefault="00CF7338" w:rsidP="00B217DC">
      <w:pPr>
        <w:numPr>
          <w:ilvl w:val="0"/>
          <w:numId w:val="102"/>
        </w:numPr>
        <w:ind w:left="426" w:hanging="349"/>
        <w:rPr>
          <w:rFonts w:cs="Arial"/>
          <w:color w:val="auto"/>
          <w:sz w:val="20"/>
          <w:szCs w:val="20"/>
          <w:lang w:val="en-GB"/>
        </w:rPr>
      </w:pPr>
      <w:r w:rsidRPr="00B217DC">
        <w:rPr>
          <w:rFonts w:cs="Arial"/>
          <w:color w:val="auto"/>
          <w:sz w:val="20"/>
          <w:szCs w:val="20"/>
          <w:lang w:val="en-GB"/>
        </w:rPr>
        <w:t xml:space="preserve">The Committee questioned how accessible the Departments policies and frameworks were to the public when these are not listed on the website. The Committee asked how these policies were being popularised within government and society at large as the concern was these were not reaching the desired target. </w:t>
      </w:r>
    </w:p>
    <w:p w:rsidR="00CF7338" w:rsidRPr="00B217DC" w:rsidRDefault="00CF7338" w:rsidP="00B217DC">
      <w:pPr>
        <w:numPr>
          <w:ilvl w:val="0"/>
          <w:numId w:val="102"/>
        </w:numPr>
        <w:ind w:left="426" w:hanging="349"/>
        <w:rPr>
          <w:rFonts w:cs="Arial"/>
          <w:color w:val="auto"/>
          <w:sz w:val="20"/>
          <w:szCs w:val="20"/>
          <w:lang w:val="en-GB"/>
        </w:rPr>
      </w:pPr>
      <w:r w:rsidRPr="00B217DC">
        <w:rPr>
          <w:rFonts w:cs="Arial"/>
          <w:color w:val="auto"/>
          <w:sz w:val="20"/>
          <w:szCs w:val="20"/>
          <w:lang w:val="en-GB"/>
        </w:rPr>
        <w:t xml:space="preserve">The Committee enquired about the status of the WEGE Bill and what the timeframes for tabling the Bill in Parliament </w:t>
      </w:r>
      <w:r w:rsidR="00266EE4" w:rsidRPr="00B217DC">
        <w:rPr>
          <w:rFonts w:cs="Arial"/>
          <w:color w:val="auto"/>
          <w:sz w:val="20"/>
          <w:szCs w:val="20"/>
          <w:lang w:val="en-GB"/>
        </w:rPr>
        <w:t xml:space="preserve">were, </w:t>
      </w:r>
      <w:r w:rsidRPr="00B217DC">
        <w:rPr>
          <w:rFonts w:cs="Arial"/>
          <w:color w:val="auto"/>
          <w:sz w:val="20"/>
          <w:szCs w:val="20"/>
          <w:lang w:val="en-GB"/>
        </w:rPr>
        <w:t>as the proposed time frames referred to in the annual report were not met.</w:t>
      </w:r>
    </w:p>
    <w:p w:rsidR="00CF7338" w:rsidRPr="00B217DC" w:rsidRDefault="00CF7338" w:rsidP="00B217DC">
      <w:pPr>
        <w:numPr>
          <w:ilvl w:val="0"/>
          <w:numId w:val="102"/>
        </w:numPr>
        <w:ind w:left="426" w:hanging="349"/>
        <w:rPr>
          <w:rFonts w:cs="Arial"/>
          <w:b/>
          <w:color w:val="auto"/>
          <w:sz w:val="20"/>
          <w:szCs w:val="20"/>
          <w:lang w:val="en-GB"/>
        </w:rPr>
      </w:pPr>
      <w:r w:rsidRPr="00B217DC">
        <w:rPr>
          <w:rFonts w:cs="Arial"/>
          <w:color w:val="auto"/>
          <w:sz w:val="20"/>
          <w:szCs w:val="20"/>
          <w:lang w:val="en-GB"/>
        </w:rPr>
        <w:t>The Committee enquired about the current status of the Disability Rights Bill as progress in this regard did not find expression in the annual report under review. This was concerning.</w:t>
      </w:r>
    </w:p>
    <w:p w:rsidR="00CF7338" w:rsidRPr="00B217DC" w:rsidRDefault="00CF7338" w:rsidP="00B217DC">
      <w:pPr>
        <w:rPr>
          <w:rFonts w:cs="Arial"/>
          <w:color w:val="auto"/>
          <w:sz w:val="20"/>
          <w:szCs w:val="20"/>
          <w:lang w:val="en-GB"/>
        </w:rPr>
      </w:pPr>
    </w:p>
    <w:p w:rsidR="000D0709" w:rsidRPr="00B217DC" w:rsidRDefault="00CF7338" w:rsidP="00B217DC">
      <w:pPr>
        <w:rPr>
          <w:rFonts w:cs="Arial"/>
          <w:b/>
          <w:color w:val="auto"/>
          <w:sz w:val="20"/>
          <w:szCs w:val="20"/>
          <w:lang w:val="en-GB"/>
        </w:rPr>
      </w:pPr>
      <w:r w:rsidRPr="00B217DC">
        <w:rPr>
          <w:rFonts w:cs="Arial"/>
          <w:b/>
          <w:color w:val="auto"/>
          <w:sz w:val="20"/>
          <w:szCs w:val="20"/>
          <w:lang w:val="en-GB"/>
        </w:rPr>
        <w:t xml:space="preserve">15.4 </w:t>
      </w:r>
      <w:r w:rsidR="000D0709" w:rsidRPr="00B217DC">
        <w:rPr>
          <w:rFonts w:cs="Arial"/>
          <w:b/>
          <w:color w:val="auto"/>
          <w:sz w:val="20"/>
          <w:szCs w:val="20"/>
          <w:lang w:val="en-GB"/>
        </w:rPr>
        <w:t>Performance of Programme 1</w:t>
      </w:r>
      <w:r w:rsidR="00466784" w:rsidRPr="00B217DC">
        <w:rPr>
          <w:rFonts w:cs="Arial"/>
          <w:b/>
          <w:color w:val="auto"/>
          <w:sz w:val="20"/>
          <w:szCs w:val="20"/>
          <w:lang w:val="en-GB"/>
        </w:rPr>
        <w:t>: Administration</w:t>
      </w:r>
    </w:p>
    <w:p w:rsidR="00CF7338" w:rsidRPr="00B217DC" w:rsidRDefault="00CF7338" w:rsidP="00B217DC">
      <w:pPr>
        <w:rPr>
          <w:rFonts w:cs="Arial"/>
          <w:b/>
          <w:color w:val="auto"/>
          <w:sz w:val="20"/>
          <w:szCs w:val="20"/>
          <w:lang w:val="en-GB"/>
        </w:rPr>
      </w:pPr>
      <w:r w:rsidRPr="00B217DC">
        <w:rPr>
          <w:rFonts w:cs="Arial"/>
          <w:b/>
          <w:color w:val="auto"/>
          <w:sz w:val="20"/>
          <w:szCs w:val="20"/>
          <w:lang w:val="en-GB"/>
        </w:rPr>
        <w:t>15.4.1 Overview of Programme 1 Performance</w:t>
      </w:r>
    </w:p>
    <w:p w:rsidR="00D41358" w:rsidRPr="00B217DC" w:rsidRDefault="000D0709" w:rsidP="00B217DC">
      <w:pPr>
        <w:pStyle w:val="ListParagraph"/>
        <w:numPr>
          <w:ilvl w:val="0"/>
          <w:numId w:val="80"/>
        </w:numPr>
        <w:ind w:left="426"/>
        <w:rPr>
          <w:rFonts w:cs="Arial"/>
          <w:color w:val="auto"/>
          <w:sz w:val="20"/>
          <w:szCs w:val="20"/>
          <w:lang w:val="en-GB"/>
        </w:rPr>
      </w:pPr>
      <w:r w:rsidRPr="00B217DC">
        <w:rPr>
          <w:rFonts w:cs="Arial"/>
          <w:color w:val="auto"/>
          <w:sz w:val="20"/>
          <w:szCs w:val="20"/>
          <w:lang w:val="en-GB"/>
        </w:rPr>
        <w:t xml:space="preserve">The Committee </w:t>
      </w:r>
      <w:r w:rsidR="00D41358" w:rsidRPr="00B217DC">
        <w:rPr>
          <w:rFonts w:cs="Arial"/>
          <w:color w:val="auto"/>
          <w:sz w:val="20"/>
          <w:szCs w:val="20"/>
          <w:lang w:val="en-GB"/>
        </w:rPr>
        <w:t xml:space="preserve">observed </w:t>
      </w:r>
      <w:r w:rsidRPr="00B217DC">
        <w:rPr>
          <w:rFonts w:cs="Arial"/>
          <w:color w:val="auto"/>
          <w:sz w:val="20"/>
          <w:szCs w:val="20"/>
          <w:lang w:val="en-GB"/>
        </w:rPr>
        <w:t>that in Programme 1,</w:t>
      </w:r>
      <w:r w:rsidR="00D41358" w:rsidRPr="00B217DC">
        <w:rPr>
          <w:rFonts w:cs="Arial"/>
          <w:color w:val="auto"/>
          <w:sz w:val="20"/>
          <w:szCs w:val="20"/>
          <w:lang w:val="en-GB"/>
        </w:rPr>
        <w:t xml:space="preserve"> 66.7</w:t>
      </w:r>
      <w:r w:rsidRPr="00B217DC">
        <w:rPr>
          <w:rFonts w:cs="Arial"/>
          <w:color w:val="auto"/>
          <w:sz w:val="20"/>
          <w:szCs w:val="20"/>
          <w:lang w:val="en-GB"/>
        </w:rPr>
        <w:t>%</w:t>
      </w:r>
      <w:r w:rsidR="00D41358" w:rsidRPr="00B217DC">
        <w:rPr>
          <w:rFonts w:cs="Arial"/>
          <w:color w:val="auto"/>
          <w:sz w:val="20"/>
          <w:szCs w:val="20"/>
          <w:lang w:val="en-GB"/>
        </w:rPr>
        <w:t xml:space="preserve"> (4/6)</w:t>
      </w:r>
      <w:r w:rsidRPr="00B217DC">
        <w:rPr>
          <w:rFonts w:cs="Arial"/>
          <w:color w:val="auto"/>
          <w:sz w:val="20"/>
          <w:szCs w:val="20"/>
          <w:lang w:val="en-GB"/>
        </w:rPr>
        <w:t xml:space="preserve"> of its targets were achieved</w:t>
      </w:r>
      <w:r w:rsidR="00D41358" w:rsidRPr="00B217DC">
        <w:rPr>
          <w:rFonts w:cs="Arial"/>
          <w:color w:val="auto"/>
          <w:sz w:val="20"/>
          <w:szCs w:val="20"/>
          <w:lang w:val="en-GB"/>
        </w:rPr>
        <w:t xml:space="preserve"> and</w:t>
      </w:r>
      <w:r w:rsidRPr="00B217DC">
        <w:rPr>
          <w:rFonts w:cs="Arial"/>
          <w:color w:val="auto"/>
          <w:sz w:val="20"/>
          <w:szCs w:val="20"/>
          <w:lang w:val="en-GB"/>
        </w:rPr>
        <w:t xml:space="preserve"> </w:t>
      </w:r>
      <w:r w:rsidR="00D41358" w:rsidRPr="00B217DC">
        <w:rPr>
          <w:rFonts w:cs="Arial"/>
          <w:color w:val="auto"/>
          <w:sz w:val="20"/>
          <w:szCs w:val="20"/>
          <w:lang w:val="en-GB"/>
        </w:rPr>
        <w:t>92.4</w:t>
      </w:r>
      <w:r w:rsidRPr="00B217DC">
        <w:rPr>
          <w:rFonts w:cs="Arial"/>
          <w:color w:val="auto"/>
          <w:sz w:val="20"/>
          <w:szCs w:val="20"/>
          <w:lang w:val="en-GB"/>
        </w:rPr>
        <w:t>% of its budget was spent</w:t>
      </w:r>
      <w:r w:rsidR="00D41358" w:rsidRPr="00B217DC">
        <w:rPr>
          <w:rFonts w:cs="Arial"/>
          <w:color w:val="auto"/>
          <w:sz w:val="20"/>
          <w:szCs w:val="20"/>
          <w:lang w:val="en-GB"/>
        </w:rPr>
        <w:t>.</w:t>
      </w:r>
    </w:p>
    <w:p w:rsidR="000D0709" w:rsidRPr="00B217DC" w:rsidRDefault="00D41358" w:rsidP="00B217DC">
      <w:pPr>
        <w:pStyle w:val="ListParagraph"/>
        <w:numPr>
          <w:ilvl w:val="0"/>
          <w:numId w:val="80"/>
        </w:numPr>
        <w:ind w:left="426"/>
        <w:rPr>
          <w:rFonts w:cs="Arial"/>
          <w:color w:val="auto"/>
          <w:sz w:val="20"/>
          <w:szCs w:val="20"/>
          <w:lang w:val="en-GB"/>
        </w:rPr>
      </w:pPr>
      <w:r w:rsidRPr="00B217DC">
        <w:rPr>
          <w:rFonts w:cs="Arial"/>
          <w:color w:val="auto"/>
          <w:sz w:val="20"/>
          <w:szCs w:val="20"/>
          <w:lang w:val="en-GB"/>
        </w:rPr>
        <w:t xml:space="preserve">This programme continued to have </w:t>
      </w:r>
      <w:r w:rsidR="000D0709" w:rsidRPr="00B217DC">
        <w:rPr>
          <w:rFonts w:cs="Arial"/>
          <w:color w:val="auto"/>
          <w:sz w:val="20"/>
          <w:szCs w:val="20"/>
          <w:lang w:val="en-GB"/>
        </w:rPr>
        <w:t>the largest staff cohort</w:t>
      </w:r>
      <w:r w:rsidRPr="00B217DC">
        <w:rPr>
          <w:rFonts w:cs="Arial"/>
          <w:color w:val="auto"/>
          <w:sz w:val="20"/>
          <w:szCs w:val="20"/>
          <w:lang w:val="en-GB"/>
        </w:rPr>
        <w:t xml:space="preserve"> within the Department – 69 posts filled with 16 posts additional to the establishment and 6 vacancies</w:t>
      </w:r>
      <w:r w:rsidR="000D0709" w:rsidRPr="00B217DC">
        <w:rPr>
          <w:rFonts w:cs="Arial"/>
          <w:color w:val="auto"/>
          <w:sz w:val="20"/>
          <w:szCs w:val="20"/>
          <w:lang w:val="en-GB"/>
        </w:rPr>
        <w:t xml:space="preserve">. </w:t>
      </w:r>
    </w:p>
    <w:p w:rsidR="000D0709" w:rsidRPr="00B217DC" w:rsidRDefault="000D0709" w:rsidP="00B217DC">
      <w:pPr>
        <w:ind w:left="360"/>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5</w:t>
      </w:r>
      <w:r w:rsidR="00466784" w:rsidRPr="00B217DC">
        <w:rPr>
          <w:rFonts w:cs="Arial"/>
          <w:b/>
          <w:color w:val="auto"/>
          <w:sz w:val="20"/>
          <w:szCs w:val="20"/>
          <w:lang w:val="en-GB"/>
        </w:rPr>
        <w:t>.</w:t>
      </w:r>
      <w:r w:rsidR="00CF7338" w:rsidRPr="00B217DC">
        <w:rPr>
          <w:rFonts w:cs="Arial"/>
          <w:b/>
          <w:color w:val="auto"/>
          <w:sz w:val="20"/>
          <w:szCs w:val="20"/>
          <w:lang w:val="en-GB"/>
        </w:rPr>
        <w:t>4</w:t>
      </w:r>
      <w:r w:rsidRPr="00B217DC">
        <w:rPr>
          <w:rFonts w:cs="Arial"/>
          <w:b/>
          <w:color w:val="auto"/>
          <w:sz w:val="20"/>
          <w:szCs w:val="20"/>
          <w:lang w:val="en-GB"/>
        </w:rPr>
        <w:t>.</w:t>
      </w:r>
      <w:r w:rsidR="00CF7338" w:rsidRPr="00B217DC">
        <w:rPr>
          <w:rFonts w:cs="Arial"/>
          <w:b/>
          <w:color w:val="auto"/>
          <w:sz w:val="20"/>
          <w:szCs w:val="20"/>
          <w:lang w:val="en-GB"/>
        </w:rPr>
        <w:t>2</w:t>
      </w:r>
      <w:r w:rsidRPr="00B217DC">
        <w:rPr>
          <w:rFonts w:cs="Arial"/>
          <w:b/>
          <w:color w:val="auto"/>
          <w:sz w:val="20"/>
          <w:szCs w:val="20"/>
          <w:lang w:val="en-GB"/>
        </w:rPr>
        <w:t xml:space="preserve"> Human Resources</w:t>
      </w:r>
    </w:p>
    <w:p w:rsidR="00566F8C" w:rsidRPr="00B217DC" w:rsidRDefault="00566F8C" w:rsidP="00B217DC">
      <w:pPr>
        <w:numPr>
          <w:ilvl w:val="0"/>
          <w:numId w:val="28"/>
        </w:numPr>
        <w:ind w:left="426"/>
        <w:rPr>
          <w:rFonts w:cs="Arial"/>
          <w:color w:val="auto"/>
          <w:sz w:val="20"/>
          <w:szCs w:val="20"/>
        </w:rPr>
      </w:pPr>
      <w:r w:rsidRPr="00B217DC">
        <w:rPr>
          <w:rFonts w:cs="Arial"/>
          <w:i/>
          <w:color w:val="auto"/>
          <w:sz w:val="20"/>
          <w:szCs w:val="20"/>
          <w:lang w:val="en-GB"/>
        </w:rPr>
        <w:t>Skilled personnel</w:t>
      </w:r>
      <w:r w:rsidR="00FB7FAD" w:rsidRPr="00B217DC">
        <w:rPr>
          <w:rFonts w:cs="Arial"/>
          <w:i/>
          <w:color w:val="auto"/>
          <w:sz w:val="20"/>
          <w:szCs w:val="20"/>
          <w:lang w:val="en-GB"/>
        </w:rPr>
        <w:t xml:space="preserve"> vs Lack of capacity</w:t>
      </w:r>
      <w:r w:rsidR="00FB7FAD" w:rsidRPr="00B217DC">
        <w:rPr>
          <w:rFonts w:cs="Arial"/>
          <w:color w:val="auto"/>
          <w:sz w:val="20"/>
          <w:szCs w:val="20"/>
          <w:lang w:val="en-GB"/>
        </w:rPr>
        <w:t>: The Committee observed that</w:t>
      </w:r>
      <w:r w:rsidRPr="00B217DC">
        <w:rPr>
          <w:rFonts w:cs="Arial"/>
          <w:color w:val="auto"/>
          <w:sz w:val="20"/>
          <w:szCs w:val="20"/>
        </w:rPr>
        <w:t xml:space="preserve"> of the 18</w:t>
      </w:r>
      <w:r w:rsidR="008172DA" w:rsidRPr="00B217DC">
        <w:rPr>
          <w:rFonts w:cs="Arial"/>
          <w:color w:val="auto"/>
          <w:sz w:val="20"/>
          <w:szCs w:val="20"/>
        </w:rPr>
        <w:t>5</w:t>
      </w:r>
      <w:r w:rsidRPr="00B217DC">
        <w:rPr>
          <w:rFonts w:cs="Arial"/>
          <w:color w:val="auto"/>
          <w:sz w:val="20"/>
          <w:szCs w:val="20"/>
          <w:u w:val="single"/>
        </w:rPr>
        <w:t xml:space="preserve"> employees paid</w:t>
      </w:r>
      <w:r w:rsidRPr="00B217DC">
        <w:rPr>
          <w:rFonts w:cs="Arial"/>
          <w:color w:val="auto"/>
          <w:sz w:val="20"/>
          <w:szCs w:val="20"/>
        </w:rPr>
        <w:t xml:space="preserve"> in 2020/21,</w:t>
      </w:r>
      <w:r w:rsidR="008172DA" w:rsidRPr="00B217DC">
        <w:rPr>
          <w:rFonts w:cs="Arial"/>
          <w:color w:val="auto"/>
          <w:sz w:val="20"/>
          <w:szCs w:val="20"/>
        </w:rPr>
        <w:t xml:space="preserve"> </w:t>
      </w:r>
      <w:r w:rsidRPr="00B217DC">
        <w:rPr>
          <w:rFonts w:cs="Arial"/>
          <w:color w:val="auto"/>
          <w:sz w:val="20"/>
          <w:szCs w:val="20"/>
        </w:rPr>
        <w:t>5</w:t>
      </w:r>
      <w:r w:rsidR="008172DA" w:rsidRPr="00B217DC">
        <w:rPr>
          <w:rFonts w:cs="Arial"/>
          <w:color w:val="auto"/>
          <w:sz w:val="20"/>
          <w:szCs w:val="20"/>
        </w:rPr>
        <w:t>1</w:t>
      </w:r>
      <w:r w:rsidRPr="00B217DC">
        <w:rPr>
          <w:rFonts w:cs="Arial"/>
          <w:color w:val="auto"/>
          <w:sz w:val="20"/>
          <w:szCs w:val="20"/>
          <w:u w:val="single"/>
        </w:rPr>
        <w:t xml:space="preserve"> (32%) officials</w:t>
      </w:r>
      <w:r w:rsidRPr="00B217DC">
        <w:rPr>
          <w:rFonts w:cs="Arial"/>
          <w:color w:val="auto"/>
          <w:sz w:val="20"/>
          <w:szCs w:val="20"/>
        </w:rPr>
        <w:t xml:space="preserve"> were in </w:t>
      </w:r>
      <w:r w:rsidRPr="00B217DC">
        <w:rPr>
          <w:rFonts w:cs="Arial"/>
          <w:color w:val="auto"/>
          <w:sz w:val="20"/>
          <w:szCs w:val="20"/>
          <w:u w:val="single"/>
        </w:rPr>
        <w:t>senior management</w:t>
      </w:r>
      <w:r w:rsidRPr="00B217DC">
        <w:rPr>
          <w:rFonts w:cs="Arial"/>
          <w:color w:val="auto"/>
          <w:sz w:val="20"/>
          <w:szCs w:val="20"/>
        </w:rPr>
        <w:t xml:space="preserve"> </w:t>
      </w:r>
      <w:r w:rsidR="00266EE4" w:rsidRPr="00B217DC">
        <w:rPr>
          <w:rFonts w:cs="Arial"/>
          <w:color w:val="auto"/>
          <w:sz w:val="20"/>
          <w:szCs w:val="20"/>
        </w:rPr>
        <w:t>while</w:t>
      </w:r>
      <w:r w:rsidRPr="00B217DC">
        <w:rPr>
          <w:rFonts w:cs="Arial"/>
          <w:color w:val="auto"/>
          <w:sz w:val="20"/>
          <w:szCs w:val="20"/>
        </w:rPr>
        <w:t xml:space="preserve"> </w:t>
      </w:r>
      <w:r w:rsidRPr="00B217DC">
        <w:rPr>
          <w:rFonts w:cs="Arial"/>
          <w:color w:val="auto"/>
          <w:sz w:val="20"/>
          <w:szCs w:val="20"/>
          <w:u w:val="single"/>
        </w:rPr>
        <w:t>10</w:t>
      </w:r>
      <w:r w:rsidR="008172DA" w:rsidRPr="00B217DC">
        <w:rPr>
          <w:rFonts w:cs="Arial"/>
          <w:color w:val="auto"/>
          <w:sz w:val="20"/>
          <w:szCs w:val="20"/>
          <w:u w:val="single"/>
        </w:rPr>
        <w:t>7</w:t>
      </w:r>
      <w:r w:rsidRPr="00B217DC">
        <w:rPr>
          <w:rFonts w:cs="Arial"/>
          <w:color w:val="auto"/>
          <w:sz w:val="20"/>
          <w:szCs w:val="20"/>
          <w:u w:val="single"/>
        </w:rPr>
        <w:t xml:space="preserve"> (</w:t>
      </w:r>
      <w:r w:rsidR="008172DA" w:rsidRPr="00B217DC">
        <w:rPr>
          <w:rFonts w:cs="Arial"/>
          <w:color w:val="auto"/>
          <w:sz w:val="20"/>
          <w:szCs w:val="20"/>
          <w:u w:val="single"/>
        </w:rPr>
        <w:t>46.4</w:t>
      </w:r>
      <w:r w:rsidRPr="00B217DC">
        <w:rPr>
          <w:rFonts w:cs="Arial"/>
          <w:color w:val="auto"/>
          <w:sz w:val="20"/>
          <w:szCs w:val="20"/>
          <w:u w:val="single"/>
        </w:rPr>
        <w:t>%)</w:t>
      </w:r>
      <w:r w:rsidRPr="00B217DC">
        <w:rPr>
          <w:rFonts w:cs="Arial"/>
          <w:color w:val="auto"/>
          <w:sz w:val="20"/>
          <w:szCs w:val="20"/>
        </w:rPr>
        <w:t xml:space="preserve"> fell within the </w:t>
      </w:r>
      <w:r w:rsidRPr="00B217DC">
        <w:rPr>
          <w:rFonts w:cs="Arial"/>
          <w:color w:val="auto"/>
          <w:sz w:val="20"/>
          <w:szCs w:val="20"/>
          <w:u w:val="single"/>
        </w:rPr>
        <w:t xml:space="preserve">highly skilled </w:t>
      </w:r>
      <w:r w:rsidR="008172DA" w:rsidRPr="00B217DC">
        <w:rPr>
          <w:rFonts w:cs="Arial"/>
          <w:color w:val="auto"/>
          <w:sz w:val="20"/>
          <w:szCs w:val="20"/>
          <w:u w:val="single"/>
        </w:rPr>
        <w:t>production</w:t>
      </w:r>
      <w:r w:rsidR="00A97AAE" w:rsidRPr="00B217DC">
        <w:rPr>
          <w:rFonts w:cs="Arial"/>
          <w:color w:val="auto"/>
          <w:sz w:val="20"/>
          <w:szCs w:val="20"/>
          <w:u w:val="single"/>
        </w:rPr>
        <w:t xml:space="preserve"> (49)</w:t>
      </w:r>
      <w:r w:rsidR="008172DA" w:rsidRPr="00B217DC">
        <w:rPr>
          <w:rFonts w:cs="Arial"/>
          <w:color w:val="auto"/>
          <w:sz w:val="20"/>
          <w:szCs w:val="20"/>
          <w:u w:val="single"/>
        </w:rPr>
        <w:t xml:space="preserve"> and supervision </w:t>
      </w:r>
      <w:r w:rsidR="00A97AAE" w:rsidRPr="00B217DC">
        <w:rPr>
          <w:rFonts w:cs="Arial"/>
          <w:color w:val="auto"/>
          <w:sz w:val="20"/>
          <w:szCs w:val="20"/>
          <w:u w:val="single"/>
        </w:rPr>
        <w:t xml:space="preserve">(51) </w:t>
      </w:r>
      <w:r w:rsidRPr="00B217DC">
        <w:rPr>
          <w:rFonts w:cs="Arial"/>
          <w:color w:val="auto"/>
          <w:sz w:val="20"/>
          <w:szCs w:val="20"/>
        </w:rPr>
        <w:t xml:space="preserve">category. </w:t>
      </w:r>
      <w:r w:rsidR="008172DA" w:rsidRPr="00B217DC">
        <w:rPr>
          <w:rFonts w:cs="Arial"/>
          <w:color w:val="auto"/>
          <w:sz w:val="20"/>
          <w:szCs w:val="20"/>
        </w:rPr>
        <w:t>As such 158 (47.4%) employees</w:t>
      </w:r>
      <w:r w:rsidRPr="00B217DC">
        <w:rPr>
          <w:rFonts w:cs="Arial"/>
          <w:color w:val="auto"/>
          <w:sz w:val="20"/>
          <w:szCs w:val="20"/>
        </w:rPr>
        <w:t xml:space="preserve"> within the Department, </w:t>
      </w:r>
      <w:r w:rsidR="00266EE4" w:rsidRPr="00B217DC">
        <w:rPr>
          <w:rFonts w:cs="Arial"/>
          <w:color w:val="auto"/>
          <w:sz w:val="20"/>
          <w:szCs w:val="20"/>
        </w:rPr>
        <w:t xml:space="preserve">i.e. </w:t>
      </w:r>
      <w:r w:rsidR="008172DA" w:rsidRPr="00B217DC">
        <w:rPr>
          <w:rFonts w:cs="Arial"/>
          <w:color w:val="auto"/>
          <w:sz w:val="20"/>
          <w:szCs w:val="20"/>
        </w:rPr>
        <w:t>just under half of its workforce</w:t>
      </w:r>
      <w:r w:rsidR="00DC741A" w:rsidRPr="00B217DC">
        <w:rPr>
          <w:rFonts w:cs="Arial"/>
          <w:color w:val="auto"/>
          <w:sz w:val="20"/>
          <w:szCs w:val="20"/>
        </w:rPr>
        <w:t>,</w:t>
      </w:r>
      <w:r w:rsidR="008172DA" w:rsidRPr="00B217DC">
        <w:rPr>
          <w:rFonts w:cs="Arial"/>
          <w:color w:val="auto"/>
          <w:sz w:val="20"/>
          <w:szCs w:val="20"/>
        </w:rPr>
        <w:t xml:space="preserve"> is</w:t>
      </w:r>
      <w:r w:rsidRPr="00B217DC">
        <w:rPr>
          <w:rFonts w:cs="Arial"/>
          <w:color w:val="auto"/>
          <w:sz w:val="20"/>
          <w:szCs w:val="20"/>
        </w:rPr>
        <w:t xml:space="preserve"> meant to have the requisite skills to function at a high end level </w:t>
      </w:r>
      <w:r w:rsidR="008172DA" w:rsidRPr="00B217DC">
        <w:rPr>
          <w:rFonts w:cs="Arial"/>
          <w:color w:val="auto"/>
          <w:sz w:val="20"/>
          <w:szCs w:val="20"/>
        </w:rPr>
        <w:t>given their employment ranking. As</w:t>
      </w:r>
      <w:r w:rsidRPr="00B217DC">
        <w:rPr>
          <w:rFonts w:cs="Arial"/>
          <w:color w:val="auto"/>
          <w:sz w:val="20"/>
          <w:szCs w:val="20"/>
        </w:rPr>
        <w:t xml:space="preserve"> such the expectation would be that the Department should be able to yield the necessary deliverables in order to give effect to its mandate and achieve the goals it has set out. Yet</w:t>
      </w:r>
      <w:r w:rsidR="008172DA" w:rsidRPr="00B217DC">
        <w:rPr>
          <w:rFonts w:cs="Arial"/>
          <w:color w:val="auto"/>
          <w:sz w:val="20"/>
          <w:szCs w:val="20"/>
        </w:rPr>
        <w:t xml:space="preserve"> the Department maintains that it has a</w:t>
      </w:r>
      <w:r w:rsidRPr="00B217DC">
        <w:rPr>
          <w:rFonts w:cs="Arial"/>
          <w:color w:val="auto"/>
          <w:sz w:val="20"/>
          <w:szCs w:val="20"/>
        </w:rPr>
        <w:t xml:space="preserve"> lack of capacity </w:t>
      </w:r>
      <w:r w:rsidR="008172DA" w:rsidRPr="00B217DC">
        <w:rPr>
          <w:rFonts w:cs="Arial"/>
          <w:color w:val="auto"/>
          <w:sz w:val="20"/>
          <w:szCs w:val="20"/>
        </w:rPr>
        <w:t>and is reliant on outsourcing services</w:t>
      </w:r>
      <w:r w:rsidRPr="00B217DC">
        <w:rPr>
          <w:rFonts w:cs="Arial"/>
          <w:color w:val="auto"/>
          <w:sz w:val="20"/>
          <w:szCs w:val="20"/>
        </w:rPr>
        <w:t xml:space="preserve">. </w:t>
      </w:r>
    </w:p>
    <w:p w:rsidR="005E2D6C" w:rsidRPr="00B217DC" w:rsidRDefault="00566F8C" w:rsidP="00B217DC">
      <w:pPr>
        <w:numPr>
          <w:ilvl w:val="0"/>
          <w:numId w:val="28"/>
        </w:numPr>
        <w:ind w:left="426"/>
        <w:rPr>
          <w:rFonts w:cs="Arial"/>
          <w:color w:val="auto"/>
          <w:sz w:val="20"/>
          <w:szCs w:val="20"/>
          <w:lang w:val="en-GB"/>
        </w:rPr>
      </w:pPr>
      <w:r w:rsidRPr="00B217DC">
        <w:rPr>
          <w:rFonts w:cs="Arial"/>
          <w:i/>
          <w:color w:val="auto"/>
          <w:sz w:val="20"/>
          <w:szCs w:val="20"/>
          <w:lang w:val="en-GB"/>
        </w:rPr>
        <w:t>SMS cost</w:t>
      </w:r>
      <w:r w:rsidRPr="00B217DC">
        <w:rPr>
          <w:rFonts w:cs="Arial"/>
          <w:color w:val="auto"/>
          <w:sz w:val="20"/>
          <w:szCs w:val="20"/>
        </w:rPr>
        <w:t xml:space="preserve">: The Committee observes that for the year under review, Senior </w:t>
      </w:r>
      <w:r w:rsidR="00FD1254" w:rsidRPr="00B217DC">
        <w:rPr>
          <w:rFonts w:cs="Arial"/>
          <w:color w:val="auto"/>
          <w:sz w:val="20"/>
          <w:szCs w:val="20"/>
        </w:rPr>
        <w:t>M</w:t>
      </w:r>
      <w:r w:rsidRPr="00B217DC">
        <w:rPr>
          <w:rFonts w:cs="Arial"/>
          <w:color w:val="auto"/>
          <w:sz w:val="20"/>
          <w:szCs w:val="20"/>
        </w:rPr>
        <w:t>anagement constitute</w:t>
      </w:r>
      <w:r w:rsidR="00F75822" w:rsidRPr="00B217DC">
        <w:rPr>
          <w:rFonts w:cs="Arial"/>
          <w:color w:val="auto"/>
          <w:sz w:val="20"/>
          <w:szCs w:val="20"/>
        </w:rPr>
        <w:t>d</w:t>
      </w:r>
      <w:r w:rsidR="008172DA" w:rsidRPr="00B217DC">
        <w:rPr>
          <w:rFonts w:cs="Arial"/>
          <w:color w:val="auto"/>
          <w:sz w:val="20"/>
          <w:szCs w:val="20"/>
        </w:rPr>
        <w:t xml:space="preserve"> 49.3</w:t>
      </w:r>
      <w:r w:rsidRPr="00B217DC">
        <w:rPr>
          <w:rFonts w:cs="Arial"/>
          <w:color w:val="auto"/>
          <w:sz w:val="20"/>
          <w:szCs w:val="20"/>
        </w:rPr>
        <w:t>% (R5</w:t>
      </w:r>
      <w:r w:rsidR="008172DA" w:rsidRPr="00B217DC">
        <w:rPr>
          <w:rFonts w:cs="Arial"/>
          <w:color w:val="auto"/>
          <w:sz w:val="20"/>
          <w:szCs w:val="20"/>
        </w:rPr>
        <w:t>6,914</w:t>
      </w:r>
      <w:r w:rsidRPr="00B217DC">
        <w:rPr>
          <w:rFonts w:cs="Arial"/>
          <w:color w:val="auto"/>
          <w:sz w:val="20"/>
          <w:szCs w:val="20"/>
        </w:rPr>
        <w:t xml:space="preserve"> million) of the personnel cost and the highly skilled </w:t>
      </w:r>
      <w:r w:rsidR="008172DA" w:rsidRPr="00B217DC">
        <w:rPr>
          <w:rFonts w:cs="Arial"/>
          <w:color w:val="auto"/>
          <w:sz w:val="20"/>
          <w:szCs w:val="20"/>
        </w:rPr>
        <w:t xml:space="preserve">supervision </w:t>
      </w:r>
      <w:r w:rsidRPr="00B217DC">
        <w:rPr>
          <w:rFonts w:cs="Arial"/>
          <w:color w:val="auto"/>
          <w:sz w:val="20"/>
          <w:szCs w:val="20"/>
        </w:rPr>
        <w:t xml:space="preserve">(levels 9-12) </w:t>
      </w:r>
      <w:r w:rsidR="008172DA" w:rsidRPr="00B217DC">
        <w:rPr>
          <w:rFonts w:cs="Arial"/>
          <w:color w:val="auto"/>
          <w:sz w:val="20"/>
          <w:szCs w:val="20"/>
        </w:rPr>
        <w:t>31.8</w:t>
      </w:r>
      <w:r w:rsidRPr="00B217DC">
        <w:rPr>
          <w:rFonts w:cs="Arial"/>
          <w:color w:val="auto"/>
          <w:sz w:val="20"/>
          <w:szCs w:val="20"/>
        </w:rPr>
        <w:t>% (R</w:t>
      </w:r>
      <w:r w:rsidR="008172DA" w:rsidRPr="00B217DC">
        <w:rPr>
          <w:rFonts w:cs="Arial"/>
          <w:color w:val="auto"/>
          <w:sz w:val="20"/>
          <w:szCs w:val="20"/>
        </w:rPr>
        <w:t>36,690</w:t>
      </w:r>
      <w:r w:rsidRPr="00B217DC">
        <w:rPr>
          <w:rFonts w:cs="Arial"/>
          <w:color w:val="auto"/>
          <w:sz w:val="20"/>
          <w:szCs w:val="20"/>
        </w:rPr>
        <w:t xml:space="preserve"> million). </w:t>
      </w:r>
    </w:p>
    <w:p w:rsidR="005E2D6C" w:rsidRPr="00B217DC" w:rsidRDefault="005E2D6C" w:rsidP="00B217DC">
      <w:pPr>
        <w:numPr>
          <w:ilvl w:val="0"/>
          <w:numId w:val="28"/>
        </w:numPr>
        <w:ind w:left="426"/>
        <w:rPr>
          <w:rFonts w:cs="Arial"/>
          <w:color w:val="auto"/>
          <w:sz w:val="20"/>
          <w:szCs w:val="20"/>
          <w:lang w:val="en-GB"/>
        </w:rPr>
      </w:pPr>
      <w:r w:rsidRPr="00B217DC">
        <w:rPr>
          <w:rFonts w:cs="Arial"/>
          <w:i/>
          <w:color w:val="auto"/>
          <w:sz w:val="20"/>
          <w:szCs w:val="20"/>
          <w:lang w:val="en-GB"/>
        </w:rPr>
        <w:t>Gender parity</w:t>
      </w:r>
      <w:r w:rsidRPr="00B217DC">
        <w:rPr>
          <w:rFonts w:cs="Arial"/>
          <w:color w:val="auto"/>
          <w:sz w:val="20"/>
          <w:szCs w:val="20"/>
          <w:lang w:val="en-GB"/>
        </w:rPr>
        <w:t>: The Committee observed that despite a predominantly large female workforce (66%, 89/135), the majority of women (36) are in clerical positions, while 27 occupy professional positions</w:t>
      </w:r>
      <w:r w:rsidR="00834368" w:rsidRPr="00B217DC">
        <w:rPr>
          <w:rFonts w:cs="Arial"/>
          <w:color w:val="auto"/>
          <w:sz w:val="20"/>
          <w:szCs w:val="20"/>
          <w:lang w:val="en-GB"/>
        </w:rPr>
        <w:t xml:space="preserve"> and 21 fall within the “legislators, senior officials and managers” category</w:t>
      </w:r>
      <w:r w:rsidRPr="00B217DC">
        <w:rPr>
          <w:rFonts w:cs="Arial"/>
          <w:color w:val="auto"/>
          <w:sz w:val="20"/>
          <w:szCs w:val="20"/>
          <w:lang w:val="en-GB"/>
        </w:rPr>
        <w:t>. Furthermore, the majority of males employed in the Department are in “legislators, senior officials and managers” positions (1</w:t>
      </w:r>
      <w:r w:rsidR="00834368" w:rsidRPr="00B217DC">
        <w:rPr>
          <w:rFonts w:cs="Arial"/>
          <w:color w:val="auto"/>
          <w:sz w:val="20"/>
          <w:szCs w:val="20"/>
          <w:lang w:val="en-GB"/>
        </w:rPr>
        <w:t>9</w:t>
      </w:r>
      <w:r w:rsidRPr="00B217DC">
        <w:rPr>
          <w:rFonts w:cs="Arial"/>
          <w:color w:val="auto"/>
          <w:sz w:val="20"/>
          <w:szCs w:val="20"/>
          <w:lang w:val="en-GB"/>
        </w:rPr>
        <w:t>), followed by 1</w:t>
      </w:r>
      <w:r w:rsidR="00834368" w:rsidRPr="00B217DC">
        <w:rPr>
          <w:rFonts w:cs="Arial"/>
          <w:color w:val="auto"/>
          <w:sz w:val="20"/>
          <w:szCs w:val="20"/>
          <w:lang w:val="en-GB"/>
        </w:rPr>
        <w:t>4</w:t>
      </w:r>
      <w:r w:rsidRPr="00B217DC">
        <w:rPr>
          <w:rFonts w:cs="Arial"/>
          <w:color w:val="auto"/>
          <w:sz w:val="20"/>
          <w:szCs w:val="20"/>
          <w:lang w:val="en-GB"/>
        </w:rPr>
        <w:t xml:space="preserve"> occupying professional positions.</w:t>
      </w:r>
      <w:r w:rsidRPr="00B217DC">
        <w:rPr>
          <w:rFonts w:cs="Arial"/>
          <w:i/>
          <w:color w:val="auto"/>
          <w:sz w:val="20"/>
          <w:szCs w:val="20"/>
          <w:lang w:val="en-GB"/>
        </w:rPr>
        <w:t xml:space="preserve"> </w:t>
      </w:r>
    </w:p>
    <w:p w:rsidR="00FB7FAD" w:rsidRPr="00B217DC" w:rsidRDefault="00FB7FAD" w:rsidP="00B217DC">
      <w:pPr>
        <w:numPr>
          <w:ilvl w:val="0"/>
          <w:numId w:val="28"/>
        </w:numPr>
        <w:ind w:left="426"/>
        <w:rPr>
          <w:rFonts w:cs="Arial"/>
          <w:color w:val="auto"/>
          <w:sz w:val="20"/>
          <w:szCs w:val="20"/>
          <w:lang w:val="en-GB"/>
        </w:rPr>
      </w:pPr>
      <w:r w:rsidRPr="00B217DC">
        <w:rPr>
          <w:rFonts w:cs="Arial"/>
          <w:i/>
          <w:color w:val="auto"/>
          <w:sz w:val="20"/>
          <w:szCs w:val="20"/>
        </w:rPr>
        <w:t>Use of consultants</w:t>
      </w:r>
      <w:r w:rsidRPr="00B217DC">
        <w:rPr>
          <w:rFonts w:cs="Arial"/>
          <w:color w:val="auto"/>
          <w:sz w:val="20"/>
          <w:szCs w:val="20"/>
        </w:rPr>
        <w:t xml:space="preserve">: The Committee noted that the Department continued to procure the services of consultants </w:t>
      </w:r>
      <w:r w:rsidR="00F75822" w:rsidRPr="00B217DC">
        <w:rPr>
          <w:rFonts w:cs="Arial"/>
          <w:color w:val="auto"/>
          <w:sz w:val="20"/>
          <w:szCs w:val="20"/>
        </w:rPr>
        <w:t>(3</w:t>
      </w:r>
      <w:r w:rsidR="00DC741A" w:rsidRPr="00B217DC">
        <w:rPr>
          <w:rFonts w:cs="Arial"/>
          <w:color w:val="auto"/>
          <w:sz w:val="20"/>
          <w:szCs w:val="20"/>
        </w:rPr>
        <w:t>9</w:t>
      </w:r>
      <w:r w:rsidR="00F75822" w:rsidRPr="00B217DC">
        <w:rPr>
          <w:rFonts w:cs="Arial"/>
          <w:color w:val="auto"/>
          <w:sz w:val="20"/>
          <w:szCs w:val="20"/>
        </w:rPr>
        <w:t xml:space="preserve">) </w:t>
      </w:r>
      <w:r w:rsidRPr="00B217DC">
        <w:rPr>
          <w:rFonts w:cs="Arial"/>
          <w:color w:val="auto"/>
          <w:sz w:val="20"/>
          <w:szCs w:val="20"/>
        </w:rPr>
        <w:t xml:space="preserve">during the year under review </w:t>
      </w:r>
      <w:r w:rsidR="002D3F64" w:rsidRPr="00B217DC">
        <w:rPr>
          <w:rFonts w:cs="Arial"/>
          <w:color w:val="auto"/>
          <w:sz w:val="20"/>
          <w:szCs w:val="20"/>
        </w:rPr>
        <w:t xml:space="preserve">for </w:t>
      </w:r>
      <w:r w:rsidR="00DC741A" w:rsidRPr="00B217DC">
        <w:rPr>
          <w:rFonts w:cs="Arial"/>
          <w:color w:val="auto"/>
          <w:sz w:val="20"/>
          <w:szCs w:val="20"/>
        </w:rPr>
        <w:t>9</w:t>
      </w:r>
      <w:r w:rsidRPr="00B217DC">
        <w:rPr>
          <w:rFonts w:cs="Arial"/>
          <w:color w:val="auto"/>
          <w:sz w:val="20"/>
          <w:szCs w:val="20"/>
        </w:rPr>
        <w:t xml:space="preserve"> projects </w:t>
      </w:r>
      <w:r w:rsidR="002F3A9E" w:rsidRPr="00B217DC">
        <w:rPr>
          <w:rFonts w:cs="Arial"/>
          <w:color w:val="auto"/>
          <w:sz w:val="20"/>
          <w:szCs w:val="20"/>
        </w:rPr>
        <w:t xml:space="preserve">amounting to R1,848 million. This </w:t>
      </w:r>
      <w:r w:rsidRPr="00B217DC">
        <w:rPr>
          <w:rFonts w:cs="Arial"/>
          <w:color w:val="auto"/>
          <w:sz w:val="20"/>
          <w:szCs w:val="20"/>
        </w:rPr>
        <w:t xml:space="preserve">was concerning given </w:t>
      </w:r>
      <w:r w:rsidR="00F75822" w:rsidRPr="00B217DC">
        <w:rPr>
          <w:rFonts w:cs="Arial"/>
          <w:color w:val="auto"/>
          <w:sz w:val="20"/>
          <w:szCs w:val="20"/>
        </w:rPr>
        <w:t xml:space="preserve">that the </w:t>
      </w:r>
      <w:r w:rsidRPr="00B217DC">
        <w:rPr>
          <w:rFonts w:cs="Arial"/>
          <w:color w:val="auto"/>
          <w:sz w:val="20"/>
          <w:szCs w:val="20"/>
        </w:rPr>
        <w:t>Committee consistently discouraged the Department from using external service providers given its limited budget.</w:t>
      </w:r>
      <w:r w:rsidR="002F3A9E" w:rsidRPr="00B217DC">
        <w:rPr>
          <w:rFonts w:cs="Arial"/>
          <w:color w:val="auto"/>
          <w:sz w:val="20"/>
          <w:szCs w:val="20"/>
        </w:rPr>
        <w:t xml:space="preserve"> This was up from 33 consultants in the previous financial year for 8 projects.</w:t>
      </w:r>
      <w:r w:rsidRPr="00B217DC">
        <w:rPr>
          <w:rFonts w:cs="Arial"/>
          <w:color w:val="auto"/>
          <w:sz w:val="20"/>
          <w:szCs w:val="20"/>
          <w:lang w:val="en-GB"/>
        </w:rPr>
        <w:t xml:space="preserve"> </w:t>
      </w:r>
      <w:r w:rsidR="002F3A9E" w:rsidRPr="00B217DC">
        <w:rPr>
          <w:rFonts w:cs="Arial"/>
          <w:color w:val="auto"/>
          <w:sz w:val="20"/>
          <w:szCs w:val="20"/>
          <w:lang w:val="en-GB"/>
        </w:rPr>
        <w:t xml:space="preserve">What this demonstrates is the Department dismissing the recommendation from the Committee in this regard. </w:t>
      </w:r>
      <w:r w:rsidRPr="00B217DC">
        <w:rPr>
          <w:rFonts w:cs="Arial"/>
          <w:color w:val="auto"/>
          <w:sz w:val="20"/>
          <w:szCs w:val="20"/>
          <w:lang w:val="en-GB"/>
        </w:rPr>
        <w:t>The</w:t>
      </w:r>
      <w:r w:rsidR="00F75822" w:rsidRPr="00B217DC">
        <w:rPr>
          <w:rFonts w:cs="Arial"/>
          <w:color w:val="auto"/>
          <w:sz w:val="20"/>
          <w:szCs w:val="20"/>
          <w:lang w:val="en-GB"/>
        </w:rPr>
        <w:t xml:space="preserve"> reliance on service providers is disconcerting</w:t>
      </w:r>
      <w:r w:rsidRPr="00B217DC">
        <w:rPr>
          <w:rFonts w:cs="Arial"/>
          <w:color w:val="auto"/>
          <w:sz w:val="20"/>
          <w:szCs w:val="20"/>
          <w:lang w:val="en-GB"/>
        </w:rPr>
        <w:t xml:space="preserve"> for the Committee given the large number of highly skilled professionals and senior </w:t>
      </w:r>
      <w:r w:rsidRPr="00B217DC">
        <w:rPr>
          <w:rFonts w:cs="Arial"/>
          <w:color w:val="auto"/>
          <w:sz w:val="20"/>
          <w:szCs w:val="20"/>
          <w:lang w:val="en-GB"/>
        </w:rPr>
        <w:lastRenderedPageBreak/>
        <w:t xml:space="preserve">managers </w:t>
      </w:r>
      <w:r w:rsidR="007019A3" w:rsidRPr="00B217DC">
        <w:rPr>
          <w:rFonts w:cs="Arial"/>
          <w:color w:val="auto"/>
          <w:sz w:val="20"/>
          <w:szCs w:val="20"/>
          <w:lang w:val="en-GB"/>
        </w:rPr>
        <w:t>(1</w:t>
      </w:r>
      <w:r w:rsidR="002F3A9E" w:rsidRPr="00B217DC">
        <w:rPr>
          <w:rFonts w:cs="Arial"/>
          <w:color w:val="auto"/>
          <w:sz w:val="20"/>
          <w:szCs w:val="20"/>
          <w:lang w:val="en-GB"/>
        </w:rPr>
        <w:t>58</w:t>
      </w:r>
      <w:r w:rsidR="007019A3" w:rsidRPr="00B217DC">
        <w:rPr>
          <w:rFonts w:cs="Arial"/>
          <w:color w:val="auto"/>
          <w:sz w:val="20"/>
          <w:szCs w:val="20"/>
          <w:lang w:val="en-GB"/>
        </w:rPr>
        <w:t xml:space="preserve"> in total) </w:t>
      </w:r>
      <w:r w:rsidRPr="00B217DC">
        <w:rPr>
          <w:rFonts w:cs="Arial"/>
          <w:color w:val="auto"/>
          <w:sz w:val="20"/>
          <w:szCs w:val="20"/>
          <w:lang w:val="en-GB"/>
        </w:rPr>
        <w:t>in the Department as noted previously</w:t>
      </w:r>
      <w:r w:rsidR="00DC741A" w:rsidRPr="00B217DC">
        <w:rPr>
          <w:rFonts w:cs="Arial"/>
          <w:color w:val="auto"/>
          <w:sz w:val="20"/>
          <w:szCs w:val="20"/>
          <w:lang w:val="en-GB"/>
        </w:rPr>
        <w:t>.</w:t>
      </w:r>
      <w:r w:rsidR="002F3A9E" w:rsidRPr="00B217DC">
        <w:rPr>
          <w:rFonts w:cs="Arial"/>
          <w:color w:val="auto"/>
          <w:sz w:val="20"/>
          <w:szCs w:val="20"/>
          <w:lang w:val="en-GB"/>
        </w:rPr>
        <w:t xml:space="preserve"> </w:t>
      </w:r>
      <w:r w:rsidR="00DC741A" w:rsidRPr="00B217DC">
        <w:rPr>
          <w:rFonts w:cs="Arial"/>
          <w:color w:val="auto"/>
          <w:sz w:val="20"/>
          <w:szCs w:val="20"/>
          <w:lang w:val="en-GB"/>
        </w:rPr>
        <w:t>T</w:t>
      </w:r>
      <w:r w:rsidR="002F3A9E" w:rsidRPr="00B217DC">
        <w:rPr>
          <w:rFonts w:cs="Arial"/>
          <w:color w:val="auto"/>
          <w:sz w:val="20"/>
          <w:szCs w:val="20"/>
          <w:lang w:val="en-GB"/>
        </w:rPr>
        <w:t>he Department spent the money on Facilitation Services (R213 000), Virtual NYP M&amp;E (R141 000) and a research project (R696 000)</w:t>
      </w:r>
      <w:r w:rsidRPr="00B217DC">
        <w:rPr>
          <w:rFonts w:cs="Arial"/>
          <w:color w:val="auto"/>
          <w:sz w:val="20"/>
          <w:szCs w:val="20"/>
          <w:lang w:val="en-GB"/>
        </w:rPr>
        <w:t>.</w:t>
      </w:r>
    </w:p>
    <w:p w:rsidR="00FB7FAD" w:rsidRPr="00B217DC" w:rsidRDefault="00170BD2" w:rsidP="00B217DC">
      <w:pPr>
        <w:numPr>
          <w:ilvl w:val="0"/>
          <w:numId w:val="28"/>
        </w:numPr>
        <w:ind w:left="426"/>
        <w:rPr>
          <w:rFonts w:cs="Arial"/>
          <w:color w:val="auto"/>
          <w:sz w:val="20"/>
          <w:szCs w:val="20"/>
        </w:rPr>
      </w:pPr>
      <w:r w:rsidRPr="00B217DC">
        <w:rPr>
          <w:rFonts w:cs="Arial"/>
          <w:i/>
          <w:color w:val="auto"/>
          <w:sz w:val="20"/>
          <w:szCs w:val="20"/>
          <w:lang w:val="en-GB"/>
        </w:rPr>
        <w:t>Vacancies</w:t>
      </w:r>
      <w:r w:rsidRPr="00B217DC">
        <w:rPr>
          <w:rFonts w:cs="Arial"/>
          <w:color w:val="auto"/>
          <w:sz w:val="20"/>
          <w:szCs w:val="20"/>
          <w:lang w:val="en-GB"/>
        </w:rPr>
        <w:t>:</w:t>
      </w:r>
      <w:r w:rsidR="00FB7FAD" w:rsidRPr="00B217DC">
        <w:rPr>
          <w:rFonts w:cs="Arial"/>
          <w:caps/>
          <w:color w:val="auto"/>
          <w:sz w:val="20"/>
          <w:szCs w:val="20"/>
        </w:rPr>
        <w:t xml:space="preserve"> </w:t>
      </w:r>
      <w:r w:rsidR="00FB7FAD" w:rsidRPr="00B217DC">
        <w:rPr>
          <w:rFonts w:cs="Arial"/>
          <w:color w:val="auto"/>
          <w:sz w:val="20"/>
          <w:szCs w:val="20"/>
        </w:rPr>
        <w:t xml:space="preserve">The Department is commended for maintaining a vacancy rate below the targeted 10% with </w:t>
      </w:r>
      <w:r w:rsidR="005E2D6C" w:rsidRPr="00B217DC">
        <w:rPr>
          <w:rFonts w:cs="Arial"/>
          <w:color w:val="auto"/>
          <w:sz w:val="20"/>
          <w:szCs w:val="20"/>
        </w:rPr>
        <w:t xml:space="preserve">5.6% in 2021/22 which is lower than the previous </w:t>
      </w:r>
      <w:r w:rsidR="00DC741A" w:rsidRPr="00B217DC">
        <w:rPr>
          <w:rFonts w:cs="Arial"/>
          <w:color w:val="auto"/>
          <w:sz w:val="20"/>
          <w:szCs w:val="20"/>
        </w:rPr>
        <w:t>-</w:t>
      </w:r>
      <w:r w:rsidR="005E2D6C" w:rsidRPr="00B217DC">
        <w:rPr>
          <w:rFonts w:cs="Arial"/>
          <w:color w:val="auto"/>
          <w:sz w:val="20"/>
          <w:szCs w:val="20"/>
        </w:rPr>
        <w:t xml:space="preserve"> </w:t>
      </w:r>
      <w:r w:rsidR="00ED3A14" w:rsidRPr="00B217DC">
        <w:rPr>
          <w:rFonts w:cs="Arial"/>
          <w:color w:val="auto"/>
          <w:sz w:val="20"/>
          <w:szCs w:val="20"/>
        </w:rPr>
        <w:t>8.5% for 2020/21.</w:t>
      </w:r>
    </w:p>
    <w:p w:rsidR="007019A3" w:rsidRPr="00B217DC" w:rsidRDefault="00C362E4" w:rsidP="00B217DC">
      <w:pPr>
        <w:numPr>
          <w:ilvl w:val="0"/>
          <w:numId w:val="28"/>
        </w:numPr>
        <w:ind w:left="426"/>
        <w:rPr>
          <w:rFonts w:cs="Arial"/>
          <w:color w:val="auto"/>
          <w:sz w:val="20"/>
          <w:szCs w:val="20"/>
          <w:lang w:val="en-GB"/>
        </w:rPr>
      </w:pPr>
      <w:r w:rsidRPr="00B217DC">
        <w:rPr>
          <w:rFonts w:cs="Arial"/>
          <w:i/>
          <w:color w:val="auto"/>
          <w:sz w:val="20"/>
          <w:szCs w:val="20"/>
          <w:lang w:val="en-GB"/>
        </w:rPr>
        <w:t>Disciplinary cases</w:t>
      </w:r>
      <w:r w:rsidRPr="00B217DC">
        <w:rPr>
          <w:rFonts w:cs="Arial"/>
          <w:color w:val="auto"/>
          <w:sz w:val="20"/>
          <w:szCs w:val="20"/>
          <w:lang w:val="en-GB"/>
        </w:rPr>
        <w:t>:</w:t>
      </w:r>
      <w:r w:rsidR="00B47C2C" w:rsidRPr="00B217DC">
        <w:rPr>
          <w:rFonts w:cs="Arial"/>
          <w:color w:val="auto"/>
          <w:sz w:val="20"/>
          <w:szCs w:val="20"/>
          <w:lang w:val="en-GB"/>
        </w:rPr>
        <w:t xml:space="preserve"> The Committee noted that there were two disciplinary hearings initiated and requested more information in this regard. </w:t>
      </w:r>
      <w:r w:rsidR="00037235" w:rsidRPr="00B217DC">
        <w:rPr>
          <w:rFonts w:cs="Arial"/>
          <w:color w:val="auto"/>
          <w:sz w:val="20"/>
          <w:szCs w:val="20"/>
          <w:lang w:val="en-GB"/>
        </w:rPr>
        <w:t>Of concern to note were the 30 financial misconduct warnings issued.</w:t>
      </w:r>
    </w:p>
    <w:p w:rsidR="00CF7338" w:rsidRPr="00B217DC" w:rsidRDefault="00CF7338" w:rsidP="00B217DC">
      <w:pPr>
        <w:rPr>
          <w:rFonts w:cs="Arial"/>
          <w:color w:val="auto"/>
          <w:sz w:val="20"/>
          <w:szCs w:val="20"/>
        </w:rPr>
      </w:pPr>
    </w:p>
    <w:p w:rsidR="00F62BC0" w:rsidRPr="00B217DC" w:rsidRDefault="00F62BC0" w:rsidP="00B217DC">
      <w:pPr>
        <w:rPr>
          <w:rFonts w:cs="Arial"/>
          <w:color w:val="auto"/>
          <w:sz w:val="20"/>
          <w:szCs w:val="20"/>
        </w:rPr>
      </w:pPr>
    </w:p>
    <w:p w:rsidR="00170BD2" w:rsidRPr="00B217DC" w:rsidRDefault="00170BD2" w:rsidP="00B217DC">
      <w:pPr>
        <w:pStyle w:val="ListParagraph"/>
        <w:numPr>
          <w:ilvl w:val="2"/>
          <w:numId w:val="103"/>
        </w:numPr>
        <w:ind w:left="709"/>
        <w:rPr>
          <w:rFonts w:cs="Arial"/>
          <w:b/>
          <w:color w:val="auto"/>
          <w:sz w:val="20"/>
          <w:szCs w:val="20"/>
          <w:lang w:val="en-GB"/>
        </w:rPr>
      </w:pPr>
      <w:r w:rsidRPr="00B217DC">
        <w:rPr>
          <w:rFonts w:cs="Arial"/>
          <w:b/>
          <w:color w:val="auto"/>
          <w:sz w:val="20"/>
          <w:szCs w:val="20"/>
          <w:lang w:val="en-GB"/>
        </w:rPr>
        <w:t xml:space="preserve">Financial performance  </w:t>
      </w:r>
    </w:p>
    <w:p w:rsidR="003A0983" w:rsidRPr="00B217DC" w:rsidRDefault="00B47C2C" w:rsidP="00B217DC">
      <w:pPr>
        <w:numPr>
          <w:ilvl w:val="0"/>
          <w:numId w:val="78"/>
        </w:numPr>
        <w:ind w:left="426"/>
        <w:rPr>
          <w:rFonts w:cs="Arial"/>
          <w:color w:val="auto"/>
          <w:sz w:val="20"/>
          <w:szCs w:val="20"/>
          <w:lang w:val="en-GB"/>
        </w:rPr>
      </w:pPr>
      <w:r w:rsidRPr="00B217DC">
        <w:rPr>
          <w:rFonts w:cs="Arial"/>
          <w:i/>
          <w:color w:val="auto"/>
          <w:sz w:val="20"/>
          <w:szCs w:val="20"/>
          <w:lang w:val="en-GB"/>
        </w:rPr>
        <w:t>Under-expenditure</w:t>
      </w:r>
      <w:r w:rsidRPr="00B217DC">
        <w:rPr>
          <w:rFonts w:cs="Arial"/>
          <w:color w:val="auto"/>
          <w:sz w:val="20"/>
          <w:szCs w:val="20"/>
          <w:lang w:val="en-GB"/>
        </w:rPr>
        <w:t>: The Committee noted with concern the R31 million under-expenditure for a department with a small operational budget claiming it is underfunded.</w:t>
      </w:r>
      <w:r w:rsidR="00240463" w:rsidRPr="00B217DC">
        <w:rPr>
          <w:rFonts w:cs="Arial"/>
          <w:color w:val="auto"/>
          <w:sz w:val="20"/>
          <w:szCs w:val="20"/>
        </w:rPr>
        <w:t xml:space="preserve"> Whilst noting the reasons for the under-expenditure for each programme</w:t>
      </w:r>
      <w:r w:rsidR="0037203B" w:rsidRPr="00B217DC">
        <w:rPr>
          <w:rFonts w:cs="Arial"/>
          <w:color w:val="auto"/>
          <w:sz w:val="20"/>
          <w:szCs w:val="20"/>
        </w:rPr>
        <w:t>, the Committee remained resolute that surplus</w:t>
      </w:r>
      <w:r w:rsidR="00DD6266" w:rsidRPr="00B217DC">
        <w:rPr>
          <w:rFonts w:cs="Arial"/>
          <w:color w:val="auto"/>
          <w:sz w:val="20"/>
          <w:szCs w:val="20"/>
        </w:rPr>
        <w:t xml:space="preserve"> for the Department was </w:t>
      </w:r>
      <w:r w:rsidR="006B1F93" w:rsidRPr="00B217DC">
        <w:rPr>
          <w:rFonts w:cs="Arial"/>
          <w:color w:val="auto"/>
          <w:sz w:val="20"/>
          <w:szCs w:val="20"/>
        </w:rPr>
        <w:t>significant</w:t>
      </w:r>
      <w:r w:rsidR="00DD6266" w:rsidRPr="00B217DC">
        <w:rPr>
          <w:rFonts w:cs="Arial"/>
          <w:color w:val="auto"/>
          <w:sz w:val="20"/>
          <w:szCs w:val="20"/>
        </w:rPr>
        <w:t xml:space="preserve"> given its limited budget</w:t>
      </w:r>
      <w:r w:rsidR="00394824" w:rsidRPr="00B217DC">
        <w:rPr>
          <w:rFonts w:cs="Arial"/>
          <w:color w:val="auto"/>
          <w:sz w:val="20"/>
          <w:szCs w:val="20"/>
        </w:rPr>
        <w:t>, the lack of visibility on the ground</w:t>
      </w:r>
      <w:r w:rsidR="00DD6266" w:rsidRPr="00B217DC">
        <w:rPr>
          <w:rFonts w:cs="Arial"/>
          <w:color w:val="auto"/>
          <w:sz w:val="20"/>
          <w:szCs w:val="20"/>
        </w:rPr>
        <w:t xml:space="preserve"> and </w:t>
      </w:r>
      <w:r w:rsidR="00394824" w:rsidRPr="00B217DC">
        <w:rPr>
          <w:rFonts w:cs="Arial"/>
          <w:color w:val="auto"/>
          <w:sz w:val="20"/>
          <w:szCs w:val="20"/>
        </w:rPr>
        <w:t>questionable impact on the lives of the most vulnerable in the country</w:t>
      </w:r>
      <w:r w:rsidR="008B05E5" w:rsidRPr="00B217DC">
        <w:rPr>
          <w:rFonts w:cs="Arial"/>
          <w:color w:val="auto"/>
          <w:sz w:val="20"/>
          <w:szCs w:val="20"/>
        </w:rPr>
        <w:t>.</w:t>
      </w:r>
      <w:r w:rsidR="002D5BFC" w:rsidRPr="00B217DC">
        <w:rPr>
          <w:rFonts w:cs="Arial"/>
          <w:color w:val="auto"/>
          <w:sz w:val="20"/>
          <w:szCs w:val="20"/>
        </w:rPr>
        <w:t xml:space="preserve"> Furthermore, having assessed the Department’s Q1 performance for 2022/23, the continued under-expenditure has continued which is of particular concern.</w:t>
      </w:r>
    </w:p>
    <w:p w:rsidR="008B05E5" w:rsidRPr="00B217DC" w:rsidRDefault="008B05E5" w:rsidP="00B217DC">
      <w:pPr>
        <w:pStyle w:val="ListParagraph"/>
        <w:numPr>
          <w:ilvl w:val="0"/>
          <w:numId w:val="78"/>
        </w:numPr>
        <w:ind w:left="567"/>
        <w:rPr>
          <w:rFonts w:cs="Arial"/>
          <w:color w:val="auto"/>
          <w:sz w:val="20"/>
          <w:szCs w:val="20"/>
          <w:lang w:val="en-GB"/>
        </w:rPr>
      </w:pPr>
      <w:r w:rsidRPr="00B217DC">
        <w:rPr>
          <w:rFonts w:cs="Arial"/>
          <w:i/>
          <w:color w:val="auto"/>
          <w:sz w:val="20"/>
          <w:szCs w:val="20"/>
        </w:rPr>
        <w:t>Roll-over funds</w:t>
      </w:r>
      <w:r w:rsidRPr="00B217DC">
        <w:rPr>
          <w:rFonts w:cs="Arial"/>
          <w:color w:val="auto"/>
          <w:sz w:val="20"/>
          <w:szCs w:val="20"/>
        </w:rPr>
        <w:t xml:space="preserve">: The Committee notes the Department’s request to National Treasury for </w:t>
      </w:r>
      <w:r w:rsidR="00834368" w:rsidRPr="00B217DC">
        <w:rPr>
          <w:rFonts w:cs="Arial"/>
          <w:color w:val="auto"/>
          <w:sz w:val="20"/>
          <w:szCs w:val="20"/>
        </w:rPr>
        <w:t xml:space="preserve">a total R11,244 million in </w:t>
      </w:r>
      <w:r w:rsidRPr="00B217DC">
        <w:rPr>
          <w:rFonts w:cs="Arial"/>
          <w:color w:val="auto"/>
          <w:sz w:val="20"/>
          <w:szCs w:val="20"/>
        </w:rPr>
        <w:t>ro</w:t>
      </w:r>
      <w:r w:rsidR="00834368" w:rsidRPr="00B217DC">
        <w:rPr>
          <w:rFonts w:cs="Arial"/>
          <w:color w:val="auto"/>
          <w:sz w:val="20"/>
          <w:szCs w:val="20"/>
        </w:rPr>
        <w:t>ll-over of funds related to mainly to ICT in terms of the support and maintenance project for Microsoft (R1million); R600 000.00 for the payment of the Microsoft License and R1 767 000.00 for the installation of the Information Communications Technology (ICT) infrastructure as part of the relocation of the</w:t>
      </w:r>
      <w:r w:rsidR="00C8097C" w:rsidRPr="00B217DC">
        <w:rPr>
          <w:rFonts w:cs="Arial"/>
          <w:color w:val="auto"/>
          <w:sz w:val="20"/>
          <w:szCs w:val="20"/>
        </w:rPr>
        <w:t xml:space="preserve"> Department to the new premises; </w:t>
      </w:r>
      <w:r w:rsidRPr="00B217DC">
        <w:rPr>
          <w:rFonts w:cs="Arial"/>
          <w:color w:val="auto"/>
          <w:sz w:val="20"/>
          <w:szCs w:val="20"/>
        </w:rPr>
        <w:t>R</w:t>
      </w:r>
      <w:r w:rsidR="00C8097C" w:rsidRPr="00B217DC">
        <w:rPr>
          <w:rFonts w:cs="Arial"/>
          <w:color w:val="auto"/>
          <w:sz w:val="20"/>
          <w:szCs w:val="20"/>
        </w:rPr>
        <w:t>3,508</w:t>
      </w:r>
      <w:r w:rsidRPr="00B217DC">
        <w:rPr>
          <w:rFonts w:cs="Arial"/>
          <w:color w:val="auto"/>
          <w:sz w:val="20"/>
          <w:szCs w:val="20"/>
        </w:rPr>
        <w:t xml:space="preserve"> million</w:t>
      </w:r>
      <w:r w:rsidR="00C8097C" w:rsidRPr="00B217DC">
        <w:rPr>
          <w:rFonts w:cs="Arial"/>
          <w:color w:val="auto"/>
          <w:sz w:val="20"/>
          <w:szCs w:val="20"/>
        </w:rPr>
        <w:t xml:space="preserve"> for the installation for ICT infrastructure at the new premises for the Department as part of the relocation</w:t>
      </w:r>
      <w:r w:rsidRPr="00B217DC">
        <w:rPr>
          <w:rFonts w:cs="Arial"/>
          <w:color w:val="auto"/>
          <w:sz w:val="20"/>
          <w:szCs w:val="20"/>
        </w:rPr>
        <w:t xml:space="preserve">; </w:t>
      </w:r>
      <w:r w:rsidR="00C8097C" w:rsidRPr="00B217DC">
        <w:rPr>
          <w:rFonts w:cs="Arial"/>
          <w:color w:val="auto"/>
          <w:sz w:val="20"/>
          <w:szCs w:val="20"/>
        </w:rPr>
        <w:t xml:space="preserve">R3,585 million for </w:t>
      </w:r>
      <w:r w:rsidRPr="00B217DC">
        <w:rPr>
          <w:rFonts w:cs="Arial"/>
          <w:color w:val="auto"/>
          <w:sz w:val="20"/>
          <w:szCs w:val="20"/>
        </w:rPr>
        <w:t xml:space="preserve">the </w:t>
      </w:r>
      <w:r w:rsidR="00C8097C" w:rsidRPr="00B217DC">
        <w:rPr>
          <w:rFonts w:cs="Arial"/>
          <w:color w:val="auto"/>
          <w:sz w:val="20"/>
          <w:szCs w:val="20"/>
        </w:rPr>
        <w:t xml:space="preserve">continuation of the </w:t>
      </w:r>
      <w:r w:rsidRPr="00B217DC">
        <w:rPr>
          <w:rFonts w:cs="Arial"/>
          <w:color w:val="auto"/>
          <w:sz w:val="20"/>
          <w:szCs w:val="20"/>
        </w:rPr>
        <w:t>establishment of the NCGBVF and</w:t>
      </w:r>
      <w:r w:rsidR="00C8097C" w:rsidRPr="00B217DC">
        <w:rPr>
          <w:rFonts w:cs="Arial"/>
          <w:color w:val="auto"/>
          <w:sz w:val="20"/>
          <w:szCs w:val="20"/>
        </w:rPr>
        <w:t xml:space="preserve"> R784 000 for the appointment of a service provider to harmonise Disability Rights Instruments and develop a Disability Rights Monitoring Results-Based Framework.</w:t>
      </w:r>
    </w:p>
    <w:p w:rsidR="00170BD2" w:rsidRPr="00B217DC" w:rsidRDefault="00C17834" w:rsidP="00B217DC">
      <w:pPr>
        <w:numPr>
          <w:ilvl w:val="0"/>
          <w:numId w:val="78"/>
        </w:numPr>
        <w:ind w:left="567"/>
        <w:rPr>
          <w:rFonts w:cs="Arial"/>
          <w:i/>
          <w:color w:val="auto"/>
          <w:sz w:val="20"/>
          <w:szCs w:val="20"/>
          <w:lang w:val="en-GB"/>
        </w:rPr>
      </w:pPr>
      <w:r w:rsidRPr="00B217DC">
        <w:rPr>
          <w:rFonts w:cs="Arial"/>
          <w:color w:val="auto"/>
          <w:sz w:val="20"/>
          <w:szCs w:val="20"/>
        </w:rPr>
        <w:t xml:space="preserve">The Committee </w:t>
      </w:r>
      <w:r w:rsidR="00C8097C" w:rsidRPr="00B217DC">
        <w:rPr>
          <w:rFonts w:cs="Arial"/>
          <w:color w:val="auto"/>
          <w:sz w:val="20"/>
          <w:szCs w:val="20"/>
        </w:rPr>
        <w:t>observed that</w:t>
      </w:r>
      <w:r w:rsidR="008B05E5" w:rsidRPr="00B217DC">
        <w:rPr>
          <w:rFonts w:cs="Arial"/>
          <w:color w:val="auto"/>
          <w:sz w:val="20"/>
          <w:szCs w:val="20"/>
        </w:rPr>
        <w:t xml:space="preserve"> the </w:t>
      </w:r>
      <w:r w:rsidR="00170BD2" w:rsidRPr="00B217DC">
        <w:rPr>
          <w:rFonts w:cs="Arial"/>
          <w:i/>
          <w:color w:val="auto"/>
          <w:sz w:val="20"/>
          <w:szCs w:val="20"/>
          <w:lang w:val="en-GB"/>
        </w:rPr>
        <w:t>Irregular Expenditure</w:t>
      </w:r>
      <w:r w:rsidR="008B05E5" w:rsidRPr="00B217DC">
        <w:rPr>
          <w:rFonts w:cs="Arial"/>
          <w:i/>
          <w:color w:val="auto"/>
          <w:sz w:val="20"/>
          <w:szCs w:val="20"/>
          <w:lang w:val="en-GB"/>
        </w:rPr>
        <w:t xml:space="preserve"> </w:t>
      </w:r>
      <w:r w:rsidR="008B05E5" w:rsidRPr="00B217DC">
        <w:rPr>
          <w:rFonts w:cs="Arial"/>
          <w:color w:val="auto"/>
          <w:sz w:val="20"/>
          <w:szCs w:val="20"/>
        </w:rPr>
        <w:t>incurred to the amount of R41.</w:t>
      </w:r>
      <w:r w:rsidR="00C13127" w:rsidRPr="00B217DC">
        <w:rPr>
          <w:rFonts w:cs="Arial"/>
          <w:color w:val="auto"/>
          <w:sz w:val="20"/>
          <w:szCs w:val="20"/>
        </w:rPr>
        <w:t>71</w:t>
      </w:r>
      <w:r w:rsidR="008B05E5" w:rsidRPr="00B217DC">
        <w:rPr>
          <w:rFonts w:cs="Arial"/>
          <w:color w:val="auto"/>
          <w:sz w:val="20"/>
          <w:szCs w:val="20"/>
        </w:rPr>
        <w:t>2 million</w:t>
      </w:r>
      <w:r w:rsidR="00C13127" w:rsidRPr="00B217DC">
        <w:rPr>
          <w:rFonts w:cs="Arial"/>
          <w:color w:val="auto"/>
          <w:sz w:val="20"/>
          <w:szCs w:val="20"/>
        </w:rPr>
        <w:t xml:space="preserve"> related to previous financial years and will remain on the Department’s books until resolved</w:t>
      </w:r>
      <w:r w:rsidR="0037203B" w:rsidRPr="00B217DC">
        <w:rPr>
          <w:rFonts w:cs="Arial"/>
          <w:color w:val="auto"/>
          <w:sz w:val="20"/>
          <w:szCs w:val="20"/>
        </w:rPr>
        <w:t xml:space="preserve">. The </w:t>
      </w:r>
      <w:r w:rsidR="00C13127" w:rsidRPr="00B217DC">
        <w:rPr>
          <w:rFonts w:cs="Arial"/>
          <w:color w:val="auto"/>
          <w:sz w:val="20"/>
          <w:szCs w:val="20"/>
        </w:rPr>
        <w:t>Department is to be commended for not incurring any irregular expenditure for the year under review</w:t>
      </w:r>
      <w:r w:rsidR="00ED191A" w:rsidRPr="00B217DC">
        <w:rPr>
          <w:rFonts w:cs="Arial"/>
          <w:color w:val="auto"/>
          <w:sz w:val="20"/>
          <w:szCs w:val="20"/>
          <w:lang w:val="en-GB"/>
        </w:rPr>
        <w:t>.</w:t>
      </w:r>
      <w:r w:rsidR="00C13127" w:rsidRPr="00B217DC">
        <w:rPr>
          <w:rFonts w:cs="Arial"/>
          <w:color w:val="auto"/>
          <w:sz w:val="20"/>
          <w:szCs w:val="20"/>
          <w:lang w:val="en-GB"/>
        </w:rPr>
        <w:t xml:space="preserve"> Notwithstanding that, the 30 financial misconduct warnings warrants concern.</w:t>
      </w:r>
    </w:p>
    <w:p w:rsidR="003A0983" w:rsidRPr="00B217DC" w:rsidRDefault="008B05E5" w:rsidP="00B217DC">
      <w:pPr>
        <w:numPr>
          <w:ilvl w:val="0"/>
          <w:numId w:val="78"/>
        </w:numPr>
        <w:ind w:left="567"/>
        <w:rPr>
          <w:rFonts w:cs="Arial"/>
          <w:color w:val="auto"/>
          <w:sz w:val="20"/>
          <w:szCs w:val="20"/>
          <w:lang w:val="en-GB"/>
        </w:rPr>
      </w:pPr>
      <w:r w:rsidRPr="00B217DC">
        <w:rPr>
          <w:rFonts w:cs="Arial"/>
          <w:color w:val="auto"/>
          <w:sz w:val="20"/>
          <w:szCs w:val="20"/>
        </w:rPr>
        <w:t xml:space="preserve">The Committee </w:t>
      </w:r>
      <w:r w:rsidR="00ED191A" w:rsidRPr="00B217DC">
        <w:rPr>
          <w:rFonts w:cs="Arial"/>
          <w:color w:val="auto"/>
          <w:sz w:val="20"/>
          <w:szCs w:val="20"/>
        </w:rPr>
        <w:t>commends the Department for not incurring any</w:t>
      </w:r>
      <w:r w:rsidRPr="00B217DC">
        <w:rPr>
          <w:rFonts w:cs="Arial"/>
          <w:color w:val="auto"/>
          <w:sz w:val="20"/>
          <w:szCs w:val="20"/>
        </w:rPr>
        <w:t xml:space="preserve"> </w:t>
      </w:r>
      <w:r w:rsidRPr="00B217DC">
        <w:rPr>
          <w:rFonts w:cs="Arial"/>
          <w:i/>
          <w:color w:val="auto"/>
          <w:sz w:val="20"/>
          <w:szCs w:val="20"/>
        </w:rPr>
        <w:t>Fruitless and wasteful expenditure</w:t>
      </w:r>
      <w:r w:rsidRPr="00B217DC">
        <w:rPr>
          <w:rFonts w:cs="Arial"/>
          <w:color w:val="auto"/>
          <w:sz w:val="20"/>
          <w:szCs w:val="20"/>
        </w:rPr>
        <w:t xml:space="preserve"> </w:t>
      </w:r>
      <w:r w:rsidRPr="00B217DC">
        <w:rPr>
          <w:rFonts w:cs="Arial"/>
          <w:color w:val="auto"/>
          <w:sz w:val="20"/>
          <w:szCs w:val="20"/>
          <w:lang w:val="en-GB"/>
        </w:rPr>
        <w:t>during 202</w:t>
      </w:r>
      <w:r w:rsidR="00C13127" w:rsidRPr="00B217DC">
        <w:rPr>
          <w:rFonts w:cs="Arial"/>
          <w:color w:val="auto"/>
          <w:sz w:val="20"/>
          <w:szCs w:val="20"/>
          <w:lang w:val="en-GB"/>
        </w:rPr>
        <w:t>1/22</w:t>
      </w:r>
      <w:r w:rsidR="00ED191A" w:rsidRPr="00B217DC">
        <w:rPr>
          <w:rFonts w:cs="Arial"/>
          <w:color w:val="auto"/>
          <w:sz w:val="20"/>
          <w:szCs w:val="20"/>
          <w:lang w:val="en-GB"/>
        </w:rPr>
        <w:t>.</w:t>
      </w:r>
      <w:r w:rsidRPr="00B217DC">
        <w:rPr>
          <w:rFonts w:cs="Arial"/>
          <w:color w:val="auto"/>
          <w:sz w:val="20"/>
          <w:szCs w:val="20"/>
          <w:lang w:val="en-GB"/>
        </w:rPr>
        <w:t xml:space="preserve"> </w:t>
      </w:r>
      <w:r w:rsidR="00ED191A" w:rsidRPr="00B217DC">
        <w:rPr>
          <w:rFonts w:cs="Arial"/>
          <w:color w:val="auto"/>
          <w:sz w:val="20"/>
          <w:szCs w:val="20"/>
        </w:rPr>
        <w:t>However, the Committee observed previous expenditure relating to a case against a previously used travel agency was still on record and is currently with the State Attorney to consider possible recovery of funds (</w:t>
      </w:r>
      <w:r w:rsidR="00C13127" w:rsidRPr="00B217DC">
        <w:rPr>
          <w:rFonts w:cs="Arial"/>
          <w:color w:val="auto"/>
          <w:sz w:val="20"/>
          <w:szCs w:val="20"/>
        </w:rPr>
        <w:t>R1,330</w:t>
      </w:r>
      <w:r w:rsidR="00ED191A" w:rsidRPr="00B217DC">
        <w:rPr>
          <w:rFonts w:cs="Arial"/>
          <w:color w:val="auto"/>
          <w:sz w:val="20"/>
          <w:szCs w:val="20"/>
        </w:rPr>
        <w:t xml:space="preserve"> million).</w:t>
      </w:r>
    </w:p>
    <w:p w:rsidR="00ED191A" w:rsidRPr="00B217DC" w:rsidRDefault="00ED191A" w:rsidP="00B217DC">
      <w:pPr>
        <w:numPr>
          <w:ilvl w:val="0"/>
          <w:numId w:val="78"/>
        </w:numPr>
        <w:ind w:left="567"/>
        <w:rPr>
          <w:rFonts w:cs="Arial"/>
          <w:color w:val="auto"/>
          <w:sz w:val="20"/>
          <w:szCs w:val="20"/>
          <w:lang w:val="en-GB"/>
        </w:rPr>
      </w:pPr>
      <w:r w:rsidRPr="00B217DC">
        <w:rPr>
          <w:rFonts w:cs="Arial"/>
          <w:color w:val="auto"/>
          <w:sz w:val="20"/>
          <w:szCs w:val="20"/>
        </w:rPr>
        <w:t xml:space="preserve">The Committee observed that the Department did not incur any </w:t>
      </w:r>
      <w:r w:rsidR="00DD6266" w:rsidRPr="00B217DC">
        <w:rPr>
          <w:rFonts w:cs="Arial"/>
          <w:i/>
          <w:color w:val="auto"/>
          <w:sz w:val="20"/>
          <w:szCs w:val="20"/>
        </w:rPr>
        <w:t>U</w:t>
      </w:r>
      <w:r w:rsidRPr="00B217DC">
        <w:rPr>
          <w:rFonts w:cs="Arial"/>
          <w:i/>
          <w:color w:val="auto"/>
          <w:sz w:val="20"/>
          <w:szCs w:val="20"/>
        </w:rPr>
        <w:t>nauthorised expenditure</w:t>
      </w:r>
      <w:r w:rsidR="00C13127" w:rsidRPr="00B217DC">
        <w:rPr>
          <w:rFonts w:cs="Arial"/>
          <w:color w:val="auto"/>
          <w:sz w:val="20"/>
          <w:szCs w:val="20"/>
        </w:rPr>
        <w:t xml:space="preserve"> during 2021/22</w:t>
      </w:r>
      <w:r w:rsidRPr="00B217DC">
        <w:rPr>
          <w:rFonts w:cs="Arial"/>
          <w:color w:val="auto"/>
          <w:sz w:val="20"/>
          <w:szCs w:val="20"/>
        </w:rPr>
        <w:t xml:space="preserve"> which is commendable. However, there is unauthorised expenditure from previous years that is awaiting authorisation. This amounts to R32.774 million.</w:t>
      </w:r>
    </w:p>
    <w:p w:rsidR="0061711A" w:rsidRPr="00B217DC" w:rsidRDefault="00170BD2" w:rsidP="00B217DC">
      <w:pPr>
        <w:numPr>
          <w:ilvl w:val="0"/>
          <w:numId w:val="78"/>
        </w:numPr>
        <w:shd w:val="clear" w:color="auto" w:fill="FFFFFF" w:themeFill="background1"/>
        <w:ind w:left="567"/>
        <w:rPr>
          <w:rFonts w:cs="Arial"/>
          <w:color w:val="auto"/>
          <w:sz w:val="20"/>
          <w:szCs w:val="20"/>
        </w:rPr>
      </w:pPr>
      <w:r w:rsidRPr="00B217DC">
        <w:rPr>
          <w:rFonts w:cs="Arial"/>
          <w:i/>
          <w:color w:val="auto"/>
          <w:sz w:val="20"/>
          <w:szCs w:val="20"/>
        </w:rPr>
        <w:t>Virements</w:t>
      </w:r>
      <w:r w:rsidRPr="00B217DC">
        <w:rPr>
          <w:rFonts w:cs="Arial"/>
          <w:color w:val="auto"/>
          <w:sz w:val="20"/>
          <w:szCs w:val="20"/>
        </w:rPr>
        <w:t>:</w:t>
      </w:r>
      <w:r w:rsidR="00556492" w:rsidRPr="00B217DC">
        <w:rPr>
          <w:rFonts w:cs="Arial"/>
          <w:color w:val="auto"/>
          <w:sz w:val="20"/>
          <w:szCs w:val="20"/>
        </w:rPr>
        <w:t xml:space="preserve"> The Committee observed virements </w:t>
      </w:r>
      <w:r w:rsidR="00C13127" w:rsidRPr="00B217DC">
        <w:rPr>
          <w:rFonts w:cs="Arial"/>
          <w:color w:val="auto"/>
          <w:sz w:val="20"/>
          <w:szCs w:val="20"/>
        </w:rPr>
        <w:t>totalling</w:t>
      </w:r>
      <w:r w:rsidR="00DC741A" w:rsidRPr="00B217DC">
        <w:rPr>
          <w:rFonts w:cs="Arial"/>
          <w:color w:val="auto"/>
          <w:sz w:val="20"/>
          <w:szCs w:val="20"/>
        </w:rPr>
        <w:t xml:space="preserve"> </w:t>
      </w:r>
      <w:r w:rsidR="00C13127" w:rsidRPr="00B217DC">
        <w:rPr>
          <w:rFonts w:cs="Arial"/>
          <w:color w:val="auto"/>
          <w:sz w:val="20"/>
          <w:szCs w:val="20"/>
        </w:rPr>
        <w:t>R2.185 million. R193 000 was shifted within Programme 1 from Goods and Services to Payments for financial assets. R1,992 million was from CoE</w:t>
      </w:r>
      <w:r w:rsidR="001C4457" w:rsidRPr="00B217DC">
        <w:rPr>
          <w:rFonts w:cs="Arial"/>
          <w:color w:val="auto"/>
          <w:sz w:val="20"/>
          <w:szCs w:val="20"/>
        </w:rPr>
        <w:t xml:space="preserve"> in Programme 3 to CoE in Programme </w:t>
      </w:r>
      <w:r w:rsidR="00DF54D8" w:rsidRPr="00B217DC">
        <w:rPr>
          <w:rFonts w:cs="Arial"/>
          <w:color w:val="auto"/>
          <w:sz w:val="20"/>
          <w:szCs w:val="20"/>
        </w:rPr>
        <w:t>1</w:t>
      </w:r>
      <w:r w:rsidR="001C4457" w:rsidRPr="00B217DC">
        <w:rPr>
          <w:rFonts w:cs="Arial"/>
          <w:color w:val="auto"/>
          <w:sz w:val="20"/>
          <w:szCs w:val="20"/>
        </w:rPr>
        <w:t xml:space="preserve"> (R1,662 million), </w:t>
      </w:r>
      <w:r w:rsidR="00DF54D8" w:rsidRPr="00B217DC">
        <w:rPr>
          <w:rFonts w:cs="Arial"/>
          <w:color w:val="auto"/>
          <w:sz w:val="20"/>
          <w:szCs w:val="20"/>
        </w:rPr>
        <w:t xml:space="preserve">Programme 2 (R64 000), </w:t>
      </w:r>
      <w:r w:rsidR="001C4457" w:rsidRPr="00B217DC">
        <w:rPr>
          <w:rFonts w:cs="Arial"/>
          <w:color w:val="auto"/>
          <w:sz w:val="20"/>
          <w:szCs w:val="20"/>
        </w:rPr>
        <w:t>Programme 3 (R64 000) and Programme 4 (R266 000)</w:t>
      </w:r>
      <w:r w:rsidR="00A93F90" w:rsidRPr="00B217DC">
        <w:rPr>
          <w:rFonts w:cs="Arial"/>
          <w:color w:val="auto"/>
          <w:sz w:val="20"/>
          <w:szCs w:val="20"/>
        </w:rPr>
        <w:t>.</w:t>
      </w:r>
    </w:p>
    <w:p w:rsidR="00A93F90" w:rsidRPr="00B217DC" w:rsidRDefault="00A93F90" w:rsidP="00B217DC">
      <w:pPr>
        <w:numPr>
          <w:ilvl w:val="0"/>
          <w:numId w:val="78"/>
        </w:numPr>
        <w:shd w:val="clear" w:color="auto" w:fill="FFFFFF" w:themeFill="background1"/>
        <w:ind w:left="567"/>
        <w:rPr>
          <w:rFonts w:cs="Arial"/>
          <w:color w:val="auto"/>
          <w:sz w:val="20"/>
          <w:szCs w:val="20"/>
        </w:rPr>
      </w:pPr>
      <w:r w:rsidRPr="00B217DC">
        <w:rPr>
          <w:rFonts w:cs="Arial"/>
          <w:i/>
          <w:color w:val="auto"/>
          <w:sz w:val="20"/>
          <w:szCs w:val="20"/>
        </w:rPr>
        <w:t>Deviations</w:t>
      </w:r>
      <w:r w:rsidRPr="00B217DC">
        <w:rPr>
          <w:rFonts w:cs="Arial"/>
          <w:color w:val="auto"/>
          <w:sz w:val="20"/>
          <w:szCs w:val="20"/>
        </w:rPr>
        <w:t>: The Committee notes the discrepancy in reporting on deviations whereby the Annual Report states that the Department had none for the 2021/22 FY. However, at the Q4 2021/22 briefing to the Portfolio Committee the Department stated that as at 31 December 2021, the Department has incurred 16 deviations amounting to R1</w:t>
      </w:r>
      <w:r w:rsidR="00DF54D8" w:rsidRPr="00B217DC">
        <w:rPr>
          <w:rFonts w:cs="Arial"/>
          <w:color w:val="auto"/>
          <w:sz w:val="20"/>
          <w:szCs w:val="20"/>
        </w:rPr>
        <w:t>,</w:t>
      </w:r>
      <w:r w:rsidRPr="00B217DC">
        <w:rPr>
          <w:rFonts w:cs="Arial"/>
          <w:color w:val="auto"/>
          <w:sz w:val="20"/>
          <w:szCs w:val="20"/>
        </w:rPr>
        <w:t>539 418 million. And by 31 March 2022, this had increased to 20 deviations, amounting to R1</w:t>
      </w:r>
      <w:r w:rsidR="00DF54D8" w:rsidRPr="00B217DC">
        <w:rPr>
          <w:rFonts w:cs="Arial"/>
          <w:color w:val="auto"/>
          <w:sz w:val="20"/>
          <w:szCs w:val="20"/>
        </w:rPr>
        <w:t>,</w:t>
      </w:r>
      <w:r w:rsidRPr="00B217DC">
        <w:rPr>
          <w:rFonts w:cs="Arial"/>
          <w:color w:val="auto"/>
          <w:sz w:val="20"/>
          <w:szCs w:val="20"/>
        </w:rPr>
        <w:t>929 418 million. This contradiction is concerning.</w:t>
      </w:r>
    </w:p>
    <w:p w:rsidR="0061711A" w:rsidRPr="00B217DC" w:rsidRDefault="00C13127" w:rsidP="00B217DC">
      <w:pPr>
        <w:numPr>
          <w:ilvl w:val="0"/>
          <w:numId w:val="78"/>
        </w:numPr>
        <w:ind w:left="567"/>
        <w:rPr>
          <w:rFonts w:cs="Arial"/>
          <w:i/>
          <w:color w:val="auto"/>
          <w:sz w:val="20"/>
          <w:szCs w:val="20"/>
        </w:rPr>
      </w:pPr>
      <w:r w:rsidRPr="00B217DC">
        <w:rPr>
          <w:rFonts w:cs="Arial"/>
          <w:i/>
          <w:color w:val="auto"/>
          <w:sz w:val="20"/>
          <w:szCs w:val="20"/>
          <w:lang w:val="en-GB"/>
        </w:rPr>
        <w:t>Donor funding</w:t>
      </w:r>
      <w:r w:rsidR="0061711A" w:rsidRPr="00B217DC">
        <w:rPr>
          <w:rFonts w:cs="Arial"/>
          <w:i/>
          <w:color w:val="auto"/>
          <w:sz w:val="20"/>
          <w:szCs w:val="20"/>
          <w:lang w:val="en-GB"/>
        </w:rPr>
        <w:t xml:space="preserve">: </w:t>
      </w:r>
      <w:r w:rsidR="001C4457" w:rsidRPr="00B217DC">
        <w:rPr>
          <w:rFonts w:cs="Arial"/>
          <w:color w:val="auto"/>
          <w:sz w:val="20"/>
          <w:szCs w:val="20"/>
        </w:rPr>
        <w:t>The Committee observed that the Department received R23,214 million from the European Union of which it spent R621 000</w:t>
      </w:r>
      <w:r w:rsidR="0061711A" w:rsidRPr="00B217DC">
        <w:rPr>
          <w:rFonts w:cs="Arial"/>
          <w:color w:val="auto"/>
          <w:sz w:val="20"/>
          <w:szCs w:val="20"/>
        </w:rPr>
        <w:t>.</w:t>
      </w:r>
      <w:r w:rsidR="0061711A" w:rsidRPr="00B217DC">
        <w:rPr>
          <w:rFonts w:cs="Arial"/>
          <w:i/>
          <w:color w:val="auto"/>
          <w:sz w:val="20"/>
          <w:szCs w:val="20"/>
        </w:rPr>
        <w:t xml:space="preserve"> </w:t>
      </w:r>
      <w:r w:rsidR="001C4457" w:rsidRPr="00B217DC">
        <w:rPr>
          <w:rFonts w:cs="Arial"/>
          <w:color w:val="auto"/>
          <w:sz w:val="20"/>
          <w:szCs w:val="20"/>
        </w:rPr>
        <w:t>This donation forms part of a total funding amount of R109,349 182 million</w:t>
      </w:r>
      <w:r w:rsidR="00154ED7" w:rsidRPr="00B217DC">
        <w:rPr>
          <w:rFonts w:cs="Arial"/>
          <w:color w:val="auto"/>
          <w:sz w:val="20"/>
          <w:szCs w:val="20"/>
        </w:rPr>
        <w:t xml:space="preserve"> that has been allocated from 2021/22 to 2023/24</w:t>
      </w:r>
      <w:r w:rsidR="001C4457" w:rsidRPr="00B217DC">
        <w:rPr>
          <w:rFonts w:cs="Arial"/>
          <w:color w:val="auto"/>
          <w:sz w:val="20"/>
          <w:szCs w:val="20"/>
        </w:rPr>
        <w:t xml:space="preserve">. The Committee sought clarity about how the donor expenditure was audited against the required deliverables. Furthermore, the nature of the donor funding from the EU was to secure additional resources – equipment and personnel </w:t>
      </w:r>
      <w:r w:rsidR="00DC741A" w:rsidRPr="00B217DC">
        <w:rPr>
          <w:rFonts w:cs="Arial"/>
          <w:color w:val="auto"/>
          <w:sz w:val="20"/>
          <w:szCs w:val="20"/>
        </w:rPr>
        <w:t xml:space="preserve">- </w:t>
      </w:r>
      <w:r w:rsidR="001C4457" w:rsidRPr="00B217DC">
        <w:rPr>
          <w:rFonts w:cs="Arial"/>
          <w:color w:val="auto"/>
          <w:sz w:val="20"/>
          <w:szCs w:val="20"/>
        </w:rPr>
        <w:t>but it is unclear how this was not a duplication of services and if not</w:t>
      </w:r>
      <w:r w:rsidR="00DC741A" w:rsidRPr="00B217DC">
        <w:rPr>
          <w:rFonts w:cs="Arial"/>
          <w:color w:val="auto"/>
          <w:sz w:val="20"/>
          <w:szCs w:val="20"/>
        </w:rPr>
        <w:t>,</w:t>
      </w:r>
      <w:r w:rsidR="001C4457" w:rsidRPr="00B217DC">
        <w:rPr>
          <w:rFonts w:cs="Arial"/>
          <w:color w:val="auto"/>
          <w:sz w:val="20"/>
          <w:szCs w:val="20"/>
        </w:rPr>
        <w:t xml:space="preserve"> how sustainability </w:t>
      </w:r>
      <w:r w:rsidR="00154ED7" w:rsidRPr="00B217DC">
        <w:rPr>
          <w:rFonts w:cs="Arial"/>
          <w:color w:val="auto"/>
          <w:sz w:val="20"/>
          <w:szCs w:val="20"/>
        </w:rPr>
        <w:t>will be ensured beyond the funding period stipulated.</w:t>
      </w:r>
      <w:r w:rsidR="001C4457" w:rsidRPr="00B217DC">
        <w:rPr>
          <w:rFonts w:cs="Arial"/>
          <w:color w:val="auto"/>
          <w:sz w:val="20"/>
          <w:szCs w:val="20"/>
        </w:rPr>
        <w:t xml:space="preserve"> </w:t>
      </w:r>
    </w:p>
    <w:p w:rsidR="00466784" w:rsidRPr="00B217DC" w:rsidRDefault="00466784" w:rsidP="00B217DC">
      <w:pPr>
        <w:tabs>
          <w:tab w:val="left" w:pos="1517"/>
        </w:tabs>
        <w:rPr>
          <w:rFonts w:cs="Arial"/>
          <w:i/>
          <w:color w:val="auto"/>
          <w:sz w:val="20"/>
          <w:szCs w:val="20"/>
          <w:lang w:val="en-GB"/>
        </w:rPr>
      </w:pPr>
    </w:p>
    <w:p w:rsidR="00466784" w:rsidRPr="00B217DC" w:rsidRDefault="00CF7338" w:rsidP="00B217DC">
      <w:pPr>
        <w:rPr>
          <w:rFonts w:cs="Arial"/>
          <w:b/>
          <w:color w:val="auto"/>
          <w:sz w:val="20"/>
          <w:szCs w:val="20"/>
          <w:lang w:val="en-GB"/>
        </w:rPr>
      </w:pPr>
      <w:r w:rsidRPr="00B217DC">
        <w:rPr>
          <w:rFonts w:cs="Arial"/>
          <w:b/>
          <w:color w:val="auto"/>
          <w:sz w:val="20"/>
          <w:szCs w:val="20"/>
          <w:lang w:val="en-GB"/>
        </w:rPr>
        <w:t>15.4.4</w:t>
      </w:r>
      <w:r w:rsidR="00466784" w:rsidRPr="00B217DC">
        <w:rPr>
          <w:rFonts w:cs="Arial"/>
          <w:b/>
          <w:color w:val="auto"/>
          <w:sz w:val="20"/>
          <w:szCs w:val="20"/>
          <w:lang w:val="en-GB"/>
        </w:rPr>
        <w:t xml:space="preserve"> Investigations </w:t>
      </w:r>
      <w:r w:rsidR="00394824" w:rsidRPr="00B217DC">
        <w:rPr>
          <w:rFonts w:cs="Arial"/>
          <w:b/>
          <w:color w:val="auto"/>
          <w:sz w:val="20"/>
          <w:szCs w:val="20"/>
          <w:lang w:val="en-GB"/>
        </w:rPr>
        <w:t>&amp; Consequence Management</w:t>
      </w:r>
    </w:p>
    <w:p w:rsidR="00466784" w:rsidRPr="00B217DC" w:rsidRDefault="00466784" w:rsidP="00B217DC">
      <w:pPr>
        <w:numPr>
          <w:ilvl w:val="0"/>
          <w:numId w:val="78"/>
        </w:numPr>
        <w:ind w:left="426"/>
        <w:rPr>
          <w:rFonts w:cs="Arial"/>
          <w:color w:val="auto"/>
          <w:sz w:val="20"/>
          <w:szCs w:val="20"/>
          <w:lang w:val="en-GB"/>
        </w:rPr>
      </w:pPr>
      <w:r w:rsidRPr="00B217DC">
        <w:rPr>
          <w:rFonts w:cs="Arial"/>
          <w:color w:val="auto"/>
          <w:sz w:val="20"/>
          <w:szCs w:val="20"/>
          <w:lang w:val="en-GB"/>
        </w:rPr>
        <w:t xml:space="preserve">The Committee </w:t>
      </w:r>
      <w:r w:rsidR="00394824" w:rsidRPr="00B217DC">
        <w:rPr>
          <w:rFonts w:cs="Arial"/>
          <w:color w:val="auto"/>
          <w:sz w:val="20"/>
          <w:szCs w:val="20"/>
          <w:lang w:val="en-GB"/>
        </w:rPr>
        <w:t>noted with concern the AGSA findings regarding consequence management</w:t>
      </w:r>
      <w:r w:rsidR="00C34790" w:rsidRPr="00B217DC">
        <w:rPr>
          <w:rFonts w:cs="Arial"/>
          <w:color w:val="auto"/>
          <w:sz w:val="20"/>
          <w:szCs w:val="20"/>
          <w:lang w:val="en-GB"/>
        </w:rPr>
        <w:t xml:space="preserve"> which could not be substantiated due to insufficient appropriate evidence that action was taken against officials that incurred irregular expenditure</w:t>
      </w:r>
      <w:r w:rsidRPr="00B217DC">
        <w:rPr>
          <w:rFonts w:cs="Arial"/>
          <w:color w:val="auto"/>
          <w:sz w:val="20"/>
          <w:szCs w:val="20"/>
          <w:lang w:val="en-GB"/>
        </w:rPr>
        <w:t>.</w:t>
      </w:r>
      <w:r w:rsidR="00C34790" w:rsidRPr="00B217DC">
        <w:rPr>
          <w:rFonts w:cs="Arial"/>
          <w:color w:val="auto"/>
          <w:sz w:val="20"/>
          <w:szCs w:val="20"/>
          <w:lang w:val="en-GB"/>
        </w:rPr>
        <w:t xml:space="preserve"> This was attributed to a lack of p</w:t>
      </w:r>
      <w:r w:rsidR="00C34790" w:rsidRPr="00B217DC">
        <w:rPr>
          <w:rFonts w:cs="Arial"/>
          <w:color w:val="auto"/>
          <w:sz w:val="20"/>
          <w:szCs w:val="20"/>
        </w:rPr>
        <w:t>roper and complete records that were not maintained by the Department in order to conduct these investigations into irregular expenditure. However, this was in contrast to the finding by the ARC to be elaborated on in the section hereafter.</w:t>
      </w:r>
    </w:p>
    <w:p w:rsidR="00B47C2C" w:rsidRPr="00B217DC" w:rsidRDefault="00B47C2C" w:rsidP="00B217DC">
      <w:pPr>
        <w:numPr>
          <w:ilvl w:val="0"/>
          <w:numId w:val="78"/>
        </w:numPr>
        <w:ind w:left="426"/>
        <w:rPr>
          <w:rFonts w:cs="Arial"/>
          <w:color w:val="auto"/>
          <w:sz w:val="20"/>
          <w:szCs w:val="20"/>
          <w:lang w:val="en-GB"/>
        </w:rPr>
      </w:pPr>
      <w:r w:rsidRPr="00B217DC">
        <w:rPr>
          <w:rFonts w:cs="Arial"/>
          <w:color w:val="auto"/>
          <w:sz w:val="20"/>
          <w:szCs w:val="20"/>
          <w:lang w:val="en-GB"/>
        </w:rPr>
        <w:lastRenderedPageBreak/>
        <w:t xml:space="preserve">The Committee questioned why consequence management has not been implemented against officials who were responsible for the under-expenditure incurred in 2021/22.  To this end, the Committee asked what the CFO was doing about the under-expenditure as the concern was there was no strong action taken by management to rectify the matter. </w:t>
      </w:r>
    </w:p>
    <w:p w:rsidR="00B47C2C" w:rsidRPr="00B217DC" w:rsidRDefault="00B47C2C" w:rsidP="00B217DC">
      <w:pPr>
        <w:numPr>
          <w:ilvl w:val="0"/>
          <w:numId w:val="78"/>
        </w:numPr>
        <w:ind w:left="426"/>
        <w:rPr>
          <w:rFonts w:cs="Arial"/>
          <w:color w:val="auto"/>
          <w:sz w:val="20"/>
          <w:szCs w:val="20"/>
          <w:lang w:val="en-GB"/>
        </w:rPr>
      </w:pPr>
      <w:r w:rsidRPr="00B217DC">
        <w:rPr>
          <w:rFonts w:cs="Arial"/>
          <w:color w:val="auto"/>
          <w:sz w:val="20"/>
          <w:szCs w:val="20"/>
          <w:lang w:val="en-GB"/>
        </w:rPr>
        <w:t>The Committee noted with concern that the DG indicated she was reluctant to implement consequence management against officials who were not performing their tasks as they would approach the Committee to report the matter. The Committee noted the seriousness of the aspersions cast on the Committee and requested the DG to provide more details in this regard as it would be interpreted as the Committee interfering. The Committee made it very clear if there were instances this must be brought to the attention of the Committee as members were unaware of any incidents and if this was not the case the DG should retract what was said and make it abundantly clear.</w:t>
      </w:r>
    </w:p>
    <w:p w:rsidR="00466784" w:rsidRPr="00B217DC" w:rsidRDefault="00B47C2C" w:rsidP="00B217DC">
      <w:pPr>
        <w:numPr>
          <w:ilvl w:val="0"/>
          <w:numId w:val="78"/>
        </w:numPr>
        <w:ind w:left="426"/>
        <w:rPr>
          <w:rFonts w:cs="Arial"/>
          <w:color w:val="auto"/>
          <w:sz w:val="20"/>
          <w:szCs w:val="20"/>
          <w:lang w:val="en-GB"/>
        </w:rPr>
      </w:pPr>
      <w:r w:rsidRPr="00B217DC">
        <w:rPr>
          <w:rFonts w:cs="Arial"/>
          <w:color w:val="auto"/>
          <w:sz w:val="20"/>
          <w:szCs w:val="20"/>
          <w:lang w:val="en-GB"/>
        </w:rPr>
        <w:t>The Committee took issue with the DG’s explanation of not being able to hold her officials to account, manage them appropriately and implement consequence management for non-performance. The Committee reiterated that was the role of the DG and in the event consequence management was not implemented she would be held to account accordingly for failing to perform her duties.</w:t>
      </w:r>
    </w:p>
    <w:p w:rsidR="00466784" w:rsidRPr="00B217DC" w:rsidRDefault="00C16849" w:rsidP="00B217DC">
      <w:pPr>
        <w:tabs>
          <w:tab w:val="left" w:pos="3253"/>
        </w:tabs>
        <w:rPr>
          <w:rFonts w:cs="Arial"/>
          <w:b/>
          <w:color w:val="auto"/>
          <w:sz w:val="20"/>
          <w:szCs w:val="20"/>
          <w:lang w:val="en-GB"/>
        </w:rPr>
      </w:pPr>
      <w:r w:rsidRPr="00B217DC">
        <w:rPr>
          <w:rFonts w:cs="Arial"/>
          <w:b/>
          <w:color w:val="auto"/>
          <w:sz w:val="20"/>
          <w:szCs w:val="20"/>
          <w:lang w:val="en-GB"/>
        </w:rPr>
        <w:tab/>
      </w:r>
    </w:p>
    <w:p w:rsidR="00466784" w:rsidRPr="00B217DC" w:rsidRDefault="00466784" w:rsidP="00B217DC">
      <w:pPr>
        <w:rPr>
          <w:rFonts w:cs="Arial"/>
          <w:b/>
          <w:color w:val="auto"/>
          <w:sz w:val="20"/>
          <w:szCs w:val="20"/>
          <w:lang w:val="en-GB"/>
        </w:rPr>
      </w:pPr>
      <w:r w:rsidRPr="00B217DC">
        <w:rPr>
          <w:rFonts w:cs="Arial"/>
          <w:b/>
          <w:color w:val="auto"/>
          <w:sz w:val="20"/>
          <w:szCs w:val="20"/>
          <w:lang w:val="en-GB"/>
        </w:rPr>
        <w:t>15.</w:t>
      </w:r>
      <w:r w:rsidR="00CF7338" w:rsidRPr="00B217DC">
        <w:rPr>
          <w:rFonts w:cs="Arial"/>
          <w:b/>
          <w:color w:val="auto"/>
          <w:sz w:val="20"/>
          <w:szCs w:val="20"/>
          <w:lang w:val="en-GB"/>
        </w:rPr>
        <w:t>4.5</w:t>
      </w:r>
      <w:r w:rsidRPr="00B217DC">
        <w:rPr>
          <w:rFonts w:cs="Arial"/>
          <w:b/>
          <w:color w:val="auto"/>
          <w:sz w:val="20"/>
          <w:szCs w:val="20"/>
          <w:lang w:val="en-GB"/>
        </w:rPr>
        <w:t xml:space="preserve"> Supply Chain Management</w:t>
      </w:r>
      <w:r w:rsidR="00FD1254" w:rsidRPr="00B217DC">
        <w:rPr>
          <w:rFonts w:cs="Arial"/>
          <w:b/>
          <w:color w:val="auto"/>
          <w:sz w:val="20"/>
          <w:szCs w:val="20"/>
          <w:lang w:val="en-GB"/>
        </w:rPr>
        <w:t xml:space="preserve"> (SCM)</w:t>
      </w:r>
    </w:p>
    <w:p w:rsidR="00466784" w:rsidRPr="00B217DC" w:rsidRDefault="00154ED7" w:rsidP="00B217DC">
      <w:pPr>
        <w:numPr>
          <w:ilvl w:val="0"/>
          <w:numId w:val="27"/>
        </w:numPr>
        <w:ind w:left="426"/>
        <w:rPr>
          <w:rFonts w:cs="Arial"/>
          <w:color w:val="auto"/>
          <w:sz w:val="20"/>
          <w:szCs w:val="20"/>
        </w:rPr>
      </w:pPr>
      <w:r w:rsidRPr="00B217DC">
        <w:rPr>
          <w:rFonts w:cs="Arial"/>
          <w:bCs/>
          <w:color w:val="auto"/>
          <w:sz w:val="20"/>
          <w:szCs w:val="20"/>
        </w:rPr>
        <w:t xml:space="preserve">The </w:t>
      </w:r>
      <w:r w:rsidRPr="00B217DC">
        <w:rPr>
          <w:rFonts w:cs="Arial"/>
          <w:color w:val="auto"/>
          <w:sz w:val="20"/>
          <w:szCs w:val="20"/>
        </w:rPr>
        <w:t>Department is to be commended for ensuring that no unsolicited bids were concluded for the year under review and that a new SCM policy was developed and approved</w:t>
      </w:r>
      <w:r w:rsidR="00466784" w:rsidRPr="00B217DC">
        <w:rPr>
          <w:rFonts w:cs="Arial"/>
          <w:color w:val="auto"/>
          <w:sz w:val="20"/>
          <w:szCs w:val="20"/>
        </w:rPr>
        <w:t>.</w:t>
      </w:r>
    </w:p>
    <w:p w:rsidR="00943A2E" w:rsidRPr="00B217DC" w:rsidRDefault="00943A2E" w:rsidP="00B217DC">
      <w:pPr>
        <w:rPr>
          <w:rFonts w:cs="Arial"/>
          <w:b/>
          <w:color w:val="auto"/>
          <w:sz w:val="20"/>
          <w:szCs w:val="20"/>
          <w:lang w:val="en-GB"/>
        </w:rPr>
      </w:pPr>
    </w:p>
    <w:p w:rsidR="00466784" w:rsidRPr="00B217DC" w:rsidRDefault="00466784" w:rsidP="00B217DC">
      <w:pPr>
        <w:rPr>
          <w:rFonts w:cs="Arial"/>
          <w:b/>
          <w:color w:val="auto"/>
          <w:sz w:val="20"/>
          <w:szCs w:val="20"/>
          <w:lang w:val="en-GB"/>
        </w:rPr>
      </w:pPr>
      <w:r w:rsidRPr="00B217DC">
        <w:rPr>
          <w:rFonts w:cs="Arial"/>
          <w:b/>
          <w:color w:val="auto"/>
          <w:sz w:val="20"/>
          <w:szCs w:val="20"/>
          <w:lang w:val="en-GB"/>
        </w:rPr>
        <w:t>15.</w:t>
      </w:r>
      <w:r w:rsidR="00CF7338" w:rsidRPr="00B217DC">
        <w:rPr>
          <w:rFonts w:cs="Arial"/>
          <w:b/>
          <w:color w:val="auto"/>
          <w:sz w:val="20"/>
          <w:szCs w:val="20"/>
          <w:lang w:val="en-GB"/>
        </w:rPr>
        <w:t>4.6</w:t>
      </w:r>
      <w:r w:rsidRPr="00B217DC">
        <w:rPr>
          <w:rFonts w:cs="Arial"/>
          <w:b/>
          <w:color w:val="auto"/>
          <w:sz w:val="20"/>
          <w:szCs w:val="20"/>
          <w:lang w:val="en-GB"/>
        </w:rPr>
        <w:t xml:space="preserve"> ICT</w:t>
      </w:r>
    </w:p>
    <w:p w:rsidR="00C65232" w:rsidRPr="00B217DC" w:rsidRDefault="00466784" w:rsidP="00B217DC">
      <w:pPr>
        <w:pStyle w:val="ListParagraph"/>
        <w:numPr>
          <w:ilvl w:val="0"/>
          <w:numId w:val="32"/>
        </w:numPr>
        <w:ind w:left="426"/>
        <w:rPr>
          <w:rFonts w:cs="Arial"/>
          <w:color w:val="auto"/>
          <w:sz w:val="20"/>
          <w:szCs w:val="20"/>
        </w:rPr>
      </w:pPr>
      <w:r w:rsidRPr="00B217DC">
        <w:rPr>
          <w:rFonts w:cs="Arial"/>
          <w:color w:val="auto"/>
          <w:sz w:val="20"/>
          <w:szCs w:val="20"/>
        </w:rPr>
        <w:t>The Committee</w:t>
      </w:r>
      <w:r w:rsidR="00C50499" w:rsidRPr="00B217DC">
        <w:rPr>
          <w:rFonts w:cs="Arial"/>
          <w:color w:val="auto"/>
          <w:sz w:val="20"/>
          <w:szCs w:val="20"/>
        </w:rPr>
        <w:t xml:space="preserve"> noted with concern </w:t>
      </w:r>
      <w:r w:rsidR="00C65232" w:rsidRPr="00B217DC">
        <w:rPr>
          <w:rFonts w:cs="Arial"/>
          <w:color w:val="auto"/>
          <w:sz w:val="20"/>
          <w:szCs w:val="20"/>
        </w:rPr>
        <w:t xml:space="preserve">that the only ICT target to develop and approve </w:t>
      </w:r>
      <w:r w:rsidR="00DC741A" w:rsidRPr="00B217DC">
        <w:rPr>
          <w:rFonts w:cs="Arial"/>
          <w:color w:val="auto"/>
          <w:sz w:val="20"/>
          <w:szCs w:val="20"/>
        </w:rPr>
        <w:t xml:space="preserve">the </w:t>
      </w:r>
      <w:r w:rsidR="00C65232" w:rsidRPr="00B217DC">
        <w:rPr>
          <w:rFonts w:cs="Arial"/>
          <w:color w:val="auto"/>
          <w:sz w:val="20"/>
          <w:szCs w:val="20"/>
        </w:rPr>
        <w:t xml:space="preserve">Master Information System and Security Technology Plan (MITSSP) was not met. It is important to note that </w:t>
      </w:r>
      <w:r w:rsidR="00154ED7" w:rsidRPr="00B217DC">
        <w:rPr>
          <w:rFonts w:cs="Arial"/>
          <w:color w:val="auto"/>
          <w:sz w:val="20"/>
          <w:szCs w:val="20"/>
        </w:rPr>
        <w:t>this target was unmet in 2020/21 as well</w:t>
      </w:r>
      <w:r w:rsidR="00C65232" w:rsidRPr="00B217DC">
        <w:rPr>
          <w:rFonts w:cs="Arial"/>
          <w:color w:val="auto"/>
          <w:sz w:val="20"/>
          <w:szCs w:val="20"/>
        </w:rPr>
        <w:t>.</w:t>
      </w:r>
    </w:p>
    <w:p w:rsidR="00466784" w:rsidRPr="00B217DC" w:rsidRDefault="00154ED7" w:rsidP="00B217DC">
      <w:pPr>
        <w:pStyle w:val="ListParagraph"/>
        <w:numPr>
          <w:ilvl w:val="0"/>
          <w:numId w:val="32"/>
        </w:numPr>
        <w:ind w:left="426"/>
        <w:rPr>
          <w:rFonts w:cs="Arial"/>
          <w:color w:val="auto"/>
          <w:sz w:val="20"/>
          <w:szCs w:val="20"/>
        </w:rPr>
      </w:pPr>
      <w:r w:rsidRPr="00B217DC">
        <w:rPr>
          <w:rFonts w:cs="Arial"/>
          <w:color w:val="auto"/>
          <w:sz w:val="20"/>
          <w:szCs w:val="20"/>
        </w:rPr>
        <w:t>The Committee noted with concern the ARC’s finding that the ICT environment remained a high risk for the Department which could hinder the achievement of its objectives</w:t>
      </w:r>
      <w:r w:rsidR="00C65232" w:rsidRPr="00B217DC">
        <w:rPr>
          <w:rFonts w:cs="Arial"/>
          <w:color w:val="auto"/>
          <w:sz w:val="20"/>
          <w:szCs w:val="20"/>
        </w:rPr>
        <w:t>.</w:t>
      </w:r>
    </w:p>
    <w:p w:rsidR="00466784" w:rsidRPr="00B217DC" w:rsidRDefault="00466784" w:rsidP="00B217DC">
      <w:pPr>
        <w:rPr>
          <w:rFonts w:cs="Arial"/>
          <w:b/>
          <w:color w:val="auto"/>
          <w:sz w:val="20"/>
          <w:szCs w:val="20"/>
          <w:lang w:val="en-GB"/>
        </w:rPr>
      </w:pPr>
    </w:p>
    <w:p w:rsidR="00466784" w:rsidRPr="00B217DC" w:rsidRDefault="00466784" w:rsidP="00B217DC">
      <w:pPr>
        <w:rPr>
          <w:rFonts w:cs="Arial"/>
          <w:b/>
          <w:bCs/>
          <w:color w:val="auto"/>
          <w:sz w:val="20"/>
          <w:szCs w:val="20"/>
        </w:rPr>
      </w:pPr>
      <w:r w:rsidRPr="00B217DC">
        <w:rPr>
          <w:rFonts w:cs="Arial"/>
          <w:b/>
          <w:bCs/>
          <w:color w:val="auto"/>
          <w:sz w:val="20"/>
          <w:szCs w:val="20"/>
        </w:rPr>
        <w:t>15.</w:t>
      </w:r>
      <w:r w:rsidR="00460FE5" w:rsidRPr="00B217DC">
        <w:rPr>
          <w:rFonts w:cs="Arial"/>
          <w:b/>
          <w:bCs/>
          <w:color w:val="auto"/>
          <w:sz w:val="20"/>
          <w:szCs w:val="20"/>
        </w:rPr>
        <w:t>5</w:t>
      </w:r>
      <w:r w:rsidRPr="00B217DC">
        <w:rPr>
          <w:rFonts w:cs="Arial"/>
          <w:b/>
          <w:bCs/>
          <w:color w:val="auto"/>
          <w:sz w:val="20"/>
          <w:szCs w:val="20"/>
        </w:rPr>
        <w:t xml:space="preserve"> AGSA &amp; ARC</w:t>
      </w:r>
    </w:p>
    <w:p w:rsidR="00C246FA" w:rsidRPr="00B217DC" w:rsidRDefault="00460FE5" w:rsidP="00B217DC">
      <w:pPr>
        <w:rPr>
          <w:rFonts w:cs="Arial"/>
          <w:b/>
          <w:bCs/>
          <w:color w:val="auto"/>
          <w:sz w:val="20"/>
          <w:szCs w:val="20"/>
        </w:rPr>
      </w:pPr>
      <w:r w:rsidRPr="00B217DC">
        <w:rPr>
          <w:rFonts w:cs="Arial"/>
          <w:b/>
          <w:bCs/>
          <w:color w:val="auto"/>
          <w:sz w:val="20"/>
          <w:szCs w:val="20"/>
        </w:rPr>
        <w:t>15.5</w:t>
      </w:r>
      <w:r w:rsidR="00466784" w:rsidRPr="00B217DC">
        <w:rPr>
          <w:rFonts w:cs="Arial"/>
          <w:b/>
          <w:bCs/>
          <w:color w:val="auto"/>
          <w:sz w:val="20"/>
          <w:szCs w:val="20"/>
        </w:rPr>
        <w:t xml:space="preserve">.1 </w:t>
      </w:r>
      <w:r w:rsidR="00C246FA" w:rsidRPr="00B217DC">
        <w:rPr>
          <w:rFonts w:cs="Arial"/>
          <w:b/>
          <w:bCs/>
          <w:color w:val="auto"/>
          <w:sz w:val="20"/>
          <w:szCs w:val="20"/>
        </w:rPr>
        <w:t xml:space="preserve">AGSA </w:t>
      </w:r>
      <w:r w:rsidR="006B3350" w:rsidRPr="00B217DC">
        <w:rPr>
          <w:rFonts w:cs="Arial"/>
          <w:b/>
          <w:bCs/>
          <w:color w:val="auto"/>
          <w:sz w:val="20"/>
          <w:szCs w:val="20"/>
        </w:rPr>
        <w:t>Findings and Recommendations</w:t>
      </w:r>
    </w:p>
    <w:p w:rsidR="003A0983" w:rsidRPr="00B217DC" w:rsidRDefault="003A0983" w:rsidP="00B217DC">
      <w:pPr>
        <w:numPr>
          <w:ilvl w:val="0"/>
          <w:numId w:val="77"/>
        </w:numPr>
        <w:ind w:left="426"/>
        <w:rPr>
          <w:rFonts w:cs="Arial"/>
          <w:color w:val="auto"/>
          <w:sz w:val="20"/>
          <w:szCs w:val="20"/>
          <w:lang w:val="en-GB"/>
        </w:rPr>
      </w:pPr>
      <w:r w:rsidRPr="00B217DC">
        <w:rPr>
          <w:rFonts w:cs="Arial"/>
          <w:color w:val="auto"/>
          <w:sz w:val="20"/>
          <w:szCs w:val="20"/>
          <w:lang w:val="en-GB"/>
        </w:rPr>
        <w:t xml:space="preserve">The Committee </w:t>
      </w:r>
      <w:r w:rsidR="00F754EB" w:rsidRPr="00B217DC">
        <w:rPr>
          <w:rFonts w:cs="Arial"/>
          <w:color w:val="auto"/>
          <w:sz w:val="20"/>
          <w:szCs w:val="20"/>
          <w:lang w:val="en-GB"/>
        </w:rPr>
        <w:t>concurred with the findings and recommendations of the AGSA</w:t>
      </w:r>
      <w:r w:rsidRPr="00B217DC">
        <w:rPr>
          <w:rFonts w:cs="Arial"/>
          <w:color w:val="auto"/>
          <w:sz w:val="20"/>
          <w:szCs w:val="20"/>
          <w:lang w:val="en-GB"/>
        </w:rPr>
        <w:t xml:space="preserve">. </w:t>
      </w:r>
    </w:p>
    <w:p w:rsidR="006B3350" w:rsidRPr="00B217DC" w:rsidRDefault="006B3350" w:rsidP="00B217DC">
      <w:pPr>
        <w:numPr>
          <w:ilvl w:val="0"/>
          <w:numId w:val="77"/>
        </w:numPr>
        <w:ind w:left="426"/>
        <w:rPr>
          <w:rFonts w:cs="Arial"/>
          <w:color w:val="auto"/>
          <w:sz w:val="20"/>
          <w:szCs w:val="20"/>
          <w:lang w:val="en-GB"/>
        </w:rPr>
      </w:pPr>
      <w:r w:rsidRPr="00B217DC">
        <w:rPr>
          <w:rFonts w:cs="Arial"/>
          <w:i/>
          <w:color w:val="auto"/>
          <w:sz w:val="20"/>
          <w:szCs w:val="20"/>
          <w:lang w:val="en-GB"/>
        </w:rPr>
        <w:t xml:space="preserve">Repeat </w:t>
      </w:r>
      <w:r w:rsidR="00C246FA" w:rsidRPr="00B217DC">
        <w:rPr>
          <w:rFonts w:cs="Arial"/>
          <w:i/>
          <w:color w:val="auto"/>
          <w:sz w:val="20"/>
          <w:szCs w:val="20"/>
          <w:lang w:val="en-GB"/>
        </w:rPr>
        <w:t>findings</w:t>
      </w:r>
      <w:r w:rsidR="00C246FA" w:rsidRPr="00B217DC">
        <w:rPr>
          <w:rFonts w:cs="Arial"/>
          <w:color w:val="auto"/>
          <w:sz w:val="20"/>
          <w:szCs w:val="20"/>
          <w:lang w:val="en-GB"/>
        </w:rPr>
        <w:t>: The Committee noted with concern the repeat findings by the AGSA and the repeated calls by the Committee itself for the Department to address particular matters which appeared not to be taken seriously as not all of these recommendations were implemented by the end of the financial year.</w:t>
      </w:r>
      <w:r w:rsidR="00C246FA" w:rsidRPr="00B217DC">
        <w:rPr>
          <w:rFonts w:cs="Arial"/>
          <w:color w:val="auto"/>
          <w:sz w:val="20"/>
          <w:szCs w:val="20"/>
        </w:rPr>
        <w:t xml:space="preserve"> </w:t>
      </w:r>
    </w:p>
    <w:p w:rsidR="00F754EB" w:rsidRPr="00B217DC" w:rsidRDefault="00F754EB" w:rsidP="00B217DC">
      <w:pPr>
        <w:numPr>
          <w:ilvl w:val="0"/>
          <w:numId w:val="77"/>
        </w:numPr>
        <w:ind w:left="426"/>
        <w:rPr>
          <w:rFonts w:cs="Arial"/>
          <w:color w:val="auto"/>
          <w:sz w:val="20"/>
          <w:szCs w:val="20"/>
        </w:rPr>
      </w:pPr>
      <w:r w:rsidRPr="00B217DC">
        <w:rPr>
          <w:rFonts w:cs="Arial"/>
          <w:i/>
          <w:color w:val="auto"/>
          <w:sz w:val="20"/>
          <w:szCs w:val="20"/>
          <w:lang w:val="en-GB"/>
        </w:rPr>
        <w:t>Compliance</w:t>
      </w:r>
      <w:r w:rsidRPr="00B217DC">
        <w:rPr>
          <w:rFonts w:cs="Arial"/>
          <w:color w:val="auto"/>
          <w:sz w:val="20"/>
          <w:szCs w:val="20"/>
          <w:lang w:val="en-GB"/>
        </w:rPr>
        <w:t>: The Committee noted with concern the repeat finding of non-compliance with legislation as identified by the AGSA as well as those related to internal control deficiencies</w:t>
      </w:r>
      <w:r w:rsidRPr="00B217DC">
        <w:rPr>
          <w:rFonts w:cs="Arial"/>
          <w:color w:val="auto"/>
          <w:sz w:val="20"/>
          <w:szCs w:val="20"/>
        </w:rPr>
        <w:t xml:space="preserve">. </w:t>
      </w:r>
    </w:p>
    <w:p w:rsidR="003A0983" w:rsidRPr="00B217DC" w:rsidRDefault="006B3350" w:rsidP="00B217DC">
      <w:pPr>
        <w:pStyle w:val="ListParagraph"/>
        <w:numPr>
          <w:ilvl w:val="0"/>
          <w:numId w:val="77"/>
        </w:numPr>
        <w:ind w:left="426"/>
        <w:rPr>
          <w:rFonts w:cs="Arial"/>
          <w:color w:val="auto"/>
          <w:sz w:val="20"/>
          <w:szCs w:val="20"/>
          <w:lang w:val="en-GB"/>
        </w:rPr>
      </w:pPr>
      <w:r w:rsidRPr="00B217DC">
        <w:rPr>
          <w:rFonts w:cs="Arial"/>
          <w:i/>
          <w:color w:val="auto"/>
          <w:sz w:val="20"/>
          <w:szCs w:val="20"/>
          <w:lang w:val="en-GB"/>
        </w:rPr>
        <w:t>Lack of consequence management</w:t>
      </w:r>
      <w:r w:rsidRPr="00B217DC">
        <w:rPr>
          <w:rFonts w:cs="Arial"/>
          <w:color w:val="auto"/>
          <w:sz w:val="20"/>
          <w:szCs w:val="20"/>
          <w:lang w:val="en-GB"/>
        </w:rPr>
        <w:t xml:space="preserve">: </w:t>
      </w:r>
      <w:r w:rsidR="00C246FA" w:rsidRPr="00B217DC">
        <w:rPr>
          <w:rFonts w:cs="Arial"/>
          <w:color w:val="auto"/>
          <w:sz w:val="20"/>
          <w:szCs w:val="20"/>
          <w:lang w:val="en-GB"/>
        </w:rPr>
        <w:t>The Committee noted with concern the AGSA and ARC finding which relates to the lack of consequence management</w:t>
      </w:r>
      <w:r w:rsidRPr="00B217DC">
        <w:rPr>
          <w:rFonts w:cs="Arial"/>
          <w:color w:val="auto"/>
          <w:sz w:val="20"/>
          <w:szCs w:val="20"/>
          <w:lang w:val="en-GB"/>
        </w:rPr>
        <w:t>. This too is a repeat finding</w:t>
      </w:r>
      <w:r w:rsidR="00C246FA" w:rsidRPr="00B217DC">
        <w:rPr>
          <w:rFonts w:cs="Arial"/>
          <w:color w:val="auto"/>
          <w:sz w:val="20"/>
          <w:szCs w:val="20"/>
          <w:lang w:val="en-GB"/>
        </w:rPr>
        <w:t>.</w:t>
      </w:r>
      <w:r w:rsidRPr="00B217DC">
        <w:rPr>
          <w:rFonts w:cs="Arial"/>
          <w:color w:val="auto"/>
          <w:sz w:val="20"/>
          <w:szCs w:val="20"/>
          <w:lang w:val="en-GB"/>
        </w:rPr>
        <w:t xml:space="preserve"> </w:t>
      </w:r>
    </w:p>
    <w:p w:rsidR="005F65D8" w:rsidRPr="00B217DC" w:rsidRDefault="00F754EB" w:rsidP="00B217DC">
      <w:pPr>
        <w:numPr>
          <w:ilvl w:val="0"/>
          <w:numId w:val="77"/>
        </w:numPr>
        <w:ind w:left="426"/>
        <w:rPr>
          <w:rFonts w:cs="Arial"/>
          <w:color w:val="auto"/>
          <w:sz w:val="20"/>
          <w:szCs w:val="20"/>
          <w:lang w:val="en-GB"/>
        </w:rPr>
      </w:pPr>
      <w:r w:rsidRPr="00B217DC">
        <w:rPr>
          <w:rFonts w:cs="Arial"/>
          <w:i/>
          <w:color w:val="auto"/>
          <w:sz w:val="20"/>
          <w:szCs w:val="20"/>
          <w:lang w:val="en-GB"/>
        </w:rPr>
        <w:t>Limited scope of audit</w:t>
      </w:r>
      <w:r w:rsidRPr="00B217DC">
        <w:rPr>
          <w:rFonts w:cs="Arial"/>
          <w:color w:val="auto"/>
          <w:sz w:val="20"/>
          <w:szCs w:val="20"/>
          <w:lang w:val="en-GB"/>
        </w:rPr>
        <w:t xml:space="preserve">: </w:t>
      </w:r>
      <w:r w:rsidR="005F65D8" w:rsidRPr="00B217DC">
        <w:rPr>
          <w:rFonts w:cs="Arial"/>
          <w:color w:val="auto"/>
          <w:sz w:val="20"/>
          <w:szCs w:val="20"/>
          <w:lang w:val="en-GB"/>
        </w:rPr>
        <w:t>Firstly, the Committee was concerned that the AGSA only audited one Programme of the Department i.e. Programme 2 and did not focus on other Programmes such Programme 4 &amp; 5 which are not performing optimally.  Secondly, the Committee questioned whether the AGSA was providing a true reflection of the performance of the Department if the audit was limited to a programme that appeared to be performing well by achieving all its targets. The concern articulated by the Committee was that this limited assessment of the Department, CGE and NYDA’s performance did not adequately assist the Committee to obtain a holistic assessment of the performance as the AGSA would have had access to more data and information to make a determination. Lastly; the Committee questioned what informs the sample of the AGSA in order for the auditors to conduct an audit and derive at an opinion. The Committee was concerned that only one programme was earmarked for an audit and this was repeated year-after-year. As such the Committee questioned, why programmes that are performing poorly are not audited.</w:t>
      </w:r>
    </w:p>
    <w:p w:rsidR="005F65D8" w:rsidRPr="00B217DC" w:rsidRDefault="00F754EB" w:rsidP="00B217DC">
      <w:pPr>
        <w:numPr>
          <w:ilvl w:val="0"/>
          <w:numId w:val="77"/>
        </w:numPr>
        <w:ind w:left="426"/>
        <w:rPr>
          <w:rFonts w:cs="Arial"/>
          <w:color w:val="auto"/>
          <w:sz w:val="20"/>
          <w:szCs w:val="20"/>
          <w:lang w:val="en-GB"/>
        </w:rPr>
      </w:pPr>
      <w:r w:rsidRPr="00B217DC">
        <w:rPr>
          <w:rFonts w:cs="Arial"/>
          <w:i/>
          <w:color w:val="auto"/>
          <w:sz w:val="20"/>
          <w:szCs w:val="20"/>
          <w:lang w:val="en-GB"/>
        </w:rPr>
        <w:t>Relationship with ARC</w:t>
      </w:r>
      <w:r w:rsidRPr="00B217DC">
        <w:rPr>
          <w:rFonts w:cs="Arial"/>
          <w:color w:val="auto"/>
          <w:sz w:val="20"/>
          <w:szCs w:val="20"/>
          <w:lang w:val="en-GB"/>
        </w:rPr>
        <w:t>:</w:t>
      </w:r>
      <w:r w:rsidR="005F65D8" w:rsidRPr="00B217DC">
        <w:rPr>
          <w:rFonts w:cs="Arial"/>
          <w:color w:val="auto"/>
          <w:sz w:val="20"/>
          <w:szCs w:val="20"/>
          <w:lang w:val="en-GB"/>
        </w:rPr>
        <w:t xml:space="preserve"> The Committee enquired about the working relationship of the AGSA and the ARC’s of the Department, NYDA and the CGE. Whilst the Committee acknowledged th</w:t>
      </w:r>
      <w:r w:rsidR="00DC741A" w:rsidRPr="00B217DC">
        <w:rPr>
          <w:rFonts w:cs="Arial"/>
          <w:color w:val="auto"/>
          <w:sz w:val="20"/>
          <w:szCs w:val="20"/>
          <w:lang w:val="en-GB"/>
        </w:rPr>
        <w:t>e</w:t>
      </w:r>
      <w:r w:rsidR="005F65D8" w:rsidRPr="00B217DC">
        <w:rPr>
          <w:rFonts w:cs="Arial"/>
          <w:color w:val="auto"/>
          <w:sz w:val="20"/>
          <w:szCs w:val="20"/>
          <w:lang w:val="en-GB"/>
        </w:rPr>
        <w:t xml:space="preserve"> independence of these entities, the Committee was concerned that the findings and matters of concern brought to the attention of the Committee by the various ARC’s did not find adequate expression in the audit for the year under review.</w:t>
      </w:r>
    </w:p>
    <w:p w:rsidR="005F65D8" w:rsidRPr="00B217DC" w:rsidRDefault="00F754EB" w:rsidP="00B217DC">
      <w:pPr>
        <w:numPr>
          <w:ilvl w:val="0"/>
          <w:numId w:val="77"/>
        </w:numPr>
        <w:ind w:left="426"/>
        <w:rPr>
          <w:rFonts w:cs="Arial"/>
          <w:color w:val="auto"/>
          <w:sz w:val="20"/>
          <w:szCs w:val="20"/>
          <w:lang w:val="en-GB"/>
        </w:rPr>
      </w:pPr>
      <w:r w:rsidRPr="00B217DC">
        <w:rPr>
          <w:rFonts w:cs="Arial"/>
          <w:i/>
          <w:color w:val="auto"/>
          <w:sz w:val="20"/>
          <w:szCs w:val="20"/>
          <w:lang w:val="en-GB"/>
        </w:rPr>
        <w:t>Outcomes of Performance Audit</w:t>
      </w:r>
      <w:r w:rsidRPr="00B217DC">
        <w:rPr>
          <w:rFonts w:cs="Arial"/>
          <w:color w:val="auto"/>
          <w:sz w:val="20"/>
          <w:szCs w:val="20"/>
          <w:lang w:val="en-GB"/>
        </w:rPr>
        <w:t xml:space="preserve">: </w:t>
      </w:r>
      <w:r w:rsidR="005F65D8" w:rsidRPr="00B217DC">
        <w:rPr>
          <w:rFonts w:cs="Arial"/>
          <w:color w:val="auto"/>
          <w:sz w:val="20"/>
          <w:szCs w:val="20"/>
          <w:lang w:val="en-GB"/>
        </w:rPr>
        <w:t>Based on the AGSA’s audit of the entities in the portfolio, the Committee enquired whether there was value for money in terms of what was spent versus what was achieved by the Department, the NYDA and the CGE.</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t xml:space="preserve">The Committee questioned whether AGSA found any proof of the regulatory role of the Department during the auditing process. </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lastRenderedPageBreak/>
        <w:t>The Committee was concerned that AGSA did not provide an opinion on the Sanitary Dignity Programme (SDP) of the Department having audited Programme 2. The Committee noted that during its oversight visit to the Gauteng Province, it was revealed that beneficiaries did not receive sanitary products due to problems with the tender. This was brought to the attention of the Department at the time and as such the Committee questioned its monitoring and evaluation of the SDP despite the submission of reports every quarter as a target achieved.</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t xml:space="preserve">The Committee was concerned about the report of the CGE which reflected that </w:t>
      </w:r>
      <w:r w:rsidR="00DC741A" w:rsidRPr="00B217DC">
        <w:rPr>
          <w:rFonts w:cs="Arial"/>
          <w:color w:val="auto"/>
          <w:sz w:val="20"/>
          <w:szCs w:val="20"/>
          <w:lang w:val="en-GB"/>
        </w:rPr>
        <w:t xml:space="preserve">initially </w:t>
      </w:r>
      <w:r w:rsidRPr="00B217DC">
        <w:rPr>
          <w:rFonts w:cs="Arial"/>
          <w:color w:val="auto"/>
          <w:sz w:val="20"/>
          <w:szCs w:val="20"/>
          <w:lang w:val="en-GB"/>
        </w:rPr>
        <w:t>targets were</w:t>
      </w:r>
      <w:r w:rsidR="00DC741A" w:rsidRPr="00B217DC">
        <w:rPr>
          <w:rFonts w:cs="Arial"/>
          <w:color w:val="auto"/>
          <w:sz w:val="20"/>
          <w:szCs w:val="20"/>
          <w:lang w:val="en-GB"/>
        </w:rPr>
        <w:t xml:space="preserve"> cited as</w:t>
      </w:r>
      <w:r w:rsidRPr="00B217DC">
        <w:rPr>
          <w:rFonts w:cs="Arial"/>
          <w:color w:val="auto"/>
          <w:sz w:val="20"/>
          <w:szCs w:val="20"/>
          <w:lang w:val="en-GB"/>
        </w:rPr>
        <w:t xml:space="preserve"> achieved</w:t>
      </w:r>
      <w:r w:rsidR="00DC741A" w:rsidRPr="00B217DC">
        <w:rPr>
          <w:rFonts w:cs="Arial"/>
          <w:color w:val="auto"/>
          <w:sz w:val="20"/>
          <w:szCs w:val="20"/>
          <w:lang w:val="en-GB"/>
        </w:rPr>
        <w:t xml:space="preserve"> by the CGE</w:t>
      </w:r>
      <w:r w:rsidRPr="00B217DC">
        <w:rPr>
          <w:rFonts w:cs="Arial"/>
          <w:color w:val="auto"/>
          <w:sz w:val="20"/>
          <w:szCs w:val="20"/>
          <w:lang w:val="en-GB"/>
        </w:rPr>
        <w:t xml:space="preserve"> but </w:t>
      </w:r>
      <w:r w:rsidR="00DC741A" w:rsidRPr="00B217DC">
        <w:rPr>
          <w:rFonts w:cs="Arial"/>
          <w:color w:val="auto"/>
          <w:sz w:val="20"/>
          <w:szCs w:val="20"/>
          <w:lang w:val="en-GB"/>
        </w:rPr>
        <w:t xml:space="preserve">upon </w:t>
      </w:r>
      <w:r w:rsidRPr="00B217DC">
        <w:rPr>
          <w:rFonts w:cs="Arial"/>
          <w:color w:val="auto"/>
          <w:sz w:val="20"/>
          <w:szCs w:val="20"/>
          <w:lang w:val="en-GB"/>
        </w:rPr>
        <w:t>the AGSA</w:t>
      </w:r>
      <w:r w:rsidR="00DC741A" w:rsidRPr="00B217DC">
        <w:rPr>
          <w:rFonts w:cs="Arial"/>
          <w:color w:val="auto"/>
          <w:sz w:val="20"/>
          <w:szCs w:val="20"/>
          <w:lang w:val="en-GB"/>
        </w:rPr>
        <w:t>’s audit it found</w:t>
      </w:r>
      <w:r w:rsidRPr="00B217DC">
        <w:rPr>
          <w:rFonts w:cs="Arial"/>
          <w:color w:val="auto"/>
          <w:sz w:val="20"/>
          <w:szCs w:val="20"/>
          <w:lang w:val="en-GB"/>
        </w:rPr>
        <w:t xml:space="preserve"> that </w:t>
      </w:r>
      <w:r w:rsidR="00DC741A" w:rsidRPr="00B217DC">
        <w:rPr>
          <w:rFonts w:cs="Arial"/>
          <w:color w:val="auto"/>
          <w:sz w:val="20"/>
          <w:szCs w:val="20"/>
          <w:lang w:val="en-GB"/>
        </w:rPr>
        <w:t xml:space="preserve">the </w:t>
      </w:r>
      <w:r w:rsidRPr="00B217DC">
        <w:rPr>
          <w:rFonts w:cs="Arial"/>
          <w:color w:val="auto"/>
          <w:sz w:val="20"/>
          <w:szCs w:val="20"/>
          <w:lang w:val="en-GB"/>
        </w:rPr>
        <w:t>targets were not met</w:t>
      </w:r>
      <w:r w:rsidR="00DC741A" w:rsidRPr="00B217DC">
        <w:rPr>
          <w:rFonts w:cs="Arial"/>
          <w:color w:val="auto"/>
          <w:sz w:val="20"/>
          <w:szCs w:val="20"/>
          <w:lang w:val="en-GB"/>
        </w:rPr>
        <w:t xml:space="preserve"> and the CGE had to correct the mistake</w:t>
      </w:r>
      <w:r w:rsidRPr="00B217DC">
        <w:rPr>
          <w:rFonts w:cs="Arial"/>
          <w:color w:val="auto"/>
          <w:sz w:val="20"/>
          <w:szCs w:val="20"/>
          <w:lang w:val="en-GB"/>
        </w:rPr>
        <w:t>. This brought into question for the Committee whether internal controls of the CGE were poor.</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t>The Committee enquired about how often the AGSA monitor</w:t>
      </w:r>
      <w:r w:rsidR="00DC741A" w:rsidRPr="00B217DC">
        <w:rPr>
          <w:rFonts w:cs="Arial"/>
          <w:color w:val="auto"/>
          <w:sz w:val="20"/>
          <w:szCs w:val="20"/>
          <w:lang w:val="en-GB"/>
        </w:rPr>
        <w:t>s</w:t>
      </w:r>
      <w:r w:rsidRPr="00B217DC">
        <w:rPr>
          <w:rFonts w:cs="Arial"/>
          <w:color w:val="auto"/>
          <w:sz w:val="20"/>
          <w:szCs w:val="20"/>
          <w:lang w:val="en-GB"/>
        </w:rPr>
        <w:t xml:space="preserve"> and evaluates the performance of the Department, CGE and the NYDA besides at the end of a financial year. The Committee indicated that concerns were often identified during in-year-monitoring and was brought to the attention of the Committee through various ARCs. As such, the Committee noted these issues could have then been averted but often these were not addressed and instead translates into a finding.</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t>The Committee enquired about the R15 million and R5 million allocated to the National Council on Gender-Based Violence and Femicide (NCGBVF) and reallocated to the Secretariat on NCGBVF which was allocated for a set</w:t>
      </w:r>
      <w:r w:rsidR="00DC741A" w:rsidRPr="00B217DC">
        <w:rPr>
          <w:rFonts w:cs="Arial"/>
          <w:color w:val="auto"/>
          <w:sz w:val="20"/>
          <w:szCs w:val="20"/>
          <w:lang w:val="en-GB"/>
        </w:rPr>
        <w:t xml:space="preserve"> period</w:t>
      </w:r>
      <w:r w:rsidRPr="00B217DC">
        <w:rPr>
          <w:rFonts w:cs="Arial"/>
          <w:color w:val="auto"/>
          <w:sz w:val="20"/>
          <w:szCs w:val="20"/>
          <w:lang w:val="en-GB"/>
        </w:rPr>
        <w:t xml:space="preserve"> until the end of 2022/23 and whether this was audited by the AGSA. The Committee enquired whether the Department was aware of this and if so why they have not reported on the matter to the AGSA. In particular, the Committee asked whether the AGSA has audited the expenditure in relation to the R15 million allocated for the establishment of the NCGBVF.</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t xml:space="preserve">The Committee was concerned about the lack of information provided by the AGSA in terms of whether the CGE conducts needs analysis before procuring equipment to ensure that there is a need for it and whether the purchase is justifiable. </w:t>
      </w:r>
    </w:p>
    <w:p w:rsidR="005F65D8" w:rsidRPr="00B217DC" w:rsidRDefault="005F65D8" w:rsidP="00B217DC">
      <w:pPr>
        <w:numPr>
          <w:ilvl w:val="0"/>
          <w:numId w:val="77"/>
        </w:numPr>
        <w:ind w:left="426"/>
        <w:rPr>
          <w:rFonts w:cs="Arial"/>
          <w:color w:val="auto"/>
          <w:sz w:val="20"/>
          <w:szCs w:val="20"/>
          <w:lang w:val="en-GB"/>
        </w:rPr>
      </w:pPr>
      <w:r w:rsidRPr="00B217DC">
        <w:rPr>
          <w:rFonts w:cs="Arial"/>
          <w:i/>
          <w:color w:val="auto"/>
          <w:sz w:val="20"/>
          <w:szCs w:val="20"/>
          <w:lang w:val="en-GB"/>
        </w:rPr>
        <w:t>Donor funding</w:t>
      </w:r>
      <w:r w:rsidRPr="00B217DC">
        <w:rPr>
          <w:rFonts w:cs="Arial"/>
          <w:color w:val="auto"/>
          <w:sz w:val="20"/>
          <w:szCs w:val="20"/>
          <w:lang w:val="en-GB"/>
        </w:rPr>
        <w:t>: The Committee noted with concern the lack of information from the AGSA regarding donor funding received by Department, NYDA and CGE and expenditure in this regard. The Committee indicated that an assessment of donor funding was important given that it was linked to almost all of the core programmes</w:t>
      </w:r>
    </w:p>
    <w:p w:rsidR="005F65D8" w:rsidRPr="00B217DC" w:rsidRDefault="005F65D8" w:rsidP="00B217DC">
      <w:pPr>
        <w:numPr>
          <w:ilvl w:val="0"/>
          <w:numId w:val="77"/>
        </w:numPr>
        <w:ind w:left="426"/>
        <w:rPr>
          <w:rFonts w:cs="Arial"/>
          <w:color w:val="auto"/>
          <w:sz w:val="20"/>
          <w:szCs w:val="20"/>
          <w:lang w:val="en-GB"/>
        </w:rPr>
      </w:pPr>
      <w:r w:rsidRPr="00B217DC">
        <w:rPr>
          <w:rFonts w:cs="Arial"/>
          <w:i/>
          <w:color w:val="auto"/>
          <w:sz w:val="20"/>
          <w:szCs w:val="20"/>
          <w:lang w:val="en-GB"/>
        </w:rPr>
        <w:t>Whistle</w:t>
      </w:r>
      <w:r w:rsidRPr="00B217DC">
        <w:rPr>
          <w:rFonts w:cs="Arial"/>
          <w:color w:val="auto"/>
          <w:sz w:val="20"/>
          <w:szCs w:val="20"/>
          <w:lang w:val="en-GB"/>
        </w:rPr>
        <w:t>-</w:t>
      </w:r>
      <w:r w:rsidRPr="00B217DC">
        <w:rPr>
          <w:rFonts w:cs="Arial"/>
          <w:i/>
          <w:color w:val="auto"/>
          <w:sz w:val="20"/>
          <w:szCs w:val="20"/>
          <w:lang w:val="en-GB"/>
        </w:rPr>
        <w:t>blower allegations regarding the NYDA’s CEO</w:t>
      </w:r>
      <w:r w:rsidRPr="00B217DC">
        <w:rPr>
          <w:rFonts w:cs="Arial"/>
          <w:color w:val="auto"/>
          <w:sz w:val="20"/>
          <w:szCs w:val="20"/>
          <w:lang w:val="en-GB"/>
        </w:rPr>
        <w:t>: The Committee was concern</w:t>
      </w:r>
      <w:r w:rsidR="00DC741A" w:rsidRPr="00B217DC">
        <w:rPr>
          <w:rFonts w:cs="Arial"/>
          <w:color w:val="auto"/>
          <w:sz w:val="20"/>
          <w:szCs w:val="20"/>
          <w:lang w:val="en-GB"/>
        </w:rPr>
        <w:t>ed</w:t>
      </w:r>
      <w:r w:rsidRPr="00B217DC">
        <w:rPr>
          <w:rFonts w:cs="Arial"/>
          <w:color w:val="auto"/>
          <w:sz w:val="20"/>
          <w:szCs w:val="20"/>
          <w:lang w:val="en-GB"/>
        </w:rPr>
        <w:t xml:space="preserve"> that the AGSA did not mention any allegations against the CEO of the NYDA with regards to nepotism, corruption, irregularities on procurement process, tenders given to family members of the CEO in its audit report. To this end, the Committee asked whether these allegations were investigated and whether these formed part of the audit to indicate whether the allegations were true or false in order to assist the Committee to conduct its oversight over the NYDA effectively.</w:t>
      </w:r>
    </w:p>
    <w:p w:rsidR="005F65D8" w:rsidRPr="00B217DC" w:rsidRDefault="005F65D8" w:rsidP="00B217DC">
      <w:pPr>
        <w:numPr>
          <w:ilvl w:val="0"/>
          <w:numId w:val="77"/>
        </w:numPr>
        <w:ind w:left="426"/>
        <w:rPr>
          <w:rFonts w:cs="Arial"/>
          <w:color w:val="auto"/>
          <w:sz w:val="20"/>
          <w:szCs w:val="20"/>
          <w:lang w:val="en-GB"/>
        </w:rPr>
      </w:pPr>
      <w:r w:rsidRPr="00B217DC">
        <w:rPr>
          <w:rFonts w:cs="Arial"/>
          <w:color w:val="auto"/>
          <w:sz w:val="20"/>
          <w:szCs w:val="20"/>
          <w:lang w:val="en-GB"/>
        </w:rPr>
        <w:t>The Committee was concern</w:t>
      </w:r>
      <w:r w:rsidR="00DC741A" w:rsidRPr="00B217DC">
        <w:rPr>
          <w:rFonts w:cs="Arial"/>
          <w:color w:val="auto"/>
          <w:sz w:val="20"/>
          <w:szCs w:val="20"/>
          <w:lang w:val="en-GB"/>
        </w:rPr>
        <w:t>ed</w:t>
      </w:r>
      <w:r w:rsidRPr="00B217DC">
        <w:rPr>
          <w:rFonts w:cs="Arial"/>
          <w:color w:val="auto"/>
          <w:sz w:val="20"/>
          <w:szCs w:val="20"/>
          <w:lang w:val="en-GB"/>
        </w:rPr>
        <w:t xml:space="preserve"> that it could not make a determination based on the audit conducted on the NYDA insofar as the allegations levelled by the whistle blower was concerned as the Committee lacked the requisite details in this regard and as such requested more information. Based on the AGSA’s explanation on the audit pertaining to the alleged impropriety</w:t>
      </w:r>
      <w:r w:rsidR="00DC741A" w:rsidRPr="00B217DC">
        <w:rPr>
          <w:rFonts w:cs="Arial"/>
          <w:color w:val="auto"/>
          <w:sz w:val="20"/>
          <w:szCs w:val="20"/>
          <w:lang w:val="en-GB"/>
        </w:rPr>
        <w:t>,</w:t>
      </w:r>
      <w:r w:rsidRPr="00B217DC">
        <w:rPr>
          <w:rFonts w:cs="Arial"/>
          <w:color w:val="auto"/>
          <w:sz w:val="20"/>
          <w:szCs w:val="20"/>
          <w:lang w:val="en-GB"/>
        </w:rPr>
        <w:t xml:space="preserve"> the Committee was unclear about what was examined/assessed that fell within the scope of the AGSA’s mandate. The Committee deemed this important in order for it to make a determination of what should still be done given the serious nature of the allegations.</w:t>
      </w:r>
    </w:p>
    <w:p w:rsidR="006B3350" w:rsidRPr="00B217DC" w:rsidRDefault="006B3350" w:rsidP="00B217DC">
      <w:pPr>
        <w:rPr>
          <w:rFonts w:cs="Arial"/>
          <w:b/>
          <w:color w:val="auto"/>
          <w:sz w:val="20"/>
          <w:szCs w:val="20"/>
          <w:lang w:val="en-GB"/>
        </w:rPr>
      </w:pPr>
    </w:p>
    <w:p w:rsidR="006B3350" w:rsidRPr="00B217DC" w:rsidRDefault="00466784" w:rsidP="00B217DC">
      <w:pPr>
        <w:rPr>
          <w:rFonts w:cs="Arial"/>
          <w:b/>
          <w:color w:val="auto"/>
          <w:sz w:val="20"/>
          <w:szCs w:val="20"/>
          <w:lang w:val="en-GB"/>
        </w:rPr>
      </w:pPr>
      <w:r w:rsidRPr="00B217DC">
        <w:rPr>
          <w:rFonts w:cs="Arial"/>
          <w:b/>
          <w:color w:val="auto"/>
          <w:sz w:val="20"/>
          <w:szCs w:val="20"/>
          <w:lang w:val="en-GB"/>
        </w:rPr>
        <w:t>15.</w:t>
      </w:r>
      <w:r w:rsidR="00460FE5" w:rsidRPr="00B217DC">
        <w:rPr>
          <w:rFonts w:cs="Arial"/>
          <w:b/>
          <w:color w:val="auto"/>
          <w:sz w:val="20"/>
          <w:szCs w:val="20"/>
          <w:lang w:val="en-GB"/>
        </w:rPr>
        <w:t>5</w:t>
      </w:r>
      <w:r w:rsidRPr="00B217DC">
        <w:rPr>
          <w:rFonts w:cs="Arial"/>
          <w:b/>
          <w:color w:val="auto"/>
          <w:sz w:val="20"/>
          <w:szCs w:val="20"/>
          <w:lang w:val="en-GB"/>
        </w:rPr>
        <w:t xml:space="preserve">.2 </w:t>
      </w:r>
      <w:r w:rsidR="00C246FA" w:rsidRPr="00B217DC">
        <w:rPr>
          <w:rFonts w:cs="Arial"/>
          <w:b/>
          <w:color w:val="auto"/>
          <w:sz w:val="20"/>
          <w:szCs w:val="20"/>
          <w:lang w:val="en-GB"/>
        </w:rPr>
        <w:t xml:space="preserve">Audit and Risk Committee (ARC): </w:t>
      </w:r>
    </w:p>
    <w:p w:rsidR="006B3350" w:rsidRPr="00B217DC" w:rsidRDefault="00C246FA" w:rsidP="00B217DC">
      <w:pPr>
        <w:numPr>
          <w:ilvl w:val="0"/>
          <w:numId w:val="81"/>
        </w:numPr>
        <w:ind w:left="426"/>
        <w:rPr>
          <w:rFonts w:cs="Arial"/>
          <w:color w:val="auto"/>
          <w:sz w:val="20"/>
          <w:szCs w:val="20"/>
          <w:lang w:val="en-GB"/>
        </w:rPr>
      </w:pPr>
      <w:r w:rsidRPr="00B217DC">
        <w:rPr>
          <w:rFonts w:cs="Arial"/>
          <w:color w:val="auto"/>
          <w:sz w:val="20"/>
          <w:szCs w:val="20"/>
          <w:lang w:val="en-GB"/>
        </w:rPr>
        <w:t>The Committee acknowledges the findings and recommendations of the ARC.</w:t>
      </w:r>
      <w:r w:rsidR="006B3350" w:rsidRPr="00B217DC">
        <w:rPr>
          <w:rFonts w:cs="Arial"/>
          <w:color w:val="auto"/>
          <w:sz w:val="20"/>
          <w:szCs w:val="20"/>
          <w:lang w:val="en-GB"/>
        </w:rPr>
        <w:t xml:space="preserve">  </w:t>
      </w:r>
    </w:p>
    <w:p w:rsidR="006B3350" w:rsidRPr="00B217DC" w:rsidRDefault="009939AD" w:rsidP="00B217DC">
      <w:pPr>
        <w:pStyle w:val="ListParagraph"/>
        <w:numPr>
          <w:ilvl w:val="0"/>
          <w:numId w:val="81"/>
        </w:numPr>
        <w:ind w:left="426"/>
        <w:rPr>
          <w:rFonts w:cs="Arial"/>
          <w:color w:val="auto"/>
          <w:sz w:val="20"/>
          <w:szCs w:val="20"/>
        </w:rPr>
      </w:pPr>
      <w:r w:rsidRPr="00B217DC">
        <w:rPr>
          <w:rFonts w:cs="Arial"/>
          <w:color w:val="auto"/>
          <w:sz w:val="20"/>
          <w:szCs w:val="20"/>
          <w:lang w:val="en-GB"/>
        </w:rPr>
        <w:t xml:space="preserve">The Committee noted with concern </w:t>
      </w:r>
      <w:r w:rsidR="00DC741A" w:rsidRPr="00B217DC">
        <w:rPr>
          <w:rFonts w:cs="Arial"/>
          <w:color w:val="auto"/>
          <w:sz w:val="20"/>
          <w:szCs w:val="20"/>
          <w:lang w:val="en-GB"/>
        </w:rPr>
        <w:t xml:space="preserve">that </w:t>
      </w:r>
      <w:r w:rsidRPr="00B217DC">
        <w:rPr>
          <w:rFonts w:cs="Arial"/>
          <w:color w:val="auto"/>
          <w:sz w:val="20"/>
          <w:szCs w:val="20"/>
          <w:lang w:val="en-GB"/>
        </w:rPr>
        <w:t xml:space="preserve">the areas of improvement </w:t>
      </w:r>
      <w:r w:rsidR="00561BF2" w:rsidRPr="00B217DC">
        <w:rPr>
          <w:rFonts w:cs="Arial"/>
          <w:color w:val="auto"/>
          <w:sz w:val="20"/>
          <w:szCs w:val="20"/>
          <w:lang w:val="en-GB"/>
        </w:rPr>
        <w:t xml:space="preserve">proposed by the ARC </w:t>
      </w:r>
      <w:r w:rsidRPr="00B217DC">
        <w:rPr>
          <w:rFonts w:cs="Arial"/>
          <w:color w:val="auto"/>
          <w:sz w:val="20"/>
          <w:szCs w:val="20"/>
          <w:lang w:val="en-GB"/>
        </w:rPr>
        <w:t>to ensure the effective</w:t>
      </w:r>
      <w:r w:rsidR="00561BF2" w:rsidRPr="00B217DC">
        <w:rPr>
          <w:rFonts w:cs="Arial"/>
          <w:color w:val="auto"/>
          <w:sz w:val="20"/>
          <w:szCs w:val="20"/>
          <w:lang w:val="en-GB"/>
        </w:rPr>
        <w:t>ne</w:t>
      </w:r>
      <w:r w:rsidRPr="00B217DC">
        <w:rPr>
          <w:rFonts w:cs="Arial"/>
          <w:color w:val="auto"/>
          <w:sz w:val="20"/>
          <w:szCs w:val="20"/>
          <w:lang w:val="en-GB"/>
        </w:rPr>
        <w:t>ss of internal controls by the Department</w:t>
      </w:r>
      <w:r w:rsidR="00561BF2" w:rsidRPr="00B217DC">
        <w:rPr>
          <w:rFonts w:cs="Arial"/>
          <w:color w:val="auto"/>
          <w:sz w:val="20"/>
          <w:szCs w:val="20"/>
          <w:lang w:val="en-GB"/>
        </w:rPr>
        <w:t xml:space="preserve"> were not new but longstanding. In particular, these related firstly to </w:t>
      </w:r>
      <w:r w:rsidR="00561BF2" w:rsidRPr="00B217DC">
        <w:rPr>
          <w:rFonts w:cs="Arial"/>
          <w:color w:val="auto"/>
          <w:sz w:val="20"/>
          <w:szCs w:val="20"/>
        </w:rPr>
        <w:t>monitoring of compliance with applicable laws and regulations, specifically on investigating the irregular expenditure incurred in the previous financial years</w:t>
      </w:r>
      <w:r w:rsidR="00A50146" w:rsidRPr="00B217DC">
        <w:rPr>
          <w:rFonts w:cs="Arial"/>
          <w:color w:val="auto"/>
          <w:sz w:val="20"/>
          <w:szCs w:val="20"/>
          <w:lang w:val="en-GB"/>
        </w:rPr>
        <w:t xml:space="preserve">. </w:t>
      </w:r>
      <w:r w:rsidR="00561BF2" w:rsidRPr="00B217DC">
        <w:rPr>
          <w:rFonts w:cs="Arial"/>
          <w:color w:val="auto"/>
          <w:sz w:val="20"/>
          <w:szCs w:val="20"/>
          <w:lang w:val="en-GB"/>
        </w:rPr>
        <w:t xml:space="preserve">Secondly, to </w:t>
      </w:r>
      <w:r w:rsidR="00561BF2" w:rsidRPr="00B217DC">
        <w:rPr>
          <w:rFonts w:cs="Arial"/>
          <w:color w:val="auto"/>
          <w:sz w:val="20"/>
          <w:szCs w:val="20"/>
        </w:rPr>
        <w:t>Information Technology which requires improvement on service continuity and security controls.</w:t>
      </w:r>
    </w:p>
    <w:p w:rsidR="00480012" w:rsidRPr="00B217DC" w:rsidRDefault="00480012" w:rsidP="00B217DC">
      <w:pPr>
        <w:pStyle w:val="ListParagraph"/>
        <w:numPr>
          <w:ilvl w:val="0"/>
          <w:numId w:val="81"/>
        </w:numPr>
        <w:ind w:left="426"/>
        <w:rPr>
          <w:rFonts w:cs="Arial"/>
          <w:color w:val="auto"/>
          <w:sz w:val="20"/>
          <w:szCs w:val="20"/>
          <w:lang w:val="en-GB"/>
        </w:rPr>
      </w:pPr>
      <w:r w:rsidRPr="00B217DC">
        <w:rPr>
          <w:rFonts w:cs="Arial"/>
          <w:color w:val="auto"/>
          <w:sz w:val="20"/>
          <w:szCs w:val="20"/>
          <w:lang w:val="en-GB"/>
        </w:rPr>
        <w:t>The Committee notes the ARC’s finding regarding the progress made in the investigation of irregular expenditure incurred by the Department during 2020/21, 2019/20, 2018/19, 2017/18 and 2016/17 financial years as the Accounting Officer implemented the appropriate action in the form of consequence management, based on the results of the irregular expenditure investigations. However, this finding was different to that expressed by the AGSA which brings into question how the ARC then engaged with AGSA on this matter.</w:t>
      </w:r>
    </w:p>
    <w:p w:rsidR="004F2B77" w:rsidRPr="00B217DC" w:rsidRDefault="004F2B77" w:rsidP="00B217DC">
      <w:pPr>
        <w:pStyle w:val="ListParagraph"/>
        <w:numPr>
          <w:ilvl w:val="0"/>
          <w:numId w:val="81"/>
        </w:numPr>
        <w:ind w:left="426"/>
        <w:rPr>
          <w:rFonts w:cs="Arial"/>
          <w:color w:val="auto"/>
          <w:sz w:val="20"/>
          <w:szCs w:val="20"/>
          <w:lang w:val="en-GB"/>
        </w:rPr>
      </w:pPr>
      <w:r w:rsidRPr="00B217DC">
        <w:rPr>
          <w:rFonts w:cs="Arial"/>
          <w:i/>
          <w:color w:val="auto"/>
          <w:sz w:val="20"/>
          <w:szCs w:val="20"/>
        </w:rPr>
        <w:t>Under-spending</w:t>
      </w:r>
      <w:r w:rsidRPr="00B217DC">
        <w:rPr>
          <w:rFonts w:cs="Arial"/>
          <w:color w:val="auto"/>
          <w:sz w:val="20"/>
          <w:szCs w:val="20"/>
        </w:rPr>
        <w:t xml:space="preserve">: </w:t>
      </w:r>
      <w:r w:rsidRPr="00B217DC">
        <w:rPr>
          <w:rFonts w:cs="Arial"/>
          <w:color w:val="auto"/>
          <w:sz w:val="20"/>
          <w:szCs w:val="20"/>
          <w:lang w:val="en-GB"/>
        </w:rPr>
        <w:t>The Committee questioned why the ARC identified the under-spending as crisis in the 3</w:t>
      </w:r>
      <w:r w:rsidRPr="00B217DC">
        <w:rPr>
          <w:rFonts w:cs="Arial"/>
          <w:color w:val="auto"/>
          <w:sz w:val="20"/>
          <w:szCs w:val="20"/>
          <w:vertAlign w:val="superscript"/>
          <w:lang w:val="en-GB"/>
        </w:rPr>
        <w:t>rd</w:t>
      </w:r>
      <w:r w:rsidRPr="00B217DC">
        <w:rPr>
          <w:rFonts w:cs="Arial"/>
          <w:color w:val="auto"/>
          <w:sz w:val="20"/>
          <w:szCs w:val="20"/>
          <w:lang w:val="en-GB"/>
        </w:rPr>
        <w:t xml:space="preserve"> quarter for 2021/22 only when the potential under-expenditure was already identified during the 1</w:t>
      </w:r>
      <w:r w:rsidRPr="00B217DC">
        <w:rPr>
          <w:rFonts w:cs="Arial"/>
          <w:color w:val="auto"/>
          <w:sz w:val="20"/>
          <w:szCs w:val="20"/>
          <w:vertAlign w:val="superscript"/>
          <w:lang w:val="en-GB"/>
        </w:rPr>
        <w:t>st</w:t>
      </w:r>
      <w:r w:rsidRPr="00B217DC">
        <w:rPr>
          <w:rFonts w:cs="Arial"/>
          <w:color w:val="auto"/>
          <w:sz w:val="20"/>
          <w:szCs w:val="20"/>
          <w:lang w:val="en-GB"/>
        </w:rPr>
        <w:t xml:space="preserve"> and 2</w:t>
      </w:r>
      <w:r w:rsidRPr="00B217DC">
        <w:rPr>
          <w:rFonts w:cs="Arial"/>
          <w:color w:val="auto"/>
          <w:sz w:val="20"/>
          <w:szCs w:val="20"/>
          <w:vertAlign w:val="superscript"/>
          <w:lang w:val="en-GB"/>
        </w:rPr>
        <w:t>nd</w:t>
      </w:r>
      <w:r w:rsidRPr="00B217DC">
        <w:rPr>
          <w:rFonts w:cs="Arial"/>
          <w:color w:val="auto"/>
          <w:sz w:val="20"/>
          <w:szCs w:val="20"/>
          <w:lang w:val="en-GB"/>
        </w:rPr>
        <w:t xml:space="preserve"> quarter for 2021/22. </w:t>
      </w:r>
    </w:p>
    <w:p w:rsidR="004F2B77" w:rsidRPr="00B217DC" w:rsidRDefault="004F2B77" w:rsidP="00B217DC">
      <w:pPr>
        <w:pStyle w:val="ListParagraph"/>
        <w:numPr>
          <w:ilvl w:val="0"/>
          <w:numId w:val="81"/>
        </w:numPr>
        <w:ind w:left="426"/>
        <w:rPr>
          <w:rFonts w:cs="Arial"/>
          <w:color w:val="auto"/>
          <w:sz w:val="20"/>
          <w:szCs w:val="20"/>
          <w:lang w:val="en-GB"/>
        </w:rPr>
      </w:pPr>
      <w:r w:rsidRPr="00B217DC">
        <w:rPr>
          <w:rFonts w:cs="Arial"/>
          <w:color w:val="auto"/>
          <w:sz w:val="20"/>
          <w:szCs w:val="20"/>
          <w:lang w:val="en-GB"/>
        </w:rPr>
        <w:t xml:space="preserve">The Committee also requested more information on the unbudgeted needs as a measure of reducing under-spending as this was unclear. </w:t>
      </w:r>
    </w:p>
    <w:p w:rsidR="004F2B77" w:rsidRPr="00B217DC" w:rsidRDefault="004F2B77" w:rsidP="00B217DC">
      <w:pPr>
        <w:pStyle w:val="ListParagraph"/>
        <w:numPr>
          <w:ilvl w:val="0"/>
          <w:numId w:val="81"/>
        </w:numPr>
        <w:ind w:left="426"/>
        <w:rPr>
          <w:rFonts w:cs="Arial"/>
          <w:color w:val="auto"/>
          <w:sz w:val="20"/>
          <w:szCs w:val="20"/>
          <w:lang w:val="en-GB"/>
        </w:rPr>
      </w:pPr>
      <w:r w:rsidRPr="00B217DC">
        <w:rPr>
          <w:rFonts w:cs="Arial"/>
          <w:color w:val="auto"/>
          <w:sz w:val="20"/>
          <w:szCs w:val="20"/>
          <w:lang w:val="en-GB"/>
        </w:rPr>
        <w:lastRenderedPageBreak/>
        <w:t xml:space="preserve">The Committee observed that the ARC indicated that there was no </w:t>
      </w:r>
      <w:r w:rsidR="002E127B" w:rsidRPr="00B217DC">
        <w:rPr>
          <w:rFonts w:cs="Arial"/>
          <w:color w:val="auto"/>
          <w:sz w:val="20"/>
          <w:szCs w:val="20"/>
          <w:lang w:val="en-GB"/>
        </w:rPr>
        <w:t>irregular</w:t>
      </w:r>
      <w:r w:rsidRPr="00B217DC">
        <w:rPr>
          <w:rFonts w:cs="Arial"/>
          <w:color w:val="auto"/>
          <w:sz w:val="20"/>
          <w:szCs w:val="20"/>
          <w:lang w:val="en-GB"/>
        </w:rPr>
        <w:t>, unauthorised and fruitless and wasteful expenditure for 2021/22 and yet the Department reported 30 warnings given to support staff for financial misconduct. This appeared to be a contradiction and was concerning. As such, the Committee requested more information on the matter.</w:t>
      </w:r>
    </w:p>
    <w:p w:rsidR="004F2B77" w:rsidRPr="00B217DC" w:rsidRDefault="004F2B77" w:rsidP="00B217DC">
      <w:pPr>
        <w:pStyle w:val="ListParagraph"/>
        <w:numPr>
          <w:ilvl w:val="0"/>
          <w:numId w:val="81"/>
        </w:numPr>
        <w:ind w:left="426"/>
        <w:rPr>
          <w:rFonts w:cs="Arial"/>
          <w:color w:val="auto"/>
          <w:sz w:val="20"/>
          <w:szCs w:val="20"/>
          <w:lang w:val="en-GB"/>
        </w:rPr>
      </w:pPr>
      <w:r w:rsidRPr="00B217DC">
        <w:rPr>
          <w:rFonts w:cs="Arial"/>
          <w:i/>
          <w:color w:val="auto"/>
          <w:sz w:val="20"/>
          <w:szCs w:val="20"/>
        </w:rPr>
        <w:t>Consequence management</w:t>
      </w:r>
      <w:r w:rsidRPr="00B217DC">
        <w:rPr>
          <w:rFonts w:cs="Arial"/>
          <w:color w:val="auto"/>
          <w:sz w:val="20"/>
          <w:szCs w:val="20"/>
        </w:rPr>
        <w:t xml:space="preserve">: </w:t>
      </w:r>
      <w:r w:rsidRPr="00B217DC">
        <w:rPr>
          <w:rFonts w:cs="Arial"/>
          <w:color w:val="auto"/>
          <w:sz w:val="20"/>
          <w:szCs w:val="20"/>
          <w:lang w:val="en-GB"/>
        </w:rPr>
        <w:t>The Committee requested more detailed information on the consequence management implemented by the Department given that this was noted as repeat finding. This was a major area of concern for the Committee and reflected weak leadership and management to take corrective action.</w:t>
      </w:r>
    </w:p>
    <w:p w:rsidR="004F2B77" w:rsidRPr="00B217DC" w:rsidRDefault="004F2B77" w:rsidP="00B217DC">
      <w:pPr>
        <w:pStyle w:val="ListParagraph"/>
        <w:numPr>
          <w:ilvl w:val="0"/>
          <w:numId w:val="81"/>
        </w:numPr>
        <w:ind w:left="426"/>
        <w:rPr>
          <w:rFonts w:cs="Arial"/>
          <w:color w:val="auto"/>
          <w:sz w:val="20"/>
          <w:szCs w:val="20"/>
          <w:lang w:val="en-GB"/>
        </w:rPr>
      </w:pPr>
      <w:r w:rsidRPr="00B217DC">
        <w:rPr>
          <w:rFonts w:cs="Arial"/>
          <w:color w:val="auto"/>
          <w:sz w:val="20"/>
          <w:szCs w:val="20"/>
          <w:lang w:val="en-GB"/>
        </w:rPr>
        <w:t>The Committee noted with concern that reports were not submitted to the ARC by the Department nor were recommendations implemented. As such the Committee questioned whether there was any consequence management and if not</w:t>
      </w:r>
      <w:r w:rsidR="00DC741A" w:rsidRPr="00B217DC">
        <w:rPr>
          <w:rFonts w:cs="Arial"/>
          <w:color w:val="auto"/>
          <w:sz w:val="20"/>
          <w:szCs w:val="20"/>
          <w:lang w:val="en-GB"/>
        </w:rPr>
        <w:t>,</w:t>
      </w:r>
      <w:r w:rsidRPr="00B217DC">
        <w:rPr>
          <w:rFonts w:cs="Arial"/>
          <w:color w:val="auto"/>
          <w:sz w:val="20"/>
          <w:szCs w:val="20"/>
          <w:lang w:val="en-GB"/>
        </w:rPr>
        <w:t xml:space="preserve"> why this was allowed to continue unabated.</w:t>
      </w:r>
    </w:p>
    <w:p w:rsidR="004F2B77" w:rsidRPr="00B217DC" w:rsidRDefault="004F2B77" w:rsidP="00B217DC">
      <w:pPr>
        <w:pStyle w:val="ListParagraph"/>
        <w:numPr>
          <w:ilvl w:val="0"/>
          <w:numId w:val="81"/>
        </w:numPr>
        <w:ind w:left="426"/>
        <w:rPr>
          <w:rFonts w:cs="Arial"/>
          <w:color w:val="auto"/>
          <w:sz w:val="20"/>
          <w:szCs w:val="20"/>
          <w:lang w:val="en-GB"/>
        </w:rPr>
      </w:pPr>
      <w:r w:rsidRPr="00B217DC">
        <w:rPr>
          <w:rFonts w:cs="Arial"/>
          <w:color w:val="auto"/>
          <w:sz w:val="20"/>
          <w:szCs w:val="20"/>
          <w:lang w:val="en-GB"/>
        </w:rPr>
        <w:t>The Committee asked who had not implemented the recommendations of the ARC in the 1</w:t>
      </w:r>
      <w:r w:rsidRPr="00B217DC">
        <w:rPr>
          <w:rFonts w:cs="Arial"/>
          <w:color w:val="auto"/>
          <w:sz w:val="20"/>
          <w:szCs w:val="20"/>
          <w:vertAlign w:val="superscript"/>
          <w:lang w:val="en-GB"/>
        </w:rPr>
        <w:t>st</w:t>
      </w:r>
      <w:r w:rsidRPr="00B217DC">
        <w:rPr>
          <w:rFonts w:cs="Arial"/>
          <w:color w:val="auto"/>
          <w:sz w:val="20"/>
          <w:szCs w:val="20"/>
          <w:lang w:val="en-GB"/>
        </w:rPr>
        <w:t xml:space="preserve"> quarter for 2021/22 which resulted in under-spending of the Department by the end of the financial year. The significant under-spending was concerning.</w:t>
      </w:r>
    </w:p>
    <w:p w:rsidR="006D1D31" w:rsidRPr="00B217DC" w:rsidRDefault="00BA3E65" w:rsidP="00B217DC">
      <w:pPr>
        <w:pStyle w:val="ListParagraph"/>
        <w:numPr>
          <w:ilvl w:val="0"/>
          <w:numId w:val="81"/>
        </w:numPr>
        <w:ind w:left="426"/>
        <w:rPr>
          <w:rFonts w:cs="Arial"/>
          <w:color w:val="auto"/>
          <w:sz w:val="20"/>
          <w:szCs w:val="20"/>
        </w:rPr>
      </w:pPr>
      <w:r w:rsidRPr="00B217DC">
        <w:rPr>
          <w:rFonts w:cs="Arial"/>
          <w:i/>
          <w:color w:val="auto"/>
          <w:sz w:val="20"/>
          <w:szCs w:val="20"/>
          <w:lang w:val="en-GB"/>
        </w:rPr>
        <w:t>Risk management</w:t>
      </w:r>
      <w:r w:rsidRPr="00B217DC">
        <w:rPr>
          <w:rFonts w:cs="Arial"/>
          <w:color w:val="auto"/>
          <w:sz w:val="20"/>
          <w:szCs w:val="20"/>
          <w:lang w:val="en-GB"/>
        </w:rPr>
        <w:t xml:space="preserve">: </w:t>
      </w:r>
      <w:r w:rsidRPr="00B217DC">
        <w:rPr>
          <w:rFonts w:cs="Arial"/>
          <w:color w:val="auto"/>
          <w:sz w:val="20"/>
          <w:szCs w:val="20"/>
        </w:rPr>
        <w:t xml:space="preserve">The </w:t>
      </w:r>
      <w:r w:rsidR="00822C9A" w:rsidRPr="00B217DC">
        <w:rPr>
          <w:rFonts w:cs="Arial"/>
          <w:color w:val="auto"/>
          <w:sz w:val="20"/>
          <w:szCs w:val="20"/>
        </w:rPr>
        <w:t xml:space="preserve">Committee </w:t>
      </w:r>
      <w:r w:rsidR="004F2B77" w:rsidRPr="00B217DC">
        <w:rPr>
          <w:rFonts w:cs="Arial"/>
          <w:color w:val="auto"/>
          <w:sz w:val="20"/>
          <w:szCs w:val="20"/>
        </w:rPr>
        <w:t xml:space="preserve">concurred with the ARC finding and recommendation </w:t>
      </w:r>
      <w:r w:rsidR="00DC741A" w:rsidRPr="00B217DC">
        <w:rPr>
          <w:rFonts w:cs="Arial"/>
          <w:color w:val="auto"/>
          <w:sz w:val="20"/>
          <w:szCs w:val="20"/>
        </w:rPr>
        <w:t>on</w:t>
      </w:r>
      <w:r w:rsidR="006D1D31" w:rsidRPr="00B217DC">
        <w:rPr>
          <w:rFonts w:cs="Arial"/>
          <w:color w:val="auto"/>
          <w:sz w:val="20"/>
          <w:szCs w:val="20"/>
          <w:lang w:val="en-US"/>
        </w:rPr>
        <w:t xml:space="preserve"> the improvement of the risk management processes</w:t>
      </w:r>
      <w:r w:rsidR="00A62270" w:rsidRPr="00B217DC">
        <w:rPr>
          <w:rFonts w:cs="Arial"/>
          <w:color w:val="auto"/>
          <w:sz w:val="20"/>
          <w:szCs w:val="20"/>
          <w:lang w:val="en-US"/>
        </w:rPr>
        <w:t xml:space="preserve"> and that the </w:t>
      </w:r>
      <w:r w:rsidR="006D1D31" w:rsidRPr="00B217DC">
        <w:rPr>
          <w:rFonts w:cs="Arial"/>
          <w:color w:val="auto"/>
          <w:sz w:val="20"/>
          <w:szCs w:val="20"/>
          <w:lang w:val="en-US"/>
        </w:rPr>
        <w:t>Department</w:t>
      </w:r>
      <w:r w:rsidR="00A62270" w:rsidRPr="00B217DC">
        <w:rPr>
          <w:rFonts w:cs="Arial"/>
          <w:color w:val="auto"/>
          <w:sz w:val="20"/>
          <w:szCs w:val="20"/>
          <w:lang w:val="en-US"/>
        </w:rPr>
        <w:t xml:space="preserve"> needed</w:t>
      </w:r>
      <w:r w:rsidR="006D1D31" w:rsidRPr="00B217DC">
        <w:rPr>
          <w:rFonts w:cs="Arial"/>
          <w:color w:val="auto"/>
          <w:sz w:val="20"/>
          <w:szCs w:val="20"/>
          <w:lang w:val="en-US"/>
        </w:rPr>
        <w:t xml:space="preserve"> to provide capacity including funding of the risk management activities.</w:t>
      </w:r>
    </w:p>
    <w:p w:rsidR="004F2B77" w:rsidRPr="00B217DC" w:rsidRDefault="00A62270" w:rsidP="00B217DC">
      <w:pPr>
        <w:pStyle w:val="ListParagraph"/>
        <w:numPr>
          <w:ilvl w:val="0"/>
          <w:numId w:val="81"/>
        </w:numPr>
        <w:ind w:left="426"/>
        <w:rPr>
          <w:rFonts w:cs="Arial"/>
          <w:color w:val="auto"/>
          <w:sz w:val="20"/>
          <w:szCs w:val="20"/>
          <w:lang w:val="en-GB"/>
        </w:rPr>
      </w:pPr>
      <w:r w:rsidRPr="00B217DC">
        <w:rPr>
          <w:rFonts w:cs="Arial"/>
          <w:i/>
          <w:color w:val="auto"/>
          <w:sz w:val="20"/>
          <w:szCs w:val="20"/>
          <w:lang w:val="en-GB"/>
        </w:rPr>
        <w:t>Audit Action Plan</w:t>
      </w:r>
      <w:r w:rsidRPr="00B217DC">
        <w:rPr>
          <w:rFonts w:cs="Arial"/>
          <w:color w:val="auto"/>
          <w:sz w:val="20"/>
          <w:szCs w:val="20"/>
          <w:lang w:val="en-GB"/>
        </w:rPr>
        <w:t xml:space="preserve">: </w:t>
      </w:r>
      <w:r w:rsidR="006D1D31" w:rsidRPr="00B217DC">
        <w:rPr>
          <w:rFonts w:cs="Arial"/>
          <w:color w:val="auto"/>
          <w:sz w:val="20"/>
          <w:szCs w:val="20"/>
          <w:lang w:val="en-US"/>
        </w:rPr>
        <w:t xml:space="preserve">The Committee </w:t>
      </w:r>
      <w:r w:rsidRPr="00B217DC">
        <w:rPr>
          <w:rFonts w:cs="Arial"/>
          <w:color w:val="auto"/>
          <w:sz w:val="20"/>
          <w:szCs w:val="20"/>
          <w:lang w:val="en-US"/>
        </w:rPr>
        <w:t xml:space="preserve">concurs with the ARC </w:t>
      </w:r>
      <w:r w:rsidR="006D1D31" w:rsidRPr="00B217DC">
        <w:rPr>
          <w:rFonts w:cs="Arial"/>
          <w:color w:val="auto"/>
          <w:sz w:val="20"/>
          <w:szCs w:val="20"/>
          <w:lang w:val="en-US"/>
        </w:rPr>
        <w:t>recommend</w:t>
      </w:r>
      <w:r w:rsidRPr="00B217DC">
        <w:rPr>
          <w:rFonts w:cs="Arial"/>
          <w:color w:val="auto"/>
          <w:sz w:val="20"/>
          <w:szCs w:val="20"/>
          <w:lang w:val="en-US"/>
        </w:rPr>
        <w:t xml:space="preserve">ation </w:t>
      </w:r>
      <w:r w:rsidR="006D1D31" w:rsidRPr="00B217DC">
        <w:rPr>
          <w:rFonts w:cs="Arial"/>
          <w:color w:val="auto"/>
          <w:sz w:val="20"/>
          <w:szCs w:val="20"/>
          <w:lang w:val="en-US"/>
        </w:rPr>
        <w:t>that the Accounting Officer develops an audit action plan to resolve the audit findings identified during the 2021/22 financial year audit.</w:t>
      </w:r>
      <w:r w:rsidRPr="00B217DC">
        <w:rPr>
          <w:rFonts w:cs="Arial"/>
          <w:color w:val="auto"/>
          <w:sz w:val="20"/>
          <w:szCs w:val="20"/>
          <w:lang w:val="en-US"/>
        </w:rPr>
        <w:t xml:space="preserve"> Furthermore, t</w:t>
      </w:r>
      <w:r w:rsidR="004F2B77" w:rsidRPr="00B217DC">
        <w:rPr>
          <w:rFonts w:cs="Arial"/>
          <w:color w:val="auto"/>
          <w:sz w:val="20"/>
          <w:szCs w:val="20"/>
          <w:lang w:val="en-GB"/>
        </w:rPr>
        <w:t xml:space="preserve">he Committee noted with concern that the audit action plan and risk mitigating actions </w:t>
      </w:r>
      <w:r w:rsidRPr="00B217DC">
        <w:rPr>
          <w:rFonts w:cs="Arial"/>
          <w:color w:val="auto"/>
          <w:sz w:val="20"/>
          <w:szCs w:val="20"/>
          <w:lang w:val="en-GB"/>
        </w:rPr>
        <w:t xml:space="preserve">for 2020/21 </w:t>
      </w:r>
      <w:r w:rsidR="004F2B77" w:rsidRPr="00B217DC">
        <w:rPr>
          <w:rFonts w:cs="Arial"/>
          <w:color w:val="auto"/>
          <w:sz w:val="20"/>
          <w:szCs w:val="20"/>
          <w:lang w:val="en-GB"/>
        </w:rPr>
        <w:t xml:space="preserve">were not fully implemented by the Department. </w:t>
      </w:r>
      <w:r w:rsidRPr="00B217DC">
        <w:rPr>
          <w:rFonts w:cs="Arial"/>
          <w:color w:val="auto"/>
          <w:sz w:val="20"/>
          <w:szCs w:val="20"/>
          <w:lang w:val="en-GB"/>
        </w:rPr>
        <w:t>As such, t</w:t>
      </w:r>
      <w:r w:rsidR="004F2B77" w:rsidRPr="00B217DC">
        <w:rPr>
          <w:rFonts w:cs="Arial"/>
          <w:color w:val="auto"/>
          <w:sz w:val="20"/>
          <w:szCs w:val="20"/>
          <w:lang w:val="en-GB"/>
        </w:rPr>
        <w:t>he Committee is concerned about how effective the ARC’s monitoring is over the Department and what remedial action was implemented if the Department did not comply with reporting requirements and the recommendations proposed by the ARC. To this end, the Committee sought clarity from the ARC in terms of how it conducts its audit programme, whether the ARC considers only reports provided to them or considers any other information over and above that.</w:t>
      </w:r>
    </w:p>
    <w:p w:rsidR="00C246FA" w:rsidRPr="00B217DC" w:rsidRDefault="00C246FA" w:rsidP="00B217DC">
      <w:pPr>
        <w:rPr>
          <w:rFonts w:cs="Arial"/>
          <w:color w:val="auto"/>
          <w:sz w:val="20"/>
          <w:szCs w:val="20"/>
          <w:lang w:val="en-GB"/>
        </w:rPr>
      </w:pPr>
    </w:p>
    <w:p w:rsidR="00A62270" w:rsidRPr="00B217DC" w:rsidRDefault="00A62270" w:rsidP="00B217DC">
      <w:pPr>
        <w:rPr>
          <w:rFonts w:cs="Arial"/>
          <w:b/>
          <w:color w:val="auto"/>
          <w:sz w:val="20"/>
          <w:szCs w:val="20"/>
          <w:lang w:val="en-GB"/>
        </w:rPr>
      </w:pPr>
      <w:r w:rsidRPr="00B217DC">
        <w:rPr>
          <w:rFonts w:cs="Arial"/>
          <w:b/>
          <w:color w:val="auto"/>
          <w:sz w:val="20"/>
          <w:szCs w:val="20"/>
          <w:lang w:val="en-GB"/>
        </w:rPr>
        <w:t>15.5.3 Outstanding Audit Findings and Risk Mitigation Actions</w:t>
      </w:r>
    </w:p>
    <w:p w:rsidR="00A62270" w:rsidRPr="00B217DC" w:rsidRDefault="00A62270" w:rsidP="00B217DC">
      <w:pPr>
        <w:pStyle w:val="ListParagraph"/>
        <w:numPr>
          <w:ilvl w:val="0"/>
          <w:numId w:val="96"/>
        </w:numPr>
        <w:rPr>
          <w:rFonts w:cs="Arial"/>
          <w:color w:val="auto"/>
          <w:sz w:val="20"/>
          <w:szCs w:val="20"/>
          <w:lang w:val="en-GB"/>
        </w:rPr>
      </w:pPr>
      <w:r w:rsidRPr="00B217DC">
        <w:rPr>
          <w:rFonts w:cs="Arial"/>
          <w:i/>
          <w:color w:val="auto"/>
          <w:sz w:val="20"/>
          <w:szCs w:val="20"/>
          <w:lang w:val="en-GB"/>
        </w:rPr>
        <w:t>Audit Findings</w:t>
      </w:r>
      <w:r w:rsidRPr="00B217DC">
        <w:rPr>
          <w:rFonts w:cs="Arial"/>
          <w:color w:val="auto"/>
          <w:sz w:val="20"/>
          <w:szCs w:val="20"/>
          <w:lang w:val="en-GB"/>
        </w:rPr>
        <w:t>:</w:t>
      </w:r>
      <w:r w:rsidR="00943A2E" w:rsidRPr="00B217DC">
        <w:rPr>
          <w:rFonts w:cs="Arial"/>
          <w:color w:val="auto"/>
          <w:sz w:val="20"/>
          <w:szCs w:val="20"/>
          <w:lang w:val="en-GB"/>
        </w:rPr>
        <w:t xml:space="preserve"> The Committee observed that 4 findings (3 ICT, 1 Internal Audit) for 2020/21 were still not resolved by the end of the 2021/22 FY which was concerning.</w:t>
      </w:r>
    </w:p>
    <w:p w:rsidR="00A62270" w:rsidRPr="00B217DC" w:rsidRDefault="00A62270" w:rsidP="00B217DC">
      <w:pPr>
        <w:pStyle w:val="ListParagraph"/>
        <w:numPr>
          <w:ilvl w:val="0"/>
          <w:numId w:val="96"/>
        </w:numPr>
        <w:rPr>
          <w:rFonts w:cs="Arial"/>
          <w:color w:val="auto"/>
          <w:sz w:val="20"/>
          <w:szCs w:val="20"/>
        </w:rPr>
      </w:pPr>
      <w:r w:rsidRPr="00B217DC">
        <w:rPr>
          <w:rFonts w:cs="Arial"/>
          <w:i/>
          <w:color w:val="auto"/>
          <w:sz w:val="20"/>
          <w:szCs w:val="20"/>
          <w:lang w:val="en-GB"/>
        </w:rPr>
        <w:t>Risk Mitigation Actions</w:t>
      </w:r>
      <w:r w:rsidRPr="00B217DC">
        <w:rPr>
          <w:rFonts w:cs="Arial"/>
          <w:color w:val="auto"/>
          <w:sz w:val="20"/>
          <w:szCs w:val="20"/>
          <w:lang w:val="en-GB"/>
        </w:rPr>
        <w:t>:</w:t>
      </w:r>
      <w:r w:rsidR="00943A2E" w:rsidRPr="00B217DC">
        <w:rPr>
          <w:rFonts w:cs="Arial"/>
          <w:color w:val="auto"/>
          <w:sz w:val="20"/>
          <w:szCs w:val="20"/>
          <w:lang w:val="en-GB"/>
        </w:rPr>
        <w:t xml:space="preserve"> </w:t>
      </w:r>
      <w:r w:rsidR="00943A2E" w:rsidRPr="00B217DC">
        <w:rPr>
          <w:rFonts w:cs="Arial"/>
          <w:color w:val="auto"/>
          <w:sz w:val="20"/>
          <w:szCs w:val="20"/>
        </w:rPr>
        <w:t>The Department is to be commended for 100% achievement of the mitigation action for Strategic Risks at the end 2021/22 FY; 97% mitigation actions achieved for the Operational risk performance and 91% mitigation actions achieved for Fraud and Corruption. The outstanding mitigation actions were reported as partially implemented however the Committee maintains that despite noting progress these were not completed by the end of the FY 2021/22. The Committee notes this with concern as these were longstanding matters.</w:t>
      </w:r>
    </w:p>
    <w:p w:rsidR="00BE7740" w:rsidRPr="00B217DC" w:rsidRDefault="00BE7740" w:rsidP="00B217DC">
      <w:pPr>
        <w:rPr>
          <w:rFonts w:cs="Arial"/>
          <w:color w:val="auto"/>
          <w:sz w:val="20"/>
          <w:szCs w:val="20"/>
          <w:lang w:val="en-GB"/>
        </w:rPr>
      </w:pPr>
    </w:p>
    <w:p w:rsidR="007A7653" w:rsidRPr="00B217DC" w:rsidRDefault="007A7653" w:rsidP="00B217DC">
      <w:pPr>
        <w:pStyle w:val="ListParagraph"/>
        <w:numPr>
          <w:ilvl w:val="1"/>
          <w:numId w:val="104"/>
        </w:numPr>
        <w:rPr>
          <w:rFonts w:cs="Arial"/>
          <w:b/>
          <w:color w:val="auto"/>
          <w:sz w:val="20"/>
          <w:szCs w:val="20"/>
          <w:lang w:val="en-GB"/>
        </w:rPr>
      </w:pPr>
      <w:r w:rsidRPr="00B217DC">
        <w:rPr>
          <w:rFonts w:cs="Arial"/>
          <w:b/>
          <w:color w:val="auto"/>
          <w:sz w:val="20"/>
          <w:szCs w:val="20"/>
          <w:lang w:val="en-GB"/>
        </w:rPr>
        <w:t>Core Programmes</w:t>
      </w:r>
    </w:p>
    <w:p w:rsidR="00170BD2" w:rsidRPr="00B217DC" w:rsidRDefault="00F91F57" w:rsidP="00B217DC">
      <w:pPr>
        <w:rPr>
          <w:rFonts w:cs="Arial"/>
          <w:b/>
          <w:color w:val="auto"/>
          <w:sz w:val="20"/>
          <w:szCs w:val="20"/>
          <w:lang w:val="en-GB"/>
        </w:rPr>
      </w:pPr>
      <w:r w:rsidRPr="00B217DC">
        <w:rPr>
          <w:rFonts w:cs="Arial"/>
          <w:b/>
          <w:color w:val="auto"/>
          <w:sz w:val="20"/>
          <w:szCs w:val="20"/>
          <w:lang w:val="en-GB"/>
        </w:rPr>
        <w:t>15.</w:t>
      </w:r>
      <w:r w:rsidR="004C1A56" w:rsidRPr="00B217DC">
        <w:rPr>
          <w:rFonts w:cs="Arial"/>
          <w:b/>
          <w:color w:val="auto"/>
          <w:sz w:val="20"/>
          <w:szCs w:val="20"/>
          <w:lang w:val="en-GB"/>
        </w:rPr>
        <w:t>6</w:t>
      </w:r>
      <w:r w:rsidRPr="00B217DC">
        <w:rPr>
          <w:rFonts w:cs="Arial"/>
          <w:b/>
          <w:color w:val="auto"/>
          <w:sz w:val="20"/>
          <w:szCs w:val="20"/>
          <w:lang w:val="en-GB"/>
        </w:rPr>
        <w:t xml:space="preserve">.1 </w:t>
      </w:r>
      <w:r w:rsidR="004C1A56" w:rsidRPr="00B217DC">
        <w:rPr>
          <w:rFonts w:cs="Arial"/>
          <w:b/>
          <w:color w:val="auto"/>
          <w:sz w:val="20"/>
          <w:szCs w:val="20"/>
          <w:lang w:val="en-GB"/>
        </w:rPr>
        <w:t>Overview of performance</w:t>
      </w:r>
      <w:r w:rsidR="007A7653" w:rsidRPr="00B217DC">
        <w:rPr>
          <w:rFonts w:cs="Arial"/>
          <w:b/>
          <w:color w:val="auto"/>
          <w:sz w:val="20"/>
          <w:szCs w:val="20"/>
          <w:lang w:val="en-GB"/>
        </w:rPr>
        <w:t xml:space="preserve"> for core programmes</w:t>
      </w:r>
    </w:p>
    <w:p w:rsidR="0021355A" w:rsidRPr="00B217DC" w:rsidRDefault="004C1A56" w:rsidP="00B217DC">
      <w:pPr>
        <w:pStyle w:val="ListParagraph"/>
        <w:numPr>
          <w:ilvl w:val="0"/>
          <w:numId w:val="34"/>
        </w:numPr>
        <w:ind w:left="426"/>
        <w:rPr>
          <w:rFonts w:cs="Arial"/>
          <w:bCs/>
          <w:color w:val="auto"/>
          <w:sz w:val="20"/>
          <w:szCs w:val="20"/>
          <w:lang w:val="en-GB"/>
        </w:rPr>
      </w:pPr>
      <w:r w:rsidRPr="00B217DC">
        <w:rPr>
          <w:rFonts w:cs="Arial"/>
          <w:i/>
          <w:color w:val="auto"/>
          <w:sz w:val="20"/>
          <w:szCs w:val="20"/>
          <w:lang w:val="en-GB"/>
        </w:rPr>
        <w:t>Targets and expenditure</w:t>
      </w:r>
      <w:r w:rsidR="00170BD2" w:rsidRPr="00B217DC">
        <w:rPr>
          <w:rFonts w:cs="Arial"/>
          <w:color w:val="auto"/>
          <w:sz w:val="20"/>
          <w:szCs w:val="20"/>
          <w:lang w:val="en-GB"/>
        </w:rPr>
        <w:t xml:space="preserve">: The Committee </w:t>
      </w:r>
      <w:r w:rsidR="00460FE5" w:rsidRPr="00B217DC">
        <w:rPr>
          <w:rFonts w:cs="Arial"/>
          <w:color w:val="auto"/>
          <w:sz w:val="20"/>
          <w:szCs w:val="20"/>
          <w:lang w:val="en-GB"/>
        </w:rPr>
        <w:t>commends the Department for achieving all 35 targets in its core programmes during the year under review</w:t>
      </w:r>
      <w:r w:rsidR="00170BD2" w:rsidRPr="00B217DC">
        <w:rPr>
          <w:rFonts w:cs="Arial"/>
          <w:color w:val="auto"/>
          <w:sz w:val="20"/>
          <w:szCs w:val="20"/>
        </w:rPr>
        <w:t xml:space="preserve">. </w:t>
      </w:r>
      <w:r w:rsidR="00460FE5" w:rsidRPr="00B217DC">
        <w:rPr>
          <w:rFonts w:cs="Arial"/>
          <w:color w:val="auto"/>
          <w:sz w:val="20"/>
          <w:szCs w:val="20"/>
        </w:rPr>
        <w:t>The key concern noted by the Committee was the under-expenditure incurred by the core programmes.</w:t>
      </w:r>
    </w:p>
    <w:p w:rsidR="00170BD2" w:rsidRPr="00B217DC" w:rsidRDefault="00170BD2" w:rsidP="00B217DC">
      <w:pPr>
        <w:pStyle w:val="ListParagraph"/>
        <w:numPr>
          <w:ilvl w:val="0"/>
          <w:numId w:val="34"/>
        </w:numPr>
        <w:ind w:left="426"/>
        <w:rPr>
          <w:rFonts w:cs="Arial"/>
          <w:color w:val="auto"/>
          <w:sz w:val="20"/>
          <w:szCs w:val="20"/>
        </w:rPr>
      </w:pPr>
      <w:r w:rsidRPr="00B217DC">
        <w:rPr>
          <w:rFonts w:cs="Arial"/>
          <w:i/>
          <w:color w:val="auto"/>
          <w:sz w:val="20"/>
          <w:szCs w:val="20"/>
        </w:rPr>
        <w:t>Policy and Law Reform</w:t>
      </w:r>
      <w:r w:rsidRPr="00B217DC">
        <w:rPr>
          <w:rFonts w:cs="Arial"/>
          <w:color w:val="auto"/>
          <w:sz w:val="20"/>
          <w:szCs w:val="20"/>
        </w:rPr>
        <w:t xml:space="preserve">: </w:t>
      </w:r>
      <w:r w:rsidR="007D382B" w:rsidRPr="00B217DC">
        <w:rPr>
          <w:rFonts w:cs="Arial"/>
          <w:color w:val="auto"/>
          <w:sz w:val="20"/>
          <w:szCs w:val="20"/>
        </w:rPr>
        <w:t xml:space="preserve">The Committee commends the Department for finalising the </w:t>
      </w:r>
      <w:r w:rsidR="00F9114E" w:rsidRPr="00B217DC">
        <w:rPr>
          <w:rFonts w:cs="Arial"/>
          <w:color w:val="auto"/>
          <w:sz w:val="20"/>
          <w:szCs w:val="20"/>
        </w:rPr>
        <w:t xml:space="preserve">National Gender-Based Violence and Femicide (GBVF) </w:t>
      </w:r>
      <w:r w:rsidR="00460FE5" w:rsidRPr="00B217DC">
        <w:rPr>
          <w:rFonts w:cs="Arial"/>
          <w:color w:val="auto"/>
          <w:sz w:val="20"/>
          <w:szCs w:val="20"/>
        </w:rPr>
        <w:t>Prevention Strategy and for tabling the NYDA Amendment Bill and most recently the National Council on GBVF Bill</w:t>
      </w:r>
      <w:r w:rsidR="00F9114E" w:rsidRPr="00B217DC">
        <w:rPr>
          <w:rFonts w:cs="Arial"/>
          <w:color w:val="auto"/>
          <w:sz w:val="20"/>
          <w:szCs w:val="20"/>
        </w:rPr>
        <w:t xml:space="preserve">. However, the Committee notes with </w:t>
      </w:r>
      <w:r w:rsidR="006F1C4D" w:rsidRPr="00B217DC">
        <w:rPr>
          <w:rFonts w:cs="Arial"/>
          <w:color w:val="auto"/>
          <w:sz w:val="20"/>
          <w:szCs w:val="20"/>
        </w:rPr>
        <w:t>concern</w:t>
      </w:r>
      <w:r w:rsidR="007D382B" w:rsidRPr="00B217DC">
        <w:rPr>
          <w:rFonts w:cs="Arial"/>
          <w:color w:val="auto"/>
          <w:sz w:val="20"/>
          <w:szCs w:val="20"/>
        </w:rPr>
        <w:t xml:space="preserve"> that</w:t>
      </w:r>
      <w:r w:rsidR="00F9114E" w:rsidRPr="00B217DC">
        <w:rPr>
          <w:rFonts w:cs="Arial"/>
          <w:color w:val="auto"/>
          <w:sz w:val="20"/>
          <w:szCs w:val="20"/>
        </w:rPr>
        <w:t xml:space="preserve"> the Department has yet to introduce Bills it has proposed such as the </w:t>
      </w:r>
      <w:r w:rsidR="00460FE5" w:rsidRPr="00B217DC">
        <w:rPr>
          <w:rFonts w:cs="Arial"/>
          <w:color w:val="auto"/>
          <w:sz w:val="20"/>
          <w:szCs w:val="20"/>
        </w:rPr>
        <w:t>WEGE</w:t>
      </w:r>
      <w:r w:rsidR="00F9114E" w:rsidRPr="00B217DC">
        <w:rPr>
          <w:rFonts w:cs="Arial"/>
          <w:color w:val="auto"/>
          <w:sz w:val="20"/>
          <w:szCs w:val="20"/>
        </w:rPr>
        <w:t xml:space="preserve"> Bill</w:t>
      </w:r>
      <w:r w:rsidR="00460FE5" w:rsidRPr="00B217DC">
        <w:rPr>
          <w:rFonts w:cs="Arial"/>
          <w:color w:val="auto"/>
          <w:sz w:val="20"/>
          <w:szCs w:val="20"/>
        </w:rPr>
        <w:t>, the South African Youth Development Bill</w:t>
      </w:r>
      <w:r w:rsidR="00F9114E" w:rsidRPr="00B217DC">
        <w:rPr>
          <w:rFonts w:cs="Arial"/>
          <w:color w:val="auto"/>
          <w:sz w:val="20"/>
          <w:szCs w:val="20"/>
        </w:rPr>
        <w:t xml:space="preserve"> and the Disability Bill</w:t>
      </w:r>
      <w:r w:rsidR="004E7D70" w:rsidRPr="00B217DC">
        <w:rPr>
          <w:rFonts w:cs="Arial"/>
          <w:color w:val="auto"/>
          <w:sz w:val="20"/>
          <w:szCs w:val="20"/>
        </w:rPr>
        <w:t>.</w:t>
      </w:r>
    </w:p>
    <w:p w:rsidR="00AB69E3" w:rsidRPr="00B217DC" w:rsidRDefault="00AB69E3" w:rsidP="00B217DC">
      <w:pPr>
        <w:pStyle w:val="ListParagraph"/>
        <w:numPr>
          <w:ilvl w:val="0"/>
          <w:numId w:val="34"/>
        </w:numPr>
        <w:ind w:left="426"/>
        <w:rPr>
          <w:rFonts w:cs="Arial"/>
          <w:color w:val="auto"/>
          <w:sz w:val="20"/>
          <w:szCs w:val="20"/>
        </w:rPr>
      </w:pPr>
      <w:r w:rsidRPr="00B217DC">
        <w:rPr>
          <w:rFonts w:cs="Arial"/>
          <w:i/>
          <w:color w:val="auto"/>
          <w:sz w:val="20"/>
          <w:szCs w:val="20"/>
        </w:rPr>
        <w:t xml:space="preserve">Reports: </w:t>
      </w:r>
      <w:r w:rsidR="00460FE5" w:rsidRPr="00B217DC">
        <w:rPr>
          <w:rFonts w:cs="Arial"/>
          <w:color w:val="auto"/>
          <w:sz w:val="20"/>
          <w:szCs w:val="20"/>
        </w:rPr>
        <w:t>The Committee acknowledge</w:t>
      </w:r>
      <w:r w:rsidRPr="00B217DC">
        <w:rPr>
          <w:rFonts w:cs="Arial"/>
          <w:color w:val="auto"/>
          <w:sz w:val="20"/>
          <w:szCs w:val="20"/>
        </w:rPr>
        <w:t xml:space="preserve">s the reports submitted as evidence of the work achieved for the year under review. However, </w:t>
      </w:r>
      <w:r w:rsidR="00460FE5" w:rsidRPr="00B217DC">
        <w:rPr>
          <w:rFonts w:cs="Arial"/>
          <w:color w:val="auto"/>
          <w:sz w:val="20"/>
          <w:szCs w:val="20"/>
        </w:rPr>
        <w:t xml:space="preserve">several reports are outstanding and have not yet been submitted nor are these available on the Department’s website. To this end, </w:t>
      </w:r>
      <w:r w:rsidRPr="00B217DC">
        <w:rPr>
          <w:rFonts w:cs="Arial"/>
          <w:color w:val="auto"/>
          <w:sz w:val="20"/>
          <w:szCs w:val="20"/>
        </w:rPr>
        <w:t>the Committee has repeatedly indicated that reports should be submitted for consideration at least one month after being finalised and published. Oversight is weakened when the Committee is not privy to products yielded by the Department as evidence of targets met.</w:t>
      </w:r>
    </w:p>
    <w:p w:rsidR="007A7653" w:rsidRPr="00B217DC" w:rsidRDefault="007A7653" w:rsidP="00B217DC">
      <w:pPr>
        <w:ind w:left="66"/>
        <w:rPr>
          <w:rFonts w:cs="Arial"/>
          <w:i/>
          <w:color w:val="auto"/>
          <w:sz w:val="20"/>
          <w:szCs w:val="20"/>
        </w:rPr>
      </w:pPr>
    </w:p>
    <w:p w:rsidR="007A7653" w:rsidRPr="00B217DC" w:rsidRDefault="00595FCF" w:rsidP="00B217DC">
      <w:pPr>
        <w:pStyle w:val="ListParagraph"/>
        <w:numPr>
          <w:ilvl w:val="2"/>
          <w:numId w:val="105"/>
        </w:numPr>
        <w:rPr>
          <w:rFonts w:cs="Arial"/>
          <w:b/>
          <w:color w:val="auto"/>
          <w:sz w:val="20"/>
          <w:szCs w:val="20"/>
        </w:rPr>
      </w:pPr>
      <w:r w:rsidRPr="00B217DC">
        <w:rPr>
          <w:rFonts w:cs="Arial"/>
          <w:b/>
          <w:color w:val="auto"/>
          <w:sz w:val="20"/>
          <w:szCs w:val="20"/>
        </w:rPr>
        <w:t xml:space="preserve">Programme 2: STEE </w:t>
      </w:r>
    </w:p>
    <w:p w:rsidR="00B23025" w:rsidRPr="00B217DC" w:rsidRDefault="0072781F" w:rsidP="00B217DC">
      <w:pPr>
        <w:pStyle w:val="ListParagraph"/>
        <w:numPr>
          <w:ilvl w:val="0"/>
          <w:numId w:val="31"/>
        </w:numPr>
        <w:tabs>
          <w:tab w:val="left" w:pos="1337"/>
        </w:tabs>
        <w:ind w:left="426"/>
        <w:rPr>
          <w:rFonts w:cs="Arial"/>
          <w:b/>
          <w:color w:val="auto"/>
          <w:sz w:val="20"/>
          <w:szCs w:val="20"/>
        </w:rPr>
      </w:pPr>
      <w:r w:rsidRPr="00B217DC">
        <w:rPr>
          <w:rFonts w:cs="Arial"/>
          <w:color w:val="auto"/>
          <w:sz w:val="20"/>
          <w:szCs w:val="20"/>
        </w:rPr>
        <w:t>The Department was commended for achieving all its targets in this programme</w:t>
      </w:r>
      <w:r w:rsidR="00B23025" w:rsidRPr="00B217DC">
        <w:rPr>
          <w:rFonts w:cs="Arial"/>
          <w:color w:val="auto"/>
          <w:sz w:val="20"/>
          <w:szCs w:val="20"/>
        </w:rPr>
        <w:t>.</w:t>
      </w:r>
    </w:p>
    <w:p w:rsidR="00A97AAE" w:rsidRPr="00B217DC" w:rsidRDefault="00A97AAE" w:rsidP="00B217DC">
      <w:pPr>
        <w:pStyle w:val="ListParagraph"/>
        <w:numPr>
          <w:ilvl w:val="0"/>
          <w:numId w:val="31"/>
        </w:numPr>
        <w:tabs>
          <w:tab w:val="left" w:pos="1337"/>
        </w:tabs>
        <w:ind w:left="426"/>
        <w:rPr>
          <w:rFonts w:cs="Arial"/>
          <w:b/>
          <w:color w:val="auto"/>
          <w:sz w:val="20"/>
          <w:szCs w:val="20"/>
        </w:rPr>
      </w:pPr>
      <w:r w:rsidRPr="00B217DC">
        <w:rPr>
          <w:rFonts w:cs="Arial"/>
          <w:color w:val="auto"/>
          <w:sz w:val="20"/>
          <w:szCs w:val="20"/>
        </w:rPr>
        <w:t>The Committee noted that the contracts of the GBVF Secretariat comes to an end 31 March 2023 and it was unclear what the deliverables were since employees took office or how the expenditure in relation to the R15 million allocated by National Treasury for the MTEF can be accounted for. Furthermore, the Committee was concerned about the transitional arrangements post March 2023 in the absence of an established National Council on GBVF.</w:t>
      </w:r>
    </w:p>
    <w:p w:rsidR="0072781F" w:rsidRPr="00B217DC" w:rsidRDefault="0072781F" w:rsidP="00B217DC">
      <w:pPr>
        <w:pStyle w:val="ListParagraph"/>
        <w:numPr>
          <w:ilvl w:val="0"/>
          <w:numId w:val="31"/>
        </w:numPr>
        <w:tabs>
          <w:tab w:val="left" w:pos="1337"/>
        </w:tabs>
        <w:ind w:left="426"/>
        <w:rPr>
          <w:rFonts w:cs="Arial"/>
          <w:color w:val="auto"/>
          <w:sz w:val="20"/>
          <w:szCs w:val="20"/>
        </w:rPr>
      </w:pPr>
      <w:r w:rsidRPr="00B217DC">
        <w:rPr>
          <w:rFonts w:cs="Arial"/>
          <w:color w:val="auto"/>
          <w:sz w:val="20"/>
          <w:szCs w:val="20"/>
        </w:rPr>
        <w:t xml:space="preserve">The Committee was concerned that there was money set aside for consultants to conduct research in addition to donor funding received for core programmes despite the Department </w:t>
      </w:r>
      <w:r w:rsidRPr="00B217DC">
        <w:rPr>
          <w:rFonts w:cs="Arial"/>
          <w:color w:val="auto"/>
          <w:sz w:val="20"/>
          <w:szCs w:val="20"/>
        </w:rPr>
        <w:lastRenderedPageBreak/>
        <w:t>having employed several officials in senior positions who were meant to perform these duties. To this end, the Committee sought more clarity and asked what the role of the data capture</w:t>
      </w:r>
      <w:r w:rsidR="00DC741A" w:rsidRPr="00B217DC">
        <w:rPr>
          <w:rFonts w:cs="Arial"/>
          <w:color w:val="auto"/>
          <w:sz w:val="20"/>
          <w:szCs w:val="20"/>
        </w:rPr>
        <w:t>r</w:t>
      </w:r>
      <w:r w:rsidRPr="00B217DC">
        <w:rPr>
          <w:rFonts w:cs="Arial"/>
          <w:color w:val="auto"/>
          <w:sz w:val="20"/>
          <w:szCs w:val="20"/>
        </w:rPr>
        <w:t xml:space="preserve">s and technical monitors were that are currently funded by the EU. </w:t>
      </w:r>
    </w:p>
    <w:p w:rsidR="0072781F" w:rsidRPr="00B217DC" w:rsidRDefault="0072781F" w:rsidP="00B217DC">
      <w:pPr>
        <w:pStyle w:val="ListParagraph"/>
        <w:numPr>
          <w:ilvl w:val="0"/>
          <w:numId w:val="31"/>
        </w:numPr>
        <w:tabs>
          <w:tab w:val="left" w:pos="1337"/>
        </w:tabs>
        <w:ind w:left="426"/>
        <w:rPr>
          <w:rFonts w:cs="Arial"/>
          <w:color w:val="auto"/>
          <w:sz w:val="20"/>
          <w:szCs w:val="20"/>
        </w:rPr>
      </w:pPr>
      <w:r w:rsidRPr="00B217DC">
        <w:rPr>
          <w:rFonts w:cs="Arial"/>
          <w:color w:val="auto"/>
          <w:sz w:val="20"/>
          <w:szCs w:val="20"/>
        </w:rPr>
        <w:t>The Committee also requested clarity on the use of consultants when there were people employed in the Department to perform the tasks that seemed to have been outsourced instead. Reference was made to the EU funded positions. The Committee was concerned that it appeared to be a duplication of roles.</w:t>
      </w:r>
    </w:p>
    <w:p w:rsidR="00EA7D71" w:rsidRPr="00B217DC" w:rsidRDefault="00750EED" w:rsidP="00B217DC">
      <w:pPr>
        <w:pStyle w:val="ListParagraph"/>
        <w:tabs>
          <w:tab w:val="left" w:pos="1337"/>
        </w:tabs>
        <w:ind w:left="426"/>
        <w:rPr>
          <w:rFonts w:cs="Arial"/>
          <w:b/>
          <w:color w:val="auto"/>
          <w:sz w:val="20"/>
          <w:szCs w:val="20"/>
        </w:rPr>
      </w:pPr>
      <w:r w:rsidRPr="00B217DC">
        <w:rPr>
          <w:rFonts w:cs="Arial"/>
          <w:color w:val="auto"/>
          <w:sz w:val="20"/>
          <w:szCs w:val="20"/>
        </w:rPr>
        <w:t xml:space="preserve"> </w:t>
      </w:r>
      <w:r w:rsidR="0055098C" w:rsidRPr="00B217DC">
        <w:rPr>
          <w:rFonts w:cs="Arial"/>
          <w:color w:val="auto"/>
          <w:sz w:val="20"/>
          <w:szCs w:val="20"/>
        </w:rPr>
        <w:tab/>
      </w:r>
    </w:p>
    <w:p w:rsidR="00C76266" w:rsidRPr="00B217DC" w:rsidRDefault="0055098C" w:rsidP="00B217DC">
      <w:pPr>
        <w:rPr>
          <w:rFonts w:cs="Arial"/>
          <w:b/>
          <w:color w:val="auto"/>
          <w:sz w:val="20"/>
          <w:szCs w:val="20"/>
        </w:rPr>
      </w:pPr>
      <w:r w:rsidRPr="00B217DC">
        <w:rPr>
          <w:rFonts w:cs="Arial"/>
          <w:b/>
          <w:color w:val="auto"/>
          <w:sz w:val="20"/>
          <w:szCs w:val="20"/>
        </w:rPr>
        <w:t>15.</w:t>
      </w:r>
      <w:r w:rsidR="0072781F" w:rsidRPr="00B217DC">
        <w:rPr>
          <w:rFonts w:cs="Arial"/>
          <w:b/>
          <w:color w:val="auto"/>
          <w:sz w:val="20"/>
          <w:szCs w:val="20"/>
        </w:rPr>
        <w:t>6</w:t>
      </w:r>
      <w:r w:rsidRPr="00B217DC">
        <w:rPr>
          <w:rFonts w:cs="Arial"/>
          <w:b/>
          <w:color w:val="auto"/>
          <w:sz w:val="20"/>
          <w:szCs w:val="20"/>
        </w:rPr>
        <w:t xml:space="preserve">.3 </w:t>
      </w:r>
      <w:r w:rsidR="00C76266" w:rsidRPr="00B217DC">
        <w:rPr>
          <w:rFonts w:cs="Arial"/>
          <w:b/>
          <w:color w:val="auto"/>
          <w:sz w:val="20"/>
          <w:szCs w:val="20"/>
        </w:rPr>
        <w:t>Programme 3</w:t>
      </w:r>
      <w:r w:rsidR="002D5BFC" w:rsidRPr="00B217DC">
        <w:rPr>
          <w:rFonts w:cs="Arial"/>
          <w:b/>
          <w:color w:val="auto"/>
          <w:sz w:val="20"/>
          <w:szCs w:val="20"/>
        </w:rPr>
        <w:t>: Policy Coordination and Knowledge Management</w:t>
      </w:r>
    </w:p>
    <w:p w:rsidR="00595FCF" w:rsidRPr="00B217DC" w:rsidRDefault="0072781F" w:rsidP="00B217DC">
      <w:pPr>
        <w:pStyle w:val="ListParagraph"/>
        <w:numPr>
          <w:ilvl w:val="0"/>
          <w:numId w:val="106"/>
        </w:numPr>
        <w:ind w:left="567"/>
        <w:rPr>
          <w:rFonts w:cs="Arial"/>
          <w:color w:val="auto"/>
          <w:sz w:val="20"/>
          <w:szCs w:val="20"/>
          <w:lang w:val="en-GB"/>
        </w:rPr>
      </w:pPr>
      <w:r w:rsidRPr="00B217DC">
        <w:rPr>
          <w:rFonts w:cs="Arial"/>
          <w:color w:val="auto"/>
          <w:sz w:val="20"/>
          <w:szCs w:val="20"/>
          <w:lang w:val="en-GB"/>
        </w:rPr>
        <w:t>The Committee asked whether the National Gender Machinery Framework had been established and was operational since the target was cited as achieved. The implementation of a functional NGM was deemed important.</w:t>
      </w:r>
    </w:p>
    <w:p w:rsidR="00D41358" w:rsidRPr="00B217DC" w:rsidRDefault="00D41358" w:rsidP="00B217DC">
      <w:pPr>
        <w:pStyle w:val="ListParagraph"/>
        <w:numPr>
          <w:ilvl w:val="0"/>
          <w:numId w:val="106"/>
        </w:numPr>
        <w:ind w:left="567"/>
        <w:rPr>
          <w:rFonts w:cs="Arial"/>
          <w:color w:val="auto"/>
          <w:sz w:val="20"/>
          <w:szCs w:val="20"/>
          <w:lang w:val="en-GB"/>
        </w:rPr>
      </w:pPr>
      <w:r w:rsidRPr="00B217DC">
        <w:rPr>
          <w:rFonts w:cs="Arial"/>
          <w:color w:val="auto"/>
          <w:sz w:val="20"/>
          <w:szCs w:val="20"/>
          <w:lang w:val="en-GB"/>
        </w:rPr>
        <w:t>M&amp;E: The Committee questioned how the Department undertakes monitoring and evaluation having separated these functions and having produced for e.g. Annual Performance Monitoring Report emphasis on monitoring versus an evaluation report on the empowerment of WYPD emphasis on evaluation.</w:t>
      </w:r>
    </w:p>
    <w:p w:rsidR="004A25D4" w:rsidRPr="00B217DC" w:rsidRDefault="004A25D4" w:rsidP="00B217DC">
      <w:pPr>
        <w:rPr>
          <w:rFonts w:cs="Arial"/>
          <w:color w:val="auto"/>
          <w:sz w:val="20"/>
          <w:szCs w:val="20"/>
          <w:lang w:val="en-GB"/>
        </w:rPr>
      </w:pPr>
    </w:p>
    <w:p w:rsidR="00A768DC" w:rsidRPr="00B217DC" w:rsidRDefault="00A768DC" w:rsidP="00B217DC">
      <w:pPr>
        <w:rPr>
          <w:rFonts w:cs="Arial"/>
          <w:b/>
          <w:bCs/>
          <w:color w:val="auto"/>
          <w:sz w:val="20"/>
          <w:szCs w:val="20"/>
          <w:lang w:val="en-GB"/>
        </w:rPr>
      </w:pPr>
      <w:r w:rsidRPr="00B217DC">
        <w:rPr>
          <w:rFonts w:cs="Arial"/>
          <w:b/>
          <w:bCs/>
          <w:color w:val="auto"/>
          <w:sz w:val="20"/>
          <w:szCs w:val="20"/>
          <w:lang w:val="en-GB"/>
        </w:rPr>
        <w:t>15.</w:t>
      </w:r>
      <w:r w:rsidR="0072781F" w:rsidRPr="00B217DC">
        <w:rPr>
          <w:rFonts w:cs="Arial"/>
          <w:b/>
          <w:bCs/>
          <w:color w:val="auto"/>
          <w:sz w:val="20"/>
          <w:szCs w:val="20"/>
          <w:lang w:val="en-GB"/>
        </w:rPr>
        <w:t>6</w:t>
      </w:r>
      <w:r w:rsidRPr="00B217DC">
        <w:rPr>
          <w:rFonts w:cs="Arial"/>
          <w:b/>
          <w:bCs/>
          <w:color w:val="auto"/>
          <w:sz w:val="20"/>
          <w:szCs w:val="20"/>
          <w:lang w:val="en-GB"/>
        </w:rPr>
        <w:t>.</w:t>
      </w:r>
      <w:r w:rsidR="0055098C" w:rsidRPr="00B217DC">
        <w:rPr>
          <w:rFonts w:cs="Arial"/>
          <w:b/>
          <w:bCs/>
          <w:color w:val="auto"/>
          <w:sz w:val="20"/>
          <w:szCs w:val="20"/>
          <w:lang w:val="en-GB"/>
        </w:rPr>
        <w:t>4</w:t>
      </w:r>
      <w:r w:rsidRPr="00B217DC">
        <w:rPr>
          <w:rFonts w:cs="Arial"/>
          <w:b/>
          <w:bCs/>
          <w:color w:val="auto"/>
          <w:sz w:val="20"/>
          <w:szCs w:val="20"/>
          <w:lang w:val="en-GB"/>
        </w:rPr>
        <w:t xml:space="preserve"> </w:t>
      </w:r>
      <w:r w:rsidR="00595FCF" w:rsidRPr="00B217DC">
        <w:rPr>
          <w:rFonts w:cs="Arial"/>
          <w:b/>
          <w:bCs/>
          <w:color w:val="auto"/>
          <w:sz w:val="20"/>
          <w:szCs w:val="20"/>
          <w:lang w:val="en-GB"/>
        </w:rPr>
        <w:t xml:space="preserve">Programme 4: </w:t>
      </w:r>
      <w:r w:rsidRPr="00B217DC">
        <w:rPr>
          <w:rFonts w:cs="Arial"/>
          <w:b/>
          <w:bCs/>
          <w:color w:val="auto"/>
          <w:sz w:val="20"/>
          <w:szCs w:val="20"/>
          <w:lang w:val="en-GB"/>
        </w:rPr>
        <w:t>Rights of Persons with Disabilities Programme</w:t>
      </w:r>
    </w:p>
    <w:p w:rsidR="00471AE2" w:rsidRPr="00B217DC" w:rsidRDefault="00471AE2" w:rsidP="00B217DC">
      <w:pPr>
        <w:pStyle w:val="ListParagraph"/>
        <w:numPr>
          <w:ilvl w:val="0"/>
          <w:numId w:val="79"/>
        </w:numPr>
        <w:ind w:left="567"/>
        <w:rPr>
          <w:rFonts w:cs="Arial"/>
          <w:bCs/>
          <w:color w:val="auto"/>
          <w:sz w:val="20"/>
          <w:szCs w:val="20"/>
          <w:lang w:val="en-GB"/>
        </w:rPr>
      </w:pPr>
      <w:r w:rsidRPr="00B217DC">
        <w:rPr>
          <w:rFonts w:cs="Arial"/>
          <w:bCs/>
          <w:color w:val="auto"/>
          <w:sz w:val="20"/>
          <w:szCs w:val="20"/>
          <w:lang w:val="en-GB"/>
        </w:rPr>
        <w:t xml:space="preserve">The Committee </w:t>
      </w:r>
      <w:r w:rsidR="004C1A56" w:rsidRPr="00B217DC">
        <w:rPr>
          <w:rFonts w:cs="Arial"/>
          <w:bCs/>
          <w:color w:val="auto"/>
          <w:sz w:val="20"/>
          <w:szCs w:val="20"/>
          <w:lang w:val="en-GB"/>
        </w:rPr>
        <w:t>commends the Department for the improvement of performance in terms of targets achieved</w:t>
      </w:r>
      <w:r w:rsidRPr="00B217DC">
        <w:rPr>
          <w:rFonts w:cs="Arial"/>
          <w:bCs/>
          <w:color w:val="auto"/>
          <w:sz w:val="20"/>
          <w:szCs w:val="20"/>
          <w:lang w:val="en-GB"/>
        </w:rPr>
        <w:t>.</w:t>
      </w:r>
    </w:p>
    <w:p w:rsidR="004C1A56" w:rsidRPr="00B217DC" w:rsidRDefault="00595FCF" w:rsidP="00B217DC">
      <w:pPr>
        <w:pStyle w:val="ListParagraph"/>
        <w:numPr>
          <w:ilvl w:val="0"/>
          <w:numId w:val="79"/>
        </w:numPr>
        <w:ind w:left="567"/>
        <w:rPr>
          <w:rFonts w:cs="Arial"/>
          <w:b/>
          <w:bCs/>
          <w:color w:val="auto"/>
          <w:sz w:val="20"/>
          <w:szCs w:val="20"/>
          <w:lang w:val="en-GB"/>
        </w:rPr>
      </w:pPr>
      <w:r w:rsidRPr="00B217DC">
        <w:rPr>
          <w:rFonts w:cs="Arial"/>
          <w:bCs/>
          <w:i/>
          <w:color w:val="auto"/>
          <w:sz w:val="20"/>
          <w:szCs w:val="20"/>
          <w:lang w:val="en-GB"/>
        </w:rPr>
        <w:t>Under-expenditure</w:t>
      </w:r>
      <w:r w:rsidRPr="00B217DC">
        <w:rPr>
          <w:rFonts w:cs="Arial"/>
          <w:bCs/>
          <w:color w:val="auto"/>
          <w:sz w:val="20"/>
          <w:szCs w:val="20"/>
          <w:lang w:val="en-GB"/>
        </w:rPr>
        <w:t>:</w:t>
      </w:r>
      <w:r w:rsidR="004C1A56" w:rsidRPr="00B217DC">
        <w:rPr>
          <w:rFonts w:cs="Arial"/>
          <w:bCs/>
          <w:color w:val="auto"/>
          <w:sz w:val="20"/>
          <w:szCs w:val="20"/>
          <w:lang w:val="en-GB"/>
        </w:rPr>
        <w:t xml:space="preserve"> The Committee noted that the Department has continuously been underspending in Programme 4 year-on-year and enquired what the plan was to ensure this trend does not persist. The Committee was concerned that the Department was not giving enough attention to this programme hence the under-expenditure. This was an indictment on persons with disabilities in the country.</w:t>
      </w:r>
    </w:p>
    <w:p w:rsidR="00A768DC" w:rsidRPr="00B217DC" w:rsidRDefault="004C1A56" w:rsidP="00B217DC">
      <w:pPr>
        <w:pStyle w:val="ListParagraph"/>
        <w:numPr>
          <w:ilvl w:val="0"/>
          <w:numId w:val="79"/>
        </w:numPr>
        <w:ind w:left="567"/>
        <w:rPr>
          <w:rFonts w:cs="Arial"/>
          <w:b/>
          <w:bCs/>
          <w:color w:val="auto"/>
          <w:sz w:val="20"/>
          <w:szCs w:val="20"/>
          <w:lang w:val="en-GB"/>
        </w:rPr>
      </w:pPr>
      <w:r w:rsidRPr="00B217DC">
        <w:rPr>
          <w:rFonts w:cs="Arial"/>
          <w:bCs/>
          <w:color w:val="auto"/>
          <w:sz w:val="20"/>
          <w:szCs w:val="20"/>
          <w:lang w:val="en-GB"/>
        </w:rPr>
        <w:t xml:space="preserve">The Committee enquired whether reports produced in Programme 4 would be </w:t>
      </w:r>
      <w:r w:rsidR="0072781F" w:rsidRPr="00B217DC">
        <w:rPr>
          <w:rFonts w:cs="Arial"/>
          <w:bCs/>
          <w:color w:val="auto"/>
          <w:sz w:val="20"/>
          <w:szCs w:val="20"/>
          <w:lang w:val="en-GB"/>
        </w:rPr>
        <w:t xml:space="preserve">submitted and </w:t>
      </w:r>
      <w:r w:rsidRPr="00B217DC">
        <w:rPr>
          <w:rFonts w:cs="Arial"/>
          <w:bCs/>
          <w:color w:val="auto"/>
          <w:sz w:val="20"/>
          <w:szCs w:val="20"/>
          <w:lang w:val="en-GB"/>
        </w:rPr>
        <w:t>presented to the Committee.</w:t>
      </w:r>
      <w:r w:rsidRPr="00B217DC">
        <w:rPr>
          <w:rFonts w:cs="Arial"/>
          <w:b/>
          <w:bCs/>
          <w:color w:val="auto"/>
          <w:sz w:val="20"/>
          <w:szCs w:val="20"/>
          <w:lang w:val="en-GB"/>
        </w:rPr>
        <w:t xml:space="preserve"> </w:t>
      </w:r>
    </w:p>
    <w:p w:rsidR="00595FCF" w:rsidRPr="00B217DC" w:rsidRDefault="00595FCF" w:rsidP="00B217DC">
      <w:pPr>
        <w:rPr>
          <w:rFonts w:cs="Arial"/>
          <w:bCs/>
          <w:i/>
          <w:color w:val="auto"/>
          <w:sz w:val="20"/>
          <w:szCs w:val="20"/>
          <w:lang w:val="en-GB"/>
        </w:rPr>
      </w:pPr>
    </w:p>
    <w:p w:rsidR="00A768DC" w:rsidRPr="00B217DC" w:rsidRDefault="00632ED2" w:rsidP="00B217DC">
      <w:pPr>
        <w:rPr>
          <w:rFonts w:cs="Arial"/>
          <w:b/>
          <w:bCs/>
          <w:color w:val="auto"/>
          <w:sz w:val="20"/>
          <w:szCs w:val="20"/>
          <w:lang w:val="en-GB"/>
        </w:rPr>
      </w:pPr>
      <w:r w:rsidRPr="00B217DC">
        <w:rPr>
          <w:rFonts w:cs="Arial"/>
          <w:b/>
          <w:bCs/>
          <w:color w:val="auto"/>
          <w:sz w:val="20"/>
          <w:szCs w:val="20"/>
          <w:lang w:val="en-GB"/>
        </w:rPr>
        <w:t>15.</w:t>
      </w:r>
      <w:r w:rsidR="0072781F" w:rsidRPr="00B217DC">
        <w:rPr>
          <w:rFonts w:cs="Arial"/>
          <w:b/>
          <w:bCs/>
          <w:color w:val="auto"/>
          <w:sz w:val="20"/>
          <w:szCs w:val="20"/>
          <w:lang w:val="en-GB"/>
        </w:rPr>
        <w:t>6</w:t>
      </w:r>
      <w:r w:rsidRPr="00B217DC">
        <w:rPr>
          <w:rFonts w:cs="Arial"/>
          <w:b/>
          <w:bCs/>
          <w:color w:val="auto"/>
          <w:sz w:val="20"/>
          <w:szCs w:val="20"/>
          <w:lang w:val="en-GB"/>
        </w:rPr>
        <w:t>.</w:t>
      </w:r>
      <w:r w:rsidR="0055098C" w:rsidRPr="00B217DC">
        <w:rPr>
          <w:rFonts w:cs="Arial"/>
          <w:b/>
          <w:bCs/>
          <w:color w:val="auto"/>
          <w:sz w:val="20"/>
          <w:szCs w:val="20"/>
          <w:lang w:val="en-GB"/>
        </w:rPr>
        <w:t>5</w:t>
      </w:r>
      <w:r w:rsidRPr="00B217DC">
        <w:rPr>
          <w:rFonts w:cs="Arial"/>
          <w:b/>
          <w:bCs/>
          <w:color w:val="auto"/>
          <w:sz w:val="20"/>
          <w:szCs w:val="20"/>
          <w:lang w:val="en-GB"/>
        </w:rPr>
        <w:t xml:space="preserve"> </w:t>
      </w:r>
      <w:r w:rsidR="00595FCF" w:rsidRPr="00B217DC">
        <w:rPr>
          <w:rFonts w:cs="Arial"/>
          <w:b/>
          <w:bCs/>
          <w:color w:val="auto"/>
          <w:sz w:val="20"/>
          <w:szCs w:val="20"/>
          <w:lang w:val="en-GB"/>
        </w:rPr>
        <w:t xml:space="preserve">Programme 5: </w:t>
      </w:r>
      <w:r w:rsidR="00A768DC" w:rsidRPr="00B217DC">
        <w:rPr>
          <w:rFonts w:cs="Arial"/>
          <w:b/>
          <w:bCs/>
          <w:color w:val="auto"/>
          <w:sz w:val="20"/>
          <w:szCs w:val="20"/>
          <w:lang w:val="en-GB"/>
        </w:rPr>
        <w:t>National Youth Development Programme</w:t>
      </w:r>
    </w:p>
    <w:p w:rsidR="00A768DC" w:rsidRPr="00B217DC" w:rsidRDefault="00A847F8" w:rsidP="00B217DC">
      <w:pPr>
        <w:pStyle w:val="ListParagraph"/>
        <w:numPr>
          <w:ilvl w:val="1"/>
          <w:numId w:val="58"/>
        </w:numPr>
        <w:ind w:left="426"/>
        <w:rPr>
          <w:rFonts w:cs="Arial"/>
          <w:bCs/>
          <w:color w:val="auto"/>
          <w:sz w:val="20"/>
          <w:szCs w:val="20"/>
          <w:lang w:val="en-GB"/>
        </w:rPr>
      </w:pPr>
      <w:r w:rsidRPr="00B217DC">
        <w:rPr>
          <w:rFonts w:cs="Arial"/>
          <w:bCs/>
          <w:color w:val="auto"/>
          <w:sz w:val="20"/>
          <w:szCs w:val="20"/>
          <w:lang w:val="en-GB"/>
        </w:rPr>
        <w:t>The Department is to be commended for achieving all 4 (100%) targets in this programme.</w:t>
      </w:r>
    </w:p>
    <w:p w:rsidR="003432C9" w:rsidRPr="00B217DC" w:rsidRDefault="003432C9" w:rsidP="00B217DC">
      <w:pPr>
        <w:ind w:firstLine="720"/>
        <w:rPr>
          <w:rFonts w:cs="Arial"/>
          <w:bCs/>
          <w:i/>
          <w:color w:val="auto"/>
          <w:sz w:val="20"/>
          <w:szCs w:val="20"/>
          <w:lang w:val="en-GB"/>
        </w:rPr>
      </w:pPr>
    </w:p>
    <w:p w:rsidR="00141BB2" w:rsidRPr="00B217DC" w:rsidRDefault="00141BB2" w:rsidP="00B217DC">
      <w:pPr>
        <w:ind w:firstLine="720"/>
        <w:rPr>
          <w:rFonts w:cs="Arial"/>
          <w:bCs/>
          <w:i/>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 xml:space="preserve">Observations with respect to the Commission for Gender Equality </w:t>
      </w:r>
      <w:r w:rsidR="005A6F50" w:rsidRPr="00B217DC">
        <w:rPr>
          <w:rFonts w:cs="Arial"/>
          <w:b/>
          <w:color w:val="auto"/>
          <w:sz w:val="20"/>
          <w:szCs w:val="20"/>
          <w:lang w:val="en-GB"/>
        </w:rPr>
        <w:t>(CGE)</w:t>
      </w:r>
    </w:p>
    <w:p w:rsidR="00170BD2" w:rsidRPr="00B217DC" w:rsidRDefault="00170BD2"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5</w:t>
      </w:r>
      <w:r w:rsidRPr="00B217DC">
        <w:rPr>
          <w:rFonts w:cs="Arial"/>
          <w:b/>
          <w:color w:val="auto"/>
          <w:sz w:val="20"/>
          <w:szCs w:val="20"/>
          <w:lang w:val="en-GB"/>
        </w:rPr>
        <w:t>.</w:t>
      </w:r>
      <w:r w:rsidR="009D5399" w:rsidRPr="00B217DC">
        <w:rPr>
          <w:rFonts w:cs="Arial"/>
          <w:b/>
          <w:color w:val="auto"/>
          <w:sz w:val="20"/>
          <w:szCs w:val="20"/>
          <w:lang w:val="en-GB"/>
        </w:rPr>
        <w:t>7</w:t>
      </w:r>
      <w:r w:rsidRPr="00B217DC">
        <w:rPr>
          <w:rFonts w:cs="Arial"/>
          <w:b/>
          <w:color w:val="auto"/>
          <w:sz w:val="20"/>
          <w:szCs w:val="20"/>
          <w:lang w:val="en-GB"/>
        </w:rPr>
        <w:t xml:space="preserve"> CGE Matters</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Notwithstanding the fact that the CGE is a Chapter 9 Institution, it only accounts to Parliament vis-a-vis the Portfolio Committee on Women</w:t>
      </w:r>
      <w:r w:rsidR="00AA0896" w:rsidRPr="00B217DC">
        <w:rPr>
          <w:rFonts w:cs="Arial"/>
          <w:color w:val="auto"/>
          <w:sz w:val="20"/>
          <w:szCs w:val="20"/>
          <w:lang w:val="en-GB"/>
        </w:rPr>
        <w:t xml:space="preserve">, Youth and Persons with </w:t>
      </w:r>
      <w:r w:rsidR="006C02A6" w:rsidRPr="00B217DC">
        <w:rPr>
          <w:rFonts w:cs="Arial"/>
          <w:color w:val="auto"/>
          <w:sz w:val="20"/>
          <w:szCs w:val="20"/>
          <w:lang w:val="en-GB"/>
        </w:rPr>
        <w:t>Disabilities</w:t>
      </w:r>
      <w:r w:rsidRPr="00B217DC">
        <w:rPr>
          <w:rFonts w:cs="Arial"/>
          <w:color w:val="auto"/>
          <w:sz w:val="20"/>
          <w:szCs w:val="20"/>
          <w:lang w:val="en-GB"/>
        </w:rPr>
        <w:t xml:space="preserve"> Presidency and that the Department merely transfers its funds, the Committee deemed it important to note the following observations:</w:t>
      </w:r>
    </w:p>
    <w:p w:rsidR="00170BD2" w:rsidRPr="00B217DC" w:rsidRDefault="00170BD2" w:rsidP="00B217DC">
      <w:pPr>
        <w:rPr>
          <w:rFonts w:cs="Arial"/>
          <w:color w:val="auto"/>
          <w:sz w:val="20"/>
          <w:szCs w:val="20"/>
          <w:lang w:val="en-GB"/>
        </w:rPr>
      </w:pPr>
    </w:p>
    <w:p w:rsidR="00170BD2" w:rsidRPr="00B217DC" w:rsidRDefault="00170BD2" w:rsidP="00B217DC">
      <w:pPr>
        <w:pStyle w:val="ListParagraph"/>
        <w:numPr>
          <w:ilvl w:val="2"/>
          <w:numId w:val="107"/>
        </w:numPr>
        <w:rPr>
          <w:rFonts w:cs="Arial"/>
          <w:b/>
          <w:color w:val="auto"/>
          <w:sz w:val="20"/>
          <w:szCs w:val="20"/>
          <w:lang w:val="en-GB"/>
        </w:rPr>
      </w:pPr>
      <w:r w:rsidRPr="00B217DC">
        <w:rPr>
          <w:rFonts w:cs="Arial"/>
          <w:b/>
          <w:color w:val="auto"/>
          <w:sz w:val="20"/>
          <w:szCs w:val="20"/>
          <w:lang w:val="en-GB"/>
        </w:rPr>
        <w:t>General</w:t>
      </w:r>
    </w:p>
    <w:p w:rsidR="002D5BFC" w:rsidRPr="00B217DC" w:rsidRDefault="002D5BFC" w:rsidP="00B217DC">
      <w:pPr>
        <w:numPr>
          <w:ilvl w:val="0"/>
          <w:numId w:val="30"/>
        </w:numPr>
        <w:rPr>
          <w:rFonts w:cs="Arial"/>
          <w:color w:val="auto"/>
          <w:sz w:val="20"/>
          <w:szCs w:val="20"/>
          <w:lang w:val="en-GB"/>
        </w:rPr>
      </w:pPr>
      <w:r w:rsidRPr="00B217DC">
        <w:rPr>
          <w:rFonts w:cs="Arial"/>
          <w:color w:val="auto"/>
          <w:sz w:val="20"/>
          <w:szCs w:val="20"/>
          <w:lang w:val="en-GB"/>
        </w:rPr>
        <w:t>The Committee welcomed the tabling of the Annual Report 2021/22 by the CGE within the required time frame.</w:t>
      </w:r>
    </w:p>
    <w:p w:rsidR="00776B0C" w:rsidRPr="00B217DC" w:rsidRDefault="00776B0C" w:rsidP="00B217DC">
      <w:pPr>
        <w:numPr>
          <w:ilvl w:val="0"/>
          <w:numId w:val="30"/>
        </w:numPr>
        <w:rPr>
          <w:rFonts w:cs="Arial"/>
          <w:color w:val="auto"/>
          <w:sz w:val="20"/>
          <w:szCs w:val="20"/>
          <w:lang w:val="en-GB"/>
        </w:rPr>
      </w:pPr>
      <w:r w:rsidRPr="00B217DC">
        <w:rPr>
          <w:rFonts w:cs="Arial"/>
          <w:color w:val="auto"/>
          <w:sz w:val="20"/>
          <w:szCs w:val="20"/>
          <w:lang w:val="en-GB"/>
        </w:rPr>
        <w:t>The Committee remains concerned with the overall performance of the CGE given the challenges that continue to impact on its ability to give effect to its mandate.</w:t>
      </w:r>
    </w:p>
    <w:p w:rsidR="002D5BFC" w:rsidRPr="00B217DC" w:rsidRDefault="002D5BFC" w:rsidP="00B217DC">
      <w:pPr>
        <w:numPr>
          <w:ilvl w:val="0"/>
          <w:numId w:val="30"/>
        </w:numPr>
        <w:rPr>
          <w:rFonts w:cs="Arial"/>
          <w:color w:val="auto"/>
          <w:sz w:val="20"/>
          <w:szCs w:val="20"/>
          <w:lang w:val="en-GB"/>
        </w:rPr>
      </w:pPr>
      <w:r w:rsidRPr="00B217DC">
        <w:rPr>
          <w:rFonts w:cs="Arial"/>
          <w:color w:val="auto"/>
          <w:sz w:val="20"/>
          <w:szCs w:val="20"/>
          <w:lang w:val="en-GB"/>
        </w:rPr>
        <w:t xml:space="preserve">The Committee queried what the key drivers of success for each of the CGE’s Strategic Outcomes for 2021/22 were. To this end, the Committee also enquired about the key challenges or barriers the CGE identified that hinder the CGE in achieving its Strategic Outcomes. The Committee also asked what would be required to address these challenges or potential barriers. Furthermore, the Committee enquired whether there were any risk mitigating measures currently in place to address challenges and if yes, what are these measures. </w:t>
      </w:r>
    </w:p>
    <w:p w:rsidR="002D5BFC" w:rsidRPr="00B217DC" w:rsidRDefault="002D5BFC" w:rsidP="00B217DC">
      <w:pPr>
        <w:numPr>
          <w:ilvl w:val="0"/>
          <w:numId w:val="30"/>
        </w:numPr>
        <w:rPr>
          <w:rFonts w:cs="Arial"/>
          <w:color w:val="auto"/>
          <w:sz w:val="20"/>
          <w:szCs w:val="20"/>
          <w:lang w:val="en-GB"/>
        </w:rPr>
      </w:pPr>
      <w:r w:rsidRPr="00B217DC">
        <w:rPr>
          <w:rFonts w:cs="Arial"/>
          <w:color w:val="auto"/>
          <w:sz w:val="20"/>
          <w:szCs w:val="20"/>
          <w:lang w:val="en-GB"/>
        </w:rPr>
        <w:t>The Committee questioned what the CGE intends doing to increase its visibility and impact in order to achieve its Strategic Outcomes as the Committee remained concerned that the CGE was still not well known within communities.</w:t>
      </w:r>
    </w:p>
    <w:p w:rsidR="008B1824" w:rsidRPr="00B217DC" w:rsidRDefault="002D5BFC" w:rsidP="00B217DC">
      <w:pPr>
        <w:numPr>
          <w:ilvl w:val="0"/>
          <w:numId w:val="30"/>
        </w:numPr>
        <w:rPr>
          <w:rFonts w:cs="Arial"/>
          <w:color w:val="auto"/>
          <w:sz w:val="20"/>
          <w:szCs w:val="20"/>
          <w:lang w:val="en-GB"/>
        </w:rPr>
      </w:pPr>
      <w:r w:rsidRPr="00B217DC">
        <w:rPr>
          <w:rFonts w:cs="Arial"/>
          <w:color w:val="auto"/>
          <w:sz w:val="20"/>
          <w:szCs w:val="20"/>
          <w:lang w:val="en-GB"/>
        </w:rPr>
        <w:t>The Committee noted with concern the regression in terms of performance specifically in terms of targets achieved and enquired about the plan to ensure that targets are achieved in future</w:t>
      </w:r>
      <w:r w:rsidR="008B1824" w:rsidRPr="00B217DC">
        <w:rPr>
          <w:rFonts w:cs="Arial"/>
          <w:color w:val="auto"/>
          <w:sz w:val="20"/>
          <w:szCs w:val="20"/>
          <w:lang w:val="en-GB"/>
        </w:rPr>
        <w:t>.</w:t>
      </w:r>
    </w:p>
    <w:p w:rsidR="00023CB5" w:rsidRPr="00B217DC" w:rsidRDefault="00023CB5" w:rsidP="00B217DC">
      <w:pPr>
        <w:ind w:left="426"/>
        <w:rPr>
          <w:rFonts w:cs="Arial"/>
          <w:color w:val="auto"/>
          <w:sz w:val="20"/>
          <w:szCs w:val="20"/>
          <w:lang w:val="en-GB"/>
        </w:rPr>
      </w:pPr>
    </w:p>
    <w:p w:rsidR="00F62BC0" w:rsidRPr="00B217DC" w:rsidRDefault="00F62BC0" w:rsidP="00B217DC">
      <w:pPr>
        <w:ind w:left="426"/>
        <w:rPr>
          <w:rFonts w:cs="Arial"/>
          <w:color w:val="auto"/>
          <w:sz w:val="20"/>
          <w:szCs w:val="20"/>
          <w:lang w:val="en-GB"/>
        </w:rPr>
      </w:pPr>
    </w:p>
    <w:p w:rsidR="00170BD2" w:rsidRPr="00B217DC" w:rsidRDefault="00170BD2" w:rsidP="00B217DC">
      <w:pPr>
        <w:pStyle w:val="ListParagraph"/>
        <w:numPr>
          <w:ilvl w:val="2"/>
          <w:numId w:val="107"/>
        </w:numPr>
        <w:rPr>
          <w:rFonts w:cs="Arial"/>
          <w:b/>
          <w:color w:val="auto"/>
          <w:sz w:val="20"/>
          <w:szCs w:val="20"/>
          <w:lang w:val="en-GB"/>
        </w:rPr>
      </w:pPr>
      <w:r w:rsidRPr="00B217DC">
        <w:rPr>
          <w:rFonts w:cs="Arial"/>
          <w:b/>
          <w:color w:val="auto"/>
          <w:sz w:val="20"/>
          <w:szCs w:val="20"/>
          <w:lang w:val="en-GB"/>
        </w:rPr>
        <w:t>Governance</w:t>
      </w:r>
    </w:p>
    <w:p w:rsidR="00A83C26" w:rsidRPr="00B217DC" w:rsidRDefault="00A83C26" w:rsidP="00B217DC">
      <w:pPr>
        <w:pStyle w:val="ListParagraph"/>
        <w:numPr>
          <w:ilvl w:val="1"/>
          <w:numId w:val="54"/>
        </w:numPr>
        <w:ind w:left="426"/>
        <w:rPr>
          <w:rFonts w:cs="Arial"/>
          <w:color w:val="auto"/>
          <w:sz w:val="20"/>
          <w:szCs w:val="20"/>
          <w:lang w:val="en-GB"/>
        </w:rPr>
      </w:pPr>
      <w:r w:rsidRPr="00B217DC">
        <w:rPr>
          <w:rFonts w:cs="Arial"/>
          <w:color w:val="auto"/>
          <w:sz w:val="20"/>
          <w:szCs w:val="20"/>
          <w:lang w:val="en-GB"/>
        </w:rPr>
        <w:lastRenderedPageBreak/>
        <w:t xml:space="preserve">The Committee </w:t>
      </w:r>
      <w:r w:rsidR="002D5BFC" w:rsidRPr="00B217DC">
        <w:rPr>
          <w:rFonts w:cs="Arial"/>
          <w:color w:val="auto"/>
          <w:sz w:val="20"/>
          <w:szCs w:val="20"/>
          <w:lang w:val="en-GB"/>
        </w:rPr>
        <w:t>observed</w:t>
      </w:r>
      <w:r w:rsidRPr="00B217DC">
        <w:rPr>
          <w:rFonts w:cs="Arial"/>
          <w:color w:val="auto"/>
          <w:sz w:val="20"/>
          <w:szCs w:val="20"/>
          <w:lang w:val="en-GB"/>
        </w:rPr>
        <w:t xml:space="preserve"> that policy to regulate the interface between Commissioners and staff </w:t>
      </w:r>
      <w:r w:rsidR="002D5BFC" w:rsidRPr="00B217DC">
        <w:rPr>
          <w:rFonts w:cs="Arial"/>
          <w:color w:val="auto"/>
          <w:sz w:val="20"/>
          <w:szCs w:val="20"/>
          <w:lang w:val="en-GB"/>
        </w:rPr>
        <w:t>or</w:t>
      </w:r>
      <w:r w:rsidR="00B3430A" w:rsidRPr="00B217DC">
        <w:rPr>
          <w:rFonts w:cs="Arial"/>
          <w:color w:val="auto"/>
          <w:sz w:val="20"/>
          <w:szCs w:val="20"/>
          <w:lang w:val="en-GB"/>
        </w:rPr>
        <w:t xml:space="preserve"> t</w:t>
      </w:r>
      <w:r w:rsidR="002D5BFC" w:rsidRPr="00B217DC">
        <w:rPr>
          <w:rFonts w:cs="Arial"/>
          <w:color w:val="auto"/>
          <w:sz w:val="20"/>
          <w:szCs w:val="20"/>
          <w:lang w:val="en-GB"/>
        </w:rPr>
        <w:t>he role of a company secretary was not reported on in the Annual Report which was concerning</w:t>
      </w:r>
      <w:r w:rsidR="00B3430A" w:rsidRPr="00B217DC">
        <w:rPr>
          <w:rFonts w:cs="Arial"/>
          <w:color w:val="auto"/>
          <w:sz w:val="20"/>
          <w:szCs w:val="20"/>
          <w:lang w:val="en-GB"/>
        </w:rPr>
        <w:t>.</w:t>
      </w:r>
    </w:p>
    <w:p w:rsidR="005A6F50" w:rsidRPr="00B217DC" w:rsidRDefault="005A6F50" w:rsidP="00B217DC">
      <w:pPr>
        <w:pStyle w:val="ListParagraph"/>
        <w:numPr>
          <w:ilvl w:val="1"/>
          <w:numId w:val="54"/>
        </w:numPr>
        <w:ind w:left="426"/>
        <w:rPr>
          <w:rFonts w:cs="Arial"/>
          <w:color w:val="auto"/>
          <w:sz w:val="20"/>
          <w:szCs w:val="20"/>
          <w:lang w:val="en-GB"/>
        </w:rPr>
      </w:pPr>
      <w:r w:rsidRPr="00B217DC">
        <w:rPr>
          <w:rFonts w:cs="Arial"/>
          <w:color w:val="auto"/>
          <w:sz w:val="20"/>
          <w:szCs w:val="20"/>
          <w:lang w:val="en-GB"/>
        </w:rPr>
        <w:t>The Committee noted</w:t>
      </w:r>
      <w:r w:rsidR="002D5BFC" w:rsidRPr="00B217DC">
        <w:rPr>
          <w:rFonts w:cs="Arial"/>
          <w:color w:val="auto"/>
          <w:sz w:val="20"/>
          <w:szCs w:val="20"/>
          <w:lang w:val="en-GB"/>
        </w:rPr>
        <w:t xml:space="preserve"> with concern that the Commissioners Handbook was still not completed by the end of 2021/22 and despite numerous progress updates by the CGE it is still not finalised</w:t>
      </w:r>
      <w:r w:rsidRPr="00B217DC">
        <w:rPr>
          <w:rFonts w:cs="Arial"/>
          <w:color w:val="auto"/>
          <w:sz w:val="20"/>
          <w:szCs w:val="20"/>
          <w:lang w:val="en-GB"/>
        </w:rPr>
        <w:t>.</w:t>
      </w:r>
    </w:p>
    <w:p w:rsidR="005A6F50" w:rsidRPr="00B217DC" w:rsidRDefault="00DC26E2" w:rsidP="00B217DC">
      <w:pPr>
        <w:pStyle w:val="ListParagraph"/>
        <w:numPr>
          <w:ilvl w:val="1"/>
          <w:numId w:val="54"/>
        </w:numPr>
        <w:ind w:left="426"/>
        <w:rPr>
          <w:rFonts w:cs="Arial"/>
          <w:color w:val="auto"/>
          <w:sz w:val="20"/>
          <w:szCs w:val="20"/>
          <w:lang w:val="en-GB"/>
        </w:rPr>
      </w:pPr>
      <w:r w:rsidRPr="00B217DC">
        <w:rPr>
          <w:rFonts w:cs="Arial"/>
          <w:color w:val="auto"/>
          <w:sz w:val="20"/>
          <w:szCs w:val="20"/>
          <w:lang w:val="en-GB"/>
        </w:rPr>
        <w:t xml:space="preserve">The Committee noted its discontent with the CGE’s </w:t>
      </w:r>
      <w:r w:rsidR="00B3430A" w:rsidRPr="00B217DC">
        <w:rPr>
          <w:rFonts w:cs="Arial"/>
          <w:color w:val="auto"/>
          <w:sz w:val="20"/>
          <w:szCs w:val="20"/>
          <w:lang w:val="en-GB"/>
        </w:rPr>
        <w:t>lack of enforcement of internal controls and consequence management</w:t>
      </w:r>
      <w:r w:rsidRPr="00B217DC">
        <w:rPr>
          <w:rFonts w:cs="Arial"/>
          <w:color w:val="auto"/>
          <w:sz w:val="20"/>
          <w:szCs w:val="20"/>
          <w:lang w:val="en-GB"/>
        </w:rPr>
        <w:t>.</w:t>
      </w:r>
    </w:p>
    <w:p w:rsidR="00170BD2" w:rsidRPr="00B217DC" w:rsidRDefault="00160C86" w:rsidP="00B217DC">
      <w:pPr>
        <w:pStyle w:val="ListParagraph"/>
        <w:numPr>
          <w:ilvl w:val="1"/>
          <w:numId w:val="54"/>
        </w:numPr>
        <w:ind w:left="426"/>
        <w:rPr>
          <w:rFonts w:cs="Arial"/>
          <w:color w:val="auto"/>
          <w:sz w:val="20"/>
          <w:szCs w:val="20"/>
          <w:lang w:val="en-GB"/>
        </w:rPr>
      </w:pPr>
      <w:r w:rsidRPr="00B217DC">
        <w:rPr>
          <w:rFonts w:cs="Arial"/>
          <w:color w:val="auto"/>
          <w:sz w:val="20"/>
          <w:szCs w:val="20"/>
          <w:lang w:val="en-GB"/>
        </w:rPr>
        <w:t>The</w:t>
      </w:r>
      <w:r w:rsidR="00170BD2" w:rsidRPr="00B217DC">
        <w:rPr>
          <w:rFonts w:cs="Arial"/>
          <w:color w:val="auto"/>
          <w:sz w:val="20"/>
          <w:szCs w:val="20"/>
          <w:lang w:val="en-GB"/>
        </w:rPr>
        <w:t xml:space="preserve"> </w:t>
      </w:r>
      <w:r w:rsidRPr="00B217DC">
        <w:rPr>
          <w:rFonts w:cs="Arial"/>
          <w:color w:val="auto"/>
          <w:sz w:val="20"/>
          <w:szCs w:val="20"/>
          <w:lang w:val="en-GB"/>
        </w:rPr>
        <w:t>Committee observe</w:t>
      </w:r>
      <w:r w:rsidR="00DC741A" w:rsidRPr="00B217DC">
        <w:rPr>
          <w:rFonts w:cs="Arial"/>
          <w:color w:val="auto"/>
          <w:sz w:val="20"/>
          <w:szCs w:val="20"/>
          <w:lang w:val="en-GB"/>
        </w:rPr>
        <w:t>d</w:t>
      </w:r>
      <w:r w:rsidRPr="00B217DC">
        <w:rPr>
          <w:rFonts w:cs="Arial"/>
          <w:color w:val="auto"/>
          <w:sz w:val="20"/>
          <w:szCs w:val="20"/>
          <w:lang w:val="en-GB"/>
        </w:rPr>
        <w:t xml:space="preserve"> that the </w:t>
      </w:r>
      <w:r w:rsidR="0028744F" w:rsidRPr="00B217DC">
        <w:rPr>
          <w:rFonts w:cs="Arial"/>
          <w:color w:val="auto"/>
          <w:sz w:val="20"/>
          <w:szCs w:val="20"/>
        </w:rPr>
        <w:t xml:space="preserve">Commission for Gender Equality’s Audit </w:t>
      </w:r>
      <w:r w:rsidR="00FD384E" w:rsidRPr="00B217DC">
        <w:rPr>
          <w:rFonts w:cs="Arial"/>
          <w:color w:val="auto"/>
          <w:sz w:val="20"/>
          <w:szCs w:val="20"/>
        </w:rPr>
        <w:t xml:space="preserve">and Risk </w:t>
      </w:r>
      <w:r w:rsidR="0028744F" w:rsidRPr="00B217DC">
        <w:rPr>
          <w:rFonts w:cs="Arial"/>
          <w:color w:val="auto"/>
          <w:sz w:val="20"/>
          <w:szCs w:val="20"/>
        </w:rPr>
        <w:t>Committee agreed with the findings of the AGSA</w:t>
      </w:r>
      <w:r w:rsidRPr="00B217DC">
        <w:rPr>
          <w:rFonts w:cs="Arial"/>
          <w:color w:val="auto"/>
          <w:sz w:val="20"/>
          <w:szCs w:val="20"/>
        </w:rPr>
        <w:t xml:space="preserve">, that some </w:t>
      </w:r>
      <w:r w:rsidR="001274A3" w:rsidRPr="00B217DC">
        <w:rPr>
          <w:rFonts w:cs="Arial"/>
          <w:color w:val="auto"/>
          <w:sz w:val="20"/>
          <w:szCs w:val="20"/>
        </w:rPr>
        <w:t>were repeat and or new findings</w:t>
      </w:r>
      <w:r w:rsidR="00DC26E2" w:rsidRPr="00B217DC">
        <w:rPr>
          <w:rFonts w:cs="Arial"/>
          <w:color w:val="auto"/>
          <w:sz w:val="20"/>
          <w:szCs w:val="20"/>
        </w:rPr>
        <w:t xml:space="preserve">. </w:t>
      </w:r>
    </w:p>
    <w:p w:rsidR="00141BB2" w:rsidRPr="00B217DC" w:rsidRDefault="00141BB2" w:rsidP="00B217DC">
      <w:pPr>
        <w:pStyle w:val="ListParagraph"/>
        <w:ind w:left="426"/>
        <w:rPr>
          <w:rFonts w:cs="Arial"/>
          <w:color w:val="auto"/>
          <w:sz w:val="20"/>
          <w:szCs w:val="20"/>
          <w:lang w:val="en-GB"/>
        </w:rPr>
      </w:pPr>
    </w:p>
    <w:p w:rsidR="005723DD" w:rsidRPr="00B217DC" w:rsidRDefault="005723DD" w:rsidP="00B217DC">
      <w:pPr>
        <w:numPr>
          <w:ilvl w:val="2"/>
          <w:numId w:val="107"/>
        </w:numPr>
        <w:rPr>
          <w:rFonts w:cs="Arial"/>
          <w:b/>
          <w:color w:val="auto"/>
          <w:sz w:val="20"/>
          <w:szCs w:val="20"/>
          <w:lang w:val="en-GB"/>
        </w:rPr>
      </w:pPr>
      <w:r w:rsidRPr="00B217DC">
        <w:rPr>
          <w:rFonts w:cs="Arial"/>
          <w:b/>
          <w:color w:val="auto"/>
          <w:sz w:val="20"/>
          <w:szCs w:val="20"/>
          <w:lang w:val="en-GB"/>
        </w:rPr>
        <w:t>Performance of Commissioners</w:t>
      </w:r>
    </w:p>
    <w:p w:rsidR="005723DD" w:rsidRPr="00B217DC" w:rsidRDefault="005723DD" w:rsidP="00B217DC">
      <w:pPr>
        <w:pStyle w:val="ListParagraph"/>
        <w:numPr>
          <w:ilvl w:val="0"/>
          <w:numId w:val="110"/>
        </w:numPr>
        <w:rPr>
          <w:rFonts w:cs="Arial"/>
          <w:color w:val="auto"/>
          <w:sz w:val="20"/>
          <w:szCs w:val="20"/>
          <w:lang w:val="en-GB"/>
        </w:rPr>
      </w:pPr>
      <w:r w:rsidRPr="00B217DC">
        <w:rPr>
          <w:rFonts w:cs="Arial"/>
          <w:i/>
          <w:color w:val="auto"/>
          <w:sz w:val="20"/>
          <w:szCs w:val="20"/>
          <w:lang w:val="en-GB"/>
        </w:rPr>
        <w:t>Overview of Meetings</w:t>
      </w:r>
      <w:r w:rsidRPr="00B217DC">
        <w:rPr>
          <w:rFonts w:cs="Arial"/>
          <w:color w:val="auto"/>
          <w:sz w:val="20"/>
          <w:szCs w:val="20"/>
          <w:lang w:val="en-GB"/>
        </w:rPr>
        <w:t>: The Committee observed that the sub-committee, plenary, special plenary, Section 6 and Portfolio Committee meetings as presented by the Chairperson of the CGE amounted to on average one per quarter. Given the serious challenges experienced within the CGE for the year under review, it is unclear why certain sub-committees did not meet more often for e.g. HR, finance, governance.</w:t>
      </w:r>
    </w:p>
    <w:p w:rsidR="005723DD" w:rsidRPr="00B217DC" w:rsidRDefault="005723DD" w:rsidP="00B217DC">
      <w:pPr>
        <w:pStyle w:val="ListParagraph"/>
        <w:numPr>
          <w:ilvl w:val="0"/>
          <w:numId w:val="110"/>
        </w:numPr>
        <w:rPr>
          <w:rFonts w:cs="Arial"/>
          <w:color w:val="auto"/>
          <w:sz w:val="20"/>
          <w:szCs w:val="20"/>
          <w:lang w:val="en-GB"/>
        </w:rPr>
      </w:pPr>
      <w:r w:rsidRPr="00B217DC">
        <w:rPr>
          <w:rFonts w:cs="Arial"/>
          <w:i/>
          <w:color w:val="auto"/>
          <w:sz w:val="20"/>
          <w:szCs w:val="20"/>
          <w:lang w:val="en-GB"/>
        </w:rPr>
        <w:t>Absenteeism</w:t>
      </w:r>
      <w:r w:rsidRPr="00B217DC">
        <w:rPr>
          <w:rFonts w:cs="Arial"/>
          <w:color w:val="auto"/>
          <w:sz w:val="20"/>
          <w:szCs w:val="20"/>
          <w:lang w:val="en-GB"/>
        </w:rPr>
        <w:t xml:space="preserve">: The Committee noted the absenteeism of Commissioners at sub-committee, plenary, special plenary, Section 6 and Portfolio Committee meetings as presented by the Chairperson of the CGE. To this end, the Committee enquired </w:t>
      </w:r>
      <w:r w:rsidR="006B24F2" w:rsidRPr="00B217DC">
        <w:rPr>
          <w:rFonts w:cs="Arial"/>
          <w:color w:val="auto"/>
          <w:sz w:val="20"/>
          <w:szCs w:val="20"/>
          <w:lang w:val="en-GB"/>
        </w:rPr>
        <w:t xml:space="preserve">what </w:t>
      </w:r>
      <w:r w:rsidRPr="00B217DC">
        <w:rPr>
          <w:rFonts w:cs="Arial"/>
          <w:color w:val="auto"/>
          <w:sz w:val="20"/>
          <w:szCs w:val="20"/>
          <w:lang w:val="en-GB"/>
        </w:rPr>
        <w:t xml:space="preserve">the implications were for a Commissioner not attending more than </w:t>
      </w:r>
      <w:r w:rsidR="006B24F2" w:rsidRPr="00B217DC">
        <w:rPr>
          <w:rFonts w:cs="Arial"/>
          <w:color w:val="auto"/>
          <w:sz w:val="20"/>
          <w:szCs w:val="20"/>
          <w:lang w:val="en-GB"/>
        </w:rPr>
        <w:t xml:space="preserve">3 </w:t>
      </w:r>
      <w:r w:rsidRPr="00B217DC">
        <w:rPr>
          <w:rFonts w:cs="Arial"/>
          <w:color w:val="auto"/>
          <w:sz w:val="20"/>
          <w:szCs w:val="20"/>
          <w:lang w:val="en-GB"/>
        </w:rPr>
        <w:t xml:space="preserve">consecutive meetings as the Commissioner’s Handbook clearly outlined what the repercussions ought to be. </w:t>
      </w:r>
    </w:p>
    <w:p w:rsidR="005723DD" w:rsidRPr="00B217DC" w:rsidRDefault="005723DD" w:rsidP="00B217DC">
      <w:pPr>
        <w:pStyle w:val="ListParagraph"/>
        <w:numPr>
          <w:ilvl w:val="0"/>
          <w:numId w:val="110"/>
        </w:numPr>
        <w:rPr>
          <w:rFonts w:cs="Arial"/>
          <w:color w:val="auto"/>
          <w:sz w:val="20"/>
          <w:szCs w:val="20"/>
          <w:lang w:val="en-GB"/>
        </w:rPr>
      </w:pPr>
      <w:r w:rsidRPr="00B217DC">
        <w:rPr>
          <w:rFonts w:cs="Arial"/>
          <w:color w:val="auto"/>
          <w:sz w:val="20"/>
          <w:szCs w:val="20"/>
          <w:lang w:val="en-GB"/>
        </w:rPr>
        <w:t>The Committee was concerned that no consequence management had been implemented against Commissioners who had missed 3 consecutive meetings. Furthermore, in light of the contestation regarding the 100-hour flat rate for part-time commissioners it was unclear to the Committee how attendance to these meetings constituted a significant proportion to the 100 hours per month given that meetings were held on average one per quarter.</w:t>
      </w:r>
    </w:p>
    <w:p w:rsidR="005723DD" w:rsidRPr="00B217DC" w:rsidRDefault="005723DD" w:rsidP="00B217DC">
      <w:pPr>
        <w:pStyle w:val="ListParagraph"/>
        <w:numPr>
          <w:ilvl w:val="0"/>
          <w:numId w:val="110"/>
        </w:numPr>
        <w:rPr>
          <w:rFonts w:cs="Arial"/>
          <w:color w:val="auto"/>
          <w:sz w:val="20"/>
          <w:szCs w:val="20"/>
          <w:lang w:val="en-GB"/>
        </w:rPr>
      </w:pPr>
      <w:r w:rsidRPr="00B217DC">
        <w:rPr>
          <w:rFonts w:cs="Arial"/>
          <w:i/>
          <w:color w:val="auto"/>
          <w:sz w:val="20"/>
          <w:szCs w:val="20"/>
          <w:lang w:val="en-GB"/>
        </w:rPr>
        <w:t>Botha Matter</w:t>
      </w:r>
      <w:r w:rsidRPr="00B217DC">
        <w:rPr>
          <w:rFonts w:cs="Arial"/>
          <w:color w:val="auto"/>
          <w:sz w:val="20"/>
          <w:szCs w:val="20"/>
          <w:lang w:val="en-GB"/>
        </w:rPr>
        <w:t>: The Committee noted with concern that Commissioner Botha was invited to speak at an event on behalf of the CGE whilst still on suspension. The matter was brought to the attention of the CGE by the Committee and the Committee requested feedback in that regard. As the Committee had not received any formal correspondence from the CGE prior to the Committee meeting in that regard, the Committee sought an explanation about how the Commission dealt with the matter. The Committee was dissatisfied with the response provided by the CGE that it had yet to look into the matter.</w:t>
      </w:r>
    </w:p>
    <w:p w:rsidR="005723DD" w:rsidRPr="00B217DC" w:rsidRDefault="005723DD" w:rsidP="00B217DC">
      <w:pPr>
        <w:rPr>
          <w:rFonts w:cs="Arial"/>
          <w:b/>
          <w:color w:val="auto"/>
          <w:sz w:val="20"/>
          <w:szCs w:val="20"/>
          <w:lang w:val="en-GB"/>
        </w:rPr>
      </w:pPr>
    </w:p>
    <w:p w:rsidR="005723DD" w:rsidRPr="00B217DC" w:rsidRDefault="005723DD" w:rsidP="00B217DC">
      <w:pPr>
        <w:numPr>
          <w:ilvl w:val="2"/>
          <w:numId w:val="107"/>
        </w:numPr>
        <w:rPr>
          <w:rFonts w:cs="Arial"/>
          <w:b/>
          <w:color w:val="auto"/>
          <w:sz w:val="20"/>
          <w:szCs w:val="20"/>
          <w:lang w:val="en-GB"/>
        </w:rPr>
      </w:pPr>
      <w:r w:rsidRPr="00B217DC">
        <w:rPr>
          <w:rFonts w:cs="Arial"/>
          <w:b/>
          <w:color w:val="auto"/>
          <w:sz w:val="20"/>
          <w:szCs w:val="20"/>
          <w:lang w:val="en-GB"/>
        </w:rPr>
        <w:t>Human Resource</w:t>
      </w:r>
    </w:p>
    <w:p w:rsidR="005723DD" w:rsidRPr="00B217DC" w:rsidRDefault="005723DD" w:rsidP="00B217DC">
      <w:pPr>
        <w:pStyle w:val="ListParagraph"/>
        <w:numPr>
          <w:ilvl w:val="0"/>
          <w:numId w:val="111"/>
        </w:numPr>
        <w:rPr>
          <w:rFonts w:cs="Arial"/>
          <w:color w:val="auto"/>
          <w:sz w:val="20"/>
          <w:szCs w:val="20"/>
          <w:lang w:val="en-GB"/>
        </w:rPr>
      </w:pPr>
      <w:r w:rsidRPr="00B217DC">
        <w:rPr>
          <w:rFonts w:cs="Arial"/>
          <w:color w:val="auto"/>
          <w:sz w:val="20"/>
          <w:szCs w:val="20"/>
          <w:lang w:val="en-GB"/>
        </w:rPr>
        <w:t xml:space="preserve">The Committee noted that the term of office of 4 Commissioners would come to an end on 31 October 2022 which included the Chairperson and the Deputy Chairperson. As such, the Committee enquired about the </w:t>
      </w:r>
      <w:r w:rsidR="009B62B0" w:rsidRPr="00B217DC">
        <w:rPr>
          <w:rFonts w:cs="Arial"/>
          <w:color w:val="auto"/>
          <w:sz w:val="20"/>
          <w:szCs w:val="20"/>
          <w:lang w:val="en-GB"/>
        </w:rPr>
        <w:t>conti</w:t>
      </w:r>
      <w:r w:rsidRPr="00B217DC">
        <w:rPr>
          <w:rFonts w:cs="Arial"/>
          <w:color w:val="auto"/>
          <w:sz w:val="20"/>
          <w:szCs w:val="20"/>
          <w:lang w:val="en-GB"/>
        </w:rPr>
        <w:t>n</w:t>
      </w:r>
      <w:r w:rsidR="009B62B0" w:rsidRPr="00B217DC">
        <w:rPr>
          <w:rFonts w:cs="Arial"/>
          <w:color w:val="auto"/>
          <w:sz w:val="20"/>
          <w:szCs w:val="20"/>
          <w:lang w:val="en-GB"/>
        </w:rPr>
        <w:t>uity</w:t>
      </w:r>
      <w:r w:rsidRPr="00B217DC">
        <w:rPr>
          <w:rFonts w:cs="Arial"/>
          <w:color w:val="auto"/>
          <w:sz w:val="20"/>
          <w:szCs w:val="20"/>
          <w:lang w:val="en-GB"/>
        </w:rPr>
        <w:t xml:space="preserve"> plans in place. The Committee deemed this important to ensure a smooth transition for the incumbent Commissioners.</w:t>
      </w:r>
    </w:p>
    <w:p w:rsidR="005723DD" w:rsidRPr="00B217DC" w:rsidRDefault="005723DD" w:rsidP="00B217DC">
      <w:pPr>
        <w:pStyle w:val="ListParagraph"/>
        <w:numPr>
          <w:ilvl w:val="0"/>
          <w:numId w:val="111"/>
        </w:numPr>
        <w:rPr>
          <w:rFonts w:cs="Arial"/>
          <w:color w:val="auto"/>
          <w:sz w:val="20"/>
          <w:szCs w:val="20"/>
          <w:lang w:val="en-GB"/>
        </w:rPr>
      </w:pPr>
      <w:r w:rsidRPr="00B217DC">
        <w:rPr>
          <w:rFonts w:cs="Arial"/>
          <w:color w:val="auto"/>
          <w:sz w:val="20"/>
          <w:szCs w:val="20"/>
          <w:lang w:val="en-GB"/>
        </w:rPr>
        <w:t>The Committee noted the staff turnover, particularly resignations, and enquired about the challenges related to staff retention. To this end, the Committee asked about mitigation strategies to ensure institutional memory. The Committee recalled that it had previously recommended to the CGE to conduct exit interviews and questioned whether this was implemented.</w:t>
      </w:r>
    </w:p>
    <w:p w:rsidR="005723DD" w:rsidRPr="00B217DC" w:rsidRDefault="005723DD" w:rsidP="00B217DC">
      <w:pPr>
        <w:rPr>
          <w:rFonts w:cs="Arial"/>
          <w:b/>
          <w:color w:val="auto"/>
          <w:sz w:val="20"/>
          <w:szCs w:val="20"/>
          <w:lang w:val="en-GB"/>
        </w:rPr>
      </w:pPr>
    </w:p>
    <w:p w:rsidR="00170BD2" w:rsidRPr="00B217DC" w:rsidRDefault="00170BD2" w:rsidP="00B217DC">
      <w:pPr>
        <w:numPr>
          <w:ilvl w:val="2"/>
          <w:numId w:val="107"/>
        </w:numPr>
        <w:rPr>
          <w:rFonts w:cs="Arial"/>
          <w:b/>
          <w:color w:val="auto"/>
          <w:sz w:val="20"/>
          <w:szCs w:val="20"/>
          <w:lang w:val="en-GB"/>
        </w:rPr>
      </w:pPr>
      <w:r w:rsidRPr="00B217DC">
        <w:rPr>
          <w:rFonts w:cs="Arial"/>
          <w:b/>
          <w:color w:val="auto"/>
          <w:sz w:val="20"/>
          <w:szCs w:val="20"/>
          <w:lang w:val="en-GB"/>
        </w:rPr>
        <w:t>Finance</w:t>
      </w:r>
    </w:p>
    <w:p w:rsidR="005723DD" w:rsidRPr="00B217DC" w:rsidRDefault="005723DD" w:rsidP="00B217DC">
      <w:pPr>
        <w:pStyle w:val="ListParagraph"/>
        <w:numPr>
          <w:ilvl w:val="0"/>
          <w:numId w:val="62"/>
        </w:numPr>
        <w:rPr>
          <w:rFonts w:cs="Arial"/>
          <w:color w:val="auto"/>
          <w:sz w:val="20"/>
          <w:szCs w:val="20"/>
          <w:lang w:val="en-GB"/>
        </w:rPr>
      </w:pPr>
      <w:r w:rsidRPr="00B217DC">
        <w:rPr>
          <w:rFonts w:cs="Arial"/>
          <w:i/>
          <w:color w:val="auto"/>
          <w:sz w:val="20"/>
          <w:szCs w:val="20"/>
          <w:lang w:val="en-GB"/>
        </w:rPr>
        <w:t>Underspending</w:t>
      </w:r>
      <w:r w:rsidRPr="00B217DC">
        <w:rPr>
          <w:rFonts w:cs="Arial"/>
          <w:color w:val="auto"/>
          <w:sz w:val="20"/>
          <w:szCs w:val="20"/>
          <w:lang w:val="en-GB"/>
        </w:rPr>
        <w:t xml:space="preserve">: The Committee noted with concern the under-spending (R14,2 million) and requested an explanation in that regard. </w:t>
      </w:r>
      <w:r w:rsidR="00022ED8" w:rsidRPr="00B217DC">
        <w:rPr>
          <w:rFonts w:cs="Arial"/>
          <w:color w:val="auto"/>
          <w:sz w:val="20"/>
          <w:szCs w:val="20"/>
          <w:lang w:val="en-GB"/>
        </w:rPr>
        <w:t xml:space="preserve">Given the importance of the work rendered by the CGE, the Committee </w:t>
      </w:r>
      <w:r w:rsidR="006B24F2" w:rsidRPr="00B217DC">
        <w:rPr>
          <w:rFonts w:cs="Arial"/>
          <w:color w:val="auto"/>
          <w:sz w:val="20"/>
          <w:szCs w:val="20"/>
          <w:lang w:val="en-GB"/>
        </w:rPr>
        <w:t xml:space="preserve">deemed </w:t>
      </w:r>
      <w:r w:rsidR="00022ED8" w:rsidRPr="00B217DC">
        <w:rPr>
          <w:rFonts w:cs="Arial"/>
          <w:color w:val="auto"/>
          <w:sz w:val="20"/>
          <w:szCs w:val="20"/>
          <w:lang w:val="en-GB"/>
        </w:rPr>
        <w:t>it unacceptable that funds are not utilised optimally particularly for an institution that claims it is under-resourced and requires more funding.</w:t>
      </w:r>
    </w:p>
    <w:p w:rsidR="005723DD" w:rsidRPr="00B217DC" w:rsidRDefault="005723DD" w:rsidP="00B217DC">
      <w:pPr>
        <w:pStyle w:val="ListParagraph"/>
        <w:numPr>
          <w:ilvl w:val="0"/>
          <w:numId w:val="62"/>
        </w:numPr>
        <w:rPr>
          <w:rFonts w:cs="Arial"/>
          <w:color w:val="auto"/>
          <w:sz w:val="20"/>
          <w:szCs w:val="20"/>
          <w:lang w:val="en-GB"/>
        </w:rPr>
      </w:pPr>
      <w:r w:rsidRPr="00B217DC">
        <w:rPr>
          <w:rFonts w:cs="Arial"/>
          <w:i/>
          <w:color w:val="auto"/>
          <w:sz w:val="20"/>
          <w:szCs w:val="20"/>
          <w:lang w:val="en-GB"/>
        </w:rPr>
        <w:t>Fruitless and Wasteful Expenditure</w:t>
      </w:r>
      <w:r w:rsidRPr="00B217DC">
        <w:rPr>
          <w:rFonts w:cs="Arial"/>
          <w:color w:val="auto"/>
          <w:sz w:val="20"/>
          <w:szCs w:val="20"/>
          <w:lang w:val="en-GB"/>
        </w:rPr>
        <w:t>: The Committee noted with concern the Fruitless and Wasteful expenditure (R5, 694 008) incurred by the CGE of which R2, 753 340 related to the 2020/21 FY payment of Part-time Commissioners without time sheet</w:t>
      </w:r>
      <w:r w:rsidR="009B62B0" w:rsidRPr="00B217DC">
        <w:rPr>
          <w:rFonts w:cs="Arial"/>
          <w:color w:val="auto"/>
          <w:sz w:val="20"/>
          <w:szCs w:val="20"/>
          <w:lang w:val="en-GB"/>
        </w:rPr>
        <w:t>s</w:t>
      </w:r>
      <w:r w:rsidRPr="00B217DC">
        <w:rPr>
          <w:rFonts w:cs="Arial"/>
          <w:color w:val="auto"/>
          <w:sz w:val="20"/>
          <w:szCs w:val="20"/>
          <w:lang w:val="en-GB"/>
        </w:rPr>
        <w:t xml:space="preserve">. </w:t>
      </w:r>
    </w:p>
    <w:p w:rsidR="005723DD" w:rsidRPr="00B217DC" w:rsidRDefault="005723DD" w:rsidP="00B217DC">
      <w:pPr>
        <w:pStyle w:val="ListParagraph"/>
        <w:numPr>
          <w:ilvl w:val="0"/>
          <w:numId w:val="62"/>
        </w:numPr>
        <w:rPr>
          <w:rFonts w:cs="Arial"/>
          <w:color w:val="auto"/>
          <w:sz w:val="20"/>
          <w:szCs w:val="20"/>
          <w:lang w:val="en-GB"/>
        </w:rPr>
      </w:pPr>
      <w:r w:rsidRPr="00B217DC">
        <w:rPr>
          <w:rFonts w:cs="Arial"/>
          <w:i/>
          <w:color w:val="auto"/>
          <w:sz w:val="20"/>
          <w:szCs w:val="20"/>
          <w:lang w:val="en-GB"/>
        </w:rPr>
        <w:t>17% Provident Matter</w:t>
      </w:r>
      <w:r w:rsidRPr="00B217DC">
        <w:rPr>
          <w:rFonts w:cs="Arial"/>
          <w:color w:val="auto"/>
          <w:sz w:val="20"/>
          <w:szCs w:val="20"/>
          <w:lang w:val="en-GB"/>
        </w:rPr>
        <w:t>: The Committee noted with concern that the matter related to the payment of certain officials had still not been resolved. This despite the Committee having recommended in its 2021 Budget Review and Recommendations Report that, “The CGE should submit to the Committee, in writing, a comprehensive report on the 17% Provident fund issue.” The CGE provided the Committee with an update on the matter at its briefing of the Annual Report of 2021/22 and stated that the matter has still not been resolved. It would appear that no official(s) have been held to account in this regard for having implemented the policy decision from the onset nor why it cannot be rescinded. This was particularly concerning for the Committee.</w:t>
      </w:r>
    </w:p>
    <w:p w:rsidR="005723DD" w:rsidRPr="00B217DC" w:rsidRDefault="005723DD" w:rsidP="00B217DC">
      <w:pPr>
        <w:pStyle w:val="ListParagraph"/>
        <w:numPr>
          <w:ilvl w:val="0"/>
          <w:numId w:val="62"/>
        </w:numPr>
        <w:rPr>
          <w:rFonts w:cs="Arial"/>
          <w:color w:val="auto"/>
          <w:sz w:val="20"/>
          <w:szCs w:val="20"/>
          <w:lang w:val="en-GB"/>
        </w:rPr>
      </w:pPr>
      <w:r w:rsidRPr="00B217DC">
        <w:rPr>
          <w:rFonts w:cs="Arial"/>
          <w:i/>
          <w:color w:val="auto"/>
          <w:sz w:val="20"/>
          <w:szCs w:val="20"/>
          <w:lang w:val="en-GB"/>
        </w:rPr>
        <w:t>Payment of leave gratuity to former CEO</w:t>
      </w:r>
      <w:r w:rsidRPr="00B217DC">
        <w:rPr>
          <w:rFonts w:cs="Arial"/>
          <w:color w:val="auto"/>
          <w:sz w:val="20"/>
          <w:szCs w:val="20"/>
          <w:lang w:val="en-GB"/>
        </w:rPr>
        <w:t xml:space="preserve">: The Committee was not completely satisfied with the explanation provided by the CFO regarding the leave pay-out of the former CEO whose </w:t>
      </w:r>
      <w:r w:rsidRPr="00B217DC">
        <w:rPr>
          <w:rFonts w:cs="Arial"/>
          <w:color w:val="auto"/>
          <w:sz w:val="20"/>
          <w:szCs w:val="20"/>
          <w:lang w:val="en-GB"/>
        </w:rPr>
        <w:lastRenderedPageBreak/>
        <w:t>contract terminated in 2020. The Committee was made aware of an erroneous leave gratuity pay out to the former CEO. The CGE had briefed the Committee in this regard in 2020 and 2021 on this matter. It would appear that the matter has still not been resolved. The Committee sought more information in this regard and was not satisfied with the slow pace of progress in resolving the matter.</w:t>
      </w:r>
    </w:p>
    <w:p w:rsidR="00A83C26" w:rsidRPr="00B217DC" w:rsidRDefault="005723DD" w:rsidP="00B217DC">
      <w:pPr>
        <w:pStyle w:val="ListParagraph"/>
        <w:numPr>
          <w:ilvl w:val="0"/>
          <w:numId w:val="62"/>
        </w:numPr>
        <w:rPr>
          <w:rFonts w:cs="Arial"/>
          <w:color w:val="auto"/>
          <w:sz w:val="20"/>
          <w:szCs w:val="20"/>
          <w:lang w:val="en-GB"/>
        </w:rPr>
      </w:pPr>
      <w:r w:rsidRPr="00B217DC">
        <w:rPr>
          <w:rFonts w:cs="Arial"/>
          <w:i/>
          <w:color w:val="auto"/>
          <w:sz w:val="20"/>
          <w:szCs w:val="20"/>
          <w:lang w:val="en-GB"/>
        </w:rPr>
        <w:t>13</w:t>
      </w:r>
      <w:r w:rsidRPr="00B217DC">
        <w:rPr>
          <w:rFonts w:cs="Arial"/>
          <w:i/>
          <w:color w:val="auto"/>
          <w:sz w:val="20"/>
          <w:szCs w:val="20"/>
          <w:vertAlign w:val="superscript"/>
          <w:lang w:val="en-GB"/>
        </w:rPr>
        <w:t>th</w:t>
      </w:r>
      <w:r w:rsidRPr="00B217DC">
        <w:rPr>
          <w:rFonts w:cs="Arial"/>
          <w:i/>
          <w:color w:val="auto"/>
          <w:sz w:val="20"/>
          <w:szCs w:val="20"/>
          <w:lang w:val="en-GB"/>
        </w:rPr>
        <w:t xml:space="preserve"> cheque</w:t>
      </w:r>
      <w:r w:rsidRPr="00B217DC">
        <w:rPr>
          <w:rFonts w:cs="Arial"/>
          <w:color w:val="auto"/>
          <w:sz w:val="20"/>
          <w:szCs w:val="20"/>
          <w:lang w:val="en-GB"/>
        </w:rPr>
        <w:t>: The Committee noted that 2 Commissioners received a 13th cheque payment in 2021/22 and questioned why this was the case. The Committee was satisfied with the response by the CFO in this regard which related to the manner in which Commissioner’s had structured their total package.</w:t>
      </w:r>
    </w:p>
    <w:p w:rsidR="00022ED8" w:rsidRPr="00B217DC" w:rsidRDefault="00022ED8" w:rsidP="00B217DC">
      <w:pPr>
        <w:rPr>
          <w:rFonts w:cs="Arial"/>
          <w:color w:val="auto"/>
          <w:sz w:val="20"/>
          <w:szCs w:val="20"/>
          <w:lang w:val="en-GB"/>
        </w:rPr>
      </w:pPr>
    </w:p>
    <w:p w:rsidR="00170BD2" w:rsidRPr="00B217DC" w:rsidRDefault="00022ED8" w:rsidP="00B217DC">
      <w:pPr>
        <w:numPr>
          <w:ilvl w:val="2"/>
          <w:numId w:val="107"/>
        </w:numPr>
        <w:rPr>
          <w:rFonts w:cs="Arial"/>
          <w:b/>
          <w:color w:val="auto"/>
          <w:sz w:val="20"/>
          <w:szCs w:val="20"/>
          <w:lang w:val="en-GB"/>
        </w:rPr>
      </w:pPr>
      <w:r w:rsidRPr="00B217DC">
        <w:rPr>
          <w:rFonts w:cs="Arial"/>
          <w:b/>
          <w:color w:val="auto"/>
          <w:sz w:val="20"/>
          <w:szCs w:val="20"/>
          <w:lang w:val="en-GB"/>
        </w:rPr>
        <w:t>Payment of Commissioners</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i/>
          <w:color w:val="auto"/>
          <w:sz w:val="20"/>
          <w:szCs w:val="20"/>
          <w:lang w:val="en-US"/>
        </w:rPr>
        <w:t>Payment of part-time Commissioners</w:t>
      </w:r>
      <w:r w:rsidRPr="00B217DC">
        <w:rPr>
          <w:rFonts w:cs="Arial"/>
          <w:color w:val="auto"/>
          <w:sz w:val="20"/>
          <w:szCs w:val="20"/>
          <w:lang w:val="en-US"/>
        </w:rPr>
        <w:t>: The Committee noted with serious concern the Fruitless and Wasteful expenditure incurred of R2, 381 665 which was attributed again to the payment of part-time Commissioners without the requisite time sheets. The Committee noted that the CGE had informed Members via correspondence sent to the Committee on 21 September 2021 dealing with the Q4 of 2020/21 and Q1 2021/22 titled “Audit Committee Response to the Portfolio Committee Questions”, sent to the Committee from the CGE’s ARC, the following was noted under III. Human Resources Audit, Internal control deficiencies identified pertaining to HR are as follows: “Part-time Commissioners salary paid without supporting documentation. In that, for the period of April 2020 to October 2020 when the country was in a National State of Disaster due to COVID-19, part-time Commissioners were paid 100 hours without supporting documentation. Further to this the salary was paid without supporting timesheets approved by the Executive Authority.”</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color w:val="auto"/>
          <w:sz w:val="20"/>
          <w:szCs w:val="20"/>
          <w:lang w:val="en-US"/>
        </w:rPr>
        <w:t>From the correspondence received and the documents assessed the payment of 100 hours exceeded the time period of April to October 2020</w:t>
      </w:r>
      <w:r w:rsidR="00CA4491" w:rsidRPr="00B217DC">
        <w:rPr>
          <w:rFonts w:cs="Arial"/>
          <w:color w:val="auto"/>
          <w:sz w:val="20"/>
          <w:szCs w:val="20"/>
          <w:lang w:val="en-US"/>
        </w:rPr>
        <w:t>. T</w:t>
      </w:r>
      <w:r w:rsidRPr="00B217DC">
        <w:rPr>
          <w:rFonts w:cs="Arial"/>
          <w:color w:val="auto"/>
          <w:sz w:val="20"/>
          <w:szCs w:val="20"/>
          <w:lang w:val="en-US"/>
        </w:rPr>
        <w:t xml:space="preserve">he payment arrangement had exceeded the timeframe and the Committee was unaware and not informed. Furthermore, Part-time Commissioners were paid 100 hours’ flat rate for 22 months not having submitted time sheets and or template as per CGE Finance Department which was an indictment on the CGE. This was noted with as a matter of serious concern. </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color w:val="auto"/>
          <w:sz w:val="20"/>
          <w:szCs w:val="20"/>
          <w:lang w:val="en-US"/>
        </w:rPr>
        <w:t>The Committee acknowledged plenary’s decision to implement the 100-hour flat rate on account of force majeure for the time period stipulated as cited above. However, the Committee having received and assessed the Commissioners progress reports per quarter for 2021/22 in addition to the overview of attendance for 2019-2022 at sub-committee meetings, plenaries, special plenaries and Portfolio Committee meetings was not satisfied that the 100-hour flat rate should have been extended beyond the stipulated period. The Committee was not satisfied with the information hereto as a measure of justification of 100 hours per month for part-time Commissioners. The activities reported together with meeting attendance would not have sufficed for accumulating 100 hours a month. This was further compounded by, the Committee’s assessment of Commissioners salaries for 2019/20 and having noted that on average, based on crude calculations of their salaries, part-time Commissioners worked between 11.7 minimum to 40.1 hours maximum. As such, this brought into question how plenary and senior management had justified the 100-hour flat rate. The Committee was also not satisfied with the CFO’s response insofar as variation in salaries between Commissioners because of benefits such as travel given that during the Covid-19 lockdown period travel was limited and Commissioners indicated that they worked from home as well. Moreover, the Committee having assessed all the progress reports of Commissioners for the year under review was unable to see how the continuation of a 100-hour flat rate was justifiable when certain Commissioners were not reporting against all Strategic Outcomes within a given quarter.</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i/>
          <w:color w:val="auto"/>
          <w:sz w:val="20"/>
          <w:szCs w:val="20"/>
          <w:lang w:val="en-US"/>
        </w:rPr>
        <w:t>Current status of 100-hour flat rate</w:t>
      </w:r>
      <w:r w:rsidRPr="00B217DC">
        <w:rPr>
          <w:rFonts w:cs="Arial"/>
          <w:color w:val="auto"/>
          <w:sz w:val="20"/>
          <w:szCs w:val="20"/>
          <w:lang w:val="en-US"/>
        </w:rPr>
        <w:t>: The Committee questioned whether part-time Commissioners were still paid the 100-hour flat rate and what the justification was given the issues of concerned raised.</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color w:val="auto"/>
          <w:sz w:val="20"/>
          <w:szCs w:val="20"/>
          <w:lang w:val="en-US"/>
        </w:rPr>
        <w:t>The Committee noted that no money has been recovered or written-off to date according to the CGE as reported to the ARC. Furthermore, the Committee is aware that 4 Part-time Commissioners had taken up the matter on appeal based on the 2020/21 amount and have maintained that submission of quarterly reports together with a letter of endorsement from the Chairperson of the Commission for Gender Equality and an internal circular should suffice as evidence. To this end, the Committee questioned whether the ARC was in receipt of such evidence. The Committee was not satisfied with the response of the CGE and noted with serious concern the lack of leadership and accountability demonstrated</w:t>
      </w:r>
      <w:r w:rsidR="00CA4491" w:rsidRPr="00B217DC">
        <w:rPr>
          <w:rFonts w:cs="Arial"/>
          <w:color w:val="auto"/>
          <w:sz w:val="20"/>
          <w:szCs w:val="20"/>
          <w:lang w:val="en-US"/>
        </w:rPr>
        <w:t>, as well as</w:t>
      </w:r>
      <w:r w:rsidRPr="00B217DC">
        <w:rPr>
          <w:rFonts w:cs="Arial"/>
          <w:color w:val="auto"/>
          <w:sz w:val="20"/>
          <w:szCs w:val="20"/>
          <w:lang w:val="en-US"/>
        </w:rPr>
        <w:t xml:space="preserve"> not availing proof of evidence for the respective auditors in this regard.</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i/>
          <w:color w:val="auto"/>
          <w:sz w:val="20"/>
          <w:szCs w:val="20"/>
          <w:lang w:val="en-US"/>
        </w:rPr>
        <w:t>Failure to comply with Commissioner’s Handbook</w:t>
      </w:r>
      <w:r w:rsidRPr="00B217DC">
        <w:rPr>
          <w:rFonts w:cs="Arial"/>
          <w:color w:val="auto"/>
          <w:sz w:val="20"/>
          <w:szCs w:val="20"/>
          <w:lang w:val="en-US"/>
        </w:rPr>
        <w:t xml:space="preserve">: The Committee noted with concern the CGE’s failure to comply with the Commissioners Handbook as per 5.3.2 Claims, “This matter is regulated by CGE policy on subsistence and claims. In addition, part-time Commissioners </w:t>
      </w:r>
      <w:r w:rsidRPr="00B217DC">
        <w:rPr>
          <w:rFonts w:cs="Arial"/>
          <w:color w:val="auto"/>
          <w:sz w:val="20"/>
          <w:szCs w:val="20"/>
          <w:lang w:val="en-US"/>
        </w:rPr>
        <w:lastRenderedPageBreak/>
        <w:t>are required to file a salary claim every month, using the template provided by the CGE finance department. Full-time Commissioners need not submit salary claims, as their salaries are automatically generated through the CGE salary system.” The Committee noted that the non-submission of timesheets was thus in direct contravention of the CGE’s policy despite the submission of quarterly reports in narrative form.</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i/>
          <w:color w:val="auto"/>
          <w:sz w:val="20"/>
          <w:szCs w:val="20"/>
          <w:lang w:val="en-US"/>
        </w:rPr>
        <w:t>Application of President’s determination of salaries</w:t>
      </w:r>
      <w:r w:rsidRPr="00B217DC">
        <w:rPr>
          <w:rFonts w:cs="Arial"/>
          <w:color w:val="auto"/>
          <w:sz w:val="20"/>
          <w:szCs w:val="20"/>
          <w:lang w:val="en-US"/>
        </w:rPr>
        <w:t>: The Committee having assessed the salaries of Commissioners as outlined in the Annual Report under review was unclear how the President’s determination of salaries as per the Draft Notice on the Determination of Remuneration of Independent Constitutional Institutions was applied by the CGE as the salaries varied considerably. This was noted with concern as the Committee was dissatisfied with the response provided by the CGE in this regard. It was concerning that there appeared to be no consistency in terms of the payment salaries of both full time and part-time Commissioners. In essence, the Committee was concerned that the President’s determination of salaries of both full time and part time Commissioners was not implemented by the CGE.</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i/>
          <w:color w:val="auto"/>
          <w:sz w:val="20"/>
          <w:szCs w:val="20"/>
          <w:lang w:val="en-US"/>
        </w:rPr>
        <w:t>Variations in Salaries</w:t>
      </w:r>
      <w:r w:rsidRPr="00B217DC">
        <w:rPr>
          <w:rFonts w:cs="Arial"/>
          <w:color w:val="auto"/>
          <w:sz w:val="20"/>
          <w:szCs w:val="20"/>
          <w:lang w:val="en-US"/>
        </w:rPr>
        <w:t>: The Committee having assessed and compared the salaries of Commissioners for 2020/21 and 2021/22 as well as 2019/20 also noted significant differences in the salaries of full-time and part-time Commissioners which was concerning. Notwithstanding the explanation provided by the CGE’s Chief Financial Officer regarding the manner in which certain Commissioners had structured their salary package, the benefits and travel claims salaries varied between full-time Commissioners and part-time Commissioners. The Committee was not satisfied with the CGE’s justification for those inconsistencies. The Committee also questioned the process of approval</w:t>
      </w:r>
      <w:r w:rsidR="001C29DF" w:rsidRPr="00B217DC">
        <w:rPr>
          <w:rFonts w:cs="Arial"/>
          <w:color w:val="auto"/>
          <w:sz w:val="20"/>
          <w:szCs w:val="20"/>
          <w:lang w:val="en-US"/>
        </w:rPr>
        <w:t xml:space="preserve"> of</w:t>
      </w:r>
      <w:r w:rsidRPr="00B217DC">
        <w:rPr>
          <w:rFonts w:cs="Arial"/>
          <w:color w:val="auto"/>
          <w:sz w:val="20"/>
          <w:szCs w:val="20"/>
          <w:lang w:val="en-US"/>
        </w:rPr>
        <w:t xml:space="preserve"> payments and required more details in that regard.</w:t>
      </w:r>
    </w:p>
    <w:p w:rsidR="00022ED8" w:rsidRPr="00B217DC" w:rsidRDefault="00022ED8" w:rsidP="00B217DC">
      <w:pPr>
        <w:pStyle w:val="ListParagraph"/>
        <w:numPr>
          <w:ilvl w:val="0"/>
          <w:numId w:val="64"/>
        </w:numPr>
        <w:rPr>
          <w:rFonts w:cs="Arial"/>
          <w:color w:val="auto"/>
          <w:sz w:val="20"/>
          <w:szCs w:val="20"/>
          <w:lang w:val="en-US"/>
        </w:rPr>
      </w:pPr>
      <w:r w:rsidRPr="00B217DC">
        <w:rPr>
          <w:rFonts w:cs="Arial"/>
          <w:color w:val="auto"/>
          <w:sz w:val="20"/>
          <w:szCs w:val="20"/>
          <w:lang w:val="en-US"/>
        </w:rPr>
        <w:t>The Committee noted with concern that during the briefing by the CGE on its Annual Report for 2021/22, a Commissioner who was converted from part-time to full time indicated that during her tenure as a part-time she was paid a lower salary as compared to a fellow Commissioner who took office at the same time she did.</w:t>
      </w:r>
    </w:p>
    <w:p w:rsidR="00E94065" w:rsidRPr="00B217DC" w:rsidRDefault="00022ED8" w:rsidP="00B217DC">
      <w:pPr>
        <w:pStyle w:val="ListParagraph"/>
        <w:numPr>
          <w:ilvl w:val="0"/>
          <w:numId w:val="64"/>
        </w:numPr>
        <w:rPr>
          <w:rFonts w:cs="Arial"/>
          <w:color w:val="auto"/>
          <w:sz w:val="20"/>
          <w:szCs w:val="20"/>
          <w:lang w:val="en-US"/>
        </w:rPr>
      </w:pPr>
      <w:r w:rsidRPr="00B217DC">
        <w:rPr>
          <w:rFonts w:cs="Arial"/>
          <w:i/>
          <w:color w:val="auto"/>
          <w:sz w:val="20"/>
          <w:szCs w:val="20"/>
          <w:lang w:val="en-US"/>
        </w:rPr>
        <w:t>Payment to former</w:t>
      </w:r>
      <w:r w:rsidRPr="00B217DC">
        <w:rPr>
          <w:rFonts w:cs="Arial"/>
          <w:color w:val="auto"/>
          <w:sz w:val="20"/>
          <w:szCs w:val="20"/>
          <w:lang w:val="en-US"/>
        </w:rPr>
        <w:t xml:space="preserve"> </w:t>
      </w:r>
      <w:r w:rsidRPr="00B217DC">
        <w:rPr>
          <w:rFonts w:cs="Arial"/>
          <w:i/>
          <w:color w:val="auto"/>
          <w:sz w:val="20"/>
          <w:szCs w:val="20"/>
          <w:lang w:val="en-US"/>
        </w:rPr>
        <w:t>Commissioners</w:t>
      </w:r>
      <w:r w:rsidRPr="00B217DC">
        <w:rPr>
          <w:rFonts w:cs="Arial"/>
          <w:color w:val="auto"/>
          <w:sz w:val="20"/>
          <w:szCs w:val="20"/>
          <w:lang w:val="en-US"/>
        </w:rPr>
        <w:t>: The Committee having assessed the salaries of Commissioners for the last 3 financial years noted that Mr Mr Wallace A. Mgqogi, who was a full-time Commissioner was paid R177 987 for 2019/20 and also received 13th cheque &amp; or leave pay-out of R20 625. Dr Nondumiso Maphazi who was also a full-time Commissioner was paid R226 285 for 2019/20. Ms F. Nzimande, a part-time Commissioner was paid R79 987 for 2019/20. Ms S. Sobahle, a part-time Commissioner was paid R223 013 for 2019/20 and received an additional R22 471 for 13</w:t>
      </w:r>
      <w:r w:rsidR="00BE7740" w:rsidRPr="00B217DC">
        <w:rPr>
          <w:rFonts w:cs="Arial"/>
          <w:color w:val="auto"/>
          <w:sz w:val="20"/>
          <w:szCs w:val="20"/>
          <w:vertAlign w:val="superscript"/>
          <w:lang w:val="en-US"/>
        </w:rPr>
        <w:t>th</w:t>
      </w:r>
      <w:r w:rsidR="00BE7740" w:rsidRPr="00B217DC">
        <w:rPr>
          <w:rFonts w:cs="Arial"/>
          <w:color w:val="auto"/>
          <w:sz w:val="20"/>
          <w:szCs w:val="20"/>
          <w:lang w:val="en-US"/>
        </w:rPr>
        <w:t xml:space="preserve"> </w:t>
      </w:r>
      <w:r w:rsidRPr="00B217DC">
        <w:rPr>
          <w:rFonts w:cs="Arial"/>
          <w:color w:val="auto"/>
          <w:sz w:val="20"/>
          <w:szCs w:val="20"/>
          <w:lang w:val="en-US"/>
        </w:rPr>
        <w:t xml:space="preserve">cheque and or leave pay-out. The Committee sought clarity in this regard for the payments given when their term of office had expired. Furthermore, the Committee was alarmed by the Chairperson of the CGE’ response of not having been aware of the payments this despite have signed off on all three of the annual reports in which the salaries </w:t>
      </w:r>
      <w:r w:rsidR="001C29DF" w:rsidRPr="00B217DC">
        <w:rPr>
          <w:rFonts w:cs="Arial"/>
          <w:color w:val="auto"/>
          <w:sz w:val="20"/>
          <w:szCs w:val="20"/>
          <w:lang w:val="en-US"/>
        </w:rPr>
        <w:t xml:space="preserve">were </w:t>
      </w:r>
      <w:r w:rsidRPr="00B217DC">
        <w:rPr>
          <w:rFonts w:cs="Arial"/>
          <w:color w:val="auto"/>
          <w:sz w:val="20"/>
          <w:szCs w:val="20"/>
          <w:lang w:val="en-US"/>
        </w:rPr>
        <w:t>expressly stated. The Committee acknowledged the Chairperson’s withdrawal of not being aware and shocked at the revelations exposed by the Committee.</w:t>
      </w:r>
    </w:p>
    <w:p w:rsidR="00A83C26" w:rsidRPr="00B217DC" w:rsidRDefault="00A83C26" w:rsidP="00B217DC">
      <w:pPr>
        <w:rPr>
          <w:rFonts w:cs="Arial"/>
          <w:b/>
          <w:color w:val="auto"/>
          <w:sz w:val="20"/>
          <w:szCs w:val="20"/>
          <w:lang w:val="en-GB"/>
        </w:rPr>
      </w:pPr>
    </w:p>
    <w:p w:rsidR="00022ED8" w:rsidRPr="00B217DC" w:rsidRDefault="00170BD2" w:rsidP="00B217DC">
      <w:pPr>
        <w:numPr>
          <w:ilvl w:val="2"/>
          <w:numId w:val="107"/>
        </w:numPr>
        <w:rPr>
          <w:rFonts w:cs="Arial"/>
          <w:b/>
          <w:color w:val="auto"/>
          <w:sz w:val="20"/>
          <w:szCs w:val="20"/>
          <w:lang w:val="en-GB"/>
        </w:rPr>
      </w:pPr>
      <w:r w:rsidRPr="00B217DC">
        <w:rPr>
          <w:rFonts w:cs="Arial"/>
          <w:b/>
          <w:color w:val="auto"/>
          <w:sz w:val="20"/>
          <w:szCs w:val="20"/>
          <w:lang w:val="en-GB"/>
        </w:rPr>
        <w:t>Programme</w:t>
      </w:r>
      <w:r w:rsidR="00A441BE" w:rsidRPr="00B217DC">
        <w:rPr>
          <w:rFonts w:cs="Arial"/>
          <w:b/>
          <w:color w:val="auto"/>
          <w:sz w:val="20"/>
          <w:szCs w:val="20"/>
          <w:lang w:val="en-GB"/>
        </w:rPr>
        <w:t xml:space="preserve"> specific matters</w:t>
      </w:r>
    </w:p>
    <w:p w:rsidR="00022ED8" w:rsidRPr="00B217DC" w:rsidRDefault="00022ED8" w:rsidP="00B217DC">
      <w:pPr>
        <w:pStyle w:val="ListParagraph"/>
        <w:numPr>
          <w:ilvl w:val="0"/>
          <w:numId w:val="112"/>
        </w:numPr>
        <w:autoSpaceDN w:val="0"/>
        <w:rPr>
          <w:rFonts w:cs="Arial"/>
          <w:color w:val="auto"/>
          <w:sz w:val="20"/>
          <w:szCs w:val="20"/>
        </w:rPr>
      </w:pPr>
      <w:r w:rsidRPr="00B217DC">
        <w:rPr>
          <w:rFonts w:cs="Arial"/>
          <w:i/>
          <w:color w:val="auto"/>
          <w:sz w:val="20"/>
          <w:szCs w:val="20"/>
        </w:rPr>
        <w:t>Boy-child</w:t>
      </w:r>
      <w:r w:rsidRPr="00B217DC">
        <w:rPr>
          <w:rFonts w:cs="Arial"/>
          <w:color w:val="auto"/>
          <w:sz w:val="20"/>
          <w:szCs w:val="20"/>
        </w:rPr>
        <w:t>: The Committee enquired whether the Commission was still implementing the boy child programme as this was considered to be an important initiative should be continued.</w:t>
      </w:r>
    </w:p>
    <w:p w:rsidR="00022ED8" w:rsidRPr="00B217DC" w:rsidRDefault="00022ED8" w:rsidP="00B217DC">
      <w:pPr>
        <w:pStyle w:val="ListParagraph"/>
        <w:numPr>
          <w:ilvl w:val="0"/>
          <w:numId w:val="112"/>
        </w:numPr>
        <w:autoSpaceDN w:val="0"/>
        <w:rPr>
          <w:rFonts w:cs="Arial"/>
          <w:color w:val="auto"/>
          <w:sz w:val="20"/>
          <w:szCs w:val="20"/>
        </w:rPr>
      </w:pPr>
      <w:r w:rsidRPr="00B217DC">
        <w:rPr>
          <w:rFonts w:cs="Arial"/>
          <w:i/>
          <w:color w:val="auto"/>
          <w:sz w:val="20"/>
          <w:szCs w:val="20"/>
        </w:rPr>
        <w:t>Webinars</w:t>
      </w:r>
      <w:r w:rsidRPr="00B217DC">
        <w:rPr>
          <w:rFonts w:cs="Arial"/>
          <w:color w:val="auto"/>
          <w:sz w:val="20"/>
          <w:szCs w:val="20"/>
        </w:rPr>
        <w:t>: The Committee questioned how the CGE determines whether webinars are successful or not as the impact of initiatives is considered important for the Committee.</w:t>
      </w:r>
    </w:p>
    <w:p w:rsidR="00022ED8" w:rsidRPr="00B217DC" w:rsidRDefault="00022ED8" w:rsidP="00B217DC">
      <w:pPr>
        <w:pStyle w:val="ListParagraph"/>
        <w:numPr>
          <w:ilvl w:val="0"/>
          <w:numId w:val="112"/>
        </w:numPr>
        <w:autoSpaceDN w:val="0"/>
        <w:rPr>
          <w:rFonts w:cs="Arial"/>
          <w:color w:val="auto"/>
          <w:sz w:val="20"/>
          <w:szCs w:val="20"/>
        </w:rPr>
      </w:pPr>
      <w:r w:rsidRPr="00B217DC">
        <w:rPr>
          <w:rFonts w:cs="Arial"/>
          <w:i/>
          <w:color w:val="auto"/>
          <w:sz w:val="20"/>
          <w:szCs w:val="20"/>
        </w:rPr>
        <w:t>Policy and Law reform</w:t>
      </w:r>
      <w:r w:rsidRPr="00B217DC">
        <w:rPr>
          <w:rFonts w:cs="Arial"/>
          <w:color w:val="auto"/>
          <w:sz w:val="20"/>
          <w:szCs w:val="20"/>
        </w:rPr>
        <w:t xml:space="preserve">: Similarly, the Committee enquired whether the CGE has tracked any of its recommendations made and incorporated into a Bill/policy via submissions made. Whilst the submission is one aspect of the CGE’s work, the Committee is interested in whether the recommendations are taken up. </w:t>
      </w:r>
    </w:p>
    <w:p w:rsidR="00022ED8" w:rsidRPr="00B217DC" w:rsidRDefault="00022ED8" w:rsidP="00B217DC">
      <w:pPr>
        <w:pStyle w:val="ListParagraph"/>
        <w:numPr>
          <w:ilvl w:val="0"/>
          <w:numId w:val="112"/>
        </w:numPr>
        <w:autoSpaceDN w:val="0"/>
        <w:rPr>
          <w:rFonts w:cs="Arial"/>
          <w:color w:val="auto"/>
          <w:sz w:val="20"/>
          <w:szCs w:val="20"/>
        </w:rPr>
      </w:pPr>
      <w:r w:rsidRPr="00B217DC">
        <w:rPr>
          <w:rFonts w:cs="Arial"/>
          <w:i/>
          <w:color w:val="auto"/>
          <w:sz w:val="20"/>
          <w:szCs w:val="20"/>
        </w:rPr>
        <w:t>Legal Practice Council</w:t>
      </w:r>
      <w:r w:rsidRPr="00B217DC">
        <w:rPr>
          <w:rFonts w:cs="Arial"/>
          <w:color w:val="auto"/>
          <w:sz w:val="20"/>
          <w:szCs w:val="20"/>
        </w:rPr>
        <w:t>: The Committee noted several litigation cases outlined in the Annual Report but it was unclear what the role of the CGE was in all of the cases its standing as a legal entity was not yet accepted by the Legal Practice Council. This has previously been reported to the Committee which was noted as a major concern and required attention. To this end, given the reporting in the Annual Report 2021/22, the Committee then questioned whether the CGE resolved the matter with Legal Practice Council with regards to CGE recognised as legal entity. The Committee was not satisfied with the response from the CGE on the matter as it has still not been resolved. The Committee noted that it has taken an inordinate amount of time for this matter to be resolved the impact of which was directly on the beneficiaries the CGE is meant to serve, this was deemed unacceptable.</w:t>
      </w:r>
    </w:p>
    <w:p w:rsidR="00BE7740" w:rsidRPr="00B217DC" w:rsidRDefault="00BE7740" w:rsidP="00B217DC">
      <w:pPr>
        <w:rPr>
          <w:rFonts w:cs="Arial"/>
          <w:b/>
          <w:color w:val="auto"/>
          <w:sz w:val="20"/>
          <w:szCs w:val="20"/>
          <w:lang w:val="en-GB"/>
        </w:rPr>
      </w:pPr>
    </w:p>
    <w:p w:rsidR="00022ED8" w:rsidRPr="00B217DC" w:rsidRDefault="00022ED8" w:rsidP="00B217DC">
      <w:pPr>
        <w:numPr>
          <w:ilvl w:val="2"/>
          <w:numId w:val="107"/>
        </w:numPr>
        <w:rPr>
          <w:rFonts w:cs="Arial"/>
          <w:b/>
          <w:color w:val="auto"/>
          <w:sz w:val="20"/>
          <w:szCs w:val="20"/>
          <w:lang w:val="en-GB"/>
        </w:rPr>
      </w:pPr>
      <w:r w:rsidRPr="00B217DC">
        <w:rPr>
          <w:rFonts w:cs="Arial"/>
          <w:b/>
          <w:color w:val="auto"/>
          <w:sz w:val="20"/>
          <w:szCs w:val="20"/>
          <w:lang w:val="en-GB"/>
        </w:rPr>
        <w:t>Case Management</w:t>
      </w:r>
    </w:p>
    <w:p w:rsidR="00022ED8" w:rsidRPr="00B217DC" w:rsidRDefault="00022ED8" w:rsidP="00B217DC">
      <w:pPr>
        <w:pStyle w:val="ListParagraph"/>
        <w:numPr>
          <w:ilvl w:val="0"/>
          <w:numId w:val="63"/>
        </w:numPr>
        <w:rPr>
          <w:rFonts w:cs="Arial"/>
          <w:color w:val="auto"/>
          <w:sz w:val="20"/>
          <w:szCs w:val="20"/>
        </w:rPr>
      </w:pPr>
      <w:r w:rsidRPr="00B217DC">
        <w:rPr>
          <w:rFonts w:cs="Arial"/>
          <w:color w:val="auto"/>
          <w:sz w:val="20"/>
          <w:szCs w:val="20"/>
        </w:rPr>
        <w:lastRenderedPageBreak/>
        <w:t>The Committee noted with concern the overall low number of complaints received for the year under review. The Committee noted a drop in the number of cases opened from 378 in the previous FY to 170 in the current FY.</w:t>
      </w:r>
    </w:p>
    <w:p w:rsidR="00022ED8" w:rsidRPr="00B217DC" w:rsidRDefault="00022ED8" w:rsidP="00B217DC">
      <w:pPr>
        <w:pStyle w:val="ListParagraph"/>
        <w:numPr>
          <w:ilvl w:val="0"/>
          <w:numId w:val="63"/>
        </w:numPr>
        <w:rPr>
          <w:rFonts w:cs="Arial"/>
          <w:color w:val="auto"/>
          <w:sz w:val="20"/>
          <w:szCs w:val="20"/>
        </w:rPr>
      </w:pPr>
      <w:r w:rsidRPr="00B217DC">
        <w:rPr>
          <w:rFonts w:cs="Arial"/>
          <w:color w:val="auto"/>
          <w:sz w:val="20"/>
          <w:szCs w:val="20"/>
        </w:rPr>
        <w:t>The Committee noted with concern the large number of pending cases (494) at the end of 2021/22 and asked how far the CGE was in dealing with the backlog. In addition, the Committee questioned whether the large number of pending cases and the duration it took to close a matter was not a key contributing factor for the overall low case numbers as the public may be disillusioned with the process and the slow pace of progress to be assisted.</w:t>
      </w:r>
    </w:p>
    <w:p w:rsidR="00022ED8" w:rsidRPr="00B217DC" w:rsidRDefault="00022ED8" w:rsidP="00B217DC">
      <w:pPr>
        <w:pStyle w:val="ListParagraph"/>
        <w:numPr>
          <w:ilvl w:val="0"/>
          <w:numId w:val="63"/>
        </w:numPr>
        <w:rPr>
          <w:rFonts w:cs="Arial"/>
          <w:color w:val="auto"/>
          <w:sz w:val="20"/>
          <w:szCs w:val="20"/>
        </w:rPr>
      </w:pPr>
      <w:r w:rsidRPr="00B217DC">
        <w:rPr>
          <w:rFonts w:cs="Arial"/>
          <w:color w:val="auto"/>
          <w:sz w:val="20"/>
          <w:szCs w:val="20"/>
        </w:rPr>
        <w:t xml:space="preserve">The Committee questioned why the CGE registered so little complaints related to gender-based violence for 2021/22. To this end, the Committee noted that this trend had continued int0 Q1 for 2022/23. The Committee requested clarity on whether the 170 cases were closed in 2020/21 or 2021/22 financial year. </w:t>
      </w:r>
    </w:p>
    <w:p w:rsidR="00022ED8" w:rsidRPr="00B217DC" w:rsidRDefault="00022ED8" w:rsidP="00B217DC">
      <w:pPr>
        <w:pStyle w:val="ListParagraph"/>
        <w:numPr>
          <w:ilvl w:val="0"/>
          <w:numId w:val="63"/>
        </w:numPr>
        <w:rPr>
          <w:rFonts w:cs="Arial"/>
          <w:color w:val="auto"/>
          <w:sz w:val="20"/>
          <w:szCs w:val="20"/>
        </w:rPr>
      </w:pPr>
      <w:r w:rsidRPr="00B217DC">
        <w:rPr>
          <w:rFonts w:cs="Arial"/>
          <w:color w:val="auto"/>
          <w:sz w:val="20"/>
          <w:szCs w:val="20"/>
        </w:rPr>
        <w:t>The Committee was concerned about the manner in which the CGE dealt with cases received and closed.</w:t>
      </w:r>
    </w:p>
    <w:p w:rsidR="003432C9" w:rsidRPr="00B217DC" w:rsidRDefault="00022ED8" w:rsidP="00B217DC">
      <w:pPr>
        <w:pStyle w:val="ListParagraph"/>
        <w:numPr>
          <w:ilvl w:val="0"/>
          <w:numId w:val="63"/>
        </w:numPr>
        <w:rPr>
          <w:rFonts w:cs="Arial"/>
          <w:color w:val="auto"/>
          <w:sz w:val="20"/>
          <w:szCs w:val="20"/>
        </w:rPr>
      </w:pPr>
      <w:r w:rsidRPr="00B217DC">
        <w:rPr>
          <w:rFonts w:cs="Arial"/>
          <w:color w:val="auto"/>
          <w:sz w:val="20"/>
          <w:szCs w:val="20"/>
        </w:rPr>
        <w:t>The Committee also noted the variation in the number of cases opened and closed across the various provinces which was presented in the quarterly reports for the year under review but not reflected in the annual report.</w:t>
      </w:r>
    </w:p>
    <w:p w:rsidR="00F62BC0" w:rsidRPr="00B217DC" w:rsidRDefault="00F62BC0" w:rsidP="00B217DC">
      <w:pPr>
        <w:pStyle w:val="ListParagraph"/>
        <w:rPr>
          <w:rFonts w:cs="Arial"/>
          <w:color w:val="auto"/>
          <w:sz w:val="20"/>
          <w:szCs w:val="20"/>
          <w:lang w:val="en-GB"/>
        </w:rPr>
      </w:pPr>
    </w:p>
    <w:p w:rsidR="00F62BC0" w:rsidRPr="00B217DC" w:rsidRDefault="00F62BC0" w:rsidP="00B217DC">
      <w:pPr>
        <w:pStyle w:val="ListParagraph"/>
        <w:rPr>
          <w:rFonts w:cs="Arial"/>
          <w:color w:val="auto"/>
          <w:sz w:val="20"/>
          <w:szCs w:val="20"/>
          <w:lang w:val="en-GB"/>
        </w:rPr>
      </w:pPr>
    </w:p>
    <w:p w:rsidR="00A9692C" w:rsidRPr="00B217DC" w:rsidRDefault="00F91F57" w:rsidP="00B217DC">
      <w:pPr>
        <w:rPr>
          <w:rFonts w:cs="Arial"/>
          <w:b/>
          <w:color w:val="auto"/>
          <w:sz w:val="20"/>
          <w:szCs w:val="20"/>
          <w:lang w:val="en-GB"/>
        </w:rPr>
      </w:pPr>
      <w:r w:rsidRPr="00B217DC">
        <w:rPr>
          <w:rFonts w:cs="Arial"/>
          <w:b/>
          <w:color w:val="auto"/>
          <w:sz w:val="20"/>
          <w:szCs w:val="20"/>
          <w:lang w:val="en-GB"/>
        </w:rPr>
        <w:t>15.</w:t>
      </w:r>
      <w:r w:rsidR="009D5399" w:rsidRPr="00B217DC">
        <w:rPr>
          <w:rFonts w:cs="Arial"/>
          <w:b/>
          <w:color w:val="auto"/>
          <w:sz w:val="20"/>
          <w:szCs w:val="20"/>
          <w:lang w:val="en-GB"/>
        </w:rPr>
        <w:t>8</w:t>
      </w:r>
      <w:r w:rsidRPr="00B217DC">
        <w:rPr>
          <w:rFonts w:cs="Arial"/>
          <w:b/>
          <w:color w:val="auto"/>
          <w:sz w:val="20"/>
          <w:szCs w:val="20"/>
          <w:lang w:val="en-GB"/>
        </w:rPr>
        <w:t xml:space="preserve"> </w:t>
      </w:r>
      <w:r w:rsidR="00A9692C" w:rsidRPr="00B217DC">
        <w:rPr>
          <w:rFonts w:cs="Arial"/>
          <w:b/>
          <w:color w:val="auto"/>
          <w:sz w:val="20"/>
          <w:szCs w:val="20"/>
          <w:lang w:val="en-GB"/>
        </w:rPr>
        <w:t xml:space="preserve">Observations with respect to the National Youth Development Agency </w:t>
      </w:r>
    </w:p>
    <w:p w:rsidR="00A9692C" w:rsidRPr="00B217DC" w:rsidRDefault="00A9692C" w:rsidP="00B217DC">
      <w:pPr>
        <w:rPr>
          <w:rFonts w:cs="Arial"/>
          <w:color w:val="auto"/>
          <w:sz w:val="20"/>
          <w:szCs w:val="20"/>
          <w:lang w:val="en-GB"/>
        </w:rPr>
      </w:pPr>
    </w:p>
    <w:p w:rsidR="002F2336" w:rsidRPr="00B217DC" w:rsidRDefault="009D5399" w:rsidP="00B217DC">
      <w:pPr>
        <w:rPr>
          <w:rFonts w:cs="Arial"/>
          <w:b/>
          <w:color w:val="auto"/>
          <w:sz w:val="20"/>
          <w:szCs w:val="20"/>
          <w:lang w:val="en-GB"/>
        </w:rPr>
      </w:pPr>
      <w:r w:rsidRPr="00B217DC">
        <w:rPr>
          <w:rFonts w:cs="Arial"/>
          <w:b/>
          <w:color w:val="auto"/>
          <w:sz w:val="20"/>
          <w:szCs w:val="20"/>
          <w:lang w:val="en-GB"/>
        </w:rPr>
        <w:t>15.8</w:t>
      </w:r>
      <w:r w:rsidR="002F2336" w:rsidRPr="00B217DC">
        <w:rPr>
          <w:rFonts w:cs="Arial"/>
          <w:b/>
          <w:color w:val="auto"/>
          <w:sz w:val="20"/>
          <w:szCs w:val="20"/>
          <w:lang w:val="en-GB"/>
        </w:rPr>
        <w:t>.1 General</w:t>
      </w:r>
    </w:p>
    <w:p w:rsidR="002F2336" w:rsidRPr="00B217DC" w:rsidRDefault="004E0DE0" w:rsidP="00B217DC">
      <w:pPr>
        <w:pStyle w:val="ListParagraph"/>
        <w:numPr>
          <w:ilvl w:val="0"/>
          <w:numId w:val="65"/>
        </w:numPr>
        <w:ind w:left="709" w:hanging="349"/>
        <w:rPr>
          <w:rFonts w:cs="Arial"/>
          <w:color w:val="auto"/>
          <w:sz w:val="20"/>
          <w:szCs w:val="20"/>
          <w:lang w:val="en-GB"/>
        </w:rPr>
      </w:pPr>
      <w:r w:rsidRPr="00B217DC">
        <w:rPr>
          <w:rFonts w:cs="Arial"/>
          <w:color w:val="auto"/>
          <w:sz w:val="20"/>
          <w:szCs w:val="20"/>
          <w:lang w:val="en-GB"/>
        </w:rPr>
        <w:t xml:space="preserve">The Committee commends the NYDA on receiving </w:t>
      </w:r>
      <w:r w:rsidR="002F2336" w:rsidRPr="00B217DC">
        <w:rPr>
          <w:rFonts w:cs="Arial"/>
          <w:color w:val="auto"/>
          <w:sz w:val="20"/>
          <w:szCs w:val="20"/>
          <w:lang w:val="en-GB"/>
        </w:rPr>
        <w:t xml:space="preserve">its </w:t>
      </w:r>
      <w:r w:rsidR="005723DD" w:rsidRPr="00B217DC">
        <w:rPr>
          <w:rFonts w:cs="Arial"/>
          <w:color w:val="auto"/>
          <w:sz w:val="20"/>
          <w:szCs w:val="20"/>
          <w:lang w:val="en-GB"/>
        </w:rPr>
        <w:t>8</w:t>
      </w:r>
      <w:r w:rsidR="005723DD" w:rsidRPr="00B217DC">
        <w:rPr>
          <w:rFonts w:cs="Arial"/>
          <w:color w:val="auto"/>
          <w:sz w:val="20"/>
          <w:szCs w:val="20"/>
          <w:vertAlign w:val="superscript"/>
          <w:lang w:val="en-GB"/>
        </w:rPr>
        <w:t>th</w:t>
      </w:r>
      <w:r w:rsidR="005723DD" w:rsidRPr="00B217DC">
        <w:rPr>
          <w:rFonts w:cs="Arial"/>
          <w:color w:val="auto"/>
          <w:sz w:val="20"/>
          <w:szCs w:val="20"/>
          <w:lang w:val="en-GB"/>
        </w:rPr>
        <w:t xml:space="preserve"> </w:t>
      </w:r>
      <w:r w:rsidR="002F2336" w:rsidRPr="00B217DC">
        <w:rPr>
          <w:rFonts w:cs="Arial"/>
          <w:color w:val="auto"/>
          <w:sz w:val="20"/>
          <w:szCs w:val="20"/>
          <w:lang w:val="en-GB"/>
        </w:rPr>
        <w:t>consecutive</w:t>
      </w:r>
      <w:r w:rsidRPr="00B217DC">
        <w:rPr>
          <w:rFonts w:cs="Arial"/>
          <w:color w:val="auto"/>
          <w:sz w:val="20"/>
          <w:szCs w:val="20"/>
          <w:lang w:val="en-GB"/>
        </w:rPr>
        <w:t xml:space="preserve"> clean audit and achieving </w:t>
      </w:r>
      <w:r w:rsidR="005723DD" w:rsidRPr="00B217DC">
        <w:rPr>
          <w:rFonts w:cs="Arial"/>
          <w:color w:val="auto"/>
          <w:sz w:val="20"/>
          <w:szCs w:val="20"/>
          <w:lang w:val="en-GB"/>
        </w:rPr>
        <w:t>100</w:t>
      </w:r>
      <w:r w:rsidRPr="00B217DC">
        <w:rPr>
          <w:rFonts w:cs="Arial"/>
          <w:color w:val="auto"/>
          <w:sz w:val="20"/>
          <w:szCs w:val="20"/>
          <w:lang w:val="en-GB"/>
        </w:rPr>
        <w:t>% of its targets.</w:t>
      </w:r>
    </w:p>
    <w:p w:rsidR="007E08FA" w:rsidRPr="00B217DC" w:rsidRDefault="007E08FA" w:rsidP="00B217DC">
      <w:pPr>
        <w:pStyle w:val="ListParagraph"/>
        <w:numPr>
          <w:ilvl w:val="0"/>
          <w:numId w:val="65"/>
        </w:numPr>
        <w:ind w:left="709" w:hanging="349"/>
        <w:rPr>
          <w:rFonts w:cs="Arial"/>
          <w:color w:val="auto"/>
          <w:sz w:val="20"/>
          <w:szCs w:val="20"/>
          <w:lang w:val="en-GB"/>
        </w:rPr>
      </w:pPr>
      <w:r w:rsidRPr="00B217DC">
        <w:rPr>
          <w:rFonts w:cs="Arial"/>
          <w:color w:val="auto"/>
          <w:sz w:val="20"/>
          <w:szCs w:val="20"/>
          <w:lang w:val="en-GB"/>
        </w:rPr>
        <w:t>The Committee concurred with the AGSA and Audit Committee’s findings and recommendations. To this end, the Committee agreed that whilst the majority of targets were reached and often exceeded these should be reassessed to determine whether these are too low and should be set higher.</w:t>
      </w:r>
    </w:p>
    <w:p w:rsidR="00BE7740" w:rsidRPr="00B217DC" w:rsidRDefault="00BE7740" w:rsidP="00B217DC">
      <w:pPr>
        <w:pStyle w:val="ListParagraph"/>
        <w:ind w:left="709"/>
        <w:rPr>
          <w:rFonts w:cs="Arial"/>
          <w:color w:val="auto"/>
          <w:sz w:val="20"/>
          <w:szCs w:val="20"/>
          <w:lang w:val="en-GB"/>
        </w:rPr>
      </w:pPr>
    </w:p>
    <w:p w:rsidR="008553FE" w:rsidRPr="00B217DC" w:rsidRDefault="002F2336" w:rsidP="00B217DC">
      <w:pPr>
        <w:rPr>
          <w:rFonts w:cs="Arial"/>
          <w:b/>
          <w:color w:val="auto"/>
          <w:sz w:val="20"/>
          <w:szCs w:val="20"/>
          <w:lang w:val="en-GB"/>
        </w:rPr>
      </w:pPr>
      <w:r w:rsidRPr="00B217DC">
        <w:rPr>
          <w:rFonts w:cs="Arial"/>
          <w:b/>
          <w:color w:val="auto"/>
          <w:sz w:val="20"/>
          <w:szCs w:val="20"/>
          <w:lang w:val="en-GB"/>
        </w:rPr>
        <w:t>15.</w:t>
      </w:r>
      <w:r w:rsidR="009D5399" w:rsidRPr="00B217DC">
        <w:rPr>
          <w:rFonts w:cs="Arial"/>
          <w:b/>
          <w:color w:val="auto"/>
          <w:sz w:val="20"/>
          <w:szCs w:val="20"/>
          <w:lang w:val="en-GB"/>
        </w:rPr>
        <w:t>8</w:t>
      </w:r>
      <w:r w:rsidRPr="00B217DC">
        <w:rPr>
          <w:rFonts w:cs="Arial"/>
          <w:b/>
          <w:color w:val="auto"/>
          <w:sz w:val="20"/>
          <w:szCs w:val="20"/>
          <w:lang w:val="en-GB"/>
        </w:rPr>
        <w:t xml:space="preserve">.2 </w:t>
      </w:r>
      <w:r w:rsidR="008553FE" w:rsidRPr="00B217DC">
        <w:rPr>
          <w:rFonts w:cs="Arial"/>
          <w:b/>
          <w:color w:val="auto"/>
          <w:sz w:val="20"/>
          <w:szCs w:val="20"/>
          <w:lang w:val="en-GB"/>
        </w:rPr>
        <w:t>ARC</w:t>
      </w:r>
    </w:p>
    <w:p w:rsidR="008553FE" w:rsidRPr="00B217DC" w:rsidRDefault="008553FE" w:rsidP="00B217DC">
      <w:pPr>
        <w:numPr>
          <w:ilvl w:val="0"/>
          <w:numId w:val="118"/>
        </w:numPr>
        <w:rPr>
          <w:rFonts w:cs="Arial"/>
          <w:b/>
          <w:color w:val="auto"/>
          <w:sz w:val="20"/>
          <w:szCs w:val="20"/>
          <w:lang w:val="en-GB"/>
        </w:rPr>
      </w:pPr>
      <w:r w:rsidRPr="00B217DC">
        <w:rPr>
          <w:rFonts w:cs="Arial"/>
          <w:color w:val="auto"/>
          <w:sz w:val="20"/>
          <w:szCs w:val="20"/>
          <w:lang w:val="en-GB"/>
        </w:rPr>
        <w:t>The Committee welcomed the report of the ARC and enquired whether the ARC conducted its audit bi-monthly or on a quarterly basis.</w:t>
      </w:r>
      <w:r w:rsidRPr="00B217DC">
        <w:rPr>
          <w:rFonts w:cs="Arial"/>
          <w:b/>
          <w:color w:val="auto"/>
          <w:sz w:val="20"/>
          <w:szCs w:val="20"/>
          <w:lang w:val="en-GB"/>
        </w:rPr>
        <w:t xml:space="preserve"> </w:t>
      </w:r>
    </w:p>
    <w:p w:rsidR="008553FE" w:rsidRPr="00B217DC" w:rsidRDefault="008553FE" w:rsidP="00B217DC">
      <w:pPr>
        <w:numPr>
          <w:ilvl w:val="0"/>
          <w:numId w:val="118"/>
        </w:numPr>
        <w:rPr>
          <w:rFonts w:cs="Arial"/>
          <w:b/>
          <w:color w:val="auto"/>
          <w:sz w:val="20"/>
          <w:szCs w:val="20"/>
          <w:lang w:val="en-GB"/>
        </w:rPr>
      </w:pPr>
      <w:r w:rsidRPr="00B217DC">
        <w:rPr>
          <w:rFonts w:cs="Arial"/>
          <w:color w:val="auto"/>
          <w:sz w:val="20"/>
          <w:szCs w:val="20"/>
          <w:lang w:val="en-GB"/>
        </w:rPr>
        <w:t>The Committee also requested the ARC to indicate whether they managed to identify up any red flags during audit period that should be considered by the Committee</w:t>
      </w:r>
      <w:r w:rsidRPr="00B217DC">
        <w:rPr>
          <w:rFonts w:cs="Arial"/>
          <w:b/>
          <w:color w:val="auto"/>
          <w:sz w:val="20"/>
          <w:szCs w:val="20"/>
          <w:lang w:val="en-GB"/>
        </w:rPr>
        <w:t>.</w:t>
      </w:r>
    </w:p>
    <w:p w:rsidR="008553FE" w:rsidRPr="00B217DC" w:rsidRDefault="008553FE" w:rsidP="00B217DC">
      <w:pPr>
        <w:numPr>
          <w:ilvl w:val="0"/>
          <w:numId w:val="118"/>
        </w:numPr>
        <w:rPr>
          <w:rFonts w:cs="Arial"/>
          <w:color w:val="auto"/>
          <w:sz w:val="20"/>
          <w:szCs w:val="20"/>
          <w:lang w:val="en-GB"/>
        </w:rPr>
      </w:pPr>
      <w:r w:rsidRPr="00B217DC">
        <w:rPr>
          <w:rFonts w:cs="Arial"/>
          <w:color w:val="auto"/>
          <w:sz w:val="20"/>
          <w:szCs w:val="20"/>
          <w:lang w:val="en-GB"/>
        </w:rPr>
        <w:t xml:space="preserve">The Committee was concerned that the AGSA’s finding related to a beneficiary who did not receive equipment that was due to her was not identified by the ARC as it was not reflected in the ARC’s report. This brought into question for the Committee how many other issues were then not picked up by the ARC.  Furthermore, the Committee also questioned how the ARC could indicate that the NYDA achieved all its targets when a beneficiary did not receive their equipment during the year under review. </w:t>
      </w:r>
    </w:p>
    <w:p w:rsidR="008553FE" w:rsidRPr="00B217DC" w:rsidRDefault="008553FE" w:rsidP="00B217DC">
      <w:pPr>
        <w:numPr>
          <w:ilvl w:val="0"/>
          <w:numId w:val="118"/>
        </w:numPr>
        <w:rPr>
          <w:rFonts w:cs="Arial"/>
          <w:color w:val="auto"/>
          <w:sz w:val="20"/>
          <w:szCs w:val="20"/>
          <w:lang w:val="en-GB"/>
        </w:rPr>
      </w:pPr>
      <w:r w:rsidRPr="00B217DC">
        <w:rPr>
          <w:rFonts w:cs="Arial"/>
          <w:color w:val="auto"/>
          <w:sz w:val="20"/>
          <w:szCs w:val="20"/>
          <w:lang w:val="en-GB"/>
        </w:rPr>
        <w:t>The Committee commended the NYDA on improvement on compliance and wanted to know whether the ARC identified any improvements required with regards to compliance issues in terms of internal environment controls.</w:t>
      </w:r>
    </w:p>
    <w:p w:rsidR="008553FE" w:rsidRPr="00B217DC" w:rsidRDefault="008553FE" w:rsidP="00B217DC">
      <w:pPr>
        <w:rPr>
          <w:rFonts w:cs="Arial"/>
          <w:color w:val="auto"/>
          <w:sz w:val="20"/>
          <w:szCs w:val="20"/>
          <w:lang w:val="en-GB"/>
        </w:rPr>
      </w:pPr>
    </w:p>
    <w:p w:rsidR="008553FE" w:rsidRPr="00B217DC" w:rsidRDefault="009D5399" w:rsidP="00B217DC">
      <w:pPr>
        <w:rPr>
          <w:rFonts w:cs="Arial"/>
          <w:b/>
          <w:color w:val="auto"/>
          <w:sz w:val="20"/>
          <w:szCs w:val="20"/>
          <w:lang w:val="en-GB"/>
        </w:rPr>
      </w:pPr>
      <w:r w:rsidRPr="00B217DC">
        <w:rPr>
          <w:rFonts w:cs="Arial"/>
          <w:b/>
          <w:color w:val="auto"/>
          <w:spacing w:val="0"/>
          <w:kern w:val="28"/>
          <w:sz w:val="20"/>
          <w:szCs w:val="20"/>
        </w:rPr>
        <w:t>15.8</w:t>
      </w:r>
      <w:r w:rsidR="002B3C30" w:rsidRPr="00B217DC">
        <w:rPr>
          <w:rFonts w:cs="Arial"/>
          <w:b/>
          <w:color w:val="auto"/>
          <w:spacing w:val="0"/>
          <w:kern w:val="28"/>
          <w:sz w:val="20"/>
          <w:szCs w:val="20"/>
        </w:rPr>
        <w:t>.</w:t>
      </w:r>
      <w:r w:rsidR="008553FE" w:rsidRPr="00B217DC">
        <w:rPr>
          <w:rFonts w:cs="Arial"/>
          <w:b/>
          <w:color w:val="auto"/>
          <w:spacing w:val="0"/>
          <w:kern w:val="28"/>
          <w:sz w:val="20"/>
          <w:szCs w:val="20"/>
        </w:rPr>
        <w:t>3</w:t>
      </w:r>
      <w:r w:rsidR="002B3C30" w:rsidRPr="00B217DC">
        <w:rPr>
          <w:rFonts w:cs="Arial"/>
          <w:b/>
          <w:color w:val="auto"/>
          <w:spacing w:val="0"/>
          <w:kern w:val="28"/>
          <w:sz w:val="20"/>
          <w:szCs w:val="20"/>
        </w:rPr>
        <w:t xml:space="preserve"> </w:t>
      </w:r>
      <w:r w:rsidR="008553FE" w:rsidRPr="00B217DC">
        <w:rPr>
          <w:rFonts w:cs="Arial"/>
          <w:b/>
          <w:color w:val="auto"/>
          <w:sz w:val="20"/>
          <w:szCs w:val="20"/>
          <w:lang w:val="en-GB"/>
        </w:rPr>
        <w:t>Programme 1 Administration</w:t>
      </w:r>
    </w:p>
    <w:p w:rsidR="008553FE" w:rsidRPr="00B217DC" w:rsidRDefault="008553FE" w:rsidP="00B217DC">
      <w:pPr>
        <w:pStyle w:val="ListParagraph"/>
        <w:numPr>
          <w:ilvl w:val="0"/>
          <w:numId w:val="68"/>
        </w:numPr>
        <w:rPr>
          <w:rFonts w:cs="Arial"/>
          <w:color w:val="auto"/>
          <w:sz w:val="20"/>
          <w:szCs w:val="20"/>
          <w:lang w:val="en-GB"/>
        </w:rPr>
      </w:pPr>
      <w:r w:rsidRPr="00B217DC">
        <w:rPr>
          <w:rFonts w:cs="Arial"/>
          <w:i/>
          <w:color w:val="auto"/>
          <w:spacing w:val="0"/>
          <w:kern w:val="28"/>
          <w:sz w:val="20"/>
          <w:szCs w:val="20"/>
        </w:rPr>
        <w:t>Finance</w:t>
      </w:r>
      <w:r w:rsidRPr="00B217DC">
        <w:rPr>
          <w:rFonts w:cs="Arial"/>
          <w:color w:val="auto"/>
          <w:spacing w:val="0"/>
          <w:kern w:val="28"/>
          <w:sz w:val="20"/>
          <w:szCs w:val="20"/>
        </w:rPr>
        <w:t xml:space="preserve">: </w:t>
      </w:r>
      <w:r w:rsidRPr="00B217DC">
        <w:rPr>
          <w:rFonts w:cs="Arial"/>
          <w:color w:val="auto"/>
          <w:sz w:val="20"/>
          <w:szCs w:val="20"/>
          <w:lang w:val="en-GB"/>
        </w:rPr>
        <w:t xml:space="preserve">The Committee commends the NYDA for not incurring irregular or wasteful expenditure for the year under review. </w:t>
      </w:r>
    </w:p>
    <w:p w:rsidR="008553FE" w:rsidRPr="00B217DC" w:rsidRDefault="008553FE" w:rsidP="00B217DC">
      <w:pPr>
        <w:pStyle w:val="ListParagraph"/>
        <w:numPr>
          <w:ilvl w:val="0"/>
          <w:numId w:val="69"/>
        </w:numPr>
        <w:rPr>
          <w:rFonts w:cs="Arial"/>
          <w:color w:val="auto"/>
          <w:spacing w:val="0"/>
          <w:kern w:val="28"/>
          <w:sz w:val="20"/>
          <w:szCs w:val="20"/>
        </w:rPr>
      </w:pPr>
      <w:r w:rsidRPr="00B217DC">
        <w:rPr>
          <w:rFonts w:cs="Arial"/>
          <w:i/>
          <w:color w:val="auto"/>
          <w:spacing w:val="0"/>
          <w:kern w:val="28"/>
          <w:sz w:val="20"/>
          <w:szCs w:val="20"/>
        </w:rPr>
        <w:t>Vacancies</w:t>
      </w:r>
      <w:r w:rsidRPr="00B217DC">
        <w:rPr>
          <w:rFonts w:cs="Arial"/>
          <w:color w:val="auto"/>
          <w:spacing w:val="0"/>
          <w:kern w:val="28"/>
          <w:sz w:val="20"/>
          <w:szCs w:val="20"/>
        </w:rPr>
        <w:t>: The Committee queried what the time frame was for the filling of vacancies in the NYDA.</w:t>
      </w:r>
    </w:p>
    <w:p w:rsidR="008553FE" w:rsidRPr="00B217DC" w:rsidRDefault="008553FE" w:rsidP="00B217DC">
      <w:pPr>
        <w:pStyle w:val="ListParagraph"/>
        <w:numPr>
          <w:ilvl w:val="0"/>
          <w:numId w:val="69"/>
        </w:numPr>
        <w:rPr>
          <w:rFonts w:cs="Arial"/>
          <w:color w:val="auto"/>
          <w:spacing w:val="0"/>
          <w:kern w:val="28"/>
          <w:sz w:val="20"/>
          <w:szCs w:val="20"/>
        </w:rPr>
      </w:pPr>
      <w:r w:rsidRPr="00B217DC">
        <w:rPr>
          <w:rFonts w:cs="Arial"/>
          <w:i/>
          <w:color w:val="auto"/>
          <w:spacing w:val="0"/>
          <w:kern w:val="28"/>
          <w:sz w:val="20"/>
          <w:szCs w:val="20"/>
        </w:rPr>
        <w:t>Dismissals, Resignations</w:t>
      </w:r>
      <w:r w:rsidRPr="00B217DC">
        <w:rPr>
          <w:rFonts w:cs="Arial"/>
          <w:color w:val="auto"/>
          <w:spacing w:val="0"/>
          <w:kern w:val="28"/>
          <w:sz w:val="20"/>
          <w:szCs w:val="20"/>
        </w:rPr>
        <w:t>: The Committee enquired about the reasons for dismissals and resignations. In addition, the Committee asked whether exit interviews are conducted with regards to resignations. To this end, the Committee reiterated the importance of institutional memory and staff retention.</w:t>
      </w:r>
    </w:p>
    <w:p w:rsidR="008553FE" w:rsidRPr="00B217DC" w:rsidRDefault="008553FE" w:rsidP="00B217DC">
      <w:pPr>
        <w:pStyle w:val="ListParagraph"/>
        <w:numPr>
          <w:ilvl w:val="0"/>
          <w:numId w:val="69"/>
        </w:numPr>
        <w:rPr>
          <w:rFonts w:cs="Arial"/>
          <w:color w:val="auto"/>
          <w:spacing w:val="0"/>
          <w:kern w:val="28"/>
          <w:sz w:val="20"/>
          <w:szCs w:val="20"/>
        </w:rPr>
      </w:pPr>
      <w:r w:rsidRPr="00B217DC">
        <w:rPr>
          <w:rFonts w:cs="Arial"/>
          <w:i/>
          <w:color w:val="auto"/>
          <w:spacing w:val="0"/>
          <w:kern w:val="28"/>
          <w:sz w:val="20"/>
          <w:szCs w:val="20"/>
        </w:rPr>
        <w:t>Disability Employment Equity Targets</w:t>
      </w:r>
      <w:r w:rsidRPr="00B217DC">
        <w:rPr>
          <w:rFonts w:cs="Arial"/>
          <w:color w:val="auto"/>
          <w:spacing w:val="0"/>
          <w:kern w:val="28"/>
          <w:sz w:val="20"/>
          <w:szCs w:val="20"/>
        </w:rPr>
        <w:t xml:space="preserve">: The Committee queried how many youth with disabilities has been employed in the NYDA. The Committee was concerned that there was no disaggregated data provided on the employment for persons with disabilities in the recent Annual Report. In addition, the Committee asked what progress the NYDA has made with regards to achieving the employment equity for persons with disabilities. </w:t>
      </w:r>
    </w:p>
    <w:p w:rsidR="008553FE" w:rsidRPr="00B217DC" w:rsidRDefault="008553FE" w:rsidP="00B217DC">
      <w:pPr>
        <w:pStyle w:val="ListParagraph"/>
        <w:numPr>
          <w:ilvl w:val="0"/>
          <w:numId w:val="69"/>
        </w:numPr>
        <w:rPr>
          <w:rFonts w:cs="Arial"/>
          <w:color w:val="auto"/>
          <w:spacing w:val="0"/>
          <w:kern w:val="28"/>
          <w:sz w:val="20"/>
          <w:szCs w:val="20"/>
        </w:rPr>
      </w:pPr>
      <w:r w:rsidRPr="00B217DC">
        <w:rPr>
          <w:rFonts w:cs="Arial"/>
          <w:i/>
          <w:color w:val="auto"/>
          <w:spacing w:val="0"/>
          <w:kern w:val="28"/>
          <w:sz w:val="20"/>
          <w:szCs w:val="20"/>
        </w:rPr>
        <w:t>Communication Strategy</w:t>
      </w:r>
      <w:r w:rsidRPr="00B217DC">
        <w:rPr>
          <w:rFonts w:cs="Arial"/>
          <w:color w:val="auto"/>
          <w:spacing w:val="0"/>
          <w:kern w:val="28"/>
          <w:sz w:val="20"/>
          <w:szCs w:val="20"/>
        </w:rPr>
        <w:t xml:space="preserve">: The Committee </w:t>
      </w:r>
      <w:r w:rsidR="00BE7740" w:rsidRPr="00B217DC">
        <w:rPr>
          <w:rFonts w:cs="Arial"/>
          <w:color w:val="auto"/>
          <w:spacing w:val="0"/>
          <w:kern w:val="28"/>
          <w:sz w:val="20"/>
          <w:szCs w:val="20"/>
        </w:rPr>
        <w:t>enquired</w:t>
      </w:r>
      <w:r w:rsidRPr="00B217DC">
        <w:rPr>
          <w:rFonts w:cs="Arial"/>
          <w:color w:val="auto"/>
          <w:spacing w:val="0"/>
          <w:kern w:val="28"/>
          <w:sz w:val="20"/>
          <w:szCs w:val="20"/>
        </w:rPr>
        <w:t xml:space="preserve"> whether the NYDA has forwarded the communication strategy that was requested by the Committee given that NYDA was not reaching youth in all communities. In addition, the Committee also requested more information on the cost of the communication given that the NYDA is still not well known across the country and within communities.</w:t>
      </w:r>
    </w:p>
    <w:p w:rsidR="008553FE" w:rsidRPr="00B217DC" w:rsidRDefault="008553FE" w:rsidP="00B217DC">
      <w:pPr>
        <w:pStyle w:val="ListParagraph"/>
        <w:numPr>
          <w:ilvl w:val="0"/>
          <w:numId w:val="69"/>
        </w:numPr>
        <w:rPr>
          <w:rFonts w:cs="Arial"/>
          <w:color w:val="auto"/>
          <w:spacing w:val="0"/>
          <w:kern w:val="28"/>
          <w:sz w:val="20"/>
          <w:szCs w:val="20"/>
        </w:rPr>
      </w:pPr>
      <w:r w:rsidRPr="00B217DC">
        <w:rPr>
          <w:rFonts w:cs="Arial"/>
          <w:i/>
          <w:color w:val="auto"/>
          <w:spacing w:val="0"/>
          <w:kern w:val="28"/>
          <w:sz w:val="20"/>
          <w:szCs w:val="20"/>
        </w:rPr>
        <w:t>CEO Salary</w:t>
      </w:r>
      <w:r w:rsidRPr="00B217DC">
        <w:rPr>
          <w:rFonts w:cs="Arial"/>
          <w:color w:val="auto"/>
          <w:spacing w:val="0"/>
          <w:kern w:val="28"/>
          <w:sz w:val="20"/>
          <w:szCs w:val="20"/>
        </w:rPr>
        <w:t>: The Committee was concerned about the R2,7 million salary paid to the CEO and that wo</w:t>
      </w:r>
      <w:r w:rsidR="002E127B" w:rsidRPr="00B217DC">
        <w:rPr>
          <w:rFonts w:cs="Arial"/>
          <w:color w:val="auto"/>
          <w:spacing w:val="0"/>
          <w:kern w:val="28"/>
          <w:sz w:val="20"/>
          <w:szCs w:val="20"/>
        </w:rPr>
        <w:t>r</w:t>
      </w:r>
      <w:r w:rsidRPr="00B217DC">
        <w:rPr>
          <w:rFonts w:cs="Arial"/>
          <w:color w:val="auto"/>
          <w:spacing w:val="0"/>
          <w:kern w:val="28"/>
          <w:sz w:val="20"/>
          <w:szCs w:val="20"/>
        </w:rPr>
        <w:t>k of the NYDA does not reach the you</w:t>
      </w:r>
      <w:r w:rsidR="002E127B" w:rsidRPr="00B217DC">
        <w:rPr>
          <w:rFonts w:cs="Arial"/>
          <w:color w:val="auto"/>
          <w:spacing w:val="0"/>
          <w:kern w:val="28"/>
          <w:sz w:val="20"/>
          <w:szCs w:val="20"/>
        </w:rPr>
        <w:t>th in many</w:t>
      </w:r>
      <w:r w:rsidRPr="00B217DC">
        <w:rPr>
          <w:rFonts w:cs="Arial"/>
          <w:color w:val="auto"/>
          <w:spacing w:val="0"/>
          <w:kern w:val="28"/>
          <w:sz w:val="20"/>
          <w:szCs w:val="20"/>
        </w:rPr>
        <w:t xml:space="preserve"> communities. </w:t>
      </w:r>
    </w:p>
    <w:p w:rsidR="008553FE" w:rsidRPr="00B217DC" w:rsidRDefault="008553FE" w:rsidP="00B217DC">
      <w:pPr>
        <w:pStyle w:val="ListParagraph"/>
        <w:numPr>
          <w:ilvl w:val="0"/>
          <w:numId w:val="69"/>
        </w:numPr>
        <w:rPr>
          <w:rFonts w:cs="Arial"/>
          <w:color w:val="auto"/>
          <w:spacing w:val="0"/>
          <w:kern w:val="28"/>
          <w:sz w:val="20"/>
          <w:szCs w:val="20"/>
        </w:rPr>
      </w:pPr>
      <w:r w:rsidRPr="00B217DC">
        <w:rPr>
          <w:rFonts w:cs="Arial"/>
          <w:i/>
          <w:color w:val="auto"/>
          <w:spacing w:val="0"/>
          <w:kern w:val="28"/>
          <w:sz w:val="20"/>
          <w:szCs w:val="20"/>
        </w:rPr>
        <w:lastRenderedPageBreak/>
        <w:t>Pension Fund</w:t>
      </w:r>
      <w:r w:rsidRPr="00B217DC">
        <w:rPr>
          <w:rFonts w:cs="Arial"/>
          <w:color w:val="auto"/>
          <w:spacing w:val="0"/>
          <w:kern w:val="28"/>
          <w:sz w:val="20"/>
          <w:szCs w:val="20"/>
        </w:rPr>
        <w:t>: The Committee sought more information about how the NYDA invests the pension of NYDA’s employees as an anonymous whistle-blower had called the Chairperson of the Portfolio Committee to render concerns in that regard.</w:t>
      </w:r>
    </w:p>
    <w:p w:rsidR="007E6956" w:rsidRPr="00B217DC" w:rsidRDefault="008553FE" w:rsidP="00B217DC">
      <w:pPr>
        <w:pStyle w:val="ListParagraph"/>
        <w:numPr>
          <w:ilvl w:val="0"/>
          <w:numId w:val="69"/>
        </w:numPr>
        <w:rPr>
          <w:rFonts w:cs="Arial"/>
          <w:color w:val="auto"/>
          <w:spacing w:val="0"/>
          <w:kern w:val="28"/>
          <w:sz w:val="20"/>
          <w:szCs w:val="20"/>
        </w:rPr>
      </w:pPr>
      <w:r w:rsidRPr="00B217DC">
        <w:rPr>
          <w:rFonts w:cs="Arial"/>
          <w:color w:val="auto"/>
          <w:spacing w:val="0"/>
          <w:kern w:val="28"/>
          <w:sz w:val="20"/>
          <w:szCs w:val="20"/>
        </w:rPr>
        <w:t>The Committee further requested clarity on the amount of money paid to the former CFO (Mr Mkhwanazi).</w:t>
      </w:r>
    </w:p>
    <w:p w:rsidR="008553FE" w:rsidRPr="00B217DC" w:rsidRDefault="008553FE" w:rsidP="00B217DC">
      <w:pPr>
        <w:rPr>
          <w:rFonts w:cs="Arial"/>
          <w:b/>
          <w:color w:val="auto"/>
          <w:spacing w:val="0"/>
          <w:kern w:val="28"/>
          <w:sz w:val="20"/>
          <w:szCs w:val="20"/>
        </w:rPr>
      </w:pPr>
    </w:p>
    <w:p w:rsidR="00A900F5" w:rsidRPr="00B217DC" w:rsidRDefault="008553FE" w:rsidP="00B217DC">
      <w:pPr>
        <w:rPr>
          <w:rFonts w:cs="Arial"/>
          <w:b/>
          <w:color w:val="auto"/>
          <w:spacing w:val="0"/>
          <w:kern w:val="28"/>
          <w:sz w:val="20"/>
          <w:szCs w:val="20"/>
        </w:rPr>
      </w:pPr>
      <w:r w:rsidRPr="00B217DC">
        <w:rPr>
          <w:rFonts w:cs="Arial"/>
          <w:b/>
          <w:color w:val="auto"/>
          <w:spacing w:val="0"/>
          <w:kern w:val="28"/>
          <w:sz w:val="20"/>
          <w:szCs w:val="20"/>
        </w:rPr>
        <w:t>15.8.4 Performance of the Board</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i/>
          <w:color w:val="auto"/>
          <w:spacing w:val="0"/>
          <w:kern w:val="28"/>
          <w:sz w:val="20"/>
          <w:szCs w:val="20"/>
          <w:lang w:val="en-GB"/>
        </w:rPr>
        <w:t>Impact &amp; visibility</w:t>
      </w:r>
      <w:r w:rsidRPr="00B217DC">
        <w:rPr>
          <w:rFonts w:cs="Arial"/>
          <w:color w:val="auto"/>
          <w:spacing w:val="0"/>
          <w:kern w:val="28"/>
          <w:sz w:val="20"/>
          <w:szCs w:val="20"/>
          <w:lang w:val="en-GB"/>
        </w:rPr>
        <w:t>:</w:t>
      </w:r>
      <w:r w:rsidRPr="00B217DC">
        <w:rPr>
          <w:rFonts w:cs="Arial"/>
          <w:i/>
          <w:color w:val="auto"/>
          <w:spacing w:val="0"/>
          <w:kern w:val="28"/>
          <w:sz w:val="20"/>
          <w:szCs w:val="20"/>
          <w:lang w:val="en-GB"/>
        </w:rPr>
        <w:t xml:space="preserve"> </w:t>
      </w:r>
      <w:r w:rsidRPr="00B217DC">
        <w:rPr>
          <w:rFonts w:cs="Arial"/>
          <w:color w:val="auto"/>
          <w:spacing w:val="0"/>
          <w:kern w:val="28"/>
          <w:sz w:val="20"/>
          <w:szCs w:val="20"/>
          <w:lang w:val="en-GB"/>
        </w:rPr>
        <w:t>The Committee was concerned that the Board Members of the NYDA are not performing and have not been impactful since they resumed office. This was concerning as the Committee was unsure what the Board was doing at national and at provincial level to give effect to the NYDA’s mandate.</w:t>
      </w:r>
      <w:r w:rsidR="00BE7740" w:rsidRPr="00B217DC">
        <w:rPr>
          <w:rFonts w:cs="Arial"/>
          <w:color w:val="auto"/>
          <w:spacing w:val="0"/>
          <w:kern w:val="28"/>
          <w:sz w:val="20"/>
          <w:szCs w:val="20"/>
          <w:lang w:val="en-GB"/>
        </w:rPr>
        <w:t xml:space="preserve"> To this end, Members questioned Board Members on the work they are currently undertaking to achieve the NYDA’s mandate. Furthermore, the Committee also requested the NYDA Board to cite their key achievements within the first 100 days in office</w:t>
      </w:r>
      <w:r w:rsidR="00266EE4" w:rsidRPr="00B217DC">
        <w:rPr>
          <w:rFonts w:cs="Arial"/>
          <w:color w:val="auto"/>
          <w:spacing w:val="0"/>
          <w:kern w:val="28"/>
          <w:sz w:val="20"/>
          <w:szCs w:val="20"/>
          <w:lang w:val="en-GB"/>
        </w:rPr>
        <w:t>.</w:t>
      </w:r>
    </w:p>
    <w:p w:rsidR="008553FE" w:rsidRPr="00B217DC" w:rsidRDefault="008553FE" w:rsidP="00B217DC">
      <w:pPr>
        <w:numPr>
          <w:ilvl w:val="0"/>
          <w:numId w:val="119"/>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Russia trip</w:t>
      </w:r>
      <w:r w:rsidRPr="00B217DC">
        <w:rPr>
          <w:rFonts w:cs="Arial"/>
          <w:color w:val="auto"/>
          <w:spacing w:val="0"/>
          <w:kern w:val="28"/>
          <w:sz w:val="20"/>
          <w:szCs w:val="20"/>
          <w:lang w:val="en-GB"/>
        </w:rPr>
        <w:t>: The Committee was concerned that the NYDA Board Members undertook a trip to Russia with young people without having considered the international ramifications for attending given the war in the Ukraine and the official position from DIRCO in that regard. The Committee enquired about the criteria applied to choose young people to participate in the study tour. The Committee was concerned that the NYDA did not respond to young people who applied to be part of the delegation to Russia. The Committee questioned what the purpose of the trip to Russia was.</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color w:val="auto"/>
          <w:spacing w:val="0"/>
          <w:kern w:val="28"/>
          <w:sz w:val="20"/>
          <w:szCs w:val="20"/>
          <w:lang w:val="en-GB"/>
        </w:rPr>
        <w:t xml:space="preserve">The Committee noted with concern the lack of response by the Deputy Chairperson on the performance of the NYDA initially. The Committee noted that the Deputy Chairperson has been travelling abroad often but it was unclear to the Committee how this in turn benefitted the NYDA. </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color w:val="auto"/>
          <w:spacing w:val="0"/>
          <w:kern w:val="28"/>
          <w:sz w:val="20"/>
          <w:szCs w:val="20"/>
          <w:lang w:val="en-GB"/>
        </w:rPr>
        <w:t xml:space="preserve">The Committee was also concerned with the initial report of the Chairperson as it lacked the requisite details that would highlight what the Board has achieved to date or how it intends responding to and dealing with the high rate of youth unemployment. </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color w:val="auto"/>
          <w:spacing w:val="0"/>
          <w:kern w:val="28"/>
          <w:sz w:val="20"/>
          <w:szCs w:val="20"/>
          <w:lang w:val="en-GB"/>
        </w:rPr>
        <w:t xml:space="preserve">The Committee sensed tension between Board members and therefore specifically asked what the working relationship was between the Chairperson and the Deputy Chairperson of the Board. </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color w:val="auto"/>
          <w:spacing w:val="0"/>
          <w:kern w:val="28"/>
          <w:sz w:val="20"/>
          <w:szCs w:val="20"/>
          <w:lang w:val="en-GB"/>
        </w:rPr>
        <w:t xml:space="preserve">The Committee queried how many Board meetings have taken place and whether Board members have been attending these meetings. </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color w:val="auto"/>
          <w:spacing w:val="0"/>
          <w:kern w:val="28"/>
          <w:sz w:val="20"/>
          <w:szCs w:val="20"/>
          <w:lang w:val="en-GB"/>
        </w:rPr>
        <w:t xml:space="preserve">The Committee also queried how Board members are held to account and how attendance at Board meetings are monitored. </w:t>
      </w:r>
    </w:p>
    <w:p w:rsidR="008553FE" w:rsidRPr="00B217DC" w:rsidRDefault="008553FE" w:rsidP="00B217DC">
      <w:pPr>
        <w:numPr>
          <w:ilvl w:val="0"/>
          <w:numId w:val="119"/>
        </w:numPr>
        <w:contextualSpacing/>
        <w:rPr>
          <w:rFonts w:cs="Arial"/>
          <w:color w:val="auto"/>
          <w:spacing w:val="0"/>
          <w:kern w:val="28"/>
          <w:sz w:val="20"/>
          <w:szCs w:val="20"/>
          <w:lang w:val="en-GB"/>
        </w:rPr>
      </w:pPr>
      <w:r w:rsidRPr="00B217DC">
        <w:rPr>
          <w:rFonts w:cs="Arial"/>
          <w:color w:val="auto"/>
          <w:spacing w:val="0"/>
          <w:kern w:val="28"/>
          <w:sz w:val="20"/>
          <w:szCs w:val="20"/>
          <w:lang w:val="en-GB"/>
        </w:rPr>
        <w:t>The Committee noted with concern the allegations levelled against the CEO and asked what the Board was doing about it.</w:t>
      </w:r>
    </w:p>
    <w:p w:rsidR="002527A9" w:rsidRPr="00B217DC" w:rsidRDefault="002527A9" w:rsidP="00B217DC">
      <w:pPr>
        <w:contextualSpacing/>
        <w:rPr>
          <w:rFonts w:cs="Arial"/>
          <w:color w:val="auto"/>
          <w:spacing w:val="0"/>
          <w:kern w:val="28"/>
          <w:sz w:val="20"/>
          <w:szCs w:val="20"/>
        </w:rPr>
      </w:pPr>
    </w:p>
    <w:p w:rsidR="008553FE" w:rsidRPr="00B217DC" w:rsidRDefault="008553FE" w:rsidP="00B217DC">
      <w:pPr>
        <w:tabs>
          <w:tab w:val="left" w:pos="1032"/>
        </w:tabs>
        <w:contextualSpacing/>
        <w:rPr>
          <w:rFonts w:cs="Arial"/>
          <w:b/>
          <w:color w:val="auto"/>
          <w:spacing w:val="0"/>
          <w:kern w:val="28"/>
          <w:sz w:val="20"/>
          <w:szCs w:val="20"/>
        </w:rPr>
      </w:pPr>
      <w:r w:rsidRPr="00B217DC">
        <w:rPr>
          <w:rFonts w:cs="Arial"/>
          <w:b/>
          <w:color w:val="auto"/>
          <w:spacing w:val="0"/>
          <w:kern w:val="28"/>
          <w:sz w:val="20"/>
          <w:szCs w:val="20"/>
        </w:rPr>
        <w:t>15.8.5</w:t>
      </w:r>
      <w:r w:rsidRPr="00B217DC">
        <w:rPr>
          <w:rFonts w:cs="Arial"/>
          <w:b/>
          <w:color w:val="auto"/>
          <w:spacing w:val="0"/>
          <w:kern w:val="28"/>
          <w:sz w:val="20"/>
          <w:szCs w:val="20"/>
        </w:rPr>
        <w:tab/>
        <w:t>Programme 2: Programme Design, Development and Delivery</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color w:val="auto"/>
          <w:spacing w:val="0"/>
          <w:kern w:val="28"/>
          <w:sz w:val="20"/>
          <w:szCs w:val="20"/>
          <w:lang w:val="en-GB"/>
        </w:rPr>
        <w:t>In light of the concern raised by the AGSA that a beneficiary had not received her equipment (kitchen trailer) despite the service provider having been paid, the Committee sought an explanation in that regard from the NYDA. The Committee was concerned that intended beneficiaries maybe disadvantaged on account of service providers failing to render the service after receiving payment and insufficient monitoring and evaluation on the side of the NYDA to avert the situation in a timeous manner.</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t>M&amp;E</w:t>
      </w:r>
      <w:r w:rsidRPr="00B217DC">
        <w:rPr>
          <w:rFonts w:cs="Arial"/>
          <w:color w:val="auto"/>
          <w:spacing w:val="0"/>
          <w:kern w:val="28"/>
          <w:sz w:val="20"/>
          <w:szCs w:val="20"/>
          <w:lang w:val="en-GB"/>
        </w:rPr>
        <w:t>: The Committee questioned who was the key person responsible to check whether the service providers have delivered equipment to the beneficiaries as a means of ensuring that there is value for money.</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t>SDP</w:t>
      </w:r>
      <w:r w:rsidRPr="00B217DC">
        <w:rPr>
          <w:rFonts w:cs="Arial"/>
          <w:color w:val="auto"/>
          <w:spacing w:val="0"/>
          <w:kern w:val="28"/>
          <w:sz w:val="20"/>
          <w:szCs w:val="20"/>
          <w:lang w:val="en-GB"/>
        </w:rPr>
        <w:t>: The Committee asked whether the NYDA was able to offer non-financial business development interventions for beneficiaries in the Department in the Department of Women, Youth and Persons with Disabilities’ Sanitary Dignity Programme during the 2021/22 FY and if so how many. This was important for the Committee ascertain as it would provide insight into the nature of the collaboration. Moreover, the Committee was concerned that young people are not benefitting from the value chain of the Sanitary Dignity Programme.</w:t>
      </w:r>
    </w:p>
    <w:p w:rsidR="008553FE" w:rsidRPr="00B217DC" w:rsidRDefault="008553FE" w:rsidP="00B217DC">
      <w:pPr>
        <w:numPr>
          <w:ilvl w:val="0"/>
          <w:numId w:val="120"/>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Youth with Disabilities</w:t>
      </w:r>
      <w:r w:rsidRPr="00B217DC">
        <w:rPr>
          <w:rFonts w:cs="Arial"/>
          <w:color w:val="auto"/>
          <w:spacing w:val="0"/>
          <w:kern w:val="28"/>
          <w:sz w:val="20"/>
          <w:szCs w:val="20"/>
          <w:lang w:val="en-GB"/>
        </w:rPr>
        <w:t xml:space="preserve">: The Committee enquired about how many young people with disabilities benefitted from the non-financial business development interventions in 2021/22. The Committee questioned whether youth with disabilities were part of the NYDA delegation to Russia. </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t>Effectiveness of training by NYDA</w:t>
      </w:r>
      <w:r w:rsidRPr="00B217DC">
        <w:rPr>
          <w:rFonts w:cs="Arial"/>
          <w:color w:val="auto"/>
          <w:spacing w:val="0"/>
          <w:kern w:val="28"/>
          <w:sz w:val="20"/>
          <w:szCs w:val="20"/>
          <w:lang w:val="en-GB"/>
        </w:rPr>
        <w:t>: The Committee questioned how the effectiveness of the training was assessed in terms of the life skills and job preparedness programme. To this end, the Committee enquired about the key challenges and lessons learnt from the training and what has been the experience of young people that were trained in 2021/22. Furthermore, the Committee asked whether the NYDA has followed up on the Committee’s recommendations to collaborate with universities on its training initiatives as means of expanding its reach. The Committee sought a progress in this regard.</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t>Solomon Mahlangu Scholarship</w:t>
      </w:r>
      <w:r w:rsidRPr="00B217DC">
        <w:rPr>
          <w:rFonts w:cs="Arial"/>
          <w:color w:val="auto"/>
          <w:spacing w:val="0"/>
          <w:kern w:val="28"/>
          <w:sz w:val="20"/>
          <w:szCs w:val="20"/>
          <w:lang w:val="en-GB"/>
        </w:rPr>
        <w:t xml:space="preserve">: The Committee also wanted to know how many youth benefitted from the Solomon Mahlangu Scholarship and to who the scholarship will be extended to. The Committee also wanted to know whether the NYDA has disability champion. </w:t>
      </w:r>
    </w:p>
    <w:p w:rsidR="00415891"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lastRenderedPageBreak/>
        <w:t>Workshops</w:t>
      </w:r>
      <w:r w:rsidRPr="00B217DC">
        <w:rPr>
          <w:rFonts w:cs="Arial"/>
          <w:color w:val="auto"/>
          <w:spacing w:val="0"/>
          <w:kern w:val="28"/>
          <w:sz w:val="20"/>
          <w:szCs w:val="20"/>
          <w:lang w:val="en-GB"/>
        </w:rPr>
        <w:t xml:space="preserve">: The Committee requested more information on workshops conducted by NYDA that was costly. The Committee asked who were the beneficiaries who attended workshops at a provincial level. </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t>Outcomes of training</w:t>
      </w:r>
      <w:r w:rsidRPr="00B217DC">
        <w:rPr>
          <w:rFonts w:cs="Arial"/>
          <w:color w:val="auto"/>
          <w:spacing w:val="0"/>
          <w:kern w:val="28"/>
          <w:sz w:val="20"/>
          <w:szCs w:val="20"/>
          <w:lang w:val="en-GB"/>
        </w:rPr>
        <w:t xml:space="preserve">: The Committee questioned how many young people were employed after receiving training on life skills and job preparedness. </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i/>
          <w:color w:val="auto"/>
          <w:spacing w:val="0"/>
          <w:kern w:val="28"/>
          <w:sz w:val="20"/>
          <w:szCs w:val="20"/>
          <w:lang w:val="en-GB"/>
        </w:rPr>
        <w:t>Support for young entrepreneurs</w:t>
      </w:r>
      <w:r w:rsidRPr="00B217DC">
        <w:rPr>
          <w:rFonts w:cs="Arial"/>
          <w:color w:val="auto"/>
          <w:spacing w:val="0"/>
          <w:kern w:val="28"/>
          <w:sz w:val="20"/>
          <w:szCs w:val="20"/>
          <w:lang w:val="en-GB"/>
        </w:rPr>
        <w:t>: The Committee queried whether assistance with financial planning was provided to the small &amp; medium business. The Committee queried what progress has been made to enable youth to use virtual platforms to complete NYDA applications forms when applying for a grant.</w:t>
      </w:r>
    </w:p>
    <w:p w:rsidR="008553FE" w:rsidRPr="00B217DC" w:rsidRDefault="008553FE" w:rsidP="00B217DC">
      <w:pPr>
        <w:numPr>
          <w:ilvl w:val="0"/>
          <w:numId w:val="120"/>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APPs submission &amp; assessment</w:t>
      </w:r>
      <w:r w:rsidRPr="00B217DC">
        <w:rPr>
          <w:rFonts w:cs="Arial"/>
          <w:color w:val="auto"/>
          <w:spacing w:val="0"/>
          <w:kern w:val="28"/>
          <w:sz w:val="20"/>
          <w:szCs w:val="20"/>
          <w:lang w:val="en-GB"/>
        </w:rPr>
        <w:t xml:space="preserve">: The Committee queried how many Government Department have submitted their annual plans to the NYDA in 2021/22, which Departments have not submitted and why not. The Committee enquired about the outcomes of the assessment of these annual plans as this would be an importance means of determining what progress has been made by Government departments in advancing the youth development agenda. </w:t>
      </w:r>
    </w:p>
    <w:p w:rsidR="008553FE" w:rsidRPr="00B217DC" w:rsidRDefault="008553FE" w:rsidP="00B217DC">
      <w:pPr>
        <w:numPr>
          <w:ilvl w:val="0"/>
          <w:numId w:val="120"/>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Status of Youth Report</w:t>
      </w:r>
      <w:r w:rsidRPr="00B217DC">
        <w:rPr>
          <w:rFonts w:cs="Arial"/>
          <w:color w:val="auto"/>
          <w:spacing w:val="0"/>
          <w:kern w:val="28"/>
          <w:sz w:val="20"/>
          <w:szCs w:val="20"/>
          <w:lang w:val="en-GB"/>
        </w:rPr>
        <w:t>: The Committee asked what are the key findings and recommendations from the Status of Youth Report for 2021/22. The Committee noted that this was an important report however the Committee was not in receipt of it as the NYDA had not submitted or tabled</w:t>
      </w:r>
      <w:r w:rsidR="00266EE4" w:rsidRPr="00B217DC">
        <w:rPr>
          <w:rFonts w:cs="Arial"/>
          <w:color w:val="auto"/>
          <w:spacing w:val="0"/>
          <w:kern w:val="28"/>
          <w:sz w:val="20"/>
          <w:szCs w:val="20"/>
          <w:lang w:val="en-GB"/>
        </w:rPr>
        <w:t xml:space="preserve"> it.</w:t>
      </w:r>
    </w:p>
    <w:p w:rsidR="008553FE" w:rsidRPr="00B217DC" w:rsidRDefault="008553FE" w:rsidP="00B217DC">
      <w:pPr>
        <w:numPr>
          <w:ilvl w:val="0"/>
          <w:numId w:val="120"/>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IYDS</w:t>
      </w:r>
      <w:r w:rsidRPr="00B217DC">
        <w:rPr>
          <w:rFonts w:cs="Arial"/>
          <w:color w:val="auto"/>
          <w:spacing w:val="0"/>
          <w:kern w:val="28"/>
          <w:sz w:val="20"/>
          <w:szCs w:val="20"/>
          <w:lang w:val="en-GB"/>
        </w:rPr>
        <w:t xml:space="preserve">: The Committee enquired about the Integrated Youth Development Summit and when the NYDA intends hosting it. </w:t>
      </w:r>
    </w:p>
    <w:p w:rsidR="008553FE" w:rsidRPr="00B217DC" w:rsidRDefault="008553FE" w:rsidP="00B217DC">
      <w:pPr>
        <w:numPr>
          <w:ilvl w:val="0"/>
          <w:numId w:val="120"/>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NSP on GBVF</w:t>
      </w:r>
      <w:r w:rsidRPr="00B217DC">
        <w:rPr>
          <w:rFonts w:cs="Arial"/>
          <w:color w:val="auto"/>
          <w:spacing w:val="0"/>
          <w:kern w:val="28"/>
          <w:sz w:val="20"/>
          <w:szCs w:val="20"/>
          <w:lang w:val="en-GB"/>
        </w:rPr>
        <w:t xml:space="preserve">: The Committee queried how the NYDA ensures greater alignment with the National Strategic Plan on Gender Based Violence and youth in conflict with the law. To this end, the Committee questioned how the NYDA collaborates with the Department of Women, Youth and Persons with Disabilities in this regard. </w:t>
      </w:r>
    </w:p>
    <w:p w:rsidR="008553FE" w:rsidRPr="00B217DC" w:rsidRDefault="008553FE" w:rsidP="00B217DC">
      <w:pPr>
        <w:numPr>
          <w:ilvl w:val="0"/>
          <w:numId w:val="120"/>
        </w:numPr>
        <w:contextualSpacing/>
        <w:rPr>
          <w:rFonts w:cs="Arial"/>
          <w:b/>
          <w:color w:val="auto"/>
          <w:spacing w:val="0"/>
          <w:kern w:val="28"/>
          <w:sz w:val="20"/>
          <w:szCs w:val="20"/>
          <w:lang w:val="en-GB"/>
        </w:rPr>
      </w:pPr>
      <w:r w:rsidRPr="00B217DC">
        <w:rPr>
          <w:rFonts w:cs="Arial"/>
          <w:i/>
          <w:color w:val="auto"/>
          <w:spacing w:val="0"/>
          <w:kern w:val="28"/>
          <w:sz w:val="20"/>
          <w:szCs w:val="20"/>
          <w:lang w:val="en-GB"/>
        </w:rPr>
        <w:t>Loans written off</w:t>
      </w:r>
      <w:r w:rsidRPr="00B217DC">
        <w:rPr>
          <w:rFonts w:cs="Arial"/>
          <w:color w:val="auto"/>
          <w:spacing w:val="0"/>
          <w:kern w:val="28"/>
          <w:sz w:val="20"/>
          <w:szCs w:val="20"/>
          <w:lang w:val="en-GB"/>
        </w:rPr>
        <w:t>: The Committee enquired about the measures in place by the NYDA to prevent youth from forfeiting on loan repayments. The Committee also questioned at what stage is a loan written off and how long does it take to reach that point.</w:t>
      </w:r>
    </w:p>
    <w:p w:rsidR="008553FE" w:rsidRPr="00B217DC" w:rsidRDefault="008553FE" w:rsidP="00B217DC">
      <w:pPr>
        <w:numPr>
          <w:ilvl w:val="0"/>
          <w:numId w:val="120"/>
        </w:numPr>
        <w:contextualSpacing/>
        <w:rPr>
          <w:rFonts w:cs="Arial"/>
          <w:color w:val="auto"/>
          <w:spacing w:val="0"/>
          <w:kern w:val="28"/>
          <w:sz w:val="20"/>
          <w:szCs w:val="20"/>
          <w:lang w:val="en-GB"/>
        </w:rPr>
      </w:pPr>
      <w:r w:rsidRPr="00B217DC">
        <w:rPr>
          <w:rFonts w:cs="Arial"/>
          <w:color w:val="auto"/>
          <w:spacing w:val="0"/>
          <w:kern w:val="28"/>
          <w:sz w:val="20"/>
          <w:szCs w:val="20"/>
          <w:lang w:val="en-GB"/>
        </w:rPr>
        <w:t xml:space="preserve">The Committee enquired about the support offered to the 2000 youth owned business in the township and rural economy as this was an important initiative. </w:t>
      </w:r>
    </w:p>
    <w:p w:rsidR="008553FE" w:rsidRPr="00B217DC" w:rsidRDefault="008553FE" w:rsidP="00B217DC">
      <w:pPr>
        <w:contextualSpacing/>
        <w:rPr>
          <w:rFonts w:cs="Arial"/>
          <w:b/>
          <w:color w:val="auto"/>
          <w:spacing w:val="0"/>
          <w:kern w:val="28"/>
          <w:sz w:val="20"/>
          <w:szCs w:val="20"/>
        </w:rPr>
      </w:pPr>
    </w:p>
    <w:p w:rsidR="00170BD2" w:rsidRPr="00B217DC" w:rsidRDefault="00170BD2" w:rsidP="00B217DC">
      <w:pPr>
        <w:numPr>
          <w:ilvl w:val="0"/>
          <w:numId w:val="107"/>
        </w:numPr>
        <w:ind w:left="567"/>
        <w:contextualSpacing/>
        <w:rPr>
          <w:rFonts w:cs="Arial"/>
          <w:b/>
          <w:color w:val="auto"/>
          <w:spacing w:val="0"/>
          <w:kern w:val="28"/>
          <w:sz w:val="20"/>
          <w:szCs w:val="20"/>
        </w:rPr>
      </w:pPr>
      <w:r w:rsidRPr="00B217DC">
        <w:rPr>
          <w:rFonts w:cs="Arial"/>
          <w:b/>
          <w:color w:val="auto"/>
          <w:spacing w:val="0"/>
          <w:kern w:val="28"/>
          <w:sz w:val="20"/>
          <w:szCs w:val="20"/>
        </w:rPr>
        <w:t>RECOMMENDATIONS</w:t>
      </w:r>
    </w:p>
    <w:p w:rsidR="00170BD2" w:rsidRPr="00B217DC" w:rsidRDefault="00170BD2" w:rsidP="00B217DC">
      <w:pPr>
        <w:rPr>
          <w:rFonts w:cs="Arial"/>
          <w:b/>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The Minister of Women</w:t>
      </w:r>
      <w:r w:rsidR="00B244FB" w:rsidRPr="00B217DC">
        <w:rPr>
          <w:rFonts w:cs="Arial"/>
          <w:color w:val="auto"/>
          <w:sz w:val="20"/>
          <w:szCs w:val="20"/>
          <w:lang w:val="en-GB"/>
        </w:rPr>
        <w:t>, Youth and Persons with Disabilities</w:t>
      </w:r>
      <w:r w:rsidRPr="00B217DC">
        <w:rPr>
          <w:rFonts w:cs="Arial"/>
          <w:color w:val="auto"/>
          <w:sz w:val="20"/>
          <w:szCs w:val="20"/>
          <w:lang w:val="en-GB"/>
        </w:rPr>
        <w:t xml:space="preserve"> should ensure that the following recommendations are implemented.</w:t>
      </w:r>
    </w:p>
    <w:p w:rsidR="00761A3A" w:rsidRPr="00B217DC" w:rsidRDefault="00761A3A" w:rsidP="00B217DC">
      <w:pPr>
        <w:rPr>
          <w:rFonts w:cs="Arial"/>
          <w:b/>
          <w:color w:val="auto"/>
          <w:sz w:val="20"/>
          <w:szCs w:val="20"/>
          <w:lang w:val="en-GB"/>
        </w:rPr>
      </w:pPr>
    </w:p>
    <w:p w:rsidR="00B244FB" w:rsidRPr="00B217DC" w:rsidRDefault="00B244FB"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00D549BD" w:rsidRPr="00B217DC">
        <w:rPr>
          <w:rFonts w:cs="Arial"/>
          <w:b/>
          <w:color w:val="auto"/>
          <w:sz w:val="20"/>
          <w:szCs w:val="20"/>
          <w:lang w:val="en-GB"/>
        </w:rPr>
        <w:t xml:space="preserve">.1 General </w:t>
      </w:r>
    </w:p>
    <w:p w:rsidR="00E96451" w:rsidRPr="00B217DC" w:rsidRDefault="00E96451" w:rsidP="00B217DC">
      <w:pPr>
        <w:pStyle w:val="ListParagraph"/>
        <w:numPr>
          <w:ilvl w:val="1"/>
          <w:numId w:val="61"/>
        </w:numPr>
        <w:ind w:left="567" w:hanging="480"/>
        <w:rPr>
          <w:rFonts w:cs="Arial"/>
          <w:color w:val="auto"/>
          <w:sz w:val="20"/>
          <w:szCs w:val="20"/>
        </w:rPr>
      </w:pPr>
      <w:r w:rsidRPr="00B217DC">
        <w:rPr>
          <w:rFonts w:cs="Arial"/>
          <w:color w:val="auto"/>
          <w:sz w:val="20"/>
          <w:szCs w:val="20"/>
        </w:rPr>
        <w:t>The Committee urged the Department to keep it abreast of developments and share information on initiatives such as the proposed provincial summits on gender-based violence and femicide and the national summit. The Committee indicated it was unacceptable for it to be unaware of what the Department intends pursuing when member’s constituencies request information from them.</w:t>
      </w:r>
    </w:p>
    <w:p w:rsidR="00E96451" w:rsidRPr="00B217DC" w:rsidRDefault="00E96451" w:rsidP="00B217DC">
      <w:pPr>
        <w:pStyle w:val="ListParagraph"/>
        <w:numPr>
          <w:ilvl w:val="1"/>
          <w:numId w:val="61"/>
        </w:numPr>
        <w:ind w:left="567" w:hanging="480"/>
        <w:rPr>
          <w:rFonts w:cs="Arial"/>
          <w:color w:val="auto"/>
          <w:sz w:val="20"/>
          <w:szCs w:val="20"/>
        </w:rPr>
      </w:pPr>
      <w:r w:rsidRPr="00B217DC">
        <w:rPr>
          <w:rFonts w:cs="Arial"/>
          <w:color w:val="auto"/>
          <w:sz w:val="20"/>
          <w:szCs w:val="20"/>
        </w:rPr>
        <w:t xml:space="preserve">The Human Resource </w:t>
      </w:r>
      <w:r w:rsidR="00CA4491" w:rsidRPr="00B217DC">
        <w:rPr>
          <w:rFonts w:cs="Arial"/>
          <w:color w:val="auto"/>
          <w:sz w:val="20"/>
          <w:szCs w:val="20"/>
        </w:rPr>
        <w:t xml:space="preserve">section </w:t>
      </w:r>
      <w:r w:rsidRPr="00B217DC">
        <w:rPr>
          <w:rFonts w:cs="Arial"/>
          <w:color w:val="auto"/>
          <w:sz w:val="20"/>
          <w:szCs w:val="20"/>
        </w:rPr>
        <w:t>within Department should conduct a skills audit of all officials employed by the Department.</w:t>
      </w:r>
    </w:p>
    <w:p w:rsidR="00E96451" w:rsidRPr="00B217DC" w:rsidRDefault="00E96451" w:rsidP="00B217DC">
      <w:pPr>
        <w:pStyle w:val="ListParagraph"/>
        <w:numPr>
          <w:ilvl w:val="1"/>
          <w:numId w:val="61"/>
        </w:numPr>
        <w:ind w:left="567" w:hanging="480"/>
        <w:rPr>
          <w:rFonts w:cs="Arial"/>
          <w:color w:val="auto"/>
          <w:sz w:val="20"/>
          <w:szCs w:val="20"/>
        </w:rPr>
      </w:pPr>
      <w:r w:rsidRPr="00B217DC">
        <w:rPr>
          <w:rFonts w:cs="Arial"/>
          <w:color w:val="auto"/>
          <w:sz w:val="20"/>
          <w:szCs w:val="20"/>
        </w:rPr>
        <w:t>The senior management of the Department should ensure that there is proper monitoring and ensure compliance that will assist in dealing with under-expenditure.</w:t>
      </w:r>
    </w:p>
    <w:p w:rsidR="00E96451" w:rsidRPr="00B217DC" w:rsidRDefault="00E96451" w:rsidP="00B217DC">
      <w:pPr>
        <w:pStyle w:val="ListParagraph"/>
        <w:numPr>
          <w:ilvl w:val="1"/>
          <w:numId w:val="61"/>
        </w:numPr>
        <w:ind w:left="567" w:hanging="480"/>
        <w:rPr>
          <w:rFonts w:cs="Arial"/>
          <w:color w:val="auto"/>
          <w:sz w:val="20"/>
          <w:szCs w:val="20"/>
        </w:rPr>
      </w:pPr>
      <w:r w:rsidRPr="00B217DC">
        <w:rPr>
          <w:rFonts w:cs="Arial"/>
          <w:color w:val="auto"/>
          <w:sz w:val="20"/>
          <w:szCs w:val="20"/>
        </w:rPr>
        <w:t>Department Officials responsible for incurring under-expenditure during 2021/22 should be held to account.</w:t>
      </w:r>
    </w:p>
    <w:p w:rsidR="00E96451" w:rsidRPr="00B217DC" w:rsidRDefault="00E96451" w:rsidP="00B217DC">
      <w:pPr>
        <w:pStyle w:val="ListParagraph"/>
        <w:numPr>
          <w:ilvl w:val="1"/>
          <w:numId w:val="61"/>
        </w:numPr>
        <w:ind w:left="567" w:hanging="480"/>
        <w:rPr>
          <w:rFonts w:cs="Arial"/>
          <w:color w:val="auto"/>
          <w:sz w:val="20"/>
          <w:szCs w:val="20"/>
        </w:rPr>
      </w:pPr>
      <w:r w:rsidRPr="00B217DC">
        <w:rPr>
          <w:rFonts w:cs="Arial"/>
          <w:color w:val="auto"/>
          <w:sz w:val="20"/>
          <w:szCs w:val="20"/>
        </w:rPr>
        <w:t>The DG should implement consequence management against officials for non-performance.</w:t>
      </w:r>
    </w:p>
    <w:p w:rsidR="00E96451" w:rsidRPr="00B217DC" w:rsidRDefault="00E96451" w:rsidP="00B217DC">
      <w:pPr>
        <w:pStyle w:val="ListParagraph"/>
        <w:numPr>
          <w:ilvl w:val="1"/>
          <w:numId w:val="61"/>
        </w:numPr>
        <w:ind w:left="567" w:hanging="480"/>
        <w:rPr>
          <w:rFonts w:cs="Arial"/>
          <w:color w:val="auto"/>
          <w:sz w:val="20"/>
          <w:szCs w:val="20"/>
        </w:rPr>
      </w:pPr>
      <w:r w:rsidRPr="00B217DC">
        <w:rPr>
          <w:rFonts w:cs="Arial"/>
          <w:color w:val="auto"/>
          <w:sz w:val="20"/>
          <w:szCs w:val="20"/>
        </w:rPr>
        <w:t xml:space="preserve">The Communication Unit of the Department should improve on its communication strategy to ensure that the public is aware of the programmes of the Department. </w:t>
      </w:r>
    </w:p>
    <w:p w:rsidR="002308FA" w:rsidRPr="00B217DC" w:rsidRDefault="002308FA" w:rsidP="00B217DC">
      <w:pPr>
        <w:rPr>
          <w:rFonts w:cs="Arial"/>
          <w:color w:val="auto"/>
          <w:sz w:val="20"/>
          <w:szCs w:val="20"/>
          <w:lang w:val="en-GB"/>
        </w:rPr>
      </w:pPr>
    </w:p>
    <w:p w:rsidR="00170BD2" w:rsidRPr="00B217DC" w:rsidRDefault="00B244FB"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Pr="00B217DC">
        <w:rPr>
          <w:rFonts w:cs="Arial"/>
          <w:b/>
          <w:color w:val="auto"/>
          <w:sz w:val="20"/>
          <w:szCs w:val="20"/>
          <w:lang w:val="en-GB"/>
        </w:rPr>
        <w:t xml:space="preserve">.2 </w:t>
      </w:r>
      <w:r w:rsidR="00170BD2" w:rsidRPr="00B217DC">
        <w:rPr>
          <w:rFonts w:cs="Arial"/>
          <w:b/>
          <w:color w:val="auto"/>
          <w:sz w:val="20"/>
          <w:szCs w:val="20"/>
          <w:lang w:val="en-GB"/>
        </w:rPr>
        <w:t>Audit Action Plan</w:t>
      </w:r>
    </w:p>
    <w:p w:rsidR="00DA74F2" w:rsidRPr="00B217DC" w:rsidRDefault="00023CB5" w:rsidP="00B217DC">
      <w:pPr>
        <w:numPr>
          <w:ilvl w:val="0"/>
          <w:numId w:val="16"/>
        </w:numPr>
        <w:ind w:left="426"/>
        <w:rPr>
          <w:rFonts w:cs="Arial"/>
          <w:color w:val="auto"/>
          <w:sz w:val="20"/>
          <w:szCs w:val="20"/>
          <w:lang w:val="en-GB"/>
        </w:rPr>
      </w:pPr>
      <w:r w:rsidRPr="00B217DC">
        <w:rPr>
          <w:rFonts w:cs="Arial"/>
          <w:color w:val="auto"/>
          <w:sz w:val="20"/>
          <w:szCs w:val="20"/>
        </w:rPr>
        <w:t>The Department should submit its final Audit Action Plan for the Committee’s consideration.</w:t>
      </w:r>
    </w:p>
    <w:p w:rsidR="00DA74F2" w:rsidRPr="00B217DC" w:rsidRDefault="00DA74F2" w:rsidP="00B217DC">
      <w:pPr>
        <w:numPr>
          <w:ilvl w:val="0"/>
          <w:numId w:val="16"/>
        </w:numPr>
        <w:ind w:left="426"/>
        <w:rPr>
          <w:rFonts w:cs="Arial"/>
          <w:color w:val="auto"/>
          <w:sz w:val="20"/>
          <w:szCs w:val="20"/>
          <w:lang w:val="en-GB"/>
        </w:rPr>
      </w:pPr>
      <w:r w:rsidRPr="00B217DC">
        <w:rPr>
          <w:rFonts w:cs="Arial"/>
          <w:color w:val="auto"/>
          <w:sz w:val="20"/>
          <w:szCs w:val="20"/>
          <w:lang w:val="en-GB"/>
        </w:rPr>
        <w:t xml:space="preserve">The AGSA and ARC recommendations should be taken seriously by the Department and implemented. Officials found not having implemented these recommendations must be held to account. </w:t>
      </w:r>
    </w:p>
    <w:p w:rsidR="00E52DA8" w:rsidRPr="00B217DC" w:rsidRDefault="00DA74F2" w:rsidP="00B217DC">
      <w:pPr>
        <w:numPr>
          <w:ilvl w:val="0"/>
          <w:numId w:val="16"/>
        </w:numPr>
        <w:ind w:left="426"/>
        <w:rPr>
          <w:rFonts w:cs="Arial"/>
          <w:color w:val="auto"/>
          <w:sz w:val="20"/>
          <w:szCs w:val="20"/>
          <w:lang w:val="en-GB"/>
        </w:rPr>
      </w:pPr>
      <w:r w:rsidRPr="00B217DC">
        <w:rPr>
          <w:rFonts w:cs="Arial"/>
          <w:color w:val="auto"/>
          <w:sz w:val="20"/>
          <w:szCs w:val="20"/>
          <w:lang w:val="en-GB"/>
        </w:rPr>
        <w:t>The Department should clearly articulate how it intends addressing each of the findings identified and implementing the recommendations within a set time frame within the Audit Action Plan.</w:t>
      </w:r>
    </w:p>
    <w:p w:rsidR="003432C9" w:rsidRPr="00B217DC" w:rsidRDefault="003432C9"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Pr="00B217DC">
        <w:rPr>
          <w:rFonts w:cs="Arial"/>
          <w:b/>
          <w:color w:val="auto"/>
          <w:sz w:val="20"/>
          <w:szCs w:val="20"/>
          <w:lang w:val="en-GB"/>
        </w:rPr>
        <w:t>.</w:t>
      </w:r>
      <w:r w:rsidR="00B244FB" w:rsidRPr="00B217DC">
        <w:rPr>
          <w:rFonts w:cs="Arial"/>
          <w:b/>
          <w:color w:val="auto"/>
          <w:sz w:val="20"/>
          <w:szCs w:val="20"/>
          <w:lang w:val="en-GB"/>
        </w:rPr>
        <w:t>3</w:t>
      </w:r>
      <w:r w:rsidRPr="00B217DC">
        <w:rPr>
          <w:rFonts w:cs="Arial"/>
          <w:b/>
          <w:color w:val="auto"/>
          <w:sz w:val="20"/>
          <w:szCs w:val="20"/>
          <w:lang w:val="en-GB"/>
        </w:rPr>
        <w:t xml:space="preserve"> Financial performance </w:t>
      </w:r>
    </w:p>
    <w:p w:rsidR="00170BD2" w:rsidRPr="00B217DC" w:rsidRDefault="00170BD2" w:rsidP="00B217DC">
      <w:pPr>
        <w:numPr>
          <w:ilvl w:val="0"/>
          <w:numId w:val="17"/>
        </w:numPr>
        <w:ind w:left="426"/>
        <w:rPr>
          <w:rFonts w:cs="Arial"/>
          <w:color w:val="auto"/>
          <w:sz w:val="20"/>
          <w:szCs w:val="20"/>
          <w:lang w:val="en-GB"/>
        </w:rPr>
      </w:pPr>
      <w:r w:rsidRPr="00B217DC">
        <w:rPr>
          <w:rFonts w:cs="Arial"/>
          <w:i/>
          <w:color w:val="auto"/>
          <w:sz w:val="20"/>
          <w:szCs w:val="20"/>
          <w:lang w:val="en-GB"/>
        </w:rPr>
        <w:t>In-Year Monitoring Reports</w:t>
      </w:r>
      <w:r w:rsidRPr="00B217DC">
        <w:rPr>
          <w:rFonts w:cs="Arial"/>
          <w:color w:val="auto"/>
          <w:sz w:val="20"/>
          <w:szCs w:val="20"/>
          <w:lang w:val="en-GB"/>
        </w:rPr>
        <w:t>: The Department must continue to submit quarterly reports to the Committee in line with National Treasury Regulations.</w:t>
      </w:r>
    </w:p>
    <w:p w:rsidR="00170BD2" w:rsidRPr="00B217DC" w:rsidRDefault="00170BD2" w:rsidP="00B217DC">
      <w:pPr>
        <w:numPr>
          <w:ilvl w:val="0"/>
          <w:numId w:val="17"/>
        </w:numPr>
        <w:ind w:left="426"/>
        <w:rPr>
          <w:rFonts w:cs="Arial"/>
          <w:color w:val="auto"/>
          <w:sz w:val="20"/>
          <w:szCs w:val="20"/>
          <w:lang w:val="en-GB"/>
        </w:rPr>
      </w:pPr>
      <w:r w:rsidRPr="00B217DC">
        <w:rPr>
          <w:rFonts w:cs="Arial"/>
          <w:i/>
          <w:color w:val="auto"/>
          <w:sz w:val="20"/>
          <w:szCs w:val="20"/>
          <w:lang w:val="en-GB"/>
        </w:rPr>
        <w:t>Spending Trends</w:t>
      </w:r>
      <w:r w:rsidRPr="00B217DC">
        <w:rPr>
          <w:rFonts w:cs="Arial"/>
          <w:color w:val="auto"/>
          <w:sz w:val="20"/>
          <w:szCs w:val="20"/>
          <w:lang w:val="en-GB"/>
        </w:rPr>
        <w:t xml:space="preserve">: The </w:t>
      </w:r>
      <w:r w:rsidRPr="00B217DC">
        <w:rPr>
          <w:rFonts w:cs="Arial"/>
          <w:color w:val="auto"/>
          <w:sz w:val="20"/>
          <w:szCs w:val="20"/>
        </w:rPr>
        <w:t>Committee recommends that t</w:t>
      </w:r>
      <w:r w:rsidRPr="00B217DC">
        <w:rPr>
          <w:rFonts w:cs="Arial"/>
          <w:color w:val="auto"/>
          <w:sz w:val="20"/>
          <w:szCs w:val="20"/>
          <w:lang w:val="en-GB"/>
        </w:rPr>
        <w:t xml:space="preserve">he Department monitor spending patterns and ensure that this is in keeping with what has been outlined in the respective Strategic Plans and Annual Performance Plans. To this end, the Department is to provide the Committee with </w:t>
      </w:r>
      <w:r w:rsidRPr="00B217DC">
        <w:rPr>
          <w:rFonts w:cs="Arial"/>
          <w:color w:val="auto"/>
          <w:sz w:val="20"/>
          <w:szCs w:val="20"/>
          <w:lang w:val="en-GB"/>
        </w:rPr>
        <w:lastRenderedPageBreak/>
        <w:t>detailed financial reports for activities on a quarterly basis. These financial reports should clearly indicate the purpose of the activity as it relates to the objectives outlined in the APP and the expenditure incurred.</w:t>
      </w:r>
      <w:r w:rsidR="0095377C" w:rsidRPr="00B217DC">
        <w:rPr>
          <w:rFonts w:cs="Arial"/>
          <w:color w:val="auto"/>
          <w:sz w:val="20"/>
          <w:szCs w:val="20"/>
          <w:lang w:val="en-GB"/>
        </w:rPr>
        <w:t xml:space="preserve"> The Department should consider including a specific target related to expenditure management in the APP for 2023/24.</w:t>
      </w:r>
    </w:p>
    <w:p w:rsidR="00170BD2" w:rsidRPr="00B217DC" w:rsidRDefault="00170BD2" w:rsidP="00B217DC">
      <w:pPr>
        <w:numPr>
          <w:ilvl w:val="0"/>
          <w:numId w:val="17"/>
        </w:numPr>
        <w:ind w:left="426"/>
        <w:rPr>
          <w:rFonts w:cs="Arial"/>
          <w:color w:val="auto"/>
          <w:sz w:val="20"/>
          <w:szCs w:val="20"/>
          <w:lang w:val="en-GB"/>
        </w:rPr>
      </w:pPr>
      <w:r w:rsidRPr="00B217DC">
        <w:rPr>
          <w:rFonts w:cs="Arial"/>
          <w:i/>
          <w:color w:val="auto"/>
          <w:sz w:val="20"/>
          <w:szCs w:val="20"/>
          <w:lang w:val="en-GB"/>
        </w:rPr>
        <w:t>APP</w:t>
      </w:r>
      <w:r w:rsidRPr="00B217DC">
        <w:rPr>
          <w:rFonts w:cs="Arial"/>
          <w:color w:val="auto"/>
          <w:sz w:val="20"/>
          <w:szCs w:val="20"/>
          <w:lang w:val="en-GB"/>
        </w:rPr>
        <w:t>: The Department must ensure that its APP is costed appropriately with a clear indication as to how and when it intends undertaking activities with corresponding costs.</w:t>
      </w:r>
    </w:p>
    <w:p w:rsidR="00D41474" w:rsidRPr="00B217DC" w:rsidRDefault="00170BD2" w:rsidP="00B217DC">
      <w:pPr>
        <w:numPr>
          <w:ilvl w:val="0"/>
          <w:numId w:val="17"/>
        </w:numPr>
        <w:ind w:left="426"/>
        <w:rPr>
          <w:rFonts w:cs="Arial"/>
          <w:color w:val="auto"/>
          <w:sz w:val="20"/>
          <w:szCs w:val="20"/>
          <w:lang w:val="en-GB"/>
        </w:rPr>
      </w:pPr>
      <w:r w:rsidRPr="00B217DC">
        <w:rPr>
          <w:rFonts w:cs="Arial"/>
          <w:i/>
          <w:color w:val="auto"/>
          <w:sz w:val="20"/>
          <w:szCs w:val="20"/>
        </w:rPr>
        <w:t>Irregular expenditure</w:t>
      </w:r>
      <w:r w:rsidR="00F26365" w:rsidRPr="00B217DC">
        <w:rPr>
          <w:rFonts w:cs="Arial"/>
          <w:i/>
          <w:color w:val="auto"/>
          <w:sz w:val="20"/>
          <w:szCs w:val="20"/>
        </w:rPr>
        <w:t>, Fruitless and Wasteful Expenditure</w:t>
      </w:r>
      <w:r w:rsidRPr="00B217DC">
        <w:rPr>
          <w:rFonts w:cs="Arial"/>
          <w:color w:val="auto"/>
          <w:sz w:val="20"/>
          <w:szCs w:val="20"/>
        </w:rPr>
        <w:t xml:space="preserve">: The Committee </w:t>
      </w:r>
      <w:r w:rsidR="00022ED8" w:rsidRPr="00B217DC">
        <w:rPr>
          <w:rFonts w:cs="Arial"/>
          <w:color w:val="auto"/>
          <w:sz w:val="20"/>
          <w:szCs w:val="20"/>
        </w:rPr>
        <w:t xml:space="preserve">urges the Department </w:t>
      </w:r>
      <w:r w:rsidR="0095377C" w:rsidRPr="00B217DC">
        <w:rPr>
          <w:rFonts w:cs="Arial"/>
          <w:color w:val="auto"/>
          <w:sz w:val="20"/>
          <w:szCs w:val="20"/>
        </w:rPr>
        <w:t xml:space="preserve">to take disciplinary action </w:t>
      </w:r>
      <w:r w:rsidRPr="00B217DC">
        <w:rPr>
          <w:rFonts w:cs="Arial"/>
          <w:color w:val="auto"/>
          <w:sz w:val="20"/>
          <w:szCs w:val="20"/>
        </w:rPr>
        <w:t xml:space="preserve">against </w:t>
      </w:r>
      <w:r w:rsidR="0095377C" w:rsidRPr="00B217DC">
        <w:rPr>
          <w:rFonts w:cs="Arial"/>
          <w:color w:val="auto"/>
          <w:sz w:val="20"/>
          <w:szCs w:val="20"/>
        </w:rPr>
        <w:t>employees r</w:t>
      </w:r>
      <w:r w:rsidRPr="00B217DC">
        <w:rPr>
          <w:rFonts w:cs="Arial"/>
          <w:color w:val="auto"/>
          <w:sz w:val="20"/>
          <w:szCs w:val="20"/>
        </w:rPr>
        <w:t>esponsible for irregular expenditure</w:t>
      </w:r>
      <w:r w:rsidR="00F26365" w:rsidRPr="00B217DC">
        <w:rPr>
          <w:rFonts w:cs="Arial"/>
          <w:color w:val="auto"/>
          <w:sz w:val="20"/>
          <w:szCs w:val="20"/>
        </w:rPr>
        <w:t xml:space="preserve"> and fruitless and wasteful expenditure</w:t>
      </w:r>
      <w:r w:rsidRPr="00B217DC">
        <w:rPr>
          <w:rFonts w:cs="Arial"/>
          <w:color w:val="auto"/>
          <w:sz w:val="20"/>
          <w:szCs w:val="20"/>
        </w:rPr>
        <w:t>. The Department should further develop an action plan on steps to prevent irregular expenditure</w:t>
      </w:r>
      <w:r w:rsidR="00673DBE" w:rsidRPr="00B217DC">
        <w:rPr>
          <w:rFonts w:cs="Arial"/>
          <w:color w:val="auto"/>
          <w:sz w:val="20"/>
          <w:szCs w:val="20"/>
        </w:rPr>
        <w:t xml:space="preserve"> as well as fruitless and wasteful expenditure</w:t>
      </w:r>
      <w:r w:rsidRPr="00B217DC">
        <w:rPr>
          <w:rFonts w:cs="Arial"/>
          <w:color w:val="auto"/>
          <w:sz w:val="20"/>
          <w:szCs w:val="20"/>
        </w:rPr>
        <w:t>.</w:t>
      </w:r>
    </w:p>
    <w:p w:rsidR="00A93F90" w:rsidRPr="00B217DC" w:rsidRDefault="00A93F90" w:rsidP="00B217DC">
      <w:pPr>
        <w:numPr>
          <w:ilvl w:val="0"/>
          <w:numId w:val="17"/>
        </w:numPr>
        <w:ind w:left="426"/>
        <w:rPr>
          <w:rFonts w:cs="Arial"/>
          <w:color w:val="auto"/>
          <w:sz w:val="20"/>
          <w:szCs w:val="20"/>
          <w:lang w:val="en-GB"/>
        </w:rPr>
      </w:pPr>
      <w:r w:rsidRPr="00B217DC">
        <w:rPr>
          <w:rFonts w:cs="Arial"/>
          <w:i/>
          <w:color w:val="auto"/>
          <w:sz w:val="20"/>
          <w:szCs w:val="20"/>
        </w:rPr>
        <w:t>Deviations</w:t>
      </w:r>
      <w:r w:rsidR="001C310E" w:rsidRPr="00B217DC">
        <w:rPr>
          <w:rFonts w:cs="Arial"/>
          <w:color w:val="auto"/>
          <w:sz w:val="20"/>
          <w:szCs w:val="20"/>
        </w:rPr>
        <w:t>: The Department should clarify in writing within three weeks of the adoption of the report the discrepancy between what is stated in the Annual Report versus what was reported to the Committee at the Q4 2021/22 briefing.</w:t>
      </w:r>
    </w:p>
    <w:p w:rsidR="00266EE4" w:rsidRPr="00B217DC" w:rsidRDefault="00266EE4" w:rsidP="00B217DC">
      <w:pPr>
        <w:tabs>
          <w:tab w:val="left" w:pos="1190"/>
        </w:tabs>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4</w:t>
      </w:r>
      <w:r w:rsidRPr="00B217DC">
        <w:rPr>
          <w:rFonts w:cs="Arial"/>
          <w:b/>
          <w:color w:val="auto"/>
          <w:sz w:val="20"/>
          <w:szCs w:val="20"/>
          <w:lang w:val="en-GB"/>
        </w:rPr>
        <w:t xml:space="preserve"> AGSA &amp; Audit and Risk Committee</w:t>
      </w:r>
    </w:p>
    <w:p w:rsidR="00E00C81" w:rsidRPr="00B217DC" w:rsidRDefault="00E00C81" w:rsidP="00B217DC">
      <w:pPr>
        <w:numPr>
          <w:ilvl w:val="0"/>
          <w:numId w:val="26"/>
        </w:numPr>
        <w:ind w:left="426"/>
        <w:rPr>
          <w:rFonts w:cs="Arial"/>
          <w:color w:val="auto"/>
          <w:sz w:val="20"/>
          <w:szCs w:val="20"/>
          <w:lang w:val="en-GB"/>
        </w:rPr>
      </w:pPr>
      <w:r w:rsidRPr="00B217DC">
        <w:rPr>
          <w:rFonts w:cs="Arial"/>
          <w:color w:val="auto"/>
          <w:sz w:val="20"/>
          <w:szCs w:val="20"/>
          <w:lang w:val="en-GB"/>
        </w:rPr>
        <w:t xml:space="preserve">The AGSA should submit the list of issues/allegations against the NYDA’s CEO that </w:t>
      </w:r>
      <w:r w:rsidR="00CA4491" w:rsidRPr="00B217DC">
        <w:rPr>
          <w:rFonts w:cs="Arial"/>
          <w:color w:val="auto"/>
          <w:sz w:val="20"/>
          <w:szCs w:val="20"/>
          <w:lang w:val="en-GB"/>
        </w:rPr>
        <w:t xml:space="preserve">fall </w:t>
      </w:r>
      <w:r w:rsidRPr="00B217DC">
        <w:rPr>
          <w:rFonts w:cs="Arial"/>
          <w:color w:val="auto"/>
          <w:sz w:val="20"/>
          <w:szCs w:val="20"/>
          <w:lang w:val="en-GB"/>
        </w:rPr>
        <w:t xml:space="preserve">within their scope of investigation and those not in their scope to the Committee. </w:t>
      </w:r>
    </w:p>
    <w:p w:rsidR="00E00C81" w:rsidRPr="00B217DC" w:rsidRDefault="00E00C81" w:rsidP="00B217DC">
      <w:pPr>
        <w:numPr>
          <w:ilvl w:val="0"/>
          <w:numId w:val="26"/>
        </w:numPr>
        <w:ind w:left="426"/>
        <w:rPr>
          <w:rFonts w:cs="Arial"/>
          <w:color w:val="auto"/>
          <w:sz w:val="20"/>
          <w:szCs w:val="20"/>
          <w:lang w:val="en-GB"/>
        </w:rPr>
      </w:pPr>
      <w:r w:rsidRPr="00B217DC">
        <w:rPr>
          <w:rFonts w:cs="Arial"/>
          <w:color w:val="auto"/>
          <w:sz w:val="20"/>
          <w:szCs w:val="20"/>
          <w:lang w:val="en-GB"/>
        </w:rPr>
        <w:t xml:space="preserve">The AGSA should submit a report on the expenditure of R15 million &amp; R5 million allocated to the Secretariat for NCGBV&amp;F. </w:t>
      </w:r>
    </w:p>
    <w:p w:rsidR="00E00C81" w:rsidRPr="00B217DC" w:rsidRDefault="00E00C81" w:rsidP="00B217DC">
      <w:pPr>
        <w:numPr>
          <w:ilvl w:val="0"/>
          <w:numId w:val="26"/>
        </w:numPr>
        <w:ind w:left="426"/>
        <w:rPr>
          <w:rFonts w:cs="Arial"/>
          <w:color w:val="auto"/>
          <w:sz w:val="20"/>
          <w:szCs w:val="20"/>
          <w:lang w:val="en-GB"/>
        </w:rPr>
      </w:pPr>
      <w:r w:rsidRPr="00B217DC">
        <w:rPr>
          <w:rFonts w:cs="Arial"/>
          <w:color w:val="auto"/>
          <w:sz w:val="20"/>
          <w:szCs w:val="20"/>
          <w:lang w:val="en-GB"/>
        </w:rPr>
        <w:t>The AGSA should submit a report on the Sedibeng Municipality issue with regards to the NYDA.</w:t>
      </w:r>
    </w:p>
    <w:p w:rsidR="00E00C81" w:rsidRPr="00B217DC" w:rsidRDefault="00E00C81" w:rsidP="00B217DC">
      <w:pPr>
        <w:numPr>
          <w:ilvl w:val="0"/>
          <w:numId w:val="26"/>
        </w:numPr>
        <w:ind w:left="426"/>
        <w:rPr>
          <w:rFonts w:cs="Arial"/>
          <w:color w:val="auto"/>
          <w:sz w:val="20"/>
          <w:szCs w:val="20"/>
          <w:lang w:val="en-GB"/>
        </w:rPr>
      </w:pPr>
      <w:r w:rsidRPr="00B217DC">
        <w:rPr>
          <w:rFonts w:cs="Arial"/>
          <w:color w:val="auto"/>
          <w:sz w:val="20"/>
          <w:szCs w:val="20"/>
          <w:lang w:val="en-GB"/>
        </w:rPr>
        <w:t>The AGSA should audit other Programmes of the Department such as Programme 4 in order to provide a true reflection of the performance of the Department. An audit of one programme was insufficient.</w:t>
      </w:r>
    </w:p>
    <w:p w:rsidR="00170BD2" w:rsidRPr="00B217DC" w:rsidRDefault="00E00C81" w:rsidP="00B217DC">
      <w:pPr>
        <w:numPr>
          <w:ilvl w:val="0"/>
          <w:numId w:val="26"/>
        </w:numPr>
        <w:ind w:left="426"/>
        <w:rPr>
          <w:rFonts w:cs="Arial"/>
          <w:color w:val="auto"/>
          <w:sz w:val="20"/>
          <w:szCs w:val="20"/>
          <w:lang w:val="en-GB"/>
        </w:rPr>
      </w:pPr>
      <w:r w:rsidRPr="00B217DC">
        <w:rPr>
          <w:rFonts w:cs="Arial"/>
          <w:color w:val="auto"/>
          <w:sz w:val="20"/>
          <w:szCs w:val="20"/>
          <w:lang w:val="en-GB"/>
        </w:rPr>
        <w:t>The AGSA should improve in the manner in which auditing is conducted in the Department, NYDA and CGE and also improve on its relationship with the ARC’s of the Department, CGE and NYDA.</w:t>
      </w:r>
    </w:p>
    <w:p w:rsidR="00E00C81" w:rsidRPr="00B217DC" w:rsidRDefault="00E00C81" w:rsidP="00B217DC">
      <w:pPr>
        <w:pStyle w:val="ListParagraph"/>
        <w:numPr>
          <w:ilvl w:val="0"/>
          <w:numId w:val="26"/>
        </w:numPr>
        <w:ind w:left="284"/>
        <w:rPr>
          <w:rFonts w:cs="Arial"/>
          <w:color w:val="auto"/>
          <w:sz w:val="20"/>
          <w:szCs w:val="20"/>
          <w:lang w:val="en-GB"/>
        </w:rPr>
      </w:pPr>
      <w:r w:rsidRPr="00B217DC">
        <w:rPr>
          <w:rFonts w:cs="Arial"/>
          <w:color w:val="auto"/>
          <w:sz w:val="20"/>
          <w:szCs w:val="20"/>
          <w:lang w:val="en-GB"/>
        </w:rPr>
        <w:t>The ARC should monitor whether officials who had not implemented the recommendations of the ARC as per the 1st quarter which resulted in under-spending, are held to account.</w:t>
      </w:r>
    </w:p>
    <w:p w:rsidR="004E0DE0" w:rsidRPr="00B217DC" w:rsidRDefault="004E0DE0" w:rsidP="00B217DC">
      <w:pPr>
        <w:ind w:left="426"/>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5</w:t>
      </w:r>
      <w:r w:rsidRPr="00B217DC">
        <w:rPr>
          <w:rFonts w:cs="Arial"/>
          <w:b/>
          <w:color w:val="auto"/>
          <w:sz w:val="20"/>
          <w:szCs w:val="20"/>
          <w:lang w:val="en-GB"/>
        </w:rPr>
        <w:t xml:space="preserve"> Human Resource</w:t>
      </w:r>
    </w:p>
    <w:p w:rsidR="00170BD2" w:rsidRPr="00B217DC" w:rsidRDefault="00170BD2" w:rsidP="00B217DC">
      <w:pPr>
        <w:numPr>
          <w:ilvl w:val="0"/>
          <w:numId w:val="24"/>
        </w:numPr>
        <w:ind w:left="426"/>
        <w:rPr>
          <w:rFonts w:cs="Arial"/>
          <w:b/>
          <w:color w:val="auto"/>
          <w:sz w:val="20"/>
          <w:szCs w:val="20"/>
          <w:lang w:val="en-GB"/>
        </w:rPr>
      </w:pPr>
      <w:r w:rsidRPr="00B217DC">
        <w:rPr>
          <w:rFonts w:cs="Arial"/>
          <w:i/>
          <w:color w:val="auto"/>
          <w:sz w:val="20"/>
          <w:szCs w:val="20"/>
          <w:lang w:val="en-GB"/>
        </w:rPr>
        <w:t>Vacancies</w:t>
      </w:r>
      <w:r w:rsidRPr="00B217DC">
        <w:rPr>
          <w:rFonts w:cs="Arial"/>
          <w:color w:val="auto"/>
          <w:sz w:val="20"/>
          <w:szCs w:val="20"/>
          <w:lang w:val="en-GB"/>
        </w:rPr>
        <w:t>: All key funded vacancies should be filled within the specified time allocation, in instances where this is not complied with, the Department should clearly identify within the quarterly reports to the Committee reasons for failure to comply and remedial action taken.</w:t>
      </w:r>
      <w:r w:rsidR="00673DBE" w:rsidRPr="00B217DC">
        <w:rPr>
          <w:rFonts w:cs="Arial"/>
          <w:color w:val="auto"/>
          <w:sz w:val="20"/>
          <w:szCs w:val="20"/>
          <w:lang w:val="en-GB"/>
        </w:rPr>
        <w:t xml:space="preserve"> The Department should submit a list of vacancies that have been prioritised and a time frame</w:t>
      </w:r>
      <w:r w:rsidR="00E96451" w:rsidRPr="00B217DC">
        <w:rPr>
          <w:rFonts w:cs="Arial"/>
          <w:color w:val="auto"/>
          <w:sz w:val="20"/>
          <w:szCs w:val="20"/>
          <w:lang w:val="en-GB"/>
        </w:rPr>
        <w:t xml:space="preserve"> for filling the required posts</w:t>
      </w:r>
      <w:r w:rsidR="00673DBE" w:rsidRPr="00B217DC">
        <w:rPr>
          <w:rFonts w:cs="Arial"/>
          <w:color w:val="auto"/>
          <w:sz w:val="20"/>
          <w:szCs w:val="20"/>
          <w:lang w:val="en-GB"/>
        </w:rPr>
        <w:t>.</w:t>
      </w:r>
    </w:p>
    <w:p w:rsidR="00170BD2" w:rsidRPr="00B217DC" w:rsidRDefault="00170BD2" w:rsidP="00B217DC">
      <w:pPr>
        <w:numPr>
          <w:ilvl w:val="0"/>
          <w:numId w:val="24"/>
        </w:numPr>
        <w:ind w:left="426"/>
        <w:rPr>
          <w:rFonts w:cs="Arial"/>
          <w:color w:val="auto"/>
          <w:sz w:val="20"/>
          <w:szCs w:val="20"/>
          <w:lang w:val="en-GB"/>
        </w:rPr>
      </w:pPr>
      <w:r w:rsidRPr="00B217DC">
        <w:rPr>
          <w:rFonts w:cs="Arial"/>
          <w:i/>
          <w:color w:val="auto"/>
          <w:sz w:val="20"/>
          <w:szCs w:val="20"/>
          <w:lang w:val="en-GB"/>
        </w:rPr>
        <w:t>Performance management</w:t>
      </w:r>
      <w:r w:rsidRPr="00B217DC">
        <w:rPr>
          <w:rFonts w:cs="Arial"/>
          <w:color w:val="auto"/>
          <w:sz w:val="20"/>
          <w:szCs w:val="20"/>
          <w:lang w:val="en-GB"/>
        </w:rPr>
        <w:t>: The Committee recommends that the heads of Programme</w:t>
      </w:r>
      <w:r w:rsidR="000B638A" w:rsidRPr="00B217DC">
        <w:rPr>
          <w:rFonts w:cs="Arial"/>
          <w:color w:val="auto"/>
          <w:sz w:val="20"/>
          <w:szCs w:val="20"/>
          <w:lang w:val="en-GB"/>
        </w:rPr>
        <w:t>s</w:t>
      </w:r>
      <w:r w:rsidRPr="00B217DC">
        <w:rPr>
          <w:rFonts w:cs="Arial"/>
          <w:color w:val="auto"/>
          <w:sz w:val="20"/>
          <w:szCs w:val="20"/>
          <w:lang w:val="en-GB"/>
        </w:rPr>
        <w:t xml:space="preserve"> provide quarterly reports of consequence management for the non-delivery of targets with a clear indication of the remedial action implemented. Each programme and sub-programme will be required to present progress to the Committee on a </w:t>
      </w:r>
      <w:r w:rsidR="00CD6A52" w:rsidRPr="00B217DC">
        <w:rPr>
          <w:rFonts w:cs="Arial"/>
          <w:color w:val="auto"/>
          <w:sz w:val="20"/>
          <w:szCs w:val="20"/>
          <w:lang w:val="en-GB"/>
        </w:rPr>
        <w:t>quarterly</w:t>
      </w:r>
      <w:r w:rsidRPr="00B217DC">
        <w:rPr>
          <w:rFonts w:cs="Arial"/>
          <w:color w:val="auto"/>
          <w:sz w:val="20"/>
          <w:szCs w:val="20"/>
          <w:lang w:val="en-GB"/>
        </w:rPr>
        <w:t xml:space="preserve"> basis.</w:t>
      </w:r>
    </w:p>
    <w:p w:rsidR="00170BD2" w:rsidRPr="00B217DC" w:rsidRDefault="00170BD2" w:rsidP="00B217DC">
      <w:pPr>
        <w:numPr>
          <w:ilvl w:val="0"/>
          <w:numId w:val="24"/>
        </w:numPr>
        <w:ind w:left="426"/>
        <w:rPr>
          <w:rFonts w:cs="Arial"/>
          <w:color w:val="auto"/>
          <w:sz w:val="20"/>
          <w:szCs w:val="20"/>
        </w:rPr>
      </w:pPr>
      <w:r w:rsidRPr="00B217DC">
        <w:rPr>
          <w:rFonts w:cs="Arial"/>
          <w:i/>
          <w:color w:val="auto"/>
          <w:sz w:val="20"/>
          <w:szCs w:val="20"/>
        </w:rPr>
        <w:t>Use of consultants</w:t>
      </w:r>
      <w:r w:rsidRPr="00B217DC">
        <w:rPr>
          <w:rFonts w:cs="Arial"/>
          <w:color w:val="auto"/>
          <w:sz w:val="20"/>
          <w:szCs w:val="20"/>
        </w:rPr>
        <w:t xml:space="preserve">: The Department </w:t>
      </w:r>
      <w:r w:rsidR="00E96451" w:rsidRPr="00B217DC">
        <w:rPr>
          <w:rFonts w:cs="Arial"/>
          <w:color w:val="auto"/>
          <w:sz w:val="20"/>
          <w:szCs w:val="20"/>
        </w:rPr>
        <w:t>review its continued reliance on consultants and report back to the Committee on how transfer of skills is enabled to Department officials by the current cohort of consultants</w:t>
      </w:r>
      <w:r w:rsidRPr="00B217DC">
        <w:rPr>
          <w:rFonts w:cs="Arial"/>
          <w:color w:val="auto"/>
          <w:sz w:val="20"/>
          <w:szCs w:val="20"/>
        </w:rPr>
        <w:t>.</w:t>
      </w:r>
    </w:p>
    <w:p w:rsidR="00E845F0" w:rsidRPr="00B217DC" w:rsidRDefault="00E845F0" w:rsidP="00B217DC">
      <w:pPr>
        <w:numPr>
          <w:ilvl w:val="0"/>
          <w:numId w:val="24"/>
        </w:numPr>
        <w:suppressAutoHyphens/>
        <w:autoSpaceDN w:val="0"/>
        <w:ind w:left="426"/>
        <w:textAlignment w:val="baseline"/>
        <w:rPr>
          <w:rFonts w:cs="Arial"/>
          <w:color w:val="auto"/>
          <w:sz w:val="20"/>
          <w:szCs w:val="20"/>
        </w:rPr>
      </w:pPr>
      <w:r w:rsidRPr="00B217DC">
        <w:rPr>
          <w:rFonts w:cs="Arial"/>
          <w:i/>
          <w:color w:val="auto"/>
          <w:sz w:val="20"/>
          <w:szCs w:val="20"/>
        </w:rPr>
        <w:t xml:space="preserve">Disciplinary cases and investigations: </w:t>
      </w:r>
      <w:r w:rsidRPr="00B217DC">
        <w:rPr>
          <w:rFonts w:cs="Arial"/>
          <w:color w:val="auto"/>
          <w:sz w:val="20"/>
          <w:szCs w:val="20"/>
        </w:rPr>
        <w:t>The Department should submit a comprehensive report on all cases in the Department</w:t>
      </w:r>
      <w:r w:rsidR="00AD2F89" w:rsidRPr="00B217DC">
        <w:rPr>
          <w:rFonts w:cs="Arial"/>
          <w:color w:val="auto"/>
          <w:sz w:val="20"/>
          <w:szCs w:val="20"/>
        </w:rPr>
        <w:t xml:space="preserve"> and brief the Committee accordingly</w:t>
      </w:r>
      <w:r w:rsidRPr="00B217DC">
        <w:rPr>
          <w:rFonts w:cs="Arial"/>
          <w:color w:val="auto"/>
          <w:sz w:val="20"/>
          <w:szCs w:val="20"/>
        </w:rPr>
        <w:t>.</w:t>
      </w:r>
    </w:p>
    <w:p w:rsidR="00E52DA8" w:rsidRPr="00B217DC" w:rsidRDefault="00E52DA8" w:rsidP="00B217DC">
      <w:pPr>
        <w:rPr>
          <w:rFonts w:cs="Arial"/>
          <w:b/>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 xml:space="preserve"> 1</w:t>
      </w:r>
      <w:r w:rsidR="00F91F57"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6</w:t>
      </w:r>
      <w:r w:rsidRPr="00B217DC">
        <w:rPr>
          <w:rFonts w:cs="Arial"/>
          <w:b/>
          <w:color w:val="auto"/>
          <w:sz w:val="20"/>
          <w:szCs w:val="20"/>
          <w:lang w:val="en-GB"/>
        </w:rPr>
        <w:t xml:space="preserve"> Governance</w:t>
      </w:r>
    </w:p>
    <w:p w:rsidR="00170BD2" w:rsidRPr="00B217DC" w:rsidRDefault="00170BD2" w:rsidP="00B217DC">
      <w:pPr>
        <w:numPr>
          <w:ilvl w:val="0"/>
          <w:numId w:val="18"/>
        </w:numPr>
        <w:ind w:left="426"/>
        <w:rPr>
          <w:rFonts w:cs="Arial"/>
          <w:color w:val="auto"/>
          <w:sz w:val="20"/>
          <w:szCs w:val="20"/>
          <w:lang w:val="en-GB"/>
        </w:rPr>
      </w:pPr>
      <w:r w:rsidRPr="00B217DC">
        <w:rPr>
          <w:rFonts w:cs="Arial"/>
          <w:color w:val="auto"/>
          <w:sz w:val="20"/>
          <w:szCs w:val="20"/>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B217DC">
        <w:rPr>
          <w:rFonts w:cs="Arial"/>
          <w:color w:val="auto"/>
          <w:sz w:val="20"/>
          <w:szCs w:val="20"/>
        </w:rPr>
        <w:t>Committee recommends that t</w:t>
      </w:r>
      <w:r w:rsidRPr="00B217DC">
        <w:rPr>
          <w:rFonts w:cs="Arial"/>
          <w:color w:val="auto"/>
          <w:sz w:val="20"/>
          <w:szCs w:val="20"/>
          <w:lang w:val="en-GB"/>
        </w:rPr>
        <w:t xml:space="preserve">he Department reports on how it deals with transgressors and what remedial action is taken. This should be presented in the quarterly reports. </w:t>
      </w:r>
    </w:p>
    <w:p w:rsidR="005C467B" w:rsidRPr="00B217DC" w:rsidRDefault="005C467B" w:rsidP="00B217DC">
      <w:pPr>
        <w:numPr>
          <w:ilvl w:val="0"/>
          <w:numId w:val="18"/>
        </w:numPr>
        <w:ind w:left="426"/>
        <w:rPr>
          <w:rFonts w:cs="Arial"/>
          <w:color w:val="auto"/>
          <w:sz w:val="20"/>
          <w:szCs w:val="20"/>
          <w:lang w:val="en-GB"/>
        </w:rPr>
      </w:pPr>
      <w:r w:rsidRPr="00B217DC">
        <w:rPr>
          <w:rFonts w:cs="Arial"/>
          <w:color w:val="auto"/>
          <w:sz w:val="20"/>
          <w:szCs w:val="20"/>
          <w:lang w:val="en-GB"/>
        </w:rPr>
        <w:t>The Committee remains concerned about the non-compliance and adherence to laws and prescripts by officials within the Department. The Department should consider including a specific key performance indicator and targets that addresses compliance to laws and prescripts.</w:t>
      </w:r>
    </w:p>
    <w:p w:rsidR="00170BD2" w:rsidRPr="00B217DC" w:rsidRDefault="00170BD2" w:rsidP="00B217DC">
      <w:pPr>
        <w:numPr>
          <w:ilvl w:val="0"/>
          <w:numId w:val="18"/>
        </w:numPr>
        <w:ind w:left="426"/>
        <w:rPr>
          <w:rFonts w:cs="Arial"/>
          <w:color w:val="auto"/>
          <w:sz w:val="20"/>
          <w:szCs w:val="20"/>
          <w:lang w:val="en-GB"/>
        </w:rPr>
      </w:pPr>
      <w:r w:rsidRPr="00B217DC">
        <w:rPr>
          <w:rFonts w:cs="Arial"/>
          <w:i/>
          <w:color w:val="auto"/>
          <w:sz w:val="20"/>
          <w:szCs w:val="20"/>
        </w:rPr>
        <w:t>Investigations</w:t>
      </w:r>
      <w:r w:rsidRPr="00B217DC">
        <w:rPr>
          <w:rFonts w:cs="Arial"/>
          <w:color w:val="auto"/>
          <w:sz w:val="20"/>
          <w:szCs w:val="20"/>
        </w:rPr>
        <w:t xml:space="preserve">: The Committee recommends that the Department briefs it (at Quarter </w:t>
      </w:r>
      <w:r w:rsidR="00AD2F89" w:rsidRPr="00B217DC">
        <w:rPr>
          <w:rFonts w:cs="Arial"/>
          <w:color w:val="auto"/>
          <w:sz w:val="20"/>
          <w:szCs w:val="20"/>
        </w:rPr>
        <w:t>2</w:t>
      </w:r>
      <w:r w:rsidRPr="00B217DC">
        <w:rPr>
          <w:rFonts w:cs="Arial"/>
          <w:color w:val="auto"/>
          <w:sz w:val="20"/>
          <w:szCs w:val="20"/>
        </w:rPr>
        <w:t xml:space="preserve"> briefing for 20</w:t>
      </w:r>
      <w:r w:rsidR="00022ED8" w:rsidRPr="00B217DC">
        <w:rPr>
          <w:rFonts w:cs="Arial"/>
          <w:color w:val="auto"/>
          <w:sz w:val="20"/>
          <w:szCs w:val="20"/>
        </w:rPr>
        <w:t>22/23</w:t>
      </w:r>
      <w:r w:rsidRPr="00B217DC">
        <w:rPr>
          <w:rFonts w:cs="Arial"/>
          <w:color w:val="auto"/>
          <w:sz w:val="20"/>
          <w:szCs w:val="20"/>
        </w:rPr>
        <w:t>) on the outcome of investigations that have been completed and indicate what progress has been made in terms of implementing recommendations and consequence management. Furthermore, the Department is expected to brief the Committee on progress with regards to investigations currently underway.</w:t>
      </w:r>
    </w:p>
    <w:p w:rsidR="00E52DA8" w:rsidRPr="00B217DC" w:rsidRDefault="00E52DA8" w:rsidP="00B217DC">
      <w:pPr>
        <w:rPr>
          <w:rFonts w:cs="Arial"/>
          <w:b/>
          <w:color w:val="auto"/>
          <w:sz w:val="20"/>
          <w:szCs w:val="20"/>
          <w:lang w:val="en-GB"/>
        </w:rPr>
      </w:pPr>
    </w:p>
    <w:p w:rsidR="001141C4" w:rsidRPr="00B217DC" w:rsidRDefault="001141C4" w:rsidP="00B217DC">
      <w:pPr>
        <w:rPr>
          <w:rFonts w:cs="Arial"/>
          <w:b/>
          <w:color w:val="auto"/>
          <w:sz w:val="20"/>
          <w:szCs w:val="20"/>
          <w:lang w:val="en-GB"/>
        </w:rPr>
      </w:pPr>
      <w:r w:rsidRPr="00B217DC">
        <w:rPr>
          <w:rFonts w:cs="Arial"/>
          <w:b/>
          <w:color w:val="auto"/>
          <w:sz w:val="20"/>
          <w:szCs w:val="20"/>
          <w:lang w:val="en-GB"/>
        </w:rPr>
        <w:t>16.</w:t>
      </w:r>
      <w:r w:rsidR="008553FE" w:rsidRPr="00B217DC">
        <w:rPr>
          <w:rFonts w:cs="Arial"/>
          <w:b/>
          <w:color w:val="auto"/>
          <w:sz w:val="20"/>
          <w:szCs w:val="20"/>
          <w:lang w:val="en-GB"/>
        </w:rPr>
        <w:t>7</w:t>
      </w:r>
      <w:r w:rsidRPr="00B217DC">
        <w:rPr>
          <w:rFonts w:cs="Arial"/>
          <w:b/>
          <w:color w:val="auto"/>
          <w:sz w:val="20"/>
          <w:szCs w:val="20"/>
          <w:lang w:val="en-GB"/>
        </w:rPr>
        <w:t xml:space="preserve"> ICT</w:t>
      </w:r>
    </w:p>
    <w:p w:rsidR="001141C4" w:rsidRPr="00B217DC" w:rsidRDefault="00022ED8" w:rsidP="00B217DC">
      <w:pPr>
        <w:pStyle w:val="ListParagraph"/>
        <w:numPr>
          <w:ilvl w:val="1"/>
          <w:numId w:val="121"/>
        </w:numPr>
        <w:ind w:left="851"/>
        <w:rPr>
          <w:rFonts w:cs="Arial"/>
          <w:color w:val="auto"/>
          <w:sz w:val="20"/>
          <w:szCs w:val="20"/>
          <w:lang w:val="en-GB"/>
        </w:rPr>
      </w:pPr>
      <w:r w:rsidRPr="00B217DC">
        <w:rPr>
          <w:rFonts w:cs="Arial"/>
          <w:color w:val="auto"/>
          <w:sz w:val="20"/>
          <w:szCs w:val="20"/>
        </w:rPr>
        <w:t>The</w:t>
      </w:r>
      <w:r w:rsidR="001141C4" w:rsidRPr="00B217DC">
        <w:rPr>
          <w:rFonts w:cs="Arial"/>
          <w:color w:val="auto"/>
          <w:sz w:val="20"/>
          <w:szCs w:val="20"/>
        </w:rPr>
        <w:t xml:space="preserve"> Committee urges the Department to address </w:t>
      </w:r>
      <w:r w:rsidRPr="00B217DC">
        <w:rPr>
          <w:rFonts w:cs="Arial"/>
          <w:color w:val="auto"/>
          <w:sz w:val="20"/>
          <w:szCs w:val="20"/>
        </w:rPr>
        <w:t>outstanding risk mitigation actions as a matter of urgency</w:t>
      </w:r>
      <w:r w:rsidR="001141C4" w:rsidRPr="00B217DC">
        <w:rPr>
          <w:rFonts w:cs="Arial"/>
          <w:color w:val="auto"/>
          <w:sz w:val="20"/>
          <w:szCs w:val="20"/>
        </w:rPr>
        <w:t>.</w:t>
      </w:r>
    </w:p>
    <w:p w:rsidR="001141C4" w:rsidRPr="00B217DC" w:rsidRDefault="001141C4" w:rsidP="00B217DC">
      <w:pPr>
        <w:rPr>
          <w:rFonts w:cs="Arial"/>
          <w:b/>
          <w:color w:val="auto"/>
          <w:sz w:val="20"/>
          <w:szCs w:val="20"/>
          <w:lang w:val="en-GB"/>
        </w:rPr>
      </w:pPr>
    </w:p>
    <w:p w:rsidR="00F62BC0" w:rsidRPr="00B217DC" w:rsidRDefault="00F62BC0" w:rsidP="00B217DC">
      <w:pPr>
        <w:rPr>
          <w:rFonts w:cs="Arial"/>
          <w:b/>
          <w:color w:val="auto"/>
          <w:sz w:val="20"/>
          <w:szCs w:val="20"/>
          <w:lang w:val="en-GB"/>
        </w:rPr>
      </w:pPr>
    </w:p>
    <w:p w:rsidR="00170BD2" w:rsidRPr="00B217DC" w:rsidRDefault="00170BD2" w:rsidP="00B217DC">
      <w:pPr>
        <w:pStyle w:val="ListParagraph"/>
        <w:numPr>
          <w:ilvl w:val="1"/>
          <w:numId w:val="122"/>
        </w:numPr>
        <w:rPr>
          <w:rFonts w:cs="Arial"/>
          <w:b/>
          <w:color w:val="auto"/>
          <w:sz w:val="20"/>
          <w:szCs w:val="20"/>
          <w:lang w:val="en-GB"/>
        </w:rPr>
      </w:pPr>
      <w:r w:rsidRPr="00B217DC">
        <w:rPr>
          <w:rFonts w:cs="Arial"/>
          <w:b/>
          <w:color w:val="auto"/>
          <w:sz w:val="20"/>
          <w:szCs w:val="20"/>
          <w:lang w:val="en-GB"/>
        </w:rPr>
        <w:t>Performance related recommendations</w:t>
      </w:r>
    </w:p>
    <w:p w:rsidR="00170BD2" w:rsidRPr="00B217DC" w:rsidRDefault="00170BD2" w:rsidP="00B217DC">
      <w:pPr>
        <w:rPr>
          <w:rFonts w:cs="Arial"/>
          <w:b/>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00B244FB" w:rsidRPr="00B217DC">
        <w:rPr>
          <w:rFonts w:cs="Arial"/>
          <w:b/>
          <w:color w:val="auto"/>
          <w:sz w:val="20"/>
          <w:szCs w:val="20"/>
          <w:lang w:val="en-GB"/>
        </w:rPr>
        <w:t>.</w:t>
      </w:r>
      <w:r w:rsidR="008553FE" w:rsidRPr="00B217DC">
        <w:rPr>
          <w:rFonts w:cs="Arial"/>
          <w:b/>
          <w:color w:val="auto"/>
          <w:sz w:val="20"/>
          <w:szCs w:val="20"/>
          <w:lang w:val="en-GB"/>
        </w:rPr>
        <w:t>8</w:t>
      </w:r>
      <w:r w:rsidRPr="00B217DC">
        <w:rPr>
          <w:rFonts w:cs="Arial"/>
          <w:b/>
          <w:color w:val="auto"/>
          <w:sz w:val="20"/>
          <w:szCs w:val="20"/>
          <w:lang w:val="en-GB"/>
        </w:rPr>
        <w:t>.1 SMART principle</w:t>
      </w:r>
    </w:p>
    <w:p w:rsidR="00170BD2" w:rsidRPr="00B217DC" w:rsidRDefault="00170BD2" w:rsidP="00B217DC">
      <w:pPr>
        <w:numPr>
          <w:ilvl w:val="0"/>
          <w:numId w:val="14"/>
        </w:numPr>
        <w:ind w:left="426"/>
        <w:rPr>
          <w:rFonts w:cs="Arial"/>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Pr="00B217DC">
        <w:rPr>
          <w:rFonts w:cs="Arial"/>
          <w:color w:val="auto"/>
          <w:sz w:val="20"/>
          <w:szCs w:val="20"/>
          <w:lang w:val="en-GB"/>
        </w:rPr>
        <w:t>he Department must ensure the alignment between the Strategic Plan and its Annual Performance Plan which includes objectives and targets that are SMART and costed accordingly. Any changes to the APP must be brought to the attention of the Committee as soon as these are done with a clear indication of the HR impact and financial implications. The Department must update the Committee on the status of targets on a quarterly basis.</w:t>
      </w:r>
      <w:r w:rsidR="00266066" w:rsidRPr="00B217DC">
        <w:rPr>
          <w:rFonts w:cs="Arial"/>
          <w:color w:val="auto"/>
          <w:sz w:val="20"/>
          <w:szCs w:val="20"/>
          <w:lang w:val="en-GB"/>
        </w:rPr>
        <w:t xml:space="preserve"> Financial and performance reporting must be in-line with the tabled APP.</w:t>
      </w:r>
    </w:p>
    <w:p w:rsidR="00170BD2" w:rsidRPr="00B217DC" w:rsidRDefault="00170BD2" w:rsidP="00B217DC">
      <w:pPr>
        <w:numPr>
          <w:ilvl w:val="0"/>
          <w:numId w:val="14"/>
        </w:numPr>
        <w:ind w:left="426"/>
        <w:rPr>
          <w:rFonts w:cs="Arial"/>
          <w:color w:val="auto"/>
          <w:sz w:val="20"/>
          <w:szCs w:val="20"/>
          <w:lang w:val="en-GB"/>
        </w:rPr>
      </w:pPr>
      <w:r w:rsidRPr="00B217DC">
        <w:rPr>
          <w:rFonts w:cs="Arial"/>
          <w:color w:val="auto"/>
          <w:sz w:val="20"/>
          <w:szCs w:val="20"/>
          <w:lang w:val="en-GB"/>
        </w:rPr>
        <w:t xml:space="preserve">The Department to </w:t>
      </w:r>
      <w:r w:rsidR="004112C7" w:rsidRPr="00B217DC">
        <w:rPr>
          <w:rFonts w:cs="Arial"/>
          <w:color w:val="auto"/>
          <w:sz w:val="20"/>
          <w:szCs w:val="20"/>
          <w:lang w:val="en-GB"/>
        </w:rPr>
        <w:t>avoid as far as possible amendments to its APP once operational particularly in the latter half of the FY</w:t>
      </w:r>
      <w:r w:rsidR="00052364" w:rsidRPr="00B217DC">
        <w:rPr>
          <w:rFonts w:cs="Arial"/>
          <w:color w:val="auto"/>
          <w:sz w:val="20"/>
          <w:szCs w:val="20"/>
          <w:lang w:val="en-GB"/>
        </w:rPr>
        <w:t>.</w:t>
      </w:r>
    </w:p>
    <w:p w:rsidR="00CA4491" w:rsidRPr="00B217DC" w:rsidRDefault="00CA4491"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F91F57"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8</w:t>
      </w:r>
      <w:r w:rsidRPr="00B217DC">
        <w:rPr>
          <w:rFonts w:cs="Arial"/>
          <w:b/>
          <w:color w:val="auto"/>
          <w:sz w:val="20"/>
          <w:szCs w:val="20"/>
          <w:lang w:val="en-GB"/>
        </w:rPr>
        <w:t xml:space="preserve">.2 </w:t>
      </w:r>
      <w:r w:rsidR="00ED2523" w:rsidRPr="00B217DC">
        <w:rPr>
          <w:rFonts w:cs="Arial"/>
          <w:b/>
          <w:color w:val="auto"/>
          <w:sz w:val="20"/>
          <w:szCs w:val="20"/>
          <w:lang w:val="en-GB"/>
        </w:rPr>
        <w:t>National Gender Machinery (</w:t>
      </w:r>
      <w:r w:rsidR="00DA74F2" w:rsidRPr="00B217DC">
        <w:rPr>
          <w:rFonts w:cs="Arial"/>
          <w:b/>
          <w:color w:val="auto"/>
          <w:sz w:val="20"/>
          <w:szCs w:val="20"/>
          <w:lang w:val="en-GB"/>
        </w:rPr>
        <w:t>NGM</w:t>
      </w:r>
      <w:r w:rsidR="00ED2523" w:rsidRPr="00B217DC">
        <w:rPr>
          <w:rFonts w:cs="Arial"/>
          <w:b/>
          <w:color w:val="auto"/>
          <w:sz w:val="20"/>
          <w:szCs w:val="20"/>
          <w:lang w:val="en-GB"/>
        </w:rPr>
        <w:t>)</w:t>
      </w:r>
    </w:p>
    <w:p w:rsidR="00170BD2" w:rsidRPr="00B217DC" w:rsidRDefault="00DA74F2" w:rsidP="00B217DC">
      <w:pPr>
        <w:numPr>
          <w:ilvl w:val="0"/>
          <w:numId w:val="13"/>
        </w:numPr>
        <w:ind w:left="426"/>
        <w:rPr>
          <w:rFonts w:cs="Arial"/>
          <w:color w:val="auto"/>
          <w:sz w:val="20"/>
          <w:szCs w:val="20"/>
          <w:lang w:val="en-GB"/>
        </w:rPr>
      </w:pPr>
      <w:r w:rsidRPr="00B217DC">
        <w:rPr>
          <w:rFonts w:cs="Arial"/>
          <w:color w:val="auto"/>
          <w:sz w:val="20"/>
          <w:szCs w:val="20"/>
          <w:lang w:val="en-GB"/>
        </w:rPr>
        <w:t>The NGM is an important mechanism for stakeholder engage</w:t>
      </w:r>
      <w:r w:rsidR="00761A3A" w:rsidRPr="00B217DC">
        <w:rPr>
          <w:rFonts w:cs="Arial"/>
          <w:color w:val="auto"/>
          <w:sz w:val="20"/>
          <w:szCs w:val="20"/>
          <w:lang w:val="en-GB"/>
        </w:rPr>
        <w:t>ment</w:t>
      </w:r>
      <w:r w:rsidRPr="00B217DC">
        <w:rPr>
          <w:rFonts w:cs="Arial"/>
          <w:color w:val="auto"/>
          <w:sz w:val="20"/>
          <w:szCs w:val="20"/>
          <w:lang w:val="en-GB"/>
        </w:rPr>
        <w:t xml:space="preserve"> as espoused in CEDAW to which South Africa is a signatory. </w:t>
      </w:r>
      <w:r w:rsidR="004112C7" w:rsidRPr="00B217DC">
        <w:rPr>
          <w:rFonts w:cs="Arial"/>
          <w:color w:val="auto"/>
          <w:sz w:val="20"/>
          <w:szCs w:val="20"/>
          <w:lang w:val="en-GB"/>
        </w:rPr>
        <w:t>The Committee should be kept abreast of NGM meetings and activities</w:t>
      </w:r>
      <w:r w:rsidRPr="00B217DC">
        <w:rPr>
          <w:rFonts w:cs="Arial"/>
          <w:color w:val="auto"/>
          <w:sz w:val="20"/>
          <w:szCs w:val="20"/>
          <w:lang w:val="en-GB"/>
        </w:rPr>
        <w:t>.</w:t>
      </w:r>
      <w:r w:rsidR="00395ACC" w:rsidRPr="00B217DC">
        <w:rPr>
          <w:rFonts w:cs="Arial"/>
          <w:color w:val="auto"/>
          <w:sz w:val="20"/>
          <w:szCs w:val="20"/>
          <w:lang w:val="en-GB"/>
        </w:rPr>
        <w:t xml:space="preserve"> </w:t>
      </w:r>
    </w:p>
    <w:p w:rsidR="00170BD2" w:rsidRPr="00B217DC" w:rsidRDefault="00170BD2" w:rsidP="00B217DC">
      <w:pPr>
        <w:rPr>
          <w:rFonts w:cs="Arial"/>
          <w:b/>
          <w:color w:val="auto"/>
          <w:sz w:val="20"/>
          <w:szCs w:val="20"/>
          <w:lang w:val="en-GB"/>
        </w:rPr>
      </w:pPr>
    </w:p>
    <w:p w:rsidR="00170BD2" w:rsidRPr="00B217DC" w:rsidRDefault="00170BD2" w:rsidP="00B217DC">
      <w:pPr>
        <w:pStyle w:val="ListParagraph"/>
        <w:numPr>
          <w:ilvl w:val="2"/>
          <w:numId w:val="123"/>
        </w:numPr>
        <w:rPr>
          <w:rFonts w:cs="Arial"/>
          <w:b/>
          <w:color w:val="auto"/>
          <w:sz w:val="20"/>
          <w:szCs w:val="20"/>
          <w:lang w:val="en-GB"/>
        </w:rPr>
      </w:pPr>
      <w:r w:rsidRPr="00B217DC">
        <w:rPr>
          <w:rFonts w:cs="Arial"/>
          <w:b/>
          <w:color w:val="auto"/>
          <w:sz w:val="20"/>
          <w:szCs w:val="20"/>
          <w:lang w:val="en-GB"/>
        </w:rPr>
        <w:t>Treaty compliance framework and timeframes</w:t>
      </w:r>
    </w:p>
    <w:p w:rsidR="00170BD2" w:rsidRPr="00B217DC" w:rsidRDefault="00170BD2" w:rsidP="00B217DC">
      <w:pPr>
        <w:numPr>
          <w:ilvl w:val="0"/>
          <w:numId w:val="19"/>
        </w:numPr>
        <w:ind w:left="426"/>
        <w:rPr>
          <w:rFonts w:cs="Arial"/>
          <w:b/>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Pr="00B217DC">
        <w:rPr>
          <w:rFonts w:cs="Arial"/>
          <w:color w:val="auto"/>
          <w:sz w:val="20"/>
          <w:szCs w:val="20"/>
          <w:lang w:val="en-GB"/>
        </w:rPr>
        <w:t>he Department should ensure that country reports are submitted within the specified timeframes as required by the relevant reporting bodies</w:t>
      </w:r>
      <w:r w:rsidRPr="00B217DC">
        <w:rPr>
          <w:rFonts w:cs="Arial"/>
          <w:b/>
          <w:color w:val="auto"/>
          <w:sz w:val="20"/>
          <w:szCs w:val="20"/>
          <w:lang w:val="en-GB"/>
        </w:rPr>
        <w:t>.</w:t>
      </w:r>
    </w:p>
    <w:p w:rsidR="00170BD2" w:rsidRPr="00B217DC" w:rsidRDefault="00170BD2" w:rsidP="00B217DC">
      <w:pPr>
        <w:numPr>
          <w:ilvl w:val="0"/>
          <w:numId w:val="19"/>
        </w:numPr>
        <w:ind w:left="426"/>
        <w:rPr>
          <w:rFonts w:cs="Arial"/>
          <w:b/>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Pr="00B217DC">
        <w:rPr>
          <w:rFonts w:cs="Arial"/>
          <w:color w:val="auto"/>
          <w:sz w:val="20"/>
          <w:szCs w:val="20"/>
          <w:lang w:val="en-GB"/>
        </w:rPr>
        <w:t>he Department should report back to Parliament on feedback received on country reports, action plans developed in this regard as well as progress in terms of implementing recommendations.</w:t>
      </w:r>
    </w:p>
    <w:p w:rsidR="00170BD2" w:rsidRPr="00B217DC" w:rsidRDefault="00170BD2" w:rsidP="00B217DC">
      <w:pPr>
        <w:numPr>
          <w:ilvl w:val="0"/>
          <w:numId w:val="19"/>
        </w:numPr>
        <w:ind w:left="426"/>
        <w:rPr>
          <w:rFonts w:cs="Arial"/>
          <w:b/>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Pr="00B217DC">
        <w:rPr>
          <w:rFonts w:cs="Arial"/>
          <w:color w:val="auto"/>
          <w:sz w:val="20"/>
          <w:szCs w:val="20"/>
          <w:lang w:val="en-GB"/>
        </w:rPr>
        <w:t>he Department must present all reports at an international level to the Committee at least one month before it undertakes the international trip.</w:t>
      </w:r>
    </w:p>
    <w:p w:rsidR="001967BA" w:rsidRPr="00B217DC" w:rsidRDefault="001967BA" w:rsidP="00B217DC">
      <w:pPr>
        <w:rPr>
          <w:rFonts w:cs="Arial"/>
          <w:b/>
          <w:color w:val="auto"/>
          <w:sz w:val="20"/>
          <w:szCs w:val="20"/>
          <w:lang w:val="en-GB"/>
        </w:rPr>
      </w:pPr>
    </w:p>
    <w:p w:rsidR="004E0DE0" w:rsidRPr="00B217DC" w:rsidRDefault="008553FE" w:rsidP="00B217DC">
      <w:pPr>
        <w:rPr>
          <w:rFonts w:cs="Arial"/>
          <w:b/>
          <w:color w:val="auto"/>
          <w:sz w:val="20"/>
          <w:szCs w:val="20"/>
          <w:lang w:val="en-GB"/>
        </w:rPr>
      </w:pPr>
      <w:r w:rsidRPr="00B217DC">
        <w:rPr>
          <w:rFonts w:cs="Arial"/>
          <w:b/>
          <w:color w:val="auto"/>
          <w:sz w:val="20"/>
          <w:szCs w:val="20"/>
          <w:lang w:val="en-GB"/>
        </w:rPr>
        <w:t>16.8</w:t>
      </w:r>
      <w:r w:rsidR="00AD2F89" w:rsidRPr="00B217DC">
        <w:rPr>
          <w:rFonts w:cs="Arial"/>
          <w:b/>
          <w:color w:val="auto"/>
          <w:sz w:val="20"/>
          <w:szCs w:val="20"/>
          <w:lang w:val="en-GB"/>
        </w:rPr>
        <w:t>.4 Reports</w:t>
      </w:r>
    </w:p>
    <w:p w:rsidR="00AD2F89" w:rsidRPr="00B217DC" w:rsidRDefault="00AD2F89" w:rsidP="00B217DC">
      <w:pPr>
        <w:numPr>
          <w:ilvl w:val="0"/>
          <w:numId w:val="83"/>
        </w:numPr>
        <w:ind w:left="426"/>
        <w:rPr>
          <w:rFonts w:cs="Arial"/>
          <w:b/>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Pr="00B217DC">
        <w:rPr>
          <w:rFonts w:cs="Arial"/>
          <w:color w:val="auto"/>
          <w:sz w:val="20"/>
          <w:szCs w:val="20"/>
          <w:lang w:val="en-GB"/>
        </w:rPr>
        <w:t>he Department brief the Committee on reports completed for</w:t>
      </w:r>
      <w:r w:rsidR="00FF1D7B" w:rsidRPr="00B217DC">
        <w:rPr>
          <w:rFonts w:cs="Arial"/>
          <w:color w:val="auto"/>
          <w:sz w:val="20"/>
          <w:szCs w:val="20"/>
          <w:lang w:val="en-GB"/>
        </w:rPr>
        <w:t xml:space="preserve"> </w:t>
      </w:r>
      <w:r w:rsidRPr="00B217DC">
        <w:rPr>
          <w:rFonts w:cs="Arial"/>
          <w:color w:val="auto"/>
          <w:sz w:val="20"/>
          <w:szCs w:val="20"/>
          <w:lang w:val="en-GB"/>
        </w:rPr>
        <w:t>2021/22 and submit all outstanding reports. The briefing should include what progress has been made since the completion of the reports.</w:t>
      </w:r>
    </w:p>
    <w:p w:rsidR="00AD2F89" w:rsidRPr="00B217DC" w:rsidRDefault="00AD2F89" w:rsidP="00B217DC">
      <w:pPr>
        <w:numPr>
          <w:ilvl w:val="0"/>
          <w:numId w:val="83"/>
        </w:numPr>
        <w:ind w:left="426"/>
        <w:rPr>
          <w:rFonts w:cs="Arial"/>
          <w:b/>
          <w:color w:val="auto"/>
          <w:sz w:val="20"/>
          <w:szCs w:val="20"/>
          <w:lang w:val="en-GB"/>
        </w:rPr>
      </w:pPr>
      <w:r w:rsidRPr="00B217DC">
        <w:rPr>
          <w:rFonts w:cs="Arial"/>
          <w:color w:val="auto"/>
          <w:sz w:val="20"/>
          <w:szCs w:val="20"/>
          <w:lang w:val="en-GB"/>
        </w:rPr>
        <w:t>The Department is requested to submit all finalised reports one month after completion to the Committee for consideration.</w:t>
      </w:r>
    </w:p>
    <w:p w:rsidR="00AD2F89" w:rsidRPr="00B217DC" w:rsidRDefault="00AD2F89" w:rsidP="00B217DC">
      <w:pPr>
        <w:rPr>
          <w:rFonts w:cs="Arial"/>
          <w:color w:val="auto"/>
          <w:sz w:val="20"/>
          <w:szCs w:val="20"/>
          <w:lang w:val="en-GB"/>
        </w:rPr>
      </w:pPr>
    </w:p>
    <w:p w:rsidR="00170BD2" w:rsidRPr="00B217DC" w:rsidRDefault="00720379" w:rsidP="00B217DC">
      <w:pPr>
        <w:rPr>
          <w:rFonts w:cs="Arial"/>
          <w:b/>
          <w:color w:val="auto"/>
          <w:sz w:val="20"/>
          <w:szCs w:val="20"/>
          <w:lang w:val="en-GB"/>
        </w:rPr>
      </w:pPr>
      <w:r w:rsidRPr="00B217DC">
        <w:rPr>
          <w:rFonts w:cs="Arial"/>
          <w:b/>
          <w:color w:val="auto"/>
          <w:sz w:val="20"/>
          <w:szCs w:val="20"/>
          <w:lang w:val="en-GB"/>
        </w:rPr>
        <w:t>16</w:t>
      </w:r>
      <w:r w:rsidR="00170BD2" w:rsidRPr="00B217DC">
        <w:rPr>
          <w:rFonts w:cs="Arial"/>
          <w:b/>
          <w:color w:val="auto"/>
          <w:sz w:val="20"/>
          <w:szCs w:val="20"/>
          <w:lang w:val="en-GB"/>
        </w:rPr>
        <w:t>.</w:t>
      </w:r>
      <w:r w:rsidR="008553FE" w:rsidRPr="00B217DC">
        <w:rPr>
          <w:rFonts w:cs="Arial"/>
          <w:b/>
          <w:color w:val="auto"/>
          <w:sz w:val="20"/>
          <w:szCs w:val="20"/>
          <w:lang w:val="en-GB"/>
        </w:rPr>
        <w:t>8</w:t>
      </w:r>
      <w:r w:rsidR="000B638A" w:rsidRPr="00B217DC">
        <w:rPr>
          <w:rFonts w:cs="Arial"/>
          <w:b/>
          <w:color w:val="auto"/>
          <w:sz w:val="20"/>
          <w:szCs w:val="20"/>
          <w:lang w:val="en-GB"/>
        </w:rPr>
        <w:t>.</w:t>
      </w:r>
      <w:r w:rsidR="00AD2F89" w:rsidRPr="00B217DC">
        <w:rPr>
          <w:rFonts w:cs="Arial"/>
          <w:b/>
          <w:color w:val="auto"/>
          <w:sz w:val="20"/>
          <w:szCs w:val="20"/>
          <w:lang w:val="en-GB"/>
        </w:rPr>
        <w:t>5</w:t>
      </w:r>
      <w:r w:rsidR="00170BD2" w:rsidRPr="00B217DC">
        <w:rPr>
          <w:rFonts w:cs="Arial"/>
          <w:b/>
          <w:color w:val="auto"/>
          <w:sz w:val="20"/>
          <w:szCs w:val="20"/>
          <w:lang w:val="en-GB"/>
        </w:rPr>
        <w:t xml:space="preserve"> Legislative and Policy Reform</w:t>
      </w:r>
    </w:p>
    <w:p w:rsidR="00170BD2" w:rsidRPr="00B217DC" w:rsidRDefault="00170BD2" w:rsidP="00B217DC">
      <w:pPr>
        <w:numPr>
          <w:ilvl w:val="0"/>
          <w:numId w:val="20"/>
        </w:numPr>
        <w:ind w:left="426"/>
        <w:rPr>
          <w:rFonts w:cs="Arial"/>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00266066" w:rsidRPr="00B217DC">
        <w:rPr>
          <w:rFonts w:cs="Arial"/>
          <w:color w:val="auto"/>
          <w:sz w:val="20"/>
          <w:szCs w:val="20"/>
          <w:lang w:val="en-GB"/>
        </w:rPr>
        <w:t xml:space="preserve">he Department should brief </w:t>
      </w:r>
      <w:r w:rsidR="00FF1D7B" w:rsidRPr="00B217DC">
        <w:rPr>
          <w:rFonts w:cs="Arial"/>
          <w:color w:val="auto"/>
          <w:sz w:val="20"/>
          <w:szCs w:val="20"/>
          <w:lang w:val="en-GB"/>
        </w:rPr>
        <w:t xml:space="preserve">it </w:t>
      </w:r>
      <w:r w:rsidR="00266066" w:rsidRPr="00B217DC">
        <w:rPr>
          <w:rFonts w:cs="Arial"/>
          <w:color w:val="auto"/>
          <w:sz w:val="20"/>
          <w:szCs w:val="20"/>
          <w:lang w:val="en-GB"/>
        </w:rPr>
        <w:t>on its legislative programme and outline what progress has been made in developing various Bill</w:t>
      </w:r>
      <w:r w:rsidRPr="00B217DC">
        <w:rPr>
          <w:rFonts w:cs="Arial"/>
          <w:color w:val="auto"/>
          <w:sz w:val="20"/>
          <w:szCs w:val="20"/>
          <w:lang w:val="en-GB"/>
        </w:rPr>
        <w:t>s</w:t>
      </w:r>
      <w:r w:rsidR="00266066" w:rsidRPr="00B217DC">
        <w:rPr>
          <w:rFonts w:cs="Arial"/>
          <w:color w:val="auto"/>
          <w:sz w:val="20"/>
          <w:szCs w:val="20"/>
          <w:lang w:val="en-GB"/>
        </w:rPr>
        <w:t xml:space="preserve"> to be introduced and the timeframes hereto</w:t>
      </w:r>
      <w:r w:rsidRPr="00B217DC">
        <w:rPr>
          <w:rFonts w:cs="Arial"/>
          <w:color w:val="auto"/>
          <w:sz w:val="20"/>
          <w:szCs w:val="20"/>
          <w:lang w:val="en-GB"/>
        </w:rPr>
        <w:t>.</w:t>
      </w:r>
    </w:p>
    <w:p w:rsidR="00170BD2" w:rsidRPr="00B217DC" w:rsidRDefault="00170BD2" w:rsidP="00B217DC">
      <w:pPr>
        <w:numPr>
          <w:ilvl w:val="0"/>
          <w:numId w:val="20"/>
        </w:numPr>
        <w:ind w:left="426"/>
        <w:rPr>
          <w:rFonts w:cs="Arial"/>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 xml:space="preserve">Committee </w:t>
      </w:r>
      <w:r w:rsidR="00DA74F2" w:rsidRPr="00B217DC">
        <w:rPr>
          <w:rFonts w:cs="Arial"/>
          <w:color w:val="auto"/>
          <w:sz w:val="20"/>
          <w:szCs w:val="20"/>
        </w:rPr>
        <w:t>urges</w:t>
      </w:r>
      <w:r w:rsidRPr="00B217DC">
        <w:rPr>
          <w:rFonts w:cs="Arial"/>
          <w:color w:val="auto"/>
          <w:sz w:val="20"/>
          <w:szCs w:val="20"/>
        </w:rPr>
        <w:t xml:space="preserve"> t</w:t>
      </w:r>
      <w:r w:rsidRPr="00B217DC">
        <w:rPr>
          <w:rFonts w:cs="Arial"/>
          <w:color w:val="auto"/>
          <w:sz w:val="20"/>
          <w:szCs w:val="20"/>
          <w:lang w:val="en-GB"/>
        </w:rPr>
        <w:t xml:space="preserve">he Department </w:t>
      </w:r>
      <w:r w:rsidR="00DA74F2" w:rsidRPr="00B217DC">
        <w:rPr>
          <w:rFonts w:cs="Arial"/>
          <w:color w:val="auto"/>
          <w:sz w:val="20"/>
          <w:szCs w:val="20"/>
          <w:lang w:val="en-GB"/>
        </w:rPr>
        <w:t>to finalise all outstanding policies and frameworks</w:t>
      </w:r>
      <w:r w:rsidRPr="00B217DC">
        <w:rPr>
          <w:rFonts w:cs="Arial"/>
          <w:color w:val="auto"/>
          <w:sz w:val="20"/>
          <w:szCs w:val="20"/>
          <w:lang w:val="en-GB"/>
        </w:rPr>
        <w:t>.</w:t>
      </w:r>
    </w:p>
    <w:p w:rsidR="00AD2F89" w:rsidRPr="00B217DC" w:rsidRDefault="00AD2F89" w:rsidP="00B217DC">
      <w:pPr>
        <w:numPr>
          <w:ilvl w:val="0"/>
          <w:numId w:val="20"/>
        </w:numPr>
        <w:ind w:left="426"/>
        <w:rPr>
          <w:rFonts w:cs="Arial"/>
          <w:color w:val="auto"/>
          <w:sz w:val="20"/>
          <w:szCs w:val="20"/>
          <w:lang w:val="en-GB"/>
        </w:rPr>
      </w:pPr>
      <w:r w:rsidRPr="00B217DC">
        <w:rPr>
          <w:rFonts w:cs="Arial"/>
          <w:color w:val="auto"/>
          <w:sz w:val="20"/>
          <w:szCs w:val="20"/>
          <w:lang w:val="en-GB"/>
        </w:rPr>
        <w:t xml:space="preserve">The </w:t>
      </w:r>
      <w:r w:rsidRPr="00B217DC">
        <w:rPr>
          <w:rFonts w:cs="Arial"/>
          <w:color w:val="auto"/>
          <w:sz w:val="20"/>
          <w:szCs w:val="20"/>
        </w:rPr>
        <w:t>Committee recommends that t</w:t>
      </w:r>
      <w:r w:rsidRPr="00B217DC">
        <w:rPr>
          <w:rFonts w:cs="Arial"/>
          <w:color w:val="auto"/>
          <w:sz w:val="20"/>
          <w:szCs w:val="20"/>
          <w:lang w:val="en-GB"/>
        </w:rPr>
        <w:t>he Department brief the Committee on a quarterly basis progress update on the development of reports/policies/frameworks/guidelines etc.</w:t>
      </w:r>
    </w:p>
    <w:p w:rsidR="00596F66" w:rsidRPr="00B217DC" w:rsidRDefault="00CA4491" w:rsidP="00B217DC">
      <w:pPr>
        <w:tabs>
          <w:tab w:val="left" w:pos="551"/>
        </w:tabs>
        <w:rPr>
          <w:rFonts w:cs="Arial"/>
          <w:color w:val="auto"/>
          <w:sz w:val="20"/>
          <w:szCs w:val="20"/>
          <w:lang w:val="en-GB"/>
        </w:rPr>
      </w:pPr>
      <w:r w:rsidRPr="00B217DC">
        <w:rPr>
          <w:rFonts w:cs="Arial"/>
          <w:color w:val="auto"/>
          <w:sz w:val="20"/>
          <w:szCs w:val="20"/>
          <w:lang w:val="en-GB"/>
        </w:rPr>
        <w:tab/>
      </w:r>
    </w:p>
    <w:p w:rsidR="007B10A5" w:rsidRPr="00B217DC" w:rsidRDefault="007B10A5" w:rsidP="00B217DC">
      <w:pPr>
        <w:rPr>
          <w:rFonts w:cs="Arial"/>
          <w:b/>
          <w:color w:val="auto"/>
          <w:sz w:val="20"/>
          <w:szCs w:val="20"/>
          <w:lang w:val="en-GB"/>
        </w:rPr>
      </w:pPr>
      <w:r w:rsidRPr="00B217DC">
        <w:rPr>
          <w:rFonts w:cs="Arial"/>
          <w:b/>
          <w:color w:val="auto"/>
          <w:sz w:val="20"/>
          <w:szCs w:val="20"/>
          <w:lang w:val="en-GB"/>
        </w:rPr>
        <w:t>1</w:t>
      </w:r>
      <w:r w:rsidR="00720379"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8</w:t>
      </w:r>
      <w:r w:rsidR="000B638A" w:rsidRPr="00B217DC">
        <w:rPr>
          <w:rFonts w:cs="Arial"/>
          <w:b/>
          <w:color w:val="auto"/>
          <w:sz w:val="20"/>
          <w:szCs w:val="20"/>
          <w:lang w:val="en-GB"/>
        </w:rPr>
        <w:t>.</w:t>
      </w:r>
      <w:r w:rsidR="004E7A11" w:rsidRPr="00B217DC">
        <w:rPr>
          <w:rFonts w:cs="Arial"/>
          <w:b/>
          <w:color w:val="auto"/>
          <w:sz w:val="20"/>
          <w:szCs w:val="20"/>
          <w:lang w:val="en-GB"/>
        </w:rPr>
        <w:t>6</w:t>
      </w:r>
      <w:r w:rsidRPr="00B217DC">
        <w:rPr>
          <w:rFonts w:cs="Arial"/>
          <w:b/>
          <w:color w:val="auto"/>
          <w:sz w:val="20"/>
          <w:szCs w:val="20"/>
          <w:lang w:val="en-GB"/>
        </w:rPr>
        <w:t xml:space="preserve"> GBVF</w:t>
      </w:r>
    </w:p>
    <w:p w:rsidR="00DA74F2" w:rsidRPr="00B217DC" w:rsidRDefault="008E78C7" w:rsidP="00B217DC">
      <w:pPr>
        <w:pStyle w:val="ListParagraph"/>
        <w:numPr>
          <w:ilvl w:val="0"/>
          <w:numId w:val="59"/>
        </w:numPr>
        <w:ind w:left="426"/>
        <w:rPr>
          <w:rFonts w:cs="Arial"/>
          <w:color w:val="auto"/>
          <w:sz w:val="20"/>
          <w:szCs w:val="20"/>
          <w:lang w:val="en-GB"/>
        </w:rPr>
      </w:pPr>
      <w:r w:rsidRPr="00B217DC">
        <w:rPr>
          <w:rFonts w:cs="Arial"/>
          <w:i/>
          <w:color w:val="auto"/>
          <w:sz w:val="20"/>
          <w:szCs w:val="20"/>
          <w:lang w:val="en-GB"/>
        </w:rPr>
        <w:t>NSP</w:t>
      </w:r>
      <w:r w:rsidRPr="00B217DC">
        <w:rPr>
          <w:rFonts w:cs="Arial"/>
          <w:color w:val="auto"/>
          <w:sz w:val="20"/>
          <w:szCs w:val="20"/>
          <w:lang w:val="en-GB"/>
        </w:rPr>
        <w:t>: The Department to provide quarterly updates on the implementation of the NSP</w:t>
      </w:r>
      <w:r w:rsidR="004112C7" w:rsidRPr="00B217DC">
        <w:rPr>
          <w:rFonts w:cs="Arial"/>
          <w:color w:val="auto"/>
          <w:sz w:val="20"/>
          <w:szCs w:val="20"/>
          <w:lang w:val="en-GB"/>
        </w:rPr>
        <w:t>.</w:t>
      </w:r>
      <w:r w:rsidRPr="00B217DC">
        <w:rPr>
          <w:rFonts w:cs="Arial"/>
          <w:color w:val="auto"/>
          <w:sz w:val="20"/>
          <w:szCs w:val="20"/>
          <w:lang w:val="en-GB"/>
        </w:rPr>
        <w:t xml:space="preserve"> </w:t>
      </w:r>
      <w:r w:rsidR="00EB7E18" w:rsidRPr="00B217DC">
        <w:rPr>
          <w:rFonts w:cs="Arial"/>
          <w:color w:val="auto"/>
          <w:sz w:val="20"/>
          <w:szCs w:val="20"/>
          <w:lang w:val="en-GB"/>
        </w:rPr>
        <w:t xml:space="preserve">The Department </w:t>
      </w:r>
      <w:r w:rsidR="004112C7" w:rsidRPr="00B217DC">
        <w:rPr>
          <w:rFonts w:cs="Arial"/>
          <w:color w:val="auto"/>
          <w:sz w:val="20"/>
          <w:szCs w:val="20"/>
          <w:lang w:val="en-GB"/>
        </w:rPr>
        <w:t>submit its M&amp;E reports on the implementation of the NSP and brief the Committee accordingly</w:t>
      </w:r>
      <w:r w:rsidR="00EB7E18" w:rsidRPr="00B217DC">
        <w:rPr>
          <w:rFonts w:cs="Arial"/>
          <w:color w:val="auto"/>
          <w:sz w:val="20"/>
          <w:szCs w:val="20"/>
          <w:lang w:val="en-GB"/>
        </w:rPr>
        <w:t>.</w:t>
      </w:r>
    </w:p>
    <w:p w:rsidR="00EB7E18" w:rsidRPr="00B217DC" w:rsidRDefault="00EB7E18" w:rsidP="00B217DC">
      <w:pPr>
        <w:pStyle w:val="ListParagraph"/>
        <w:numPr>
          <w:ilvl w:val="0"/>
          <w:numId w:val="59"/>
        </w:numPr>
        <w:ind w:left="426"/>
        <w:rPr>
          <w:rFonts w:cs="Arial"/>
          <w:color w:val="auto"/>
          <w:sz w:val="20"/>
          <w:szCs w:val="20"/>
          <w:lang w:val="en-GB"/>
        </w:rPr>
      </w:pPr>
      <w:r w:rsidRPr="00B217DC">
        <w:rPr>
          <w:rFonts w:cs="Arial"/>
          <w:color w:val="auto"/>
          <w:sz w:val="20"/>
          <w:szCs w:val="20"/>
          <w:lang w:val="en-GB"/>
        </w:rPr>
        <w:t xml:space="preserve">The </w:t>
      </w:r>
      <w:r w:rsidR="00266066" w:rsidRPr="00B217DC">
        <w:rPr>
          <w:rFonts w:cs="Arial"/>
          <w:color w:val="auto"/>
          <w:sz w:val="20"/>
          <w:szCs w:val="20"/>
          <w:lang w:val="en-GB"/>
        </w:rPr>
        <w:t xml:space="preserve">Department to </w:t>
      </w:r>
      <w:r w:rsidR="004112C7" w:rsidRPr="00B217DC">
        <w:rPr>
          <w:rFonts w:cs="Arial"/>
          <w:color w:val="auto"/>
          <w:sz w:val="20"/>
          <w:szCs w:val="20"/>
          <w:lang w:val="en-GB"/>
        </w:rPr>
        <w:t>submit</w:t>
      </w:r>
      <w:r w:rsidR="00266066" w:rsidRPr="00B217DC">
        <w:rPr>
          <w:rFonts w:cs="Arial"/>
          <w:color w:val="auto"/>
          <w:sz w:val="20"/>
          <w:szCs w:val="20"/>
          <w:lang w:val="en-GB"/>
        </w:rPr>
        <w:t xml:space="preserve"> the National GBVF Prevention Strategy </w:t>
      </w:r>
      <w:r w:rsidR="004112C7" w:rsidRPr="00B217DC">
        <w:rPr>
          <w:rFonts w:cs="Arial"/>
          <w:color w:val="auto"/>
          <w:sz w:val="20"/>
          <w:szCs w:val="20"/>
          <w:lang w:val="en-GB"/>
        </w:rPr>
        <w:t>to the Committee for consideration.</w:t>
      </w:r>
    </w:p>
    <w:p w:rsidR="0000306A" w:rsidRPr="00B217DC" w:rsidRDefault="008E78C7" w:rsidP="00B217DC">
      <w:pPr>
        <w:pStyle w:val="ListParagraph"/>
        <w:numPr>
          <w:ilvl w:val="0"/>
          <w:numId w:val="59"/>
        </w:numPr>
        <w:ind w:left="426"/>
        <w:rPr>
          <w:rFonts w:cs="Arial"/>
          <w:color w:val="auto"/>
          <w:sz w:val="20"/>
          <w:szCs w:val="20"/>
          <w:lang w:val="en-GB"/>
        </w:rPr>
      </w:pPr>
      <w:r w:rsidRPr="00B217DC">
        <w:rPr>
          <w:rFonts w:cs="Arial"/>
          <w:i/>
          <w:color w:val="auto"/>
          <w:sz w:val="20"/>
          <w:szCs w:val="20"/>
          <w:lang w:val="en-GB"/>
        </w:rPr>
        <w:t>NCGBVF</w:t>
      </w:r>
      <w:r w:rsidRPr="00B217DC">
        <w:rPr>
          <w:rFonts w:cs="Arial"/>
          <w:color w:val="auto"/>
          <w:sz w:val="20"/>
          <w:szCs w:val="20"/>
          <w:lang w:val="en-GB"/>
        </w:rPr>
        <w:t xml:space="preserve">: The Department to </w:t>
      </w:r>
      <w:r w:rsidR="00266066" w:rsidRPr="00B217DC">
        <w:rPr>
          <w:rFonts w:cs="Arial"/>
          <w:color w:val="auto"/>
          <w:sz w:val="20"/>
          <w:szCs w:val="20"/>
          <w:lang w:val="en-GB"/>
        </w:rPr>
        <w:t xml:space="preserve">brief </w:t>
      </w:r>
      <w:r w:rsidRPr="00B217DC">
        <w:rPr>
          <w:rFonts w:cs="Arial"/>
          <w:color w:val="auto"/>
          <w:sz w:val="20"/>
          <w:szCs w:val="20"/>
          <w:lang w:val="en-GB"/>
        </w:rPr>
        <w:t>the Committee</w:t>
      </w:r>
      <w:r w:rsidR="00266066" w:rsidRPr="00B217DC">
        <w:rPr>
          <w:rFonts w:cs="Arial"/>
          <w:color w:val="auto"/>
          <w:sz w:val="20"/>
          <w:szCs w:val="20"/>
          <w:lang w:val="en-GB"/>
        </w:rPr>
        <w:t xml:space="preserve"> on the </w:t>
      </w:r>
      <w:r w:rsidR="004C1127" w:rsidRPr="00B217DC">
        <w:rPr>
          <w:rFonts w:cs="Arial"/>
          <w:color w:val="auto"/>
          <w:sz w:val="20"/>
          <w:szCs w:val="20"/>
          <w:lang w:val="en-GB"/>
        </w:rPr>
        <w:t xml:space="preserve">National Council on GBVF Bill that has been </w:t>
      </w:r>
      <w:r w:rsidR="004112C7" w:rsidRPr="00B217DC">
        <w:rPr>
          <w:rFonts w:cs="Arial"/>
          <w:color w:val="auto"/>
          <w:sz w:val="20"/>
          <w:szCs w:val="20"/>
          <w:lang w:val="en-GB"/>
        </w:rPr>
        <w:t>tabled</w:t>
      </w:r>
      <w:r w:rsidRPr="00B217DC">
        <w:rPr>
          <w:rFonts w:cs="Arial"/>
          <w:color w:val="auto"/>
          <w:sz w:val="20"/>
          <w:szCs w:val="20"/>
          <w:lang w:val="en-GB"/>
        </w:rPr>
        <w:t>.</w:t>
      </w:r>
    </w:p>
    <w:p w:rsidR="0000306A" w:rsidRPr="00B217DC" w:rsidRDefault="0000306A" w:rsidP="00B217DC">
      <w:pPr>
        <w:pStyle w:val="ListParagraph"/>
        <w:numPr>
          <w:ilvl w:val="0"/>
          <w:numId w:val="59"/>
        </w:numPr>
        <w:ind w:left="426"/>
        <w:rPr>
          <w:rFonts w:cs="Arial"/>
          <w:color w:val="auto"/>
          <w:sz w:val="20"/>
          <w:szCs w:val="20"/>
          <w:lang w:val="en-GB"/>
        </w:rPr>
      </w:pPr>
      <w:r w:rsidRPr="00B217DC">
        <w:rPr>
          <w:rFonts w:cs="Arial"/>
          <w:i/>
          <w:color w:val="auto"/>
          <w:sz w:val="20"/>
          <w:szCs w:val="20"/>
          <w:lang w:val="en-GB"/>
        </w:rPr>
        <w:t>Secretariat</w:t>
      </w:r>
      <w:r w:rsidRPr="00B217DC">
        <w:rPr>
          <w:rFonts w:cs="Arial"/>
          <w:color w:val="auto"/>
          <w:sz w:val="20"/>
          <w:szCs w:val="20"/>
          <w:lang w:val="en-GB"/>
        </w:rPr>
        <w:t xml:space="preserve">: The </w:t>
      </w:r>
      <w:r w:rsidR="000C4987" w:rsidRPr="00B217DC">
        <w:rPr>
          <w:rFonts w:cs="Arial"/>
          <w:color w:val="auto"/>
          <w:sz w:val="20"/>
          <w:szCs w:val="20"/>
          <w:lang w:val="en-GB"/>
        </w:rPr>
        <w:t>Secretariat</w:t>
      </w:r>
      <w:r w:rsidRPr="00B217DC">
        <w:rPr>
          <w:rFonts w:cs="Arial"/>
          <w:color w:val="auto"/>
          <w:sz w:val="20"/>
          <w:szCs w:val="20"/>
          <w:lang w:val="en-GB"/>
        </w:rPr>
        <w:t xml:space="preserve">/technical team to brief the Committee on progress made </w:t>
      </w:r>
      <w:r w:rsidR="004112C7" w:rsidRPr="00B217DC">
        <w:rPr>
          <w:rFonts w:cs="Arial"/>
          <w:color w:val="auto"/>
          <w:sz w:val="20"/>
          <w:szCs w:val="20"/>
          <w:lang w:val="en-GB"/>
        </w:rPr>
        <w:t xml:space="preserve">to date in November 2022 </w:t>
      </w:r>
      <w:r w:rsidRPr="00B217DC">
        <w:rPr>
          <w:rFonts w:cs="Arial"/>
          <w:color w:val="auto"/>
          <w:sz w:val="20"/>
          <w:szCs w:val="20"/>
          <w:lang w:val="en-GB"/>
        </w:rPr>
        <w:t xml:space="preserve">at </w:t>
      </w:r>
      <w:r w:rsidR="004112C7" w:rsidRPr="00B217DC">
        <w:rPr>
          <w:rFonts w:cs="Arial"/>
          <w:color w:val="auto"/>
          <w:sz w:val="20"/>
          <w:szCs w:val="20"/>
          <w:lang w:val="en-GB"/>
        </w:rPr>
        <w:t xml:space="preserve">a day to be confirmed with the Committee </w:t>
      </w:r>
      <w:r w:rsidR="0095377C" w:rsidRPr="00B217DC">
        <w:rPr>
          <w:rFonts w:cs="Arial"/>
          <w:color w:val="auto"/>
          <w:sz w:val="20"/>
          <w:szCs w:val="20"/>
          <w:lang w:val="en-GB"/>
        </w:rPr>
        <w:t>secretariat</w:t>
      </w:r>
      <w:r w:rsidRPr="00B217DC">
        <w:rPr>
          <w:rFonts w:cs="Arial"/>
          <w:color w:val="auto"/>
          <w:sz w:val="20"/>
          <w:szCs w:val="20"/>
          <w:lang w:val="en-GB"/>
        </w:rPr>
        <w:t>.</w:t>
      </w:r>
    </w:p>
    <w:p w:rsidR="0000306A" w:rsidRPr="00B217DC" w:rsidRDefault="0000306A" w:rsidP="00B217DC">
      <w:pPr>
        <w:ind w:left="66"/>
        <w:rPr>
          <w:rFonts w:cs="Arial"/>
          <w:color w:val="auto"/>
          <w:sz w:val="20"/>
          <w:szCs w:val="20"/>
          <w:lang w:val="en-GB"/>
        </w:rPr>
      </w:pPr>
    </w:p>
    <w:p w:rsidR="00974D60" w:rsidRPr="00B217DC" w:rsidRDefault="00974D60" w:rsidP="00B217DC">
      <w:pPr>
        <w:rPr>
          <w:rFonts w:cs="Arial"/>
          <w:b/>
          <w:color w:val="auto"/>
          <w:sz w:val="20"/>
          <w:szCs w:val="20"/>
          <w:lang w:val="en-GB"/>
        </w:rPr>
      </w:pPr>
      <w:r w:rsidRPr="00B217DC">
        <w:rPr>
          <w:rFonts w:cs="Arial"/>
          <w:b/>
          <w:color w:val="auto"/>
          <w:sz w:val="20"/>
          <w:szCs w:val="20"/>
          <w:lang w:val="en-GB"/>
        </w:rPr>
        <w:t>1</w:t>
      </w:r>
      <w:r w:rsidR="00720379"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8</w:t>
      </w:r>
      <w:r w:rsidR="000B638A" w:rsidRPr="00B217DC">
        <w:rPr>
          <w:rFonts w:cs="Arial"/>
          <w:b/>
          <w:color w:val="auto"/>
          <w:sz w:val="20"/>
          <w:szCs w:val="20"/>
          <w:lang w:val="en-GB"/>
        </w:rPr>
        <w:t>.</w:t>
      </w:r>
      <w:r w:rsidR="004E7A11" w:rsidRPr="00B217DC">
        <w:rPr>
          <w:rFonts w:cs="Arial"/>
          <w:b/>
          <w:color w:val="auto"/>
          <w:sz w:val="20"/>
          <w:szCs w:val="20"/>
          <w:lang w:val="en-GB"/>
        </w:rPr>
        <w:t>7</w:t>
      </w:r>
      <w:r w:rsidRPr="00B217DC">
        <w:rPr>
          <w:rFonts w:cs="Arial"/>
          <w:b/>
          <w:color w:val="auto"/>
          <w:sz w:val="20"/>
          <w:szCs w:val="20"/>
          <w:lang w:val="en-GB"/>
        </w:rPr>
        <w:t xml:space="preserve"> Sanitary Dignity</w:t>
      </w:r>
      <w:r w:rsidR="002C2EE0" w:rsidRPr="00B217DC">
        <w:rPr>
          <w:rFonts w:cs="Arial"/>
          <w:b/>
          <w:color w:val="auto"/>
          <w:sz w:val="20"/>
          <w:szCs w:val="20"/>
          <w:lang w:val="en-GB"/>
        </w:rPr>
        <w:t xml:space="preserve"> Programme (SDP)</w:t>
      </w:r>
    </w:p>
    <w:p w:rsidR="00974D60" w:rsidRPr="00B217DC" w:rsidRDefault="00974D60" w:rsidP="00B217DC">
      <w:pPr>
        <w:pStyle w:val="ListParagraph"/>
        <w:numPr>
          <w:ilvl w:val="0"/>
          <w:numId w:val="97"/>
        </w:numPr>
        <w:ind w:left="426"/>
        <w:rPr>
          <w:rFonts w:cs="Arial"/>
          <w:color w:val="auto"/>
          <w:sz w:val="20"/>
          <w:szCs w:val="20"/>
          <w:lang w:val="en-GB"/>
        </w:rPr>
      </w:pPr>
      <w:r w:rsidRPr="00B217DC">
        <w:rPr>
          <w:rFonts w:cs="Arial"/>
          <w:color w:val="auto"/>
          <w:sz w:val="20"/>
          <w:szCs w:val="20"/>
          <w:lang w:val="en-GB"/>
        </w:rPr>
        <w:t xml:space="preserve">The Committee recommends that the Department ensure that </w:t>
      </w:r>
      <w:r w:rsidR="00DA74F2" w:rsidRPr="00B217DC">
        <w:rPr>
          <w:rFonts w:cs="Arial"/>
          <w:color w:val="auto"/>
          <w:sz w:val="20"/>
          <w:szCs w:val="20"/>
          <w:lang w:val="en-GB"/>
        </w:rPr>
        <w:t xml:space="preserve">young </w:t>
      </w:r>
      <w:r w:rsidRPr="00B217DC">
        <w:rPr>
          <w:rFonts w:cs="Arial"/>
          <w:color w:val="auto"/>
          <w:sz w:val="20"/>
          <w:szCs w:val="20"/>
          <w:lang w:val="en-GB"/>
        </w:rPr>
        <w:t xml:space="preserve">women and persons with disabilities benefit from the whole </w:t>
      </w:r>
      <w:r w:rsidR="000B638A" w:rsidRPr="00B217DC">
        <w:rPr>
          <w:rFonts w:cs="Arial"/>
          <w:color w:val="auto"/>
          <w:sz w:val="20"/>
          <w:szCs w:val="20"/>
          <w:lang w:val="en-GB"/>
        </w:rPr>
        <w:t xml:space="preserve">SDP </w:t>
      </w:r>
      <w:r w:rsidRPr="00B217DC">
        <w:rPr>
          <w:rFonts w:cs="Arial"/>
          <w:color w:val="auto"/>
          <w:sz w:val="20"/>
          <w:szCs w:val="20"/>
          <w:lang w:val="en-GB"/>
        </w:rPr>
        <w:t>value chain</w:t>
      </w:r>
      <w:r w:rsidR="008553FE" w:rsidRPr="00B217DC">
        <w:rPr>
          <w:rFonts w:cs="Arial"/>
          <w:color w:val="auto"/>
          <w:sz w:val="20"/>
          <w:szCs w:val="20"/>
          <w:lang w:val="en-GB"/>
        </w:rPr>
        <w:t xml:space="preserve"> and that it collaborates with the NYDA in this regard</w:t>
      </w:r>
      <w:r w:rsidRPr="00B217DC">
        <w:rPr>
          <w:rFonts w:cs="Arial"/>
          <w:color w:val="auto"/>
          <w:sz w:val="20"/>
          <w:szCs w:val="20"/>
          <w:lang w:val="en-GB"/>
        </w:rPr>
        <w:t>.</w:t>
      </w:r>
    </w:p>
    <w:p w:rsidR="00974D60" w:rsidRPr="00B217DC" w:rsidRDefault="00974D60" w:rsidP="00B217DC">
      <w:pPr>
        <w:pStyle w:val="ListParagraph"/>
        <w:numPr>
          <w:ilvl w:val="0"/>
          <w:numId w:val="97"/>
        </w:numPr>
        <w:ind w:left="426"/>
        <w:rPr>
          <w:rFonts w:cs="Arial"/>
          <w:color w:val="auto"/>
          <w:sz w:val="20"/>
          <w:szCs w:val="20"/>
          <w:lang w:val="en-GB"/>
        </w:rPr>
      </w:pPr>
      <w:r w:rsidRPr="00B217DC">
        <w:rPr>
          <w:rFonts w:cs="Arial"/>
          <w:color w:val="auto"/>
          <w:sz w:val="20"/>
          <w:szCs w:val="20"/>
          <w:lang w:val="en-GB"/>
        </w:rPr>
        <w:t>The Committee recommends that the Department reports back on its monitoring and evaluation of the roll out of the sanitary dignity programme in provinces and its budgetary allocations</w:t>
      </w:r>
      <w:r w:rsidR="004E7A11" w:rsidRPr="00B217DC">
        <w:rPr>
          <w:rFonts w:cs="Arial"/>
          <w:color w:val="auto"/>
          <w:sz w:val="20"/>
          <w:szCs w:val="20"/>
          <w:lang w:val="en-GB"/>
        </w:rPr>
        <w:t xml:space="preserve"> on a quarterly basis</w:t>
      </w:r>
      <w:r w:rsidRPr="00B217DC">
        <w:rPr>
          <w:rFonts w:cs="Arial"/>
          <w:color w:val="auto"/>
          <w:sz w:val="20"/>
          <w:szCs w:val="20"/>
          <w:lang w:val="en-GB"/>
        </w:rPr>
        <w:t xml:space="preserve">.  </w:t>
      </w:r>
    </w:p>
    <w:p w:rsidR="00974D60" w:rsidRPr="00B217DC" w:rsidRDefault="00974D60" w:rsidP="00B217DC">
      <w:pPr>
        <w:rPr>
          <w:rFonts w:cs="Arial"/>
          <w:color w:val="auto"/>
          <w:sz w:val="20"/>
          <w:szCs w:val="20"/>
          <w:lang w:val="en-GB"/>
        </w:rPr>
      </w:pPr>
    </w:p>
    <w:p w:rsidR="00F62BC0" w:rsidRPr="00B217DC" w:rsidRDefault="00F62BC0" w:rsidP="00B217DC">
      <w:pPr>
        <w:rPr>
          <w:rFonts w:cs="Arial"/>
          <w:color w:val="auto"/>
          <w:sz w:val="20"/>
          <w:szCs w:val="20"/>
          <w:lang w:val="en-GB"/>
        </w:rPr>
      </w:pPr>
    </w:p>
    <w:p w:rsidR="00267DA6" w:rsidRPr="00B217DC" w:rsidRDefault="000B638A" w:rsidP="00B217DC">
      <w:pPr>
        <w:rPr>
          <w:rFonts w:cs="Arial"/>
          <w:b/>
          <w:color w:val="auto"/>
          <w:sz w:val="20"/>
          <w:szCs w:val="20"/>
          <w:lang w:val="en-GB"/>
        </w:rPr>
      </w:pPr>
      <w:r w:rsidRPr="00B217DC">
        <w:rPr>
          <w:rFonts w:cs="Arial"/>
          <w:b/>
          <w:color w:val="auto"/>
          <w:sz w:val="20"/>
          <w:szCs w:val="20"/>
          <w:lang w:val="en-GB"/>
        </w:rPr>
        <w:t>16.</w:t>
      </w:r>
      <w:r w:rsidR="008553FE" w:rsidRPr="00B217DC">
        <w:rPr>
          <w:rFonts w:cs="Arial"/>
          <w:b/>
          <w:color w:val="auto"/>
          <w:sz w:val="20"/>
          <w:szCs w:val="20"/>
          <w:lang w:val="en-GB"/>
        </w:rPr>
        <w:t>8</w:t>
      </w:r>
      <w:r w:rsidRPr="00B217DC">
        <w:rPr>
          <w:rFonts w:cs="Arial"/>
          <w:b/>
          <w:color w:val="auto"/>
          <w:sz w:val="20"/>
          <w:szCs w:val="20"/>
          <w:lang w:val="en-GB"/>
        </w:rPr>
        <w:t>.</w:t>
      </w:r>
      <w:r w:rsidR="004E7A11" w:rsidRPr="00B217DC">
        <w:rPr>
          <w:rFonts w:cs="Arial"/>
          <w:b/>
          <w:color w:val="auto"/>
          <w:sz w:val="20"/>
          <w:szCs w:val="20"/>
          <w:lang w:val="en-GB"/>
        </w:rPr>
        <w:t>8</w:t>
      </w:r>
      <w:r w:rsidRPr="00B217DC">
        <w:rPr>
          <w:rFonts w:cs="Arial"/>
          <w:b/>
          <w:color w:val="auto"/>
          <w:sz w:val="20"/>
          <w:szCs w:val="20"/>
          <w:lang w:val="en-GB"/>
        </w:rPr>
        <w:t xml:space="preserve"> </w:t>
      </w:r>
      <w:r w:rsidR="002C2EE0" w:rsidRPr="00B217DC">
        <w:rPr>
          <w:rFonts w:cs="Arial"/>
          <w:b/>
          <w:color w:val="auto"/>
          <w:sz w:val="20"/>
          <w:szCs w:val="20"/>
          <w:lang w:val="en-GB"/>
        </w:rPr>
        <w:t>Rights of Persons with Disabilities (</w:t>
      </w:r>
      <w:r w:rsidR="00267DA6" w:rsidRPr="00B217DC">
        <w:rPr>
          <w:rFonts w:cs="Arial"/>
          <w:b/>
          <w:color w:val="auto"/>
          <w:sz w:val="20"/>
          <w:szCs w:val="20"/>
          <w:lang w:val="en-GB"/>
        </w:rPr>
        <w:t>RPD</w:t>
      </w:r>
      <w:r w:rsidR="002C2EE0" w:rsidRPr="00B217DC">
        <w:rPr>
          <w:rFonts w:cs="Arial"/>
          <w:b/>
          <w:color w:val="auto"/>
          <w:sz w:val="20"/>
          <w:szCs w:val="20"/>
          <w:lang w:val="en-GB"/>
        </w:rPr>
        <w:t>) Programme</w:t>
      </w:r>
    </w:p>
    <w:p w:rsidR="008E78C7" w:rsidRPr="00B217DC" w:rsidRDefault="00267DA6" w:rsidP="00B217DC">
      <w:pPr>
        <w:pStyle w:val="ListParagraph"/>
        <w:numPr>
          <w:ilvl w:val="1"/>
          <w:numId w:val="60"/>
        </w:numPr>
        <w:ind w:left="426"/>
        <w:rPr>
          <w:rFonts w:cs="Arial"/>
          <w:color w:val="auto"/>
          <w:sz w:val="20"/>
          <w:szCs w:val="20"/>
          <w:lang w:val="en-GB"/>
        </w:rPr>
      </w:pPr>
      <w:r w:rsidRPr="00B217DC">
        <w:rPr>
          <w:rFonts w:cs="Arial"/>
          <w:color w:val="auto"/>
          <w:sz w:val="20"/>
          <w:szCs w:val="20"/>
          <w:lang w:val="en-GB"/>
        </w:rPr>
        <w:lastRenderedPageBreak/>
        <w:t>The Department should submit quarterly and annual reports on the N</w:t>
      </w:r>
      <w:r w:rsidR="004C1127" w:rsidRPr="00B217DC">
        <w:rPr>
          <w:rFonts w:cs="Arial"/>
          <w:color w:val="auto"/>
          <w:sz w:val="20"/>
          <w:szCs w:val="20"/>
          <w:lang w:val="en-GB"/>
        </w:rPr>
        <w:t xml:space="preserve">ational </w:t>
      </w:r>
      <w:r w:rsidRPr="00B217DC">
        <w:rPr>
          <w:rFonts w:cs="Arial"/>
          <w:color w:val="auto"/>
          <w:sz w:val="20"/>
          <w:szCs w:val="20"/>
          <w:lang w:val="en-GB"/>
        </w:rPr>
        <w:t>D</w:t>
      </w:r>
      <w:r w:rsidR="004C1127" w:rsidRPr="00B217DC">
        <w:rPr>
          <w:rFonts w:cs="Arial"/>
          <w:color w:val="auto"/>
          <w:sz w:val="20"/>
          <w:szCs w:val="20"/>
          <w:lang w:val="en-GB"/>
        </w:rPr>
        <w:t xml:space="preserve">isability </w:t>
      </w:r>
      <w:r w:rsidRPr="00B217DC">
        <w:rPr>
          <w:rFonts w:cs="Arial"/>
          <w:color w:val="auto"/>
          <w:sz w:val="20"/>
          <w:szCs w:val="20"/>
          <w:lang w:val="en-GB"/>
        </w:rPr>
        <w:t>M</w:t>
      </w:r>
      <w:r w:rsidR="004C1127" w:rsidRPr="00B217DC">
        <w:rPr>
          <w:rFonts w:cs="Arial"/>
          <w:color w:val="auto"/>
          <w:sz w:val="20"/>
          <w:szCs w:val="20"/>
          <w:lang w:val="en-GB"/>
        </w:rPr>
        <w:t>achinery meetings</w:t>
      </w:r>
      <w:r w:rsidRPr="00B217DC">
        <w:rPr>
          <w:rFonts w:cs="Arial"/>
          <w:color w:val="auto"/>
          <w:sz w:val="20"/>
          <w:szCs w:val="20"/>
          <w:lang w:val="en-GB"/>
        </w:rPr>
        <w:t>.</w:t>
      </w:r>
    </w:p>
    <w:p w:rsidR="004E0DE0" w:rsidRPr="00B217DC" w:rsidRDefault="008E78C7" w:rsidP="00B217DC">
      <w:pPr>
        <w:pStyle w:val="ListParagraph"/>
        <w:numPr>
          <w:ilvl w:val="1"/>
          <w:numId w:val="60"/>
        </w:numPr>
        <w:ind w:left="426"/>
        <w:rPr>
          <w:rFonts w:cs="Arial"/>
          <w:b/>
          <w:color w:val="auto"/>
          <w:sz w:val="20"/>
          <w:szCs w:val="20"/>
          <w:lang w:val="en-GB"/>
        </w:rPr>
      </w:pPr>
      <w:r w:rsidRPr="00B217DC">
        <w:rPr>
          <w:rFonts w:cs="Arial"/>
          <w:color w:val="auto"/>
          <w:sz w:val="20"/>
          <w:szCs w:val="20"/>
          <w:lang w:val="en-GB"/>
        </w:rPr>
        <w:t xml:space="preserve">The Department should </w:t>
      </w:r>
      <w:r w:rsidR="004C1127" w:rsidRPr="00B217DC">
        <w:rPr>
          <w:rFonts w:cs="Arial"/>
          <w:color w:val="auto"/>
          <w:sz w:val="20"/>
          <w:szCs w:val="20"/>
          <w:lang w:val="en-GB"/>
        </w:rPr>
        <w:t>brief the Committee on the reports produced related to the analysis of APPs and the annual monitoring report on inclusion of persons with disabilities</w:t>
      </w:r>
      <w:r w:rsidRPr="00B217DC">
        <w:rPr>
          <w:rFonts w:cs="Arial"/>
          <w:color w:val="auto"/>
          <w:sz w:val="20"/>
          <w:szCs w:val="20"/>
          <w:lang w:val="en-GB"/>
        </w:rPr>
        <w:t>.</w:t>
      </w:r>
    </w:p>
    <w:p w:rsidR="00B92A11" w:rsidRPr="00B217DC" w:rsidRDefault="00B92A11" w:rsidP="00B217DC">
      <w:pPr>
        <w:pStyle w:val="ListParagraph"/>
        <w:numPr>
          <w:ilvl w:val="1"/>
          <w:numId w:val="60"/>
        </w:numPr>
        <w:ind w:left="426"/>
        <w:rPr>
          <w:rFonts w:cs="Arial"/>
          <w:b/>
          <w:color w:val="auto"/>
          <w:sz w:val="20"/>
          <w:szCs w:val="20"/>
          <w:lang w:val="en-GB"/>
        </w:rPr>
      </w:pPr>
      <w:r w:rsidRPr="00B217DC">
        <w:rPr>
          <w:rFonts w:cs="Arial"/>
          <w:color w:val="auto"/>
          <w:sz w:val="20"/>
          <w:szCs w:val="20"/>
          <w:lang w:val="en-GB"/>
        </w:rPr>
        <w:t>The Department should expedite the development of the Disability Rights Bill and brief the Committee accordingly.</w:t>
      </w:r>
    </w:p>
    <w:p w:rsidR="00141BB2" w:rsidRPr="00B217DC" w:rsidRDefault="00141BB2" w:rsidP="00B217DC">
      <w:pPr>
        <w:ind w:left="66" w:firstLine="720"/>
        <w:rPr>
          <w:rFonts w:cs="Arial"/>
          <w:b/>
          <w:color w:val="auto"/>
          <w:sz w:val="20"/>
          <w:szCs w:val="20"/>
          <w:lang w:val="en-GB"/>
        </w:rPr>
      </w:pPr>
    </w:p>
    <w:p w:rsidR="00023CB5" w:rsidRPr="00B217DC" w:rsidRDefault="000B638A" w:rsidP="00B217DC">
      <w:pPr>
        <w:rPr>
          <w:rFonts w:cs="Arial"/>
          <w:color w:val="auto"/>
          <w:sz w:val="20"/>
          <w:szCs w:val="20"/>
          <w:lang w:val="en-GB"/>
        </w:rPr>
      </w:pPr>
      <w:r w:rsidRPr="00B217DC">
        <w:rPr>
          <w:rFonts w:cs="Arial"/>
          <w:b/>
          <w:color w:val="auto"/>
          <w:sz w:val="20"/>
          <w:szCs w:val="20"/>
          <w:lang w:val="en-GB"/>
        </w:rPr>
        <w:t>16.</w:t>
      </w:r>
      <w:r w:rsidR="008553FE" w:rsidRPr="00B217DC">
        <w:rPr>
          <w:rFonts w:cs="Arial"/>
          <w:b/>
          <w:color w:val="auto"/>
          <w:sz w:val="20"/>
          <w:szCs w:val="20"/>
          <w:lang w:val="en-GB"/>
        </w:rPr>
        <w:t>8</w:t>
      </w:r>
      <w:r w:rsidRPr="00B217DC">
        <w:rPr>
          <w:rFonts w:cs="Arial"/>
          <w:b/>
          <w:color w:val="auto"/>
          <w:sz w:val="20"/>
          <w:szCs w:val="20"/>
          <w:lang w:val="en-GB"/>
        </w:rPr>
        <w:t>.</w:t>
      </w:r>
      <w:r w:rsidR="004E7A11" w:rsidRPr="00B217DC">
        <w:rPr>
          <w:rFonts w:cs="Arial"/>
          <w:b/>
          <w:color w:val="auto"/>
          <w:sz w:val="20"/>
          <w:szCs w:val="20"/>
          <w:lang w:val="en-GB"/>
        </w:rPr>
        <w:t>9</w:t>
      </w:r>
      <w:r w:rsidRPr="00B217DC">
        <w:rPr>
          <w:rFonts w:cs="Arial"/>
          <w:b/>
          <w:color w:val="auto"/>
          <w:sz w:val="20"/>
          <w:szCs w:val="20"/>
          <w:lang w:val="en-GB"/>
        </w:rPr>
        <w:t xml:space="preserve"> </w:t>
      </w:r>
      <w:r w:rsidR="002C2EE0" w:rsidRPr="00B217DC">
        <w:rPr>
          <w:rFonts w:cs="Arial"/>
          <w:b/>
          <w:color w:val="auto"/>
          <w:sz w:val="20"/>
          <w:szCs w:val="20"/>
          <w:lang w:val="en-GB"/>
        </w:rPr>
        <w:t>National Youth Development (</w:t>
      </w:r>
      <w:r w:rsidR="00023CB5" w:rsidRPr="00B217DC">
        <w:rPr>
          <w:rFonts w:cs="Arial"/>
          <w:b/>
          <w:color w:val="auto"/>
          <w:sz w:val="20"/>
          <w:szCs w:val="20"/>
          <w:lang w:val="en-GB"/>
        </w:rPr>
        <w:t>NYD</w:t>
      </w:r>
      <w:r w:rsidR="002C2EE0" w:rsidRPr="00B217DC">
        <w:rPr>
          <w:rFonts w:cs="Arial"/>
          <w:b/>
          <w:color w:val="auto"/>
          <w:sz w:val="20"/>
          <w:szCs w:val="20"/>
          <w:lang w:val="en-GB"/>
        </w:rPr>
        <w:t>)</w:t>
      </w:r>
    </w:p>
    <w:p w:rsidR="00023CB5" w:rsidRPr="00B217DC" w:rsidRDefault="00023CB5" w:rsidP="00B217DC">
      <w:pPr>
        <w:pStyle w:val="ListParagraph"/>
        <w:numPr>
          <w:ilvl w:val="1"/>
          <w:numId w:val="66"/>
        </w:numPr>
        <w:ind w:left="426"/>
        <w:rPr>
          <w:rFonts w:cs="Arial"/>
          <w:color w:val="auto"/>
          <w:sz w:val="20"/>
          <w:szCs w:val="20"/>
          <w:lang w:val="en-GB"/>
        </w:rPr>
      </w:pPr>
      <w:r w:rsidRPr="00B217DC">
        <w:rPr>
          <w:rFonts w:cs="Arial"/>
          <w:color w:val="auto"/>
          <w:sz w:val="20"/>
          <w:szCs w:val="20"/>
          <w:lang w:val="en-GB"/>
        </w:rPr>
        <w:t xml:space="preserve">The </w:t>
      </w:r>
      <w:r w:rsidR="002527A9" w:rsidRPr="00B217DC">
        <w:rPr>
          <w:rFonts w:cs="Arial"/>
          <w:color w:val="auto"/>
          <w:sz w:val="20"/>
          <w:szCs w:val="20"/>
          <w:lang w:val="en-GB"/>
        </w:rPr>
        <w:t xml:space="preserve">Department </w:t>
      </w:r>
      <w:r w:rsidR="0095377C" w:rsidRPr="00B217DC">
        <w:rPr>
          <w:rFonts w:cs="Arial"/>
          <w:color w:val="auto"/>
          <w:sz w:val="20"/>
          <w:szCs w:val="20"/>
          <w:lang w:val="en-GB"/>
        </w:rPr>
        <w:t xml:space="preserve">should strengthen its </w:t>
      </w:r>
      <w:r w:rsidR="002527A9" w:rsidRPr="00B217DC">
        <w:rPr>
          <w:rFonts w:cs="Arial"/>
          <w:color w:val="auto"/>
          <w:sz w:val="20"/>
          <w:szCs w:val="20"/>
          <w:lang w:val="en-GB"/>
        </w:rPr>
        <w:t>collaborati</w:t>
      </w:r>
      <w:r w:rsidR="0095377C" w:rsidRPr="00B217DC">
        <w:rPr>
          <w:rFonts w:cs="Arial"/>
          <w:color w:val="auto"/>
          <w:sz w:val="20"/>
          <w:szCs w:val="20"/>
          <w:lang w:val="en-GB"/>
        </w:rPr>
        <w:t>on</w:t>
      </w:r>
      <w:r w:rsidR="002527A9" w:rsidRPr="00B217DC">
        <w:rPr>
          <w:rFonts w:cs="Arial"/>
          <w:color w:val="auto"/>
          <w:sz w:val="20"/>
          <w:szCs w:val="20"/>
          <w:lang w:val="en-GB"/>
        </w:rPr>
        <w:t xml:space="preserve"> with the NYDA as part of a coordinated strategy to address youth unemployment in the country</w:t>
      </w:r>
      <w:r w:rsidRPr="00B217DC">
        <w:rPr>
          <w:rFonts w:cs="Arial"/>
          <w:color w:val="auto"/>
          <w:sz w:val="20"/>
          <w:szCs w:val="20"/>
          <w:lang w:val="en-GB"/>
        </w:rPr>
        <w:t>.</w:t>
      </w:r>
      <w:r w:rsidR="002527A9" w:rsidRPr="00B217DC">
        <w:rPr>
          <w:rFonts w:cs="Arial"/>
          <w:color w:val="auto"/>
          <w:sz w:val="20"/>
          <w:szCs w:val="20"/>
          <w:lang w:val="en-GB"/>
        </w:rPr>
        <w:t xml:space="preserve"> The Department should submit a report that outlines how it intends giving effect to this recommendation with clear roles and responsibilities and time frames.</w:t>
      </w:r>
    </w:p>
    <w:p w:rsidR="00C26283" w:rsidRPr="00B217DC" w:rsidRDefault="00C26283" w:rsidP="00B217DC">
      <w:pPr>
        <w:pStyle w:val="ListParagraph"/>
        <w:numPr>
          <w:ilvl w:val="1"/>
          <w:numId w:val="66"/>
        </w:numPr>
        <w:ind w:left="426"/>
        <w:rPr>
          <w:rFonts w:cs="Arial"/>
          <w:color w:val="auto"/>
          <w:sz w:val="20"/>
          <w:szCs w:val="20"/>
          <w:lang w:val="en-GB"/>
        </w:rPr>
      </w:pPr>
      <w:r w:rsidRPr="00B217DC">
        <w:rPr>
          <w:rFonts w:cs="Arial"/>
          <w:color w:val="auto"/>
          <w:sz w:val="20"/>
          <w:szCs w:val="20"/>
          <w:lang w:val="en-GB"/>
        </w:rPr>
        <w:t xml:space="preserve">The programme must </w:t>
      </w:r>
      <w:r w:rsidR="004C1127" w:rsidRPr="00B217DC">
        <w:rPr>
          <w:rFonts w:cs="Arial"/>
          <w:color w:val="auto"/>
          <w:sz w:val="20"/>
          <w:szCs w:val="20"/>
          <w:lang w:val="en-GB"/>
        </w:rPr>
        <w:t>brief</w:t>
      </w:r>
      <w:r w:rsidRPr="00B217DC">
        <w:rPr>
          <w:rFonts w:cs="Arial"/>
          <w:color w:val="auto"/>
          <w:sz w:val="20"/>
          <w:szCs w:val="20"/>
          <w:lang w:val="en-GB"/>
        </w:rPr>
        <w:t xml:space="preserve"> the Committee on progress with regards to the </w:t>
      </w:r>
      <w:r w:rsidR="0095377C" w:rsidRPr="00B217DC">
        <w:rPr>
          <w:rFonts w:cs="Arial"/>
          <w:color w:val="auto"/>
          <w:sz w:val="20"/>
          <w:szCs w:val="20"/>
          <w:lang w:val="en-GB"/>
        </w:rPr>
        <w:t xml:space="preserve">South African Youth Development </w:t>
      </w:r>
      <w:r w:rsidR="004C1127" w:rsidRPr="00B217DC">
        <w:rPr>
          <w:rFonts w:cs="Arial"/>
          <w:color w:val="auto"/>
          <w:sz w:val="20"/>
          <w:szCs w:val="20"/>
          <w:lang w:val="en-GB"/>
        </w:rPr>
        <w:t>Bill at the next Quarterly report briefing</w:t>
      </w:r>
      <w:r w:rsidRPr="00B217DC">
        <w:rPr>
          <w:rFonts w:cs="Arial"/>
          <w:color w:val="auto"/>
          <w:sz w:val="20"/>
          <w:szCs w:val="20"/>
          <w:lang w:val="en-GB"/>
        </w:rPr>
        <w:t>.</w:t>
      </w:r>
    </w:p>
    <w:p w:rsidR="004C1127" w:rsidRPr="00B217DC" w:rsidRDefault="004C1127" w:rsidP="00B217DC">
      <w:pPr>
        <w:pStyle w:val="ListParagraph"/>
        <w:numPr>
          <w:ilvl w:val="1"/>
          <w:numId w:val="66"/>
        </w:numPr>
        <w:ind w:left="426"/>
        <w:rPr>
          <w:rFonts w:cs="Arial"/>
          <w:color w:val="auto"/>
          <w:sz w:val="20"/>
          <w:szCs w:val="20"/>
          <w:lang w:val="en-GB"/>
        </w:rPr>
      </w:pPr>
      <w:r w:rsidRPr="00B217DC">
        <w:rPr>
          <w:rFonts w:cs="Arial"/>
          <w:color w:val="auto"/>
          <w:sz w:val="20"/>
          <w:szCs w:val="20"/>
          <w:lang w:val="en-GB"/>
        </w:rPr>
        <w:t xml:space="preserve">The Department must </w:t>
      </w:r>
      <w:r w:rsidR="0095377C" w:rsidRPr="00B217DC">
        <w:rPr>
          <w:rFonts w:cs="Arial"/>
          <w:color w:val="auto"/>
          <w:sz w:val="20"/>
          <w:szCs w:val="20"/>
          <w:lang w:val="en-GB"/>
        </w:rPr>
        <w:t>brief the Committee on the NYDA Amendment Bill</w:t>
      </w:r>
      <w:r w:rsidRPr="00B217DC">
        <w:rPr>
          <w:rFonts w:cs="Arial"/>
          <w:color w:val="auto"/>
          <w:sz w:val="20"/>
          <w:szCs w:val="20"/>
          <w:lang w:val="en-GB"/>
        </w:rPr>
        <w:t>.</w:t>
      </w:r>
    </w:p>
    <w:p w:rsidR="00D65E90" w:rsidRPr="00B217DC" w:rsidRDefault="00D65E90"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1</w:t>
      </w:r>
      <w:r w:rsidR="00720379" w:rsidRPr="00B217DC">
        <w:rPr>
          <w:rFonts w:cs="Arial"/>
          <w:b/>
          <w:color w:val="auto"/>
          <w:sz w:val="20"/>
          <w:szCs w:val="20"/>
          <w:lang w:val="en-GB"/>
        </w:rPr>
        <w:t>6</w:t>
      </w:r>
      <w:r w:rsidR="00267382" w:rsidRPr="00B217DC">
        <w:rPr>
          <w:rFonts w:cs="Arial"/>
          <w:b/>
          <w:color w:val="auto"/>
          <w:sz w:val="20"/>
          <w:szCs w:val="20"/>
          <w:lang w:val="en-GB"/>
        </w:rPr>
        <w:t>.</w:t>
      </w:r>
      <w:r w:rsidR="008553FE" w:rsidRPr="00B217DC">
        <w:rPr>
          <w:rFonts w:cs="Arial"/>
          <w:b/>
          <w:color w:val="auto"/>
          <w:sz w:val="20"/>
          <w:szCs w:val="20"/>
          <w:lang w:val="en-GB"/>
        </w:rPr>
        <w:t>9</w:t>
      </w:r>
      <w:r w:rsidRPr="00B217DC">
        <w:rPr>
          <w:rFonts w:cs="Arial"/>
          <w:b/>
          <w:color w:val="auto"/>
          <w:sz w:val="20"/>
          <w:szCs w:val="20"/>
          <w:lang w:val="en-GB"/>
        </w:rPr>
        <w:t xml:space="preserve"> CGE</w:t>
      </w:r>
    </w:p>
    <w:p w:rsidR="00170BD2" w:rsidRPr="00B217DC" w:rsidRDefault="00170BD2" w:rsidP="00B217DC">
      <w:pPr>
        <w:rPr>
          <w:rFonts w:cs="Arial"/>
          <w:color w:val="auto"/>
          <w:sz w:val="20"/>
          <w:szCs w:val="20"/>
          <w:lang w:val="en-GB"/>
        </w:rPr>
      </w:pPr>
    </w:p>
    <w:p w:rsidR="00170BD2" w:rsidRPr="00B217DC" w:rsidRDefault="00170BD2" w:rsidP="00B217DC">
      <w:pPr>
        <w:rPr>
          <w:rFonts w:cs="Arial"/>
          <w:color w:val="auto"/>
          <w:sz w:val="20"/>
          <w:szCs w:val="20"/>
          <w:lang w:val="en-GB"/>
        </w:rPr>
      </w:pPr>
      <w:r w:rsidRPr="00B217DC">
        <w:rPr>
          <w:rFonts w:cs="Arial"/>
          <w:color w:val="auto"/>
          <w:sz w:val="20"/>
          <w:szCs w:val="20"/>
          <w:lang w:val="en-GB"/>
        </w:rPr>
        <w:t>The CGE should ensure that the following recommendations are implemented.</w:t>
      </w:r>
    </w:p>
    <w:p w:rsidR="00170BD2" w:rsidRPr="00B217DC" w:rsidRDefault="00170BD2" w:rsidP="00B217DC">
      <w:pPr>
        <w:rPr>
          <w:rFonts w:cs="Arial"/>
          <w:b/>
          <w:color w:val="auto"/>
          <w:sz w:val="20"/>
          <w:szCs w:val="20"/>
          <w:lang w:val="en-GB"/>
        </w:rPr>
      </w:pPr>
    </w:p>
    <w:p w:rsidR="00170BD2" w:rsidRPr="00B217DC" w:rsidRDefault="00170BD2" w:rsidP="00B217DC">
      <w:pPr>
        <w:pStyle w:val="ListParagraph"/>
        <w:numPr>
          <w:ilvl w:val="2"/>
          <w:numId w:val="124"/>
        </w:numPr>
        <w:rPr>
          <w:rFonts w:cs="Arial"/>
          <w:b/>
          <w:color w:val="auto"/>
          <w:sz w:val="20"/>
          <w:szCs w:val="20"/>
          <w:lang w:val="en-GB"/>
        </w:rPr>
      </w:pPr>
      <w:r w:rsidRPr="00B217DC">
        <w:rPr>
          <w:rFonts w:cs="Arial"/>
          <w:b/>
          <w:color w:val="auto"/>
          <w:sz w:val="20"/>
          <w:szCs w:val="20"/>
          <w:lang w:val="en-GB"/>
        </w:rPr>
        <w:t>Finance</w:t>
      </w:r>
    </w:p>
    <w:p w:rsidR="00170BD2" w:rsidRPr="00B217DC" w:rsidRDefault="00AA0896" w:rsidP="00B217DC">
      <w:pPr>
        <w:numPr>
          <w:ilvl w:val="0"/>
          <w:numId w:val="21"/>
        </w:numPr>
        <w:ind w:left="426" w:hanging="284"/>
        <w:rPr>
          <w:rFonts w:cs="Arial"/>
          <w:color w:val="auto"/>
          <w:sz w:val="20"/>
          <w:szCs w:val="20"/>
          <w:lang w:val="en-GB"/>
        </w:rPr>
      </w:pPr>
      <w:r w:rsidRPr="00B217DC">
        <w:rPr>
          <w:rFonts w:cs="Arial"/>
          <w:i/>
          <w:color w:val="auto"/>
          <w:sz w:val="20"/>
          <w:szCs w:val="20"/>
          <w:lang w:val="en-GB"/>
        </w:rPr>
        <w:t xml:space="preserve">Audit </w:t>
      </w:r>
      <w:r w:rsidR="00170BD2" w:rsidRPr="00B217DC">
        <w:rPr>
          <w:rFonts w:cs="Arial"/>
          <w:i/>
          <w:color w:val="auto"/>
          <w:sz w:val="20"/>
          <w:szCs w:val="20"/>
          <w:lang w:val="en-GB"/>
        </w:rPr>
        <w:t xml:space="preserve">Action </w:t>
      </w:r>
      <w:r w:rsidRPr="00B217DC">
        <w:rPr>
          <w:rFonts w:cs="Arial"/>
          <w:i/>
          <w:color w:val="auto"/>
          <w:sz w:val="20"/>
          <w:szCs w:val="20"/>
          <w:lang w:val="en-GB"/>
        </w:rPr>
        <w:t>P</w:t>
      </w:r>
      <w:r w:rsidR="00170BD2" w:rsidRPr="00B217DC">
        <w:rPr>
          <w:rFonts w:cs="Arial"/>
          <w:i/>
          <w:color w:val="auto"/>
          <w:sz w:val="20"/>
          <w:szCs w:val="20"/>
          <w:lang w:val="en-GB"/>
        </w:rPr>
        <w:t>lan</w:t>
      </w:r>
      <w:r w:rsidR="00170BD2" w:rsidRPr="00B217DC">
        <w:rPr>
          <w:rFonts w:cs="Arial"/>
          <w:color w:val="auto"/>
          <w:sz w:val="20"/>
          <w:szCs w:val="20"/>
          <w:lang w:val="en-GB"/>
        </w:rPr>
        <w:t xml:space="preserve">: The CGE should develop </w:t>
      </w:r>
      <w:r w:rsidRPr="00B217DC">
        <w:rPr>
          <w:rFonts w:cs="Arial"/>
          <w:color w:val="auto"/>
          <w:sz w:val="20"/>
          <w:szCs w:val="20"/>
          <w:lang w:val="en-GB"/>
        </w:rPr>
        <w:t xml:space="preserve">an audit </w:t>
      </w:r>
      <w:r w:rsidR="00170BD2" w:rsidRPr="00B217DC">
        <w:rPr>
          <w:rFonts w:cs="Arial"/>
          <w:color w:val="auto"/>
          <w:sz w:val="20"/>
          <w:szCs w:val="20"/>
          <w:lang w:val="en-GB"/>
        </w:rPr>
        <w:t>action plan that relate</w:t>
      </w:r>
      <w:r w:rsidRPr="00B217DC">
        <w:rPr>
          <w:rFonts w:cs="Arial"/>
          <w:color w:val="auto"/>
          <w:sz w:val="20"/>
          <w:szCs w:val="20"/>
          <w:lang w:val="en-GB"/>
        </w:rPr>
        <w:t>s</w:t>
      </w:r>
      <w:r w:rsidR="00170BD2" w:rsidRPr="00B217DC">
        <w:rPr>
          <w:rFonts w:cs="Arial"/>
          <w:color w:val="auto"/>
          <w:sz w:val="20"/>
          <w:szCs w:val="20"/>
          <w:lang w:val="en-GB"/>
        </w:rPr>
        <w:t xml:space="preserve"> to the recommendations made</w:t>
      </w:r>
      <w:r w:rsidRPr="00B217DC">
        <w:rPr>
          <w:rFonts w:cs="Arial"/>
          <w:color w:val="auto"/>
          <w:sz w:val="20"/>
          <w:szCs w:val="20"/>
          <w:lang w:val="en-GB"/>
        </w:rPr>
        <w:t xml:space="preserve"> by the AGSA. Th</w:t>
      </w:r>
      <w:r w:rsidR="0022373B" w:rsidRPr="00B217DC">
        <w:rPr>
          <w:rFonts w:cs="Arial"/>
          <w:color w:val="auto"/>
          <w:sz w:val="20"/>
          <w:szCs w:val="20"/>
          <w:lang w:val="en-GB"/>
        </w:rPr>
        <w:t>is</w:t>
      </w:r>
      <w:r w:rsidRPr="00B217DC">
        <w:rPr>
          <w:rFonts w:cs="Arial"/>
          <w:color w:val="auto"/>
          <w:sz w:val="20"/>
          <w:szCs w:val="20"/>
          <w:lang w:val="en-GB"/>
        </w:rPr>
        <w:t xml:space="preserve"> action plan</w:t>
      </w:r>
      <w:r w:rsidR="00170BD2" w:rsidRPr="00B217DC">
        <w:rPr>
          <w:rFonts w:cs="Arial"/>
          <w:color w:val="auto"/>
          <w:sz w:val="20"/>
          <w:szCs w:val="20"/>
          <w:lang w:val="en-GB"/>
        </w:rPr>
        <w:t xml:space="preserve"> should address the root cause of the problems</w:t>
      </w:r>
      <w:r w:rsidR="00C26283" w:rsidRPr="00B217DC">
        <w:rPr>
          <w:rFonts w:cs="Arial"/>
          <w:color w:val="auto"/>
          <w:sz w:val="20"/>
          <w:szCs w:val="20"/>
          <w:lang w:val="en-GB"/>
        </w:rPr>
        <w:t xml:space="preserve"> and reflect the AGSA and ARC findings/recommendations</w:t>
      </w:r>
      <w:r w:rsidR="00170BD2" w:rsidRPr="00B217DC">
        <w:rPr>
          <w:rFonts w:cs="Arial"/>
          <w:color w:val="auto"/>
          <w:sz w:val="20"/>
          <w:szCs w:val="20"/>
          <w:lang w:val="en-GB"/>
        </w:rPr>
        <w:t xml:space="preserve">. </w:t>
      </w:r>
      <w:r w:rsidRPr="00B217DC">
        <w:rPr>
          <w:rFonts w:cs="Arial"/>
          <w:color w:val="auto"/>
          <w:sz w:val="20"/>
          <w:szCs w:val="20"/>
          <w:lang w:val="en-GB"/>
        </w:rPr>
        <w:t>It</w:t>
      </w:r>
      <w:r w:rsidR="00170BD2" w:rsidRPr="00B217DC">
        <w:rPr>
          <w:rFonts w:cs="Arial"/>
          <w:color w:val="auto"/>
          <w:sz w:val="20"/>
          <w:szCs w:val="20"/>
          <w:lang w:val="en-GB"/>
        </w:rPr>
        <w:t xml:space="preserve"> must be submitted to the Committee with the </w:t>
      </w:r>
      <w:r w:rsidR="00A441BE" w:rsidRPr="00B217DC">
        <w:rPr>
          <w:rFonts w:cs="Arial"/>
          <w:color w:val="auto"/>
          <w:sz w:val="20"/>
          <w:szCs w:val="20"/>
          <w:lang w:val="en-GB"/>
        </w:rPr>
        <w:t>2</w:t>
      </w:r>
      <w:r w:rsidR="00A441BE" w:rsidRPr="00B217DC">
        <w:rPr>
          <w:rFonts w:cs="Arial"/>
          <w:color w:val="auto"/>
          <w:sz w:val="20"/>
          <w:szCs w:val="20"/>
          <w:vertAlign w:val="superscript"/>
          <w:lang w:val="en-GB"/>
        </w:rPr>
        <w:t>nd</w:t>
      </w:r>
      <w:r w:rsidR="00A441BE" w:rsidRPr="00B217DC">
        <w:rPr>
          <w:rFonts w:cs="Arial"/>
          <w:color w:val="auto"/>
          <w:sz w:val="20"/>
          <w:szCs w:val="20"/>
          <w:lang w:val="en-GB"/>
        </w:rPr>
        <w:t xml:space="preserve"> </w:t>
      </w:r>
      <w:r w:rsidR="00170BD2" w:rsidRPr="00B217DC">
        <w:rPr>
          <w:rFonts w:cs="Arial"/>
          <w:color w:val="auto"/>
          <w:sz w:val="20"/>
          <w:szCs w:val="20"/>
          <w:lang w:val="en-GB"/>
        </w:rPr>
        <w:t>Quarterly Report for 20</w:t>
      </w:r>
      <w:r w:rsidR="00C85043" w:rsidRPr="00B217DC">
        <w:rPr>
          <w:rFonts w:cs="Arial"/>
          <w:color w:val="auto"/>
          <w:sz w:val="20"/>
          <w:szCs w:val="20"/>
          <w:lang w:val="en-GB"/>
        </w:rPr>
        <w:t>2</w:t>
      </w:r>
      <w:r w:rsidR="0095377C" w:rsidRPr="00B217DC">
        <w:rPr>
          <w:rFonts w:cs="Arial"/>
          <w:color w:val="auto"/>
          <w:sz w:val="20"/>
          <w:szCs w:val="20"/>
          <w:lang w:val="en-GB"/>
        </w:rPr>
        <w:t>2/23</w:t>
      </w:r>
      <w:r w:rsidR="00170BD2" w:rsidRPr="00B217DC">
        <w:rPr>
          <w:rFonts w:cs="Arial"/>
          <w:color w:val="auto"/>
          <w:sz w:val="20"/>
          <w:szCs w:val="20"/>
          <w:lang w:val="en-GB"/>
        </w:rPr>
        <w:t>.</w:t>
      </w:r>
    </w:p>
    <w:p w:rsidR="004E0DE0" w:rsidRPr="00B217DC" w:rsidRDefault="004E0DE0" w:rsidP="00B217DC">
      <w:pPr>
        <w:numPr>
          <w:ilvl w:val="0"/>
          <w:numId w:val="21"/>
        </w:numPr>
        <w:ind w:left="426" w:hanging="284"/>
        <w:rPr>
          <w:rFonts w:cs="Arial"/>
          <w:color w:val="auto"/>
          <w:sz w:val="20"/>
          <w:szCs w:val="20"/>
          <w:lang w:val="en-GB"/>
        </w:rPr>
      </w:pPr>
      <w:r w:rsidRPr="00B217DC">
        <w:rPr>
          <w:rFonts w:cs="Arial"/>
          <w:color w:val="auto"/>
          <w:sz w:val="20"/>
          <w:szCs w:val="20"/>
          <w:lang w:val="en-GB"/>
        </w:rPr>
        <w:t>The CGE should provide quarterly progress reports on the implementation of its Audit Action Plan.</w:t>
      </w:r>
    </w:p>
    <w:p w:rsidR="00251742" w:rsidRPr="00B217DC" w:rsidRDefault="00170BD2" w:rsidP="00B217DC">
      <w:pPr>
        <w:numPr>
          <w:ilvl w:val="0"/>
          <w:numId w:val="21"/>
        </w:numPr>
        <w:ind w:left="426"/>
        <w:rPr>
          <w:rFonts w:cs="Arial"/>
          <w:color w:val="auto"/>
          <w:sz w:val="20"/>
          <w:szCs w:val="20"/>
          <w:lang w:val="en-GB"/>
        </w:rPr>
      </w:pPr>
      <w:r w:rsidRPr="00B217DC">
        <w:rPr>
          <w:rFonts w:cs="Arial"/>
          <w:color w:val="auto"/>
          <w:sz w:val="20"/>
          <w:szCs w:val="20"/>
          <w:lang w:val="en-GB"/>
        </w:rPr>
        <w:t>The CGE should ensure that it maintains tight control over its fiscus and avoid over-expenditure in 20</w:t>
      </w:r>
      <w:r w:rsidR="00C85043" w:rsidRPr="00B217DC">
        <w:rPr>
          <w:rFonts w:cs="Arial"/>
          <w:color w:val="auto"/>
          <w:sz w:val="20"/>
          <w:szCs w:val="20"/>
          <w:lang w:val="en-GB"/>
        </w:rPr>
        <w:t>2</w:t>
      </w:r>
      <w:r w:rsidR="0095377C" w:rsidRPr="00B217DC">
        <w:rPr>
          <w:rFonts w:cs="Arial"/>
          <w:color w:val="auto"/>
          <w:sz w:val="20"/>
          <w:szCs w:val="20"/>
          <w:lang w:val="en-GB"/>
        </w:rPr>
        <w:t>2/23 and beyond</w:t>
      </w:r>
      <w:r w:rsidRPr="00B217DC">
        <w:rPr>
          <w:rFonts w:cs="Arial"/>
          <w:color w:val="auto"/>
          <w:sz w:val="20"/>
          <w:szCs w:val="20"/>
          <w:lang w:val="en-GB"/>
        </w:rPr>
        <w:t>.</w:t>
      </w:r>
    </w:p>
    <w:p w:rsidR="00251742" w:rsidRPr="00B217DC" w:rsidRDefault="00251742" w:rsidP="00B217DC">
      <w:pPr>
        <w:numPr>
          <w:ilvl w:val="0"/>
          <w:numId w:val="21"/>
        </w:numPr>
        <w:ind w:left="426"/>
        <w:rPr>
          <w:rFonts w:cs="Arial"/>
          <w:color w:val="auto"/>
          <w:sz w:val="20"/>
          <w:szCs w:val="20"/>
          <w:lang w:val="en-GB"/>
        </w:rPr>
      </w:pPr>
      <w:r w:rsidRPr="00B217DC">
        <w:rPr>
          <w:rFonts w:cs="Arial"/>
          <w:i/>
          <w:color w:val="auto"/>
          <w:sz w:val="20"/>
          <w:szCs w:val="20"/>
          <w:lang w:val="en-GB"/>
        </w:rPr>
        <w:t>Irregular expenditure (IE) and fruitless and wasteful expenditure (FWE</w:t>
      </w:r>
      <w:r w:rsidRPr="00B217DC">
        <w:rPr>
          <w:rFonts w:cs="Arial"/>
          <w:color w:val="auto"/>
          <w:sz w:val="20"/>
          <w:szCs w:val="20"/>
          <w:lang w:val="en-GB"/>
        </w:rPr>
        <w:t xml:space="preserve">): The CGE to </w:t>
      </w:r>
      <w:r w:rsidR="0095377C" w:rsidRPr="00B217DC">
        <w:rPr>
          <w:rFonts w:cs="Arial"/>
          <w:color w:val="auto"/>
          <w:sz w:val="20"/>
          <w:szCs w:val="20"/>
          <w:lang w:val="en-GB"/>
        </w:rPr>
        <w:t xml:space="preserve">continue reporting </w:t>
      </w:r>
      <w:r w:rsidRPr="00B217DC">
        <w:rPr>
          <w:rFonts w:cs="Arial"/>
          <w:color w:val="auto"/>
          <w:sz w:val="20"/>
          <w:szCs w:val="20"/>
          <w:lang w:val="en-GB"/>
        </w:rPr>
        <w:t>on investigations related to the IE an</w:t>
      </w:r>
      <w:r w:rsidR="00CB3FAE" w:rsidRPr="00B217DC">
        <w:rPr>
          <w:rFonts w:cs="Arial"/>
          <w:color w:val="auto"/>
          <w:sz w:val="20"/>
          <w:szCs w:val="20"/>
          <w:lang w:val="en-GB"/>
        </w:rPr>
        <w:t>d</w:t>
      </w:r>
      <w:r w:rsidRPr="00B217DC">
        <w:rPr>
          <w:rFonts w:cs="Arial"/>
          <w:color w:val="auto"/>
          <w:sz w:val="20"/>
          <w:szCs w:val="20"/>
          <w:lang w:val="en-GB"/>
        </w:rPr>
        <w:t xml:space="preserve"> FWE, mitigating actions and consequence management implemented </w:t>
      </w:r>
      <w:r w:rsidR="0095377C" w:rsidRPr="00B217DC">
        <w:rPr>
          <w:rFonts w:cs="Arial"/>
          <w:color w:val="auto"/>
          <w:sz w:val="20"/>
          <w:szCs w:val="20"/>
          <w:lang w:val="en-GB"/>
        </w:rPr>
        <w:t>at every quarterly report briefing</w:t>
      </w:r>
      <w:r w:rsidRPr="00B217DC">
        <w:rPr>
          <w:rFonts w:cs="Arial"/>
          <w:color w:val="auto"/>
          <w:sz w:val="20"/>
          <w:szCs w:val="20"/>
          <w:lang w:val="en-GB"/>
        </w:rPr>
        <w:t>.</w:t>
      </w:r>
    </w:p>
    <w:p w:rsidR="00292185" w:rsidRPr="00B217DC" w:rsidRDefault="00292185" w:rsidP="00B217DC">
      <w:pPr>
        <w:numPr>
          <w:ilvl w:val="0"/>
          <w:numId w:val="21"/>
        </w:numPr>
        <w:ind w:left="426"/>
        <w:rPr>
          <w:rFonts w:cs="Arial"/>
          <w:color w:val="auto"/>
          <w:sz w:val="20"/>
          <w:szCs w:val="20"/>
          <w:lang w:val="en-GB"/>
        </w:rPr>
      </w:pPr>
      <w:r w:rsidRPr="00B217DC">
        <w:rPr>
          <w:rFonts w:cs="Arial"/>
          <w:i/>
          <w:color w:val="auto"/>
          <w:sz w:val="20"/>
          <w:szCs w:val="20"/>
          <w:lang w:val="en-GB"/>
        </w:rPr>
        <w:t>Financial reporting</w:t>
      </w:r>
      <w:r w:rsidRPr="00B217DC">
        <w:rPr>
          <w:rFonts w:cs="Arial"/>
          <w:color w:val="auto"/>
          <w:sz w:val="20"/>
          <w:szCs w:val="20"/>
          <w:lang w:val="en-GB"/>
        </w:rPr>
        <w:t xml:space="preserve">: The CGE must report on an annual and quarterly basis its </w:t>
      </w:r>
      <w:r w:rsidRPr="00B217DC">
        <w:rPr>
          <w:rFonts w:cs="Arial"/>
          <w:color w:val="auto"/>
          <w:sz w:val="20"/>
          <w:szCs w:val="20"/>
        </w:rPr>
        <w:t>expenditure per strategic objective in order for the Committee to conduct more astute oversight.</w:t>
      </w:r>
    </w:p>
    <w:p w:rsidR="0044321F" w:rsidRPr="00B217DC" w:rsidRDefault="0044321F" w:rsidP="00B217DC">
      <w:pPr>
        <w:numPr>
          <w:ilvl w:val="0"/>
          <w:numId w:val="21"/>
        </w:numPr>
        <w:ind w:left="426"/>
        <w:rPr>
          <w:rFonts w:cs="Arial"/>
          <w:color w:val="auto"/>
          <w:sz w:val="20"/>
          <w:szCs w:val="20"/>
          <w:lang w:val="en-GB"/>
        </w:rPr>
      </w:pPr>
      <w:r w:rsidRPr="00B217DC">
        <w:rPr>
          <w:rFonts w:cs="Arial"/>
          <w:i/>
          <w:color w:val="auto"/>
          <w:sz w:val="20"/>
          <w:szCs w:val="20"/>
          <w:lang w:val="en-GB"/>
        </w:rPr>
        <w:t>Surplus funds</w:t>
      </w:r>
      <w:r w:rsidRPr="00B217DC">
        <w:rPr>
          <w:rFonts w:cs="Arial"/>
          <w:color w:val="auto"/>
          <w:sz w:val="20"/>
          <w:szCs w:val="20"/>
          <w:lang w:val="en-GB"/>
        </w:rPr>
        <w:t>: The CGE to report back to the Committee at the Q2 202</w:t>
      </w:r>
      <w:r w:rsidR="0095377C" w:rsidRPr="00B217DC">
        <w:rPr>
          <w:rFonts w:cs="Arial"/>
          <w:color w:val="auto"/>
          <w:sz w:val="20"/>
          <w:szCs w:val="20"/>
          <w:lang w:val="en-GB"/>
        </w:rPr>
        <w:t>2/23</w:t>
      </w:r>
      <w:r w:rsidRPr="00B217DC">
        <w:rPr>
          <w:rFonts w:cs="Arial"/>
          <w:color w:val="auto"/>
          <w:sz w:val="20"/>
          <w:szCs w:val="20"/>
          <w:lang w:val="en-GB"/>
        </w:rPr>
        <w:t xml:space="preserve"> briefing on progress made in requesting National Treasury to retain the </w:t>
      </w:r>
      <w:r w:rsidRPr="00B217DC">
        <w:rPr>
          <w:rFonts w:cs="Arial"/>
          <w:color w:val="auto"/>
          <w:sz w:val="20"/>
          <w:szCs w:val="20"/>
        </w:rPr>
        <w:t>estimated R</w:t>
      </w:r>
      <w:r w:rsidR="0095377C" w:rsidRPr="00B217DC">
        <w:rPr>
          <w:rFonts w:cs="Arial"/>
          <w:color w:val="auto"/>
          <w:sz w:val="20"/>
          <w:szCs w:val="20"/>
        </w:rPr>
        <w:t>11</w:t>
      </w:r>
      <w:r w:rsidR="004B7C90" w:rsidRPr="00B217DC">
        <w:rPr>
          <w:rFonts w:cs="Arial"/>
          <w:color w:val="auto"/>
          <w:sz w:val="20"/>
          <w:szCs w:val="20"/>
        </w:rPr>
        <w:t xml:space="preserve"> million</w:t>
      </w:r>
      <w:r w:rsidRPr="00B217DC">
        <w:rPr>
          <w:rFonts w:cs="Arial"/>
          <w:color w:val="auto"/>
          <w:sz w:val="20"/>
          <w:szCs w:val="20"/>
        </w:rPr>
        <w:t xml:space="preserve"> surplus funds that was accrued.</w:t>
      </w:r>
    </w:p>
    <w:p w:rsidR="00776B0C" w:rsidRPr="00B217DC" w:rsidRDefault="00776B0C" w:rsidP="00B217DC">
      <w:pPr>
        <w:numPr>
          <w:ilvl w:val="0"/>
          <w:numId w:val="21"/>
        </w:numPr>
        <w:ind w:left="426"/>
        <w:rPr>
          <w:rFonts w:cs="Arial"/>
          <w:color w:val="auto"/>
          <w:sz w:val="20"/>
          <w:szCs w:val="20"/>
          <w:lang w:val="en-GB"/>
        </w:rPr>
      </w:pPr>
      <w:r w:rsidRPr="00B217DC">
        <w:rPr>
          <w:rFonts w:cs="Arial"/>
          <w:i/>
          <w:color w:val="auto"/>
          <w:sz w:val="20"/>
          <w:szCs w:val="20"/>
          <w:lang w:val="en-GB"/>
        </w:rPr>
        <w:t>Monthly reports</w:t>
      </w:r>
      <w:r w:rsidRPr="00B217DC">
        <w:rPr>
          <w:rFonts w:cs="Arial"/>
          <w:color w:val="auto"/>
          <w:sz w:val="20"/>
          <w:szCs w:val="20"/>
          <w:lang w:val="en-GB"/>
        </w:rPr>
        <w:t xml:space="preserve">: The CGE to submit monthly reports to the Committee on key matters of concern and progress hereto. </w:t>
      </w:r>
    </w:p>
    <w:p w:rsidR="00A556A4" w:rsidRPr="00B217DC" w:rsidRDefault="00A556A4" w:rsidP="00B217DC">
      <w:pPr>
        <w:tabs>
          <w:tab w:val="left" w:pos="4057"/>
        </w:tabs>
        <w:ind w:left="426"/>
        <w:rPr>
          <w:rFonts w:cs="Arial"/>
          <w:color w:val="auto"/>
          <w:sz w:val="20"/>
          <w:szCs w:val="20"/>
          <w:lang w:val="en-GB"/>
        </w:rPr>
      </w:pPr>
    </w:p>
    <w:p w:rsidR="006D1D31" w:rsidRPr="00B217DC" w:rsidRDefault="00E52DA8" w:rsidP="00B217DC">
      <w:pPr>
        <w:rPr>
          <w:rFonts w:cs="Arial"/>
          <w:b/>
          <w:color w:val="auto"/>
          <w:sz w:val="20"/>
          <w:szCs w:val="20"/>
          <w:lang w:val="en-GB"/>
        </w:rPr>
      </w:pPr>
      <w:r w:rsidRPr="00B217DC">
        <w:rPr>
          <w:rFonts w:cs="Arial"/>
          <w:b/>
          <w:color w:val="auto"/>
          <w:sz w:val="20"/>
          <w:szCs w:val="20"/>
          <w:lang w:val="en-GB"/>
        </w:rPr>
        <w:t>1</w:t>
      </w:r>
      <w:r w:rsidR="00720379" w:rsidRPr="00B217DC">
        <w:rPr>
          <w:rFonts w:cs="Arial"/>
          <w:b/>
          <w:color w:val="auto"/>
          <w:sz w:val="20"/>
          <w:szCs w:val="20"/>
          <w:lang w:val="en-GB"/>
        </w:rPr>
        <w:t>6</w:t>
      </w:r>
      <w:r w:rsidRPr="00B217DC">
        <w:rPr>
          <w:rFonts w:cs="Arial"/>
          <w:b/>
          <w:color w:val="auto"/>
          <w:sz w:val="20"/>
          <w:szCs w:val="20"/>
          <w:lang w:val="en-GB"/>
        </w:rPr>
        <w:t>.</w:t>
      </w:r>
      <w:r w:rsidR="008553FE" w:rsidRPr="00B217DC">
        <w:rPr>
          <w:rFonts w:cs="Arial"/>
          <w:b/>
          <w:color w:val="auto"/>
          <w:sz w:val="20"/>
          <w:szCs w:val="20"/>
          <w:lang w:val="en-GB"/>
        </w:rPr>
        <w:t>9</w:t>
      </w:r>
      <w:r w:rsidRPr="00B217DC">
        <w:rPr>
          <w:rFonts w:cs="Arial"/>
          <w:b/>
          <w:color w:val="auto"/>
          <w:sz w:val="20"/>
          <w:szCs w:val="20"/>
          <w:lang w:val="en-GB"/>
        </w:rPr>
        <w:t>.2</w:t>
      </w:r>
      <w:r w:rsidR="00170BD2" w:rsidRPr="00B217DC">
        <w:rPr>
          <w:rFonts w:cs="Arial"/>
          <w:b/>
          <w:color w:val="auto"/>
          <w:sz w:val="20"/>
          <w:szCs w:val="20"/>
          <w:lang w:val="en-GB"/>
        </w:rPr>
        <w:t xml:space="preserve"> </w:t>
      </w:r>
      <w:r w:rsidR="006D1D31" w:rsidRPr="00B217DC">
        <w:rPr>
          <w:rFonts w:cs="Arial"/>
          <w:b/>
          <w:color w:val="auto"/>
          <w:sz w:val="20"/>
          <w:szCs w:val="20"/>
          <w:lang w:val="en-GB"/>
        </w:rPr>
        <w:t>Payment of part-time Commissioners</w:t>
      </w:r>
    </w:p>
    <w:p w:rsidR="006D1D31" w:rsidRPr="00B217DC" w:rsidRDefault="006D1D31" w:rsidP="00B217DC">
      <w:pPr>
        <w:numPr>
          <w:ilvl w:val="0"/>
          <w:numId w:val="113"/>
        </w:numPr>
        <w:ind w:left="567"/>
        <w:rPr>
          <w:rFonts w:cs="Arial"/>
          <w:color w:val="auto"/>
          <w:sz w:val="20"/>
          <w:szCs w:val="20"/>
          <w:lang w:val="en-GB"/>
        </w:rPr>
      </w:pPr>
      <w:r w:rsidRPr="00B217DC">
        <w:rPr>
          <w:rFonts w:cs="Arial"/>
          <w:color w:val="auto"/>
          <w:sz w:val="20"/>
          <w:szCs w:val="20"/>
          <w:lang w:val="en-GB"/>
        </w:rPr>
        <w:t xml:space="preserve">The CGE should present to the Committee a report on the outcomes of the dispute registered by the part-time Commissioners in lieu of the finding of Fruitless and Wasteful Expenditure related to the 100-hour flat rate payment. </w:t>
      </w:r>
    </w:p>
    <w:p w:rsidR="006D1D31" w:rsidRPr="00B217DC" w:rsidRDefault="006D1D31" w:rsidP="00B217DC">
      <w:pPr>
        <w:numPr>
          <w:ilvl w:val="0"/>
          <w:numId w:val="113"/>
        </w:numPr>
        <w:ind w:left="567"/>
        <w:rPr>
          <w:rFonts w:cs="Arial"/>
          <w:color w:val="auto"/>
          <w:sz w:val="20"/>
          <w:szCs w:val="20"/>
          <w:lang w:val="en-GB"/>
        </w:rPr>
      </w:pPr>
      <w:r w:rsidRPr="00B217DC">
        <w:rPr>
          <w:rFonts w:cs="Arial"/>
          <w:color w:val="auto"/>
          <w:sz w:val="20"/>
          <w:szCs w:val="20"/>
          <w:lang w:val="en-GB"/>
        </w:rPr>
        <w:t>The CGE should also submit a report to the Committee on the decision by plenary to pay part-time Commissioners 100 hrs during the peak COVID-19 period.</w:t>
      </w:r>
    </w:p>
    <w:p w:rsidR="00F63437" w:rsidRPr="00B217DC" w:rsidRDefault="00F63437" w:rsidP="00B217DC">
      <w:pPr>
        <w:numPr>
          <w:ilvl w:val="0"/>
          <w:numId w:val="113"/>
        </w:numPr>
        <w:ind w:left="567"/>
        <w:rPr>
          <w:rFonts w:cs="Arial"/>
          <w:color w:val="auto"/>
          <w:sz w:val="20"/>
          <w:szCs w:val="20"/>
          <w:lang w:val="en-GB"/>
        </w:rPr>
      </w:pPr>
      <w:r w:rsidRPr="00B217DC">
        <w:rPr>
          <w:rFonts w:cs="Arial"/>
          <w:color w:val="auto"/>
          <w:sz w:val="20"/>
          <w:szCs w:val="20"/>
          <w:lang w:val="en-GB"/>
        </w:rPr>
        <w:t>The CGE should submit a report on the application of the 100-hour flat rate in relation to the current FY 2022/23 together with all relevant supporting documentation.</w:t>
      </w:r>
    </w:p>
    <w:p w:rsidR="008553FE" w:rsidRPr="00B217DC" w:rsidRDefault="008553FE" w:rsidP="00B217DC">
      <w:pPr>
        <w:rPr>
          <w:rFonts w:cs="Arial"/>
          <w:b/>
          <w:color w:val="auto"/>
          <w:sz w:val="20"/>
          <w:szCs w:val="20"/>
          <w:lang w:val="en-GB"/>
        </w:rPr>
      </w:pPr>
    </w:p>
    <w:p w:rsidR="006D1D31" w:rsidRPr="00B217DC" w:rsidRDefault="006D1D31" w:rsidP="00B217DC">
      <w:pPr>
        <w:pStyle w:val="ListParagraph"/>
        <w:numPr>
          <w:ilvl w:val="2"/>
          <w:numId w:val="125"/>
        </w:numPr>
        <w:rPr>
          <w:rFonts w:cs="Arial"/>
          <w:b/>
          <w:color w:val="auto"/>
          <w:sz w:val="20"/>
          <w:szCs w:val="20"/>
          <w:lang w:val="en-GB"/>
        </w:rPr>
      </w:pPr>
      <w:r w:rsidRPr="00B217DC">
        <w:rPr>
          <w:rFonts w:cs="Arial"/>
          <w:b/>
          <w:color w:val="auto"/>
          <w:sz w:val="20"/>
          <w:szCs w:val="20"/>
          <w:lang w:val="en-GB"/>
        </w:rPr>
        <w:t>Payment to former Commissioners</w:t>
      </w:r>
    </w:p>
    <w:p w:rsidR="006D1D31" w:rsidRPr="00B217DC" w:rsidRDefault="006D1D31" w:rsidP="00B217DC">
      <w:pPr>
        <w:pStyle w:val="ListParagraph"/>
        <w:numPr>
          <w:ilvl w:val="0"/>
          <w:numId w:val="114"/>
        </w:numPr>
        <w:rPr>
          <w:rFonts w:cs="Arial"/>
          <w:color w:val="auto"/>
          <w:sz w:val="20"/>
          <w:szCs w:val="20"/>
        </w:rPr>
      </w:pPr>
      <w:r w:rsidRPr="00B217DC">
        <w:rPr>
          <w:rFonts w:cs="Arial"/>
          <w:color w:val="auto"/>
          <w:sz w:val="20"/>
          <w:szCs w:val="20"/>
          <w:lang w:val="en-GB"/>
        </w:rPr>
        <w:t xml:space="preserve">The </w:t>
      </w:r>
      <w:r w:rsidR="007706F3" w:rsidRPr="00B217DC">
        <w:rPr>
          <w:rFonts w:cs="Arial"/>
          <w:color w:val="auto"/>
          <w:sz w:val="20"/>
          <w:szCs w:val="20"/>
          <w:lang w:val="en-GB"/>
        </w:rPr>
        <w:t xml:space="preserve">CGE’s </w:t>
      </w:r>
      <w:r w:rsidRPr="00B217DC">
        <w:rPr>
          <w:rFonts w:cs="Arial"/>
          <w:color w:val="auto"/>
          <w:sz w:val="20"/>
          <w:szCs w:val="20"/>
          <w:lang w:val="en-GB"/>
        </w:rPr>
        <w:t xml:space="preserve">Human Resource </w:t>
      </w:r>
      <w:r w:rsidR="007706F3" w:rsidRPr="00B217DC">
        <w:rPr>
          <w:rFonts w:cs="Arial"/>
          <w:color w:val="auto"/>
          <w:sz w:val="20"/>
          <w:szCs w:val="20"/>
          <w:lang w:val="en-GB"/>
        </w:rPr>
        <w:t xml:space="preserve">(HR) </w:t>
      </w:r>
      <w:r w:rsidRPr="00B217DC">
        <w:rPr>
          <w:rFonts w:cs="Arial"/>
          <w:color w:val="auto"/>
          <w:sz w:val="20"/>
          <w:szCs w:val="20"/>
          <w:lang w:val="en-GB"/>
        </w:rPr>
        <w:t xml:space="preserve">should submit a written report on who instructed the CEO to pay former Commissioners who were no longer in the employ of the institution </w:t>
      </w:r>
      <w:r w:rsidRPr="00B217DC">
        <w:rPr>
          <w:rFonts w:cs="Arial"/>
          <w:color w:val="auto"/>
          <w:sz w:val="20"/>
          <w:szCs w:val="20"/>
        </w:rPr>
        <w:t>within three weeks of adoption of this report.</w:t>
      </w:r>
    </w:p>
    <w:p w:rsidR="006D1D31" w:rsidRPr="00B217DC" w:rsidRDefault="006D1D31" w:rsidP="00B217DC">
      <w:pPr>
        <w:rPr>
          <w:rFonts w:cs="Arial"/>
          <w:b/>
          <w:color w:val="auto"/>
          <w:sz w:val="20"/>
          <w:szCs w:val="20"/>
          <w:lang w:val="en-GB"/>
        </w:rPr>
      </w:pPr>
    </w:p>
    <w:p w:rsidR="006D1D31" w:rsidRPr="00B217DC" w:rsidRDefault="006D1D31" w:rsidP="00B217DC">
      <w:pPr>
        <w:pStyle w:val="ListParagraph"/>
        <w:numPr>
          <w:ilvl w:val="2"/>
          <w:numId w:val="125"/>
        </w:numPr>
        <w:rPr>
          <w:rFonts w:cs="Arial"/>
          <w:b/>
          <w:color w:val="auto"/>
          <w:sz w:val="20"/>
          <w:szCs w:val="20"/>
          <w:lang w:val="en-GB"/>
        </w:rPr>
      </w:pPr>
      <w:r w:rsidRPr="00B217DC">
        <w:rPr>
          <w:rFonts w:cs="Arial"/>
          <w:b/>
          <w:color w:val="auto"/>
          <w:sz w:val="20"/>
          <w:szCs w:val="20"/>
          <w:lang w:val="en-GB"/>
        </w:rPr>
        <w:t>Payment of leave gratuity to former CEO</w:t>
      </w:r>
    </w:p>
    <w:p w:rsidR="006D1D31" w:rsidRPr="00B217DC" w:rsidRDefault="006D1D31" w:rsidP="00B217DC">
      <w:pPr>
        <w:pStyle w:val="ListParagraph"/>
        <w:numPr>
          <w:ilvl w:val="2"/>
          <w:numId w:val="95"/>
        </w:numPr>
        <w:autoSpaceDN w:val="0"/>
        <w:ind w:left="709"/>
        <w:rPr>
          <w:rFonts w:cs="Arial"/>
          <w:color w:val="auto"/>
          <w:sz w:val="20"/>
          <w:szCs w:val="20"/>
        </w:rPr>
      </w:pPr>
      <w:r w:rsidRPr="00B217DC">
        <w:rPr>
          <w:rFonts w:cs="Arial"/>
          <w:color w:val="auto"/>
          <w:sz w:val="20"/>
          <w:szCs w:val="20"/>
        </w:rPr>
        <w:t>The CGE</w:t>
      </w:r>
      <w:r w:rsidR="007706F3" w:rsidRPr="00B217DC">
        <w:rPr>
          <w:rFonts w:cs="Arial"/>
          <w:color w:val="auto"/>
          <w:sz w:val="20"/>
          <w:szCs w:val="20"/>
        </w:rPr>
        <w:t>’s</w:t>
      </w:r>
      <w:r w:rsidRPr="00B217DC">
        <w:rPr>
          <w:rFonts w:cs="Arial"/>
          <w:color w:val="auto"/>
          <w:sz w:val="20"/>
          <w:szCs w:val="20"/>
        </w:rPr>
        <w:t xml:space="preserve"> HR should submit a comprehensive report on the leave payment related to a former CEO which was wrongly calculated to the Committee within three weeks of adoption of this report.</w:t>
      </w:r>
    </w:p>
    <w:p w:rsidR="006D1D31" w:rsidRPr="00B217DC" w:rsidRDefault="006D1D31" w:rsidP="00B217DC">
      <w:pPr>
        <w:rPr>
          <w:rFonts w:cs="Arial"/>
          <w:b/>
          <w:color w:val="auto"/>
          <w:sz w:val="20"/>
          <w:szCs w:val="20"/>
          <w:lang w:val="en-GB"/>
        </w:rPr>
      </w:pPr>
    </w:p>
    <w:p w:rsidR="00F62BC0" w:rsidRPr="00B217DC" w:rsidRDefault="00F62BC0" w:rsidP="00B217DC">
      <w:pPr>
        <w:rPr>
          <w:rFonts w:cs="Arial"/>
          <w:b/>
          <w:color w:val="auto"/>
          <w:sz w:val="20"/>
          <w:szCs w:val="20"/>
          <w:lang w:val="en-GB"/>
        </w:rPr>
      </w:pPr>
    </w:p>
    <w:p w:rsidR="00F62BC0" w:rsidRPr="00B217DC" w:rsidRDefault="00F62BC0" w:rsidP="00B217DC">
      <w:pPr>
        <w:rPr>
          <w:rFonts w:cs="Arial"/>
          <w:b/>
          <w:color w:val="auto"/>
          <w:sz w:val="20"/>
          <w:szCs w:val="20"/>
          <w:lang w:val="en-GB"/>
        </w:rPr>
      </w:pPr>
    </w:p>
    <w:p w:rsidR="00227674" w:rsidRPr="00B217DC" w:rsidRDefault="006D1D31" w:rsidP="00B217DC">
      <w:pPr>
        <w:tabs>
          <w:tab w:val="left" w:pos="1454"/>
        </w:tabs>
        <w:rPr>
          <w:rFonts w:cs="Arial"/>
          <w:b/>
          <w:color w:val="auto"/>
          <w:sz w:val="20"/>
          <w:szCs w:val="20"/>
          <w:lang w:val="en-GB"/>
        </w:rPr>
      </w:pPr>
      <w:r w:rsidRPr="00B217DC">
        <w:rPr>
          <w:rFonts w:cs="Arial"/>
          <w:b/>
          <w:color w:val="auto"/>
          <w:sz w:val="20"/>
          <w:szCs w:val="20"/>
          <w:lang w:val="en-GB"/>
        </w:rPr>
        <w:t>16.</w:t>
      </w:r>
      <w:r w:rsidR="00322D62" w:rsidRPr="00B217DC">
        <w:rPr>
          <w:rFonts w:cs="Arial"/>
          <w:b/>
          <w:color w:val="auto"/>
          <w:sz w:val="20"/>
          <w:szCs w:val="20"/>
          <w:lang w:val="en-GB"/>
        </w:rPr>
        <w:t>9</w:t>
      </w:r>
      <w:r w:rsidRPr="00B217DC">
        <w:rPr>
          <w:rFonts w:cs="Arial"/>
          <w:b/>
          <w:color w:val="auto"/>
          <w:sz w:val="20"/>
          <w:szCs w:val="20"/>
          <w:lang w:val="en-GB"/>
        </w:rPr>
        <w:t>.</w:t>
      </w:r>
      <w:r w:rsidR="00227674" w:rsidRPr="00B217DC">
        <w:rPr>
          <w:rFonts w:cs="Arial"/>
          <w:b/>
          <w:color w:val="auto"/>
          <w:sz w:val="20"/>
          <w:szCs w:val="20"/>
          <w:lang w:val="en-GB"/>
        </w:rPr>
        <w:t>5</w:t>
      </w:r>
      <w:r w:rsidR="00227674" w:rsidRPr="00B217DC">
        <w:rPr>
          <w:rFonts w:cs="Arial"/>
          <w:b/>
          <w:color w:val="auto"/>
          <w:sz w:val="20"/>
          <w:szCs w:val="20"/>
          <w:lang w:val="en-GB"/>
        </w:rPr>
        <w:tab/>
        <w:t>Implementation of President’s Determination of Salaries</w:t>
      </w:r>
    </w:p>
    <w:p w:rsidR="00227674" w:rsidRPr="00B217DC" w:rsidRDefault="00227674" w:rsidP="00B217DC">
      <w:pPr>
        <w:numPr>
          <w:ilvl w:val="0"/>
          <w:numId w:val="115"/>
        </w:numPr>
        <w:tabs>
          <w:tab w:val="left" w:pos="1073"/>
        </w:tabs>
        <w:rPr>
          <w:rFonts w:cs="Arial"/>
          <w:color w:val="auto"/>
          <w:sz w:val="20"/>
          <w:szCs w:val="20"/>
          <w:lang w:val="en-GB"/>
        </w:rPr>
      </w:pPr>
      <w:r w:rsidRPr="00B217DC">
        <w:rPr>
          <w:rFonts w:cs="Arial"/>
          <w:color w:val="auto"/>
          <w:sz w:val="20"/>
          <w:szCs w:val="20"/>
          <w:lang w:val="en-GB"/>
        </w:rPr>
        <w:lastRenderedPageBreak/>
        <w:t>The CFO should revise the salaries of full time and part-time Commissioners to be in accordance with the President’s determination of salaries and deal with issues raised by AGSA in this regard.</w:t>
      </w:r>
    </w:p>
    <w:p w:rsidR="00227674" w:rsidRPr="00B217DC" w:rsidRDefault="00227674" w:rsidP="00B217DC">
      <w:pPr>
        <w:tabs>
          <w:tab w:val="left" w:pos="1073"/>
        </w:tabs>
        <w:rPr>
          <w:rFonts w:cs="Arial"/>
          <w:color w:val="auto"/>
          <w:sz w:val="20"/>
          <w:szCs w:val="20"/>
          <w:lang w:val="en-GB"/>
        </w:rPr>
      </w:pPr>
    </w:p>
    <w:p w:rsidR="00170BD2" w:rsidRPr="00B217DC" w:rsidRDefault="00227674" w:rsidP="00B217DC">
      <w:pPr>
        <w:rPr>
          <w:rFonts w:cs="Arial"/>
          <w:b/>
          <w:color w:val="auto"/>
          <w:sz w:val="20"/>
          <w:szCs w:val="20"/>
          <w:lang w:val="en-GB"/>
        </w:rPr>
      </w:pPr>
      <w:r w:rsidRPr="00B217DC">
        <w:rPr>
          <w:rFonts w:cs="Arial"/>
          <w:b/>
          <w:color w:val="auto"/>
          <w:sz w:val="20"/>
          <w:szCs w:val="20"/>
          <w:lang w:val="en-GB"/>
        </w:rPr>
        <w:t>16.</w:t>
      </w:r>
      <w:r w:rsidR="00322D62" w:rsidRPr="00B217DC">
        <w:rPr>
          <w:rFonts w:cs="Arial"/>
          <w:b/>
          <w:color w:val="auto"/>
          <w:sz w:val="20"/>
          <w:szCs w:val="20"/>
          <w:lang w:val="en-GB"/>
        </w:rPr>
        <w:t>9</w:t>
      </w:r>
      <w:r w:rsidRPr="00B217DC">
        <w:rPr>
          <w:rFonts w:cs="Arial"/>
          <w:b/>
          <w:color w:val="auto"/>
          <w:sz w:val="20"/>
          <w:szCs w:val="20"/>
          <w:lang w:val="en-GB"/>
        </w:rPr>
        <w:t>.6</w:t>
      </w:r>
      <w:r w:rsidR="006D1D31" w:rsidRPr="00B217DC">
        <w:rPr>
          <w:rFonts w:cs="Arial"/>
          <w:b/>
          <w:color w:val="auto"/>
          <w:sz w:val="20"/>
          <w:szCs w:val="20"/>
          <w:lang w:val="en-GB"/>
        </w:rPr>
        <w:t xml:space="preserve"> </w:t>
      </w:r>
      <w:r w:rsidR="00170BD2" w:rsidRPr="00B217DC">
        <w:rPr>
          <w:rFonts w:cs="Arial"/>
          <w:b/>
          <w:color w:val="auto"/>
          <w:sz w:val="20"/>
          <w:szCs w:val="20"/>
          <w:lang w:val="en-GB"/>
        </w:rPr>
        <w:t>Governance</w:t>
      </w:r>
    </w:p>
    <w:p w:rsidR="00170BD2" w:rsidRPr="00B217DC" w:rsidRDefault="004E0DE0" w:rsidP="00B217DC">
      <w:pPr>
        <w:numPr>
          <w:ilvl w:val="0"/>
          <w:numId w:val="25"/>
        </w:numPr>
        <w:ind w:left="426"/>
        <w:rPr>
          <w:rFonts w:cs="Arial"/>
          <w:color w:val="auto"/>
          <w:sz w:val="20"/>
          <w:szCs w:val="20"/>
          <w:lang w:val="en-GB"/>
        </w:rPr>
      </w:pPr>
      <w:r w:rsidRPr="00B217DC">
        <w:rPr>
          <w:rFonts w:cs="Arial"/>
          <w:color w:val="auto"/>
          <w:sz w:val="20"/>
          <w:szCs w:val="20"/>
          <w:lang w:val="en-GB"/>
        </w:rPr>
        <w:t>The CGE should finalise its policy that pertains to interrelations between the administration and the Commissioners</w:t>
      </w:r>
      <w:r w:rsidR="00B3430A" w:rsidRPr="00B217DC">
        <w:rPr>
          <w:rFonts w:cs="Arial"/>
          <w:color w:val="auto"/>
          <w:sz w:val="20"/>
          <w:szCs w:val="20"/>
          <w:lang w:val="en-GB"/>
        </w:rPr>
        <w:t xml:space="preserve"> and </w:t>
      </w:r>
      <w:r w:rsidR="004B7C90" w:rsidRPr="00B217DC">
        <w:rPr>
          <w:rFonts w:cs="Arial"/>
          <w:color w:val="auto"/>
          <w:sz w:val="20"/>
          <w:szCs w:val="20"/>
          <w:lang w:val="en-GB"/>
        </w:rPr>
        <w:t xml:space="preserve">this </w:t>
      </w:r>
      <w:r w:rsidR="00B3430A" w:rsidRPr="00B217DC">
        <w:rPr>
          <w:rFonts w:cs="Arial"/>
          <w:color w:val="auto"/>
          <w:sz w:val="20"/>
          <w:szCs w:val="20"/>
          <w:lang w:val="en-GB"/>
        </w:rPr>
        <w:t>should be submitted to the Committee before the end of the 202</w:t>
      </w:r>
      <w:r w:rsidR="006D1D31" w:rsidRPr="00B217DC">
        <w:rPr>
          <w:rFonts w:cs="Arial"/>
          <w:color w:val="auto"/>
          <w:sz w:val="20"/>
          <w:szCs w:val="20"/>
          <w:lang w:val="en-GB"/>
        </w:rPr>
        <w:t>2/23</w:t>
      </w:r>
      <w:r w:rsidR="00B3430A" w:rsidRPr="00B217DC">
        <w:rPr>
          <w:rFonts w:cs="Arial"/>
          <w:color w:val="auto"/>
          <w:sz w:val="20"/>
          <w:szCs w:val="20"/>
          <w:lang w:val="en-GB"/>
        </w:rPr>
        <w:t xml:space="preserve"> FY</w:t>
      </w:r>
      <w:r w:rsidR="00170BD2" w:rsidRPr="00B217DC">
        <w:rPr>
          <w:rFonts w:cs="Arial"/>
          <w:color w:val="auto"/>
          <w:sz w:val="20"/>
          <w:szCs w:val="20"/>
          <w:lang w:val="en-GB"/>
        </w:rPr>
        <w:t>.</w:t>
      </w:r>
    </w:p>
    <w:p w:rsidR="00C26283" w:rsidRPr="00B217DC" w:rsidRDefault="006D1D31" w:rsidP="00B217DC">
      <w:pPr>
        <w:numPr>
          <w:ilvl w:val="0"/>
          <w:numId w:val="25"/>
        </w:numPr>
        <w:ind w:left="426"/>
        <w:rPr>
          <w:rFonts w:cs="Arial"/>
          <w:color w:val="auto"/>
          <w:sz w:val="20"/>
          <w:szCs w:val="20"/>
          <w:lang w:val="en-GB"/>
        </w:rPr>
      </w:pPr>
      <w:r w:rsidRPr="00B217DC">
        <w:rPr>
          <w:rFonts w:cs="Arial"/>
          <w:i/>
          <w:color w:val="auto"/>
          <w:sz w:val="20"/>
          <w:szCs w:val="20"/>
          <w:lang w:val="en-GB"/>
        </w:rPr>
        <w:t>Handbook</w:t>
      </w:r>
      <w:r w:rsidRPr="00B217DC">
        <w:rPr>
          <w:rFonts w:cs="Arial"/>
          <w:color w:val="auto"/>
          <w:sz w:val="20"/>
          <w:szCs w:val="20"/>
          <w:lang w:val="en-GB"/>
        </w:rPr>
        <w:t xml:space="preserve">: </w:t>
      </w:r>
      <w:r w:rsidR="00C26283" w:rsidRPr="00B217DC">
        <w:rPr>
          <w:rFonts w:cs="Arial"/>
          <w:color w:val="auto"/>
          <w:sz w:val="20"/>
          <w:szCs w:val="20"/>
          <w:lang w:val="en-GB"/>
        </w:rPr>
        <w:t>The CGE should finalise the Commissioner’s Handbook and submit to the Committee on completion</w:t>
      </w:r>
      <w:r w:rsidR="00B3430A" w:rsidRPr="00B217DC">
        <w:rPr>
          <w:rFonts w:cs="Arial"/>
          <w:color w:val="auto"/>
          <w:sz w:val="20"/>
          <w:szCs w:val="20"/>
          <w:lang w:val="en-GB"/>
        </w:rPr>
        <w:t xml:space="preserve"> before the end of the 202</w:t>
      </w:r>
      <w:r w:rsidR="0095377C" w:rsidRPr="00B217DC">
        <w:rPr>
          <w:rFonts w:cs="Arial"/>
          <w:color w:val="auto"/>
          <w:sz w:val="20"/>
          <w:szCs w:val="20"/>
          <w:lang w:val="en-GB"/>
        </w:rPr>
        <w:t>2/23</w:t>
      </w:r>
      <w:r w:rsidR="00B3430A" w:rsidRPr="00B217DC">
        <w:rPr>
          <w:rFonts w:cs="Arial"/>
          <w:color w:val="auto"/>
          <w:sz w:val="20"/>
          <w:szCs w:val="20"/>
          <w:lang w:val="en-GB"/>
        </w:rPr>
        <w:t xml:space="preserve"> FY</w:t>
      </w:r>
      <w:r w:rsidR="0095377C" w:rsidRPr="00B217DC">
        <w:rPr>
          <w:rFonts w:cs="Arial"/>
          <w:color w:val="auto"/>
          <w:sz w:val="20"/>
          <w:szCs w:val="20"/>
          <w:lang w:val="en-GB"/>
        </w:rPr>
        <w:t xml:space="preserve"> as a matter of urgency</w:t>
      </w:r>
      <w:r w:rsidR="00C26283" w:rsidRPr="00B217DC">
        <w:rPr>
          <w:rFonts w:cs="Arial"/>
          <w:color w:val="auto"/>
          <w:sz w:val="20"/>
          <w:szCs w:val="20"/>
          <w:lang w:val="en-GB"/>
        </w:rPr>
        <w:t>.</w:t>
      </w:r>
    </w:p>
    <w:p w:rsidR="00C26283" w:rsidRPr="00B217DC" w:rsidRDefault="006D1D31" w:rsidP="00B217DC">
      <w:pPr>
        <w:numPr>
          <w:ilvl w:val="0"/>
          <w:numId w:val="25"/>
        </w:numPr>
        <w:ind w:left="426"/>
        <w:rPr>
          <w:rFonts w:cs="Arial"/>
          <w:color w:val="auto"/>
          <w:sz w:val="20"/>
          <w:szCs w:val="20"/>
          <w:lang w:val="en-GB"/>
        </w:rPr>
      </w:pPr>
      <w:r w:rsidRPr="00B217DC">
        <w:rPr>
          <w:rFonts w:cs="Arial"/>
          <w:i/>
          <w:color w:val="auto"/>
          <w:sz w:val="20"/>
          <w:szCs w:val="20"/>
          <w:lang w:val="en-GB"/>
        </w:rPr>
        <w:t>Business Model</w:t>
      </w:r>
      <w:r w:rsidRPr="00B217DC">
        <w:rPr>
          <w:rFonts w:cs="Arial"/>
          <w:color w:val="auto"/>
          <w:sz w:val="20"/>
          <w:szCs w:val="20"/>
          <w:lang w:val="en-GB"/>
        </w:rPr>
        <w:t xml:space="preserve">: </w:t>
      </w:r>
      <w:r w:rsidR="00C26283" w:rsidRPr="00B217DC">
        <w:rPr>
          <w:rFonts w:cs="Arial"/>
          <w:color w:val="auto"/>
          <w:sz w:val="20"/>
          <w:szCs w:val="20"/>
          <w:lang w:val="en-GB"/>
        </w:rPr>
        <w:t xml:space="preserve">The CGE </w:t>
      </w:r>
      <w:r w:rsidR="0095377C" w:rsidRPr="00B217DC">
        <w:rPr>
          <w:rFonts w:cs="Arial"/>
          <w:color w:val="auto"/>
          <w:sz w:val="20"/>
          <w:szCs w:val="20"/>
          <w:lang w:val="en-GB"/>
        </w:rPr>
        <w:t>should submit the Business Model to the Committee for consideration</w:t>
      </w:r>
      <w:r w:rsidR="00B3430A" w:rsidRPr="00B217DC">
        <w:rPr>
          <w:rFonts w:cs="Arial"/>
          <w:color w:val="auto"/>
          <w:sz w:val="20"/>
          <w:szCs w:val="20"/>
          <w:lang w:val="en-GB"/>
        </w:rPr>
        <w:t>.</w:t>
      </w:r>
    </w:p>
    <w:p w:rsidR="007706F3" w:rsidRPr="00B217DC" w:rsidRDefault="006D1D31" w:rsidP="00B217DC">
      <w:pPr>
        <w:pStyle w:val="ListParagraph"/>
        <w:numPr>
          <w:ilvl w:val="0"/>
          <w:numId w:val="25"/>
        </w:numPr>
        <w:tabs>
          <w:tab w:val="left" w:pos="1889"/>
        </w:tabs>
        <w:ind w:left="426"/>
        <w:rPr>
          <w:rFonts w:cs="Arial"/>
          <w:color w:val="auto"/>
          <w:sz w:val="20"/>
          <w:szCs w:val="20"/>
          <w:lang w:val="en-GB"/>
        </w:rPr>
      </w:pPr>
      <w:r w:rsidRPr="00B217DC">
        <w:rPr>
          <w:rFonts w:cs="Arial"/>
          <w:i/>
          <w:color w:val="auto"/>
          <w:sz w:val="20"/>
          <w:szCs w:val="20"/>
          <w:lang w:val="en-GB"/>
        </w:rPr>
        <w:t>Consequence management</w:t>
      </w:r>
      <w:r w:rsidRPr="00B217DC">
        <w:rPr>
          <w:rFonts w:cs="Arial"/>
          <w:color w:val="auto"/>
          <w:sz w:val="20"/>
          <w:szCs w:val="20"/>
          <w:lang w:val="en-GB"/>
        </w:rPr>
        <w:t xml:space="preserve">: The CGE should hold to account Commissioners and employees who transgress policy and laws and ensure appropriate consequence management is implemented. </w:t>
      </w:r>
    </w:p>
    <w:p w:rsidR="00B046C7" w:rsidRPr="00B217DC" w:rsidRDefault="00203FF9" w:rsidP="00B217DC">
      <w:pPr>
        <w:pStyle w:val="ListParagraph"/>
        <w:numPr>
          <w:ilvl w:val="0"/>
          <w:numId w:val="25"/>
        </w:numPr>
        <w:tabs>
          <w:tab w:val="left" w:pos="1889"/>
        </w:tabs>
        <w:ind w:left="426"/>
        <w:rPr>
          <w:rFonts w:cs="Arial"/>
          <w:color w:val="auto"/>
          <w:sz w:val="20"/>
          <w:szCs w:val="20"/>
          <w:lang w:val="en-GB"/>
        </w:rPr>
      </w:pPr>
      <w:r w:rsidRPr="00B217DC">
        <w:rPr>
          <w:rFonts w:cs="Arial"/>
          <w:i/>
          <w:color w:val="auto"/>
          <w:sz w:val="20"/>
          <w:szCs w:val="20"/>
          <w:lang w:val="en-GB"/>
        </w:rPr>
        <w:t>17% Provident Fund Matter</w:t>
      </w:r>
      <w:r w:rsidRPr="00B217DC">
        <w:rPr>
          <w:rFonts w:cs="Arial"/>
          <w:color w:val="auto"/>
          <w:sz w:val="20"/>
          <w:szCs w:val="20"/>
          <w:lang w:val="en-GB"/>
        </w:rPr>
        <w:t xml:space="preserve">: </w:t>
      </w:r>
      <w:r w:rsidR="007706F3" w:rsidRPr="00B217DC">
        <w:rPr>
          <w:rFonts w:cs="Arial"/>
          <w:color w:val="auto"/>
          <w:sz w:val="20"/>
          <w:szCs w:val="20"/>
          <w:lang w:val="en-GB"/>
        </w:rPr>
        <w:t>The CGE should submit to the Committee, in writing, a comprehensive report on the 17% Provident fund issue.</w:t>
      </w:r>
      <w:r w:rsidRPr="00B217DC">
        <w:rPr>
          <w:rFonts w:cs="Arial"/>
          <w:color w:val="auto"/>
          <w:sz w:val="20"/>
          <w:szCs w:val="20"/>
          <w:lang w:val="en-GB"/>
        </w:rPr>
        <w:t xml:space="preserve"> The CGE is urged to finalise the matter.</w:t>
      </w:r>
    </w:p>
    <w:p w:rsidR="00266EE4" w:rsidRPr="00B217DC" w:rsidRDefault="00266EE4" w:rsidP="00B217DC">
      <w:pPr>
        <w:pStyle w:val="ListParagraph"/>
        <w:tabs>
          <w:tab w:val="left" w:pos="1889"/>
        </w:tabs>
        <w:rPr>
          <w:rFonts w:cs="Arial"/>
          <w:color w:val="auto"/>
          <w:sz w:val="20"/>
          <w:szCs w:val="20"/>
          <w:lang w:val="en-GB"/>
        </w:rPr>
      </w:pPr>
    </w:p>
    <w:p w:rsidR="00B046C7" w:rsidRPr="00B217DC" w:rsidRDefault="00227674" w:rsidP="00B217DC">
      <w:pPr>
        <w:pStyle w:val="ListParagraph"/>
        <w:numPr>
          <w:ilvl w:val="2"/>
          <w:numId w:val="126"/>
        </w:numPr>
        <w:rPr>
          <w:rFonts w:cs="Arial"/>
          <w:b/>
          <w:color w:val="auto"/>
          <w:sz w:val="20"/>
          <w:szCs w:val="20"/>
          <w:lang w:val="en-GB"/>
        </w:rPr>
      </w:pPr>
      <w:r w:rsidRPr="00B217DC">
        <w:rPr>
          <w:rFonts w:cs="Arial"/>
          <w:b/>
          <w:color w:val="auto"/>
          <w:sz w:val="20"/>
          <w:szCs w:val="20"/>
          <w:lang w:val="en-GB"/>
        </w:rPr>
        <w:t>Legal Practice Council</w:t>
      </w:r>
    </w:p>
    <w:p w:rsidR="00227674" w:rsidRPr="00B217DC" w:rsidRDefault="00227674" w:rsidP="00B217DC">
      <w:pPr>
        <w:pStyle w:val="ListParagraph"/>
        <w:numPr>
          <w:ilvl w:val="0"/>
          <w:numId w:val="22"/>
        </w:numPr>
        <w:ind w:left="567"/>
        <w:rPr>
          <w:rFonts w:cs="Arial"/>
          <w:color w:val="auto"/>
          <w:sz w:val="20"/>
          <w:szCs w:val="20"/>
          <w:lang w:val="en-GB"/>
        </w:rPr>
      </w:pPr>
      <w:r w:rsidRPr="00B217DC">
        <w:rPr>
          <w:rFonts w:cs="Arial"/>
          <w:color w:val="auto"/>
          <w:sz w:val="20"/>
          <w:szCs w:val="20"/>
          <w:lang w:val="en-GB"/>
        </w:rPr>
        <w:t>The CGE should present to the Committee a plan on how to deal with the matter of Legal Practice Council in ensuring the CGE is recognised as a legal entity again. The CGE was urged to expedite the matter in order for it to be resolved.</w:t>
      </w:r>
    </w:p>
    <w:p w:rsidR="00B046C7" w:rsidRPr="00B217DC" w:rsidRDefault="00B046C7" w:rsidP="00B217DC">
      <w:pPr>
        <w:tabs>
          <w:tab w:val="left" w:pos="1982"/>
        </w:tabs>
        <w:rPr>
          <w:rFonts w:cs="Arial"/>
          <w:b/>
          <w:color w:val="auto"/>
          <w:sz w:val="20"/>
          <w:szCs w:val="20"/>
          <w:lang w:val="en-GB"/>
        </w:rPr>
      </w:pPr>
      <w:r w:rsidRPr="00B217DC">
        <w:rPr>
          <w:rFonts w:cs="Arial"/>
          <w:b/>
          <w:color w:val="auto"/>
          <w:sz w:val="20"/>
          <w:szCs w:val="20"/>
          <w:lang w:val="en-GB"/>
        </w:rPr>
        <w:tab/>
      </w:r>
    </w:p>
    <w:p w:rsidR="00170BD2" w:rsidRPr="00B217DC" w:rsidRDefault="00170BD2" w:rsidP="00B217DC">
      <w:pPr>
        <w:pStyle w:val="ListParagraph"/>
        <w:numPr>
          <w:ilvl w:val="2"/>
          <w:numId w:val="126"/>
        </w:numPr>
        <w:rPr>
          <w:rFonts w:cs="Arial"/>
          <w:b/>
          <w:color w:val="auto"/>
          <w:sz w:val="20"/>
          <w:szCs w:val="20"/>
          <w:lang w:val="en-GB"/>
        </w:rPr>
      </w:pPr>
      <w:r w:rsidRPr="00B217DC">
        <w:rPr>
          <w:rFonts w:cs="Arial"/>
          <w:b/>
          <w:color w:val="auto"/>
          <w:sz w:val="20"/>
          <w:szCs w:val="20"/>
          <w:lang w:val="en-GB"/>
        </w:rPr>
        <w:t>Programme and performance</w:t>
      </w:r>
    </w:p>
    <w:p w:rsidR="00227674" w:rsidRPr="00B217DC" w:rsidRDefault="00C26283" w:rsidP="00B217DC">
      <w:pPr>
        <w:numPr>
          <w:ilvl w:val="0"/>
          <w:numId w:val="76"/>
        </w:numPr>
        <w:ind w:left="567"/>
        <w:rPr>
          <w:rFonts w:cs="Arial"/>
          <w:color w:val="auto"/>
          <w:sz w:val="20"/>
          <w:szCs w:val="20"/>
          <w:lang w:val="en-GB"/>
        </w:rPr>
      </w:pPr>
      <w:r w:rsidRPr="00B217DC">
        <w:rPr>
          <w:rFonts w:cs="Arial"/>
          <w:color w:val="auto"/>
          <w:sz w:val="20"/>
          <w:szCs w:val="20"/>
          <w:lang w:val="en-GB"/>
        </w:rPr>
        <w:t>The CGE must prioritise the filling of vacancies</w:t>
      </w:r>
      <w:r w:rsidR="00170BD2" w:rsidRPr="00B217DC">
        <w:rPr>
          <w:rFonts w:cs="Arial"/>
          <w:color w:val="auto"/>
          <w:sz w:val="20"/>
          <w:szCs w:val="20"/>
          <w:lang w:val="en-GB"/>
        </w:rPr>
        <w:t>.</w:t>
      </w:r>
      <w:r w:rsidR="00227674" w:rsidRPr="00B217DC">
        <w:rPr>
          <w:rFonts w:cs="Arial"/>
          <w:color w:val="auto"/>
          <w:sz w:val="20"/>
          <w:szCs w:val="20"/>
          <w:lang w:val="en-GB"/>
        </w:rPr>
        <w:t xml:space="preserve"> The CGE should submit a report to the Committee that outlines its structure with positions linked to salaries. To this end, the CGE should also provide the Committee with information that </w:t>
      </w:r>
      <w:r w:rsidR="007706F3" w:rsidRPr="00B217DC">
        <w:rPr>
          <w:rFonts w:cs="Arial"/>
          <w:color w:val="auto"/>
          <w:sz w:val="20"/>
          <w:szCs w:val="20"/>
          <w:lang w:val="en-GB"/>
        </w:rPr>
        <w:t>illustrates whether the current positions are</w:t>
      </w:r>
      <w:r w:rsidR="00227674" w:rsidRPr="00B217DC">
        <w:rPr>
          <w:rFonts w:cs="Arial"/>
          <w:color w:val="auto"/>
          <w:sz w:val="20"/>
          <w:szCs w:val="20"/>
          <w:lang w:val="en-GB"/>
        </w:rPr>
        <w:t xml:space="preserve"> market related </w:t>
      </w:r>
      <w:r w:rsidR="007706F3" w:rsidRPr="00B217DC">
        <w:rPr>
          <w:rFonts w:cs="Arial"/>
          <w:color w:val="auto"/>
          <w:sz w:val="20"/>
          <w:szCs w:val="20"/>
          <w:lang w:val="en-GB"/>
        </w:rPr>
        <w:t xml:space="preserve">and what are the proposed salaries for positions advertised and how these compare to the market. </w:t>
      </w:r>
    </w:p>
    <w:p w:rsidR="00A441BE" w:rsidRPr="00B217DC" w:rsidRDefault="00A441BE" w:rsidP="00B217DC">
      <w:pPr>
        <w:numPr>
          <w:ilvl w:val="0"/>
          <w:numId w:val="76"/>
        </w:numPr>
        <w:ind w:left="567"/>
        <w:rPr>
          <w:rFonts w:cs="Arial"/>
          <w:color w:val="auto"/>
          <w:sz w:val="20"/>
          <w:szCs w:val="20"/>
          <w:lang w:val="en-GB"/>
        </w:rPr>
      </w:pPr>
      <w:r w:rsidRPr="00B217DC">
        <w:rPr>
          <w:rFonts w:cs="Arial"/>
          <w:color w:val="auto"/>
          <w:sz w:val="20"/>
          <w:szCs w:val="20"/>
          <w:lang w:val="en-GB"/>
        </w:rPr>
        <w:t xml:space="preserve">The CGE should improve </w:t>
      </w:r>
      <w:r w:rsidR="00227674" w:rsidRPr="00B217DC">
        <w:rPr>
          <w:rFonts w:cs="Arial"/>
          <w:color w:val="auto"/>
          <w:sz w:val="20"/>
          <w:szCs w:val="20"/>
          <w:lang w:val="en-GB"/>
        </w:rPr>
        <w:t>on its complaints handling</w:t>
      </w:r>
      <w:r w:rsidR="007706F3" w:rsidRPr="00B217DC">
        <w:rPr>
          <w:rFonts w:cs="Arial"/>
          <w:color w:val="auto"/>
          <w:sz w:val="20"/>
          <w:szCs w:val="20"/>
          <w:lang w:val="en-GB"/>
        </w:rPr>
        <w:t xml:space="preserve"> processes</w:t>
      </w:r>
      <w:r w:rsidR="00227674" w:rsidRPr="00B217DC">
        <w:rPr>
          <w:rFonts w:cs="Arial"/>
          <w:color w:val="auto"/>
          <w:sz w:val="20"/>
          <w:szCs w:val="20"/>
          <w:lang w:val="en-GB"/>
        </w:rPr>
        <w:t>.</w:t>
      </w:r>
    </w:p>
    <w:p w:rsidR="00A441BE" w:rsidRPr="00B217DC" w:rsidRDefault="00A441BE" w:rsidP="00B217DC">
      <w:pPr>
        <w:numPr>
          <w:ilvl w:val="0"/>
          <w:numId w:val="76"/>
        </w:numPr>
        <w:ind w:left="567"/>
        <w:rPr>
          <w:rFonts w:cs="Arial"/>
          <w:color w:val="auto"/>
          <w:sz w:val="20"/>
          <w:szCs w:val="20"/>
          <w:lang w:val="en-GB"/>
        </w:rPr>
      </w:pPr>
      <w:r w:rsidRPr="00B217DC">
        <w:rPr>
          <w:rFonts w:cs="Arial"/>
          <w:color w:val="auto"/>
          <w:sz w:val="20"/>
          <w:szCs w:val="20"/>
          <w:lang w:val="en-GB"/>
        </w:rPr>
        <w:t>The C</w:t>
      </w:r>
      <w:r w:rsidR="00347C57" w:rsidRPr="00B217DC">
        <w:rPr>
          <w:rFonts w:cs="Arial"/>
          <w:color w:val="auto"/>
          <w:sz w:val="20"/>
          <w:szCs w:val="20"/>
          <w:lang w:val="en-GB"/>
        </w:rPr>
        <w:t>GE</w:t>
      </w:r>
      <w:r w:rsidRPr="00B217DC">
        <w:rPr>
          <w:rFonts w:cs="Arial"/>
          <w:color w:val="auto"/>
          <w:sz w:val="20"/>
          <w:szCs w:val="20"/>
          <w:lang w:val="en-GB"/>
        </w:rPr>
        <w:t xml:space="preserve"> should submit to the Committee</w:t>
      </w:r>
      <w:r w:rsidR="004B7C90" w:rsidRPr="00B217DC">
        <w:rPr>
          <w:rFonts w:cs="Arial"/>
          <w:color w:val="auto"/>
          <w:sz w:val="20"/>
          <w:szCs w:val="20"/>
          <w:lang w:val="en-GB"/>
        </w:rPr>
        <w:t>,</w:t>
      </w:r>
      <w:r w:rsidRPr="00B217DC">
        <w:rPr>
          <w:rFonts w:cs="Arial"/>
          <w:color w:val="auto"/>
          <w:sz w:val="20"/>
          <w:szCs w:val="20"/>
          <w:lang w:val="en-GB"/>
        </w:rPr>
        <w:t xml:space="preserve"> in writing</w:t>
      </w:r>
      <w:r w:rsidR="004B7C90" w:rsidRPr="00B217DC">
        <w:rPr>
          <w:rFonts w:cs="Arial"/>
          <w:color w:val="auto"/>
          <w:sz w:val="20"/>
          <w:szCs w:val="20"/>
          <w:lang w:val="en-GB"/>
        </w:rPr>
        <w:t>,</w:t>
      </w:r>
      <w:r w:rsidRPr="00B217DC">
        <w:rPr>
          <w:rFonts w:cs="Arial"/>
          <w:color w:val="auto"/>
          <w:sz w:val="20"/>
          <w:szCs w:val="20"/>
          <w:lang w:val="en-GB"/>
        </w:rPr>
        <w:t xml:space="preserve"> a </w:t>
      </w:r>
      <w:r w:rsidR="008F76CA" w:rsidRPr="00B217DC">
        <w:rPr>
          <w:rFonts w:cs="Arial"/>
          <w:color w:val="auto"/>
          <w:sz w:val="20"/>
          <w:szCs w:val="20"/>
          <w:lang w:val="en-GB"/>
        </w:rPr>
        <w:t xml:space="preserve">comprehensive </w:t>
      </w:r>
      <w:r w:rsidRPr="00B217DC">
        <w:rPr>
          <w:rFonts w:cs="Arial"/>
          <w:color w:val="auto"/>
          <w:sz w:val="20"/>
          <w:szCs w:val="20"/>
          <w:lang w:val="en-GB"/>
        </w:rPr>
        <w:t xml:space="preserve">report on the 17% </w:t>
      </w:r>
      <w:r w:rsidR="008F76CA" w:rsidRPr="00B217DC">
        <w:rPr>
          <w:rFonts w:cs="Arial"/>
          <w:color w:val="auto"/>
          <w:sz w:val="20"/>
          <w:szCs w:val="20"/>
          <w:lang w:val="en-GB"/>
        </w:rPr>
        <w:t>Provident</w:t>
      </w:r>
      <w:r w:rsidRPr="00B217DC">
        <w:rPr>
          <w:rFonts w:cs="Arial"/>
          <w:color w:val="auto"/>
          <w:sz w:val="20"/>
          <w:szCs w:val="20"/>
          <w:lang w:val="en-GB"/>
        </w:rPr>
        <w:t xml:space="preserve"> fund issue; AG finding regarding 100 hrs worked by part-time Commissioners without time sheets; th</w:t>
      </w:r>
      <w:r w:rsidR="007706F3" w:rsidRPr="00B217DC">
        <w:rPr>
          <w:rFonts w:cs="Arial"/>
          <w:color w:val="auto"/>
          <w:sz w:val="20"/>
          <w:szCs w:val="20"/>
          <w:lang w:val="en-GB"/>
        </w:rPr>
        <w:t xml:space="preserve">e compiling of annual report </w:t>
      </w:r>
      <w:r w:rsidRPr="00B217DC">
        <w:rPr>
          <w:rFonts w:cs="Arial"/>
          <w:color w:val="auto"/>
          <w:sz w:val="20"/>
          <w:szCs w:val="20"/>
          <w:lang w:val="en-GB"/>
        </w:rPr>
        <w:t xml:space="preserve">on </w:t>
      </w:r>
      <w:r w:rsidR="007706F3" w:rsidRPr="00B217DC">
        <w:rPr>
          <w:rFonts w:cs="Arial"/>
          <w:color w:val="auto"/>
          <w:sz w:val="20"/>
          <w:szCs w:val="20"/>
          <w:lang w:val="en-GB"/>
        </w:rPr>
        <w:t>the boy</w:t>
      </w:r>
      <w:r w:rsidRPr="00B217DC">
        <w:rPr>
          <w:rFonts w:cs="Arial"/>
          <w:color w:val="auto"/>
          <w:sz w:val="20"/>
          <w:szCs w:val="20"/>
          <w:lang w:val="en-GB"/>
        </w:rPr>
        <w:t>-child programme.</w:t>
      </w:r>
    </w:p>
    <w:p w:rsidR="0000306A" w:rsidRPr="00B217DC" w:rsidRDefault="0000306A" w:rsidP="00B217DC">
      <w:pPr>
        <w:numPr>
          <w:ilvl w:val="0"/>
          <w:numId w:val="76"/>
        </w:numPr>
        <w:ind w:left="567"/>
        <w:rPr>
          <w:rFonts w:cs="Arial"/>
          <w:color w:val="auto"/>
          <w:sz w:val="20"/>
          <w:szCs w:val="20"/>
          <w:lang w:val="en-GB"/>
        </w:rPr>
      </w:pPr>
      <w:r w:rsidRPr="00B217DC">
        <w:rPr>
          <w:rFonts w:cs="Arial"/>
          <w:i/>
          <w:color w:val="auto"/>
          <w:sz w:val="20"/>
          <w:szCs w:val="20"/>
          <w:lang w:val="en-GB"/>
        </w:rPr>
        <w:t>GBV</w:t>
      </w:r>
      <w:r w:rsidRPr="00B217DC">
        <w:rPr>
          <w:rFonts w:cs="Arial"/>
          <w:color w:val="auto"/>
          <w:sz w:val="20"/>
          <w:szCs w:val="20"/>
          <w:lang w:val="en-GB"/>
        </w:rPr>
        <w:t>: The CGE to report back to the Committee and provide a progress report regarding its monitoring of NSP in particular and submit a comprehensive report in this regard.</w:t>
      </w:r>
    </w:p>
    <w:p w:rsidR="00FF1D7B" w:rsidRPr="00B217DC" w:rsidRDefault="00FF1D7B" w:rsidP="00B217DC">
      <w:pPr>
        <w:rPr>
          <w:rFonts w:cs="Arial"/>
          <w:color w:val="auto"/>
          <w:sz w:val="20"/>
          <w:szCs w:val="20"/>
          <w:lang w:val="en-GB"/>
        </w:rPr>
      </w:pPr>
    </w:p>
    <w:p w:rsidR="00A441BE" w:rsidRPr="00B217DC" w:rsidRDefault="00A441BE" w:rsidP="00B217DC">
      <w:pPr>
        <w:rPr>
          <w:rFonts w:cs="Arial"/>
          <w:b/>
          <w:color w:val="auto"/>
          <w:sz w:val="20"/>
          <w:szCs w:val="20"/>
          <w:lang w:val="en-GB"/>
        </w:rPr>
      </w:pPr>
      <w:r w:rsidRPr="00B217DC">
        <w:rPr>
          <w:rFonts w:cs="Arial"/>
          <w:b/>
          <w:color w:val="auto"/>
          <w:sz w:val="20"/>
          <w:szCs w:val="20"/>
          <w:lang w:val="en-GB"/>
        </w:rPr>
        <w:t>16.</w:t>
      </w:r>
      <w:r w:rsidR="00322D62" w:rsidRPr="00B217DC">
        <w:rPr>
          <w:rFonts w:cs="Arial"/>
          <w:b/>
          <w:color w:val="auto"/>
          <w:sz w:val="20"/>
          <w:szCs w:val="20"/>
          <w:lang w:val="en-GB"/>
        </w:rPr>
        <w:t>9</w:t>
      </w:r>
      <w:r w:rsidRPr="00B217DC">
        <w:rPr>
          <w:rFonts w:cs="Arial"/>
          <w:b/>
          <w:color w:val="auto"/>
          <w:sz w:val="20"/>
          <w:szCs w:val="20"/>
          <w:lang w:val="en-GB"/>
        </w:rPr>
        <w:t>.</w:t>
      </w:r>
      <w:r w:rsidR="00322D62" w:rsidRPr="00B217DC">
        <w:rPr>
          <w:rFonts w:cs="Arial"/>
          <w:b/>
          <w:color w:val="auto"/>
          <w:sz w:val="20"/>
          <w:szCs w:val="20"/>
          <w:lang w:val="en-GB"/>
        </w:rPr>
        <w:t>9</w:t>
      </w:r>
      <w:r w:rsidRPr="00B217DC">
        <w:rPr>
          <w:rFonts w:cs="Arial"/>
          <w:b/>
          <w:color w:val="auto"/>
          <w:sz w:val="20"/>
          <w:szCs w:val="20"/>
          <w:lang w:val="en-GB"/>
        </w:rPr>
        <w:t xml:space="preserve"> Commissioners</w:t>
      </w:r>
    </w:p>
    <w:p w:rsidR="00B046C7" w:rsidRPr="00B217DC" w:rsidRDefault="00B046C7" w:rsidP="00B217DC">
      <w:pPr>
        <w:numPr>
          <w:ilvl w:val="0"/>
          <w:numId w:val="70"/>
        </w:numPr>
        <w:ind w:left="709" w:hanging="425"/>
        <w:rPr>
          <w:rFonts w:cs="Arial"/>
          <w:color w:val="auto"/>
          <w:sz w:val="20"/>
          <w:szCs w:val="20"/>
          <w:lang w:val="en-GB"/>
        </w:rPr>
      </w:pPr>
      <w:r w:rsidRPr="00B217DC">
        <w:rPr>
          <w:rFonts w:cs="Arial"/>
          <w:color w:val="auto"/>
          <w:sz w:val="20"/>
          <w:szCs w:val="20"/>
          <w:lang w:val="en-GB"/>
        </w:rPr>
        <w:t>Commissioners to continue to report on a quarterly and annual basis to the Committee on their deliverables in line with each Strategic Outcome as per the APP.</w:t>
      </w:r>
    </w:p>
    <w:p w:rsidR="00170BD2" w:rsidRPr="00B217DC" w:rsidRDefault="00170BD2" w:rsidP="00B217DC">
      <w:pPr>
        <w:rPr>
          <w:rFonts w:cs="Arial"/>
          <w:color w:val="auto"/>
          <w:sz w:val="20"/>
          <w:szCs w:val="20"/>
          <w:lang w:val="en-GB"/>
        </w:rPr>
      </w:pPr>
    </w:p>
    <w:p w:rsidR="00720379" w:rsidRPr="00B217DC" w:rsidRDefault="00720379" w:rsidP="00B217DC">
      <w:pPr>
        <w:pStyle w:val="ListParagraph"/>
        <w:numPr>
          <w:ilvl w:val="1"/>
          <w:numId w:val="126"/>
        </w:numPr>
        <w:rPr>
          <w:rFonts w:cs="Arial"/>
          <w:b/>
          <w:color w:val="auto"/>
          <w:sz w:val="20"/>
          <w:szCs w:val="20"/>
          <w:lang w:val="en-GB"/>
        </w:rPr>
      </w:pPr>
      <w:r w:rsidRPr="00B217DC">
        <w:rPr>
          <w:rFonts w:cs="Arial"/>
          <w:b/>
          <w:color w:val="auto"/>
          <w:sz w:val="20"/>
          <w:szCs w:val="20"/>
          <w:lang w:val="en-GB"/>
        </w:rPr>
        <w:t>NYDA</w:t>
      </w:r>
    </w:p>
    <w:p w:rsidR="002465E5" w:rsidRPr="00B217DC" w:rsidRDefault="002465E5" w:rsidP="00B217DC">
      <w:pPr>
        <w:rPr>
          <w:rFonts w:cs="Arial"/>
          <w:color w:val="auto"/>
          <w:sz w:val="20"/>
          <w:szCs w:val="20"/>
          <w:lang w:val="en-GB"/>
        </w:rPr>
      </w:pPr>
      <w:r w:rsidRPr="00B217DC">
        <w:rPr>
          <w:rFonts w:cs="Arial"/>
          <w:color w:val="auto"/>
          <w:sz w:val="20"/>
          <w:szCs w:val="20"/>
          <w:lang w:val="en-GB"/>
        </w:rPr>
        <w:t>The NYDA should ensure that the following recommendations are implemented.</w:t>
      </w:r>
    </w:p>
    <w:p w:rsidR="002465E5" w:rsidRPr="00B217DC" w:rsidRDefault="002465E5" w:rsidP="00B217DC">
      <w:pPr>
        <w:rPr>
          <w:rFonts w:cs="Arial"/>
          <w:b/>
          <w:color w:val="auto"/>
          <w:sz w:val="20"/>
          <w:szCs w:val="20"/>
          <w:lang w:val="en-GB"/>
        </w:rPr>
      </w:pPr>
    </w:p>
    <w:p w:rsidR="008553FE" w:rsidRPr="00B217DC" w:rsidRDefault="008553FE" w:rsidP="00B217DC">
      <w:pPr>
        <w:pStyle w:val="ListParagraph"/>
        <w:numPr>
          <w:ilvl w:val="0"/>
          <w:numId w:val="117"/>
        </w:numPr>
        <w:rPr>
          <w:rFonts w:cs="Arial"/>
          <w:color w:val="auto"/>
          <w:sz w:val="20"/>
          <w:szCs w:val="20"/>
          <w:lang w:val="en-GB"/>
        </w:rPr>
      </w:pPr>
      <w:r w:rsidRPr="00B217DC">
        <w:rPr>
          <w:rFonts w:cs="Arial"/>
          <w:i/>
          <w:color w:val="auto"/>
          <w:sz w:val="20"/>
          <w:szCs w:val="20"/>
          <w:lang w:val="en-GB"/>
        </w:rPr>
        <w:t>ARC</w:t>
      </w:r>
      <w:r w:rsidRPr="00B217DC">
        <w:rPr>
          <w:rFonts w:cs="Arial"/>
          <w:color w:val="auto"/>
          <w:sz w:val="20"/>
          <w:szCs w:val="20"/>
          <w:lang w:val="en-GB"/>
        </w:rPr>
        <w:t>: The ARC should report back to the Committee and provide an opinion with regards to the issue of the beneficiary who had not received her equipment within the required timeframe form the supplier.</w:t>
      </w:r>
    </w:p>
    <w:p w:rsidR="001A3346" w:rsidRPr="00B217DC" w:rsidRDefault="004E0DE0" w:rsidP="00B217DC">
      <w:pPr>
        <w:pStyle w:val="ListParagraph"/>
        <w:numPr>
          <w:ilvl w:val="0"/>
          <w:numId w:val="117"/>
        </w:numPr>
        <w:rPr>
          <w:rFonts w:cs="Arial"/>
          <w:color w:val="auto"/>
          <w:sz w:val="20"/>
          <w:szCs w:val="20"/>
          <w:lang w:val="en-GB"/>
        </w:rPr>
      </w:pPr>
      <w:r w:rsidRPr="00B217DC">
        <w:rPr>
          <w:rFonts w:cs="Arial"/>
          <w:i/>
          <w:color w:val="auto"/>
          <w:sz w:val="20"/>
          <w:szCs w:val="20"/>
          <w:lang w:val="en-GB"/>
        </w:rPr>
        <w:t>Audit Action Plan</w:t>
      </w:r>
      <w:r w:rsidRPr="00B217DC">
        <w:rPr>
          <w:rFonts w:cs="Arial"/>
          <w:color w:val="auto"/>
          <w:sz w:val="20"/>
          <w:szCs w:val="20"/>
          <w:lang w:val="en-GB"/>
        </w:rPr>
        <w:t>: The NYDA should develop an audit action plan that relates to the recommendations made by the AGSA</w:t>
      </w:r>
      <w:r w:rsidR="007E08FA" w:rsidRPr="00B217DC">
        <w:rPr>
          <w:rFonts w:cs="Arial"/>
          <w:color w:val="auto"/>
          <w:sz w:val="20"/>
          <w:szCs w:val="20"/>
          <w:lang w:val="en-GB"/>
        </w:rPr>
        <w:t xml:space="preserve"> and Audit Committee</w:t>
      </w:r>
      <w:r w:rsidRPr="00B217DC">
        <w:rPr>
          <w:rFonts w:cs="Arial"/>
          <w:color w:val="auto"/>
          <w:sz w:val="20"/>
          <w:szCs w:val="20"/>
          <w:lang w:val="en-GB"/>
        </w:rPr>
        <w:t>. Th</w:t>
      </w:r>
      <w:r w:rsidR="00D65E90" w:rsidRPr="00B217DC">
        <w:rPr>
          <w:rFonts w:cs="Arial"/>
          <w:color w:val="auto"/>
          <w:sz w:val="20"/>
          <w:szCs w:val="20"/>
          <w:lang w:val="en-GB"/>
        </w:rPr>
        <w:t>is</w:t>
      </w:r>
      <w:r w:rsidRPr="00B217DC">
        <w:rPr>
          <w:rFonts w:cs="Arial"/>
          <w:color w:val="auto"/>
          <w:sz w:val="20"/>
          <w:szCs w:val="20"/>
          <w:lang w:val="en-GB"/>
        </w:rPr>
        <w:t xml:space="preserve"> action plan should address the root cause of the problems</w:t>
      </w:r>
      <w:r w:rsidR="00344776" w:rsidRPr="00B217DC">
        <w:rPr>
          <w:rFonts w:cs="Arial"/>
          <w:color w:val="auto"/>
          <w:sz w:val="20"/>
          <w:szCs w:val="20"/>
          <w:lang w:val="en-GB"/>
        </w:rPr>
        <w:t xml:space="preserve"> raised</w:t>
      </w:r>
      <w:r w:rsidRPr="00B217DC">
        <w:rPr>
          <w:rFonts w:cs="Arial"/>
          <w:color w:val="auto"/>
          <w:sz w:val="20"/>
          <w:szCs w:val="20"/>
          <w:lang w:val="en-GB"/>
        </w:rPr>
        <w:t>. It must be submitted to the Committee with t</w:t>
      </w:r>
      <w:r w:rsidR="00347C57" w:rsidRPr="00B217DC">
        <w:rPr>
          <w:rFonts w:cs="Arial"/>
          <w:color w:val="auto"/>
          <w:sz w:val="20"/>
          <w:szCs w:val="20"/>
          <w:lang w:val="en-GB"/>
        </w:rPr>
        <w:t>he 2</w:t>
      </w:r>
      <w:r w:rsidR="00347C57" w:rsidRPr="00B217DC">
        <w:rPr>
          <w:rFonts w:cs="Arial"/>
          <w:color w:val="auto"/>
          <w:sz w:val="20"/>
          <w:szCs w:val="20"/>
          <w:vertAlign w:val="superscript"/>
          <w:lang w:val="en-GB"/>
        </w:rPr>
        <w:t>nd</w:t>
      </w:r>
      <w:r w:rsidR="00347C57" w:rsidRPr="00B217DC">
        <w:rPr>
          <w:rFonts w:cs="Arial"/>
          <w:color w:val="auto"/>
          <w:sz w:val="20"/>
          <w:szCs w:val="20"/>
          <w:lang w:val="en-GB"/>
        </w:rPr>
        <w:t xml:space="preserve"> </w:t>
      </w:r>
      <w:r w:rsidR="00344776" w:rsidRPr="00B217DC">
        <w:rPr>
          <w:rFonts w:cs="Arial"/>
          <w:color w:val="auto"/>
          <w:sz w:val="20"/>
          <w:szCs w:val="20"/>
          <w:lang w:val="en-GB"/>
        </w:rPr>
        <w:t>Quarterly Report for 202</w:t>
      </w:r>
      <w:r w:rsidR="00CB1DA9" w:rsidRPr="00B217DC">
        <w:rPr>
          <w:rFonts w:cs="Arial"/>
          <w:color w:val="auto"/>
          <w:sz w:val="20"/>
          <w:szCs w:val="20"/>
          <w:lang w:val="en-GB"/>
        </w:rPr>
        <w:t>2/23</w:t>
      </w:r>
      <w:r w:rsidRPr="00B217DC">
        <w:rPr>
          <w:rFonts w:cs="Arial"/>
          <w:color w:val="auto"/>
          <w:sz w:val="20"/>
          <w:szCs w:val="20"/>
          <w:lang w:val="en-GB"/>
        </w:rPr>
        <w:t>.</w:t>
      </w:r>
      <w:r w:rsidR="001A3346" w:rsidRPr="00B217DC">
        <w:rPr>
          <w:rFonts w:cs="Arial"/>
          <w:color w:val="auto"/>
          <w:sz w:val="20"/>
          <w:szCs w:val="20"/>
          <w:lang w:val="en-GB"/>
        </w:rPr>
        <w:t xml:space="preserve"> </w:t>
      </w:r>
    </w:p>
    <w:p w:rsidR="001A3346" w:rsidRPr="00B217DC" w:rsidRDefault="004E0DE0" w:rsidP="00B217DC">
      <w:pPr>
        <w:pStyle w:val="ListParagraph"/>
        <w:numPr>
          <w:ilvl w:val="0"/>
          <w:numId w:val="117"/>
        </w:numPr>
        <w:rPr>
          <w:rFonts w:cs="Arial"/>
          <w:color w:val="auto"/>
          <w:sz w:val="20"/>
          <w:szCs w:val="20"/>
          <w:lang w:val="en-GB"/>
        </w:rPr>
      </w:pPr>
      <w:r w:rsidRPr="00B217DC">
        <w:rPr>
          <w:rFonts w:cs="Arial"/>
          <w:color w:val="auto"/>
          <w:sz w:val="20"/>
          <w:szCs w:val="20"/>
          <w:lang w:val="en-GB"/>
        </w:rPr>
        <w:t xml:space="preserve">The </w:t>
      </w:r>
      <w:r w:rsidR="00640D36" w:rsidRPr="00B217DC">
        <w:rPr>
          <w:rFonts w:cs="Arial"/>
          <w:color w:val="auto"/>
          <w:sz w:val="20"/>
          <w:szCs w:val="20"/>
          <w:lang w:val="en-GB"/>
        </w:rPr>
        <w:t>NYDA</w:t>
      </w:r>
      <w:r w:rsidRPr="00B217DC">
        <w:rPr>
          <w:rFonts w:cs="Arial"/>
          <w:color w:val="auto"/>
          <w:sz w:val="20"/>
          <w:szCs w:val="20"/>
          <w:lang w:val="en-GB"/>
        </w:rPr>
        <w:t xml:space="preserve"> should provide quarterly progress reports on the implementation of its Audit Action Plan.</w:t>
      </w:r>
      <w:r w:rsidR="001A3346" w:rsidRPr="00B217DC">
        <w:rPr>
          <w:rFonts w:cs="Arial"/>
          <w:color w:val="auto"/>
          <w:sz w:val="20"/>
          <w:szCs w:val="20"/>
          <w:lang w:val="en-GB"/>
        </w:rPr>
        <w:t xml:space="preserve"> </w:t>
      </w:r>
    </w:p>
    <w:p w:rsidR="001A3346" w:rsidRPr="00B217DC" w:rsidRDefault="001A3346" w:rsidP="00B217DC">
      <w:pPr>
        <w:pStyle w:val="ListParagraph"/>
        <w:numPr>
          <w:ilvl w:val="0"/>
          <w:numId w:val="117"/>
        </w:numPr>
        <w:rPr>
          <w:rFonts w:cs="Arial"/>
          <w:color w:val="auto"/>
          <w:sz w:val="20"/>
          <w:szCs w:val="20"/>
          <w:lang w:val="en-GB"/>
        </w:rPr>
      </w:pPr>
      <w:r w:rsidRPr="00B217DC">
        <w:rPr>
          <w:rFonts w:cs="Arial"/>
          <w:i/>
          <w:color w:val="auto"/>
          <w:sz w:val="20"/>
          <w:szCs w:val="20"/>
          <w:lang w:val="en-GB"/>
        </w:rPr>
        <w:t>Reporting</w:t>
      </w:r>
      <w:r w:rsidRPr="00B217DC">
        <w:rPr>
          <w:rFonts w:cs="Arial"/>
          <w:color w:val="auto"/>
          <w:sz w:val="20"/>
          <w:szCs w:val="20"/>
          <w:lang w:val="en-GB"/>
        </w:rPr>
        <w:t xml:space="preserve">: </w:t>
      </w:r>
      <w:r w:rsidR="00347C57" w:rsidRPr="00B217DC">
        <w:rPr>
          <w:rFonts w:cs="Arial"/>
          <w:color w:val="auto"/>
          <w:sz w:val="20"/>
          <w:szCs w:val="20"/>
          <w:lang w:val="en-GB"/>
        </w:rPr>
        <w:t xml:space="preserve">The NYDA </w:t>
      </w:r>
      <w:r w:rsidRPr="00B217DC">
        <w:rPr>
          <w:rFonts w:cs="Arial"/>
          <w:color w:val="auto"/>
          <w:sz w:val="20"/>
          <w:szCs w:val="20"/>
        </w:rPr>
        <w:t xml:space="preserve">must ensure that its “Performance Information and financial reporting are integrated”. Quarterly and Annual Reporting should be in line with the tabled APP. The performance information reporting must reflect what has been achieved and not achieved as per </w:t>
      </w:r>
      <w:r w:rsidR="00FF1D7B" w:rsidRPr="00B217DC">
        <w:rPr>
          <w:rFonts w:cs="Arial"/>
          <w:color w:val="auto"/>
          <w:sz w:val="20"/>
          <w:szCs w:val="20"/>
        </w:rPr>
        <w:t xml:space="preserve">each </w:t>
      </w:r>
      <w:r w:rsidRPr="00B217DC">
        <w:rPr>
          <w:rFonts w:cs="Arial"/>
          <w:color w:val="auto"/>
          <w:sz w:val="20"/>
          <w:szCs w:val="20"/>
        </w:rPr>
        <w:t>SO. In addition, it should be integrating the budget information by reflecting how much it costed the institution to meet the target in comparison to what was budgeted for.</w:t>
      </w:r>
    </w:p>
    <w:p w:rsidR="007E08FA" w:rsidRPr="00B217DC" w:rsidRDefault="007E08FA"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NYDA should examine its targets and consider setting higher</w:t>
      </w:r>
      <w:r w:rsidR="00344776" w:rsidRPr="00B217DC">
        <w:rPr>
          <w:rFonts w:cs="Arial"/>
          <w:color w:val="auto"/>
          <w:sz w:val="20"/>
          <w:szCs w:val="20"/>
          <w:lang w:val="en-GB"/>
        </w:rPr>
        <w:t xml:space="preserve"> targets</w:t>
      </w:r>
      <w:r w:rsidRPr="00B217DC">
        <w:rPr>
          <w:rFonts w:cs="Arial"/>
          <w:color w:val="auto"/>
          <w:sz w:val="20"/>
          <w:szCs w:val="20"/>
          <w:lang w:val="en-GB"/>
        </w:rPr>
        <w:t>.</w:t>
      </w:r>
    </w:p>
    <w:p w:rsidR="00266EE4" w:rsidRPr="00B217DC" w:rsidRDefault="00266EE4"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NYDA should forward the whistle-blower’s letter containing the allegations to the Committee in preparation for dealing with the report on the investigation.</w:t>
      </w:r>
    </w:p>
    <w:p w:rsidR="008553FE" w:rsidRPr="00B217DC" w:rsidRDefault="008553FE"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Committee will invite the NYDA to brief them members on the report that covers the investigation into the allegations on corruption made by a whistle-blower against the CEO by end November 2022.</w:t>
      </w:r>
    </w:p>
    <w:p w:rsidR="008553FE" w:rsidRPr="00B217DC" w:rsidRDefault="008553FE" w:rsidP="00B217DC">
      <w:pPr>
        <w:pStyle w:val="ListParagraph"/>
        <w:numPr>
          <w:ilvl w:val="0"/>
          <w:numId w:val="117"/>
        </w:numPr>
        <w:rPr>
          <w:rFonts w:cs="Arial"/>
          <w:color w:val="auto"/>
          <w:sz w:val="20"/>
          <w:szCs w:val="20"/>
          <w:lang w:val="en-GB"/>
        </w:rPr>
      </w:pPr>
      <w:r w:rsidRPr="00B217DC">
        <w:rPr>
          <w:rFonts w:cs="Arial"/>
          <w:color w:val="auto"/>
          <w:sz w:val="20"/>
          <w:szCs w:val="20"/>
          <w:lang w:val="en-GB"/>
        </w:rPr>
        <w:lastRenderedPageBreak/>
        <w:t>The NYDA should ensure there are market linkages between the NYDA, Department of Basic Education and the Department of Women, Youth and Persons with Disabilities to ensure that young people benefit from the SDP.</w:t>
      </w:r>
    </w:p>
    <w:p w:rsidR="008553FE" w:rsidRPr="00B217DC" w:rsidRDefault="008553FE"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Board Members including the Chairperson and the Deputy Chairperson of the Board should indicate what each member has done with regards to their work in the NYDA at the next Committee meeting.</w:t>
      </w:r>
    </w:p>
    <w:p w:rsidR="003443C4" w:rsidRPr="00B217DC" w:rsidRDefault="003443C4"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NYDA to submit a report reflecting all international trips undertaken by Board Members that outline the purpose, cost, number of Board Members attended and the outcomes.</w:t>
      </w:r>
    </w:p>
    <w:p w:rsidR="008553FE" w:rsidRPr="00B217DC" w:rsidRDefault="008553FE"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NYDA should include youth who are non-conforming in their programmes.</w:t>
      </w:r>
    </w:p>
    <w:p w:rsidR="007E08FA" w:rsidRPr="00B217DC" w:rsidRDefault="008553FE" w:rsidP="00B217DC">
      <w:pPr>
        <w:pStyle w:val="ListParagraph"/>
        <w:numPr>
          <w:ilvl w:val="0"/>
          <w:numId w:val="117"/>
        </w:numPr>
        <w:rPr>
          <w:rFonts w:cs="Arial"/>
          <w:color w:val="auto"/>
          <w:sz w:val="20"/>
          <w:szCs w:val="20"/>
          <w:lang w:val="en-GB"/>
        </w:rPr>
      </w:pPr>
      <w:r w:rsidRPr="00B217DC">
        <w:rPr>
          <w:rFonts w:cs="Arial"/>
          <w:color w:val="auto"/>
          <w:sz w:val="20"/>
          <w:szCs w:val="20"/>
          <w:lang w:val="en-GB"/>
        </w:rPr>
        <w:t>The NYDA should be mindful of paying more money to the CEO at the expense of the organisation not able to implement their programmes.</w:t>
      </w:r>
    </w:p>
    <w:p w:rsidR="00322D62" w:rsidRPr="00B217DC" w:rsidRDefault="00322D62" w:rsidP="00B217DC">
      <w:pPr>
        <w:ind w:left="-11"/>
        <w:rPr>
          <w:rFonts w:cs="Arial"/>
          <w:color w:val="auto"/>
          <w:sz w:val="20"/>
          <w:szCs w:val="20"/>
          <w:lang w:val="en-GB"/>
        </w:rPr>
      </w:pPr>
    </w:p>
    <w:p w:rsidR="002527A9" w:rsidRPr="00B217DC" w:rsidRDefault="002465E5" w:rsidP="00B217DC">
      <w:pPr>
        <w:ind w:left="-11"/>
        <w:rPr>
          <w:rFonts w:cs="Arial"/>
          <w:color w:val="auto"/>
          <w:sz w:val="20"/>
          <w:szCs w:val="20"/>
          <w:lang w:val="en-GB"/>
        </w:rPr>
      </w:pPr>
      <w:r w:rsidRPr="00B217DC">
        <w:rPr>
          <w:rFonts w:cs="Arial"/>
          <w:color w:val="auto"/>
          <w:sz w:val="20"/>
          <w:szCs w:val="20"/>
          <w:lang w:val="en-GB"/>
        </w:rPr>
        <w:t>The Committee hereby recommends the following for consideration by the Minister of Finance:</w:t>
      </w:r>
    </w:p>
    <w:p w:rsidR="00720379" w:rsidRPr="00B217DC" w:rsidRDefault="000B638A" w:rsidP="00B217DC">
      <w:pPr>
        <w:ind w:left="-11"/>
        <w:rPr>
          <w:rFonts w:cs="Arial"/>
          <w:b/>
          <w:color w:val="auto"/>
          <w:sz w:val="20"/>
          <w:szCs w:val="20"/>
          <w:lang w:val="en-GB"/>
        </w:rPr>
      </w:pPr>
      <w:r w:rsidRPr="00B217DC">
        <w:rPr>
          <w:rFonts w:cs="Arial"/>
          <w:b/>
          <w:color w:val="auto"/>
          <w:sz w:val="20"/>
          <w:szCs w:val="20"/>
          <w:lang w:val="en-GB"/>
        </w:rPr>
        <w:t>16.1</w:t>
      </w:r>
      <w:r w:rsidR="00322D62" w:rsidRPr="00B217DC">
        <w:rPr>
          <w:rFonts w:cs="Arial"/>
          <w:b/>
          <w:color w:val="auto"/>
          <w:sz w:val="20"/>
          <w:szCs w:val="20"/>
          <w:lang w:val="en-GB"/>
        </w:rPr>
        <w:t>1</w:t>
      </w:r>
      <w:r w:rsidRPr="00B217DC">
        <w:rPr>
          <w:rFonts w:cs="Arial"/>
          <w:b/>
          <w:color w:val="auto"/>
          <w:sz w:val="20"/>
          <w:szCs w:val="20"/>
          <w:lang w:val="en-GB"/>
        </w:rPr>
        <w:t xml:space="preserve"> </w:t>
      </w:r>
      <w:r w:rsidR="00720379" w:rsidRPr="00B217DC">
        <w:rPr>
          <w:rFonts w:cs="Arial"/>
          <w:b/>
          <w:color w:val="auto"/>
          <w:sz w:val="20"/>
          <w:szCs w:val="20"/>
          <w:lang w:val="en-GB"/>
        </w:rPr>
        <w:t>National Treasury</w:t>
      </w:r>
    </w:p>
    <w:p w:rsidR="00170BD2" w:rsidRPr="00B217DC" w:rsidRDefault="00267DA6" w:rsidP="00B217DC">
      <w:pPr>
        <w:numPr>
          <w:ilvl w:val="0"/>
          <w:numId w:val="23"/>
        </w:numPr>
        <w:ind w:left="426"/>
        <w:rPr>
          <w:rFonts w:cs="Arial"/>
          <w:color w:val="auto"/>
          <w:sz w:val="20"/>
          <w:szCs w:val="20"/>
          <w:lang w:val="en-GB"/>
        </w:rPr>
      </w:pPr>
      <w:r w:rsidRPr="00B217DC">
        <w:rPr>
          <w:rFonts w:cs="Arial"/>
          <w:color w:val="auto"/>
          <w:sz w:val="20"/>
          <w:szCs w:val="20"/>
          <w:lang w:val="en-GB"/>
        </w:rPr>
        <w:t xml:space="preserve">The Committee requests National Treasury </w:t>
      </w:r>
      <w:r w:rsidR="00CF12C9" w:rsidRPr="00B217DC">
        <w:rPr>
          <w:rFonts w:cs="Arial"/>
          <w:color w:val="auto"/>
          <w:sz w:val="20"/>
          <w:szCs w:val="20"/>
          <w:lang w:val="en-GB"/>
        </w:rPr>
        <w:t>to consider the condonation requests by the Department and the CGE</w:t>
      </w:r>
      <w:r w:rsidR="00170BD2" w:rsidRPr="00B217DC">
        <w:rPr>
          <w:rFonts w:cs="Arial"/>
          <w:color w:val="auto"/>
          <w:sz w:val="20"/>
          <w:szCs w:val="20"/>
          <w:lang w:val="en-GB"/>
        </w:rPr>
        <w:t>.</w:t>
      </w:r>
    </w:p>
    <w:p w:rsidR="00CF12C9" w:rsidRPr="00B217DC" w:rsidRDefault="00CF12C9" w:rsidP="00B217DC">
      <w:pPr>
        <w:numPr>
          <w:ilvl w:val="0"/>
          <w:numId w:val="23"/>
        </w:numPr>
        <w:ind w:left="426"/>
        <w:rPr>
          <w:rFonts w:cs="Arial"/>
          <w:color w:val="auto"/>
          <w:sz w:val="20"/>
          <w:szCs w:val="20"/>
          <w:lang w:val="en-GB"/>
        </w:rPr>
      </w:pPr>
      <w:r w:rsidRPr="00B217DC">
        <w:rPr>
          <w:rFonts w:cs="Arial"/>
          <w:color w:val="auto"/>
          <w:sz w:val="20"/>
          <w:szCs w:val="20"/>
          <w:lang w:val="en-GB"/>
        </w:rPr>
        <w:t>The Committee requests National Treasury to consider the requests for roll-over of funds for the Department and the CGE.</w:t>
      </w:r>
    </w:p>
    <w:p w:rsidR="00C85043" w:rsidRPr="00B217DC" w:rsidRDefault="00C85043" w:rsidP="00B217DC">
      <w:pPr>
        <w:ind w:left="66"/>
        <w:rPr>
          <w:rFonts w:cs="Arial"/>
          <w:color w:val="auto"/>
          <w:sz w:val="20"/>
          <w:szCs w:val="20"/>
          <w:lang w:val="en-GB"/>
        </w:rPr>
      </w:pPr>
    </w:p>
    <w:p w:rsidR="00203FF9" w:rsidRPr="00B217DC" w:rsidRDefault="00203FF9" w:rsidP="00B217DC">
      <w:pPr>
        <w:ind w:left="66"/>
        <w:rPr>
          <w:rFonts w:cs="Arial"/>
          <w:b/>
          <w:color w:val="auto"/>
          <w:sz w:val="20"/>
          <w:szCs w:val="20"/>
          <w:lang w:val="en-GB"/>
        </w:rPr>
      </w:pPr>
      <w:r w:rsidRPr="00B217DC">
        <w:rPr>
          <w:rFonts w:cs="Arial"/>
          <w:b/>
          <w:color w:val="auto"/>
          <w:sz w:val="20"/>
          <w:szCs w:val="20"/>
          <w:lang w:val="en-GB"/>
        </w:rPr>
        <w:t>16.1</w:t>
      </w:r>
      <w:r w:rsidR="00322D62" w:rsidRPr="00B217DC">
        <w:rPr>
          <w:rFonts w:cs="Arial"/>
          <w:b/>
          <w:color w:val="auto"/>
          <w:sz w:val="20"/>
          <w:szCs w:val="20"/>
          <w:lang w:val="en-GB"/>
        </w:rPr>
        <w:t>2</w:t>
      </w:r>
      <w:r w:rsidRPr="00B217DC">
        <w:rPr>
          <w:rFonts w:cs="Arial"/>
          <w:b/>
          <w:color w:val="auto"/>
          <w:sz w:val="20"/>
          <w:szCs w:val="20"/>
          <w:lang w:val="en-GB"/>
        </w:rPr>
        <w:t xml:space="preserve"> AGSA</w:t>
      </w:r>
    </w:p>
    <w:p w:rsidR="00203FF9" w:rsidRPr="00B217DC" w:rsidRDefault="00203FF9" w:rsidP="00B217DC">
      <w:pPr>
        <w:pStyle w:val="ListParagraph"/>
        <w:numPr>
          <w:ilvl w:val="1"/>
          <w:numId w:val="116"/>
        </w:numPr>
        <w:tabs>
          <w:tab w:val="left" w:pos="188"/>
          <w:tab w:val="left" w:pos="2104"/>
        </w:tabs>
        <w:ind w:left="567"/>
        <w:rPr>
          <w:rFonts w:cs="Arial"/>
          <w:color w:val="auto"/>
          <w:sz w:val="20"/>
          <w:szCs w:val="20"/>
          <w:lang w:val="en-GB"/>
        </w:rPr>
      </w:pPr>
      <w:r w:rsidRPr="00B217DC">
        <w:rPr>
          <w:rFonts w:cs="Arial"/>
          <w:color w:val="auto"/>
          <w:sz w:val="20"/>
          <w:szCs w:val="20"/>
          <w:lang w:val="en-GB"/>
        </w:rPr>
        <w:t xml:space="preserve">The AGSA is requested to investigate the payment of part-time Commissioners </w:t>
      </w:r>
      <w:r w:rsidR="00CB1DA9" w:rsidRPr="00B217DC">
        <w:rPr>
          <w:rFonts w:cs="Arial"/>
          <w:color w:val="auto"/>
          <w:sz w:val="20"/>
          <w:szCs w:val="20"/>
        </w:rPr>
        <w:t>without timesheets submitted as evidence</w:t>
      </w:r>
      <w:r w:rsidR="00CB1DA9" w:rsidRPr="00B217DC">
        <w:rPr>
          <w:rFonts w:cs="Arial"/>
          <w:color w:val="auto"/>
          <w:sz w:val="20"/>
          <w:szCs w:val="20"/>
          <w:lang w:val="en-GB"/>
        </w:rPr>
        <w:t xml:space="preserve"> </w:t>
      </w:r>
      <w:r w:rsidRPr="00B217DC">
        <w:rPr>
          <w:rFonts w:cs="Arial"/>
          <w:color w:val="auto"/>
          <w:sz w:val="20"/>
          <w:szCs w:val="20"/>
          <w:lang w:val="en-GB"/>
        </w:rPr>
        <w:t>having taken into consideration the findings of the ARC, the Internal Audit Unit and the Portfolio Committee on Women, Youth and Persons with D</w:t>
      </w:r>
      <w:r w:rsidR="00CB1DA9" w:rsidRPr="00B217DC">
        <w:rPr>
          <w:rFonts w:cs="Arial"/>
          <w:color w:val="auto"/>
          <w:sz w:val="20"/>
          <w:szCs w:val="20"/>
          <w:lang w:val="en-GB"/>
        </w:rPr>
        <w:t>isabilities</w:t>
      </w:r>
      <w:r w:rsidRPr="00B217DC">
        <w:rPr>
          <w:rFonts w:cs="Arial"/>
          <w:color w:val="auto"/>
          <w:sz w:val="20"/>
          <w:szCs w:val="20"/>
          <w:lang w:val="en-GB"/>
        </w:rPr>
        <w:t xml:space="preserve">. </w:t>
      </w:r>
    </w:p>
    <w:p w:rsidR="00F63437" w:rsidRPr="00B217DC" w:rsidRDefault="00F63437" w:rsidP="00B217DC">
      <w:pPr>
        <w:pStyle w:val="ListParagraph"/>
        <w:numPr>
          <w:ilvl w:val="1"/>
          <w:numId w:val="116"/>
        </w:numPr>
        <w:tabs>
          <w:tab w:val="left" w:pos="188"/>
          <w:tab w:val="left" w:pos="2104"/>
        </w:tabs>
        <w:ind w:left="567"/>
        <w:rPr>
          <w:rFonts w:cs="Arial"/>
          <w:color w:val="auto"/>
          <w:sz w:val="20"/>
          <w:szCs w:val="20"/>
          <w:lang w:val="en-GB"/>
        </w:rPr>
      </w:pPr>
      <w:r w:rsidRPr="00B217DC">
        <w:rPr>
          <w:rFonts w:cs="Arial"/>
          <w:color w:val="auto"/>
          <w:sz w:val="20"/>
          <w:szCs w:val="20"/>
          <w:lang w:val="en-GB"/>
        </w:rPr>
        <w:t>The AGSA to assess whether the payment of 100-hour flat rate to part-time Commissioners had continued for the current FY 2022/23 and why.</w:t>
      </w:r>
    </w:p>
    <w:p w:rsidR="001141C4" w:rsidRPr="00B217DC" w:rsidRDefault="00203FF9" w:rsidP="00B217DC">
      <w:pPr>
        <w:pStyle w:val="ListParagraph"/>
        <w:numPr>
          <w:ilvl w:val="1"/>
          <w:numId w:val="116"/>
        </w:numPr>
        <w:tabs>
          <w:tab w:val="left" w:pos="188"/>
          <w:tab w:val="left" w:pos="2104"/>
        </w:tabs>
        <w:ind w:left="567"/>
        <w:rPr>
          <w:rFonts w:cs="Arial"/>
          <w:color w:val="auto"/>
          <w:sz w:val="20"/>
          <w:szCs w:val="20"/>
          <w:lang w:val="en-GB"/>
        </w:rPr>
      </w:pPr>
      <w:r w:rsidRPr="00B217DC">
        <w:rPr>
          <w:rFonts w:cs="Arial"/>
          <w:color w:val="auto"/>
          <w:sz w:val="20"/>
          <w:szCs w:val="20"/>
          <w:lang w:val="en-GB"/>
        </w:rPr>
        <w:t>The AGSA is requested to investigate the discrepancy in salary between full time and part-time Commissioners and the application of Presidential determination for the period 2019/20 – 2021/22.</w:t>
      </w:r>
    </w:p>
    <w:p w:rsidR="00322D62" w:rsidRPr="00B217DC" w:rsidRDefault="00322D62" w:rsidP="00B217DC">
      <w:pPr>
        <w:tabs>
          <w:tab w:val="left" w:pos="188"/>
          <w:tab w:val="left" w:pos="2104"/>
        </w:tabs>
        <w:rPr>
          <w:rFonts w:cs="Arial"/>
          <w:color w:val="auto"/>
          <w:sz w:val="20"/>
          <w:szCs w:val="20"/>
          <w:lang w:val="en-GB"/>
        </w:rPr>
      </w:pPr>
    </w:p>
    <w:p w:rsidR="00170BD2" w:rsidRPr="00B217DC" w:rsidRDefault="00170BD2" w:rsidP="00B217DC">
      <w:pPr>
        <w:pStyle w:val="ListParagraph"/>
        <w:numPr>
          <w:ilvl w:val="0"/>
          <w:numId w:val="57"/>
        </w:numPr>
        <w:ind w:left="426"/>
        <w:rPr>
          <w:rFonts w:cs="Arial"/>
          <w:b/>
          <w:color w:val="auto"/>
          <w:sz w:val="20"/>
          <w:szCs w:val="20"/>
          <w:lang w:val="en-GB"/>
        </w:rPr>
      </w:pPr>
      <w:r w:rsidRPr="00B217DC">
        <w:rPr>
          <w:rFonts w:cs="Arial"/>
          <w:b/>
          <w:color w:val="auto"/>
          <w:sz w:val="20"/>
          <w:szCs w:val="20"/>
          <w:lang w:val="en-GB"/>
        </w:rPr>
        <w:t xml:space="preserve">SUMMARY OF REPORTING REQUESTS </w:t>
      </w:r>
    </w:p>
    <w:p w:rsidR="00170BD2" w:rsidRPr="00B217DC" w:rsidRDefault="00170BD2" w:rsidP="00B217DC">
      <w:pPr>
        <w:rPr>
          <w:rFonts w:cs="Arial"/>
          <w:color w:val="auto"/>
          <w:sz w:val="20"/>
          <w:szCs w:val="20"/>
          <w:lang w:val="en-GB"/>
        </w:rPr>
      </w:pPr>
    </w:p>
    <w:p w:rsidR="00170BD2" w:rsidRPr="00B217DC" w:rsidRDefault="00170BD2" w:rsidP="00B217DC">
      <w:pPr>
        <w:rPr>
          <w:rFonts w:cs="Arial"/>
          <w:b/>
          <w:color w:val="auto"/>
          <w:sz w:val="20"/>
          <w:szCs w:val="20"/>
          <w:lang w:val="en-GB"/>
        </w:rPr>
      </w:pPr>
      <w:r w:rsidRPr="00B217DC">
        <w:rPr>
          <w:rFonts w:cs="Arial"/>
          <w:b/>
          <w:color w:val="auto"/>
          <w:sz w:val="20"/>
          <w:szCs w:val="20"/>
          <w:lang w:val="en-GB"/>
        </w:rPr>
        <w:t xml:space="preserve">Table </w:t>
      </w:r>
      <w:r w:rsidR="00F62BC0" w:rsidRPr="00B217DC">
        <w:rPr>
          <w:rFonts w:cs="Arial"/>
          <w:b/>
          <w:color w:val="auto"/>
          <w:sz w:val="20"/>
          <w:szCs w:val="20"/>
          <w:lang w:val="en-GB"/>
        </w:rPr>
        <w:t>8</w:t>
      </w:r>
      <w:r w:rsidRPr="00B217DC">
        <w:rPr>
          <w:rFonts w:cs="Arial"/>
          <w:b/>
          <w:color w:val="auto"/>
          <w:sz w:val="20"/>
          <w:szCs w:val="20"/>
          <w:lang w:val="en-GB"/>
        </w:rPr>
        <w:t>: Reporting requests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1959"/>
        <w:gridCol w:w="2592"/>
        <w:gridCol w:w="954"/>
        <w:gridCol w:w="829"/>
        <w:gridCol w:w="876"/>
      </w:tblGrid>
      <w:tr w:rsidR="006675BE" w:rsidRPr="00B217DC" w:rsidTr="00CF12C9">
        <w:trPr>
          <w:trHeight w:val="270"/>
          <w:tblHeader/>
        </w:trPr>
        <w:tc>
          <w:tcPr>
            <w:tcW w:w="2418" w:type="dxa"/>
            <w:tcBorders>
              <w:top w:val="single" w:sz="4" w:space="0" w:color="000000"/>
              <w:left w:val="single" w:sz="4" w:space="0" w:color="000000"/>
              <w:bottom w:val="single" w:sz="4" w:space="0" w:color="000000"/>
              <w:right w:val="single" w:sz="4" w:space="0" w:color="000000"/>
            </w:tcBorders>
            <w:shd w:val="clear" w:color="auto" w:fill="92D050"/>
            <w:hideMark/>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t>Reporting matter</w:t>
            </w:r>
          </w:p>
        </w:tc>
        <w:tc>
          <w:tcPr>
            <w:tcW w:w="1959" w:type="dxa"/>
            <w:tcBorders>
              <w:top w:val="single" w:sz="4" w:space="0" w:color="000000"/>
              <w:left w:val="single" w:sz="4" w:space="0" w:color="000000"/>
              <w:bottom w:val="single" w:sz="4" w:space="0" w:color="000000"/>
              <w:right w:val="single" w:sz="4" w:space="0" w:color="000000"/>
            </w:tcBorders>
            <w:shd w:val="clear" w:color="auto" w:fill="92D050"/>
            <w:hideMark/>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t>Action required</w:t>
            </w:r>
          </w:p>
        </w:tc>
        <w:tc>
          <w:tcPr>
            <w:tcW w:w="2592" w:type="dxa"/>
            <w:tcBorders>
              <w:top w:val="single" w:sz="4" w:space="0" w:color="000000"/>
              <w:left w:val="single" w:sz="4" w:space="0" w:color="000000"/>
              <w:bottom w:val="single" w:sz="4" w:space="0" w:color="000000"/>
              <w:right w:val="single" w:sz="4" w:space="0" w:color="000000"/>
            </w:tcBorders>
            <w:shd w:val="clear" w:color="auto" w:fill="92D050"/>
            <w:hideMark/>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t>Timeframe</w:t>
            </w:r>
          </w:p>
        </w:tc>
        <w:tc>
          <w:tcPr>
            <w:tcW w:w="954" w:type="dxa"/>
            <w:tcBorders>
              <w:top w:val="single" w:sz="4" w:space="0" w:color="000000"/>
              <w:left w:val="single" w:sz="4" w:space="0" w:color="000000"/>
              <w:bottom w:val="single" w:sz="4" w:space="0" w:color="000000"/>
              <w:right w:val="single" w:sz="4" w:space="0" w:color="000000"/>
            </w:tcBorders>
            <w:shd w:val="clear" w:color="auto" w:fill="92D050"/>
            <w:hideMark/>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t>Dept.</w:t>
            </w:r>
          </w:p>
        </w:tc>
        <w:tc>
          <w:tcPr>
            <w:tcW w:w="829" w:type="dxa"/>
            <w:tcBorders>
              <w:top w:val="single" w:sz="4" w:space="0" w:color="000000"/>
              <w:left w:val="single" w:sz="4" w:space="0" w:color="000000"/>
              <w:bottom w:val="single" w:sz="4" w:space="0" w:color="000000"/>
              <w:right w:val="single" w:sz="4" w:space="0" w:color="000000"/>
            </w:tcBorders>
            <w:shd w:val="clear" w:color="auto" w:fill="92D050"/>
            <w:hideMark/>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t>CGE</w:t>
            </w:r>
          </w:p>
        </w:tc>
        <w:tc>
          <w:tcPr>
            <w:tcW w:w="876" w:type="dxa"/>
            <w:tcBorders>
              <w:top w:val="single" w:sz="4" w:space="0" w:color="000000"/>
              <w:left w:val="single" w:sz="4" w:space="0" w:color="000000"/>
              <w:bottom w:val="single" w:sz="4" w:space="0" w:color="000000"/>
              <w:right w:val="single" w:sz="4" w:space="0" w:color="000000"/>
            </w:tcBorders>
            <w:shd w:val="clear" w:color="auto" w:fill="92D050"/>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t>NYDA</w:t>
            </w:r>
          </w:p>
        </w:tc>
      </w:tr>
      <w:tr w:rsidR="006675BE" w:rsidRPr="00B217DC" w:rsidTr="00CF12C9">
        <w:trPr>
          <w:trHeight w:val="632"/>
        </w:trPr>
        <w:tc>
          <w:tcPr>
            <w:tcW w:w="2418"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Quarterly reports</w:t>
            </w: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Written report </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Every quarter</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sym w:font="Wingdings" w:char="F0FE"/>
            </w:r>
          </w:p>
        </w:tc>
      </w:tr>
      <w:tr w:rsidR="006675BE" w:rsidRPr="00B217DC" w:rsidTr="00CF12C9">
        <w:trPr>
          <w:trHeight w:val="840"/>
        </w:trPr>
        <w:tc>
          <w:tcPr>
            <w:tcW w:w="2418" w:type="dxa"/>
            <w:vMerge w:val="restart"/>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Audit outcomes - </w:t>
            </w:r>
          </w:p>
          <w:p w:rsidR="00640D36" w:rsidRPr="00B217DC" w:rsidRDefault="00640D36" w:rsidP="00B217DC">
            <w:pPr>
              <w:rPr>
                <w:rFonts w:cs="Arial"/>
                <w:color w:val="auto"/>
                <w:sz w:val="20"/>
                <w:szCs w:val="20"/>
                <w:lang w:val="en-GB"/>
              </w:rPr>
            </w:pPr>
            <w:r w:rsidRPr="00B217DC">
              <w:rPr>
                <w:rFonts w:cs="Arial"/>
                <w:color w:val="auto"/>
                <w:sz w:val="20"/>
                <w:szCs w:val="20"/>
                <w:lang w:val="en-GB"/>
              </w:rPr>
              <w:t>Details of audit action plan</w:t>
            </w: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Written report of audit action plan </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Q</w:t>
            </w:r>
            <w:r w:rsidR="00CF12C9" w:rsidRPr="00B217DC">
              <w:rPr>
                <w:rFonts w:cs="Arial"/>
                <w:color w:val="auto"/>
                <w:sz w:val="20"/>
                <w:szCs w:val="20"/>
                <w:lang w:val="en-GB"/>
              </w:rPr>
              <w:t>2</w:t>
            </w:r>
            <w:r w:rsidRPr="00B217DC">
              <w:rPr>
                <w:rFonts w:cs="Arial"/>
                <w:color w:val="auto"/>
                <w:sz w:val="20"/>
                <w:szCs w:val="20"/>
                <w:lang w:val="en-GB"/>
              </w:rPr>
              <w:t xml:space="preserve"> 202</w:t>
            </w:r>
            <w:r w:rsidR="00322D62" w:rsidRPr="00B217DC">
              <w:rPr>
                <w:rFonts w:cs="Arial"/>
                <w:color w:val="auto"/>
                <w:sz w:val="20"/>
                <w:szCs w:val="20"/>
                <w:lang w:val="en-GB"/>
              </w:rPr>
              <w:t>2</w:t>
            </w:r>
            <w:r w:rsidR="00CF12C9" w:rsidRPr="00B217DC">
              <w:rPr>
                <w:rFonts w:cs="Arial"/>
                <w:color w:val="auto"/>
                <w:sz w:val="20"/>
                <w:szCs w:val="20"/>
                <w:lang w:val="en-GB"/>
              </w:rPr>
              <w:t>/2</w:t>
            </w:r>
            <w:r w:rsidR="00322D62" w:rsidRPr="00B217DC">
              <w:rPr>
                <w:rFonts w:cs="Arial"/>
                <w:color w:val="auto"/>
                <w:sz w:val="20"/>
                <w:szCs w:val="20"/>
                <w:lang w:val="en-GB"/>
              </w:rPr>
              <w:t>3</w:t>
            </w:r>
            <w:r w:rsidRPr="00B217DC">
              <w:rPr>
                <w:rFonts w:cs="Arial"/>
                <w:color w:val="auto"/>
                <w:sz w:val="20"/>
                <w:szCs w:val="20"/>
                <w:lang w:val="en-GB"/>
              </w:rPr>
              <w:t xml:space="preserve"> briefing</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sym w:font="Wingdings" w:char="F0FE"/>
            </w:r>
          </w:p>
        </w:tc>
      </w:tr>
      <w:tr w:rsidR="006675BE" w:rsidRPr="00B217DC" w:rsidTr="00CF12C9">
        <w:trPr>
          <w:trHeight w:val="840"/>
        </w:trPr>
        <w:tc>
          <w:tcPr>
            <w:tcW w:w="2418" w:type="dxa"/>
            <w:vMerge/>
            <w:tcBorders>
              <w:top w:val="single" w:sz="4" w:space="0" w:color="000000"/>
              <w:left w:val="single" w:sz="4" w:space="0" w:color="000000"/>
              <w:bottom w:val="single" w:sz="4" w:space="0" w:color="000000"/>
              <w:right w:val="single" w:sz="4" w:space="0" w:color="000000"/>
            </w:tcBorders>
            <w:vAlign w:val="center"/>
            <w:hideMark/>
          </w:tcPr>
          <w:p w:rsidR="00640D36" w:rsidRPr="00B217DC" w:rsidRDefault="00640D36" w:rsidP="00B217DC">
            <w:pPr>
              <w:rPr>
                <w:rFonts w:cs="Arial"/>
                <w:color w:val="auto"/>
                <w:sz w:val="20"/>
                <w:szCs w:val="20"/>
                <w:lang w:val="en-GB"/>
              </w:rPr>
            </w:pP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Progress report on audit action plan</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Q</w:t>
            </w:r>
            <w:r w:rsidR="00CF12C9" w:rsidRPr="00B217DC">
              <w:rPr>
                <w:rFonts w:cs="Arial"/>
                <w:color w:val="auto"/>
                <w:sz w:val="20"/>
                <w:szCs w:val="20"/>
                <w:lang w:val="en-GB"/>
              </w:rPr>
              <w:t>2</w:t>
            </w:r>
            <w:r w:rsidRPr="00B217DC">
              <w:rPr>
                <w:rFonts w:cs="Arial"/>
                <w:color w:val="auto"/>
                <w:sz w:val="20"/>
                <w:szCs w:val="20"/>
                <w:lang w:val="en-GB"/>
              </w:rPr>
              <w:t xml:space="preserve"> 202</w:t>
            </w:r>
            <w:r w:rsidR="00322D62" w:rsidRPr="00B217DC">
              <w:rPr>
                <w:rFonts w:cs="Arial"/>
                <w:color w:val="auto"/>
                <w:sz w:val="20"/>
                <w:szCs w:val="20"/>
                <w:lang w:val="en-GB"/>
              </w:rPr>
              <w:t>2</w:t>
            </w:r>
            <w:r w:rsidR="00CF12C9" w:rsidRPr="00B217DC">
              <w:rPr>
                <w:rFonts w:cs="Arial"/>
                <w:color w:val="auto"/>
                <w:sz w:val="20"/>
                <w:szCs w:val="20"/>
                <w:lang w:val="en-GB"/>
              </w:rPr>
              <w:t>/2</w:t>
            </w:r>
            <w:r w:rsidR="00322D62" w:rsidRPr="00B217DC">
              <w:rPr>
                <w:rFonts w:cs="Arial"/>
                <w:color w:val="auto"/>
                <w:sz w:val="20"/>
                <w:szCs w:val="20"/>
                <w:lang w:val="en-GB"/>
              </w:rPr>
              <w:t>3</w:t>
            </w:r>
            <w:r w:rsidRPr="00B217DC">
              <w:rPr>
                <w:rFonts w:cs="Arial"/>
                <w:color w:val="auto"/>
                <w:sz w:val="20"/>
                <w:szCs w:val="20"/>
                <w:lang w:val="en-GB"/>
              </w:rPr>
              <w:t xml:space="preserve"> briefing</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sym w:font="Wingdings" w:char="F0FE"/>
            </w:r>
          </w:p>
        </w:tc>
      </w:tr>
      <w:tr w:rsidR="006675BE" w:rsidRPr="00B217DC" w:rsidTr="00CF12C9">
        <w:trPr>
          <w:trHeight w:val="553"/>
        </w:trPr>
        <w:tc>
          <w:tcPr>
            <w:tcW w:w="2418"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Forensic investigations </w:t>
            </w: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Written report </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Quarterly</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p>
        </w:tc>
      </w:tr>
      <w:tr w:rsidR="006675BE" w:rsidRPr="00B217DC" w:rsidTr="00CF12C9">
        <w:trPr>
          <w:trHeight w:val="553"/>
        </w:trPr>
        <w:tc>
          <w:tcPr>
            <w:tcW w:w="2418"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Deviations</w:t>
            </w:r>
          </w:p>
        </w:tc>
        <w:tc>
          <w:tcPr>
            <w:tcW w:w="1959"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Written report </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Quarterly</w:t>
            </w:r>
          </w:p>
        </w:tc>
        <w:tc>
          <w:tcPr>
            <w:tcW w:w="954"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p>
        </w:tc>
      </w:tr>
      <w:tr w:rsidR="006675BE" w:rsidRPr="00B217DC" w:rsidTr="00CF12C9">
        <w:trPr>
          <w:trHeight w:val="554"/>
        </w:trPr>
        <w:tc>
          <w:tcPr>
            <w:tcW w:w="2418"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HR: vacancies, dismissals, termination of contracts</w:t>
            </w: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Written report</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Quarterly</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2308FA" w:rsidP="00B217DC">
            <w:pPr>
              <w:rPr>
                <w:rFonts w:cs="Arial"/>
                <w:b/>
                <w:color w:val="auto"/>
                <w:sz w:val="20"/>
                <w:szCs w:val="20"/>
                <w:lang w:val="en-GB"/>
              </w:rPr>
            </w:pPr>
            <w:r w:rsidRPr="00B217DC">
              <w:rPr>
                <w:rFonts w:cs="Arial"/>
                <w:b/>
                <w:color w:val="auto"/>
                <w:sz w:val="20"/>
                <w:szCs w:val="20"/>
                <w:lang w:val="en-GB"/>
              </w:rPr>
              <w:sym w:font="Wingdings" w:char="F0FE"/>
            </w:r>
          </w:p>
        </w:tc>
      </w:tr>
      <w:tr w:rsidR="006675BE" w:rsidRPr="00B217DC" w:rsidTr="00CF12C9">
        <w:trPr>
          <w:trHeight w:val="552"/>
        </w:trPr>
        <w:tc>
          <w:tcPr>
            <w:tcW w:w="2418"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Country reports</w:t>
            </w: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Written report </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Progress update at quarterly briefings</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p>
        </w:tc>
      </w:tr>
      <w:tr w:rsidR="006675BE" w:rsidRPr="00B217DC" w:rsidTr="00CF12C9">
        <w:trPr>
          <w:trHeight w:val="834"/>
        </w:trPr>
        <w:tc>
          <w:tcPr>
            <w:tcW w:w="2418"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Impact reports of initiatives (campaigns, events, workshops, conferences etc.)</w:t>
            </w:r>
          </w:p>
        </w:tc>
        <w:tc>
          <w:tcPr>
            <w:tcW w:w="1959"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r w:rsidRPr="00B217DC">
              <w:rPr>
                <w:rFonts w:cs="Arial"/>
                <w:color w:val="auto"/>
                <w:sz w:val="20"/>
                <w:szCs w:val="20"/>
                <w:lang w:val="en-GB"/>
              </w:rPr>
              <w:t xml:space="preserve">Written report </w:t>
            </w:r>
          </w:p>
          <w:p w:rsidR="00640D36" w:rsidRPr="00B217DC" w:rsidRDefault="00640D36" w:rsidP="00B217DC">
            <w:pPr>
              <w:rPr>
                <w:rFonts w:cs="Arial"/>
                <w:color w:val="auto"/>
                <w:sz w:val="20"/>
                <w:szCs w:val="20"/>
                <w:lang w:val="en-GB"/>
              </w:rPr>
            </w:pPr>
          </w:p>
        </w:tc>
        <w:tc>
          <w:tcPr>
            <w:tcW w:w="2592"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30 days after an event has taken place</w:t>
            </w:r>
          </w:p>
        </w:tc>
        <w:tc>
          <w:tcPr>
            <w:tcW w:w="954"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p>
        </w:tc>
      </w:tr>
      <w:tr w:rsidR="006675BE" w:rsidRPr="00B217DC" w:rsidTr="00CF12C9">
        <w:trPr>
          <w:trHeight w:val="834"/>
        </w:trPr>
        <w:tc>
          <w:tcPr>
            <w:tcW w:w="2418" w:type="dxa"/>
            <w:tcBorders>
              <w:top w:val="single" w:sz="4" w:space="0" w:color="000000"/>
              <w:left w:val="single" w:sz="4" w:space="0" w:color="000000"/>
              <w:bottom w:val="single" w:sz="4" w:space="0" w:color="000000"/>
              <w:right w:val="single" w:sz="4" w:space="0" w:color="000000"/>
            </w:tcBorders>
          </w:tcPr>
          <w:p w:rsidR="002308FA" w:rsidRPr="00B217DC" w:rsidRDefault="00CF12C9" w:rsidP="00B217DC">
            <w:pPr>
              <w:rPr>
                <w:rFonts w:cs="Arial"/>
                <w:color w:val="auto"/>
                <w:sz w:val="20"/>
                <w:szCs w:val="20"/>
                <w:lang w:val="en-GB"/>
              </w:rPr>
            </w:pPr>
            <w:r w:rsidRPr="00B217DC">
              <w:rPr>
                <w:rFonts w:cs="Arial"/>
                <w:color w:val="auto"/>
                <w:sz w:val="20"/>
                <w:szCs w:val="20"/>
                <w:lang w:val="en-GB"/>
              </w:rPr>
              <w:t>Commissioners Handbook</w:t>
            </w:r>
          </w:p>
        </w:tc>
        <w:tc>
          <w:tcPr>
            <w:tcW w:w="1959" w:type="dxa"/>
            <w:tcBorders>
              <w:top w:val="single" w:sz="4" w:space="0" w:color="000000"/>
              <w:left w:val="single" w:sz="4" w:space="0" w:color="000000"/>
              <w:bottom w:val="single" w:sz="4" w:space="0" w:color="000000"/>
              <w:right w:val="single" w:sz="4" w:space="0" w:color="000000"/>
            </w:tcBorders>
          </w:tcPr>
          <w:p w:rsidR="002308FA" w:rsidRPr="00B217DC" w:rsidRDefault="002308FA" w:rsidP="00B217DC">
            <w:pPr>
              <w:rPr>
                <w:rFonts w:cs="Arial"/>
                <w:color w:val="auto"/>
                <w:sz w:val="20"/>
                <w:szCs w:val="20"/>
                <w:lang w:val="en-GB"/>
              </w:rPr>
            </w:pPr>
            <w:r w:rsidRPr="00B217DC">
              <w:rPr>
                <w:rFonts w:cs="Arial"/>
                <w:color w:val="auto"/>
                <w:sz w:val="20"/>
                <w:szCs w:val="20"/>
                <w:lang w:val="en-GB"/>
              </w:rPr>
              <w:t xml:space="preserve">Written report </w:t>
            </w:r>
          </w:p>
          <w:p w:rsidR="002308FA" w:rsidRPr="00B217DC" w:rsidRDefault="002308FA"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2308FA" w:rsidRPr="00B217DC" w:rsidRDefault="00CF12C9" w:rsidP="00B217DC">
            <w:pPr>
              <w:rPr>
                <w:rFonts w:cs="Arial"/>
                <w:color w:val="auto"/>
                <w:sz w:val="20"/>
                <w:szCs w:val="20"/>
                <w:lang w:val="en-GB"/>
              </w:rPr>
            </w:pPr>
            <w:r w:rsidRPr="00B217DC">
              <w:rPr>
                <w:rFonts w:cs="Arial"/>
                <w:color w:val="auto"/>
                <w:sz w:val="20"/>
                <w:szCs w:val="20"/>
                <w:lang w:val="en-GB"/>
              </w:rPr>
              <w:t xml:space="preserve">Finalised </w:t>
            </w:r>
            <w:r w:rsidR="00F62BC0" w:rsidRPr="00B217DC">
              <w:rPr>
                <w:rFonts w:cs="Arial"/>
                <w:color w:val="auto"/>
                <w:sz w:val="20"/>
                <w:szCs w:val="20"/>
                <w:lang w:val="en-GB"/>
              </w:rPr>
              <w:t>before 31 March 20</w:t>
            </w:r>
            <w:r w:rsidR="00322D62" w:rsidRPr="00B217DC">
              <w:rPr>
                <w:rFonts w:cs="Arial"/>
                <w:color w:val="auto"/>
                <w:sz w:val="20"/>
                <w:szCs w:val="20"/>
                <w:lang w:val="en-GB"/>
              </w:rPr>
              <w:t>23</w:t>
            </w:r>
          </w:p>
        </w:tc>
        <w:tc>
          <w:tcPr>
            <w:tcW w:w="954" w:type="dxa"/>
            <w:tcBorders>
              <w:top w:val="single" w:sz="4" w:space="0" w:color="000000"/>
              <w:left w:val="single" w:sz="4" w:space="0" w:color="000000"/>
              <w:bottom w:val="single" w:sz="4" w:space="0" w:color="000000"/>
              <w:right w:val="single" w:sz="4" w:space="0" w:color="000000"/>
            </w:tcBorders>
          </w:tcPr>
          <w:p w:rsidR="002308FA" w:rsidRPr="00B217DC" w:rsidRDefault="002308FA" w:rsidP="00B217DC">
            <w:pPr>
              <w:rPr>
                <w:rFonts w:cs="Arial"/>
                <w:b/>
                <w:color w:val="auto"/>
                <w:sz w:val="20"/>
                <w:szCs w:val="20"/>
                <w:lang w:val="en-GB"/>
              </w:rPr>
            </w:pPr>
          </w:p>
        </w:tc>
        <w:tc>
          <w:tcPr>
            <w:tcW w:w="829" w:type="dxa"/>
            <w:tcBorders>
              <w:top w:val="single" w:sz="4" w:space="0" w:color="000000"/>
              <w:left w:val="single" w:sz="4" w:space="0" w:color="000000"/>
              <w:bottom w:val="single" w:sz="4" w:space="0" w:color="000000"/>
              <w:right w:val="single" w:sz="4" w:space="0" w:color="000000"/>
            </w:tcBorders>
          </w:tcPr>
          <w:p w:rsidR="002308FA" w:rsidRPr="00B217DC" w:rsidRDefault="002308FA" w:rsidP="00B217DC">
            <w:pPr>
              <w:rPr>
                <w:rFonts w:cs="Arial"/>
                <w:b/>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2308FA" w:rsidRPr="00B217DC" w:rsidRDefault="002308FA" w:rsidP="00B217DC">
            <w:pPr>
              <w:rPr>
                <w:rFonts w:cs="Arial"/>
                <w:b/>
                <w:color w:val="auto"/>
                <w:sz w:val="20"/>
                <w:szCs w:val="20"/>
                <w:lang w:val="en-GB"/>
              </w:rPr>
            </w:pPr>
          </w:p>
        </w:tc>
      </w:tr>
      <w:tr w:rsidR="006675BE" w:rsidRPr="00B217DC" w:rsidTr="00CF12C9">
        <w:trPr>
          <w:trHeight w:val="834"/>
        </w:trPr>
        <w:tc>
          <w:tcPr>
            <w:tcW w:w="2418" w:type="dxa"/>
            <w:tcBorders>
              <w:top w:val="single" w:sz="4" w:space="0" w:color="000000"/>
              <w:left w:val="single" w:sz="4" w:space="0" w:color="000000"/>
              <w:bottom w:val="single" w:sz="4" w:space="0" w:color="000000"/>
              <w:right w:val="single" w:sz="4" w:space="0" w:color="000000"/>
            </w:tcBorders>
          </w:tcPr>
          <w:p w:rsidR="00CF12C9" w:rsidRPr="00B217DC" w:rsidRDefault="00CF12C9" w:rsidP="00B217DC">
            <w:pPr>
              <w:rPr>
                <w:rFonts w:cs="Arial"/>
                <w:color w:val="auto"/>
                <w:sz w:val="20"/>
                <w:szCs w:val="20"/>
                <w:lang w:val="en-GB"/>
              </w:rPr>
            </w:pPr>
            <w:r w:rsidRPr="00B217DC">
              <w:rPr>
                <w:rFonts w:cs="Arial"/>
                <w:color w:val="auto"/>
                <w:sz w:val="20"/>
                <w:szCs w:val="20"/>
                <w:lang w:val="en-GB"/>
              </w:rPr>
              <w:lastRenderedPageBreak/>
              <w:t>Policy on interface between Commissioners and Administration</w:t>
            </w:r>
          </w:p>
        </w:tc>
        <w:tc>
          <w:tcPr>
            <w:tcW w:w="1959" w:type="dxa"/>
            <w:tcBorders>
              <w:top w:val="single" w:sz="4" w:space="0" w:color="000000"/>
              <w:left w:val="single" w:sz="4" w:space="0" w:color="000000"/>
              <w:bottom w:val="single" w:sz="4" w:space="0" w:color="000000"/>
              <w:right w:val="single" w:sz="4" w:space="0" w:color="000000"/>
            </w:tcBorders>
          </w:tcPr>
          <w:p w:rsidR="00CF12C9" w:rsidRPr="00B217DC" w:rsidRDefault="00CF12C9" w:rsidP="00B217DC">
            <w:pPr>
              <w:rPr>
                <w:rFonts w:cs="Arial"/>
                <w:color w:val="auto"/>
                <w:sz w:val="20"/>
                <w:szCs w:val="20"/>
                <w:lang w:val="en-GB"/>
              </w:rPr>
            </w:pPr>
            <w:r w:rsidRPr="00B217DC">
              <w:rPr>
                <w:rFonts w:cs="Arial"/>
                <w:color w:val="auto"/>
                <w:sz w:val="20"/>
                <w:szCs w:val="20"/>
                <w:lang w:val="en-GB"/>
              </w:rPr>
              <w:t>Report</w:t>
            </w:r>
          </w:p>
          <w:p w:rsidR="00CF12C9" w:rsidRPr="00B217DC" w:rsidRDefault="00CF12C9"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tcPr>
          <w:p w:rsidR="00CF12C9" w:rsidRPr="00B217DC" w:rsidRDefault="00CF12C9" w:rsidP="00B217DC">
            <w:pPr>
              <w:rPr>
                <w:rFonts w:cs="Arial"/>
                <w:color w:val="auto"/>
                <w:sz w:val="20"/>
                <w:szCs w:val="20"/>
                <w:lang w:val="en-GB"/>
              </w:rPr>
            </w:pPr>
            <w:r w:rsidRPr="00B217DC">
              <w:rPr>
                <w:rFonts w:cs="Arial"/>
                <w:color w:val="auto"/>
                <w:sz w:val="20"/>
                <w:szCs w:val="20"/>
                <w:lang w:val="en-GB"/>
              </w:rPr>
              <w:t>Finalised before 31 March 202</w:t>
            </w:r>
            <w:r w:rsidR="00322D62" w:rsidRPr="00B217DC">
              <w:rPr>
                <w:rFonts w:cs="Arial"/>
                <w:color w:val="auto"/>
                <w:sz w:val="20"/>
                <w:szCs w:val="20"/>
                <w:lang w:val="en-GB"/>
              </w:rPr>
              <w:t>3</w:t>
            </w:r>
          </w:p>
          <w:p w:rsidR="00CF12C9" w:rsidRPr="00B217DC" w:rsidRDefault="00CF12C9" w:rsidP="00B217DC">
            <w:pPr>
              <w:rPr>
                <w:rFonts w:cs="Arial"/>
                <w:color w:val="auto"/>
                <w:sz w:val="20"/>
                <w:szCs w:val="20"/>
                <w:lang w:val="en-GB"/>
              </w:rPr>
            </w:pPr>
            <w:r w:rsidRPr="00B217DC">
              <w:rPr>
                <w:rFonts w:cs="Arial"/>
                <w:color w:val="auto"/>
                <w:sz w:val="20"/>
                <w:szCs w:val="20"/>
                <w:lang w:val="en-GB"/>
              </w:rPr>
              <w:t xml:space="preserve">Briefing at </w:t>
            </w:r>
            <w:r w:rsidR="000C4987" w:rsidRPr="00B217DC">
              <w:rPr>
                <w:rFonts w:cs="Arial"/>
                <w:color w:val="auto"/>
                <w:sz w:val="20"/>
                <w:szCs w:val="20"/>
                <w:lang w:val="en-GB"/>
              </w:rPr>
              <w:t>Q2</w:t>
            </w:r>
            <w:r w:rsidRPr="00B217DC">
              <w:rPr>
                <w:rFonts w:cs="Arial"/>
                <w:color w:val="auto"/>
                <w:sz w:val="20"/>
                <w:szCs w:val="20"/>
                <w:lang w:val="en-GB"/>
              </w:rPr>
              <w:t xml:space="preserve"> 202</w:t>
            </w:r>
            <w:r w:rsidR="00F62BC0" w:rsidRPr="00B217DC">
              <w:rPr>
                <w:rFonts w:cs="Arial"/>
                <w:color w:val="auto"/>
                <w:sz w:val="20"/>
                <w:szCs w:val="20"/>
                <w:lang w:val="en-GB"/>
              </w:rPr>
              <w:t>2</w:t>
            </w:r>
            <w:r w:rsidRPr="00B217DC">
              <w:rPr>
                <w:rFonts w:cs="Arial"/>
                <w:color w:val="auto"/>
                <w:sz w:val="20"/>
                <w:szCs w:val="20"/>
                <w:lang w:val="en-GB"/>
              </w:rPr>
              <w:t>/2</w:t>
            </w:r>
            <w:r w:rsidR="00F62BC0" w:rsidRPr="00B217DC">
              <w:rPr>
                <w:rFonts w:cs="Arial"/>
                <w:color w:val="auto"/>
                <w:sz w:val="20"/>
                <w:szCs w:val="20"/>
                <w:lang w:val="en-GB"/>
              </w:rPr>
              <w:t>3</w:t>
            </w:r>
          </w:p>
        </w:tc>
        <w:tc>
          <w:tcPr>
            <w:tcW w:w="954" w:type="dxa"/>
            <w:tcBorders>
              <w:top w:val="single" w:sz="4" w:space="0" w:color="000000"/>
              <w:left w:val="single" w:sz="4" w:space="0" w:color="000000"/>
              <w:bottom w:val="single" w:sz="4" w:space="0" w:color="000000"/>
              <w:right w:val="single" w:sz="4" w:space="0" w:color="000000"/>
            </w:tcBorders>
          </w:tcPr>
          <w:p w:rsidR="00CF12C9" w:rsidRPr="00B217DC" w:rsidRDefault="00CF12C9" w:rsidP="00B217DC">
            <w:pPr>
              <w:rPr>
                <w:rFonts w:cs="Arial"/>
                <w:b/>
                <w:color w:val="auto"/>
                <w:sz w:val="20"/>
                <w:szCs w:val="20"/>
                <w:lang w:val="en-GB"/>
              </w:rPr>
            </w:pPr>
          </w:p>
        </w:tc>
        <w:tc>
          <w:tcPr>
            <w:tcW w:w="829" w:type="dxa"/>
            <w:tcBorders>
              <w:top w:val="single" w:sz="4" w:space="0" w:color="000000"/>
              <w:left w:val="single" w:sz="4" w:space="0" w:color="000000"/>
              <w:bottom w:val="single" w:sz="4" w:space="0" w:color="000000"/>
              <w:right w:val="single" w:sz="4" w:space="0" w:color="000000"/>
            </w:tcBorders>
          </w:tcPr>
          <w:p w:rsidR="00CF12C9" w:rsidRPr="00B217DC" w:rsidRDefault="00CF12C9" w:rsidP="00B217DC">
            <w:pPr>
              <w:rPr>
                <w:rFonts w:cs="Arial"/>
                <w:b/>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CF12C9" w:rsidRPr="00B217DC" w:rsidRDefault="00CF12C9" w:rsidP="00B217DC">
            <w:pPr>
              <w:rPr>
                <w:rFonts w:cs="Arial"/>
                <w:b/>
                <w:color w:val="auto"/>
                <w:sz w:val="20"/>
                <w:szCs w:val="20"/>
                <w:lang w:val="en-GB"/>
              </w:rPr>
            </w:pPr>
          </w:p>
        </w:tc>
      </w:tr>
      <w:tr w:rsidR="006675BE" w:rsidRPr="00B217DC" w:rsidTr="00CF12C9">
        <w:trPr>
          <w:trHeight w:val="559"/>
        </w:trPr>
        <w:tc>
          <w:tcPr>
            <w:tcW w:w="2418"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Commissioner’s performance per quarter</w:t>
            </w:r>
          </w:p>
        </w:tc>
        <w:tc>
          <w:tcPr>
            <w:tcW w:w="195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Written report</w:t>
            </w:r>
          </w:p>
          <w:p w:rsidR="00640D36" w:rsidRPr="00B217DC" w:rsidRDefault="00640D36" w:rsidP="00B217DC">
            <w:pPr>
              <w:rPr>
                <w:rFonts w:cs="Arial"/>
                <w:color w:val="auto"/>
                <w:sz w:val="20"/>
                <w:szCs w:val="20"/>
                <w:lang w:val="en-GB"/>
              </w:rPr>
            </w:pPr>
            <w:r w:rsidRPr="00B217DC">
              <w:rPr>
                <w:rFonts w:cs="Arial"/>
                <w:color w:val="auto"/>
                <w:sz w:val="20"/>
                <w:szCs w:val="20"/>
                <w:lang w:val="en-GB"/>
              </w:rPr>
              <w:t>Briefing</w:t>
            </w:r>
          </w:p>
        </w:tc>
        <w:tc>
          <w:tcPr>
            <w:tcW w:w="2592"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color w:val="auto"/>
                <w:sz w:val="20"/>
                <w:szCs w:val="20"/>
                <w:lang w:val="en-GB"/>
              </w:rPr>
              <w:t>At every quarterly report briefing</w:t>
            </w:r>
          </w:p>
        </w:tc>
        <w:tc>
          <w:tcPr>
            <w:tcW w:w="954"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color w:val="auto"/>
                <w:sz w:val="20"/>
                <w:szCs w:val="20"/>
                <w:lang w:val="en-GB"/>
              </w:rPr>
            </w:pPr>
          </w:p>
        </w:tc>
        <w:tc>
          <w:tcPr>
            <w:tcW w:w="829" w:type="dxa"/>
            <w:tcBorders>
              <w:top w:val="single" w:sz="4" w:space="0" w:color="000000"/>
              <w:left w:val="single" w:sz="4" w:space="0" w:color="000000"/>
              <w:bottom w:val="single" w:sz="4" w:space="0" w:color="000000"/>
              <w:right w:val="single" w:sz="4" w:space="0" w:color="000000"/>
            </w:tcBorders>
            <w:hideMark/>
          </w:tcPr>
          <w:p w:rsidR="00640D36" w:rsidRPr="00B217DC" w:rsidRDefault="00640D36" w:rsidP="00B217DC">
            <w:pPr>
              <w:rPr>
                <w:rFonts w:cs="Arial"/>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640D36" w:rsidRPr="00B217DC" w:rsidRDefault="00640D36" w:rsidP="00B217DC">
            <w:pPr>
              <w:rPr>
                <w:rFonts w:cs="Arial"/>
                <w:b/>
                <w:color w:val="auto"/>
                <w:sz w:val="20"/>
                <w:szCs w:val="20"/>
                <w:lang w:val="en-GB"/>
              </w:rPr>
            </w:pPr>
          </w:p>
        </w:tc>
      </w:tr>
      <w:tr w:rsidR="006675BE" w:rsidRPr="00B217DC" w:rsidTr="00CF12C9">
        <w:trPr>
          <w:trHeight w:val="559"/>
        </w:trPr>
        <w:tc>
          <w:tcPr>
            <w:tcW w:w="2418" w:type="dxa"/>
            <w:tcBorders>
              <w:top w:val="single" w:sz="4" w:space="0" w:color="000000"/>
              <w:left w:val="single" w:sz="4" w:space="0" w:color="000000"/>
              <w:bottom w:val="single" w:sz="4" w:space="0" w:color="000000"/>
              <w:right w:val="single" w:sz="4" w:space="0" w:color="000000"/>
            </w:tcBorders>
          </w:tcPr>
          <w:p w:rsidR="00352FC2" w:rsidRPr="00B217DC" w:rsidRDefault="00352FC2" w:rsidP="00B217DC">
            <w:pPr>
              <w:rPr>
                <w:rFonts w:cs="Arial"/>
                <w:color w:val="auto"/>
                <w:sz w:val="20"/>
                <w:szCs w:val="20"/>
                <w:lang w:val="en-GB"/>
              </w:rPr>
            </w:pPr>
            <w:r w:rsidRPr="00B217DC">
              <w:rPr>
                <w:rFonts w:cs="Arial"/>
                <w:color w:val="auto"/>
                <w:sz w:val="20"/>
                <w:szCs w:val="20"/>
                <w:lang w:val="en-GB"/>
              </w:rPr>
              <w:t>Department, CGE, NYDA – Request for reports, documentation etc.</w:t>
            </w:r>
          </w:p>
        </w:tc>
        <w:tc>
          <w:tcPr>
            <w:tcW w:w="1959" w:type="dxa"/>
            <w:tcBorders>
              <w:top w:val="single" w:sz="4" w:space="0" w:color="000000"/>
              <w:left w:val="single" w:sz="4" w:space="0" w:color="000000"/>
              <w:bottom w:val="single" w:sz="4" w:space="0" w:color="000000"/>
              <w:right w:val="single" w:sz="4" w:space="0" w:color="000000"/>
            </w:tcBorders>
          </w:tcPr>
          <w:p w:rsidR="00352FC2" w:rsidRPr="00B217DC" w:rsidRDefault="00352FC2" w:rsidP="00B217DC">
            <w:pPr>
              <w:rPr>
                <w:rFonts w:cs="Arial"/>
                <w:color w:val="auto"/>
                <w:sz w:val="20"/>
                <w:szCs w:val="20"/>
                <w:lang w:val="en-GB"/>
              </w:rPr>
            </w:pPr>
            <w:r w:rsidRPr="00B217DC">
              <w:rPr>
                <w:rFonts w:cs="Arial"/>
                <w:color w:val="auto"/>
                <w:sz w:val="20"/>
                <w:szCs w:val="20"/>
                <w:lang w:val="en-GB"/>
              </w:rPr>
              <w:t>Written report Briefing</w:t>
            </w:r>
          </w:p>
        </w:tc>
        <w:tc>
          <w:tcPr>
            <w:tcW w:w="2592" w:type="dxa"/>
            <w:tcBorders>
              <w:top w:val="single" w:sz="4" w:space="0" w:color="000000"/>
              <w:left w:val="single" w:sz="4" w:space="0" w:color="000000"/>
              <w:bottom w:val="single" w:sz="4" w:space="0" w:color="000000"/>
              <w:right w:val="single" w:sz="4" w:space="0" w:color="000000"/>
            </w:tcBorders>
          </w:tcPr>
          <w:p w:rsidR="00352FC2" w:rsidRPr="00B217DC" w:rsidRDefault="00352FC2" w:rsidP="00B217DC">
            <w:pPr>
              <w:rPr>
                <w:rFonts w:cs="Arial"/>
                <w:color w:val="auto"/>
                <w:sz w:val="20"/>
                <w:szCs w:val="20"/>
                <w:lang w:val="en-GB"/>
              </w:rPr>
            </w:pPr>
            <w:r w:rsidRPr="00B217DC">
              <w:rPr>
                <w:rFonts w:cs="Arial"/>
                <w:color w:val="auto"/>
                <w:sz w:val="20"/>
                <w:szCs w:val="20"/>
                <w:lang w:val="en-GB"/>
              </w:rPr>
              <w:t>Refer to BRRR 2022 for exact time frame</w:t>
            </w:r>
          </w:p>
        </w:tc>
        <w:tc>
          <w:tcPr>
            <w:tcW w:w="954" w:type="dxa"/>
            <w:tcBorders>
              <w:top w:val="single" w:sz="4" w:space="0" w:color="000000"/>
              <w:left w:val="single" w:sz="4" w:space="0" w:color="000000"/>
              <w:bottom w:val="single" w:sz="4" w:space="0" w:color="000000"/>
              <w:right w:val="single" w:sz="4" w:space="0" w:color="000000"/>
            </w:tcBorders>
          </w:tcPr>
          <w:p w:rsidR="00352FC2" w:rsidRPr="00B217DC" w:rsidRDefault="00352FC2" w:rsidP="00B217DC">
            <w:pPr>
              <w:rPr>
                <w:rFonts w:cs="Arial"/>
                <w:color w:val="auto"/>
                <w:sz w:val="20"/>
                <w:szCs w:val="20"/>
                <w:lang w:val="en-GB"/>
              </w:rPr>
            </w:pPr>
            <w:r w:rsidRPr="00B217DC">
              <w:rPr>
                <w:rFonts w:cs="Arial"/>
                <w:b/>
                <w:color w:val="auto"/>
                <w:sz w:val="20"/>
                <w:szCs w:val="20"/>
                <w:lang w:val="en-GB"/>
              </w:rPr>
              <w:sym w:font="Wingdings" w:char="F0FE"/>
            </w:r>
          </w:p>
        </w:tc>
        <w:tc>
          <w:tcPr>
            <w:tcW w:w="829" w:type="dxa"/>
            <w:tcBorders>
              <w:top w:val="single" w:sz="4" w:space="0" w:color="000000"/>
              <w:left w:val="single" w:sz="4" w:space="0" w:color="000000"/>
              <w:bottom w:val="single" w:sz="4" w:space="0" w:color="000000"/>
              <w:right w:val="single" w:sz="4" w:space="0" w:color="000000"/>
            </w:tcBorders>
          </w:tcPr>
          <w:p w:rsidR="00352FC2" w:rsidRPr="00B217DC" w:rsidRDefault="00352FC2" w:rsidP="00B217DC">
            <w:pPr>
              <w:rPr>
                <w:rFonts w:cs="Arial"/>
                <w:b/>
                <w:color w:val="auto"/>
                <w:sz w:val="20"/>
                <w:szCs w:val="20"/>
                <w:lang w:val="en-GB"/>
              </w:rPr>
            </w:pPr>
            <w:r w:rsidRPr="00B217DC">
              <w:rPr>
                <w:rFonts w:cs="Arial"/>
                <w:b/>
                <w:color w:val="auto"/>
                <w:sz w:val="20"/>
                <w:szCs w:val="20"/>
                <w:lang w:val="en-GB"/>
              </w:rPr>
              <w:sym w:font="Wingdings" w:char="F0FE"/>
            </w:r>
          </w:p>
        </w:tc>
        <w:tc>
          <w:tcPr>
            <w:tcW w:w="876" w:type="dxa"/>
            <w:tcBorders>
              <w:top w:val="single" w:sz="4" w:space="0" w:color="000000"/>
              <w:left w:val="single" w:sz="4" w:space="0" w:color="000000"/>
              <w:bottom w:val="single" w:sz="4" w:space="0" w:color="000000"/>
              <w:right w:val="single" w:sz="4" w:space="0" w:color="000000"/>
            </w:tcBorders>
          </w:tcPr>
          <w:p w:rsidR="00352FC2" w:rsidRPr="00B217DC" w:rsidRDefault="00352FC2" w:rsidP="00B217DC">
            <w:pPr>
              <w:rPr>
                <w:rFonts w:cs="Arial"/>
                <w:b/>
                <w:color w:val="auto"/>
                <w:sz w:val="20"/>
                <w:szCs w:val="20"/>
                <w:lang w:val="en-GB"/>
              </w:rPr>
            </w:pPr>
            <w:r w:rsidRPr="00B217DC">
              <w:rPr>
                <w:rFonts w:cs="Arial"/>
                <w:b/>
                <w:color w:val="auto"/>
                <w:sz w:val="20"/>
                <w:szCs w:val="20"/>
                <w:lang w:val="en-GB"/>
              </w:rPr>
              <w:sym w:font="Wingdings" w:char="F0FE"/>
            </w:r>
          </w:p>
        </w:tc>
      </w:tr>
    </w:tbl>
    <w:p w:rsidR="009C3803" w:rsidRPr="00B217DC" w:rsidRDefault="00170BD2" w:rsidP="00B217DC">
      <w:pPr>
        <w:rPr>
          <w:rFonts w:cs="Arial"/>
          <w:b/>
          <w:color w:val="auto"/>
          <w:sz w:val="20"/>
          <w:szCs w:val="20"/>
          <w:lang w:val="en-GB"/>
        </w:rPr>
      </w:pPr>
      <w:r w:rsidRPr="00B217DC">
        <w:rPr>
          <w:rFonts w:cs="Arial"/>
          <w:b/>
          <w:color w:val="auto"/>
          <w:sz w:val="20"/>
          <w:szCs w:val="20"/>
          <w:lang w:val="en-GB"/>
        </w:rPr>
        <w:t xml:space="preserve"> </w:t>
      </w:r>
    </w:p>
    <w:p w:rsidR="00F62BC0" w:rsidRPr="00B217DC" w:rsidRDefault="00F62BC0" w:rsidP="00B217DC">
      <w:pPr>
        <w:rPr>
          <w:rFonts w:cs="Arial"/>
          <w:b/>
          <w:color w:val="auto"/>
          <w:sz w:val="20"/>
          <w:szCs w:val="20"/>
          <w:lang w:val="en-GB"/>
        </w:rPr>
      </w:pPr>
    </w:p>
    <w:p w:rsidR="00170BD2" w:rsidRPr="00B217DC" w:rsidRDefault="00170BD2" w:rsidP="00B217DC">
      <w:pPr>
        <w:pStyle w:val="ListParagraph"/>
        <w:numPr>
          <w:ilvl w:val="0"/>
          <w:numId w:val="57"/>
        </w:numPr>
        <w:ind w:left="426"/>
        <w:rPr>
          <w:rFonts w:cs="Arial"/>
          <w:b/>
          <w:color w:val="auto"/>
          <w:sz w:val="20"/>
          <w:szCs w:val="20"/>
          <w:lang w:val="en-GB"/>
        </w:rPr>
      </w:pPr>
      <w:r w:rsidRPr="00B217DC">
        <w:rPr>
          <w:rFonts w:cs="Arial"/>
          <w:b/>
          <w:color w:val="auto"/>
          <w:sz w:val="20"/>
          <w:szCs w:val="20"/>
          <w:lang w:val="en-GB"/>
        </w:rPr>
        <w:t xml:space="preserve"> CONCLUSION</w:t>
      </w:r>
    </w:p>
    <w:p w:rsidR="00170BD2" w:rsidRPr="00B217DC" w:rsidRDefault="00170BD2" w:rsidP="00B217DC">
      <w:pPr>
        <w:rPr>
          <w:rFonts w:cs="Arial"/>
          <w:color w:val="auto"/>
          <w:sz w:val="20"/>
          <w:szCs w:val="20"/>
          <w:lang w:val="en-GB"/>
        </w:rPr>
      </w:pPr>
    </w:p>
    <w:p w:rsidR="00BC7E3B" w:rsidRPr="00B217DC" w:rsidRDefault="00170BD2" w:rsidP="00B217DC">
      <w:pPr>
        <w:rPr>
          <w:rFonts w:cs="Arial"/>
          <w:color w:val="auto"/>
          <w:sz w:val="20"/>
          <w:szCs w:val="20"/>
          <w:lang w:val="en-GB"/>
        </w:rPr>
      </w:pPr>
      <w:r w:rsidRPr="00B217DC">
        <w:rPr>
          <w:rFonts w:cs="Arial"/>
          <w:color w:val="auto"/>
          <w:sz w:val="20"/>
          <w:szCs w:val="20"/>
          <w:lang w:val="en-GB"/>
        </w:rPr>
        <w:t xml:space="preserve">The Committee will </w:t>
      </w:r>
      <w:r w:rsidR="00CF12C9" w:rsidRPr="00B217DC">
        <w:rPr>
          <w:rFonts w:cs="Arial"/>
          <w:color w:val="auto"/>
          <w:sz w:val="20"/>
          <w:szCs w:val="20"/>
          <w:lang w:val="en-GB"/>
        </w:rPr>
        <w:t>endeavour to</w:t>
      </w:r>
      <w:r w:rsidRPr="00B217DC">
        <w:rPr>
          <w:rFonts w:cs="Arial"/>
          <w:color w:val="auto"/>
          <w:sz w:val="20"/>
          <w:szCs w:val="20"/>
          <w:lang w:val="en-GB"/>
        </w:rPr>
        <w:t xml:space="preserve"> monitor the Department</w:t>
      </w:r>
      <w:r w:rsidR="00F62BC0" w:rsidRPr="00B217DC">
        <w:rPr>
          <w:rFonts w:cs="Arial"/>
          <w:color w:val="auto"/>
          <w:sz w:val="20"/>
          <w:szCs w:val="20"/>
          <w:lang w:val="en-GB"/>
        </w:rPr>
        <w:t>, the NYDA and CGE</w:t>
      </w:r>
      <w:r w:rsidRPr="00B217DC">
        <w:rPr>
          <w:rFonts w:cs="Arial"/>
          <w:color w:val="auto"/>
          <w:sz w:val="20"/>
          <w:szCs w:val="20"/>
          <w:lang w:val="en-GB"/>
        </w:rPr>
        <w:t xml:space="preserve"> with respect to the implementation of recommendations made by the AGSA as well as the ARC</w:t>
      </w:r>
      <w:r w:rsidR="00CF12C9" w:rsidRPr="00B217DC">
        <w:rPr>
          <w:rFonts w:cs="Arial"/>
          <w:color w:val="auto"/>
          <w:sz w:val="20"/>
          <w:szCs w:val="20"/>
          <w:lang w:val="en-GB"/>
        </w:rPr>
        <w:t xml:space="preserve"> and has committed to engaging jointly in future</w:t>
      </w:r>
      <w:r w:rsidRPr="00B217DC">
        <w:rPr>
          <w:rFonts w:cs="Arial"/>
          <w:color w:val="auto"/>
          <w:sz w:val="20"/>
          <w:szCs w:val="20"/>
          <w:lang w:val="en-GB"/>
        </w:rPr>
        <w:t>.</w:t>
      </w:r>
      <w:r w:rsidR="009E549B" w:rsidRPr="00B217DC">
        <w:rPr>
          <w:rFonts w:cs="Arial"/>
          <w:color w:val="auto"/>
          <w:sz w:val="20"/>
          <w:szCs w:val="20"/>
          <w:lang w:val="en-GB"/>
        </w:rPr>
        <w:t xml:space="preserve"> Furthermore, the Committee hereby notes the reservation by the Democratic Alliance.</w:t>
      </w:r>
    </w:p>
    <w:p w:rsidR="009C3803" w:rsidRPr="00B217DC" w:rsidRDefault="009C3803" w:rsidP="00B217DC">
      <w:pPr>
        <w:rPr>
          <w:rFonts w:cs="Arial"/>
          <w:color w:val="auto"/>
          <w:sz w:val="20"/>
          <w:szCs w:val="20"/>
          <w:lang w:val="en-GB"/>
        </w:rPr>
      </w:pPr>
    </w:p>
    <w:p w:rsidR="00170BD2" w:rsidRPr="00B217DC" w:rsidRDefault="00BC7E3B" w:rsidP="00B217DC">
      <w:pPr>
        <w:rPr>
          <w:rFonts w:cs="Arial"/>
          <w:color w:val="auto"/>
          <w:sz w:val="20"/>
          <w:szCs w:val="20"/>
          <w:lang w:val="en-GB"/>
        </w:rPr>
      </w:pPr>
      <w:r w:rsidRPr="00B217DC">
        <w:rPr>
          <w:rFonts w:cs="Arial"/>
          <w:color w:val="auto"/>
          <w:sz w:val="20"/>
          <w:szCs w:val="20"/>
          <w:lang w:val="en-GB"/>
        </w:rPr>
        <w:t xml:space="preserve">In conclusion, </w:t>
      </w:r>
      <w:r w:rsidR="00170BD2" w:rsidRPr="00B217DC">
        <w:rPr>
          <w:rFonts w:cs="Arial"/>
          <w:color w:val="auto"/>
          <w:sz w:val="20"/>
          <w:szCs w:val="20"/>
          <w:lang w:val="en-GB"/>
        </w:rPr>
        <w:t>the Committee urges the Department</w:t>
      </w:r>
      <w:r w:rsidR="00E90FFE" w:rsidRPr="00B217DC">
        <w:rPr>
          <w:rFonts w:cs="Arial"/>
          <w:color w:val="auto"/>
          <w:sz w:val="20"/>
          <w:szCs w:val="20"/>
          <w:lang w:val="en-GB"/>
        </w:rPr>
        <w:t>, the CGE and the NYDA</w:t>
      </w:r>
      <w:r w:rsidR="00170BD2" w:rsidRPr="00B217DC">
        <w:rPr>
          <w:rFonts w:cs="Arial"/>
          <w:color w:val="auto"/>
          <w:sz w:val="20"/>
          <w:szCs w:val="20"/>
          <w:lang w:val="en-GB"/>
        </w:rPr>
        <w:t xml:space="preserve"> to take its recommendations seriously and implement these expeditiously.</w:t>
      </w:r>
    </w:p>
    <w:p w:rsidR="001141C4" w:rsidRPr="00B217DC" w:rsidRDefault="001141C4" w:rsidP="00B217DC">
      <w:pPr>
        <w:rPr>
          <w:rFonts w:cs="Arial"/>
          <w:color w:val="auto"/>
          <w:sz w:val="20"/>
          <w:szCs w:val="20"/>
          <w:lang w:val="en-GB"/>
        </w:rPr>
      </w:pPr>
    </w:p>
    <w:p w:rsidR="00031BB4" w:rsidRPr="00B217DC" w:rsidRDefault="00170BD2" w:rsidP="00B217DC">
      <w:pPr>
        <w:rPr>
          <w:rFonts w:cs="Arial"/>
          <w:color w:val="auto"/>
          <w:sz w:val="20"/>
          <w:szCs w:val="20"/>
        </w:rPr>
      </w:pPr>
      <w:r w:rsidRPr="00B217DC">
        <w:rPr>
          <w:rFonts w:cs="Arial"/>
          <w:b/>
          <w:color w:val="auto"/>
          <w:sz w:val="20"/>
          <w:szCs w:val="20"/>
          <w:lang w:val="en-GB"/>
        </w:rPr>
        <w:t>Report to be considered.</w:t>
      </w:r>
      <w:r w:rsidRPr="00B217DC">
        <w:rPr>
          <w:rFonts w:cs="Arial"/>
          <w:b/>
          <w:color w:val="auto"/>
          <w:sz w:val="20"/>
          <w:szCs w:val="20"/>
          <w:lang w:val="en-GB"/>
        </w:rPr>
        <w:tab/>
      </w:r>
    </w:p>
    <w:sectPr w:rsidR="00031BB4" w:rsidRPr="00B217DC" w:rsidSect="006675BE">
      <w:footerReference w:type="default" r:id="rId8"/>
      <w:pgSz w:w="11906" w:h="16838" w:code="9"/>
      <w:pgMar w:top="72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F1" w:rsidRDefault="00663DF1">
      <w:r>
        <w:separator/>
      </w:r>
    </w:p>
  </w:endnote>
  <w:endnote w:type="continuationSeparator" w:id="0">
    <w:p w:rsidR="00663DF1" w:rsidRDefault="00663D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DIOOB O+ T T 13 F 46o 00">
    <w:altName w:val="T T 13 F 46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38788036"/>
      <w:docPartObj>
        <w:docPartGallery w:val="Page Numbers (Bottom of Page)"/>
        <w:docPartUnique/>
      </w:docPartObj>
    </w:sdtPr>
    <w:sdtEndPr>
      <w:rPr>
        <w:noProof/>
      </w:rPr>
    </w:sdtEndPr>
    <w:sdtContent>
      <w:p w:rsidR="006B24F2" w:rsidRPr="003E3F99" w:rsidRDefault="003205F7">
        <w:pPr>
          <w:pStyle w:val="Footer"/>
          <w:jc w:val="center"/>
          <w:rPr>
            <w:rFonts w:ascii="Times New Roman" w:hAnsi="Times New Roman"/>
            <w:sz w:val="20"/>
            <w:szCs w:val="20"/>
          </w:rPr>
        </w:pPr>
        <w:r w:rsidRPr="003E3F99">
          <w:rPr>
            <w:rFonts w:ascii="Times New Roman" w:hAnsi="Times New Roman"/>
            <w:sz w:val="20"/>
            <w:szCs w:val="20"/>
          </w:rPr>
          <w:fldChar w:fldCharType="begin"/>
        </w:r>
        <w:r w:rsidR="006B24F2" w:rsidRPr="003E3F99">
          <w:rPr>
            <w:rFonts w:ascii="Times New Roman" w:hAnsi="Times New Roman"/>
            <w:sz w:val="20"/>
            <w:szCs w:val="20"/>
          </w:rPr>
          <w:instrText xml:space="preserve"> PAGE   \* MERGEFORMAT </w:instrText>
        </w:r>
        <w:r w:rsidRPr="003E3F99">
          <w:rPr>
            <w:rFonts w:ascii="Times New Roman" w:hAnsi="Times New Roman"/>
            <w:sz w:val="20"/>
            <w:szCs w:val="20"/>
          </w:rPr>
          <w:fldChar w:fldCharType="separate"/>
        </w:r>
        <w:r w:rsidR="00B217DC">
          <w:rPr>
            <w:rFonts w:ascii="Times New Roman" w:hAnsi="Times New Roman"/>
            <w:noProof/>
            <w:sz w:val="20"/>
            <w:szCs w:val="20"/>
          </w:rPr>
          <w:t>2</w:t>
        </w:r>
        <w:r w:rsidRPr="003E3F99">
          <w:rPr>
            <w:rFonts w:ascii="Times New Roman" w:hAnsi="Times New Roman"/>
            <w:noProof/>
            <w:sz w:val="20"/>
            <w:szCs w:val="20"/>
          </w:rPr>
          <w:fldChar w:fldCharType="end"/>
        </w:r>
      </w:p>
    </w:sdtContent>
  </w:sdt>
  <w:p w:rsidR="006B24F2" w:rsidRDefault="006B2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F1" w:rsidRDefault="00663DF1">
      <w:r>
        <w:separator/>
      </w:r>
    </w:p>
  </w:footnote>
  <w:footnote w:type="continuationSeparator" w:id="0">
    <w:p w:rsidR="00663DF1" w:rsidRDefault="00663DF1">
      <w:r>
        <w:continuationSeparator/>
      </w:r>
    </w:p>
  </w:footnote>
  <w:footnote w:id="1">
    <w:p w:rsidR="006B24F2" w:rsidRPr="00034CED" w:rsidRDefault="006B24F2" w:rsidP="007A13DC">
      <w:pPr>
        <w:pStyle w:val="FootnoteText"/>
        <w:rPr>
          <w:rFonts w:ascii="Times New Roman" w:hAnsi="Times New Roman"/>
        </w:rPr>
      </w:pPr>
      <w:r w:rsidRPr="00034CED">
        <w:rPr>
          <w:rStyle w:val="FootnoteReference"/>
          <w:rFonts w:ascii="Times New Roman" w:hAnsi="Times New Roman"/>
        </w:rPr>
        <w:footnoteRef/>
      </w:r>
      <w:r w:rsidRPr="00034CED">
        <w:rPr>
          <w:rFonts w:ascii="Times New Roman" w:hAnsi="Times New Roman"/>
        </w:rPr>
        <w:t xml:space="preserve"> Department of Planning, Monitoring and Evaluation, Republic of South Africa (2019) Medium Term Strategic Framework 2019-2024. </w:t>
      </w:r>
    </w:p>
  </w:footnote>
  <w:footnote w:id="2">
    <w:p w:rsidR="006B24F2" w:rsidRPr="00992F67" w:rsidRDefault="006B24F2" w:rsidP="007A13DC">
      <w:pPr>
        <w:pStyle w:val="FootnoteText"/>
        <w:rPr>
          <w:rFonts w:ascii="Times New Roman" w:hAnsi="Times New Roman"/>
        </w:rPr>
      </w:pPr>
      <w:r w:rsidRPr="00992F67">
        <w:rPr>
          <w:rStyle w:val="FootnoteReference"/>
          <w:rFonts w:ascii="Times New Roman" w:hAnsi="Times New Roman"/>
        </w:rPr>
        <w:footnoteRef/>
      </w:r>
      <w:r w:rsidRPr="00992F67">
        <w:rPr>
          <w:rFonts w:ascii="Times New Roman" w:hAnsi="Times New Roman"/>
        </w:rPr>
        <w:t xml:space="preserve"> Department of Planning, Monitoring and Evaluation, Republic of South Africa (2019) Medium Term Strategic Framework 2019-2024. </w:t>
      </w:r>
    </w:p>
  </w:footnote>
  <w:footnote w:id="3">
    <w:p w:rsidR="006B24F2" w:rsidRPr="002308FA" w:rsidRDefault="006B24F2">
      <w:pPr>
        <w:pStyle w:val="FootnoteText"/>
        <w:rPr>
          <w:rFonts w:ascii="Times New Roman" w:hAnsi="Times New Roman"/>
        </w:rPr>
      </w:pPr>
      <w:r w:rsidRPr="002308FA">
        <w:rPr>
          <w:rStyle w:val="FootnoteReference"/>
          <w:rFonts w:ascii="Times New Roman" w:hAnsi="Times New Roman"/>
        </w:rPr>
        <w:footnoteRef/>
      </w:r>
      <w:r w:rsidRPr="002308FA">
        <w:rPr>
          <w:rFonts w:ascii="Times New Roman" w:hAnsi="Times New Roman"/>
        </w:rPr>
        <w:t xml:space="preserve"> Department of Women, Youth and Persons with Disabilities (2020) Strategic Plan 2020-2025</w:t>
      </w:r>
    </w:p>
  </w:footnote>
  <w:footnote w:id="4">
    <w:p w:rsidR="006B24F2" w:rsidRPr="00566363" w:rsidRDefault="006B24F2">
      <w:pPr>
        <w:pStyle w:val="FootnoteText"/>
        <w:rPr>
          <w:rFonts w:ascii="Times New Roman" w:hAnsi="Times New Roman"/>
        </w:rPr>
      </w:pPr>
      <w:r w:rsidRPr="00566363">
        <w:rPr>
          <w:rStyle w:val="FootnoteReference"/>
          <w:rFonts w:ascii="Times New Roman" w:hAnsi="Times New Roman"/>
        </w:rPr>
        <w:footnoteRef/>
      </w:r>
      <w:r w:rsidRPr="00566363">
        <w:rPr>
          <w:rFonts w:ascii="Times New Roman" w:hAnsi="Times New Roman"/>
        </w:rPr>
        <w:t xml:space="preserve"> </w:t>
      </w:r>
      <w:r>
        <w:rPr>
          <w:rFonts w:ascii="Times New Roman" w:hAnsi="Times New Roman"/>
        </w:rPr>
        <w:t xml:space="preserve">National Treasury (2021) Estimates of National Expenditure, </w:t>
      </w:r>
      <w:r w:rsidRPr="00566363">
        <w:rPr>
          <w:rFonts w:ascii="Times New Roman" w:hAnsi="Times New Roman"/>
          <w:i/>
          <w:iCs/>
        </w:rPr>
        <w:t>Vote 20: Women, Youth and Persons with Disabilities</w:t>
      </w:r>
      <w:r>
        <w:rPr>
          <w:rFonts w:ascii="Times New Roman" w:hAnsi="Times New Roman"/>
          <w:i/>
          <w:iCs/>
        </w:rPr>
        <w:t>,</w:t>
      </w:r>
      <w:r w:rsidRPr="00566363">
        <w:rPr>
          <w:rFonts w:ascii="Times New Roman" w:hAnsi="Times New Roman"/>
        </w:rPr>
        <w:t xml:space="preserve"> </w:t>
      </w:r>
      <w:r>
        <w:rPr>
          <w:rFonts w:ascii="Times New Roman" w:hAnsi="Times New Roman"/>
        </w:rPr>
        <w:t>p. 350</w:t>
      </w:r>
    </w:p>
  </w:footnote>
  <w:footnote w:id="5">
    <w:p w:rsidR="006B24F2" w:rsidRPr="00566363" w:rsidRDefault="006B24F2">
      <w:pPr>
        <w:pStyle w:val="FootnoteText"/>
        <w:rPr>
          <w:rFonts w:ascii="Times New Roman" w:hAnsi="Times New Roman"/>
        </w:rPr>
      </w:pPr>
      <w:r w:rsidRPr="00566363">
        <w:rPr>
          <w:rStyle w:val="FootnoteReference"/>
          <w:rFonts w:ascii="Times New Roman" w:hAnsi="Times New Roman"/>
        </w:rPr>
        <w:footnoteRef/>
      </w:r>
      <w:r w:rsidRPr="00566363">
        <w:rPr>
          <w:rFonts w:ascii="Times New Roman" w:hAnsi="Times New Roman"/>
        </w:rPr>
        <w:t xml:space="preserve"> National Treasury (2021) Estimates</w:t>
      </w:r>
      <w:r w:rsidRPr="003E3F99">
        <w:rPr>
          <w:rFonts w:ascii="Times New Roman" w:hAnsi="Times New Roman"/>
        </w:rPr>
        <w:t xml:space="preserve"> of National Expenditure, </w:t>
      </w:r>
      <w:r w:rsidRPr="003E3F99">
        <w:rPr>
          <w:rFonts w:ascii="Times New Roman" w:hAnsi="Times New Roman"/>
          <w:i/>
          <w:iCs/>
        </w:rPr>
        <w:t>Vote 20: Women, Youth and Persons with Disabilities</w:t>
      </w:r>
      <w:r w:rsidRPr="00566363">
        <w:rPr>
          <w:rFonts w:ascii="Times New Roman" w:hAnsi="Times New Roman"/>
        </w:rPr>
        <w:t>, p. 360</w:t>
      </w:r>
    </w:p>
  </w:footnote>
  <w:footnote w:id="6">
    <w:p w:rsidR="006B24F2" w:rsidRPr="004622F7" w:rsidRDefault="006B24F2">
      <w:pPr>
        <w:pStyle w:val="FootnoteText"/>
        <w:rPr>
          <w:rFonts w:ascii="Times New Roman" w:hAnsi="Times New Roman"/>
        </w:rPr>
      </w:pPr>
      <w:r w:rsidRPr="004622F7">
        <w:rPr>
          <w:rStyle w:val="FootnoteReference"/>
          <w:rFonts w:ascii="Times New Roman" w:hAnsi="Times New Roman"/>
        </w:rPr>
        <w:footnoteRef/>
      </w:r>
      <w:r w:rsidRPr="004622F7">
        <w:rPr>
          <w:rFonts w:ascii="Times New Roman" w:hAnsi="Times New Roman"/>
        </w:rPr>
        <w:t xml:space="preserve"> </w:t>
      </w:r>
      <w:r>
        <w:rPr>
          <w:rFonts w:ascii="Times New Roman" w:hAnsi="Times New Roman"/>
        </w:rPr>
        <w:t xml:space="preserve">National Treasury (2021) </w:t>
      </w:r>
      <w:r w:rsidRPr="003E3F99">
        <w:rPr>
          <w:rFonts w:ascii="Times New Roman" w:hAnsi="Times New Roman"/>
        </w:rPr>
        <w:t xml:space="preserve">Estimates of National Expenditure, </w:t>
      </w:r>
      <w:r w:rsidRPr="003E3F99">
        <w:rPr>
          <w:rFonts w:ascii="Times New Roman" w:hAnsi="Times New Roman"/>
          <w:i/>
          <w:iCs/>
        </w:rPr>
        <w:t>Vote 20: Women, Youth and Persons with Disabilities</w:t>
      </w:r>
      <w:r>
        <w:rPr>
          <w:rFonts w:ascii="Times New Roman" w:hAnsi="Times New Roman"/>
        </w:rPr>
        <w:t>, p.362</w:t>
      </w:r>
    </w:p>
  </w:footnote>
  <w:footnote w:id="7">
    <w:p w:rsidR="006B24F2" w:rsidRPr="00823AD7" w:rsidRDefault="006B24F2">
      <w:pPr>
        <w:pStyle w:val="FootnoteText"/>
        <w:rPr>
          <w:rFonts w:ascii="Times New Roman" w:hAnsi="Times New Roman"/>
        </w:rPr>
      </w:pPr>
      <w:r w:rsidRPr="00823AD7">
        <w:rPr>
          <w:rStyle w:val="FootnoteReference"/>
          <w:rFonts w:ascii="Times New Roman" w:hAnsi="Times New Roman"/>
        </w:rPr>
        <w:footnoteRef/>
      </w:r>
      <w:r w:rsidRPr="00823AD7">
        <w:rPr>
          <w:rFonts w:ascii="Times New Roman" w:hAnsi="Times New Roman"/>
        </w:rPr>
        <w:t xml:space="preserve"> R400</w:t>
      </w:r>
      <w:r>
        <w:rPr>
          <w:rFonts w:ascii="Times New Roman" w:hAnsi="Times New Roman"/>
        </w:rPr>
        <w:t xml:space="preserve"> million as per the adjusted appropriation was for the NYS programme and R30 million for Entrepreneurship support initiatives by the NYDA.</w:t>
      </w:r>
    </w:p>
  </w:footnote>
  <w:footnote w:id="8">
    <w:p w:rsidR="006B24F2" w:rsidRPr="00AE1360" w:rsidRDefault="006B24F2">
      <w:pPr>
        <w:pStyle w:val="FootnoteText"/>
        <w:rPr>
          <w:rFonts w:ascii="Times New Roman" w:hAnsi="Times New Roman"/>
        </w:rPr>
      </w:pPr>
      <w:r w:rsidRPr="00AE1360">
        <w:rPr>
          <w:rStyle w:val="FootnoteReference"/>
          <w:rFonts w:ascii="Times New Roman" w:hAnsi="Times New Roman"/>
        </w:rPr>
        <w:footnoteRef/>
      </w:r>
      <w:r w:rsidRPr="00AE1360">
        <w:rPr>
          <w:rFonts w:ascii="Times New Roman" w:hAnsi="Times New Roman"/>
        </w:rPr>
        <w:t xml:space="preserve"> Levendale, C (202</w:t>
      </w:r>
      <w:r>
        <w:rPr>
          <w:rFonts w:ascii="Times New Roman" w:hAnsi="Times New Roman"/>
        </w:rPr>
        <w:t>2</w:t>
      </w:r>
      <w:r w:rsidRPr="00AE1360">
        <w:rPr>
          <w:rFonts w:ascii="Times New Roman" w:hAnsi="Times New Roman"/>
        </w:rPr>
        <w:t xml:space="preserve">), </w:t>
      </w:r>
      <w:r w:rsidRPr="00AE1360">
        <w:rPr>
          <w:rFonts w:ascii="Times New Roman" w:hAnsi="Times New Roman"/>
          <w:bCs/>
        </w:rPr>
        <w:t>Annual Report Overview 202</w:t>
      </w:r>
      <w:r>
        <w:rPr>
          <w:rFonts w:ascii="Times New Roman" w:hAnsi="Times New Roman"/>
          <w:bCs/>
        </w:rPr>
        <w:t>1/22</w:t>
      </w:r>
      <w:r w:rsidRPr="00AE1360">
        <w:rPr>
          <w:rFonts w:ascii="Times New Roman" w:hAnsi="Times New Roman"/>
          <w:bCs/>
        </w:rPr>
        <w:t xml:space="preserve"> Department of Women, Youth and Persons with Disabilities</w:t>
      </w:r>
      <w:r w:rsidRPr="00AE1360">
        <w:rPr>
          <w:rFonts w:ascii="Times New Roman" w:hAnsi="Times New Roman"/>
          <w:b/>
          <w:bCs/>
        </w:rPr>
        <w:t xml:space="preserve"> </w:t>
      </w:r>
      <w:r w:rsidRPr="00AE1360">
        <w:rPr>
          <w:rFonts w:ascii="Times New Roman" w:hAnsi="Times New Roman"/>
        </w:rPr>
        <w:t>Parliament of the Republic o</w:t>
      </w:r>
      <w:r>
        <w:rPr>
          <w:rFonts w:ascii="Times New Roman" w:hAnsi="Times New Roman"/>
        </w:rPr>
        <w:t>f South Africa, Research Unit, 10 October 2022</w:t>
      </w:r>
    </w:p>
  </w:footnote>
  <w:footnote w:id="9">
    <w:p w:rsidR="006B24F2" w:rsidRPr="004F6C2D" w:rsidRDefault="006B24F2">
      <w:pPr>
        <w:pStyle w:val="FootnoteText"/>
        <w:rPr>
          <w:rFonts w:ascii="Times New Roman" w:hAnsi="Times New Roman"/>
        </w:rPr>
      </w:pPr>
      <w:r w:rsidRPr="004F6C2D">
        <w:rPr>
          <w:rStyle w:val="FootnoteReference"/>
          <w:rFonts w:ascii="Times New Roman" w:hAnsi="Times New Roman"/>
        </w:rPr>
        <w:footnoteRef/>
      </w:r>
      <w:r w:rsidRPr="004F6C2D">
        <w:rPr>
          <w:rFonts w:ascii="Times New Roman" w:hAnsi="Times New Roman"/>
        </w:rPr>
        <w:t xml:space="preserve"> Ibid</w:t>
      </w:r>
    </w:p>
  </w:footnote>
  <w:footnote w:id="10">
    <w:p w:rsidR="006B24F2" w:rsidRPr="002B1D9E" w:rsidRDefault="006B24F2">
      <w:pPr>
        <w:pStyle w:val="FootnoteText"/>
        <w:rPr>
          <w:rFonts w:ascii="Times New Roman" w:hAnsi="Times New Roman"/>
        </w:rPr>
      </w:pPr>
      <w:r w:rsidRPr="002B1D9E">
        <w:rPr>
          <w:rStyle w:val="FootnoteReference"/>
          <w:rFonts w:ascii="Times New Roman" w:hAnsi="Times New Roman"/>
        </w:rPr>
        <w:footnoteRef/>
      </w:r>
      <w:r w:rsidRPr="002B1D9E">
        <w:rPr>
          <w:rFonts w:ascii="Times New Roman" w:hAnsi="Times New Roman"/>
        </w:rPr>
        <w:t xml:space="preserve"> Levendale, C (2022), </w:t>
      </w:r>
      <w:r w:rsidRPr="002B1D9E">
        <w:rPr>
          <w:rFonts w:ascii="Times New Roman" w:hAnsi="Times New Roman"/>
          <w:bCs/>
        </w:rPr>
        <w:t>Annual Report Overview 2021/22 Department of Women, Youth and Persons with Disabilities</w:t>
      </w:r>
      <w:r w:rsidRPr="002B1D9E">
        <w:rPr>
          <w:rFonts w:ascii="Times New Roman" w:hAnsi="Times New Roman"/>
          <w:b/>
          <w:bCs/>
        </w:rPr>
        <w:t xml:space="preserve"> </w:t>
      </w:r>
      <w:r w:rsidRPr="002B1D9E">
        <w:rPr>
          <w:rFonts w:ascii="Times New Roman" w:hAnsi="Times New Roman"/>
        </w:rPr>
        <w:t>Parliament of the Republic of South Africa, Research Unit, 10 October 2022</w:t>
      </w:r>
    </w:p>
  </w:footnote>
  <w:footnote w:id="11">
    <w:p w:rsidR="006B24F2" w:rsidRPr="00E7149F" w:rsidRDefault="006B24F2">
      <w:pPr>
        <w:pStyle w:val="FootnoteText"/>
        <w:rPr>
          <w:rFonts w:ascii="Times New Roman" w:hAnsi="Times New Roman"/>
        </w:rPr>
      </w:pPr>
      <w:r w:rsidRPr="00E7149F">
        <w:rPr>
          <w:rStyle w:val="FootnoteReference"/>
          <w:rFonts w:ascii="Times New Roman" w:hAnsi="Times New Roman"/>
        </w:rPr>
        <w:footnoteRef/>
      </w:r>
      <w:r w:rsidRPr="00E7149F">
        <w:rPr>
          <w:rFonts w:ascii="Times New Roman" w:hAnsi="Times New Roman"/>
        </w:rPr>
        <w:t xml:space="preserve"> Lev</w:t>
      </w:r>
      <w:r>
        <w:rPr>
          <w:rFonts w:ascii="Times New Roman" w:hAnsi="Times New Roman"/>
        </w:rPr>
        <w:t>en</w:t>
      </w:r>
      <w:r w:rsidRPr="00E7149F">
        <w:rPr>
          <w:rFonts w:ascii="Times New Roman" w:hAnsi="Times New Roman"/>
        </w:rPr>
        <w:t>dale, C (2022) Commission for Gender Equality 2021/22 Annual Report Overview and Analysis, Parliamentary Research Unit</w:t>
      </w:r>
    </w:p>
  </w:footnote>
  <w:footnote w:id="12">
    <w:p w:rsidR="006B24F2" w:rsidRPr="00E7149F" w:rsidRDefault="006B24F2">
      <w:pPr>
        <w:pStyle w:val="FootnoteText"/>
        <w:rPr>
          <w:rFonts w:ascii="Times New Roman" w:hAnsi="Times New Roman"/>
        </w:rPr>
      </w:pPr>
      <w:r w:rsidRPr="00E7149F">
        <w:rPr>
          <w:rStyle w:val="FootnoteReference"/>
          <w:rFonts w:ascii="Times New Roman" w:hAnsi="Times New Roman"/>
        </w:rPr>
        <w:footnoteRef/>
      </w:r>
      <w:r w:rsidRPr="00E7149F">
        <w:rPr>
          <w:rFonts w:ascii="Times New Roman" w:hAnsi="Times New Roman"/>
        </w:rPr>
        <w:t xml:space="preserve"> </w:t>
      </w:r>
      <w:r>
        <w:rPr>
          <w:rFonts w:ascii="Times New Roman" w:hAnsi="Times New Roman"/>
        </w:rPr>
        <w:t>Ibid</w:t>
      </w:r>
    </w:p>
  </w:footnote>
  <w:footnote w:id="13">
    <w:p w:rsidR="006B24F2" w:rsidRPr="009B57D8" w:rsidRDefault="006B24F2">
      <w:pPr>
        <w:pStyle w:val="FootnoteText"/>
        <w:rPr>
          <w:rFonts w:ascii="Times New Roman" w:hAnsi="Times New Roman"/>
        </w:rPr>
      </w:pPr>
      <w:r w:rsidRPr="009B57D8">
        <w:rPr>
          <w:rStyle w:val="FootnoteReference"/>
          <w:rFonts w:ascii="Times New Roman" w:hAnsi="Times New Roman"/>
        </w:rPr>
        <w:footnoteRef/>
      </w:r>
      <w:r w:rsidRPr="009B57D8">
        <w:rPr>
          <w:rFonts w:ascii="Times New Roman" w:hAnsi="Times New Roman"/>
        </w:rPr>
        <w:t xml:space="preserve"> Matthews, T (2022) National Youth Development Agency (NYDA) Annual Report 2021/22 Review, Parliament Research Unit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E22577"/>
    <w:multiLevelType w:val="hybridMultilevel"/>
    <w:tmpl w:val="F57C572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904C6"/>
    <w:multiLevelType w:val="multilevel"/>
    <w:tmpl w:val="A32A0DD4"/>
    <w:lvl w:ilvl="0">
      <w:start w:val="15"/>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0A754FD4"/>
    <w:multiLevelType w:val="hybridMultilevel"/>
    <w:tmpl w:val="7422D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7A233F"/>
    <w:multiLevelType w:val="hybridMultilevel"/>
    <w:tmpl w:val="5CFA64DC"/>
    <w:lvl w:ilvl="0" w:tplc="41FA95E0">
      <w:start w:val="7"/>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E6782D4E">
      <w:numFmt w:val="bullet"/>
      <w:lvlText w:val="•"/>
      <w:lvlJc w:val="left"/>
      <w:pPr>
        <w:ind w:left="2340" w:hanging="360"/>
      </w:pPr>
      <w:rPr>
        <w:rFonts w:ascii="Times New Roman" w:eastAsia="Times New Roman" w:hAnsi="Times New Roman"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9407F7"/>
    <w:multiLevelType w:val="hybridMultilevel"/>
    <w:tmpl w:val="9C7E0E4E"/>
    <w:lvl w:ilvl="0" w:tplc="D8748BEC">
      <w:numFmt w:val="bullet"/>
      <w:lvlText w:val="-"/>
      <w:lvlJc w:val="left"/>
      <w:pPr>
        <w:ind w:left="720" w:hanging="360"/>
      </w:pPr>
      <w:rPr>
        <w:rFonts w:ascii="Times New Roman" w:eastAsia="Times New Roman" w:hAnsi="Times New Roman" w:cs="Times New Roman" w:hint="default"/>
      </w:rPr>
    </w:lvl>
    <w:lvl w:ilvl="1" w:tplc="D8748BEC">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AC13FE2"/>
    <w:multiLevelType w:val="hybridMultilevel"/>
    <w:tmpl w:val="F648E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B18540D"/>
    <w:multiLevelType w:val="hybridMultilevel"/>
    <w:tmpl w:val="8A40419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B417933"/>
    <w:multiLevelType w:val="hybridMultilevel"/>
    <w:tmpl w:val="A0D48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B434A51"/>
    <w:multiLevelType w:val="hybridMultilevel"/>
    <w:tmpl w:val="3768D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BE15C57"/>
    <w:multiLevelType w:val="hybridMultilevel"/>
    <w:tmpl w:val="788E62CC"/>
    <w:lvl w:ilvl="0" w:tplc="1C090001">
      <w:start w:val="1"/>
      <w:numFmt w:val="bullet"/>
      <w:lvlText w:val=""/>
      <w:lvlJc w:val="left"/>
      <w:pPr>
        <w:ind w:left="1890" w:hanging="360"/>
      </w:pPr>
      <w:rPr>
        <w:rFonts w:ascii="Symbol" w:hAnsi="Symbol" w:hint="default"/>
      </w:rPr>
    </w:lvl>
    <w:lvl w:ilvl="1" w:tplc="1C090003" w:tentative="1">
      <w:start w:val="1"/>
      <w:numFmt w:val="bullet"/>
      <w:lvlText w:val="o"/>
      <w:lvlJc w:val="left"/>
      <w:pPr>
        <w:ind w:left="2610" w:hanging="360"/>
      </w:pPr>
      <w:rPr>
        <w:rFonts w:ascii="Courier New" w:hAnsi="Courier New" w:cs="Courier New" w:hint="default"/>
      </w:rPr>
    </w:lvl>
    <w:lvl w:ilvl="2" w:tplc="1C090005" w:tentative="1">
      <w:start w:val="1"/>
      <w:numFmt w:val="bullet"/>
      <w:lvlText w:val=""/>
      <w:lvlJc w:val="left"/>
      <w:pPr>
        <w:ind w:left="3330" w:hanging="360"/>
      </w:pPr>
      <w:rPr>
        <w:rFonts w:ascii="Wingdings" w:hAnsi="Wingdings" w:hint="default"/>
      </w:rPr>
    </w:lvl>
    <w:lvl w:ilvl="3" w:tplc="1C090001" w:tentative="1">
      <w:start w:val="1"/>
      <w:numFmt w:val="bullet"/>
      <w:lvlText w:val=""/>
      <w:lvlJc w:val="left"/>
      <w:pPr>
        <w:ind w:left="4050" w:hanging="360"/>
      </w:pPr>
      <w:rPr>
        <w:rFonts w:ascii="Symbol" w:hAnsi="Symbol" w:hint="default"/>
      </w:rPr>
    </w:lvl>
    <w:lvl w:ilvl="4" w:tplc="1C090003" w:tentative="1">
      <w:start w:val="1"/>
      <w:numFmt w:val="bullet"/>
      <w:lvlText w:val="o"/>
      <w:lvlJc w:val="left"/>
      <w:pPr>
        <w:ind w:left="4770" w:hanging="360"/>
      </w:pPr>
      <w:rPr>
        <w:rFonts w:ascii="Courier New" w:hAnsi="Courier New" w:cs="Courier New" w:hint="default"/>
      </w:rPr>
    </w:lvl>
    <w:lvl w:ilvl="5" w:tplc="1C090005" w:tentative="1">
      <w:start w:val="1"/>
      <w:numFmt w:val="bullet"/>
      <w:lvlText w:val=""/>
      <w:lvlJc w:val="left"/>
      <w:pPr>
        <w:ind w:left="5490" w:hanging="360"/>
      </w:pPr>
      <w:rPr>
        <w:rFonts w:ascii="Wingdings" w:hAnsi="Wingdings" w:hint="default"/>
      </w:rPr>
    </w:lvl>
    <w:lvl w:ilvl="6" w:tplc="1C090001" w:tentative="1">
      <w:start w:val="1"/>
      <w:numFmt w:val="bullet"/>
      <w:lvlText w:val=""/>
      <w:lvlJc w:val="left"/>
      <w:pPr>
        <w:ind w:left="6210" w:hanging="360"/>
      </w:pPr>
      <w:rPr>
        <w:rFonts w:ascii="Symbol" w:hAnsi="Symbol" w:hint="default"/>
      </w:rPr>
    </w:lvl>
    <w:lvl w:ilvl="7" w:tplc="1C090003" w:tentative="1">
      <w:start w:val="1"/>
      <w:numFmt w:val="bullet"/>
      <w:lvlText w:val="o"/>
      <w:lvlJc w:val="left"/>
      <w:pPr>
        <w:ind w:left="6930" w:hanging="360"/>
      </w:pPr>
      <w:rPr>
        <w:rFonts w:ascii="Courier New" w:hAnsi="Courier New" w:cs="Courier New" w:hint="default"/>
      </w:rPr>
    </w:lvl>
    <w:lvl w:ilvl="8" w:tplc="1C090005" w:tentative="1">
      <w:start w:val="1"/>
      <w:numFmt w:val="bullet"/>
      <w:lvlText w:val=""/>
      <w:lvlJc w:val="left"/>
      <w:pPr>
        <w:ind w:left="7650" w:hanging="360"/>
      </w:pPr>
      <w:rPr>
        <w:rFonts w:ascii="Wingdings" w:hAnsi="Wingdings" w:hint="default"/>
      </w:rPr>
    </w:lvl>
  </w:abstractNum>
  <w:abstractNum w:abstractNumId="12">
    <w:nsid w:val="0C1F3ACF"/>
    <w:multiLevelType w:val="hybridMultilevel"/>
    <w:tmpl w:val="ADBEC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0C9C6A53"/>
    <w:multiLevelType w:val="hybridMultilevel"/>
    <w:tmpl w:val="7D4AF6D4"/>
    <w:lvl w:ilvl="0" w:tplc="08090001">
      <w:start w:val="1"/>
      <w:numFmt w:val="bullet"/>
      <w:lvlText w:val=""/>
      <w:lvlJc w:val="left"/>
      <w:pPr>
        <w:tabs>
          <w:tab w:val="num" w:pos="780"/>
        </w:tabs>
        <w:ind w:left="780" w:hanging="360"/>
      </w:pPr>
      <w:rPr>
        <w:rFonts w:ascii="Symbol" w:hAnsi="Symbol" w:hint="default"/>
      </w:rPr>
    </w:lvl>
    <w:lvl w:ilvl="1" w:tplc="D8748BEC">
      <w:numFmt w:val="bullet"/>
      <w:lvlText w:val="-"/>
      <w:lvlJc w:val="left"/>
      <w:pPr>
        <w:ind w:left="1500" w:hanging="360"/>
      </w:pPr>
      <w:rPr>
        <w:rFonts w:ascii="Times New Roman" w:eastAsia="Times New Roman" w:hAnsi="Times New Roman" w:cs="Times New Roma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0F403410"/>
    <w:multiLevelType w:val="hybridMultilevel"/>
    <w:tmpl w:val="FEAA8684"/>
    <w:lvl w:ilvl="0" w:tplc="DD1AE94C">
      <w:start w:val="1"/>
      <w:numFmt w:val="bullet"/>
      <w:lvlText w:val="•"/>
      <w:lvlJc w:val="left"/>
      <w:pPr>
        <w:tabs>
          <w:tab w:val="num" w:pos="720"/>
        </w:tabs>
        <w:ind w:left="720" w:hanging="360"/>
      </w:pPr>
      <w:rPr>
        <w:rFonts w:ascii="Arial" w:hAnsi="Arial" w:hint="default"/>
      </w:rPr>
    </w:lvl>
    <w:lvl w:ilvl="1" w:tplc="9166A066" w:tentative="1">
      <w:start w:val="1"/>
      <w:numFmt w:val="bullet"/>
      <w:lvlText w:val="•"/>
      <w:lvlJc w:val="left"/>
      <w:pPr>
        <w:tabs>
          <w:tab w:val="num" w:pos="1440"/>
        </w:tabs>
        <w:ind w:left="1440" w:hanging="360"/>
      </w:pPr>
      <w:rPr>
        <w:rFonts w:ascii="Arial" w:hAnsi="Arial" w:hint="default"/>
      </w:rPr>
    </w:lvl>
    <w:lvl w:ilvl="2" w:tplc="F0C2D414" w:tentative="1">
      <w:start w:val="1"/>
      <w:numFmt w:val="bullet"/>
      <w:lvlText w:val="•"/>
      <w:lvlJc w:val="left"/>
      <w:pPr>
        <w:tabs>
          <w:tab w:val="num" w:pos="2160"/>
        </w:tabs>
        <w:ind w:left="2160" w:hanging="360"/>
      </w:pPr>
      <w:rPr>
        <w:rFonts w:ascii="Arial" w:hAnsi="Arial" w:hint="default"/>
      </w:rPr>
    </w:lvl>
    <w:lvl w:ilvl="3" w:tplc="B896E05C" w:tentative="1">
      <w:start w:val="1"/>
      <w:numFmt w:val="bullet"/>
      <w:lvlText w:val="•"/>
      <w:lvlJc w:val="left"/>
      <w:pPr>
        <w:tabs>
          <w:tab w:val="num" w:pos="2880"/>
        </w:tabs>
        <w:ind w:left="2880" w:hanging="360"/>
      </w:pPr>
      <w:rPr>
        <w:rFonts w:ascii="Arial" w:hAnsi="Arial" w:hint="default"/>
      </w:rPr>
    </w:lvl>
    <w:lvl w:ilvl="4" w:tplc="C1C647A0" w:tentative="1">
      <w:start w:val="1"/>
      <w:numFmt w:val="bullet"/>
      <w:lvlText w:val="•"/>
      <w:lvlJc w:val="left"/>
      <w:pPr>
        <w:tabs>
          <w:tab w:val="num" w:pos="3600"/>
        </w:tabs>
        <w:ind w:left="3600" w:hanging="360"/>
      </w:pPr>
      <w:rPr>
        <w:rFonts w:ascii="Arial" w:hAnsi="Arial" w:hint="default"/>
      </w:rPr>
    </w:lvl>
    <w:lvl w:ilvl="5" w:tplc="17129344" w:tentative="1">
      <w:start w:val="1"/>
      <w:numFmt w:val="bullet"/>
      <w:lvlText w:val="•"/>
      <w:lvlJc w:val="left"/>
      <w:pPr>
        <w:tabs>
          <w:tab w:val="num" w:pos="4320"/>
        </w:tabs>
        <w:ind w:left="4320" w:hanging="360"/>
      </w:pPr>
      <w:rPr>
        <w:rFonts w:ascii="Arial" w:hAnsi="Arial" w:hint="default"/>
      </w:rPr>
    </w:lvl>
    <w:lvl w:ilvl="6" w:tplc="1A78BA3E" w:tentative="1">
      <w:start w:val="1"/>
      <w:numFmt w:val="bullet"/>
      <w:lvlText w:val="•"/>
      <w:lvlJc w:val="left"/>
      <w:pPr>
        <w:tabs>
          <w:tab w:val="num" w:pos="5040"/>
        </w:tabs>
        <w:ind w:left="5040" w:hanging="360"/>
      </w:pPr>
      <w:rPr>
        <w:rFonts w:ascii="Arial" w:hAnsi="Arial" w:hint="default"/>
      </w:rPr>
    </w:lvl>
    <w:lvl w:ilvl="7" w:tplc="757A3290" w:tentative="1">
      <w:start w:val="1"/>
      <w:numFmt w:val="bullet"/>
      <w:lvlText w:val="•"/>
      <w:lvlJc w:val="left"/>
      <w:pPr>
        <w:tabs>
          <w:tab w:val="num" w:pos="5760"/>
        </w:tabs>
        <w:ind w:left="5760" w:hanging="360"/>
      </w:pPr>
      <w:rPr>
        <w:rFonts w:ascii="Arial" w:hAnsi="Arial" w:hint="default"/>
      </w:rPr>
    </w:lvl>
    <w:lvl w:ilvl="8" w:tplc="200A7D54" w:tentative="1">
      <w:start w:val="1"/>
      <w:numFmt w:val="bullet"/>
      <w:lvlText w:val="•"/>
      <w:lvlJc w:val="left"/>
      <w:pPr>
        <w:tabs>
          <w:tab w:val="num" w:pos="6480"/>
        </w:tabs>
        <w:ind w:left="6480" w:hanging="360"/>
      </w:pPr>
      <w:rPr>
        <w:rFonts w:ascii="Arial" w:hAnsi="Arial" w:hint="default"/>
      </w:rPr>
    </w:lvl>
  </w:abstractNum>
  <w:abstractNum w:abstractNumId="15">
    <w:nsid w:val="0F4B600C"/>
    <w:multiLevelType w:val="hybridMultilevel"/>
    <w:tmpl w:val="E75EC7C2"/>
    <w:lvl w:ilvl="0" w:tplc="F7C6F33C">
      <w:start w:val="1"/>
      <w:numFmt w:val="bullet"/>
      <w:lvlText w:val="•"/>
      <w:lvlJc w:val="left"/>
      <w:pPr>
        <w:tabs>
          <w:tab w:val="num" w:pos="720"/>
        </w:tabs>
        <w:ind w:left="720" w:hanging="360"/>
      </w:pPr>
      <w:rPr>
        <w:rFonts w:ascii="Arial" w:hAnsi="Arial" w:hint="default"/>
      </w:rPr>
    </w:lvl>
    <w:lvl w:ilvl="1" w:tplc="03BCA1E4" w:tentative="1">
      <w:start w:val="1"/>
      <w:numFmt w:val="bullet"/>
      <w:lvlText w:val="•"/>
      <w:lvlJc w:val="left"/>
      <w:pPr>
        <w:tabs>
          <w:tab w:val="num" w:pos="1440"/>
        </w:tabs>
        <w:ind w:left="1440" w:hanging="360"/>
      </w:pPr>
      <w:rPr>
        <w:rFonts w:ascii="Arial" w:hAnsi="Arial" w:hint="default"/>
      </w:rPr>
    </w:lvl>
    <w:lvl w:ilvl="2" w:tplc="48E4A58A" w:tentative="1">
      <w:start w:val="1"/>
      <w:numFmt w:val="bullet"/>
      <w:lvlText w:val="•"/>
      <w:lvlJc w:val="left"/>
      <w:pPr>
        <w:tabs>
          <w:tab w:val="num" w:pos="2160"/>
        </w:tabs>
        <w:ind w:left="2160" w:hanging="360"/>
      </w:pPr>
      <w:rPr>
        <w:rFonts w:ascii="Arial" w:hAnsi="Arial" w:hint="default"/>
      </w:rPr>
    </w:lvl>
    <w:lvl w:ilvl="3" w:tplc="2842CA60" w:tentative="1">
      <w:start w:val="1"/>
      <w:numFmt w:val="bullet"/>
      <w:lvlText w:val="•"/>
      <w:lvlJc w:val="left"/>
      <w:pPr>
        <w:tabs>
          <w:tab w:val="num" w:pos="2880"/>
        </w:tabs>
        <w:ind w:left="2880" w:hanging="360"/>
      </w:pPr>
      <w:rPr>
        <w:rFonts w:ascii="Arial" w:hAnsi="Arial" w:hint="default"/>
      </w:rPr>
    </w:lvl>
    <w:lvl w:ilvl="4" w:tplc="4BD6E594" w:tentative="1">
      <w:start w:val="1"/>
      <w:numFmt w:val="bullet"/>
      <w:lvlText w:val="•"/>
      <w:lvlJc w:val="left"/>
      <w:pPr>
        <w:tabs>
          <w:tab w:val="num" w:pos="3600"/>
        </w:tabs>
        <w:ind w:left="3600" w:hanging="360"/>
      </w:pPr>
      <w:rPr>
        <w:rFonts w:ascii="Arial" w:hAnsi="Arial" w:hint="default"/>
      </w:rPr>
    </w:lvl>
    <w:lvl w:ilvl="5" w:tplc="15C44344" w:tentative="1">
      <w:start w:val="1"/>
      <w:numFmt w:val="bullet"/>
      <w:lvlText w:val="•"/>
      <w:lvlJc w:val="left"/>
      <w:pPr>
        <w:tabs>
          <w:tab w:val="num" w:pos="4320"/>
        </w:tabs>
        <w:ind w:left="4320" w:hanging="360"/>
      </w:pPr>
      <w:rPr>
        <w:rFonts w:ascii="Arial" w:hAnsi="Arial" w:hint="default"/>
      </w:rPr>
    </w:lvl>
    <w:lvl w:ilvl="6" w:tplc="14184C02" w:tentative="1">
      <w:start w:val="1"/>
      <w:numFmt w:val="bullet"/>
      <w:lvlText w:val="•"/>
      <w:lvlJc w:val="left"/>
      <w:pPr>
        <w:tabs>
          <w:tab w:val="num" w:pos="5040"/>
        </w:tabs>
        <w:ind w:left="5040" w:hanging="360"/>
      </w:pPr>
      <w:rPr>
        <w:rFonts w:ascii="Arial" w:hAnsi="Arial" w:hint="default"/>
      </w:rPr>
    </w:lvl>
    <w:lvl w:ilvl="7" w:tplc="5EBCDFD0" w:tentative="1">
      <w:start w:val="1"/>
      <w:numFmt w:val="bullet"/>
      <w:lvlText w:val="•"/>
      <w:lvlJc w:val="left"/>
      <w:pPr>
        <w:tabs>
          <w:tab w:val="num" w:pos="5760"/>
        </w:tabs>
        <w:ind w:left="5760" w:hanging="360"/>
      </w:pPr>
      <w:rPr>
        <w:rFonts w:ascii="Arial" w:hAnsi="Arial" w:hint="default"/>
      </w:rPr>
    </w:lvl>
    <w:lvl w:ilvl="8" w:tplc="A826377E" w:tentative="1">
      <w:start w:val="1"/>
      <w:numFmt w:val="bullet"/>
      <w:lvlText w:val="•"/>
      <w:lvlJc w:val="left"/>
      <w:pPr>
        <w:tabs>
          <w:tab w:val="num" w:pos="6480"/>
        </w:tabs>
        <w:ind w:left="6480" w:hanging="360"/>
      </w:pPr>
      <w:rPr>
        <w:rFonts w:ascii="Arial" w:hAnsi="Arial" w:hint="default"/>
      </w:rPr>
    </w:lvl>
  </w:abstractNum>
  <w:abstractNum w:abstractNumId="16">
    <w:nsid w:val="0F567F99"/>
    <w:multiLevelType w:val="hybridMultilevel"/>
    <w:tmpl w:val="A83218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1182658A"/>
    <w:multiLevelType w:val="hybridMultilevel"/>
    <w:tmpl w:val="52306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1BC0819"/>
    <w:multiLevelType w:val="hybridMultilevel"/>
    <w:tmpl w:val="11D8F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1D37F85"/>
    <w:multiLevelType w:val="hybridMultilevel"/>
    <w:tmpl w:val="E460D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22F3AFA"/>
    <w:multiLevelType w:val="hybridMultilevel"/>
    <w:tmpl w:val="CB087F90"/>
    <w:lvl w:ilvl="0" w:tplc="025615A8">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50F0EA3"/>
    <w:multiLevelType w:val="hybridMultilevel"/>
    <w:tmpl w:val="7258134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5545A87"/>
    <w:multiLevelType w:val="multilevel"/>
    <w:tmpl w:val="6BBC6CE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6277959"/>
    <w:multiLevelType w:val="hybridMultilevel"/>
    <w:tmpl w:val="5DC6D5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64E69F5"/>
    <w:multiLevelType w:val="hybridMultilevel"/>
    <w:tmpl w:val="0C628C7C"/>
    <w:lvl w:ilvl="0" w:tplc="7D42F2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16587318"/>
    <w:multiLevelType w:val="multilevel"/>
    <w:tmpl w:val="5ED2FE7E"/>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65A2380"/>
    <w:multiLevelType w:val="hybridMultilevel"/>
    <w:tmpl w:val="29E0D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168224DE"/>
    <w:multiLevelType w:val="hybridMultilevel"/>
    <w:tmpl w:val="7E4A6EDA"/>
    <w:lvl w:ilvl="0" w:tplc="C326FC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16C834FC"/>
    <w:multiLevelType w:val="hybridMultilevel"/>
    <w:tmpl w:val="73D2DAB0"/>
    <w:lvl w:ilvl="0" w:tplc="0C4C04D4">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71522D1"/>
    <w:multiLevelType w:val="hybridMultilevel"/>
    <w:tmpl w:val="A81A8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1734549D"/>
    <w:multiLevelType w:val="hybridMultilevel"/>
    <w:tmpl w:val="941446A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174A31F2"/>
    <w:multiLevelType w:val="hybridMultilevel"/>
    <w:tmpl w:val="F88E2B82"/>
    <w:lvl w:ilvl="0" w:tplc="6C6E533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17666060"/>
    <w:multiLevelType w:val="hybridMultilevel"/>
    <w:tmpl w:val="003E95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177D5E69"/>
    <w:multiLevelType w:val="multilevel"/>
    <w:tmpl w:val="4922EB7C"/>
    <w:lvl w:ilvl="0">
      <w:start w:val="10"/>
      <w:numFmt w:val="decimal"/>
      <w:lvlText w:val="%1"/>
      <w:lvlJc w:val="left"/>
      <w:pPr>
        <w:ind w:left="420" w:hanging="420"/>
      </w:pPr>
      <w:rPr>
        <w:rFonts w:hint="default"/>
        <w:b/>
      </w:rPr>
    </w:lvl>
    <w:lvl w:ilvl="1">
      <w:start w:val="2"/>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nsid w:val="1B55446A"/>
    <w:multiLevelType w:val="hybridMultilevel"/>
    <w:tmpl w:val="2EAA7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1BEE33B5"/>
    <w:multiLevelType w:val="hybridMultilevel"/>
    <w:tmpl w:val="AC92DE2A"/>
    <w:lvl w:ilvl="0" w:tplc="1C09001B">
      <w:start w:val="1"/>
      <w:numFmt w:val="lowerRoman"/>
      <w:lvlText w:val="%1."/>
      <w:lvlJc w:val="right"/>
      <w:pPr>
        <w:tabs>
          <w:tab w:val="num" w:pos="720"/>
        </w:tabs>
        <w:ind w:left="720" w:hanging="360"/>
      </w:pPr>
      <w:rPr>
        <w:rFonts w:hint="default"/>
      </w:rPr>
    </w:lvl>
    <w:lvl w:ilvl="1" w:tplc="9DAA1FEC">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1C047632"/>
    <w:multiLevelType w:val="hybridMultilevel"/>
    <w:tmpl w:val="726AB2AC"/>
    <w:lvl w:ilvl="0" w:tplc="1C090017">
      <w:start w:val="1"/>
      <w:numFmt w:val="lowerLetter"/>
      <w:lvlText w:val="%1)"/>
      <w:lvlJc w:val="left"/>
      <w:pPr>
        <w:ind w:left="720" w:hanging="360"/>
      </w:pPr>
    </w:lvl>
    <w:lvl w:ilvl="1" w:tplc="ED9E490E">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1C912393"/>
    <w:multiLevelType w:val="hybridMultilevel"/>
    <w:tmpl w:val="E47E71F6"/>
    <w:lvl w:ilvl="0" w:tplc="1C090017">
      <w:start w:val="1"/>
      <w:numFmt w:val="lowerLetter"/>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1D7D749E"/>
    <w:multiLevelType w:val="hybridMultilevel"/>
    <w:tmpl w:val="6A26A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1EBC4E49"/>
    <w:multiLevelType w:val="hybridMultilevel"/>
    <w:tmpl w:val="134CA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2">
    <w:nsid w:val="1F39011C"/>
    <w:multiLevelType w:val="hybridMultilevel"/>
    <w:tmpl w:val="7B4A5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1F3A2FFE"/>
    <w:multiLevelType w:val="hybridMultilevel"/>
    <w:tmpl w:val="AA726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202974FD"/>
    <w:multiLevelType w:val="hybridMultilevel"/>
    <w:tmpl w:val="9C6451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20ED6D5D"/>
    <w:multiLevelType w:val="hybridMultilevel"/>
    <w:tmpl w:val="0A6060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213D6013"/>
    <w:multiLevelType w:val="hybridMultilevel"/>
    <w:tmpl w:val="E3E686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22AD6E19"/>
    <w:multiLevelType w:val="hybridMultilevel"/>
    <w:tmpl w:val="2842B6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22C22C69"/>
    <w:multiLevelType w:val="hybridMultilevel"/>
    <w:tmpl w:val="DA881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23F477C8"/>
    <w:multiLevelType w:val="hybridMultilevel"/>
    <w:tmpl w:val="EF2C2284"/>
    <w:lvl w:ilvl="0" w:tplc="1C09001B">
      <w:start w:val="1"/>
      <w:numFmt w:val="lowerRoman"/>
      <w:lvlText w:val="%1."/>
      <w:lvlJc w:val="right"/>
      <w:pPr>
        <w:ind w:left="1080" w:hanging="360"/>
      </w:pPr>
    </w:lvl>
    <w:lvl w:ilvl="1" w:tplc="9D461BC8">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0">
    <w:nsid w:val="24D53227"/>
    <w:multiLevelType w:val="hybridMultilevel"/>
    <w:tmpl w:val="9856B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26275478"/>
    <w:multiLevelType w:val="hybridMultilevel"/>
    <w:tmpl w:val="7C50AD4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28D22C68"/>
    <w:multiLevelType w:val="hybridMultilevel"/>
    <w:tmpl w:val="A44C7F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2A5A035B"/>
    <w:multiLevelType w:val="hybridMultilevel"/>
    <w:tmpl w:val="D0E0B2D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2C7C4E3D"/>
    <w:multiLevelType w:val="hybridMultilevel"/>
    <w:tmpl w:val="8F1A6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2CAB4492"/>
    <w:multiLevelType w:val="hybridMultilevel"/>
    <w:tmpl w:val="E6F03D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2CCD6007"/>
    <w:multiLevelType w:val="hybridMultilevel"/>
    <w:tmpl w:val="853833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2CD645C1"/>
    <w:multiLevelType w:val="hybridMultilevel"/>
    <w:tmpl w:val="993C0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2CE17D81"/>
    <w:multiLevelType w:val="hybridMultilevel"/>
    <w:tmpl w:val="93D85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2D33309F"/>
    <w:multiLevelType w:val="hybridMultilevel"/>
    <w:tmpl w:val="53704DBC"/>
    <w:lvl w:ilvl="0" w:tplc="72E8A348">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2E1B7B07"/>
    <w:multiLevelType w:val="hybridMultilevel"/>
    <w:tmpl w:val="F7228FCE"/>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2E73386B"/>
    <w:multiLevelType w:val="hybridMultilevel"/>
    <w:tmpl w:val="7A72F1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2F423D14"/>
    <w:multiLevelType w:val="hybridMultilevel"/>
    <w:tmpl w:val="DF2C5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316C4989"/>
    <w:multiLevelType w:val="hybridMultilevel"/>
    <w:tmpl w:val="A6EA0D9E"/>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31735530"/>
    <w:multiLevelType w:val="hybridMultilevel"/>
    <w:tmpl w:val="B8E6D7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6">
    <w:nsid w:val="33201111"/>
    <w:multiLevelType w:val="hybridMultilevel"/>
    <w:tmpl w:val="F57C572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7">
    <w:nsid w:val="34641AFA"/>
    <w:multiLevelType w:val="hybridMultilevel"/>
    <w:tmpl w:val="52C01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3563590F"/>
    <w:multiLevelType w:val="hybridMultilevel"/>
    <w:tmpl w:val="6D249490"/>
    <w:lvl w:ilvl="0" w:tplc="EE526722">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9">
    <w:nsid w:val="361450CA"/>
    <w:multiLevelType w:val="hybridMultilevel"/>
    <w:tmpl w:val="70143F1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0">
    <w:nsid w:val="37212F00"/>
    <w:multiLevelType w:val="hybridMultilevel"/>
    <w:tmpl w:val="FF8677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37B97E9D"/>
    <w:multiLevelType w:val="hybridMultilevel"/>
    <w:tmpl w:val="BD9825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3867003D"/>
    <w:multiLevelType w:val="hybridMultilevel"/>
    <w:tmpl w:val="AC640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388E5724"/>
    <w:multiLevelType w:val="hybridMultilevel"/>
    <w:tmpl w:val="6BB8F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39EC4F9D"/>
    <w:multiLevelType w:val="hybridMultilevel"/>
    <w:tmpl w:val="0922A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3A1862DC"/>
    <w:multiLevelType w:val="hybridMultilevel"/>
    <w:tmpl w:val="DADCB476"/>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nsid w:val="3BFD0D2D"/>
    <w:multiLevelType w:val="hybridMultilevel"/>
    <w:tmpl w:val="7E5618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7">
    <w:nsid w:val="3C154243"/>
    <w:multiLevelType w:val="hybridMultilevel"/>
    <w:tmpl w:val="6BFE8E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3C1B160A"/>
    <w:multiLevelType w:val="hybridMultilevel"/>
    <w:tmpl w:val="68B2D54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3CEF62C1"/>
    <w:multiLevelType w:val="hybridMultilevel"/>
    <w:tmpl w:val="B596A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3CFD7174"/>
    <w:multiLevelType w:val="hybridMultilevel"/>
    <w:tmpl w:val="71E83E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3EA20DB2"/>
    <w:multiLevelType w:val="hybridMultilevel"/>
    <w:tmpl w:val="F4B68826"/>
    <w:lvl w:ilvl="0" w:tplc="7AD81EB0">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2">
    <w:nsid w:val="3EDA794B"/>
    <w:multiLevelType w:val="hybridMultilevel"/>
    <w:tmpl w:val="098A4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3EE50879"/>
    <w:multiLevelType w:val="multilevel"/>
    <w:tmpl w:val="C77A083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4">
    <w:nsid w:val="3EFA40B2"/>
    <w:multiLevelType w:val="hybridMultilevel"/>
    <w:tmpl w:val="7FAC6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3F7A699B"/>
    <w:multiLevelType w:val="hybridMultilevel"/>
    <w:tmpl w:val="933A94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3FDF2080"/>
    <w:multiLevelType w:val="hybridMultilevel"/>
    <w:tmpl w:val="FB487C9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7">
    <w:nsid w:val="403036E5"/>
    <w:multiLevelType w:val="hybridMultilevel"/>
    <w:tmpl w:val="57EC7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41DD7876"/>
    <w:multiLevelType w:val="hybridMultilevel"/>
    <w:tmpl w:val="31B0B72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43A84C82"/>
    <w:multiLevelType w:val="hybridMultilevel"/>
    <w:tmpl w:val="7AA472A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0">
    <w:nsid w:val="467B2914"/>
    <w:multiLevelType w:val="hybridMultilevel"/>
    <w:tmpl w:val="277413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1">
    <w:nsid w:val="47C63C8B"/>
    <w:multiLevelType w:val="hybridMultilevel"/>
    <w:tmpl w:val="FC4CB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4A4F72B7"/>
    <w:multiLevelType w:val="hybridMultilevel"/>
    <w:tmpl w:val="6AAA8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4A93322F"/>
    <w:multiLevelType w:val="hybridMultilevel"/>
    <w:tmpl w:val="E21E1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4AB07B0B"/>
    <w:multiLevelType w:val="hybridMultilevel"/>
    <w:tmpl w:val="C226D102"/>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nsid w:val="4CE12330"/>
    <w:multiLevelType w:val="hybridMultilevel"/>
    <w:tmpl w:val="3960A2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nsid w:val="4D6C7BDA"/>
    <w:multiLevelType w:val="hybridMultilevel"/>
    <w:tmpl w:val="4D8C5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nsid w:val="4D881F4A"/>
    <w:multiLevelType w:val="multilevel"/>
    <w:tmpl w:val="432425A2"/>
    <w:lvl w:ilvl="0">
      <w:start w:val="16"/>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4D9B04E6"/>
    <w:multiLevelType w:val="hybridMultilevel"/>
    <w:tmpl w:val="4A7CC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4DBB4D12"/>
    <w:multiLevelType w:val="hybridMultilevel"/>
    <w:tmpl w:val="BDEC8D2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4E9F77B8"/>
    <w:multiLevelType w:val="hybridMultilevel"/>
    <w:tmpl w:val="F7D8B04C"/>
    <w:lvl w:ilvl="0" w:tplc="F4E21A5C">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nsid w:val="50FE667D"/>
    <w:multiLevelType w:val="hybridMultilevel"/>
    <w:tmpl w:val="0B6232E2"/>
    <w:lvl w:ilvl="0" w:tplc="C75A63E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52873E0F"/>
    <w:multiLevelType w:val="hybridMultilevel"/>
    <w:tmpl w:val="4D0E818A"/>
    <w:lvl w:ilvl="0" w:tplc="FD9AC648">
      <w:start w:val="1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nsid w:val="534250FD"/>
    <w:multiLevelType w:val="hybridMultilevel"/>
    <w:tmpl w:val="A3963E3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05">
    <w:nsid w:val="53FD516E"/>
    <w:multiLevelType w:val="hybridMultilevel"/>
    <w:tmpl w:val="3DCE79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546B5E22"/>
    <w:multiLevelType w:val="hybridMultilevel"/>
    <w:tmpl w:val="3746E996"/>
    <w:lvl w:ilvl="0" w:tplc="C380B5B6">
      <w:start w:val="1"/>
      <w:numFmt w:val="bullet"/>
      <w:lvlText w:val="•"/>
      <w:lvlJc w:val="left"/>
      <w:pPr>
        <w:tabs>
          <w:tab w:val="num" w:pos="720"/>
        </w:tabs>
        <w:ind w:left="720" w:hanging="360"/>
      </w:pPr>
      <w:rPr>
        <w:rFonts w:ascii="Arial" w:hAnsi="Arial" w:hint="default"/>
      </w:rPr>
    </w:lvl>
    <w:lvl w:ilvl="1" w:tplc="AB985B76" w:tentative="1">
      <w:start w:val="1"/>
      <w:numFmt w:val="bullet"/>
      <w:lvlText w:val="•"/>
      <w:lvlJc w:val="left"/>
      <w:pPr>
        <w:tabs>
          <w:tab w:val="num" w:pos="1440"/>
        </w:tabs>
        <w:ind w:left="1440" w:hanging="360"/>
      </w:pPr>
      <w:rPr>
        <w:rFonts w:ascii="Arial" w:hAnsi="Arial" w:hint="default"/>
      </w:rPr>
    </w:lvl>
    <w:lvl w:ilvl="2" w:tplc="3D463A18" w:tentative="1">
      <w:start w:val="1"/>
      <w:numFmt w:val="bullet"/>
      <w:lvlText w:val="•"/>
      <w:lvlJc w:val="left"/>
      <w:pPr>
        <w:tabs>
          <w:tab w:val="num" w:pos="2160"/>
        </w:tabs>
        <w:ind w:left="2160" w:hanging="360"/>
      </w:pPr>
      <w:rPr>
        <w:rFonts w:ascii="Arial" w:hAnsi="Arial" w:hint="default"/>
      </w:rPr>
    </w:lvl>
    <w:lvl w:ilvl="3" w:tplc="237CD604" w:tentative="1">
      <w:start w:val="1"/>
      <w:numFmt w:val="bullet"/>
      <w:lvlText w:val="•"/>
      <w:lvlJc w:val="left"/>
      <w:pPr>
        <w:tabs>
          <w:tab w:val="num" w:pos="2880"/>
        </w:tabs>
        <w:ind w:left="2880" w:hanging="360"/>
      </w:pPr>
      <w:rPr>
        <w:rFonts w:ascii="Arial" w:hAnsi="Arial" w:hint="default"/>
      </w:rPr>
    </w:lvl>
    <w:lvl w:ilvl="4" w:tplc="D5223152" w:tentative="1">
      <w:start w:val="1"/>
      <w:numFmt w:val="bullet"/>
      <w:lvlText w:val="•"/>
      <w:lvlJc w:val="left"/>
      <w:pPr>
        <w:tabs>
          <w:tab w:val="num" w:pos="3600"/>
        </w:tabs>
        <w:ind w:left="3600" w:hanging="360"/>
      </w:pPr>
      <w:rPr>
        <w:rFonts w:ascii="Arial" w:hAnsi="Arial" w:hint="default"/>
      </w:rPr>
    </w:lvl>
    <w:lvl w:ilvl="5" w:tplc="996647AE" w:tentative="1">
      <w:start w:val="1"/>
      <w:numFmt w:val="bullet"/>
      <w:lvlText w:val="•"/>
      <w:lvlJc w:val="left"/>
      <w:pPr>
        <w:tabs>
          <w:tab w:val="num" w:pos="4320"/>
        </w:tabs>
        <w:ind w:left="4320" w:hanging="360"/>
      </w:pPr>
      <w:rPr>
        <w:rFonts w:ascii="Arial" w:hAnsi="Arial" w:hint="default"/>
      </w:rPr>
    </w:lvl>
    <w:lvl w:ilvl="6" w:tplc="33826FB6" w:tentative="1">
      <w:start w:val="1"/>
      <w:numFmt w:val="bullet"/>
      <w:lvlText w:val="•"/>
      <w:lvlJc w:val="left"/>
      <w:pPr>
        <w:tabs>
          <w:tab w:val="num" w:pos="5040"/>
        </w:tabs>
        <w:ind w:left="5040" w:hanging="360"/>
      </w:pPr>
      <w:rPr>
        <w:rFonts w:ascii="Arial" w:hAnsi="Arial" w:hint="default"/>
      </w:rPr>
    </w:lvl>
    <w:lvl w:ilvl="7" w:tplc="0FDEF3B6" w:tentative="1">
      <w:start w:val="1"/>
      <w:numFmt w:val="bullet"/>
      <w:lvlText w:val="•"/>
      <w:lvlJc w:val="left"/>
      <w:pPr>
        <w:tabs>
          <w:tab w:val="num" w:pos="5760"/>
        </w:tabs>
        <w:ind w:left="5760" w:hanging="360"/>
      </w:pPr>
      <w:rPr>
        <w:rFonts w:ascii="Arial" w:hAnsi="Arial" w:hint="default"/>
      </w:rPr>
    </w:lvl>
    <w:lvl w:ilvl="8" w:tplc="0F5C8310" w:tentative="1">
      <w:start w:val="1"/>
      <w:numFmt w:val="bullet"/>
      <w:lvlText w:val="•"/>
      <w:lvlJc w:val="left"/>
      <w:pPr>
        <w:tabs>
          <w:tab w:val="num" w:pos="6480"/>
        </w:tabs>
        <w:ind w:left="6480" w:hanging="360"/>
      </w:pPr>
      <w:rPr>
        <w:rFonts w:ascii="Arial" w:hAnsi="Arial" w:hint="default"/>
      </w:rPr>
    </w:lvl>
  </w:abstractNum>
  <w:abstractNum w:abstractNumId="107">
    <w:nsid w:val="54CD73F8"/>
    <w:multiLevelType w:val="hybridMultilevel"/>
    <w:tmpl w:val="5E763EE0"/>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nsid w:val="55590D24"/>
    <w:multiLevelType w:val="hybridMultilevel"/>
    <w:tmpl w:val="5F4071CA"/>
    <w:lvl w:ilvl="0" w:tplc="B908F522">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nsid w:val="55A611A1"/>
    <w:multiLevelType w:val="multilevel"/>
    <w:tmpl w:val="1F62607C"/>
    <w:lvl w:ilvl="0">
      <w:start w:val="16"/>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577A3DE8"/>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nsid w:val="578C5E12"/>
    <w:multiLevelType w:val="hybridMultilevel"/>
    <w:tmpl w:val="3034B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597F38F7"/>
    <w:multiLevelType w:val="hybridMultilevel"/>
    <w:tmpl w:val="F71A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5A315271"/>
    <w:multiLevelType w:val="multilevel"/>
    <w:tmpl w:val="16BC7644"/>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5B627AAD"/>
    <w:multiLevelType w:val="multilevel"/>
    <w:tmpl w:val="4644F1D6"/>
    <w:lvl w:ilvl="0">
      <w:start w:val="16"/>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nsid w:val="5BB73246"/>
    <w:multiLevelType w:val="hybridMultilevel"/>
    <w:tmpl w:val="B76AD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6">
    <w:nsid w:val="5C23674F"/>
    <w:multiLevelType w:val="hybridMultilevel"/>
    <w:tmpl w:val="3B825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nsid w:val="5C6859EB"/>
    <w:multiLevelType w:val="hybridMultilevel"/>
    <w:tmpl w:val="C30AD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8">
    <w:nsid w:val="5CD057C1"/>
    <w:multiLevelType w:val="hybridMultilevel"/>
    <w:tmpl w:val="84B21B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nsid w:val="60D10F60"/>
    <w:multiLevelType w:val="hybridMultilevel"/>
    <w:tmpl w:val="0CF69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nsid w:val="6136288C"/>
    <w:multiLevelType w:val="hybridMultilevel"/>
    <w:tmpl w:val="E0AEED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nsid w:val="634467DF"/>
    <w:multiLevelType w:val="hybridMultilevel"/>
    <w:tmpl w:val="49220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2">
    <w:nsid w:val="66522341"/>
    <w:multiLevelType w:val="hybridMultilevel"/>
    <w:tmpl w:val="1E04C0FC"/>
    <w:lvl w:ilvl="0" w:tplc="38E4FB9C">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nsid w:val="665B783E"/>
    <w:multiLevelType w:val="hybridMultilevel"/>
    <w:tmpl w:val="6358816A"/>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nsid w:val="67631E27"/>
    <w:multiLevelType w:val="multilevel"/>
    <w:tmpl w:val="CC9E5B58"/>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683B7D2C"/>
    <w:multiLevelType w:val="hybridMultilevel"/>
    <w:tmpl w:val="F73C809E"/>
    <w:lvl w:ilvl="0" w:tplc="C44AF71E">
      <w:start w:val="1"/>
      <w:numFmt w:val="bullet"/>
      <w:lvlText w:val="•"/>
      <w:lvlJc w:val="left"/>
      <w:pPr>
        <w:tabs>
          <w:tab w:val="num" w:pos="720"/>
        </w:tabs>
        <w:ind w:left="720" w:hanging="360"/>
      </w:pPr>
      <w:rPr>
        <w:rFonts w:ascii="Arial" w:hAnsi="Arial" w:hint="default"/>
      </w:rPr>
    </w:lvl>
    <w:lvl w:ilvl="1" w:tplc="1C09001B">
      <w:start w:val="1"/>
      <w:numFmt w:val="lowerRoman"/>
      <w:lvlText w:val="%2."/>
      <w:lvlJc w:val="right"/>
      <w:pPr>
        <w:tabs>
          <w:tab w:val="num" w:pos="1440"/>
        </w:tabs>
        <w:ind w:left="1440" w:hanging="360"/>
      </w:pPr>
      <w:rPr>
        <w:rFonts w:hint="default"/>
      </w:rPr>
    </w:lvl>
    <w:lvl w:ilvl="2" w:tplc="C3DA2614">
      <w:start w:val="1"/>
      <w:numFmt w:val="lowerLetter"/>
      <w:lvlText w:val="%3)"/>
      <w:lvlJc w:val="left"/>
      <w:pPr>
        <w:ind w:left="2160" w:hanging="360"/>
      </w:pPr>
      <w:rPr>
        <w:rFonts w:hint="default"/>
      </w:rPr>
    </w:lvl>
    <w:lvl w:ilvl="3" w:tplc="513E3FF6" w:tentative="1">
      <w:start w:val="1"/>
      <w:numFmt w:val="bullet"/>
      <w:lvlText w:val="•"/>
      <w:lvlJc w:val="left"/>
      <w:pPr>
        <w:tabs>
          <w:tab w:val="num" w:pos="2880"/>
        </w:tabs>
        <w:ind w:left="2880" w:hanging="360"/>
      </w:pPr>
      <w:rPr>
        <w:rFonts w:ascii="Arial" w:hAnsi="Arial" w:hint="default"/>
      </w:rPr>
    </w:lvl>
    <w:lvl w:ilvl="4" w:tplc="230E33DA" w:tentative="1">
      <w:start w:val="1"/>
      <w:numFmt w:val="bullet"/>
      <w:lvlText w:val="•"/>
      <w:lvlJc w:val="left"/>
      <w:pPr>
        <w:tabs>
          <w:tab w:val="num" w:pos="3600"/>
        </w:tabs>
        <w:ind w:left="3600" w:hanging="360"/>
      </w:pPr>
      <w:rPr>
        <w:rFonts w:ascii="Arial" w:hAnsi="Arial" w:hint="default"/>
      </w:rPr>
    </w:lvl>
    <w:lvl w:ilvl="5" w:tplc="780CD90C" w:tentative="1">
      <w:start w:val="1"/>
      <w:numFmt w:val="bullet"/>
      <w:lvlText w:val="•"/>
      <w:lvlJc w:val="left"/>
      <w:pPr>
        <w:tabs>
          <w:tab w:val="num" w:pos="4320"/>
        </w:tabs>
        <w:ind w:left="4320" w:hanging="360"/>
      </w:pPr>
      <w:rPr>
        <w:rFonts w:ascii="Arial" w:hAnsi="Arial" w:hint="default"/>
      </w:rPr>
    </w:lvl>
    <w:lvl w:ilvl="6" w:tplc="35508B6A" w:tentative="1">
      <w:start w:val="1"/>
      <w:numFmt w:val="bullet"/>
      <w:lvlText w:val="•"/>
      <w:lvlJc w:val="left"/>
      <w:pPr>
        <w:tabs>
          <w:tab w:val="num" w:pos="5040"/>
        </w:tabs>
        <w:ind w:left="5040" w:hanging="360"/>
      </w:pPr>
      <w:rPr>
        <w:rFonts w:ascii="Arial" w:hAnsi="Arial" w:hint="default"/>
      </w:rPr>
    </w:lvl>
    <w:lvl w:ilvl="7" w:tplc="EAB01910" w:tentative="1">
      <w:start w:val="1"/>
      <w:numFmt w:val="bullet"/>
      <w:lvlText w:val="•"/>
      <w:lvlJc w:val="left"/>
      <w:pPr>
        <w:tabs>
          <w:tab w:val="num" w:pos="5760"/>
        </w:tabs>
        <w:ind w:left="5760" w:hanging="360"/>
      </w:pPr>
      <w:rPr>
        <w:rFonts w:ascii="Arial" w:hAnsi="Arial" w:hint="default"/>
      </w:rPr>
    </w:lvl>
    <w:lvl w:ilvl="8" w:tplc="DF08B9B8" w:tentative="1">
      <w:start w:val="1"/>
      <w:numFmt w:val="bullet"/>
      <w:lvlText w:val="•"/>
      <w:lvlJc w:val="left"/>
      <w:pPr>
        <w:tabs>
          <w:tab w:val="num" w:pos="6480"/>
        </w:tabs>
        <w:ind w:left="6480" w:hanging="360"/>
      </w:pPr>
      <w:rPr>
        <w:rFonts w:ascii="Arial" w:hAnsi="Arial" w:hint="default"/>
      </w:rPr>
    </w:lvl>
  </w:abstractNum>
  <w:abstractNum w:abstractNumId="126">
    <w:nsid w:val="68432AA8"/>
    <w:multiLevelType w:val="hybridMultilevel"/>
    <w:tmpl w:val="345C0A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nsid w:val="6B8354CD"/>
    <w:multiLevelType w:val="multilevel"/>
    <w:tmpl w:val="13F2ADB4"/>
    <w:lvl w:ilvl="0">
      <w:start w:val="14"/>
      <w:numFmt w:val="decimal"/>
      <w:lvlText w:val="%1"/>
      <w:lvlJc w:val="left"/>
      <w:pPr>
        <w:ind w:left="420" w:hanging="420"/>
      </w:pPr>
      <w:rPr>
        <w:rFonts w:hint="default"/>
        <w:b/>
        <w:color w:val="001F00"/>
      </w:rPr>
    </w:lvl>
    <w:lvl w:ilvl="1">
      <w:start w:val="4"/>
      <w:numFmt w:val="decimal"/>
      <w:lvlText w:val="%1.%2"/>
      <w:lvlJc w:val="left"/>
      <w:pPr>
        <w:ind w:left="420" w:hanging="420"/>
      </w:pPr>
      <w:rPr>
        <w:rFonts w:hint="default"/>
        <w:b/>
        <w:color w:val="001F00"/>
      </w:rPr>
    </w:lvl>
    <w:lvl w:ilvl="2">
      <w:start w:val="1"/>
      <w:numFmt w:val="decimal"/>
      <w:lvlText w:val="%1.%2.%3"/>
      <w:lvlJc w:val="left"/>
      <w:pPr>
        <w:ind w:left="720" w:hanging="720"/>
      </w:pPr>
      <w:rPr>
        <w:rFonts w:hint="default"/>
        <w:b w:val="0"/>
        <w:color w:val="001F00"/>
      </w:rPr>
    </w:lvl>
    <w:lvl w:ilvl="3">
      <w:start w:val="1"/>
      <w:numFmt w:val="decimal"/>
      <w:lvlText w:val="%1.%2.%3.%4"/>
      <w:lvlJc w:val="left"/>
      <w:pPr>
        <w:ind w:left="720" w:hanging="720"/>
      </w:pPr>
      <w:rPr>
        <w:rFonts w:hint="default"/>
        <w:b w:val="0"/>
        <w:color w:val="001F00"/>
      </w:rPr>
    </w:lvl>
    <w:lvl w:ilvl="4">
      <w:start w:val="1"/>
      <w:numFmt w:val="decimal"/>
      <w:lvlText w:val="%1.%2.%3.%4.%5"/>
      <w:lvlJc w:val="left"/>
      <w:pPr>
        <w:ind w:left="1080" w:hanging="1080"/>
      </w:pPr>
      <w:rPr>
        <w:rFonts w:hint="default"/>
        <w:b w:val="0"/>
        <w:color w:val="001F00"/>
      </w:rPr>
    </w:lvl>
    <w:lvl w:ilvl="5">
      <w:start w:val="1"/>
      <w:numFmt w:val="decimal"/>
      <w:lvlText w:val="%1.%2.%3.%4.%5.%6"/>
      <w:lvlJc w:val="left"/>
      <w:pPr>
        <w:ind w:left="1080" w:hanging="1080"/>
      </w:pPr>
      <w:rPr>
        <w:rFonts w:hint="default"/>
        <w:b w:val="0"/>
        <w:color w:val="001F00"/>
      </w:rPr>
    </w:lvl>
    <w:lvl w:ilvl="6">
      <w:start w:val="1"/>
      <w:numFmt w:val="decimal"/>
      <w:lvlText w:val="%1.%2.%3.%4.%5.%6.%7"/>
      <w:lvlJc w:val="left"/>
      <w:pPr>
        <w:ind w:left="1440" w:hanging="1440"/>
      </w:pPr>
      <w:rPr>
        <w:rFonts w:hint="default"/>
        <w:b w:val="0"/>
        <w:color w:val="001F00"/>
      </w:rPr>
    </w:lvl>
    <w:lvl w:ilvl="7">
      <w:start w:val="1"/>
      <w:numFmt w:val="decimal"/>
      <w:lvlText w:val="%1.%2.%3.%4.%5.%6.%7.%8"/>
      <w:lvlJc w:val="left"/>
      <w:pPr>
        <w:ind w:left="1440" w:hanging="1440"/>
      </w:pPr>
      <w:rPr>
        <w:rFonts w:hint="default"/>
        <w:b w:val="0"/>
        <w:color w:val="001F00"/>
      </w:rPr>
    </w:lvl>
    <w:lvl w:ilvl="8">
      <w:start w:val="1"/>
      <w:numFmt w:val="decimal"/>
      <w:lvlText w:val="%1.%2.%3.%4.%5.%6.%7.%8.%9"/>
      <w:lvlJc w:val="left"/>
      <w:pPr>
        <w:ind w:left="1800" w:hanging="1800"/>
      </w:pPr>
      <w:rPr>
        <w:rFonts w:hint="default"/>
        <w:b w:val="0"/>
        <w:color w:val="001F00"/>
      </w:rPr>
    </w:lvl>
  </w:abstractNum>
  <w:abstractNum w:abstractNumId="128">
    <w:nsid w:val="6BE20FB0"/>
    <w:multiLevelType w:val="hybridMultilevel"/>
    <w:tmpl w:val="C6484D9E"/>
    <w:lvl w:ilvl="0" w:tplc="A26A2E0A">
      <w:start w:val="1"/>
      <w:numFmt w:val="bullet"/>
      <w:lvlText w:val="•"/>
      <w:lvlJc w:val="left"/>
      <w:pPr>
        <w:tabs>
          <w:tab w:val="num" w:pos="720"/>
        </w:tabs>
        <w:ind w:left="720" w:hanging="360"/>
      </w:pPr>
      <w:rPr>
        <w:rFonts w:ascii="Arial" w:hAnsi="Arial" w:hint="default"/>
      </w:rPr>
    </w:lvl>
    <w:lvl w:ilvl="1" w:tplc="97C28B3A" w:tentative="1">
      <w:start w:val="1"/>
      <w:numFmt w:val="bullet"/>
      <w:lvlText w:val="•"/>
      <w:lvlJc w:val="left"/>
      <w:pPr>
        <w:tabs>
          <w:tab w:val="num" w:pos="1440"/>
        </w:tabs>
        <w:ind w:left="1440" w:hanging="360"/>
      </w:pPr>
      <w:rPr>
        <w:rFonts w:ascii="Arial" w:hAnsi="Arial" w:hint="default"/>
      </w:rPr>
    </w:lvl>
    <w:lvl w:ilvl="2" w:tplc="A35A6322" w:tentative="1">
      <w:start w:val="1"/>
      <w:numFmt w:val="bullet"/>
      <w:lvlText w:val="•"/>
      <w:lvlJc w:val="left"/>
      <w:pPr>
        <w:tabs>
          <w:tab w:val="num" w:pos="2160"/>
        </w:tabs>
        <w:ind w:left="2160" w:hanging="360"/>
      </w:pPr>
      <w:rPr>
        <w:rFonts w:ascii="Arial" w:hAnsi="Arial" w:hint="default"/>
      </w:rPr>
    </w:lvl>
    <w:lvl w:ilvl="3" w:tplc="87BC98A0" w:tentative="1">
      <w:start w:val="1"/>
      <w:numFmt w:val="bullet"/>
      <w:lvlText w:val="•"/>
      <w:lvlJc w:val="left"/>
      <w:pPr>
        <w:tabs>
          <w:tab w:val="num" w:pos="2880"/>
        </w:tabs>
        <w:ind w:left="2880" w:hanging="360"/>
      </w:pPr>
      <w:rPr>
        <w:rFonts w:ascii="Arial" w:hAnsi="Arial" w:hint="default"/>
      </w:rPr>
    </w:lvl>
    <w:lvl w:ilvl="4" w:tplc="CBA87424" w:tentative="1">
      <w:start w:val="1"/>
      <w:numFmt w:val="bullet"/>
      <w:lvlText w:val="•"/>
      <w:lvlJc w:val="left"/>
      <w:pPr>
        <w:tabs>
          <w:tab w:val="num" w:pos="3600"/>
        </w:tabs>
        <w:ind w:left="3600" w:hanging="360"/>
      </w:pPr>
      <w:rPr>
        <w:rFonts w:ascii="Arial" w:hAnsi="Arial" w:hint="default"/>
      </w:rPr>
    </w:lvl>
    <w:lvl w:ilvl="5" w:tplc="FAAC5E8E" w:tentative="1">
      <w:start w:val="1"/>
      <w:numFmt w:val="bullet"/>
      <w:lvlText w:val="•"/>
      <w:lvlJc w:val="left"/>
      <w:pPr>
        <w:tabs>
          <w:tab w:val="num" w:pos="4320"/>
        </w:tabs>
        <w:ind w:left="4320" w:hanging="360"/>
      </w:pPr>
      <w:rPr>
        <w:rFonts w:ascii="Arial" w:hAnsi="Arial" w:hint="default"/>
      </w:rPr>
    </w:lvl>
    <w:lvl w:ilvl="6" w:tplc="C3E4A134" w:tentative="1">
      <w:start w:val="1"/>
      <w:numFmt w:val="bullet"/>
      <w:lvlText w:val="•"/>
      <w:lvlJc w:val="left"/>
      <w:pPr>
        <w:tabs>
          <w:tab w:val="num" w:pos="5040"/>
        </w:tabs>
        <w:ind w:left="5040" w:hanging="360"/>
      </w:pPr>
      <w:rPr>
        <w:rFonts w:ascii="Arial" w:hAnsi="Arial" w:hint="default"/>
      </w:rPr>
    </w:lvl>
    <w:lvl w:ilvl="7" w:tplc="B3125010" w:tentative="1">
      <w:start w:val="1"/>
      <w:numFmt w:val="bullet"/>
      <w:lvlText w:val="•"/>
      <w:lvlJc w:val="left"/>
      <w:pPr>
        <w:tabs>
          <w:tab w:val="num" w:pos="5760"/>
        </w:tabs>
        <w:ind w:left="5760" w:hanging="360"/>
      </w:pPr>
      <w:rPr>
        <w:rFonts w:ascii="Arial" w:hAnsi="Arial" w:hint="default"/>
      </w:rPr>
    </w:lvl>
    <w:lvl w:ilvl="8" w:tplc="E7DED186" w:tentative="1">
      <w:start w:val="1"/>
      <w:numFmt w:val="bullet"/>
      <w:lvlText w:val="•"/>
      <w:lvlJc w:val="left"/>
      <w:pPr>
        <w:tabs>
          <w:tab w:val="num" w:pos="6480"/>
        </w:tabs>
        <w:ind w:left="6480" w:hanging="360"/>
      </w:pPr>
      <w:rPr>
        <w:rFonts w:ascii="Arial" w:hAnsi="Arial" w:hint="default"/>
      </w:rPr>
    </w:lvl>
  </w:abstractNum>
  <w:abstractNum w:abstractNumId="129">
    <w:nsid w:val="6E5A525E"/>
    <w:multiLevelType w:val="hybridMultilevel"/>
    <w:tmpl w:val="27D09A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nsid w:val="6EC9688A"/>
    <w:multiLevelType w:val="hybridMultilevel"/>
    <w:tmpl w:val="79064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nsid w:val="6EEC28BE"/>
    <w:multiLevelType w:val="hybridMultilevel"/>
    <w:tmpl w:val="61AC7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2">
    <w:nsid w:val="6EF916AA"/>
    <w:multiLevelType w:val="hybridMultilevel"/>
    <w:tmpl w:val="9672325A"/>
    <w:lvl w:ilvl="0" w:tplc="357884E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nsid w:val="70F4132A"/>
    <w:multiLevelType w:val="hybridMultilevel"/>
    <w:tmpl w:val="D61A1F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4">
    <w:nsid w:val="717B550F"/>
    <w:multiLevelType w:val="hybridMultilevel"/>
    <w:tmpl w:val="601457BA"/>
    <w:lvl w:ilvl="0" w:tplc="4EE28996">
      <w:start w:val="1"/>
      <w:numFmt w:val="lowerRoman"/>
      <w:lvlText w:val="(%1)"/>
      <w:lvlJc w:val="left"/>
      <w:pPr>
        <w:ind w:left="1080" w:hanging="720"/>
      </w:pPr>
      <w:rPr>
        <w:rFonts w:hint="default"/>
      </w:rPr>
    </w:lvl>
    <w:lvl w:ilvl="1" w:tplc="D0DAC0AC">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5">
    <w:nsid w:val="71E2442D"/>
    <w:multiLevelType w:val="multilevel"/>
    <w:tmpl w:val="6FDEFB72"/>
    <w:lvl w:ilvl="0">
      <w:start w:val="16"/>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74301807"/>
    <w:multiLevelType w:val="multilevel"/>
    <w:tmpl w:val="09CC23C8"/>
    <w:lvl w:ilvl="0">
      <w:start w:val="11"/>
      <w:numFmt w:val="decimal"/>
      <w:lvlText w:val="%1."/>
      <w:lvlJc w:val="left"/>
      <w:pPr>
        <w:ind w:left="720" w:hanging="360"/>
      </w:pPr>
      <w:rPr>
        <w:rFonts w:hint="default"/>
        <w:b/>
      </w:rPr>
    </w:lvl>
    <w:lvl w:ilvl="1">
      <w:start w:val="2"/>
      <w:numFmt w:val="decimal"/>
      <w:isLgl/>
      <w:lvlText w:val="%1.%2"/>
      <w:lvlJc w:val="left"/>
      <w:pPr>
        <w:ind w:left="3823"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747D3D9E"/>
    <w:multiLevelType w:val="hybridMultilevel"/>
    <w:tmpl w:val="323EF89E"/>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8">
    <w:nsid w:val="74AC36E9"/>
    <w:multiLevelType w:val="multilevel"/>
    <w:tmpl w:val="8BE2DF44"/>
    <w:lvl w:ilvl="0">
      <w:start w:val="1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75563737"/>
    <w:multiLevelType w:val="hybridMultilevel"/>
    <w:tmpl w:val="F948D9E4"/>
    <w:lvl w:ilvl="0" w:tplc="1C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0">
    <w:nsid w:val="76881EE5"/>
    <w:multiLevelType w:val="hybridMultilevel"/>
    <w:tmpl w:val="FC5C0434"/>
    <w:lvl w:ilvl="0" w:tplc="08090001">
      <w:start w:val="1"/>
      <w:numFmt w:val="bullet"/>
      <w:lvlText w:val=""/>
      <w:lvlJc w:val="left"/>
      <w:pPr>
        <w:tabs>
          <w:tab w:val="num" w:pos="780"/>
        </w:tabs>
        <w:ind w:left="7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nsid w:val="76EA439F"/>
    <w:multiLevelType w:val="hybridMultilevel"/>
    <w:tmpl w:val="F4F60C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2">
    <w:nsid w:val="779270AF"/>
    <w:multiLevelType w:val="hybridMultilevel"/>
    <w:tmpl w:val="689A39D2"/>
    <w:lvl w:ilvl="0" w:tplc="ABEC213A">
      <w:start w:val="1"/>
      <w:numFmt w:val="bullet"/>
      <w:lvlText w:val="•"/>
      <w:lvlJc w:val="left"/>
      <w:pPr>
        <w:tabs>
          <w:tab w:val="num" w:pos="720"/>
        </w:tabs>
        <w:ind w:left="720" w:hanging="360"/>
      </w:pPr>
      <w:rPr>
        <w:rFonts w:ascii="Arial" w:hAnsi="Arial" w:hint="default"/>
      </w:rPr>
    </w:lvl>
    <w:lvl w:ilvl="1" w:tplc="39A26204" w:tentative="1">
      <w:start w:val="1"/>
      <w:numFmt w:val="bullet"/>
      <w:lvlText w:val="•"/>
      <w:lvlJc w:val="left"/>
      <w:pPr>
        <w:tabs>
          <w:tab w:val="num" w:pos="1440"/>
        </w:tabs>
        <w:ind w:left="1440" w:hanging="360"/>
      </w:pPr>
      <w:rPr>
        <w:rFonts w:ascii="Arial" w:hAnsi="Arial" w:hint="default"/>
      </w:rPr>
    </w:lvl>
    <w:lvl w:ilvl="2" w:tplc="A29E0AAC" w:tentative="1">
      <w:start w:val="1"/>
      <w:numFmt w:val="bullet"/>
      <w:lvlText w:val="•"/>
      <w:lvlJc w:val="left"/>
      <w:pPr>
        <w:tabs>
          <w:tab w:val="num" w:pos="2160"/>
        </w:tabs>
        <w:ind w:left="2160" w:hanging="360"/>
      </w:pPr>
      <w:rPr>
        <w:rFonts w:ascii="Arial" w:hAnsi="Arial" w:hint="default"/>
      </w:rPr>
    </w:lvl>
    <w:lvl w:ilvl="3" w:tplc="DE68E86E" w:tentative="1">
      <w:start w:val="1"/>
      <w:numFmt w:val="bullet"/>
      <w:lvlText w:val="•"/>
      <w:lvlJc w:val="left"/>
      <w:pPr>
        <w:tabs>
          <w:tab w:val="num" w:pos="2880"/>
        </w:tabs>
        <w:ind w:left="2880" w:hanging="360"/>
      </w:pPr>
      <w:rPr>
        <w:rFonts w:ascii="Arial" w:hAnsi="Arial" w:hint="default"/>
      </w:rPr>
    </w:lvl>
    <w:lvl w:ilvl="4" w:tplc="79D0A254" w:tentative="1">
      <w:start w:val="1"/>
      <w:numFmt w:val="bullet"/>
      <w:lvlText w:val="•"/>
      <w:lvlJc w:val="left"/>
      <w:pPr>
        <w:tabs>
          <w:tab w:val="num" w:pos="3600"/>
        </w:tabs>
        <w:ind w:left="3600" w:hanging="360"/>
      </w:pPr>
      <w:rPr>
        <w:rFonts w:ascii="Arial" w:hAnsi="Arial" w:hint="default"/>
      </w:rPr>
    </w:lvl>
    <w:lvl w:ilvl="5" w:tplc="14C05C4A" w:tentative="1">
      <w:start w:val="1"/>
      <w:numFmt w:val="bullet"/>
      <w:lvlText w:val="•"/>
      <w:lvlJc w:val="left"/>
      <w:pPr>
        <w:tabs>
          <w:tab w:val="num" w:pos="4320"/>
        </w:tabs>
        <w:ind w:left="4320" w:hanging="360"/>
      </w:pPr>
      <w:rPr>
        <w:rFonts w:ascii="Arial" w:hAnsi="Arial" w:hint="default"/>
      </w:rPr>
    </w:lvl>
    <w:lvl w:ilvl="6" w:tplc="F1EA1DB2" w:tentative="1">
      <w:start w:val="1"/>
      <w:numFmt w:val="bullet"/>
      <w:lvlText w:val="•"/>
      <w:lvlJc w:val="left"/>
      <w:pPr>
        <w:tabs>
          <w:tab w:val="num" w:pos="5040"/>
        </w:tabs>
        <w:ind w:left="5040" w:hanging="360"/>
      </w:pPr>
      <w:rPr>
        <w:rFonts w:ascii="Arial" w:hAnsi="Arial" w:hint="default"/>
      </w:rPr>
    </w:lvl>
    <w:lvl w:ilvl="7" w:tplc="927AB5DE" w:tentative="1">
      <w:start w:val="1"/>
      <w:numFmt w:val="bullet"/>
      <w:lvlText w:val="•"/>
      <w:lvlJc w:val="left"/>
      <w:pPr>
        <w:tabs>
          <w:tab w:val="num" w:pos="5760"/>
        </w:tabs>
        <w:ind w:left="5760" w:hanging="360"/>
      </w:pPr>
      <w:rPr>
        <w:rFonts w:ascii="Arial" w:hAnsi="Arial" w:hint="default"/>
      </w:rPr>
    </w:lvl>
    <w:lvl w:ilvl="8" w:tplc="77DE173C" w:tentative="1">
      <w:start w:val="1"/>
      <w:numFmt w:val="bullet"/>
      <w:lvlText w:val="•"/>
      <w:lvlJc w:val="left"/>
      <w:pPr>
        <w:tabs>
          <w:tab w:val="num" w:pos="6480"/>
        </w:tabs>
        <w:ind w:left="6480" w:hanging="360"/>
      </w:pPr>
      <w:rPr>
        <w:rFonts w:ascii="Arial" w:hAnsi="Arial" w:hint="default"/>
      </w:rPr>
    </w:lvl>
  </w:abstractNum>
  <w:abstractNum w:abstractNumId="143">
    <w:nsid w:val="77985C03"/>
    <w:multiLevelType w:val="hybridMultilevel"/>
    <w:tmpl w:val="3B20A7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4">
    <w:nsid w:val="78B4768E"/>
    <w:multiLevelType w:val="hybridMultilevel"/>
    <w:tmpl w:val="1436C1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nsid w:val="78D72841"/>
    <w:multiLevelType w:val="multilevel"/>
    <w:tmpl w:val="22882220"/>
    <w:lvl w:ilvl="0">
      <w:start w:val="16"/>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7">
    <w:nsid w:val="79BA2480"/>
    <w:multiLevelType w:val="hybridMultilevel"/>
    <w:tmpl w:val="1CCE53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8">
    <w:nsid w:val="7A2117A9"/>
    <w:multiLevelType w:val="hybridMultilevel"/>
    <w:tmpl w:val="A34AD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9">
    <w:nsid w:val="7B1112A8"/>
    <w:multiLevelType w:val="hybridMultilevel"/>
    <w:tmpl w:val="7EFAA718"/>
    <w:lvl w:ilvl="0" w:tplc="025615A8">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0">
    <w:nsid w:val="7B8447F0"/>
    <w:multiLevelType w:val="hybridMultilevel"/>
    <w:tmpl w:val="FCB44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1">
    <w:nsid w:val="7C3C6BF2"/>
    <w:multiLevelType w:val="hybridMultilevel"/>
    <w:tmpl w:val="F0269718"/>
    <w:lvl w:ilvl="0" w:tplc="4EE28996">
      <w:start w:val="1"/>
      <w:numFmt w:val="lowerRoman"/>
      <w:lvlText w:val="(%1)"/>
      <w:lvlJc w:val="left"/>
      <w:pPr>
        <w:ind w:left="1080" w:hanging="720"/>
      </w:pPr>
      <w:rPr>
        <w:rFonts w:hint="default"/>
      </w:rPr>
    </w:lvl>
    <w:lvl w:ilvl="1" w:tplc="1C090017">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2">
    <w:nsid w:val="7C767DC7"/>
    <w:multiLevelType w:val="hybridMultilevel"/>
    <w:tmpl w:val="44CCC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3">
    <w:nsid w:val="7EDE6B62"/>
    <w:multiLevelType w:val="hybridMultilevel"/>
    <w:tmpl w:val="D98C4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3"/>
  </w:num>
  <w:num w:numId="2">
    <w:abstractNumId w:val="58"/>
  </w:num>
  <w:num w:numId="3">
    <w:abstractNumId w:val="76"/>
  </w:num>
  <w:num w:numId="4">
    <w:abstractNumId w:val="13"/>
  </w:num>
  <w:num w:numId="5">
    <w:abstractNumId w:val="5"/>
  </w:num>
  <w:num w:numId="6">
    <w:abstractNumId w:val="134"/>
  </w:num>
  <w:num w:numId="7">
    <w:abstractNumId w:val="50"/>
  </w:num>
  <w:num w:numId="8">
    <w:abstractNumId w:val="79"/>
  </w:num>
  <w:num w:numId="9">
    <w:abstractNumId w:val="19"/>
  </w:num>
  <w:num w:numId="10">
    <w:abstractNumId w:val="23"/>
  </w:num>
  <w:num w:numId="11">
    <w:abstractNumId w:val="34"/>
  </w:num>
  <w:num w:numId="12">
    <w:abstractNumId w:val="136"/>
  </w:num>
  <w:num w:numId="13">
    <w:abstractNumId w:val="146"/>
  </w:num>
  <w:num w:numId="14">
    <w:abstractNumId w:val="41"/>
  </w:num>
  <w:num w:numId="15">
    <w:abstractNumId w:val="100"/>
  </w:num>
  <w:num w:numId="16">
    <w:abstractNumId w:val="17"/>
  </w:num>
  <w:num w:numId="17">
    <w:abstractNumId w:val="0"/>
  </w:num>
  <w:num w:numId="18">
    <w:abstractNumId w:val="65"/>
  </w:num>
  <w:num w:numId="19">
    <w:abstractNumId w:val="96"/>
  </w:num>
  <w:num w:numId="20">
    <w:abstractNumId w:val="2"/>
  </w:num>
  <w:num w:numId="21">
    <w:abstractNumId w:val="75"/>
  </w:num>
  <w:num w:numId="22">
    <w:abstractNumId w:val="1"/>
  </w:num>
  <w:num w:numId="23">
    <w:abstractNumId w:val="85"/>
  </w:num>
  <w:num w:numId="24">
    <w:abstractNumId w:val="68"/>
  </w:num>
  <w:num w:numId="25">
    <w:abstractNumId w:val="129"/>
  </w:num>
  <w:num w:numId="26">
    <w:abstractNumId w:val="81"/>
  </w:num>
  <w:num w:numId="27">
    <w:abstractNumId w:val="53"/>
  </w:num>
  <w:num w:numId="28">
    <w:abstractNumId w:val="64"/>
  </w:num>
  <w:num w:numId="29">
    <w:abstractNumId w:val="59"/>
  </w:num>
  <w:num w:numId="30">
    <w:abstractNumId w:val="44"/>
  </w:num>
  <w:num w:numId="31">
    <w:abstractNumId w:val="32"/>
  </w:num>
  <w:num w:numId="32">
    <w:abstractNumId w:val="87"/>
  </w:num>
  <w:num w:numId="33">
    <w:abstractNumId w:val="69"/>
  </w:num>
  <w:num w:numId="34">
    <w:abstractNumId w:val="102"/>
  </w:num>
  <w:num w:numId="35">
    <w:abstractNumId w:val="15"/>
  </w:num>
  <w:num w:numId="36">
    <w:abstractNumId w:val="142"/>
  </w:num>
  <w:num w:numId="37">
    <w:abstractNumId w:val="14"/>
  </w:num>
  <w:num w:numId="38">
    <w:abstractNumId w:val="106"/>
  </w:num>
  <w:num w:numId="39">
    <w:abstractNumId w:val="128"/>
  </w:num>
  <w:num w:numId="40">
    <w:abstractNumId w:val="139"/>
  </w:num>
  <w:num w:numId="41">
    <w:abstractNumId w:val="111"/>
  </w:num>
  <w:num w:numId="42">
    <w:abstractNumId w:val="4"/>
  </w:num>
  <w:num w:numId="43">
    <w:abstractNumId w:val="7"/>
  </w:num>
  <w:num w:numId="44">
    <w:abstractNumId w:val="121"/>
  </w:num>
  <w:num w:numId="45">
    <w:abstractNumId w:val="91"/>
  </w:num>
  <w:num w:numId="46">
    <w:abstractNumId w:val="24"/>
  </w:num>
  <w:num w:numId="47">
    <w:abstractNumId w:val="133"/>
  </w:num>
  <w:num w:numId="48">
    <w:abstractNumId w:val="74"/>
  </w:num>
  <w:num w:numId="49">
    <w:abstractNumId w:val="57"/>
  </w:num>
  <w:num w:numId="50">
    <w:abstractNumId w:val="72"/>
  </w:num>
  <w:num w:numId="51">
    <w:abstractNumId w:val="56"/>
  </w:num>
  <w:num w:numId="52">
    <w:abstractNumId w:val="116"/>
  </w:num>
  <w:num w:numId="53">
    <w:abstractNumId w:val="131"/>
  </w:num>
  <w:num w:numId="54">
    <w:abstractNumId w:val="36"/>
  </w:num>
  <w:num w:numId="55">
    <w:abstractNumId w:val="60"/>
  </w:num>
  <w:num w:numId="56">
    <w:abstractNumId w:val="127"/>
  </w:num>
  <w:num w:numId="57">
    <w:abstractNumId w:val="103"/>
  </w:num>
  <w:num w:numId="58">
    <w:abstractNumId w:val="63"/>
  </w:num>
  <w:num w:numId="59">
    <w:abstractNumId w:val="86"/>
  </w:num>
  <w:num w:numId="60">
    <w:abstractNumId w:val="37"/>
  </w:num>
  <w:num w:numId="61">
    <w:abstractNumId w:val="123"/>
  </w:num>
  <w:num w:numId="62">
    <w:abstractNumId w:val="61"/>
  </w:num>
  <w:num w:numId="63">
    <w:abstractNumId w:val="45"/>
  </w:num>
  <w:num w:numId="64">
    <w:abstractNumId w:val="80"/>
  </w:num>
  <w:num w:numId="65">
    <w:abstractNumId w:val="132"/>
  </w:num>
  <w:num w:numId="66">
    <w:abstractNumId w:val="107"/>
  </w:num>
  <w:num w:numId="67">
    <w:abstractNumId w:val="149"/>
  </w:num>
  <w:num w:numId="68">
    <w:abstractNumId w:val="137"/>
  </w:num>
  <w:num w:numId="69">
    <w:abstractNumId w:val="33"/>
  </w:num>
  <w:num w:numId="70">
    <w:abstractNumId w:val="66"/>
  </w:num>
  <w:num w:numId="71">
    <w:abstractNumId w:val="130"/>
  </w:num>
  <w:num w:numId="72">
    <w:abstractNumId w:val="93"/>
  </w:num>
  <w:num w:numId="73">
    <w:abstractNumId w:val="73"/>
  </w:num>
  <w:num w:numId="74">
    <w:abstractNumId w:val="43"/>
  </w:num>
  <w:num w:numId="75">
    <w:abstractNumId w:val="54"/>
  </w:num>
  <w:num w:numId="76">
    <w:abstractNumId w:val="89"/>
  </w:num>
  <w:num w:numId="77">
    <w:abstractNumId w:val="120"/>
  </w:num>
  <w:num w:numId="78">
    <w:abstractNumId w:val="55"/>
  </w:num>
  <w:num w:numId="79">
    <w:abstractNumId w:val="108"/>
  </w:num>
  <w:num w:numId="80">
    <w:abstractNumId w:val="105"/>
  </w:num>
  <w:num w:numId="81">
    <w:abstractNumId w:val="71"/>
  </w:num>
  <w:num w:numId="82">
    <w:abstractNumId w:val="35"/>
  </w:num>
  <w:num w:numId="83">
    <w:abstractNumId w:val="110"/>
  </w:num>
  <w:num w:numId="84">
    <w:abstractNumId w:val="46"/>
  </w:num>
  <w:num w:numId="85">
    <w:abstractNumId w:val="118"/>
  </w:num>
  <w:num w:numId="86">
    <w:abstractNumId w:val="115"/>
  </w:num>
  <w:num w:numId="87">
    <w:abstractNumId w:val="95"/>
  </w:num>
  <w:num w:numId="88">
    <w:abstractNumId w:val="94"/>
  </w:num>
  <w:num w:numId="89">
    <w:abstractNumId w:val="40"/>
  </w:num>
  <w:num w:numId="90">
    <w:abstractNumId w:val="10"/>
  </w:num>
  <w:num w:numId="91">
    <w:abstractNumId w:val="104"/>
  </w:num>
  <w:num w:numId="92">
    <w:abstractNumId w:val="77"/>
  </w:num>
  <w:num w:numId="93">
    <w:abstractNumId w:val="119"/>
  </w:num>
  <w:num w:numId="94">
    <w:abstractNumId w:val="112"/>
  </w:num>
  <w:num w:numId="95">
    <w:abstractNumId w:val="125"/>
  </w:num>
  <w:num w:numId="96">
    <w:abstractNumId w:val="70"/>
  </w:num>
  <w:num w:numId="97">
    <w:abstractNumId w:val="147"/>
  </w:num>
  <w:num w:numId="98">
    <w:abstractNumId w:val="82"/>
  </w:num>
  <w:num w:numId="99">
    <w:abstractNumId w:val="49"/>
  </w:num>
  <w:num w:numId="100">
    <w:abstractNumId w:val="12"/>
  </w:num>
  <w:num w:numId="101">
    <w:abstractNumId w:val="42"/>
  </w:num>
  <w:num w:numId="102">
    <w:abstractNumId w:val="29"/>
  </w:num>
  <w:num w:numId="103">
    <w:abstractNumId w:val="3"/>
  </w:num>
  <w:num w:numId="104">
    <w:abstractNumId w:val="124"/>
  </w:num>
  <w:num w:numId="105">
    <w:abstractNumId w:val="138"/>
  </w:num>
  <w:num w:numId="106">
    <w:abstractNumId w:val="126"/>
  </w:num>
  <w:num w:numId="107">
    <w:abstractNumId w:val="26"/>
  </w:num>
  <w:num w:numId="108">
    <w:abstractNumId w:val="92"/>
  </w:num>
  <w:num w:numId="109">
    <w:abstractNumId w:val="84"/>
  </w:num>
  <w:num w:numId="110">
    <w:abstractNumId w:val="141"/>
  </w:num>
  <w:num w:numId="111">
    <w:abstractNumId w:val="47"/>
  </w:num>
  <w:num w:numId="112">
    <w:abstractNumId w:val="39"/>
  </w:num>
  <w:num w:numId="113">
    <w:abstractNumId w:val="88"/>
  </w:num>
  <w:num w:numId="114">
    <w:abstractNumId w:val="78"/>
  </w:num>
  <w:num w:numId="115">
    <w:abstractNumId w:val="8"/>
  </w:num>
  <w:num w:numId="116">
    <w:abstractNumId w:val="38"/>
  </w:num>
  <w:num w:numId="117">
    <w:abstractNumId w:val="143"/>
  </w:num>
  <w:num w:numId="118">
    <w:abstractNumId w:val="51"/>
  </w:num>
  <w:num w:numId="119">
    <w:abstractNumId w:val="122"/>
  </w:num>
  <w:num w:numId="120">
    <w:abstractNumId w:val="101"/>
  </w:num>
  <w:num w:numId="121">
    <w:abstractNumId w:val="151"/>
  </w:num>
  <w:num w:numId="122">
    <w:abstractNumId w:val="98"/>
  </w:num>
  <w:num w:numId="123">
    <w:abstractNumId w:val="135"/>
  </w:num>
  <w:num w:numId="124">
    <w:abstractNumId w:val="109"/>
  </w:num>
  <w:num w:numId="125">
    <w:abstractNumId w:val="114"/>
  </w:num>
  <w:num w:numId="126">
    <w:abstractNumId w:val="145"/>
  </w:num>
  <w:num w:numId="127">
    <w:abstractNumId w:val="144"/>
  </w:num>
  <w:num w:numId="128">
    <w:abstractNumId w:val="31"/>
  </w:num>
  <w:num w:numId="129">
    <w:abstractNumId w:val="153"/>
  </w:num>
  <w:num w:numId="130">
    <w:abstractNumId w:val="140"/>
  </w:num>
  <w:num w:numId="131">
    <w:abstractNumId w:val="152"/>
  </w:num>
  <w:num w:numId="132">
    <w:abstractNumId w:val="148"/>
  </w:num>
  <w:num w:numId="133">
    <w:abstractNumId w:val="150"/>
  </w:num>
  <w:num w:numId="134">
    <w:abstractNumId w:val="67"/>
  </w:num>
  <w:num w:numId="135">
    <w:abstractNumId w:val="52"/>
  </w:num>
  <w:num w:numId="136">
    <w:abstractNumId w:val="27"/>
  </w:num>
  <w:num w:numId="137">
    <w:abstractNumId w:val="30"/>
  </w:num>
  <w:num w:numId="138">
    <w:abstractNumId w:val="18"/>
  </w:num>
  <w:num w:numId="139">
    <w:abstractNumId w:val="16"/>
  </w:num>
  <w:num w:numId="140">
    <w:abstractNumId w:val="97"/>
  </w:num>
  <w:num w:numId="141">
    <w:abstractNumId w:val="99"/>
  </w:num>
  <w:num w:numId="142">
    <w:abstractNumId w:val="11"/>
  </w:num>
  <w:num w:numId="143">
    <w:abstractNumId w:val="6"/>
  </w:num>
  <w:num w:numId="144">
    <w:abstractNumId w:val="90"/>
  </w:num>
  <w:num w:numId="145">
    <w:abstractNumId w:val="62"/>
  </w:num>
  <w:num w:numId="146">
    <w:abstractNumId w:val="117"/>
  </w:num>
  <w:num w:numId="147">
    <w:abstractNumId w:val="113"/>
  </w:num>
  <w:num w:numId="148">
    <w:abstractNumId w:val="9"/>
  </w:num>
  <w:num w:numId="149">
    <w:abstractNumId w:val="48"/>
  </w:num>
  <w:num w:numId="150">
    <w:abstractNumId w:val="20"/>
  </w:num>
  <w:num w:numId="151">
    <w:abstractNumId w:val="22"/>
  </w:num>
  <w:num w:numId="152">
    <w:abstractNumId w:val="21"/>
  </w:num>
  <w:num w:numId="153">
    <w:abstractNumId w:val="28"/>
  </w:num>
  <w:num w:numId="154">
    <w:abstractNumId w:val="2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306A"/>
    <w:rsid w:val="0000499A"/>
    <w:rsid w:val="000052F3"/>
    <w:rsid w:val="00005B7E"/>
    <w:rsid w:val="00007A87"/>
    <w:rsid w:val="00011980"/>
    <w:rsid w:val="00017FCE"/>
    <w:rsid w:val="00020DA8"/>
    <w:rsid w:val="000211EB"/>
    <w:rsid w:val="00021A26"/>
    <w:rsid w:val="00022ED8"/>
    <w:rsid w:val="00023005"/>
    <w:rsid w:val="00023CB5"/>
    <w:rsid w:val="000257E3"/>
    <w:rsid w:val="000302CA"/>
    <w:rsid w:val="00030A6E"/>
    <w:rsid w:val="00031BB4"/>
    <w:rsid w:val="00033DC7"/>
    <w:rsid w:val="00034CED"/>
    <w:rsid w:val="00035406"/>
    <w:rsid w:val="00035D9F"/>
    <w:rsid w:val="00037235"/>
    <w:rsid w:val="00037430"/>
    <w:rsid w:val="0004014A"/>
    <w:rsid w:val="00040F30"/>
    <w:rsid w:val="000430E7"/>
    <w:rsid w:val="00044928"/>
    <w:rsid w:val="00045308"/>
    <w:rsid w:val="0004782E"/>
    <w:rsid w:val="00047D89"/>
    <w:rsid w:val="00051D90"/>
    <w:rsid w:val="00052364"/>
    <w:rsid w:val="000529A8"/>
    <w:rsid w:val="000565D5"/>
    <w:rsid w:val="00056AAA"/>
    <w:rsid w:val="00057510"/>
    <w:rsid w:val="000575EC"/>
    <w:rsid w:val="00057CC1"/>
    <w:rsid w:val="00061C47"/>
    <w:rsid w:val="00062938"/>
    <w:rsid w:val="00062B88"/>
    <w:rsid w:val="0006414D"/>
    <w:rsid w:val="00066A6B"/>
    <w:rsid w:val="0006717C"/>
    <w:rsid w:val="00070681"/>
    <w:rsid w:val="000707AD"/>
    <w:rsid w:val="000741FC"/>
    <w:rsid w:val="00074B27"/>
    <w:rsid w:val="0007518D"/>
    <w:rsid w:val="000834DE"/>
    <w:rsid w:val="00084199"/>
    <w:rsid w:val="00086A3B"/>
    <w:rsid w:val="00087173"/>
    <w:rsid w:val="00093AC5"/>
    <w:rsid w:val="000943B4"/>
    <w:rsid w:val="00094E6D"/>
    <w:rsid w:val="0009770B"/>
    <w:rsid w:val="00097EF3"/>
    <w:rsid w:val="000A0321"/>
    <w:rsid w:val="000A0F8A"/>
    <w:rsid w:val="000A1DFA"/>
    <w:rsid w:val="000A3604"/>
    <w:rsid w:val="000A3EC8"/>
    <w:rsid w:val="000B0646"/>
    <w:rsid w:val="000B123E"/>
    <w:rsid w:val="000B21F2"/>
    <w:rsid w:val="000B38EA"/>
    <w:rsid w:val="000B638A"/>
    <w:rsid w:val="000B73C1"/>
    <w:rsid w:val="000B7F3A"/>
    <w:rsid w:val="000C0CD7"/>
    <w:rsid w:val="000C118A"/>
    <w:rsid w:val="000C1FB8"/>
    <w:rsid w:val="000C2EDC"/>
    <w:rsid w:val="000C44C4"/>
    <w:rsid w:val="000C4600"/>
    <w:rsid w:val="000C4987"/>
    <w:rsid w:val="000C5176"/>
    <w:rsid w:val="000C6FDF"/>
    <w:rsid w:val="000C7D4B"/>
    <w:rsid w:val="000D0709"/>
    <w:rsid w:val="000D70E2"/>
    <w:rsid w:val="000E1F14"/>
    <w:rsid w:val="000E1F65"/>
    <w:rsid w:val="000E2646"/>
    <w:rsid w:val="000E4C1E"/>
    <w:rsid w:val="000E74E6"/>
    <w:rsid w:val="000E75E4"/>
    <w:rsid w:val="000E78FC"/>
    <w:rsid w:val="001014C3"/>
    <w:rsid w:val="00102A41"/>
    <w:rsid w:val="00103627"/>
    <w:rsid w:val="0010437F"/>
    <w:rsid w:val="00104FF3"/>
    <w:rsid w:val="001141C4"/>
    <w:rsid w:val="001144E8"/>
    <w:rsid w:val="00116E97"/>
    <w:rsid w:val="00117C42"/>
    <w:rsid w:val="00117D8D"/>
    <w:rsid w:val="00120C3C"/>
    <w:rsid w:val="00121332"/>
    <w:rsid w:val="0012140E"/>
    <w:rsid w:val="00121A65"/>
    <w:rsid w:val="001260B1"/>
    <w:rsid w:val="001274A3"/>
    <w:rsid w:val="001319C5"/>
    <w:rsid w:val="00131E53"/>
    <w:rsid w:val="0013239E"/>
    <w:rsid w:val="00133287"/>
    <w:rsid w:val="00133408"/>
    <w:rsid w:val="00137ABC"/>
    <w:rsid w:val="00141BB2"/>
    <w:rsid w:val="00146A1C"/>
    <w:rsid w:val="00147B5E"/>
    <w:rsid w:val="00153911"/>
    <w:rsid w:val="00154ED7"/>
    <w:rsid w:val="001566C8"/>
    <w:rsid w:val="0015752E"/>
    <w:rsid w:val="00160C86"/>
    <w:rsid w:val="00161975"/>
    <w:rsid w:val="001625DD"/>
    <w:rsid w:val="00163377"/>
    <w:rsid w:val="00163C1C"/>
    <w:rsid w:val="001640F0"/>
    <w:rsid w:val="00166BE5"/>
    <w:rsid w:val="00166D40"/>
    <w:rsid w:val="001677C9"/>
    <w:rsid w:val="00167D94"/>
    <w:rsid w:val="00170810"/>
    <w:rsid w:val="00170BD2"/>
    <w:rsid w:val="001719DB"/>
    <w:rsid w:val="00173D0A"/>
    <w:rsid w:val="0017561A"/>
    <w:rsid w:val="00177C62"/>
    <w:rsid w:val="00182680"/>
    <w:rsid w:val="00182B2F"/>
    <w:rsid w:val="001837FC"/>
    <w:rsid w:val="001860DB"/>
    <w:rsid w:val="00190B7B"/>
    <w:rsid w:val="00193A62"/>
    <w:rsid w:val="00196281"/>
    <w:rsid w:val="001967BA"/>
    <w:rsid w:val="001A253E"/>
    <w:rsid w:val="001A2D28"/>
    <w:rsid w:val="001A3346"/>
    <w:rsid w:val="001A411D"/>
    <w:rsid w:val="001A434C"/>
    <w:rsid w:val="001A552B"/>
    <w:rsid w:val="001A5E45"/>
    <w:rsid w:val="001A7909"/>
    <w:rsid w:val="001A7DB4"/>
    <w:rsid w:val="001B0522"/>
    <w:rsid w:val="001B1A33"/>
    <w:rsid w:val="001B4786"/>
    <w:rsid w:val="001B4B60"/>
    <w:rsid w:val="001B6936"/>
    <w:rsid w:val="001B7EAA"/>
    <w:rsid w:val="001C29DF"/>
    <w:rsid w:val="001C310E"/>
    <w:rsid w:val="001C35FC"/>
    <w:rsid w:val="001C37F2"/>
    <w:rsid w:val="001C3AC3"/>
    <w:rsid w:val="001C4457"/>
    <w:rsid w:val="001C638B"/>
    <w:rsid w:val="001D2595"/>
    <w:rsid w:val="001D41C4"/>
    <w:rsid w:val="001D5820"/>
    <w:rsid w:val="001D7378"/>
    <w:rsid w:val="001D7A2C"/>
    <w:rsid w:val="001D7BD0"/>
    <w:rsid w:val="001D7BF3"/>
    <w:rsid w:val="001E017F"/>
    <w:rsid w:val="001E0EE4"/>
    <w:rsid w:val="001E1838"/>
    <w:rsid w:val="001E2026"/>
    <w:rsid w:val="001E5C04"/>
    <w:rsid w:val="001E712D"/>
    <w:rsid w:val="001E7848"/>
    <w:rsid w:val="001E7C13"/>
    <w:rsid w:val="001F1284"/>
    <w:rsid w:val="001F2450"/>
    <w:rsid w:val="001F2D9D"/>
    <w:rsid w:val="001F2E01"/>
    <w:rsid w:val="001F481F"/>
    <w:rsid w:val="001F4CB9"/>
    <w:rsid w:val="001F4D4B"/>
    <w:rsid w:val="001F7067"/>
    <w:rsid w:val="001F7262"/>
    <w:rsid w:val="00200931"/>
    <w:rsid w:val="00203487"/>
    <w:rsid w:val="002037AD"/>
    <w:rsid w:val="00203FF9"/>
    <w:rsid w:val="00207446"/>
    <w:rsid w:val="0021262C"/>
    <w:rsid w:val="0021355A"/>
    <w:rsid w:val="00216A76"/>
    <w:rsid w:val="00220CC3"/>
    <w:rsid w:val="0022284A"/>
    <w:rsid w:val="0022373B"/>
    <w:rsid w:val="00223786"/>
    <w:rsid w:val="00224F32"/>
    <w:rsid w:val="00225416"/>
    <w:rsid w:val="00225F27"/>
    <w:rsid w:val="00227674"/>
    <w:rsid w:val="002306FF"/>
    <w:rsid w:val="002308FA"/>
    <w:rsid w:val="002320EE"/>
    <w:rsid w:val="00232AE1"/>
    <w:rsid w:val="00233EA4"/>
    <w:rsid w:val="00237506"/>
    <w:rsid w:val="0023751B"/>
    <w:rsid w:val="00240463"/>
    <w:rsid w:val="00240729"/>
    <w:rsid w:val="00240847"/>
    <w:rsid w:val="002425CF"/>
    <w:rsid w:val="00242FE2"/>
    <w:rsid w:val="00243661"/>
    <w:rsid w:val="002465E5"/>
    <w:rsid w:val="00251742"/>
    <w:rsid w:val="002527A9"/>
    <w:rsid w:val="00255159"/>
    <w:rsid w:val="002561CB"/>
    <w:rsid w:val="002568A2"/>
    <w:rsid w:val="00260A24"/>
    <w:rsid w:val="002623E4"/>
    <w:rsid w:val="00263D0F"/>
    <w:rsid w:val="00265B75"/>
    <w:rsid w:val="00265C31"/>
    <w:rsid w:val="00266066"/>
    <w:rsid w:val="0026652F"/>
    <w:rsid w:val="00266EE4"/>
    <w:rsid w:val="00267382"/>
    <w:rsid w:val="00267DA6"/>
    <w:rsid w:val="00267DFD"/>
    <w:rsid w:val="00267EF5"/>
    <w:rsid w:val="002702F2"/>
    <w:rsid w:val="0027172A"/>
    <w:rsid w:val="00271F7C"/>
    <w:rsid w:val="00275BE1"/>
    <w:rsid w:val="00277E7B"/>
    <w:rsid w:val="002802C8"/>
    <w:rsid w:val="00280703"/>
    <w:rsid w:val="002820EE"/>
    <w:rsid w:val="0028251D"/>
    <w:rsid w:val="00282DFB"/>
    <w:rsid w:val="0028368D"/>
    <w:rsid w:val="002837A8"/>
    <w:rsid w:val="002846D6"/>
    <w:rsid w:val="00284E50"/>
    <w:rsid w:val="00286401"/>
    <w:rsid w:val="002864AD"/>
    <w:rsid w:val="00286789"/>
    <w:rsid w:val="0028744F"/>
    <w:rsid w:val="00291AEC"/>
    <w:rsid w:val="00292185"/>
    <w:rsid w:val="00294469"/>
    <w:rsid w:val="00296E2F"/>
    <w:rsid w:val="00297860"/>
    <w:rsid w:val="00297AD4"/>
    <w:rsid w:val="002A0D95"/>
    <w:rsid w:val="002A1D18"/>
    <w:rsid w:val="002A2223"/>
    <w:rsid w:val="002A6C87"/>
    <w:rsid w:val="002B0DCF"/>
    <w:rsid w:val="002B1D9E"/>
    <w:rsid w:val="002B202E"/>
    <w:rsid w:val="002B35AD"/>
    <w:rsid w:val="002B3C30"/>
    <w:rsid w:val="002B4C5C"/>
    <w:rsid w:val="002B62F8"/>
    <w:rsid w:val="002C0E78"/>
    <w:rsid w:val="002C23D8"/>
    <w:rsid w:val="002C2EE0"/>
    <w:rsid w:val="002C4C68"/>
    <w:rsid w:val="002C6533"/>
    <w:rsid w:val="002D0A80"/>
    <w:rsid w:val="002D0EBD"/>
    <w:rsid w:val="002D23F1"/>
    <w:rsid w:val="002D3960"/>
    <w:rsid w:val="002D3F64"/>
    <w:rsid w:val="002D45BA"/>
    <w:rsid w:val="002D4A71"/>
    <w:rsid w:val="002D4EE5"/>
    <w:rsid w:val="002D5BFC"/>
    <w:rsid w:val="002D6174"/>
    <w:rsid w:val="002D6668"/>
    <w:rsid w:val="002D682F"/>
    <w:rsid w:val="002E017C"/>
    <w:rsid w:val="002E0F5F"/>
    <w:rsid w:val="002E127B"/>
    <w:rsid w:val="002E29FF"/>
    <w:rsid w:val="002E2DA9"/>
    <w:rsid w:val="002E3236"/>
    <w:rsid w:val="002E50E5"/>
    <w:rsid w:val="002E68A3"/>
    <w:rsid w:val="002E70FC"/>
    <w:rsid w:val="002E738F"/>
    <w:rsid w:val="002F02E1"/>
    <w:rsid w:val="002F06EA"/>
    <w:rsid w:val="002F1052"/>
    <w:rsid w:val="002F2336"/>
    <w:rsid w:val="002F363A"/>
    <w:rsid w:val="002F3A9E"/>
    <w:rsid w:val="002F44D9"/>
    <w:rsid w:val="002F49F8"/>
    <w:rsid w:val="002F5754"/>
    <w:rsid w:val="002F72AA"/>
    <w:rsid w:val="00300FD3"/>
    <w:rsid w:val="00306DCD"/>
    <w:rsid w:val="00312C8D"/>
    <w:rsid w:val="00312FCC"/>
    <w:rsid w:val="00313833"/>
    <w:rsid w:val="003147A9"/>
    <w:rsid w:val="003205F7"/>
    <w:rsid w:val="00321B70"/>
    <w:rsid w:val="00322044"/>
    <w:rsid w:val="00322D62"/>
    <w:rsid w:val="00323D01"/>
    <w:rsid w:val="00323D40"/>
    <w:rsid w:val="003271CF"/>
    <w:rsid w:val="00330579"/>
    <w:rsid w:val="00330C5D"/>
    <w:rsid w:val="003311D3"/>
    <w:rsid w:val="00331208"/>
    <w:rsid w:val="0033228B"/>
    <w:rsid w:val="00332D4B"/>
    <w:rsid w:val="0033300F"/>
    <w:rsid w:val="00333EB4"/>
    <w:rsid w:val="0033486E"/>
    <w:rsid w:val="003352CF"/>
    <w:rsid w:val="0034270F"/>
    <w:rsid w:val="00342C0C"/>
    <w:rsid w:val="003432C9"/>
    <w:rsid w:val="00343B7E"/>
    <w:rsid w:val="003443C4"/>
    <w:rsid w:val="003445D3"/>
    <w:rsid w:val="00344776"/>
    <w:rsid w:val="00344D39"/>
    <w:rsid w:val="00347C57"/>
    <w:rsid w:val="00347E53"/>
    <w:rsid w:val="00350E72"/>
    <w:rsid w:val="00352FC2"/>
    <w:rsid w:val="00353B22"/>
    <w:rsid w:val="003557C9"/>
    <w:rsid w:val="00355D8B"/>
    <w:rsid w:val="00357178"/>
    <w:rsid w:val="00357FEE"/>
    <w:rsid w:val="0036056A"/>
    <w:rsid w:val="00360D33"/>
    <w:rsid w:val="00360E5A"/>
    <w:rsid w:val="00361018"/>
    <w:rsid w:val="00362AEB"/>
    <w:rsid w:val="00363A5B"/>
    <w:rsid w:val="00365250"/>
    <w:rsid w:val="003653A0"/>
    <w:rsid w:val="00367315"/>
    <w:rsid w:val="00370D27"/>
    <w:rsid w:val="0037127F"/>
    <w:rsid w:val="00371C89"/>
    <w:rsid w:val="0037203B"/>
    <w:rsid w:val="00372DD3"/>
    <w:rsid w:val="003748AD"/>
    <w:rsid w:val="003751E7"/>
    <w:rsid w:val="00380AE8"/>
    <w:rsid w:val="00380F2D"/>
    <w:rsid w:val="00382FDA"/>
    <w:rsid w:val="00384A24"/>
    <w:rsid w:val="00385507"/>
    <w:rsid w:val="00385DDE"/>
    <w:rsid w:val="003869A6"/>
    <w:rsid w:val="00390A49"/>
    <w:rsid w:val="00391D43"/>
    <w:rsid w:val="00393F43"/>
    <w:rsid w:val="0039409B"/>
    <w:rsid w:val="00394824"/>
    <w:rsid w:val="0039599D"/>
    <w:rsid w:val="00395ACC"/>
    <w:rsid w:val="003970DE"/>
    <w:rsid w:val="003977E5"/>
    <w:rsid w:val="003A0983"/>
    <w:rsid w:val="003A23AD"/>
    <w:rsid w:val="003A4E13"/>
    <w:rsid w:val="003B2012"/>
    <w:rsid w:val="003B3571"/>
    <w:rsid w:val="003B3ECD"/>
    <w:rsid w:val="003B5E72"/>
    <w:rsid w:val="003B6E15"/>
    <w:rsid w:val="003C4ED0"/>
    <w:rsid w:val="003C6878"/>
    <w:rsid w:val="003C7486"/>
    <w:rsid w:val="003D003E"/>
    <w:rsid w:val="003D1E04"/>
    <w:rsid w:val="003D31C3"/>
    <w:rsid w:val="003D4C0B"/>
    <w:rsid w:val="003D5F92"/>
    <w:rsid w:val="003D6819"/>
    <w:rsid w:val="003D6B27"/>
    <w:rsid w:val="003D728A"/>
    <w:rsid w:val="003E0C2B"/>
    <w:rsid w:val="003E25D7"/>
    <w:rsid w:val="003E35B1"/>
    <w:rsid w:val="003E3F99"/>
    <w:rsid w:val="003E481D"/>
    <w:rsid w:val="003E55D8"/>
    <w:rsid w:val="003F09A0"/>
    <w:rsid w:val="003F1677"/>
    <w:rsid w:val="003F35B5"/>
    <w:rsid w:val="003F3B4B"/>
    <w:rsid w:val="003F4B9A"/>
    <w:rsid w:val="003F5591"/>
    <w:rsid w:val="003F62DB"/>
    <w:rsid w:val="003F6CEC"/>
    <w:rsid w:val="00403548"/>
    <w:rsid w:val="0040509D"/>
    <w:rsid w:val="0040535C"/>
    <w:rsid w:val="00406BCD"/>
    <w:rsid w:val="0040712E"/>
    <w:rsid w:val="004071C5"/>
    <w:rsid w:val="00410C19"/>
    <w:rsid w:val="004112C7"/>
    <w:rsid w:val="00412E23"/>
    <w:rsid w:val="0041388C"/>
    <w:rsid w:val="00415891"/>
    <w:rsid w:val="00416B50"/>
    <w:rsid w:val="00417128"/>
    <w:rsid w:val="00417A25"/>
    <w:rsid w:val="00420C6C"/>
    <w:rsid w:val="00421110"/>
    <w:rsid w:val="004239AB"/>
    <w:rsid w:val="00425767"/>
    <w:rsid w:val="004279DA"/>
    <w:rsid w:val="0043220C"/>
    <w:rsid w:val="00435AA4"/>
    <w:rsid w:val="00442157"/>
    <w:rsid w:val="00442C39"/>
    <w:rsid w:val="0044321F"/>
    <w:rsid w:val="00443DCD"/>
    <w:rsid w:val="004441AA"/>
    <w:rsid w:val="00444648"/>
    <w:rsid w:val="0044478A"/>
    <w:rsid w:val="00445AB4"/>
    <w:rsid w:val="00446385"/>
    <w:rsid w:val="00447C47"/>
    <w:rsid w:val="0045447C"/>
    <w:rsid w:val="004554D8"/>
    <w:rsid w:val="004570E4"/>
    <w:rsid w:val="00460FE5"/>
    <w:rsid w:val="004622F7"/>
    <w:rsid w:val="00464FB9"/>
    <w:rsid w:val="004650D8"/>
    <w:rsid w:val="00466535"/>
    <w:rsid w:val="00466784"/>
    <w:rsid w:val="00467102"/>
    <w:rsid w:val="004673EC"/>
    <w:rsid w:val="00467D01"/>
    <w:rsid w:val="004702B8"/>
    <w:rsid w:val="00470CF3"/>
    <w:rsid w:val="004715CE"/>
    <w:rsid w:val="00471AE2"/>
    <w:rsid w:val="004765A2"/>
    <w:rsid w:val="00476A14"/>
    <w:rsid w:val="00476FCA"/>
    <w:rsid w:val="00480012"/>
    <w:rsid w:val="00484FE3"/>
    <w:rsid w:val="004852AD"/>
    <w:rsid w:val="00485490"/>
    <w:rsid w:val="00485C39"/>
    <w:rsid w:val="00486731"/>
    <w:rsid w:val="004876D8"/>
    <w:rsid w:val="0049001F"/>
    <w:rsid w:val="00493F8E"/>
    <w:rsid w:val="00497CD6"/>
    <w:rsid w:val="004A25D4"/>
    <w:rsid w:val="004A51D1"/>
    <w:rsid w:val="004A57E3"/>
    <w:rsid w:val="004A7188"/>
    <w:rsid w:val="004B0DF7"/>
    <w:rsid w:val="004B18F6"/>
    <w:rsid w:val="004B251E"/>
    <w:rsid w:val="004B2730"/>
    <w:rsid w:val="004B33E6"/>
    <w:rsid w:val="004B3625"/>
    <w:rsid w:val="004B37B9"/>
    <w:rsid w:val="004B7C90"/>
    <w:rsid w:val="004C1127"/>
    <w:rsid w:val="004C1A56"/>
    <w:rsid w:val="004C272D"/>
    <w:rsid w:val="004D36D7"/>
    <w:rsid w:val="004D45C7"/>
    <w:rsid w:val="004D5054"/>
    <w:rsid w:val="004D5554"/>
    <w:rsid w:val="004E0015"/>
    <w:rsid w:val="004E0DE0"/>
    <w:rsid w:val="004E2649"/>
    <w:rsid w:val="004E4A18"/>
    <w:rsid w:val="004E65BA"/>
    <w:rsid w:val="004E6859"/>
    <w:rsid w:val="004E75D2"/>
    <w:rsid w:val="004E7A11"/>
    <w:rsid w:val="004E7D70"/>
    <w:rsid w:val="004F053C"/>
    <w:rsid w:val="004F0AB0"/>
    <w:rsid w:val="004F2B77"/>
    <w:rsid w:val="004F2BFC"/>
    <w:rsid w:val="004F417F"/>
    <w:rsid w:val="004F4338"/>
    <w:rsid w:val="004F4795"/>
    <w:rsid w:val="004F4BF0"/>
    <w:rsid w:val="004F6C2D"/>
    <w:rsid w:val="00501146"/>
    <w:rsid w:val="005024EA"/>
    <w:rsid w:val="00502CFD"/>
    <w:rsid w:val="00503B7B"/>
    <w:rsid w:val="00503C4E"/>
    <w:rsid w:val="005133FA"/>
    <w:rsid w:val="00517082"/>
    <w:rsid w:val="00522FC8"/>
    <w:rsid w:val="00524598"/>
    <w:rsid w:val="005276E5"/>
    <w:rsid w:val="00530EEE"/>
    <w:rsid w:val="005340B2"/>
    <w:rsid w:val="0053650D"/>
    <w:rsid w:val="00540869"/>
    <w:rsid w:val="00541935"/>
    <w:rsid w:val="00543DFE"/>
    <w:rsid w:val="00546157"/>
    <w:rsid w:val="0054641B"/>
    <w:rsid w:val="005476D2"/>
    <w:rsid w:val="00550057"/>
    <w:rsid w:val="0055098C"/>
    <w:rsid w:val="005527E8"/>
    <w:rsid w:val="00553731"/>
    <w:rsid w:val="00553FCB"/>
    <w:rsid w:val="00556492"/>
    <w:rsid w:val="00556F4E"/>
    <w:rsid w:val="00560A46"/>
    <w:rsid w:val="00561BF2"/>
    <w:rsid w:val="00562429"/>
    <w:rsid w:val="005634FA"/>
    <w:rsid w:val="00566363"/>
    <w:rsid w:val="00566502"/>
    <w:rsid w:val="00566619"/>
    <w:rsid w:val="00566683"/>
    <w:rsid w:val="00566F8C"/>
    <w:rsid w:val="00567607"/>
    <w:rsid w:val="00567CB4"/>
    <w:rsid w:val="005700DE"/>
    <w:rsid w:val="00570D39"/>
    <w:rsid w:val="00571CB1"/>
    <w:rsid w:val="005723DD"/>
    <w:rsid w:val="00574D0C"/>
    <w:rsid w:val="0057631C"/>
    <w:rsid w:val="0057695A"/>
    <w:rsid w:val="00576E0D"/>
    <w:rsid w:val="00580B4D"/>
    <w:rsid w:val="0058465B"/>
    <w:rsid w:val="005854FE"/>
    <w:rsid w:val="00586E13"/>
    <w:rsid w:val="0059375B"/>
    <w:rsid w:val="00594C22"/>
    <w:rsid w:val="00595FCF"/>
    <w:rsid w:val="00596F66"/>
    <w:rsid w:val="005A2096"/>
    <w:rsid w:val="005A2837"/>
    <w:rsid w:val="005A3E37"/>
    <w:rsid w:val="005A6C5A"/>
    <w:rsid w:val="005A6F50"/>
    <w:rsid w:val="005B23D9"/>
    <w:rsid w:val="005B3C68"/>
    <w:rsid w:val="005B4CF4"/>
    <w:rsid w:val="005C080B"/>
    <w:rsid w:val="005C2640"/>
    <w:rsid w:val="005C4591"/>
    <w:rsid w:val="005C467B"/>
    <w:rsid w:val="005C7FC7"/>
    <w:rsid w:val="005D0739"/>
    <w:rsid w:val="005D1E37"/>
    <w:rsid w:val="005D23B1"/>
    <w:rsid w:val="005D356C"/>
    <w:rsid w:val="005D384A"/>
    <w:rsid w:val="005D385E"/>
    <w:rsid w:val="005D5775"/>
    <w:rsid w:val="005E20E4"/>
    <w:rsid w:val="005E217B"/>
    <w:rsid w:val="005E2969"/>
    <w:rsid w:val="005E2D6C"/>
    <w:rsid w:val="005E38F1"/>
    <w:rsid w:val="005E70AC"/>
    <w:rsid w:val="005F32D2"/>
    <w:rsid w:val="005F65D8"/>
    <w:rsid w:val="00602E1A"/>
    <w:rsid w:val="0060367D"/>
    <w:rsid w:val="00605301"/>
    <w:rsid w:val="00606ACE"/>
    <w:rsid w:val="00607B37"/>
    <w:rsid w:val="00610A9E"/>
    <w:rsid w:val="00611C73"/>
    <w:rsid w:val="006122AF"/>
    <w:rsid w:val="00612BD4"/>
    <w:rsid w:val="0061490F"/>
    <w:rsid w:val="0061519D"/>
    <w:rsid w:val="00615301"/>
    <w:rsid w:val="00615934"/>
    <w:rsid w:val="0061711A"/>
    <w:rsid w:val="00620DBD"/>
    <w:rsid w:val="0062317F"/>
    <w:rsid w:val="00625CD2"/>
    <w:rsid w:val="00632ED2"/>
    <w:rsid w:val="00632FAE"/>
    <w:rsid w:val="00635839"/>
    <w:rsid w:val="00636318"/>
    <w:rsid w:val="006371A8"/>
    <w:rsid w:val="006406E5"/>
    <w:rsid w:val="00640D36"/>
    <w:rsid w:val="00641F7E"/>
    <w:rsid w:val="00642BCE"/>
    <w:rsid w:val="00643190"/>
    <w:rsid w:val="00644201"/>
    <w:rsid w:val="00645E6A"/>
    <w:rsid w:val="00646F6F"/>
    <w:rsid w:val="006474DF"/>
    <w:rsid w:val="00647C91"/>
    <w:rsid w:val="006507D0"/>
    <w:rsid w:val="006515AC"/>
    <w:rsid w:val="00651D6E"/>
    <w:rsid w:val="00652737"/>
    <w:rsid w:val="00653138"/>
    <w:rsid w:val="0065354C"/>
    <w:rsid w:val="00654183"/>
    <w:rsid w:val="00657BA3"/>
    <w:rsid w:val="00660342"/>
    <w:rsid w:val="0066041C"/>
    <w:rsid w:val="00660646"/>
    <w:rsid w:val="00663DF1"/>
    <w:rsid w:val="00664B4C"/>
    <w:rsid w:val="006675BE"/>
    <w:rsid w:val="00670A05"/>
    <w:rsid w:val="0067332A"/>
    <w:rsid w:val="00673DBE"/>
    <w:rsid w:val="006759B9"/>
    <w:rsid w:val="00676739"/>
    <w:rsid w:val="0067737B"/>
    <w:rsid w:val="006808E1"/>
    <w:rsid w:val="00680D51"/>
    <w:rsid w:val="00680F1B"/>
    <w:rsid w:val="00686B61"/>
    <w:rsid w:val="006924B0"/>
    <w:rsid w:val="006936BD"/>
    <w:rsid w:val="006952AB"/>
    <w:rsid w:val="006957A6"/>
    <w:rsid w:val="006968FB"/>
    <w:rsid w:val="006971B4"/>
    <w:rsid w:val="00697BDC"/>
    <w:rsid w:val="006A0062"/>
    <w:rsid w:val="006A01D0"/>
    <w:rsid w:val="006A2B99"/>
    <w:rsid w:val="006A498B"/>
    <w:rsid w:val="006A51F7"/>
    <w:rsid w:val="006A7CF6"/>
    <w:rsid w:val="006B1F93"/>
    <w:rsid w:val="006B24F2"/>
    <w:rsid w:val="006B2861"/>
    <w:rsid w:val="006B3350"/>
    <w:rsid w:val="006B3AB9"/>
    <w:rsid w:val="006B6450"/>
    <w:rsid w:val="006B6873"/>
    <w:rsid w:val="006B78E9"/>
    <w:rsid w:val="006B7E9D"/>
    <w:rsid w:val="006C02A6"/>
    <w:rsid w:val="006C1B71"/>
    <w:rsid w:val="006C435D"/>
    <w:rsid w:val="006C5345"/>
    <w:rsid w:val="006D0D7A"/>
    <w:rsid w:val="006D1D31"/>
    <w:rsid w:val="006D309F"/>
    <w:rsid w:val="006D4A96"/>
    <w:rsid w:val="006E0B8D"/>
    <w:rsid w:val="006E0D05"/>
    <w:rsid w:val="006E1805"/>
    <w:rsid w:val="006E1F38"/>
    <w:rsid w:val="006E3709"/>
    <w:rsid w:val="006E4517"/>
    <w:rsid w:val="006E4EC7"/>
    <w:rsid w:val="006F1A6F"/>
    <w:rsid w:val="006F1C4D"/>
    <w:rsid w:val="006F48D3"/>
    <w:rsid w:val="006F65CC"/>
    <w:rsid w:val="006F661F"/>
    <w:rsid w:val="006F68CB"/>
    <w:rsid w:val="006F6D11"/>
    <w:rsid w:val="0070060B"/>
    <w:rsid w:val="0070063C"/>
    <w:rsid w:val="007019A3"/>
    <w:rsid w:val="00704A5A"/>
    <w:rsid w:val="00705878"/>
    <w:rsid w:val="00705EC9"/>
    <w:rsid w:val="007072DF"/>
    <w:rsid w:val="0070733F"/>
    <w:rsid w:val="007111DF"/>
    <w:rsid w:val="00715424"/>
    <w:rsid w:val="00716C09"/>
    <w:rsid w:val="00716CF6"/>
    <w:rsid w:val="00720379"/>
    <w:rsid w:val="007210DA"/>
    <w:rsid w:val="00723EA7"/>
    <w:rsid w:val="00726628"/>
    <w:rsid w:val="00726F3C"/>
    <w:rsid w:val="0072781F"/>
    <w:rsid w:val="00735046"/>
    <w:rsid w:val="007405B1"/>
    <w:rsid w:val="00740A0C"/>
    <w:rsid w:val="00743FD1"/>
    <w:rsid w:val="00750A99"/>
    <w:rsid w:val="00750EED"/>
    <w:rsid w:val="007513D0"/>
    <w:rsid w:val="00752AE4"/>
    <w:rsid w:val="007531EE"/>
    <w:rsid w:val="00753657"/>
    <w:rsid w:val="00756648"/>
    <w:rsid w:val="007566CE"/>
    <w:rsid w:val="00756AC5"/>
    <w:rsid w:val="00756F59"/>
    <w:rsid w:val="00757B88"/>
    <w:rsid w:val="00757D03"/>
    <w:rsid w:val="00761A3A"/>
    <w:rsid w:val="00761FEA"/>
    <w:rsid w:val="00763B27"/>
    <w:rsid w:val="00765B6F"/>
    <w:rsid w:val="0076634B"/>
    <w:rsid w:val="00766FEC"/>
    <w:rsid w:val="007672E9"/>
    <w:rsid w:val="00767C91"/>
    <w:rsid w:val="007706F3"/>
    <w:rsid w:val="00771808"/>
    <w:rsid w:val="00772630"/>
    <w:rsid w:val="00776674"/>
    <w:rsid w:val="00776B0C"/>
    <w:rsid w:val="00777D5B"/>
    <w:rsid w:val="00781CDB"/>
    <w:rsid w:val="00782A5C"/>
    <w:rsid w:val="00783159"/>
    <w:rsid w:val="00784637"/>
    <w:rsid w:val="00784A04"/>
    <w:rsid w:val="00784F96"/>
    <w:rsid w:val="0078717E"/>
    <w:rsid w:val="00787881"/>
    <w:rsid w:val="0079154F"/>
    <w:rsid w:val="00792EE4"/>
    <w:rsid w:val="007959C3"/>
    <w:rsid w:val="00797775"/>
    <w:rsid w:val="007A0A91"/>
    <w:rsid w:val="007A13DC"/>
    <w:rsid w:val="007A16EE"/>
    <w:rsid w:val="007A6BBB"/>
    <w:rsid w:val="007A6D3C"/>
    <w:rsid w:val="007A7653"/>
    <w:rsid w:val="007A787E"/>
    <w:rsid w:val="007B10A5"/>
    <w:rsid w:val="007B2DC8"/>
    <w:rsid w:val="007B40CF"/>
    <w:rsid w:val="007B4213"/>
    <w:rsid w:val="007B68D7"/>
    <w:rsid w:val="007B6CF6"/>
    <w:rsid w:val="007C06AD"/>
    <w:rsid w:val="007C22DA"/>
    <w:rsid w:val="007C2DEC"/>
    <w:rsid w:val="007C2FBD"/>
    <w:rsid w:val="007C35F7"/>
    <w:rsid w:val="007C38F5"/>
    <w:rsid w:val="007C553F"/>
    <w:rsid w:val="007C6539"/>
    <w:rsid w:val="007C7546"/>
    <w:rsid w:val="007D005F"/>
    <w:rsid w:val="007D20FC"/>
    <w:rsid w:val="007D2AB0"/>
    <w:rsid w:val="007D2C81"/>
    <w:rsid w:val="007D382B"/>
    <w:rsid w:val="007D4C5C"/>
    <w:rsid w:val="007D5E72"/>
    <w:rsid w:val="007D67BB"/>
    <w:rsid w:val="007D6A28"/>
    <w:rsid w:val="007D7558"/>
    <w:rsid w:val="007E08FA"/>
    <w:rsid w:val="007E0C35"/>
    <w:rsid w:val="007E120E"/>
    <w:rsid w:val="007E2963"/>
    <w:rsid w:val="007E42AD"/>
    <w:rsid w:val="007E50BC"/>
    <w:rsid w:val="007E6956"/>
    <w:rsid w:val="007F2CD6"/>
    <w:rsid w:val="007F3708"/>
    <w:rsid w:val="007F6500"/>
    <w:rsid w:val="007F6BB3"/>
    <w:rsid w:val="00800817"/>
    <w:rsid w:val="00802C1E"/>
    <w:rsid w:val="00802F69"/>
    <w:rsid w:val="00803367"/>
    <w:rsid w:val="008071B1"/>
    <w:rsid w:val="0080782B"/>
    <w:rsid w:val="00810934"/>
    <w:rsid w:val="00812018"/>
    <w:rsid w:val="00812B66"/>
    <w:rsid w:val="00813442"/>
    <w:rsid w:val="00815E8E"/>
    <w:rsid w:val="00816AA8"/>
    <w:rsid w:val="00816D25"/>
    <w:rsid w:val="008172DA"/>
    <w:rsid w:val="00817BFB"/>
    <w:rsid w:val="00817CD6"/>
    <w:rsid w:val="00820E7D"/>
    <w:rsid w:val="00821152"/>
    <w:rsid w:val="0082238C"/>
    <w:rsid w:val="00822C9A"/>
    <w:rsid w:val="00822F37"/>
    <w:rsid w:val="00823AD7"/>
    <w:rsid w:val="00825ECF"/>
    <w:rsid w:val="00826B57"/>
    <w:rsid w:val="00830725"/>
    <w:rsid w:val="008319AA"/>
    <w:rsid w:val="00834363"/>
    <w:rsid w:val="00834368"/>
    <w:rsid w:val="00835930"/>
    <w:rsid w:val="00842031"/>
    <w:rsid w:val="0084236F"/>
    <w:rsid w:val="008456A2"/>
    <w:rsid w:val="00845A76"/>
    <w:rsid w:val="00846FBB"/>
    <w:rsid w:val="0084779B"/>
    <w:rsid w:val="00851D35"/>
    <w:rsid w:val="00851D82"/>
    <w:rsid w:val="0085276A"/>
    <w:rsid w:val="00852DBB"/>
    <w:rsid w:val="00853939"/>
    <w:rsid w:val="008553FE"/>
    <w:rsid w:val="0085684D"/>
    <w:rsid w:val="00857A57"/>
    <w:rsid w:val="00862EF8"/>
    <w:rsid w:val="00864439"/>
    <w:rsid w:val="00866AFD"/>
    <w:rsid w:val="00870883"/>
    <w:rsid w:val="00870AA9"/>
    <w:rsid w:val="00872BE3"/>
    <w:rsid w:val="00874381"/>
    <w:rsid w:val="008754A6"/>
    <w:rsid w:val="00875D6E"/>
    <w:rsid w:val="00876E3E"/>
    <w:rsid w:val="0087756F"/>
    <w:rsid w:val="0088053B"/>
    <w:rsid w:val="0088463A"/>
    <w:rsid w:val="0088728E"/>
    <w:rsid w:val="00895B66"/>
    <w:rsid w:val="00896ACC"/>
    <w:rsid w:val="00897538"/>
    <w:rsid w:val="008978BA"/>
    <w:rsid w:val="008A738D"/>
    <w:rsid w:val="008B05E5"/>
    <w:rsid w:val="008B0B9D"/>
    <w:rsid w:val="008B1824"/>
    <w:rsid w:val="008B27F5"/>
    <w:rsid w:val="008B323A"/>
    <w:rsid w:val="008B35A4"/>
    <w:rsid w:val="008B3BA1"/>
    <w:rsid w:val="008B77C0"/>
    <w:rsid w:val="008C0C5D"/>
    <w:rsid w:val="008C1164"/>
    <w:rsid w:val="008C4F20"/>
    <w:rsid w:val="008C7A8F"/>
    <w:rsid w:val="008D1254"/>
    <w:rsid w:val="008D1A21"/>
    <w:rsid w:val="008D25F0"/>
    <w:rsid w:val="008D31A4"/>
    <w:rsid w:val="008D3969"/>
    <w:rsid w:val="008D42BE"/>
    <w:rsid w:val="008D4ACE"/>
    <w:rsid w:val="008D4C28"/>
    <w:rsid w:val="008D6643"/>
    <w:rsid w:val="008E38D4"/>
    <w:rsid w:val="008E4E07"/>
    <w:rsid w:val="008E4EE5"/>
    <w:rsid w:val="008E78C7"/>
    <w:rsid w:val="008E7AA6"/>
    <w:rsid w:val="008F14F2"/>
    <w:rsid w:val="008F3453"/>
    <w:rsid w:val="008F362C"/>
    <w:rsid w:val="008F76CA"/>
    <w:rsid w:val="009008F7"/>
    <w:rsid w:val="00901D66"/>
    <w:rsid w:val="009022F1"/>
    <w:rsid w:val="00903FF5"/>
    <w:rsid w:val="009058FE"/>
    <w:rsid w:val="00907846"/>
    <w:rsid w:val="00907EB4"/>
    <w:rsid w:val="00912946"/>
    <w:rsid w:val="00912C45"/>
    <w:rsid w:val="00913313"/>
    <w:rsid w:val="0091498A"/>
    <w:rsid w:val="00914E27"/>
    <w:rsid w:val="00915EF5"/>
    <w:rsid w:val="0092403B"/>
    <w:rsid w:val="00926BBF"/>
    <w:rsid w:val="009306A4"/>
    <w:rsid w:val="00932AFA"/>
    <w:rsid w:val="0093359D"/>
    <w:rsid w:val="00934C56"/>
    <w:rsid w:val="00937E6B"/>
    <w:rsid w:val="009416A2"/>
    <w:rsid w:val="00943A2E"/>
    <w:rsid w:val="00944166"/>
    <w:rsid w:val="009451A6"/>
    <w:rsid w:val="00945A64"/>
    <w:rsid w:val="009513DB"/>
    <w:rsid w:val="0095377C"/>
    <w:rsid w:val="00954052"/>
    <w:rsid w:val="00954E5D"/>
    <w:rsid w:val="00962B0F"/>
    <w:rsid w:val="0096307F"/>
    <w:rsid w:val="00964C20"/>
    <w:rsid w:val="00965679"/>
    <w:rsid w:val="00972178"/>
    <w:rsid w:val="00973B7B"/>
    <w:rsid w:val="00974D60"/>
    <w:rsid w:val="009823A4"/>
    <w:rsid w:val="00982E2C"/>
    <w:rsid w:val="009851C7"/>
    <w:rsid w:val="009854F0"/>
    <w:rsid w:val="00985719"/>
    <w:rsid w:val="00987570"/>
    <w:rsid w:val="0099042B"/>
    <w:rsid w:val="0099155D"/>
    <w:rsid w:val="00991FBB"/>
    <w:rsid w:val="00992F67"/>
    <w:rsid w:val="009939AD"/>
    <w:rsid w:val="0099411A"/>
    <w:rsid w:val="00996079"/>
    <w:rsid w:val="009A1C2B"/>
    <w:rsid w:val="009A3F47"/>
    <w:rsid w:val="009A487C"/>
    <w:rsid w:val="009A7810"/>
    <w:rsid w:val="009B0A71"/>
    <w:rsid w:val="009B1321"/>
    <w:rsid w:val="009B3468"/>
    <w:rsid w:val="009B57D8"/>
    <w:rsid w:val="009B5BCF"/>
    <w:rsid w:val="009B62B0"/>
    <w:rsid w:val="009B7F87"/>
    <w:rsid w:val="009C3803"/>
    <w:rsid w:val="009C7DD4"/>
    <w:rsid w:val="009D0B41"/>
    <w:rsid w:val="009D0C68"/>
    <w:rsid w:val="009D31FB"/>
    <w:rsid w:val="009D329F"/>
    <w:rsid w:val="009D4B55"/>
    <w:rsid w:val="009D5399"/>
    <w:rsid w:val="009D606F"/>
    <w:rsid w:val="009D7C35"/>
    <w:rsid w:val="009E4E69"/>
    <w:rsid w:val="009E4FFC"/>
    <w:rsid w:val="009E549B"/>
    <w:rsid w:val="009F36CE"/>
    <w:rsid w:val="009F4DD8"/>
    <w:rsid w:val="009F50AF"/>
    <w:rsid w:val="009F5D1C"/>
    <w:rsid w:val="009F6A16"/>
    <w:rsid w:val="009F7EBD"/>
    <w:rsid w:val="00A0477E"/>
    <w:rsid w:val="00A0518E"/>
    <w:rsid w:val="00A05285"/>
    <w:rsid w:val="00A1272B"/>
    <w:rsid w:val="00A256FC"/>
    <w:rsid w:val="00A25B2A"/>
    <w:rsid w:val="00A26F1B"/>
    <w:rsid w:val="00A271D1"/>
    <w:rsid w:val="00A30DD4"/>
    <w:rsid w:val="00A323CA"/>
    <w:rsid w:val="00A32EE8"/>
    <w:rsid w:val="00A33A10"/>
    <w:rsid w:val="00A35565"/>
    <w:rsid w:val="00A40FDE"/>
    <w:rsid w:val="00A428BD"/>
    <w:rsid w:val="00A4292F"/>
    <w:rsid w:val="00A42BF2"/>
    <w:rsid w:val="00A441BE"/>
    <w:rsid w:val="00A459E6"/>
    <w:rsid w:val="00A46774"/>
    <w:rsid w:val="00A46F70"/>
    <w:rsid w:val="00A47D82"/>
    <w:rsid w:val="00A50146"/>
    <w:rsid w:val="00A5054C"/>
    <w:rsid w:val="00A508CB"/>
    <w:rsid w:val="00A50BED"/>
    <w:rsid w:val="00A51CAF"/>
    <w:rsid w:val="00A556A4"/>
    <w:rsid w:val="00A578C3"/>
    <w:rsid w:val="00A57DBC"/>
    <w:rsid w:val="00A61FBA"/>
    <w:rsid w:val="00A62270"/>
    <w:rsid w:val="00A62513"/>
    <w:rsid w:val="00A62FB2"/>
    <w:rsid w:val="00A63948"/>
    <w:rsid w:val="00A64A85"/>
    <w:rsid w:val="00A66831"/>
    <w:rsid w:val="00A712F9"/>
    <w:rsid w:val="00A74C75"/>
    <w:rsid w:val="00A74CC2"/>
    <w:rsid w:val="00A768D1"/>
    <w:rsid w:val="00A768DC"/>
    <w:rsid w:val="00A8048D"/>
    <w:rsid w:val="00A80B2F"/>
    <w:rsid w:val="00A8258A"/>
    <w:rsid w:val="00A826C5"/>
    <w:rsid w:val="00A838BE"/>
    <w:rsid w:val="00A83C26"/>
    <w:rsid w:val="00A847F8"/>
    <w:rsid w:val="00A84B6E"/>
    <w:rsid w:val="00A850E6"/>
    <w:rsid w:val="00A86CFB"/>
    <w:rsid w:val="00A8739C"/>
    <w:rsid w:val="00A87F04"/>
    <w:rsid w:val="00A90035"/>
    <w:rsid w:val="00A900F5"/>
    <w:rsid w:val="00A90BFE"/>
    <w:rsid w:val="00A91879"/>
    <w:rsid w:val="00A929EA"/>
    <w:rsid w:val="00A93BA3"/>
    <w:rsid w:val="00A93F90"/>
    <w:rsid w:val="00A94BEA"/>
    <w:rsid w:val="00A94F92"/>
    <w:rsid w:val="00A95CF7"/>
    <w:rsid w:val="00A967B2"/>
    <w:rsid w:val="00A9692C"/>
    <w:rsid w:val="00A96E75"/>
    <w:rsid w:val="00A978DB"/>
    <w:rsid w:val="00A97AAE"/>
    <w:rsid w:val="00A97B3D"/>
    <w:rsid w:val="00AA0896"/>
    <w:rsid w:val="00AA1B5D"/>
    <w:rsid w:val="00AA2F2E"/>
    <w:rsid w:val="00AA34A7"/>
    <w:rsid w:val="00AA3525"/>
    <w:rsid w:val="00AA5E45"/>
    <w:rsid w:val="00AB205D"/>
    <w:rsid w:val="00AB28EC"/>
    <w:rsid w:val="00AB37D0"/>
    <w:rsid w:val="00AB41D1"/>
    <w:rsid w:val="00AB4941"/>
    <w:rsid w:val="00AB6982"/>
    <w:rsid w:val="00AB69E3"/>
    <w:rsid w:val="00AB7815"/>
    <w:rsid w:val="00AC0210"/>
    <w:rsid w:val="00AC1C80"/>
    <w:rsid w:val="00AC7564"/>
    <w:rsid w:val="00AC7AAB"/>
    <w:rsid w:val="00AD2713"/>
    <w:rsid w:val="00AD2F89"/>
    <w:rsid w:val="00AD518B"/>
    <w:rsid w:val="00AD5EEE"/>
    <w:rsid w:val="00AD5EFA"/>
    <w:rsid w:val="00AE1360"/>
    <w:rsid w:val="00AE1576"/>
    <w:rsid w:val="00AE544E"/>
    <w:rsid w:val="00AE6414"/>
    <w:rsid w:val="00AE6D7D"/>
    <w:rsid w:val="00AF062A"/>
    <w:rsid w:val="00AF08CC"/>
    <w:rsid w:val="00AF198E"/>
    <w:rsid w:val="00AF1D49"/>
    <w:rsid w:val="00AF6208"/>
    <w:rsid w:val="00AF6C1F"/>
    <w:rsid w:val="00AF7F0D"/>
    <w:rsid w:val="00B02470"/>
    <w:rsid w:val="00B03256"/>
    <w:rsid w:val="00B046C7"/>
    <w:rsid w:val="00B056D1"/>
    <w:rsid w:val="00B059A9"/>
    <w:rsid w:val="00B0623C"/>
    <w:rsid w:val="00B1275C"/>
    <w:rsid w:val="00B134DB"/>
    <w:rsid w:val="00B13725"/>
    <w:rsid w:val="00B15CEB"/>
    <w:rsid w:val="00B17834"/>
    <w:rsid w:val="00B17BC8"/>
    <w:rsid w:val="00B21417"/>
    <w:rsid w:val="00B217DC"/>
    <w:rsid w:val="00B22366"/>
    <w:rsid w:val="00B23022"/>
    <w:rsid w:val="00B23025"/>
    <w:rsid w:val="00B244FB"/>
    <w:rsid w:val="00B252C5"/>
    <w:rsid w:val="00B26E9A"/>
    <w:rsid w:val="00B3430A"/>
    <w:rsid w:val="00B3616A"/>
    <w:rsid w:val="00B3655A"/>
    <w:rsid w:val="00B3697B"/>
    <w:rsid w:val="00B377AC"/>
    <w:rsid w:val="00B40F53"/>
    <w:rsid w:val="00B40FDD"/>
    <w:rsid w:val="00B412BF"/>
    <w:rsid w:val="00B45B27"/>
    <w:rsid w:val="00B4672A"/>
    <w:rsid w:val="00B47626"/>
    <w:rsid w:val="00B47C2C"/>
    <w:rsid w:val="00B51127"/>
    <w:rsid w:val="00B521BC"/>
    <w:rsid w:val="00B56222"/>
    <w:rsid w:val="00B624E7"/>
    <w:rsid w:val="00B6433A"/>
    <w:rsid w:val="00B6489D"/>
    <w:rsid w:val="00B65E80"/>
    <w:rsid w:val="00B7027B"/>
    <w:rsid w:val="00B7053D"/>
    <w:rsid w:val="00B70C2C"/>
    <w:rsid w:val="00B72131"/>
    <w:rsid w:val="00B72A9B"/>
    <w:rsid w:val="00B757D5"/>
    <w:rsid w:val="00B75941"/>
    <w:rsid w:val="00B8284F"/>
    <w:rsid w:val="00B82ABE"/>
    <w:rsid w:val="00B90989"/>
    <w:rsid w:val="00B9253D"/>
    <w:rsid w:val="00B92A11"/>
    <w:rsid w:val="00B940CD"/>
    <w:rsid w:val="00B94421"/>
    <w:rsid w:val="00B9779B"/>
    <w:rsid w:val="00BA28CD"/>
    <w:rsid w:val="00BA3E65"/>
    <w:rsid w:val="00BA4034"/>
    <w:rsid w:val="00BA532F"/>
    <w:rsid w:val="00BA5B5A"/>
    <w:rsid w:val="00BA6370"/>
    <w:rsid w:val="00BB1C5D"/>
    <w:rsid w:val="00BB6731"/>
    <w:rsid w:val="00BB6744"/>
    <w:rsid w:val="00BB71B1"/>
    <w:rsid w:val="00BB76F2"/>
    <w:rsid w:val="00BC0343"/>
    <w:rsid w:val="00BC0553"/>
    <w:rsid w:val="00BC260E"/>
    <w:rsid w:val="00BC44C7"/>
    <w:rsid w:val="00BC4866"/>
    <w:rsid w:val="00BC653B"/>
    <w:rsid w:val="00BC7E3B"/>
    <w:rsid w:val="00BD32CD"/>
    <w:rsid w:val="00BD3389"/>
    <w:rsid w:val="00BD5AB0"/>
    <w:rsid w:val="00BD6179"/>
    <w:rsid w:val="00BD62D0"/>
    <w:rsid w:val="00BE0B12"/>
    <w:rsid w:val="00BE0C52"/>
    <w:rsid w:val="00BE458B"/>
    <w:rsid w:val="00BE5E67"/>
    <w:rsid w:val="00BE7740"/>
    <w:rsid w:val="00BF010F"/>
    <w:rsid w:val="00BF3C1E"/>
    <w:rsid w:val="00BF4B68"/>
    <w:rsid w:val="00BF4D3D"/>
    <w:rsid w:val="00BF4E50"/>
    <w:rsid w:val="00BF573F"/>
    <w:rsid w:val="00BF70C4"/>
    <w:rsid w:val="00C0085C"/>
    <w:rsid w:val="00C01204"/>
    <w:rsid w:val="00C015FF"/>
    <w:rsid w:val="00C0202D"/>
    <w:rsid w:val="00C05523"/>
    <w:rsid w:val="00C05583"/>
    <w:rsid w:val="00C074DD"/>
    <w:rsid w:val="00C077F8"/>
    <w:rsid w:val="00C1162D"/>
    <w:rsid w:val="00C11CF8"/>
    <w:rsid w:val="00C13127"/>
    <w:rsid w:val="00C15BE3"/>
    <w:rsid w:val="00C16849"/>
    <w:rsid w:val="00C17484"/>
    <w:rsid w:val="00C17834"/>
    <w:rsid w:val="00C202CD"/>
    <w:rsid w:val="00C202ED"/>
    <w:rsid w:val="00C20591"/>
    <w:rsid w:val="00C20758"/>
    <w:rsid w:val="00C22CC8"/>
    <w:rsid w:val="00C23667"/>
    <w:rsid w:val="00C246FA"/>
    <w:rsid w:val="00C26283"/>
    <w:rsid w:val="00C26552"/>
    <w:rsid w:val="00C3181C"/>
    <w:rsid w:val="00C34790"/>
    <w:rsid w:val="00C35A49"/>
    <w:rsid w:val="00C362E4"/>
    <w:rsid w:val="00C369FC"/>
    <w:rsid w:val="00C370B9"/>
    <w:rsid w:val="00C41C4A"/>
    <w:rsid w:val="00C43A9C"/>
    <w:rsid w:val="00C44C8E"/>
    <w:rsid w:val="00C4706B"/>
    <w:rsid w:val="00C477C6"/>
    <w:rsid w:val="00C47E54"/>
    <w:rsid w:val="00C50058"/>
    <w:rsid w:val="00C50499"/>
    <w:rsid w:val="00C509A2"/>
    <w:rsid w:val="00C52244"/>
    <w:rsid w:val="00C53E94"/>
    <w:rsid w:val="00C540EB"/>
    <w:rsid w:val="00C561EA"/>
    <w:rsid w:val="00C57326"/>
    <w:rsid w:val="00C64C63"/>
    <w:rsid w:val="00C65232"/>
    <w:rsid w:val="00C6621B"/>
    <w:rsid w:val="00C71D68"/>
    <w:rsid w:val="00C749CA"/>
    <w:rsid w:val="00C75D88"/>
    <w:rsid w:val="00C76266"/>
    <w:rsid w:val="00C76407"/>
    <w:rsid w:val="00C8097C"/>
    <w:rsid w:val="00C812D0"/>
    <w:rsid w:val="00C81AD7"/>
    <w:rsid w:val="00C85043"/>
    <w:rsid w:val="00C85A02"/>
    <w:rsid w:val="00C85FB7"/>
    <w:rsid w:val="00C860CA"/>
    <w:rsid w:val="00C8682F"/>
    <w:rsid w:val="00C87053"/>
    <w:rsid w:val="00C90B52"/>
    <w:rsid w:val="00C9179A"/>
    <w:rsid w:val="00C92994"/>
    <w:rsid w:val="00C9612C"/>
    <w:rsid w:val="00C9717D"/>
    <w:rsid w:val="00C9762C"/>
    <w:rsid w:val="00C97819"/>
    <w:rsid w:val="00CA1A17"/>
    <w:rsid w:val="00CA1B2E"/>
    <w:rsid w:val="00CA1D7E"/>
    <w:rsid w:val="00CA4491"/>
    <w:rsid w:val="00CA4F61"/>
    <w:rsid w:val="00CB1DA9"/>
    <w:rsid w:val="00CB3FAE"/>
    <w:rsid w:val="00CB59D4"/>
    <w:rsid w:val="00CB6D96"/>
    <w:rsid w:val="00CC1935"/>
    <w:rsid w:val="00CC3165"/>
    <w:rsid w:val="00CC4826"/>
    <w:rsid w:val="00CC54DC"/>
    <w:rsid w:val="00CC7C27"/>
    <w:rsid w:val="00CD2102"/>
    <w:rsid w:val="00CD2F54"/>
    <w:rsid w:val="00CD3CD1"/>
    <w:rsid w:val="00CD401E"/>
    <w:rsid w:val="00CD479A"/>
    <w:rsid w:val="00CD65CE"/>
    <w:rsid w:val="00CD6A52"/>
    <w:rsid w:val="00CD6BE7"/>
    <w:rsid w:val="00CD7462"/>
    <w:rsid w:val="00CD7844"/>
    <w:rsid w:val="00CE0AF8"/>
    <w:rsid w:val="00CE170B"/>
    <w:rsid w:val="00CE39AC"/>
    <w:rsid w:val="00CE50EF"/>
    <w:rsid w:val="00CE536A"/>
    <w:rsid w:val="00CE53EB"/>
    <w:rsid w:val="00CE5A27"/>
    <w:rsid w:val="00CE5F06"/>
    <w:rsid w:val="00CF12C9"/>
    <w:rsid w:val="00CF29EA"/>
    <w:rsid w:val="00CF400F"/>
    <w:rsid w:val="00CF4720"/>
    <w:rsid w:val="00CF6BDF"/>
    <w:rsid w:val="00CF6D30"/>
    <w:rsid w:val="00CF6FAD"/>
    <w:rsid w:val="00CF7338"/>
    <w:rsid w:val="00CF75BA"/>
    <w:rsid w:val="00D01B3A"/>
    <w:rsid w:val="00D03340"/>
    <w:rsid w:val="00D03C0E"/>
    <w:rsid w:val="00D041D0"/>
    <w:rsid w:val="00D06708"/>
    <w:rsid w:val="00D06A4D"/>
    <w:rsid w:val="00D07A11"/>
    <w:rsid w:val="00D10191"/>
    <w:rsid w:val="00D133F1"/>
    <w:rsid w:val="00D13C10"/>
    <w:rsid w:val="00D1447D"/>
    <w:rsid w:val="00D14A8A"/>
    <w:rsid w:val="00D150CC"/>
    <w:rsid w:val="00D1718D"/>
    <w:rsid w:val="00D20D48"/>
    <w:rsid w:val="00D2150F"/>
    <w:rsid w:val="00D21C9D"/>
    <w:rsid w:val="00D22DC1"/>
    <w:rsid w:val="00D239FC"/>
    <w:rsid w:val="00D23F91"/>
    <w:rsid w:val="00D262A4"/>
    <w:rsid w:val="00D27A26"/>
    <w:rsid w:val="00D307D4"/>
    <w:rsid w:val="00D31C77"/>
    <w:rsid w:val="00D33823"/>
    <w:rsid w:val="00D348BB"/>
    <w:rsid w:val="00D37C04"/>
    <w:rsid w:val="00D41358"/>
    <w:rsid w:val="00D41474"/>
    <w:rsid w:val="00D4209D"/>
    <w:rsid w:val="00D43DE7"/>
    <w:rsid w:val="00D468D0"/>
    <w:rsid w:val="00D4774C"/>
    <w:rsid w:val="00D508DA"/>
    <w:rsid w:val="00D5112E"/>
    <w:rsid w:val="00D53C82"/>
    <w:rsid w:val="00D54112"/>
    <w:rsid w:val="00D549BD"/>
    <w:rsid w:val="00D5505A"/>
    <w:rsid w:val="00D57DC9"/>
    <w:rsid w:val="00D62001"/>
    <w:rsid w:val="00D63E77"/>
    <w:rsid w:val="00D64AB5"/>
    <w:rsid w:val="00D64EDF"/>
    <w:rsid w:val="00D65E90"/>
    <w:rsid w:val="00D66965"/>
    <w:rsid w:val="00D81758"/>
    <w:rsid w:val="00D817D9"/>
    <w:rsid w:val="00D81976"/>
    <w:rsid w:val="00D8380C"/>
    <w:rsid w:val="00D84E5D"/>
    <w:rsid w:val="00D85E90"/>
    <w:rsid w:val="00D90276"/>
    <w:rsid w:val="00D92D6F"/>
    <w:rsid w:val="00D9316A"/>
    <w:rsid w:val="00D95020"/>
    <w:rsid w:val="00D95358"/>
    <w:rsid w:val="00D96529"/>
    <w:rsid w:val="00D966A5"/>
    <w:rsid w:val="00DA05BE"/>
    <w:rsid w:val="00DA2696"/>
    <w:rsid w:val="00DA26F1"/>
    <w:rsid w:val="00DA4699"/>
    <w:rsid w:val="00DA58F4"/>
    <w:rsid w:val="00DA6655"/>
    <w:rsid w:val="00DA671B"/>
    <w:rsid w:val="00DA7189"/>
    <w:rsid w:val="00DA74F2"/>
    <w:rsid w:val="00DA7A16"/>
    <w:rsid w:val="00DB0153"/>
    <w:rsid w:val="00DB1013"/>
    <w:rsid w:val="00DB672F"/>
    <w:rsid w:val="00DB76DB"/>
    <w:rsid w:val="00DB7E06"/>
    <w:rsid w:val="00DC0469"/>
    <w:rsid w:val="00DC26E2"/>
    <w:rsid w:val="00DC4638"/>
    <w:rsid w:val="00DC4CD4"/>
    <w:rsid w:val="00DC537F"/>
    <w:rsid w:val="00DC63A9"/>
    <w:rsid w:val="00DC7132"/>
    <w:rsid w:val="00DC741A"/>
    <w:rsid w:val="00DD10C7"/>
    <w:rsid w:val="00DD2779"/>
    <w:rsid w:val="00DD378D"/>
    <w:rsid w:val="00DD51A4"/>
    <w:rsid w:val="00DD6266"/>
    <w:rsid w:val="00DD7EFB"/>
    <w:rsid w:val="00DE0040"/>
    <w:rsid w:val="00DE0ADD"/>
    <w:rsid w:val="00DE4FC4"/>
    <w:rsid w:val="00DE721E"/>
    <w:rsid w:val="00DE7AAC"/>
    <w:rsid w:val="00DF06AF"/>
    <w:rsid w:val="00DF0FE7"/>
    <w:rsid w:val="00DF20A8"/>
    <w:rsid w:val="00DF2241"/>
    <w:rsid w:val="00DF54D8"/>
    <w:rsid w:val="00DF6FB7"/>
    <w:rsid w:val="00E00C81"/>
    <w:rsid w:val="00E01893"/>
    <w:rsid w:val="00E0456E"/>
    <w:rsid w:val="00E04F77"/>
    <w:rsid w:val="00E0609C"/>
    <w:rsid w:val="00E061FC"/>
    <w:rsid w:val="00E11386"/>
    <w:rsid w:val="00E20B24"/>
    <w:rsid w:val="00E22025"/>
    <w:rsid w:val="00E307B3"/>
    <w:rsid w:val="00E308CB"/>
    <w:rsid w:val="00E31718"/>
    <w:rsid w:val="00E32D74"/>
    <w:rsid w:val="00E33C22"/>
    <w:rsid w:val="00E34564"/>
    <w:rsid w:val="00E34C2F"/>
    <w:rsid w:val="00E35123"/>
    <w:rsid w:val="00E37C6B"/>
    <w:rsid w:val="00E4045F"/>
    <w:rsid w:val="00E45AC5"/>
    <w:rsid w:val="00E465B6"/>
    <w:rsid w:val="00E478B3"/>
    <w:rsid w:val="00E52DA8"/>
    <w:rsid w:val="00E53664"/>
    <w:rsid w:val="00E54177"/>
    <w:rsid w:val="00E5724C"/>
    <w:rsid w:val="00E57A97"/>
    <w:rsid w:val="00E60749"/>
    <w:rsid w:val="00E60E02"/>
    <w:rsid w:val="00E61B7D"/>
    <w:rsid w:val="00E64ACB"/>
    <w:rsid w:val="00E65153"/>
    <w:rsid w:val="00E6528C"/>
    <w:rsid w:val="00E65312"/>
    <w:rsid w:val="00E66BCF"/>
    <w:rsid w:val="00E712EC"/>
    <w:rsid w:val="00E7149F"/>
    <w:rsid w:val="00E72157"/>
    <w:rsid w:val="00E7238D"/>
    <w:rsid w:val="00E7277B"/>
    <w:rsid w:val="00E7334D"/>
    <w:rsid w:val="00E73B13"/>
    <w:rsid w:val="00E74F14"/>
    <w:rsid w:val="00E754B9"/>
    <w:rsid w:val="00E77DC7"/>
    <w:rsid w:val="00E824C4"/>
    <w:rsid w:val="00E82733"/>
    <w:rsid w:val="00E8435F"/>
    <w:rsid w:val="00E845F0"/>
    <w:rsid w:val="00E877BD"/>
    <w:rsid w:val="00E90FFE"/>
    <w:rsid w:val="00E9131F"/>
    <w:rsid w:val="00E92EDF"/>
    <w:rsid w:val="00E93768"/>
    <w:rsid w:val="00E94065"/>
    <w:rsid w:val="00E96451"/>
    <w:rsid w:val="00E96E9E"/>
    <w:rsid w:val="00EA03C3"/>
    <w:rsid w:val="00EA3813"/>
    <w:rsid w:val="00EA3A27"/>
    <w:rsid w:val="00EA4283"/>
    <w:rsid w:val="00EA48E3"/>
    <w:rsid w:val="00EA6710"/>
    <w:rsid w:val="00EA7D71"/>
    <w:rsid w:val="00EB3B10"/>
    <w:rsid w:val="00EB3C03"/>
    <w:rsid w:val="00EB7E18"/>
    <w:rsid w:val="00EB7EA9"/>
    <w:rsid w:val="00EC0B1E"/>
    <w:rsid w:val="00EC18C6"/>
    <w:rsid w:val="00EC2856"/>
    <w:rsid w:val="00EC4C14"/>
    <w:rsid w:val="00EC6929"/>
    <w:rsid w:val="00EC7443"/>
    <w:rsid w:val="00EC7C92"/>
    <w:rsid w:val="00ED191A"/>
    <w:rsid w:val="00ED2523"/>
    <w:rsid w:val="00ED3A14"/>
    <w:rsid w:val="00ED59B4"/>
    <w:rsid w:val="00EE0417"/>
    <w:rsid w:val="00EE492E"/>
    <w:rsid w:val="00EE4930"/>
    <w:rsid w:val="00EE7B54"/>
    <w:rsid w:val="00EE7FDC"/>
    <w:rsid w:val="00EF248D"/>
    <w:rsid w:val="00EF4ACF"/>
    <w:rsid w:val="00EF52E7"/>
    <w:rsid w:val="00EF7624"/>
    <w:rsid w:val="00F00343"/>
    <w:rsid w:val="00F012C5"/>
    <w:rsid w:val="00F024AC"/>
    <w:rsid w:val="00F05CFA"/>
    <w:rsid w:val="00F07D09"/>
    <w:rsid w:val="00F104E5"/>
    <w:rsid w:val="00F10D24"/>
    <w:rsid w:val="00F1261A"/>
    <w:rsid w:val="00F12A63"/>
    <w:rsid w:val="00F13053"/>
    <w:rsid w:val="00F15714"/>
    <w:rsid w:val="00F237AF"/>
    <w:rsid w:val="00F2485C"/>
    <w:rsid w:val="00F24D99"/>
    <w:rsid w:val="00F26365"/>
    <w:rsid w:val="00F26EF9"/>
    <w:rsid w:val="00F2753D"/>
    <w:rsid w:val="00F27FE8"/>
    <w:rsid w:val="00F307E3"/>
    <w:rsid w:val="00F33A8B"/>
    <w:rsid w:val="00F347B9"/>
    <w:rsid w:val="00F36F02"/>
    <w:rsid w:val="00F406F7"/>
    <w:rsid w:val="00F40A29"/>
    <w:rsid w:val="00F47732"/>
    <w:rsid w:val="00F5076D"/>
    <w:rsid w:val="00F53C1A"/>
    <w:rsid w:val="00F54EE0"/>
    <w:rsid w:val="00F56C77"/>
    <w:rsid w:val="00F57B7D"/>
    <w:rsid w:val="00F57FC9"/>
    <w:rsid w:val="00F62969"/>
    <w:rsid w:val="00F62BC0"/>
    <w:rsid w:val="00F63437"/>
    <w:rsid w:val="00F63F41"/>
    <w:rsid w:val="00F65830"/>
    <w:rsid w:val="00F71E0E"/>
    <w:rsid w:val="00F727FC"/>
    <w:rsid w:val="00F74830"/>
    <w:rsid w:val="00F75352"/>
    <w:rsid w:val="00F754EB"/>
    <w:rsid w:val="00F75674"/>
    <w:rsid w:val="00F75822"/>
    <w:rsid w:val="00F7742C"/>
    <w:rsid w:val="00F77466"/>
    <w:rsid w:val="00F776A7"/>
    <w:rsid w:val="00F8104F"/>
    <w:rsid w:val="00F815E3"/>
    <w:rsid w:val="00F82355"/>
    <w:rsid w:val="00F83DD6"/>
    <w:rsid w:val="00F87467"/>
    <w:rsid w:val="00F9114E"/>
    <w:rsid w:val="00F91F57"/>
    <w:rsid w:val="00F932CC"/>
    <w:rsid w:val="00F94669"/>
    <w:rsid w:val="00F94944"/>
    <w:rsid w:val="00F9689E"/>
    <w:rsid w:val="00FA2876"/>
    <w:rsid w:val="00FA4707"/>
    <w:rsid w:val="00FA5D6F"/>
    <w:rsid w:val="00FB04EA"/>
    <w:rsid w:val="00FB5D9A"/>
    <w:rsid w:val="00FB62DB"/>
    <w:rsid w:val="00FB7FAD"/>
    <w:rsid w:val="00FC0401"/>
    <w:rsid w:val="00FC09EF"/>
    <w:rsid w:val="00FC2628"/>
    <w:rsid w:val="00FC5664"/>
    <w:rsid w:val="00FC5E71"/>
    <w:rsid w:val="00FC76B6"/>
    <w:rsid w:val="00FD065A"/>
    <w:rsid w:val="00FD1254"/>
    <w:rsid w:val="00FD1380"/>
    <w:rsid w:val="00FD384E"/>
    <w:rsid w:val="00FD472C"/>
    <w:rsid w:val="00FD489E"/>
    <w:rsid w:val="00FD6238"/>
    <w:rsid w:val="00FD64A4"/>
    <w:rsid w:val="00FD6853"/>
    <w:rsid w:val="00FD7A6C"/>
    <w:rsid w:val="00FE08E7"/>
    <w:rsid w:val="00FE2100"/>
    <w:rsid w:val="00FE2123"/>
    <w:rsid w:val="00FE362E"/>
    <w:rsid w:val="00FE6BB5"/>
    <w:rsid w:val="00FF06C2"/>
    <w:rsid w:val="00FF1D7B"/>
    <w:rsid w:val="00FF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67"/>
    <w:rPr>
      <w:rFonts w:ascii="Arial" w:hAnsi="Arial"/>
      <w:color w:val="001F00"/>
      <w:spacing w:val="6"/>
      <w:sz w:val="18"/>
      <w:szCs w:val="18"/>
      <w:lang w:eastAsia="en-GB"/>
    </w:rPr>
  </w:style>
  <w:style w:type="paragraph" w:styleId="Heading1">
    <w:name w:val="heading 1"/>
    <w:basedOn w:val="Normal"/>
    <w:next w:val="Normal"/>
    <w:link w:val="Heading1Char"/>
    <w:uiPriority w:val="99"/>
    <w:qFormat/>
    <w:rsid w:val="001F2E01"/>
    <w:pPr>
      <w:keepNext/>
      <w:outlineLvl w:val="0"/>
    </w:pPr>
    <w:rPr>
      <w:rFonts w:cs="Arial"/>
      <w:b/>
      <w:bCs/>
      <w:kern w:val="32"/>
      <w:sz w:val="20"/>
      <w:szCs w:val="20"/>
    </w:rPr>
  </w:style>
  <w:style w:type="paragraph" w:styleId="Heading2">
    <w:name w:val="heading 2"/>
    <w:basedOn w:val="Normal"/>
    <w:next w:val="Normal"/>
    <w:link w:val="Heading2Char"/>
    <w:uiPriority w:val="99"/>
    <w:qFormat/>
    <w:rsid w:val="004071C5"/>
    <w:pPr>
      <w:keepNext/>
      <w:outlineLvl w:val="1"/>
    </w:pPr>
    <w:rPr>
      <w:rFonts w:cs="Arial"/>
      <w:b/>
      <w:bCs/>
      <w:iCs/>
    </w:rPr>
  </w:style>
  <w:style w:type="paragraph" w:styleId="Heading3">
    <w:name w:val="heading 3"/>
    <w:basedOn w:val="Normal"/>
    <w:next w:val="Normal"/>
    <w:link w:val="Heading3Char"/>
    <w:uiPriority w:val="99"/>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uiPriority w:val="99"/>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uiPriority w:val="99"/>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uiPriority w:val="99"/>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uiPriority w:val="99"/>
    <w:rsid w:val="001014C3"/>
    <w:rPr>
      <w:rFonts w:ascii="Arial" w:hAnsi="Arial"/>
      <w:b/>
      <w:sz w:val="14"/>
      <w:szCs w:val="14"/>
      <w:lang w:val="en-GB" w:eastAsia="en-GB" w:bidi="ar-SA"/>
    </w:rPr>
  </w:style>
  <w:style w:type="character" w:styleId="PageNumber">
    <w:name w:val="page number"/>
    <w:basedOn w:val="DefaultParagraphFont"/>
    <w:uiPriority w:val="99"/>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uiPriority w:val="99"/>
    <w:rsid w:val="00C202ED"/>
    <w:pPr>
      <w:jc w:val="right"/>
    </w:pPr>
  </w:style>
  <w:style w:type="paragraph" w:customStyle="1" w:styleId="NormalCenter">
    <w:name w:val="Normal Center"/>
    <w:basedOn w:val="Normal"/>
    <w:uiPriority w:val="99"/>
    <w:rsid w:val="00C47E54"/>
    <w:pPr>
      <w:jc w:val="center"/>
    </w:pPr>
  </w:style>
  <w:style w:type="paragraph" w:customStyle="1" w:styleId="NormalBoldCenter">
    <w:name w:val="Normal Bold Center"/>
    <w:basedOn w:val="NormalCenter"/>
    <w:uiPriority w:val="99"/>
    <w:rsid w:val="00C47E54"/>
    <w:rPr>
      <w:b/>
    </w:rPr>
  </w:style>
  <w:style w:type="paragraph" w:customStyle="1" w:styleId="Spacer">
    <w:name w:val="Spacer"/>
    <w:basedOn w:val="Normal"/>
    <w:uiPriority w:val="99"/>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ft"/>
    <w:basedOn w:val="Normal"/>
    <w:link w:val="FootnoteTextChar"/>
    <w:rsid w:val="00476A14"/>
    <w:rPr>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476A14"/>
    <w:rPr>
      <w:rFonts w:ascii="Arial" w:hAnsi="Arial"/>
      <w:color w:val="001F00"/>
      <w:spacing w:val="6"/>
      <w:lang w:eastAsia="en-GB"/>
    </w:rPr>
  </w:style>
  <w:style w:type="character" w:styleId="FootnoteReference">
    <w:name w:val="footnote reference"/>
    <w:aliases w:val="ftref"/>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9"/>
    <w:rsid w:val="00170BD2"/>
    <w:rPr>
      <w:rFonts w:ascii="Arial" w:hAnsi="Arial" w:cs="Arial"/>
      <w:b/>
      <w:bCs/>
      <w:color w:val="001F00"/>
      <w:spacing w:val="6"/>
      <w:kern w:val="32"/>
      <w:lang w:eastAsia="en-GB"/>
    </w:rPr>
  </w:style>
  <w:style w:type="character" w:customStyle="1" w:styleId="Heading2Char">
    <w:name w:val="Heading 2 Char"/>
    <w:basedOn w:val="DefaultParagraphFont"/>
    <w:link w:val="Heading2"/>
    <w:uiPriority w:val="99"/>
    <w:rsid w:val="00170BD2"/>
    <w:rPr>
      <w:rFonts w:ascii="Arial" w:hAnsi="Arial" w:cs="Arial"/>
      <w:b/>
      <w:bCs/>
      <w:iCs/>
      <w:color w:val="001F00"/>
      <w:spacing w:val="6"/>
      <w:sz w:val="18"/>
      <w:szCs w:val="18"/>
      <w:lang w:eastAsia="en-GB"/>
    </w:rPr>
  </w:style>
  <w:style w:type="character" w:customStyle="1" w:styleId="Heading3Char">
    <w:name w:val="Heading 3 Char"/>
    <w:basedOn w:val="DefaultParagraphFont"/>
    <w:link w:val="Heading3"/>
    <w:uiPriority w:val="99"/>
    <w:rsid w:val="00170BD2"/>
    <w:rPr>
      <w:rFonts w:ascii="Arial" w:hAnsi="Arial" w:cs="Arial"/>
      <w:b/>
      <w:bCs/>
      <w:color w:val="001F00"/>
      <w:spacing w:val="6"/>
      <w:sz w:val="26"/>
      <w:szCs w:val="26"/>
      <w:lang w:eastAsia="en-GB"/>
    </w:rPr>
  </w:style>
  <w:style w:type="character" w:customStyle="1" w:styleId="HeaderChar">
    <w:name w:val="Header Char"/>
    <w:basedOn w:val="DefaultParagraphFont"/>
    <w:link w:val="Header"/>
    <w:uiPriority w:val="99"/>
    <w:rsid w:val="00170BD2"/>
    <w:rPr>
      <w:rFonts w:ascii="Arial" w:hAnsi="Arial"/>
      <w:color w:val="001F00"/>
      <w:spacing w:val="6"/>
      <w:sz w:val="18"/>
      <w:szCs w:val="18"/>
      <w:lang w:eastAsia="en-GB"/>
    </w:rPr>
  </w:style>
  <w:style w:type="paragraph" w:styleId="BodyText2">
    <w:name w:val="Body Text 2"/>
    <w:basedOn w:val="Normal"/>
    <w:link w:val="BodyText2Char"/>
    <w:uiPriority w:val="99"/>
    <w:rsid w:val="00170BD2"/>
    <w:pPr>
      <w:jc w:val="both"/>
    </w:pPr>
    <w:rPr>
      <w:rFonts w:cs="Arial"/>
      <w:color w:val="auto"/>
      <w:spacing w:val="0"/>
      <w:sz w:val="24"/>
      <w:szCs w:val="24"/>
      <w:lang w:val="en-US" w:eastAsia="en-US"/>
    </w:rPr>
  </w:style>
  <w:style w:type="character" w:customStyle="1" w:styleId="BodyText2Char">
    <w:name w:val="Body Text 2 Char"/>
    <w:basedOn w:val="DefaultParagraphFont"/>
    <w:link w:val="BodyText2"/>
    <w:uiPriority w:val="99"/>
    <w:rsid w:val="00170BD2"/>
    <w:rPr>
      <w:rFonts w:ascii="Arial" w:hAnsi="Arial" w:cs="Arial"/>
      <w:sz w:val="24"/>
      <w:szCs w:val="24"/>
      <w:lang w:val="en-US" w:eastAsia="en-US"/>
    </w:rPr>
  </w:style>
  <w:style w:type="character" w:customStyle="1" w:styleId="BalloonTextChar">
    <w:name w:val="Balloon Text Char"/>
    <w:basedOn w:val="DefaultParagraphFont"/>
    <w:link w:val="BalloonText"/>
    <w:uiPriority w:val="99"/>
    <w:semiHidden/>
    <w:rsid w:val="00170BD2"/>
    <w:rPr>
      <w:rFonts w:ascii="Tahoma" w:hAnsi="Tahoma" w:cs="Tahoma"/>
      <w:color w:val="001F00"/>
      <w:spacing w:val="6"/>
      <w:sz w:val="16"/>
      <w:szCs w:val="16"/>
      <w:lang w:eastAsia="en-GB"/>
    </w:rPr>
  </w:style>
  <w:style w:type="paragraph" w:customStyle="1" w:styleId="CharCharCharCharCharChar">
    <w:name w:val="Char Char Char Char Char Char"/>
    <w:basedOn w:val="Normal"/>
    <w:uiPriority w:val="99"/>
    <w:semiHidden/>
    <w:rsid w:val="00170BD2"/>
    <w:pPr>
      <w:spacing w:after="240" w:line="24" w:lineRule="atLeast"/>
      <w:jc w:val="both"/>
    </w:pPr>
    <w:rPr>
      <w:bCs/>
      <w:color w:val="auto"/>
      <w:spacing w:val="0"/>
      <w:sz w:val="22"/>
      <w:szCs w:val="24"/>
      <w:lang w:val="en-US" w:eastAsia="en-US"/>
    </w:rPr>
  </w:style>
  <w:style w:type="paragraph" w:customStyle="1" w:styleId="bodytext">
    <w:name w:val="bodytext"/>
    <w:basedOn w:val="Normal"/>
    <w:uiPriority w:val="99"/>
    <w:rsid w:val="00170BD2"/>
    <w:pPr>
      <w:spacing w:before="100" w:beforeAutospacing="1" w:after="100" w:afterAutospacing="1"/>
    </w:pPr>
    <w:rPr>
      <w:rFonts w:cs="Arial"/>
      <w:color w:val="auto"/>
      <w:spacing w:val="0"/>
      <w:lang w:val="en-GB"/>
    </w:rPr>
  </w:style>
  <w:style w:type="paragraph" w:styleId="EndnoteText">
    <w:name w:val="endnote text"/>
    <w:basedOn w:val="Normal"/>
    <w:link w:val="EndnoteTextChar"/>
    <w:uiPriority w:val="99"/>
    <w:semiHidden/>
    <w:rsid w:val="00170BD2"/>
    <w:rPr>
      <w:sz w:val="20"/>
      <w:szCs w:val="20"/>
      <w:lang w:val="en-GB"/>
    </w:rPr>
  </w:style>
  <w:style w:type="character" w:customStyle="1" w:styleId="EndnoteTextChar">
    <w:name w:val="Endnote Text Char"/>
    <w:basedOn w:val="DefaultParagraphFont"/>
    <w:link w:val="EndnoteText"/>
    <w:uiPriority w:val="99"/>
    <w:semiHidden/>
    <w:rsid w:val="00170BD2"/>
    <w:rPr>
      <w:rFonts w:ascii="Arial" w:hAnsi="Arial"/>
      <w:color w:val="001F00"/>
      <w:spacing w:val="6"/>
      <w:lang w:val="en-GB" w:eastAsia="en-GB"/>
    </w:rPr>
  </w:style>
  <w:style w:type="character" w:styleId="EndnoteReference">
    <w:name w:val="endnote reference"/>
    <w:basedOn w:val="DefaultParagraphFont"/>
    <w:uiPriority w:val="99"/>
    <w:semiHidden/>
    <w:rsid w:val="00170BD2"/>
    <w:rPr>
      <w:rFonts w:cs="Times New Roman"/>
      <w:vertAlign w:val="superscript"/>
    </w:rPr>
  </w:style>
  <w:style w:type="paragraph" w:customStyle="1" w:styleId="CM5">
    <w:name w:val="CM5"/>
    <w:basedOn w:val="Normal"/>
    <w:next w:val="Normal"/>
    <w:uiPriority w:val="99"/>
    <w:rsid w:val="00170BD2"/>
    <w:pPr>
      <w:autoSpaceDE w:val="0"/>
      <w:autoSpaceDN w:val="0"/>
      <w:adjustRightInd w:val="0"/>
    </w:pPr>
    <w:rPr>
      <w:rFonts w:ascii="DIOOB O+ T T 13 F 46o 00" w:hAnsi="DIOOB O+ T T 13 F 46o 00"/>
      <w:color w:val="auto"/>
      <w:spacing w:val="0"/>
      <w:sz w:val="24"/>
      <w:szCs w:val="24"/>
      <w:lang w:val="en-GB"/>
    </w:rPr>
  </w:style>
  <w:style w:type="character" w:customStyle="1" w:styleId="FootnoteTextChar2">
    <w:name w:val="Footnote Text Char2"/>
    <w:aliases w:val="Footnote Text Char1 Char1,Footnote Text Char Char Char1,fn Char Char1,ft Char1"/>
    <w:basedOn w:val="DefaultParagraphFont"/>
    <w:uiPriority w:val="99"/>
    <w:locked/>
    <w:rsid w:val="00170BD2"/>
    <w:rPr>
      <w:rFonts w:cs="Times New Roman"/>
      <w:sz w:val="20"/>
      <w:szCs w:val="20"/>
    </w:rPr>
  </w:style>
  <w:style w:type="character" w:customStyle="1" w:styleId="ListParagraphChar">
    <w:name w:val="List Paragraph Char"/>
    <w:link w:val="ListParagraph"/>
    <w:uiPriority w:val="34"/>
    <w:locked/>
    <w:rsid w:val="00170BD2"/>
    <w:rPr>
      <w:rFonts w:ascii="Arial" w:hAnsi="Arial"/>
      <w:color w:val="001F00"/>
      <w:spacing w:val="6"/>
      <w:sz w:val="18"/>
      <w:szCs w:val="18"/>
      <w:lang w:eastAsia="en-GB"/>
    </w:rPr>
  </w:style>
  <w:style w:type="character" w:styleId="Emphasis">
    <w:name w:val="Emphasis"/>
    <w:basedOn w:val="DefaultParagraphFont"/>
    <w:uiPriority w:val="20"/>
    <w:qFormat/>
    <w:rsid w:val="00170BD2"/>
    <w:rPr>
      <w:rFonts w:cs="Times New Roman"/>
      <w:i/>
      <w:iCs/>
    </w:rPr>
  </w:style>
  <w:style w:type="character" w:styleId="CommentReference">
    <w:name w:val="annotation reference"/>
    <w:basedOn w:val="DefaultParagraphFont"/>
    <w:uiPriority w:val="99"/>
    <w:semiHidden/>
    <w:rsid w:val="00170BD2"/>
    <w:rPr>
      <w:rFonts w:cs="Times New Roman"/>
      <w:sz w:val="16"/>
      <w:szCs w:val="16"/>
    </w:rPr>
  </w:style>
  <w:style w:type="paragraph" w:styleId="CommentText">
    <w:name w:val="annotation text"/>
    <w:basedOn w:val="Normal"/>
    <w:link w:val="CommentTextChar"/>
    <w:uiPriority w:val="99"/>
    <w:semiHidden/>
    <w:rsid w:val="00170BD2"/>
    <w:rPr>
      <w:sz w:val="20"/>
      <w:szCs w:val="20"/>
      <w:lang w:val="en-GB"/>
    </w:rPr>
  </w:style>
  <w:style w:type="character" w:customStyle="1" w:styleId="CommentTextChar">
    <w:name w:val="Comment Text Char"/>
    <w:basedOn w:val="DefaultParagraphFont"/>
    <w:link w:val="CommentText"/>
    <w:uiPriority w:val="99"/>
    <w:semiHidden/>
    <w:rsid w:val="00170BD2"/>
    <w:rPr>
      <w:rFonts w:ascii="Arial" w:hAnsi="Arial"/>
      <w:color w:val="001F00"/>
      <w:spacing w:val="6"/>
      <w:lang w:val="en-GB" w:eastAsia="en-GB"/>
    </w:rPr>
  </w:style>
  <w:style w:type="paragraph" w:styleId="CommentSubject">
    <w:name w:val="annotation subject"/>
    <w:basedOn w:val="CommentText"/>
    <w:next w:val="CommentText"/>
    <w:link w:val="CommentSubjectChar"/>
    <w:uiPriority w:val="99"/>
    <w:semiHidden/>
    <w:rsid w:val="00170BD2"/>
    <w:rPr>
      <w:b/>
      <w:bCs/>
    </w:rPr>
  </w:style>
  <w:style w:type="character" w:customStyle="1" w:styleId="CommentSubjectChar">
    <w:name w:val="Comment Subject Char"/>
    <w:basedOn w:val="CommentTextChar"/>
    <w:link w:val="CommentSubject"/>
    <w:uiPriority w:val="99"/>
    <w:semiHidden/>
    <w:rsid w:val="00170BD2"/>
    <w:rPr>
      <w:rFonts w:ascii="Arial" w:hAnsi="Arial"/>
      <w:b/>
      <w:bCs/>
      <w:color w:val="001F00"/>
      <w:spacing w:val="6"/>
      <w:lang w:val="en-GB" w:eastAsia="en-GB"/>
    </w:rPr>
  </w:style>
  <w:style w:type="paragraph" w:styleId="Revision">
    <w:name w:val="Revision"/>
    <w:hidden/>
    <w:uiPriority w:val="99"/>
    <w:semiHidden/>
    <w:rsid w:val="00170BD2"/>
    <w:rPr>
      <w:rFonts w:ascii="Arial" w:hAnsi="Arial"/>
      <w:color w:val="001F00"/>
      <w:spacing w:val="6"/>
      <w:sz w:val="18"/>
      <w:szCs w:val="18"/>
      <w:lang w:val="en-GB" w:eastAsia="en-GB"/>
    </w:rPr>
  </w:style>
  <w:style w:type="character" w:customStyle="1" w:styleId="A20">
    <w:name w:val="A20"/>
    <w:uiPriority w:val="99"/>
    <w:rsid w:val="00170BD2"/>
    <w:rPr>
      <w:rFonts w:cs="Century Gothic"/>
      <w:color w:val="000000"/>
      <w:sz w:val="20"/>
      <w:szCs w:val="20"/>
    </w:rPr>
  </w:style>
  <w:style w:type="character" w:styleId="PlaceholderText">
    <w:name w:val="Placeholder Text"/>
    <w:basedOn w:val="DefaultParagraphFont"/>
    <w:uiPriority w:val="99"/>
    <w:semiHidden/>
    <w:rsid w:val="004E4A18"/>
    <w:rPr>
      <w:color w:val="808080"/>
    </w:rPr>
  </w:style>
</w:styles>
</file>

<file path=word/webSettings.xml><?xml version="1.0" encoding="utf-8"?>
<w:webSettings xmlns:r="http://schemas.openxmlformats.org/officeDocument/2006/relationships" xmlns:w="http://schemas.openxmlformats.org/wordprocessingml/2006/main">
  <w:divs>
    <w:div w:id="20279517">
      <w:bodyDiv w:val="1"/>
      <w:marLeft w:val="0"/>
      <w:marRight w:val="0"/>
      <w:marTop w:val="0"/>
      <w:marBottom w:val="0"/>
      <w:divBdr>
        <w:top w:val="none" w:sz="0" w:space="0" w:color="auto"/>
        <w:left w:val="none" w:sz="0" w:space="0" w:color="auto"/>
        <w:bottom w:val="none" w:sz="0" w:space="0" w:color="auto"/>
        <w:right w:val="none" w:sz="0" w:space="0" w:color="auto"/>
      </w:divBdr>
      <w:divsChild>
        <w:div w:id="1682849265">
          <w:marLeft w:val="360"/>
          <w:marRight w:val="0"/>
          <w:marTop w:val="200"/>
          <w:marBottom w:val="0"/>
          <w:divBdr>
            <w:top w:val="none" w:sz="0" w:space="0" w:color="auto"/>
            <w:left w:val="none" w:sz="0" w:space="0" w:color="auto"/>
            <w:bottom w:val="none" w:sz="0" w:space="0" w:color="auto"/>
            <w:right w:val="none" w:sz="0" w:space="0" w:color="auto"/>
          </w:divBdr>
        </w:div>
        <w:div w:id="2135754857">
          <w:marLeft w:val="360"/>
          <w:marRight w:val="0"/>
          <w:marTop w:val="200"/>
          <w:marBottom w:val="0"/>
          <w:divBdr>
            <w:top w:val="none" w:sz="0" w:space="0" w:color="auto"/>
            <w:left w:val="none" w:sz="0" w:space="0" w:color="auto"/>
            <w:bottom w:val="none" w:sz="0" w:space="0" w:color="auto"/>
            <w:right w:val="none" w:sz="0" w:space="0" w:color="auto"/>
          </w:divBdr>
        </w:div>
        <w:div w:id="1425220373">
          <w:marLeft w:val="360"/>
          <w:marRight w:val="0"/>
          <w:marTop w:val="200"/>
          <w:marBottom w:val="0"/>
          <w:divBdr>
            <w:top w:val="none" w:sz="0" w:space="0" w:color="auto"/>
            <w:left w:val="none" w:sz="0" w:space="0" w:color="auto"/>
            <w:bottom w:val="none" w:sz="0" w:space="0" w:color="auto"/>
            <w:right w:val="none" w:sz="0" w:space="0" w:color="auto"/>
          </w:divBdr>
        </w:div>
      </w:divsChild>
    </w:div>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490527">
      <w:bodyDiv w:val="1"/>
      <w:marLeft w:val="0"/>
      <w:marRight w:val="0"/>
      <w:marTop w:val="0"/>
      <w:marBottom w:val="0"/>
      <w:divBdr>
        <w:top w:val="none" w:sz="0" w:space="0" w:color="auto"/>
        <w:left w:val="none" w:sz="0" w:space="0" w:color="auto"/>
        <w:bottom w:val="none" w:sz="0" w:space="0" w:color="auto"/>
        <w:right w:val="none" w:sz="0" w:space="0" w:color="auto"/>
      </w:divBdr>
      <w:divsChild>
        <w:div w:id="1030378892">
          <w:marLeft w:val="360"/>
          <w:marRight w:val="0"/>
          <w:marTop w:val="200"/>
          <w:marBottom w:val="0"/>
          <w:divBdr>
            <w:top w:val="none" w:sz="0" w:space="0" w:color="auto"/>
            <w:left w:val="none" w:sz="0" w:space="0" w:color="auto"/>
            <w:bottom w:val="none" w:sz="0" w:space="0" w:color="auto"/>
            <w:right w:val="none" w:sz="0" w:space="0" w:color="auto"/>
          </w:divBdr>
        </w:div>
        <w:div w:id="1213880923">
          <w:marLeft w:val="360"/>
          <w:marRight w:val="0"/>
          <w:marTop w:val="200"/>
          <w:marBottom w:val="0"/>
          <w:divBdr>
            <w:top w:val="none" w:sz="0" w:space="0" w:color="auto"/>
            <w:left w:val="none" w:sz="0" w:space="0" w:color="auto"/>
            <w:bottom w:val="none" w:sz="0" w:space="0" w:color="auto"/>
            <w:right w:val="none" w:sz="0" w:space="0" w:color="auto"/>
          </w:divBdr>
        </w:div>
        <w:div w:id="1248004858">
          <w:marLeft w:val="360"/>
          <w:marRight w:val="0"/>
          <w:marTop w:val="200"/>
          <w:marBottom w:val="0"/>
          <w:divBdr>
            <w:top w:val="none" w:sz="0" w:space="0" w:color="auto"/>
            <w:left w:val="none" w:sz="0" w:space="0" w:color="auto"/>
            <w:bottom w:val="none" w:sz="0" w:space="0" w:color="auto"/>
            <w:right w:val="none" w:sz="0" w:space="0" w:color="auto"/>
          </w:divBdr>
        </w:div>
        <w:div w:id="1274287087">
          <w:marLeft w:val="360"/>
          <w:marRight w:val="0"/>
          <w:marTop w:val="200"/>
          <w:marBottom w:val="0"/>
          <w:divBdr>
            <w:top w:val="none" w:sz="0" w:space="0" w:color="auto"/>
            <w:left w:val="none" w:sz="0" w:space="0" w:color="auto"/>
            <w:bottom w:val="none" w:sz="0" w:space="0" w:color="auto"/>
            <w:right w:val="none" w:sz="0" w:space="0" w:color="auto"/>
          </w:divBdr>
        </w:div>
      </w:divsChild>
    </w:div>
    <w:div w:id="125975327">
      <w:bodyDiv w:val="1"/>
      <w:marLeft w:val="0"/>
      <w:marRight w:val="0"/>
      <w:marTop w:val="0"/>
      <w:marBottom w:val="0"/>
      <w:divBdr>
        <w:top w:val="none" w:sz="0" w:space="0" w:color="auto"/>
        <w:left w:val="none" w:sz="0" w:space="0" w:color="auto"/>
        <w:bottom w:val="none" w:sz="0" w:space="0" w:color="auto"/>
        <w:right w:val="none" w:sz="0" w:space="0" w:color="auto"/>
      </w:divBdr>
    </w:div>
    <w:div w:id="154035293">
      <w:bodyDiv w:val="1"/>
      <w:marLeft w:val="0"/>
      <w:marRight w:val="0"/>
      <w:marTop w:val="0"/>
      <w:marBottom w:val="0"/>
      <w:divBdr>
        <w:top w:val="none" w:sz="0" w:space="0" w:color="auto"/>
        <w:left w:val="none" w:sz="0" w:space="0" w:color="auto"/>
        <w:bottom w:val="none" w:sz="0" w:space="0" w:color="auto"/>
        <w:right w:val="none" w:sz="0" w:space="0" w:color="auto"/>
      </w:divBdr>
      <w:divsChild>
        <w:div w:id="969213601">
          <w:marLeft w:val="360"/>
          <w:marRight w:val="0"/>
          <w:marTop w:val="0"/>
          <w:marBottom w:val="0"/>
          <w:divBdr>
            <w:top w:val="none" w:sz="0" w:space="0" w:color="auto"/>
            <w:left w:val="none" w:sz="0" w:space="0" w:color="auto"/>
            <w:bottom w:val="none" w:sz="0" w:space="0" w:color="auto"/>
            <w:right w:val="none" w:sz="0" w:space="0" w:color="auto"/>
          </w:divBdr>
        </w:div>
        <w:div w:id="1215894775">
          <w:marLeft w:val="360"/>
          <w:marRight w:val="0"/>
          <w:marTop w:val="200"/>
          <w:marBottom w:val="0"/>
          <w:divBdr>
            <w:top w:val="none" w:sz="0" w:space="0" w:color="auto"/>
            <w:left w:val="none" w:sz="0" w:space="0" w:color="auto"/>
            <w:bottom w:val="none" w:sz="0" w:space="0" w:color="auto"/>
            <w:right w:val="none" w:sz="0" w:space="0" w:color="auto"/>
          </w:divBdr>
        </w:div>
        <w:div w:id="1896044157">
          <w:marLeft w:val="360"/>
          <w:marRight w:val="0"/>
          <w:marTop w:val="0"/>
          <w:marBottom w:val="0"/>
          <w:divBdr>
            <w:top w:val="none" w:sz="0" w:space="0" w:color="auto"/>
            <w:left w:val="none" w:sz="0" w:space="0" w:color="auto"/>
            <w:bottom w:val="none" w:sz="0" w:space="0" w:color="auto"/>
            <w:right w:val="none" w:sz="0" w:space="0" w:color="auto"/>
          </w:divBdr>
        </w:div>
      </w:divsChild>
    </w:div>
    <w:div w:id="219751894">
      <w:bodyDiv w:val="1"/>
      <w:marLeft w:val="0"/>
      <w:marRight w:val="0"/>
      <w:marTop w:val="0"/>
      <w:marBottom w:val="0"/>
      <w:divBdr>
        <w:top w:val="none" w:sz="0" w:space="0" w:color="auto"/>
        <w:left w:val="none" w:sz="0" w:space="0" w:color="auto"/>
        <w:bottom w:val="none" w:sz="0" w:space="0" w:color="auto"/>
        <w:right w:val="none" w:sz="0" w:space="0" w:color="auto"/>
      </w:divBdr>
    </w:div>
    <w:div w:id="330177747">
      <w:bodyDiv w:val="1"/>
      <w:marLeft w:val="0"/>
      <w:marRight w:val="0"/>
      <w:marTop w:val="0"/>
      <w:marBottom w:val="0"/>
      <w:divBdr>
        <w:top w:val="none" w:sz="0" w:space="0" w:color="auto"/>
        <w:left w:val="none" w:sz="0" w:space="0" w:color="auto"/>
        <w:bottom w:val="none" w:sz="0" w:space="0" w:color="auto"/>
        <w:right w:val="none" w:sz="0" w:space="0" w:color="auto"/>
      </w:divBdr>
      <w:divsChild>
        <w:div w:id="2078087090">
          <w:marLeft w:val="360"/>
          <w:marRight w:val="0"/>
          <w:marTop w:val="200"/>
          <w:marBottom w:val="0"/>
          <w:divBdr>
            <w:top w:val="none" w:sz="0" w:space="0" w:color="auto"/>
            <w:left w:val="none" w:sz="0" w:space="0" w:color="auto"/>
            <w:bottom w:val="none" w:sz="0" w:space="0" w:color="auto"/>
            <w:right w:val="none" w:sz="0" w:space="0" w:color="auto"/>
          </w:divBdr>
        </w:div>
      </w:divsChild>
    </w:div>
    <w:div w:id="546571196">
      <w:bodyDiv w:val="1"/>
      <w:marLeft w:val="0"/>
      <w:marRight w:val="0"/>
      <w:marTop w:val="0"/>
      <w:marBottom w:val="0"/>
      <w:divBdr>
        <w:top w:val="none" w:sz="0" w:space="0" w:color="auto"/>
        <w:left w:val="none" w:sz="0" w:space="0" w:color="auto"/>
        <w:bottom w:val="none" w:sz="0" w:space="0" w:color="auto"/>
        <w:right w:val="none" w:sz="0" w:space="0" w:color="auto"/>
      </w:divBdr>
    </w:div>
    <w:div w:id="632977590">
      <w:bodyDiv w:val="1"/>
      <w:marLeft w:val="0"/>
      <w:marRight w:val="0"/>
      <w:marTop w:val="0"/>
      <w:marBottom w:val="0"/>
      <w:divBdr>
        <w:top w:val="none" w:sz="0" w:space="0" w:color="auto"/>
        <w:left w:val="none" w:sz="0" w:space="0" w:color="auto"/>
        <w:bottom w:val="none" w:sz="0" w:space="0" w:color="auto"/>
        <w:right w:val="none" w:sz="0" w:space="0" w:color="auto"/>
      </w:divBdr>
      <w:divsChild>
        <w:div w:id="548886312">
          <w:marLeft w:val="446"/>
          <w:marRight w:val="0"/>
          <w:marTop w:val="0"/>
          <w:marBottom w:val="0"/>
          <w:divBdr>
            <w:top w:val="none" w:sz="0" w:space="0" w:color="auto"/>
            <w:left w:val="none" w:sz="0" w:space="0" w:color="auto"/>
            <w:bottom w:val="none" w:sz="0" w:space="0" w:color="auto"/>
            <w:right w:val="none" w:sz="0" w:space="0" w:color="auto"/>
          </w:divBdr>
        </w:div>
        <w:div w:id="878083484">
          <w:marLeft w:val="446"/>
          <w:marRight w:val="0"/>
          <w:marTop w:val="0"/>
          <w:marBottom w:val="0"/>
          <w:divBdr>
            <w:top w:val="none" w:sz="0" w:space="0" w:color="auto"/>
            <w:left w:val="none" w:sz="0" w:space="0" w:color="auto"/>
            <w:bottom w:val="none" w:sz="0" w:space="0" w:color="auto"/>
            <w:right w:val="none" w:sz="0" w:space="0" w:color="auto"/>
          </w:divBdr>
        </w:div>
        <w:div w:id="1325740484">
          <w:marLeft w:val="446"/>
          <w:marRight w:val="0"/>
          <w:marTop w:val="0"/>
          <w:marBottom w:val="0"/>
          <w:divBdr>
            <w:top w:val="none" w:sz="0" w:space="0" w:color="auto"/>
            <w:left w:val="none" w:sz="0" w:space="0" w:color="auto"/>
            <w:bottom w:val="none" w:sz="0" w:space="0" w:color="auto"/>
            <w:right w:val="none" w:sz="0" w:space="0" w:color="auto"/>
          </w:divBdr>
        </w:div>
        <w:div w:id="1522357249">
          <w:marLeft w:val="446"/>
          <w:marRight w:val="0"/>
          <w:marTop w:val="0"/>
          <w:marBottom w:val="0"/>
          <w:divBdr>
            <w:top w:val="none" w:sz="0" w:space="0" w:color="auto"/>
            <w:left w:val="none" w:sz="0" w:space="0" w:color="auto"/>
            <w:bottom w:val="none" w:sz="0" w:space="0" w:color="auto"/>
            <w:right w:val="none" w:sz="0" w:space="0" w:color="auto"/>
          </w:divBdr>
        </w:div>
        <w:div w:id="1602496382">
          <w:marLeft w:val="446"/>
          <w:marRight w:val="0"/>
          <w:marTop w:val="0"/>
          <w:marBottom w:val="0"/>
          <w:divBdr>
            <w:top w:val="none" w:sz="0" w:space="0" w:color="auto"/>
            <w:left w:val="none" w:sz="0" w:space="0" w:color="auto"/>
            <w:bottom w:val="none" w:sz="0" w:space="0" w:color="auto"/>
            <w:right w:val="none" w:sz="0" w:space="0" w:color="auto"/>
          </w:divBdr>
        </w:div>
      </w:divsChild>
    </w:div>
    <w:div w:id="664356799">
      <w:bodyDiv w:val="1"/>
      <w:marLeft w:val="0"/>
      <w:marRight w:val="0"/>
      <w:marTop w:val="0"/>
      <w:marBottom w:val="0"/>
      <w:divBdr>
        <w:top w:val="none" w:sz="0" w:space="0" w:color="auto"/>
        <w:left w:val="none" w:sz="0" w:space="0" w:color="auto"/>
        <w:bottom w:val="none" w:sz="0" w:space="0" w:color="auto"/>
        <w:right w:val="none" w:sz="0" w:space="0" w:color="auto"/>
      </w:divBdr>
    </w:div>
    <w:div w:id="669137237">
      <w:bodyDiv w:val="1"/>
      <w:marLeft w:val="0"/>
      <w:marRight w:val="0"/>
      <w:marTop w:val="0"/>
      <w:marBottom w:val="0"/>
      <w:divBdr>
        <w:top w:val="none" w:sz="0" w:space="0" w:color="auto"/>
        <w:left w:val="none" w:sz="0" w:space="0" w:color="auto"/>
        <w:bottom w:val="none" w:sz="0" w:space="0" w:color="auto"/>
        <w:right w:val="none" w:sz="0" w:space="0" w:color="auto"/>
      </w:divBdr>
      <w:divsChild>
        <w:div w:id="1287662221">
          <w:marLeft w:val="274"/>
          <w:marRight w:val="0"/>
          <w:marTop w:val="0"/>
          <w:marBottom w:val="120"/>
          <w:divBdr>
            <w:top w:val="none" w:sz="0" w:space="0" w:color="auto"/>
            <w:left w:val="none" w:sz="0" w:space="0" w:color="auto"/>
            <w:bottom w:val="none" w:sz="0" w:space="0" w:color="auto"/>
            <w:right w:val="none" w:sz="0" w:space="0" w:color="auto"/>
          </w:divBdr>
        </w:div>
        <w:div w:id="1171722732">
          <w:marLeft w:val="274"/>
          <w:marRight w:val="0"/>
          <w:marTop w:val="0"/>
          <w:marBottom w:val="120"/>
          <w:divBdr>
            <w:top w:val="none" w:sz="0" w:space="0" w:color="auto"/>
            <w:left w:val="none" w:sz="0" w:space="0" w:color="auto"/>
            <w:bottom w:val="none" w:sz="0" w:space="0" w:color="auto"/>
            <w:right w:val="none" w:sz="0" w:space="0" w:color="auto"/>
          </w:divBdr>
        </w:div>
      </w:divsChild>
    </w:div>
    <w:div w:id="745030054">
      <w:bodyDiv w:val="1"/>
      <w:marLeft w:val="0"/>
      <w:marRight w:val="0"/>
      <w:marTop w:val="0"/>
      <w:marBottom w:val="0"/>
      <w:divBdr>
        <w:top w:val="none" w:sz="0" w:space="0" w:color="auto"/>
        <w:left w:val="none" w:sz="0" w:space="0" w:color="auto"/>
        <w:bottom w:val="none" w:sz="0" w:space="0" w:color="auto"/>
        <w:right w:val="none" w:sz="0" w:space="0" w:color="auto"/>
      </w:divBdr>
    </w:div>
    <w:div w:id="811563322">
      <w:bodyDiv w:val="1"/>
      <w:marLeft w:val="0"/>
      <w:marRight w:val="0"/>
      <w:marTop w:val="0"/>
      <w:marBottom w:val="0"/>
      <w:divBdr>
        <w:top w:val="none" w:sz="0" w:space="0" w:color="auto"/>
        <w:left w:val="none" w:sz="0" w:space="0" w:color="auto"/>
        <w:bottom w:val="none" w:sz="0" w:space="0" w:color="auto"/>
        <w:right w:val="none" w:sz="0" w:space="0" w:color="auto"/>
      </w:divBdr>
      <w:divsChild>
        <w:div w:id="1685203842">
          <w:marLeft w:val="360"/>
          <w:marRight w:val="0"/>
          <w:marTop w:val="200"/>
          <w:marBottom w:val="0"/>
          <w:divBdr>
            <w:top w:val="none" w:sz="0" w:space="0" w:color="auto"/>
            <w:left w:val="none" w:sz="0" w:space="0" w:color="auto"/>
            <w:bottom w:val="none" w:sz="0" w:space="0" w:color="auto"/>
            <w:right w:val="none" w:sz="0" w:space="0" w:color="auto"/>
          </w:divBdr>
        </w:div>
        <w:div w:id="1113130735">
          <w:marLeft w:val="360"/>
          <w:marRight w:val="0"/>
          <w:marTop w:val="200"/>
          <w:marBottom w:val="0"/>
          <w:divBdr>
            <w:top w:val="none" w:sz="0" w:space="0" w:color="auto"/>
            <w:left w:val="none" w:sz="0" w:space="0" w:color="auto"/>
            <w:bottom w:val="none" w:sz="0" w:space="0" w:color="auto"/>
            <w:right w:val="none" w:sz="0" w:space="0" w:color="auto"/>
          </w:divBdr>
        </w:div>
        <w:div w:id="875431454">
          <w:marLeft w:val="360"/>
          <w:marRight w:val="0"/>
          <w:marTop w:val="200"/>
          <w:marBottom w:val="0"/>
          <w:divBdr>
            <w:top w:val="none" w:sz="0" w:space="0" w:color="auto"/>
            <w:left w:val="none" w:sz="0" w:space="0" w:color="auto"/>
            <w:bottom w:val="none" w:sz="0" w:space="0" w:color="auto"/>
            <w:right w:val="none" w:sz="0" w:space="0" w:color="auto"/>
          </w:divBdr>
        </w:div>
      </w:divsChild>
    </w:div>
    <w:div w:id="1018387054">
      <w:bodyDiv w:val="1"/>
      <w:marLeft w:val="0"/>
      <w:marRight w:val="0"/>
      <w:marTop w:val="0"/>
      <w:marBottom w:val="0"/>
      <w:divBdr>
        <w:top w:val="none" w:sz="0" w:space="0" w:color="auto"/>
        <w:left w:val="none" w:sz="0" w:space="0" w:color="auto"/>
        <w:bottom w:val="none" w:sz="0" w:space="0" w:color="auto"/>
        <w:right w:val="none" w:sz="0" w:space="0" w:color="auto"/>
      </w:divBdr>
    </w:div>
    <w:div w:id="1065639757">
      <w:bodyDiv w:val="1"/>
      <w:marLeft w:val="0"/>
      <w:marRight w:val="0"/>
      <w:marTop w:val="0"/>
      <w:marBottom w:val="0"/>
      <w:divBdr>
        <w:top w:val="none" w:sz="0" w:space="0" w:color="auto"/>
        <w:left w:val="none" w:sz="0" w:space="0" w:color="auto"/>
        <w:bottom w:val="none" w:sz="0" w:space="0" w:color="auto"/>
        <w:right w:val="none" w:sz="0" w:space="0" w:color="auto"/>
      </w:divBdr>
    </w:div>
    <w:div w:id="1082918057">
      <w:bodyDiv w:val="1"/>
      <w:marLeft w:val="0"/>
      <w:marRight w:val="0"/>
      <w:marTop w:val="0"/>
      <w:marBottom w:val="0"/>
      <w:divBdr>
        <w:top w:val="none" w:sz="0" w:space="0" w:color="auto"/>
        <w:left w:val="none" w:sz="0" w:space="0" w:color="auto"/>
        <w:bottom w:val="none" w:sz="0" w:space="0" w:color="auto"/>
        <w:right w:val="none" w:sz="0" w:space="0" w:color="auto"/>
      </w:divBdr>
    </w:div>
    <w:div w:id="1091971392">
      <w:bodyDiv w:val="1"/>
      <w:marLeft w:val="0"/>
      <w:marRight w:val="0"/>
      <w:marTop w:val="0"/>
      <w:marBottom w:val="0"/>
      <w:divBdr>
        <w:top w:val="none" w:sz="0" w:space="0" w:color="auto"/>
        <w:left w:val="none" w:sz="0" w:space="0" w:color="auto"/>
        <w:bottom w:val="none" w:sz="0" w:space="0" w:color="auto"/>
        <w:right w:val="none" w:sz="0" w:space="0" w:color="auto"/>
      </w:divBdr>
      <w:divsChild>
        <w:div w:id="1289966396">
          <w:marLeft w:val="360"/>
          <w:marRight w:val="0"/>
          <w:marTop w:val="200"/>
          <w:marBottom w:val="0"/>
          <w:divBdr>
            <w:top w:val="none" w:sz="0" w:space="0" w:color="auto"/>
            <w:left w:val="none" w:sz="0" w:space="0" w:color="auto"/>
            <w:bottom w:val="none" w:sz="0" w:space="0" w:color="auto"/>
            <w:right w:val="none" w:sz="0" w:space="0" w:color="auto"/>
          </w:divBdr>
        </w:div>
        <w:div w:id="620458741">
          <w:marLeft w:val="360"/>
          <w:marRight w:val="0"/>
          <w:marTop w:val="200"/>
          <w:marBottom w:val="0"/>
          <w:divBdr>
            <w:top w:val="none" w:sz="0" w:space="0" w:color="auto"/>
            <w:left w:val="none" w:sz="0" w:space="0" w:color="auto"/>
            <w:bottom w:val="none" w:sz="0" w:space="0" w:color="auto"/>
            <w:right w:val="none" w:sz="0" w:space="0" w:color="auto"/>
          </w:divBdr>
        </w:div>
      </w:divsChild>
    </w:div>
    <w:div w:id="1121656127">
      <w:bodyDiv w:val="1"/>
      <w:marLeft w:val="0"/>
      <w:marRight w:val="0"/>
      <w:marTop w:val="0"/>
      <w:marBottom w:val="0"/>
      <w:divBdr>
        <w:top w:val="none" w:sz="0" w:space="0" w:color="auto"/>
        <w:left w:val="none" w:sz="0" w:space="0" w:color="auto"/>
        <w:bottom w:val="none" w:sz="0" w:space="0" w:color="auto"/>
        <w:right w:val="none" w:sz="0" w:space="0" w:color="auto"/>
      </w:divBdr>
    </w:div>
    <w:div w:id="1155534155">
      <w:bodyDiv w:val="1"/>
      <w:marLeft w:val="0"/>
      <w:marRight w:val="0"/>
      <w:marTop w:val="0"/>
      <w:marBottom w:val="0"/>
      <w:divBdr>
        <w:top w:val="none" w:sz="0" w:space="0" w:color="auto"/>
        <w:left w:val="none" w:sz="0" w:space="0" w:color="auto"/>
        <w:bottom w:val="none" w:sz="0" w:space="0" w:color="auto"/>
        <w:right w:val="none" w:sz="0" w:space="0" w:color="auto"/>
      </w:divBdr>
    </w:div>
    <w:div w:id="1311524020">
      <w:bodyDiv w:val="1"/>
      <w:marLeft w:val="0"/>
      <w:marRight w:val="0"/>
      <w:marTop w:val="0"/>
      <w:marBottom w:val="0"/>
      <w:divBdr>
        <w:top w:val="none" w:sz="0" w:space="0" w:color="auto"/>
        <w:left w:val="none" w:sz="0" w:space="0" w:color="auto"/>
        <w:bottom w:val="none" w:sz="0" w:space="0" w:color="auto"/>
        <w:right w:val="none" w:sz="0" w:space="0" w:color="auto"/>
      </w:divBdr>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775833300">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110973880">
          <w:marLeft w:val="0"/>
          <w:marRight w:val="0"/>
          <w:marTop w:val="0"/>
          <w:marBottom w:val="0"/>
          <w:divBdr>
            <w:top w:val="none" w:sz="0" w:space="0" w:color="auto"/>
            <w:left w:val="none" w:sz="0" w:space="0" w:color="auto"/>
            <w:bottom w:val="none" w:sz="0" w:space="0" w:color="auto"/>
            <w:right w:val="none" w:sz="0" w:space="0" w:color="auto"/>
          </w:divBdr>
        </w:div>
      </w:divsChild>
    </w:div>
    <w:div w:id="1460681942">
      <w:bodyDiv w:val="1"/>
      <w:marLeft w:val="0"/>
      <w:marRight w:val="0"/>
      <w:marTop w:val="0"/>
      <w:marBottom w:val="0"/>
      <w:divBdr>
        <w:top w:val="none" w:sz="0" w:space="0" w:color="auto"/>
        <w:left w:val="none" w:sz="0" w:space="0" w:color="auto"/>
        <w:bottom w:val="none" w:sz="0" w:space="0" w:color="auto"/>
        <w:right w:val="none" w:sz="0" w:space="0" w:color="auto"/>
      </w:divBdr>
      <w:divsChild>
        <w:div w:id="1947349482">
          <w:marLeft w:val="274"/>
          <w:marRight w:val="0"/>
          <w:marTop w:val="0"/>
          <w:marBottom w:val="120"/>
          <w:divBdr>
            <w:top w:val="none" w:sz="0" w:space="0" w:color="auto"/>
            <w:left w:val="none" w:sz="0" w:space="0" w:color="auto"/>
            <w:bottom w:val="none" w:sz="0" w:space="0" w:color="auto"/>
            <w:right w:val="none" w:sz="0" w:space="0" w:color="auto"/>
          </w:divBdr>
        </w:div>
        <w:div w:id="952128136">
          <w:marLeft w:val="274"/>
          <w:marRight w:val="0"/>
          <w:marTop w:val="0"/>
          <w:marBottom w:val="120"/>
          <w:divBdr>
            <w:top w:val="none" w:sz="0" w:space="0" w:color="auto"/>
            <w:left w:val="none" w:sz="0" w:space="0" w:color="auto"/>
            <w:bottom w:val="none" w:sz="0" w:space="0" w:color="auto"/>
            <w:right w:val="none" w:sz="0" w:space="0" w:color="auto"/>
          </w:divBdr>
        </w:div>
      </w:divsChild>
    </w:div>
    <w:div w:id="1493519902">
      <w:bodyDiv w:val="1"/>
      <w:marLeft w:val="0"/>
      <w:marRight w:val="0"/>
      <w:marTop w:val="0"/>
      <w:marBottom w:val="0"/>
      <w:divBdr>
        <w:top w:val="none" w:sz="0" w:space="0" w:color="auto"/>
        <w:left w:val="none" w:sz="0" w:space="0" w:color="auto"/>
        <w:bottom w:val="none" w:sz="0" w:space="0" w:color="auto"/>
        <w:right w:val="none" w:sz="0" w:space="0" w:color="auto"/>
      </w:divBdr>
      <w:divsChild>
        <w:div w:id="86779445">
          <w:marLeft w:val="360"/>
          <w:marRight w:val="0"/>
          <w:marTop w:val="200"/>
          <w:marBottom w:val="0"/>
          <w:divBdr>
            <w:top w:val="none" w:sz="0" w:space="0" w:color="auto"/>
            <w:left w:val="none" w:sz="0" w:space="0" w:color="auto"/>
            <w:bottom w:val="none" w:sz="0" w:space="0" w:color="auto"/>
            <w:right w:val="none" w:sz="0" w:space="0" w:color="auto"/>
          </w:divBdr>
        </w:div>
        <w:div w:id="352076009">
          <w:marLeft w:val="360"/>
          <w:marRight w:val="0"/>
          <w:marTop w:val="200"/>
          <w:marBottom w:val="0"/>
          <w:divBdr>
            <w:top w:val="none" w:sz="0" w:space="0" w:color="auto"/>
            <w:left w:val="none" w:sz="0" w:space="0" w:color="auto"/>
            <w:bottom w:val="none" w:sz="0" w:space="0" w:color="auto"/>
            <w:right w:val="none" w:sz="0" w:space="0" w:color="auto"/>
          </w:divBdr>
        </w:div>
        <w:div w:id="511650252">
          <w:marLeft w:val="360"/>
          <w:marRight w:val="0"/>
          <w:marTop w:val="200"/>
          <w:marBottom w:val="0"/>
          <w:divBdr>
            <w:top w:val="none" w:sz="0" w:space="0" w:color="auto"/>
            <w:left w:val="none" w:sz="0" w:space="0" w:color="auto"/>
            <w:bottom w:val="none" w:sz="0" w:space="0" w:color="auto"/>
            <w:right w:val="none" w:sz="0" w:space="0" w:color="auto"/>
          </w:divBdr>
        </w:div>
        <w:div w:id="1862667568">
          <w:marLeft w:val="360"/>
          <w:marRight w:val="0"/>
          <w:marTop w:val="200"/>
          <w:marBottom w:val="0"/>
          <w:divBdr>
            <w:top w:val="none" w:sz="0" w:space="0" w:color="auto"/>
            <w:left w:val="none" w:sz="0" w:space="0" w:color="auto"/>
            <w:bottom w:val="none" w:sz="0" w:space="0" w:color="auto"/>
            <w:right w:val="none" w:sz="0" w:space="0" w:color="auto"/>
          </w:divBdr>
        </w:div>
        <w:div w:id="2068720943">
          <w:marLeft w:val="360"/>
          <w:marRight w:val="0"/>
          <w:marTop w:val="200"/>
          <w:marBottom w:val="0"/>
          <w:divBdr>
            <w:top w:val="none" w:sz="0" w:space="0" w:color="auto"/>
            <w:left w:val="none" w:sz="0" w:space="0" w:color="auto"/>
            <w:bottom w:val="none" w:sz="0" w:space="0" w:color="auto"/>
            <w:right w:val="none" w:sz="0" w:space="0" w:color="auto"/>
          </w:divBdr>
        </w:div>
      </w:divsChild>
    </w:div>
    <w:div w:id="1567953428">
      <w:bodyDiv w:val="1"/>
      <w:marLeft w:val="0"/>
      <w:marRight w:val="0"/>
      <w:marTop w:val="0"/>
      <w:marBottom w:val="0"/>
      <w:divBdr>
        <w:top w:val="none" w:sz="0" w:space="0" w:color="auto"/>
        <w:left w:val="none" w:sz="0" w:space="0" w:color="auto"/>
        <w:bottom w:val="none" w:sz="0" w:space="0" w:color="auto"/>
        <w:right w:val="none" w:sz="0" w:space="0" w:color="auto"/>
      </w:divBdr>
      <w:divsChild>
        <w:div w:id="703596827">
          <w:marLeft w:val="360"/>
          <w:marRight w:val="0"/>
          <w:marTop w:val="200"/>
          <w:marBottom w:val="0"/>
          <w:divBdr>
            <w:top w:val="none" w:sz="0" w:space="0" w:color="auto"/>
            <w:left w:val="none" w:sz="0" w:space="0" w:color="auto"/>
            <w:bottom w:val="none" w:sz="0" w:space="0" w:color="auto"/>
            <w:right w:val="none" w:sz="0" w:space="0" w:color="auto"/>
          </w:divBdr>
        </w:div>
        <w:div w:id="1569994968">
          <w:marLeft w:val="360"/>
          <w:marRight w:val="0"/>
          <w:marTop w:val="200"/>
          <w:marBottom w:val="0"/>
          <w:divBdr>
            <w:top w:val="none" w:sz="0" w:space="0" w:color="auto"/>
            <w:left w:val="none" w:sz="0" w:space="0" w:color="auto"/>
            <w:bottom w:val="none" w:sz="0" w:space="0" w:color="auto"/>
            <w:right w:val="none" w:sz="0" w:space="0" w:color="auto"/>
          </w:divBdr>
        </w:div>
        <w:div w:id="1670907771">
          <w:marLeft w:val="360"/>
          <w:marRight w:val="0"/>
          <w:marTop w:val="20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1707134">
      <w:bodyDiv w:val="1"/>
      <w:marLeft w:val="0"/>
      <w:marRight w:val="0"/>
      <w:marTop w:val="0"/>
      <w:marBottom w:val="0"/>
      <w:divBdr>
        <w:top w:val="none" w:sz="0" w:space="0" w:color="auto"/>
        <w:left w:val="none" w:sz="0" w:space="0" w:color="auto"/>
        <w:bottom w:val="none" w:sz="0" w:space="0" w:color="auto"/>
        <w:right w:val="none" w:sz="0" w:space="0" w:color="auto"/>
      </w:divBdr>
    </w:div>
    <w:div w:id="1753620888">
      <w:bodyDiv w:val="1"/>
      <w:marLeft w:val="0"/>
      <w:marRight w:val="0"/>
      <w:marTop w:val="0"/>
      <w:marBottom w:val="0"/>
      <w:divBdr>
        <w:top w:val="none" w:sz="0" w:space="0" w:color="auto"/>
        <w:left w:val="none" w:sz="0" w:space="0" w:color="auto"/>
        <w:bottom w:val="none" w:sz="0" w:space="0" w:color="auto"/>
        <w:right w:val="none" w:sz="0" w:space="0" w:color="auto"/>
      </w:divBdr>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446893894">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484856942">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487675016">
          <w:marLeft w:val="0"/>
          <w:marRight w:val="0"/>
          <w:marTop w:val="0"/>
          <w:marBottom w:val="0"/>
          <w:divBdr>
            <w:top w:val="none" w:sz="0" w:space="0" w:color="auto"/>
            <w:left w:val="none" w:sz="0" w:space="0" w:color="auto"/>
            <w:bottom w:val="none" w:sz="0" w:space="0" w:color="auto"/>
            <w:right w:val="none" w:sz="0" w:space="0" w:color="auto"/>
          </w:divBdr>
        </w:div>
        <w:div w:id="933628302">
          <w:marLeft w:val="0"/>
          <w:marRight w:val="0"/>
          <w:marTop w:val="0"/>
          <w:marBottom w:val="0"/>
          <w:divBdr>
            <w:top w:val="none" w:sz="0" w:space="0" w:color="auto"/>
            <w:left w:val="none" w:sz="0" w:space="0" w:color="auto"/>
            <w:bottom w:val="none" w:sz="0" w:space="0" w:color="auto"/>
            <w:right w:val="none" w:sz="0" w:space="0" w:color="auto"/>
          </w:divBdr>
        </w:div>
      </w:divsChild>
    </w:div>
    <w:div w:id="2042121212">
      <w:bodyDiv w:val="1"/>
      <w:marLeft w:val="0"/>
      <w:marRight w:val="0"/>
      <w:marTop w:val="0"/>
      <w:marBottom w:val="0"/>
      <w:divBdr>
        <w:top w:val="none" w:sz="0" w:space="0" w:color="auto"/>
        <w:left w:val="none" w:sz="0" w:space="0" w:color="auto"/>
        <w:bottom w:val="none" w:sz="0" w:space="0" w:color="auto"/>
        <w:right w:val="none" w:sz="0" w:space="0" w:color="auto"/>
      </w:divBdr>
      <w:divsChild>
        <w:div w:id="807626172">
          <w:marLeft w:val="360"/>
          <w:marRight w:val="0"/>
          <w:marTop w:val="200"/>
          <w:marBottom w:val="0"/>
          <w:divBdr>
            <w:top w:val="none" w:sz="0" w:space="0" w:color="auto"/>
            <w:left w:val="none" w:sz="0" w:space="0" w:color="auto"/>
            <w:bottom w:val="none" w:sz="0" w:space="0" w:color="auto"/>
            <w:right w:val="none" w:sz="0" w:space="0" w:color="auto"/>
          </w:divBdr>
        </w:div>
        <w:div w:id="644310572">
          <w:marLeft w:val="360"/>
          <w:marRight w:val="0"/>
          <w:marTop w:val="200"/>
          <w:marBottom w:val="0"/>
          <w:divBdr>
            <w:top w:val="none" w:sz="0" w:space="0" w:color="auto"/>
            <w:left w:val="none" w:sz="0" w:space="0" w:color="auto"/>
            <w:bottom w:val="none" w:sz="0" w:space="0" w:color="auto"/>
            <w:right w:val="none" w:sz="0" w:space="0" w:color="auto"/>
          </w:divBdr>
        </w:div>
        <w:div w:id="1168600537">
          <w:marLeft w:val="360"/>
          <w:marRight w:val="0"/>
          <w:marTop w:val="200"/>
          <w:marBottom w:val="0"/>
          <w:divBdr>
            <w:top w:val="none" w:sz="0" w:space="0" w:color="auto"/>
            <w:left w:val="none" w:sz="0" w:space="0" w:color="auto"/>
            <w:bottom w:val="none" w:sz="0" w:space="0" w:color="auto"/>
            <w:right w:val="none" w:sz="0" w:space="0" w:color="auto"/>
          </w:divBdr>
        </w:div>
        <w:div w:id="884828643">
          <w:marLeft w:val="1080"/>
          <w:marRight w:val="0"/>
          <w:marTop w:val="100"/>
          <w:marBottom w:val="0"/>
          <w:divBdr>
            <w:top w:val="none" w:sz="0" w:space="0" w:color="auto"/>
            <w:left w:val="none" w:sz="0" w:space="0" w:color="auto"/>
            <w:bottom w:val="none" w:sz="0" w:space="0" w:color="auto"/>
            <w:right w:val="none" w:sz="0" w:space="0" w:color="auto"/>
          </w:divBdr>
        </w:div>
        <w:div w:id="2146509953">
          <w:marLeft w:val="1080"/>
          <w:marRight w:val="0"/>
          <w:marTop w:val="100"/>
          <w:marBottom w:val="0"/>
          <w:divBdr>
            <w:top w:val="none" w:sz="0" w:space="0" w:color="auto"/>
            <w:left w:val="none" w:sz="0" w:space="0" w:color="auto"/>
            <w:bottom w:val="none" w:sz="0" w:space="0" w:color="auto"/>
            <w:right w:val="none" w:sz="0" w:space="0" w:color="auto"/>
          </w:divBdr>
        </w:div>
      </w:divsChild>
    </w:div>
    <w:div w:id="2068603107">
      <w:bodyDiv w:val="1"/>
      <w:marLeft w:val="0"/>
      <w:marRight w:val="0"/>
      <w:marTop w:val="0"/>
      <w:marBottom w:val="0"/>
      <w:divBdr>
        <w:top w:val="none" w:sz="0" w:space="0" w:color="auto"/>
        <w:left w:val="none" w:sz="0" w:space="0" w:color="auto"/>
        <w:bottom w:val="none" w:sz="0" w:space="0" w:color="auto"/>
        <w:right w:val="none" w:sz="0" w:space="0" w:color="auto"/>
      </w:divBdr>
    </w:div>
    <w:div w:id="2104258811">
      <w:bodyDiv w:val="1"/>
      <w:marLeft w:val="0"/>
      <w:marRight w:val="0"/>
      <w:marTop w:val="0"/>
      <w:marBottom w:val="0"/>
      <w:divBdr>
        <w:top w:val="none" w:sz="0" w:space="0" w:color="auto"/>
        <w:left w:val="none" w:sz="0" w:space="0" w:color="auto"/>
        <w:bottom w:val="none" w:sz="0" w:space="0" w:color="auto"/>
        <w:right w:val="none" w:sz="0" w:space="0" w:color="auto"/>
      </w:divBdr>
      <w:divsChild>
        <w:div w:id="329337190">
          <w:marLeft w:val="1080"/>
          <w:marRight w:val="0"/>
          <w:marTop w:val="100"/>
          <w:marBottom w:val="0"/>
          <w:divBdr>
            <w:top w:val="none" w:sz="0" w:space="0" w:color="auto"/>
            <w:left w:val="none" w:sz="0" w:space="0" w:color="auto"/>
            <w:bottom w:val="none" w:sz="0" w:space="0" w:color="auto"/>
            <w:right w:val="none" w:sz="0" w:space="0" w:color="auto"/>
          </w:divBdr>
        </w:div>
        <w:div w:id="477578976">
          <w:marLeft w:val="1080"/>
          <w:marRight w:val="0"/>
          <w:marTop w:val="100"/>
          <w:marBottom w:val="0"/>
          <w:divBdr>
            <w:top w:val="none" w:sz="0" w:space="0" w:color="auto"/>
            <w:left w:val="none" w:sz="0" w:space="0" w:color="auto"/>
            <w:bottom w:val="none" w:sz="0" w:space="0" w:color="auto"/>
            <w:right w:val="none" w:sz="0" w:space="0" w:color="auto"/>
          </w:divBdr>
        </w:div>
        <w:div w:id="568614125">
          <w:marLeft w:val="1080"/>
          <w:marRight w:val="0"/>
          <w:marTop w:val="100"/>
          <w:marBottom w:val="0"/>
          <w:divBdr>
            <w:top w:val="none" w:sz="0" w:space="0" w:color="auto"/>
            <w:left w:val="none" w:sz="0" w:space="0" w:color="auto"/>
            <w:bottom w:val="none" w:sz="0" w:space="0" w:color="auto"/>
            <w:right w:val="none" w:sz="0" w:space="0" w:color="auto"/>
          </w:divBdr>
        </w:div>
        <w:div w:id="613098799">
          <w:marLeft w:val="1080"/>
          <w:marRight w:val="0"/>
          <w:marTop w:val="100"/>
          <w:marBottom w:val="0"/>
          <w:divBdr>
            <w:top w:val="none" w:sz="0" w:space="0" w:color="auto"/>
            <w:left w:val="none" w:sz="0" w:space="0" w:color="auto"/>
            <w:bottom w:val="none" w:sz="0" w:space="0" w:color="auto"/>
            <w:right w:val="none" w:sz="0" w:space="0" w:color="auto"/>
          </w:divBdr>
        </w:div>
        <w:div w:id="616448347">
          <w:marLeft w:val="360"/>
          <w:marRight w:val="0"/>
          <w:marTop w:val="200"/>
          <w:marBottom w:val="0"/>
          <w:divBdr>
            <w:top w:val="none" w:sz="0" w:space="0" w:color="auto"/>
            <w:left w:val="none" w:sz="0" w:space="0" w:color="auto"/>
            <w:bottom w:val="none" w:sz="0" w:space="0" w:color="auto"/>
            <w:right w:val="none" w:sz="0" w:space="0" w:color="auto"/>
          </w:divBdr>
        </w:div>
        <w:div w:id="722679523">
          <w:marLeft w:val="1080"/>
          <w:marRight w:val="0"/>
          <w:marTop w:val="100"/>
          <w:marBottom w:val="0"/>
          <w:divBdr>
            <w:top w:val="none" w:sz="0" w:space="0" w:color="auto"/>
            <w:left w:val="none" w:sz="0" w:space="0" w:color="auto"/>
            <w:bottom w:val="none" w:sz="0" w:space="0" w:color="auto"/>
            <w:right w:val="none" w:sz="0" w:space="0" w:color="auto"/>
          </w:divBdr>
        </w:div>
        <w:div w:id="1026448490">
          <w:marLeft w:val="360"/>
          <w:marRight w:val="0"/>
          <w:marTop w:val="200"/>
          <w:marBottom w:val="0"/>
          <w:divBdr>
            <w:top w:val="none" w:sz="0" w:space="0" w:color="auto"/>
            <w:left w:val="none" w:sz="0" w:space="0" w:color="auto"/>
            <w:bottom w:val="none" w:sz="0" w:space="0" w:color="auto"/>
            <w:right w:val="none" w:sz="0" w:space="0" w:color="auto"/>
          </w:divBdr>
        </w:div>
        <w:div w:id="1257784009">
          <w:marLeft w:val="1080"/>
          <w:marRight w:val="0"/>
          <w:marTop w:val="100"/>
          <w:marBottom w:val="0"/>
          <w:divBdr>
            <w:top w:val="none" w:sz="0" w:space="0" w:color="auto"/>
            <w:left w:val="none" w:sz="0" w:space="0" w:color="auto"/>
            <w:bottom w:val="none" w:sz="0" w:space="0" w:color="auto"/>
            <w:right w:val="none" w:sz="0" w:space="0" w:color="auto"/>
          </w:divBdr>
        </w:div>
        <w:div w:id="1698919950">
          <w:marLeft w:val="1080"/>
          <w:marRight w:val="0"/>
          <w:marTop w:val="100"/>
          <w:marBottom w:val="0"/>
          <w:divBdr>
            <w:top w:val="none" w:sz="0" w:space="0" w:color="auto"/>
            <w:left w:val="none" w:sz="0" w:space="0" w:color="auto"/>
            <w:bottom w:val="none" w:sz="0" w:space="0" w:color="auto"/>
            <w:right w:val="none" w:sz="0" w:space="0" w:color="auto"/>
          </w:divBdr>
        </w:div>
        <w:div w:id="1924338901">
          <w:marLeft w:val="360"/>
          <w:marRight w:val="0"/>
          <w:marTop w:val="200"/>
          <w:marBottom w:val="0"/>
          <w:divBdr>
            <w:top w:val="none" w:sz="0" w:space="0" w:color="auto"/>
            <w:left w:val="none" w:sz="0" w:space="0" w:color="auto"/>
            <w:bottom w:val="none" w:sz="0" w:space="0" w:color="auto"/>
            <w:right w:val="none" w:sz="0" w:space="0" w:color="auto"/>
          </w:divBdr>
        </w:div>
        <w:div w:id="205214917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265C-0EB4-418D-945D-C357244A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27824</Words>
  <Characters>158598</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186050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2019-10-23T09:36:00Z</cp:lastPrinted>
  <dcterms:created xsi:type="dcterms:W3CDTF">2022-10-25T16:04:00Z</dcterms:created>
  <dcterms:modified xsi:type="dcterms:W3CDTF">2022-10-25T16:04:00Z</dcterms:modified>
</cp:coreProperties>
</file>