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24B" w:rsidRPr="00807837" w:rsidRDefault="00807837" w:rsidP="00807837">
      <w:pPr>
        <w:spacing w:after="0" w:line="240" w:lineRule="auto"/>
        <w:rPr>
          <w:rFonts w:ascii="Arial" w:eastAsia="Calibri" w:hAnsi="Arial" w:cs="Arial"/>
          <w:b/>
          <w:sz w:val="20"/>
          <w:szCs w:val="20"/>
        </w:rPr>
      </w:pPr>
      <w:r w:rsidRPr="00807837">
        <w:rPr>
          <w:rFonts w:ascii="Arial" w:eastAsia="Calibri" w:hAnsi="Arial" w:cs="Arial"/>
          <w:b/>
          <w:sz w:val="20"/>
          <w:szCs w:val="20"/>
        </w:rPr>
        <w:t xml:space="preserve">Budgetary Review and Recommendation Report of the Portfolio Committee on Tourism, Dated 25 October 2022       </w:t>
      </w:r>
    </w:p>
    <w:p w:rsidR="0072224B" w:rsidRPr="00807837" w:rsidRDefault="0072224B" w:rsidP="00807837">
      <w:pPr>
        <w:spacing w:after="0" w:line="240" w:lineRule="auto"/>
        <w:rPr>
          <w:rFonts w:ascii="Arial" w:hAnsi="Arial" w:cs="Arial"/>
          <w:sz w:val="20"/>
          <w:szCs w:val="20"/>
        </w:rPr>
      </w:pPr>
    </w:p>
    <w:p w:rsidR="0072224B" w:rsidRPr="00807837" w:rsidRDefault="0072224B" w:rsidP="00807837">
      <w:pPr>
        <w:spacing w:after="0" w:line="240" w:lineRule="auto"/>
        <w:rPr>
          <w:rFonts w:ascii="Arial" w:eastAsia="Calibri" w:hAnsi="Arial" w:cs="Arial"/>
          <w:sz w:val="20"/>
          <w:szCs w:val="20"/>
        </w:rPr>
      </w:pPr>
      <w:r w:rsidRPr="00807837">
        <w:rPr>
          <w:rFonts w:ascii="Arial" w:eastAsia="Calibri" w:hAnsi="Arial" w:cs="Arial"/>
          <w:sz w:val="20"/>
          <w:szCs w:val="20"/>
        </w:rPr>
        <w:t>The Portfolio Committee on Tourism</w:t>
      </w:r>
      <w:r w:rsidR="00E312A8" w:rsidRPr="00807837">
        <w:rPr>
          <w:rFonts w:ascii="Arial" w:eastAsia="Calibri" w:hAnsi="Arial" w:cs="Arial"/>
          <w:sz w:val="20"/>
          <w:szCs w:val="20"/>
        </w:rPr>
        <w:t xml:space="preserve"> (hereafter referred to as the Committee)</w:t>
      </w:r>
      <w:r w:rsidRPr="00807837">
        <w:rPr>
          <w:rFonts w:ascii="Arial" w:eastAsia="Calibri" w:hAnsi="Arial" w:cs="Arial"/>
          <w:sz w:val="20"/>
          <w:szCs w:val="20"/>
        </w:rPr>
        <w:t xml:space="preserve">, having considered the </w:t>
      </w:r>
      <w:r w:rsidR="00616416" w:rsidRPr="00807837">
        <w:rPr>
          <w:rFonts w:ascii="Arial" w:eastAsia="Calibri" w:hAnsi="Arial" w:cs="Arial"/>
          <w:sz w:val="20"/>
          <w:szCs w:val="20"/>
        </w:rPr>
        <w:t xml:space="preserve">financial and non-financial </w:t>
      </w:r>
      <w:r w:rsidRPr="00807837">
        <w:rPr>
          <w:rFonts w:ascii="Arial" w:eastAsia="Calibri" w:hAnsi="Arial" w:cs="Arial"/>
          <w:sz w:val="20"/>
          <w:szCs w:val="20"/>
        </w:rPr>
        <w:t xml:space="preserve">performance of the </w:t>
      </w:r>
      <w:r w:rsidR="00E2146A" w:rsidRPr="00807837">
        <w:rPr>
          <w:rFonts w:ascii="Arial" w:eastAsia="Calibri" w:hAnsi="Arial" w:cs="Arial"/>
          <w:sz w:val="20"/>
          <w:szCs w:val="20"/>
        </w:rPr>
        <w:t xml:space="preserve">Department of Tourism (hereafter referred to as the </w:t>
      </w:r>
      <w:r w:rsidR="002E12F0" w:rsidRPr="00807837">
        <w:rPr>
          <w:rFonts w:ascii="Arial" w:eastAsia="Calibri" w:hAnsi="Arial" w:cs="Arial"/>
          <w:sz w:val="20"/>
          <w:szCs w:val="20"/>
        </w:rPr>
        <w:t>Department) and</w:t>
      </w:r>
      <w:r w:rsidRPr="00807837">
        <w:rPr>
          <w:rFonts w:ascii="Arial" w:eastAsia="Calibri" w:hAnsi="Arial" w:cs="Arial"/>
          <w:sz w:val="20"/>
          <w:szCs w:val="20"/>
        </w:rPr>
        <w:t xml:space="preserve"> South African Tourism </w:t>
      </w:r>
      <w:r w:rsidR="00E2146A" w:rsidRPr="00807837">
        <w:rPr>
          <w:rFonts w:ascii="Arial" w:eastAsia="Calibri" w:hAnsi="Arial" w:cs="Arial"/>
          <w:sz w:val="20"/>
          <w:szCs w:val="20"/>
        </w:rPr>
        <w:t xml:space="preserve">(hereafter referred to as SA Tourism) </w:t>
      </w:r>
      <w:r w:rsidR="00F207FF" w:rsidRPr="00807837">
        <w:rPr>
          <w:rFonts w:ascii="Arial" w:eastAsia="Calibri" w:hAnsi="Arial" w:cs="Arial"/>
          <w:sz w:val="20"/>
          <w:szCs w:val="20"/>
        </w:rPr>
        <w:t>for the 202</w:t>
      </w:r>
      <w:r w:rsidR="00BE6EC7" w:rsidRPr="00807837">
        <w:rPr>
          <w:rFonts w:ascii="Arial" w:eastAsia="Calibri" w:hAnsi="Arial" w:cs="Arial"/>
          <w:sz w:val="20"/>
          <w:szCs w:val="20"/>
        </w:rPr>
        <w:t>1</w:t>
      </w:r>
      <w:r w:rsidR="00F207FF" w:rsidRPr="00807837">
        <w:rPr>
          <w:rFonts w:ascii="Arial" w:eastAsia="Calibri" w:hAnsi="Arial" w:cs="Arial"/>
          <w:sz w:val="20"/>
          <w:szCs w:val="20"/>
        </w:rPr>
        <w:t>/2</w:t>
      </w:r>
      <w:r w:rsidR="00BE6EC7" w:rsidRPr="00807837">
        <w:rPr>
          <w:rFonts w:ascii="Arial" w:eastAsia="Calibri" w:hAnsi="Arial" w:cs="Arial"/>
          <w:sz w:val="20"/>
          <w:szCs w:val="20"/>
        </w:rPr>
        <w:t>2</w:t>
      </w:r>
      <w:r w:rsidRPr="00807837">
        <w:rPr>
          <w:rFonts w:ascii="Arial" w:eastAsia="Calibri" w:hAnsi="Arial" w:cs="Arial"/>
          <w:sz w:val="20"/>
          <w:szCs w:val="20"/>
        </w:rPr>
        <w:t xml:space="preserve"> financial year, re</w:t>
      </w:r>
      <w:bookmarkStart w:id="0" w:name="_GoBack"/>
      <w:bookmarkEnd w:id="0"/>
      <w:r w:rsidRPr="00807837">
        <w:rPr>
          <w:rFonts w:ascii="Arial" w:eastAsia="Calibri" w:hAnsi="Arial" w:cs="Arial"/>
          <w:sz w:val="20"/>
          <w:szCs w:val="20"/>
        </w:rPr>
        <w:t>ports as follows:</w:t>
      </w:r>
    </w:p>
    <w:p w:rsidR="0072224B" w:rsidRPr="00807837" w:rsidRDefault="0072224B" w:rsidP="00807837">
      <w:pPr>
        <w:spacing w:after="0" w:line="240" w:lineRule="auto"/>
        <w:rPr>
          <w:rFonts w:ascii="Arial" w:eastAsia="Calibri" w:hAnsi="Arial" w:cs="Arial"/>
          <w:sz w:val="20"/>
          <w:szCs w:val="20"/>
        </w:rPr>
      </w:pPr>
    </w:p>
    <w:p w:rsidR="00FA0D88" w:rsidRPr="00807837" w:rsidRDefault="0072224B" w:rsidP="00807837">
      <w:pPr>
        <w:spacing w:after="0" w:line="240" w:lineRule="auto"/>
        <w:rPr>
          <w:rFonts w:ascii="Arial" w:eastAsia="Calibri" w:hAnsi="Arial" w:cs="Arial"/>
          <w:b/>
          <w:sz w:val="20"/>
          <w:szCs w:val="20"/>
        </w:rPr>
      </w:pPr>
      <w:r w:rsidRPr="00807837">
        <w:rPr>
          <w:rFonts w:ascii="Arial" w:eastAsia="Calibri" w:hAnsi="Arial" w:cs="Arial"/>
          <w:b/>
          <w:sz w:val="20"/>
          <w:szCs w:val="20"/>
        </w:rPr>
        <w:t>1.</w:t>
      </w:r>
      <w:r w:rsidRPr="00807837">
        <w:rPr>
          <w:rFonts w:ascii="Arial" w:eastAsia="Calibri" w:hAnsi="Arial" w:cs="Arial"/>
          <w:b/>
          <w:sz w:val="20"/>
          <w:szCs w:val="20"/>
        </w:rPr>
        <w:tab/>
        <w:t>INTRODUCTION</w:t>
      </w:r>
    </w:p>
    <w:p w:rsidR="00FA0D88" w:rsidRPr="00807837" w:rsidRDefault="00FA0D88" w:rsidP="00807837">
      <w:pPr>
        <w:spacing w:after="0" w:line="240" w:lineRule="auto"/>
        <w:rPr>
          <w:rFonts w:ascii="Arial" w:eastAsia="Calibri" w:hAnsi="Arial" w:cs="Arial"/>
          <w:b/>
          <w:sz w:val="20"/>
          <w:szCs w:val="20"/>
        </w:rPr>
      </w:pPr>
    </w:p>
    <w:p w:rsidR="008C03A6" w:rsidRPr="00807837" w:rsidRDefault="002E63B6" w:rsidP="00807837">
      <w:pPr>
        <w:spacing w:after="0" w:line="240" w:lineRule="auto"/>
        <w:rPr>
          <w:rFonts w:ascii="Arial" w:hAnsi="Arial" w:cs="Arial"/>
          <w:sz w:val="20"/>
          <w:szCs w:val="20"/>
        </w:rPr>
      </w:pPr>
      <w:r w:rsidRPr="00807837">
        <w:rPr>
          <w:rFonts w:ascii="Arial" w:hAnsi="Arial" w:cs="Arial"/>
          <w:sz w:val="20"/>
          <w:szCs w:val="20"/>
        </w:rPr>
        <w:t xml:space="preserve">The tourism sector plays a critical role in boosting the economy of South Africa through foreign currency earnings. The sector is also of paramount importance in diplomacy as it interacts with a myriad of international </w:t>
      </w:r>
      <w:r w:rsidR="00720739" w:rsidRPr="00807837">
        <w:rPr>
          <w:rFonts w:ascii="Arial" w:hAnsi="Arial" w:cs="Arial"/>
          <w:sz w:val="20"/>
          <w:szCs w:val="20"/>
        </w:rPr>
        <w:t>markets</w:t>
      </w:r>
      <w:r w:rsidRPr="00807837">
        <w:rPr>
          <w:rFonts w:ascii="Arial" w:hAnsi="Arial" w:cs="Arial"/>
          <w:sz w:val="20"/>
          <w:szCs w:val="20"/>
        </w:rPr>
        <w:t>, which improves the political and economic ties of South Africa with many countries. The economic and political diplomacy of tourism is ever increasing as the country now participates in a number of international</w:t>
      </w:r>
      <w:r w:rsidR="00490892" w:rsidRPr="00807837">
        <w:rPr>
          <w:rFonts w:ascii="Arial" w:hAnsi="Arial" w:cs="Arial"/>
          <w:sz w:val="20"/>
          <w:szCs w:val="20"/>
        </w:rPr>
        <w:t xml:space="preserve"> platforms</w:t>
      </w:r>
      <w:r w:rsidRPr="00807837">
        <w:rPr>
          <w:rFonts w:ascii="Arial" w:hAnsi="Arial" w:cs="Arial"/>
          <w:sz w:val="20"/>
          <w:szCs w:val="20"/>
        </w:rPr>
        <w:t xml:space="preserve"> such as the United </w:t>
      </w:r>
      <w:r w:rsidR="008C03A6" w:rsidRPr="00807837">
        <w:rPr>
          <w:rFonts w:ascii="Arial" w:hAnsi="Arial" w:cs="Arial"/>
          <w:sz w:val="20"/>
          <w:szCs w:val="20"/>
        </w:rPr>
        <w:t>Na</w:t>
      </w:r>
      <w:r w:rsidRPr="00807837">
        <w:rPr>
          <w:rFonts w:ascii="Arial" w:hAnsi="Arial" w:cs="Arial"/>
          <w:sz w:val="20"/>
          <w:szCs w:val="20"/>
        </w:rPr>
        <w:t>tion</w:t>
      </w:r>
      <w:r w:rsidR="008C03A6" w:rsidRPr="00807837">
        <w:rPr>
          <w:rFonts w:ascii="Arial" w:hAnsi="Arial" w:cs="Arial"/>
          <w:sz w:val="20"/>
          <w:szCs w:val="20"/>
        </w:rPr>
        <w:t>s</w:t>
      </w:r>
      <w:r w:rsidRPr="00807837">
        <w:rPr>
          <w:rFonts w:ascii="Arial" w:hAnsi="Arial" w:cs="Arial"/>
          <w:sz w:val="20"/>
          <w:szCs w:val="20"/>
        </w:rPr>
        <w:t xml:space="preserve"> World Tourism </w:t>
      </w:r>
      <w:r w:rsidR="00720739" w:rsidRPr="00807837">
        <w:rPr>
          <w:rFonts w:ascii="Arial" w:hAnsi="Arial" w:cs="Arial"/>
          <w:sz w:val="20"/>
          <w:szCs w:val="20"/>
        </w:rPr>
        <w:t>Organisation</w:t>
      </w:r>
      <w:r w:rsidRPr="00807837">
        <w:rPr>
          <w:rFonts w:ascii="Arial" w:hAnsi="Arial" w:cs="Arial"/>
          <w:sz w:val="20"/>
          <w:szCs w:val="20"/>
        </w:rPr>
        <w:t xml:space="preserve"> (UNWTO); </w:t>
      </w:r>
      <w:r w:rsidR="008C03A6" w:rsidRPr="00807837">
        <w:rPr>
          <w:rFonts w:ascii="Arial" w:hAnsi="Arial" w:cs="Arial"/>
          <w:sz w:val="20"/>
          <w:szCs w:val="20"/>
        </w:rPr>
        <w:t>Indian Ocean Rim Association (</w:t>
      </w:r>
      <w:r w:rsidR="00D02A00" w:rsidRPr="00807837">
        <w:rPr>
          <w:rFonts w:ascii="Arial" w:hAnsi="Arial" w:cs="Arial"/>
          <w:sz w:val="20"/>
          <w:szCs w:val="20"/>
        </w:rPr>
        <w:t>IORA</w:t>
      </w:r>
      <w:r w:rsidR="008C03A6" w:rsidRPr="00807837">
        <w:rPr>
          <w:rFonts w:ascii="Arial" w:hAnsi="Arial" w:cs="Arial"/>
          <w:sz w:val="20"/>
          <w:szCs w:val="20"/>
        </w:rPr>
        <w:t>)</w:t>
      </w:r>
      <w:r w:rsidR="00D02A00" w:rsidRPr="00807837">
        <w:rPr>
          <w:rFonts w:ascii="Arial" w:hAnsi="Arial" w:cs="Arial"/>
          <w:sz w:val="20"/>
          <w:szCs w:val="20"/>
        </w:rPr>
        <w:t>,</w:t>
      </w:r>
      <w:r w:rsidR="008C03A6" w:rsidRPr="00807837">
        <w:rPr>
          <w:rFonts w:ascii="Arial" w:hAnsi="Arial" w:cs="Arial"/>
          <w:sz w:val="20"/>
          <w:szCs w:val="20"/>
        </w:rPr>
        <w:t xml:space="preserve"> </w:t>
      </w:r>
      <w:r w:rsidR="00D02A00" w:rsidRPr="00807837">
        <w:rPr>
          <w:rFonts w:ascii="Arial" w:hAnsi="Arial" w:cs="Arial"/>
          <w:sz w:val="20"/>
          <w:szCs w:val="20"/>
        </w:rPr>
        <w:t>G20,</w:t>
      </w:r>
      <w:r w:rsidR="008C03A6" w:rsidRPr="00807837">
        <w:rPr>
          <w:rFonts w:ascii="Arial" w:hAnsi="Arial" w:cs="Arial"/>
          <w:sz w:val="20"/>
          <w:szCs w:val="20"/>
        </w:rPr>
        <w:t xml:space="preserve"> </w:t>
      </w:r>
      <w:r w:rsidR="00D02A00" w:rsidRPr="00807837">
        <w:rPr>
          <w:rFonts w:ascii="Arial" w:hAnsi="Arial" w:cs="Arial"/>
          <w:sz w:val="20"/>
          <w:szCs w:val="20"/>
        </w:rPr>
        <w:t>BRICS</w:t>
      </w:r>
      <w:r w:rsidR="008C03A6" w:rsidRPr="00807837">
        <w:rPr>
          <w:rFonts w:ascii="Arial" w:hAnsi="Arial" w:cs="Arial"/>
          <w:sz w:val="20"/>
          <w:szCs w:val="20"/>
        </w:rPr>
        <w:t xml:space="preserve">, </w:t>
      </w:r>
      <w:r w:rsidR="00D02A00" w:rsidRPr="00807837">
        <w:rPr>
          <w:rFonts w:ascii="Arial" w:hAnsi="Arial" w:cs="Arial"/>
          <w:sz w:val="20"/>
          <w:szCs w:val="20"/>
        </w:rPr>
        <w:t>A</w:t>
      </w:r>
      <w:r w:rsidR="008C03A6" w:rsidRPr="00807837">
        <w:rPr>
          <w:rFonts w:ascii="Arial" w:hAnsi="Arial" w:cs="Arial"/>
          <w:sz w:val="20"/>
          <w:szCs w:val="20"/>
        </w:rPr>
        <w:t xml:space="preserve">frican </w:t>
      </w:r>
      <w:r w:rsidR="00D02A00" w:rsidRPr="00807837">
        <w:rPr>
          <w:rFonts w:ascii="Arial" w:hAnsi="Arial" w:cs="Arial"/>
          <w:sz w:val="20"/>
          <w:szCs w:val="20"/>
        </w:rPr>
        <w:t>U</w:t>
      </w:r>
      <w:r w:rsidR="008C03A6" w:rsidRPr="00807837">
        <w:rPr>
          <w:rFonts w:ascii="Arial" w:hAnsi="Arial" w:cs="Arial"/>
          <w:sz w:val="20"/>
          <w:szCs w:val="20"/>
        </w:rPr>
        <w:t xml:space="preserve">nion, and many other international bodies. </w:t>
      </w:r>
    </w:p>
    <w:p w:rsidR="00E506EA" w:rsidRPr="00807837" w:rsidRDefault="002E63B6" w:rsidP="00807837">
      <w:pPr>
        <w:spacing w:after="0" w:line="240" w:lineRule="auto"/>
        <w:rPr>
          <w:rFonts w:ascii="Arial" w:hAnsi="Arial" w:cs="Arial"/>
          <w:sz w:val="20"/>
          <w:szCs w:val="20"/>
        </w:rPr>
      </w:pPr>
      <w:r w:rsidRPr="00807837">
        <w:rPr>
          <w:rFonts w:ascii="Arial" w:hAnsi="Arial" w:cs="Arial"/>
          <w:sz w:val="20"/>
          <w:szCs w:val="20"/>
        </w:rPr>
        <w:t>The Committee is conducting oversight over the Department and SA Tourism to ensure that the constitu</w:t>
      </w:r>
      <w:r w:rsidR="00720739" w:rsidRPr="00807837">
        <w:rPr>
          <w:rFonts w:ascii="Arial" w:hAnsi="Arial" w:cs="Arial"/>
          <w:sz w:val="20"/>
          <w:szCs w:val="20"/>
        </w:rPr>
        <w:t>t</w:t>
      </w:r>
      <w:r w:rsidRPr="00807837">
        <w:rPr>
          <w:rFonts w:ascii="Arial" w:hAnsi="Arial" w:cs="Arial"/>
          <w:sz w:val="20"/>
          <w:szCs w:val="20"/>
        </w:rPr>
        <w:t>ional mandate of the portfolio is fulfilled.</w:t>
      </w:r>
      <w:r w:rsidR="008C03A6" w:rsidRPr="00807837">
        <w:rPr>
          <w:rFonts w:ascii="Arial" w:hAnsi="Arial" w:cs="Arial"/>
          <w:sz w:val="20"/>
          <w:szCs w:val="20"/>
        </w:rPr>
        <w:t xml:space="preserve"> The COVID-19 pandemic </w:t>
      </w:r>
      <w:r w:rsidR="00720739" w:rsidRPr="00807837">
        <w:rPr>
          <w:rFonts w:ascii="Arial" w:hAnsi="Arial" w:cs="Arial"/>
          <w:sz w:val="20"/>
          <w:szCs w:val="20"/>
        </w:rPr>
        <w:t>created an</w:t>
      </w:r>
      <w:r w:rsidR="008C03A6" w:rsidRPr="00807837">
        <w:rPr>
          <w:rFonts w:ascii="Arial" w:hAnsi="Arial" w:cs="Arial"/>
          <w:sz w:val="20"/>
          <w:szCs w:val="20"/>
        </w:rPr>
        <w:t xml:space="preserve"> environment unconducive </w:t>
      </w:r>
      <w:r w:rsidR="00720739" w:rsidRPr="00807837">
        <w:rPr>
          <w:rFonts w:ascii="Arial" w:hAnsi="Arial" w:cs="Arial"/>
          <w:sz w:val="20"/>
          <w:szCs w:val="20"/>
        </w:rPr>
        <w:t>for</w:t>
      </w:r>
      <w:r w:rsidR="008C03A6" w:rsidRPr="00807837">
        <w:rPr>
          <w:rFonts w:ascii="Arial" w:hAnsi="Arial" w:cs="Arial"/>
          <w:sz w:val="20"/>
          <w:szCs w:val="20"/>
        </w:rPr>
        <w:t xml:space="preserve"> the Department and SA Tourism to fulfil their mandate</w:t>
      </w:r>
      <w:r w:rsidR="00490892" w:rsidRPr="00807837">
        <w:rPr>
          <w:rFonts w:ascii="Arial" w:hAnsi="Arial" w:cs="Arial"/>
          <w:sz w:val="20"/>
          <w:szCs w:val="20"/>
        </w:rPr>
        <w:t>s</w:t>
      </w:r>
      <w:r w:rsidR="008C03A6" w:rsidRPr="00807837">
        <w:rPr>
          <w:rFonts w:ascii="Arial" w:hAnsi="Arial" w:cs="Arial"/>
          <w:sz w:val="20"/>
          <w:szCs w:val="20"/>
        </w:rPr>
        <w:t xml:space="preserve"> in the 2021/22 financial year</w:t>
      </w:r>
      <w:r w:rsidR="00490892" w:rsidRPr="00807837">
        <w:rPr>
          <w:rFonts w:ascii="Arial" w:hAnsi="Arial" w:cs="Arial"/>
          <w:sz w:val="20"/>
          <w:szCs w:val="20"/>
        </w:rPr>
        <w:t>,</w:t>
      </w:r>
      <w:r w:rsidR="008C03A6" w:rsidRPr="00807837">
        <w:rPr>
          <w:rFonts w:ascii="Arial" w:hAnsi="Arial" w:cs="Arial"/>
          <w:sz w:val="20"/>
          <w:szCs w:val="20"/>
        </w:rPr>
        <w:t xml:space="preserve"> as South Africa was under </w:t>
      </w:r>
      <w:r w:rsidR="00E506EA" w:rsidRPr="00807837">
        <w:rPr>
          <w:rFonts w:ascii="Arial" w:hAnsi="Arial" w:cs="Arial"/>
          <w:sz w:val="20"/>
          <w:szCs w:val="20"/>
        </w:rPr>
        <w:t xml:space="preserve">the Disaster Management Act and </w:t>
      </w:r>
      <w:r w:rsidR="00720739" w:rsidRPr="00807837">
        <w:rPr>
          <w:rFonts w:ascii="Arial" w:hAnsi="Arial" w:cs="Arial"/>
          <w:sz w:val="20"/>
          <w:szCs w:val="20"/>
        </w:rPr>
        <w:t>operating</w:t>
      </w:r>
      <w:r w:rsidR="00E506EA" w:rsidRPr="00807837">
        <w:rPr>
          <w:rFonts w:ascii="Arial" w:hAnsi="Arial" w:cs="Arial"/>
          <w:sz w:val="20"/>
          <w:szCs w:val="20"/>
        </w:rPr>
        <w:t xml:space="preserve"> </w:t>
      </w:r>
      <w:r w:rsidR="00490892" w:rsidRPr="00807837">
        <w:rPr>
          <w:rFonts w:ascii="Arial" w:hAnsi="Arial" w:cs="Arial"/>
          <w:sz w:val="20"/>
          <w:szCs w:val="20"/>
        </w:rPr>
        <w:t xml:space="preserve">under </w:t>
      </w:r>
      <w:r w:rsidR="00E506EA" w:rsidRPr="00807837">
        <w:rPr>
          <w:rFonts w:ascii="Arial" w:hAnsi="Arial" w:cs="Arial"/>
          <w:sz w:val="20"/>
          <w:szCs w:val="20"/>
        </w:rPr>
        <w:t xml:space="preserve">various alerts as per the </w:t>
      </w:r>
      <w:r w:rsidR="00490892" w:rsidRPr="00807837">
        <w:rPr>
          <w:rFonts w:ascii="Arial" w:hAnsi="Arial" w:cs="Arial"/>
          <w:sz w:val="20"/>
          <w:szCs w:val="20"/>
        </w:rPr>
        <w:t>Risk-Adjusted</w:t>
      </w:r>
      <w:r w:rsidR="00E506EA" w:rsidRPr="00807837">
        <w:rPr>
          <w:rFonts w:ascii="Arial" w:hAnsi="Arial" w:cs="Arial"/>
          <w:sz w:val="20"/>
          <w:szCs w:val="20"/>
        </w:rPr>
        <w:t xml:space="preserve"> Strategy adopted by the </w:t>
      </w:r>
      <w:r w:rsidR="00490892" w:rsidRPr="00807837">
        <w:rPr>
          <w:rFonts w:ascii="Arial" w:hAnsi="Arial" w:cs="Arial"/>
          <w:sz w:val="20"/>
          <w:szCs w:val="20"/>
        </w:rPr>
        <w:t>G</w:t>
      </w:r>
      <w:r w:rsidR="00E506EA" w:rsidRPr="00807837">
        <w:rPr>
          <w:rFonts w:ascii="Arial" w:hAnsi="Arial" w:cs="Arial"/>
          <w:sz w:val="20"/>
          <w:szCs w:val="20"/>
        </w:rPr>
        <w:t xml:space="preserve">overnment. </w:t>
      </w:r>
      <w:r w:rsidR="004659D9" w:rsidRPr="00807837">
        <w:rPr>
          <w:rFonts w:ascii="Arial" w:hAnsi="Arial" w:cs="Arial"/>
          <w:sz w:val="20"/>
          <w:szCs w:val="20"/>
        </w:rPr>
        <w:t>Other markets</w:t>
      </w:r>
      <w:r w:rsidR="00E506EA" w:rsidRPr="00807837">
        <w:rPr>
          <w:rFonts w:ascii="Arial" w:hAnsi="Arial" w:cs="Arial"/>
          <w:sz w:val="20"/>
          <w:szCs w:val="20"/>
        </w:rPr>
        <w:t xml:space="preserve"> also </w:t>
      </w:r>
      <w:r w:rsidR="008C03A6" w:rsidRPr="00807837">
        <w:rPr>
          <w:rFonts w:ascii="Arial" w:hAnsi="Arial" w:cs="Arial"/>
          <w:sz w:val="20"/>
          <w:szCs w:val="20"/>
        </w:rPr>
        <w:t xml:space="preserve">introduced lockdown levels and travel bans to curb the </w:t>
      </w:r>
      <w:r w:rsidR="00E506EA" w:rsidRPr="00807837">
        <w:rPr>
          <w:rFonts w:ascii="Arial" w:hAnsi="Arial" w:cs="Arial"/>
          <w:sz w:val="20"/>
          <w:szCs w:val="20"/>
        </w:rPr>
        <w:t xml:space="preserve">impact of the </w:t>
      </w:r>
      <w:r w:rsidR="008C03A6" w:rsidRPr="00807837">
        <w:rPr>
          <w:rFonts w:ascii="Arial" w:hAnsi="Arial" w:cs="Arial"/>
          <w:sz w:val="20"/>
          <w:szCs w:val="20"/>
        </w:rPr>
        <w:t xml:space="preserve">pandemic </w:t>
      </w:r>
      <w:r w:rsidR="00E506EA" w:rsidRPr="00807837">
        <w:rPr>
          <w:rFonts w:ascii="Arial" w:hAnsi="Arial" w:cs="Arial"/>
          <w:sz w:val="20"/>
          <w:szCs w:val="20"/>
        </w:rPr>
        <w:t>in their jurisdictions.</w:t>
      </w:r>
    </w:p>
    <w:p w:rsidR="009A362A" w:rsidRPr="00807837" w:rsidRDefault="00E506EA" w:rsidP="00807837">
      <w:pPr>
        <w:spacing w:after="0" w:line="240" w:lineRule="auto"/>
        <w:rPr>
          <w:rFonts w:ascii="Arial" w:hAnsi="Arial" w:cs="Arial"/>
          <w:sz w:val="20"/>
          <w:szCs w:val="20"/>
        </w:rPr>
      </w:pPr>
      <w:r w:rsidRPr="00807837">
        <w:rPr>
          <w:rFonts w:ascii="Arial" w:hAnsi="Arial" w:cs="Arial"/>
          <w:sz w:val="20"/>
          <w:szCs w:val="20"/>
        </w:rPr>
        <w:t xml:space="preserve">The National Treasury also introduced </w:t>
      </w:r>
      <w:r w:rsidR="00490892" w:rsidRPr="00807837">
        <w:rPr>
          <w:rFonts w:ascii="Arial" w:hAnsi="Arial" w:cs="Arial"/>
          <w:sz w:val="20"/>
          <w:szCs w:val="20"/>
        </w:rPr>
        <w:t xml:space="preserve">a </w:t>
      </w:r>
      <w:r w:rsidRPr="00807837">
        <w:rPr>
          <w:rFonts w:ascii="Arial" w:hAnsi="Arial" w:cs="Arial"/>
          <w:sz w:val="20"/>
          <w:szCs w:val="20"/>
        </w:rPr>
        <w:t xml:space="preserve">procurement ban based on the </w:t>
      </w:r>
      <w:r w:rsidR="004659D9" w:rsidRPr="00807837">
        <w:rPr>
          <w:rFonts w:ascii="Arial" w:hAnsi="Arial" w:cs="Arial"/>
          <w:sz w:val="20"/>
          <w:szCs w:val="20"/>
        </w:rPr>
        <w:t>Constitutional</w:t>
      </w:r>
      <w:r w:rsidRPr="00807837">
        <w:rPr>
          <w:rFonts w:ascii="Arial" w:hAnsi="Arial" w:cs="Arial"/>
          <w:sz w:val="20"/>
          <w:szCs w:val="20"/>
        </w:rPr>
        <w:t xml:space="preserve"> Court judgement on the Preferential Procurement Regulations of 2017. The misinterpretation of the ConCourt judgement led to substantial delays in implementing projects and programmes tabled in the Annual Performance Plan</w:t>
      </w:r>
      <w:r w:rsidR="009A362A" w:rsidRPr="00807837">
        <w:rPr>
          <w:rFonts w:ascii="Arial" w:hAnsi="Arial" w:cs="Arial"/>
          <w:sz w:val="20"/>
          <w:szCs w:val="20"/>
        </w:rPr>
        <w:t>s</w:t>
      </w:r>
      <w:r w:rsidRPr="00807837">
        <w:rPr>
          <w:rFonts w:ascii="Arial" w:hAnsi="Arial" w:cs="Arial"/>
          <w:sz w:val="20"/>
          <w:szCs w:val="20"/>
        </w:rPr>
        <w:t>. This, coupled with operational deficiencies in the Department and SA Tourism culminated in</w:t>
      </w:r>
      <w:r w:rsidR="00490892" w:rsidRPr="00807837">
        <w:rPr>
          <w:rFonts w:ascii="Arial" w:hAnsi="Arial" w:cs="Arial"/>
          <w:sz w:val="20"/>
          <w:szCs w:val="20"/>
        </w:rPr>
        <w:t>to</w:t>
      </w:r>
      <w:r w:rsidRPr="00807837">
        <w:rPr>
          <w:rFonts w:ascii="Arial" w:hAnsi="Arial" w:cs="Arial"/>
          <w:sz w:val="20"/>
          <w:szCs w:val="20"/>
        </w:rPr>
        <w:t xml:space="preserve"> a substandard financial and non-financial </w:t>
      </w:r>
      <w:r w:rsidR="004659D9" w:rsidRPr="00807837">
        <w:rPr>
          <w:rFonts w:ascii="Arial" w:hAnsi="Arial" w:cs="Arial"/>
          <w:sz w:val="20"/>
          <w:szCs w:val="20"/>
        </w:rPr>
        <w:t>performance</w:t>
      </w:r>
      <w:r w:rsidRPr="00807837">
        <w:rPr>
          <w:rFonts w:ascii="Arial" w:hAnsi="Arial" w:cs="Arial"/>
          <w:sz w:val="20"/>
          <w:szCs w:val="20"/>
        </w:rPr>
        <w:t xml:space="preserve"> of the portfolio in the period under review.</w:t>
      </w:r>
      <w:r w:rsidR="009A362A" w:rsidRPr="00807837">
        <w:rPr>
          <w:rFonts w:ascii="Arial" w:hAnsi="Arial" w:cs="Arial"/>
          <w:sz w:val="20"/>
          <w:szCs w:val="20"/>
        </w:rPr>
        <w:t xml:space="preserve"> Despite these operational realities, the overall audit outcome for the tourism portfolio has improved from the prior year. The Department and SA Tourism received financially unqualified </w:t>
      </w:r>
      <w:r w:rsidR="00490892" w:rsidRPr="00807837">
        <w:rPr>
          <w:rFonts w:ascii="Arial" w:hAnsi="Arial" w:cs="Arial"/>
          <w:sz w:val="20"/>
          <w:szCs w:val="20"/>
        </w:rPr>
        <w:t xml:space="preserve">audit </w:t>
      </w:r>
      <w:r w:rsidR="009A362A" w:rsidRPr="00807837">
        <w:rPr>
          <w:rFonts w:ascii="Arial" w:hAnsi="Arial" w:cs="Arial"/>
          <w:sz w:val="20"/>
          <w:szCs w:val="20"/>
        </w:rPr>
        <w:t>opinion</w:t>
      </w:r>
      <w:r w:rsidR="00490892" w:rsidRPr="00807837">
        <w:rPr>
          <w:rFonts w:ascii="Arial" w:hAnsi="Arial" w:cs="Arial"/>
          <w:sz w:val="20"/>
          <w:szCs w:val="20"/>
        </w:rPr>
        <w:t>s</w:t>
      </w:r>
      <w:r w:rsidR="009A362A" w:rsidRPr="00807837">
        <w:rPr>
          <w:rFonts w:ascii="Arial" w:hAnsi="Arial" w:cs="Arial"/>
          <w:sz w:val="20"/>
          <w:szCs w:val="20"/>
        </w:rPr>
        <w:t xml:space="preserve"> with findings on compliance with key legislation. </w:t>
      </w:r>
    </w:p>
    <w:p w:rsidR="00E2146A" w:rsidRPr="00807837" w:rsidRDefault="00AA315B" w:rsidP="00807837">
      <w:pPr>
        <w:spacing w:after="0" w:line="240" w:lineRule="auto"/>
        <w:rPr>
          <w:rFonts w:ascii="Arial" w:hAnsi="Arial" w:cs="Arial"/>
          <w:sz w:val="20"/>
          <w:szCs w:val="20"/>
        </w:rPr>
      </w:pPr>
      <w:r w:rsidRPr="00807837">
        <w:rPr>
          <w:rFonts w:ascii="Arial" w:hAnsi="Arial" w:cs="Arial"/>
          <w:sz w:val="20"/>
          <w:szCs w:val="20"/>
        </w:rPr>
        <w:t xml:space="preserve">Having considered the Annual reports </w:t>
      </w:r>
      <w:r w:rsidR="002E12F0" w:rsidRPr="00807837">
        <w:rPr>
          <w:rFonts w:ascii="Arial" w:hAnsi="Arial" w:cs="Arial"/>
          <w:sz w:val="20"/>
          <w:szCs w:val="20"/>
        </w:rPr>
        <w:t>of the</w:t>
      </w:r>
      <w:r w:rsidRPr="00807837">
        <w:rPr>
          <w:rFonts w:ascii="Arial" w:hAnsi="Arial" w:cs="Arial"/>
          <w:sz w:val="20"/>
          <w:szCs w:val="20"/>
        </w:rPr>
        <w:t xml:space="preserve"> Department and SA Tourism, the Committee tables this </w:t>
      </w:r>
      <w:r w:rsidR="00D37513" w:rsidRPr="00807837">
        <w:rPr>
          <w:rFonts w:ascii="Arial" w:hAnsi="Arial" w:cs="Arial"/>
          <w:sz w:val="20"/>
          <w:szCs w:val="20"/>
        </w:rPr>
        <w:t xml:space="preserve">report to </w:t>
      </w:r>
      <w:r w:rsidR="00E2146A" w:rsidRPr="00807837">
        <w:rPr>
          <w:rFonts w:ascii="Arial" w:hAnsi="Arial" w:cs="Arial"/>
          <w:sz w:val="20"/>
          <w:szCs w:val="20"/>
        </w:rPr>
        <w:t>provide the financial a</w:t>
      </w:r>
      <w:r w:rsidRPr="00807837">
        <w:rPr>
          <w:rFonts w:ascii="Arial" w:hAnsi="Arial" w:cs="Arial"/>
          <w:sz w:val="20"/>
          <w:szCs w:val="20"/>
        </w:rPr>
        <w:t>nd non-financial performance</w:t>
      </w:r>
      <w:r w:rsidR="00490892" w:rsidRPr="00807837">
        <w:rPr>
          <w:rFonts w:ascii="Arial" w:hAnsi="Arial" w:cs="Arial"/>
          <w:sz w:val="20"/>
          <w:szCs w:val="20"/>
        </w:rPr>
        <w:t xml:space="preserve"> of the institutions</w:t>
      </w:r>
      <w:r w:rsidRPr="00807837">
        <w:rPr>
          <w:rFonts w:ascii="Arial" w:hAnsi="Arial" w:cs="Arial"/>
          <w:sz w:val="20"/>
          <w:szCs w:val="20"/>
        </w:rPr>
        <w:t xml:space="preserve"> </w:t>
      </w:r>
      <w:r w:rsidR="009A362A" w:rsidRPr="00807837">
        <w:rPr>
          <w:rFonts w:ascii="Arial" w:hAnsi="Arial" w:cs="Arial"/>
          <w:sz w:val="20"/>
          <w:szCs w:val="20"/>
        </w:rPr>
        <w:t xml:space="preserve">in the 2021/22 financial year. </w:t>
      </w:r>
    </w:p>
    <w:p w:rsidR="009D0FEE" w:rsidRPr="00807837" w:rsidRDefault="009D0FEE" w:rsidP="00807837">
      <w:pPr>
        <w:spacing w:after="0" w:line="240" w:lineRule="auto"/>
        <w:rPr>
          <w:rFonts w:ascii="Arial" w:hAnsi="Arial" w:cs="Arial"/>
          <w:sz w:val="20"/>
          <w:szCs w:val="20"/>
        </w:rPr>
      </w:pPr>
    </w:p>
    <w:p w:rsidR="006967EB" w:rsidRPr="00807837" w:rsidRDefault="006967EB" w:rsidP="00807837">
      <w:pPr>
        <w:numPr>
          <w:ilvl w:val="1"/>
          <w:numId w:val="1"/>
        </w:numPr>
        <w:spacing w:after="0" w:line="240" w:lineRule="auto"/>
        <w:ind w:left="567" w:hanging="567"/>
        <w:contextualSpacing/>
        <w:rPr>
          <w:rFonts w:ascii="Arial" w:eastAsia="Calibri" w:hAnsi="Arial" w:cs="Arial"/>
          <w:b/>
          <w:sz w:val="20"/>
          <w:szCs w:val="20"/>
        </w:rPr>
      </w:pPr>
      <w:r w:rsidRPr="00807837">
        <w:rPr>
          <w:rFonts w:ascii="Arial" w:eastAsia="Calibri" w:hAnsi="Arial" w:cs="Arial"/>
          <w:b/>
          <w:sz w:val="20"/>
          <w:szCs w:val="20"/>
        </w:rPr>
        <w:t xml:space="preserve">Mandate of the Committee </w:t>
      </w:r>
    </w:p>
    <w:p w:rsidR="006967EB" w:rsidRPr="00807837" w:rsidRDefault="006967EB" w:rsidP="00807837">
      <w:pPr>
        <w:spacing w:after="0" w:line="240" w:lineRule="auto"/>
        <w:contextualSpacing/>
        <w:rPr>
          <w:rFonts w:ascii="Arial" w:eastAsia="Calibri" w:hAnsi="Arial" w:cs="Arial"/>
          <w:sz w:val="20"/>
          <w:szCs w:val="20"/>
        </w:rPr>
      </w:pPr>
    </w:p>
    <w:p w:rsidR="006967EB" w:rsidRPr="00807837" w:rsidRDefault="006967EB" w:rsidP="00807837">
      <w:pPr>
        <w:autoSpaceDE w:val="0"/>
        <w:autoSpaceDN w:val="0"/>
        <w:adjustRightInd w:val="0"/>
        <w:spacing w:after="0" w:line="240" w:lineRule="auto"/>
        <w:rPr>
          <w:rFonts w:ascii="Arial" w:eastAsia="Calibri" w:hAnsi="Arial" w:cs="Arial"/>
          <w:sz w:val="20"/>
          <w:szCs w:val="20"/>
        </w:rPr>
      </w:pPr>
      <w:r w:rsidRPr="00807837">
        <w:rPr>
          <w:rFonts w:ascii="Arial" w:eastAsia="Calibri" w:hAnsi="Arial" w:cs="Arial"/>
          <w:sz w:val="20"/>
          <w:szCs w:val="20"/>
        </w:rPr>
        <w:t>The Portfolio Committee on Tourism is an extension of the National Assembly, and derives its functions from Rule 227 of the National Assembly. The Committee is established by Section 57 (2) (a) of the Constitution of the Republic of South Africa (Act 108 of 1996) as read with Rule 225 of the National Assembly.</w:t>
      </w:r>
    </w:p>
    <w:p w:rsidR="006967EB" w:rsidRPr="00807837" w:rsidRDefault="006967EB" w:rsidP="00807837">
      <w:pPr>
        <w:autoSpaceDE w:val="0"/>
        <w:autoSpaceDN w:val="0"/>
        <w:adjustRightInd w:val="0"/>
        <w:spacing w:after="0" w:line="240" w:lineRule="auto"/>
        <w:rPr>
          <w:rFonts w:ascii="Arial" w:eastAsia="Calibri" w:hAnsi="Arial" w:cs="Arial"/>
          <w:sz w:val="20"/>
          <w:szCs w:val="20"/>
        </w:rPr>
      </w:pPr>
    </w:p>
    <w:p w:rsidR="006967EB" w:rsidRPr="00807837" w:rsidRDefault="006967EB" w:rsidP="00807837">
      <w:pPr>
        <w:numPr>
          <w:ilvl w:val="1"/>
          <w:numId w:val="2"/>
        </w:numPr>
        <w:spacing w:after="0" w:line="240" w:lineRule="auto"/>
        <w:ind w:left="567" w:hanging="567"/>
        <w:contextualSpacing/>
        <w:rPr>
          <w:rFonts w:ascii="Arial" w:eastAsia="Calibri" w:hAnsi="Arial" w:cs="Arial"/>
          <w:b/>
          <w:sz w:val="20"/>
          <w:szCs w:val="20"/>
          <w:lang w:val="en-US"/>
        </w:rPr>
      </w:pPr>
      <w:r w:rsidRPr="00807837">
        <w:rPr>
          <w:rFonts w:ascii="Arial" w:eastAsia="Calibri" w:hAnsi="Arial" w:cs="Arial"/>
          <w:b/>
          <w:sz w:val="20"/>
          <w:szCs w:val="20"/>
        </w:rPr>
        <w:t>Core functions of the Department</w:t>
      </w:r>
    </w:p>
    <w:p w:rsidR="006967EB" w:rsidRPr="00807837" w:rsidRDefault="006967EB" w:rsidP="00807837">
      <w:pPr>
        <w:spacing w:after="0" w:line="240" w:lineRule="auto"/>
        <w:contextualSpacing/>
        <w:rPr>
          <w:rFonts w:ascii="Arial" w:eastAsia="Calibri" w:hAnsi="Arial" w:cs="Arial"/>
          <w:b/>
          <w:sz w:val="20"/>
          <w:szCs w:val="20"/>
          <w:lang w:val="en-US"/>
        </w:rPr>
      </w:pPr>
    </w:p>
    <w:p w:rsidR="006967EB" w:rsidRPr="00807837" w:rsidRDefault="006967EB" w:rsidP="00807837">
      <w:pPr>
        <w:spacing w:after="0" w:line="240" w:lineRule="auto"/>
        <w:contextualSpacing/>
        <w:rPr>
          <w:rFonts w:ascii="Arial" w:eastAsia="Calibri" w:hAnsi="Arial" w:cs="Arial"/>
          <w:sz w:val="20"/>
          <w:szCs w:val="20"/>
          <w:lang w:val="en-US"/>
        </w:rPr>
      </w:pPr>
      <w:r w:rsidRPr="00807837">
        <w:rPr>
          <w:rFonts w:ascii="Arial" w:eastAsia="Calibri" w:hAnsi="Arial" w:cs="Arial"/>
          <w:sz w:val="20"/>
          <w:szCs w:val="20"/>
          <w:lang w:val="en-US"/>
        </w:rPr>
        <w:t xml:space="preserve">The </w:t>
      </w:r>
      <w:r w:rsidRPr="00807837">
        <w:rPr>
          <w:rFonts w:ascii="Arial" w:eastAsia="Calibri" w:hAnsi="Arial" w:cs="Arial"/>
          <w:sz w:val="20"/>
          <w:szCs w:val="20"/>
        </w:rPr>
        <w:t xml:space="preserve">Tourism Act </w:t>
      </w:r>
      <w:r w:rsidR="003721D5" w:rsidRPr="00807837">
        <w:rPr>
          <w:rFonts w:ascii="Arial" w:eastAsia="Calibri" w:hAnsi="Arial" w:cs="Arial"/>
          <w:sz w:val="20"/>
          <w:szCs w:val="20"/>
        </w:rPr>
        <w:t xml:space="preserve">(Act 3 of </w:t>
      </w:r>
      <w:r w:rsidRPr="00807837">
        <w:rPr>
          <w:rFonts w:ascii="Arial" w:eastAsia="Calibri" w:hAnsi="Arial" w:cs="Arial"/>
          <w:sz w:val="20"/>
          <w:szCs w:val="20"/>
        </w:rPr>
        <w:t>2014)</w:t>
      </w:r>
      <w:r w:rsidR="00AA315B" w:rsidRPr="00807837">
        <w:rPr>
          <w:rFonts w:ascii="Arial" w:eastAsia="Calibri" w:hAnsi="Arial" w:cs="Arial"/>
          <w:sz w:val="20"/>
          <w:szCs w:val="20"/>
        </w:rPr>
        <w:t xml:space="preserve"> outlines the mandate of </w:t>
      </w:r>
      <w:r w:rsidR="00490892" w:rsidRPr="00807837">
        <w:rPr>
          <w:rFonts w:ascii="Arial" w:eastAsia="Calibri" w:hAnsi="Arial" w:cs="Arial"/>
          <w:sz w:val="20"/>
          <w:szCs w:val="20"/>
        </w:rPr>
        <w:t xml:space="preserve">the Department </w:t>
      </w:r>
      <w:r w:rsidR="00AA315B" w:rsidRPr="00807837">
        <w:rPr>
          <w:rFonts w:ascii="Arial" w:eastAsia="Calibri" w:hAnsi="Arial" w:cs="Arial"/>
          <w:sz w:val="20"/>
          <w:szCs w:val="20"/>
        </w:rPr>
        <w:t xml:space="preserve">as to </w:t>
      </w:r>
      <w:r w:rsidRPr="00807837">
        <w:rPr>
          <w:rFonts w:ascii="Arial" w:eastAsia="Calibri" w:hAnsi="Arial" w:cs="Arial"/>
          <w:sz w:val="20"/>
          <w:szCs w:val="20"/>
        </w:rPr>
        <w:t>promote the growth</w:t>
      </w:r>
      <w:r w:rsidR="003721D5" w:rsidRPr="00807837">
        <w:rPr>
          <w:rFonts w:ascii="Arial" w:eastAsia="Calibri" w:hAnsi="Arial" w:cs="Arial"/>
          <w:sz w:val="20"/>
          <w:szCs w:val="20"/>
        </w:rPr>
        <w:t xml:space="preserve"> </w:t>
      </w:r>
      <w:r w:rsidRPr="00807837">
        <w:rPr>
          <w:rFonts w:ascii="Arial" w:eastAsia="Calibri" w:hAnsi="Arial" w:cs="Arial"/>
          <w:sz w:val="20"/>
          <w:szCs w:val="20"/>
        </w:rPr>
        <w:t>and development of the tourism sector; promote quality tourism products and services; provide for the effective</w:t>
      </w:r>
      <w:r w:rsidR="003721D5" w:rsidRPr="00807837">
        <w:rPr>
          <w:rFonts w:ascii="Arial" w:eastAsia="Calibri" w:hAnsi="Arial" w:cs="Arial"/>
          <w:sz w:val="20"/>
          <w:szCs w:val="20"/>
        </w:rPr>
        <w:t xml:space="preserve"> </w:t>
      </w:r>
      <w:r w:rsidRPr="00807837">
        <w:rPr>
          <w:rFonts w:ascii="Arial" w:eastAsia="Calibri" w:hAnsi="Arial" w:cs="Arial"/>
          <w:sz w:val="20"/>
          <w:szCs w:val="20"/>
        </w:rPr>
        <w:t>domestic and international marketing of South Africa as a tourist destination; enhance cooperation and</w:t>
      </w:r>
      <w:r w:rsidR="003721D5" w:rsidRPr="00807837">
        <w:rPr>
          <w:rFonts w:ascii="Arial" w:eastAsia="Calibri" w:hAnsi="Arial" w:cs="Arial"/>
          <w:sz w:val="20"/>
          <w:szCs w:val="20"/>
        </w:rPr>
        <w:t xml:space="preserve"> </w:t>
      </w:r>
      <w:r w:rsidRPr="00807837">
        <w:rPr>
          <w:rFonts w:ascii="Arial" w:eastAsia="Calibri" w:hAnsi="Arial" w:cs="Arial"/>
          <w:sz w:val="20"/>
          <w:szCs w:val="20"/>
        </w:rPr>
        <w:t>coordination between all spheres of government in developing and managing tourism; and promote responsible</w:t>
      </w:r>
      <w:r w:rsidR="003721D5" w:rsidRPr="00807837">
        <w:rPr>
          <w:rFonts w:ascii="Arial" w:eastAsia="Calibri" w:hAnsi="Arial" w:cs="Arial"/>
          <w:sz w:val="20"/>
          <w:szCs w:val="20"/>
        </w:rPr>
        <w:t xml:space="preserve"> </w:t>
      </w:r>
      <w:r w:rsidRPr="00807837">
        <w:rPr>
          <w:rFonts w:ascii="Arial" w:eastAsia="Calibri" w:hAnsi="Arial" w:cs="Arial"/>
          <w:sz w:val="20"/>
          <w:szCs w:val="20"/>
        </w:rPr>
        <w:t>tourism for the benefit of South Africa and for the enjoyment of all its residents and foreign visitors.</w:t>
      </w:r>
    </w:p>
    <w:p w:rsidR="006967EB" w:rsidRPr="00807837" w:rsidRDefault="006967EB" w:rsidP="00807837">
      <w:pPr>
        <w:spacing w:after="0" w:line="240" w:lineRule="auto"/>
        <w:contextualSpacing/>
        <w:rPr>
          <w:rFonts w:ascii="Arial" w:eastAsia="Calibri" w:hAnsi="Arial" w:cs="Arial"/>
          <w:sz w:val="20"/>
          <w:szCs w:val="20"/>
          <w:lang w:val="en-US"/>
        </w:rPr>
      </w:pPr>
    </w:p>
    <w:p w:rsidR="006967EB" w:rsidRPr="00807837" w:rsidRDefault="003721D5" w:rsidP="00807837">
      <w:pPr>
        <w:spacing w:after="0" w:line="240" w:lineRule="auto"/>
        <w:contextualSpacing/>
        <w:rPr>
          <w:rFonts w:ascii="Arial" w:eastAsia="Calibri" w:hAnsi="Arial" w:cs="Arial"/>
          <w:sz w:val="20"/>
          <w:szCs w:val="20"/>
          <w:lang w:val="en-US"/>
        </w:rPr>
      </w:pPr>
      <w:r w:rsidRPr="00807837">
        <w:rPr>
          <w:rFonts w:ascii="Arial" w:eastAsia="Calibri" w:hAnsi="Arial" w:cs="Arial"/>
          <w:sz w:val="20"/>
          <w:szCs w:val="20"/>
          <w:lang w:val="en-US"/>
        </w:rPr>
        <w:t xml:space="preserve">The </w:t>
      </w:r>
      <w:r w:rsidR="00AA315B" w:rsidRPr="00807837">
        <w:rPr>
          <w:rFonts w:ascii="Arial" w:eastAsia="Calibri" w:hAnsi="Arial" w:cs="Arial"/>
          <w:sz w:val="20"/>
          <w:szCs w:val="20"/>
          <w:lang w:val="en-US"/>
        </w:rPr>
        <w:t>Department and SA Tourism execute</w:t>
      </w:r>
      <w:r w:rsidRPr="00807837">
        <w:rPr>
          <w:rFonts w:ascii="Arial" w:eastAsia="Calibri" w:hAnsi="Arial" w:cs="Arial"/>
          <w:sz w:val="20"/>
          <w:szCs w:val="20"/>
          <w:lang w:val="en-US"/>
        </w:rPr>
        <w:t xml:space="preserve"> </w:t>
      </w:r>
      <w:r w:rsidR="006967EB" w:rsidRPr="00807837">
        <w:rPr>
          <w:rFonts w:ascii="Arial" w:eastAsia="Calibri" w:hAnsi="Arial" w:cs="Arial"/>
          <w:sz w:val="20"/>
          <w:szCs w:val="20"/>
          <w:lang w:val="en-US"/>
        </w:rPr>
        <w:t xml:space="preserve">their </w:t>
      </w:r>
      <w:r w:rsidRPr="00807837">
        <w:rPr>
          <w:rFonts w:ascii="Arial" w:eastAsia="Calibri" w:hAnsi="Arial" w:cs="Arial"/>
          <w:sz w:val="20"/>
          <w:szCs w:val="20"/>
          <w:lang w:val="en-US"/>
        </w:rPr>
        <w:t>mandate</w:t>
      </w:r>
      <w:r w:rsidR="00490892" w:rsidRPr="00807837">
        <w:rPr>
          <w:rFonts w:ascii="Arial" w:eastAsia="Calibri" w:hAnsi="Arial" w:cs="Arial"/>
          <w:sz w:val="20"/>
          <w:szCs w:val="20"/>
          <w:lang w:val="en-US"/>
        </w:rPr>
        <w:t>s</w:t>
      </w:r>
      <w:r w:rsidRPr="00807837">
        <w:rPr>
          <w:rFonts w:ascii="Arial" w:eastAsia="Calibri" w:hAnsi="Arial" w:cs="Arial"/>
          <w:sz w:val="20"/>
          <w:szCs w:val="20"/>
          <w:lang w:val="en-US"/>
        </w:rPr>
        <w:t xml:space="preserve"> </w:t>
      </w:r>
      <w:r w:rsidR="00AA315B" w:rsidRPr="00807837">
        <w:rPr>
          <w:rFonts w:ascii="Arial" w:eastAsia="Calibri" w:hAnsi="Arial" w:cs="Arial"/>
          <w:sz w:val="20"/>
          <w:szCs w:val="20"/>
          <w:lang w:val="en-US"/>
        </w:rPr>
        <w:t xml:space="preserve">through a </w:t>
      </w:r>
      <w:r w:rsidR="00EE53DF" w:rsidRPr="00807837">
        <w:rPr>
          <w:rFonts w:ascii="Arial" w:eastAsia="Calibri" w:hAnsi="Arial" w:cs="Arial"/>
          <w:sz w:val="20"/>
          <w:szCs w:val="20"/>
          <w:lang w:val="en-US"/>
        </w:rPr>
        <w:t>plethora of</w:t>
      </w:r>
      <w:r w:rsidR="006967EB" w:rsidRPr="00807837">
        <w:rPr>
          <w:rFonts w:ascii="Arial" w:eastAsia="Calibri" w:hAnsi="Arial" w:cs="Arial"/>
          <w:sz w:val="20"/>
          <w:szCs w:val="20"/>
          <w:lang w:val="en-US"/>
        </w:rPr>
        <w:t xml:space="preserve"> legislative, policy, and strategic frameworks </w:t>
      </w:r>
      <w:r w:rsidR="00AA315B" w:rsidRPr="00807837">
        <w:rPr>
          <w:rFonts w:ascii="Arial" w:eastAsia="Calibri" w:hAnsi="Arial" w:cs="Arial"/>
          <w:sz w:val="20"/>
          <w:szCs w:val="20"/>
          <w:lang w:val="en-US"/>
        </w:rPr>
        <w:t xml:space="preserve">aimed at </w:t>
      </w:r>
      <w:r w:rsidR="00D37513" w:rsidRPr="00807837">
        <w:rPr>
          <w:rFonts w:ascii="Arial" w:eastAsia="Calibri" w:hAnsi="Arial" w:cs="Arial"/>
          <w:sz w:val="20"/>
          <w:szCs w:val="20"/>
          <w:lang w:val="en-US"/>
        </w:rPr>
        <w:t xml:space="preserve">developing and marketing South </w:t>
      </w:r>
      <w:r w:rsidR="00AA315B" w:rsidRPr="00807837">
        <w:rPr>
          <w:rFonts w:ascii="Arial" w:eastAsia="Calibri" w:hAnsi="Arial" w:cs="Arial"/>
          <w:sz w:val="20"/>
          <w:szCs w:val="20"/>
          <w:lang w:val="en-US"/>
        </w:rPr>
        <w:t xml:space="preserve">Africa as </w:t>
      </w:r>
      <w:r w:rsidR="00AF2E4C" w:rsidRPr="00807837">
        <w:rPr>
          <w:rFonts w:ascii="Arial" w:eastAsia="Calibri" w:hAnsi="Arial" w:cs="Arial"/>
          <w:sz w:val="20"/>
          <w:szCs w:val="20"/>
          <w:lang w:val="en-US"/>
        </w:rPr>
        <w:t xml:space="preserve">a </w:t>
      </w:r>
      <w:r w:rsidR="00AA315B" w:rsidRPr="00807837">
        <w:rPr>
          <w:rFonts w:ascii="Arial" w:eastAsia="Calibri" w:hAnsi="Arial" w:cs="Arial"/>
          <w:sz w:val="20"/>
          <w:szCs w:val="20"/>
          <w:lang w:val="en-US"/>
        </w:rPr>
        <w:t>competitive and</w:t>
      </w:r>
      <w:r w:rsidRPr="00807837">
        <w:rPr>
          <w:rFonts w:ascii="Arial" w:eastAsia="Calibri" w:hAnsi="Arial" w:cs="Arial"/>
          <w:sz w:val="20"/>
          <w:szCs w:val="20"/>
          <w:lang w:val="en-US"/>
        </w:rPr>
        <w:t xml:space="preserve"> preferred </w:t>
      </w:r>
      <w:r w:rsidR="009D0FEE" w:rsidRPr="00807837">
        <w:rPr>
          <w:rFonts w:ascii="Arial" w:eastAsia="Calibri" w:hAnsi="Arial" w:cs="Arial"/>
          <w:sz w:val="20"/>
          <w:szCs w:val="20"/>
          <w:lang w:val="en-US"/>
        </w:rPr>
        <w:t xml:space="preserve">tourism </w:t>
      </w:r>
      <w:r w:rsidRPr="00807837">
        <w:rPr>
          <w:rFonts w:ascii="Arial" w:eastAsia="Calibri" w:hAnsi="Arial" w:cs="Arial"/>
          <w:sz w:val="20"/>
          <w:szCs w:val="20"/>
          <w:lang w:val="en-US"/>
        </w:rPr>
        <w:t xml:space="preserve">destination. </w:t>
      </w:r>
      <w:r w:rsidR="006967EB" w:rsidRPr="00807837">
        <w:rPr>
          <w:rFonts w:ascii="Arial" w:eastAsia="Calibri" w:hAnsi="Arial" w:cs="Arial"/>
          <w:sz w:val="20"/>
          <w:szCs w:val="20"/>
          <w:lang w:val="en-US"/>
        </w:rPr>
        <w:t xml:space="preserve">The </w:t>
      </w:r>
      <w:r w:rsidR="00AA315B" w:rsidRPr="00807837">
        <w:rPr>
          <w:rFonts w:ascii="Arial" w:eastAsia="Calibri" w:hAnsi="Arial" w:cs="Arial"/>
          <w:sz w:val="20"/>
          <w:szCs w:val="20"/>
          <w:lang w:val="en-US"/>
        </w:rPr>
        <w:t>policy, legislative and constitutional imperatives that drive tourism are as follows:</w:t>
      </w:r>
    </w:p>
    <w:p w:rsidR="006967EB" w:rsidRPr="00807837" w:rsidRDefault="006967EB" w:rsidP="00807837">
      <w:pPr>
        <w:spacing w:after="0" w:line="240" w:lineRule="auto"/>
        <w:contextualSpacing/>
        <w:rPr>
          <w:rFonts w:ascii="Arial" w:eastAsia="Calibri" w:hAnsi="Arial" w:cs="Arial"/>
          <w:sz w:val="20"/>
          <w:szCs w:val="20"/>
          <w:lang w:val="en-US"/>
        </w:rPr>
      </w:pPr>
    </w:p>
    <w:p w:rsidR="006967EB" w:rsidRPr="00807837" w:rsidRDefault="006967EB" w:rsidP="00807837">
      <w:pPr>
        <w:spacing w:after="0" w:line="240" w:lineRule="auto"/>
        <w:contextualSpacing/>
        <w:rPr>
          <w:rFonts w:ascii="Arial" w:eastAsia="Calibri" w:hAnsi="Arial" w:cs="Arial"/>
          <w:sz w:val="20"/>
          <w:szCs w:val="20"/>
          <w:lang w:val="en-US"/>
        </w:rPr>
      </w:pPr>
      <w:r w:rsidRPr="00807837">
        <w:rPr>
          <w:rFonts w:ascii="Arial" w:eastAsia="Calibri" w:hAnsi="Arial" w:cs="Arial"/>
          <w:sz w:val="20"/>
          <w:szCs w:val="20"/>
          <w:lang w:val="en-US"/>
        </w:rPr>
        <w:t>1.2.1</w:t>
      </w:r>
      <w:r w:rsidRPr="00807837">
        <w:rPr>
          <w:rFonts w:ascii="Arial" w:eastAsia="Calibri" w:hAnsi="Arial" w:cs="Arial"/>
          <w:sz w:val="20"/>
          <w:szCs w:val="20"/>
          <w:lang w:val="en-US"/>
        </w:rPr>
        <w:tab/>
        <w:t>Constitutional and Legislative Mandate</w:t>
      </w:r>
    </w:p>
    <w:p w:rsidR="006967EB" w:rsidRPr="00807837" w:rsidRDefault="006967EB" w:rsidP="00807837">
      <w:pPr>
        <w:spacing w:after="0" w:line="240" w:lineRule="auto"/>
        <w:contextualSpacing/>
        <w:rPr>
          <w:rFonts w:ascii="Arial" w:eastAsia="Calibri" w:hAnsi="Arial" w:cs="Arial"/>
          <w:sz w:val="20"/>
          <w:szCs w:val="20"/>
        </w:rPr>
      </w:pPr>
    </w:p>
    <w:p w:rsidR="00267CDC" w:rsidRPr="00807837" w:rsidRDefault="003721D5" w:rsidP="00807837">
      <w:pPr>
        <w:spacing w:after="0" w:line="240" w:lineRule="auto"/>
        <w:contextualSpacing/>
        <w:rPr>
          <w:rFonts w:ascii="Arial" w:eastAsia="Calibri" w:hAnsi="Arial" w:cs="Arial"/>
          <w:sz w:val="20"/>
          <w:szCs w:val="20"/>
        </w:rPr>
      </w:pPr>
      <w:r w:rsidRPr="00807837">
        <w:rPr>
          <w:rFonts w:ascii="Arial" w:eastAsia="Calibri" w:hAnsi="Arial" w:cs="Arial"/>
          <w:sz w:val="20"/>
          <w:szCs w:val="20"/>
        </w:rPr>
        <w:lastRenderedPageBreak/>
        <w:t xml:space="preserve">The </w:t>
      </w:r>
      <w:r w:rsidR="006967EB" w:rsidRPr="00807837">
        <w:rPr>
          <w:rFonts w:ascii="Arial" w:eastAsia="Calibri" w:hAnsi="Arial" w:cs="Arial"/>
          <w:sz w:val="20"/>
          <w:szCs w:val="20"/>
        </w:rPr>
        <w:t>Constitution of the Republic of</w:t>
      </w:r>
      <w:r w:rsidRPr="00807837">
        <w:rPr>
          <w:rFonts w:ascii="Arial" w:eastAsia="Calibri" w:hAnsi="Arial" w:cs="Arial"/>
          <w:sz w:val="20"/>
          <w:szCs w:val="20"/>
        </w:rPr>
        <w:t xml:space="preserve"> South Africa (Act 108 of 1996)</w:t>
      </w:r>
      <w:r w:rsidR="00267CDC" w:rsidRPr="00807837">
        <w:rPr>
          <w:rFonts w:ascii="Arial" w:eastAsia="Calibri" w:hAnsi="Arial" w:cs="Arial"/>
          <w:sz w:val="20"/>
          <w:szCs w:val="20"/>
        </w:rPr>
        <w:t xml:space="preserve"> </w:t>
      </w:r>
      <w:r w:rsidR="002E12F0" w:rsidRPr="00807837">
        <w:rPr>
          <w:rFonts w:ascii="Arial" w:eastAsia="Calibri" w:hAnsi="Arial" w:cs="Arial"/>
          <w:sz w:val="20"/>
          <w:szCs w:val="20"/>
        </w:rPr>
        <w:t>explicitly</w:t>
      </w:r>
      <w:r w:rsidR="00267CDC" w:rsidRPr="00807837">
        <w:rPr>
          <w:rFonts w:ascii="Arial" w:eastAsia="Calibri" w:hAnsi="Arial" w:cs="Arial"/>
          <w:sz w:val="20"/>
          <w:szCs w:val="20"/>
        </w:rPr>
        <w:t xml:space="preserve"> outlines the concurrent function of tourism in the country. </w:t>
      </w:r>
      <w:r w:rsidRPr="00807837">
        <w:rPr>
          <w:rFonts w:ascii="Arial" w:eastAsia="Calibri" w:hAnsi="Arial" w:cs="Arial"/>
          <w:sz w:val="20"/>
          <w:szCs w:val="20"/>
        </w:rPr>
        <w:t xml:space="preserve">Part A of Schedule 4 of the Constitution </w:t>
      </w:r>
      <w:r w:rsidR="006967EB" w:rsidRPr="00807837">
        <w:rPr>
          <w:rFonts w:ascii="Arial" w:eastAsia="Calibri" w:hAnsi="Arial" w:cs="Arial"/>
          <w:sz w:val="20"/>
          <w:szCs w:val="20"/>
        </w:rPr>
        <w:t>lists tourism as a functional area of concurrent national and provincial legislative competence.  Part B of Schedule 4 lists local tourism as a local governm</w:t>
      </w:r>
      <w:r w:rsidRPr="00807837">
        <w:rPr>
          <w:rFonts w:ascii="Arial" w:eastAsia="Calibri" w:hAnsi="Arial" w:cs="Arial"/>
          <w:sz w:val="20"/>
          <w:szCs w:val="20"/>
        </w:rPr>
        <w:t xml:space="preserve">ent competency.  </w:t>
      </w:r>
      <w:r w:rsidR="00267CDC" w:rsidRPr="00807837">
        <w:rPr>
          <w:rFonts w:ascii="Arial" w:eastAsia="Calibri" w:hAnsi="Arial" w:cs="Arial"/>
          <w:sz w:val="20"/>
          <w:szCs w:val="20"/>
        </w:rPr>
        <w:t xml:space="preserve">The </w:t>
      </w:r>
      <w:r w:rsidR="002E12F0" w:rsidRPr="00807837">
        <w:rPr>
          <w:rFonts w:ascii="Arial" w:eastAsia="Calibri" w:hAnsi="Arial" w:cs="Arial"/>
          <w:sz w:val="20"/>
          <w:szCs w:val="20"/>
        </w:rPr>
        <w:t>concurrent</w:t>
      </w:r>
      <w:r w:rsidR="00267CDC" w:rsidRPr="00807837">
        <w:rPr>
          <w:rFonts w:ascii="Arial" w:eastAsia="Calibri" w:hAnsi="Arial" w:cs="Arial"/>
          <w:sz w:val="20"/>
          <w:szCs w:val="20"/>
        </w:rPr>
        <w:t xml:space="preserve"> nature of the tourism function has its challenges that can only be addressed through cooperation and collaboration amongst the three spheres of government in the country.</w:t>
      </w:r>
    </w:p>
    <w:p w:rsidR="00D37513" w:rsidRPr="00807837" w:rsidRDefault="00D37513" w:rsidP="00807837">
      <w:pPr>
        <w:spacing w:after="0" w:line="240" w:lineRule="auto"/>
        <w:contextualSpacing/>
        <w:rPr>
          <w:rFonts w:ascii="Arial" w:eastAsia="Calibri" w:hAnsi="Arial" w:cs="Arial"/>
          <w:sz w:val="20"/>
          <w:szCs w:val="20"/>
        </w:rPr>
      </w:pPr>
    </w:p>
    <w:p w:rsidR="00A113DB" w:rsidRPr="00807837" w:rsidRDefault="00E312A8" w:rsidP="00807837">
      <w:pPr>
        <w:spacing w:after="0" w:line="240" w:lineRule="auto"/>
        <w:contextualSpacing/>
        <w:rPr>
          <w:rFonts w:ascii="Arial" w:eastAsia="Calibri" w:hAnsi="Arial" w:cs="Arial"/>
          <w:sz w:val="20"/>
          <w:szCs w:val="20"/>
          <w:lang w:eastAsia="en-ZA"/>
        </w:rPr>
      </w:pPr>
      <w:r w:rsidRPr="00807837">
        <w:rPr>
          <w:rFonts w:ascii="Arial" w:eastAsia="Calibri" w:hAnsi="Arial" w:cs="Arial"/>
          <w:sz w:val="20"/>
          <w:szCs w:val="20"/>
        </w:rPr>
        <w:t>At a l</w:t>
      </w:r>
      <w:r w:rsidR="006967EB" w:rsidRPr="00807837">
        <w:rPr>
          <w:rFonts w:ascii="Arial" w:eastAsia="Calibri" w:hAnsi="Arial" w:cs="Arial"/>
          <w:sz w:val="20"/>
          <w:szCs w:val="20"/>
          <w:lang w:eastAsia="en-ZA"/>
        </w:rPr>
        <w:t>egislative</w:t>
      </w:r>
      <w:r w:rsidRPr="00807837">
        <w:rPr>
          <w:rFonts w:ascii="Arial" w:eastAsia="Calibri" w:hAnsi="Arial" w:cs="Arial"/>
          <w:sz w:val="20"/>
          <w:szCs w:val="20"/>
          <w:lang w:eastAsia="en-ZA"/>
        </w:rPr>
        <w:t xml:space="preserve"> level, </w:t>
      </w:r>
      <w:r w:rsidR="006967EB" w:rsidRPr="00807837">
        <w:rPr>
          <w:rFonts w:ascii="Arial" w:eastAsia="Calibri" w:hAnsi="Arial" w:cs="Arial"/>
          <w:sz w:val="20"/>
          <w:szCs w:val="20"/>
          <w:lang w:eastAsia="en-ZA"/>
        </w:rPr>
        <w:t xml:space="preserve">the Tourism Act of 2014 (Act No. 3 of 2014) enjoins the Minister of Tourism to perform specific tasks to drive tourism policy and strategic direction. </w:t>
      </w:r>
      <w:r w:rsidRPr="00807837">
        <w:rPr>
          <w:rFonts w:ascii="Arial" w:eastAsia="Calibri" w:hAnsi="Arial" w:cs="Arial"/>
          <w:sz w:val="20"/>
          <w:szCs w:val="20"/>
          <w:lang w:eastAsia="en-ZA"/>
        </w:rPr>
        <w:t xml:space="preserve">The Committee is </w:t>
      </w:r>
      <w:r w:rsidR="009B0945" w:rsidRPr="00807837">
        <w:rPr>
          <w:rFonts w:ascii="Arial" w:eastAsia="Calibri" w:hAnsi="Arial" w:cs="Arial"/>
          <w:sz w:val="20"/>
          <w:szCs w:val="20"/>
          <w:lang w:eastAsia="en-ZA"/>
        </w:rPr>
        <w:t xml:space="preserve">still </w:t>
      </w:r>
      <w:r w:rsidRPr="00807837">
        <w:rPr>
          <w:rFonts w:ascii="Arial" w:eastAsia="Calibri" w:hAnsi="Arial" w:cs="Arial"/>
          <w:sz w:val="20"/>
          <w:szCs w:val="20"/>
          <w:lang w:eastAsia="en-ZA"/>
        </w:rPr>
        <w:t xml:space="preserve">awaiting the introduction of the Tourism Amendment Bill to Parliament by the Minister of Tourism to address the legislative and policy gaps that have been identified in the current enabling </w:t>
      </w:r>
      <w:r w:rsidR="0023462C" w:rsidRPr="00807837">
        <w:rPr>
          <w:rFonts w:ascii="Arial" w:eastAsia="Calibri" w:hAnsi="Arial" w:cs="Arial"/>
          <w:sz w:val="20"/>
          <w:szCs w:val="20"/>
          <w:lang w:eastAsia="en-ZA"/>
        </w:rPr>
        <w:t>T</w:t>
      </w:r>
      <w:r w:rsidRPr="00807837">
        <w:rPr>
          <w:rFonts w:ascii="Arial" w:eastAsia="Calibri" w:hAnsi="Arial" w:cs="Arial"/>
          <w:sz w:val="20"/>
          <w:szCs w:val="20"/>
          <w:lang w:eastAsia="en-ZA"/>
        </w:rPr>
        <w:t>ourism Act.</w:t>
      </w:r>
      <w:r w:rsidR="00953536" w:rsidRPr="00807837">
        <w:rPr>
          <w:rFonts w:ascii="Arial" w:eastAsia="Calibri" w:hAnsi="Arial" w:cs="Arial"/>
          <w:sz w:val="20"/>
          <w:szCs w:val="20"/>
          <w:lang w:eastAsia="en-ZA"/>
        </w:rPr>
        <w:t xml:space="preserve"> </w:t>
      </w:r>
      <w:r w:rsidR="009B0945" w:rsidRPr="00807837">
        <w:rPr>
          <w:rFonts w:ascii="Arial" w:eastAsia="Calibri" w:hAnsi="Arial" w:cs="Arial"/>
          <w:sz w:val="20"/>
          <w:szCs w:val="20"/>
          <w:lang w:eastAsia="en-ZA"/>
        </w:rPr>
        <w:t>As indicated in the previous year, t</w:t>
      </w:r>
      <w:r w:rsidR="00A113DB" w:rsidRPr="00807837">
        <w:rPr>
          <w:rFonts w:ascii="Arial" w:eastAsia="Calibri" w:hAnsi="Arial" w:cs="Arial"/>
          <w:sz w:val="20"/>
          <w:szCs w:val="20"/>
          <w:lang w:eastAsia="en-ZA"/>
        </w:rPr>
        <w:t>he Tourism Amendment Bill will be drafted once the Department has finalised the policy review process which is currently underway.</w:t>
      </w:r>
    </w:p>
    <w:p w:rsidR="00A113DB" w:rsidRPr="00807837" w:rsidRDefault="00A113DB" w:rsidP="00807837">
      <w:pPr>
        <w:spacing w:after="0" w:line="240" w:lineRule="auto"/>
        <w:contextualSpacing/>
        <w:rPr>
          <w:rFonts w:ascii="Arial" w:eastAsia="Calibri" w:hAnsi="Arial" w:cs="Arial"/>
          <w:sz w:val="20"/>
          <w:szCs w:val="20"/>
          <w:lang w:eastAsia="en-ZA"/>
        </w:rPr>
      </w:pPr>
    </w:p>
    <w:p w:rsidR="006967EB" w:rsidRPr="00807837" w:rsidRDefault="006967EB" w:rsidP="00807837">
      <w:pPr>
        <w:numPr>
          <w:ilvl w:val="2"/>
          <w:numId w:val="3"/>
        </w:numPr>
        <w:spacing w:after="0" w:line="240" w:lineRule="auto"/>
        <w:ind w:left="709" w:hanging="709"/>
        <w:contextualSpacing/>
        <w:rPr>
          <w:rFonts w:ascii="Arial" w:eastAsia="Calibri" w:hAnsi="Arial" w:cs="Arial"/>
          <w:sz w:val="20"/>
          <w:szCs w:val="20"/>
          <w:lang w:val="en-US"/>
        </w:rPr>
      </w:pPr>
      <w:r w:rsidRPr="00807837">
        <w:rPr>
          <w:rFonts w:ascii="Arial" w:eastAsia="Calibri" w:hAnsi="Arial" w:cs="Arial"/>
          <w:sz w:val="20"/>
          <w:szCs w:val="20"/>
          <w:lang w:val="en-US"/>
        </w:rPr>
        <w:t>Policy mandate</w:t>
      </w:r>
    </w:p>
    <w:p w:rsidR="009B0945" w:rsidRPr="00807837" w:rsidRDefault="009B0945" w:rsidP="00807837">
      <w:pPr>
        <w:spacing w:after="0" w:line="240" w:lineRule="auto"/>
        <w:ind w:left="709"/>
        <w:contextualSpacing/>
        <w:rPr>
          <w:rFonts w:ascii="Arial" w:eastAsia="Calibri" w:hAnsi="Arial" w:cs="Arial"/>
          <w:sz w:val="20"/>
          <w:szCs w:val="20"/>
          <w:lang w:val="en-US"/>
        </w:rPr>
      </w:pPr>
    </w:p>
    <w:p w:rsidR="009B0945" w:rsidRPr="00807837" w:rsidRDefault="009B0945" w:rsidP="00807837">
      <w:pPr>
        <w:spacing w:after="0" w:line="240" w:lineRule="auto"/>
        <w:contextualSpacing/>
        <w:rPr>
          <w:rFonts w:ascii="Arial" w:eastAsia="Calibri" w:hAnsi="Arial" w:cs="Arial"/>
          <w:sz w:val="20"/>
          <w:szCs w:val="20"/>
          <w:lang w:val="en-US"/>
        </w:rPr>
      </w:pPr>
      <w:r w:rsidRPr="00807837">
        <w:rPr>
          <w:rFonts w:ascii="Arial" w:eastAsia="Calibri" w:hAnsi="Arial" w:cs="Arial"/>
          <w:sz w:val="20"/>
          <w:szCs w:val="20"/>
          <w:lang w:val="en-US"/>
        </w:rPr>
        <w:t>The policy framework that informs the work of the Department includes the White Paper for the Development and Promotion of Tourism in South Africa, 1996; the National Development Plan (NDP) 2030; the National Tourism Sector Strategy (NTSS); the Medium Term Strategic Framework (MTSF: 2019-2024); Re-imagined Industrial Strategy; and Tourism Sector Recovery Plan (TSRP), as outlined below:</w:t>
      </w:r>
    </w:p>
    <w:p w:rsidR="009B0945" w:rsidRPr="00807837" w:rsidRDefault="009B0945" w:rsidP="00807837">
      <w:pPr>
        <w:spacing w:after="0" w:line="240" w:lineRule="auto"/>
        <w:contextualSpacing/>
        <w:rPr>
          <w:rFonts w:ascii="Arial" w:eastAsia="Calibri" w:hAnsi="Arial" w:cs="Arial"/>
          <w:sz w:val="20"/>
          <w:szCs w:val="20"/>
          <w:lang w:val="en-US"/>
        </w:rPr>
      </w:pPr>
    </w:p>
    <w:p w:rsidR="009B0945" w:rsidRPr="00807837" w:rsidRDefault="009B0945" w:rsidP="00807837">
      <w:pPr>
        <w:pStyle w:val="ListParagraph"/>
        <w:numPr>
          <w:ilvl w:val="3"/>
          <w:numId w:val="3"/>
        </w:numPr>
        <w:spacing w:after="0" w:line="240" w:lineRule="auto"/>
        <w:rPr>
          <w:rFonts w:ascii="Arial" w:eastAsia="Calibri" w:hAnsi="Arial" w:cs="Arial"/>
          <w:sz w:val="20"/>
          <w:szCs w:val="20"/>
          <w:lang w:val="en-US"/>
        </w:rPr>
      </w:pPr>
      <w:r w:rsidRPr="00807837">
        <w:rPr>
          <w:rFonts w:ascii="Arial" w:eastAsia="Calibri" w:hAnsi="Arial" w:cs="Arial"/>
          <w:sz w:val="20"/>
          <w:szCs w:val="20"/>
          <w:lang w:val="en-US"/>
        </w:rPr>
        <w:t>White Paper for the Development and Promotion of Tourism in South Africa (1996)</w:t>
      </w:r>
    </w:p>
    <w:p w:rsidR="009B0945" w:rsidRPr="00807837" w:rsidRDefault="009B0945" w:rsidP="00807837">
      <w:pPr>
        <w:pStyle w:val="ListParagraph"/>
        <w:spacing w:after="0" w:line="240" w:lineRule="auto"/>
        <w:rPr>
          <w:rFonts w:ascii="Arial" w:eastAsia="Calibri" w:hAnsi="Arial" w:cs="Arial"/>
          <w:sz w:val="20"/>
          <w:szCs w:val="20"/>
          <w:lang w:val="en-US"/>
        </w:rPr>
      </w:pPr>
    </w:p>
    <w:p w:rsidR="009B0945" w:rsidRPr="00807837" w:rsidRDefault="009B0945" w:rsidP="00807837">
      <w:pPr>
        <w:pStyle w:val="ListParagraph"/>
        <w:spacing w:after="0" w:line="240" w:lineRule="auto"/>
        <w:rPr>
          <w:rFonts w:ascii="Arial" w:eastAsia="Calibri" w:hAnsi="Arial" w:cs="Arial"/>
          <w:sz w:val="20"/>
          <w:szCs w:val="20"/>
          <w:lang w:val="en-US"/>
        </w:rPr>
      </w:pPr>
      <w:r w:rsidRPr="00807837">
        <w:rPr>
          <w:rFonts w:ascii="Arial" w:eastAsia="Calibri" w:hAnsi="Arial" w:cs="Arial"/>
          <w:sz w:val="20"/>
          <w:szCs w:val="20"/>
          <w:lang w:val="en-US"/>
        </w:rPr>
        <w:t>The White paper provides the framework and guidelines for tourism development and promotion in South Africa.</w:t>
      </w:r>
    </w:p>
    <w:p w:rsidR="009B0945" w:rsidRPr="00807837" w:rsidRDefault="009B0945" w:rsidP="00807837">
      <w:pPr>
        <w:pStyle w:val="ListParagraph"/>
        <w:spacing w:after="0" w:line="240" w:lineRule="auto"/>
        <w:rPr>
          <w:rFonts w:ascii="Arial" w:eastAsia="Calibri" w:hAnsi="Arial" w:cs="Arial"/>
          <w:sz w:val="20"/>
          <w:szCs w:val="20"/>
          <w:lang w:val="en-US"/>
        </w:rPr>
      </w:pPr>
      <w:r w:rsidRPr="00807837">
        <w:rPr>
          <w:rFonts w:ascii="Arial" w:eastAsia="Calibri" w:hAnsi="Arial" w:cs="Arial"/>
          <w:sz w:val="20"/>
          <w:szCs w:val="20"/>
          <w:lang w:val="en-US"/>
        </w:rPr>
        <w:t xml:space="preserve"> </w:t>
      </w:r>
    </w:p>
    <w:p w:rsidR="009B0945" w:rsidRPr="00807837" w:rsidRDefault="009B0945" w:rsidP="00807837">
      <w:pPr>
        <w:pStyle w:val="ListParagraph"/>
        <w:numPr>
          <w:ilvl w:val="3"/>
          <w:numId w:val="3"/>
        </w:numPr>
        <w:spacing w:after="0" w:line="240" w:lineRule="auto"/>
        <w:rPr>
          <w:rFonts w:ascii="Arial" w:eastAsia="Calibri" w:hAnsi="Arial" w:cs="Arial"/>
          <w:sz w:val="20"/>
          <w:szCs w:val="20"/>
          <w:lang w:val="en-US"/>
        </w:rPr>
      </w:pPr>
      <w:r w:rsidRPr="00807837">
        <w:rPr>
          <w:rFonts w:ascii="Arial" w:eastAsia="Calibri" w:hAnsi="Arial" w:cs="Arial"/>
          <w:sz w:val="20"/>
          <w:szCs w:val="20"/>
          <w:lang w:val="en-US"/>
        </w:rPr>
        <w:t>National Development Plan (NDP)</w:t>
      </w:r>
    </w:p>
    <w:p w:rsidR="009B0945" w:rsidRPr="00807837" w:rsidRDefault="009B0945" w:rsidP="00807837">
      <w:pPr>
        <w:pStyle w:val="ListParagraph"/>
        <w:spacing w:after="0" w:line="240" w:lineRule="auto"/>
        <w:rPr>
          <w:rFonts w:ascii="Arial" w:eastAsia="Calibri" w:hAnsi="Arial" w:cs="Arial"/>
          <w:sz w:val="20"/>
          <w:szCs w:val="20"/>
          <w:lang w:val="en-US"/>
        </w:rPr>
      </w:pPr>
    </w:p>
    <w:p w:rsidR="009B0945" w:rsidRPr="00807837" w:rsidRDefault="009B0945" w:rsidP="00807837">
      <w:pPr>
        <w:pStyle w:val="ListParagraph"/>
        <w:spacing w:after="0" w:line="240" w:lineRule="auto"/>
        <w:rPr>
          <w:rFonts w:ascii="Arial" w:eastAsia="Calibri" w:hAnsi="Arial" w:cs="Arial"/>
          <w:sz w:val="20"/>
          <w:szCs w:val="20"/>
          <w:lang w:val="en-US"/>
        </w:rPr>
      </w:pPr>
      <w:r w:rsidRPr="00807837">
        <w:rPr>
          <w:rFonts w:ascii="Arial" w:eastAsia="Calibri" w:hAnsi="Arial" w:cs="Arial"/>
          <w:sz w:val="20"/>
          <w:szCs w:val="20"/>
          <w:lang w:val="en-US"/>
        </w:rPr>
        <w:t xml:space="preserve">The NDP is the 2030 vision for the country. The NDP recognises tourism as one of the main drivers of employment creation and economic growth and envisages the promotion of South Africa as a major tourist and business events destination. </w:t>
      </w:r>
    </w:p>
    <w:p w:rsidR="009B0945" w:rsidRPr="00807837" w:rsidRDefault="009B0945" w:rsidP="00807837">
      <w:pPr>
        <w:spacing w:after="0" w:line="240" w:lineRule="auto"/>
        <w:contextualSpacing/>
        <w:rPr>
          <w:rFonts w:ascii="Arial" w:eastAsia="Calibri" w:hAnsi="Arial" w:cs="Arial"/>
          <w:sz w:val="20"/>
          <w:szCs w:val="20"/>
          <w:lang w:val="en-US"/>
        </w:rPr>
      </w:pPr>
    </w:p>
    <w:p w:rsidR="009B0945" w:rsidRPr="00807837" w:rsidRDefault="009B0945" w:rsidP="00807837">
      <w:pPr>
        <w:pStyle w:val="ListParagraph"/>
        <w:numPr>
          <w:ilvl w:val="3"/>
          <w:numId w:val="3"/>
        </w:numPr>
        <w:spacing w:after="0" w:line="240" w:lineRule="auto"/>
        <w:rPr>
          <w:rFonts w:ascii="Arial" w:eastAsia="Calibri" w:hAnsi="Arial" w:cs="Arial"/>
          <w:sz w:val="20"/>
          <w:szCs w:val="20"/>
          <w:lang w:val="en-US"/>
        </w:rPr>
      </w:pPr>
      <w:r w:rsidRPr="00807837">
        <w:rPr>
          <w:rFonts w:ascii="Arial" w:eastAsia="Calibri" w:hAnsi="Arial" w:cs="Arial"/>
          <w:sz w:val="20"/>
          <w:szCs w:val="20"/>
          <w:lang w:val="en-US"/>
        </w:rPr>
        <w:t>National Tourism Sector Strategy (NTSS)</w:t>
      </w:r>
    </w:p>
    <w:p w:rsidR="007229C7" w:rsidRPr="00807837" w:rsidRDefault="007229C7" w:rsidP="00807837">
      <w:pPr>
        <w:pStyle w:val="ListParagraph"/>
        <w:spacing w:after="0" w:line="240" w:lineRule="auto"/>
        <w:rPr>
          <w:rFonts w:ascii="Arial" w:eastAsia="Calibri" w:hAnsi="Arial" w:cs="Arial"/>
          <w:sz w:val="20"/>
          <w:szCs w:val="20"/>
          <w:lang w:val="en-US"/>
        </w:rPr>
      </w:pPr>
    </w:p>
    <w:p w:rsidR="006967EB" w:rsidRPr="00807837" w:rsidRDefault="009B0945" w:rsidP="00807837">
      <w:pPr>
        <w:pStyle w:val="ListParagraph"/>
        <w:spacing w:after="0" w:line="240" w:lineRule="auto"/>
        <w:rPr>
          <w:rFonts w:ascii="Arial" w:eastAsia="Calibri" w:hAnsi="Arial" w:cs="Arial"/>
          <w:sz w:val="20"/>
          <w:szCs w:val="20"/>
          <w:lang w:val="en-US"/>
        </w:rPr>
      </w:pPr>
      <w:r w:rsidRPr="00807837">
        <w:rPr>
          <w:rFonts w:ascii="Arial" w:eastAsia="Calibri" w:hAnsi="Arial" w:cs="Arial"/>
          <w:sz w:val="20"/>
          <w:szCs w:val="20"/>
          <w:lang w:val="en-US"/>
        </w:rPr>
        <w:t>The NTSS is a blueprint for the tourism sector and sets bold commitments for the sector. The NTSS advocates for a coherent approach to promoting South Africa as a preferred destination of choice.</w:t>
      </w:r>
    </w:p>
    <w:p w:rsidR="007229C7" w:rsidRPr="00807837" w:rsidRDefault="007229C7" w:rsidP="00807837">
      <w:pPr>
        <w:pStyle w:val="ListParagraph"/>
        <w:numPr>
          <w:ilvl w:val="3"/>
          <w:numId w:val="3"/>
        </w:numPr>
        <w:spacing w:after="0" w:line="240" w:lineRule="auto"/>
        <w:rPr>
          <w:rFonts w:ascii="Arial" w:eastAsia="Calibri" w:hAnsi="Arial" w:cs="Arial"/>
          <w:sz w:val="20"/>
          <w:szCs w:val="20"/>
        </w:rPr>
      </w:pPr>
      <w:r w:rsidRPr="00807837">
        <w:rPr>
          <w:rFonts w:ascii="Arial" w:eastAsia="Calibri" w:hAnsi="Arial" w:cs="Arial"/>
          <w:sz w:val="20"/>
          <w:szCs w:val="20"/>
        </w:rPr>
        <w:t>Medium Term Strategic Framework (MTSF: 2019-2024)</w:t>
      </w:r>
    </w:p>
    <w:p w:rsidR="007229C7" w:rsidRPr="00807837" w:rsidRDefault="007229C7" w:rsidP="00807837">
      <w:pPr>
        <w:pStyle w:val="ListParagraph"/>
        <w:spacing w:after="0" w:line="240" w:lineRule="auto"/>
        <w:rPr>
          <w:rFonts w:ascii="Arial" w:eastAsia="Calibri" w:hAnsi="Arial" w:cs="Arial"/>
          <w:b/>
          <w:sz w:val="20"/>
          <w:szCs w:val="20"/>
        </w:rPr>
      </w:pPr>
    </w:p>
    <w:p w:rsidR="007229C7" w:rsidRPr="00807837" w:rsidRDefault="007229C7" w:rsidP="00807837">
      <w:pPr>
        <w:pStyle w:val="ListParagraph"/>
        <w:spacing w:after="0" w:line="240" w:lineRule="auto"/>
        <w:rPr>
          <w:rFonts w:ascii="Arial" w:eastAsia="Calibri" w:hAnsi="Arial" w:cs="Arial"/>
          <w:sz w:val="20"/>
          <w:szCs w:val="20"/>
        </w:rPr>
      </w:pPr>
      <w:r w:rsidRPr="00807837">
        <w:rPr>
          <w:rFonts w:ascii="Arial" w:eastAsia="Calibri" w:hAnsi="Arial" w:cs="Arial"/>
          <w:sz w:val="20"/>
          <w:szCs w:val="20"/>
        </w:rPr>
        <w:t>The MTSF is the manifestation of the implementation of the NDP Vision 2030 and the implementation of the electoral mandate of the Sixth Administration of government. It recognises tourism as a national priority sector that can play a key role in the country’s economic transformation, addressing unemployment challenges and developing a better Africa and world.</w:t>
      </w:r>
    </w:p>
    <w:p w:rsidR="007229C7" w:rsidRPr="00807837" w:rsidRDefault="007229C7" w:rsidP="00807837">
      <w:pPr>
        <w:spacing w:after="0" w:line="240" w:lineRule="auto"/>
        <w:contextualSpacing/>
        <w:rPr>
          <w:rFonts w:ascii="Arial" w:eastAsia="Calibri" w:hAnsi="Arial" w:cs="Arial"/>
          <w:sz w:val="20"/>
          <w:szCs w:val="20"/>
        </w:rPr>
      </w:pPr>
    </w:p>
    <w:p w:rsidR="007229C7" w:rsidRPr="00807837" w:rsidRDefault="007229C7" w:rsidP="00807837">
      <w:pPr>
        <w:pStyle w:val="ListParagraph"/>
        <w:numPr>
          <w:ilvl w:val="3"/>
          <w:numId w:val="3"/>
        </w:numPr>
        <w:spacing w:after="0" w:line="240" w:lineRule="auto"/>
        <w:rPr>
          <w:rFonts w:ascii="Arial" w:eastAsia="Calibri" w:hAnsi="Arial" w:cs="Arial"/>
          <w:sz w:val="20"/>
          <w:szCs w:val="20"/>
        </w:rPr>
      </w:pPr>
      <w:r w:rsidRPr="00807837">
        <w:rPr>
          <w:rFonts w:ascii="Arial" w:eastAsia="Calibri" w:hAnsi="Arial" w:cs="Arial"/>
          <w:sz w:val="20"/>
          <w:szCs w:val="20"/>
        </w:rPr>
        <w:t>Re-imagined Industrial Strategy</w:t>
      </w:r>
    </w:p>
    <w:p w:rsidR="007229C7" w:rsidRPr="00807837" w:rsidRDefault="007229C7" w:rsidP="00807837">
      <w:pPr>
        <w:pStyle w:val="ListParagraph"/>
        <w:spacing w:after="0" w:line="240" w:lineRule="auto"/>
        <w:rPr>
          <w:rFonts w:ascii="Arial" w:eastAsia="Calibri" w:hAnsi="Arial" w:cs="Arial"/>
          <w:sz w:val="20"/>
          <w:szCs w:val="20"/>
        </w:rPr>
      </w:pPr>
    </w:p>
    <w:p w:rsidR="007229C7" w:rsidRPr="00807837" w:rsidRDefault="007229C7" w:rsidP="00807837">
      <w:pPr>
        <w:pStyle w:val="ListParagraph"/>
        <w:spacing w:after="0" w:line="240" w:lineRule="auto"/>
        <w:rPr>
          <w:rFonts w:ascii="Arial" w:eastAsia="Calibri" w:hAnsi="Arial" w:cs="Arial"/>
          <w:sz w:val="20"/>
          <w:szCs w:val="20"/>
        </w:rPr>
      </w:pPr>
      <w:r w:rsidRPr="00807837">
        <w:rPr>
          <w:rFonts w:ascii="Arial" w:eastAsia="Calibri" w:hAnsi="Arial" w:cs="Arial"/>
          <w:sz w:val="20"/>
          <w:szCs w:val="20"/>
        </w:rPr>
        <w:t xml:space="preserve">This strategy identifies tourism as one of the seven national priority sectors. </w:t>
      </w:r>
    </w:p>
    <w:p w:rsidR="007229C7" w:rsidRPr="00807837" w:rsidRDefault="007229C7" w:rsidP="00807837">
      <w:pPr>
        <w:spacing w:after="0" w:line="240" w:lineRule="auto"/>
        <w:contextualSpacing/>
        <w:rPr>
          <w:rFonts w:ascii="Arial" w:eastAsia="Calibri" w:hAnsi="Arial" w:cs="Arial"/>
          <w:sz w:val="20"/>
          <w:szCs w:val="20"/>
        </w:rPr>
      </w:pPr>
    </w:p>
    <w:p w:rsidR="007229C7" w:rsidRPr="00807837" w:rsidRDefault="007229C7" w:rsidP="00807837">
      <w:pPr>
        <w:pStyle w:val="ListParagraph"/>
        <w:numPr>
          <w:ilvl w:val="3"/>
          <w:numId w:val="3"/>
        </w:numPr>
        <w:spacing w:after="0" w:line="240" w:lineRule="auto"/>
        <w:rPr>
          <w:rFonts w:ascii="Arial" w:eastAsia="Calibri" w:hAnsi="Arial" w:cs="Arial"/>
          <w:sz w:val="20"/>
          <w:szCs w:val="20"/>
        </w:rPr>
      </w:pPr>
      <w:r w:rsidRPr="00807837">
        <w:rPr>
          <w:rFonts w:ascii="Arial" w:eastAsia="Calibri" w:hAnsi="Arial" w:cs="Arial"/>
          <w:sz w:val="20"/>
          <w:szCs w:val="20"/>
        </w:rPr>
        <w:t>Tourism Sector Recovery Plan (TSRP)</w:t>
      </w:r>
    </w:p>
    <w:p w:rsidR="007229C7" w:rsidRPr="00807837" w:rsidRDefault="007229C7" w:rsidP="00807837">
      <w:pPr>
        <w:pStyle w:val="ListParagraph"/>
        <w:spacing w:after="0" w:line="240" w:lineRule="auto"/>
        <w:rPr>
          <w:rFonts w:ascii="Arial" w:eastAsia="Calibri" w:hAnsi="Arial" w:cs="Arial"/>
          <w:sz w:val="20"/>
          <w:szCs w:val="20"/>
        </w:rPr>
      </w:pPr>
    </w:p>
    <w:p w:rsidR="007229C7" w:rsidRPr="00807837" w:rsidRDefault="007229C7" w:rsidP="00807837">
      <w:pPr>
        <w:pStyle w:val="ListParagraph"/>
        <w:spacing w:after="0" w:line="240" w:lineRule="auto"/>
        <w:rPr>
          <w:rFonts w:ascii="Arial" w:eastAsia="Calibri" w:hAnsi="Arial" w:cs="Arial"/>
          <w:sz w:val="20"/>
          <w:szCs w:val="20"/>
        </w:rPr>
      </w:pPr>
      <w:r w:rsidRPr="00807837">
        <w:rPr>
          <w:rFonts w:ascii="Arial" w:eastAsia="Calibri" w:hAnsi="Arial" w:cs="Arial"/>
          <w:sz w:val="20"/>
          <w:szCs w:val="20"/>
        </w:rPr>
        <w:t xml:space="preserve">The TSRP sets out interventions to ignite the recovery of the tourism sector, and to place it on the path to long-term sustainability whilst contributing to the implementation of the Economic Reconstruction and Recovery Plan (ERRP). </w:t>
      </w:r>
    </w:p>
    <w:p w:rsidR="007229C7" w:rsidRPr="00807837" w:rsidRDefault="007229C7" w:rsidP="00807837">
      <w:pPr>
        <w:spacing w:after="0" w:line="240" w:lineRule="auto"/>
        <w:contextualSpacing/>
        <w:rPr>
          <w:rFonts w:ascii="Arial" w:eastAsia="Calibri" w:hAnsi="Arial" w:cs="Arial"/>
          <w:sz w:val="20"/>
          <w:szCs w:val="20"/>
        </w:rPr>
      </w:pPr>
    </w:p>
    <w:p w:rsidR="006967EB" w:rsidRPr="00807837" w:rsidRDefault="00900394" w:rsidP="00807837">
      <w:pPr>
        <w:spacing w:after="0" w:line="240" w:lineRule="auto"/>
        <w:ind w:left="851" w:hanging="851"/>
        <w:contextualSpacing/>
        <w:rPr>
          <w:rFonts w:ascii="Arial" w:hAnsi="Arial" w:cs="Arial"/>
          <w:sz w:val="20"/>
          <w:szCs w:val="20"/>
        </w:rPr>
      </w:pPr>
      <w:r w:rsidRPr="00807837">
        <w:rPr>
          <w:rFonts w:ascii="Arial" w:eastAsia="Calibri" w:hAnsi="Arial" w:cs="Arial"/>
          <w:sz w:val="20"/>
          <w:szCs w:val="20"/>
          <w:lang w:val="en-US"/>
        </w:rPr>
        <w:t>1.2.6.7</w:t>
      </w:r>
      <w:r w:rsidRPr="00807837">
        <w:rPr>
          <w:rFonts w:ascii="Arial" w:eastAsia="Calibri" w:hAnsi="Arial" w:cs="Arial"/>
          <w:sz w:val="20"/>
          <w:szCs w:val="20"/>
          <w:lang w:val="en-US"/>
        </w:rPr>
        <w:tab/>
      </w:r>
      <w:r w:rsidR="006967EB" w:rsidRPr="00807837">
        <w:rPr>
          <w:rFonts w:ascii="Arial" w:hAnsi="Arial" w:cs="Arial"/>
          <w:sz w:val="20"/>
          <w:szCs w:val="20"/>
        </w:rPr>
        <w:t>State of the Nation Address</w:t>
      </w:r>
    </w:p>
    <w:p w:rsidR="009B54FB" w:rsidRPr="00807837" w:rsidRDefault="009B54FB" w:rsidP="00807837">
      <w:pPr>
        <w:spacing w:after="0" w:line="240" w:lineRule="auto"/>
        <w:contextualSpacing/>
        <w:rPr>
          <w:rFonts w:ascii="Arial" w:hAnsi="Arial" w:cs="Arial"/>
          <w:sz w:val="20"/>
          <w:szCs w:val="20"/>
        </w:rPr>
      </w:pPr>
    </w:p>
    <w:p w:rsidR="00F77F6A" w:rsidRPr="00807837" w:rsidRDefault="009B54FB" w:rsidP="00807837">
      <w:pPr>
        <w:spacing w:after="0" w:line="240" w:lineRule="auto"/>
        <w:rPr>
          <w:rFonts w:ascii="Arial" w:hAnsi="Arial" w:cs="Arial"/>
          <w:sz w:val="20"/>
          <w:szCs w:val="20"/>
        </w:rPr>
      </w:pPr>
      <w:r w:rsidRPr="00807837">
        <w:rPr>
          <w:rFonts w:ascii="Arial" w:hAnsi="Arial" w:cs="Arial"/>
          <w:sz w:val="20"/>
          <w:szCs w:val="20"/>
        </w:rPr>
        <w:lastRenderedPageBreak/>
        <w:t xml:space="preserve">The 2022 State of the Nation </w:t>
      </w:r>
      <w:r w:rsidR="004659D9" w:rsidRPr="00807837">
        <w:rPr>
          <w:rFonts w:ascii="Arial" w:hAnsi="Arial" w:cs="Arial"/>
          <w:sz w:val="20"/>
          <w:szCs w:val="20"/>
        </w:rPr>
        <w:t>Address</w:t>
      </w:r>
      <w:r w:rsidRPr="00807837">
        <w:rPr>
          <w:rFonts w:ascii="Arial" w:hAnsi="Arial" w:cs="Arial"/>
          <w:sz w:val="20"/>
          <w:szCs w:val="20"/>
        </w:rPr>
        <w:t xml:space="preserve"> was </w:t>
      </w:r>
      <w:r w:rsidR="00A96844" w:rsidRPr="00807837">
        <w:rPr>
          <w:rFonts w:ascii="Arial" w:hAnsi="Arial" w:cs="Arial"/>
          <w:sz w:val="20"/>
          <w:szCs w:val="20"/>
        </w:rPr>
        <w:t xml:space="preserve">premised on the three profound insights that were noted by the </w:t>
      </w:r>
      <w:r w:rsidR="00F77F6A" w:rsidRPr="00807837">
        <w:rPr>
          <w:rFonts w:ascii="Arial" w:hAnsi="Arial" w:cs="Arial"/>
          <w:sz w:val="20"/>
          <w:szCs w:val="20"/>
        </w:rPr>
        <w:t>Committee in its oversight work to expedite the recovery of the sector. These a</w:t>
      </w:r>
      <w:r w:rsidR="00A96844" w:rsidRPr="00807837">
        <w:rPr>
          <w:rFonts w:ascii="Arial" w:hAnsi="Arial" w:cs="Arial"/>
          <w:sz w:val="20"/>
          <w:szCs w:val="20"/>
        </w:rPr>
        <w:t xml:space="preserve">re (i) </w:t>
      </w:r>
      <w:r w:rsidR="00F77F6A" w:rsidRPr="00807837">
        <w:rPr>
          <w:rFonts w:ascii="Arial" w:hAnsi="Arial" w:cs="Arial"/>
          <w:sz w:val="20"/>
          <w:szCs w:val="20"/>
          <w:lang w:val="en-GB"/>
        </w:rPr>
        <w:t>In these moments, there is both the prospect of great pr</w:t>
      </w:r>
      <w:r w:rsidR="00A96844" w:rsidRPr="00807837">
        <w:rPr>
          <w:rFonts w:ascii="Arial" w:hAnsi="Arial" w:cs="Arial"/>
          <w:sz w:val="20"/>
          <w:szCs w:val="20"/>
          <w:lang w:val="en-GB"/>
        </w:rPr>
        <w:t xml:space="preserve">ogress and the risk of reversal, (ii) </w:t>
      </w:r>
      <w:r w:rsidR="00F77F6A" w:rsidRPr="00807837">
        <w:rPr>
          <w:rFonts w:ascii="Arial" w:hAnsi="Arial" w:cs="Arial"/>
          <w:sz w:val="20"/>
          <w:szCs w:val="20"/>
          <w:lang w:val="en-GB"/>
        </w:rPr>
        <w:t xml:space="preserve">Today, </w:t>
      </w:r>
      <w:r w:rsidR="00A96844" w:rsidRPr="00807837">
        <w:rPr>
          <w:rFonts w:ascii="Arial" w:hAnsi="Arial" w:cs="Arial"/>
          <w:sz w:val="20"/>
          <w:szCs w:val="20"/>
          <w:lang w:val="en-GB"/>
        </w:rPr>
        <w:t>we are faced with such a moment, and (iii) T</w:t>
      </w:r>
      <w:r w:rsidR="00F77F6A" w:rsidRPr="00807837">
        <w:rPr>
          <w:rFonts w:ascii="Arial" w:hAnsi="Arial" w:cs="Arial"/>
          <w:sz w:val="20"/>
          <w:szCs w:val="20"/>
          <w:lang w:val="en-GB"/>
        </w:rPr>
        <w:t>he path we choose now will determine the</w:t>
      </w:r>
      <w:r w:rsidR="00A96844" w:rsidRPr="00807837">
        <w:rPr>
          <w:rFonts w:ascii="Arial" w:hAnsi="Arial" w:cs="Arial"/>
          <w:sz w:val="20"/>
          <w:szCs w:val="20"/>
          <w:lang w:val="en-GB"/>
        </w:rPr>
        <w:t xml:space="preserve"> course for future generations. Amongst other things, </w:t>
      </w:r>
      <w:r w:rsidR="00A96844" w:rsidRPr="00807837">
        <w:rPr>
          <w:rFonts w:ascii="Arial" w:hAnsi="Arial" w:cs="Arial"/>
          <w:sz w:val="20"/>
          <w:szCs w:val="20"/>
        </w:rPr>
        <w:t>t</w:t>
      </w:r>
      <w:r w:rsidR="00F77F6A" w:rsidRPr="00807837">
        <w:rPr>
          <w:rFonts w:ascii="Arial" w:hAnsi="Arial" w:cs="Arial"/>
          <w:sz w:val="20"/>
          <w:szCs w:val="20"/>
          <w:lang w:val="en-GB"/>
        </w:rPr>
        <w:t xml:space="preserve">he </w:t>
      </w:r>
      <w:r w:rsidR="00A96844" w:rsidRPr="00807837">
        <w:rPr>
          <w:rFonts w:ascii="Arial" w:hAnsi="Arial" w:cs="Arial"/>
          <w:sz w:val="20"/>
          <w:szCs w:val="20"/>
          <w:lang w:val="en-GB"/>
        </w:rPr>
        <w:t xml:space="preserve">government </w:t>
      </w:r>
      <w:r w:rsidR="004659D9" w:rsidRPr="00807837">
        <w:rPr>
          <w:rFonts w:ascii="Arial" w:hAnsi="Arial" w:cs="Arial"/>
          <w:sz w:val="20"/>
          <w:szCs w:val="20"/>
          <w:lang w:val="en-GB"/>
        </w:rPr>
        <w:t>intended</w:t>
      </w:r>
      <w:r w:rsidR="00F77F6A" w:rsidRPr="00807837">
        <w:rPr>
          <w:rFonts w:ascii="Arial" w:hAnsi="Arial" w:cs="Arial"/>
          <w:sz w:val="20"/>
          <w:szCs w:val="20"/>
          <w:lang w:val="en-GB"/>
        </w:rPr>
        <w:t xml:space="preserve"> to end the national state of disaster </w:t>
      </w:r>
      <w:r w:rsidR="00A96844" w:rsidRPr="00807837">
        <w:rPr>
          <w:rFonts w:ascii="Arial" w:hAnsi="Arial" w:cs="Arial"/>
          <w:sz w:val="20"/>
          <w:szCs w:val="20"/>
          <w:lang w:val="en-GB"/>
        </w:rPr>
        <w:t xml:space="preserve">that was crippling the sector. </w:t>
      </w:r>
      <w:r w:rsidR="00F77F6A" w:rsidRPr="00807837">
        <w:rPr>
          <w:rFonts w:ascii="Arial" w:hAnsi="Arial" w:cs="Arial"/>
          <w:sz w:val="20"/>
          <w:szCs w:val="20"/>
          <w:lang w:val="en-GB"/>
        </w:rPr>
        <w:t xml:space="preserve">The </w:t>
      </w:r>
      <w:r w:rsidR="00A96844" w:rsidRPr="00807837">
        <w:rPr>
          <w:rFonts w:ascii="Arial" w:hAnsi="Arial" w:cs="Arial"/>
          <w:sz w:val="20"/>
          <w:szCs w:val="20"/>
          <w:lang w:val="en-GB"/>
        </w:rPr>
        <w:t>President also announced that the government wa</w:t>
      </w:r>
      <w:r w:rsidR="00F77F6A" w:rsidRPr="00807837">
        <w:rPr>
          <w:rFonts w:ascii="Arial" w:hAnsi="Arial" w:cs="Arial"/>
          <w:sz w:val="20"/>
          <w:szCs w:val="20"/>
          <w:lang w:val="en-GB"/>
        </w:rPr>
        <w:t xml:space="preserve">s streamlining and modernising the visa application process to make it easier to travel to South Africa for tourism, business and work. </w:t>
      </w:r>
      <w:r w:rsidR="00A96844" w:rsidRPr="00807837">
        <w:rPr>
          <w:rFonts w:ascii="Arial" w:hAnsi="Arial" w:cs="Arial"/>
          <w:sz w:val="20"/>
          <w:szCs w:val="20"/>
          <w:lang w:val="en-GB"/>
        </w:rPr>
        <w:t xml:space="preserve">In line with the commitment made in the 2021 SoNA, the eVisa system had been launched in 14 countries, including China, India, Kenya and Nigeria. </w:t>
      </w:r>
    </w:p>
    <w:p w:rsidR="00F77F6A" w:rsidRPr="00807837" w:rsidRDefault="00F77F6A" w:rsidP="00807837">
      <w:pPr>
        <w:spacing w:after="0" w:line="240" w:lineRule="auto"/>
        <w:rPr>
          <w:rFonts w:ascii="Arial" w:hAnsi="Arial" w:cs="Arial"/>
          <w:sz w:val="20"/>
          <w:szCs w:val="20"/>
        </w:rPr>
      </w:pPr>
    </w:p>
    <w:p w:rsidR="009B54FB" w:rsidRPr="00807837" w:rsidRDefault="009B54FB" w:rsidP="00807837">
      <w:pPr>
        <w:spacing w:after="0" w:line="240" w:lineRule="auto"/>
        <w:rPr>
          <w:rFonts w:ascii="Arial" w:hAnsi="Arial" w:cs="Arial"/>
          <w:sz w:val="20"/>
          <w:szCs w:val="20"/>
        </w:rPr>
      </w:pPr>
    </w:p>
    <w:p w:rsidR="006967EB" w:rsidRPr="00807837" w:rsidRDefault="00900394" w:rsidP="00807837">
      <w:pPr>
        <w:spacing w:after="0" w:line="240" w:lineRule="auto"/>
        <w:ind w:left="720" w:hanging="720"/>
        <w:contextualSpacing/>
        <w:rPr>
          <w:rFonts w:ascii="Arial" w:eastAsia="Calibri" w:hAnsi="Arial" w:cs="Arial"/>
          <w:b/>
          <w:sz w:val="20"/>
          <w:szCs w:val="20"/>
          <w:lang w:val="en-US"/>
        </w:rPr>
      </w:pPr>
      <w:r w:rsidRPr="00807837">
        <w:rPr>
          <w:rFonts w:ascii="Arial" w:hAnsi="Arial" w:cs="Arial"/>
          <w:b/>
          <w:sz w:val="20"/>
          <w:szCs w:val="20"/>
        </w:rPr>
        <w:t>1.3</w:t>
      </w:r>
      <w:r w:rsidRPr="00807837">
        <w:rPr>
          <w:rFonts w:ascii="Arial" w:hAnsi="Arial" w:cs="Arial"/>
          <w:b/>
          <w:sz w:val="20"/>
          <w:szCs w:val="20"/>
        </w:rPr>
        <w:tab/>
      </w:r>
      <w:r w:rsidR="006967EB" w:rsidRPr="00807837">
        <w:rPr>
          <w:rFonts w:ascii="Arial" w:eastAsia="Calibri" w:hAnsi="Arial" w:cs="Arial"/>
          <w:b/>
          <w:sz w:val="20"/>
          <w:szCs w:val="20"/>
          <w:lang w:val="en-US"/>
        </w:rPr>
        <w:t xml:space="preserve">Strategic Outcome Oriented Goals of the Department and </w:t>
      </w:r>
      <w:r w:rsidR="006967EB" w:rsidRPr="00807837">
        <w:rPr>
          <w:rFonts w:ascii="Arial" w:eastAsia="Calibri" w:hAnsi="Arial" w:cs="Arial"/>
          <w:b/>
          <w:sz w:val="20"/>
          <w:szCs w:val="20"/>
        </w:rPr>
        <w:t>Delivery Agreement targets for</w:t>
      </w:r>
      <w:r w:rsidR="004E6F19" w:rsidRPr="00807837">
        <w:rPr>
          <w:rFonts w:ascii="Arial" w:eastAsia="Calibri" w:hAnsi="Arial" w:cs="Arial"/>
          <w:b/>
          <w:sz w:val="20"/>
          <w:szCs w:val="20"/>
        </w:rPr>
        <w:t xml:space="preserve"> 202</w:t>
      </w:r>
      <w:r w:rsidR="00A96844" w:rsidRPr="00807837">
        <w:rPr>
          <w:rFonts w:ascii="Arial" w:eastAsia="Calibri" w:hAnsi="Arial" w:cs="Arial"/>
          <w:b/>
          <w:sz w:val="20"/>
          <w:szCs w:val="20"/>
        </w:rPr>
        <w:t>1</w:t>
      </w:r>
      <w:r w:rsidR="004E6F19" w:rsidRPr="00807837">
        <w:rPr>
          <w:rFonts w:ascii="Arial" w:eastAsia="Calibri" w:hAnsi="Arial" w:cs="Arial"/>
          <w:b/>
          <w:sz w:val="20"/>
          <w:szCs w:val="20"/>
        </w:rPr>
        <w:t>/2</w:t>
      </w:r>
      <w:r w:rsidR="00A96844" w:rsidRPr="00807837">
        <w:rPr>
          <w:rFonts w:ascii="Arial" w:eastAsia="Calibri" w:hAnsi="Arial" w:cs="Arial"/>
          <w:b/>
          <w:sz w:val="20"/>
          <w:szCs w:val="20"/>
        </w:rPr>
        <w:t>2</w:t>
      </w:r>
      <w:r w:rsidR="006967EB" w:rsidRPr="00807837">
        <w:rPr>
          <w:rFonts w:ascii="Arial" w:eastAsia="Calibri" w:hAnsi="Arial" w:cs="Arial"/>
          <w:b/>
          <w:sz w:val="20"/>
          <w:szCs w:val="20"/>
        </w:rPr>
        <w:t xml:space="preserve"> </w:t>
      </w:r>
    </w:p>
    <w:p w:rsidR="004E6F19" w:rsidRPr="00807837" w:rsidRDefault="004E6F19" w:rsidP="00807837">
      <w:pPr>
        <w:spacing w:after="0" w:line="240" w:lineRule="auto"/>
        <w:rPr>
          <w:rFonts w:ascii="Arial" w:hAnsi="Arial" w:cs="Arial"/>
          <w:sz w:val="20"/>
          <w:szCs w:val="20"/>
        </w:rPr>
      </w:pPr>
    </w:p>
    <w:p w:rsidR="004E6F19" w:rsidRPr="00807837" w:rsidRDefault="004E6F19" w:rsidP="00807837">
      <w:pPr>
        <w:spacing w:after="0" w:line="240" w:lineRule="auto"/>
        <w:rPr>
          <w:rFonts w:ascii="Arial" w:hAnsi="Arial" w:cs="Arial"/>
          <w:sz w:val="20"/>
          <w:szCs w:val="20"/>
        </w:rPr>
      </w:pPr>
      <w:r w:rsidRPr="00807837">
        <w:rPr>
          <w:rFonts w:ascii="Arial" w:hAnsi="Arial" w:cs="Arial"/>
          <w:sz w:val="20"/>
          <w:szCs w:val="20"/>
        </w:rPr>
        <w:t>In line with its vision of complementing the national priorities, the Department identified objectives that would accelerate the delivery of services in the tourism sector. Outlined below are the strategic outcomes of the Department, as stated in the 2020/21 – 2024/25 Strategic Plan, which correlate with Government’s Outcomes, namely:</w:t>
      </w:r>
    </w:p>
    <w:p w:rsidR="003C5EF4" w:rsidRPr="00807837" w:rsidRDefault="003C5EF4" w:rsidP="00807837">
      <w:pPr>
        <w:spacing w:after="0" w:line="240" w:lineRule="auto"/>
        <w:rPr>
          <w:rFonts w:ascii="Arial" w:hAnsi="Arial" w:cs="Arial"/>
          <w:sz w:val="20"/>
          <w:szCs w:val="20"/>
        </w:rPr>
      </w:pPr>
    </w:p>
    <w:p w:rsidR="006967EB" w:rsidRPr="00807837" w:rsidRDefault="006967EB" w:rsidP="00807837">
      <w:pPr>
        <w:spacing w:after="0" w:line="240" w:lineRule="auto"/>
        <w:rPr>
          <w:rFonts w:ascii="Arial" w:hAnsi="Arial" w:cs="Arial"/>
          <w:b/>
          <w:sz w:val="20"/>
          <w:szCs w:val="20"/>
        </w:rPr>
      </w:pPr>
      <w:r w:rsidRPr="00807837">
        <w:rPr>
          <w:rFonts w:ascii="Arial" w:hAnsi="Arial" w:cs="Arial"/>
          <w:b/>
          <w:sz w:val="20"/>
          <w:szCs w:val="20"/>
        </w:rPr>
        <w:t>Table 1</w:t>
      </w:r>
      <w:r w:rsidR="003C5EF4" w:rsidRPr="00807837">
        <w:rPr>
          <w:rFonts w:ascii="Arial" w:hAnsi="Arial" w:cs="Arial"/>
          <w:b/>
          <w:sz w:val="20"/>
          <w:szCs w:val="20"/>
        </w:rPr>
        <w:t>: Strategic O</w:t>
      </w:r>
      <w:r w:rsidRPr="00807837">
        <w:rPr>
          <w:rFonts w:ascii="Arial" w:hAnsi="Arial" w:cs="Arial"/>
          <w:b/>
          <w:sz w:val="20"/>
          <w:szCs w:val="20"/>
        </w:rPr>
        <w:t>utcome</w:t>
      </w:r>
      <w:r w:rsidR="003C5EF4" w:rsidRPr="00807837">
        <w:rPr>
          <w:rFonts w:ascii="Arial" w:hAnsi="Arial" w:cs="Arial"/>
          <w:b/>
          <w:sz w:val="20"/>
          <w:szCs w:val="20"/>
        </w:rPr>
        <w:t>-Oriented G</w:t>
      </w:r>
      <w:r w:rsidRPr="00807837">
        <w:rPr>
          <w:rFonts w:ascii="Arial" w:hAnsi="Arial" w:cs="Arial"/>
          <w:b/>
          <w:sz w:val="20"/>
          <w:szCs w:val="20"/>
        </w:rPr>
        <w:t>oals w</w:t>
      </w:r>
      <w:r w:rsidR="003C5EF4" w:rsidRPr="00807837">
        <w:rPr>
          <w:rFonts w:ascii="Arial" w:hAnsi="Arial" w:cs="Arial"/>
          <w:b/>
          <w:sz w:val="20"/>
          <w:szCs w:val="20"/>
        </w:rPr>
        <w:t>hich correlate with Government</w:t>
      </w:r>
      <w:r w:rsidRPr="00807837">
        <w:rPr>
          <w:rFonts w:ascii="Arial" w:hAnsi="Arial" w:cs="Arial"/>
          <w:b/>
          <w:sz w:val="20"/>
          <w:szCs w:val="20"/>
        </w:rPr>
        <w:t xml:space="preserve"> Outcomes </w:t>
      </w:r>
    </w:p>
    <w:tbl>
      <w:tblPr>
        <w:tblStyle w:val="TableGrid"/>
        <w:tblW w:w="0" w:type="auto"/>
        <w:tblLook w:val="04A0"/>
      </w:tblPr>
      <w:tblGrid>
        <w:gridCol w:w="3205"/>
        <w:gridCol w:w="3222"/>
        <w:gridCol w:w="2589"/>
      </w:tblGrid>
      <w:tr w:rsidR="008900DD" w:rsidRPr="00807837" w:rsidTr="004E6F19">
        <w:tc>
          <w:tcPr>
            <w:tcW w:w="3205" w:type="dxa"/>
          </w:tcPr>
          <w:p w:rsidR="004E6F19" w:rsidRPr="00807837" w:rsidRDefault="004E6F19" w:rsidP="00807837">
            <w:pPr>
              <w:rPr>
                <w:rFonts w:ascii="Arial" w:hAnsi="Arial" w:cs="Arial"/>
                <w:b/>
                <w:sz w:val="20"/>
                <w:szCs w:val="20"/>
              </w:rPr>
            </w:pPr>
            <w:r w:rsidRPr="00807837">
              <w:rPr>
                <w:rFonts w:ascii="Arial" w:hAnsi="Arial" w:cs="Arial"/>
                <w:b/>
                <w:sz w:val="20"/>
                <w:szCs w:val="20"/>
              </w:rPr>
              <w:t>MTSF Priority</w:t>
            </w:r>
          </w:p>
        </w:tc>
        <w:tc>
          <w:tcPr>
            <w:tcW w:w="3222" w:type="dxa"/>
          </w:tcPr>
          <w:p w:rsidR="004E6F19" w:rsidRPr="00807837" w:rsidRDefault="004E6F19" w:rsidP="00807837">
            <w:pPr>
              <w:rPr>
                <w:rFonts w:ascii="Arial" w:hAnsi="Arial" w:cs="Arial"/>
                <w:b/>
                <w:sz w:val="20"/>
                <w:szCs w:val="20"/>
              </w:rPr>
            </w:pPr>
            <w:r w:rsidRPr="00807837">
              <w:rPr>
                <w:rFonts w:ascii="Arial" w:hAnsi="Arial" w:cs="Arial"/>
                <w:b/>
                <w:sz w:val="20"/>
                <w:szCs w:val="20"/>
              </w:rPr>
              <w:t>MTSF Outcome</w:t>
            </w:r>
          </w:p>
        </w:tc>
        <w:tc>
          <w:tcPr>
            <w:tcW w:w="2589" w:type="dxa"/>
          </w:tcPr>
          <w:p w:rsidR="004E6F19" w:rsidRPr="00807837" w:rsidRDefault="004E6F19" w:rsidP="00807837">
            <w:pPr>
              <w:rPr>
                <w:rFonts w:ascii="Arial" w:hAnsi="Arial" w:cs="Arial"/>
                <w:b/>
                <w:sz w:val="20"/>
                <w:szCs w:val="20"/>
              </w:rPr>
            </w:pPr>
            <w:r w:rsidRPr="00807837">
              <w:rPr>
                <w:rFonts w:ascii="Arial" w:hAnsi="Arial" w:cs="Arial"/>
                <w:b/>
                <w:sz w:val="20"/>
                <w:szCs w:val="20"/>
              </w:rPr>
              <w:t>Departmental outcome</w:t>
            </w:r>
          </w:p>
        </w:tc>
      </w:tr>
      <w:tr w:rsidR="008900DD" w:rsidRPr="00807837" w:rsidTr="004E6F19">
        <w:tc>
          <w:tcPr>
            <w:tcW w:w="3205" w:type="dxa"/>
          </w:tcPr>
          <w:p w:rsidR="004E6F19" w:rsidRPr="00807837" w:rsidRDefault="008900DD" w:rsidP="00807837">
            <w:pPr>
              <w:rPr>
                <w:rFonts w:ascii="Arial" w:hAnsi="Arial" w:cs="Arial"/>
                <w:sz w:val="20"/>
                <w:szCs w:val="20"/>
              </w:rPr>
            </w:pPr>
            <w:r w:rsidRPr="00807837">
              <w:rPr>
                <w:rFonts w:ascii="Arial" w:hAnsi="Arial" w:cs="Arial"/>
                <w:sz w:val="20"/>
                <w:szCs w:val="20"/>
              </w:rPr>
              <w:t>Priority 1: Building a capable, ethical and developmental State</w:t>
            </w:r>
          </w:p>
        </w:tc>
        <w:tc>
          <w:tcPr>
            <w:tcW w:w="3222" w:type="dxa"/>
          </w:tcPr>
          <w:p w:rsidR="008900DD" w:rsidRPr="00807837" w:rsidRDefault="008900DD" w:rsidP="00807837">
            <w:pPr>
              <w:pStyle w:val="ListParagraph"/>
              <w:numPr>
                <w:ilvl w:val="0"/>
                <w:numId w:val="18"/>
              </w:numPr>
              <w:rPr>
                <w:rFonts w:ascii="Arial" w:hAnsi="Arial" w:cs="Arial"/>
                <w:sz w:val="20"/>
                <w:szCs w:val="20"/>
              </w:rPr>
            </w:pPr>
            <w:r w:rsidRPr="00807837">
              <w:rPr>
                <w:rFonts w:ascii="Arial" w:hAnsi="Arial" w:cs="Arial"/>
                <w:sz w:val="20"/>
                <w:szCs w:val="20"/>
              </w:rPr>
              <w:t>Improved governance and accountability.</w:t>
            </w:r>
          </w:p>
          <w:p w:rsidR="004E6F19" w:rsidRPr="00807837" w:rsidRDefault="008900DD" w:rsidP="00807837">
            <w:pPr>
              <w:pStyle w:val="ListParagraph"/>
              <w:numPr>
                <w:ilvl w:val="0"/>
                <w:numId w:val="18"/>
              </w:numPr>
              <w:rPr>
                <w:rFonts w:ascii="Arial" w:hAnsi="Arial" w:cs="Arial"/>
                <w:sz w:val="20"/>
                <w:szCs w:val="20"/>
              </w:rPr>
            </w:pPr>
            <w:r w:rsidRPr="00807837">
              <w:rPr>
                <w:rFonts w:ascii="Arial" w:hAnsi="Arial" w:cs="Arial"/>
                <w:sz w:val="20"/>
                <w:szCs w:val="20"/>
              </w:rPr>
              <w:t>Functional, efficient and integrated government</w:t>
            </w:r>
          </w:p>
        </w:tc>
        <w:tc>
          <w:tcPr>
            <w:tcW w:w="2589" w:type="dxa"/>
          </w:tcPr>
          <w:p w:rsidR="004E6F19" w:rsidRPr="00807837" w:rsidRDefault="008900DD" w:rsidP="00807837">
            <w:pPr>
              <w:rPr>
                <w:rFonts w:ascii="Arial" w:hAnsi="Arial" w:cs="Arial"/>
                <w:sz w:val="20"/>
                <w:szCs w:val="20"/>
              </w:rPr>
            </w:pPr>
            <w:r w:rsidRPr="00807837">
              <w:rPr>
                <w:rFonts w:ascii="Arial" w:hAnsi="Arial" w:cs="Arial"/>
                <w:sz w:val="20"/>
                <w:szCs w:val="20"/>
              </w:rPr>
              <w:t>Achieve good corporate and cooperative governance.</w:t>
            </w:r>
          </w:p>
        </w:tc>
      </w:tr>
      <w:tr w:rsidR="008900DD" w:rsidRPr="00807837" w:rsidTr="004E6F19">
        <w:tc>
          <w:tcPr>
            <w:tcW w:w="3205" w:type="dxa"/>
          </w:tcPr>
          <w:p w:rsidR="004E6F19" w:rsidRPr="00807837" w:rsidRDefault="008900DD" w:rsidP="00807837">
            <w:pPr>
              <w:rPr>
                <w:rFonts w:ascii="Arial" w:hAnsi="Arial" w:cs="Arial"/>
                <w:sz w:val="20"/>
                <w:szCs w:val="20"/>
              </w:rPr>
            </w:pPr>
            <w:r w:rsidRPr="00807837">
              <w:rPr>
                <w:rFonts w:ascii="Arial" w:hAnsi="Arial" w:cs="Arial"/>
                <w:sz w:val="20"/>
                <w:szCs w:val="20"/>
              </w:rPr>
              <w:t>Priority 2: Economic Transformation and Job creation</w:t>
            </w:r>
          </w:p>
        </w:tc>
        <w:tc>
          <w:tcPr>
            <w:tcW w:w="3222" w:type="dxa"/>
          </w:tcPr>
          <w:p w:rsidR="004E6F19" w:rsidRPr="00807837" w:rsidRDefault="008900DD" w:rsidP="00807837">
            <w:pPr>
              <w:rPr>
                <w:rFonts w:ascii="Arial" w:hAnsi="Arial" w:cs="Arial"/>
                <w:sz w:val="20"/>
                <w:szCs w:val="20"/>
              </w:rPr>
            </w:pPr>
            <w:r w:rsidRPr="00807837">
              <w:rPr>
                <w:rFonts w:ascii="Arial" w:hAnsi="Arial" w:cs="Arial"/>
                <w:sz w:val="20"/>
                <w:szCs w:val="20"/>
              </w:rPr>
              <w:t>Re-industrialisation of the economy and emergence of globally competitive sectors.</w:t>
            </w:r>
          </w:p>
        </w:tc>
        <w:tc>
          <w:tcPr>
            <w:tcW w:w="2589" w:type="dxa"/>
          </w:tcPr>
          <w:p w:rsidR="004E6F19" w:rsidRPr="00807837" w:rsidRDefault="008900DD" w:rsidP="00807837">
            <w:pPr>
              <w:rPr>
                <w:rFonts w:ascii="Arial" w:hAnsi="Arial" w:cs="Arial"/>
                <w:sz w:val="20"/>
                <w:szCs w:val="20"/>
              </w:rPr>
            </w:pPr>
            <w:r w:rsidRPr="00807837">
              <w:rPr>
                <w:rFonts w:ascii="Arial" w:hAnsi="Arial" w:cs="Arial"/>
                <w:sz w:val="20"/>
                <w:szCs w:val="20"/>
              </w:rPr>
              <w:t>Increase the tourism sector’s contribution to inclusive economic growth.</w:t>
            </w:r>
          </w:p>
        </w:tc>
      </w:tr>
      <w:tr w:rsidR="008900DD" w:rsidRPr="00807837" w:rsidTr="004E6F19">
        <w:tc>
          <w:tcPr>
            <w:tcW w:w="3205" w:type="dxa"/>
          </w:tcPr>
          <w:p w:rsidR="004E6F19" w:rsidRPr="00807837" w:rsidRDefault="008900DD" w:rsidP="00807837">
            <w:pPr>
              <w:rPr>
                <w:rFonts w:ascii="Arial" w:hAnsi="Arial" w:cs="Arial"/>
                <w:sz w:val="20"/>
                <w:szCs w:val="20"/>
              </w:rPr>
            </w:pPr>
            <w:r w:rsidRPr="00807837">
              <w:rPr>
                <w:rFonts w:ascii="Arial" w:hAnsi="Arial" w:cs="Arial"/>
                <w:sz w:val="20"/>
                <w:szCs w:val="20"/>
              </w:rPr>
              <w:t>Priority 7: A better Africa and world</w:t>
            </w:r>
          </w:p>
        </w:tc>
        <w:tc>
          <w:tcPr>
            <w:tcW w:w="3222" w:type="dxa"/>
          </w:tcPr>
          <w:p w:rsidR="004E6F19" w:rsidRPr="00807837" w:rsidRDefault="008900DD" w:rsidP="00807837">
            <w:pPr>
              <w:rPr>
                <w:rFonts w:ascii="Arial" w:hAnsi="Arial" w:cs="Arial"/>
                <w:sz w:val="20"/>
                <w:szCs w:val="20"/>
              </w:rPr>
            </w:pPr>
            <w:r w:rsidRPr="00807837">
              <w:rPr>
                <w:rFonts w:ascii="Arial" w:hAnsi="Arial" w:cs="Arial"/>
                <w:sz w:val="20"/>
                <w:szCs w:val="20"/>
              </w:rPr>
              <w:t>Growth in tourism sector resulting in economic growth.</w:t>
            </w:r>
          </w:p>
        </w:tc>
        <w:tc>
          <w:tcPr>
            <w:tcW w:w="2589" w:type="dxa"/>
          </w:tcPr>
          <w:p w:rsidR="004E6F19" w:rsidRPr="00807837" w:rsidRDefault="008900DD" w:rsidP="00807837">
            <w:pPr>
              <w:rPr>
                <w:rFonts w:ascii="Arial" w:hAnsi="Arial" w:cs="Arial"/>
                <w:sz w:val="20"/>
                <w:szCs w:val="20"/>
              </w:rPr>
            </w:pPr>
            <w:r w:rsidRPr="00807837">
              <w:rPr>
                <w:rFonts w:ascii="Arial" w:hAnsi="Arial" w:cs="Arial"/>
                <w:sz w:val="20"/>
                <w:szCs w:val="20"/>
              </w:rPr>
              <w:t>Increase the tourism sector’s contribution to inclusive economic growth.</w:t>
            </w:r>
          </w:p>
        </w:tc>
      </w:tr>
    </w:tbl>
    <w:p w:rsidR="00652942" w:rsidRPr="00807837" w:rsidRDefault="00652942" w:rsidP="00807837">
      <w:pPr>
        <w:spacing w:after="0" w:line="240" w:lineRule="auto"/>
        <w:rPr>
          <w:rFonts w:ascii="Arial" w:hAnsi="Arial" w:cs="Arial"/>
          <w:sz w:val="20"/>
          <w:szCs w:val="20"/>
        </w:rPr>
      </w:pPr>
      <w:r w:rsidRPr="00807837">
        <w:rPr>
          <w:rFonts w:ascii="Arial" w:hAnsi="Arial" w:cs="Arial"/>
          <w:b/>
          <w:sz w:val="20"/>
          <w:szCs w:val="20"/>
        </w:rPr>
        <w:t>Source:</w:t>
      </w:r>
      <w:r w:rsidRPr="00807837">
        <w:rPr>
          <w:rFonts w:ascii="Arial" w:hAnsi="Arial" w:cs="Arial"/>
          <w:sz w:val="20"/>
          <w:szCs w:val="20"/>
        </w:rPr>
        <w:t xml:space="preserve"> </w:t>
      </w:r>
      <w:r w:rsidR="004E6F19" w:rsidRPr="00807837">
        <w:rPr>
          <w:rFonts w:ascii="Arial" w:hAnsi="Arial" w:cs="Arial"/>
          <w:sz w:val="20"/>
          <w:szCs w:val="20"/>
        </w:rPr>
        <w:t xml:space="preserve">Department of Tourism </w:t>
      </w:r>
      <w:r w:rsidR="002E12F0" w:rsidRPr="00807837">
        <w:rPr>
          <w:rFonts w:ascii="Arial" w:hAnsi="Arial" w:cs="Arial"/>
          <w:sz w:val="20"/>
          <w:szCs w:val="20"/>
        </w:rPr>
        <w:t>Strategic</w:t>
      </w:r>
      <w:r w:rsidR="004E6F19" w:rsidRPr="00807837">
        <w:rPr>
          <w:rFonts w:ascii="Arial" w:hAnsi="Arial" w:cs="Arial"/>
          <w:sz w:val="20"/>
          <w:szCs w:val="20"/>
        </w:rPr>
        <w:t xml:space="preserve"> Plan 2020/21 </w:t>
      </w:r>
      <w:r w:rsidR="008900DD" w:rsidRPr="00807837">
        <w:rPr>
          <w:rFonts w:ascii="Arial" w:hAnsi="Arial" w:cs="Arial"/>
          <w:sz w:val="20"/>
          <w:szCs w:val="20"/>
        </w:rPr>
        <w:t>–</w:t>
      </w:r>
      <w:r w:rsidR="004E6F19" w:rsidRPr="00807837">
        <w:rPr>
          <w:rFonts w:ascii="Arial" w:hAnsi="Arial" w:cs="Arial"/>
          <w:sz w:val="20"/>
          <w:szCs w:val="20"/>
        </w:rPr>
        <w:t xml:space="preserve"> </w:t>
      </w:r>
      <w:r w:rsidR="008900DD" w:rsidRPr="00807837">
        <w:rPr>
          <w:rFonts w:ascii="Arial" w:hAnsi="Arial" w:cs="Arial"/>
          <w:sz w:val="20"/>
          <w:szCs w:val="20"/>
        </w:rPr>
        <w:t>2024/25</w:t>
      </w:r>
    </w:p>
    <w:p w:rsidR="00A96844" w:rsidRPr="00807837" w:rsidRDefault="00A96844" w:rsidP="00807837">
      <w:pPr>
        <w:spacing w:after="0" w:line="240" w:lineRule="auto"/>
        <w:rPr>
          <w:rFonts w:ascii="Arial" w:hAnsi="Arial" w:cs="Arial"/>
          <w:sz w:val="20"/>
          <w:szCs w:val="20"/>
        </w:rPr>
      </w:pPr>
    </w:p>
    <w:p w:rsidR="00A96844" w:rsidRPr="00807837" w:rsidRDefault="00A96844" w:rsidP="00807837">
      <w:pPr>
        <w:spacing w:after="0" w:line="240" w:lineRule="auto"/>
        <w:rPr>
          <w:rFonts w:ascii="Arial" w:hAnsi="Arial" w:cs="Arial"/>
          <w:sz w:val="20"/>
          <w:szCs w:val="20"/>
        </w:rPr>
      </w:pPr>
      <w:r w:rsidRPr="00807837">
        <w:rPr>
          <w:rFonts w:ascii="Arial" w:hAnsi="Arial" w:cs="Arial"/>
          <w:sz w:val="20"/>
          <w:szCs w:val="20"/>
        </w:rPr>
        <w:t xml:space="preserve">In response to the above, the Department has adopted several initiatives. These include: </w:t>
      </w:r>
    </w:p>
    <w:p w:rsidR="00A96844" w:rsidRPr="00807837" w:rsidRDefault="00A96844" w:rsidP="00807837">
      <w:pPr>
        <w:spacing w:after="0" w:line="240" w:lineRule="auto"/>
        <w:rPr>
          <w:rFonts w:ascii="Arial" w:hAnsi="Arial" w:cs="Arial"/>
          <w:b/>
          <w:sz w:val="20"/>
          <w:szCs w:val="20"/>
        </w:rPr>
      </w:pPr>
    </w:p>
    <w:p w:rsidR="00A96844" w:rsidRPr="00807837" w:rsidRDefault="00A96844" w:rsidP="00807837">
      <w:pPr>
        <w:spacing w:after="0" w:line="240" w:lineRule="auto"/>
        <w:rPr>
          <w:rFonts w:ascii="Arial" w:hAnsi="Arial" w:cs="Arial"/>
          <w:sz w:val="20"/>
          <w:szCs w:val="20"/>
        </w:rPr>
      </w:pPr>
      <w:r w:rsidRPr="00807837">
        <w:rPr>
          <w:rFonts w:ascii="Arial" w:hAnsi="Arial" w:cs="Arial"/>
          <w:sz w:val="20"/>
          <w:szCs w:val="20"/>
        </w:rPr>
        <w:t xml:space="preserve">Priority 1: Capable, Ethical and Developmental State </w:t>
      </w:r>
    </w:p>
    <w:p w:rsidR="00A96844" w:rsidRPr="00807837" w:rsidRDefault="00A96844" w:rsidP="00807837">
      <w:pPr>
        <w:numPr>
          <w:ilvl w:val="0"/>
          <w:numId w:val="28"/>
        </w:numPr>
        <w:spacing w:after="0" w:line="240" w:lineRule="auto"/>
        <w:rPr>
          <w:rFonts w:ascii="Arial" w:hAnsi="Arial" w:cs="Arial"/>
          <w:sz w:val="20"/>
          <w:szCs w:val="20"/>
        </w:rPr>
      </w:pPr>
      <w:r w:rsidRPr="00807837">
        <w:rPr>
          <w:rFonts w:ascii="Arial" w:hAnsi="Arial" w:cs="Arial"/>
          <w:sz w:val="20"/>
          <w:szCs w:val="20"/>
        </w:rPr>
        <w:t>The Department has implemented a comprehensive Risk Management Strategy and the Combined Assurance Model for both Financial and Performance information.</w:t>
      </w:r>
    </w:p>
    <w:p w:rsidR="00A96844" w:rsidRPr="00807837" w:rsidRDefault="00A96844" w:rsidP="00807837">
      <w:pPr>
        <w:numPr>
          <w:ilvl w:val="0"/>
          <w:numId w:val="28"/>
        </w:numPr>
        <w:spacing w:after="0" w:line="240" w:lineRule="auto"/>
        <w:rPr>
          <w:rFonts w:ascii="Arial" w:hAnsi="Arial" w:cs="Arial"/>
          <w:sz w:val="20"/>
          <w:szCs w:val="20"/>
        </w:rPr>
      </w:pPr>
      <w:r w:rsidRPr="00807837">
        <w:rPr>
          <w:rFonts w:ascii="Arial" w:hAnsi="Arial" w:cs="Arial"/>
          <w:sz w:val="20"/>
          <w:szCs w:val="20"/>
        </w:rPr>
        <w:t>It has also implemented an Audit Action Plan to address the audit outcomes from the 2020/2021 financial year. This will be followed by a comprehensive review in 2022/2023 to strengthen the Systems of Internal Controls focusing on preventative and corrective controls.</w:t>
      </w:r>
    </w:p>
    <w:p w:rsidR="008900DD" w:rsidRPr="00807837" w:rsidRDefault="008900DD" w:rsidP="00807837">
      <w:pPr>
        <w:spacing w:after="0" w:line="240" w:lineRule="auto"/>
        <w:rPr>
          <w:rFonts w:ascii="Arial" w:hAnsi="Arial" w:cs="Arial"/>
          <w:sz w:val="20"/>
          <w:szCs w:val="20"/>
        </w:rPr>
      </w:pPr>
    </w:p>
    <w:p w:rsidR="00A96844" w:rsidRPr="00807837" w:rsidRDefault="00A96844" w:rsidP="00807837">
      <w:pPr>
        <w:spacing w:after="0" w:line="240" w:lineRule="auto"/>
        <w:rPr>
          <w:rFonts w:ascii="Arial" w:hAnsi="Arial" w:cs="Arial"/>
          <w:sz w:val="20"/>
          <w:szCs w:val="20"/>
        </w:rPr>
      </w:pPr>
      <w:r w:rsidRPr="00807837">
        <w:rPr>
          <w:rFonts w:ascii="Arial" w:hAnsi="Arial" w:cs="Arial"/>
          <w:sz w:val="20"/>
          <w:szCs w:val="20"/>
        </w:rPr>
        <w:t xml:space="preserve">Priority 2: Economic Transformation and Job Creation </w:t>
      </w:r>
    </w:p>
    <w:p w:rsidR="00A96844" w:rsidRPr="00807837" w:rsidRDefault="00A96844" w:rsidP="00807837">
      <w:pPr>
        <w:numPr>
          <w:ilvl w:val="0"/>
          <w:numId w:val="30"/>
        </w:numPr>
        <w:spacing w:after="0" w:line="240" w:lineRule="auto"/>
        <w:rPr>
          <w:rFonts w:ascii="Arial" w:hAnsi="Arial" w:cs="Arial"/>
          <w:sz w:val="20"/>
          <w:szCs w:val="20"/>
        </w:rPr>
      </w:pPr>
      <w:r w:rsidRPr="00807837">
        <w:rPr>
          <w:rFonts w:ascii="Arial" w:hAnsi="Arial" w:cs="Arial"/>
          <w:sz w:val="20"/>
          <w:szCs w:val="20"/>
        </w:rPr>
        <w:t>The Department continues to implement the Tourism Sector Recovery Plan (TSRP), which acknowledges the need for targeted and coordinated action to mitigate the impacts of the COVID-19 pandemic. The Plan sets the sector on the most optimal path to recovery, transformation and long-term sustainability.</w:t>
      </w:r>
    </w:p>
    <w:p w:rsidR="00A96844" w:rsidRPr="00807837" w:rsidRDefault="00A96844" w:rsidP="00807837">
      <w:pPr>
        <w:numPr>
          <w:ilvl w:val="0"/>
          <w:numId w:val="30"/>
        </w:numPr>
        <w:spacing w:after="0" w:line="240" w:lineRule="auto"/>
        <w:rPr>
          <w:rFonts w:ascii="Arial" w:hAnsi="Arial" w:cs="Arial"/>
          <w:sz w:val="20"/>
          <w:szCs w:val="20"/>
        </w:rPr>
      </w:pPr>
      <w:r w:rsidRPr="00807837">
        <w:rPr>
          <w:rFonts w:ascii="Arial" w:hAnsi="Arial" w:cs="Arial"/>
          <w:sz w:val="20"/>
          <w:szCs w:val="20"/>
        </w:rPr>
        <w:t>The TSRP is also aligned with the Economic Reconstruction and Recovery Plan (ERRP), the country’s plan for overall economic recovery. The ERRP re-affirms tourism’s position as a major contributor to the South African economy and its envisaged role in the broader economic reconstruction and recovery effort.</w:t>
      </w:r>
    </w:p>
    <w:p w:rsidR="00A96844" w:rsidRPr="00807837" w:rsidRDefault="00A96844" w:rsidP="00807837">
      <w:pPr>
        <w:spacing w:after="0" w:line="240" w:lineRule="auto"/>
        <w:rPr>
          <w:rFonts w:ascii="Arial" w:hAnsi="Arial" w:cs="Arial"/>
          <w:sz w:val="20"/>
          <w:szCs w:val="20"/>
        </w:rPr>
      </w:pPr>
    </w:p>
    <w:p w:rsidR="00A96844" w:rsidRPr="00807837" w:rsidRDefault="00A96844" w:rsidP="00807837">
      <w:pPr>
        <w:spacing w:after="0" w:line="240" w:lineRule="auto"/>
        <w:rPr>
          <w:rFonts w:ascii="Arial" w:hAnsi="Arial" w:cs="Arial"/>
          <w:sz w:val="20"/>
          <w:szCs w:val="20"/>
        </w:rPr>
      </w:pPr>
      <w:r w:rsidRPr="00807837">
        <w:rPr>
          <w:rFonts w:ascii="Arial" w:hAnsi="Arial" w:cs="Arial"/>
          <w:sz w:val="20"/>
          <w:szCs w:val="20"/>
        </w:rPr>
        <w:t>Priority 7: A better Africa and World</w:t>
      </w:r>
    </w:p>
    <w:p w:rsidR="00A96844" w:rsidRPr="00807837" w:rsidRDefault="00A96844" w:rsidP="00807837">
      <w:pPr>
        <w:numPr>
          <w:ilvl w:val="0"/>
          <w:numId w:val="29"/>
        </w:numPr>
        <w:spacing w:after="0" w:line="240" w:lineRule="auto"/>
        <w:rPr>
          <w:rFonts w:ascii="Arial" w:hAnsi="Arial" w:cs="Arial"/>
          <w:sz w:val="20"/>
          <w:szCs w:val="20"/>
        </w:rPr>
      </w:pPr>
      <w:r w:rsidRPr="00807837">
        <w:rPr>
          <w:rFonts w:ascii="Arial" w:hAnsi="Arial" w:cs="Arial"/>
          <w:sz w:val="20"/>
          <w:szCs w:val="20"/>
        </w:rPr>
        <w:t xml:space="preserve">The Department monitors the Brand Strength, international tourist spending and growth in international tourist arrivals. </w:t>
      </w:r>
    </w:p>
    <w:p w:rsidR="00A96844" w:rsidRPr="00807837" w:rsidRDefault="00A96844" w:rsidP="00807837">
      <w:pPr>
        <w:numPr>
          <w:ilvl w:val="0"/>
          <w:numId w:val="29"/>
        </w:numPr>
        <w:spacing w:after="0" w:line="240" w:lineRule="auto"/>
        <w:rPr>
          <w:rFonts w:ascii="Arial" w:hAnsi="Arial" w:cs="Arial"/>
          <w:sz w:val="20"/>
          <w:szCs w:val="20"/>
        </w:rPr>
      </w:pPr>
      <w:r w:rsidRPr="00807837">
        <w:rPr>
          <w:rFonts w:ascii="Arial" w:hAnsi="Arial" w:cs="Arial"/>
          <w:sz w:val="20"/>
          <w:szCs w:val="20"/>
        </w:rPr>
        <w:lastRenderedPageBreak/>
        <w:t>This is to address reputational risks and strengthen bilateral relations with the relevant country counterparts.</w:t>
      </w:r>
    </w:p>
    <w:p w:rsidR="00A96844" w:rsidRPr="00807837" w:rsidRDefault="00A96844" w:rsidP="00807837">
      <w:pPr>
        <w:spacing w:after="0" w:line="240" w:lineRule="auto"/>
        <w:rPr>
          <w:rFonts w:ascii="Arial" w:hAnsi="Arial" w:cs="Arial"/>
          <w:sz w:val="20"/>
          <w:szCs w:val="20"/>
        </w:rPr>
      </w:pPr>
    </w:p>
    <w:p w:rsidR="006967EB" w:rsidRPr="00807837" w:rsidRDefault="00E224F5" w:rsidP="00807837">
      <w:pPr>
        <w:spacing w:after="0" w:line="240" w:lineRule="auto"/>
        <w:rPr>
          <w:rFonts w:ascii="Arial" w:eastAsia="Calibri" w:hAnsi="Arial" w:cs="Arial"/>
          <w:b/>
          <w:sz w:val="20"/>
          <w:szCs w:val="20"/>
        </w:rPr>
      </w:pPr>
      <w:r w:rsidRPr="00807837">
        <w:rPr>
          <w:rFonts w:ascii="Arial" w:hAnsi="Arial" w:cs="Arial"/>
          <w:b/>
          <w:sz w:val="20"/>
          <w:szCs w:val="20"/>
        </w:rPr>
        <w:t>1.4</w:t>
      </w:r>
      <w:r w:rsidRPr="00807837">
        <w:rPr>
          <w:rFonts w:ascii="Arial" w:hAnsi="Arial" w:cs="Arial"/>
          <w:b/>
          <w:sz w:val="20"/>
          <w:szCs w:val="20"/>
        </w:rPr>
        <w:tab/>
      </w:r>
      <w:r w:rsidR="006967EB" w:rsidRPr="00807837">
        <w:rPr>
          <w:rFonts w:ascii="Arial" w:eastAsia="Calibri" w:hAnsi="Arial" w:cs="Arial"/>
          <w:b/>
          <w:sz w:val="20"/>
          <w:szCs w:val="20"/>
        </w:rPr>
        <w:t>Purpose of the B</w:t>
      </w:r>
      <w:r w:rsidR="008900DD" w:rsidRPr="00807837">
        <w:rPr>
          <w:rFonts w:ascii="Arial" w:eastAsia="Calibri" w:hAnsi="Arial" w:cs="Arial"/>
          <w:b/>
          <w:sz w:val="20"/>
          <w:szCs w:val="20"/>
        </w:rPr>
        <w:t>udget</w:t>
      </w:r>
      <w:r w:rsidR="005E46F4" w:rsidRPr="00807837">
        <w:rPr>
          <w:rFonts w:ascii="Arial" w:eastAsia="Calibri" w:hAnsi="Arial" w:cs="Arial"/>
          <w:b/>
          <w:sz w:val="20"/>
          <w:szCs w:val="20"/>
        </w:rPr>
        <w:t>ary</w:t>
      </w:r>
      <w:r w:rsidR="008900DD" w:rsidRPr="00807837">
        <w:rPr>
          <w:rFonts w:ascii="Arial" w:eastAsia="Calibri" w:hAnsi="Arial" w:cs="Arial"/>
          <w:b/>
          <w:sz w:val="20"/>
          <w:szCs w:val="20"/>
        </w:rPr>
        <w:t xml:space="preserve"> Review and Recommendation</w:t>
      </w:r>
      <w:r w:rsidR="006967EB" w:rsidRPr="00807837">
        <w:rPr>
          <w:rFonts w:ascii="Arial" w:eastAsia="Calibri" w:hAnsi="Arial" w:cs="Arial"/>
          <w:b/>
          <w:sz w:val="20"/>
          <w:szCs w:val="20"/>
        </w:rPr>
        <w:t xml:space="preserve"> Report</w:t>
      </w:r>
    </w:p>
    <w:p w:rsidR="006967EB" w:rsidRPr="00807837" w:rsidRDefault="006967EB" w:rsidP="00807837">
      <w:pPr>
        <w:spacing w:after="0" w:line="240" w:lineRule="auto"/>
        <w:contextualSpacing/>
        <w:rPr>
          <w:rFonts w:ascii="Arial" w:eastAsia="Calibri" w:hAnsi="Arial" w:cs="Arial"/>
          <w:sz w:val="20"/>
          <w:szCs w:val="20"/>
        </w:rPr>
      </w:pPr>
    </w:p>
    <w:p w:rsidR="006967EB" w:rsidRPr="00807837" w:rsidRDefault="006967EB" w:rsidP="00807837">
      <w:pPr>
        <w:spacing w:after="0" w:line="240" w:lineRule="auto"/>
        <w:contextualSpacing/>
        <w:rPr>
          <w:rFonts w:ascii="Arial" w:eastAsia="Calibri" w:hAnsi="Arial" w:cs="Arial"/>
          <w:sz w:val="20"/>
          <w:szCs w:val="20"/>
        </w:rPr>
      </w:pPr>
      <w:r w:rsidRPr="00807837">
        <w:rPr>
          <w:rFonts w:ascii="Arial" w:eastAsia="Calibri" w:hAnsi="Arial" w:cs="Arial"/>
          <w:sz w:val="20"/>
          <w:szCs w:val="20"/>
        </w:rPr>
        <w:t xml:space="preserve">The </w:t>
      </w:r>
      <w:r w:rsidR="005567D7" w:rsidRPr="00807837">
        <w:rPr>
          <w:rFonts w:ascii="Arial" w:eastAsia="Calibri" w:hAnsi="Arial" w:cs="Arial"/>
          <w:sz w:val="20"/>
          <w:szCs w:val="20"/>
        </w:rPr>
        <w:t>Budget</w:t>
      </w:r>
      <w:r w:rsidR="005E46F4" w:rsidRPr="00807837">
        <w:rPr>
          <w:rFonts w:ascii="Arial" w:eastAsia="Calibri" w:hAnsi="Arial" w:cs="Arial"/>
          <w:sz w:val="20"/>
          <w:szCs w:val="20"/>
        </w:rPr>
        <w:t>ary</w:t>
      </w:r>
      <w:r w:rsidR="005567D7" w:rsidRPr="00807837">
        <w:rPr>
          <w:rFonts w:ascii="Arial" w:eastAsia="Calibri" w:hAnsi="Arial" w:cs="Arial"/>
          <w:sz w:val="20"/>
          <w:szCs w:val="20"/>
        </w:rPr>
        <w:t xml:space="preserve"> Review and Recommendation Report (</w:t>
      </w:r>
      <w:r w:rsidRPr="00807837">
        <w:rPr>
          <w:rFonts w:ascii="Arial" w:eastAsia="Calibri" w:hAnsi="Arial" w:cs="Arial"/>
          <w:sz w:val="20"/>
          <w:szCs w:val="20"/>
        </w:rPr>
        <w:t>BRRR</w:t>
      </w:r>
      <w:r w:rsidR="005567D7" w:rsidRPr="00807837">
        <w:rPr>
          <w:rFonts w:ascii="Arial" w:eastAsia="Calibri" w:hAnsi="Arial" w:cs="Arial"/>
          <w:sz w:val="20"/>
          <w:szCs w:val="20"/>
        </w:rPr>
        <w:t>)</w:t>
      </w:r>
      <w:r w:rsidRPr="00807837">
        <w:rPr>
          <w:rFonts w:ascii="Arial" w:eastAsia="Calibri" w:hAnsi="Arial" w:cs="Arial"/>
          <w:sz w:val="20"/>
          <w:szCs w:val="20"/>
        </w:rPr>
        <w:t xml:space="preserve"> </w:t>
      </w:r>
      <w:r w:rsidR="005567D7" w:rsidRPr="00807837">
        <w:rPr>
          <w:rFonts w:ascii="Arial" w:eastAsia="Calibri" w:hAnsi="Arial" w:cs="Arial"/>
          <w:sz w:val="20"/>
          <w:szCs w:val="20"/>
        </w:rPr>
        <w:t xml:space="preserve">compilation </w:t>
      </w:r>
      <w:r w:rsidRPr="00807837">
        <w:rPr>
          <w:rFonts w:ascii="Arial" w:eastAsia="Calibri" w:hAnsi="Arial" w:cs="Arial"/>
          <w:sz w:val="20"/>
          <w:szCs w:val="20"/>
        </w:rPr>
        <w:t xml:space="preserve">process is governed by the Money Bills </w:t>
      </w:r>
      <w:r w:rsidR="005E46F4" w:rsidRPr="00807837">
        <w:rPr>
          <w:rFonts w:ascii="Arial" w:eastAsia="Calibri" w:hAnsi="Arial" w:cs="Arial"/>
          <w:sz w:val="20"/>
          <w:szCs w:val="20"/>
        </w:rPr>
        <w:t xml:space="preserve">Amendment </w:t>
      </w:r>
      <w:r w:rsidRPr="00807837">
        <w:rPr>
          <w:rFonts w:ascii="Arial" w:eastAsia="Calibri" w:hAnsi="Arial" w:cs="Arial"/>
          <w:sz w:val="20"/>
          <w:szCs w:val="20"/>
        </w:rPr>
        <w:t>Procedure and Related Matters Act (Act 9 of 2009)</w:t>
      </w:r>
      <w:r w:rsidR="005567D7" w:rsidRPr="00807837">
        <w:rPr>
          <w:rFonts w:ascii="Arial" w:eastAsia="Calibri" w:hAnsi="Arial" w:cs="Arial"/>
          <w:sz w:val="20"/>
          <w:szCs w:val="20"/>
        </w:rPr>
        <w:t xml:space="preserve">. </w:t>
      </w:r>
      <w:r w:rsidRPr="00807837">
        <w:rPr>
          <w:rFonts w:ascii="Arial" w:eastAsia="Calibri" w:hAnsi="Arial" w:cs="Arial"/>
          <w:sz w:val="20"/>
          <w:szCs w:val="20"/>
        </w:rPr>
        <w:t>The Act sets out the process that allows Parliament to make recommendations to the Minister of Finance to amend the budget of a national department. In October of each year, the Committee must compile the BRRR that assesses service delivery performance given available resources; evaluate the effective and efficient use and forward allocation of resources; and may make recommendations on forward use of resources. The BRRR also acts as a source document for the Standing/Select Committees on Appropriations/Finance when mak</w:t>
      </w:r>
      <w:r w:rsidR="005567D7" w:rsidRPr="00807837">
        <w:rPr>
          <w:rFonts w:ascii="Arial" w:eastAsia="Calibri" w:hAnsi="Arial" w:cs="Arial"/>
          <w:sz w:val="20"/>
          <w:szCs w:val="20"/>
        </w:rPr>
        <w:t>ing</w:t>
      </w:r>
      <w:r w:rsidRPr="00807837">
        <w:rPr>
          <w:rFonts w:ascii="Arial" w:eastAsia="Calibri" w:hAnsi="Arial" w:cs="Arial"/>
          <w:sz w:val="20"/>
          <w:szCs w:val="20"/>
        </w:rPr>
        <w:t xml:space="preserve"> recommendations to the Houses of Parliament on the Medium-Term Budget Policy Statement (MTBPS). The comprehensive review and analysis of the previous financial year’s performance, as well as performance to date, form part of this process.  </w:t>
      </w:r>
    </w:p>
    <w:p w:rsidR="006967EB" w:rsidRPr="00807837" w:rsidRDefault="006967EB" w:rsidP="00807837">
      <w:pPr>
        <w:spacing w:after="0" w:line="240" w:lineRule="auto"/>
        <w:contextualSpacing/>
        <w:rPr>
          <w:rFonts w:ascii="Arial" w:eastAsia="Calibri" w:hAnsi="Arial" w:cs="Arial"/>
          <w:sz w:val="20"/>
          <w:szCs w:val="20"/>
        </w:rPr>
      </w:pPr>
    </w:p>
    <w:p w:rsidR="006967EB" w:rsidRPr="00807837" w:rsidRDefault="006967EB" w:rsidP="00807837">
      <w:pPr>
        <w:pStyle w:val="ListParagraph"/>
        <w:numPr>
          <w:ilvl w:val="1"/>
          <w:numId w:val="5"/>
        </w:numPr>
        <w:spacing w:after="0" w:line="240" w:lineRule="auto"/>
        <w:ind w:left="567" w:hanging="567"/>
        <w:rPr>
          <w:rFonts w:ascii="Arial" w:eastAsia="Calibri" w:hAnsi="Arial" w:cs="Arial"/>
          <w:b/>
          <w:sz w:val="20"/>
          <w:szCs w:val="20"/>
        </w:rPr>
      </w:pPr>
      <w:r w:rsidRPr="00807837">
        <w:rPr>
          <w:rFonts w:ascii="Arial" w:eastAsia="Calibri" w:hAnsi="Arial" w:cs="Arial"/>
          <w:b/>
          <w:sz w:val="20"/>
          <w:szCs w:val="20"/>
        </w:rPr>
        <w:t>Method</w:t>
      </w:r>
    </w:p>
    <w:p w:rsidR="006967EB" w:rsidRPr="00807837" w:rsidRDefault="006967EB" w:rsidP="00807837">
      <w:pPr>
        <w:spacing w:after="0" w:line="240" w:lineRule="auto"/>
        <w:contextualSpacing/>
        <w:rPr>
          <w:rFonts w:ascii="Arial" w:eastAsia="Calibri" w:hAnsi="Arial" w:cs="Arial"/>
          <w:sz w:val="20"/>
          <w:szCs w:val="20"/>
        </w:rPr>
      </w:pPr>
    </w:p>
    <w:p w:rsidR="00C53C0A" w:rsidRPr="00807837" w:rsidRDefault="00C53C0A" w:rsidP="00807837">
      <w:pPr>
        <w:pStyle w:val="Default"/>
        <w:rPr>
          <w:rFonts w:eastAsia="Calibri"/>
          <w:color w:val="auto"/>
          <w:sz w:val="20"/>
          <w:szCs w:val="20"/>
        </w:rPr>
      </w:pPr>
      <w:r w:rsidRPr="00807837">
        <w:rPr>
          <w:rFonts w:eastAsia="Calibri"/>
          <w:color w:val="auto"/>
          <w:sz w:val="20"/>
          <w:szCs w:val="20"/>
        </w:rPr>
        <w:t xml:space="preserve">The Minister of Tourism tabled in Parliament the Annual Reports for the Department </w:t>
      </w:r>
      <w:r w:rsidR="00E7218C" w:rsidRPr="00807837">
        <w:rPr>
          <w:rFonts w:eastAsia="Calibri"/>
          <w:color w:val="auto"/>
          <w:sz w:val="20"/>
          <w:szCs w:val="20"/>
        </w:rPr>
        <w:t xml:space="preserve">and </w:t>
      </w:r>
      <w:r w:rsidRPr="00807837">
        <w:rPr>
          <w:rFonts w:eastAsia="Calibri"/>
          <w:color w:val="auto"/>
          <w:sz w:val="20"/>
          <w:szCs w:val="20"/>
        </w:rPr>
        <w:t xml:space="preserve">SA </w:t>
      </w:r>
      <w:r w:rsidR="002E12F0" w:rsidRPr="00807837">
        <w:rPr>
          <w:rFonts w:eastAsia="Calibri"/>
          <w:color w:val="auto"/>
          <w:sz w:val="20"/>
          <w:szCs w:val="20"/>
        </w:rPr>
        <w:t>Tourism.</w:t>
      </w:r>
      <w:r w:rsidRPr="00807837">
        <w:rPr>
          <w:rFonts w:eastAsia="Calibri"/>
          <w:color w:val="auto"/>
          <w:sz w:val="20"/>
          <w:szCs w:val="20"/>
        </w:rPr>
        <w:t xml:space="preserve"> The Committee then scheduled </w:t>
      </w:r>
      <w:r w:rsidR="00A113DB" w:rsidRPr="00807837">
        <w:rPr>
          <w:rFonts w:eastAsia="Calibri"/>
          <w:color w:val="auto"/>
          <w:sz w:val="20"/>
          <w:szCs w:val="20"/>
        </w:rPr>
        <w:t xml:space="preserve">a </w:t>
      </w:r>
      <w:r w:rsidR="008900DD" w:rsidRPr="00807837">
        <w:rPr>
          <w:rFonts w:eastAsia="Calibri"/>
          <w:color w:val="auto"/>
          <w:sz w:val="20"/>
          <w:szCs w:val="20"/>
        </w:rPr>
        <w:t xml:space="preserve">series of </w:t>
      </w:r>
      <w:r w:rsidR="00A113DB" w:rsidRPr="00807837">
        <w:rPr>
          <w:rFonts w:eastAsia="Calibri"/>
          <w:color w:val="auto"/>
          <w:sz w:val="20"/>
          <w:szCs w:val="20"/>
        </w:rPr>
        <w:t>meeting</w:t>
      </w:r>
      <w:r w:rsidR="008900DD" w:rsidRPr="00807837">
        <w:rPr>
          <w:rFonts w:eastAsia="Calibri"/>
          <w:color w:val="auto"/>
          <w:sz w:val="20"/>
          <w:szCs w:val="20"/>
        </w:rPr>
        <w:t xml:space="preserve">s to scrutinise and get more insights into the financial and non-financial performance of the tourism portfolio in </w:t>
      </w:r>
      <w:r w:rsidR="002E12F0" w:rsidRPr="00807837">
        <w:rPr>
          <w:rFonts w:eastAsia="Calibri"/>
          <w:color w:val="auto"/>
          <w:sz w:val="20"/>
          <w:szCs w:val="20"/>
        </w:rPr>
        <w:t>the</w:t>
      </w:r>
      <w:r w:rsidR="008900DD" w:rsidRPr="00807837">
        <w:rPr>
          <w:rFonts w:eastAsia="Calibri"/>
          <w:color w:val="auto"/>
          <w:sz w:val="20"/>
          <w:szCs w:val="20"/>
        </w:rPr>
        <w:t xml:space="preserve"> </w:t>
      </w:r>
      <w:r w:rsidR="002E12F0" w:rsidRPr="00807837">
        <w:rPr>
          <w:rFonts w:eastAsia="Calibri"/>
          <w:color w:val="auto"/>
          <w:sz w:val="20"/>
          <w:szCs w:val="20"/>
        </w:rPr>
        <w:t>year</w:t>
      </w:r>
      <w:r w:rsidR="008900DD" w:rsidRPr="00807837">
        <w:rPr>
          <w:rFonts w:eastAsia="Calibri"/>
          <w:color w:val="auto"/>
          <w:sz w:val="20"/>
          <w:szCs w:val="20"/>
        </w:rPr>
        <w:t xml:space="preserve"> under review. </w:t>
      </w:r>
      <w:r w:rsidR="005D3B96" w:rsidRPr="00807837">
        <w:rPr>
          <w:rFonts w:eastAsia="Calibri"/>
          <w:color w:val="auto"/>
          <w:sz w:val="20"/>
          <w:szCs w:val="20"/>
        </w:rPr>
        <w:t xml:space="preserve">On </w:t>
      </w:r>
      <w:r w:rsidR="00E21CBC" w:rsidRPr="00807837">
        <w:rPr>
          <w:rFonts w:eastAsia="Calibri"/>
          <w:color w:val="auto"/>
          <w:sz w:val="20"/>
          <w:szCs w:val="20"/>
        </w:rPr>
        <w:t>11 October 2022</w:t>
      </w:r>
      <w:r w:rsidR="00150469" w:rsidRPr="00807837">
        <w:rPr>
          <w:rFonts w:eastAsia="Calibri"/>
          <w:color w:val="auto"/>
          <w:sz w:val="20"/>
          <w:szCs w:val="20"/>
        </w:rPr>
        <w:t>, the Committee convened</w:t>
      </w:r>
      <w:r w:rsidR="005D3B96" w:rsidRPr="00807837">
        <w:rPr>
          <w:rFonts w:eastAsia="Calibri"/>
          <w:color w:val="auto"/>
          <w:sz w:val="20"/>
          <w:szCs w:val="20"/>
        </w:rPr>
        <w:t xml:space="preserve"> a meeting with the </w:t>
      </w:r>
      <w:r w:rsidRPr="00807837">
        <w:rPr>
          <w:rFonts w:eastAsia="Calibri"/>
          <w:color w:val="auto"/>
          <w:sz w:val="20"/>
          <w:szCs w:val="20"/>
        </w:rPr>
        <w:t>Office of the Auditor-General</w:t>
      </w:r>
      <w:r w:rsidR="00E21CBC" w:rsidRPr="00807837">
        <w:rPr>
          <w:rFonts w:eastAsia="Calibri"/>
          <w:color w:val="auto"/>
          <w:sz w:val="20"/>
          <w:szCs w:val="20"/>
        </w:rPr>
        <w:t xml:space="preserve"> in the morning</w:t>
      </w:r>
      <w:r w:rsidR="005D3B96" w:rsidRPr="00807837">
        <w:rPr>
          <w:rFonts w:eastAsia="Calibri"/>
          <w:color w:val="auto"/>
          <w:sz w:val="20"/>
          <w:szCs w:val="20"/>
        </w:rPr>
        <w:t>,</w:t>
      </w:r>
      <w:r w:rsidR="00E21CBC" w:rsidRPr="00807837">
        <w:rPr>
          <w:rFonts w:eastAsia="Calibri"/>
          <w:color w:val="auto"/>
          <w:sz w:val="20"/>
          <w:szCs w:val="20"/>
        </w:rPr>
        <w:t xml:space="preserve"> and met the </w:t>
      </w:r>
      <w:r w:rsidR="005D3B96" w:rsidRPr="00807837">
        <w:rPr>
          <w:rFonts w:eastAsia="Calibri"/>
          <w:color w:val="auto"/>
          <w:sz w:val="20"/>
          <w:szCs w:val="20"/>
        </w:rPr>
        <w:t xml:space="preserve">Department </w:t>
      </w:r>
      <w:r w:rsidR="00E21CBC" w:rsidRPr="00807837">
        <w:rPr>
          <w:rFonts w:eastAsia="Calibri"/>
          <w:color w:val="auto"/>
          <w:sz w:val="20"/>
          <w:szCs w:val="20"/>
        </w:rPr>
        <w:t>in the afternoon</w:t>
      </w:r>
      <w:r w:rsidR="005D3B96" w:rsidRPr="00807837">
        <w:rPr>
          <w:rFonts w:eastAsia="Calibri"/>
          <w:color w:val="auto"/>
          <w:sz w:val="20"/>
          <w:szCs w:val="20"/>
        </w:rPr>
        <w:t xml:space="preserve">. On </w:t>
      </w:r>
      <w:r w:rsidR="00E21CBC" w:rsidRPr="00807837">
        <w:rPr>
          <w:rFonts w:eastAsia="Calibri"/>
          <w:color w:val="auto"/>
          <w:sz w:val="20"/>
          <w:szCs w:val="20"/>
        </w:rPr>
        <w:t>18 October 2022</w:t>
      </w:r>
      <w:r w:rsidR="005D3B96" w:rsidRPr="00807837">
        <w:rPr>
          <w:rFonts w:eastAsia="Calibri"/>
          <w:color w:val="auto"/>
          <w:sz w:val="20"/>
          <w:szCs w:val="20"/>
        </w:rPr>
        <w:t>, the Committee convened a meeting with S</w:t>
      </w:r>
      <w:r w:rsidR="00D0415C" w:rsidRPr="00807837">
        <w:rPr>
          <w:rFonts w:eastAsia="Calibri"/>
          <w:color w:val="auto"/>
          <w:sz w:val="20"/>
          <w:szCs w:val="20"/>
        </w:rPr>
        <w:t>A Tourism. T</w:t>
      </w:r>
      <w:r w:rsidR="005D3B96" w:rsidRPr="00807837">
        <w:rPr>
          <w:rFonts w:eastAsia="Calibri"/>
          <w:color w:val="auto"/>
          <w:sz w:val="20"/>
          <w:szCs w:val="20"/>
        </w:rPr>
        <w:t xml:space="preserve">he </w:t>
      </w:r>
      <w:r w:rsidR="00E21CBC" w:rsidRPr="00807837">
        <w:rPr>
          <w:rFonts w:eastAsia="Calibri"/>
          <w:color w:val="auto"/>
          <w:sz w:val="20"/>
          <w:szCs w:val="20"/>
        </w:rPr>
        <w:t>Committee deliberated and adopted this</w:t>
      </w:r>
      <w:r w:rsidR="005D3B96" w:rsidRPr="00807837">
        <w:rPr>
          <w:rFonts w:eastAsia="Calibri"/>
          <w:color w:val="auto"/>
          <w:sz w:val="20"/>
          <w:szCs w:val="20"/>
        </w:rPr>
        <w:t xml:space="preserve"> Budget Review and Recommendation Report</w:t>
      </w:r>
      <w:r w:rsidR="00E21CBC" w:rsidRPr="00807837">
        <w:rPr>
          <w:rFonts w:eastAsia="Calibri"/>
          <w:color w:val="auto"/>
          <w:sz w:val="20"/>
          <w:szCs w:val="20"/>
        </w:rPr>
        <w:t xml:space="preserve"> on 25 October 2022, in time for the tabling of the </w:t>
      </w:r>
      <w:r w:rsidR="004659D9" w:rsidRPr="00807837">
        <w:rPr>
          <w:rFonts w:eastAsia="Calibri"/>
          <w:color w:val="auto"/>
          <w:sz w:val="20"/>
          <w:szCs w:val="20"/>
        </w:rPr>
        <w:t>Medium</w:t>
      </w:r>
      <w:r w:rsidR="00E21CBC" w:rsidRPr="00807837">
        <w:rPr>
          <w:rFonts w:eastAsia="Calibri"/>
          <w:color w:val="auto"/>
          <w:sz w:val="20"/>
          <w:szCs w:val="20"/>
        </w:rPr>
        <w:t xml:space="preserve"> Term Budget Policy Statement by the Minister of </w:t>
      </w:r>
      <w:r w:rsidR="004659D9" w:rsidRPr="00807837">
        <w:rPr>
          <w:rFonts w:eastAsia="Calibri"/>
          <w:color w:val="auto"/>
          <w:sz w:val="20"/>
          <w:szCs w:val="20"/>
        </w:rPr>
        <w:t>Finance</w:t>
      </w:r>
      <w:r w:rsidR="00E21CBC" w:rsidRPr="00807837">
        <w:rPr>
          <w:rFonts w:eastAsia="Calibri"/>
          <w:color w:val="auto"/>
          <w:sz w:val="20"/>
          <w:szCs w:val="20"/>
        </w:rPr>
        <w:t xml:space="preserve"> on 26 October 2022</w:t>
      </w:r>
      <w:r w:rsidR="003C660C" w:rsidRPr="00807837">
        <w:rPr>
          <w:rFonts w:eastAsia="Calibri"/>
          <w:color w:val="auto"/>
          <w:sz w:val="20"/>
          <w:szCs w:val="20"/>
        </w:rPr>
        <w:t>.</w:t>
      </w:r>
    </w:p>
    <w:p w:rsidR="00C53C0A" w:rsidRPr="00807837" w:rsidRDefault="00C53C0A" w:rsidP="00807837">
      <w:pPr>
        <w:pStyle w:val="Default"/>
        <w:rPr>
          <w:rFonts w:eastAsia="Calibri"/>
          <w:color w:val="auto"/>
          <w:sz w:val="20"/>
          <w:szCs w:val="20"/>
        </w:rPr>
      </w:pPr>
    </w:p>
    <w:p w:rsidR="006967EB" w:rsidRPr="00807837" w:rsidRDefault="006967EB" w:rsidP="00807837">
      <w:pPr>
        <w:numPr>
          <w:ilvl w:val="1"/>
          <w:numId w:val="5"/>
        </w:numPr>
        <w:spacing w:after="0" w:line="240" w:lineRule="auto"/>
        <w:ind w:left="567" w:hanging="567"/>
        <w:contextualSpacing/>
        <w:rPr>
          <w:rFonts w:ascii="Arial" w:eastAsia="Calibri" w:hAnsi="Arial" w:cs="Arial"/>
          <w:b/>
          <w:sz w:val="20"/>
          <w:szCs w:val="20"/>
        </w:rPr>
      </w:pPr>
      <w:r w:rsidRPr="00807837">
        <w:rPr>
          <w:rFonts w:ascii="Arial" w:eastAsia="Calibri" w:hAnsi="Arial" w:cs="Arial"/>
          <w:b/>
          <w:sz w:val="20"/>
          <w:szCs w:val="20"/>
        </w:rPr>
        <w:t>Outline of the contents of the Report</w:t>
      </w:r>
    </w:p>
    <w:p w:rsidR="006967EB" w:rsidRPr="00807837" w:rsidRDefault="006967EB" w:rsidP="00807837">
      <w:pPr>
        <w:spacing w:after="0" w:line="240" w:lineRule="auto"/>
        <w:contextualSpacing/>
        <w:rPr>
          <w:rFonts w:ascii="Arial" w:eastAsia="Calibri" w:hAnsi="Arial" w:cs="Arial"/>
          <w:b/>
          <w:sz w:val="20"/>
          <w:szCs w:val="20"/>
        </w:rPr>
      </w:pPr>
    </w:p>
    <w:p w:rsidR="006967EB" w:rsidRPr="00807837" w:rsidRDefault="006967EB" w:rsidP="00807837">
      <w:pPr>
        <w:spacing w:after="0" w:line="240" w:lineRule="auto"/>
        <w:contextualSpacing/>
        <w:rPr>
          <w:rFonts w:ascii="Arial" w:eastAsia="Calibri" w:hAnsi="Arial" w:cs="Arial"/>
          <w:sz w:val="20"/>
          <w:szCs w:val="20"/>
        </w:rPr>
      </w:pPr>
      <w:r w:rsidRPr="00807837">
        <w:rPr>
          <w:rFonts w:ascii="Arial" w:eastAsia="Calibri" w:hAnsi="Arial" w:cs="Arial"/>
          <w:sz w:val="20"/>
          <w:szCs w:val="20"/>
        </w:rPr>
        <w:t xml:space="preserve">The report </w:t>
      </w:r>
      <w:r w:rsidR="00E21CBC" w:rsidRPr="00807837">
        <w:rPr>
          <w:rFonts w:ascii="Arial" w:eastAsia="Calibri" w:hAnsi="Arial" w:cs="Arial"/>
          <w:sz w:val="20"/>
          <w:szCs w:val="20"/>
        </w:rPr>
        <w:t xml:space="preserve">constitutes five </w:t>
      </w:r>
      <w:r w:rsidRPr="00807837">
        <w:rPr>
          <w:rFonts w:ascii="Arial" w:eastAsia="Calibri" w:hAnsi="Arial" w:cs="Arial"/>
          <w:sz w:val="20"/>
          <w:szCs w:val="20"/>
        </w:rPr>
        <w:t xml:space="preserve">parts as </w:t>
      </w:r>
      <w:r w:rsidR="00B76B96" w:rsidRPr="00807837">
        <w:rPr>
          <w:rFonts w:ascii="Arial" w:eastAsia="Calibri" w:hAnsi="Arial" w:cs="Arial"/>
          <w:sz w:val="20"/>
          <w:szCs w:val="20"/>
        </w:rPr>
        <w:t>outlined below</w:t>
      </w:r>
      <w:r w:rsidRPr="00807837">
        <w:rPr>
          <w:rFonts w:ascii="Arial" w:eastAsia="Calibri" w:hAnsi="Arial" w:cs="Arial"/>
          <w:sz w:val="20"/>
          <w:szCs w:val="20"/>
        </w:rPr>
        <w:t>:</w:t>
      </w:r>
    </w:p>
    <w:p w:rsidR="006967EB" w:rsidRPr="00807837" w:rsidRDefault="006967EB" w:rsidP="00807837">
      <w:pPr>
        <w:numPr>
          <w:ilvl w:val="0"/>
          <w:numId w:val="4"/>
        </w:numPr>
        <w:spacing w:after="0" w:line="240" w:lineRule="auto"/>
        <w:ind w:left="567" w:hanging="567"/>
        <w:contextualSpacing/>
        <w:rPr>
          <w:rFonts w:ascii="Arial" w:eastAsia="Calibri" w:hAnsi="Arial" w:cs="Arial"/>
          <w:sz w:val="20"/>
          <w:szCs w:val="20"/>
        </w:rPr>
      </w:pPr>
      <w:r w:rsidRPr="00807837">
        <w:rPr>
          <w:rFonts w:ascii="Arial" w:eastAsia="Calibri" w:hAnsi="Arial" w:cs="Arial"/>
          <w:sz w:val="20"/>
          <w:szCs w:val="20"/>
        </w:rPr>
        <w:t xml:space="preserve">Constitutional, legislative and policy mandate of the Committee and the process that was followed in developing this Budget Review and Recommendation Report. </w:t>
      </w:r>
    </w:p>
    <w:p w:rsidR="006967EB" w:rsidRPr="00807837" w:rsidRDefault="006967EB" w:rsidP="00807837">
      <w:pPr>
        <w:numPr>
          <w:ilvl w:val="0"/>
          <w:numId w:val="4"/>
        </w:numPr>
        <w:spacing w:after="0" w:line="240" w:lineRule="auto"/>
        <w:ind w:left="567" w:hanging="567"/>
        <w:contextualSpacing/>
        <w:rPr>
          <w:rFonts w:ascii="Arial" w:eastAsia="Calibri" w:hAnsi="Arial" w:cs="Arial"/>
          <w:sz w:val="20"/>
          <w:szCs w:val="20"/>
        </w:rPr>
      </w:pPr>
      <w:r w:rsidRPr="00807837">
        <w:rPr>
          <w:rFonts w:ascii="Arial" w:eastAsia="Calibri" w:hAnsi="Arial" w:cs="Arial"/>
          <w:sz w:val="20"/>
          <w:szCs w:val="20"/>
        </w:rPr>
        <w:t xml:space="preserve">Previous financial performance of the Department on both financial and non-financial aspects. </w:t>
      </w:r>
    </w:p>
    <w:p w:rsidR="006967EB" w:rsidRPr="00807837" w:rsidRDefault="006967EB" w:rsidP="00807837">
      <w:pPr>
        <w:numPr>
          <w:ilvl w:val="0"/>
          <w:numId w:val="4"/>
        </w:numPr>
        <w:spacing w:after="0" w:line="240" w:lineRule="auto"/>
        <w:ind w:left="567" w:hanging="567"/>
        <w:contextualSpacing/>
        <w:rPr>
          <w:rFonts w:ascii="Arial" w:eastAsia="Calibri" w:hAnsi="Arial" w:cs="Arial"/>
          <w:sz w:val="20"/>
          <w:szCs w:val="20"/>
        </w:rPr>
      </w:pPr>
      <w:r w:rsidRPr="00807837">
        <w:rPr>
          <w:rFonts w:ascii="Arial" w:eastAsia="Calibri" w:hAnsi="Arial" w:cs="Arial"/>
          <w:sz w:val="20"/>
          <w:szCs w:val="20"/>
        </w:rPr>
        <w:t xml:space="preserve">Financial, non-financial and service delivery issues for the period under review. </w:t>
      </w:r>
    </w:p>
    <w:p w:rsidR="006967EB" w:rsidRPr="00807837" w:rsidRDefault="006967EB" w:rsidP="00807837">
      <w:pPr>
        <w:numPr>
          <w:ilvl w:val="0"/>
          <w:numId w:val="4"/>
        </w:numPr>
        <w:spacing w:after="0" w:line="240" w:lineRule="auto"/>
        <w:ind w:left="567" w:hanging="567"/>
        <w:contextualSpacing/>
        <w:rPr>
          <w:rFonts w:ascii="Arial" w:eastAsia="Calibri" w:hAnsi="Arial" w:cs="Arial"/>
          <w:sz w:val="20"/>
          <w:szCs w:val="20"/>
        </w:rPr>
      </w:pPr>
      <w:r w:rsidRPr="00807837">
        <w:rPr>
          <w:rFonts w:ascii="Arial" w:eastAsia="Calibri" w:hAnsi="Arial" w:cs="Arial"/>
          <w:sz w:val="20"/>
          <w:szCs w:val="20"/>
        </w:rPr>
        <w:t>Key findings from the oversight work of the Committee, public hearings and research by external stakeholders that inform the recommendations.</w:t>
      </w:r>
    </w:p>
    <w:p w:rsidR="006967EB" w:rsidRPr="00807837" w:rsidRDefault="006967EB" w:rsidP="00807837">
      <w:pPr>
        <w:numPr>
          <w:ilvl w:val="0"/>
          <w:numId w:val="4"/>
        </w:numPr>
        <w:spacing w:after="0" w:line="240" w:lineRule="auto"/>
        <w:ind w:left="567" w:hanging="567"/>
        <w:contextualSpacing/>
        <w:rPr>
          <w:rFonts w:ascii="Arial" w:eastAsia="Calibri" w:hAnsi="Arial" w:cs="Arial"/>
          <w:sz w:val="20"/>
          <w:szCs w:val="20"/>
        </w:rPr>
      </w:pPr>
      <w:r w:rsidRPr="00807837">
        <w:rPr>
          <w:rFonts w:ascii="Arial" w:eastAsia="Calibri" w:hAnsi="Arial" w:cs="Arial"/>
          <w:sz w:val="20"/>
          <w:szCs w:val="20"/>
        </w:rPr>
        <w:t>Recommendations to the Ministers of Finance and Tourism in terms of the budgetary requirements, performance, and service delivery improvement of the Department.</w:t>
      </w:r>
    </w:p>
    <w:p w:rsidR="00153E59" w:rsidRPr="00807837" w:rsidRDefault="00153E59" w:rsidP="00807837">
      <w:pPr>
        <w:spacing w:after="0" w:line="240" w:lineRule="auto"/>
        <w:contextualSpacing/>
        <w:rPr>
          <w:rFonts w:ascii="Arial" w:eastAsia="Calibri" w:hAnsi="Arial" w:cs="Arial"/>
          <w:sz w:val="20"/>
          <w:szCs w:val="20"/>
        </w:rPr>
      </w:pPr>
    </w:p>
    <w:p w:rsidR="00153E59" w:rsidRPr="00807837" w:rsidRDefault="00153E59" w:rsidP="00807837">
      <w:pPr>
        <w:numPr>
          <w:ilvl w:val="0"/>
          <w:numId w:val="8"/>
        </w:numPr>
        <w:spacing w:after="0" w:line="240" w:lineRule="auto"/>
        <w:ind w:left="567" w:hanging="567"/>
        <w:contextualSpacing/>
        <w:rPr>
          <w:rFonts w:ascii="Arial" w:eastAsia="Calibri" w:hAnsi="Arial" w:cs="Arial"/>
          <w:b/>
          <w:caps/>
          <w:sz w:val="20"/>
          <w:szCs w:val="20"/>
        </w:rPr>
      </w:pPr>
      <w:r w:rsidRPr="00807837">
        <w:rPr>
          <w:rFonts w:ascii="Arial" w:eastAsia="Calibri" w:hAnsi="Arial" w:cs="Arial"/>
          <w:b/>
          <w:caps/>
          <w:sz w:val="20"/>
          <w:szCs w:val="20"/>
        </w:rPr>
        <w:t xml:space="preserve">Overview of the key relevant policy focus areas </w:t>
      </w:r>
    </w:p>
    <w:p w:rsidR="00153E59" w:rsidRPr="00807837" w:rsidRDefault="00153E59" w:rsidP="00807837">
      <w:pPr>
        <w:spacing w:after="0" w:line="240" w:lineRule="auto"/>
        <w:ind w:left="142" w:hanging="142"/>
        <w:contextualSpacing/>
        <w:rPr>
          <w:rFonts w:ascii="Arial" w:eastAsia="Calibri" w:hAnsi="Arial" w:cs="Arial"/>
          <w:sz w:val="20"/>
          <w:szCs w:val="20"/>
        </w:rPr>
      </w:pPr>
    </w:p>
    <w:p w:rsidR="00B76B96" w:rsidRPr="00807837" w:rsidRDefault="00153E59" w:rsidP="00807837">
      <w:pPr>
        <w:spacing w:after="0" w:line="240" w:lineRule="auto"/>
        <w:contextualSpacing/>
        <w:rPr>
          <w:rFonts w:ascii="Arial" w:eastAsia="Calibri" w:hAnsi="Arial" w:cs="Arial"/>
          <w:sz w:val="20"/>
          <w:szCs w:val="20"/>
        </w:rPr>
      </w:pPr>
      <w:r w:rsidRPr="00807837">
        <w:rPr>
          <w:rFonts w:ascii="Arial" w:eastAsia="Calibri" w:hAnsi="Arial" w:cs="Arial"/>
          <w:sz w:val="20"/>
          <w:szCs w:val="20"/>
        </w:rPr>
        <w:t xml:space="preserve">The </w:t>
      </w:r>
      <w:r w:rsidR="00B76B96" w:rsidRPr="00807837">
        <w:rPr>
          <w:rFonts w:ascii="Arial" w:eastAsia="Calibri" w:hAnsi="Arial" w:cs="Arial"/>
          <w:sz w:val="20"/>
          <w:szCs w:val="20"/>
        </w:rPr>
        <w:t xml:space="preserve">main government policy direction guiding the </w:t>
      </w:r>
      <w:r w:rsidR="004659D9" w:rsidRPr="00807837">
        <w:rPr>
          <w:rFonts w:ascii="Arial" w:eastAsia="Calibri" w:hAnsi="Arial" w:cs="Arial"/>
          <w:sz w:val="20"/>
          <w:szCs w:val="20"/>
        </w:rPr>
        <w:t>strategies</w:t>
      </w:r>
      <w:r w:rsidR="00B76B96" w:rsidRPr="00807837">
        <w:rPr>
          <w:rFonts w:ascii="Arial" w:eastAsia="Calibri" w:hAnsi="Arial" w:cs="Arial"/>
          <w:sz w:val="20"/>
          <w:szCs w:val="20"/>
        </w:rPr>
        <w:t xml:space="preserve"> </w:t>
      </w:r>
      <w:r w:rsidR="004659D9" w:rsidRPr="00807837">
        <w:rPr>
          <w:rFonts w:ascii="Arial" w:eastAsia="Calibri" w:hAnsi="Arial" w:cs="Arial"/>
          <w:sz w:val="20"/>
          <w:szCs w:val="20"/>
        </w:rPr>
        <w:t>implemented</w:t>
      </w:r>
      <w:r w:rsidR="00B76B96" w:rsidRPr="00807837">
        <w:rPr>
          <w:rFonts w:ascii="Arial" w:eastAsia="Calibri" w:hAnsi="Arial" w:cs="Arial"/>
          <w:sz w:val="20"/>
          <w:szCs w:val="20"/>
        </w:rPr>
        <w:t xml:space="preserve"> by the Department and SA Tourism is the </w:t>
      </w:r>
      <w:r w:rsidR="003C660C" w:rsidRPr="00807837">
        <w:rPr>
          <w:rFonts w:ascii="Arial" w:eastAsia="Calibri" w:hAnsi="Arial" w:cs="Arial"/>
          <w:sz w:val="20"/>
          <w:szCs w:val="20"/>
        </w:rPr>
        <w:t>V</w:t>
      </w:r>
      <w:r w:rsidRPr="00807837">
        <w:rPr>
          <w:rFonts w:ascii="Arial" w:eastAsia="Calibri" w:hAnsi="Arial" w:cs="Arial"/>
          <w:sz w:val="20"/>
          <w:szCs w:val="20"/>
        </w:rPr>
        <w:t>ision 2030 of the National Development Plan.</w:t>
      </w:r>
      <w:r w:rsidR="00150469" w:rsidRPr="00807837">
        <w:rPr>
          <w:rFonts w:ascii="Arial" w:eastAsia="Calibri" w:hAnsi="Arial" w:cs="Arial"/>
          <w:sz w:val="20"/>
          <w:szCs w:val="20"/>
        </w:rPr>
        <w:t xml:space="preserve"> The</w:t>
      </w:r>
      <w:r w:rsidR="00B76B96" w:rsidRPr="00807837">
        <w:rPr>
          <w:rFonts w:ascii="Arial" w:eastAsia="Calibri" w:hAnsi="Arial" w:cs="Arial"/>
          <w:sz w:val="20"/>
          <w:szCs w:val="20"/>
        </w:rPr>
        <w:t xml:space="preserve">re are various changes in the delivery environment that necessitate a policy and legislative review process. The Department has been dilatory in finalising the policy review process </w:t>
      </w:r>
      <w:r w:rsidR="004F008C" w:rsidRPr="00807837">
        <w:rPr>
          <w:rFonts w:ascii="Arial" w:eastAsia="Calibri" w:hAnsi="Arial" w:cs="Arial"/>
          <w:sz w:val="20"/>
          <w:szCs w:val="20"/>
        </w:rPr>
        <w:t>signalling no sense of urgency in the matter.</w:t>
      </w:r>
    </w:p>
    <w:p w:rsidR="004F008C" w:rsidRPr="00807837" w:rsidRDefault="004F008C" w:rsidP="00807837">
      <w:pPr>
        <w:spacing w:after="0" w:line="240" w:lineRule="auto"/>
        <w:contextualSpacing/>
        <w:rPr>
          <w:rFonts w:ascii="Arial" w:eastAsia="Calibri" w:hAnsi="Arial" w:cs="Arial"/>
          <w:sz w:val="20"/>
          <w:szCs w:val="20"/>
        </w:rPr>
      </w:pPr>
    </w:p>
    <w:p w:rsidR="00153E59" w:rsidRPr="00807837" w:rsidRDefault="00153E59" w:rsidP="00807837">
      <w:pPr>
        <w:numPr>
          <w:ilvl w:val="1"/>
          <w:numId w:val="7"/>
        </w:numPr>
        <w:spacing w:after="0" w:line="240" w:lineRule="auto"/>
        <w:ind w:left="567" w:hanging="567"/>
        <w:rPr>
          <w:rFonts w:ascii="Arial" w:eastAsia="Calibri" w:hAnsi="Arial" w:cs="Arial"/>
          <w:b/>
          <w:sz w:val="20"/>
          <w:szCs w:val="20"/>
        </w:rPr>
      </w:pPr>
      <w:r w:rsidRPr="00807837">
        <w:rPr>
          <w:rFonts w:ascii="Arial" w:eastAsia="Calibri" w:hAnsi="Arial" w:cs="Arial"/>
          <w:b/>
          <w:sz w:val="20"/>
          <w:szCs w:val="20"/>
        </w:rPr>
        <w:t xml:space="preserve">Key Government policies </w:t>
      </w:r>
    </w:p>
    <w:p w:rsidR="00153E59" w:rsidRPr="00807837" w:rsidRDefault="00153E59" w:rsidP="00807837">
      <w:pPr>
        <w:spacing w:after="0" w:line="240" w:lineRule="auto"/>
        <w:rPr>
          <w:rFonts w:ascii="Arial" w:eastAsia="Calibri" w:hAnsi="Arial" w:cs="Arial"/>
          <w:b/>
          <w:sz w:val="20"/>
          <w:szCs w:val="20"/>
        </w:rPr>
      </w:pPr>
    </w:p>
    <w:p w:rsidR="007113C0" w:rsidRPr="00807837" w:rsidRDefault="007113C0" w:rsidP="00807837">
      <w:pPr>
        <w:spacing w:after="0" w:line="240" w:lineRule="auto"/>
        <w:contextualSpacing/>
        <w:rPr>
          <w:rFonts w:ascii="Arial" w:hAnsi="Arial" w:cs="Arial"/>
          <w:sz w:val="20"/>
          <w:szCs w:val="20"/>
        </w:rPr>
      </w:pPr>
      <w:r w:rsidRPr="00807837">
        <w:rPr>
          <w:rFonts w:ascii="Arial" w:hAnsi="Arial" w:cs="Arial"/>
          <w:sz w:val="20"/>
          <w:szCs w:val="20"/>
        </w:rPr>
        <w:t xml:space="preserve">The following policies and strategies are due for review within this medium term: </w:t>
      </w:r>
    </w:p>
    <w:p w:rsidR="007113C0" w:rsidRPr="00807837" w:rsidRDefault="007113C0" w:rsidP="00807837">
      <w:pPr>
        <w:spacing w:after="0" w:line="240" w:lineRule="auto"/>
        <w:contextualSpacing/>
        <w:rPr>
          <w:rFonts w:ascii="Arial" w:hAnsi="Arial" w:cs="Arial"/>
          <w:sz w:val="20"/>
          <w:szCs w:val="20"/>
        </w:rPr>
      </w:pPr>
    </w:p>
    <w:p w:rsidR="007113C0" w:rsidRPr="00807837" w:rsidRDefault="007113C0" w:rsidP="00807837">
      <w:pPr>
        <w:numPr>
          <w:ilvl w:val="0"/>
          <w:numId w:val="19"/>
        </w:numPr>
        <w:spacing w:after="0" w:line="240" w:lineRule="auto"/>
        <w:contextualSpacing/>
        <w:rPr>
          <w:rFonts w:ascii="Arial" w:hAnsi="Arial" w:cs="Arial"/>
          <w:sz w:val="20"/>
          <w:szCs w:val="20"/>
        </w:rPr>
      </w:pPr>
      <w:r w:rsidRPr="00807837">
        <w:rPr>
          <w:rFonts w:ascii="Arial" w:hAnsi="Arial" w:cs="Arial"/>
          <w:sz w:val="20"/>
          <w:szCs w:val="20"/>
        </w:rPr>
        <w:t xml:space="preserve">White Paper on the Development and Promotion of Tourism in South Africa, 1996. </w:t>
      </w:r>
    </w:p>
    <w:p w:rsidR="007113C0" w:rsidRPr="00807837" w:rsidRDefault="007113C0" w:rsidP="00807837">
      <w:pPr>
        <w:numPr>
          <w:ilvl w:val="0"/>
          <w:numId w:val="19"/>
        </w:numPr>
        <w:spacing w:after="0" w:line="240" w:lineRule="auto"/>
        <w:contextualSpacing/>
        <w:rPr>
          <w:rFonts w:ascii="Arial" w:hAnsi="Arial" w:cs="Arial"/>
          <w:sz w:val="20"/>
          <w:szCs w:val="20"/>
        </w:rPr>
      </w:pPr>
      <w:r w:rsidRPr="00807837">
        <w:rPr>
          <w:rFonts w:ascii="Arial" w:hAnsi="Arial" w:cs="Arial"/>
          <w:sz w:val="20"/>
          <w:szCs w:val="20"/>
        </w:rPr>
        <w:t xml:space="preserve">Tourism Act, No. 3 of 2014. </w:t>
      </w:r>
    </w:p>
    <w:p w:rsidR="007113C0" w:rsidRPr="00807837" w:rsidRDefault="007113C0" w:rsidP="00807837">
      <w:pPr>
        <w:numPr>
          <w:ilvl w:val="0"/>
          <w:numId w:val="19"/>
        </w:numPr>
        <w:spacing w:after="0" w:line="240" w:lineRule="auto"/>
        <w:contextualSpacing/>
        <w:rPr>
          <w:rFonts w:ascii="Arial" w:hAnsi="Arial" w:cs="Arial"/>
          <w:sz w:val="20"/>
          <w:szCs w:val="20"/>
        </w:rPr>
      </w:pPr>
      <w:r w:rsidRPr="00807837">
        <w:rPr>
          <w:rFonts w:ascii="Arial" w:hAnsi="Arial" w:cs="Arial"/>
          <w:sz w:val="20"/>
          <w:szCs w:val="20"/>
        </w:rPr>
        <w:t xml:space="preserve">National Grading System. </w:t>
      </w:r>
    </w:p>
    <w:p w:rsidR="007113C0" w:rsidRPr="00807837" w:rsidRDefault="007113C0" w:rsidP="00807837">
      <w:pPr>
        <w:spacing w:after="0" w:line="240" w:lineRule="auto"/>
        <w:ind w:left="360"/>
        <w:contextualSpacing/>
        <w:rPr>
          <w:rFonts w:ascii="Arial" w:hAnsi="Arial" w:cs="Arial"/>
          <w:sz w:val="20"/>
          <w:szCs w:val="20"/>
        </w:rPr>
      </w:pPr>
    </w:p>
    <w:p w:rsidR="007113C0" w:rsidRPr="00807837" w:rsidRDefault="007113C0" w:rsidP="00807837">
      <w:pPr>
        <w:spacing w:after="0" w:line="240" w:lineRule="auto"/>
        <w:contextualSpacing/>
        <w:rPr>
          <w:rFonts w:ascii="Arial" w:hAnsi="Arial" w:cs="Arial"/>
          <w:sz w:val="20"/>
          <w:szCs w:val="20"/>
        </w:rPr>
      </w:pPr>
      <w:r w:rsidRPr="00807837">
        <w:rPr>
          <w:rFonts w:ascii="Arial" w:hAnsi="Arial" w:cs="Arial"/>
          <w:sz w:val="20"/>
          <w:szCs w:val="20"/>
        </w:rPr>
        <w:t>The review of the White Paper, Tourism Act and strategies will determine which aspects of these policies should be retained and which ones should be changed to enhance the tourism sector’s performance</w:t>
      </w:r>
    </w:p>
    <w:p w:rsidR="007113C0" w:rsidRPr="00807837" w:rsidRDefault="007113C0" w:rsidP="00807837">
      <w:pPr>
        <w:spacing w:after="0" w:line="240" w:lineRule="auto"/>
        <w:contextualSpacing/>
        <w:rPr>
          <w:rFonts w:ascii="Arial" w:hAnsi="Arial" w:cs="Arial"/>
          <w:sz w:val="20"/>
          <w:szCs w:val="20"/>
        </w:rPr>
      </w:pPr>
    </w:p>
    <w:p w:rsidR="00153E59" w:rsidRPr="00807837" w:rsidRDefault="00153E59" w:rsidP="00807837">
      <w:pPr>
        <w:numPr>
          <w:ilvl w:val="1"/>
          <w:numId w:val="6"/>
        </w:numPr>
        <w:spacing w:after="0" w:line="240" w:lineRule="auto"/>
        <w:ind w:left="567" w:hanging="567"/>
        <w:contextualSpacing/>
        <w:rPr>
          <w:rFonts w:ascii="Arial" w:eastAsia="Calibri" w:hAnsi="Arial" w:cs="Arial"/>
          <w:b/>
          <w:sz w:val="20"/>
          <w:szCs w:val="20"/>
        </w:rPr>
      </w:pPr>
      <w:r w:rsidRPr="00807837">
        <w:rPr>
          <w:rFonts w:ascii="Arial" w:eastAsia="Calibri" w:hAnsi="Arial" w:cs="Arial"/>
          <w:b/>
          <w:sz w:val="20"/>
          <w:szCs w:val="20"/>
        </w:rPr>
        <w:t xml:space="preserve">Overview of the revised Strategic Plan and Annual Performance Plans </w:t>
      </w:r>
    </w:p>
    <w:p w:rsidR="00153E59" w:rsidRPr="00807837" w:rsidRDefault="00153E59" w:rsidP="00807837">
      <w:pPr>
        <w:spacing w:after="0" w:line="240" w:lineRule="auto"/>
        <w:rPr>
          <w:rFonts w:ascii="Arial" w:eastAsia="Calibri" w:hAnsi="Arial" w:cs="Arial"/>
          <w:b/>
          <w:sz w:val="20"/>
          <w:szCs w:val="20"/>
        </w:rPr>
      </w:pPr>
    </w:p>
    <w:p w:rsidR="007113C0" w:rsidRPr="00807837" w:rsidRDefault="008112E8" w:rsidP="00807837">
      <w:pPr>
        <w:spacing w:after="0" w:line="240" w:lineRule="auto"/>
        <w:rPr>
          <w:rFonts w:ascii="Arial" w:eastAsia="Calibri" w:hAnsi="Arial" w:cs="Arial"/>
          <w:sz w:val="20"/>
          <w:szCs w:val="20"/>
        </w:rPr>
      </w:pPr>
      <w:r w:rsidRPr="00807837">
        <w:rPr>
          <w:rFonts w:ascii="Arial" w:eastAsia="Calibri" w:hAnsi="Arial" w:cs="Arial"/>
          <w:sz w:val="20"/>
          <w:szCs w:val="20"/>
        </w:rPr>
        <w:t xml:space="preserve">The revised Annual </w:t>
      </w:r>
      <w:r w:rsidR="005567D0" w:rsidRPr="00807837">
        <w:rPr>
          <w:rFonts w:ascii="Arial" w:eastAsia="Calibri" w:hAnsi="Arial" w:cs="Arial"/>
          <w:sz w:val="20"/>
          <w:szCs w:val="20"/>
        </w:rPr>
        <w:t>Performance</w:t>
      </w:r>
      <w:r w:rsidRPr="00807837">
        <w:rPr>
          <w:rFonts w:ascii="Arial" w:eastAsia="Calibri" w:hAnsi="Arial" w:cs="Arial"/>
          <w:sz w:val="20"/>
          <w:szCs w:val="20"/>
        </w:rPr>
        <w:t xml:space="preserve"> Plan for 2021/22 was in line with the tabled 5-year Strategic Plan. </w:t>
      </w:r>
      <w:r w:rsidR="007113C0" w:rsidRPr="00807837">
        <w:rPr>
          <w:rFonts w:ascii="Arial" w:eastAsia="Calibri" w:hAnsi="Arial" w:cs="Arial"/>
          <w:sz w:val="20"/>
          <w:szCs w:val="20"/>
        </w:rPr>
        <w:t>The Department conducts its mandate through four Programme</w:t>
      </w:r>
      <w:r w:rsidR="003C660C" w:rsidRPr="00807837">
        <w:rPr>
          <w:rFonts w:ascii="Arial" w:eastAsia="Calibri" w:hAnsi="Arial" w:cs="Arial"/>
          <w:sz w:val="20"/>
          <w:szCs w:val="20"/>
        </w:rPr>
        <w:t>s</w:t>
      </w:r>
      <w:r w:rsidR="007113C0" w:rsidRPr="00807837">
        <w:rPr>
          <w:rFonts w:ascii="Arial" w:eastAsia="Calibri" w:hAnsi="Arial" w:cs="Arial"/>
          <w:sz w:val="20"/>
          <w:szCs w:val="20"/>
        </w:rPr>
        <w:t>, namely, Programme 1: Administration; Programme 2: Tourism Research, Policy and International Relations; Programme 3: Destination Development; and Programme 4: Tourism Sector Support Services.</w:t>
      </w:r>
      <w:r w:rsidRPr="00807837">
        <w:rPr>
          <w:rFonts w:ascii="Arial" w:eastAsia="Calibri" w:hAnsi="Arial" w:cs="Arial"/>
          <w:sz w:val="20"/>
          <w:szCs w:val="20"/>
        </w:rPr>
        <w:t xml:space="preserve"> The following are financial allocations per Programme in the revised Annual </w:t>
      </w:r>
      <w:r w:rsidR="005567D0" w:rsidRPr="00807837">
        <w:rPr>
          <w:rFonts w:ascii="Arial" w:eastAsia="Calibri" w:hAnsi="Arial" w:cs="Arial"/>
          <w:sz w:val="20"/>
          <w:szCs w:val="20"/>
        </w:rPr>
        <w:t>Performance</w:t>
      </w:r>
      <w:r w:rsidRPr="00807837">
        <w:rPr>
          <w:rFonts w:ascii="Arial" w:eastAsia="Calibri" w:hAnsi="Arial" w:cs="Arial"/>
          <w:sz w:val="20"/>
          <w:szCs w:val="20"/>
        </w:rPr>
        <w:t xml:space="preserve"> Plan:</w:t>
      </w:r>
    </w:p>
    <w:p w:rsidR="004F008C" w:rsidRPr="00807837" w:rsidRDefault="004F008C" w:rsidP="00807837">
      <w:pPr>
        <w:spacing w:after="0" w:line="240" w:lineRule="auto"/>
        <w:rPr>
          <w:rFonts w:ascii="Arial" w:eastAsia="Calibri" w:hAnsi="Arial" w:cs="Arial"/>
          <w:sz w:val="20"/>
          <w:szCs w:val="20"/>
        </w:rPr>
      </w:pPr>
    </w:p>
    <w:p w:rsidR="004F008C" w:rsidRPr="00807837" w:rsidRDefault="004F008C" w:rsidP="00807837">
      <w:pPr>
        <w:pStyle w:val="ListParagraph"/>
        <w:numPr>
          <w:ilvl w:val="0"/>
          <w:numId w:val="89"/>
        </w:numPr>
        <w:spacing w:after="0" w:line="240" w:lineRule="auto"/>
        <w:rPr>
          <w:rFonts w:ascii="Arial" w:eastAsia="Calibri" w:hAnsi="Arial" w:cs="Arial"/>
          <w:sz w:val="20"/>
          <w:szCs w:val="20"/>
        </w:rPr>
      </w:pPr>
      <w:r w:rsidRPr="00807837">
        <w:rPr>
          <w:rFonts w:ascii="Arial" w:eastAsia="Calibri" w:hAnsi="Arial" w:cs="Arial"/>
          <w:sz w:val="20"/>
          <w:szCs w:val="20"/>
        </w:rPr>
        <w:t xml:space="preserve">The main cost driver under this Vote is Programme 2: Tourism Research, Policy and International Relations, which consumes more than half (approximately 56.8%) of the total Vote allocation. This is mainly due to the significant transfer to the Department’s Entity, South African Tourism. </w:t>
      </w:r>
    </w:p>
    <w:p w:rsidR="004F008C" w:rsidRPr="00807837" w:rsidRDefault="004F008C" w:rsidP="00807837">
      <w:pPr>
        <w:spacing w:after="0" w:line="240" w:lineRule="auto"/>
        <w:rPr>
          <w:rFonts w:ascii="Arial" w:eastAsia="Calibri" w:hAnsi="Arial" w:cs="Arial"/>
          <w:sz w:val="20"/>
          <w:szCs w:val="20"/>
        </w:rPr>
      </w:pPr>
    </w:p>
    <w:p w:rsidR="004F008C" w:rsidRPr="00807837" w:rsidRDefault="004F008C" w:rsidP="00807837">
      <w:pPr>
        <w:pStyle w:val="ListParagraph"/>
        <w:numPr>
          <w:ilvl w:val="0"/>
          <w:numId w:val="89"/>
        </w:numPr>
        <w:spacing w:after="0" w:line="240" w:lineRule="auto"/>
        <w:rPr>
          <w:rFonts w:ascii="Arial" w:eastAsia="Calibri" w:hAnsi="Arial" w:cs="Arial"/>
          <w:sz w:val="20"/>
          <w:szCs w:val="20"/>
        </w:rPr>
      </w:pPr>
      <w:r w:rsidRPr="00807837">
        <w:rPr>
          <w:rFonts w:ascii="Arial" w:eastAsia="Calibri" w:hAnsi="Arial" w:cs="Arial"/>
          <w:sz w:val="20"/>
          <w:szCs w:val="20"/>
        </w:rPr>
        <w:t xml:space="preserve">Programme 3: </w:t>
      </w:r>
      <w:r w:rsidR="0069039D" w:rsidRPr="00807837">
        <w:rPr>
          <w:rFonts w:ascii="Arial" w:eastAsia="Calibri" w:hAnsi="Arial" w:cs="Arial"/>
          <w:sz w:val="20"/>
          <w:szCs w:val="20"/>
        </w:rPr>
        <w:t xml:space="preserve">Destination </w:t>
      </w:r>
      <w:r w:rsidR="004659D9" w:rsidRPr="00807837">
        <w:rPr>
          <w:rFonts w:ascii="Arial" w:eastAsia="Calibri" w:hAnsi="Arial" w:cs="Arial"/>
          <w:sz w:val="20"/>
          <w:szCs w:val="20"/>
        </w:rPr>
        <w:t>Development</w:t>
      </w:r>
      <w:r w:rsidR="0069039D" w:rsidRPr="00807837">
        <w:rPr>
          <w:rFonts w:ascii="Arial" w:eastAsia="Calibri" w:hAnsi="Arial" w:cs="Arial"/>
          <w:sz w:val="20"/>
          <w:szCs w:val="20"/>
        </w:rPr>
        <w:t>,</w:t>
      </w:r>
      <w:r w:rsidRPr="00807837">
        <w:rPr>
          <w:rFonts w:ascii="Arial" w:eastAsia="Calibri" w:hAnsi="Arial" w:cs="Arial"/>
          <w:sz w:val="20"/>
          <w:szCs w:val="20"/>
        </w:rPr>
        <w:t xml:space="preserve"> experienced a significant decrease of 19.16 per cent in real terms. The major cost driver under Programme 3 is the Working for Tourism, Expanded Public Works Programme, sub-programme. The sub-programme’s allocation also sees a decrease from R377.0 million in 2021/22 to R311.7 million in the current financial year. </w:t>
      </w:r>
    </w:p>
    <w:p w:rsidR="004F008C" w:rsidRPr="00807837" w:rsidRDefault="004F008C" w:rsidP="00807837">
      <w:pPr>
        <w:spacing w:after="0" w:line="240" w:lineRule="auto"/>
        <w:rPr>
          <w:rFonts w:ascii="Arial" w:eastAsia="Calibri" w:hAnsi="Arial" w:cs="Arial"/>
          <w:sz w:val="20"/>
          <w:szCs w:val="20"/>
        </w:rPr>
      </w:pPr>
    </w:p>
    <w:p w:rsidR="004F008C" w:rsidRPr="00807837" w:rsidRDefault="004F008C" w:rsidP="00807837">
      <w:pPr>
        <w:pStyle w:val="ListParagraph"/>
        <w:numPr>
          <w:ilvl w:val="0"/>
          <w:numId w:val="89"/>
        </w:numPr>
        <w:spacing w:after="0" w:line="240" w:lineRule="auto"/>
        <w:rPr>
          <w:rFonts w:ascii="Arial" w:eastAsia="Calibri" w:hAnsi="Arial" w:cs="Arial"/>
          <w:sz w:val="20"/>
          <w:szCs w:val="20"/>
        </w:rPr>
      </w:pPr>
      <w:r w:rsidRPr="00807837">
        <w:rPr>
          <w:rFonts w:ascii="Arial" w:eastAsia="Calibri" w:hAnsi="Arial" w:cs="Arial"/>
          <w:sz w:val="20"/>
          <w:szCs w:val="20"/>
        </w:rPr>
        <w:t>The cost driver under programme 4, Tourism Incentive Programme, also saw a decrease for the year from R275.2 million in 2021/22 to R242.0 million in 2022/23. The Committee was concerned about the decrease, in real terms, in allocation for both Programmes 3 and 4 as these have implications for the Department’s policy priorities. The reason for a concern is that Programme 3</w:t>
      </w:r>
      <w:r w:rsidR="0069039D" w:rsidRPr="00807837">
        <w:rPr>
          <w:rFonts w:ascii="Arial" w:eastAsia="Calibri" w:hAnsi="Arial" w:cs="Arial"/>
          <w:sz w:val="20"/>
          <w:szCs w:val="20"/>
        </w:rPr>
        <w:t xml:space="preserve">: </w:t>
      </w:r>
      <w:r w:rsidRPr="00807837">
        <w:rPr>
          <w:rFonts w:ascii="Arial" w:eastAsia="Calibri" w:hAnsi="Arial" w:cs="Arial"/>
          <w:sz w:val="20"/>
          <w:szCs w:val="20"/>
        </w:rPr>
        <w:t xml:space="preserve">Destination Development, includes activities such as route development projects, destination enhancement initiatives and infrastructure maintenance programmes. These activities are significant as job creators and for destination product development.  </w:t>
      </w:r>
    </w:p>
    <w:p w:rsidR="00153E59" w:rsidRPr="00807837" w:rsidRDefault="00153E59" w:rsidP="00807837">
      <w:pPr>
        <w:numPr>
          <w:ilvl w:val="2"/>
          <w:numId w:val="6"/>
        </w:numPr>
        <w:spacing w:after="0" w:line="240" w:lineRule="auto"/>
        <w:contextualSpacing/>
        <w:rPr>
          <w:rFonts w:ascii="Arial" w:eastAsia="Calibri" w:hAnsi="Arial" w:cs="Arial"/>
          <w:sz w:val="20"/>
          <w:szCs w:val="20"/>
        </w:rPr>
      </w:pPr>
      <w:r w:rsidRPr="00807837">
        <w:rPr>
          <w:rFonts w:ascii="Arial" w:eastAsia="Calibri" w:hAnsi="Arial" w:cs="Arial"/>
          <w:sz w:val="20"/>
          <w:szCs w:val="20"/>
        </w:rPr>
        <w:t xml:space="preserve">Strategic goals </w:t>
      </w:r>
    </w:p>
    <w:p w:rsidR="007463D1" w:rsidRPr="00807837" w:rsidRDefault="007463D1" w:rsidP="00807837">
      <w:pPr>
        <w:spacing w:after="0" w:line="240" w:lineRule="auto"/>
        <w:contextualSpacing/>
        <w:rPr>
          <w:rFonts w:ascii="Arial" w:eastAsia="Calibri" w:hAnsi="Arial" w:cs="Arial"/>
          <w:sz w:val="20"/>
          <w:szCs w:val="20"/>
        </w:rPr>
      </w:pPr>
    </w:p>
    <w:p w:rsidR="0069039D" w:rsidRPr="00807837" w:rsidRDefault="0069039D" w:rsidP="00807837">
      <w:pPr>
        <w:spacing w:after="0" w:line="240" w:lineRule="auto"/>
        <w:contextualSpacing/>
        <w:rPr>
          <w:rFonts w:ascii="Arial" w:hAnsi="Arial" w:cs="Arial"/>
          <w:sz w:val="20"/>
          <w:szCs w:val="20"/>
        </w:rPr>
      </w:pPr>
      <w:r w:rsidRPr="00807837">
        <w:rPr>
          <w:rFonts w:ascii="Arial" w:hAnsi="Arial" w:cs="Arial"/>
          <w:sz w:val="20"/>
          <w:szCs w:val="20"/>
        </w:rPr>
        <w:t xml:space="preserve">The Department’s strategic focus for the financial year was on the rejuvenation of the industry as part of the Tourism Sector Recovery Plan. Areas of focus included tourist safety and the introduction of national norms and standards for tourism businesses. Towards tourist safety, the Tourism Monitors Programme was implemented across eight provinces. The Monitors can be found in several attraction sites to provide assistance and support to tourists, where required. The norms and standards for tourism businesses were developed and gazetted by the Department. In addition, participants of the various capacity-building programmes were also trained on the norms, to ensure safe operations in tourism businesses. </w:t>
      </w:r>
    </w:p>
    <w:p w:rsidR="0069039D" w:rsidRPr="00807837" w:rsidRDefault="0069039D" w:rsidP="00807837">
      <w:pPr>
        <w:spacing w:after="0" w:line="240" w:lineRule="auto"/>
        <w:contextualSpacing/>
        <w:rPr>
          <w:rFonts w:ascii="Arial" w:hAnsi="Arial" w:cs="Arial"/>
          <w:sz w:val="20"/>
          <w:szCs w:val="20"/>
        </w:rPr>
      </w:pPr>
    </w:p>
    <w:p w:rsidR="0069039D" w:rsidRPr="00807837" w:rsidRDefault="0069039D" w:rsidP="00807837">
      <w:pPr>
        <w:spacing w:after="0" w:line="240" w:lineRule="auto"/>
        <w:contextualSpacing/>
        <w:rPr>
          <w:rFonts w:ascii="Arial" w:hAnsi="Arial" w:cs="Arial"/>
          <w:sz w:val="20"/>
          <w:szCs w:val="20"/>
        </w:rPr>
      </w:pPr>
      <w:r w:rsidRPr="00807837">
        <w:rPr>
          <w:rFonts w:ascii="Arial" w:hAnsi="Arial" w:cs="Arial"/>
          <w:sz w:val="20"/>
          <w:szCs w:val="20"/>
        </w:rPr>
        <w:t>The Department continued its focus on stimulating domestic tourism demand. The domestic market has been identified as key to the sector’s recovery. The Domestic Tourism Scheme was implemented in the Northern Cape, Gauteng and Limpopo provinces, highlighting the role and responsibility of tour operators to help contribute in making travel accessible, enabling the participation of people with modest income and previously marginalized groups in the society.</w:t>
      </w:r>
    </w:p>
    <w:p w:rsidR="0069039D" w:rsidRPr="00807837" w:rsidRDefault="0069039D" w:rsidP="00807837">
      <w:pPr>
        <w:spacing w:after="0" w:line="240" w:lineRule="auto"/>
        <w:contextualSpacing/>
        <w:rPr>
          <w:rFonts w:ascii="Arial" w:hAnsi="Arial" w:cs="Arial"/>
          <w:sz w:val="20"/>
          <w:szCs w:val="20"/>
        </w:rPr>
      </w:pPr>
    </w:p>
    <w:p w:rsidR="0069039D" w:rsidRPr="00807837" w:rsidRDefault="0069039D" w:rsidP="00807837">
      <w:pPr>
        <w:spacing w:after="0" w:line="240" w:lineRule="auto"/>
        <w:contextualSpacing/>
        <w:rPr>
          <w:rFonts w:ascii="Arial" w:hAnsi="Arial" w:cs="Arial"/>
          <w:sz w:val="20"/>
          <w:szCs w:val="20"/>
        </w:rPr>
      </w:pPr>
      <w:r w:rsidRPr="00807837">
        <w:rPr>
          <w:rFonts w:ascii="Arial" w:hAnsi="Arial" w:cs="Arial"/>
          <w:sz w:val="20"/>
          <w:szCs w:val="20"/>
        </w:rPr>
        <w:t xml:space="preserve">The Department also focused on promoting collaborative investment in the sector through measures such as ensuring the effectiveness of market-entry facilitation programmes. These programmes included capacity-building programmes, such the Wine Service Training Programme and the Hospitality Youth Programme, which are aimed at the empowerment of the youth. The Wine Service Training Programme with training on norms and standards for safe tourism operations, was implemented in Kwazulu-Natal and Western Cape provinces. The programme was, however, not implemented in the Northern Cape province as planned. The Department also planned to roll-out the Hospitality Youth Programme to all nine provinces, and only managed to roll it out to three. The timely procurement of service providers was cited as the reason for the deviation. </w:t>
      </w:r>
    </w:p>
    <w:p w:rsidR="0069039D" w:rsidRPr="00807837" w:rsidRDefault="0069039D" w:rsidP="00807837">
      <w:pPr>
        <w:spacing w:after="0" w:line="240" w:lineRule="auto"/>
        <w:contextualSpacing/>
        <w:rPr>
          <w:rFonts w:ascii="Arial" w:hAnsi="Arial" w:cs="Arial"/>
          <w:sz w:val="20"/>
          <w:szCs w:val="20"/>
        </w:rPr>
      </w:pPr>
    </w:p>
    <w:p w:rsidR="0069039D" w:rsidRPr="00807837" w:rsidRDefault="0069039D" w:rsidP="00807837">
      <w:pPr>
        <w:spacing w:after="0" w:line="240" w:lineRule="auto"/>
        <w:contextualSpacing/>
        <w:rPr>
          <w:rFonts w:ascii="Arial" w:hAnsi="Arial" w:cs="Arial"/>
          <w:sz w:val="20"/>
          <w:szCs w:val="20"/>
        </w:rPr>
      </w:pPr>
      <w:r w:rsidRPr="00807837">
        <w:rPr>
          <w:rFonts w:ascii="Arial" w:hAnsi="Arial" w:cs="Arial"/>
          <w:sz w:val="20"/>
          <w:szCs w:val="20"/>
        </w:rPr>
        <w:t xml:space="preserve">To support transformation objectives, the Department had purposed to pilot the Tourism Equity Fund during the financial year. The Fund is intended to support commercially viable black-owned enterprises to acquire shares in tourism enterprises; promote the visibility of small, medium and micro enterprises (SMMEs); and facilitate the development of community assets and ownership patterns. Unfortunately, the Department was unable to achieve this objective.  An order handed down by the High Court of South Africa on 26 April 2021 interdicts and restrains the </w:t>
      </w:r>
      <w:r w:rsidR="00721ECF" w:rsidRPr="00807837">
        <w:rPr>
          <w:rFonts w:ascii="Arial" w:hAnsi="Arial" w:cs="Arial"/>
          <w:sz w:val="20"/>
          <w:szCs w:val="20"/>
        </w:rPr>
        <w:t>Small Enterprise Finance Agency (</w:t>
      </w:r>
      <w:r w:rsidRPr="00807837">
        <w:rPr>
          <w:rFonts w:ascii="Arial" w:hAnsi="Arial" w:cs="Arial"/>
          <w:sz w:val="20"/>
          <w:szCs w:val="20"/>
        </w:rPr>
        <w:t>SEFA</w:t>
      </w:r>
      <w:r w:rsidR="00721ECF" w:rsidRPr="00807837">
        <w:rPr>
          <w:rFonts w:ascii="Arial" w:hAnsi="Arial" w:cs="Arial"/>
          <w:sz w:val="20"/>
          <w:szCs w:val="20"/>
        </w:rPr>
        <w:t>)</w:t>
      </w:r>
      <w:r w:rsidRPr="00807837">
        <w:rPr>
          <w:rFonts w:ascii="Arial" w:hAnsi="Arial" w:cs="Arial"/>
          <w:sz w:val="20"/>
          <w:szCs w:val="20"/>
        </w:rPr>
        <w:t xml:space="preserve"> from receiving, processing or making any payment under any application for funding from the Fund. Currently, all applications and pay-outs are on hold until the matter is resolved. </w:t>
      </w:r>
    </w:p>
    <w:p w:rsidR="00103799" w:rsidRPr="00807837" w:rsidRDefault="00103799" w:rsidP="00807837">
      <w:pPr>
        <w:spacing w:after="0" w:line="240" w:lineRule="auto"/>
        <w:contextualSpacing/>
        <w:rPr>
          <w:rFonts w:ascii="Arial" w:hAnsi="Arial" w:cs="Arial"/>
          <w:sz w:val="20"/>
          <w:szCs w:val="20"/>
        </w:rPr>
      </w:pPr>
    </w:p>
    <w:p w:rsidR="00153E59" w:rsidRPr="00807837" w:rsidRDefault="00153E59" w:rsidP="00807837">
      <w:pPr>
        <w:numPr>
          <w:ilvl w:val="2"/>
          <w:numId w:val="6"/>
        </w:numPr>
        <w:spacing w:after="0" w:line="240" w:lineRule="auto"/>
        <w:contextualSpacing/>
        <w:rPr>
          <w:rFonts w:ascii="Arial" w:eastAsia="Calibri" w:hAnsi="Arial" w:cs="Arial"/>
          <w:sz w:val="20"/>
          <w:szCs w:val="20"/>
        </w:rPr>
      </w:pPr>
      <w:r w:rsidRPr="00807837">
        <w:rPr>
          <w:rFonts w:ascii="Arial" w:eastAsia="Calibri" w:hAnsi="Arial" w:cs="Arial"/>
          <w:sz w:val="20"/>
          <w:szCs w:val="20"/>
        </w:rPr>
        <w:t>Departmental programmes</w:t>
      </w:r>
    </w:p>
    <w:p w:rsidR="00153E59" w:rsidRPr="00807837" w:rsidRDefault="00153E59" w:rsidP="00807837">
      <w:pPr>
        <w:spacing w:after="0" w:line="240" w:lineRule="auto"/>
        <w:rPr>
          <w:rFonts w:ascii="Arial" w:eastAsia="Calibri" w:hAnsi="Arial" w:cs="Arial"/>
          <w:sz w:val="20"/>
          <w:szCs w:val="20"/>
        </w:rPr>
      </w:pPr>
    </w:p>
    <w:p w:rsidR="00153E59" w:rsidRPr="00807837" w:rsidRDefault="00153E59" w:rsidP="00807837">
      <w:pPr>
        <w:spacing w:after="0" w:line="240" w:lineRule="auto"/>
        <w:rPr>
          <w:rFonts w:ascii="Arial" w:eastAsia="Calibri" w:hAnsi="Arial" w:cs="Arial"/>
          <w:sz w:val="20"/>
          <w:szCs w:val="20"/>
        </w:rPr>
      </w:pPr>
      <w:r w:rsidRPr="00807837">
        <w:rPr>
          <w:rFonts w:ascii="Arial" w:eastAsia="Calibri" w:hAnsi="Arial" w:cs="Arial"/>
          <w:sz w:val="20"/>
          <w:szCs w:val="20"/>
        </w:rPr>
        <w:t xml:space="preserve">The Department was pursuing the strategic objectives and the strategic outcome-oriented goals through </w:t>
      </w:r>
      <w:r w:rsidR="007218A5" w:rsidRPr="00807837">
        <w:rPr>
          <w:rFonts w:ascii="Arial" w:eastAsia="Calibri" w:hAnsi="Arial" w:cs="Arial"/>
          <w:sz w:val="20"/>
          <w:szCs w:val="20"/>
        </w:rPr>
        <w:t xml:space="preserve">these </w:t>
      </w:r>
      <w:r w:rsidRPr="00807837">
        <w:rPr>
          <w:rFonts w:ascii="Arial" w:eastAsia="Calibri" w:hAnsi="Arial" w:cs="Arial"/>
          <w:sz w:val="20"/>
          <w:szCs w:val="20"/>
        </w:rPr>
        <w:t>four Programmes</w:t>
      </w:r>
      <w:r w:rsidR="00BA739F" w:rsidRPr="00807837">
        <w:rPr>
          <w:rFonts w:ascii="Arial" w:eastAsia="Calibri" w:hAnsi="Arial" w:cs="Arial"/>
          <w:sz w:val="20"/>
          <w:szCs w:val="20"/>
        </w:rPr>
        <w:t xml:space="preserve"> </w:t>
      </w:r>
      <w:r w:rsidR="00843856" w:rsidRPr="00807837">
        <w:rPr>
          <w:rFonts w:ascii="Arial" w:eastAsia="Calibri" w:hAnsi="Arial" w:cs="Arial"/>
          <w:sz w:val="20"/>
          <w:szCs w:val="20"/>
        </w:rPr>
        <w:t xml:space="preserve">as </w:t>
      </w:r>
      <w:r w:rsidR="00BA739F" w:rsidRPr="00807837">
        <w:rPr>
          <w:rFonts w:ascii="Arial" w:eastAsia="Calibri" w:hAnsi="Arial" w:cs="Arial"/>
          <w:sz w:val="20"/>
          <w:szCs w:val="20"/>
        </w:rPr>
        <w:t>outlined</w:t>
      </w:r>
      <w:r w:rsidR="00843856" w:rsidRPr="00807837">
        <w:rPr>
          <w:rFonts w:ascii="Arial" w:eastAsia="Calibri" w:hAnsi="Arial" w:cs="Arial"/>
          <w:sz w:val="20"/>
          <w:szCs w:val="20"/>
        </w:rPr>
        <w:t xml:space="preserve"> in Table 2.</w:t>
      </w:r>
    </w:p>
    <w:p w:rsidR="0069039D" w:rsidRPr="00807837" w:rsidRDefault="0069039D" w:rsidP="00807837">
      <w:pPr>
        <w:spacing w:after="0" w:line="240" w:lineRule="auto"/>
        <w:rPr>
          <w:rFonts w:ascii="Arial" w:eastAsia="Calibri" w:hAnsi="Arial" w:cs="Arial"/>
          <w:sz w:val="20"/>
          <w:szCs w:val="20"/>
        </w:rPr>
      </w:pPr>
    </w:p>
    <w:p w:rsidR="00153E59" w:rsidRPr="00807837" w:rsidRDefault="001B1426" w:rsidP="00807837">
      <w:pPr>
        <w:spacing w:after="0" w:line="240" w:lineRule="auto"/>
        <w:rPr>
          <w:rFonts w:ascii="Arial" w:eastAsia="Calibri" w:hAnsi="Arial" w:cs="Arial"/>
          <w:b/>
          <w:sz w:val="20"/>
          <w:szCs w:val="20"/>
        </w:rPr>
      </w:pPr>
      <w:r w:rsidRPr="00807837">
        <w:rPr>
          <w:rFonts w:ascii="Arial" w:eastAsia="Calibri" w:hAnsi="Arial" w:cs="Arial"/>
          <w:b/>
          <w:sz w:val="20"/>
          <w:szCs w:val="20"/>
        </w:rPr>
        <w:t>Table 2</w:t>
      </w:r>
      <w:r w:rsidR="00843856" w:rsidRPr="00807837">
        <w:rPr>
          <w:rFonts w:ascii="Arial" w:eastAsia="Calibri" w:hAnsi="Arial" w:cs="Arial"/>
          <w:b/>
          <w:sz w:val="20"/>
          <w:szCs w:val="20"/>
        </w:rPr>
        <w:t>: Departmental Programmes</w:t>
      </w:r>
    </w:p>
    <w:tbl>
      <w:tblPr>
        <w:tblStyle w:val="TableGrid"/>
        <w:tblW w:w="0" w:type="auto"/>
        <w:tblLook w:val="04A0"/>
      </w:tblPr>
      <w:tblGrid>
        <w:gridCol w:w="1838"/>
        <w:gridCol w:w="2552"/>
        <w:gridCol w:w="4626"/>
      </w:tblGrid>
      <w:tr w:rsidR="00012F45" w:rsidRPr="00807837" w:rsidTr="00843856">
        <w:tc>
          <w:tcPr>
            <w:tcW w:w="1838" w:type="dxa"/>
          </w:tcPr>
          <w:p w:rsidR="00843856" w:rsidRPr="00807837" w:rsidRDefault="00843856" w:rsidP="00807837">
            <w:pPr>
              <w:rPr>
                <w:rFonts w:ascii="Arial" w:eastAsia="Calibri" w:hAnsi="Arial" w:cs="Arial"/>
                <w:b/>
                <w:sz w:val="20"/>
                <w:szCs w:val="20"/>
              </w:rPr>
            </w:pPr>
            <w:r w:rsidRPr="00807837">
              <w:rPr>
                <w:rFonts w:ascii="Arial" w:eastAsia="Calibri" w:hAnsi="Arial" w:cs="Arial"/>
                <w:b/>
                <w:sz w:val="20"/>
                <w:szCs w:val="20"/>
              </w:rPr>
              <w:t>Programme</w:t>
            </w:r>
          </w:p>
        </w:tc>
        <w:tc>
          <w:tcPr>
            <w:tcW w:w="2552" w:type="dxa"/>
          </w:tcPr>
          <w:p w:rsidR="00843856" w:rsidRPr="00807837" w:rsidRDefault="00843856" w:rsidP="00807837">
            <w:pPr>
              <w:rPr>
                <w:rFonts w:ascii="Arial" w:eastAsia="Calibri" w:hAnsi="Arial" w:cs="Arial"/>
                <w:b/>
                <w:sz w:val="20"/>
                <w:szCs w:val="20"/>
              </w:rPr>
            </w:pPr>
            <w:r w:rsidRPr="00807837">
              <w:rPr>
                <w:rFonts w:ascii="Arial" w:eastAsia="Calibri" w:hAnsi="Arial" w:cs="Arial"/>
                <w:b/>
                <w:sz w:val="20"/>
                <w:szCs w:val="20"/>
              </w:rPr>
              <w:t>Name of the Programme</w:t>
            </w:r>
          </w:p>
        </w:tc>
        <w:tc>
          <w:tcPr>
            <w:tcW w:w="4626" w:type="dxa"/>
          </w:tcPr>
          <w:p w:rsidR="00843856" w:rsidRPr="00807837" w:rsidRDefault="00843856" w:rsidP="00807837">
            <w:pPr>
              <w:rPr>
                <w:rFonts w:ascii="Arial" w:eastAsia="Calibri" w:hAnsi="Arial" w:cs="Arial"/>
                <w:b/>
                <w:sz w:val="20"/>
                <w:szCs w:val="20"/>
              </w:rPr>
            </w:pPr>
            <w:r w:rsidRPr="00807837">
              <w:rPr>
                <w:rFonts w:ascii="Arial" w:eastAsia="Calibri" w:hAnsi="Arial" w:cs="Arial"/>
                <w:b/>
                <w:sz w:val="20"/>
                <w:szCs w:val="20"/>
              </w:rPr>
              <w:t>Purpose of the Programme</w:t>
            </w:r>
          </w:p>
        </w:tc>
      </w:tr>
      <w:tr w:rsidR="00012F45" w:rsidRPr="00807837" w:rsidTr="00843856">
        <w:tc>
          <w:tcPr>
            <w:tcW w:w="1838" w:type="dxa"/>
          </w:tcPr>
          <w:p w:rsidR="00843856" w:rsidRPr="00807837" w:rsidRDefault="00843856" w:rsidP="00807837">
            <w:pPr>
              <w:rPr>
                <w:rFonts w:ascii="Arial" w:eastAsia="Calibri" w:hAnsi="Arial" w:cs="Arial"/>
                <w:sz w:val="20"/>
                <w:szCs w:val="20"/>
              </w:rPr>
            </w:pPr>
            <w:r w:rsidRPr="00807837">
              <w:rPr>
                <w:rFonts w:ascii="Arial" w:eastAsia="Calibri" w:hAnsi="Arial" w:cs="Arial"/>
                <w:sz w:val="20"/>
                <w:szCs w:val="20"/>
              </w:rPr>
              <w:t>Programme 1</w:t>
            </w:r>
          </w:p>
        </w:tc>
        <w:tc>
          <w:tcPr>
            <w:tcW w:w="2552" w:type="dxa"/>
          </w:tcPr>
          <w:p w:rsidR="00843856" w:rsidRPr="00807837" w:rsidRDefault="00843856" w:rsidP="00807837">
            <w:pPr>
              <w:rPr>
                <w:rFonts w:ascii="Arial" w:eastAsia="Calibri" w:hAnsi="Arial" w:cs="Arial"/>
                <w:sz w:val="20"/>
                <w:szCs w:val="20"/>
              </w:rPr>
            </w:pPr>
            <w:r w:rsidRPr="00807837">
              <w:rPr>
                <w:rFonts w:ascii="Arial" w:eastAsia="Calibri" w:hAnsi="Arial" w:cs="Arial"/>
                <w:sz w:val="20"/>
                <w:szCs w:val="20"/>
              </w:rPr>
              <w:t>Administration</w:t>
            </w:r>
          </w:p>
        </w:tc>
        <w:tc>
          <w:tcPr>
            <w:tcW w:w="4626" w:type="dxa"/>
          </w:tcPr>
          <w:p w:rsidR="00843856" w:rsidRPr="00807837" w:rsidRDefault="00843856" w:rsidP="00807837">
            <w:pPr>
              <w:rPr>
                <w:rFonts w:ascii="Arial" w:eastAsia="Calibri" w:hAnsi="Arial" w:cs="Arial"/>
                <w:sz w:val="20"/>
                <w:szCs w:val="20"/>
              </w:rPr>
            </w:pPr>
            <w:r w:rsidRPr="00807837">
              <w:rPr>
                <w:rFonts w:ascii="Arial" w:eastAsia="Calibri" w:hAnsi="Arial" w:cs="Arial"/>
                <w:sz w:val="20"/>
                <w:szCs w:val="20"/>
              </w:rPr>
              <w:t>To provide strategic leadership, management and support services to management. The sub-programmes for Programme 1 are Ministry; Management; Corporate Management; Financial Management; and Office Accommodation.</w:t>
            </w:r>
          </w:p>
        </w:tc>
      </w:tr>
      <w:tr w:rsidR="00012F45" w:rsidRPr="00807837" w:rsidTr="00843856">
        <w:tc>
          <w:tcPr>
            <w:tcW w:w="1838" w:type="dxa"/>
          </w:tcPr>
          <w:p w:rsidR="00843856" w:rsidRPr="00807837" w:rsidRDefault="00843856" w:rsidP="00807837">
            <w:pPr>
              <w:rPr>
                <w:rFonts w:ascii="Arial" w:eastAsia="Calibri" w:hAnsi="Arial" w:cs="Arial"/>
                <w:sz w:val="20"/>
                <w:szCs w:val="20"/>
              </w:rPr>
            </w:pPr>
            <w:r w:rsidRPr="00807837">
              <w:rPr>
                <w:rFonts w:ascii="Arial" w:eastAsia="Calibri" w:hAnsi="Arial" w:cs="Arial"/>
                <w:sz w:val="20"/>
                <w:szCs w:val="20"/>
              </w:rPr>
              <w:t>Programme 2</w:t>
            </w:r>
          </w:p>
        </w:tc>
        <w:tc>
          <w:tcPr>
            <w:tcW w:w="2552" w:type="dxa"/>
          </w:tcPr>
          <w:p w:rsidR="00843856" w:rsidRPr="00807837" w:rsidRDefault="00843856" w:rsidP="00807837">
            <w:pPr>
              <w:rPr>
                <w:rFonts w:ascii="Arial" w:eastAsia="Calibri" w:hAnsi="Arial" w:cs="Arial"/>
                <w:sz w:val="20"/>
                <w:szCs w:val="20"/>
              </w:rPr>
            </w:pPr>
            <w:r w:rsidRPr="00807837">
              <w:rPr>
                <w:rFonts w:ascii="Arial" w:eastAsia="Calibri" w:hAnsi="Arial" w:cs="Arial"/>
                <w:sz w:val="20"/>
                <w:szCs w:val="20"/>
              </w:rPr>
              <w:t>Tourism Research, Policy and Internal Relations</w:t>
            </w:r>
          </w:p>
        </w:tc>
        <w:tc>
          <w:tcPr>
            <w:tcW w:w="4626" w:type="dxa"/>
          </w:tcPr>
          <w:p w:rsidR="00843856" w:rsidRPr="00807837" w:rsidRDefault="00843856" w:rsidP="00807837">
            <w:pPr>
              <w:rPr>
                <w:rFonts w:ascii="Arial" w:eastAsia="Calibri" w:hAnsi="Arial" w:cs="Arial"/>
                <w:sz w:val="20"/>
                <w:szCs w:val="20"/>
              </w:rPr>
            </w:pPr>
            <w:r w:rsidRPr="00807837">
              <w:rPr>
                <w:rFonts w:ascii="Arial" w:eastAsia="Calibri" w:hAnsi="Arial" w:cs="Arial"/>
                <w:sz w:val="20"/>
                <w:szCs w:val="20"/>
              </w:rPr>
              <w:t xml:space="preserve">To enhance </w:t>
            </w:r>
            <w:r w:rsidR="00241624" w:rsidRPr="00807837">
              <w:rPr>
                <w:rFonts w:ascii="Arial" w:eastAsia="Calibri" w:hAnsi="Arial" w:cs="Arial"/>
                <w:sz w:val="20"/>
                <w:szCs w:val="20"/>
              </w:rPr>
              <w:t xml:space="preserve">a </w:t>
            </w:r>
            <w:r w:rsidRPr="00807837">
              <w:rPr>
                <w:rFonts w:ascii="Arial" w:eastAsia="Calibri" w:hAnsi="Arial" w:cs="Arial"/>
                <w:sz w:val="20"/>
                <w:szCs w:val="20"/>
              </w:rPr>
              <w:t>strategic policy environment, monitor the tourism sector’s performance and enable stakeholder relations.  The related strategic outcome-oriented goal is to achieve good corporate and cooperative governance</w:t>
            </w:r>
          </w:p>
        </w:tc>
      </w:tr>
      <w:tr w:rsidR="00012F45" w:rsidRPr="00807837" w:rsidTr="00843856">
        <w:tc>
          <w:tcPr>
            <w:tcW w:w="1838" w:type="dxa"/>
          </w:tcPr>
          <w:p w:rsidR="00843856" w:rsidRPr="00807837" w:rsidRDefault="00843856" w:rsidP="00807837">
            <w:pPr>
              <w:rPr>
                <w:rFonts w:ascii="Arial" w:eastAsia="Calibri" w:hAnsi="Arial" w:cs="Arial"/>
                <w:sz w:val="20"/>
                <w:szCs w:val="20"/>
              </w:rPr>
            </w:pPr>
            <w:r w:rsidRPr="00807837">
              <w:rPr>
                <w:rFonts w:ascii="Arial" w:eastAsia="Calibri" w:hAnsi="Arial" w:cs="Arial"/>
                <w:sz w:val="20"/>
                <w:szCs w:val="20"/>
              </w:rPr>
              <w:t>Programme 3</w:t>
            </w:r>
          </w:p>
        </w:tc>
        <w:tc>
          <w:tcPr>
            <w:tcW w:w="2552" w:type="dxa"/>
          </w:tcPr>
          <w:p w:rsidR="00843856" w:rsidRPr="00807837" w:rsidRDefault="00843856" w:rsidP="00807837">
            <w:pPr>
              <w:rPr>
                <w:rFonts w:ascii="Arial" w:eastAsia="Calibri" w:hAnsi="Arial" w:cs="Arial"/>
                <w:sz w:val="20"/>
                <w:szCs w:val="20"/>
              </w:rPr>
            </w:pPr>
            <w:r w:rsidRPr="00807837">
              <w:rPr>
                <w:rFonts w:ascii="Arial" w:eastAsia="Calibri" w:hAnsi="Arial" w:cs="Arial"/>
                <w:sz w:val="20"/>
                <w:szCs w:val="20"/>
              </w:rPr>
              <w:t>Destination Development</w:t>
            </w:r>
          </w:p>
        </w:tc>
        <w:tc>
          <w:tcPr>
            <w:tcW w:w="4626" w:type="dxa"/>
          </w:tcPr>
          <w:p w:rsidR="00843856" w:rsidRPr="00807837" w:rsidRDefault="00843856" w:rsidP="00807837">
            <w:pPr>
              <w:rPr>
                <w:rFonts w:ascii="Arial" w:eastAsia="Calibri" w:hAnsi="Arial" w:cs="Arial"/>
                <w:sz w:val="20"/>
                <w:szCs w:val="20"/>
              </w:rPr>
            </w:pPr>
            <w:r w:rsidRPr="00807837">
              <w:rPr>
                <w:rFonts w:ascii="Arial" w:eastAsia="Calibri" w:hAnsi="Arial" w:cs="Arial"/>
                <w:sz w:val="20"/>
                <w:szCs w:val="20"/>
              </w:rPr>
              <w:t>To facilitate and co-ordinate destination development. The strategic outcome-oriented goal is to increase the tourism sector’s contribution to inclusive economic growth.</w:t>
            </w:r>
          </w:p>
        </w:tc>
      </w:tr>
      <w:tr w:rsidR="00012F45" w:rsidRPr="00807837" w:rsidTr="00843856">
        <w:tc>
          <w:tcPr>
            <w:tcW w:w="1838" w:type="dxa"/>
          </w:tcPr>
          <w:p w:rsidR="00843856" w:rsidRPr="00807837" w:rsidRDefault="00843856" w:rsidP="00807837">
            <w:pPr>
              <w:rPr>
                <w:rFonts w:ascii="Arial" w:eastAsia="Calibri" w:hAnsi="Arial" w:cs="Arial"/>
                <w:sz w:val="20"/>
                <w:szCs w:val="20"/>
              </w:rPr>
            </w:pPr>
            <w:r w:rsidRPr="00807837">
              <w:rPr>
                <w:rFonts w:ascii="Arial" w:eastAsia="Calibri" w:hAnsi="Arial" w:cs="Arial"/>
                <w:sz w:val="20"/>
                <w:szCs w:val="20"/>
              </w:rPr>
              <w:t>Programme 4</w:t>
            </w:r>
          </w:p>
        </w:tc>
        <w:tc>
          <w:tcPr>
            <w:tcW w:w="2552" w:type="dxa"/>
          </w:tcPr>
          <w:p w:rsidR="00843856" w:rsidRPr="00807837" w:rsidRDefault="00843856" w:rsidP="00807837">
            <w:pPr>
              <w:rPr>
                <w:rFonts w:ascii="Arial" w:eastAsia="Calibri" w:hAnsi="Arial" w:cs="Arial"/>
                <w:sz w:val="20"/>
                <w:szCs w:val="20"/>
              </w:rPr>
            </w:pPr>
            <w:r w:rsidRPr="00807837">
              <w:rPr>
                <w:rFonts w:ascii="Arial" w:eastAsia="Calibri" w:hAnsi="Arial" w:cs="Arial"/>
                <w:sz w:val="20"/>
                <w:szCs w:val="20"/>
              </w:rPr>
              <w:t>Tourism Sector Support Services</w:t>
            </w:r>
          </w:p>
        </w:tc>
        <w:tc>
          <w:tcPr>
            <w:tcW w:w="4626" w:type="dxa"/>
          </w:tcPr>
          <w:p w:rsidR="00843856" w:rsidRPr="00807837" w:rsidRDefault="00843856" w:rsidP="00807837">
            <w:pPr>
              <w:rPr>
                <w:rFonts w:ascii="Arial" w:eastAsia="Calibri" w:hAnsi="Arial" w:cs="Arial"/>
                <w:sz w:val="20"/>
                <w:szCs w:val="20"/>
              </w:rPr>
            </w:pPr>
            <w:r w:rsidRPr="00807837">
              <w:rPr>
                <w:rFonts w:ascii="Arial" w:eastAsia="Calibri" w:hAnsi="Arial" w:cs="Arial"/>
                <w:sz w:val="20"/>
                <w:szCs w:val="20"/>
              </w:rPr>
              <w:t>To enhance transformation of the sector, increase skills levels and support its development</w:t>
            </w:r>
            <w:r w:rsidR="00241624" w:rsidRPr="00807837">
              <w:rPr>
                <w:rFonts w:ascii="Arial" w:eastAsia="Calibri" w:hAnsi="Arial" w:cs="Arial"/>
                <w:sz w:val="20"/>
                <w:szCs w:val="20"/>
              </w:rPr>
              <w:t xml:space="preserve"> and</w:t>
            </w:r>
            <w:r w:rsidRPr="00807837">
              <w:rPr>
                <w:rFonts w:ascii="Arial" w:eastAsia="Calibri" w:hAnsi="Arial" w:cs="Arial"/>
                <w:sz w:val="20"/>
                <w:szCs w:val="20"/>
              </w:rPr>
              <w:t xml:space="preserve"> to ensure that South Africa is a competitive tourism destination. The strategic outcome-oriented goal is to increase the tourism sector’s contribution to inclusive economic growth.</w:t>
            </w:r>
          </w:p>
        </w:tc>
      </w:tr>
    </w:tbl>
    <w:p w:rsidR="00843856" w:rsidRPr="00807837" w:rsidRDefault="00CD5057" w:rsidP="00807837">
      <w:pPr>
        <w:spacing w:after="0" w:line="240" w:lineRule="auto"/>
        <w:rPr>
          <w:rFonts w:ascii="Arial" w:eastAsia="Calibri" w:hAnsi="Arial" w:cs="Arial"/>
          <w:sz w:val="20"/>
          <w:szCs w:val="20"/>
        </w:rPr>
      </w:pPr>
      <w:r w:rsidRPr="00807837">
        <w:rPr>
          <w:rFonts w:ascii="Arial" w:eastAsia="Calibri" w:hAnsi="Arial" w:cs="Arial"/>
          <w:b/>
          <w:sz w:val="20"/>
          <w:szCs w:val="20"/>
        </w:rPr>
        <w:t>Source:</w:t>
      </w:r>
      <w:r w:rsidRPr="00807837">
        <w:rPr>
          <w:rFonts w:ascii="Arial" w:eastAsia="Calibri" w:hAnsi="Arial" w:cs="Arial"/>
          <w:sz w:val="20"/>
          <w:szCs w:val="20"/>
        </w:rPr>
        <w:t xml:space="preserve"> Adapted fro</w:t>
      </w:r>
      <w:r w:rsidR="00012F45" w:rsidRPr="00807837">
        <w:rPr>
          <w:rFonts w:ascii="Arial" w:eastAsia="Calibri" w:hAnsi="Arial" w:cs="Arial"/>
          <w:sz w:val="20"/>
          <w:szCs w:val="20"/>
        </w:rPr>
        <w:t>m the Department of Tourism 202</w:t>
      </w:r>
      <w:r w:rsidR="00BA739F" w:rsidRPr="00807837">
        <w:rPr>
          <w:rFonts w:ascii="Arial" w:eastAsia="Calibri" w:hAnsi="Arial" w:cs="Arial"/>
          <w:sz w:val="20"/>
          <w:szCs w:val="20"/>
        </w:rPr>
        <w:t>1</w:t>
      </w:r>
      <w:r w:rsidRPr="00807837">
        <w:rPr>
          <w:rFonts w:ascii="Arial" w:eastAsia="Calibri" w:hAnsi="Arial" w:cs="Arial"/>
          <w:sz w:val="20"/>
          <w:szCs w:val="20"/>
        </w:rPr>
        <w:t>/2</w:t>
      </w:r>
      <w:r w:rsidR="00BA739F" w:rsidRPr="00807837">
        <w:rPr>
          <w:rFonts w:ascii="Arial" w:eastAsia="Calibri" w:hAnsi="Arial" w:cs="Arial"/>
          <w:sz w:val="20"/>
          <w:szCs w:val="20"/>
        </w:rPr>
        <w:t>2</w:t>
      </w:r>
      <w:r w:rsidRPr="00807837">
        <w:rPr>
          <w:rFonts w:ascii="Arial" w:eastAsia="Calibri" w:hAnsi="Arial" w:cs="Arial"/>
          <w:sz w:val="20"/>
          <w:szCs w:val="20"/>
        </w:rPr>
        <w:t xml:space="preserve"> Annual Performance Plan</w:t>
      </w:r>
    </w:p>
    <w:p w:rsidR="00153E59" w:rsidRPr="00807837" w:rsidRDefault="00153E59" w:rsidP="00807837">
      <w:pPr>
        <w:spacing w:after="0" w:line="240" w:lineRule="auto"/>
        <w:rPr>
          <w:rFonts w:ascii="Arial" w:eastAsia="Calibri" w:hAnsi="Arial" w:cs="Arial"/>
          <w:sz w:val="20"/>
          <w:szCs w:val="20"/>
        </w:rPr>
      </w:pPr>
    </w:p>
    <w:p w:rsidR="00153E59" w:rsidRPr="00807837" w:rsidRDefault="00153E59" w:rsidP="00807837">
      <w:pPr>
        <w:numPr>
          <w:ilvl w:val="1"/>
          <w:numId w:val="6"/>
        </w:numPr>
        <w:spacing w:after="0" w:line="240" w:lineRule="auto"/>
        <w:ind w:left="567" w:hanging="567"/>
        <w:contextualSpacing/>
        <w:rPr>
          <w:rFonts w:ascii="Arial" w:eastAsia="Calibri" w:hAnsi="Arial" w:cs="Arial"/>
          <w:b/>
          <w:sz w:val="20"/>
          <w:szCs w:val="20"/>
        </w:rPr>
      </w:pPr>
      <w:r w:rsidRPr="00807837">
        <w:rPr>
          <w:rFonts w:ascii="Arial" w:eastAsia="Calibri" w:hAnsi="Arial" w:cs="Arial"/>
          <w:b/>
          <w:sz w:val="20"/>
          <w:szCs w:val="20"/>
        </w:rPr>
        <w:t>Overview of key developments in the organisational and service delivery environ</w:t>
      </w:r>
      <w:r w:rsidR="00BA61E0" w:rsidRPr="00807837">
        <w:rPr>
          <w:rFonts w:ascii="Arial" w:eastAsia="Calibri" w:hAnsi="Arial" w:cs="Arial"/>
          <w:b/>
          <w:sz w:val="20"/>
          <w:szCs w:val="20"/>
        </w:rPr>
        <w:t>ments of the Department for 202</w:t>
      </w:r>
      <w:r w:rsidR="00BA739F" w:rsidRPr="00807837">
        <w:rPr>
          <w:rFonts w:ascii="Arial" w:eastAsia="Calibri" w:hAnsi="Arial" w:cs="Arial"/>
          <w:b/>
          <w:sz w:val="20"/>
          <w:szCs w:val="20"/>
        </w:rPr>
        <w:t>1</w:t>
      </w:r>
      <w:r w:rsidR="007218A5" w:rsidRPr="00807837">
        <w:rPr>
          <w:rFonts w:ascii="Arial" w:eastAsia="Calibri" w:hAnsi="Arial" w:cs="Arial"/>
          <w:b/>
          <w:sz w:val="20"/>
          <w:szCs w:val="20"/>
        </w:rPr>
        <w:t>/2</w:t>
      </w:r>
      <w:r w:rsidR="00BA739F" w:rsidRPr="00807837">
        <w:rPr>
          <w:rFonts w:ascii="Arial" w:eastAsia="Calibri" w:hAnsi="Arial" w:cs="Arial"/>
          <w:b/>
          <w:sz w:val="20"/>
          <w:szCs w:val="20"/>
        </w:rPr>
        <w:t>2</w:t>
      </w:r>
      <w:r w:rsidR="00BA61E0" w:rsidRPr="00807837">
        <w:rPr>
          <w:rFonts w:ascii="Arial" w:eastAsia="Calibri" w:hAnsi="Arial" w:cs="Arial"/>
          <w:b/>
          <w:sz w:val="20"/>
          <w:szCs w:val="20"/>
        </w:rPr>
        <w:t xml:space="preserve"> and 202</w:t>
      </w:r>
      <w:r w:rsidR="00BA739F" w:rsidRPr="00807837">
        <w:rPr>
          <w:rFonts w:ascii="Arial" w:eastAsia="Calibri" w:hAnsi="Arial" w:cs="Arial"/>
          <w:b/>
          <w:sz w:val="20"/>
          <w:szCs w:val="20"/>
        </w:rPr>
        <w:t>2</w:t>
      </w:r>
      <w:r w:rsidRPr="00807837">
        <w:rPr>
          <w:rFonts w:ascii="Arial" w:eastAsia="Calibri" w:hAnsi="Arial" w:cs="Arial"/>
          <w:b/>
          <w:sz w:val="20"/>
          <w:szCs w:val="20"/>
        </w:rPr>
        <w:t>/2</w:t>
      </w:r>
      <w:r w:rsidR="00BA739F" w:rsidRPr="00807837">
        <w:rPr>
          <w:rFonts w:ascii="Arial" w:eastAsia="Calibri" w:hAnsi="Arial" w:cs="Arial"/>
          <w:b/>
          <w:sz w:val="20"/>
          <w:szCs w:val="20"/>
        </w:rPr>
        <w:t>3</w:t>
      </w:r>
      <w:r w:rsidRPr="00807837">
        <w:rPr>
          <w:rFonts w:ascii="Arial" w:eastAsia="Calibri" w:hAnsi="Arial" w:cs="Arial"/>
          <w:b/>
          <w:sz w:val="20"/>
          <w:szCs w:val="20"/>
        </w:rPr>
        <w:t xml:space="preserve"> MTEF cycle.</w:t>
      </w:r>
    </w:p>
    <w:p w:rsidR="00153E59" w:rsidRPr="00807837" w:rsidRDefault="00153E59" w:rsidP="00807837">
      <w:pPr>
        <w:spacing w:after="0" w:line="240" w:lineRule="auto"/>
        <w:rPr>
          <w:rFonts w:ascii="Arial" w:eastAsia="Calibri" w:hAnsi="Arial" w:cs="Arial"/>
          <w:sz w:val="20"/>
          <w:szCs w:val="20"/>
        </w:rPr>
      </w:pPr>
    </w:p>
    <w:p w:rsidR="00BA61E0" w:rsidRPr="00807837" w:rsidRDefault="00BA739F" w:rsidP="00807837">
      <w:pPr>
        <w:spacing w:after="0" w:line="240" w:lineRule="auto"/>
        <w:rPr>
          <w:rFonts w:ascii="Arial" w:eastAsia="Calibri" w:hAnsi="Arial" w:cs="Arial"/>
          <w:sz w:val="20"/>
          <w:szCs w:val="20"/>
        </w:rPr>
      </w:pPr>
      <w:r w:rsidRPr="00807837">
        <w:rPr>
          <w:rFonts w:ascii="Arial" w:eastAsia="Calibri" w:hAnsi="Arial" w:cs="Arial"/>
          <w:sz w:val="20"/>
          <w:szCs w:val="20"/>
        </w:rPr>
        <w:t xml:space="preserve">The significant developments in the period under review include, but are not </w:t>
      </w:r>
      <w:r w:rsidR="004659D9" w:rsidRPr="00807837">
        <w:rPr>
          <w:rFonts w:ascii="Arial" w:eastAsia="Calibri" w:hAnsi="Arial" w:cs="Arial"/>
          <w:sz w:val="20"/>
          <w:szCs w:val="20"/>
        </w:rPr>
        <w:t>limited</w:t>
      </w:r>
      <w:r w:rsidRPr="00807837">
        <w:rPr>
          <w:rFonts w:ascii="Arial" w:eastAsia="Calibri" w:hAnsi="Arial" w:cs="Arial"/>
          <w:sz w:val="20"/>
          <w:szCs w:val="20"/>
        </w:rPr>
        <w:t xml:space="preserve"> to</w:t>
      </w:r>
      <w:r w:rsidR="001560BF" w:rsidRPr="00807837">
        <w:rPr>
          <w:rFonts w:ascii="Arial" w:eastAsia="Calibri" w:hAnsi="Arial" w:cs="Arial"/>
          <w:sz w:val="20"/>
          <w:szCs w:val="20"/>
        </w:rPr>
        <w:t>:</w:t>
      </w:r>
      <w:r w:rsidRPr="00807837">
        <w:rPr>
          <w:rFonts w:ascii="Arial" w:eastAsia="Calibri" w:hAnsi="Arial" w:cs="Arial"/>
          <w:sz w:val="20"/>
          <w:szCs w:val="20"/>
        </w:rPr>
        <w:br/>
      </w:r>
    </w:p>
    <w:p w:rsidR="00BA739F" w:rsidRPr="00807837" w:rsidRDefault="00BA739F" w:rsidP="00807837">
      <w:pPr>
        <w:pStyle w:val="ListParagraph"/>
        <w:numPr>
          <w:ilvl w:val="0"/>
          <w:numId w:val="20"/>
        </w:numPr>
        <w:spacing w:after="0" w:line="240" w:lineRule="auto"/>
        <w:rPr>
          <w:rFonts w:ascii="Arial" w:eastAsia="Calibri" w:hAnsi="Arial" w:cs="Arial"/>
          <w:sz w:val="20"/>
          <w:szCs w:val="20"/>
        </w:rPr>
      </w:pPr>
      <w:r w:rsidRPr="00807837">
        <w:rPr>
          <w:rFonts w:ascii="Arial" w:eastAsia="Calibri" w:hAnsi="Arial" w:cs="Arial"/>
          <w:sz w:val="20"/>
          <w:szCs w:val="20"/>
        </w:rPr>
        <w:t>The election of South Africa to the UNWTO Executive Council in November 2021 has positioned the country in the global system of tourism governance to enhance international response to the needs of South Africa and developing countries.</w:t>
      </w:r>
    </w:p>
    <w:p w:rsidR="00BA739F" w:rsidRPr="00807837" w:rsidRDefault="00BA739F" w:rsidP="00807837">
      <w:pPr>
        <w:pStyle w:val="ListParagraph"/>
        <w:numPr>
          <w:ilvl w:val="0"/>
          <w:numId w:val="20"/>
        </w:numPr>
        <w:spacing w:after="0" w:line="240" w:lineRule="auto"/>
        <w:rPr>
          <w:rFonts w:ascii="Arial" w:eastAsia="Calibri" w:hAnsi="Arial" w:cs="Arial"/>
          <w:sz w:val="20"/>
          <w:szCs w:val="20"/>
        </w:rPr>
      </w:pPr>
      <w:r w:rsidRPr="00807837">
        <w:rPr>
          <w:rFonts w:ascii="Arial" w:eastAsia="Calibri" w:hAnsi="Arial" w:cs="Arial"/>
          <w:sz w:val="20"/>
          <w:szCs w:val="20"/>
        </w:rPr>
        <w:t>The Department held four successful O</w:t>
      </w:r>
      <w:r w:rsidR="001560BF" w:rsidRPr="00807837">
        <w:rPr>
          <w:rFonts w:ascii="Arial" w:eastAsia="Calibri" w:hAnsi="Arial" w:cs="Arial"/>
          <w:sz w:val="20"/>
          <w:szCs w:val="20"/>
        </w:rPr>
        <w:t>utreach Programmes targeting the country’s</w:t>
      </w:r>
      <w:r w:rsidRPr="00807837">
        <w:rPr>
          <w:rFonts w:ascii="Arial" w:eastAsia="Calibri" w:hAnsi="Arial" w:cs="Arial"/>
          <w:sz w:val="20"/>
          <w:szCs w:val="20"/>
        </w:rPr>
        <w:t xml:space="preserve"> Diplomatic representatives in the Americas and Europe, Asia and Australasia, </w:t>
      </w:r>
      <w:r w:rsidR="00231AB0" w:rsidRPr="00807837">
        <w:rPr>
          <w:rFonts w:ascii="Arial" w:eastAsia="Calibri" w:hAnsi="Arial" w:cs="Arial"/>
          <w:sz w:val="20"/>
          <w:szCs w:val="20"/>
        </w:rPr>
        <w:t xml:space="preserve">the </w:t>
      </w:r>
      <w:r w:rsidRPr="00807837">
        <w:rPr>
          <w:rFonts w:ascii="Arial" w:eastAsia="Calibri" w:hAnsi="Arial" w:cs="Arial"/>
          <w:sz w:val="20"/>
          <w:szCs w:val="20"/>
        </w:rPr>
        <w:t>Middle East and the Southern African Development Community. The purpose of the Outreach Programme to the Diplomatic Community was to empower South African Ambassadors and Diplomats with key information, which they used, to keep South Africa off the “Red List.”</w:t>
      </w:r>
    </w:p>
    <w:p w:rsidR="00BA739F" w:rsidRPr="00807837" w:rsidRDefault="00BA739F" w:rsidP="00807837">
      <w:pPr>
        <w:pStyle w:val="ListParagraph"/>
        <w:spacing w:after="0" w:line="240" w:lineRule="auto"/>
        <w:rPr>
          <w:rFonts w:ascii="Arial" w:eastAsia="Calibri" w:hAnsi="Arial" w:cs="Arial"/>
          <w:sz w:val="20"/>
          <w:szCs w:val="20"/>
        </w:rPr>
      </w:pPr>
    </w:p>
    <w:p w:rsidR="00BA739F" w:rsidRPr="00807837" w:rsidRDefault="00BA739F" w:rsidP="00807837">
      <w:pPr>
        <w:pStyle w:val="ListParagraph"/>
        <w:numPr>
          <w:ilvl w:val="0"/>
          <w:numId w:val="20"/>
        </w:numPr>
        <w:spacing w:after="0" w:line="240" w:lineRule="auto"/>
        <w:rPr>
          <w:rFonts w:ascii="Arial" w:eastAsia="Calibri" w:hAnsi="Arial" w:cs="Arial"/>
          <w:sz w:val="20"/>
          <w:szCs w:val="20"/>
        </w:rPr>
      </w:pPr>
      <w:r w:rsidRPr="00807837">
        <w:rPr>
          <w:rFonts w:ascii="Arial" w:eastAsia="Calibri" w:hAnsi="Arial" w:cs="Arial"/>
          <w:sz w:val="20"/>
          <w:szCs w:val="20"/>
        </w:rPr>
        <w:t xml:space="preserve">The Global Advocacy Programme was launched to ramp up advocacy efforts in key source markets around the world. This advocacy programme forms part of the Tourism Sector Recovery Plan. The Global Advocacy Programme was initiated by </w:t>
      </w:r>
      <w:r w:rsidR="004659D9" w:rsidRPr="00807837">
        <w:rPr>
          <w:rFonts w:ascii="Arial" w:eastAsia="Calibri" w:hAnsi="Arial" w:cs="Arial"/>
          <w:sz w:val="20"/>
          <w:szCs w:val="20"/>
        </w:rPr>
        <w:t>the Department</w:t>
      </w:r>
      <w:r w:rsidRPr="00807837">
        <w:rPr>
          <w:rFonts w:ascii="Arial" w:eastAsia="Calibri" w:hAnsi="Arial" w:cs="Arial"/>
          <w:sz w:val="20"/>
          <w:szCs w:val="20"/>
        </w:rPr>
        <w:t>, SA Tourism and the Tourism Business Council of South Africa (TBCSA), following protracted damaging narratives and misinformation reported globally about South Africa.</w:t>
      </w:r>
    </w:p>
    <w:p w:rsidR="00BA739F" w:rsidRPr="00807837" w:rsidRDefault="00E85983" w:rsidP="00807837">
      <w:pPr>
        <w:pStyle w:val="ListParagraph"/>
        <w:spacing w:after="0" w:line="240" w:lineRule="auto"/>
        <w:rPr>
          <w:rFonts w:ascii="Arial" w:eastAsia="Calibri" w:hAnsi="Arial" w:cs="Arial"/>
          <w:sz w:val="20"/>
          <w:szCs w:val="20"/>
        </w:rPr>
      </w:pPr>
      <w:r w:rsidRPr="00807837">
        <w:rPr>
          <w:rFonts w:ascii="Arial" w:eastAsia="Calibri" w:hAnsi="Arial" w:cs="Arial"/>
          <w:sz w:val="20"/>
          <w:szCs w:val="20"/>
        </w:rPr>
        <w:t xml:space="preserve"> </w:t>
      </w:r>
    </w:p>
    <w:p w:rsidR="00E85983" w:rsidRPr="00807837" w:rsidRDefault="00BA739F" w:rsidP="00807837">
      <w:pPr>
        <w:pStyle w:val="ListParagraph"/>
        <w:numPr>
          <w:ilvl w:val="0"/>
          <w:numId w:val="20"/>
        </w:numPr>
        <w:spacing w:after="0" w:line="240" w:lineRule="auto"/>
        <w:rPr>
          <w:rFonts w:ascii="Arial" w:eastAsia="Calibri" w:hAnsi="Arial" w:cs="Arial"/>
          <w:sz w:val="20"/>
          <w:szCs w:val="20"/>
        </w:rPr>
      </w:pPr>
      <w:r w:rsidRPr="00807837">
        <w:rPr>
          <w:rFonts w:ascii="Arial" w:eastAsia="Calibri" w:hAnsi="Arial" w:cs="Arial"/>
          <w:sz w:val="20"/>
          <w:szCs w:val="20"/>
        </w:rPr>
        <w:t>Domestic travel contributed positively to demand in the COVID-19 period, driven by campai</w:t>
      </w:r>
      <w:r w:rsidR="001560BF" w:rsidRPr="00807837">
        <w:rPr>
          <w:rFonts w:ascii="Arial" w:eastAsia="Calibri" w:hAnsi="Arial" w:cs="Arial"/>
          <w:sz w:val="20"/>
          <w:szCs w:val="20"/>
        </w:rPr>
        <w:t>gns and pricing targeted for the</w:t>
      </w:r>
      <w:r w:rsidRPr="00807837">
        <w:rPr>
          <w:rFonts w:ascii="Arial" w:eastAsia="Calibri" w:hAnsi="Arial" w:cs="Arial"/>
          <w:sz w:val="20"/>
          <w:szCs w:val="20"/>
        </w:rPr>
        <w:t xml:space="preserve"> domestic market and through this exposure propelled the market to diversify its offerings.</w:t>
      </w:r>
    </w:p>
    <w:p w:rsidR="001560BF" w:rsidRPr="00807837" w:rsidRDefault="001560BF" w:rsidP="00807837">
      <w:pPr>
        <w:pStyle w:val="ListParagraph"/>
        <w:spacing w:after="0" w:line="240" w:lineRule="auto"/>
        <w:rPr>
          <w:rFonts w:ascii="Arial" w:eastAsia="Calibri" w:hAnsi="Arial" w:cs="Arial"/>
          <w:sz w:val="20"/>
          <w:szCs w:val="20"/>
        </w:rPr>
      </w:pPr>
    </w:p>
    <w:p w:rsidR="00BA739F" w:rsidRPr="00807837" w:rsidRDefault="001560BF" w:rsidP="00807837">
      <w:pPr>
        <w:pStyle w:val="ListParagraph"/>
        <w:numPr>
          <w:ilvl w:val="0"/>
          <w:numId w:val="20"/>
        </w:numPr>
        <w:spacing w:after="0" w:line="240" w:lineRule="auto"/>
        <w:rPr>
          <w:rFonts w:ascii="Arial" w:eastAsia="Calibri" w:hAnsi="Arial" w:cs="Arial"/>
          <w:sz w:val="20"/>
          <w:szCs w:val="20"/>
        </w:rPr>
      </w:pPr>
      <w:r w:rsidRPr="00807837">
        <w:rPr>
          <w:rFonts w:ascii="Arial" w:eastAsia="Calibri" w:hAnsi="Arial" w:cs="Arial"/>
          <w:sz w:val="20"/>
          <w:szCs w:val="20"/>
        </w:rPr>
        <w:t>The Safe Travels Campaign during the 2021 festive period encouraged travellers to #Jab4Tourism and featured tourism products from across the country which supported safe travels</w:t>
      </w:r>
    </w:p>
    <w:p w:rsidR="003B529F" w:rsidRPr="00807837" w:rsidRDefault="003B529F" w:rsidP="00807837">
      <w:pPr>
        <w:spacing w:after="0" w:line="240" w:lineRule="auto"/>
        <w:rPr>
          <w:rFonts w:ascii="Arial" w:eastAsia="Calibri" w:hAnsi="Arial" w:cs="Arial"/>
          <w:sz w:val="20"/>
          <w:szCs w:val="20"/>
        </w:rPr>
      </w:pPr>
    </w:p>
    <w:p w:rsidR="0026733C" w:rsidRPr="00807837" w:rsidRDefault="0026733C" w:rsidP="00807837">
      <w:pPr>
        <w:numPr>
          <w:ilvl w:val="0"/>
          <w:numId w:val="8"/>
        </w:numPr>
        <w:spacing w:after="0" w:line="240" w:lineRule="auto"/>
        <w:ind w:left="567" w:hanging="567"/>
        <w:contextualSpacing/>
        <w:rPr>
          <w:rFonts w:ascii="Arial" w:eastAsia="Calibri" w:hAnsi="Arial" w:cs="Arial"/>
          <w:b/>
          <w:caps/>
          <w:sz w:val="20"/>
          <w:szCs w:val="20"/>
        </w:rPr>
      </w:pPr>
      <w:r w:rsidRPr="00807837">
        <w:rPr>
          <w:rFonts w:ascii="Arial" w:eastAsia="Calibri" w:hAnsi="Arial" w:cs="Arial"/>
          <w:b/>
          <w:caps/>
          <w:sz w:val="20"/>
          <w:szCs w:val="20"/>
        </w:rPr>
        <w:lastRenderedPageBreak/>
        <w:t xml:space="preserve">Summary of previous year key financial and </w:t>
      </w:r>
      <w:r w:rsidR="00901ACB" w:rsidRPr="00807837">
        <w:rPr>
          <w:rFonts w:ascii="Arial" w:eastAsia="Calibri" w:hAnsi="Arial" w:cs="Arial"/>
          <w:b/>
          <w:caps/>
          <w:sz w:val="20"/>
          <w:szCs w:val="20"/>
        </w:rPr>
        <w:t xml:space="preserve">NON-financial </w:t>
      </w:r>
      <w:r w:rsidRPr="00807837">
        <w:rPr>
          <w:rFonts w:ascii="Arial" w:eastAsia="Calibri" w:hAnsi="Arial" w:cs="Arial"/>
          <w:b/>
          <w:caps/>
          <w:sz w:val="20"/>
          <w:szCs w:val="20"/>
        </w:rPr>
        <w:t xml:space="preserve">performance recommendations of the Committee </w:t>
      </w:r>
    </w:p>
    <w:p w:rsidR="0026733C" w:rsidRPr="00807837" w:rsidRDefault="0026733C" w:rsidP="00807837">
      <w:pPr>
        <w:spacing w:after="0" w:line="240" w:lineRule="auto"/>
        <w:ind w:left="567"/>
        <w:contextualSpacing/>
        <w:rPr>
          <w:rFonts w:ascii="Arial" w:eastAsia="Calibri" w:hAnsi="Arial" w:cs="Arial"/>
          <w:b/>
          <w:caps/>
          <w:sz w:val="20"/>
          <w:szCs w:val="20"/>
        </w:rPr>
      </w:pPr>
    </w:p>
    <w:p w:rsidR="0026733C" w:rsidRPr="00807837" w:rsidRDefault="0026733C" w:rsidP="00807837">
      <w:pPr>
        <w:pStyle w:val="ListParagraph"/>
        <w:numPr>
          <w:ilvl w:val="1"/>
          <w:numId w:val="9"/>
        </w:numPr>
        <w:spacing w:after="0" w:line="240" w:lineRule="auto"/>
        <w:rPr>
          <w:rFonts w:ascii="Arial" w:eastAsia="Times New Roman" w:hAnsi="Arial" w:cs="Arial"/>
          <w:b/>
          <w:sz w:val="20"/>
          <w:szCs w:val="20"/>
          <w:lang w:eastAsia="en-ZA"/>
        </w:rPr>
      </w:pPr>
      <w:r w:rsidRPr="00807837">
        <w:rPr>
          <w:rFonts w:ascii="Arial" w:eastAsia="Times New Roman" w:hAnsi="Arial" w:cs="Arial"/>
          <w:b/>
          <w:sz w:val="20"/>
          <w:szCs w:val="20"/>
          <w:lang w:eastAsia="en-ZA"/>
        </w:rPr>
        <w:t>20</w:t>
      </w:r>
      <w:r w:rsidR="001560BF" w:rsidRPr="00807837">
        <w:rPr>
          <w:rFonts w:ascii="Arial" w:eastAsia="Times New Roman" w:hAnsi="Arial" w:cs="Arial"/>
          <w:b/>
          <w:sz w:val="20"/>
          <w:szCs w:val="20"/>
          <w:lang w:eastAsia="en-ZA"/>
        </w:rPr>
        <w:t>20</w:t>
      </w:r>
      <w:r w:rsidR="00685497" w:rsidRPr="00807837">
        <w:rPr>
          <w:rFonts w:ascii="Arial" w:eastAsia="Times New Roman" w:hAnsi="Arial" w:cs="Arial"/>
          <w:b/>
          <w:sz w:val="20"/>
          <w:szCs w:val="20"/>
          <w:lang w:eastAsia="en-ZA"/>
        </w:rPr>
        <w:t>/2</w:t>
      </w:r>
      <w:r w:rsidR="001560BF" w:rsidRPr="00807837">
        <w:rPr>
          <w:rFonts w:ascii="Arial" w:eastAsia="Times New Roman" w:hAnsi="Arial" w:cs="Arial"/>
          <w:b/>
          <w:sz w:val="20"/>
          <w:szCs w:val="20"/>
          <w:lang w:eastAsia="en-ZA"/>
        </w:rPr>
        <w:t>1</w:t>
      </w:r>
      <w:r w:rsidRPr="00807837">
        <w:rPr>
          <w:rFonts w:ascii="Arial" w:eastAsia="Times New Roman" w:hAnsi="Arial" w:cs="Arial"/>
          <w:b/>
          <w:sz w:val="20"/>
          <w:szCs w:val="20"/>
          <w:lang w:eastAsia="en-ZA"/>
        </w:rPr>
        <w:t xml:space="preserve"> BRRR recommendations</w:t>
      </w:r>
    </w:p>
    <w:p w:rsidR="008473E8" w:rsidRPr="00807837" w:rsidRDefault="008473E8" w:rsidP="00807837">
      <w:pPr>
        <w:pStyle w:val="ListParagraph"/>
        <w:spacing w:after="0" w:line="240" w:lineRule="auto"/>
        <w:ind w:left="480"/>
        <w:rPr>
          <w:rFonts w:ascii="Arial" w:eastAsia="Times New Roman" w:hAnsi="Arial" w:cs="Arial"/>
          <w:b/>
          <w:sz w:val="20"/>
          <w:szCs w:val="20"/>
          <w:lang w:eastAsia="en-ZA"/>
        </w:rPr>
      </w:pPr>
    </w:p>
    <w:p w:rsidR="0026733C" w:rsidRPr="00807837" w:rsidRDefault="0026733C" w:rsidP="00807837">
      <w:pPr>
        <w:numPr>
          <w:ilvl w:val="2"/>
          <w:numId w:val="9"/>
        </w:numPr>
        <w:spacing w:after="0" w:line="240" w:lineRule="auto"/>
        <w:contextualSpacing/>
        <w:rPr>
          <w:rFonts w:ascii="Arial" w:eastAsia="Times New Roman" w:hAnsi="Arial" w:cs="Arial"/>
          <w:sz w:val="20"/>
          <w:szCs w:val="20"/>
          <w:lang w:eastAsia="en-ZA"/>
        </w:rPr>
      </w:pPr>
      <w:r w:rsidRPr="00807837">
        <w:rPr>
          <w:rFonts w:ascii="Arial" w:eastAsia="Calibri" w:hAnsi="Arial" w:cs="Arial"/>
          <w:sz w:val="20"/>
          <w:szCs w:val="20"/>
        </w:rPr>
        <w:t>Summary of key financial and non-financial performance recommendations made by the Committee</w:t>
      </w:r>
      <w:r w:rsidR="00CB725E" w:rsidRPr="00807837">
        <w:rPr>
          <w:rFonts w:ascii="Arial" w:eastAsia="Calibri" w:hAnsi="Arial" w:cs="Arial"/>
          <w:sz w:val="20"/>
          <w:szCs w:val="20"/>
        </w:rPr>
        <w:t>.</w:t>
      </w:r>
    </w:p>
    <w:p w:rsidR="0026733C" w:rsidRPr="00807837" w:rsidRDefault="0026733C" w:rsidP="00807837">
      <w:pPr>
        <w:spacing w:after="0" w:line="240" w:lineRule="auto"/>
        <w:contextualSpacing/>
        <w:rPr>
          <w:rFonts w:ascii="Arial" w:eastAsia="Times New Roman" w:hAnsi="Arial" w:cs="Arial"/>
          <w:sz w:val="20"/>
          <w:szCs w:val="20"/>
          <w:lang w:eastAsia="en-ZA"/>
        </w:rPr>
      </w:pPr>
    </w:p>
    <w:p w:rsidR="00A718DF" w:rsidRPr="00807837" w:rsidRDefault="00716A9D" w:rsidP="00807837">
      <w:pPr>
        <w:spacing w:after="0" w:line="240" w:lineRule="auto"/>
        <w:ind w:right="175"/>
        <w:rPr>
          <w:rFonts w:ascii="Arial" w:hAnsi="Arial" w:cs="Arial"/>
          <w:sz w:val="20"/>
          <w:szCs w:val="20"/>
        </w:rPr>
      </w:pPr>
      <w:r w:rsidRPr="00807837">
        <w:rPr>
          <w:rFonts w:ascii="Arial" w:hAnsi="Arial" w:cs="Arial"/>
          <w:sz w:val="20"/>
          <w:szCs w:val="20"/>
        </w:rPr>
        <w:t>The</w:t>
      </w:r>
      <w:r w:rsidR="00347163" w:rsidRPr="00807837">
        <w:rPr>
          <w:rFonts w:ascii="Arial" w:hAnsi="Arial" w:cs="Arial"/>
          <w:sz w:val="20"/>
          <w:szCs w:val="20"/>
        </w:rPr>
        <w:t>re were financial and non-</w:t>
      </w:r>
      <w:r w:rsidR="004659D9" w:rsidRPr="00807837">
        <w:rPr>
          <w:rFonts w:ascii="Arial" w:hAnsi="Arial" w:cs="Arial"/>
          <w:sz w:val="20"/>
          <w:szCs w:val="20"/>
        </w:rPr>
        <w:t>financial</w:t>
      </w:r>
      <w:r w:rsidR="00347163" w:rsidRPr="00807837">
        <w:rPr>
          <w:rFonts w:ascii="Arial" w:hAnsi="Arial" w:cs="Arial"/>
          <w:sz w:val="20"/>
          <w:szCs w:val="20"/>
        </w:rPr>
        <w:t xml:space="preserve"> recommendations made in the </w:t>
      </w:r>
      <w:r w:rsidR="002204C8" w:rsidRPr="00807837">
        <w:rPr>
          <w:rFonts w:ascii="Arial" w:hAnsi="Arial" w:cs="Arial"/>
          <w:sz w:val="20"/>
          <w:szCs w:val="20"/>
        </w:rPr>
        <w:t>20</w:t>
      </w:r>
      <w:r w:rsidR="008C6E7C" w:rsidRPr="00807837">
        <w:rPr>
          <w:rFonts w:ascii="Arial" w:hAnsi="Arial" w:cs="Arial"/>
          <w:sz w:val="20"/>
          <w:szCs w:val="20"/>
        </w:rPr>
        <w:t>20</w:t>
      </w:r>
      <w:r w:rsidR="002204C8" w:rsidRPr="00807837">
        <w:rPr>
          <w:rFonts w:ascii="Arial" w:hAnsi="Arial" w:cs="Arial"/>
          <w:sz w:val="20"/>
          <w:szCs w:val="20"/>
        </w:rPr>
        <w:t>/2</w:t>
      </w:r>
      <w:r w:rsidR="008C6E7C" w:rsidRPr="00807837">
        <w:rPr>
          <w:rFonts w:ascii="Arial" w:hAnsi="Arial" w:cs="Arial"/>
          <w:sz w:val="20"/>
          <w:szCs w:val="20"/>
        </w:rPr>
        <w:t>1</w:t>
      </w:r>
      <w:r w:rsidRPr="00807837">
        <w:rPr>
          <w:rFonts w:ascii="Arial" w:hAnsi="Arial" w:cs="Arial"/>
          <w:sz w:val="20"/>
          <w:szCs w:val="20"/>
        </w:rPr>
        <w:t xml:space="preserve"> </w:t>
      </w:r>
      <w:r w:rsidR="00E610F3" w:rsidRPr="00807837">
        <w:rPr>
          <w:rFonts w:ascii="Arial" w:hAnsi="Arial" w:cs="Arial"/>
          <w:sz w:val="20"/>
          <w:szCs w:val="20"/>
        </w:rPr>
        <w:t>Budget</w:t>
      </w:r>
      <w:r w:rsidR="005E46F4" w:rsidRPr="00807837">
        <w:rPr>
          <w:rFonts w:ascii="Arial" w:hAnsi="Arial" w:cs="Arial"/>
          <w:sz w:val="20"/>
          <w:szCs w:val="20"/>
        </w:rPr>
        <w:t>ary</w:t>
      </w:r>
      <w:r w:rsidR="00E610F3" w:rsidRPr="00807837">
        <w:rPr>
          <w:rFonts w:ascii="Arial" w:hAnsi="Arial" w:cs="Arial"/>
          <w:sz w:val="20"/>
          <w:szCs w:val="20"/>
        </w:rPr>
        <w:t xml:space="preserve"> </w:t>
      </w:r>
      <w:r w:rsidRPr="00807837">
        <w:rPr>
          <w:rFonts w:ascii="Arial" w:hAnsi="Arial" w:cs="Arial"/>
          <w:sz w:val="20"/>
          <w:szCs w:val="20"/>
        </w:rPr>
        <w:t xml:space="preserve">Review and Recommendation </w:t>
      </w:r>
      <w:r w:rsidR="00E610F3" w:rsidRPr="00807837">
        <w:rPr>
          <w:rFonts w:ascii="Arial" w:hAnsi="Arial" w:cs="Arial"/>
          <w:sz w:val="20"/>
          <w:szCs w:val="20"/>
        </w:rPr>
        <w:t>R</w:t>
      </w:r>
      <w:r w:rsidRPr="00807837">
        <w:rPr>
          <w:rFonts w:ascii="Arial" w:hAnsi="Arial" w:cs="Arial"/>
          <w:sz w:val="20"/>
          <w:szCs w:val="20"/>
        </w:rPr>
        <w:t>eport</w:t>
      </w:r>
      <w:r w:rsidR="005B4049" w:rsidRPr="00807837">
        <w:rPr>
          <w:rFonts w:ascii="Arial" w:hAnsi="Arial" w:cs="Arial"/>
          <w:sz w:val="20"/>
          <w:szCs w:val="20"/>
        </w:rPr>
        <w:t xml:space="preserve"> to the Ministers of </w:t>
      </w:r>
      <w:r w:rsidR="004659D9" w:rsidRPr="00807837">
        <w:rPr>
          <w:rFonts w:ascii="Arial" w:hAnsi="Arial" w:cs="Arial"/>
          <w:sz w:val="20"/>
          <w:szCs w:val="20"/>
        </w:rPr>
        <w:t>Finance</w:t>
      </w:r>
      <w:r w:rsidR="008C6E7C" w:rsidRPr="00807837">
        <w:rPr>
          <w:rFonts w:ascii="Arial" w:hAnsi="Arial" w:cs="Arial"/>
          <w:sz w:val="20"/>
          <w:szCs w:val="20"/>
        </w:rPr>
        <w:t xml:space="preserve"> and Tourism respectively. The </w:t>
      </w:r>
      <w:r w:rsidR="005B4049" w:rsidRPr="00807837">
        <w:rPr>
          <w:rFonts w:ascii="Arial" w:hAnsi="Arial" w:cs="Arial"/>
          <w:sz w:val="20"/>
          <w:szCs w:val="20"/>
        </w:rPr>
        <w:t xml:space="preserve">summary of responses </w:t>
      </w:r>
      <w:r w:rsidR="00231AB0" w:rsidRPr="00807837">
        <w:rPr>
          <w:rFonts w:ascii="Arial" w:hAnsi="Arial" w:cs="Arial"/>
          <w:sz w:val="20"/>
          <w:szCs w:val="20"/>
        </w:rPr>
        <w:t xml:space="preserve">are </w:t>
      </w:r>
      <w:r w:rsidR="005B4049" w:rsidRPr="00807837">
        <w:rPr>
          <w:rFonts w:ascii="Arial" w:hAnsi="Arial" w:cs="Arial"/>
          <w:sz w:val="20"/>
          <w:szCs w:val="20"/>
        </w:rPr>
        <w:t>as follows:</w:t>
      </w:r>
    </w:p>
    <w:p w:rsidR="008C6E7C" w:rsidRPr="00807837" w:rsidRDefault="008C6E7C" w:rsidP="00807837">
      <w:pPr>
        <w:spacing w:after="0" w:line="240" w:lineRule="auto"/>
        <w:ind w:right="175"/>
        <w:rPr>
          <w:rFonts w:ascii="Arial" w:hAnsi="Arial" w:cs="Arial"/>
          <w:sz w:val="20"/>
          <w:szCs w:val="20"/>
        </w:rPr>
      </w:pPr>
    </w:p>
    <w:p w:rsidR="00447AC6" w:rsidRPr="00807837" w:rsidRDefault="00447AC6" w:rsidP="00807837">
      <w:pPr>
        <w:spacing w:after="0" w:line="240" w:lineRule="auto"/>
        <w:ind w:right="175"/>
        <w:rPr>
          <w:rFonts w:ascii="Arial" w:hAnsi="Arial" w:cs="Arial"/>
          <w:sz w:val="20"/>
          <w:szCs w:val="20"/>
        </w:rPr>
      </w:pPr>
    </w:p>
    <w:p w:rsidR="001E75B6" w:rsidRPr="00807837" w:rsidRDefault="002539BC" w:rsidP="00807837">
      <w:pPr>
        <w:pStyle w:val="ListParagraph"/>
        <w:numPr>
          <w:ilvl w:val="3"/>
          <w:numId w:val="10"/>
        </w:numPr>
        <w:spacing w:after="0" w:line="240" w:lineRule="auto"/>
        <w:ind w:hanging="11"/>
        <w:rPr>
          <w:rFonts w:ascii="Arial" w:hAnsi="Arial" w:cs="Arial"/>
          <w:iCs/>
          <w:sz w:val="20"/>
          <w:szCs w:val="20"/>
        </w:rPr>
      </w:pPr>
      <w:r w:rsidRPr="00807837">
        <w:rPr>
          <w:rFonts w:ascii="Arial" w:hAnsi="Arial" w:cs="Arial"/>
          <w:iCs/>
          <w:sz w:val="20"/>
          <w:szCs w:val="20"/>
        </w:rPr>
        <w:t>Responses by</w:t>
      </w:r>
      <w:r w:rsidR="001E75B6" w:rsidRPr="00807837">
        <w:rPr>
          <w:rFonts w:ascii="Arial" w:hAnsi="Arial" w:cs="Arial"/>
          <w:iCs/>
          <w:sz w:val="20"/>
          <w:szCs w:val="20"/>
        </w:rPr>
        <w:t xml:space="preserve"> the Minister of Finance</w:t>
      </w:r>
    </w:p>
    <w:p w:rsidR="002539BC" w:rsidRPr="00807837" w:rsidRDefault="002539BC" w:rsidP="00807837">
      <w:pPr>
        <w:pStyle w:val="ListParagraph"/>
        <w:spacing w:after="0" w:line="240" w:lineRule="auto"/>
        <w:rPr>
          <w:rFonts w:ascii="Arial" w:hAnsi="Arial" w:cs="Arial"/>
          <w:iCs/>
          <w:sz w:val="20"/>
          <w:szCs w:val="20"/>
        </w:rPr>
      </w:pPr>
    </w:p>
    <w:p w:rsidR="008C74E3" w:rsidRPr="00807837" w:rsidRDefault="008C6E7C" w:rsidP="00807837">
      <w:pPr>
        <w:spacing w:after="0" w:line="240" w:lineRule="auto"/>
        <w:ind w:left="720"/>
        <w:rPr>
          <w:rFonts w:ascii="Arial" w:hAnsi="Arial" w:cs="Arial"/>
          <w:iCs/>
          <w:sz w:val="20"/>
          <w:szCs w:val="20"/>
        </w:rPr>
      </w:pPr>
      <w:r w:rsidRPr="00807837">
        <w:rPr>
          <w:rFonts w:ascii="Arial" w:hAnsi="Arial" w:cs="Arial"/>
          <w:iCs/>
          <w:sz w:val="20"/>
          <w:szCs w:val="20"/>
        </w:rPr>
        <w:t>The Committee made a recommendation that “The National Treasury should work with the Minister of Tourism to determine the budget required to</w:t>
      </w:r>
      <w:r w:rsidR="004659D9" w:rsidRPr="00807837">
        <w:rPr>
          <w:rFonts w:ascii="Arial" w:hAnsi="Arial" w:cs="Arial"/>
          <w:iCs/>
          <w:sz w:val="20"/>
          <w:szCs w:val="20"/>
        </w:rPr>
        <w:t xml:space="preserve"> en</w:t>
      </w:r>
      <w:r w:rsidRPr="00807837">
        <w:rPr>
          <w:rFonts w:ascii="Arial" w:hAnsi="Arial" w:cs="Arial"/>
          <w:iCs/>
          <w:sz w:val="20"/>
          <w:szCs w:val="20"/>
        </w:rPr>
        <w:t>sure the full recovery of the tourism sector”. The response by the Minister of Finance was that the National Treasury will continue to engage the Department of Tourism on funding</w:t>
      </w:r>
      <w:r w:rsidRPr="00807837">
        <w:rPr>
          <w:rFonts w:ascii="Times New Roman" w:hAnsi="Times New Roman" w:cs="Arial"/>
          <w:iCs/>
          <w:sz w:val="20"/>
          <w:szCs w:val="20"/>
        </w:rPr>
        <w:t>‐</w:t>
      </w:r>
      <w:r w:rsidRPr="00807837">
        <w:rPr>
          <w:rFonts w:ascii="Arial" w:hAnsi="Arial" w:cs="Arial"/>
          <w:iCs/>
          <w:sz w:val="20"/>
          <w:szCs w:val="20"/>
        </w:rPr>
        <w:t xml:space="preserve">related issues during the annual budget process and to support efforts to enable the recovery of the tourism sector. Over the 2022 MTEF period, </w:t>
      </w:r>
      <w:r w:rsidR="00231AB0" w:rsidRPr="00807837">
        <w:rPr>
          <w:rFonts w:ascii="Arial" w:hAnsi="Arial" w:cs="Arial"/>
          <w:iCs/>
          <w:sz w:val="20"/>
          <w:szCs w:val="20"/>
        </w:rPr>
        <w:t xml:space="preserve">the </w:t>
      </w:r>
      <w:r w:rsidRPr="00807837">
        <w:rPr>
          <w:rFonts w:ascii="Arial" w:hAnsi="Arial" w:cs="Arial"/>
          <w:iCs/>
          <w:sz w:val="20"/>
          <w:szCs w:val="20"/>
        </w:rPr>
        <w:t xml:space="preserve">government has set aside R360 million to support the pilot phase of </w:t>
      </w:r>
      <w:r w:rsidR="004659D9" w:rsidRPr="00807837">
        <w:rPr>
          <w:rFonts w:ascii="Arial" w:hAnsi="Arial" w:cs="Arial"/>
          <w:iCs/>
          <w:sz w:val="20"/>
          <w:szCs w:val="20"/>
        </w:rPr>
        <w:t>the Tourism</w:t>
      </w:r>
      <w:r w:rsidRPr="00807837">
        <w:rPr>
          <w:rFonts w:ascii="Arial" w:hAnsi="Arial" w:cs="Arial"/>
          <w:iCs/>
          <w:sz w:val="20"/>
          <w:szCs w:val="20"/>
        </w:rPr>
        <w:t xml:space="preserve"> Equity Fund introduced in 2021. It is unfortunate that the Tourism Equi</w:t>
      </w:r>
      <w:r w:rsidR="004659D9" w:rsidRPr="00807837">
        <w:rPr>
          <w:rFonts w:ascii="Arial" w:hAnsi="Arial" w:cs="Arial"/>
          <w:iCs/>
          <w:sz w:val="20"/>
          <w:szCs w:val="20"/>
        </w:rPr>
        <w:t>ty Fund has been interdicted and the</w:t>
      </w:r>
      <w:r w:rsidRPr="00807837">
        <w:rPr>
          <w:rFonts w:ascii="Arial" w:hAnsi="Arial" w:cs="Arial"/>
          <w:iCs/>
          <w:sz w:val="20"/>
          <w:szCs w:val="20"/>
        </w:rPr>
        <w:t xml:space="preserve"> envisaged support to the sector and transformation imperatives have been delayed. The Committee will conduct close monitoring </w:t>
      </w:r>
      <w:r w:rsidR="00231AB0" w:rsidRPr="00807837">
        <w:rPr>
          <w:rFonts w:ascii="Arial" w:hAnsi="Arial" w:cs="Arial"/>
          <w:iCs/>
          <w:sz w:val="20"/>
          <w:szCs w:val="20"/>
        </w:rPr>
        <w:t xml:space="preserve">of </w:t>
      </w:r>
      <w:r w:rsidRPr="00807837">
        <w:rPr>
          <w:rFonts w:ascii="Arial" w:hAnsi="Arial" w:cs="Arial"/>
          <w:iCs/>
          <w:sz w:val="20"/>
          <w:szCs w:val="20"/>
        </w:rPr>
        <w:t xml:space="preserve">the </w:t>
      </w:r>
      <w:r w:rsidR="004659D9" w:rsidRPr="00807837">
        <w:rPr>
          <w:rFonts w:ascii="Arial" w:hAnsi="Arial" w:cs="Arial"/>
          <w:iCs/>
          <w:sz w:val="20"/>
          <w:szCs w:val="20"/>
        </w:rPr>
        <w:t>developments</w:t>
      </w:r>
      <w:r w:rsidRPr="00807837">
        <w:rPr>
          <w:rFonts w:ascii="Arial" w:hAnsi="Arial" w:cs="Arial"/>
          <w:iCs/>
          <w:sz w:val="20"/>
          <w:szCs w:val="20"/>
        </w:rPr>
        <w:t xml:space="preserve"> around the court interdict.</w:t>
      </w:r>
    </w:p>
    <w:p w:rsidR="008C6E7C" w:rsidRPr="00807837" w:rsidRDefault="008C6E7C" w:rsidP="00807837">
      <w:pPr>
        <w:spacing w:after="0" w:line="240" w:lineRule="auto"/>
        <w:ind w:left="720"/>
        <w:rPr>
          <w:rFonts w:ascii="Arial" w:hAnsi="Arial" w:cs="Arial"/>
          <w:iCs/>
          <w:sz w:val="20"/>
          <w:szCs w:val="20"/>
        </w:rPr>
      </w:pPr>
    </w:p>
    <w:p w:rsidR="008C74E3" w:rsidRPr="00807837" w:rsidRDefault="008C74E3" w:rsidP="00807837">
      <w:pPr>
        <w:pStyle w:val="ListParagraph"/>
        <w:numPr>
          <w:ilvl w:val="3"/>
          <w:numId w:val="10"/>
        </w:numPr>
        <w:spacing w:after="0" w:line="240" w:lineRule="auto"/>
        <w:ind w:hanging="11"/>
        <w:rPr>
          <w:rFonts w:ascii="Arial" w:hAnsi="Arial" w:cs="Arial"/>
          <w:iCs/>
          <w:sz w:val="20"/>
          <w:szCs w:val="20"/>
        </w:rPr>
      </w:pPr>
      <w:r w:rsidRPr="00807837">
        <w:rPr>
          <w:rFonts w:ascii="Arial" w:hAnsi="Arial" w:cs="Arial"/>
          <w:iCs/>
          <w:sz w:val="20"/>
          <w:szCs w:val="20"/>
        </w:rPr>
        <w:t>Responses by the Minister of Tourism</w:t>
      </w:r>
    </w:p>
    <w:p w:rsidR="002539BC" w:rsidRPr="00807837" w:rsidRDefault="002539BC" w:rsidP="00807837">
      <w:pPr>
        <w:pStyle w:val="ListParagraph"/>
        <w:spacing w:after="0" w:line="240" w:lineRule="auto"/>
        <w:rPr>
          <w:rFonts w:ascii="Arial" w:hAnsi="Arial" w:cs="Arial"/>
          <w:iCs/>
          <w:sz w:val="20"/>
          <w:szCs w:val="20"/>
        </w:rPr>
      </w:pPr>
    </w:p>
    <w:p w:rsidR="00E33DD2" w:rsidRPr="00807837" w:rsidRDefault="00FE69A5" w:rsidP="00807837">
      <w:pPr>
        <w:pStyle w:val="ListParagraph"/>
        <w:spacing w:after="0" w:line="240" w:lineRule="auto"/>
        <w:rPr>
          <w:rFonts w:ascii="Arial" w:hAnsi="Arial" w:cs="Arial"/>
          <w:iCs/>
          <w:sz w:val="20"/>
          <w:szCs w:val="20"/>
        </w:rPr>
      </w:pPr>
      <w:r w:rsidRPr="00807837">
        <w:rPr>
          <w:rFonts w:ascii="Arial" w:hAnsi="Arial" w:cs="Arial"/>
          <w:iCs/>
          <w:sz w:val="20"/>
          <w:szCs w:val="20"/>
        </w:rPr>
        <w:t xml:space="preserve">The Minister tabled the </w:t>
      </w:r>
      <w:r w:rsidR="004659D9" w:rsidRPr="00807837">
        <w:rPr>
          <w:rFonts w:ascii="Arial" w:hAnsi="Arial" w:cs="Arial"/>
          <w:iCs/>
          <w:sz w:val="20"/>
          <w:szCs w:val="20"/>
        </w:rPr>
        <w:t>responses</w:t>
      </w:r>
      <w:r w:rsidRPr="00807837">
        <w:rPr>
          <w:rFonts w:ascii="Arial" w:hAnsi="Arial" w:cs="Arial"/>
          <w:iCs/>
          <w:sz w:val="20"/>
          <w:szCs w:val="20"/>
        </w:rPr>
        <w:t xml:space="preserve"> to the 2020/21 </w:t>
      </w:r>
      <w:r w:rsidR="004659D9" w:rsidRPr="00807837">
        <w:rPr>
          <w:rFonts w:ascii="Arial" w:hAnsi="Arial" w:cs="Arial"/>
          <w:iCs/>
          <w:sz w:val="20"/>
          <w:szCs w:val="20"/>
        </w:rPr>
        <w:t>Budget</w:t>
      </w:r>
      <w:r w:rsidRPr="00807837">
        <w:rPr>
          <w:rFonts w:ascii="Arial" w:hAnsi="Arial" w:cs="Arial"/>
          <w:iCs/>
          <w:sz w:val="20"/>
          <w:szCs w:val="20"/>
        </w:rPr>
        <w:t xml:space="preserve"> Review and Recommendation Report to the Office of the Speaker on 12 April 2022. This complied with the letter sent to the </w:t>
      </w:r>
      <w:r w:rsidR="004659D9" w:rsidRPr="00807837">
        <w:rPr>
          <w:rFonts w:ascii="Arial" w:hAnsi="Arial" w:cs="Arial"/>
          <w:iCs/>
          <w:sz w:val="20"/>
          <w:szCs w:val="20"/>
        </w:rPr>
        <w:t>Ministry</w:t>
      </w:r>
      <w:r w:rsidRPr="00807837">
        <w:rPr>
          <w:rFonts w:ascii="Arial" w:hAnsi="Arial" w:cs="Arial"/>
          <w:iCs/>
          <w:sz w:val="20"/>
          <w:szCs w:val="20"/>
        </w:rPr>
        <w:t xml:space="preserve"> by the Office of the Speaker dated 7 February 2022. </w:t>
      </w:r>
      <w:r w:rsidR="00E33DD2" w:rsidRPr="00807837">
        <w:rPr>
          <w:rFonts w:ascii="Arial" w:hAnsi="Arial" w:cs="Arial"/>
          <w:iCs/>
          <w:sz w:val="20"/>
          <w:szCs w:val="20"/>
        </w:rPr>
        <w:t xml:space="preserve">The Minister was requested to respond to Committee recommendations before the end of the 2021/22 financial year, 31 March 2022. </w:t>
      </w:r>
    </w:p>
    <w:p w:rsidR="00FE69A5" w:rsidRPr="00807837" w:rsidRDefault="00FE69A5" w:rsidP="00807837">
      <w:pPr>
        <w:pStyle w:val="ListParagraph"/>
        <w:spacing w:after="0" w:line="240" w:lineRule="auto"/>
        <w:rPr>
          <w:rFonts w:ascii="Arial" w:hAnsi="Arial" w:cs="Arial"/>
          <w:iCs/>
          <w:sz w:val="20"/>
          <w:szCs w:val="20"/>
        </w:rPr>
      </w:pPr>
    </w:p>
    <w:p w:rsidR="005125E2" w:rsidRPr="00807837" w:rsidRDefault="005125E2" w:rsidP="00807837">
      <w:pPr>
        <w:pStyle w:val="ListParagraph"/>
        <w:spacing w:after="0" w:line="240" w:lineRule="auto"/>
        <w:rPr>
          <w:rFonts w:ascii="Arial" w:hAnsi="Arial" w:cs="Arial"/>
          <w:iCs/>
          <w:sz w:val="20"/>
          <w:szCs w:val="20"/>
        </w:rPr>
      </w:pPr>
      <w:r w:rsidRPr="00807837">
        <w:rPr>
          <w:rFonts w:ascii="Arial" w:hAnsi="Arial" w:cs="Arial"/>
          <w:iCs/>
          <w:sz w:val="20"/>
          <w:szCs w:val="20"/>
        </w:rPr>
        <w:t>The Minister noted some of the recommendations made by the Committee, including financial recommendations that the National Treasury works with the Minister of Tourism to determine the budget required to ensure the full recovery of the tourism sector, and that the National Treasury, after determining the amount required for sector recovery, considers appropriating a special ring-fenced budget to rescue the tourism sector.</w:t>
      </w:r>
    </w:p>
    <w:p w:rsidR="005125E2" w:rsidRPr="00807837" w:rsidRDefault="005125E2" w:rsidP="00807837">
      <w:pPr>
        <w:pStyle w:val="ListParagraph"/>
        <w:spacing w:after="0" w:line="240" w:lineRule="auto"/>
        <w:rPr>
          <w:rFonts w:ascii="Arial" w:hAnsi="Arial" w:cs="Arial"/>
          <w:iCs/>
          <w:sz w:val="20"/>
          <w:szCs w:val="20"/>
        </w:rPr>
      </w:pPr>
    </w:p>
    <w:p w:rsidR="002539BC" w:rsidRPr="00807837" w:rsidRDefault="005125E2" w:rsidP="00807837">
      <w:pPr>
        <w:pStyle w:val="ListParagraph"/>
        <w:spacing w:after="0" w:line="240" w:lineRule="auto"/>
        <w:rPr>
          <w:rFonts w:ascii="Arial" w:hAnsi="Arial" w:cs="Arial"/>
          <w:iCs/>
          <w:sz w:val="20"/>
          <w:szCs w:val="20"/>
        </w:rPr>
      </w:pPr>
      <w:r w:rsidRPr="00807837">
        <w:rPr>
          <w:rFonts w:ascii="Arial" w:hAnsi="Arial" w:cs="Arial"/>
          <w:iCs/>
          <w:sz w:val="20"/>
          <w:szCs w:val="20"/>
        </w:rPr>
        <w:t xml:space="preserve">The Minister provided comprehensive responses on other </w:t>
      </w:r>
      <w:r w:rsidR="004659D9" w:rsidRPr="00807837">
        <w:rPr>
          <w:rFonts w:ascii="Arial" w:hAnsi="Arial" w:cs="Arial"/>
          <w:iCs/>
          <w:sz w:val="20"/>
          <w:szCs w:val="20"/>
        </w:rPr>
        <w:t>recommendations</w:t>
      </w:r>
      <w:r w:rsidRPr="00807837">
        <w:rPr>
          <w:rFonts w:ascii="Arial" w:hAnsi="Arial" w:cs="Arial"/>
          <w:iCs/>
          <w:sz w:val="20"/>
          <w:szCs w:val="20"/>
        </w:rPr>
        <w:t xml:space="preserve"> </w:t>
      </w:r>
      <w:r w:rsidR="004659D9" w:rsidRPr="00807837">
        <w:rPr>
          <w:rFonts w:ascii="Arial" w:hAnsi="Arial" w:cs="Arial"/>
          <w:iCs/>
          <w:sz w:val="20"/>
          <w:szCs w:val="20"/>
        </w:rPr>
        <w:t>made</w:t>
      </w:r>
      <w:r w:rsidRPr="00807837">
        <w:rPr>
          <w:rFonts w:ascii="Arial" w:hAnsi="Arial" w:cs="Arial"/>
          <w:iCs/>
          <w:sz w:val="20"/>
          <w:szCs w:val="20"/>
        </w:rPr>
        <w:t xml:space="preserve"> by the Committee, especially those related to the findings of the Auditor-General. The Committee is satisfied with the res</w:t>
      </w:r>
      <w:r w:rsidR="000B728B" w:rsidRPr="00807837">
        <w:rPr>
          <w:rFonts w:ascii="Arial" w:hAnsi="Arial" w:cs="Arial"/>
          <w:iCs/>
          <w:sz w:val="20"/>
          <w:szCs w:val="20"/>
        </w:rPr>
        <w:t>ponses and will continue monitoring implementation, as some matters have not been concluded, either by the Department or South African Tourism.</w:t>
      </w:r>
    </w:p>
    <w:p w:rsidR="00E33DD2" w:rsidRPr="00807837" w:rsidRDefault="00E33DD2" w:rsidP="00807837">
      <w:pPr>
        <w:pStyle w:val="ListParagraph"/>
        <w:spacing w:after="0" w:line="240" w:lineRule="auto"/>
        <w:rPr>
          <w:rFonts w:ascii="Arial" w:hAnsi="Arial" w:cs="Arial"/>
          <w:iCs/>
          <w:sz w:val="20"/>
          <w:szCs w:val="20"/>
        </w:rPr>
      </w:pPr>
    </w:p>
    <w:p w:rsidR="00C24753" w:rsidRPr="00807837" w:rsidRDefault="00C24753" w:rsidP="00807837">
      <w:pPr>
        <w:numPr>
          <w:ilvl w:val="1"/>
          <w:numId w:val="9"/>
        </w:numPr>
        <w:spacing w:after="0" w:line="240" w:lineRule="auto"/>
        <w:rPr>
          <w:rFonts w:ascii="Arial" w:eastAsia="Calibri" w:hAnsi="Arial" w:cs="Arial"/>
          <w:b/>
          <w:sz w:val="20"/>
          <w:szCs w:val="20"/>
        </w:rPr>
      </w:pPr>
      <w:r w:rsidRPr="00807837">
        <w:rPr>
          <w:rFonts w:ascii="Arial" w:eastAsia="Calibri" w:hAnsi="Arial" w:cs="Arial"/>
          <w:b/>
          <w:sz w:val="20"/>
          <w:szCs w:val="20"/>
        </w:rPr>
        <w:t>20</w:t>
      </w:r>
      <w:r w:rsidR="00887844" w:rsidRPr="00807837">
        <w:rPr>
          <w:rFonts w:ascii="Arial" w:eastAsia="Calibri" w:hAnsi="Arial" w:cs="Arial"/>
          <w:b/>
          <w:sz w:val="20"/>
          <w:szCs w:val="20"/>
        </w:rPr>
        <w:t>2</w:t>
      </w:r>
      <w:r w:rsidR="00D87FE4" w:rsidRPr="00807837">
        <w:rPr>
          <w:rFonts w:ascii="Arial" w:eastAsia="Calibri" w:hAnsi="Arial" w:cs="Arial"/>
          <w:b/>
          <w:sz w:val="20"/>
          <w:szCs w:val="20"/>
        </w:rPr>
        <w:t>1</w:t>
      </w:r>
      <w:r w:rsidRPr="00807837">
        <w:rPr>
          <w:rFonts w:ascii="Arial" w:eastAsia="Calibri" w:hAnsi="Arial" w:cs="Arial"/>
          <w:b/>
          <w:sz w:val="20"/>
          <w:szCs w:val="20"/>
        </w:rPr>
        <w:t>/2</w:t>
      </w:r>
      <w:r w:rsidR="00D87FE4" w:rsidRPr="00807837">
        <w:rPr>
          <w:rFonts w:ascii="Arial" w:eastAsia="Calibri" w:hAnsi="Arial" w:cs="Arial"/>
          <w:b/>
          <w:sz w:val="20"/>
          <w:szCs w:val="20"/>
        </w:rPr>
        <w:t>2</w:t>
      </w:r>
      <w:r w:rsidRPr="00807837">
        <w:rPr>
          <w:rFonts w:ascii="Arial" w:eastAsia="Calibri" w:hAnsi="Arial" w:cs="Arial"/>
          <w:b/>
          <w:sz w:val="20"/>
          <w:szCs w:val="20"/>
        </w:rPr>
        <w:t xml:space="preserve"> Committee Budget Report </w:t>
      </w:r>
    </w:p>
    <w:p w:rsidR="00C24753" w:rsidRPr="00807837" w:rsidRDefault="00C24753" w:rsidP="00807837">
      <w:pPr>
        <w:spacing w:after="0" w:line="240" w:lineRule="auto"/>
        <w:rPr>
          <w:rFonts w:ascii="Arial" w:eastAsia="Calibri" w:hAnsi="Arial" w:cs="Arial"/>
          <w:b/>
          <w:sz w:val="20"/>
          <w:szCs w:val="20"/>
        </w:rPr>
      </w:pPr>
    </w:p>
    <w:p w:rsidR="00D87FE4" w:rsidRPr="00807837" w:rsidRDefault="00D87FE4" w:rsidP="00807837">
      <w:pPr>
        <w:spacing w:after="0" w:line="240" w:lineRule="auto"/>
        <w:contextualSpacing/>
        <w:rPr>
          <w:rFonts w:ascii="Arial" w:eastAsia="Calibri" w:hAnsi="Arial" w:cs="Arial"/>
          <w:sz w:val="20"/>
          <w:szCs w:val="20"/>
          <w:lang/>
        </w:rPr>
      </w:pPr>
      <w:r w:rsidRPr="00807837">
        <w:rPr>
          <w:rFonts w:ascii="Arial" w:eastAsia="Calibri" w:hAnsi="Arial" w:cs="Arial"/>
          <w:sz w:val="20"/>
          <w:szCs w:val="20"/>
        </w:rPr>
        <w:t>In the 2021/22 Budget Report, the Committee made a number of recommendations. The</w:t>
      </w:r>
      <w:r w:rsidR="00D636DE" w:rsidRPr="00807837">
        <w:rPr>
          <w:rFonts w:ascii="Arial" w:eastAsia="Calibri" w:hAnsi="Arial" w:cs="Arial"/>
          <w:sz w:val="20"/>
          <w:szCs w:val="20"/>
        </w:rPr>
        <w:t>se</w:t>
      </w:r>
      <w:r w:rsidRPr="00807837">
        <w:rPr>
          <w:rFonts w:ascii="Arial" w:eastAsia="Calibri" w:hAnsi="Arial" w:cs="Arial"/>
          <w:sz w:val="20"/>
          <w:szCs w:val="20"/>
        </w:rPr>
        <w:t xml:space="preserve"> included, but were not limited to reprioritising and allocating more budget for compensation;  creating collaborative partnerships; developing a tracking tool to oversee the implementation of the Norms and Standards for the safe operation of the tourism sector; considering the policy proposals made by the Committee; conduct public education on the transformation imperatives of the Broad-Based Black Empowerment</w:t>
      </w:r>
      <w:r w:rsidR="001626E6" w:rsidRPr="00807837">
        <w:rPr>
          <w:rFonts w:ascii="Arial" w:eastAsia="Calibri" w:hAnsi="Arial" w:cs="Arial"/>
          <w:sz w:val="20"/>
          <w:szCs w:val="20"/>
        </w:rPr>
        <w:t xml:space="preserve"> Sector Code;</w:t>
      </w:r>
      <w:r w:rsidRPr="00807837">
        <w:rPr>
          <w:rFonts w:ascii="Arial" w:eastAsia="Calibri" w:hAnsi="Arial" w:cs="Arial"/>
          <w:sz w:val="20"/>
          <w:szCs w:val="20"/>
        </w:rPr>
        <w:t xml:space="preserve"> the Tourism Sector </w:t>
      </w:r>
      <w:r w:rsidR="001626E6" w:rsidRPr="00807837">
        <w:rPr>
          <w:rFonts w:ascii="Arial" w:eastAsia="Calibri" w:hAnsi="Arial" w:cs="Arial"/>
          <w:sz w:val="20"/>
          <w:szCs w:val="20"/>
        </w:rPr>
        <w:t xml:space="preserve">to </w:t>
      </w:r>
      <w:r w:rsidR="005567D0" w:rsidRPr="00807837">
        <w:rPr>
          <w:rFonts w:ascii="Arial" w:eastAsia="Calibri" w:hAnsi="Arial" w:cs="Arial"/>
          <w:sz w:val="20"/>
          <w:szCs w:val="20"/>
        </w:rPr>
        <w:t>conduct a</w:t>
      </w:r>
      <w:r w:rsidR="001626E6" w:rsidRPr="00807837">
        <w:rPr>
          <w:rFonts w:ascii="Arial" w:eastAsia="Calibri" w:hAnsi="Arial" w:cs="Arial"/>
          <w:sz w:val="20"/>
          <w:szCs w:val="20"/>
        </w:rPr>
        <w:t xml:space="preserve"> </w:t>
      </w:r>
      <w:r w:rsidR="004C3363" w:rsidRPr="00807837">
        <w:rPr>
          <w:rFonts w:ascii="Arial" w:eastAsia="Calibri" w:hAnsi="Arial" w:cs="Arial"/>
          <w:sz w:val="20"/>
          <w:szCs w:val="20"/>
        </w:rPr>
        <w:t>T</w:t>
      </w:r>
      <w:r w:rsidRPr="00807837">
        <w:rPr>
          <w:rFonts w:ascii="Arial" w:eastAsia="Calibri" w:hAnsi="Arial" w:cs="Arial"/>
          <w:sz w:val="20"/>
          <w:szCs w:val="20"/>
        </w:rPr>
        <w:t xml:space="preserve">rend Analysis Study to understand the future </w:t>
      </w:r>
      <w:r w:rsidR="004C3363" w:rsidRPr="00807837">
        <w:rPr>
          <w:rFonts w:ascii="Arial" w:eastAsia="Calibri" w:hAnsi="Arial" w:cs="Arial"/>
          <w:sz w:val="20"/>
          <w:szCs w:val="20"/>
        </w:rPr>
        <w:t xml:space="preserve">tourism </w:t>
      </w:r>
      <w:r w:rsidRPr="00807837">
        <w:rPr>
          <w:rFonts w:ascii="Arial" w:eastAsia="Calibri" w:hAnsi="Arial" w:cs="Arial"/>
          <w:sz w:val="20"/>
          <w:szCs w:val="20"/>
        </w:rPr>
        <w:t>imposed by the COVID-19</w:t>
      </w:r>
      <w:r w:rsidR="004C3363" w:rsidRPr="00807837">
        <w:rPr>
          <w:rFonts w:ascii="Arial" w:eastAsia="Calibri" w:hAnsi="Arial" w:cs="Arial"/>
          <w:sz w:val="20"/>
          <w:szCs w:val="20"/>
        </w:rPr>
        <w:t xml:space="preserve">; </w:t>
      </w:r>
      <w:r w:rsidRPr="00807837">
        <w:rPr>
          <w:rFonts w:ascii="Arial" w:eastAsia="Calibri" w:hAnsi="Arial" w:cs="Arial"/>
          <w:sz w:val="20"/>
          <w:szCs w:val="20"/>
        </w:rPr>
        <w:t xml:space="preserve"> </w:t>
      </w:r>
      <w:r w:rsidR="004C3363" w:rsidRPr="00807837">
        <w:rPr>
          <w:rFonts w:ascii="Arial" w:eastAsia="Calibri" w:hAnsi="Arial" w:cs="Arial"/>
          <w:sz w:val="20"/>
          <w:szCs w:val="20"/>
        </w:rPr>
        <w:t xml:space="preserve">harmonising norms and standards </w:t>
      </w:r>
      <w:r w:rsidR="001626E6" w:rsidRPr="00807837">
        <w:rPr>
          <w:rFonts w:ascii="Arial" w:eastAsia="Calibri" w:hAnsi="Arial" w:cs="Arial"/>
          <w:sz w:val="20"/>
          <w:szCs w:val="20"/>
        </w:rPr>
        <w:t xml:space="preserve">on safety </w:t>
      </w:r>
      <w:r w:rsidR="004C3363" w:rsidRPr="00807837">
        <w:rPr>
          <w:rFonts w:ascii="Arial" w:eastAsia="Calibri" w:hAnsi="Arial" w:cs="Arial"/>
          <w:sz w:val="20"/>
          <w:szCs w:val="20"/>
        </w:rPr>
        <w:t xml:space="preserve">for travel; </w:t>
      </w:r>
      <w:r w:rsidR="002F7869" w:rsidRPr="00807837">
        <w:rPr>
          <w:rFonts w:ascii="Arial" w:eastAsia="Calibri" w:hAnsi="Arial" w:cs="Arial"/>
          <w:sz w:val="20"/>
          <w:szCs w:val="20"/>
        </w:rPr>
        <w:t xml:space="preserve">exploring </w:t>
      </w:r>
      <w:r w:rsidRPr="00807837">
        <w:rPr>
          <w:rFonts w:ascii="Arial" w:eastAsia="Calibri" w:hAnsi="Arial" w:cs="Arial"/>
          <w:sz w:val="20"/>
          <w:szCs w:val="20"/>
        </w:rPr>
        <w:t>the African Continent Free Trade Agreement for the benefit of tourism in South Africa</w:t>
      </w:r>
      <w:r w:rsidR="004C3363" w:rsidRPr="00807837">
        <w:rPr>
          <w:rFonts w:ascii="Arial" w:eastAsia="Calibri" w:hAnsi="Arial" w:cs="Arial"/>
          <w:sz w:val="20"/>
          <w:szCs w:val="20"/>
        </w:rPr>
        <w:t>; e</w:t>
      </w:r>
      <w:r w:rsidRPr="00807837">
        <w:rPr>
          <w:rFonts w:ascii="Arial" w:eastAsia="Calibri" w:hAnsi="Arial" w:cs="Arial"/>
          <w:sz w:val="20"/>
          <w:szCs w:val="20"/>
        </w:rPr>
        <w:t>ngage the Cabinet on the contribution expected from other government departments in unlocking the t</w:t>
      </w:r>
      <w:r w:rsidR="004C3363" w:rsidRPr="00807837">
        <w:rPr>
          <w:rFonts w:ascii="Arial" w:eastAsia="Calibri" w:hAnsi="Arial" w:cs="Arial"/>
          <w:sz w:val="20"/>
          <w:szCs w:val="20"/>
        </w:rPr>
        <w:t>ourism potential of the country; t</w:t>
      </w:r>
      <w:r w:rsidRPr="00807837">
        <w:rPr>
          <w:rFonts w:ascii="Arial" w:eastAsia="Calibri" w:hAnsi="Arial" w:cs="Arial"/>
          <w:sz w:val="20"/>
          <w:szCs w:val="20"/>
        </w:rPr>
        <w:t>ighten</w:t>
      </w:r>
      <w:r w:rsidR="004C3363" w:rsidRPr="00807837">
        <w:rPr>
          <w:rFonts w:ascii="Arial" w:eastAsia="Calibri" w:hAnsi="Arial" w:cs="Arial"/>
          <w:sz w:val="20"/>
          <w:szCs w:val="20"/>
        </w:rPr>
        <w:t>ing</w:t>
      </w:r>
      <w:r w:rsidRPr="00807837">
        <w:rPr>
          <w:rFonts w:ascii="Arial" w:eastAsia="Calibri" w:hAnsi="Arial" w:cs="Arial"/>
          <w:sz w:val="20"/>
          <w:szCs w:val="20"/>
        </w:rPr>
        <w:t xml:space="preserve"> oversight over S</w:t>
      </w:r>
      <w:r w:rsidR="004C3363" w:rsidRPr="00807837">
        <w:rPr>
          <w:rFonts w:ascii="Arial" w:eastAsia="Calibri" w:hAnsi="Arial" w:cs="Arial"/>
          <w:sz w:val="20"/>
          <w:szCs w:val="20"/>
        </w:rPr>
        <w:t xml:space="preserve">A Tourism; </w:t>
      </w:r>
      <w:r w:rsidRPr="00807837">
        <w:rPr>
          <w:rFonts w:ascii="Arial" w:eastAsia="Calibri" w:hAnsi="Arial" w:cs="Arial"/>
          <w:sz w:val="20"/>
          <w:szCs w:val="20"/>
        </w:rPr>
        <w:t xml:space="preserve"> </w:t>
      </w:r>
      <w:r w:rsidR="004C3363" w:rsidRPr="00807837">
        <w:rPr>
          <w:rFonts w:ascii="Arial" w:eastAsia="Calibri" w:hAnsi="Arial" w:cs="Arial"/>
          <w:sz w:val="20"/>
          <w:szCs w:val="20"/>
        </w:rPr>
        <w:t>prioritising</w:t>
      </w:r>
      <w:r w:rsidRPr="00807837">
        <w:rPr>
          <w:rFonts w:ascii="Arial" w:eastAsia="Calibri" w:hAnsi="Arial" w:cs="Arial"/>
          <w:sz w:val="20"/>
          <w:szCs w:val="20"/>
        </w:rPr>
        <w:t xml:space="preserve"> Economic Modelling to leverage funding in order </w:t>
      </w:r>
      <w:r w:rsidR="004C3363" w:rsidRPr="00807837">
        <w:rPr>
          <w:rFonts w:ascii="Arial" w:eastAsia="Calibri" w:hAnsi="Arial" w:cs="Arial"/>
          <w:sz w:val="20"/>
          <w:szCs w:val="20"/>
        </w:rPr>
        <w:t>to augment the available budget; i</w:t>
      </w:r>
      <w:r w:rsidRPr="00807837">
        <w:rPr>
          <w:rFonts w:ascii="Arial" w:eastAsia="Calibri" w:hAnsi="Arial" w:cs="Arial"/>
          <w:sz w:val="20"/>
          <w:szCs w:val="20"/>
        </w:rPr>
        <w:t>mprov</w:t>
      </w:r>
      <w:r w:rsidR="004C3363" w:rsidRPr="00807837">
        <w:rPr>
          <w:rFonts w:ascii="Arial" w:eastAsia="Calibri" w:hAnsi="Arial" w:cs="Arial"/>
          <w:sz w:val="20"/>
          <w:szCs w:val="20"/>
        </w:rPr>
        <w:t>ing</w:t>
      </w:r>
      <w:r w:rsidRPr="00807837">
        <w:rPr>
          <w:rFonts w:ascii="Arial" w:eastAsia="Calibri" w:hAnsi="Arial" w:cs="Arial"/>
          <w:sz w:val="20"/>
          <w:szCs w:val="20"/>
        </w:rPr>
        <w:t xml:space="preserve"> on organisational efficiencies to maximise the </w:t>
      </w:r>
      <w:r w:rsidR="004C3363" w:rsidRPr="00807837">
        <w:rPr>
          <w:rFonts w:ascii="Arial" w:eastAsia="Calibri" w:hAnsi="Arial" w:cs="Arial"/>
          <w:sz w:val="20"/>
          <w:szCs w:val="20"/>
        </w:rPr>
        <w:t>utilisation of available budget; c</w:t>
      </w:r>
      <w:r w:rsidRPr="00807837">
        <w:rPr>
          <w:rFonts w:ascii="Arial" w:eastAsia="Calibri" w:hAnsi="Arial" w:cs="Arial"/>
          <w:sz w:val="20"/>
          <w:szCs w:val="20"/>
        </w:rPr>
        <w:t>onduct</w:t>
      </w:r>
      <w:r w:rsidR="004C3363" w:rsidRPr="00807837">
        <w:rPr>
          <w:rFonts w:ascii="Arial" w:eastAsia="Calibri" w:hAnsi="Arial" w:cs="Arial"/>
          <w:sz w:val="20"/>
          <w:szCs w:val="20"/>
        </w:rPr>
        <w:t>ing</w:t>
      </w:r>
      <w:r w:rsidRPr="00807837">
        <w:rPr>
          <w:rFonts w:ascii="Arial" w:eastAsia="Calibri" w:hAnsi="Arial" w:cs="Arial"/>
          <w:sz w:val="20"/>
          <w:szCs w:val="20"/>
        </w:rPr>
        <w:t xml:space="preserve"> an Econometric Forecasting </w:t>
      </w:r>
      <w:r w:rsidRPr="00807837">
        <w:rPr>
          <w:rFonts w:ascii="Arial" w:eastAsia="Calibri" w:hAnsi="Arial" w:cs="Arial"/>
          <w:sz w:val="20"/>
          <w:szCs w:val="20"/>
        </w:rPr>
        <w:lastRenderedPageBreak/>
        <w:t xml:space="preserve">Study to determine the trends on future international arrivals to set a realistic 2030 target om international arrivals and determine the </w:t>
      </w:r>
      <w:r w:rsidR="004C3363" w:rsidRPr="00807837">
        <w:rPr>
          <w:rFonts w:ascii="Arial" w:eastAsia="Calibri" w:hAnsi="Arial" w:cs="Arial"/>
          <w:sz w:val="20"/>
          <w:szCs w:val="20"/>
        </w:rPr>
        <w:t>future trends of domestic trips; d</w:t>
      </w:r>
      <w:r w:rsidRPr="00807837">
        <w:rPr>
          <w:rFonts w:ascii="Arial" w:eastAsia="Calibri" w:hAnsi="Arial" w:cs="Arial"/>
          <w:sz w:val="20"/>
          <w:szCs w:val="20"/>
        </w:rPr>
        <w:t>evelop</w:t>
      </w:r>
      <w:r w:rsidR="004C3363" w:rsidRPr="00807837">
        <w:rPr>
          <w:rFonts w:ascii="Arial" w:eastAsia="Calibri" w:hAnsi="Arial" w:cs="Arial"/>
          <w:sz w:val="20"/>
          <w:szCs w:val="20"/>
        </w:rPr>
        <w:t>ing</w:t>
      </w:r>
      <w:r w:rsidRPr="00807837">
        <w:rPr>
          <w:rFonts w:ascii="Arial" w:eastAsia="Calibri" w:hAnsi="Arial" w:cs="Arial"/>
          <w:sz w:val="20"/>
          <w:szCs w:val="20"/>
        </w:rPr>
        <w:t xml:space="preserve"> a Partnership Model that will assist South African Tourism to identify and choose partners that will add value to the business of the organisation and leverage more funding for domestic and international marketi</w:t>
      </w:r>
      <w:r w:rsidR="004C3363" w:rsidRPr="00807837">
        <w:rPr>
          <w:rFonts w:ascii="Arial" w:eastAsia="Calibri" w:hAnsi="Arial" w:cs="Arial"/>
          <w:sz w:val="20"/>
          <w:szCs w:val="20"/>
        </w:rPr>
        <w:t>ng; e</w:t>
      </w:r>
      <w:r w:rsidRPr="00807837">
        <w:rPr>
          <w:rFonts w:ascii="Arial" w:eastAsia="Calibri" w:hAnsi="Arial" w:cs="Arial"/>
          <w:sz w:val="20"/>
          <w:szCs w:val="20"/>
        </w:rPr>
        <w:t xml:space="preserve">ngage the private sector to package value for </w:t>
      </w:r>
      <w:r w:rsidR="004C3363" w:rsidRPr="00807837">
        <w:rPr>
          <w:rFonts w:ascii="Arial" w:eastAsia="Calibri" w:hAnsi="Arial" w:cs="Arial"/>
          <w:sz w:val="20"/>
          <w:szCs w:val="20"/>
        </w:rPr>
        <w:t>money domestic holiday packages; packaging, coordinating</w:t>
      </w:r>
      <w:r w:rsidRPr="00807837">
        <w:rPr>
          <w:rFonts w:ascii="Arial" w:eastAsia="Calibri" w:hAnsi="Arial" w:cs="Arial"/>
          <w:sz w:val="20"/>
          <w:szCs w:val="20"/>
        </w:rPr>
        <w:t xml:space="preserve"> and intensify</w:t>
      </w:r>
      <w:r w:rsidR="004C3363" w:rsidRPr="00807837">
        <w:rPr>
          <w:rFonts w:ascii="Arial" w:eastAsia="Calibri" w:hAnsi="Arial" w:cs="Arial"/>
          <w:sz w:val="20"/>
          <w:szCs w:val="20"/>
        </w:rPr>
        <w:t>ing</w:t>
      </w:r>
      <w:r w:rsidRPr="00807837">
        <w:rPr>
          <w:rFonts w:ascii="Arial" w:eastAsia="Calibri" w:hAnsi="Arial" w:cs="Arial"/>
          <w:sz w:val="20"/>
          <w:szCs w:val="20"/>
        </w:rPr>
        <w:t xml:space="preserve"> communication </w:t>
      </w:r>
      <w:r w:rsidR="004659D9" w:rsidRPr="00807837">
        <w:rPr>
          <w:rFonts w:ascii="Arial" w:eastAsia="Calibri" w:hAnsi="Arial" w:cs="Arial"/>
          <w:sz w:val="20"/>
          <w:szCs w:val="20"/>
        </w:rPr>
        <w:t>around</w:t>
      </w:r>
      <w:r w:rsidR="004C3363" w:rsidRPr="00807837">
        <w:rPr>
          <w:rFonts w:ascii="Arial" w:eastAsia="Calibri" w:hAnsi="Arial" w:cs="Arial"/>
          <w:sz w:val="20"/>
          <w:szCs w:val="20"/>
        </w:rPr>
        <w:t xml:space="preserve"> </w:t>
      </w:r>
      <w:r w:rsidR="002F7869" w:rsidRPr="00807837">
        <w:rPr>
          <w:rFonts w:ascii="Arial" w:eastAsia="Calibri" w:hAnsi="Arial" w:cs="Arial"/>
          <w:sz w:val="20"/>
          <w:szCs w:val="20"/>
        </w:rPr>
        <w:t xml:space="preserve">the </w:t>
      </w:r>
      <w:r w:rsidR="004C3363" w:rsidRPr="00807837">
        <w:rPr>
          <w:rFonts w:ascii="Arial" w:eastAsia="Calibri" w:hAnsi="Arial" w:cs="Arial"/>
          <w:sz w:val="20"/>
          <w:szCs w:val="20"/>
        </w:rPr>
        <w:t xml:space="preserve">South African Variant narrative </w:t>
      </w:r>
      <w:r w:rsidR="004659D9" w:rsidRPr="00807837">
        <w:rPr>
          <w:rFonts w:ascii="Arial" w:eastAsia="Calibri" w:hAnsi="Arial" w:cs="Arial"/>
          <w:sz w:val="20"/>
          <w:szCs w:val="20"/>
        </w:rPr>
        <w:t>of</w:t>
      </w:r>
      <w:r w:rsidR="004C3363" w:rsidRPr="00807837">
        <w:rPr>
          <w:rFonts w:ascii="Arial" w:eastAsia="Calibri" w:hAnsi="Arial" w:cs="Arial"/>
          <w:sz w:val="20"/>
          <w:szCs w:val="20"/>
        </w:rPr>
        <w:t xml:space="preserve"> COVID-19; i</w:t>
      </w:r>
      <w:r w:rsidRPr="00807837">
        <w:rPr>
          <w:rFonts w:ascii="Arial" w:eastAsia="Calibri" w:hAnsi="Arial" w:cs="Arial"/>
          <w:sz w:val="20"/>
          <w:szCs w:val="20"/>
        </w:rPr>
        <w:t>ntensify</w:t>
      </w:r>
      <w:r w:rsidR="004C3363" w:rsidRPr="00807837">
        <w:rPr>
          <w:rFonts w:ascii="Arial" w:eastAsia="Calibri" w:hAnsi="Arial" w:cs="Arial"/>
          <w:sz w:val="20"/>
          <w:szCs w:val="20"/>
        </w:rPr>
        <w:t>ing</w:t>
      </w:r>
      <w:r w:rsidRPr="00807837">
        <w:rPr>
          <w:rFonts w:ascii="Arial" w:eastAsia="Calibri" w:hAnsi="Arial" w:cs="Arial"/>
          <w:sz w:val="20"/>
          <w:szCs w:val="20"/>
        </w:rPr>
        <w:t xml:space="preserve"> the work done in </w:t>
      </w:r>
      <w:r w:rsidR="002F7869" w:rsidRPr="00807837">
        <w:rPr>
          <w:rFonts w:ascii="Arial" w:eastAsia="Calibri" w:hAnsi="Arial" w:cs="Arial"/>
          <w:sz w:val="20"/>
          <w:szCs w:val="20"/>
        </w:rPr>
        <w:t>villages, townships and small dorpies (</w:t>
      </w:r>
      <w:r w:rsidRPr="00807837">
        <w:rPr>
          <w:rFonts w:ascii="Arial" w:eastAsia="Calibri" w:hAnsi="Arial" w:cs="Arial"/>
          <w:sz w:val="20"/>
          <w:szCs w:val="20"/>
        </w:rPr>
        <w:t>VTSDs</w:t>
      </w:r>
      <w:r w:rsidR="002F7869" w:rsidRPr="00807837">
        <w:rPr>
          <w:rFonts w:ascii="Arial" w:eastAsia="Calibri" w:hAnsi="Arial" w:cs="Arial"/>
          <w:sz w:val="20"/>
          <w:szCs w:val="20"/>
        </w:rPr>
        <w:t>)</w:t>
      </w:r>
      <w:r w:rsidRPr="00807837">
        <w:rPr>
          <w:rFonts w:ascii="Arial" w:eastAsia="Calibri" w:hAnsi="Arial" w:cs="Arial"/>
          <w:sz w:val="20"/>
          <w:szCs w:val="20"/>
        </w:rPr>
        <w:t xml:space="preserve"> to more than three small towns for business events as the venue requirements </w:t>
      </w:r>
      <w:r w:rsidR="004C3363" w:rsidRPr="00807837">
        <w:rPr>
          <w:rFonts w:ascii="Arial" w:eastAsia="Calibri" w:hAnsi="Arial" w:cs="Arial"/>
          <w:sz w:val="20"/>
          <w:szCs w:val="20"/>
        </w:rPr>
        <w:t xml:space="preserve">will change due </w:t>
      </w:r>
      <w:r w:rsidR="002F7869" w:rsidRPr="00807837">
        <w:rPr>
          <w:rFonts w:ascii="Arial" w:eastAsia="Calibri" w:hAnsi="Arial" w:cs="Arial"/>
          <w:sz w:val="20"/>
          <w:szCs w:val="20"/>
        </w:rPr>
        <w:t xml:space="preserve">to </w:t>
      </w:r>
      <w:r w:rsidR="004C3363" w:rsidRPr="00807837">
        <w:rPr>
          <w:rFonts w:ascii="Arial" w:eastAsia="Calibri" w:hAnsi="Arial" w:cs="Arial"/>
          <w:sz w:val="20"/>
          <w:szCs w:val="20"/>
        </w:rPr>
        <w:t>hybrid meetings</w:t>
      </w:r>
      <w:r w:rsidR="002F7869" w:rsidRPr="00807837">
        <w:rPr>
          <w:rFonts w:ascii="Arial" w:eastAsia="Calibri" w:hAnsi="Arial" w:cs="Arial"/>
          <w:sz w:val="20"/>
          <w:szCs w:val="20"/>
        </w:rPr>
        <w:t>;</w:t>
      </w:r>
      <w:r w:rsidR="004C3363" w:rsidRPr="00807837">
        <w:rPr>
          <w:rFonts w:ascii="Arial" w:eastAsia="Calibri" w:hAnsi="Arial" w:cs="Arial"/>
          <w:sz w:val="20"/>
          <w:szCs w:val="20"/>
        </w:rPr>
        <w:t xml:space="preserve"> and p</w:t>
      </w:r>
      <w:r w:rsidR="004C3363" w:rsidRPr="00807837">
        <w:rPr>
          <w:rFonts w:ascii="Arial" w:eastAsia="Calibri" w:hAnsi="Arial" w:cs="Arial"/>
          <w:sz w:val="20"/>
          <w:szCs w:val="20"/>
          <w:lang/>
        </w:rPr>
        <w:t>rioritising</w:t>
      </w:r>
      <w:r w:rsidRPr="00807837">
        <w:rPr>
          <w:rFonts w:ascii="Arial" w:eastAsia="Calibri" w:hAnsi="Arial" w:cs="Arial"/>
          <w:sz w:val="20"/>
          <w:szCs w:val="20"/>
          <w:lang/>
        </w:rPr>
        <w:t xml:space="preserve"> the thirty Community-Based Tourism projects implemented by the Department of Tourism in the marketing </w:t>
      </w:r>
      <w:r w:rsidR="002F7869" w:rsidRPr="00807837">
        <w:rPr>
          <w:rFonts w:ascii="Arial" w:eastAsia="Calibri" w:hAnsi="Arial" w:cs="Arial"/>
          <w:sz w:val="20"/>
          <w:szCs w:val="20"/>
          <w:lang/>
        </w:rPr>
        <w:t xml:space="preserve">of </w:t>
      </w:r>
      <w:r w:rsidRPr="00807837">
        <w:rPr>
          <w:rFonts w:ascii="Arial" w:eastAsia="Calibri" w:hAnsi="Arial" w:cs="Arial"/>
          <w:sz w:val="20"/>
          <w:szCs w:val="20"/>
          <w:lang/>
        </w:rPr>
        <w:t>activities.</w:t>
      </w:r>
    </w:p>
    <w:p w:rsidR="004C3363" w:rsidRPr="00807837" w:rsidRDefault="004C3363" w:rsidP="00807837">
      <w:pPr>
        <w:spacing w:after="0" w:line="240" w:lineRule="auto"/>
        <w:contextualSpacing/>
        <w:rPr>
          <w:rFonts w:ascii="Arial" w:eastAsia="Calibri" w:hAnsi="Arial" w:cs="Arial"/>
          <w:sz w:val="20"/>
          <w:szCs w:val="20"/>
          <w:lang/>
        </w:rPr>
      </w:pPr>
    </w:p>
    <w:p w:rsidR="004C3363" w:rsidRPr="00807837" w:rsidRDefault="004C3363" w:rsidP="00807837">
      <w:pPr>
        <w:spacing w:after="0" w:line="240" w:lineRule="auto"/>
        <w:contextualSpacing/>
        <w:rPr>
          <w:rFonts w:ascii="Arial" w:eastAsia="Calibri" w:hAnsi="Arial" w:cs="Arial"/>
          <w:sz w:val="20"/>
          <w:szCs w:val="20"/>
        </w:rPr>
      </w:pPr>
      <w:r w:rsidRPr="00807837">
        <w:rPr>
          <w:rFonts w:ascii="Arial" w:eastAsia="Calibri" w:hAnsi="Arial" w:cs="Arial"/>
          <w:sz w:val="20"/>
          <w:szCs w:val="20"/>
          <w:lang/>
        </w:rPr>
        <w:t>The Committee has not received responses from the Minister of Tourism on how these recommendations are being implemented.</w:t>
      </w:r>
    </w:p>
    <w:p w:rsidR="00D87FE4" w:rsidRPr="00807837" w:rsidRDefault="00D87FE4" w:rsidP="00807837">
      <w:pPr>
        <w:spacing w:after="0" w:line="240" w:lineRule="auto"/>
        <w:contextualSpacing/>
        <w:rPr>
          <w:rFonts w:ascii="Arial" w:eastAsia="Calibri" w:hAnsi="Arial" w:cs="Arial"/>
          <w:sz w:val="20"/>
          <w:szCs w:val="20"/>
        </w:rPr>
      </w:pPr>
    </w:p>
    <w:p w:rsidR="00CD3840" w:rsidRPr="00807837" w:rsidRDefault="00085C39" w:rsidP="00807837">
      <w:pPr>
        <w:numPr>
          <w:ilvl w:val="0"/>
          <w:numId w:val="8"/>
        </w:numPr>
        <w:tabs>
          <w:tab w:val="num" w:pos="2160"/>
          <w:tab w:val="num" w:pos="2880"/>
        </w:tabs>
        <w:spacing w:after="0" w:line="240" w:lineRule="auto"/>
        <w:ind w:hanging="502"/>
        <w:contextualSpacing/>
        <w:rPr>
          <w:rFonts w:ascii="Arial" w:eastAsia="Calibri" w:hAnsi="Arial" w:cs="Arial"/>
          <w:sz w:val="20"/>
          <w:szCs w:val="20"/>
        </w:rPr>
      </w:pPr>
      <w:r w:rsidRPr="00807837">
        <w:rPr>
          <w:rFonts w:ascii="Arial" w:eastAsia="Calibri" w:hAnsi="Arial" w:cs="Arial"/>
          <w:b/>
          <w:sz w:val="20"/>
          <w:szCs w:val="20"/>
        </w:rPr>
        <w:t>OVERVIEW AND ASSESSMENT OF FINANCIAL PERFORMANCE</w:t>
      </w:r>
    </w:p>
    <w:p w:rsidR="00CD3840" w:rsidRPr="00807837" w:rsidRDefault="00CD3840" w:rsidP="00807837">
      <w:pPr>
        <w:spacing w:after="0" w:line="240" w:lineRule="auto"/>
        <w:contextualSpacing/>
        <w:rPr>
          <w:rFonts w:ascii="Arial" w:eastAsia="Calibri" w:hAnsi="Arial" w:cs="Arial"/>
          <w:sz w:val="20"/>
          <w:szCs w:val="20"/>
        </w:rPr>
      </w:pPr>
    </w:p>
    <w:p w:rsidR="00CD3840" w:rsidRPr="00807837" w:rsidRDefault="00CD3840" w:rsidP="00807837">
      <w:pPr>
        <w:spacing w:after="0" w:line="240" w:lineRule="auto"/>
        <w:contextualSpacing/>
        <w:rPr>
          <w:rFonts w:ascii="Arial" w:eastAsia="Calibri" w:hAnsi="Arial" w:cs="Arial"/>
          <w:sz w:val="20"/>
          <w:szCs w:val="20"/>
        </w:rPr>
      </w:pPr>
      <w:r w:rsidRPr="00807837">
        <w:rPr>
          <w:rFonts w:ascii="Arial" w:eastAsia="Calibri" w:hAnsi="Arial" w:cs="Arial"/>
          <w:sz w:val="20"/>
          <w:szCs w:val="20"/>
        </w:rPr>
        <w:t xml:space="preserve">The Committee </w:t>
      </w:r>
      <w:r w:rsidR="00282508" w:rsidRPr="00807837">
        <w:rPr>
          <w:rFonts w:ascii="Arial" w:eastAsia="Calibri" w:hAnsi="Arial" w:cs="Arial"/>
          <w:sz w:val="20"/>
          <w:szCs w:val="20"/>
        </w:rPr>
        <w:t xml:space="preserve">assessed </w:t>
      </w:r>
      <w:r w:rsidRPr="00807837">
        <w:rPr>
          <w:rFonts w:ascii="Arial" w:eastAsia="Calibri" w:hAnsi="Arial" w:cs="Arial"/>
          <w:sz w:val="20"/>
          <w:szCs w:val="20"/>
        </w:rPr>
        <w:t>the budget allocation and expenditure trend</w:t>
      </w:r>
      <w:r w:rsidR="00282508" w:rsidRPr="00807837">
        <w:rPr>
          <w:rFonts w:ascii="Arial" w:eastAsia="Calibri" w:hAnsi="Arial" w:cs="Arial"/>
          <w:sz w:val="20"/>
          <w:szCs w:val="20"/>
        </w:rPr>
        <w:t>s in the sector over the 201</w:t>
      </w:r>
      <w:r w:rsidR="000520B1" w:rsidRPr="00807837">
        <w:rPr>
          <w:rFonts w:ascii="Arial" w:eastAsia="Calibri" w:hAnsi="Arial" w:cs="Arial"/>
          <w:sz w:val="20"/>
          <w:szCs w:val="20"/>
        </w:rPr>
        <w:t>7</w:t>
      </w:r>
      <w:r w:rsidR="00EF6FBD" w:rsidRPr="00807837">
        <w:rPr>
          <w:rFonts w:ascii="Arial" w:eastAsia="Calibri" w:hAnsi="Arial" w:cs="Arial"/>
          <w:sz w:val="20"/>
          <w:szCs w:val="20"/>
        </w:rPr>
        <w:t>/1</w:t>
      </w:r>
      <w:r w:rsidR="00B6176D" w:rsidRPr="00807837">
        <w:rPr>
          <w:rFonts w:ascii="Arial" w:eastAsia="Calibri" w:hAnsi="Arial" w:cs="Arial"/>
          <w:sz w:val="20"/>
          <w:szCs w:val="20"/>
        </w:rPr>
        <w:t>8</w:t>
      </w:r>
      <w:r w:rsidR="00EF6FBD" w:rsidRPr="00807837">
        <w:rPr>
          <w:rFonts w:ascii="Arial" w:eastAsia="Calibri" w:hAnsi="Arial" w:cs="Arial"/>
          <w:sz w:val="20"/>
          <w:szCs w:val="20"/>
        </w:rPr>
        <w:t xml:space="preserve"> – 20</w:t>
      </w:r>
      <w:r w:rsidR="00282508" w:rsidRPr="00807837">
        <w:rPr>
          <w:rFonts w:ascii="Arial" w:eastAsia="Calibri" w:hAnsi="Arial" w:cs="Arial"/>
          <w:sz w:val="20"/>
          <w:szCs w:val="20"/>
        </w:rPr>
        <w:t>2</w:t>
      </w:r>
      <w:r w:rsidR="00B6176D" w:rsidRPr="00807837">
        <w:rPr>
          <w:rFonts w:ascii="Arial" w:eastAsia="Calibri" w:hAnsi="Arial" w:cs="Arial"/>
          <w:sz w:val="20"/>
          <w:szCs w:val="20"/>
        </w:rPr>
        <w:t>1</w:t>
      </w:r>
      <w:r w:rsidR="00EF6FBD" w:rsidRPr="00807837">
        <w:rPr>
          <w:rFonts w:ascii="Arial" w:eastAsia="Calibri" w:hAnsi="Arial" w:cs="Arial"/>
          <w:sz w:val="20"/>
          <w:szCs w:val="20"/>
        </w:rPr>
        <w:t>/2</w:t>
      </w:r>
      <w:r w:rsidR="00B6176D" w:rsidRPr="00807837">
        <w:rPr>
          <w:rFonts w:ascii="Arial" w:eastAsia="Calibri" w:hAnsi="Arial" w:cs="Arial"/>
          <w:sz w:val="20"/>
          <w:szCs w:val="20"/>
        </w:rPr>
        <w:t>2</w:t>
      </w:r>
      <w:r w:rsidRPr="00807837">
        <w:rPr>
          <w:rFonts w:ascii="Arial" w:eastAsia="Calibri" w:hAnsi="Arial" w:cs="Arial"/>
          <w:sz w:val="20"/>
          <w:szCs w:val="20"/>
        </w:rPr>
        <w:t xml:space="preserve"> financial years to </w:t>
      </w:r>
      <w:r w:rsidR="004D105A" w:rsidRPr="00807837">
        <w:rPr>
          <w:rFonts w:ascii="Arial" w:eastAsia="Calibri" w:hAnsi="Arial" w:cs="Arial"/>
          <w:sz w:val="20"/>
          <w:szCs w:val="20"/>
        </w:rPr>
        <w:t>establish the trends for Vote 38</w:t>
      </w:r>
      <w:r w:rsidRPr="00807837">
        <w:rPr>
          <w:rFonts w:ascii="Arial" w:eastAsia="Calibri" w:hAnsi="Arial" w:cs="Arial"/>
          <w:sz w:val="20"/>
          <w:szCs w:val="20"/>
        </w:rPr>
        <w:t>.</w:t>
      </w:r>
      <w:r w:rsidR="00282508" w:rsidRPr="00807837">
        <w:rPr>
          <w:rFonts w:ascii="Arial" w:eastAsia="Calibri" w:hAnsi="Arial" w:cs="Arial"/>
          <w:sz w:val="20"/>
          <w:szCs w:val="20"/>
        </w:rPr>
        <w:t xml:space="preserve"> The </w:t>
      </w:r>
      <w:r w:rsidR="00B6176D" w:rsidRPr="00807837">
        <w:rPr>
          <w:rFonts w:ascii="Arial" w:eastAsia="Calibri" w:hAnsi="Arial" w:cs="Arial"/>
          <w:sz w:val="20"/>
          <w:szCs w:val="20"/>
        </w:rPr>
        <w:t xml:space="preserve">assessment confirmed the </w:t>
      </w:r>
      <w:r w:rsidR="00282508" w:rsidRPr="00807837">
        <w:rPr>
          <w:rFonts w:ascii="Arial" w:eastAsia="Calibri" w:hAnsi="Arial" w:cs="Arial"/>
          <w:sz w:val="20"/>
          <w:szCs w:val="20"/>
        </w:rPr>
        <w:t xml:space="preserve">trend </w:t>
      </w:r>
      <w:r w:rsidR="00B6176D" w:rsidRPr="00807837">
        <w:rPr>
          <w:rFonts w:ascii="Arial" w:eastAsia="Calibri" w:hAnsi="Arial" w:cs="Arial"/>
          <w:sz w:val="20"/>
          <w:szCs w:val="20"/>
        </w:rPr>
        <w:t>t</w:t>
      </w:r>
      <w:r w:rsidR="00282508" w:rsidRPr="00807837">
        <w:rPr>
          <w:rFonts w:ascii="Arial" w:eastAsia="Calibri" w:hAnsi="Arial" w:cs="Arial"/>
          <w:sz w:val="20"/>
          <w:szCs w:val="20"/>
        </w:rPr>
        <w:t>hat the Department always spend</w:t>
      </w:r>
      <w:r w:rsidR="0055322C" w:rsidRPr="00807837">
        <w:rPr>
          <w:rFonts w:ascii="Arial" w:eastAsia="Calibri" w:hAnsi="Arial" w:cs="Arial"/>
          <w:sz w:val="20"/>
          <w:szCs w:val="20"/>
        </w:rPr>
        <w:t>s</w:t>
      </w:r>
      <w:r w:rsidR="00282508" w:rsidRPr="00807837">
        <w:rPr>
          <w:rFonts w:ascii="Arial" w:eastAsia="Calibri" w:hAnsi="Arial" w:cs="Arial"/>
          <w:sz w:val="20"/>
          <w:szCs w:val="20"/>
        </w:rPr>
        <w:t xml:space="preserve"> almost 100 percent of its allocated budget whilst failing to </w:t>
      </w:r>
      <w:r w:rsidR="00B6176D" w:rsidRPr="00807837">
        <w:rPr>
          <w:rFonts w:ascii="Arial" w:eastAsia="Calibri" w:hAnsi="Arial" w:cs="Arial"/>
          <w:sz w:val="20"/>
          <w:szCs w:val="20"/>
        </w:rPr>
        <w:t xml:space="preserve">equivalently </w:t>
      </w:r>
      <w:r w:rsidR="00282508" w:rsidRPr="00807837">
        <w:rPr>
          <w:rFonts w:ascii="Arial" w:eastAsia="Calibri" w:hAnsi="Arial" w:cs="Arial"/>
          <w:sz w:val="20"/>
          <w:szCs w:val="20"/>
        </w:rPr>
        <w:t xml:space="preserve">achieve </w:t>
      </w:r>
      <w:r w:rsidR="00B6176D" w:rsidRPr="00807837">
        <w:rPr>
          <w:rFonts w:ascii="Arial" w:eastAsia="Calibri" w:hAnsi="Arial" w:cs="Arial"/>
          <w:sz w:val="20"/>
          <w:szCs w:val="20"/>
        </w:rPr>
        <w:t xml:space="preserve">the set </w:t>
      </w:r>
      <w:r w:rsidR="00282508" w:rsidRPr="00807837">
        <w:rPr>
          <w:rFonts w:ascii="Arial" w:eastAsia="Calibri" w:hAnsi="Arial" w:cs="Arial"/>
          <w:sz w:val="20"/>
          <w:szCs w:val="20"/>
        </w:rPr>
        <w:t>targets</w:t>
      </w:r>
      <w:r w:rsidR="00B6176D" w:rsidRPr="00807837">
        <w:rPr>
          <w:rFonts w:ascii="Arial" w:eastAsia="Calibri" w:hAnsi="Arial" w:cs="Arial"/>
          <w:sz w:val="20"/>
          <w:szCs w:val="20"/>
        </w:rPr>
        <w:t>.</w:t>
      </w:r>
    </w:p>
    <w:p w:rsidR="00CD3840" w:rsidRPr="00807837" w:rsidRDefault="00CD3840" w:rsidP="00807837">
      <w:pPr>
        <w:spacing w:after="0" w:line="240" w:lineRule="auto"/>
        <w:contextualSpacing/>
        <w:rPr>
          <w:rFonts w:ascii="Arial" w:eastAsia="Calibri" w:hAnsi="Arial" w:cs="Arial"/>
          <w:sz w:val="20"/>
          <w:szCs w:val="20"/>
        </w:rPr>
      </w:pPr>
    </w:p>
    <w:p w:rsidR="00CD3840" w:rsidRPr="00807837" w:rsidRDefault="00CD3840" w:rsidP="00807837">
      <w:pPr>
        <w:spacing w:after="0" w:line="240" w:lineRule="auto"/>
        <w:contextualSpacing/>
        <w:rPr>
          <w:rFonts w:ascii="Arial" w:eastAsia="Calibri" w:hAnsi="Arial" w:cs="Arial"/>
          <w:b/>
          <w:sz w:val="20"/>
          <w:szCs w:val="20"/>
        </w:rPr>
      </w:pPr>
      <w:r w:rsidRPr="00807837">
        <w:rPr>
          <w:rFonts w:ascii="Arial" w:eastAsia="Calibri" w:hAnsi="Arial" w:cs="Arial"/>
          <w:b/>
          <w:sz w:val="20"/>
          <w:szCs w:val="20"/>
        </w:rPr>
        <w:t>4.1</w:t>
      </w:r>
      <w:r w:rsidRPr="00807837">
        <w:rPr>
          <w:rFonts w:ascii="Arial" w:eastAsia="Calibri" w:hAnsi="Arial" w:cs="Arial"/>
          <w:b/>
          <w:sz w:val="20"/>
          <w:szCs w:val="20"/>
        </w:rPr>
        <w:tab/>
        <w:t xml:space="preserve">Budget and expenditure, </w:t>
      </w:r>
      <w:r w:rsidR="00397B5A" w:rsidRPr="00807837">
        <w:rPr>
          <w:rFonts w:ascii="Arial" w:eastAsia="Calibri" w:hAnsi="Arial" w:cs="Arial"/>
          <w:b/>
          <w:sz w:val="20"/>
          <w:szCs w:val="20"/>
        </w:rPr>
        <w:t>20</w:t>
      </w:r>
      <w:r w:rsidR="004C3363" w:rsidRPr="00807837">
        <w:rPr>
          <w:rFonts w:ascii="Arial" w:eastAsia="Calibri" w:hAnsi="Arial" w:cs="Arial"/>
          <w:b/>
          <w:sz w:val="20"/>
          <w:szCs w:val="20"/>
        </w:rPr>
        <w:t>17</w:t>
      </w:r>
      <w:r w:rsidR="00EF6FBD" w:rsidRPr="00807837">
        <w:rPr>
          <w:rFonts w:ascii="Arial" w:eastAsia="Calibri" w:hAnsi="Arial" w:cs="Arial"/>
          <w:b/>
          <w:sz w:val="20"/>
          <w:szCs w:val="20"/>
        </w:rPr>
        <w:t>/1</w:t>
      </w:r>
      <w:r w:rsidR="004C3363" w:rsidRPr="00807837">
        <w:rPr>
          <w:rFonts w:ascii="Arial" w:eastAsia="Calibri" w:hAnsi="Arial" w:cs="Arial"/>
          <w:b/>
          <w:sz w:val="20"/>
          <w:szCs w:val="20"/>
        </w:rPr>
        <w:t>8</w:t>
      </w:r>
      <w:r w:rsidRPr="00807837">
        <w:rPr>
          <w:rFonts w:ascii="Arial" w:eastAsia="Calibri" w:hAnsi="Arial" w:cs="Arial"/>
          <w:b/>
          <w:sz w:val="20"/>
          <w:szCs w:val="20"/>
        </w:rPr>
        <w:t xml:space="preserve"> –</w:t>
      </w:r>
      <w:r w:rsidR="00EF6FBD" w:rsidRPr="00807837">
        <w:rPr>
          <w:rFonts w:ascii="Arial" w:eastAsia="Calibri" w:hAnsi="Arial" w:cs="Arial"/>
          <w:b/>
          <w:sz w:val="20"/>
          <w:szCs w:val="20"/>
        </w:rPr>
        <w:t xml:space="preserve"> 20</w:t>
      </w:r>
      <w:r w:rsidR="00397B5A" w:rsidRPr="00807837">
        <w:rPr>
          <w:rFonts w:ascii="Arial" w:eastAsia="Calibri" w:hAnsi="Arial" w:cs="Arial"/>
          <w:b/>
          <w:sz w:val="20"/>
          <w:szCs w:val="20"/>
        </w:rPr>
        <w:t>2</w:t>
      </w:r>
      <w:r w:rsidR="004C3363" w:rsidRPr="00807837">
        <w:rPr>
          <w:rFonts w:ascii="Arial" w:eastAsia="Calibri" w:hAnsi="Arial" w:cs="Arial"/>
          <w:b/>
          <w:sz w:val="20"/>
          <w:szCs w:val="20"/>
        </w:rPr>
        <w:t>1</w:t>
      </w:r>
      <w:r w:rsidR="00397B5A" w:rsidRPr="00807837">
        <w:rPr>
          <w:rFonts w:ascii="Arial" w:eastAsia="Calibri" w:hAnsi="Arial" w:cs="Arial"/>
          <w:b/>
          <w:sz w:val="20"/>
          <w:szCs w:val="20"/>
        </w:rPr>
        <w:t>/2</w:t>
      </w:r>
      <w:r w:rsidR="004C3363" w:rsidRPr="00807837">
        <w:rPr>
          <w:rFonts w:ascii="Arial" w:eastAsia="Calibri" w:hAnsi="Arial" w:cs="Arial"/>
          <w:b/>
          <w:sz w:val="20"/>
          <w:szCs w:val="20"/>
        </w:rPr>
        <w:t>2</w:t>
      </w:r>
    </w:p>
    <w:p w:rsidR="008112E8" w:rsidRPr="00807837" w:rsidRDefault="008112E8" w:rsidP="00807837">
      <w:pPr>
        <w:spacing w:after="0" w:line="240" w:lineRule="auto"/>
        <w:contextualSpacing/>
        <w:rPr>
          <w:rFonts w:ascii="Arial" w:eastAsia="Calibri" w:hAnsi="Arial" w:cs="Arial"/>
          <w:sz w:val="20"/>
          <w:szCs w:val="20"/>
        </w:rPr>
      </w:pPr>
    </w:p>
    <w:p w:rsidR="00282508" w:rsidRPr="00807837" w:rsidRDefault="00EF6FBD" w:rsidP="00807837">
      <w:pPr>
        <w:spacing w:after="0" w:line="240" w:lineRule="auto"/>
        <w:contextualSpacing/>
        <w:rPr>
          <w:rFonts w:ascii="Arial" w:eastAsia="Calibri" w:hAnsi="Arial" w:cs="Arial"/>
          <w:sz w:val="20"/>
          <w:szCs w:val="20"/>
        </w:rPr>
      </w:pPr>
      <w:r w:rsidRPr="00807837">
        <w:rPr>
          <w:rFonts w:ascii="Arial" w:eastAsia="Calibri" w:hAnsi="Arial" w:cs="Arial"/>
          <w:sz w:val="20"/>
          <w:szCs w:val="20"/>
        </w:rPr>
        <w:t>The Department has had a steady increase in the allocated budget over the past f</w:t>
      </w:r>
      <w:r w:rsidR="00397B5A" w:rsidRPr="00807837">
        <w:rPr>
          <w:rFonts w:ascii="Arial" w:eastAsia="Calibri" w:hAnsi="Arial" w:cs="Arial"/>
          <w:sz w:val="20"/>
          <w:szCs w:val="20"/>
        </w:rPr>
        <w:t>i</w:t>
      </w:r>
      <w:r w:rsidR="004D105A" w:rsidRPr="00807837">
        <w:rPr>
          <w:rFonts w:ascii="Arial" w:eastAsia="Calibri" w:hAnsi="Arial" w:cs="Arial"/>
          <w:sz w:val="20"/>
          <w:szCs w:val="20"/>
        </w:rPr>
        <w:t>ve years as depicted in Table 3</w:t>
      </w:r>
      <w:r w:rsidRPr="00807837">
        <w:rPr>
          <w:rFonts w:ascii="Arial" w:eastAsia="Calibri" w:hAnsi="Arial" w:cs="Arial"/>
          <w:sz w:val="20"/>
          <w:szCs w:val="20"/>
        </w:rPr>
        <w:t>.</w:t>
      </w:r>
      <w:r w:rsidR="00EF0BD7" w:rsidRPr="00807837">
        <w:rPr>
          <w:rFonts w:ascii="Arial" w:eastAsia="Calibri" w:hAnsi="Arial" w:cs="Arial"/>
          <w:sz w:val="20"/>
          <w:szCs w:val="20"/>
        </w:rPr>
        <w:t xml:space="preserve"> In the 2017/18 financial year the Department was allocated R2 140 156 000 and spent R2 133 976 000, which was 99.7 percent of the appropriated budget. In the 2018/19 financial year the Department was appropriated R2 261 817 000 and spent R2 234 802 000 which was 98.8 percent of its appropriated budget.  </w:t>
      </w:r>
      <w:r w:rsidR="00282508" w:rsidRPr="00807837">
        <w:rPr>
          <w:rFonts w:ascii="Arial" w:eastAsia="Calibri" w:hAnsi="Arial" w:cs="Arial"/>
          <w:sz w:val="20"/>
          <w:szCs w:val="20"/>
        </w:rPr>
        <w:t>In the 2019/20 financial year the Department was allocated R2</w:t>
      </w:r>
      <w:r w:rsidR="003A738C" w:rsidRPr="00807837">
        <w:rPr>
          <w:rFonts w:ascii="Arial" w:eastAsia="Calibri" w:hAnsi="Arial" w:cs="Arial"/>
          <w:sz w:val="20"/>
          <w:szCs w:val="20"/>
        </w:rPr>
        <w:t>.</w:t>
      </w:r>
      <w:r w:rsidR="00282508" w:rsidRPr="00807837">
        <w:rPr>
          <w:rFonts w:ascii="Arial" w:eastAsia="Calibri" w:hAnsi="Arial" w:cs="Arial"/>
          <w:sz w:val="20"/>
          <w:szCs w:val="20"/>
        </w:rPr>
        <w:t>392</w:t>
      </w:r>
      <w:r w:rsidR="003A738C" w:rsidRPr="00807837">
        <w:rPr>
          <w:rFonts w:ascii="Arial" w:eastAsia="Calibri" w:hAnsi="Arial" w:cs="Arial"/>
          <w:sz w:val="20"/>
          <w:szCs w:val="20"/>
        </w:rPr>
        <w:t xml:space="preserve"> billion </w:t>
      </w:r>
      <w:r w:rsidR="00282508" w:rsidRPr="00807837">
        <w:rPr>
          <w:rFonts w:ascii="Arial" w:eastAsia="Calibri" w:hAnsi="Arial" w:cs="Arial"/>
          <w:sz w:val="20"/>
          <w:szCs w:val="20"/>
        </w:rPr>
        <w:t>and was able to spend R2</w:t>
      </w:r>
      <w:r w:rsidR="003A738C" w:rsidRPr="00807837">
        <w:rPr>
          <w:rFonts w:ascii="Arial" w:eastAsia="Calibri" w:hAnsi="Arial" w:cs="Arial"/>
          <w:sz w:val="20"/>
          <w:szCs w:val="20"/>
        </w:rPr>
        <w:t>.</w:t>
      </w:r>
      <w:r w:rsidR="00282508" w:rsidRPr="00807837">
        <w:rPr>
          <w:rFonts w:ascii="Arial" w:eastAsia="Calibri" w:hAnsi="Arial" w:cs="Arial"/>
          <w:sz w:val="20"/>
          <w:szCs w:val="20"/>
        </w:rPr>
        <w:t>384 </w:t>
      </w:r>
      <w:r w:rsidR="003A738C" w:rsidRPr="00807837">
        <w:rPr>
          <w:rFonts w:ascii="Arial" w:eastAsia="Calibri" w:hAnsi="Arial" w:cs="Arial"/>
          <w:sz w:val="20"/>
          <w:szCs w:val="20"/>
        </w:rPr>
        <w:t>billion</w:t>
      </w:r>
      <w:r w:rsidR="00282508" w:rsidRPr="00807837">
        <w:rPr>
          <w:rFonts w:ascii="Arial" w:eastAsia="Calibri" w:hAnsi="Arial" w:cs="Arial"/>
          <w:sz w:val="20"/>
          <w:szCs w:val="20"/>
        </w:rPr>
        <w:t xml:space="preserve">, translating </w:t>
      </w:r>
      <w:r w:rsidR="00D0415C" w:rsidRPr="00807837">
        <w:rPr>
          <w:rFonts w:ascii="Arial" w:eastAsia="Calibri" w:hAnsi="Arial" w:cs="Arial"/>
          <w:sz w:val="20"/>
          <w:szCs w:val="20"/>
        </w:rPr>
        <w:t>to 99.7</w:t>
      </w:r>
      <w:r w:rsidR="00282508" w:rsidRPr="00807837">
        <w:rPr>
          <w:rFonts w:ascii="Arial" w:eastAsia="Calibri" w:hAnsi="Arial" w:cs="Arial"/>
          <w:sz w:val="20"/>
          <w:szCs w:val="20"/>
        </w:rPr>
        <w:t xml:space="preserve"> percent expenditure.</w:t>
      </w:r>
      <w:r w:rsidR="004C3363" w:rsidRPr="00807837">
        <w:rPr>
          <w:rFonts w:ascii="Arial" w:eastAsia="Calibri" w:hAnsi="Arial" w:cs="Arial"/>
          <w:sz w:val="20"/>
          <w:szCs w:val="20"/>
        </w:rPr>
        <w:t xml:space="preserve"> In the 2021/22 financial year the </w:t>
      </w:r>
      <w:r w:rsidR="000A09A3" w:rsidRPr="00807837">
        <w:rPr>
          <w:rFonts w:ascii="Arial" w:eastAsia="Calibri" w:hAnsi="Arial" w:cs="Arial"/>
          <w:sz w:val="20"/>
          <w:szCs w:val="20"/>
        </w:rPr>
        <w:t>Department was allocated R2.5 billion and was able to spend 99.7 per cent.</w:t>
      </w:r>
    </w:p>
    <w:p w:rsidR="004D105A" w:rsidRPr="00807837" w:rsidRDefault="004D105A" w:rsidP="00807837">
      <w:pPr>
        <w:spacing w:after="0" w:line="240" w:lineRule="auto"/>
        <w:contextualSpacing/>
        <w:rPr>
          <w:rFonts w:ascii="Arial" w:eastAsia="Calibri" w:hAnsi="Arial" w:cs="Arial"/>
          <w:sz w:val="20"/>
          <w:szCs w:val="20"/>
        </w:rPr>
      </w:pPr>
    </w:p>
    <w:p w:rsidR="00EF6FBD" w:rsidRPr="00807837" w:rsidRDefault="00EF6FBD" w:rsidP="00807837">
      <w:pPr>
        <w:spacing w:after="0" w:line="240" w:lineRule="auto"/>
        <w:rPr>
          <w:rFonts w:ascii="Arial" w:eastAsia="Calibri" w:hAnsi="Arial" w:cs="Arial"/>
          <w:b/>
          <w:sz w:val="20"/>
          <w:szCs w:val="20"/>
        </w:rPr>
      </w:pPr>
      <w:r w:rsidRPr="00807837">
        <w:rPr>
          <w:rFonts w:ascii="Arial" w:eastAsia="Calibri" w:hAnsi="Arial" w:cs="Arial"/>
          <w:b/>
          <w:sz w:val="20"/>
          <w:szCs w:val="20"/>
        </w:rPr>
        <w:t xml:space="preserve">Table 3: Overview of budgetary allocation and expenditure </w:t>
      </w:r>
      <w:r w:rsidR="0055322C" w:rsidRPr="00807837">
        <w:rPr>
          <w:rFonts w:ascii="Arial" w:eastAsia="Calibri" w:hAnsi="Arial" w:cs="Arial"/>
          <w:b/>
          <w:sz w:val="20"/>
          <w:szCs w:val="20"/>
        </w:rPr>
        <w:t>2016/17</w:t>
      </w:r>
      <w:r w:rsidRPr="00807837">
        <w:rPr>
          <w:rFonts w:ascii="Arial" w:eastAsia="Calibri" w:hAnsi="Arial" w:cs="Arial"/>
          <w:b/>
          <w:sz w:val="20"/>
          <w:szCs w:val="20"/>
        </w:rPr>
        <w:t xml:space="preserve"> – 20</w:t>
      </w:r>
      <w:r w:rsidR="002204C8" w:rsidRPr="00807837">
        <w:rPr>
          <w:rFonts w:ascii="Arial" w:eastAsia="Calibri" w:hAnsi="Arial" w:cs="Arial"/>
          <w:b/>
          <w:sz w:val="20"/>
          <w:szCs w:val="20"/>
        </w:rPr>
        <w:t>20/21</w:t>
      </w:r>
    </w:p>
    <w:tbl>
      <w:tblPr>
        <w:tblStyle w:val="TableGrid"/>
        <w:tblW w:w="0" w:type="auto"/>
        <w:tblLook w:val="04A0"/>
      </w:tblPr>
      <w:tblGrid>
        <w:gridCol w:w="919"/>
        <w:gridCol w:w="1159"/>
        <w:gridCol w:w="1090"/>
        <w:gridCol w:w="1158"/>
        <w:gridCol w:w="1080"/>
        <w:gridCol w:w="1158"/>
        <w:gridCol w:w="1339"/>
        <w:gridCol w:w="1339"/>
      </w:tblGrid>
      <w:tr w:rsidR="00B6176D" w:rsidRPr="00807837" w:rsidTr="00B6176D">
        <w:tc>
          <w:tcPr>
            <w:tcW w:w="1103" w:type="dxa"/>
          </w:tcPr>
          <w:p w:rsidR="00B6176D" w:rsidRPr="00807837" w:rsidRDefault="00B6176D" w:rsidP="00807837">
            <w:pPr>
              <w:contextualSpacing/>
              <w:rPr>
                <w:rFonts w:ascii="Arial" w:hAnsi="Arial" w:cs="Arial"/>
                <w:b/>
                <w:sz w:val="20"/>
                <w:szCs w:val="20"/>
              </w:rPr>
            </w:pPr>
          </w:p>
          <w:p w:rsidR="00B6176D" w:rsidRPr="00807837" w:rsidRDefault="00B6176D" w:rsidP="00807837">
            <w:pPr>
              <w:contextualSpacing/>
              <w:rPr>
                <w:rFonts w:ascii="Arial" w:hAnsi="Arial" w:cs="Arial"/>
                <w:b/>
                <w:sz w:val="20"/>
                <w:szCs w:val="20"/>
              </w:rPr>
            </w:pPr>
          </w:p>
          <w:p w:rsidR="00B6176D" w:rsidRPr="00807837" w:rsidRDefault="00B6176D" w:rsidP="00807837">
            <w:pPr>
              <w:contextualSpacing/>
              <w:rPr>
                <w:rFonts w:ascii="Arial" w:hAnsi="Arial" w:cs="Arial"/>
                <w:b/>
                <w:sz w:val="20"/>
                <w:szCs w:val="20"/>
              </w:rPr>
            </w:pPr>
          </w:p>
          <w:p w:rsidR="00B6176D" w:rsidRPr="00807837" w:rsidRDefault="00B6176D" w:rsidP="00807837">
            <w:pPr>
              <w:contextualSpacing/>
              <w:rPr>
                <w:rFonts w:ascii="Arial" w:hAnsi="Arial" w:cs="Arial"/>
                <w:b/>
                <w:sz w:val="20"/>
                <w:szCs w:val="20"/>
              </w:rPr>
            </w:pPr>
          </w:p>
          <w:p w:rsidR="00B6176D" w:rsidRPr="00807837" w:rsidRDefault="00B6176D" w:rsidP="00807837">
            <w:pPr>
              <w:contextualSpacing/>
              <w:rPr>
                <w:rFonts w:ascii="Arial" w:eastAsia="Calibri" w:hAnsi="Arial" w:cs="Arial"/>
                <w:b/>
                <w:sz w:val="20"/>
                <w:szCs w:val="20"/>
              </w:rPr>
            </w:pPr>
            <w:r w:rsidRPr="00807837">
              <w:rPr>
                <w:rFonts w:ascii="Arial" w:hAnsi="Arial" w:cs="Arial"/>
                <w:b/>
                <w:sz w:val="20"/>
                <w:szCs w:val="20"/>
              </w:rPr>
              <w:t>Year</w:t>
            </w:r>
          </w:p>
        </w:tc>
        <w:tc>
          <w:tcPr>
            <w:tcW w:w="1247" w:type="dxa"/>
          </w:tcPr>
          <w:p w:rsidR="00B6176D" w:rsidRPr="00807837" w:rsidRDefault="00B6176D" w:rsidP="00807837">
            <w:pPr>
              <w:contextualSpacing/>
              <w:rPr>
                <w:rFonts w:ascii="Arial" w:hAnsi="Arial" w:cs="Arial"/>
                <w:b/>
                <w:sz w:val="20"/>
                <w:szCs w:val="20"/>
              </w:rPr>
            </w:pPr>
          </w:p>
          <w:p w:rsidR="00B6176D" w:rsidRPr="00807837" w:rsidRDefault="00B6176D" w:rsidP="00807837">
            <w:pPr>
              <w:contextualSpacing/>
              <w:rPr>
                <w:rFonts w:ascii="Arial" w:hAnsi="Arial" w:cs="Arial"/>
                <w:b/>
                <w:sz w:val="20"/>
                <w:szCs w:val="20"/>
              </w:rPr>
            </w:pPr>
          </w:p>
          <w:p w:rsidR="00B6176D" w:rsidRPr="00807837" w:rsidRDefault="00B6176D" w:rsidP="00807837">
            <w:pPr>
              <w:contextualSpacing/>
              <w:rPr>
                <w:rFonts w:ascii="Arial" w:hAnsi="Arial" w:cs="Arial"/>
                <w:b/>
                <w:sz w:val="20"/>
                <w:szCs w:val="20"/>
              </w:rPr>
            </w:pPr>
          </w:p>
          <w:p w:rsidR="00B6176D" w:rsidRPr="00807837" w:rsidRDefault="00B6176D" w:rsidP="00807837">
            <w:pPr>
              <w:contextualSpacing/>
              <w:rPr>
                <w:rFonts w:ascii="Arial" w:eastAsia="Calibri" w:hAnsi="Arial" w:cs="Arial"/>
                <w:b/>
                <w:sz w:val="20"/>
                <w:szCs w:val="20"/>
              </w:rPr>
            </w:pPr>
            <w:r w:rsidRPr="00807837">
              <w:rPr>
                <w:rFonts w:ascii="Arial" w:hAnsi="Arial" w:cs="Arial"/>
                <w:b/>
                <w:sz w:val="20"/>
                <w:szCs w:val="20"/>
              </w:rPr>
              <w:t>Voted Allocation (R'million)</w:t>
            </w:r>
          </w:p>
        </w:tc>
        <w:tc>
          <w:tcPr>
            <w:tcW w:w="967" w:type="dxa"/>
          </w:tcPr>
          <w:p w:rsidR="00B6176D" w:rsidRPr="00807837" w:rsidRDefault="00B6176D" w:rsidP="00807837">
            <w:pPr>
              <w:contextualSpacing/>
              <w:rPr>
                <w:rFonts w:ascii="Arial" w:hAnsi="Arial" w:cs="Arial"/>
                <w:b/>
                <w:sz w:val="20"/>
                <w:szCs w:val="20"/>
              </w:rPr>
            </w:pPr>
          </w:p>
          <w:p w:rsidR="00B6176D" w:rsidRPr="00807837" w:rsidRDefault="00B6176D" w:rsidP="00807837">
            <w:pPr>
              <w:contextualSpacing/>
              <w:rPr>
                <w:rFonts w:ascii="Arial" w:hAnsi="Arial" w:cs="Arial"/>
                <w:b/>
                <w:sz w:val="20"/>
                <w:szCs w:val="20"/>
              </w:rPr>
            </w:pPr>
          </w:p>
          <w:p w:rsidR="00B6176D" w:rsidRPr="00807837" w:rsidRDefault="00B6176D" w:rsidP="00807837">
            <w:pPr>
              <w:contextualSpacing/>
              <w:rPr>
                <w:rFonts w:ascii="Arial" w:eastAsia="Calibri" w:hAnsi="Arial" w:cs="Arial"/>
                <w:b/>
                <w:sz w:val="20"/>
                <w:szCs w:val="20"/>
              </w:rPr>
            </w:pPr>
            <w:r w:rsidRPr="00807837">
              <w:rPr>
                <w:rFonts w:ascii="Arial" w:hAnsi="Arial" w:cs="Arial"/>
                <w:b/>
                <w:sz w:val="20"/>
                <w:szCs w:val="20"/>
              </w:rPr>
              <w:t>% change from previous year (nominal)</w:t>
            </w:r>
          </w:p>
        </w:tc>
        <w:tc>
          <w:tcPr>
            <w:tcW w:w="1260" w:type="dxa"/>
          </w:tcPr>
          <w:p w:rsidR="00B6176D" w:rsidRPr="00807837" w:rsidRDefault="00B6176D" w:rsidP="00807837">
            <w:pPr>
              <w:contextualSpacing/>
              <w:rPr>
                <w:rFonts w:ascii="Arial" w:hAnsi="Arial" w:cs="Arial"/>
                <w:b/>
                <w:sz w:val="20"/>
                <w:szCs w:val="20"/>
              </w:rPr>
            </w:pPr>
          </w:p>
          <w:p w:rsidR="00B6176D" w:rsidRPr="00807837" w:rsidRDefault="00B6176D" w:rsidP="00807837">
            <w:pPr>
              <w:contextualSpacing/>
              <w:rPr>
                <w:rFonts w:ascii="Arial" w:hAnsi="Arial" w:cs="Arial"/>
                <w:b/>
                <w:sz w:val="20"/>
                <w:szCs w:val="20"/>
              </w:rPr>
            </w:pPr>
          </w:p>
          <w:p w:rsidR="00B6176D" w:rsidRPr="00807837" w:rsidRDefault="00B6176D" w:rsidP="00807837">
            <w:pPr>
              <w:contextualSpacing/>
              <w:rPr>
                <w:rFonts w:ascii="Arial" w:eastAsia="Calibri" w:hAnsi="Arial" w:cs="Arial"/>
                <w:b/>
                <w:sz w:val="20"/>
                <w:szCs w:val="20"/>
              </w:rPr>
            </w:pPr>
            <w:r w:rsidRPr="00807837">
              <w:rPr>
                <w:rFonts w:ascii="Arial" w:hAnsi="Arial" w:cs="Arial"/>
                <w:b/>
                <w:sz w:val="20"/>
                <w:szCs w:val="20"/>
              </w:rPr>
              <w:t>* Voted Allocation adjusted for inflation (R'million)</w:t>
            </w:r>
          </w:p>
        </w:tc>
        <w:tc>
          <w:tcPr>
            <w:tcW w:w="857" w:type="dxa"/>
          </w:tcPr>
          <w:p w:rsidR="00B6176D" w:rsidRPr="00807837" w:rsidRDefault="00B6176D" w:rsidP="00807837">
            <w:pPr>
              <w:contextualSpacing/>
              <w:rPr>
                <w:rFonts w:ascii="Arial" w:eastAsia="Calibri" w:hAnsi="Arial" w:cs="Arial"/>
                <w:b/>
                <w:sz w:val="20"/>
                <w:szCs w:val="20"/>
              </w:rPr>
            </w:pPr>
            <w:r w:rsidRPr="00807837">
              <w:rPr>
                <w:rFonts w:ascii="Arial" w:hAnsi="Arial" w:cs="Arial"/>
                <w:b/>
                <w:sz w:val="20"/>
                <w:szCs w:val="20"/>
              </w:rPr>
              <w:t>** % change from previous year (adjusted for inflation)</w:t>
            </w:r>
          </w:p>
        </w:tc>
        <w:tc>
          <w:tcPr>
            <w:tcW w:w="1246" w:type="dxa"/>
          </w:tcPr>
          <w:p w:rsidR="00B6176D" w:rsidRPr="00807837" w:rsidRDefault="00B6176D" w:rsidP="00807837">
            <w:pPr>
              <w:contextualSpacing/>
              <w:rPr>
                <w:rFonts w:ascii="Arial" w:hAnsi="Arial" w:cs="Arial"/>
                <w:b/>
                <w:sz w:val="20"/>
                <w:szCs w:val="20"/>
              </w:rPr>
            </w:pPr>
          </w:p>
          <w:p w:rsidR="00B6176D" w:rsidRPr="00807837" w:rsidRDefault="00B6176D" w:rsidP="00807837">
            <w:pPr>
              <w:contextualSpacing/>
              <w:rPr>
                <w:rFonts w:ascii="Arial" w:hAnsi="Arial" w:cs="Arial"/>
                <w:b/>
                <w:sz w:val="20"/>
                <w:szCs w:val="20"/>
              </w:rPr>
            </w:pPr>
          </w:p>
          <w:p w:rsidR="00B6176D" w:rsidRPr="00807837" w:rsidRDefault="00B6176D" w:rsidP="00807837">
            <w:pPr>
              <w:contextualSpacing/>
              <w:rPr>
                <w:rFonts w:ascii="Arial" w:eastAsia="Calibri" w:hAnsi="Arial" w:cs="Arial"/>
                <w:b/>
                <w:sz w:val="20"/>
                <w:szCs w:val="20"/>
              </w:rPr>
            </w:pPr>
            <w:r w:rsidRPr="00807837">
              <w:rPr>
                <w:rFonts w:ascii="Arial" w:hAnsi="Arial" w:cs="Arial"/>
                <w:b/>
                <w:sz w:val="20"/>
                <w:szCs w:val="20"/>
              </w:rPr>
              <w:t>Adjusted Allocation (R'million)</w:t>
            </w:r>
          </w:p>
        </w:tc>
        <w:tc>
          <w:tcPr>
            <w:tcW w:w="1215" w:type="dxa"/>
          </w:tcPr>
          <w:p w:rsidR="00B6176D" w:rsidRPr="00807837" w:rsidRDefault="00B6176D" w:rsidP="00807837">
            <w:pPr>
              <w:contextualSpacing/>
              <w:rPr>
                <w:rFonts w:ascii="Arial" w:hAnsi="Arial" w:cs="Arial"/>
                <w:b/>
                <w:sz w:val="20"/>
                <w:szCs w:val="20"/>
              </w:rPr>
            </w:pPr>
          </w:p>
          <w:p w:rsidR="00B6176D" w:rsidRPr="00807837" w:rsidRDefault="00B6176D" w:rsidP="00807837">
            <w:pPr>
              <w:contextualSpacing/>
              <w:rPr>
                <w:rFonts w:ascii="Arial" w:hAnsi="Arial" w:cs="Arial"/>
                <w:b/>
                <w:sz w:val="20"/>
                <w:szCs w:val="20"/>
              </w:rPr>
            </w:pPr>
          </w:p>
          <w:p w:rsidR="00B6176D" w:rsidRPr="00807837" w:rsidRDefault="00B6176D" w:rsidP="00807837">
            <w:pPr>
              <w:contextualSpacing/>
              <w:rPr>
                <w:rFonts w:ascii="Arial" w:eastAsia="Calibri" w:hAnsi="Arial" w:cs="Arial"/>
                <w:b/>
                <w:sz w:val="20"/>
                <w:szCs w:val="20"/>
              </w:rPr>
            </w:pPr>
            <w:r w:rsidRPr="00807837">
              <w:rPr>
                <w:rFonts w:ascii="Arial" w:hAnsi="Arial" w:cs="Arial"/>
                <w:b/>
                <w:sz w:val="20"/>
                <w:szCs w:val="20"/>
              </w:rPr>
              <w:t>Expenditure (R'million)</w:t>
            </w:r>
          </w:p>
        </w:tc>
        <w:tc>
          <w:tcPr>
            <w:tcW w:w="1121" w:type="dxa"/>
          </w:tcPr>
          <w:p w:rsidR="00B6176D" w:rsidRPr="00807837" w:rsidRDefault="00B6176D" w:rsidP="00807837">
            <w:pPr>
              <w:contextualSpacing/>
              <w:rPr>
                <w:rFonts w:ascii="Arial" w:hAnsi="Arial" w:cs="Arial"/>
                <w:b/>
                <w:sz w:val="20"/>
                <w:szCs w:val="20"/>
              </w:rPr>
            </w:pPr>
          </w:p>
          <w:p w:rsidR="00B6176D" w:rsidRPr="00807837" w:rsidRDefault="00B6176D" w:rsidP="00807837">
            <w:pPr>
              <w:contextualSpacing/>
              <w:rPr>
                <w:rFonts w:ascii="Arial" w:hAnsi="Arial" w:cs="Arial"/>
                <w:b/>
                <w:sz w:val="20"/>
                <w:szCs w:val="20"/>
              </w:rPr>
            </w:pPr>
          </w:p>
          <w:p w:rsidR="00B6176D" w:rsidRPr="00807837" w:rsidRDefault="00B6176D" w:rsidP="00807837">
            <w:pPr>
              <w:contextualSpacing/>
              <w:rPr>
                <w:rFonts w:ascii="Arial" w:eastAsia="Calibri" w:hAnsi="Arial" w:cs="Arial"/>
                <w:b/>
                <w:sz w:val="20"/>
                <w:szCs w:val="20"/>
              </w:rPr>
            </w:pPr>
            <w:r w:rsidRPr="00807837">
              <w:rPr>
                <w:rFonts w:ascii="Arial" w:hAnsi="Arial" w:cs="Arial"/>
                <w:b/>
                <w:sz w:val="20"/>
                <w:szCs w:val="20"/>
              </w:rPr>
              <w:t>Expenditure as a percentage of Adjusted Allocation (%)</w:t>
            </w:r>
          </w:p>
        </w:tc>
      </w:tr>
      <w:tr w:rsidR="00B6176D" w:rsidRPr="00807837" w:rsidTr="00B6176D">
        <w:tc>
          <w:tcPr>
            <w:tcW w:w="1103" w:type="dxa"/>
          </w:tcPr>
          <w:p w:rsidR="00B6176D" w:rsidRPr="00807837" w:rsidRDefault="00B6176D" w:rsidP="00807837">
            <w:pPr>
              <w:contextualSpacing/>
              <w:rPr>
                <w:rFonts w:ascii="Arial" w:eastAsia="Calibri" w:hAnsi="Arial" w:cs="Arial"/>
                <w:sz w:val="20"/>
                <w:szCs w:val="20"/>
              </w:rPr>
            </w:pPr>
            <w:r w:rsidRPr="00807837">
              <w:rPr>
                <w:rFonts w:ascii="Arial" w:hAnsi="Arial" w:cs="Arial"/>
                <w:sz w:val="20"/>
                <w:szCs w:val="20"/>
              </w:rPr>
              <w:t>2017/18</w:t>
            </w:r>
          </w:p>
        </w:tc>
        <w:tc>
          <w:tcPr>
            <w:tcW w:w="1247" w:type="dxa"/>
          </w:tcPr>
          <w:p w:rsidR="00B6176D" w:rsidRPr="00807837" w:rsidRDefault="00B6176D" w:rsidP="00807837">
            <w:pPr>
              <w:contextualSpacing/>
              <w:rPr>
                <w:rFonts w:ascii="Arial" w:eastAsia="Calibri" w:hAnsi="Arial" w:cs="Arial"/>
                <w:sz w:val="20"/>
                <w:szCs w:val="20"/>
              </w:rPr>
            </w:pPr>
            <w:r w:rsidRPr="00807837">
              <w:rPr>
                <w:rFonts w:ascii="Arial" w:hAnsi="Arial" w:cs="Arial"/>
                <w:sz w:val="20"/>
                <w:szCs w:val="20"/>
              </w:rPr>
              <w:t>2 140 156,0</w:t>
            </w:r>
          </w:p>
        </w:tc>
        <w:tc>
          <w:tcPr>
            <w:tcW w:w="967" w:type="dxa"/>
          </w:tcPr>
          <w:p w:rsidR="00B6176D" w:rsidRPr="00807837" w:rsidRDefault="00B6176D" w:rsidP="00807837">
            <w:pPr>
              <w:contextualSpacing/>
              <w:rPr>
                <w:rFonts w:ascii="Arial" w:eastAsia="Calibri" w:hAnsi="Arial" w:cs="Arial"/>
                <w:sz w:val="20"/>
                <w:szCs w:val="20"/>
              </w:rPr>
            </w:pPr>
            <w:r w:rsidRPr="00807837">
              <w:rPr>
                <w:rFonts w:ascii="Arial" w:hAnsi="Arial" w:cs="Arial"/>
                <w:sz w:val="20"/>
                <w:szCs w:val="20"/>
              </w:rPr>
              <w:t>6,5%</w:t>
            </w:r>
          </w:p>
        </w:tc>
        <w:tc>
          <w:tcPr>
            <w:tcW w:w="1260" w:type="dxa"/>
          </w:tcPr>
          <w:p w:rsidR="00B6176D" w:rsidRPr="00807837" w:rsidRDefault="00B6176D" w:rsidP="00807837">
            <w:pPr>
              <w:contextualSpacing/>
              <w:rPr>
                <w:rFonts w:ascii="Arial" w:eastAsia="Calibri" w:hAnsi="Arial" w:cs="Arial"/>
                <w:sz w:val="20"/>
                <w:szCs w:val="20"/>
              </w:rPr>
            </w:pPr>
            <w:r w:rsidRPr="00807837">
              <w:rPr>
                <w:rFonts w:ascii="Arial" w:hAnsi="Arial" w:cs="Arial"/>
                <w:sz w:val="20"/>
                <w:szCs w:val="20"/>
              </w:rPr>
              <w:t>1 824 403,68</w:t>
            </w:r>
          </w:p>
        </w:tc>
        <w:tc>
          <w:tcPr>
            <w:tcW w:w="857" w:type="dxa"/>
          </w:tcPr>
          <w:p w:rsidR="00B6176D" w:rsidRPr="00807837" w:rsidRDefault="00B6176D" w:rsidP="00807837">
            <w:pPr>
              <w:contextualSpacing/>
              <w:rPr>
                <w:rFonts w:ascii="Arial" w:eastAsia="Calibri" w:hAnsi="Arial" w:cs="Arial"/>
                <w:sz w:val="20"/>
                <w:szCs w:val="20"/>
              </w:rPr>
            </w:pPr>
            <w:r w:rsidRPr="00807837">
              <w:rPr>
                <w:rFonts w:ascii="Arial" w:hAnsi="Arial" w:cs="Arial"/>
                <w:sz w:val="20"/>
                <w:szCs w:val="20"/>
              </w:rPr>
              <w:t>1,5%</w:t>
            </w:r>
          </w:p>
        </w:tc>
        <w:tc>
          <w:tcPr>
            <w:tcW w:w="1246" w:type="dxa"/>
          </w:tcPr>
          <w:p w:rsidR="00B6176D" w:rsidRPr="00807837" w:rsidRDefault="00B6176D" w:rsidP="00807837">
            <w:pPr>
              <w:contextualSpacing/>
              <w:rPr>
                <w:rFonts w:ascii="Arial" w:eastAsia="Calibri" w:hAnsi="Arial" w:cs="Arial"/>
                <w:sz w:val="20"/>
                <w:szCs w:val="20"/>
              </w:rPr>
            </w:pPr>
            <w:r w:rsidRPr="00807837">
              <w:rPr>
                <w:rFonts w:ascii="Arial" w:hAnsi="Arial" w:cs="Arial"/>
                <w:sz w:val="20"/>
                <w:szCs w:val="20"/>
              </w:rPr>
              <w:t>2 140 156,0</w:t>
            </w:r>
          </w:p>
        </w:tc>
        <w:tc>
          <w:tcPr>
            <w:tcW w:w="1215" w:type="dxa"/>
          </w:tcPr>
          <w:p w:rsidR="00B6176D" w:rsidRPr="00807837" w:rsidRDefault="00B6176D" w:rsidP="00807837">
            <w:pPr>
              <w:contextualSpacing/>
              <w:rPr>
                <w:rFonts w:ascii="Arial" w:eastAsia="Calibri" w:hAnsi="Arial" w:cs="Arial"/>
                <w:sz w:val="20"/>
                <w:szCs w:val="20"/>
              </w:rPr>
            </w:pPr>
            <w:r w:rsidRPr="00807837">
              <w:rPr>
                <w:rFonts w:ascii="Arial" w:hAnsi="Arial" w:cs="Arial"/>
                <w:sz w:val="20"/>
                <w:szCs w:val="20"/>
              </w:rPr>
              <w:t>2 133 976,0</w:t>
            </w:r>
          </w:p>
        </w:tc>
        <w:tc>
          <w:tcPr>
            <w:tcW w:w="1121" w:type="dxa"/>
          </w:tcPr>
          <w:p w:rsidR="00B6176D" w:rsidRPr="00807837" w:rsidRDefault="00B6176D" w:rsidP="00807837">
            <w:pPr>
              <w:contextualSpacing/>
              <w:rPr>
                <w:rFonts w:ascii="Arial" w:eastAsia="Calibri" w:hAnsi="Arial" w:cs="Arial"/>
                <w:sz w:val="20"/>
                <w:szCs w:val="20"/>
              </w:rPr>
            </w:pPr>
            <w:r w:rsidRPr="00807837">
              <w:rPr>
                <w:rFonts w:ascii="Arial" w:eastAsia="Calibri" w:hAnsi="Arial" w:cs="Arial"/>
                <w:sz w:val="20"/>
                <w:szCs w:val="20"/>
              </w:rPr>
              <w:t>99,7%</w:t>
            </w:r>
          </w:p>
        </w:tc>
      </w:tr>
      <w:tr w:rsidR="00B6176D" w:rsidRPr="00807837" w:rsidTr="00B6176D">
        <w:tc>
          <w:tcPr>
            <w:tcW w:w="1103" w:type="dxa"/>
          </w:tcPr>
          <w:p w:rsidR="00B6176D" w:rsidRPr="00807837" w:rsidRDefault="00B6176D" w:rsidP="00807837">
            <w:pPr>
              <w:contextualSpacing/>
              <w:rPr>
                <w:rFonts w:ascii="Arial" w:eastAsia="Calibri" w:hAnsi="Arial" w:cs="Arial"/>
                <w:sz w:val="20"/>
                <w:szCs w:val="20"/>
              </w:rPr>
            </w:pPr>
            <w:r w:rsidRPr="00807837">
              <w:rPr>
                <w:rFonts w:ascii="Arial" w:hAnsi="Arial" w:cs="Arial"/>
                <w:sz w:val="20"/>
                <w:szCs w:val="20"/>
              </w:rPr>
              <w:t>2018/19</w:t>
            </w:r>
          </w:p>
        </w:tc>
        <w:tc>
          <w:tcPr>
            <w:tcW w:w="1247" w:type="dxa"/>
          </w:tcPr>
          <w:p w:rsidR="00B6176D" w:rsidRPr="00807837" w:rsidRDefault="00B6176D" w:rsidP="00807837">
            <w:pPr>
              <w:contextualSpacing/>
              <w:rPr>
                <w:rFonts w:ascii="Arial" w:eastAsia="Calibri" w:hAnsi="Arial" w:cs="Arial"/>
                <w:sz w:val="20"/>
                <w:szCs w:val="20"/>
              </w:rPr>
            </w:pPr>
            <w:r w:rsidRPr="00807837">
              <w:rPr>
                <w:rFonts w:ascii="Arial" w:hAnsi="Arial" w:cs="Arial"/>
                <w:sz w:val="20"/>
                <w:szCs w:val="20"/>
              </w:rPr>
              <w:t>2 261 817,0</w:t>
            </w:r>
          </w:p>
        </w:tc>
        <w:tc>
          <w:tcPr>
            <w:tcW w:w="967" w:type="dxa"/>
          </w:tcPr>
          <w:p w:rsidR="00B6176D" w:rsidRPr="00807837" w:rsidRDefault="00B6176D" w:rsidP="00807837">
            <w:pPr>
              <w:contextualSpacing/>
              <w:rPr>
                <w:rFonts w:ascii="Arial" w:eastAsia="Calibri" w:hAnsi="Arial" w:cs="Arial"/>
                <w:sz w:val="20"/>
                <w:szCs w:val="20"/>
              </w:rPr>
            </w:pPr>
            <w:r w:rsidRPr="00807837">
              <w:rPr>
                <w:rFonts w:ascii="Arial" w:hAnsi="Arial" w:cs="Arial"/>
                <w:sz w:val="20"/>
                <w:szCs w:val="20"/>
              </w:rPr>
              <w:t>5,7%</w:t>
            </w:r>
          </w:p>
        </w:tc>
        <w:tc>
          <w:tcPr>
            <w:tcW w:w="1260" w:type="dxa"/>
          </w:tcPr>
          <w:p w:rsidR="00B6176D" w:rsidRPr="00807837" w:rsidRDefault="00B6176D" w:rsidP="00807837">
            <w:pPr>
              <w:contextualSpacing/>
              <w:rPr>
                <w:rFonts w:ascii="Arial" w:eastAsia="Calibri" w:hAnsi="Arial" w:cs="Arial"/>
                <w:sz w:val="20"/>
                <w:szCs w:val="20"/>
              </w:rPr>
            </w:pPr>
            <w:r w:rsidRPr="00807837">
              <w:rPr>
                <w:rFonts w:ascii="Arial" w:hAnsi="Arial" w:cs="Arial"/>
                <w:sz w:val="20"/>
                <w:szCs w:val="20"/>
              </w:rPr>
              <w:t>1 827 597,32</w:t>
            </w:r>
          </w:p>
        </w:tc>
        <w:tc>
          <w:tcPr>
            <w:tcW w:w="857" w:type="dxa"/>
          </w:tcPr>
          <w:p w:rsidR="00B6176D" w:rsidRPr="00807837" w:rsidRDefault="00B6176D" w:rsidP="00807837">
            <w:pPr>
              <w:contextualSpacing/>
              <w:rPr>
                <w:rFonts w:ascii="Arial" w:eastAsia="Calibri" w:hAnsi="Arial" w:cs="Arial"/>
                <w:sz w:val="20"/>
                <w:szCs w:val="20"/>
              </w:rPr>
            </w:pPr>
            <w:r w:rsidRPr="00807837">
              <w:rPr>
                <w:rFonts w:ascii="Arial" w:hAnsi="Arial" w:cs="Arial"/>
                <w:sz w:val="20"/>
                <w:szCs w:val="20"/>
              </w:rPr>
              <w:t>0,2%</w:t>
            </w:r>
          </w:p>
        </w:tc>
        <w:tc>
          <w:tcPr>
            <w:tcW w:w="1246" w:type="dxa"/>
          </w:tcPr>
          <w:p w:rsidR="00B6176D" w:rsidRPr="00807837" w:rsidRDefault="00B6176D" w:rsidP="00807837">
            <w:pPr>
              <w:contextualSpacing/>
              <w:rPr>
                <w:rFonts w:ascii="Arial" w:eastAsia="Calibri" w:hAnsi="Arial" w:cs="Arial"/>
                <w:sz w:val="20"/>
                <w:szCs w:val="20"/>
              </w:rPr>
            </w:pPr>
            <w:r w:rsidRPr="00807837">
              <w:rPr>
                <w:rFonts w:ascii="Arial" w:hAnsi="Arial" w:cs="Arial"/>
                <w:sz w:val="20"/>
                <w:szCs w:val="20"/>
              </w:rPr>
              <w:t>2 261 817,0</w:t>
            </w:r>
          </w:p>
        </w:tc>
        <w:tc>
          <w:tcPr>
            <w:tcW w:w="1215" w:type="dxa"/>
          </w:tcPr>
          <w:p w:rsidR="00B6176D" w:rsidRPr="00807837" w:rsidRDefault="00B6176D" w:rsidP="00807837">
            <w:pPr>
              <w:contextualSpacing/>
              <w:rPr>
                <w:rFonts w:ascii="Arial" w:eastAsia="Calibri" w:hAnsi="Arial" w:cs="Arial"/>
                <w:sz w:val="20"/>
                <w:szCs w:val="20"/>
              </w:rPr>
            </w:pPr>
            <w:r w:rsidRPr="00807837">
              <w:rPr>
                <w:rFonts w:ascii="Arial" w:hAnsi="Arial" w:cs="Arial"/>
                <w:sz w:val="20"/>
                <w:szCs w:val="20"/>
              </w:rPr>
              <w:t>2 234 802,0</w:t>
            </w:r>
          </w:p>
        </w:tc>
        <w:tc>
          <w:tcPr>
            <w:tcW w:w="1121" w:type="dxa"/>
          </w:tcPr>
          <w:p w:rsidR="00B6176D" w:rsidRPr="00807837" w:rsidRDefault="00B6176D" w:rsidP="00807837">
            <w:pPr>
              <w:contextualSpacing/>
              <w:rPr>
                <w:rFonts w:ascii="Arial" w:eastAsia="Calibri" w:hAnsi="Arial" w:cs="Arial"/>
                <w:sz w:val="20"/>
                <w:szCs w:val="20"/>
              </w:rPr>
            </w:pPr>
            <w:r w:rsidRPr="00807837">
              <w:rPr>
                <w:rFonts w:ascii="Arial" w:eastAsia="Calibri" w:hAnsi="Arial" w:cs="Arial"/>
                <w:sz w:val="20"/>
                <w:szCs w:val="20"/>
              </w:rPr>
              <w:t>98,8%</w:t>
            </w:r>
          </w:p>
        </w:tc>
      </w:tr>
      <w:tr w:rsidR="00B6176D" w:rsidRPr="00807837" w:rsidTr="00B6176D">
        <w:tc>
          <w:tcPr>
            <w:tcW w:w="1103" w:type="dxa"/>
          </w:tcPr>
          <w:p w:rsidR="00B6176D" w:rsidRPr="00807837" w:rsidRDefault="00B6176D" w:rsidP="00807837">
            <w:pPr>
              <w:contextualSpacing/>
              <w:rPr>
                <w:rFonts w:ascii="Arial" w:eastAsia="Calibri" w:hAnsi="Arial" w:cs="Arial"/>
                <w:sz w:val="20"/>
                <w:szCs w:val="20"/>
              </w:rPr>
            </w:pPr>
            <w:r w:rsidRPr="00807837">
              <w:rPr>
                <w:rFonts w:ascii="Arial" w:hAnsi="Arial" w:cs="Arial"/>
                <w:sz w:val="20"/>
                <w:szCs w:val="20"/>
              </w:rPr>
              <w:t>2019/20</w:t>
            </w:r>
          </w:p>
        </w:tc>
        <w:tc>
          <w:tcPr>
            <w:tcW w:w="1247" w:type="dxa"/>
          </w:tcPr>
          <w:p w:rsidR="00B6176D" w:rsidRPr="00807837" w:rsidRDefault="00B6176D" w:rsidP="00807837">
            <w:pPr>
              <w:contextualSpacing/>
              <w:rPr>
                <w:rFonts w:ascii="Arial" w:eastAsia="Calibri" w:hAnsi="Arial" w:cs="Arial"/>
                <w:sz w:val="20"/>
                <w:szCs w:val="20"/>
              </w:rPr>
            </w:pPr>
            <w:r w:rsidRPr="00807837">
              <w:rPr>
                <w:rFonts w:ascii="Arial" w:hAnsi="Arial" w:cs="Arial"/>
                <w:sz w:val="20"/>
                <w:szCs w:val="20"/>
              </w:rPr>
              <w:t>2 392 670,0</w:t>
            </w:r>
          </w:p>
        </w:tc>
        <w:tc>
          <w:tcPr>
            <w:tcW w:w="967" w:type="dxa"/>
          </w:tcPr>
          <w:p w:rsidR="00B6176D" w:rsidRPr="00807837" w:rsidRDefault="00B6176D" w:rsidP="00807837">
            <w:pPr>
              <w:contextualSpacing/>
              <w:rPr>
                <w:rFonts w:ascii="Arial" w:eastAsia="Calibri" w:hAnsi="Arial" w:cs="Arial"/>
                <w:sz w:val="20"/>
                <w:szCs w:val="20"/>
              </w:rPr>
            </w:pPr>
            <w:r w:rsidRPr="00807837">
              <w:rPr>
                <w:rFonts w:ascii="Arial" w:hAnsi="Arial" w:cs="Arial"/>
                <w:sz w:val="20"/>
                <w:szCs w:val="20"/>
              </w:rPr>
              <w:t>5,8%</w:t>
            </w:r>
          </w:p>
        </w:tc>
        <w:tc>
          <w:tcPr>
            <w:tcW w:w="1260" w:type="dxa"/>
          </w:tcPr>
          <w:p w:rsidR="00B6176D" w:rsidRPr="00807837" w:rsidRDefault="00B6176D" w:rsidP="00807837">
            <w:pPr>
              <w:contextualSpacing/>
              <w:rPr>
                <w:rFonts w:ascii="Arial" w:eastAsia="Calibri" w:hAnsi="Arial" w:cs="Arial"/>
                <w:sz w:val="20"/>
                <w:szCs w:val="20"/>
              </w:rPr>
            </w:pPr>
            <w:r w:rsidRPr="00807837">
              <w:rPr>
                <w:rFonts w:ascii="Arial" w:hAnsi="Arial" w:cs="Arial"/>
                <w:sz w:val="20"/>
                <w:szCs w:val="20"/>
              </w:rPr>
              <w:t>1 837 765,58</w:t>
            </w:r>
          </w:p>
        </w:tc>
        <w:tc>
          <w:tcPr>
            <w:tcW w:w="857" w:type="dxa"/>
          </w:tcPr>
          <w:p w:rsidR="00B6176D" w:rsidRPr="00807837" w:rsidRDefault="00B6176D" w:rsidP="00807837">
            <w:pPr>
              <w:contextualSpacing/>
              <w:rPr>
                <w:rFonts w:ascii="Arial" w:eastAsia="Calibri" w:hAnsi="Arial" w:cs="Arial"/>
                <w:sz w:val="20"/>
                <w:szCs w:val="20"/>
              </w:rPr>
            </w:pPr>
            <w:r w:rsidRPr="00807837">
              <w:rPr>
                <w:rFonts w:ascii="Arial" w:hAnsi="Arial" w:cs="Arial"/>
                <w:sz w:val="20"/>
                <w:szCs w:val="20"/>
              </w:rPr>
              <w:t>0,6%</w:t>
            </w:r>
          </w:p>
        </w:tc>
        <w:tc>
          <w:tcPr>
            <w:tcW w:w="1246" w:type="dxa"/>
          </w:tcPr>
          <w:p w:rsidR="00B6176D" w:rsidRPr="00807837" w:rsidRDefault="00B6176D" w:rsidP="00807837">
            <w:pPr>
              <w:contextualSpacing/>
              <w:rPr>
                <w:rFonts w:ascii="Arial" w:eastAsia="Calibri" w:hAnsi="Arial" w:cs="Arial"/>
                <w:sz w:val="20"/>
                <w:szCs w:val="20"/>
              </w:rPr>
            </w:pPr>
            <w:r w:rsidRPr="00807837">
              <w:rPr>
                <w:rFonts w:ascii="Arial" w:hAnsi="Arial" w:cs="Arial"/>
                <w:sz w:val="20"/>
                <w:szCs w:val="20"/>
              </w:rPr>
              <w:t xml:space="preserve"> 2 392 670,0</w:t>
            </w:r>
          </w:p>
        </w:tc>
        <w:tc>
          <w:tcPr>
            <w:tcW w:w="1215" w:type="dxa"/>
          </w:tcPr>
          <w:p w:rsidR="00B6176D" w:rsidRPr="00807837" w:rsidRDefault="00B6176D" w:rsidP="00807837">
            <w:pPr>
              <w:contextualSpacing/>
              <w:rPr>
                <w:rFonts w:ascii="Arial" w:eastAsia="Calibri" w:hAnsi="Arial" w:cs="Arial"/>
                <w:sz w:val="20"/>
                <w:szCs w:val="20"/>
              </w:rPr>
            </w:pPr>
            <w:r w:rsidRPr="00807837">
              <w:rPr>
                <w:rFonts w:ascii="Arial" w:hAnsi="Arial" w:cs="Arial"/>
                <w:sz w:val="20"/>
                <w:szCs w:val="20"/>
              </w:rPr>
              <w:t xml:space="preserve"> 2 384 392,0</w:t>
            </w:r>
          </w:p>
        </w:tc>
        <w:tc>
          <w:tcPr>
            <w:tcW w:w="1121" w:type="dxa"/>
          </w:tcPr>
          <w:p w:rsidR="00B6176D" w:rsidRPr="00807837" w:rsidRDefault="00B6176D" w:rsidP="00807837">
            <w:pPr>
              <w:contextualSpacing/>
              <w:rPr>
                <w:rFonts w:ascii="Arial" w:eastAsia="Calibri" w:hAnsi="Arial" w:cs="Arial"/>
                <w:sz w:val="20"/>
                <w:szCs w:val="20"/>
              </w:rPr>
            </w:pPr>
            <w:r w:rsidRPr="00807837">
              <w:rPr>
                <w:rFonts w:ascii="Arial" w:eastAsia="Calibri" w:hAnsi="Arial" w:cs="Arial"/>
                <w:sz w:val="20"/>
                <w:szCs w:val="20"/>
              </w:rPr>
              <w:t>99.7%</w:t>
            </w:r>
          </w:p>
        </w:tc>
      </w:tr>
      <w:tr w:rsidR="00B6176D" w:rsidRPr="00807837" w:rsidTr="00B6176D">
        <w:tc>
          <w:tcPr>
            <w:tcW w:w="1103" w:type="dxa"/>
          </w:tcPr>
          <w:p w:rsidR="00B6176D" w:rsidRPr="00807837" w:rsidRDefault="00B6176D" w:rsidP="00807837">
            <w:pPr>
              <w:contextualSpacing/>
              <w:rPr>
                <w:rFonts w:ascii="Arial" w:eastAsia="Calibri" w:hAnsi="Arial" w:cs="Arial"/>
                <w:sz w:val="20"/>
                <w:szCs w:val="20"/>
              </w:rPr>
            </w:pPr>
            <w:r w:rsidRPr="00807837">
              <w:rPr>
                <w:rFonts w:ascii="Arial" w:hAnsi="Arial" w:cs="Arial"/>
                <w:sz w:val="20"/>
                <w:szCs w:val="20"/>
              </w:rPr>
              <w:t>2020/21</w:t>
            </w:r>
          </w:p>
        </w:tc>
        <w:tc>
          <w:tcPr>
            <w:tcW w:w="1247" w:type="dxa"/>
          </w:tcPr>
          <w:p w:rsidR="00B6176D" w:rsidRPr="00807837" w:rsidRDefault="00B6176D" w:rsidP="00807837">
            <w:pPr>
              <w:contextualSpacing/>
              <w:rPr>
                <w:rFonts w:ascii="Arial" w:eastAsia="Calibri" w:hAnsi="Arial" w:cs="Arial"/>
                <w:sz w:val="20"/>
                <w:szCs w:val="20"/>
              </w:rPr>
            </w:pPr>
            <w:r w:rsidRPr="00807837">
              <w:rPr>
                <w:rFonts w:ascii="Arial" w:hAnsi="Arial" w:cs="Arial"/>
                <w:sz w:val="20"/>
                <w:szCs w:val="20"/>
              </w:rPr>
              <w:t>1 481 000,0</w:t>
            </w:r>
          </w:p>
        </w:tc>
        <w:tc>
          <w:tcPr>
            <w:tcW w:w="967" w:type="dxa"/>
          </w:tcPr>
          <w:p w:rsidR="00B6176D" w:rsidRPr="00807837" w:rsidRDefault="00B6176D" w:rsidP="00807837">
            <w:pPr>
              <w:contextualSpacing/>
              <w:rPr>
                <w:rFonts w:ascii="Arial" w:eastAsia="Calibri" w:hAnsi="Arial" w:cs="Arial"/>
                <w:sz w:val="20"/>
                <w:szCs w:val="20"/>
              </w:rPr>
            </w:pPr>
            <w:r w:rsidRPr="00807837">
              <w:rPr>
                <w:rFonts w:ascii="Arial" w:hAnsi="Arial" w:cs="Arial"/>
                <w:sz w:val="20"/>
                <w:szCs w:val="20"/>
              </w:rPr>
              <w:t>70.29%</w:t>
            </w:r>
          </w:p>
        </w:tc>
        <w:tc>
          <w:tcPr>
            <w:tcW w:w="1260" w:type="dxa"/>
          </w:tcPr>
          <w:p w:rsidR="00B6176D" w:rsidRPr="00807837" w:rsidRDefault="00B6176D" w:rsidP="00807837">
            <w:pPr>
              <w:contextualSpacing/>
              <w:rPr>
                <w:rFonts w:ascii="Arial" w:eastAsia="Calibri" w:hAnsi="Arial" w:cs="Arial"/>
                <w:sz w:val="20"/>
                <w:szCs w:val="20"/>
              </w:rPr>
            </w:pPr>
          </w:p>
        </w:tc>
        <w:tc>
          <w:tcPr>
            <w:tcW w:w="857" w:type="dxa"/>
          </w:tcPr>
          <w:p w:rsidR="00B6176D" w:rsidRPr="00807837" w:rsidRDefault="00B6176D" w:rsidP="00807837">
            <w:pPr>
              <w:contextualSpacing/>
              <w:rPr>
                <w:rFonts w:ascii="Arial" w:eastAsia="Calibri" w:hAnsi="Arial" w:cs="Arial"/>
                <w:sz w:val="20"/>
                <w:szCs w:val="20"/>
              </w:rPr>
            </w:pPr>
            <w:r w:rsidRPr="00807837">
              <w:rPr>
                <w:rFonts w:ascii="Arial" w:hAnsi="Arial" w:cs="Arial"/>
                <w:sz w:val="20"/>
                <w:szCs w:val="20"/>
              </w:rPr>
              <w:t>5,0%</w:t>
            </w:r>
          </w:p>
        </w:tc>
        <w:tc>
          <w:tcPr>
            <w:tcW w:w="1246" w:type="dxa"/>
          </w:tcPr>
          <w:p w:rsidR="00B6176D" w:rsidRPr="00807837" w:rsidRDefault="00B6176D" w:rsidP="00807837">
            <w:pPr>
              <w:contextualSpacing/>
              <w:rPr>
                <w:rFonts w:ascii="Arial" w:eastAsia="Calibri" w:hAnsi="Arial" w:cs="Arial"/>
                <w:sz w:val="20"/>
                <w:szCs w:val="20"/>
              </w:rPr>
            </w:pPr>
            <w:r w:rsidRPr="00807837">
              <w:rPr>
                <w:rFonts w:ascii="Arial" w:hAnsi="Arial" w:cs="Arial"/>
                <w:sz w:val="20"/>
                <w:szCs w:val="20"/>
              </w:rPr>
              <w:t>1 426 860</w:t>
            </w:r>
            <w:r w:rsidR="000520B1" w:rsidRPr="00807837">
              <w:rPr>
                <w:rFonts w:ascii="Arial" w:hAnsi="Arial" w:cs="Arial"/>
                <w:sz w:val="20"/>
                <w:szCs w:val="20"/>
              </w:rPr>
              <w:t>,</w:t>
            </w:r>
            <w:r w:rsidRPr="00807837">
              <w:rPr>
                <w:rFonts w:ascii="Arial" w:hAnsi="Arial" w:cs="Arial"/>
                <w:sz w:val="20"/>
                <w:szCs w:val="20"/>
              </w:rPr>
              <w:t>0</w:t>
            </w:r>
          </w:p>
        </w:tc>
        <w:tc>
          <w:tcPr>
            <w:tcW w:w="1215" w:type="dxa"/>
          </w:tcPr>
          <w:p w:rsidR="00B6176D" w:rsidRPr="00807837" w:rsidRDefault="00B6176D" w:rsidP="00807837">
            <w:pPr>
              <w:contextualSpacing/>
              <w:rPr>
                <w:rFonts w:ascii="Arial" w:eastAsia="Calibri" w:hAnsi="Arial" w:cs="Arial"/>
                <w:sz w:val="20"/>
                <w:szCs w:val="20"/>
              </w:rPr>
            </w:pPr>
            <w:r w:rsidRPr="00807837">
              <w:rPr>
                <w:rFonts w:ascii="Arial" w:hAnsi="Arial" w:cs="Arial"/>
                <w:sz w:val="20"/>
                <w:szCs w:val="20"/>
              </w:rPr>
              <w:t>1 392 249</w:t>
            </w:r>
            <w:r w:rsidR="000520B1" w:rsidRPr="00807837">
              <w:rPr>
                <w:rFonts w:ascii="Arial" w:hAnsi="Arial" w:cs="Arial"/>
                <w:sz w:val="20"/>
                <w:szCs w:val="20"/>
              </w:rPr>
              <w:t>,</w:t>
            </w:r>
            <w:r w:rsidRPr="00807837">
              <w:rPr>
                <w:rFonts w:ascii="Arial" w:hAnsi="Arial" w:cs="Arial"/>
                <w:sz w:val="20"/>
                <w:szCs w:val="20"/>
              </w:rPr>
              <w:t>0</w:t>
            </w:r>
          </w:p>
        </w:tc>
        <w:tc>
          <w:tcPr>
            <w:tcW w:w="1121" w:type="dxa"/>
          </w:tcPr>
          <w:p w:rsidR="00B6176D" w:rsidRPr="00807837" w:rsidRDefault="00B6176D" w:rsidP="00807837">
            <w:pPr>
              <w:contextualSpacing/>
              <w:rPr>
                <w:rFonts w:ascii="Arial" w:eastAsia="Calibri" w:hAnsi="Arial" w:cs="Arial"/>
                <w:sz w:val="20"/>
                <w:szCs w:val="20"/>
              </w:rPr>
            </w:pPr>
            <w:r w:rsidRPr="00807837">
              <w:rPr>
                <w:rFonts w:ascii="Arial" w:eastAsia="Calibri" w:hAnsi="Arial" w:cs="Arial"/>
                <w:sz w:val="20"/>
                <w:szCs w:val="20"/>
              </w:rPr>
              <w:t>97</w:t>
            </w:r>
            <w:r w:rsidR="000520B1" w:rsidRPr="00807837">
              <w:rPr>
                <w:rFonts w:ascii="Arial" w:eastAsia="Calibri" w:hAnsi="Arial" w:cs="Arial"/>
                <w:sz w:val="20"/>
                <w:szCs w:val="20"/>
              </w:rPr>
              <w:t>,</w:t>
            </w:r>
            <w:r w:rsidRPr="00807837">
              <w:rPr>
                <w:rFonts w:ascii="Arial" w:eastAsia="Calibri" w:hAnsi="Arial" w:cs="Arial"/>
                <w:sz w:val="20"/>
                <w:szCs w:val="20"/>
              </w:rPr>
              <w:t>6%</w:t>
            </w:r>
          </w:p>
        </w:tc>
      </w:tr>
      <w:tr w:rsidR="00B6176D" w:rsidRPr="00807837" w:rsidTr="00B6176D">
        <w:tc>
          <w:tcPr>
            <w:tcW w:w="1103" w:type="dxa"/>
          </w:tcPr>
          <w:p w:rsidR="00B6176D" w:rsidRPr="00807837" w:rsidRDefault="00ED3136" w:rsidP="00807837">
            <w:pPr>
              <w:contextualSpacing/>
              <w:rPr>
                <w:rFonts w:ascii="Arial" w:eastAsia="Calibri" w:hAnsi="Arial" w:cs="Arial"/>
                <w:sz w:val="20"/>
                <w:szCs w:val="20"/>
              </w:rPr>
            </w:pPr>
            <w:r w:rsidRPr="00807837">
              <w:rPr>
                <w:rFonts w:ascii="Arial" w:hAnsi="Arial" w:cs="Arial"/>
                <w:sz w:val="20"/>
                <w:szCs w:val="20"/>
              </w:rPr>
              <w:t>2021/22</w:t>
            </w:r>
          </w:p>
        </w:tc>
        <w:tc>
          <w:tcPr>
            <w:tcW w:w="1247" w:type="dxa"/>
          </w:tcPr>
          <w:p w:rsidR="00B6176D" w:rsidRPr="00807837" w:rsidRDefault="00B6176D" w:rsidP="00807837">
            <w:pPr>
              <w:contextualSpacing/>
              <w:rPr>
                <w:rFonts w:ascii="Arial" w:eastAsia="Calibri" w:hAnsi="Arial" w:cs="Arial"/>
                <w:sz w:val="20"/>
                <w:szCs w:val="20"/>
              </w:rPr>
            </w:pPr>
            <w:r w:rsidRPr="00807837">
              <w:rPr>
                <w:rFonts w:ascii="Arial" w:hAnsi="Arial" w:cs="Arial"/>
                <w:sz w:val="20"/>
                <w:szCs w:val="20"/>
              </w:rPr>
              <w:t>2 545 338,0</w:t>
            </w:r>
          </w:p>
        </w:tc>
        <w:tc>
          <w:tcPr>
            <w:tcW w:w="967" w:type="dxa"/>
          </w:tcPr>
          <w:p w:rsidR="00B6176D" w:rsidRPr="00807837" w:rsidRDefault="00B6176D" w:rsidP="00807837">
            <w:pPr>
              <w:contextualSpacing/>
              <w:rPr>
                <w:rFonts w:ascii="Arial" w:eastAsia="Calibri" w:hAnsi="Arial" w:cs="Arial"/>
                <w:sz w:val="20"/>
                <w:szCs w:val="20"/>
              </w:rPr>
            </w:pPr>
            <w:r w:rsidRPr="00807837">
              <w:rPr>
                <w:rFonts w:ascii="Arial" w:hAnsi="Arial" w:cs="Arial"/>
                <w:sz w:val="20"/>
                <w:szCs w:val="20"/>
              </w:rPr>
              <w:t>1 002.9</w:t>
            </w:r>
          </w:p>
        </w:tc>
        <w:tc>
          <w:tcPr>
            <w:tcW w:w="1260" w:type="dxa"/>
          </w:tcPr>
          <w:p w:rsidR="00B6176D" w:rsidRPr="00807837" w:rsidRDefault="00B6176D" w:rsidP="00807837">
            <w:pPr>
              <w:contextualSpacing/>
              <w:rPr>
                <w:rFonts w:ascii="Arial" w:eastAsia="Calibri" w:hAnsi="Arial" w:cs="Arial"/>
                <w:sz w:val="20"/>
                <w:szCs w:val="20"/>
              </w:rPr>
            </w:pPr>
          </w:p>
        </w:tc>
        <w:tc>
          <w:tcPr>
            <w:tcW w:w="857" w:type="dxa"/>
          </w:tcPr>
          <w:p w:rsidR="00B6176D" w:rsidRPr="00807837" w:rsidRDefault="00B6176D" w:rsidP="00807837">
            <w:pPr>
              <w:contextualSpacing/>
              <w:rPr>
                <w:rFonts w:ascii="Arial" w:eastAsia="Calibri" w:hAnsi="Arial" w:cs="Arial"/>
                <w:sz w:val="20"/>
                <w:szCs w:val="20"/>
              </w:rPr>
            </w:pPr>
          </w:p>
        </w:tc>
        <w:tc>
          <w:tcPr>
            <w:tcW w:w="1246" w:type="dxa"/>
          </w:tcPr>
          <w:p w:rsidR="00B6176D" w:rsidRPr="00807837" w:rsidRDefault="00B6176D" w:rsidP="00807837">
            <w:pPr>
              <w:contextualSpacing/>
              <w:rPr>
                <w:rFonts w:ascii="Arial" w:eastAsia="Calibri" w:hAnsi="Arial" w:cs="Arial"/>
                <w:sz w:val="20"/>
                <w:szCs w:val="20"/>
              </w:rPr>
            </w:pPr>
            <w:r w:rsidRPr="00807837">
              <w:rPr>
                <w:rFonts w:ascii="Arial" w:hAnsi="Arial" w:cs="Arial"/>
                <w:sz w:val="20"/>
                <w:szCs w:val="20"/>
              </w:rPr>
              <w:t>2 545 338</w:t>
            </w:r>
          </w:p>
        </w:tc>
        <w:tc>
          <w:tcPr>
            <w:tcW w:w="1215" w:type="dxa"/>
          </w:tcPr>
          <w:p w:rsidR="00B6176D" w:rsidRPr="00807837" w:rsidRDefault="00B6176D" w:rsidP="00807837">
            <w:pPr>
              <w:contextualSpacing/>
              <w:rPr>
                <w:rFonts w:ascii="Arial" w:eastAsia="Calibri" w:hAnsi="Arial" w:cs="Arial"/>
                <w:sz w:val="20"/>
                <w:szCs w:val="20"/>
              </w:rPr>
            </w:pPr>
          </w:p>
        </w:tc>
        <w:tc>
          <w:tcPr>
            <w:tcW w:w="1121" w:type="dxa"/>
          </w:tcPr>
          <w:p w:rsidR="00B6176D" w:rsidRPr="00807837" w:rsidRDefault="00B6176D" w:rsidP="00807837">
            <w:pPr>
              <w:contextualSpacing/>
              <w:rPr>
                <w:rFonts w:ascii="Arial" w:eastAsia="Calibri" w:hAnsi="Arial" w:cs="Arial"/>
                <w:sz w:val="20"/>
                <w:szCs w:val="20"/>
              </w:rPr>
            </w:pPr>
            <w:r w:rsidRPr="00807837">
              <w:rPr>
                <w:rFonts w:ascii="Arial" w:eastAsia="Calibri" w:hAnsi="Arial" w:cs="Arial"/>
                <w:sz w:val="20"/>
                <w:szCs w:val="20"/>
              </w:rPr>
              <w:t>99</w:t>
            </w:r>
            <w:r w:rsidR="000520B1" w:rsidRPr="00807837">
              <w:rPr>
                <w:rFonts w:ascii="Arial" w:eastAsia="Calibri" w:hAnsi="Arial" w:cs="Arial"/>
                <w:sz w:val="20"/>
                <w:szCs w:val="20"/>
              </w:rPr>
              <w:t>,</w:t>
            </w:r>
            <w:r w:rsidRPr="00807837">
              <w:rPr>
                <w:rFonts w:ascii="Arial" w:eastAsia="Calibri" w:hAnsi="Arial" w:cs="Arial"/>
                <w:sz w:val="20"/>
                <w:szCs w:val="20"/>
              </w:rPr>
              <w:t>7%</w:t>
            </w:r>
          </w:p>
        </w:tc>
      </w:tr>
      <w:tr w:rsidR="00B6176D" w:rsidRPr="00807837" w:rsidTr="00FE69A5">
        <w:tc>
          <w:tcPr>
            <w:tcW w:w="9016" w:type="dxa"/>
            <w:gridSpan w:val="8"/>
          </w:tcPr>
          <w:p w:rsidR="00B6176D" w:rsidRPr="00807837" w:rsidRDefault="00B6176D" w:rsidP="00807837">
            <w:pPr>
              <w:contextualSpacing/>
              <w:rPr>
                <w:rFonts w:ascii="Arial" w:eastAsia="Calibri" w:hAnsi="Arial" w:cs="Arial"/>
                <w:sz w:val="20"/>
                <w:szCs w:val="20"/>
              </w:rPr>
            </w:pPr>
            <w:r w:rsidRPr="00807837">
              <w:rPr>
                <w:rFonts w:ascii="Arial" w:eastAsia="Calibri" w:hAnsi="Arial" w:cs="Arial"/>
                <w:sz w:val="20"/>
                <w:szCs w:val="20"/>
              </w:rPr>
              <w:t>* Real change in Rand value</w:t>
            </w:r>
          </w:p>
          <w:p w:rsidR="00B6176D" w:rsidRPr="00807837" w:rsidRDefault="00B6176D" w:rsidP="00807837">
            <w:pPr>
              <w:contextualSpacing/>
              <w:rPr>
                <w:rFonts w:ascii="Arial" w:eastAsia="Calibri" w:hAnsi="Arial" w:cs="Arial"/>
                <w:sz w:val="20"/>
                <w:szCs w:val="20"/>
              </w:rPr>
            </w:pPr>
            <w:r w:rsidRPr="00807837">
              <w:rPr>
                <w:rFonts w:ascii="Arial" w:eastAsia="Calibri" w:hAnsi="Arial" w:cs="Arial"/>
                <w:sz w:val="20"/>
                <w:szCs w:val="20"/>
              </w:rPr>
              <w:t>** Real change in percentage terms</w:t>
            </w:r>
          </w:p>
        </w:tc>
      </w:tr>
    </w:tbl>
    <w:p w:rsidR="00B6176D" w:rsidRPr="00807837" w:rsidRDefault="00B6176D" w:rsidP="00807837">
      <w:pPr>
        <w:spacing w:after="0" w:line="240" w:lineRule="auto"/>
        <w:contextualSpacing/>
        <w:rPr>
          <w:rFonts w:ascii="Arial" w:eastAsia="Calibri" w:hAnsi="Arial" w:cs="Arial"/>
          <w:sz w:val="20"/>
          <w:szCs w:val="20"/>
        </w:rPr>
      </w:pPr>
      <w:r w:rsidRPr="00807837">
        <w:rPr>
          <w:rFonts w:ascii="Arial" w:eastAsia="Calibri" w:hAnsi="Arial" w:cs="Arial"/>
          <w:b/>
          <w:sz w:val="20"/>
          <w:szCs w:val="20"/>
        </w:rPr>
        <w:t>Source:</w:t>
      </w:r>
      <w:r w:rsidRPr="00807837">
        <w:rPr>
          <w:rFonts w:ascii="Arial" w:eastAsia="Calibri" w:hAnsi="Arial" w:cs="Arial"/>
          <w:sz w:val="20"/>
          <w:szCs w:val="20"/>
        </w:rPr>
        <w:t xml:space="preserve"> Calculation adapted from previous ENEs</w:t>
      </w:r>
    </w:p>
    <w:p w:rsidR="00B6176D" w:rsidRPr="00807837" w:rsidRDefault="00B6176D" w:rsidP="00807837">
      <w:pPr>
        <w:spacing w:after="0" w:line="240" w:lineRule="auto"/>
        <w:contextualSpacing/>
        <w:rPr>
          <w:rFonts w:ascii="Arial" w:eastAsia="Calibri" w:hAnsi="Arial" w:cs="Arial"/>
          <w:sz w:val="20"/>
          <w:szCs w:val="20"/>
        </w:rPr>
      </w:pPr>
    </w:p>
    <w:p w:rsidR="00B6176D" w:rsidRPr="00807837" w:rsidRDefault="00ED3136" w:rsidP="00807837">
      <w:pPr>
        <w:spacing w:after="0" w:line="240" w:lineRule="auto"/>
        <w:contextualSpacing/>
        <w:rPr>
          <w:rFonts w:ascii="Arial" w:eastAsia="Calibri" w:hAnsi="Arial" w:cs="Arial"/>
          <w:sz w:val="20"/>
          <w:szCs w:val="20"/>
        </w:rPr>
      </w:pPr>
      <w:r w:rsidRPr="00807837">
        <w:rPr>
          <w:rFonts w:ascii="Arial" w:eastAsia="Calibri" w:hAnsi="Arial" w:cs="Arial"/>
          <w:sz w:val="20"/>
          <w:szCs w:val="20"/>
        </w:rPr>
        <w:lastRenderedPageBreak/>
        <w:t xml:space="preserve">The Department has established a trend of spending its budget to capacity and not achieving </w:t>
      </w:r>
      <w:r w:rsidR="000520B1" w:rsidRPr="00807837">
        <w:rPr>
          <w:rFonts w:ascii="Arial" w:eastAsia="Calibri" w:hAnsi="Arial" w:cs="Arial"/>
          <w:sz w:val="20"/>
          <w:szCs w:val="20"/>
        </w:rPr>
        <w:t xml:space="preserve">all </w:t>
      </w:r>
      <w:r w:rsidRPr="00807837">
        <w:rPr>
          <w:rFonts w:ascii="Arial" w:eastAsia="Calibri" w:hAnsi="Arial" w:cs="Arial"/>
          <w:sz w:val="20"/>
          <w:szCs w:val="20"/>
        </w:rPr>
        <w:t>the related pre-</w:t>
      </w:r>
      <w:r w:rsidR="004659D9" w:rsidRPr="00807837">
        <w:rPr>
          <w:rFonts w:ascii="Arial" w:eastAsia="Calibri" w:hAnsi="Arial" w:cs="Arial"/>
          <w:sz w:val="20"/>
          <w:szCs w:val="20"/>
        </w:rPr>
        <w:t>determined</w:t>
      </w:r>
      <w:r w:rsidRPr="00807837">
        <w:rPr>
          <w:rFonts w:ascii="Arial" w:eastAsia="Calibri" w:hAnsi="Arial" w:cs="Arial"/>
          <w:sz w:val="20"/>
          <w:szCs w:val="20"/>
        </w:rPr>
        <w:t xml:space="preserve"> objectives. This is unacceptable and the trend should change to expenditure </w:t>
      </w:r>
      <w:r w:rsidR="004659D9" w:rsidRPr="00807837">
        <w:rPr>
          <w:rFonts w:ascii="Arial" w:eastAsia="Calibri" w:hAnsi="Arial" w:cs="Arial"/>
          <w:sz w:val="20"/>
          <w:szCs w:val="20"/>
        </w:rPr>
        <w:t>commensurate</w:t>
      </w:r>
      <w:r w:rsidRPr="00807837">
        <w:rPr>
          <w:rFonts w:ascii="Arial" w:eastAsia="Calibri" w:hAnsi="Arial" w:cs="Arial"/>
          <w:sz w:val="20"/>
          <w:szCs w:val="20"/>
        </w:rPr>
        <w:t xml:space="preserve"> to service delivery.</w:t>
      </w:r>
    </w:p>
    <w:p w:rsidR="001C6F3F" w:rsidRPr="00807837" w:rsidRDefault="001C6F3F" w:rsidP="00807837">
      <w:pPr>
        <w:spacing w:after="0" w:line="240" w:lineRule="auto"/>
        <w:contextualSpacing/>
        <w:rPr>
          <w:rFonts w:ascii="Arial" w:eastAsia="Calibri" w:hAnsi="Arial" w:cs="Arial"/>
          <w:sz w:val="20"/>
          <w:szCs w:val="20"/>
        </w:rPr>
      </w:pPr>
    </w:p>
    <w:p w:rsidR="000A0881" w:rsidRPr="00807837" w:rsidRDefault="000A0881" w:rsidP="00807837">
      <w:pPr>
        <w:numPr>
          <w:ilvl w:val="0"/>
          <w:numId w:val="8"/>
        </w:numPr>
        <w:autoSpaceDE w:val="0"/>
        <w:autoSpaceDN w:val="0"/>
        <w:adjustRightInd w:val="0"/>
        <w:spacing w:after="0" w:line="240" w:lineRule="auto"/>
        <w:ind w:left="567" w:hanging="567"/>
        <w:contextualSpacing/>
        <w:rPr>
          <w:rFonts w:ascii="Arial" w:eastAsia="Calibri" w:hAnsi="Arial" w:cs="Arial"/>
          <w:b/>
          <w:sz w:val="20"/>
          <w:szCs w:val="20"/>
        </w:rPr>
      </w:pPr>
      <w:r w:rsidRPr="00807837">
        <w:rPr>
          <w:rFonts w:ascii="Arial" w:eastAsia="Calibri" w:hAnsi="Arial" w:cs="Arial"/>
          <w:b/>
          <w:sz w:val="20"/>
          <w:szCs w:val="20"/>
        </w:rPr>
        <w:t>F</w:t>
      </w:r>
      <w:r w:rsidR="00056C66" w:rsidRPr="00807837">
        <w:rPr>
          <w:rFonts w:ascii="Arial" w:eastAsia="Calibri" w:hAnsi="Arial" w:cs="Arial"/>
          <w:b/>
          <w:sz w:val="20"/>
          <w:szCs w:val="20"/>
        </w:rPr>
        <w:t>INANCIAL PERFORMANCE FOR 20</w:t>
      </w:r>
      <w:r w:rsidR="009034B4" w:rsidRPr="00807837">
        <w:rPr>
          <w:rFonts w:ascii="Arial" w:eastAsia="Calibri" w:hAnsi="Arial" w:cs="Arial"/>
          <w:b/>
          <w:sz w:val="20"/>
          <w:szCs w:val="20"/>
        </w:rPr>
        <w:t>2</w:t>
      </w:r>
      <w:r w:rsidR="007B5065" w:rsidRPr="00807837">
        <w:rPr>
          <w:rFonts w:ascii="Arial" w:eastAsia="Calibri" w:hAnsi="Arial" w:cs="Arial"/>
          <w:b/>
          <w:sz w:val="20"/>
          <w:szCs w:val="20"/>
        </w:rPr>
        <w:t>1</w:t>
      </w:r>
      <w:r w:rsidR="00056C66" w:rsidRPr="00807837">
        <w:rPr>
          <w:rFonts w:ascii="Arial" w:eastAsia="Calibri" w:hAnsi="Arial" w:cs="Arial"/>
          <w:b/>
          <w:sz w:val="20"/>
          <w:szCs w:val="20"/>
        </w:rPr>
        <w:t>/2</w:t>
      </w:r>
      <w:r w:rsidR="007B5065" w:rsidRPr="00807837">
        <w:rPr>
          <w:rFonts w:ascii="Arial" w:eastAsia="Calibri" w:hAnsi="Arial" w:cs="Arial"/>
          <w:b/>
          <w:sz w:val="20"/>
          <w:szCs w:val="20"/>
        </w:rPr>
        <w:t>2</w:t>
      </w:r>
    </w:p>
    <w:p w:rsidR="00960BA3" w:rsidRPr="00807837" w:rsidRDefault="00960BA3" w:rsidP="00807837">
      <w:pPr>
        <w:spacing w:after="0" w:line="240" w:lineRule="auto"/>
        <w:rPr>
          <w:rFonts w:ascii="Arial" w:eastAsia="Calibri" w:hAnsi="Arial" w:cs="Arial"/>
          <w:bCs/>
          <w:sz w:val="20"/>
          <w:szCs w:val="20"/>
        </w:rPr>
      </w:pPr>
    </w:p>
    <w:p w:rsidR="00960BA3" w:rsidRPr="00807837" w:rsidRDefault="00960BA3" w:rsidP="00807837">
      <w:pPr>
        <w:spacing w:after="0" w:line="240" w:lineRule="auto"/>
        <w:rPr>
          <w:rFonts w:ascii="Arial" w:eastAsia="Calibri" w:hAnsi="Arial" w:cs="Arial"/>
          <w:bCs/>
          <w:sz w:val="20"/>
          <w:szCs w:val="20"/>
        </w:rPr>
      </w:pPr>
      <w:r w:rsidRPr="00807837">
        <w:rPr>
          <w:rFonts w:ascii="Arial" w:eastAsia="Calibri" w:hAnsi="Arial" w:cs="Arial"/>
          <w:bCs/>
          <w:sz w:val="20"/>
          <w:szCs w:val="20"/>
        </w:rPr>
        <w:t>The financial performance of the Department in the year under review is as follows:</w:t>
      </w:r>
    </w:p>
    <w:p w:rsidR="00960BA3" w:rsidRPr="00807837" w:rsidRDefault="00960BA3" w:rsidP="00807837">
      <w:pPr>
        <w:spacing w:after="0" w:line="240" w:lineRule="auto"/>
        <w:rPr>
          <w:rFonts w:ascii="Arial" w:eastAsia="Calibri" w:hAnsi="Arial" w:cs="Arial"/>
          <w:bCs/>
          <w:sz w:val="20"/>
          <w:szCs w:val="20"/>
        </w:rPr>
      </w:pPr>
    </w:p>
    <w:p w:rsidR="00960BA3" w:rsidRPr="00807837" w:rsidRDefault="002204C8" w:rsidP="00807837">
      <w:pPr>
        <w:spacing w:after="0" w:line="240" w:lineRule="auto"/>
        <w:rPr>
          <w:rFonts w:ascii="Arial" w:eastAsia="Calibri" w:hAnsi="Arial" w:cs="Arial"/>
          <w:sz w:val="20"/>
          <w:szCs w:val="20"/>
        </w:rPr>
      </w:pPr>
      <w:r w:rsidRPr="00807837">
        <w:rPr>
          <w:rFonts w:ascii="Arial" w:eastAsia="Calibri" w:hAnsi="Arial" w:cs="Arial"/>
          <w:sz w:val="20"/>
          <w:szCs w:val="20"/>
        </w:rPr>
        <w:t>5.1</w:t>
      </w:r>
      <w:r w:rsidRPr="00807837">
        <w:rPr>
          <w:rFonts w:ascii="Arial" w:eastAsia="Calibri" w:hAnsi="Arial" w:cs="Arial"/>
          <w:sz w:val="20"/>
          <w:szCs w:val="20"/>
        </w:rPr>
        <w:tab/>
      </w:r>
      <w:r w:rsidR="00960BA3" w:rsidRPr="00807837">
        <w:rPr>
          <w:rFonts w:ascii="Arial" w:eastAsia="Calibri" w:hAnsi="Arial" w:cs="Arial"/>
          <w:sz w:val="20"/>
          <w:szCs w:val="20"/>
        </w:rPr>
        <w:t>Financial statements for the 202</w:t>
      </w:r>
      <w:r w:rsidR="007B5065" w:rsidRPr="00807837">
        <w:rPr>
          <w:rFonts w:ascii="Arial" w:eastAsia="Calibri" w:hAnsi="Arial" w:cs="Arial"/>
          <w:sz w:val="20"/>
          <w:szCs w:val="20"/>
        </w:rPr>
        <w:t>1</w:t>
      </w:r>
      <w:r w:rsidR="00960BA3" w:rsidRPr="00807837">
        <w:rPr>
          <w:rFonts w:ascii="Arial" w:eastAsia="Calibri" w:hAnsi="Arial" w:cs="Arial"/>
          <w:sz w:val="20"/>
          <w:szCs w:val="20"/>
        </w:rPr>
        <w:t>/2</w:t>
      </w:r>
      <w:r w:rsidR="007B5065" w:rsidRPr="00807837">
        <w:rPr>
          <w:rFonts w:ascii="Arial" w:eastAsia="Calibri" w:hAnsi="Arial" w:cs="Arial"/>
          <w:sz w:val="20"/>
          <w:szCs w:val="20"/>
        </w:rPr>
        <w:t>2</w:t>
      </w:r>
      <w:r w:rsidR="00960BA3" w:rsidRPr="00807837">
        <w:rPr>
          <w:rFonts w:ascii="Arial" w:eastAsia="Calibri" w:hAnsi="Arial" w:cs="Arial"/>
          <w:sz w:val="20"/>
          <w:szCs w:val="20"/>
        </w:rPr>
        <w:t xml:space="preserve"> financial year</w:t>
      </w:r>
    </w:p>
    <w:p w:rsidR="00960BA3" w:rsidRPr="00807837" w:rsidRDefault="00960BA3" w:rsidP="00807837">
      <w:pPr>
        <w:spacing w:after="0" w:line="240" w:lineRule="auto"/>
        <w:rPr>
          <w:rFonts w:ascii="Arial" w:eastAsia="Calibri" w:hAnsi="Arial" w:cs="Arial"/>
          <w:sz w:val="20"/>
          <w:szCs w:val="20"/>
        </w:rPr>
      </w:pPr>
    </w:p>
    <w:p w:rsidR="007B5065" w:rsidRPr="00807837" w:rsidRDefault="007B5065" w:rsidP="00807837">
      <w:pPr>
        <w:spacing w:after="0" w:line="240" w:lineRule="auto"/>
        <w:rPr>
          <w:rFonts w:ascii="Arial" w:eastAsia="Calibri" w:hAnsi="Arial" w:cs="Arial"/>
          <w:sz w:val="20"/>
          <w:szCs w:val="20"/>
        </w:rPr>
      </w:pPr>
      <w:r w:rsidRPr="00807837">
        <w:rPr>
          <w:rFonts w:ascii="Arial" w:eastAsia="Calibri" w:hAnsi="Arial" w:cs="Arial"/>
          <w:sz w:val="20"/>
          <w:szCs w:val="20"/>
        </w:rPr>
        <w:t xml:space="preserve">The Department of Tourism’s adjusted appropriation for 2021/22 amounted to R2.54 billion.  This was an increase from the initial appropriation of R2.42 billion. </w:t>
      </w:r>
    </w:p>
    <w:p w:rsidR="001E4B03" w:rsidRPr="00807837" w:rsidRDefault="001E4B03" w:rsidP="00807837">
      <w:pPr>
        <w:spacing w:after="0" w:line="240" w:lineRule="auto"/>
        <w:contextualSpacing/>
        <w:rPr>
          <w:rFonts w:ascii="Arial" w:hAnsi="Arial" w:cs="Arial"/>
          <w:b/>
          <w:sz w:val="20"/>
          <w:szCs w:val="20"/>
        </w:rPr>
      </w:pPr>
    </w:p>
    <w:p w:rsidR="007B5065" w:rsidRPr="00807837" w:rsidRDefault="00447AC6" w:rsidP="00807837">
      <w:pPr>
        <w:spacing w:after="0" w:line="240" w:lineRule="auto"/>
        <w:contextualSpacing/>
        <w:rPr>
          <w:rFonts w:ascii="Arial" w:hAnsi="Arial" w:cs="Arial"/>
          <w:b/>
          <w:sz w:val="20"/>
          <w:szCs w:val="20"/>
        </w:rPr>
      </w:pPr>
      <w:r w:rsidRPr="00807837">
        <w:rPr>
          <w:rFonts w:ascii="Arial" w:hAnsi="Arial" w:cs="Arial"/>
          <w:b/>
          <w:sz w:val="20"/>
          <w:szCs w:val="20"/>
        </w:rPr>
        <w:t>Table 4</w:t>
      </w:r>
      <w:r w:rsidR="007B5065" w:rsidRPr="00807837">
        <w:rPr>
          <w:rFonts w:ascii="Arial" w:hAnsi="Arial" w:cs="Arial"/>
          <w:b/>
          <w:sz w:val="20"/>
          <w:szCs w:val="20"/>
        </w:rPr>
        <w:t>: Financial Statement of 2021/22</w:t>
      </w:r>
    </w:p>
    <w:tbl>
      <w:tblPr>
        <w:tblStyle w:val="TableGrid1"/>
        <w:tblW w:w="9072" w:type="dxa"/>
        <w:tblInd w:w="-5" w:type="dxa"/>
        <w:tblLayout w:type="fixed"/>
        <w:tblLook w:val="04A0"/>
      </w:tblPr>
      <w:tblGrid>
        <w:gridCol w:w="1843"/>
        <w:gridCol w:w="1418"/>
        <w:gridCol w:w="1134"/>
        <w:gridCol w:w="1417"/>
        <w:gridCol w:w="1276"/>
        <w:gridCol w:w="992"/>
        <w:gridCol w:w="992"/>
      </w:tblGrid>
      <w:tr w:rsidR="00720739" w:rsidRPr="00807837" w:rsidTr="00057EC6">
        <w:tc>
          <w:tcPr>
            <w:tcW w:w="1843" w:type="dxa"/>
            <w:vMerge w:val="restart"/>
            <w:shd w:val="clear" w:color="auto" w:fill="auto"/>
          </w:tcPr>
          <w:p w:rsidR="007B5065" w:rsidRPr="00807837" w:rsidRDefault="007B5065" w:rsidP="00807837">
            <w:pPr>
              <w:rPr>
                <w:rFonts w:ascii="Arial" w:hAnsi="Arial" w:cs="Arial"/>
                <w:sz w:val="20"/>
                <w:szCs w:val="20"/>
              </w:rPr>
            </w:pPr>
            <w:r w:rsidRPr="00807837">
              <w:rPr>
                <w:rFonts w:ascii="Arial" w:hAnsi="Arial" w:cs="Arial"/>
                <w:b/>
                <w:sz w:val="20"/>
                <w:szCs w:val="20"/>
              </w:rPr>
              <w:t>Programme</w:t>
            </w:r>
          </w:p>
        </w:tc>
        <w:tc>
          <w:tcPr>
            <w:tcW w:w="1418" w:type="dxa"/>
            <w:shd w:val="clear" w:color="auto" w:fill="auto"/>
          </w:tcPr>
          <w:p w:rsidR="007B5065" w:rsidRPr="00807837" w:rsidRDefault="007B5065" w:rsidP="00807837">
            <w:pPr>
              <w:rPr>
                <w:rFonts w:ascii="Arial" w:hAnsi="Arial" w:cs="Arial"/>
                <w:b/>
                <w:sz w:val="20"/>
                <w:szCs w:val="20"/>
              </w:rPr>
            </w:pPr>
            <w:r w:rsidRPr="00807837">
              <w:rPr>
                <w:rFonts w:ascii="Arial" w:hAnsi="Arial" w:cs="Arial"/>
                <w:b/>
                <w:sz w:val="20"/>
                <w:szCs w:val="20"/>
              </w:rPr>
              <w:t>Adjusted Appropriation</w:t>
            </w:r>
          </w:p>
        </w:tc>
        <w:tc>
          <w:tcPr>
            <w:tcW w:w="1134" w:type="dxa"/>
            <w:shd w:val="clear" w:color="auto" w:fill="auto"/>
          </w:tcPr>
          <w:p w:rsidR="007B5065" w:rsidRPr="00807837" w:rsidRDefault="007B5065" w:rsidP="00807837">
            <w:pPr>
              <w:rPr>
                <w:rFonts w:ascii="Arial" w:hAnsi="Arial" w:cs="Arial"/>
                <w:b/>
                <w:sz w:val="20"/>
                <w:szCs w:val="20"/>
              </w:rPr>
            </w:pPr>
            <w:r w:rsidRPr="00807837">
              <w:rPr>
                <w:rFonts w:ascii="Arial" w:hAnsi="Arial" w:cs="Arial"/>
                <w:b/>
                <w:sz w:val="20"/>
                <w:szCs w:val="20"/>
              </w:rPr>
              <w:t>Virements</w:t>
            </w:r>
          </w:p>
        </w:tc>
        <w:tc>
          <w:tcPr>
            <w:tcW w:w="1417" w:type="dxa"/>
            <w:shd w:val="clear" w:color="auto" w:fill="auto"/>
          </w:tcPr>
          <w:p w:rsidR="007B5065" w:rsidRPr="00807837" w:rsidRDefault="007B5065" w:rsidP="00807837">
            <w:pPr>
              <w:rPr>
                <w:rFonts w:ascii="Arial" w:hAnsi="Arial" w:cs="Arial"/>
                <w:b/>
                <w:sz w:val="20"/>
                <w:szCs w:val="20"/>
              </w:rPr>
            </w:pPr>
            <w:r w:rsidRPr="00807837">
              <w:rPr>
                <w:rFonts w:ascii="Arial" w:hAnsi="Arial" w:cs="Arial"/>
                <w:b/>
                <w:sz w:val="20"/>
                <w:szCs w:val="20"/>
              </w:rPr>
              <w:t xml:space="preserve">Final Appropriation </w:t>
            </w:r>
          </w:p>
        </w:tc>
        <w:tc>
          <w:tcPr>
            <w:tcW w:w="1276" w:type="dxa"/>
            <w:shd w:val="clear" w:color="auto" w:fill="auto"/>
          </w:tcPr>
          <w:p w:rsidR="007B5065" w:rsidRPr="00807837" w:rsidRDefault="007B5065" w:rsidP="00807837">
            <w:pPr>
              <w:rPr>
                <w:rFonts w:ascii="Arial" w:hAnsi="Arial" w:cs="Arial"/>
                <w:b/>
                <w:sz w:val="20"/>
                <w:szCs w:val="20"/>
              </w:rPr>
            </w:pPr>
            <w:r w:rsidRPr="00807837">
              <w:rPr>
                <w:rFonts w:ascii="Arial" w:hAnsi="Arial" w:cs="Arial"/>
                <w:b/>
                <w:sz w:val="20"/>
                <w:szCs w:val="20"/>
              </w:rPr>
              <w:t>Expenditure</w:t>
            </w:r>
          </w:p>
        </w:tc>
        <w:tc>
          <w:tcPr>
            <w:tcW w:w="992" w:type="dxa"/>
            <w:shd w:val="clear" w:color="auto" w:fill="auto"/>
          </w:tcPr>
          <w:p w:rsidR="007B5065" w:rsidRPr="00807837" w:rsidRDefault="007B5065" w:rsidP="00807837">
            <w:pPr>
              <w:rPr>
                <w:rFonts w:ascii="Arial" w:hAnsi="Arial" w:cs="Arial"/>
                <w:b/>
                <w:sz w:val="20"/>
                <w:szCs w:val="20"/>
              </w:rPr>
            </w:pPr>
            <w:r w:rsidRPr="00807837">
              <w:rPr>
                <w:rFonts w:ascii="Arial" w:hAnsi="Arial" w:cs="Arial"/>
                <w:b/>
                <w:sz w:val="20"/>
                <w:szCs w:val="20"/>
              </w:rPr>
              <w:t>Variance</w:t>
            </w:r>
          </w:p>
        </w:tc>
        <w:tc>
          <w:tcPr>
            <w:tcW w:w="992" w:type="dxa"/>
            <w:shd w:val="clear" w:color="auto" w:fill="auto"/>
          </w:tcPr>
          <w:p w:rsidR="007B5065" w:rsidRPr="00807837" w:rsidRDefault="007B5065" w:rsidP="00807837">
            <w:pPr>
              <w:rPr>
                <w:rFonts w:ascii="Arial" w:hAnsi="Arial" w:cs="Arial"/>
                <w:b/>
                <w:sz w:val="20"/>
                <w:szCs w:val="20"/>
              </w:rPr>
            </w:pPr>
            <w:r w:rsidRPr="00807837">
              <w:rPr>
                <w:rFonts w:ascii="Arial" w:hAnsi="Arial" w:cs="Arial"/>
                <w:b/>
                <w:sz w:val="20"/>
                <w:szCs w:val="20"/>
              </w:rPr>
              <w:t>Expenditure as % of final appropriation</w:t>
            </w:r>
          </w:p>
        </w:tc>
      </w:tr>
      <w:tr w:rsidR="00720739" w:rsidRPr="00807837" w:rsidTr="00900394">
        <w:tc>
          <w:tcPr>
            <w:tcW w:w="1843" w:type="dxa"/>
            <w:vMerge/>
          </w:tcPr>
          <w:p w:rsidR="007B5065" w:rsidRPr="00807837" w:rsidRDefault="007B5065" w:rsidP="00807837">
            <w:pPr>
              <w:rPr>
                <w:rFonts w:ascii="Arial" w:hAnsi="Arial" w:cs="Arial"/>
                <w:b/>
                <w:sz w:val="20"/>
                <w:szCs w:val="20"/>
              </w:rPr>
            </w:pPr>
          </w:p>
        </w:tc>
        <w:tc>
          <w:tcPr>
            <w:tcW w:w="1418" w:type="dxa"/>
          </w:tcPr>
          <w:p w:rsidR="007B5065" w:rsidRPr="00807837" w:rsidRDefault="007B5065" w:rsidP="00807837">
            <w:pPr>
              <w:rPr>
                <w:rFonts w:ascii="Arial" w:hAnsi="Arial" w:cs="Arial"/>
                <w:b/>
                <w:sz w:val="20"/>
                <w:szCs w:val="20"/>
              </w:rPr>
            </w:pPr>
            <w:r w:rsidRPr="00807837">
              <w:rPr>
                <w:rFonts w:ascii="Arial" w:hAnsi="Arial" w:cs="Arial"/>
                <w:b/>
                <w:sz w:val="20"/>
                <w:szCs w:val="20"/>
              </w:rPr>
              <w:t>R’000</w:t>
            </w:r>
          </w:p>
        </w:tc>
        <w:tc>
          <w:tcPr>
            <w:tcW w:w="1134" w:type="dxa"/>
          </w:tcPr>
          <w:p w:rsidR="007B5065" w:rsidRPr="00807837" w:rsidRDefault="007B5065" w:rsidP="00807837">
            <w:pPr>
              <w:rPr>
                <w:rFonts w:ascii="Arial" w:hAnsi="Arial" w:cs="Arial"/>
                <w:b/>
                <w:sz w:val="20"/>
                <w:szCs w:val="20"/>
              </w:rPr>
            </w:pPr>
            <w:r w:rsidRPr="00807837">
              <w:rPr>
                <w:rFonts w:ascii="Arial" w:hAnsi="Arial" w:cs="Arial"/>
                <w:b/>
                <w:sz w:val="20"/>
                <w:szCs w:val="20"/>
              </w:rPr>
              <w:t>R’000</w:t>
            </w:r>
          </w:p>
        </w:tc>
        <w:tc>
          <w:tcPr>
            <w:tcW w:w="1417" w:type="dxa"/>
          </w:tcPr>
          <w:p w:rsidR="007B5065" w:rsidRPr="00807837" w:rsidRDefault="007B5065" w:rsidP="00807837">
            <w:pPr>
              <w:rPr>
                <w:rFonts w:ascii="Arial" w:hAnsi="Arial" w:cs="Arial"/>
                <w:b/>
                <w:sz w:val="20"/>
                <w:szCs w:val="20"/>
              </w:rPr>
            </w:pPr>
            <w:r w:rsidRPr="00807837">
              <w:rPr>
                <w:rFonts w:ascii="Arial" w:hAnsi="Arial" w:cs="Arial"/>
                <w:b/>
                <w:sz w:val="20"/>
                <w:szCs w:val="20"/>
              </w:rPr>
              <w:t>R’000</w:t>
            </w:r>
          </w:p>
        </w:tc>
        <w:tc>
          <w:tcPr>
            <w:tcW w:w="1276" w:type="dxa"/>
          </w:tcPr>
          <w:p w:rsidR="007B5065" w:rsidRPr="00807837" w:rsidRDefault="007B5065" w:rsidP="00807837">
            <w:pPr>
              <w:rPr>
                <w:rFonts w:ascii="Arial" w:hAnsi="Arial" w:cs="Arial"/>
                <w:b/>
                <w:sz w:val="20"/>
                <w:szCs w:val="20"/>
              </w:rPr>
            </w:pPr>
            <w:r w:rsidRPr="00807837">
              <w:rPr>
                <w:rFonts w:ascii="Arial" w:hAnsi="Arial" w:cs="Arial"/>
                <w:b/>
                <w:sz w:val="20"/>
                <w:szCs w:val="20"/>
              </w:rPr>
              <w:t>R’000</w:t>
            </w:r>
          </w:p>
        </w:tc>
        <w:tc>
          <w:tcPr>
            <w:tcW w:w="992" w:type="dxa"/>
          </w:tcPr>
          <w:p w:rsidR="007B5065" w:rsidRPr="00807837" w:rsidRDefault="007B5065" w:rsidP="00807837">
            <w:pPr>
              <w:rPr>
                <w:rFonts w:ascii="Arial" w:hAnsi="Arial" w:cs="Arial"/>
                <w:b/>
                <w:sz w:val="20"/>
                <w:szCs w:val="20"/>
              </w:rPr>
            </w:pPr>
            <w:r w:rsidRPr="00807837">
              <w:rPr>
                <w:rFonts w:ascii="Arial" w:hAnsi="Arial" w:cs="Arial"/>
                <w:b/>
                <w:sz w:val="20"/>
                <w:szCs w:val="20"/>
              </w:rPr>
              <w:t>R’000</w:t>
            </w:r>
          </w:p>
        </w:tc>
        <w:tc>
          <w:tcPr>
            <w:tcW w:w="992" w:type="dxa"/>
          </w:tcPr>
          <w:p w:rsidR="007B5065" w:rsidRPr="00807837" w:rsidRDefault="007B5065" w:rsidP="00807837">
            <w:pPr>
              <w:rPr>
                <w:rFonts w:ascii="Arial" w:hAnsi="Arial" w:cs="Arial"/>
                <w:b/>
                <w:sz w:val="20"/>
                <w:szCs w:val="20"/>
              </w:rPr>
            </w:pPr>
            <w:r w:rsidRPr="00807837">
              <w:rPr>
                <w:rFonts w:ascii="Arial" w:hAnsi="Arial" w:cs="Arial"/>
                <w:b/>
                <w:sz w:val="20"/>
                <w:szCs w:val="20"/>
              </w:rPr>
              <w:t>%</w:t>
            </w:r>
          </w:p>
        </w:tc>
      </w:tr>
      <w:tr w:rsidR="00720739" w:rsidRPr="00807837" w:rsidTr="00900394">
        <w:tc>
          <w:tcPr>
            <w:tcW w:w="1843" w:type="dxa"/>
          </w:tcPr>
          <w:p w:rsidR="007B5065" w:rsidRPr="00807837" w:rsidRDefault="007B5065" w:rsidP="00807837">
            <w:pPr>
              <w:rPr>
                <w:rFonts w:ascii="Arial" w:hAnsi="Arial" w:cs="Arial"/>
                <w:sz w:val="20"/>
                <w:szCs w:val="20"/>
              </w:rPr>
            </w:pPr>
            <w:r w:rsidRPr="00807837">
              <w:rPr>
                <w:rFonts w:ascii="Arial" w:hAnsi="Arial" w:cs="Arial"/>
                <w:sz w:val="20"/>
                <w:szCs w:val="20"/>
              </w:rPr>
              <w:t xml:space="preserve">1. Administration </w:t>
            </w:r>
          </w:p>
        </w:tc>
        <w:tc>
          <w:tcPr>
            <w:tcW w:w="1418" w:type="dxa"/>
          </w:tcPr>
          <w:p w:rsidR="007B5065" w:rsidRPr="00807837" w:rsidRDefault="007B5065" w:rsidP="00807837">
            <w:pPr>
              <w:rPr>
                <w:rFonts w:ascii="Arial" w:hAnsi="Arial" w:cs="Arial"/>
                <w:sz w:val="20"/>
                <w:szCs w:val="20"/>
              </w:rPr>
            </w:pPr>
            <w:r w:rsidRPr="00807837">
              <w:rPr>
                <w:rFonts w:ascii="Arial" w:hAnsi="Arial" w:cs="Arial"/>
                <w:sz w:val="20"/>
                <w:szCs w:val="20"/>
              </w:rPr>
              <w:t>309 776</w:t>
            </w:r>
          </w:p>
        </w:tc>
        <w:tc>
          <w:tcPr>
            <w:tcW w:w="1134" w:type="dxa"/>
          </w:tcPr>
          <w:p w:rsidR="007B5065" w:rsidRPr="00807837" w:rsidRDefault="007B5065" w:rsidP="00807837">
            <w:pPr>
              <w:rPr>
                <w:rFonts w:ascii="Arial" w:hAnsi="Arial" w:cs="Arial"/>
                <w:sz w:val="20"/>
                <w:szCs w:val="20"/>
              </w:rPr>
            </w:pPr>
            <w:r w:rsidRPr="00807837">
              <w:rPr>
                <w:rFonts w:ascii="Arial" w:hAnsi="Arial" w:cs="Arial"/>
                <w:sz w:val="20"/>
                <w:szCs w:val="20"/>
              </w:rPr>
              <w:t>(21 280)</w:t>
            </w:r>
          </w:p>
        </w:tc>
        <w:tc>
          <w:tcPr>
            <w:tcW w:w="1417" w:type="dxa"/>
          </w:tcPr>
          <w:p w:rsidR="007B5065" w:rsidRPr="00807837" w:rsidRDefault="007B5065" w:rsidP="00807837">
            <w:pPr>
              <w:rPr>
                <w:rFonts w:ascii="Arial" w:hAnsi="Arial" w:cs="Arial"/>
                <w:sz w:val="20"/>
                <w:szCs w:val="20"/>
              </w:rPr>
            </w:pPr>
            <w:r w:rsidRPr="00807837">
              <w:rPr>
                <w:rFonts w:ascii="Arial" w:hAnsi="Arial" w:cs="Arial"/>
                <w:sz w:val="20"/>
                <w:szCs w:val="20"/>
              </w:rPr>
              <w:t>288 496</w:t>
            </w:r>
          </w:p>
        </w:tc>
        <w:tc>
          <w:tcPr>
            <w:tcW w:w="1276" w:type="dxa"/>
          </w:tcPr>
          <w:p w:rsidR="007B5065" w:rsidRPr="00807837" w:rsidRDefault="007B5065" w:rsidP="00807837">
            <w:pPr>
              <w:rPr>
                <w:rFonts w:ascii="Arial" w:hAnsi="Arial" w:cs="Arial"/>
                <w:sz w:val="20"/>
                <w:szCs w:val="20"/>
              </w:rPr>
            </w:pPr>
            <w:r w:rsidRPr="00807837">
              <w:rPr>
                <w:rFonts w:ascii="Arial" w:hAnsi="Arial" w:cs="Arial"/>
                <w:sz w:val="20"/>
                <w:szCs w:val="20"/>
              </w:rPr>
              <w:t>288 496</w:t>
            </w:r>
          </w:p>
        </w:tc>
        <w:tc>
          <w:tcPr>
            <w:tcW w:w="992" w:type="dxa"/>
          </w:tcPr>
          <w:p w:rsidR="007B5065" w:rsidRPr="00807837" w:rsidRDefault="007B5065" w:rsidP="00807837">
            <w:pPr>
              <w:rPr>
                <w:rFonts w:ascii="Arial" w:hAnsi="Arial" w:cs="Arial"/>
                <w:sz w:val="20"/>
                <w:szCs w:val="20"/>
              </w:rPr>
            </w:pPr>
            <w:r w:rsidRPr="00807837">
              <w:rPr>
                <w:rFonts w:ascii="Arial" w:hAnsi="Arial" w:cs="Arial"/>
                <w:sz w:val="20"/>
                <w:szCs w:val="20"/>
              </w:rPr>
              <w:t>-</w:t>
            </w:r>
          </w:p>
          <w:p w:rsidR="007B5065" w:rsidRPr="00807837" w:rsidRDefault="007B5065" w:rsidP="00807837">
            <w:pPr>
              <w:rPr>
                <w:rFonts w:ascii="Arial" w:hAnsi="Arial" w:cs="Arial"/>
                <w:sz w:val="20"/>
                <w:szCs w:val="20"/>
              </w:rPr>
            </w:pPr>
          </w:p>
        </w:tc>
        <w:tc>
          <w:tcPr>
            <w:tcW w:w="992" w:type="dxa"/>
          </w:tcPr>
          <w:p w:rsidR="007B5065" w:rsidRPr="00807837" w:rsidRDefault="007B5065" w:rsidP="00807837">
            <w:pPr>
              <w:rPr>
                <w:rFonts w:ascii="Arial" w:hAnsi="Arial" w:cs="Arial"/>
                <w:sz w:val="20"/>
                <w:szCs w:val="20"/>
              </w:rPr>
            </w:pPr>
            <w:r w:rsidRPr="00807837">
              <w:rPr>
                <w:rFonts w:ascii="Arial" w:hAnsi="Arial" w:cs="Arial"/>
                <w:sz w:val="20"/>
                <w:szCs w:val="20"/>
              </w:rPr>
              <w:t>100%</w:t>
            </w:r>
          </w:p>
        </w:tc>
      </w:tr>
      <w:tr w:rsidR="00720739" w:rsidRPr="00807837" w:rsidTr="00900394">
        <w:tc>
          <w:tcPr>
            <w:tcW w:w="1843" w:type="dxa"/>
          </w:tcPr>
          <w:p w:rsidR="007B5065" w:rsidRPr="00807837" w:rsidRDefault="007B5065" w:rsidP="00807837">
            <w:pPr>
              <w:rPr>
                <w:rFonts w:ascii="Arial" w:hAnsi="Arial" w:cs="Arial"/>
                <w:sz w:val="20"/>
                <w:szCs w:val="20"/>
              </w:rPr>
            </w:pPr>
            <w:r w:rsidRPr="00807837">
              <w:rPr>
                <w:rFonts w:ascii="Arial" w:hAnsi="Arial" w:cs="Arial"/>
                <w:sz w:val="20"/>
                <w:szCs w:val="20"/>
              </w:rPr>
              <w:t>2. Tourism Research, Policy and International Relations</w:t>
            </w:r>
          </w:p>
        </w:tc>
        <w:tc>
          <w:tcPr>
            <w:tcW w:w="1418" w:type="dxa"/>
          </w:tcPr>
          <w:p w:rsidR="007B5065" w:rsidRPr="00807837" w:rsidRDefault="007B5065" w:rsidP="00807837">
            <w:pPr>
              <w:rPr>
                <w:rFonts w:ascii="Arial" w:hAnsi="Arial" w:cs="Arial"/>
                <w:sz w:val="20"/>
                <w:szCs w:val="20"/>
              </w:rPr>
            </w:pPr>
            <w:r w:rsidRPr="00807837">
              <w:rPr>
                <w:rFonts w:ascii="Arial" w:hAnsi="Arial" w:cs="Arial"/>
                <w:sz w:val="20"/>
                <w:szCs w:val="20"/>
              </w:rPr>
              <w:t>1 382 651</w:t>
            </w:r>
          </w:p>
        </w:tc>
        <w:tc>
          <w:tcPr>
            <w:tcW w:w="1134" w:type="dxa"/>
          </w:tcPr>
          <w:p w:rsidR="007B5065" w:rsidRPr="00807837" w:rsidRDefault="007B5065" w:rsidP="00807837">
            <w:pPr>
              <w:rPr>
                <w:rFonts w:ascii="Arial" w:hAnsi="Arial" w:cs="Arial"/>
                <w:sz w:val="20"/>
                <w:szCs w:val="20"/>
              </w:rPr>
            </w:pPr>
            <w:r w:rsidRPr="00807837">
              <w:rPr>
                <w:rFonts w:ascii="Arial" w:hAnsi="Arial" w:cs="Arial"/>
                <w:sz w:val="20"/>
                <w:szCs w:val="20"/>
              </w:rPr>
              <w:t>(20 080)</w:t>
            </w:r>
          </w:p>
        </w:tc>
        <w:tc>
          <w:tcPr>
            <w:tcW w:w="1417" w:type="dxa"/>
          </w:tcPr>
          <w:p w:rsidR="007B5065" w:rsidRPr="00807837" w:rsidRDefault="007B5065" w:rsidP="00807837">
            <w:pPr>
              <w:rPr>
                <w:rFonts w:ascii="Arial" w:hAnsi="Arial" w:cs="Arial"/>
                <w:sz w:val="20"/>
                <w:szCs w:val="20"/>
              </w:rPr>
            </w:pPr>
            <w:r w:rsidRPr="00807837">
              <w:rPr>
                <w:rFonts w:ascii="Arial" w:hAnsi="Arial" w:cs="Arial"/>
                <w:sz w:val="20"/>
                <w:szCs w:val="20"/>
              </w:rPr>
              <w:t>1 362 571</w:t>
            </w:r>
          </w:p>
        </w:tc>
        <w:tc>
          <w:tcPr>
            <w:tcW w:w="1276" w:type="dxa"/>
          </w:tcPr>
          <w:p w:rsidR="007B5065" w:rsidRPr="00807837" w:rsidRDefault="007B5065" w:rsidP="00807837">
            <w:pPr>
              <w:rPr>
                <w:rFonts w:ascii="Arial" w:hAnsi="Arial" w:cs="Arial"/>
                <w:sz w:val="20"/>
                <w:szCs w:val="20"/>
              </w:rPr>
            </w:pPr>
            <w:r w:rsidRPr="00807837">
              <w:rPr>
                <w:rFonts w:ascii="Arial" w:hAnsi="Arial" w:cs="Arial"/>
                <w:sz w:val="20"/>
                <w:szCs w:val="20"/>
              </w:rPr>
              <w:t>1 358 557</w:t>
            </w:r>
          </w:p>
        </w:tc>
        <w:tc>
          <w:tcPr>
            <w:tcW w:w="992" w:type="dxa"/>
          </w:tcPr>
          <w:p w:rsidR="007B5065" w:rsidRPr="00807837" w:rsidRDefault="007B5065" w:rsidP="00807837">
            <w:pPr>
              <w:rPr>
                <w:rFonts w:ascii="Arial" w:hAnsi="Arial" w:cs="Arial"/>
                <w:sz w:val="20"/>
                <w:szCs w:val="20"/>
              </w:rPr>
            </w:pPr>
            <w:r w:rsidRPr="00807837">
              <w:rPr>
                <w:rFonts w:ascii="Arial" w:hAnsi="Arial" w:cs="Arial"/>
                <w:sz w:val="20"/>
                <w:szCs w:val="20"/>
              </w:rPr>
              <w:t>4 014</w:t>
            </w:r>
          </w:p>
        </w:tc>
        <w:tc>
          <w:tcPr>
            <w:tcW w:w="992" w:type="dxa"/>
          </w:tcPr>
          <w:p w:rsidR="007B5065" w:rsidRPr="00807837" w:rsidRDefault="007B5065" w:rsidP="00807837">
            <w:pPr>
              <w:rPr>
                <w:rFonts w:ascii="Arial" w:hAnsi="Arial" w:cs="Arial"/>
                <w:sz w:val="20"/>
                <w:szCs w:val="20"/>
              </w:rPr>
            </w:pPr>
            <w:r w:rsidRPr="00807837">
              <w:rPr>
                <w:rFonts w:ascii="Arial" w:hAnsi="Arial" w:cs="Arial"/>
                <w:sz w:val="20"/>
                <w:szCs w:val="20"/>
              </w:rPr>
              <w:t>99.7%</w:t>
            </w:r>
          </w:p>
        </w:tc>
      </w:tr>
      <w:tr w:rsidR="00720739" w:rsidRPr="00807837" w:rsidTr="00900394">
        <w:tc>
          <w:tcPr>
            <w:tcW w:w="1843" w:type="dxa"/>
          </w:tcPr>
          <w:p w:rsidR="007B5065" w:rsidRPr="00807837" w:rsidRDefault="007B5065" w:rsidP="00807837">
            <w:pPr>
              <w:rPr>
                <w:rFonts w:ascii="Arial" w:hAnsi="Arial" w:cs="Arial"/>
                <w:sz w:val="20"/>
                <w:szCs w:val="20"/>
              </w:rPr>
            </w:pPr>
            <w:r w:rsidRPr="00807837">
              <w:rPr>
                <w:rFonts w:ascii="Arial" w:hAnsi="Arial" w:cs="Arial"/>
                <w:sz w:val="20"/>
                <w:szCs w:val="20"/>
              </w:rPr>
              <w:t xml:space="preserve">3. Destination Development </w:t>
            </w:r>
          </w:p>
        </w:tc>
        <w:tc>
          <w:tcPr>
            <w:tcW w:w="1418" w:type="dxa"/>
          </w:tcPr>
          <w:p w:rsidR="007B5065" w:rsidRPr="00807837" w:rsidRDefault="007B5065" w:rsidP="00807837">
            <w:pPr>
              <w:rPr>
                <w:rFonts w:ascii="Arial" w:hAnsi="Arial" w:cs="Arial"/>
                <w:sz w:val="20"/>
                <w:szCs w:val="20"/>
              </w:rPr>
            </w:pPr>
            <w:r w:rsidRPr="00807837">
              <w:rPr>
                <w:rFonts w:ascii="Arial" w:hAnsi="Arial" w:cs="Arial"/>
                <w:sz w:val="20"/>
                <w:szCs w:val="20"/>
              </w:rPr>
              <w:t>466 326</w:t>
            </w:r>
          </w:p>
        </w:tc>
        <w:tc>
          <w:tcPr>
            <w:tcW w:w="1134" w:type="dxa"/>
          </w:tcPr>
          <w:p w:rsidR="007B5065" w:rsidRPr="00807837" w:rsidRDefault="007B5065" w:rsidP="00807837">
            <w:pPr>
              <w:rPr>
                <w:rFonts w:ascii="Arial" w:hAnsi="Arial" w:cs="Arial"/>
                <w:sz w:val="20"/>
                <w:szCs w:val="20"/>
              </w:rPr>
            </w:pPr>
            <w:r w:rsidRPr="00807837">
              <w:rPr>
                <w:rFonts w:ascii="Arial" w:hAnsi="Arial" w:cs="Arial"/>
                <w:sz w:val="20"/>
                <w:szCs w:val="20"/>
              </w:rPr>
              <w:t>64 198</w:t>
            </w:r>
          </w:p>
        </w:tc>
        <w:tc>
          <w:tcPr>
            <w:tcW w:w="1417" w:type="dxa"/>
          </w:tcPr>
          <w:p w:rsidR="007B5065" w:rsidRPr="00807837" w:rsidRDefault="007B5065" w:rsidP="00807837">
            <w:pPr>
              <w:rPr>
                <w:rFonts w:ascii="Arial" w:hAnsi="Arial" w:cs="Arial"/>
                <w:sz w:val="20"/>
                <w:szCs w:val="20"/>
              </w:rPr>
            </w:pPr>
            <w:r w:rsidRPr="00807837">
              <w:rPr>
                <w:rFonts w:ascii="Arial" w:hAnsi="Arial" w:cs="Arial"/>
                <w:sz w:val="20"/>
                <w:szCs w:val="20"/>
              </w:rPr>
              <w:t>530 524</w:t>
            </w:r>
          </w:p>
        </w:tc>
        <w:tc>
          <w:tcPr>
            <w:tcW w:w="1276" w:type="dxa"/>
          </w:tcPr>
          <w:p w:rsidR="007B5065" w:rsidRPr="00807837" w:rsidRDefault="007B5065" w:rsidP="00807837">
            <w:pPr>
              <w:rPr>
                <w:rFonts w:ascii="Arial" w:hAnsi="Arial" w:cs="Arial"/>
                <w:sz w:val="20"/>
                <w:szCs w:val="20"/>
              </w:rPr>
            </w:pPr>
            <w:r w:rsidRPr="00807837">
              <w:rPr>
                <w:rFonts w:ascii="Arial" w:hAnsi="Arial" w:cs="Arial"/>
                <w:sz w:val="20"/>
                <w:szCs w:val="20"/>
              </w:rPr>
              <w:t>527 185</w:t>
            </w:r>
          </w:p>
        </w:tc>
        <w:tc>
          <w:tcPr>
            <w:tcW w:w="992" w:type="dxa"/>
          </w:tcPr>
          <w:p w:rsidR="007B5065" w:rsidRPr="00807837" w:rsidRDefault="007B5065" w:rsidP="00807837">
            <w:pPr>
              <w:rPr>
                <w:rFonts w:ascii="Arial" w:hAnsi="Arial" w:cs="Arial"/>
                <w:sz w:val="20"/>
                <w:szCs w:val="20"/>
              </w:rPr>
            </w:pPr>
            <w:r w:rsidRPr="00807837">
              <w:rPr>
                <w:rFonts w:ascii="Arial" w:hAnsi="Arial" w:cs="Arial"/>
                <w:sz w:val="20"/>
                <w:szCs w:val="20"/>
              </w:rPr>
              <w:t>3 339</w:t>
            </w:r>
          </w:p>
        </w:tc>
        <w:tc>
          <w:tcPr>
            <w:tcW w:w="992" w:type="dxa"/>
          </w:tcPr>
          <w:p w:rsidR="007B5065" w:rsidRPr="00807837" w:rsidRDefault="007B5065" w:rsidP="00807837">
            <w:pPr>
              <w:rPr>
                <w:rFonts w:ascii="Arial" w:hAnsi="Arial" w:cs="Arial"/>
                <w:sz w:val="20"/>
                <w:szCs w:val="20"/>
              </w:rPr>
            </w:pPr>
            <w:r w:rsidRPr="00807837">
              <w:rPr>
                <w:rFonts w:ascii="Arial" w:hAnsi="Arial" w:cs="Arial"/>
                <w:sz w:val="20"/>
                <w:szCs w:val="20"/>
              </w:rPr>
              <w:t>99.4%</w:t>
            </w:r>
          </w:p>
        </w:tc>
      </w:tr>
      <w:tr w:rsidR="00720739" w:rsidRPr="00807837" w:rsidTr="00900394">
        <w:tc>
          <w:tcPr>
            <w:tcW w:w="1843" w:type="dxa"/>
          </w:tcPr>
          <w:p w:rsidR="007B5065" w:rsidRPr="00807837" w:rsidRDefault="007B5065" w:rsidP="00807837">
            <w:pPr>
              <w:rPr>
                <w:rFonts w:ascii="Arial" w:hAnsi="Arial" w:cs="Arial"/>
                <w:sz w:val="20"/>
                <w:szCs w:val="20"/>
              </w:rPr>
            </w:pPr>
            <w:r w:rsidRPr="00807837">
              <w:rPr>
                <w:rFonts w:ascii="Arial" w:hAnsi="Arial" w:cs="Arial"/>
                <w:sz w:val="20"/>
                <w:szCs w:val="20"/>
              </w:rPr>
              <w:t>4. Tourism Sector Support Services</w:t>
            </w:r>
          </w:p>
        </w:tc>
        <w:tc>
          <w:tcPr>
            <w:tcW w:w="1418" w:type="dxa"/>
          </w:tcPr>
          <w:p w:rsidR="007B5065" w:rsidRPr="00807837" w:rsidRDefault="007B5065" w:rsidP="00807837">
            <w:pPr>
              <w:rPr>
                <w:rFonts w:ascii="Arial" w:hAnsi="Arial" w:cs="Arial"/>
                <w:sz w:val="20"/>
                <w:szCs w:val="20"/>
              </w:rPr>
            </w:pPr>
            <w:r w:rsidRPr="00807837">
              <w:rPr>
                <w:rFonts w:ascii="Arial" w:hAnsi="Arial" w:cs="Arial"/>
                <w:sz w:val="20"/>
                <w:szCs w:val="20"/>
              </w:rPr>
              <w:t>386 585</w:t>
            </w:r>
          </w:p>
        </w:tc>
        <w:tc>
          <w:tcPr>
            <w:tcW w:w="1134" w:type="dxa"/>
          </w:tcPr>
          <w:p w:rsidR="007B5065" w:rsidRPr="00807837" w:rsidRDefault="007B5065" w:rsidP="00807837">
            <w:pPr>
              <w:rPr>
                <w:rFonts w:ascii="Arial" w:hAnsi="Arial" w:cs="Arial"/>
                <w:sz w:val="20"/>
                <w:szCs w:val="20"/>
              </w:rPr>
            </w:pPr>
            <w:r w:rsidRPr="00807837">
              <w:rPr>
                <w:rFonts w:ascii="Arial" w:hAnsi="Arial" w:cs="Arial"/>
                <w:sz w:val="20"/>
                <w:szCs w:val="20"/>
              </w:rPr>
              <w:t>(22 838)</w:t>
            </w:r>
          </w:p>
        </w:tc>
        <w:tc>
          <w:tcPr>
            <w:tcW w:w="1417" w:type="dxa"/>
          </w:tcPr>
          <w:p w:rsidR="007B5065" w:rsidRPr="00807837" w:rsidRDefault="007B5065" w:rsidP="00807837">
            <w:pPr>
              <w:rPr>
                <w:rFonts w:ascii="Arial" w:hAnsi="Arial" w:cs="Arial"/>
                <w:sz w:val="20"/>
                <w:szCs w:val="20"/>
              </w:rPr>
            </w:pPr>
            <w:r w:rsidRPr="00807837">
              <w:rPr>
                <w:rFonts w:ascii="Arial" w:hAnsi="Arial" w:cs="Arial"/>
                <w:sz w:val="20"/>
                <w:szCs w:val="20"/>
              </w:rPr>
              <w:t>363 747</w:t>
            </w:r>
          </w:p>
        </w:tc>
        <w:tc>
          <w:tcPr>
            <w:tcW w:w="1276" w:type="dxa"/>
          </w:tcPr>
          <w:p w:rsidR="007B5065" w:rsidRPr="00807837" w:rsidRDefault="007B5065" w:rsidP="00807837">
            <w:pPr>
              <w:rPr>
                <w:rFonts w:ascii="Arial" w:hAnsi="Arial" w:cs="Arial"/>
                <w:sz w:val="20"/>
                <w:szCs w:val="20"/>
              </w:rPr>
            </w:pPr>
            <w:r w:rsidRPr="00807837">
              <w:rPr>
                <w:rFonts w:ascii="Arial" w:hAnsi="Arial" w:cs="Arial"/>
                <w:sz w:val="20"/>
                <w:szCs w:val="20"/>
              </w:rPr>
              <w:t>363 538</w:t>
            </w:r>
          </w:p>
        </w:tc>
        <w:tc>
          <w:tcPr>
            <w:tcW w:w="992" w:type="dxa"/>
          </w:tcPr>
          <w:p w:rsidR="007B5065" w:rsidRPr="00807837" w:rsidRDefault="007B5065" w:rsidP="00807837">
            <w:pPr>
              <w:rPr>
                <w:rFonts w:ascii="Arial" w:hAnsi="Arial" w:cs="Arial"/>
                <w:sz w:val="20"/>
                <w:szCs w:val="20"/>
              </w:rPr>
            </w:pPr>
            <w:r w:rsidRPr="00807837">
              <w:rPr>
                <w:rFonts w:ascii="Arial" w:hAnsi="Arial" w:cs="Arial"/>
                <w:sz w:val="20"/>
                <w:szCs w:val="20"/>
              </w:rPr>
              <w:t>209</w:t>
            </w:r>
          </w:p>
        </w:tc>
        <w:tc>
          <w:tcPr>
            <w:tcW w:w="992" w:type="dxa"/>
          </w:tcPr>
          <w:p w:rsidR="007B5065" w:rsidRPr="00807837" w:rsidRDefault="007B5065" w:rsidP="00807837">
            <w:pPr>
              <w:rPr>
                <w:rFonts w:ascii="Arial" w:hAnsi="Arial" w:cs="Arial"/>
                <w:sz w:val="20"/>
                <w:szCs w:val="20"/>
              </w:rPr>
            </w:pPr>
            <w:r w:rsidRPr="00807837">
              <w:rPr>
                <w:rFonts w:ascii="Arial" w:hAnsi="Arial" w:cs="Arial"/>
                <w:sz w:val="20"/>
                <w:szCs w:val="20"/>
              </w:rPr>
              <w:t>99.9%</w:t>
            </w:r>
          </w:p>
        </w:tc>
      </w:tr>
      <w:tr w:rsidR="00720739" w:rsidRPr="00807837" w:rsidTr="00900394">
        <w:tc>
          <w:tcPr>
            <w:tcW w:w="1843" w:type="dxa"/>
          </w:tcPr>
          <w:p w:rsidR="007B5065" w:rsidRPr="00807837" w:rsidRDefault="007B5065" w:rsidP="00807837">
            <w:pPr>
              <w:rPr>
                <w:rFonts w:ascii="Arial" w:hAnsi="Arial" w:cs="Arial"/>
                <w:b/>
                <w:sz w:val="20"/>
                <w:szCs w:val="20"/>
              </w:rPr>
            </w:pPr>
            <w:r w:rsidRPr="00807837">
              <w:rPr>
                <w:rFonts w:ascii="Arial" w:hAnsi="Arial" w:cs="Arial"/>
                <w:b/>
                <w:sz w:val="20"/>
                <w:szCs w:val="20"/>
              </w:rPr>
              <w:t xml:space="preserve">TOTAL </w:t>
            </w:r>
          </w:p>
        </w:tc>
        <w:tc>
          <w:tcPr>
            <w:tcW w:w="1418" w:type="dxa"/>
          </w:tcPr>
          <w:p w:rsidR="007B5065" w:rsidRPr="00807837" w:rsidRDefault="007B5065" w:rsidP="00807837">
            <w:pPr>
              <w:rPr>
                <w:rFonts w:ascii="Arial" w:hAnsi="Arial" w:cs="Arial"/>
                <w:b/>
                <w:sz w:val="20"/>
                <w:szCs w:val="20"/>
              </w:rPr>
            </w:pPr>
            <w:r w:rsidRPr="00807837">
              <w:rPr>
                <w:rFonts w:ascii="Arial" w:hAnsi="Arial" w:cs="Arial"/>
                <w:b/>
                <w:sz w:val="20"/>
                <w:szCs w:val="20"/>
              </w:rPr>
              <w:t>2 545 338</w:t>
            </w:r>
          </w:p>
        </w:tc>
        <w:tc>
          <w:tcPr>
            <w:tcW w:w="1134" w:type="dxa"/>
          </w:tcPr>
          <w:p w:rsidR="007B5065" w:rsidRPr="00807837" w:rsidRDefault="007B5065" w:rsidP="00807837">
            <w:pPr>
              <w:rPr>
                <w:rFonts w:ascii="Arial" w:hAnsi="Arial" w:cs="Arial"/>
                <w:b/>
                <w:sz w:val="20"/>
                <w:szCs w:val="20"/>
              </w:rPr>
            </w:pPr>
            <w:r w:rsidRPr="00807837">
              <w:rPr>
                <w:rFonts w:ascii="Arial" w:hAnsi="Arial" w:cs="Arial"/>
                <w:b/>
                <w:sz w:val="20"/>
                <w:szCs w:val="20"/>
              </w:rPr>
              <w:t>-</w:t>
            </w:r>
          </w:p>
        </w:tc>
        <w:tc>
          <w:tcPr>
            <w:tcW w:w="1417" w:type="dxa"/>
          </w:tcPr>
          <w:p w:rsidR="007B5065" w:rsidRPr="00807837" w:rsidRDefault="007B5065" w:rsidP="00807837">
            <w:pPr>
              <w:rPr>
                <w:rFonts w:ascii="Arial" w:hAnsi="Arial" w:cs="Arial"/>
                <w:b/>
                <w:sz w:val="20"/>
                <w:szCs w:val="20"/>
              </w:rPr>
            </w:pPr>
            <w:r w:rsidRPr="00807837">
              <w:rPr>
                <w:rFonts w:ascii="Arial" w:hAnsi="Arial" w:cs="Arial"/>
                <w:b/>
                <w:sz w:val="20"/>
                <w:szCs w:val="20"/>
              </w:rPr>
              <w:t>2 545 338</w:t>
            </w:r>
          </w:p>
        </w:tc>
        <w:tc>
          <w:tcPr>
            <w:tcW w:w="1276" w:type="dxa"/>
          </w:tcPr>
          <w:p w:rsidR="007B5065" w:rsidRPr="00807837" w:rsidRDefault="007B5065" w:rsidP="00807837">
            <w:pPr>
              <w:rPr>
                <w:rFonts w:ascii="Arial" w:hAnsi="Arial" w:cs="Arial"/>
                <w:b/>
                <w:sz w:val="20"/>
                <w:szCs w:val="20"/>
              </w:rPr>
            </w:pPr>
            <w:r w:rsidRPr="00807837">
              <w:rPr>
                <w:rFonts w:ascii="Arial" w:hAnsi="Arial" w:cs="Arial"/>
                <w:b/>
                <w:sz w:val="20"/>
                <w:szCs w:val="20"/>
              </w:rPr>
              <w:t>2 537 776</w:t>
            </w:r>
          </w:p>
        </w:tc>
        <w:tc>
          <w:tcPr>
            <w:tcW w:w="992" w:type="dxa"/>
          </w:tcPr>
          <w:p w:rsidR="007B5065" w:rsidRPr="00807837" w:rsidRDefault="007B5065" w:rsidP="00807837">
            <w:pPr>
              <w:rPr>
                <w:rFonts w:ascii="Arial" w:hAnsi="Arial" w:cs="Arial"/>
                <w:b/>
                <w:sz w:val="20"/>
                <w:szCs w:val="20"/>
              </w:rPr>
            </w:pPr>
            <w:r w:rsidRPr="00807837">
              <w:rPr>
                <w:rFonts w:ascii="Arial" w:hAnsi="Arial" w:cs="Arial"/>
                <w:b/>
                <w:sz w:val="20"/>
                <w:szCs w:val="20"/>
              </w:rPr>
              <w:t>7 562</w:t>
            </w:r>
          </w:p>
        </w:tc>
        <w:tc>
          <w:tcPr>
            <w:tcW w:w="992" w:type="dxa"/>
          </w:tcPr>
          <w:p w:rsidR="007B5065" w:rsidRPr="00807837" w:rsidRDefault="007B5065" w:rsidP="00807837">
            <w:pPr>
              <w:rPr>
                <w:rFonts w:ascii="Arial" w:hAnsi="Arial" w:cs="Arial"/>
                <w:b/>
                <w:sz w:val="20"/>
                <w:szCs w:val="20"/>
              </w:rPr>
            </w:pPr>
            <w:r w:rsidRPr="00807837">
              <w:rPr>
                <w:rFonts w:ascii="Arial" w:hAnsi="Arial" w:cs="Arial"/>
                <w:b/>
                <w:sz w:val="20"/>
                <w:szCs w:val="20"/>
              </w:rPr>
              <w:t>99.7%</w:t>
            </w:r>
          </w:p>
        </w:tc>
      </w:tr>
    </w:tbl>
    <w:p w:rsidR="007B5065" w:rsidRPr="00807837" w:rsidRDefault="007B5065" w:rsidP="00807837">
      <w:pPr>
        <w:spacing w:after="0" w:line="240" w:lineRule="auto"/>
        <w:contextualSpacing/>
        <w:rPr>
          <w:rFonts w:ascii="Arial" w:hAnsi="Arial" w:cs="Arial"/>
          <w:b/>
          <w:sz w:val="20"/>
          <w:szCs w:val="20"/>
        </w:rPr>
      </w:pPr>
      <w:r w:rsidRPr="00807837">
        <w:rPr>
          <w:rFonts w:ascii="Arial" w:hAnsi="Arial" w:cs="Arial"/>
          <w:b/>
          <w:sz w:val="20"/>
          <w:szCs w:val="20"/>
        </w:rPr>
        <w:t xml:space="preserve">Source: </w:t>
      </w:r>
      <w:r w:rsidRPr="00807837">
        <w:rPr>
          <w:rFonts w:ascii="Arial" w:hAnsi="Arial" w:cs="Arial"/>
          <w:sz w:val="20"/>
          <w:szCs w:val="20"/>
        </w:rPr>
        <w:t>Department of Tourism Annual Report (2021/22)</w:t>
      </w:r>
    </w:p>
    <w:p w:rsidR="007B5065" w:rsidRPr="00807837" w:rsidRDefault="007B5065" w:rsidP="00807837">
      <w:pPr>
        <w:spacing w:after="0" w:line="240" w:lineRule="auto"/>
        <w:rPr>
          <w:rFonts w:ascii="Arial" w:eastAsia="Calibri" w:hAnsi="Arial" w:cs="Arial"/>
          <w:sz w:val="20"/>
          <w:szCs w:val="20"/>
        </w:rPr>
      </w:pPr>
    </w:p>
    <w:p w:rsidR="007B5065" w:rsidRPr="00807837" w:rsidRDefault="007B5065" w:rsidP="00807837">
      <w:pPr>
        <w:spacing w:after="0" w:line="240" w:lineRule="auto"/>
        <w:rPr>
          <w:rFonts w:ascii="Arial" w:eastAsia="Calibri" w:hAnsi="Arial" w:cs="Arial"/>
          <w:sz w:val="20"/>
          <w:szCs w:val="20"/>
        </w:rPr>
      </w:pPr>
      <w:r w:rsidRPr="00807837">
        <w:rPr>
          <w:rFonts w:ascii="Arial" w:eastAsia="Calibri" w:hAnsi="Arial" w:cs="Arial"/>
          <w:sz w:val="20"/>
          <w:szCs w:val="20"/>
        </w:rPr>
        <w:t>At the end of the financial year, the Department spent R2.53 billion or 99.7 per cent of the available budget of R2.54 billion. This translates to R7.6 million or 0.3 per cent underspending in the 2021/22 financial year.</w:t>
      </w:r>
    </w:p>
    <w:p w:rsidR="007B5065" w:rsidRPr="00807837" w:rsidRDefault="007B5065" w:rsidP="00807837">
      <w:pPr>
        <w:spacing w:after="0" w:line="240" w:lineRule="auto"/>
        <w:rPr>
          <w:rFonts w:ascii="Arial" w:eastAsia="Calibri" w:hAnsi="Arial" w:cs="Arial"/>
          <w:sz w:val="20"/>
          <w:szCs w:val="20"/>
        </w:rPr>
      </w:pPr>
    </w:p>
    <w:p w:rsidR="001E4B03" w:rsidRPr="00807837" w:rsidRDefault="001E4B03" w:rsidP="00807837">
      <w:pPr>
        <w:spacing w:after="0" w:line="240" w:lineRule="auto"/>
        <w:rPr>
          <w:rFonts w:ascii="Arial" w:eastAsia="Calibri" w:hAnsi="Arial" w:cs="Arial"/>
          <w:sz w:val="20"/>
          <w:szCs w:val="20"/>
        </w:rPr>
      </w:pPr>
      <w:r w:rsidRPr="00807837">
        <w:rPr>
          <w:rFonts w:ascii="Arial" w:eastAsia="Calibri" w:hAnsi="Arial" w:cs="Arial"/>
          <w:sz w:val="20"/>
          <w:szCs w:val="20"/>
        </w:rPr>
        <w:t>The underspending is mainly attributable to:</w:t>
      </w:r>
    </w:p>
    <w:p w:rsidR="001E4B03" w:rsidRPr="00807837" w:rsidRDefault="001E4B03" w:rsidP="00807837">
      <w:pPr>
        <w:numPr>
          <w:ilvl w:val="0"/>
          <w:numId w:val="53"/>
        </w:numPr>
        <w:spacing w:after="0" w:line="240" w:lineRule="auto"/>
        <w:rPr>
          <w:rFonts w:ascii="Arial" w:eastAsia="Calibri" w:hAnsi="Arial" w:cs="Arial"/>
          <w:sz w:val="20"/>
          <w:szCs w:val="20"/>
        </w:rPr>
      </w:pPr>
      <w:r w:rsidRPr="00807837">
        <w:rPr>
          <w:rFonts w:ascii="Arial" w:eastAsia="Calibri" w:hAnsi="Arial" w:cs="Arial"/>
          <w:sz w:val="20"/>
          <w:szCs w:val="20"/>
        </w:rPr>
        <w:t>Programme 2: Tourism Research, Policy and International Relations (R4 million): The bulk of this underspending lies within the Compensation of Employees due to strict policies adhered to by the Department to reduce expenditure on Salaries and Wages. Savings under Goods and Services were mainly attributable to the effects of COVID-19 restrictions resulting in unspent funds linked to Travel and Subsistence. A further underspending was realised under Transfers and Subsidies for the United Nations World Tourism Organisation (UNWTO) contributions due to exchange rate fluctuation and the National Tourism Research Framework.</w:t>
      </w:r>
    </w:p>
    <w:p w:rsidR="000520B1" w:rsidRPr="00807837" w:rsidRDefault="000520B1" w:rsidP="00807837">
      <w:pPr>
        <w:spacing w:after="0" w:line="240" w:lineRule="auto"/>
        <w:ind w:left="720"/>
        <w:rPr>
          <w:rFonts w:ascii="Arial" w:eastAsia="Calibri" w:hAnsi="Arial" w:cs="Arial"/>
          <w:sz w:val="20"/>
          <w:szCs w:val="20"/>
        </w:rPr>
      </w:pPr>
    </w:p>
    <w:p w:rsidR="001E4B03" w:rsidRPr="00807837" w:rsidRDefault="001E4B03" w:rsidP="00807837">
      <w:pPr>
        <w:numPr>
          <w:ilvl w:val="0"/>
          <w:numId w:val="53"/>
        </w:numPr>
        <w:spacing w:after="0" w:line="240" w:lineRule="auto"/>
        <w:rPr>
          <w:rFonts w:ascii="Arial" w:eastAsia="Calibri" w:hAnsi="Arial" w:cs="Arial"/>
          <w:sz w:val="20"/>
          <w:szCs w:val="20"/>
        </w:rPr>
      </w:pPr>
      <w:r w:rsidRPr="00807837">
        <w:rPr>
          <w:rFonts w:ascii="Arial" w:eastAsia="Calibri" w:hAnsi="Arial" w:cs="Arial"/>
          <w:sz w:val="20"/>
          <w:szCs w:val="20"/>
        </w:rPr>
        <w:t>Programme 3: Destination Development (R3.3 million): The bulk of this underspending lies within Goods and Services of the Expanded Public Works Programme (EPWP) as contracts could not be concluded before year-end. Savings under Compensation of Employees was due to strict policies adhered to by the Department to reduce expenditure on Salaries and Wages.</w:t>
      </w:r>
    </w:p>
    <w:p w:rsidR="001E4B03" w:rsidRPr="00807837" w:rsidRDefault="001E4B03" w:rsidP="00807837">
      <w:pPr>
        <w:pStyle w:val="ListParagraph"/>
        <w:spacing w:after="0" w:line="240" w:lineRule="auto"/>
        <w:rPr>
          <w:rFonts w:ascii="Arial" w:eastAsia="Calibri" w:hAnsi="Arial" w:cs="Arial"/>
          <w:sz w:val="20"/>
          <w:szCs w:val="20"/>
        </w:rPr>
      </w:pPr>
    </w:p>
    <w:p w:rsidR="001E4B03" w:rsidRPr="00807837" w:rsidRDefault="001E4B03" w:rsidP="00807837">
      <w:pPr>
        <w:numPr>
          <w:ilvl w:val="0"/>
          <w:numId w:val="53"/>
        </w:numPr>
        <w:spacing w:after="0" w:line="240" w:lineRule="auto"/>
        <w:rPr>
          <w:rFonts w:ascii="Arial" w:eastAsia="Calibri" w:hAnsi="Arial" w:cs="Arial"/>
          <w:sz w:val="20"/>
          <w:szCs w:val="20"/>
        </w:rPr>
      </w:pPr>
      <w:r w:rsidRPr="00807837">
        <w:rPr>
          <w:rFonts w:ascii="Arial" w:eastAsia="Calibri" w:hAnsi="Arial" w:cs="Arial"/>
          <w:sz w:val="20"/>
          <w:szCs w:val="20"/>
        </w:rPr>
        <w:t>Programme 4: Tourism Sector Support Services (R209 000): The minor underspending      within the Programme is due to unspent funds linked to the National Tourism Careers Expo (NTCE). The costs of the event claimed by the event partner were less than the budgeted cost, resulting in a slight saving under Transfers and Subsidies.</w:t>
      </w:r>
    </w:p>
    <w:p w:rsidR="001E4B03" w:rsidRPr="00807837" w:rsidRDefault="001E4B03" w:rsidP="00807837">
      <w:pPr>
        <w:pStyle w:val="ListParagraph"/>
        <w:spacing w:after="0" w:line="240" w:lineRule="auto"/>
        <w:rPr>
          <w:rFonts w:ascii="Arial" w:eastAsia="Calibri" w:hAnsi="Arial" w:cs="Arial"/>
          <w:sz w:val="20"/>
          <w:szCs w:val="20"/>
        </w:rPr>
      </w:pPr>
    </w:p>
    <w:p w:rsidR="001E4B03" w:rsidRPr="00807837" w:rsidRDefault="001E4B03" w:rsidP="00807837">
      <w:pPr>
        <w:spacing w:after="0" w:line="240" w:lineRule="auto"/>
        <w:rPr>
          <w:rFonts w:ascii="Arial" w:eastAsia="Calibri" w:hAnsi="Arial" w:cs="Arial"/>
          <w:sz w:val="20"/>
          <w:szCs w:val="20"/>
        </w:rPr>
      </w:pPr>
      <w:r w:rsidRPr="00807837">
        <w:rPr>
          <w:rFonts w:ascii="Arial" w:eastAsia="Calibri" w:hAnsi="Arial" w:cs="Arial"/>
          <w:sz w:val="20"/>
          <w:szCs w:val="20"/>
        </w:rPr>
        <w:t xml:space="preserve">The Department reported that the Virement between the main divisions was towards Programme 3. Approval was granted by National Treasury in accordance with Section 6.3.1 of the Treasury Regulations. The Department shifted R52 million from Transfers and Subsidies: Public Corporations and Private Enterprises in Programme 4: Tourism Sector Support Services to Goods and Services in Programme 3: Destination Development. </w:t>
      </w:r>
    </w:p>
    <w:p w:rsidR="001E4B03" w:rsidRPr="00807837" w:rsidRDefault="001E4B03" w:rsidP="00807837">
      <w:pPr>
        <w:spacing w:after="0" w:line="240" w:lineRule="auto"/>
        <w:rPr>
          <w:rFonts w:ascii="Arial" w:eastAsia="Calibri" w:hAnsi="Arial" w:cs="Arial"/>
          <w:sz w:val="20"/>
          <w:szCs w:val="20"/>
        </w:rPr>
      </w:pPr>
    </w:p>
    <w:p w:rsidR="001E4B03" w:rsidRPr="00807837" w:rsidRDefault="001E4B03" w:rsidP="00807837">
      <w:pPr>
        <w:spacing w:after="0" w:line="240" w:lineRule="auto"/>
        <w:rPr>
          <w:rFonts w:ascii="Arial" w:eastAsia="Calibri" w:hAnsi="Arial" w:cs="Arial"/>
          <w:sz w:val="20"/>
          <w:szCs w:val="20"/>
        </w:rPr>
      </w:pPr>
      <w:r w:rsidRPr="00807837">
        <w:rPr>
          <w:rFonts w:ascii="Arial" w:eastAsia="Calibri" w:hAnsi="Arial" w:cs="Arial"/>
          <w:sz w:val="20"/>
          <w:szCs w:val="20"/>
        </w:rPr>
        <w:t xml:space="preserve">In the 2020/21 financial year, the Department managed to spend 97.6 per cent of its budget and only achieved </w:t>
      </w:r>
      <w:r w:rsidR="004659D9" w:rsidRPr="00807837">
        <w:rPr>
          <w:rFonts w:ascii="Arial" w:eastAsia="Calibri" w:hAnsi="Arial" w:cs="Arial"/>
          <w:sz w:val="20"/>
          <w:szCs w:val="20"/>
        </w:rPr>
        <w:t>87.5 per</w:t>
      </w:r>
      <w:r w:rsidRPr="00807837">
        <w:rPr>
          <w:rFonts w:ascii="Arial" w:eastAsia="Calibri" w:hAnsi="Arial" w:cs="Arial"/>
          <w:sz w:val="20"/>
          <w:szCs w:val="20"/>
        </w:rPr>
        <w:t xml:space="preserve"> cent of its annual targets. In the 2021/22 financial period, a similar trend can be observed as the Department managed to spend 99.7 per cent of its budget while achieving only 80 per cent of its targets. This continued discrepancy between performance and budget spending will be monitored by the Committee. </w:t>
      </w:r>
    </w:p>
    <w:p w:rsidR="007B5065" w:rsidRPr="00807837" w:rsidRDefault="007B5065" w:rsidP="00807837">
      <w:pPr>
        <w:spacing w:after="0" w:line="240" w:lineRule="auto"/>
        <w:rPr>
          <w:rFonts w:ascii="Arial" w:eastAsia="Calibri" w:hAnsi="Arial" w:cs="Arial"/>
          <w:sz w:val="20"/>
          <w:szCs w:val="20"/>
        </w:rPr>
      </w:pPr>
    </w:p>
    <w:p w:rsidR="00D7457E" w:rsidRPr="00807837" w:rsidRDefault="00D7457E" w:rsidP="00807837">
      <w:pPr>
        <w:pStyle w:val="ListParagraph"/>
        <w:numPr>
          <w:ilvl w:val="2"/>
          <w:numId w:val="8"/>
        </w:numPr>
        <w:autoSpaceDE w:val="0"/>
        <w:autoSpaceDN w:val="0"/>
        <w:adjustRightInd w:val="0"/>
        <w:spacing w:after="0" w:line="240" w:lineRule="auto"/>
        <w:rPr>
          <w:rFonts w:ascii="Arial" w:eastAsia="Calibri" w:hAnsi="Arial" w:cs="Arial"/>
          <w:sz w:val="20"/>
          <w:szCs w:val="20"/>
        </w:rPr>
      </w:pPr>
      <w:r w:rsidRPr="00807837">
        <w:rPr>
          <w:rFonts w:ascii="Arial" w:eastAsia="Calibri" w:hAnsi="Arial" w:cs="Arial"/>
          <w:sz w:val="20"/>
          <w:szCs w:val="20"/>
        </w:rPr>
        <w:t>Quarterly spending trends</w:t>
      </w:r>
    </w:p>
    <w:p w:rsidR="00D7457E" w:rsidRPr="00807837" w:rsidRDefault="00D7457E" w:rsidP="00807837">
      <w:pPr>
        <w:autoSpaceDE w:val="0"/>
        <w:autoSpaceDN w:val="0"/>
        <w:adjustRightInd w:val="0"/>
        <w:spacing w:after="0" w:line="240" w:lineRule="auto"/>
        <w:rPr>
          <w:rFonts w:ascii="Arial" w:eastAsia="Calibri" w:hAnsi="Arial" w:cs="Arial"/>
          <w:b/>
          <w:sz w:val="20"/>
          <w:szCs w:val="20"/>
        </w:rPr>
      </w:pPr>
    </w:p>
    <w:p w:rsidR="00103799" w:rsidRPr="00807837" w:rsidRDefault="00103799" w:rsidP="00807837">
      <w:pPr>
        <w:spacing w:after="0" w:line="240" w:lineRule="auto"/>
        <w:rPr>
          <w:rFonts w:ascii="Arial" w:eastAsia="Calibri" w:hAnsi="Arial" w:cs="Arial"/>
          <w:sz w:val="20"/>
          <w:szCs w:val="20"/>
        </w:rPr>
      </w:pPr>
      <w:r w:rsidRPr="00807837">
        <w:rPr>
          <w:rFonts w:ascii="Arial" w:eastAsia="Calibri" w:hAnsi="Arial" w:cs="Arial"/>
          <w:sz w:val="20"/>
          <w:szCs w:val="20"/>
        </w:rPr>
        <w:t xml:space="preserve">The Department and SA Tourism reported their Quarter 1 and Quarter 2 performance reports at the same time. The service delivery functions took place within an environment riddled with COVID-19 challenges. The two organisations could not achieve some of their pre-determined objectives as these were negatively impacted by prevailing conditions. In this context, by the end of Quarter 1, the Department had achieved </w:t>
      </w:r>
      <w:r w:rsidRPr="00807837">
        <w:rPr>
          <w:rFonts w:ascii="Arial" w:eastAsia="Calibri" w:hAnsi="Arial" w:cs="Arial"/>
          <w:bCs/>
          <w:sz w:val="20"/>
          <w:szCs w:val="20"/>
        </w:rPr>
        <w:t xml:space="preserve">48 </w:t>
      </w:r>
      <w:r w:rsidRPr="00807837">
        <w:rPr>
          <w:rFonts w:ascii="Arial" w:eastAsia="Calibri" w:hAnsi="Arial" w:cs="Arial"/>
          <w:sz w:val="20"/>
          <w:szCs w:val="20"/>
        </w:rPr>
        <w:t>(71.64%) an</w:t>
      </w:r>
      <w:r w:rsidR="004659D9" w:rsidRPr="00807837">
        <w:rPr>
          <w:rFonts w:ascii="Arial" w:eastAsia="Calibri" w:hAnsi="Arial" w:cs="Arial"/>
          <w:sz w:val="20"/>
          <w:szCs w:val="20"/>
        </w:rPr>
        <w:t>d</w:t>
      </w:r>
      <w:r w:rsidRPr="00807837">
        <w:rPr>
          <w:rFonts w:ascii="Arial" w:eastAsia="Calibri" w:hAnsi="Arial" w:cs="Arial"/>
          <w:sz w:val="20"/>
          <w:szCs w:val="20"/>
        </w:rPr>
        <w:t xml:space="preserve"> spent R637.9 million (26.3%) of the R2 429.6 billion budget allocation. By the end of Quarter 2, the Department had achieved </w:t>
      </w:r>
      <w:r w:rsidRPr="00807837">
        <w:rPr>
          <w:rFonts w:ascii="Arial" w:eastAsia="Calibri" w:hAnsi="Arial" w:cs="Arial"/>
          <w:bCs/>
          <w:sz w:val="20"/>
          <w:szCs w:val="20"/>
        </w:rPr>
        <w:t xml:space="preserve">44 </w:t>
      </w:r>
      <w:r w:rsidRPr="00807837">
        <w:rPr>
          <w:rFonts w:ascii="Arial" w:eastAsia="Calibri" w:hAnsi="Arial" w:cs="Arial"/>
          <w:sz w:val="20"/>
          <w:szCs w:val="20"/>
        </w:rPr>
        <w:t xml:space="preserve">(72.13%) of the </w:t>
      </w:r>
      <w:r w:rsidRPr="00807837">
        <w:rPr>
          <w:rFonts w:ascii="Arial" w:eastAsia="Calibri" w:hAnsi="Arial" w:cs="Arial"/>
          <w:bCs/>
          <w:sz w:val="20"/>
          <w:szCs w:val="20"/>
        </w:rPr>
        <w:t xml:space="preserve">61 </w:t>
      </w:r>
      <w:r w:rsidRPr="00807837">
        <w:rPr>
          <w:rFonts w:ascii="Arial" w:eastAsia="Calibri" w:hAnsi="Arial" w:cs="Arial"/>
          <w:sz w:val="20"/>
          <w:szCs w:val="20"/>
        </w:rPr>
        <w:t>targets identified for the quarter, and spent R864.9 million (35.6%) of the R2 429.6 billion budget allocation.</w:t>
      </w:r>
    </w:p>
    <w:p w:rsidR="00103799" w:rsidRPr="00807837" w:rsidRDefault="00F43707" w:rsidP="00807837">
      <w:pPr>
        <w:spacing w:after="0" w:line="240" w:lineRule="auto"/>
        <w:rPr>
          <w:rFonts w:ascii="Arial" w:eastAsia="Calibri" w:hAnsi="Arial" w:cs="Arial"/>
          <w:sz w:val="20"/>
          <w:szCs w:val="20"/>
        </w:rPr>
      </w:pPr>
      <w:r w:rsidRPr="00807837">
        <w:rPr>
          <w:rFonts w:ascii="Arial" w:eastAsia="Calibri" w:hAnsi="Arial" w:cs="Arial"/>
          <w:sz w:val="20"/>
          <w:szCs w:val="20"/>
        </w:rPr>
        <w:t>At the end of quarter three, the Department spent R2 billion or 78.7 per cent of the available budget of R2.4 billion. This translates to R239.9 million or 13.6 per cent higher than anticipated expenditure against the projected expenditure of R1.8 billion for the quarter. The faster spending was attributed to faster spending on goods and services under Programme 3: Destination Development due to the finalisation of contractual agreements and payments towards Expanded Public Works Programme projects, as well faster spending on transfers and subsidies under Programme 4: Tourism Sector Support Services due to the processing of funds towards the Tourism Equity Fund.</w:t>
      </w:r>
    </w:p>
    <w:p w:rsidR="00103799" w:rsidRPr="00807837" w:rsidRDefault="00F43707" w:rsidP="00807837">
      <w:pPr>
        <w:spacing w:after="0" w:line="240" w:lineRule="auto"/>
        <w:rPr>
          <w:rFonts w:ascii="Arial" w:eastAsia="Calibri" w:hAnsi="Arial" w:cs="Arial"/>
          <w:sz w:val="20"/>
          <w:szCs w:val="20"/>
        </w:rPr>
      </w:pPr>
      <w:r w:rsidRPr="00807837">
        <w:rPr>
          <w:rFonts w:ascii="Arial" w:eastAsia="Calibri" w:hAnsi="Arial" w:cs="Arial"/>
          <w:sz w:val="20"/>
          <w:szCs w:val="20"/>
        </w:rPr>
        <w:t xml:space="preserve">At the end Quarter 4 (end of the financial year), the </w:t>
      </w:r>
      <w:r w:rsidR="000520B1" w:rsidRPr="00807837">
        <w:rPr>
          <w:rFonts w:ascii="Arial" w:eastAsia="Calibri" w:hAnsi="Arial" w:cs="Arial"/>
          <w:sz w:val="20"/>
          <w:szCs w:val="20"/>
        </w:rPr>
        <w:t>D</w:t>
      </w:r>
      <w:r w:rsidRPr="00807837">
        <w:rPr>
          <w:rFonts w:ascii="Arial" w:eastAsia="Calibri" w:hAnsi="Arial" w:cs="Arial"/>
          <w:sz w:val="20"/>
          <w:szCs w:val="20"/>
        </w:rPr>
        <w:t>epartment had spent R2.5</w:t>
      </w:r>
      <w:r w:rsidR="000520B1" w:rsidRPr="00807837">
        <w:rPr>
          <w:rFonts w:ascii="Arial" w:eastAsia="Calibri" w:hAnsi="Arial" w:cs="Arial"/>
          <w:sz w:val="20"/>
          <w:szCs w:val="20"/>
        </w:rPr>
        <w:t>3</w:t>
      </w:r>
      <w:r w:rsidRPr="00807837">
        <w:rPr>
          <w:rFonts w:ascii="Arial" w:eastAsia="Calibri" w:hAnsi="Arial" w:cs="Arial"/>
          <w:sz w:val="20"/>
          <w:szCs w:val="20"/>
        </w:rPr>
        <w:t xml:space="preserve"> billion or 99.7 per cent of the available budget of R2.5</w:t>
      </w:r>
      <w:r w:rsidR="000520B1" w:rsidRPr="00807837">
        <w:rPr>
          <w:rFonts w:ascii="Arial" w:eastAsia="Calibri" w:hAnsi="Arial" w:cs="Arial"/>
          <w:sz w:val="20"/>
          <w:szCs w:val="20"/>
        </w:rPr>
        <w:t>4</w:t>
      </w:r>
      <w:r w:rsidRPr="00807837">
        <w:rPr>
          <w:rFonts w:ascii="Arial" w:eastAsia="Calibri" w:hAnsi="Arial" w:cs="Arial"/>
          <w:sz w:val="20"/>
          <w:szCs w:val="20"/>
        </w:rPr>
        <w:t xml:space="preserve"> billion. This translates to R7.6 million or 0.3 per cent underspending against the total available budget of R2.5</w:t>
      </w:r>
      <w:r w:rsidR="000520B1" w:rsidRPr="00807837">
        <w:rPr>
          <w:rFonts w:ascii="Arial" w:eastAsia="Calibri" w:hAnsi="Arial" w:cs="Arial"/>
          <w:sz w:val="20"/>
          <w:szCs w:val="20"/>
        </w:rPr>
        <w:t>4</w:t>
      </w:r>
      <w:r w:rsidRPr="00807837">
        <w:rPr>
          <w:rFonts w:ascii="Arial" w:eastAsia="Calibri" w:hAnsi="Arial" w:cs="Arial"/>
          <w:sz w:val="20"/>
          <w:szCs w:val="20"/>
        </w:rPr>
        <w:t xml:space="preserve"> billion for the 2021/22 financial year. The underspending was mainly observed in Programme 4: Tourism Sector Support Services due to an internal departmental decision to reduce expenditure on goods and services in order to reprioritise funds towards </w:t>
      </w:r>
      <w:r w:rsidR="000520B1" w:rsidRPr="00807837">
        <w:rPr>
          <w:rFonts w:ascii="Arial" w:eastAsia="Calibri" w:hAnsi="Arial" w:cs="Arial"/>
          <w:sz w:val="20"/>
          <w:szCs w:val="20"/>
        </w:rPr>
        <w:t xml:space="preserve">the </w:t>
      </w:r>
      <w:r w:rsidRPr="00807837">
        <w:rPr>
          <w:rFonts w:ascii="Arial" w:eastAsia="Calibri" w:hAnsi="Arial" w:cs="Arial"/>
          <w:sz w:val="20"/>
          <w:szCs w:val="20"/>
        </w:rPr>
        <w:t>Destination Development capital infrastructure projects.</w:t>
      </w:r>
    </w:p>
    <w:p w:rsidR="00652F49" w:rsidRPr="00807837" w:rsidRDefault="00652F49" w:rsidP="00807837">
      <w:pPr>
        <w:spacing w:after="0" w:line="240" w:lineRule="auto"/>
        <w:rPr>
          <w:rFonts w:ascii="Arial" w:eastAsia="Calibri" w:hAnsi="Arial" w:cs="Arial"/>
          <w:sz w:val="20"/>
          <w:szCs w:val="20"/>
        </w:rPr>
      </w:pPr>
    </w:p>
    <w:p w:rsidR="00652F49" w:rsidRPr="00807837" w:rsidRDefault="00652F49" w:rsidP="00807837">
      <w:pPr>
        <w:autoSpaceDE w:val="0"/>
        <w:autoSpaceDN w:val="0"/>
        <w:adjustRightInd w:val="0"/>
        <w:spacing w:after="0" w:line="240" w:lineRule="auto"/>
        <w:rPr>
          <w:rFonts w:ascii="Arial" w:eastAsia="Calibri" w:hAnsi="Arial" w:cs="Arial"/>
          <w:b/>
          <w:sz w:val="20"/>
          <w:szCs w:val="20"/>
        </w:rPr>
      </w:pPr>
      <w:r w:rsidRPr="00807837">
        <w:rPr>
          <w:rFonts w:ascii="Arial" w:eastAsia="Calibri" w:hAnsi="Arial" w:cs="Arial"/>
          <w:b/>
          <w:sz w:val="20"/>
          <w:szCs w:val="20"/>
        </w:rPr>
        <w:t>5.2</w:t>
      </w:r>
      <w:r w:rsidRPr="00807837">
        <w:rPr>
          <w:rFonts w:ascii="Arial" w:eastAsia="Calibri" w:hAnsi="Arial" w:cs="Arial"/>
          <w:b/>
          <w:sz w:val="20"/>
          <w:szCs w:val="20"/>
        </w:rPr>
        <w:tab/>
        <w:t>Transfers and subsidies</w:t>
      </w:r>
    </w:p>
    <w:p w:rsidR="00652F49" w:rsidRPr="00807837" w:rsidRDefault="00652F49" w:rsidP="00807837">
      <w:pPr>
        <w:spacing w:after="0" w:line="240" w:lineRule="auto"/>
        <w:rPr>
          <w:rFonts w:ascii="Arial" w:eastAsia="Calibri" w:hAnsi="Arial" w:cs="Arial"/>
          <w:sz w:val="20"/>
          <w:szCs w:val="20"/>
        </w:rPr>
      </w:pPr>
    </w:p>
    <w:p w:rsidR="00623FC2" w:rsidRPr="00807837" w:rsidRDefault="00623FC2" w:rsidP="00807837">
      <w:pPr>
        <w:spacing w:after="0" w:line="240" w:lineRule="auto"/>
        <w:rPr>
          <w:rFonts w:ascii="Arial" w:eastAsia="Calibri" w:hAnsi="Arial" w:cs="Arial"/>
          <w:sz w:val="20"/>
          <w:szCs w:val="20"/>
        </w:rPr>
      </w:pPr>
      <w:r w:rsidRPr="00807837">
        <w:rPr>
          <w:rFonts w:ascii="Arial" w:eastAsia="Calibri" w:hAnsi="Arial" w:cs="Arial"/>
          <w:sz w:val="20"/>
          <w:szCs w:val="20"/>
        </w:rPr>
        <w:t>The Department effected the following transfers in the 2021/22 financial year.</w:t>
      </w:r>
    </w:p>
    <w:p w:rsidR="00067C1C" w:rsidRPr="00807837" w:rsidRDefault="00067C1C" w:rsidP="00807837">
      <w:pPr>
        <w:spacing w:after="0" w:line="240" w:lineRule="auto"/>
        <w:contextualSpacing/>
        <w:rPr>
          <w:rFonts w:ascii="Arial" w:hAnsi="Arial" w:cs="Arial"/>
          <w:b/>
          <w:sz w:val="20"/>
          <w:szCs w:val="20"/>
        </w:rPr>
      </w:pPr>
    </w:p>
    <w:p w:rsidR="00623FC2" w:rsidRPr="00807837" w:rsidRDefault="00447AC6" w:rsidP="00807837">
      <w:pPr>
        <w:spacing w:after="0" w:line="240" w:lineRule="auto"/>
        <w:contextualSpacing/>
        <w:rPr>
          <w:rFonts w:ascii="Arial" w:hAnsi="Arial" w:cs="Arial"/>
          <w:b/>
          <w:sz w:val="20"/>
          <w:szCs w:val="20"/>
        </w:rPr>
      </w:pPr>
      <w:r w:rsidRPr="00807837">
        <w:rPr>
          <w:rFonts w:ascii="Arial" w:hAnsi="Arial" w:cs="Arial"/>
          <w:b/>
          <w:sz w:val="20"/>
          <w:szCs w:val="20"/>
        </w:rPr>
        <w:t>Table 5</w:t>
      </w:r>
      <w:r w:rsidR="00623FC2" w:rsidRPr="00807837">
        <w:rPr>
          <w:rFonts w:ascii="Arial" w:hAnsi="Arial" w:cs="Arial"/>
          <w:b/>
          <w:sz w:val="20"/>
          <w:szCs w:val="20"/>
        </w:rPr>
        <w:t>: Financial Statement of 2021/22</w:t>
      </w:r>
    </w:p>
    <w:tbl>
      <w:tblPr>
        <w:tblStyle w:val="TableGrid1"/>
        <w:tblW w:w="9072" w:type="dxa"/>
        <w:tblInd w:w="-5" w:type="dxa"/>
        <w:tblLayout w:type="fixed"/>
        <w:tblLook w:val="04A0"/>
      </w:tblPr>
      <w:tblGrid>
        <w:gridCol w:w="1843"/>
        <w:gridCol w:w="1418"/>
        <w:gridCol w:w="1134"/>
        <w:gridCol w:w="1134"/>
        <w:gridCol w:w="992"/>
        <w:gridCol w:w="1134"/>
        <w:gridCol w:w="1417"/>
      </w:tblGrid>
      <w:tr w:rsidR="00720739" w:rsidRPr="00807837" w:rsidTr="00057EC6">
        <w:tc>
          <w:tcPr>
            <w:tcW w:w="1843" w:type="dxa"/>
            <w:vMerge w:val="restart"/>
            <w:shd w:val="clear" w:color="auto" w:fill="auto"/>
          </w:tcPr>
          <w:p w:rsidR="00623FC2" w:rsidRPr="00807837" w:rsidRDefault="00557647" w:rsidP="00807837">
            <w:pPr>
              <w:rPr>
                <w:rFonts w:ascii="Arial" w:hAnsi="Arial" w:cs="Arial"/>
                <w:sz w:val="20"/>
                <w:szCs w:val="20"/>
              </w:rPr>
            </w:pPr>
            <w:r w:rsidRPr="00807837">
              <w:rPr>
                <w:rFonts w:ascii="Arial" w:hAnsi="Arial" w:cs="Arial"/>
                <w:b/>
                <w:sz w:val="20"/>
                <w:szCs w:val="20"/>
              </w:rPr>
              <w:t>Department/ Agency/ Account</w:t>
            </w:r>
          </w:p>
        </w:tc>
        <w:tc>
          <w:tcPr>
            <w:tcW w:w="1418" w:type="dxa"/>
            <w:shd w:val="clear" w:color="auto" w:fill="auto"/>
          </w:tcPr>
          <w:p w:rsidR="00623FC2" w:rsidRPr="00807837" w:rsidRDefault="00623FC2" w:rsidP="00807837">
            <w:pPr>
              <w:rPr>
                <w:rFonts w:ascii="Arial" w:hAnsi="Arial" w:cs="Arial"/>
                <w:b/>
                <w:sz w:val="20"/>
                <w:szCs w:val="20"/>
              </w:rPr>
            </w:pPr>
            <w:r w:rsidRPr="00807837">
              <w:rPr>
                <w:rFonts w:ascii="Arial" w:hAnsi="Arial" w:cs="Arial"/>
                <w:b/>
                <w:sz w:val="20"/>
                <w:szCs w:val="20"/>
              </w:rPr>
              <w:t>Adjusted Appropriation</w:t>
            </w:r>
          </w:p>
        </w:tc>
        <w:tc>
          <w:tcPr>
            <w:tcW w:w="1134" w:type="dxa"/>
            <w:shd w:val="clear" w:color="auto" w:fill="auto"/>
          </w:tcPr>
          <w:p w:rsidR="00623FC2" w:rsidRPr="00807837" w:rsidRDefault="00557647" w:rsidP="00807837">
            <w:pPr>
              <w:rPr>
                <w:rFonts w:ascii="Arial" w:hAnsi="Arial" w:cs="Arial"/>
                <w:b/>
                <w:sz w:val="20"/>
                <w:szCs w:val="20"/>
              </w:rPr>
            </w:pPr>
            <w:r w:rsidRPr="00807837">
              <w:rPr>
                <w:rFonts w:ascii="Arial" w:hAnsi="Arial" w:cs="Arial"/>
                <w:b/>
                <w:sz w:val="20"/>
                <w:szCs w:val="20"/>
              </w:rPr>
              <w:t>Adjustments</w:t>
            </w:r>
          </w:p>
        </w:tc>
        <w:tc>
          <w:tcPr>
            <w:tcW w:w="1134" w:type="dxa"/>
            <w:shd w:val="clear" w:color="auto" w:fill="auto"/>
          </w:tcPr>
          <w:p w:rsidR="00623FC2" w:rsidRPr="00807837" w:rsidRDefault="00557647" w:rsidP="00807837">
            <w:pPr>
              <w:rPr>
                <w:rFonts w:ascii="Arial" w:hAnsi="Arial" w:cs="Arial"/>
                <w:b/>
                <w:sz w:val="20"/>
                <w:szCs w:val="20"/>
              </w:rPr>
            </w:pPr>
            <w:r w:rsidRPr="00807837">
              <w:rPr>
                <w:rFonts w:ascii="Arial" w:hAnsi="Arial" w:cs="Arial"/>
                <w:b/>
                <w:sz w:val="20"/>
                <w:szCs w:val="20"/>
              </w:rPr>
              <w:t>Total Available</w:t>
            </w:r>
            <w:r w:rsidR="00623FC2" w:rsidRPr="00807837">
              <w:rPr>
                <w:rFonts w:ascii="Arial" w:hAnsi="Arial" w:cs="Arial"/>
                <w:b/>
                <w:sz w:val="20"/>
                <w:szCs w:val="20"/>
              </w:rPr>
              <w:t xml:space="preserve"> </w:t>
            </w:r>
          </w:p>
        </w:tc>
        <w:tc>
          <w:tcPr>
            <w:tcW w:w="992" w:type="dxa"/>
            <w:shd w:val="clear" w:color="auto" w:fill="auto"/>
          </w:tcPr>
          <w:p w:rsidR="00623FC2" w:rsidRPr="00807837" w:rsidRDefault="00557647" w:rsidP="00807837">
            <w:pPr>
              <w:rPr>
                <w:rFonts w:ascii="Arial" w:hAnsi="Arial" w:cs="Arial"/>
                <w:b/>
                <w:sz w:val="20"/>
                <w:szCs w:val="20"/>
              </w:rPr>
            </w:pPr>
            <w:r w:rsidRPr="00807837">
              <w:rPr>
                <w:rFonts w:ascii="Arial" w:hAnsi="Arial" w:cs="Arial"/>
                <w:b/>
                <w:sz w:val="20"/>
                <w:szCs w:val="20"/>
              </w:rPr>
              <w:t>Actual Transfer</w:t>
            </w:r>
          </w:p>
        </w:tc>
        <w:tc>
          <w:tcPr>
            <w:tcW w:w="1134" w:type="dxa"/>
            <w:shd w:val="clear" w:color="auto" w:fill="auto"/>
          </w:tcPr>
          <w:p w:rsidR="00623FC2" w:rsidRPr="00807837" w:rsidRDefault="00557647" w:rsidP="00807837">
            <w:pPr>
              <w:rPr>
                <w:rFonts w:ascii="Arial" w:hAnsi="Arial" w:cs="Arial"/>
                <w:b/>
                <w:sz w:val="20"/>
                <w:szCs w:val="20"/>
              </w:rPr>
            </w:pPr>
            <w:r w:rsidRPr="00807837">
              <w:rPr>
                <w:rFonts w:ascii="Arial" w:hAnsi="Arial" w:cs="Arial"/>
                <w:b/>
                <w:sz w:val="20"/>
                <w:szCs w:val="20"/>
              </w:rPr>
              <w:t>% of Available Funds Transferred</w:t>
            </w:r>
          </w:p>
        </w:tc>
        <w:tc>
          <w:tcPr>
            <w:tcW w:w="1417" w:type="dxa"/>
            <w:shd w:val="clear" w:color="auto" w:fill="auto"/>
          </w:tcPr>
          <w:p w:rsidR="00623FC2" w:rsidRPr="00807837" w:rsidRDefault="00557647" w:rsidP="00807837">
            <w:pPr>
              <w:rPr>
                <w:rFonts w:ascii="Arial" w:hAnsi="Arial" w:cs="Arial"/>
                <w:b/>
                <w:sz w:val="20"/>
                <w:szCs w:val="20"/>
              </w:rPr>
            </w:pPr>
            <w:r w:rsidRPr="00807837">
              <w:rPr>
                <w:rFonts w:ascii="Arial" w:hAnsi="Arial" w:cs="Arial"/>
                <w:b/>
                <w:sz w:val="20"/>
                <w:szCs w:val="20"/>
              </w:rPr>
              <w:t>Final Appropriation</w:t>
            </w:r>
          </w:p>
        </w:tc>
      </w:tr>
      <w:tr w:rsidR="00720739" w:rsidRPr="00807837" w:rsidTr="00057EC6">
        <w:tc>
          <w:tcPr>
            <w:tcW w:w="1843" w:type="dxa"/>
            <w:vMerge/>
          </w:tcPr>
          <w:p w:rsidR="00623FC2" w:rsidRPr="00807837" w:rsidRDefault="00623FC2" w:rsidP="00807837">
            <w:pPr>
              <w:rPr>
                <w:rFonts w:ascii="Arial" w:hAnsi="Arial" w:cs="Arial"/>
                <w:b/>
                <w:sz w:val="20"/>
                <w:szCs w:val="20"/>
              </w:rPr>
            </w:pPr>
          </w:p>
        </w:tc>
        <w:tc>
          <w:tcPr>
            <w:tcW w:w="1418" w:type="dxa"/>
          </w:tcPr>
          <w:p w:rsidR="00623FC2" w:rsidRPr="00807837" w:rsidRDefault="00623FC2" w:rsidP="00807837">
            <w:pPr>
              <w:rPr>
                <w:rFonts w:ascii="Arial" w:hAnsi="Arial" w:cs="Arial"/>
                <w:b/>
                <w:sz w:val="20"/>
                <w:szCs w:val="20"/>
              </w:rPr>
            </w:pPr>
            <w:r w:rsidRPr="00807837">
              <w:rPr>
                <w:rFonts w:ascii="Arial" w:hAnsi="Arial" w:cs="Arial"/>
                <w:b/>
                <w:sz w:val="20"/>
                <w:szCs w:val="20"/>
              </w:rPr>
              <w:t>R’000</w:t>
            </w:r>
          </w:p>
        </w:tc>
        <w:tc>
          <w:tcPr>
            <w:tcW w:w="1134" w:type="dxa"/>
          </w:tcPr>
          <w:p w:rsidR="00623FC2" w:rsidRPr="00807837" w:rsidRDefault="00623FC2" w:rsidP="00807837">
            <w:pPr>
              <w:rPr>
                <w:rFonts w:ascii="Arial" w:hAnsi="Arial" w:cs="Arial"/>
                <w:b/>
                <w:sz w:val="20"/>
                <w:szCs w:val="20"/>
              </w:rPr>
            </w:pPr>
            <w:r w:rsidRPr="00807837">
              <w:rPr>
                <w:rFonts w:ascii="Arial" w:hAnsi="Arial" w:cs="Arial"/>
                <w:b/>
                <w:sz w:val="20"/>
                <w:szCs w:val="20"/>
              </w:rPr>
              <w:t>R’000</w:t>
            </w:r>
          </w:p>
        </w:tc>
        <w:tc>
          <w:tcPr>
            <w:tcW w:w="1134" w:type="dxa"/>
          </w:tcPr>
          <w:p w:rsidR="00623FC2" w:rsidRPr="00807837" w:rsidRDefault="00623FC2" w:rsidP="00807837">
            <w:pPr>
              <w:rPr>
                <w:rFonts w:ascii="Arial" w:hAnsi="Arial" w:cs="Arial"/>
                <w:b/>
                <w:sz w:val="20"/>
                <w:szCs w:val="20"/>
              </w:rPr>
            </w:pPr>
            <w:r w:rsidRPr="00807837">
              <w:rPr>
                <w:rFonts w:ascii="Arial" w:hAnsi="Arial" w:cs="Arial"/>
                <w:b/>
                <w:sz w:val="20"/>
                <w:szCs w:val="20"/>
              </w:rPr>
              <w:t>R’000</w:t>
            </w:r>
          </w:p>
        </w:tc>
        <w:tc>
          <w:tcPr>
            <w:tcW w:w="992" w:type="dxa"/>
          </w:tcPr>
          <w:p w:rsidR="00623FC2" w:rsidRPr="00807837" w:rsidRDefault="00623FC2" w:rsidP="00807837">
            <w:pPr>
              <w:rPr>
                <w:rFonts w:ascii="Arial" w:hAnsi="Arial" w:cs="Arial"/>
                <w:b/>
                <w:sz w:val="20"/>
                <w:szCs w:val="20"/>
              </w:rPr>
            </w:pPr>
            <w:r w:rsidRPr="00807837">
              <w:rPr>
                <w:rFonts w:ascii="Arial" w:hAnsi="Arial" w:cs="Arial"/>
                <w:b/>
                <w:sz w:val="20"/>
                <w:szCs w:val="20"/>
              </w:rPr>
              <w:t>R’000</w:t>
            </w:r>
          </w:p>
        </w:tc>
        <w:tc>
          <w:tcPr>
            <w:tcW w:w="1134" w:type="dxa"/>
          </w:tcPr>
          <w:p w:rsidR="00623FC2" w:rsidRPr="00807837" w:rsidRDefault="00557647" w:rsidP="00807837">
            <w:pPr>
              <w:rPr>
                <w:rFonts w:ascii="Arial" w:hAnsi="Arial" w:cs="Arial"/>
                <w:b/>
                <w:sz w:val="20"/>
                <w:szCs w:val="20"/>
              </w:rPr>
            </w:pPr>
            <w:r w:rsidRPr="00807837">
              <w:rPr>
                <w:rFonts w:ascii="Arial" w:hAnsi="Arial" w:cs="Arial"/>
                <w:b/>
                <w:sz w:val="20"/>
                <w:szCs w:val="20"/>
              </w:rPr>
              <w:t>%</w:t>
            </w:r>
          </w:p>
        </w:tc>
        <w:tc>
          <w:tcPr>
            <w:tcW w:w="1417" w:type="dxa"/>
          </w:tcPr>
          <w:p w:rsidR="00623FC2" w:rsidRPr="00807837" w:rsidRDefault="00557647" w:rsidP="00807837">
            <w:pPr>
              <w:rPr>
                <w:rFonts w:ascii="Arial" w:hAnsi="Arial" w:cs="Arial"/>
                <w:b/>
                <w:sz w:val="20"/>
                <w:szCs w:val="20"/>
              </w:rPr>
            </w:pPr>
            <w:r w:rsidRPr="00807837">
              <w:rPr>
                <w:rFonts w:ascii="Arial" w:hAnsi="Arial" w:cs="Arial"/>
                <w:b/>
                <w:sz w:val="20"/>
                <w:szCs w:val="20"/>
              </w:rPr>
              <w:t>R’000</w:t>
            </w:r>
          </w:p>
        </w:tc>
      </w:tr>
      <w:tr w:rsidR="00720739" w:rsidRPr="00807837" w:rsidTr="00057EC6">
        <w:tc>
          <w:tcPr>
            <w:tcW w:w="1843" w:type="dxa"/>
          </w:tcPr>
          <w:p w:rsidR="00623FC2" w:rsidRPr="00807837" w:rsidRDefault="00557647" w:rsidP="00807837">
            <w:pPr>
              <w:rPr>
                <w:rFonts w:ascii="Arial" w:hAnsi="Arial" w:cs="Arial"/>
                <w:sz w:val="20"/>
                <w:szCs w:val="20"/>
              </w:rPr>
            </w:pPr>
            <w:r w:rsidRPr="00807837">
              <w:rPr>
                <w:rFonts w:ascii="Arial" w:hAnsi="Arial" w:cs="Arial"/>
                <w:sz w:val="20"/>
                <w:szCs w:val="20"/>
              </w:rPr>
              <w:t>South African Tourism</w:t>
            </w:r>
          </w:p>
        </w:tc>
        <w:tc>
          <w:tcPr>
            <w:tcW w:w="1418" w:type="dxa"/>
          </w:tcPr>
          <w:p w:rsidR="00623FC2" w:rsidRPr="00807837" w:rsidRDefault="00557647" w:rsidP="00807837">
            <w:pPr>
              <w:rPr>
                <w:rFonts w:ascii="Arial" w:hAnsi="Arial" w:cs="Arial"/>
                <w:sz w:val="20"/>
                <w:szCs w:val="20"/>
              </w:rPr>
            </w:pPr>
            <w:r w:rsidRPr="00807837">
              <w:rPr>
                <w:rFonts w:ascii="Arial" w:hAnsi="Arial" w:cs="Arial"/>
                <w:sz w:val="20"/>
                <w:szCs w:val="20"/>
              </w:rPr>
              <w:t>1 297 038</w:t>
            </w:r>
          </w:p>
        </w:tc>
        <w:tc>
          <w:tcPr>
            <w:tcW w:w="1134" w:type="dxa"/>
          </w:tcPr>
          <w:p w:rsidR="00623FC2" w:rsidRPr="00807837" w:rsidRDefault="00557647" w:rsidP="00807837">
            <w:pPr>
              <w:rPr>
                <w:rFonts w:ascii="Arial" w:hAnsi="Arial" w:cs="Arial"/>
                <w:sz w:val="20"/>
                <w:szCs w:val="20"/>
              </w:rPr>
            </w:pPr>
            <w:r w:rsidRPr="00807837">
              <w:rPr>
                <w:rFonts w:ascii="Arial" w:hAnsi="Arial" w:cs="Arial"/>
                <w:sz w:val="20"/>
                <w:szCs w:val="20"/>
              </w:rPr>
              <w:t>-</w:t>
            </w:r>
          </w:p>
        </w:tc>
        <w:tc>
          <w:tcPr>
            <w:tcW w:w="1134" w:type="dxa"/>
          </w:tcPr>
          <w:p w:rsidR="00623FC2" w:rsidRPr="00807837" w:rsidRDefault="00557647" w:rsidP="00807837">
            <w:pPr>
              <w:rPr>
                <w:rFonts w:ascii="Arial" w:hAnsi="Arial" w:cs="Arial"/>
                <w:sz w:val="20"/>
                <w:szCs w:val="20"/>
              </w:rPr>
            </w:pPr>
            <w:r w:rsidRPr="00807837">
              <w:rPr>
                <w:rFonts w:ascii="Arial" w:hAnsi="Arial" w:cs="Arial"/>
                <w:sz w:val="20"/>
                <w:szCs w:val="20"/>
              </w:rPr>
              <w:t>1 297 038</w:t>
            </w:r>
          </w:p>
        </w:tc>
        <w:tc>
          <w:tcPr>
            <w:tcW w:w="992" w:type="dxa"/>
          </w:tcPr>
          <w:p w:rsidR="00623FC2" w:rsidRPr="00807837" w:rsidRDefault="00557647" w:rsidP="00807837">
            <w:pPr>
              <w:rPr>
                <w:rFonts w:ascii="Arial" w:hAnsi="Arial" w:cs="Arial"/>
                <w:sz w:val="20"/>
                <w:szCs w:val="20"/>
              </w:rPr>
            </w:pPr>
            <w:r w:rsidRPr="00807837">
              <w:rPr>
                <w:rFonts w:ascii="Arial" w:hAnsi="Arial" w:cs="Arial"/>
                <w:sz w:val="20"/>
                <w:szCs w:val="20"/>
              </w:rPr>
              <w:t>1 297 038</w:t>
            </w:r>
          </w:p>
        </w:tc>
        <w:tc>
          <w:tcPr>
            <w:tcW w:w="1134" w:type="dxa"/>
          </w:tcPr>
          <w:p w:rsidR="00623FC2" w:rsidRPr="00807837" w:rsidRDefault="00557647" w:rsidP="00807837">
            <w:pPr>
              <w:rPr>
                <w:rFonts w:ascii="Arial" w:hAnsi="Arial" w:cs="Arial"/>
                <w:sz w:val="20"/>
                <w:szCs w:val="20"/>
              </w:rPr>
            </w:pPr>
            <w:r w:rsidRPr="00807837">
              <w:rPr>
                <w:rFonts w:ascii="Arial" w:hAnsi="Arial" w:cs="Arial"/>
                <w:sz w:val="20"/>
                <w:szCs w:val="20"/>
              </w:rPr>
              <w:t>100</w:t>
            </w:r>
          </w:p>
        </w:tc>
        <w:tc>
          <w:tcPr>
            <w:tcW w:w="1417" w:type="dxa"/>
          </w:tcPr>
          <w:p w:rsidR="00623FC2" w:rsidRPr="00807837" w:rsidRDefault="00557647" w:rsidP="00807837">
            <w:pPr>
              <w:rPr>
                <w:rFonts w:ascii="Arial" w:hAnsi="Arial" w:cs="Arial"/>
                <w:sz w:val="20"/>
                <w:szCs w:val="20"/>
              </w:rPr>
            </w:pPr>
            <w:r w:rsidRPr="00807837">
              <w:rPr>
                <w:rFonts w:ascii="Arial" w:hAnsi="Arial" w:cs="Arial"/>
                <w:sz w:val="20"/>
                <w:szCs w:val="20"/>
              </w:rPr>
              <w:t>423 027</w:t>
            </w:r>
          </w:p>
        </w:tc>
      </w:tr>
      <w:tr w:rsidR="00720739" w:rsidRPr="00807837" w:rsidTr="00057EC6">
        <w:tc>
          <w:tcPr>
            <w:tcW w:w="1843" w:type="dxa"/>
          </w:tcPr>
          <w:p w:rsidR="00623FC2" w:rsidRPr="00807837" w:rsidRDefault="00B0547B" w:rsidP="00807837">
            <w:pPr>
              <w:rPr>
                <w:rFonts w:ascii="Arial" w:hAnsi="Arial" w:cs="Arial"/>
                <w:sz w:val="20"/>
                <w:szCs w:val="20"/>
              </w:rPr>
            </w:pPr>
            <w:r w:rsidRPr="00807837">
              <w:rPr>
                <w:rFonts w:ascii="Arial" w:hAnsi="Arial" w:cs="Arial"/>
                <w:sz w:val="20"/>
                <w:szCs w:val="20"/>
              </w:rPr>
              <w:t>National Tourism Careers Expo</w:t>
            </w:r>
          </w:p>
        </w:tc>
        <w:tc>
          <w:tcPr>
            <w:tcW w:w="1418" w:type="dxa"/>
          </w:tcPr>
          <w:p w:rsidR="00623FC2" w:rsidRPr="00807837" w:rsidRDefault="00B0547B" w:rsidP="00807837">
            <w:pPr>
              <w:rPr>
                <w:rFonts w:ascii="Arial" w:hAnsi="Arial" w:cs="Arial"/>
                <w:sz w:val="20"/>
                <w:szCs w:val="20"/>
              </w:rPr>
            </w:pPr>
            <w:r w:rsidRPr="00807837">
              <w:rPr>
                <w:rFonts w:ascii="Arial" w:hAnsi="Arial" w:cs="Arial"/>
                <w:sz w:val="20"/>
                <w:szCs w:val="20"/>
              </w:rPr>
              <w:t>4 129</w:t>
            </w:r>
          </w:p>
        </w:tc>
        <w:tc>
          <w:tcPr>
            <w:tcW w:w="1134" w:type="dxa"/>
          </w:tcPr>
          <w:p w:rsidR="00623FC2" w:rsidRPr="00807837" w:rsidRDefault="00557647" w:rsidP="00807837">
            <w:pPr>
              <w:rPr>
                <w:rFonts w:ascii="Arial" w:hAnsi="Arial" w:cs="Arial"/>
                <w:sz w:val="20"/>
                <w:szCs w:val="20"/>
              </w:rPr>
            </w:pPr>
            <w:r w:rsidRPr="00807837">
              <w:rPr>
                <w:rFonts w:ascii="Arial" w:hAnsi="Arial" w:cs="Arial"/>
                <w:sz w:val="20"/>
                <w:szCs w:val="20"/>
              </w:rPr>
              <w:t>-</w:t>
            </w:r>
          </w:p>
        </w:tc>
        <w:tc>
          <w:tcPr>
            <w:tcW w:w="1134" w:type="dxa"/>
          </w:tcPr>
          <w:p w:rsidR="00623FC2" w:rsidRPr="00807837" w:rsidRDefault="00B0547B" w:rsidP="00807837">
            <w:pPr>
              <w:rPr>
                <w:rFonts w:ascii="Arial" w:hAnsi="Arial" w:cs="Arial"/>
                <w:sz w:val="20"/>
                <w:szCs w:val="20"/>
              </w:rPr>
            </w:pPr>
            <w:r w:rsidRPr="00807837">
              <w:rPr>
                <w:rFonts w:ascii="Arial" w:hAnsi="Arial" w:cs="Arial"/>
                <w:sz w:val="20"/>
                <w:szCs w:val="20"/>
              </w:rPr>
              <w:t>4 129</w:t>
            </w:r>
          </w:p>
        </w:tc>
        <w:tc>
          <w:tcPr>
            <w:tcW w:w="992" w:type="dxa"/>
          </w:tcPr>
          <w:p w:rsidR="00623FC2" w:rsidRPr="00807837" w:rsidRDefault="00B0547B" w:rsidP="00807837">
            <w:pPr>
              <w:rPr>
                <w:rFonts w:ascii="Arial" w:hAnsi="Arial" w:cs="Arial"/>
                <w:sz w:val="20"/>
                <w:szCs w:val="20"/>
              </w:rPr>
            </w:pPr>
            <w:r w:rsidRPr="00807837">
              <w:rPr>
                <w:rFonts w:ascii="Arial" w:hAnsi="Arial" w:cs="Arial"/>
                <w:sz w:val="20"/>
                <w:szCs w:val="20"/>
              </w:rPr>
              <w:t>3 918</w:t>
            </w:r>
          </w:p>
        </w:tc>
        <w:tc>
          <w:tcPr>
            <w:tcW w:w="1134" w:type="dxa"/>
          </w:tcPr>
          <w:p w:rsidR="00623FC2" w:rsidRPr="00807837" w:rsidRDefault="00B0547B" w:rsidP="00807837">
            <w:pPr>
              <w:rPr>
                <w:rFonts w:ascii="Arial" w:hAnsi="Arial" w:cs="Arial"/>
                <w:sz w:val="20"/>
                <w:szCs w:val="20"/>
              </w:rPr>
            </w:pPr>
            <w:r w:rsidRPr="00807837">
              <w:rPr>
                <w:rFonts w:ascii="Arial" w:hAnsi="Arial" w:cs="Arial"/>
                <w:sz w:val="20"/>
                <w:szCs w:val="20"/>
              </w:rPr>
              <w:t>95</w:t>
            </w:r>
          </w:p>
        </w:tc>
        <w:tc>
          <w:tcPr>
            <w:tcW w:w="1417" w:type="dxa"/>
          </w:tcPr>
          <w:p w:rsidR="00623FC2" w:rsidRPr="00807837" w:rsidRDefault="00623FC2" w:rsidP="00807837">
            <w:pPr>
              <w:rPr>
                <w:rFonts w:ascii="Arial" w:hAnsi="Arial" w:cs="Arial"/>
                <w:sz w:val="20"/>
                <w:szCs w:val="20"/>
              </w:rPr>
            </w:pPr>
          </w:p>
        </w:tc>
      </w:tr>
      <w:tr w:rsidR="00720739" w:rsidRPr="00807837" w:rsidTr="00057EC6">
        <w:tc>
          <w:tcPr>
            <w:tcW w:w="1843" w:type="dxa"/>
          </w:tcPr>
          <w:p w:rsidR="00557647" w:rsidRPr="00807837" w:rsidRDefault="00B0547B" w:rsidP="00807837">
            <w:pPr>
              <w:rPr>
                <w:rFonts w:ascii="Arial" w:hAnsi="Arial" w:cs="Arial"/>
                <w:sz w:val="20"/>
                <w:szCs w:val="20"/>
              </w:rPr>
            </w:pPr>
            <w:r w:rsidRPr="00807837">
              <w:rPr>
                <w:rFonts w:ascii="Arial" w:hAnsi="Arial" w:cs="Arial"/>
                <w:sz w:val="20"/>
                <w:szCs w:val="20"/>
              </w:rPr>
              <w:t>Culture, Arts, Tourism, Hospitality and Sport Sector Education and Training Authority (CATHSSETA)</w:t>
            </w:r>
          </w:p>
        </w:tc>
        <w:tc>
          <w:tcPr>
            <w:tcW w:w="1418" w:type="dxa"/>
          </w:tcPr>
          <w:p w:rsidR="00557647" w:rsidRPr="00807837" w:rsidRDefault="00B0547B" w:rsidP="00807837">
            <w:pPr>
              <w:rPr>
                <w:rFonts w:ascii="Arial" w:hAnsi="Arial" w:cs="Arial"/>
                <w:sz w:val="20"/>
                <w:szCs w:val="20"/>
              </w:rPr>
            </w:pPr>
            <w:r w:rsidRPr="00807837">
              <w:rPr>
                <w:rFonts w:ascii="Arial" w:hAnsi="Arial" w:cs="Arial"/>
                <w:sz w:val="20"/>
                <w:szCs w:val="20"/>
              </w:rPr>
              <w:t>181</w:t>
            </w:r>
          </w:p>
        </w:tc>
        <w:tc>
          <w:tcPr>
            <w:tcW w:w="1134" w:type="dxa"/>
          </w:tcPr>
          <w:p w:rsidR="00557647" w:rsidRPr="00807837" w:rsidRDefault="00557647" w:rsidP="00807837">
            <w:pPr>
              <w:rPr>
                <w:rFonts w:ascii="Arial" w:hAnsi="Arial" w:cs="Arial"/>
                <w:sz w:val="20"/>
                <w:szCs w:val="20"/>
              </w:rPr>
            </w:pPr>
            <w:r w:rsidRPr="00807837">
              <w:rPr>
                <w:rFonts w:ascii="Arial" w:hAnsi="Arial" w:cs="Arial"/>
                <w:sz w:val="20"/>
                <w:szCs w:val="20"/>
              </w:rPr>
              <w:t>-</w:t>
            </w:r>
          </w:p>
        </w:tc>
        <w:tc>
          <w:tcPr>
            <w:tcW w:w="1134" w:type="dxa"/>
          </w:tcPr>
          <w:p w:rsidR="00557647" w:rsidRPr="00807837" w:rsidRDefault="00B0547B" w:rsidP="00807837">
            <w:pPr>
              <w:rPr>
                <w:rFonts w:ascii="Arial" w:hAnsi="Arial" w:cs="Arial"/>
                <w:sz w:val="20"/>
                <w:szCs w:val="20"/>
              </w:rPr>
            </w:pPr>
            <w:r w:rsidRPr="00807837">
              <w:rPr>
                <w:rFonts w:ascii="Arial" w:hAnsi="Arial" w:cs="Arial"/>
                <w:sz w:val="20"/>
                <w:szCs w:val="20"/>
              </w:rPr>
              <w:t>181</w:t>
            </w:r>
          </w:p>
        </w:tc>
        <w:tc>
          <w:tcPr>
            <w:tcW w:w="992" w:type="dxa"/>
          </w:tcPr>
          <w:p w:rsidR="00557647" w:rsidRPr="00807837" w:rsidRDefault="00B0547B" w:rsidP="00807837">
            <w:pPr>
              <w:rPr>
                <w:rFonts w:ascii="Arial" w:hAnsi="Arial" w:cs="Arial"/>
                <w:sz w:val="20"/>
                <w:szCs w:val="20"/>
              </w:rPr>
            </w:pPr>
            <w:r w:rsidRPr="00807837">
              <w:rPr>
                <w:rFonts w:ascii="Arial" w:hAnsi="Arial" w:cs="Arial"/>
                <w:sz w:val="20"/>
                <w:szCs w:val="20"/>
              </w:rPr>
              <w:t>181</w:t>
            </w:r>
          </w:p>
        </w:tc>
        <w:tc>
          <w:tcPr>
            <w:tcW w:w="1134" w:type="dxa"/>
          </w:tcPr>
          <w:p w:rsidR="00557647" w:rsidRPr="00807837" w:rsidRDefault="00B0547B" w:rsidP="00807837">
            <w:pPr>
              <w:rPr>
                <w:rFonts w:ascii="Arial" w:hAnsi="Arial" w:cs="Arial"/>
                <w:sz w:val="20"/>
                <w:szCs w:val="20"/>
              </w:rPr>
            </w:pPr>
            <w:r w:rsidRPr="00807837">
              <w:rPr>
                <w:rFonts w:ascii="Arial" w:hAnsi="Arial" w:cs="Arial"/>
                <w:sz w:val="20"/>
                <w:szCs w:val="20"/>
              </w:rPr>
              <w:t>100</w:t>
            </w:r>
          </w:p>
        </w:tc>
        <w:tc>
          <w:tcPr>
            <w:tcW w:w="1417" w:type="dxa"/>
          </w:tcPr>
          <w:p w:rsidR="00557647" w:rsidRPr="00807837" w:rsidRDefault="00B0547B" w:rsidP="00807837">
            <w:pPr>
              <w:rPr>
                <w:rFonts w:ascii="Arial" w:hAnsi="Arial" w:cs="Arial"/>
                <w:sz w:val="20"/>
                <w:szCs w:val="20"/>
              </w:rPr>
            </w:pPr>
            <w:r w:rsidRPr="00807837">
              <w:rPr>
                <w:rFonts w:ascii="Arial" w:hAnsi="Arial" w:cs="Arial"/>
                <w:sz w:val="20"/>
                <w:szCs w:val="20"/>
              </w:rPr>
              <w:t>-</w:t>
            </w:r>
          </w:p>
        </w:tc>
      </w:tr>
      <w:tr w:rsidR="00720739" w:rsidRPr="00807837" w:rsidTr="00057EC6">
        <w:tc>
          <w:tcPr>
            <w:tcW w:w="1843" w:type="dxa"/>
          </w:tcPr>
          <w:p w:rsidR="00557647" w:rsidRPr="00807837" w:rsidRDefault="00B0547B" w:rsidP="00807837">
            <w:pPr>
              <w:rPr>
                <w:rFonts w:ascii="Arial" w:hAnsi="Arial" w:cs="Arial"/>
                <w:sz w:val="20"/>
                <w:szCs w:val="20"/>
              </w:rPr>
            </w:pPr>
            <w:r w:rsidRPr="00807837">
              <w:rPr>
                <w:rFonts w:ascii="Arial" w:hAnsi="Arial" w:cs="Arial"/>
                <w:sz w:val="20"/>
                <w:szCs w:val="20"/>
              </w:rPr>
              <w:lastRenderedPageBreak/>
              <w:t>Technology Innovation Agency</w:t>
            </w:r>
          </w:p>
        </w:tc>
        <w:tc>
          <w:tcPr>
            <w:tcW w:w="1418" w:type="dxa"/>
          </w:tcPr>
          <w:p w:rsidR="00557647" w:rsidRPr="00807837" w:rsidRDefault="00B0547B" w:rsidP="00807837">
            <w:pPr>
              <w:rPr>
                <w:rFonts w:ascii="Arial" w:hAnsi="Arial" w:cs="Arial"/>
                <w:sz w:val="20"/>
                <w:szCs w:val="20"/>
              </w:rPr>
            </w:pPr>
            <w:r w:rsidRPr="00807837">
              <w:rPr>
                <w:rFonts w:ascii="Arial" w:hAnsi="Arial" w:cs="Arial"/>
                <w:sz w:val="20"/>
                <w:szCs w:val="20"/>
              </w:rPr>
              <w:t>3 000</w:t>
            </w:r>
          </w:p>
        </w:tc>
        <w:tc>
          <w:tcPr>
            <w:tcW w:w="1134" w:type="dxa"/>
          </w:tcPr>
          <w:p w:rsidR="00557647" w:rsidRPr="00807837" w:rsidRDefault="00B0547B" w:rsidP="00807837">
            <w:pPr>
              <w:rPr>
                <w:rFonts w:ascii="Arial" w:hAnsi="Arial" w:cs="Arial"/>
                <w:sz w:val="20"/>
                <w:szCs w:val="20"/>
              </w:rPr>
            </w:pPr>
            <w:r w:rsidRPr="00807837">
              <w:rPr>
                <w:rFonts w:ascii="Arial" w:hAnsi="Arial" w:cs="Arial"/>
                <w:sz w:val="20"/>
                <w:szCs w:val="20"/>
              </w:rPr>
              <w:t>-</w:t>
            </w:r>
          </w:p>
        </w:tc>
        <w:tc>
          <w:tcPr>
            <w:tcW w:w="1134" w:type="dxa"/>
          </w:tcPr>
          <w:p w:rsidR="00557647" w:rsidRPr="00807837" w:rsidRDefault="00B0547B" w:rsidP="00807837">
            <w:pPr>
              <w:rPr>
                <w:rFonts w:ascii="Arial" w:hAnsi="Arial" w:cs="Arial"/>
                <w:sz w:val="20"/>
                <w:szCs w:val="20"/>
              </w:rPr>
            </w:pPr>
            <w:r w:rsidRPr="00807837">
              <w:rPr>
                <w:rFonts w:ascii="Arial" w:hAnsi="Arial" w:cs="Arial"/>
                <w:sz w:val="20"/>
                <w:szCs w:val="20"/>
              </w:rPr>
              <w:t>3 000</w:t>
            </w:r>
          </w:p>
        </w:tc>
        <w:tc>
          <w:tcPr>
            <w:tcW w:w="992" w:type="dxa"/>
          </w:tcPr>
          <w:p w:rsidR="00557647" w:rsidRPr="00807837" w:rsidRDefault="00B0547B" w:rsidP="00807837">
            <w:pPr>
              <w:rPr>
                <w:rFonts w:ascii="Arial" w:hAnsi="Arial" w:cs="Arial"/>
                <w:sz w:val="20"/>
                <w:szCs w:val="20"/>
              </w:rPr>
            </w:pPr>
            <w:r w:rsidRPr="00807837">
              <w:rPr>
                <w:rFonts w:ascii="Arial" w:hAnsi="Arial" w:cs="Arial"/>
                <w:sz w:val="20"/>
                <w:szCs w:val="20"/>
              </w:rPr>
              <w:t>3 000</w:t>
            </w:r>
          </w:p>
        </w:tc>
        <w:tc>
          <w:tcPr>
            <w:tcW w:w="1134" w:type="dxa"/>
          </w:tcPr>
          <w:p w:rsidR="00557647" w:rsidRPr="00807837" w:rsidRDefault="00B0547B" w:rsidP="00807837">
            <w:pPr>
              <w:rPr>
                <w:rFonts w:ascii="Arial" w:hAnsi="Arial" w:cs="Arial"/>
                <w:sz w:val="20"/>
                <w:szCs w:val="20"/>
              </w:rPr>
            </w:pPr>
            <w:r w:rsidRPr="00807837">
              <w:rPr>
                <w:rFonts w:ascii="Arial" w:hAnsi="Arial" w:cs="Arial"/>
                <w:sz w:val="20"/>
                <w:szCs w:val="20"/>
              </w:rPr>
              <w:t>100</w:t>
            </w:r>
          </w:p>
        </w:tc>
        <w:tc>
          <w:tcPr>
            <w:tcW w:w="1417" w:type="dxa"/>
          </w:tcPr>
          <w:p w:rsidR="00557647" w:rsidRPr="00807837" w:rsidRDefault="00B0547B" w:rsidP="00807837">
            <w:pPr>
              <w:rPr>
                <w:rFonts w:ascii="Arial" w:hAnsi="Arial" w:cs="Arial"/>
                <w:sz w:val="20"/>
                <w:szCs w:val="20"/>
              </w:rPr>
            </w:pPr>
            <w:r w:rsidRPr="00807837">
              <w:rPr>
                <w:rFonts w:ascii="Arial" w:hAnsi="Arial" w:cs="Arial"/>
                <w:sz w:val="20"/>
                <w:szCs w:val="20"/>
              </w:rPr>
              <w:t>172</w:t>
            </w:r>
          </w:p>
        </w:tc>
      </w:tr>
      <w:tr w:rsidR="00720739" w:rsidRPr="00807837" w:rsidTr="00057EC6">
        <w:tc>
          <w:tcPr>
            <w:tcW w:w="1843" w:type="dxa"/>
          </w:tcPr>
          <w:p w:rsidR="00557647" w:rsidRPr="00807837" w:rsidRDefault="00B0547B" w:rsidP="00807837">
            <w:pPr>
              <w:rPr>
                <w:rFonts w:ascii="Arial" w:hAnsi="Arial" w:cs="Arial"/>
                <w:sz w:val="20"/>
                <w:szCs w:val="20"/>
              </w:rPr>
            </w:pPr>
            <w:r w:rsidRPr="00807837">
              <w:rPr>
                <w:rFonts w:ascii="Arial" w:hAnsi="Arial" w:cs="Arial"/>
                <w:sz w:val="20"/>
                <w:szCs w:val="20"/>
              </w:rPr>
              <w:t>Tourism Grading Support</w:t>
            </w:r>
          </w:p>
        </w:tc>
        <w:tc>
          <w:tcPr>
            <w:tcW w:w="1418" w:type="dxa"/>
          </w:tcPr>
          <w:p w:rsidR="00557647" w:rsidRPr="00807837" w:rsidRDefault="00B0547B" w:rsidP="00807837">
            <w:pPr>
              <w:rPr>
                <w:rFonts w:ascii="Arial" w:hAnsi="Arial" w:cs="Arial"/>
                <w:sz w:val="20"/>
                <w:szCs w:val="20"/>
              </w:rPr>
            </w:pPr>
            <w:r w:rsidRPr="00807837">
              <w:rPr>
                <w:rFonts w:ascii="Arial" w:hAnsi="Arial" w:cs="Arial"/>
                <w:sz w:val="20"/>
                <w:szCs w:val="20"/>
              </w:rPr>
              <w:t>-</w:t>
            </w:r>
          </w:p>
        </w:tc>
        <w:tc>
          <w:tcPr>
            <w:tcW w:w="1134" w:type="dxa"/>
          </w:tcPr>
          <w:p w:rsidR="00557647" w:rsidRPr="00807837" w:rsidRDefault="00B0547B" w:rsidP="00807837">
            <w:pPr>
              <w:rPr>
                <w:rFonts w:ascii="Arial" w:hAnsi="Arial" w:cs="Arial"/>
                <w:sz w:val="20"/>
                <w:szCs w:val="20"/>
              </w:rPr>
            </w:pPr>
            <w:r w:rsidRPr="00807837">
              <w:rPr>
                <w:rFonts w:ascii="Arial" w:hAnsi="Arial" w:cs="Arial"/>
                <w:sz w:val="20"/>
                <w:szCs w:val="20"/>
              </w:rPr>
              <w:t>15 200</w:t>
            </w:r>
          </w:p>
        </w:tc>
        <w:tc>
          <w:tcPr>
            <w:tcW w:w="1134" w:type="dxa"/>
          </w:tcPr>
          <w:p w:rsidR="00557647" w:rsidRPr="00807837" w:rsidRDefault="00B0547B" w:rsidP="00807837">
            <w:pPr>
              <w:rPr>
                <w:rFonts w:ascii="Arial" w:hAnsi="Arial" w:cs="Arial"/>
                <w:sz w:val="20"/>
                <w:szCs w:val="20"/>
              </w:rPr>
            </w:pPr>
            <w:r w:rsidRPr="00807837">
              <w:rPr>
                <w:rFonts w:ascii="Arial" w:hAnsi="Arial" w:cs="Arial"/>
                <w:sz w:val="20"/>
                <w:szCs w:val="20"/>
              </w:rPr>
              <w:t>15 200</w:t>
            </w:r>
          </w:p>
        </w:tc>
        <w:tc>
          <w:tcPr>
            <w:tcW w:w="992" w:type="dxa"/>
          </w:tcPr>
          <w:p w:rsidR="00557647" w:rsidRPr="00807837" w:rsidRDefault="00B0547B" w:rsidP="00807837">
            <w:pPr>
              <w:rPr>
                <w:rFonts w:ascii="Arial" w:hAnsi="Arial" w:cs="Arial"/>
                <w:sz w:val="20"/>
                <w:szCs w:val="20"/>
              </w:rPr>
            </w:pPr>
            <w:r w:rsidRPr="00807837">
              <w:rPr>
                <w:rFonts w:ascii="Arial" w:hAnsi="Arial" w:cs="Arial"/>
                <w:sz w:val="20"/>
                <w:szCs w:val="20"/>
              </w:rPr>
              <w:t>15 200</w:t>
            </w:r>
          </w:p>
        </w:tc>
        <w:tc>
          <w:tcPr>
            <w:tcW w:w="1134" w:type="dxa"/>
          </w:tcPr>
          <w:p w:rsidR="00557647" w:rsidRPr="00807837" w:rsidRDefault="00B0547B" w:rsidP="00807837">
            <w:pPr>
              <w:rPr>
                <w:rFonts w:ascii="Arial" w:hAnsi="Arial" w:cs="Arial"/>
                <w:sz w:val="20"/>
                <w:szCs w:val="20"/>
              </w:rPr>
            </w:pPr>
            <w:r w:rsidRPr="00807837">
              <w:rPr>
                <w:rFonts w:ascii="Arial" w:hAnsi="Arial" w:cs="Arial"/>
                <w:sz w:val="20"/>
                <w:szCs w:val="20"/>
              </w:rPr>
              <w:t>100</w:t>
            </w:r>
          </w:p>
        </w:tc>
        <w:tc>
          <w:tcPr>
            <w:tcW w:w="1417" w:type="dxa"/>
          </w:tcPr>
          <w:p w:rsidR="00557647" w:rsidRPr="00807837" w:rsidRDefault="00B0547B" w:rsidP="00807837">
            <w:pPr>
              <w:rPr>
                <w:rFonts w:ascii="Arial" w:hAnsi="Arial" w:cs="Arial"/>
                <w:sz w:val="20"/>
                <w:szCs w:val="20"/>
              </w:rPr>
            </w:pPr>
            <w:r w:rsidRPr="00807837">
              <w:rPr>
                <w:rFonts w:ascii="Arial" w:hAnsi="Arial" w:cs="Arial"/>
                <w:sz w:val="20"/>
                <w:szCs w:val="20"/>
              </w:rPr>
              <w:t>3 000</w:t>
            </w:r>
          </w:p>
        </w:tc>
      </w:tr>
      <w:tr w:rsidR="00720739" w:rsidRPr="00807837" w:rsidTr="00057EC6">
        <w:tc>
          <w:tcPr>
            <w:tcW w:w="1843" w:type="dxa"/>
          </w:tcPr>
          <w:p w:rsidR="00557647" w:rsidRPr="00807837" w:rsidRDefault="00B0547B" w:rsidP="00807837">
            <w:pPr>
              <w:rPr>
                <w:rFonts w:ascii="Arial" w:hAnsi="Arial" w:cs="Arial"/>
                <w:sz w:val="20"/>
                <w:szCs w:val="20"/>
              </w:rPr>
            </w:pPr>
            <w:r w:rsidRPr="00807837">
              <w:rPr>
                <w:rFonts w:ascii="Arial" w:eastAsia="Calibri" w:hAnsi="Arial" w:cs="Arial"/>
                <w:sz w:val="20"/>
                <w:szCs w:val="20"/>
              </w:rPr>
              <w:t>Tourism Equity Fund</w:t>
            </w:r>
          </w:p>
        </w:tc>
        <w:tc>
          <w:tcPr>
            <w:tcW w:w="1418" w:type="dxa"/>
          </w:tcPr>
          <w:p w:rsidR="00557647" w:rsidRPr="00807837" w:rsidRDefault="00B0547B" w:rsidP="00807837">
            <w:pPr>
              <w:rPr>
                <w:rFonts w:ascii="Arial" w:hAnsi="Arial" w:cs="Arial"/>
                <w:sz w:val="20"/>
                <w:szCs w:val="20"/>
              </w:rPr>
            </w:pPr>
            <w:r w:rsidRPr="00807837">
              <w:rPr>
                <w:rFonts w:ascii="Arial" w:hAnsi="Arial" w:cs="Arial"/>
                <w:sz w:val="20"/>
                <w:szCs w:val="20"/>
              </w:rPr>
              <w:t>-</w:t>
            </w:r>
          </w:p>
        </w:tc>
        <w:tc>
          <w:tcPr>
            <w:tcW w:w="1134" w:type="dxa"/>
          </w:tcPr>
          <w:p w:rsidR="00557647" w:rsidRPr="00807837" w:rsidRDefault="00B0547B" w:rsidP="00807837">
            <w:pPr>
              <w:rPr>
                <w:rFonts w:ascii="Arial" w:hAnsi="Arial" w:cs="Arial"/>
                <w:sz w:val="20"/>
                <w:szCs w:val="20"/>
              </w:rPr>
            </w:pPr>
            <w:r w:rsidRPr="00807837">
              <w:rPr>
                <w:rFonts w:ascii="Arial" w:eastAsia="Calibri" w:hAnsi="Arial" w:cs="Arial"/>
                <w:sz w:val="20"/>
                <w:szCs w:val="20"/>
              </w:rPr>
              <w:t>242 800</w:t>
            </w:r>
          </w:p>
        </w:tc>
        <w:tc>
          <w:tcPr>
            <w:tcW w:w="1134" w:type="dxa"/>
          </w:tcPr>
          <w:p w:rsidR="00557647" w:rsidRPr="00807837" w:rsidRDefault="00B0547B" w:rsidP="00807837">
            <w:pPr>
              <w:rPr>
                <w:rFonts w:ascii="Arial" w:hAnsi="Arial" w:cs="Arial"/>
                <w:sz w:val="20"/>
                <w:szCs w:val="20"/>
              </w:rPr>
            </w:pPr>
            <w:r w:rsidRPr="00807837">
              <w:rPr>
                <w:rFonts w:ascii="Arial" w:eastAsia="Calibri" w:hAnsi="Arial" w:cs="Arial"/>
                <w:sz w:val="20"/>
                <w:szCs w:val="20"/>
              </w:rPr>
              <w:t>242 800</w:t>
            </w:r>
          </w:p>
        </w:tc>
        <w:tc>
          <w:tcPr>
            <w:tcW w:w="992" w:type="dxa"/>
          </w:tcPr>
          <w:p w:rsidR="00557647" w:rsidRPr="00807837" w:rsidRDefault="00B0547B" w:rsidP="00807837">
            <w:pPr>
              <w:rPr>
                <w:rFonts w:ascii="Arial" w:hAnsi="Arial" w:cs="Arial"/>
                <w:sz w:val="20"/>
                <w:szCs w:val="20"/>
              </w:rPr>
            </w:pPr>
            <w:r w:rsidRPr="00807837">
              <w:rPr>
                <w:rFonts w:ascii="Arial" w:eastAsia="Calibri" w:hAnsi="Arial" w:cs="Arial"/>
                <w:sz w:val="20"/>
                <w:szCs w:val="20"/>
              </w:rPr>
              <w:t>242 800</w:t>
            </w:r>
          </w:p>
        </w:tc>
        <w:tc>
          <w:tcPr>
            <w:tcW w:w="1134" w:type="dxa"/>
          </w:tcPr>
          <w:p w:rsidR="00557647" w:rsidRPr="00807837" w:rsidRDefault="00067C1C" w:rsidP="00807837">
            <w:pPr>
              <w:rPr>
                <w:rFonts w:ascii="Arial" w:hAnsi="Arial" w:cs="Arial"/>
                <w:sz w:val="20"/>
                <w:szCs w:val="20"/>
              </w:rPr>
            </w:pPr>
            <w:r w:rsidRPr="00807837">
              <w:rPr>
                <w:rFonts w:ascii="Arial" w:hAnsi="Arial" w:cs="Arial"/>
                <w:sz w:val="20"/>
                <w:szCs w:val="20"/>
              </w:rPr>
              <w:t>100</w:t>
            </w:r>
          </w:p>
        </w:tc>
        <w:tc>
          <w:tcPr>
            <w:tcW w:w="1417" w:type="dxa"/>
          </w:tcPr>
          <w:p w:rsidR="00557647" w:rsidRPr="00807837" w:rsidRDefault="00B0547B" w:rsidP="00807837">
            <w:pPr>
              <w:rPr>
                <w:rFonts w:ascii="Arial" w:hAnsi="Arial" w:cs="Arial"/>
                <w:sz w:val="20"/>
                <w:szCs w:val="20"/>
              </w:rPr>
            </w:pPr>
            <w:r w:rsidRPr="00807837">
              <w:rPr>
                <w:rFonts w:ascii="Arial" w:hAnsi="Arial" w:cs="Arial"/>
                <w:sz w:val="20"/>
                <w:szCs w:val="20"/>
              </w:rPr>
              <w:t>-</w:t>
            </w:r>
          </w:p>
        </w:tc>
      </w:tr>
      <w:tr w:rsidR="00720739" w:rsidRPr="00807837" w:rsidTr="00057EC6">
        <w:tc>
          <w:tcPr>
            <w:tcW w:w="1843" w:type="dxa"/>
          </w:tcPr>
          <w:p w:rsidR="00557647" w:rsidRPr="00807837" w:rsidRDefault="00557647" w:rsidP="00807837">
            <w:pPr>
              <w:rPr>
                <w:rFonts w:ascii="Arial" w:hAnsi="Arial" w:cs="Arial"/>
                <w:sz w:val="20"/>
                <w:szCs w:val="20"/>
              </w:rPr>
            </w:pPr>
            <w:r w:rsidRPr="00807837">
              <w:rPr>
                <w:rFonts w:ascii="Arial" w:hAnsi="Arial" w:cs="Arial"/>
                <w:sz w:val="20"/>
                <w:szCs w:val="20"/>
              </w:rPr>
              <w:t>TOTAL</w:t>
            </w:r>
          </w:p>
        </w:tc>
        <w:tc>
          <w:tcPr>
            <w:tcW w:w="1418" w:type="dxa"/>
          </w:tcPr>
          <w:p w:rsidR="00557647" w:rsidRPr="00807837" w:rsidRDefault="00067C1C" w:rsidP="00807837">
            <w:pPr>
              <w:rPr>
                <w:rFonts w:ascii="Arial" w:hAnsi="Arial" w:cs="Arial"/>
                <w:sz w:val="20"/>
                <w:szCs w:val="20"/>
              </w:rPr>
            </w:pPr>
            <w:r w:rsidRPr="00807837">
              <w:rPr>
                <w:rFonts w:ascii="Arial" w:hAnsi="Arial" w:cs="Arial"/>
                <w:sz w:val="20"/>
                <w:szCs w:val="20"/>
              </w:rPr>
              <w:t>1 304 348</w:t>
            </w:r>
          </w:p>
        </w:tc>
        <w:tc>
          <w:tcPr>
            <w:tcW w:w="1134" w:type="dxa"/>
          </w:tcPr>
          <w:p w:rsidR="00557647" w:rsidRPr="00807837" w:rsidRDefault="00067C1C" w:rsidP="00807837">
            <w:pPr>
              <w:rPr>
                <w:rFonts w:ascii="Arial" w:hAnsi="Arial" w:cs="Arial"/>
                <w:sz w:val="20"/>
                <w:szCs w:val="20"/>
              </w:rPr>
            </w:pPr>
            <w:r w:rsidRPr="00807837">
              <w:rPr>
                <w:rFonts w:ascii="Arial" w:hAnsi="Arial" w:cs="Arial"/>
                <w:sz w:val="20"/>
                <w:szCs w:val="20"/>
              </w:rPr>
              <w:t>258 000</w:t>
            </w:r>
          </w:p>
        </w:tc>
        <w:tc>
          <w:tcPr>
            <w:tcW w:w="1134" w:type="dxa"/>
          </w:tcPr>
          <w:p w:rsidR="00557647" w:rsidRPr="00807837" w:rsidRDefault="00F41AA7" w:rsidP="00807837">
            <w:pPr>
              <w:rPr>
                <w:rFonts w:ascii="Arial" w:hAnsi="Arial" w:cs="Arial"/>
                <w:sz w:val="20"/>
                <w:szCs w:val="20"/>
              </w:rPr>
            </w:pPr>
            <w:r w:rsidRPr="00807837">
              <w:rPr>
                <w:rFonts w:ascii="Arial" w:hAnsi="Arial" w:cs="Arial"/>
                <w:sz w:val="20"/>
                <w:szCs w:val="20"/>
              </w:rPr>
              <w:t xml:space="preserve">      1</w:t>
            </w:r>
            <w:r w:rsidR="00067C1C" w:rsidRPr="00807837">
              <w:rPr>
                <w:rFonts w:ascii="Arial" w:hAnsi="Arial" w:cs="Arial"/>
                <w:sz w:val="20"/>
                <w:szCs w:val="20"/>
              </w:rPr>
              <w:t xml:space="preserve"> 562 348</w:t>
            </w:r>
          </w:p>
        </w:tc>
        <w:tc>
          <w:tcPr>
            <w:tcW w:w="992" w:type="dxa"/>
          </w:tcPr>
          <w:p w:rsidR="00557647" w:rsidRPr="00807837" w:rsidRDefault="00F41AA7" w:rsidP="00807837">
            <w:pPr>
              <w:rPr>
                <w:rFonts w:ascii="Arial" w:hAnsi="Arial" w:cs="Arial"/>
                <w:sz w:val="20"/>
                <w:szCs w:val="20"/>
              </w:rPr>
            </w:pPr>
            <w:r w:rsidRPr="00807837">
              <w:rPr>
                <w:rFonts w:ascii="Arial" w:hAnsi="Arial" w:cs="Arial"/>
                <w:sz w:val="20"/>
                <w:szCs w:val="20"/>
              </w:rPr>
              <w:t xml:space="preserve">    1 </w:t>
            </w:r>
            <w:r w:rsidR="00067C1C" w:rsidRPr="00807837">
              <w:rPr>
                <w:rFonts w:ascii="Arial" w:hAnsi="Arial" w:cs="Arial"/>
                <w:sz w:val="20"/>
                <w:szCs w:val="20"/>
              </w:rPr>
              <w:t>562 137</w:t>
            </w:r>
          </w:p>
        </w:tc>
        <w:tc>
          <w:tcPr>
            <w:tcW w:w="1134" w:type="dxa"/>
          </w:tcPr>
          <w:p w:rsidR="00557647" w:rsidRPr="00807837" w:rsidRDefault="00557647" w:rsidP="00807837">
            <w:pPr>
              <w:rPr>
                <w:rFonts w:ascii="Arial" w:hAnsi="Arial" w:cs="Arial"/>
                <w:sz w:val="20"/>
                <w:szCs w:val="20"/>
              </w:rPr>
            </w:pPr>
          </w:p>
        </w:tc>
        <w:tc>
          <w:tcPr>
            <w:tcW w:w="1417" w:type="dxa"/>
          </w:tcPr>
          <w:p w:rsidR="00557647" w:rsidRPr="00807837" w:rsidRDefault="00F41AA7" w:rsidP="00807837">
            <w:pPr>
              <w:rPr>
                <w:rFonts w:ascii="Arial" w:hAnsi="Arial" w:cs="Arial"/>
                <w:sz w:val="20"/>
                <w:szCs w:val="20"/>
              </w:rPr>
            </w:pPr>
            <w:r w:rsidRPr="00807837">
              <w:rPr>
                <w:rFonts w:ascii="Arial" w:hAnsi="Arial" w:cs="Arial"/>
                <w:sz w:val="20"/>
                <w:szCs w:val="20"/>
              </w:rPr>
              <w:t xml:space="preserve">         </w:t>
            </w:r>
            <w:r w:rsidR="00067C1C" w:rsidRPr="00807837">
              <w:rPr>
                <w:rFonts w:ascii="Arial" w:hAnsi="Arial" w:cs="Arial"/>
                <w:sz w:val="20"/>
                <w:szCs w:val="20"/>
              </w:rPr>
              <w:t>426 199</w:t>
            </w:r>
          </w:p>
        </w:tc>
      </w:tr>
    </w:tbl>
    <w:p w:rsidR="00067C1C" w:rsidRPr="00807837" w:rsidRDefault="000520B1" w:rsidP="00807837">
      <w:pPr>
        <w:spacing w:after="0" w:line="240" w:lineRule="auto"/>
        <w:rPr>
          <w:rFonts w:ascii="Arial" w:eastAsia="Calibri" w:hAnsi="Arial" w:cs="Arial"/>
          <w:sz w:val="20"/>
          <w:szCs w:val="20"/>
        </w:rPr>
      </w:pPr>
      <w:r w:rsidRPr="00807837">
        <w:rPr>
          <w:rFonts w:ascii="Arial" w:eastAsia="Calibri" w:hAnsi="Arial" w:cs="Arial"/>
          <w:b/>
          <w:sz w:val="20"/>
          <w:szCs w:val="20"/>
        </w:rPr>
        <w:t>Source:</w:t>
      </w:r>
      <w:r w:rsidRPr="00807837">
        <w:rPr>
          <w:rFonts w:ascii="Arial" w:eastAsia="Calibri" w:hAnsi="Arial" w:cs="Arial"/>
          <w:sz w:val="20"/>
          <w:szCs w:val="20"/>
        </w:rPr>
        <w:t xml:space="preserve"> </w:t>
      </w:r>
      <w:r w:rsidR="001C6F3F" w:rsidRPr="00807837">
        <w:rPr>
          <w:rFonts w:ascii="Arial" w:eastAsia="Calibri" w:hAnsi="Arial" w:cs="Arial"/>
          <w:sz w:val="20"/>
          <w:szCs w:val="20"/>
        </w:rPr>
        <w:t>Department of Tourism 2021/22 Annual Report</w:t>
      </w:r>
    </w:p>
    <w:p w:rsidR="00623FC2" w:rsidRPr="00807837" w:rsidRDefault="00067C1C" w:rsidP="00807837">
      <w:pPr>
        <w:spacing w:after="0" w:line="240" w:lineRule="auto"/>
        <w:rPr>
          <w:rFonts w:ascii="Arial" w:eastAsia="Calibri" w:hAnsi="Arial" w:cs="Arial"/>
          <w:sz w:val="20"/>
          <w:szCs w:val="20"/>
        </w:rPr>
      </w:pPr>
      <w:r w:rsidRPr="00807837">
        <w:rPr>
          <w:rFonts w:ascii="Arial" w:eastAsia="Calibri" w:hAnsi="Arial" w:cs="Arial"/>
          <w:sz w:val="20"/>
          <w:szCs w:val="20"/>
        </w:rPr>
        <w:t xml:space="preserve">The </w:t>
      </w:r>
      <w:r w:rsidR="000520B1" w:rsidRPr="00807837">
        <w:rPr>
          <w:rFonts w:ascii="Arial" w:eastAsia="Calibri" w:hAnsi="Arial" w:cs="Arial"/>
          <w:sz w:val="20"/>
          <w:szCs w:val="20"/>
        </w:rPr>
        <w:t xml:space="preserve">Department </w:t>
      </w:r>
      <w:r w:rsidRPr="00807837">
        <w:rPr>
          <w:rFonts w:ascii="Arial" w:eastAsia="Calibri" w:hAnsi="Arial" w:cs="Arial"/>
          <w:sz w:val="20"/>
          <w:szCs w:val="20"/>
        </w:rPr>
        <w:t xml:space="preserve">also transferred R258 million to the Tourism </w:t>
      </w:r>
      <w:r w:rsidR="004915D3" w:rsidRPr="00807837">
        <w:rPr>
          <w:rFonts w:ascii="Arial" w:eastAsia="Calibri" w:hAnsi="Arial" w:cs="Arial"/>
          <w:sz w:val="20"/>
          <w:szCs w:val="20"/>
        </w:rPr>
        <w:t>I</w:t>
      </w:r>
      <w:r w:rsidRPr="00807837">
        <w:rPr>
          <w:rFonts w:ascii="Arial" w:eastAsia="Calibri" w:hAnsi="Arial" w:cs="Arial"/>
          <w:sz w:val="20"/>
          <w:szCs w:val="20"/>
        </w:rPr>
        <w:t>ncentive Programme; R2.6 million to the United Nations World Tour</w:t>
      </w:r>
      <w:r w:rsidR="004915D3" w:rsidRPr="00807837">
        <w:rPr>
          <w:rFonts w:ascii="Arial" w:eastAsia="Calibri" w:hAnsi="Arial" w:cs="Arial"/>
          <w:sz w:val="20"/>
          <w:szCs w:val="20"/>
        </w:rPr>
        <w:t>ism Organisation (UNWTO); R431 000.00 to the Federated Hospitality Association of Southern Africa (FEDHASA); and R4.3 million to households, incorporating R1.4 million bursaries (non-employee); R2</w:t>
      </w:r>
      <w:r w:rsidR="00F41AA7" w:rsidRPr="00807837">
        <w:rPr>
          <w:rFonts w:ascii="Arial" w:eastAsia="Calibri" w:hAnsi="Arial" w:cs="Arial"/>
          <w:sz w:val="20"/>
          <w:szCs w:val="20"/>
        </w:rPr>
        <w:t>.9</w:t>
      </w:r>
      <w:r w:rsidR="004915D3" w:rsidRPr="00807837">
        <w:rPr>
          <w:rFonts w:ascii="Arial" w:eastAsia="Calibri" w:hAnsi="Arial" w:cs="Arial"/>
          <w:sz w:val="20"/>
          <w:szCs w:val="20"/>
        </w:rPr>
        <w:t xml:space="preserve"> Employee Social Benefits</w:t>
      </w:r>
      <w:r w:rsidR="000520B1" w:rsidRPr="00807837">
        <w:rPr>
          <w:rFonts w:ascii="Arial" w:eastAsia="Calibri" w:hAnsi="Arial" w:cs="Arial"/>
          <w:sz w:val="20"/>
          <w:szCs w:val="20"/>
        </w:rPr>
        <w:t>;</w:t>
      </w:r>
      <w:r w:rsidR="004915D3" w:rsidRPr="00807837">
        <w:rPr>
          <w:rFonts w:ascii="Arial" w:eastAsia="Calibri" w:hAnsi="Arial" w:cs="Arial"/>
          <w:sz w:val="20"/>
          <w:szCs w:val="20"/>
        </w:rPr>
        <w:t xml:space="preserve"> and R10 000.00 claim against the State (Cash).</w:t>
      </w:r>
    </w:p>
    <w:p w:rsidR="00623FC2" w:rsidRPr="00807837" w:rsidRDefault="00623FC2" w:rsidP="00807837">
      <w:pPr>
        <w:spacing w:after="0" w:line="240" w:lineRule="auto"/>
        <w:rPr>
          <w:rFonts w:ascii="Arial" w:eastAsia="Calibri" w:hAnsi="Arial" w:cs="Arial"/>
          <w:sz w:val="20"/>
          <w:szCs w:val="20"/>
        </w:rPr>
      </w:pPr>
    </w:p>
    <w:p w:rsidR="00555B57" w:rsidRPr="00807837" w:rsidRDefault="00555B57" w:rsidP="00807837">
      <w:pPr>
        <w:pStyle w:val="ListParagraph"/>
        <w:numPr>
          <w:ilvl w:val="1"/>
          <w:numId w:val="11"/>
        </w:numPr>
        <w:spacing w:after="0" w:line="240" w:lineRule="auto"/>
        <w:ind w:left="567" w:hanging="567"/>
        <w:rPr>
          <w:rFonts w:ascii="Arial" w:eastAsia="Calibri" w:hAnsi="Arial" w:cs="Arial"/>
          <w:b/>
          <w:sz w:val="20"/>
          <w:szCs w:val="20"/>
        </w:rPr>
      </w:pPr>
      <w:r w:rsidRPr="00807837">
        <w:rPr>
          <w:rFonts w:ascii="Arial" w:eastAsia="Calibri" w:hAnsi="Arial" w:cs="Arial"/>
          <w:b/>
          <w:sz w:val="20"/>
          <w:szCs w:val="20"/>
        </w:rPr>
        <w:t>Auditor-General Report</w:t>
      </w:r>
    </w:p>
    <w:p w:rsidR="0035590B" w:rsidRPr="00807837" w:rsidRDefault="0035590B" w:rsidP="00807837">
      <w:pPr>
        <w:spacing w:after="0" w:line="240" w:lineRule="auto"/>
        <w:rPr>
          <w:rFonts w:ascii="Arial" w:eastAsia="Calibri" w:hAnsi="Arial" w:cs="Arial"/>
          <w:sz w:val="20"/>
          <w:szCs w:val="20"/>
        </w:rPr>
      </w:pPr>
    </w:p>
    <w:p w:rsidR="004544BB" w:rsidRPr="00807837" w:rsidRDefault="004544BB" w:rsidP="00807837">
      <w:pPr>
        <w:spacing w:after="0" w:line="240" w:lineRule="auto"/>
        <w:rPr>
          <w:rFonts w:ascii="Arial" w:eastAsia="Calibri" w:hAnsi="Arial" w:cs="Arial"/>
          <w:sz w:val="20"/>
          <w:szCs w:val="20"/>
        </w:rPr>
      </w:pPr>
      <w:r w:rsidRPr="00807837">
        <w:rPr>
          <w:rFonts w:ascii="Arial" w:eastAsia="Calibri" w:hAnsi="Arial" w:cs="Arial"/>
          <w:sz w:val="20"/>
          <w:szCs w:val="20"/>
        </w:rPr>
        <w:t>The report of the Auditor-General is presented for both the Department and SA Tourism.</w:t>
      </w:r>
    </w:p>
    <w:p w:rsidR="00F41AA7" w:rsidRPr="00807837" w:rsidRDefault="00F41AA7" w:rsidP="00807837">
      <w:pPr>
        <w:spacing w:after="0" w:line="240" w:lineRule="auto"/>
        <w:rPr>
          <w:rFonts w:ascii="Arial" w:eastAsia="Calibri" w:hAnsi="Arial" w:cs="Arial"/>
          <w:b/>
          <w:sz w:val="20"/>
          <w:szCs w:val="20"/>
        </w:rPr>
      </w:pPr>
    </w:p>
    <w:p w:rsidR="004544BB" w:rsidRPr="00807837" w:rsidRDefault="00162492" w:rsidP="00807837">
      <w:pPr>
        <w:spacing w:after="0" w:line="240" w:lineRule="auto"/>
        <w:rPr>
          <w:rFonts w:ascii="Arial" w:eastAsia="Calibri" w:hAnsi="Arial" w:cs="Arial"/>
          <w:b/>
          <w:sz w:val="20"/>
          <w:szCs w:val="20"/>
        </w:rPr>
      </w:pPr>
      <w:r w:rsidRPr="00807837">
        <w:rPr>
          <w:rFonts w:ascii="Arial" w:eastAsia="Calibri" w:hAnsi="Arial" w:cs="Arial"/>
          <w:b/>
          <w:sz w:val="20"/>
          <w:szCs w:val="20"/>
        </w:rPr>
        <w:t>5.3.1</w:t>
      </w:r>
      <w:r w:rsidRPr="00807837">
        <w:rPr>
          <w:rFonts w:ascii="Arial" w:eastAsia="Calibri" w:hAnsi="Arial" w:cs="Arial"/>
          <w:b/>
          <w:sz w:val="20"/>
          <w:szCs w:val="20"/>
        </w:rPr>
        <w:tab/>
      </w:r>
      <w:r w:rsidR="004544BB" w:rsidRPr="00807837">
        <w:rPr>
          <w:rFonts w:ascii="Arial" w:eastAsia="Calibri" w:hAnsi="Arial" w:cs="Arial"/>
          <w:b/>
          <w:sz w:val="20"/>
          <w:szCs w:val="20"/>
        </w:rPr>
        <w:t>Auditor-General’s Report with regard to the Department of Tourism</w:t>
      </w:r>
    </w:p>
    <w:p w:rsidR="004544BB" w:rsidRPr="00807837" w:rsidRDefault="004544BB" w:rsidP="00807837">
      <w:pPr>
        <w:spacing w:after="0" w:line="240" w:lineRule="auto"/>
        <w:rPr>
          <w:rFonts w:ascii="Arial" w:eastAsia="Calibri" w:hAnsi="Arial" w:cs="Arial"/>
          <w:sz w:val="20"/>
          <w:szCs w:val="20"/>
        </w:rPr>
      </w:pPr>
    </w:p>
    <w:p w:rsidR="00E31750" w:rsidRPr="00807837" w:rsidRDefault="00E31750" w:rsidP="00807837">
      <w:pPr>
        <w:spacing w:after="0" w:line="240" w:lineRule="auto"/>
        <w:rPr>
          <w:rFonts w:ascii="Arial" w:eastAsia="Calibri" w:hAnsi="Arial" w:cs="Arial"/>
          <w:b/>
          <w:sz w:val="20"/>
          <w:szCs w:val="20"/>
        </w:rPr>
      </w:pPr>
      <w:r w:rsidRPr="00807837">
        <w:rPr>
          <w:rFonts w:ascii="Arial" w:eastAsia="Calibri" w:hAnsi="Arial" w:cs="Arial"/>
          <w:b/>
          <w:sz w:val="20"/>
          <w:szCs w:val="20"/>
        </w:rPr>
        <w:t>Opinion</w:t>
      </w:r>
    </w:p>
    <w:p w:rsidR="00E31750" w:rsidRPr="00807837" w:rsidRDefault="00E31750" w:rsidP="00807837">
      <w:pPr>
        <w:spacing w:after="0" w:line="240" w:lineRule="auto"/>
        <w:rPr>
          <w:rFonts w:ascii="Arial" w:eastAsia="Calibri" w:hAnsi="Arial" w:cs="Arial"/>
          <w:sz w:val="20"/>
          <w:szCs w:val="20"/>
        </w:rPr>
      </w:pPr>
    </w:p>
    <w:p w:rsidR="001560BF" w:rsidRPr="00807837" w:rsidRDefault="001560BF" w:rsidP="00807837">
      <w:pPr>
        <w:spacing w:after="0" w:line="240" w:lineRule="auto"/>
        <w:rPr>
          <w:rFonts w:ascii="Arial" w:eastAsia="Calibri" w:hAnsi="Arial" w:cs="Arial"/>
          <w:sz w:val="20"/>
          <w:szCs w:val="20"/>
        </w:rPr>
      </w:pPr>
      <w:r w:rsidRPr="00807837">
        <w:rPr>
          <w:rFonts w:ascii="Arial" w:eastAsia="Calibri" w:hAnsi="Arial" w:cs="Arial"/>
          <w:sz w:val="20"/>
          <w:szCs w:val="20"/>
        </w:rPr>
        <w:t>The Department received a financially unqualified opinion with findings on compliance with key legislation. The opinion was unchanged from the previous financial year.</w:t>
      </w:r>
    </w:p>
    <w:p w:rsidR="00E31750" w:rsidRPr="00807837" w:rsidRDefault="00E31750" w:rsidP="00807837">
      <w:pPr>
        <w:spacing w:after="0" w:line="240" w:lineRule="auto"/>
        <w:ind w:left="720"/>
        <w:rPr>
          <w:rFonts w:ascii="Arial" w:eastAsia="Calibri" w:hAnsi="Arial" w:cs="Arial"/>
          <w:sz w:val="20"/>
          <w:szCs w:val="20"/>
        </w:rPr>
      </w:pPr>
    </w:p>
    <w:p w:rsidR="00E31750" w:rsidRPr="00807837" w:rsidRDefault="00E31750" w:rsidP="00807837">
      <w:pPr>
        <w:pStyle w:val="ListParagraph"/>
        <w:numPr>
          <w:ilvl w:val="0"/>
          <w:numId w:val="31"/>
        </w:numPr>
        <w:spacing w:after="0" w:line="240" w:lineRule="auto"/>
        <w:rPr>
          <w:rFonts w:ascii="Arial" w:eastAsia="Calibri" w:hAnsi="Arial" w:cs="Arial"/>
          <w:sz w:val="20"/>
          <w:szCs w:val="20"/>
        </w:rPr>
      </w:pPr>
      <w:r w:rsidRPr="00807837">
        <w:rPr>
          <w:rFonts w:ascii="Arial" w:eastAsia="Calibri" w:hAnsi="Arial" w:cs="Arial"/>
          <w:sz w:val="20"/>
          <w:szCs w:val="20"/>
        </w:rPr>
        <w:t xml:space="preserve">I have audited the financial statements of the National Department of Tourism set out on pages 102 to 145, which comprise the appropriation statement, statement of financial position as at 31 March 2022, the statement of financial performance, statement of changes in net assets and cash flow statement for the year then ended, as well as notes to the financial statements, including a summary of significant accounting policies. </w:t>
      </w:r>
    </w:p>
    <w:p w:rsidR="00E31750" w:rsidRPr="00807837" w:rsidRDefault="00E31750" w:rsidP="00807837">
      <w:pPr>
        <w:pStyle w:val="ListParagraph"/>
        <w:spacing w:after="0" w:line="240" w:lineRule="auto"/>
        <w:ind w:left="776"/>
        <w:rPr>
          <w:rFonts w:ascii="Arial" w:eastAsia="Calibri" w:hAnsi="Arial" w:cs="Arial"/>
          <w:sz w:val="20"/>
          <w:szCs w:val="20"/>
        </w:rPr>
      </w:pPr>
    </w:p>
    <w:p w:rsidR="00E31750" w:rsidRPr="00807837" w:rsidRDefault="00E31750" w:rsidP="00807837">
      <w:pPr>
        <w:pStyle w:val="ListParagraph"/>
        <w:numPr>
          <w:ilvl w:val="0"/>
          <w:numId w:val="31"/>
        </w:numPr>
        <w:spacing w:after="0" w:line="240" w:lineRule="auto"/>
        <w:rPr>
          <w:rFonts w:ascii="Arial" w:eastAsia="Calibri" w:hAnsi="Arial" w:cs="Arial"/>
          <w:sz w:val="20"/>
          <w:szCs w:val="20"/>
        </w:rPr>
      </w:pPr>
      <w:r w:rsidRPr="00807837">
        <w:rPr>
          <w:rFonts w:ascii="Arial" w:eastAsia="Calibri" w:hAnsi="Arial" w:cs="Arial"/>
          <w:sz w:val="20"/>
          <w:szCs w:val="20"/>
        </w:rPr>
        <w:t xml:space="preserve">In my opinion, the financial statements present fairly, in all material respects, the financial position of the National Department of Tourism as at 31 March 2022, and its financial performance and cash flows for the year then ended in accordance with the Modified Cash Standard (MCS) and the requirements of the Public Finance Management Act 1 of 1999 (PFMA) and the Division of Revenue Act of South Africa, 2021 (Act No.9 of 2021) (Dora). </w:t>
      </w:r>
    </w:p>
    <w:p w:rsidR="00E31750" w:rsidRPr="00807837" w:rsidRDefault="00E31750" w:rsidP="00807837">
      <w:pPr>
        <w:pStyle w:val="ListParagraph"/>
        <w:spacing w:after="0" w:line="240" w:lineRule="auto"/>
        <w:rPr>
          <w:rFonts w:ascii="Arial" w:eastAsia="Calibri" w:hAnsi="Arial" w:cs="Arial"/>
          <w:sz w:val="20"/>
          <w:szCs w:val="20"/>
        </w:rPr>
      </w:pPr>
    </w:p>
    <w:p w:rsidR="00E31750" w:rsidRPr="00807837" w:rsidRDefault="00E31750" w:rsidP="00807837">
      <w:pPr>
        <w:spacing w:after="0" w:line="240" w:lineRule="auto"/>
        <w:rPr>
          <w:rFonts w:ascii="Arial" w:eastAsia="Calibri" w:hAnsi="Arial" w:cs="Arial"/>
          <w:b/>
          <w:sz w:val="20"/>
          <w:szCs w:val="20"/>
        </w:rPr>
      </w:pPr>
      <w:r w:rsidRPr="00807837">
        <w:rPr>
          <w:rFonts w:ascii="Arial" w:eastAsia="Calibri" w:hAnsi="Arial" w:cs="Arial"/>
          <w:b/>
          <w:sz w:val="20"/>
          <w:szCs w:val="20"/>
        </w:rPr>
        <w:t xml:space="preserve">Basis for opinion </w:t>
      </w:r>
    </w:p>
    <w:p w:rsidR="00E31750" w:rsidRPr="00807837" w:rsidRDefault="00E31750" w:rsidP="00807837">
      <w:pPr>
        <w:pStyle w:val="ListParagraph"/>
        <w:numPr>
          <w:ilvl w:val="0"/>
          <w:numId w:val="32"/>
        </w:numPr>
        <w:spacing w:after="0" w:line="240" w:lineRule="auto"/>
        <w:rPr>
          <w:rFonts w:ascii="Arial" w:eastAsia="Calibri" w:hAnsi="Arial" w:cs="Arial"/>
          <w:sz w:val="20"/>
          <w:szCs w:val="20"/>
        </w:rPr>
      </w:pPr>
      <w:r w:rsidRPr="00807837">
        <w:rPr>
          <w:rFonts w:ascii="Arial" w:eastAsia="Calibri" w:hAnsi="Arial" w:cs="Arial"/>
          <w:sz w:val="20"/>
          <w:szCs w:val="20"/>
        </w:rPr>
        <w:t xml:space="preserve">I conducted my audit in accordance with the International Standards on Auditing (ISAs). My responsibilities under those standards are further described in the Auditor-General’s responsibilities for the audit of the financial statements section of my report. </w:t>
      </w:r>
    </w:p>
    <w:p w:rsidR="001560BF" w:rsidRPr="00807837" w:rsidRDefault="00E31750" w:rsidP="00807837">
      <w:pPr>
        <w:pStyle w:val="ListParagraph"/>
        <w:numPr>
          <w:ilvl w:val="0"/>
          <w:numId w:val="32"/>
        </w:numPr>
        <w:spacing w:after="0" w:line="240" w:lineRule="auto"/>
        <w:rPr>
          <w:rFonts w:ascii="Arial" w:eastAsia="Calibri" w:hAnsi="Arial" w:cs="Arial"/>
          <w:sz w:val="20"/>
          <w:szCs w:val="20"/>
        </w:rPr>
      </w:pPr>
      <w:r w:rsidRPr="00807837">
        <w:rPr>
          <w:rFonts w:ascii="Arial" w:eastAsia="Calibri" w:hAnsi="Arial" w:cs="Arial"/>
          <w:sz w:val="20"/>
          <w:szCs w:val="20"/>
        </w:rPr>
        <w:t>I am independent of the department in accordance with the International Ethics Standards Board for Accountants’ International code of ethics for professional accountants (including International Independence Standards) (IESBA code) as well as other ethical requirements that are relevant to my audit in South Africa. I have fulfilled my other ethical responsibilities in accordance with these requirements and the IESBA code.</w:t>
      </w:r>
    </w:p>
    <w:p w:rsidR="00D8352D" w:rsidRPr="00807837" w:rsidRDefault="00D8352D" w:rsidP="00807837">
      <w:pPr>
        <w:pStyle w:val="ListParagraph"/>
        <w:spacing w:after="0" w:line="240" w:lineRule="auto"/>
        <w:rPr>
          <w:rFonts w:ascii="Arial" w:eastAsia="Calibri" w:hAnsi="Arial" w:cs="Arial"/>
          <w:sz w:val="20"/>
          <w:szCs w:val="20"/>
        </w:rPr>
      </w:pPr>
    </w:p>
    <w:p w:rsidR="00D8352D" w:rsidRPr="00807837" w:rsidRDefault="00D8352D" w:rsidP="00807837">
      <w:pPr>
        <w:pStyle w:val="ListParagraph"/>
        <w:numPr>
          <w:ilvl w:val="0"/>
          <w:numId w:val="32"/>
        </w:numPr>
        <w:spacing w:after="0" w:line="240" w:lineRule="auto"/>
        <w:rPr>
          <w:rFonts w:ascii="Arial" w:eastAsia="Calibri" w:hAnsi="Arial" w:cs="Arial"/>
          <w:sz w:val="20"/>
          <w:szCs w:val="20"/>
        </w:rPr>
      </w:pPr>
      <w:r w:rsidRPr="00807837">
        <w:rPr>
          <w:rFonts w:ascii="Arial" w:eastAsia="Calibri" w:hAnsi="Arial" w:cs="Arial"/>
          <w:sz w:val="20"/>
          <w:szCs w:val="20"/>
        </w:rPr>
        <w:t xml:space="preserve">I believe that the audit evidence I have obtained is sufficient and appropriate to provide a basis for my opinion. </w:t>
      </w:r>
    </w:p>
    <w:p w:rsidR="00D8352D" w:rsidRPr="00807837" w:rsidRDefault="00D8352D" w:rsidP="00807837">
      <w:pPr>
        <w:pStyle w:val="ListParagraph"/>
        <w:spacing w:after="0" w:line="240" w:lineRule="auto"/>
        <w:rPr>
          <w:rFonts w:ascii="Arial" w:eastAsia="Calibri" w:hAnsi="Arial" w:cs="Arial"/>
          <w:sz w:val="20"/>
          <w:szCs w:val="20"/>
        </w:rPr>
      </w:pPr>
    </w:p>
    <w:p w:rsidR="00D8352D" w:rsidRPr="00807837" w:rsidRDefault="00D8352D" w:rsidP="00807837">
      <w:pPr>
        <w:spacing w:after="0" w:line="240" w:lineRule="auto"/>
        <w:rPr>
          <w:rFonts w:ascii="Arial" w:eastAsia="Calibri" w:hAnsi="Arial" w:cs="Arial"/>
          <w:b/>
          <w:sz w:val="20"/>
          <w:szCs w:val="20"/>
        </w:rPr>
      </w:pPr>
      <w:r w:rsidRPr="00807837">
        <w:rPr>
          <w:rFonts w:ascii="Arial" w:eastAsia="Calibri" w:hAnsi="Arial" w:cs="Arial"/>
          <w:b/>
          <w:sz w:val="20"/>
          <w:szCs w:val="20"/>
        </w:rPr>
        <w:t>Emphasis of matter</w:t>
      </w:r>
    </w:p>
    <w:p w:rsidR="00D8352D" w:rsidRPr="00807837" w:rsidRDefault="00D8352D" w:rsidP="00807837">
      <w:pPr>
        <w:pStyle w:val="ListParagraph"/>
        <w:spacing w:after="0" w:line="240" w:lineRule="auto"/>
        <w:rPr>
          <w:rFonts w:ascii="Arial" w:eastAsia="Calibri" w:hAnsi="Arial" w:cs="Arial"/>
          <w:sz w:val="20"/>
          <w:szCs w:val="20"/>
        </w:rPr>
      </w:pPr>
    </w:p>
    <w:p w:rsidR="00D8352D" w:rsidRPr="00807837" w:rsidRDefault="00D8352D" w:rsidP="00807837">
      <w:pPr>
        <w:pStyle w:val="ListParagraph"/>
        <w:numPr>
          <w:ilvl w:val="0"/>
          <w:numId w:val="32"/>
        </w:numPr>
        <w:spacing w:after="0" w:line="240" w:lineRule="auto"/>
        <w:rPr>
          <w:rFonts w:ascii="Arial" w:eastAsia="Calibri" w:hAnsi="Arial" w:cs="Arial"/>
          <w:sz w:val="20"/>
          <w:szCs w:val="20"/>
        </w:rPr>
      </w:pPr>
      <w:r w:rsidRPr="00807837">
        <w:rPr>
          <w:rFonts w:ascii="Arial" w:eastAsia="Calibri" w:hAnsi="Arial" w:cs="Arial"/>
          <w:sz w:val="20"/>
          <w:szCs w:val="20"/>
        </w:rPr>
        <w:t xml:space="preserve">I draw attention to the matter below. My opinion is not modified in respect of this matter. </w:t>
      </w:r>
    </w:p>
    <w:p w:rsidR="00D8352D" w:rsidRPr="00807837" w:rsidRDefault="00D8352D" w:rsidP="00807837">
      <w:pPr>
        <w:pStyle w:val="ListParagraph"/>
        <w:spacing w:after="0" w:line="240" w:lineRule="auto"/>
        <w:rPr>
          <w:rFonts w:ascii="Arial" w:eastAsia="Calibri" w:hAnsi="Arial" w:cs="Arial"/>
          <w:sz w:val="20"/>
          <w:szCs w:val="20"/>
        </w:rPr>
      </w:pPr>
    </w:p>
    <w:p w:rsidR="00D8352D" w:rsidRPr="00807837" w:rsidRDefault="00D8352D" w:rsidP="00807837">
      <w:pPr>
        <w:spacing w:after="0" w:line="240" w:lineRule="auto"/>
        <w:rPr>
          <w:rFonts w:ascii="Arial" w:eastAsia="Calibri" w:hAnsi="Arial" w:cs="Arial"/>
          <w:b/>
          <w:sz w:val="20"/>
          <w:szCs w:val="20"/>
        </w:rPr>
      </w:pPr>
      <w:r w:rsidRPr="00807837">
        <w:rPr>
          <w:rFonts w:ascii="Arial" w:eastAsia="Calibri" w:hAnsi="Arial" w:cs="Arial"/>
          <w:b/>
          <w:sz w:val="20"/>
          <w:szCs w:val="20"/>
        </w:rPr>
        <w:t>Restatement of corresponding figures</w:t>
      </w:r>
    </w:p>
    <w:p w:rsidR="00D8352D" w:rsidRPr="00807837" w:rsidRDefault="00D8352D" w:rsidP="00807837">
      <w:pPr>
        <w:spacing w:after="0" w:line="240" w:lineRule="auto"/>
        <w:rPr>
          <w:rFonts w:ascii="Arial" w:eastAsia="Calibri" w:hAnsi="Arial" w:cs="Arial"/>
          <w:sz w:val="20"/>
          <w:szCs w:val="20"/>
        </w:rPr>
      </w:pPr>
    </w:p>
    <w:p w:rsidR="00E11963" w:rsidRPr="00807837" w:rsidRDefault="00D8352D" w:rsidP="00807837">
      <w:pPr>
        <w:pStyle w:val="ListParagraph"/>
        <w:numPr>
          <w:ilvl w:val="0"/>
          <w:numId w:val="32"/>
        </w:numPr>
        <w:spacing w:after="0" w:line="240" w:lineRule="auto"/>
        <w:rPr>
          <w:rFonts w:ascii="Arial" w:eastAsia="Calibri" w:hAnsi="Arial" w:cs="Arial"/>
          <w:sz w:val="20"/>
          <w:szCs w:val="20"/>
        </w:rPr>
      </w:pPr>
      <w:r w:rsidRPr="00807837">
        <w:rPr>
          <w:rFonts w:ascii="Arial" w:eastAsia="Calibri" w:hAnsi="Arial" w:cs="Arial"/>
          <w:sz w:val="20"/>
          <w:szCs w:val="20"/>
        </w:rPr>
        <w:lastRenderedPageBreak/>
        <w:t xml:space="preserve">As disclosed in note 31 to the financial statements, the corresponding figures for 31 March 2021 have been restated as a result of an error in the financial statements of the department at, and for the year ended, 31 March 2022. </w:t>
      </w:r>
    </w:p>
    <w:p w:rsidR="00E33DD2" w:rsidRPr="00807837" w:rsidRDefault="00E33DD2" w:rsidP="00807837">
      <w:pPr>
        <w:pStyle w:val="ListParagraph"/>
        <w:spacing w:after="0" w:line="240" w:lineRule="auto"/>
        <w:rPr>
          <w:rFonts w:ascii="Arial" w:eastAsia="Calibri" w:hAnsi="Arial" w:cs="Arial"/>
          <w:sz w:val="20"/>
          <w:szCs w:val="20"/>
        </w:rPr>
      </w:pPr>
    </w:p>
    <w:p w:rsidR="001560BF" w:rsidRPr="00807837" w:rsidRDefault="00D8352D" w:rsidP="00807837">
      <w:pPr>
        <w:spacing w:after="0" w:line="240" w:lineRule="auto"/>
        <w:rPr>
          <w:rFonts w:ascii="Arial" w:eastAsia="Calibri" w:hAnsi="Arial" w:cs="Arial"/>
          <w:b/>
          <w:sz w:val="20"/>
          <w:szCs w:val="20"/>
        </w:rPr>
      </w:pPr>
      <w:r w:rsidRPr="00807837">
        <w:rPr>
          <w:rFonts w:ascii="Arial" w:eastAsia="Calibri" w:hAnsi="Arial" w:cs="Arial"/>
          <w:b/>
          <w:sz w:val="20"/>
          <w:szCs w:val="20"/>
        </w:rPr>
        <w:t>Usefulness and reliability of the reported performance information</w:t>
      </w:r>
    </w:p>
    <w:p w:rsidR="00D8352D" w:rsidRPr="00807837" w:rsidRDefault="00D8352D" w:rsidP="00807837">
      <w:pPr>
        <w:spacing w:after="0" w:line="240" w:lineRule="auto"/>
        <w:rPr>
          <w:rFonts w:ascii="Arial" w:eastAsia="Calibri" w:hAnsi="Arial" w:cs="Arial"/>
          <w:sz w:val="20"/>
          <w:szCs w:val="20"/>
        </w:rPr>
      </w:pPr>
    </w:p>
    <w:p w:rsidR="00D8352D" w:rsidRPr="00807837" w:rsidRDefault="00D8352D" w:rsidP="00807837">
      <w:pPr>
        <w:pStyle w:val="ListParagraph"/>
        <w:numPr>
          <w:ilvl w:val="0"/>
          <w:numId w:val="32"/>
        </w:numPr>
        <w:spacing w:after="0" w:line="240" w:lineRule="auto"/>
        <w:rPr>
          <w:rFonts w:ascii="Arial" w:eastAsia="Calibri" w:hAnsi="Arial" w:cs="Arial"/>
          <w:sz w:val="20"/>
          <w:szCs w:val="20"/>
        </w:rPr>
      </w:pPr>
      <w:r w:rsidRPr="00807837">
        <w:rPr>
          <w:rFonts w:ascii="Arial" w:eastAsia="Calibri" w:hAnsi="Arial" w:cs="Arial"/>
          <w:sz w:val="20"/>
          <w:szCs w:val="20"/>
        </w:rPr>
        <w:t xml:space="preserve">I performed procedures to determine whether the reported performance information was properly presented and whether </w:t>
      </w:r>
      <w:r w:rsidR="004659D9" w:rsidRPr="00807837">
        <w:rPr>
          <w:rFonts w:ascii="Arial" w:eastAsia="Calibri" w:hAnsi="Arial" w:cs="Arial"/>
          <w:sz w:val="20"/>
          <w:szCs w:val="20"/>
        </w:rPr>
        <w:t>performance was</w:t>
      </w:r>
      <w:r w:rsidRPr="00807837">
        <w:rPr>
          <w:rFonts w:ascii="Arial" w:eastAsia="Calibri" w:hAnsi="Arial" w:cs="Arial"/>
          <w:sz w:val="20"/>
          <w:szCs w:val="20"/>
        </w:rPr>
        <w:t xml:space="preserve"> consistent with the approved performance planning documents. I performed further procedures to determine whether the indicators and related targets were measurable and relevant, and assessed the reliability of the reported performance information to determine whether it was valid, accurate and complete. </w:t>
      </w:r>
    </w:p>
    <w:p w:rsidR="00D8352D" w:rsidRPr="00807837" w:rsidRDefault="00D8352D" w:rsidP="00807837">
      <w:pPr>
        <w:pStyle w:val="ListParagraph"/>
        <w:spacing w:after="0" w:line="240" w:lineRule="auto"/>
        <w:rPr>
          <w:rFonts w:ascii="Arial" w:eastAsia="Calibri" w:hAnsi="Arial" w:cs="Arial"/>
          <w:sz w:val="20"/>
          <w:szCs w:val="20"/>
        </w:rPr>
      </w:pPr>
    </w:p>
    <w:p w:rsidR="00D8352D" w:rsidRPr="00807837" w:rsidRDefault="00D8352D" w:rsidP="00807837">
      <w:pPr>
        <w:pStyle w:val="ListParagraph"/>
        <w:numPr>
          <w:ilvl w:val="0"/>
          <w:numId w:val="32"/>
        </w:numPr>
        <w:spacing w:after="0" w:line="240" w:lineRule="auto"/>
        <w:rPr>
          <w:rFonts w:ascii="Arial" w:eastAsia="Calibri" w:hAnsi="Arial" w:cs="Arial"/>
          <w:sz w:val="20"/>
          <w:szCs w:val="20"/>
        </w:rPr>
      </w:pPr>
      <w:r w:rsidRPr="00807837">
        <w:rPr>
          <w:rFonts w:ascii="Arial" w:eastAsia="Calibri" w:hAnsi="Arial" w:cs="Arial"/>
          <w:sz w:val="20"/>
          <w:szCs w:val="20"/>
        </w:rPr>
        <w:t>I did not identify any material findings on the usefulness and reliability of the reported performance information for Programme 4: Tourism Sector Support Service.</w:t>
      </w:r>
    </w:p>
    <w:p w:rsidR="00D128D8" w:rsidRPr="00807837" w:rsidRDefault="00D128D8" w:rsidP="00807837">
      <w:pPr>
        <w:pStyle w:val="ListParagraph"/>
        <w:spacing w:after="0" w:line="240" w:lineRule="auto"/>
        <w:rPr>
          <w:rFonts w:ascii="Arial" w:eastAsia="Calibri" w:hAnsi="Arial" w:cs="Arial"/>
          <w:sz w:val="20"/>
          <w:szCs w:val="20"/>
        </w:rPr>
      </w:pPr>
    </w:p>
    <w:p w:rsidR="00D8352D" w:rsidRPr="00807837" w:rsidRDefault="00D8352D" w:rsidP="00807837">
      <w:pPr>
        <w:spacing w:after="0" w:line="240" w:lineRule="auto"/>
        <w:rPr>
          <w:rFonts w:ascii="Arial" w:eastAsia="Calibri" w:hAnsi="Arial" w:cs="Arial"/>
          <w:b/>
          <w:sz w:val="20"/>
          <w:szCs w:val="20"/>
        </w:rPr>
      </w:pPr>
      <w:r w:rsidRPr="00807837">
        <w:rPr>
          <w:rFonts w:ascii="Arial" w:eastAsia="Calibri" w:hAnsi="Arial" w:cs="Arial"/>
          <w:b/>
          <w:sz w:val="20"/>
          <w:szCs w:val="20"/>
        </w:rPr>
        <w:t>Annual financial statements</w:t>
      </w:r>
    </w:p>
    <w:p w:rsidR="00D8352D" w:rsidRPr="00807837" w:rsidRDefault="00D8352D" w:rsidP="00807837">
      <w:pPr>
        <w:spacing w:after="0" w:line="240" w:lineRule="auto"/>
        <w:rPr>
          <w:rFonts w:ascii="Arial" w:eastAsia="Calibri" w:hAnsi="Arial" w:cs="Arial"/>
          <w:sz w:val="20"/>
          <w:szCs w:val="20"/>
        </w:rPr>
      </w:pPr>
    </w:p>
    <w:p w:rsidR="00447AC6" w:rsidRPr="00807837" w:rsidRDefault="007B5065" w:rsidP="00807837">
      <w:pPr>
        <w:spacing w:after="0" w:line="240" w:lineRule="auto"/>
        <w:ind w:left="720" w:hanging="294"/>
        <w:rPr>
          <w:rFonts w:ascii="Arial" w:eastAsia="Calibri" w:hAnsi="Arial" w:cs="Arial"/>
          <w:sz w:val="20"/>
          <w:szCs w:val="20"/>
        </w:rPr>
      </w:pPr>
      <w:r w:rsidRPr="00807837">
        <w:rPr>
          <w:rFonts w:ascii="Arial" w:eastAsia="Calibri" w:hAnsi="Arial" w:cs="Arial"/>
          <w:sz w:val="20"/>
          <w:szCs w:val="20"/>
        </w:rPr>
        <w:t>•</w:t>
      </w:r>
      <w:r w:rsidRPr="00807837">
        <w:rPr>
          <w:rFonts w:ascii="Arial" w:eastAsia="Calibri" w:hAnsi="Arial" w:cs="Arial"/>
          <w:sz w:val="20"/>
          <w:szCs w:val="20"/>
        </w:rPr>
        <w:tab/>
      </w:r>
      <w:r w:rsidR="00D8352D" w:rsidRPr="00807837">
        <w:rPr>
          <w:rFonts w:ascii="Arial" w:eastAsia="Calibri" w:hAnsi="Arial" w:cs="Arial"/>
          <w:sz w:val="20"/>
          <w:szCs w:val="20"/>
        </w:rPr>
        <w:t>The financial statements submitted for auditing were not fully prepared in accordance with the prescribed financial reporting framework by section 40(1) (b) of the PFMA. Material misstatements of disclosure items identified by the auditors in the submitted financial statements were corrected, resulting in the financial statements receiving an unqualified opinion.</w:t>
      </w:r>
    </w:p>
    <w:p w:rsidR="00D8352D" w:rsidRPr="00807837" w:rsidRDefault="00D8352D" w:rsidP="00807837">
      <w:pPr>
        <w:spacing w:after="0" w:line="240" w:lineRule="auto"/>
        <w:ind w:left="720" w:hanging="294"/>
        <w:rPr>
          <w:rFonts w:ascii="Arial" w:hAnsi="Arial" w:cs="Arial"/>
          <w:sz w:val="20"/>
          <w:szCs w:val="20"/>
        </w:rPr>
      </w:pPr>
    </w:p>
    <w:p w:rsidR="00D8352D" w:rsidRPr="00807837" w:rsidRDefault="00D8352D" w:rsidP="00807837">
      <w:pPr>
        <w:spacing w:after="0" w:line="240" w:lineRule="auto"/>
        <w:rPr>
          <w:rFonts w:ascii="Arial" w:eastAsia="Calibri" w:hAnsi="Arial" w:cs="Arial"/>
          <w:b/>
          <w:sz w:val="20"/>
          <w:szCs w:val="20"/>
        </w:rPr>
      </w:pPr>
      <w:r w:rsidRPr="00807837">
        <w:rPr>
          <w:rFonts w:ascii="Arial" w:eastAsia="Calibri" w:hAnsi="Arial" w:cs="Arial"/>
          <w:b/>
          <w:sz w:val="20"/>
          <w:szCs w:val="20"/>
        </w:rPr>
        <w:t>Other information</w:t>
      </w:r>
    </w:p>
    <w:p w:rsidR="00D8352D" w:rsidRPr="00807837" w:rsidRDefault="00D8352D" w:rsidP="00807837">
      <w:pPr>
        <w:spacing w:after="0" w:line="240" w:lineRule="auto"/>
        <w:rPr>
          <w:rFonts w:ascii="Arial" w:eastAsia="Calibri" w:hAnsi="Arial" w:cs="Arial"/>
          <w:sz w:val="20"/>
          <w:szCs w:val="20"/>
        </w:rPr>
      </w:pPr>
    </w:p>
    <w:p w:rsidR="004B4750" w:rsidRPr="00807837" w:rsidRDefault="00D8352D" w:rsidP="00807837">
      <w:pPr>
        <w:pStyle w:val="ListParagraph"/>
        <w:numPr>
          <w:ilvl w:val="0"/>
          <w:numId w:val="33"/>
        </w:numPr>
        <w:spacing w:after="0" w:line="240" w:lineRule="auto"/>
        <w:rPr>
          <w:rFonts w:ascii="Arial" w:eastAsia="Calibri" w:hAnsi="Arial" w:cs="Arial"/>
          <w:sz w:val="20"/>
          <w:szCs w:val="20"/>
        </w:rPr>
      </w:pPr>
      <w:r w:rsidRPr="00807837">
        <w:rPr>
          <w:rFonts w:ascii="Arial" w:eastAsia="Calibri" w:hAnsi="Arial" w:cs="Arial"/>
          <w:sz w:val="20"/>
          <w:szCs w:val="20"/>
        </w:rPr>
        <w:t xml:space="preserve">The accounting officer is responsible for the other information. The other information comprises the information included in the annual report, which includes the audit committee’s report. The other information does not include the financial statements, the auditor’s report and those selected programmes presented in the annual performance report that have been specifically reported in this auditor’s report. </w:t>
      </w:r>
    </w:p>
    <w:p w:rsidR="004B4750" w:rsidRPr="00807837" w:rsidRDefault="004B4750" w:rsidP="00807837">
      <w:pPr>
        <w:spacing w:after="0" w:line="240" w:lineRule="auto"/>
        <w:ind w:left="416"/>
        <w:rPr>
          <w:rFonts w:ascii="Arial" w:eastAsia="Calibri" w:hAnsi="Arial" w:cs="Arial"/>
          <w:sz w:val="20"/>
          <w:szCs w:val="20"/>
        </w:rPr>
      </w:pPr>
    </w:p>
    <w:p w:rsidR="004B4750" w:rsidRPr="00807837" w:rsidRDefault="00D8352D" w:rsidP="00807837">
      <w:pPr>
        <w:pStyle w:val="ListParagraph"/>
        <w:numPr>
          <w:ilvl w:val="0"/>
          <w:numId w:val="33"/>
        </w:numPr>
        <w:spacing w:after="0" w:line="240" w:lineRule="auto"/>
        <w:rPr>
          <w:rFonts w:ascii="Arial" w:eastAsia="Calibri" w:hAnsi="Arial" w:cs="Arial"/>
          <w:sz w:val="20"/>
          <w:szCs w:val="20"/>
        </w:rPr>
      </w:pPr>
      <w:r w:rsidRPr="00807837">
        <w:rPr>
          <w:rFonts w:ascii="Arial" w:eastAsia="Calibri" w:hAnsi="Arial" w:cs="Arial"/>
          <w:sz w:val="20"/>
          <w:szCs w:val="20"/>
        </w:rPr>
        <w:t xml:space="preserve">My opinion on the financial statements and findings on the reported performance information and compliance with legislation do not cover the other information and I do not express an audit opinion or any form of assurance conclusion on it. </w:t>
      </w:r>
    </w:p>
    <w:p w:rsidR="004B4750" w:rsidRPr="00807837" w:rsidRDefault="004B4750" w:rsidP="00807837">
      <w:pPr>
        <w:pStyle w:val="ListParagraph"/>
        <w:spacing w:after="0" w:line="240" w:lineRule="auto"/>
        <w:rPr>
          <w:rFonts w:ascii="Arial" w:eastAsia="Calibri" w:hAnsi="Arial" w:cs="Arial"/>
          <w:sz w:val="20"/>
          <w:szCs w:val="20"/>
        </w:rPr>
      </w:pPr>
    </w:p>
    <w:p w:rsidR="00D8352D" w:rsidRPr="00807837" w:rsidRDefault="00D8352D" w:rsidP="00807837">
      <w:pPr>
        <w:pStyle w:val="ListParagraph"/>
        <w:numPr>
          <w:ilvl w:val="0"/>
          <w:numId w:val="33"/>
        </w:numPr>
        <w:spacing w:after="0" w:line="240" w:lineRule="auto"/>
        <w:rPr>
          <w:rFonts w:ascii="Arial" w:eastAsia="Calibri" w:hAnsi="Arial" w:cs="Arial"/>
          <w:sz w:val="20"/>
          <w:szCs w:val="20"/>
        </w:rPr>
      </w:pPr>
      <w:r w:rsidRPr="00807837">
        <w:rPr>
          <w:rFonts w:ascii="Arial" w:eastAsia="Calibri" w:hAnsi="Arial" w:cs="Arial"/>
          <w:sz w:val="20"/>
          <w:szCs w:val="20"/>
        </w:rPr>
        <w:t>In connection with my audit, my responsibility is to read the other information and, in doing so, consider whether the other information is materially inconsistent with the financial statements and the selected programme presented in the annual performance report, or my knowledge obtained in the audit, or otherwise appears to be materially misstated.</w:t>
      </w:r>
    </w:p>
    <w:p w:rsidR="00D8352D" w:rsidRPr="00807837" w:rsidRDefault="00D8352D" w:rsidP="00807837">
      <w:pPr>
        <w:spacing w:after="0" w:line="240" w:lineRule="auto"/>
        <w:rPr>
          <w:rFonts w:ascii="Arial" w:eastAsia="Calibri" w:hAnsi="Arial" w:cs="Arial"/>
          <w:sz w:val="20"/>
          <w:szCs w:val="20"/>
        </w:rPr>
      </w:pPr>
    </w:p>
    <w:p w:rsidR="004B4750" w:rsidRPr="00807837" w:rsidRDefault="004B4750" w:rsidP="00807837">
      <w:pPr>
        <w:autoSpaceDE w:val="0"/>
        <w:autoSpaceDN w:val="0"/>
        <w:adjustRightInd w:val="0"/>
        <w:spacing w:after="0" w:line="240" w:lineRule="auto"/>
        <w:rPr>
          <w:rFonts w:ascii="Arial" w:hAnsi="Arial" w:cs="Arial"/>
          <w:b/>
          <w:bCs/>
          <w:sz w:val="20"/>
          <w:szCs w:val="20"/>
        </w:rPr>
      </w:pPr>
      <w:r w:rsidRPr="00807837">
        <w:rPr>
          <w:rFonts w:ascii="Arial" w:hAnsi="Arial" w:cs="Arial"/>
          <w:b/>
          <w:bCs/>
          <w:sz w:val="20"/>
          <w:szCs w:val="20"/>
        </w:rPr>
        <w:t>Internal Control Deficiencies</w:t>
      </w:r>
    </w:p>
    <w:p w:rsidR="004B4750" w:rsidRPr="00807837" w:rsidRDefault="004B4750" w:rsidP="00807837">
      <w:pPr>
        <w:pStyle w:val="ListParagraph"/>
        <w:spacing w:after="0" w:line="240" w:lineRule="auto"/>
        <w:ind w:left="0"/>
        <w:rPr>
          <w:rFonts w:ascii="Arial" w:hAnsi="Arial" w:cs="Arial"/>
          <w:bCs/>
          <w:sz w:val="20"/>
          <w:szCs w:val="20"/>
        </w:rPr>
      </w:pPr>
    </w:p>
    <w:p w:rsidR="004B4750" w:rsidRPr="00807837" w:rsidRDefault="004B4750" w:rsidP="00807837">
      <w:pPr>
        <w:pStyle w:val="ListParagraph"/>
        <w:spacing w:after="0" w:line="240" w:lineRule="auto"/>
        <w:ind w:hanging="294"/>
        <w:rPr>
          <w:rFonts w:ascii="Arial" w:hAnsi="Arial" w:cs="Arial"/>
          <w:bCs/>
          <w:sz w:val="20"/>
          <w:szCs w:val="20"/>
        </w:rPr>
      </w:pPr>
      <w:r w:rsidRPr="00807837">
        <w:rPr>
          <w:rFonts w:ascii="Arial" w:hAnsi="Arial" w:cs="Arial"/>
          <w:bCs/>
          <w:sz w:val="20"/>
          <w:szCs w:val="20"/>
        </w:rPr>
        <w:t>•</w:t>
      </w:r>
      <w:r w:rsidRPr="00807837">
        <w:rPr>
          <w:rFonts w:ascii="Arial" w:hAnsi="Arial" w:cs="Arial"/>
          <w:bCs/>
          <w:sz w:val="20"/>
          <w:szCs w:val="20"/>
        </w:rPr>
        <w:tab/>
        <w:t xml:space="preserve">I considered internal control relevant to my audit of the financial statements, reported performance information and compliance with applicable legislation; however, my objective was not to express any form of assurance on it. The matter reported below is limited to the significant internal control deficiencies that resulted in the finding on compliance with legislation included in this report. </w:t>
      </w:r>
    </w:p>
    <w:p w:rsidR="004B4750" w:rsidRPr="00807837" w:rsidRDefault="004B4750" w:rsidP="00807837">
      <w:pPr>
        <w:pStyle w:val="ListParagraph"/>
        <w:spacing w:after="0" w:line="240" w:lineRule="auto"/>
        <w:ind w:hanging="294"/>
        <w:rPr>
          <w:rFonts w:ascii="Arial" w:hAnsi="Arial" w:cs="Arial"/>
          <w:bCs/>
          <w:sz w:val="20"/>
          <w:szCs w:val="20"/>
        </w:rPr>
      </w:pPr>
    </w:p>
    <w:p w:rsidR="004B4750" w:rsidRPr="00807837" w:rsidRDefault="004B4750" w:rsidP="00807837">
      <w:pPr>
        <w:pStyle w:val="ListParagraph"/>
        <w:spacing w:after="0" w:line="240" w:lineRule="auto"/>
        <w:ind w:left="709" w:hanging="283"/>
        <w:rPr>
          <w:rFonts w:ascii="Arial" w:hAnsi="Arial" w:cs="Arial"/>
          <w:sz w:val="20"/>
          <w:szCs w:val="20"/>
          <w:lang w:val="en-US"/>
        </w:rPr>
      </w:pPr>
      <w:r w:rsidRPr="00807837">
        <w:rPr>
          <w:rFonts w:ascii="Arial" w:hAnsi="Arial" w:cs="Arial"/>
          <w:bCs/>
          <w:sz w:val="20"/>
          <w:szCs w:val="20"/>
        </w:rPr>
        <w:t>•</w:t>
      </w:r>
      <w:r w:rsidRPr="00807837">
        <w:rPr>
          <w:rFonts w:ascii="Arial" w:hAnsi="Arial" w:cs="Arial"/>
          <w:bCs/>
          <w:sz w:val="20"/>
          <w:szCs w:val="20"/>
        </w:rPr>
        <w:tab/>
        <w:t>Senior management reviewed the financial statements however the review conducted did not identify a material misstatement in the financial statements submitted for audit</w:t>
      </w:r>
      <w:r w:rsidR="007B5065" w:rsidRPr="00807837">
        <w:rPr>
          <w:rFonts w:ascii="Arial" w:hAnsi="Arial" w:cs="Arial"/>
          <w:bCs/>
          <w:sz w:val="20"/>
          <w:szCs w:val="20"/>
        </w:rPr>
        <w:t>.</w:t>
      </w:r>
    </w:p>
    <w:p w:rsidR="004B4750" w:rsidRPr="00807837" w:rsidRDefault="00F41AA7" w:rsidP="00807837">
      <w:pPr>
        <w:autoSpaceDE w:val="0"/>
        <w:autoSpaceDN w:val="0"/>
        <w:adjustRightInd w:val="0"/>
        <w:spacing w:after="0" w:line="240" w:lineRule="auto"/>
        <w:rPr>
          <w:rFonts w:ascii="Arial" w:hAnsi="Arial" w:cs="Arial"/>
          <w:b/>
          <w:bCs/>
          <w:sz w:val="20"/>
          <w:szCs w:val="20"/>
          <w:lang w:val="en-US"/>
        </w:rPr>
      </w:pPr>
      <w:r w:rsidRPr="00807837">
        <w:rPr>
          <w:rFonts w:ascii="Arial" w:hAnsi="Arial" w:cs="Arial"/>
          <w:b/>
          <w:bCs/>
          <w:sz w:val="20"/>
          <w:szCs w:val="20"/>
          <w:lang w:val="en-US"/>
        </w:rPr>
        <w:t>5.3.2</w:t>
      </w:r>
      <w:r w:rsidRPr="00807837">
        <w:rPr>
          <w:rFonts w:ascii="Arial" w:hAnsi="Arial" w:cs="Arial"/>
          <w:b/>
          <w:bCs/>
          <w:sz w:val="20"/>
          <w:szCs w:val="20"/>
          <w:lang w:val="en-US"/>
        </w:rPr>
        <w:tab/>
      </w:r>
      <w:r w:rsidRPr="00807837">
        <w:rPr>
          <w:rFonts w:ascii="Arial" w:hAnsi="Arial" w:cs="Arial"/>
          <w:b/>
          <w:bCs/>
          <w:sz w:val="20"/>
          <w:szCs w:val="20"/>
        </w:rPr>
        <w:t xml:space="preserve">Auditor-General’s Report with regard to </w:t>
      </w:r>
      <w:r w:rsidR="00E33DD2" w:rsidRPr="00807837">
        <w:rPr>
          <w:rFonts w:ascii="Arial" w:hAnsi="Arial" w:cs="Arial"/>
          <w:b/>
          <w:bCs/>
          <w:sz w:val="20"/>
          <w:szCs w:val="20"/>
        </w:rPr>
        <w:t>South African Tourism</w:t>
      </w:r>
    </w:p>
    <w:p w:rsidR="004B4750" w:rsidRPr="00807837" w:rsidRDefault="004B4750" w:rsidP="00807837">
      <w:pPr>
        <w:autoSpaceDE w:val="0"/>
        <w:autoSpaceDN w:val="0"/>
        <w:adjustRightInd w:val="0"/>
        <w:spacing w:after="0" w:line="240" w:lineRule="auto"/>
        <w:rPr>
          <w:rFonts w:ascii="Arial" w:hAnsi="Arial" w:cs="Arial"/>
          <w:b/>
          <w:bCs/>
          <w:sz w:val="20"/>
          <w:szCs w:val="20"/>
          <w:lang w:val="en-US"/>
        </w:rPr>
      </w:pPr>
    </w:p>
    <w:p w:rsidR="00F41AA7" w:rsidRPr="00807837" w:rsidRDefault="00F41AA7" w:rsidP="00807837">
      <w:pPr>
        <w:autoSpaceDE w:val="0"/>
        <w:autoSpaceDN w:val="0"/>
        <w:adjustRightInd w:val="0"/>
        <w:spacing w:after="0" w:line="240" w:lineRule="auto"/>
        <w:rPr>
          <w:rFonts w:ascii="Arial" w:hAnsi="Arial" w:cs="Arial"/>
          <w:b/>
          <w:bCs/>
          <w:sz w:val="20"/>
          <w:szCs w:val="20"/>
        </w:rPr>
      </w:pPr>
      <w:r w:rsidRPr="00807837">
        <w:rPr>
          <w:rFonts w:ascii="Arial" w:hAnsi="Arial" w:cs="Arial"/>
          <w:b/>
          <w:bCs/>
          <w:sz w:val="20"/>
          <w:szCs w:val="20"/>
        </w:rPr>
        <w:t>Opinion</w:t>
      </w:r>
    </w:p>
    <w:p w:rsidR="00F77F6A" w:rsidRPr="00807837" w:rsidRDefault="00F41AA7" w:rsidP="00807837">
      <w:pPr>
        <w:pStyle w:val="ListParagraph"/>
        <w:numPr>
          <w:ilvl w:val="0"/>
          <w:numId w:val="34"/>
        </w:numPr>
        <w:autoSpaceDE w:val="0"/>
        <w:autoSpaceDN w:val="0"/>
        <w:adjustRightInd w:val="0"/>
        <w:spacing w:after="0" w:line="240" w:lineRule="auto"/>
        <w:rPr>
          <w:rFonts w:ascii="Arial" w:hAnsi="Arial" w:cs="Arial"/>
          <w:bCs/>
          <w:sz w:val="20"/>
          <w:szCs w:val="20"/>
          <w:lang w:val="en-US"/>
        </w:rPr>
      </w:pPr>
      <w:r w:rsidRPr="00807837">
        <w:rPr>
          <w:rFonts w:ascii="Arial" w:hAnsi="Arial" w:cs="Arial"/>
          <w:bCs/>
          <w:sz w:val="20"/>
          <w:szCs w:val="20"/>
        </w:rPr>
        <w:t>I have audited the financial statements of South African Tourism set out on pages 91 to 133 which comprise the statement of financial position as at 31 March 2022, the statement of financial performance, statement of changes in net assets and cash flow statement for the year then ended, as well as notes to the financial statements, including a summary of significant accounting policies.</w:t>
      </w:r>
    </w:p>
    <w:p w:rsidR="00F77F6A" w:rsidRPr="00807837" w:rsidRDefault="00F77F6A" w:rsidP="00807837">
      <w:pPr>
        <w:pStyle w:val="ListParagraph"/>
        <w:autoSpaceDE w:val="0"/>
        <w:autoSpaceDN w:val="0"/>
        <w:adjustRightInd w:val="0"/>
        <w:spacing w:after="0" w:line="240" w:lineRule="auto"/>
        <w:rPr>
          <w:rFonts w:ascii="Arial" w:hAnsi="Arial" w:cs="Arial"/>
          <w:bCs/>
          <w:sz w:val="20"/>
          <w:szCs w:val="20"/>
          <w:lang w:val="en-US"/>
        </w:rPr>
      </w:pPr>
    </w:p>
    <w:p w:rsidR="004B4750" w:rsidRPr="00807837" w:rsidRDefault="00F41AA7" w:rsidP="00807837">
      <w:pPr>
        <w:pStyle w:val="ListParagraph"/>
        <w:numPr>
          <w:ilvl w:val="0"/>
          <w:numId w:val="34"/>
        </w:numPr>
        <w:autoSpaceDE w:val="0"/>
        <w:autoSpaceDN w:val="0"/>
        <w:adjustRightInd w:val="0"/>
        <w:spacing w:after="0" w:line="240" w:lineRule="auto"/>
        <w:rPr>
          <w:rFonts w:ascii="Arial" w:hAnsi="Arial" w:cs="Arial"/>
          <w:bCs/>
          <w:sz w:val="20"/>
          <w:szCs w:val="20"/>
          <w:lang w:val="en-US"/>
        </w:rPr>
      </w:pPr>
      <w:r w:rsidRPr="00807837">
        <w:rPr>
          <w:rFonts w:ascii="Arial" w:hAnsi="Arial" w:cs="Arial"/>
          <w:bCs/>
          <w:sz w:val="20"/>
          <w:szCs w:val="20"/>
        </w:rPr>
        <w:lastRenderedPageBreak/>
        <w:t>In my opinion, the financial statements present fairly, in all material respects, the financial position of South African Tourism as at 31 March 2022, and its financial performance and cash flows for the year then ended in accordance with Standards of Generally Recognised Accounting Practice (GRAP) and the requirements of the Public Finance Management Act 1 of 1999 (PFMA</w:t>
      </w:r>
    </w:p>
    <w:p w:rsidR="004B4750" w:rsidRPr="00807837" w:rsidRDefault="004B4750" w:rsidP="00807837">
      <w:pPr>
        <w:autoSpaceDE w:val="0"/>
        <w:autoSpaceDN w:val="0"/>
        <w:adjustRightInd w:val="0"/>
        <w:spacing w:after="0" w:line="240" w:lineRule="auto"/>
        <w:rPr>
          <w:rFonts w:ascii="Arial" w:hAnsi="Arial" w:cs="Arial"/>
          <w:bCs/>
          <w:sz w:val="20"/>
          <w:szCs w:val="20"/>
          <w:lang w:val="en-US"/>
        </w:rPr>
      </w:pPr>
    </w:p>
    <w:p w:rsidR="00F77F6A" w:rsidRPr="00807837" w:rsidRDefault="00F77F6A" w:rsidP="00807837">
      <w:pPr>
        <w:autoSpaceDE w:val="0"/>
        <w:autoSpaceDN w:val="0"/>
        <w:adjustRightInd w:val="0"/>
        <w:spacing w:after="0" w:line="240" w:lineRule="auto"/>
        <w:rPr>
          <w:rFonts w:ascii="Arial" w:hAnsi="Arial" w:cs="Arial"/>
          <w:b/>
          <w:bCs/>
          <w:sz w:val="20"/>
          <w:szCs w:val="20"/>
        </w:rPr>
      </w:pPr>
      <w:r w:rsidRPr="00807837">
        <w:rPr>
          <w:rFonts w:ascii="Arial" w:hAnsi="Arial" w:cs="Arial"/>
          <w:b/>
          <w:bCs/>
          <w:sz w:val="20"/>
          <w:szCs w:val="20"/>
        </w:rPr>
        <w:t>Basis for opinion</w:t>
      </w:r>
    </w:p>
    <w:p w:rsidR="00F77F6A" w:rsidRPr="00807837" w:rsidRDefault="00F77F6A" w:rsidP="00807837">
      <w:pPr>
        <w:autoSpaceDE w:val="0"/>
        <w:autoSpaceDN w:val="0"/>
        <w:adjustRightInd w:val="0"/>
        <w:spacing w:after="0" w:line="240" w:lineRule="auto"/>
        <w:rPr>
          <w:rFonts w:ascii="Arial" w:hAnsi="Arial" w:cs="Arial"/>
          <w:bCs/>
          <w:sz w:val="20"/>
          <w:szCs w:val="20"/>
        </w:rPr>
      </w:pPr>
    </w:p>
    <w:p w:rsidR="00F77F6A" w:rsidRPr="00807837" w:rsidRDefault="00F77F6A" w:rsidP="00807837">
      <w:pPr>
        <w:pStyle w:val="ListParagraph"/>
        <w:numPr>
          <w:ilvl w:val="0"/>
          <w:numId w:val="35"/>
        </w:numPr>
        <w:autoSpaceDE w:val="0"/>
        <w:autoSpaceDN w:val="0"/>
        <w:adjustRightInd w:val="0"/>
        <w:spacing w:after="0" w:line="240" w:lineRule="auto"/>
        <w:rPr>
          <w:rFonts w:ascii="Arial" w:hAnsi="Arial" w:cs="Arial"/>
          <w:bCs/>
          <w:sz w:val="20"/>
          <w:szCs w:val="20"/>
        </w:rPr>
      </w:pPr>
      <w:r w:rsidRPr="00807837">
        <w:rPr>
          <w:rFonts w:ascii="Arial" w:hAnsi="Arial" w:cs="Arial"/>
          <w:bCs/>
          <w:sz w:val="20"/>
          <w:szCs w:val="20"/>
        </w:rPr>
        <w:t>I conducted my audit in accordance with the International Standards on Auditing (ISAs). My responsibilities under those standards are further described in the auditor-general’s responsibilities for the audit of the financial statements section of my report.</w:t>
      </w:r>
    </w:p>
    <w:p w:rsidR="00F77F6A" w:rsidRPr="00807837" w:rsidRDefault="00F77F6A" w:rsidP="00807837">
      <w:pPr>
        <w:pStyle w:val="ListParagraph"/>
        <w:autoSpaceDE w:val="0"/>
        <w:autoSpaceDN w:val="0"/>
        <w:adjustRightInd w:val="0"/>
        <w:spacing w:after="0" w:line="240" w:lineRule="auto"/>
        <w:rPr>
          <w:rFonts w:ascii="Arial" w:hAnsi="Arial" w:cs="Arial"/>
          <w:bCs/>
          <w:sz w:val="20"/>
          <w:szCs w:val="20"/>
        </w:rPr>
      </w:pPr>
    </w:p>
    <w:p w:rsidR="00F77F6A" w:rsidRPr="00807837" w:rsidRDefault="00F77F6A" w:rsidP="00807837">
      <w:pPr>
        <w:pStyle w:val="ListParagraph"/>
        <w:numPr>
          <w:ilvl w:val="0"/>
          <w:numId w:val="35"/>
        </w:numPr>
        <w:autoSpaceDE w:val="0"/>
        <w:autoSpaceDN w:val="0"/>
        <w:adjustRightInd w:val="0"/>
        <w:spacing w:after="0" w:line="240" w:lineRule="auto"/>
        <w:rPr>
          <w:rFonts w:ascii="Arial" w:hAnsi="Arial" w:cs="Arial"/>
          <w:bCs/>
          <w:sz w:val="20"/>
          <w:szCs w:val="20"/>
        </w:rPr>
      </w:pPr>
      <w:r w:rsidRPr="00807837">
        <w:rPr>
          <w:rFonts w:ascii="Arial" w:hAnsi="Arial" w:cs="Arial"/>
          <w:bCs/>
          <w:sz w:val="20"/>
          <w:szCs w:val="20"/>
        </w:rPr>
        <w:t>I am independent of the entity in accordance with the International Ethics Standards Boards for Accountants’ International code of ethics for professional accountants (including International Independence Standards) (IESBA code) as well as other ethical requirements that are relevant to my audit in South Africa. I have fulfilled my other ethical responsibilities in accordance with these requirements and the IESBA code. 5. I believe that the audit evidence I have obtained is sufficient and appropriate to provide a basis for my opinion.</w:t>
      </w:r>
    </w:p>
    <w:p w:rsidR="00F77F6A" w:rsidRPr="00807837" w:rsidRDefault="00F77F6A" w:rsidP="00807837">
      <w:pPr>
        <w:autoSpaceDE w:val="0"/>
        <w:autoSpaceDN w:val="0"/>
        <w:adjustRightInd w:val="0"/>
        <w:spacing w:after="0" w:line="240" w:lineRule="auto"/>
        <w:rPr>
          <w:rFonts w:ascii="Arial" w:hAnsi="Arial" w:cs="Arial"/>
          <w:bCs/>
          <w:sz w:val="20"/>
          <w:szCs w:val="20"/>
        </w:rPr>
      </w:pPr>
    </w:p>
    <w:p w:rsidR="00F77F6A" w:rsidRPr="00807837" w:rsidRDefault="00F77F6A" w:rsidP="00807837">
      <w:pPr>
        <w:autoSpaceDE w:val="0"/>
        <w:autoSpaceDN w:val="0"/>
        <w:adjustRightInd w:val="0"/>
        <w:spacing w:after="0" w:line="240" w:lineRule="auto"/>
        <w:rPr>
          <w:rFonts w:ascii="Arial" w:hAnsi="Arial" w:cs="Arial"/>
          <w:b/>
          <w:bCs/>
          <w:sz w:val="20"/>
          <w:szCs w:val="20"/>
        </w:rPr>
      </w:pPr>
      <w:r w:rsidRPr="00807837">
        <w:rPr>
          <w:rFonts w:ascii="Arial" w:hAnsi="Arial" w:cs="Arial"/>
          <w:b/>
          <w:bCs/>
          <w:sz w:val="20"/>
          <w:szCs w:val="20"/>
        </w:rPr>
        <w:t>Usefulness and reliability of the reported performance</w:t>
      </w:r>
    </w:p>
    <w:p w:rsidR="00F77F6A" w:rsidRPr="00807837" w:rsidRDefault="00F77F6A" w:rsidP="00807837">
      <w:pPr>
        <w:autoSpaceDE w:val="0"/>
        <w:autoSpaceDN w:val="0"/>
        <w:adjustRightInd w:val="0"/>
        <w:spacing w:after="0" w:line="240" w:lineRule="auto"/>
        <w:rPr>
          <w:rFonts w:ascii="Arial" w:hAnsi="Arial" w:cs="Arial"/>
          <w:bCs/>
          <w:sz w:val="20"/>
          <w:szCs w:val="20"/>
        </w:rPr>
      </w:pPr>
    </w:p>
    <w:p w:rsidR="00F77F6A" w:rsidRPr="00807837" w:rsidRDefault="00F77F6A" w:rsidP="00807837">
      <w:pPr>
        <w:pStyle w:val="ListParagraph"/>
        <w:numPr>
          <w:ilvl w:val="0"/>
          <w:numId w:val="36"/>
        </w:numPr>
        <w:autoSpaceDE w:val="0"/>
        <w:autoSpaceDN w:val="0"/>
        <w:adjustRightInd w:val="0"/>
        <w:spacing w:after="0" w:line="240" w:lineRule="auto"/>
        <w:rPr>
          <w:rFonts w:ascii="Arial" w:hAnsi="Arial" w:cs="Arial"/>
          <w:bCs/>
          <w:sz w:val="20"/>
          <w:szCs w:val="20"/>
        </w:rPr>
      </w:pPr>
      <w:r w:rsidRPr="00807837">
        <w:rPr>
          <w:rFonts w:ascii="Arial" w:hAnsi="Arial" w:cs="Arial"/>
          <w:bCs/>
          <w:sz w:val="20"/>
          <w:szCs w:val="20"/>
        </w:rPr>
        <w:t>I performed procedures to determine whether the reported performance information was properly presented and whether performance was consistent with the approved performance planning documents. I performed further procedures to determine whether the indicators and related targets were measurable and relevant, and assessed the reliability of the reported performance information to determine whether it was valid, accurate and complete.</w:t>
      </w:r>
    </w:p>
    <w:p w:rsidR="00F77F6A" w:rsidRPr="00807837" w:rsidRDefault="00F77F6A" w:rsidP="00807837">
      <w:pPr>
        <w:spacing w:after="0" w:line="240" w:lineRule="auto"/>
        <w:rPr>
          <w:rFonts w:ascii="Arial" w:hAnsi="Arial" w:cs="Arial"/>
          <w:bCs/>
          <w:sz w:val="20"/>
          <w:szCs w:val="20"/>
        </w:rPr>
      </w:pPr>
    </w:p>
    <w:p w:rsidR="00E11963" w:rsidRPr="00807837" w:rsidRDefault="00F77F6A" w:rsidP="00807837">
      <w:pPr>
        <w:spacing w:after="0" w:line="240" w:lineRule="auto"/>
        <w:ind w:left="709" w:hanging="283"/>
        <w:rPr>
          <w:rFonts w:ascii="Arial" w:hAnsi="Arial" w:cs="Arial"/>
          <w:sz w:val="20"/>
          <w:szCs w:val="20"/>
          <w:lang w:val="en-US"/>
        </w:rPr>
      </w:pPr>
      <w:r w:rsidRPr="00807837">
        <w:rPr>
          <w:rFonts w:ascii="Arial" w:hAnsi="Arial" w:cs="Arial"/>
          <w:bCs/>
          <w:sz w:val="20"/>
          <w:szCs w:val="20"/>
        </w:rPr>
        <w:t>•</w:t>
      </w:r>
      <w:r w:rsidRPr="00807837">
        <w:rPr>
          <w:rFonts w:ascii="Arial" w:hAnsi="Arial" w:cs="Arial"/>
          <w:bCs/>
          <w:sz w:val="20"/>
          <w:szCs w:val="20"/>
        </w:rPr>
        <w:tab/>
        <w:t>I did not identify any material findings on the usefulness and reliability of the reported performance information for Programme 3: Leisure Tourism Marketing</w:t>
      </w:r>
    </w:p>
    <w:p w:rsidR="00057EC6" w:rsidRPr="00807837" w:rsidRDefault="00057EC6" w:rsidP="00807837">
      <w:pPr>
        <w:autoSpaceDE w:val="0"/>
        <w:autoSpaceDN w:val="0"/>
        <w:adjustRightInd w:val="0"/>
        <w:spacing w:after="0" w:line="240" w:lineRule="auto"/>
        <w:rPr>
          <w:rFonts w:ascii="Arial" w:hAnsi="Arial" w:cs="Arial"/>
          <w:bCs/>
          <w:sz w:val="20"/>
          <w:szCs w:val="20"/>
          <w:lang w:val="en-US"/>
        </w:rPr>
      </w:pPr>
    </w:p>
    <w:p w:rsidR="00657558" w:rsidRPr="00807837" w:rsidRDefault="00657558" w:rsidP="00807837">
      <w:pPr>
        <w:autoSpaceDE w:val="0"/>
        <w:autoSpaceDN w:val="0"/>
        <w:adjustRightInd w:val="0"/>
        <w:spacing w:after="0" w:line="240" w:lineRule="auto"/>
        <w:rPr>
          <w:rFonts w:ascii="Arial" w:hAnsi="Arial" w:cs="Arial"/>
          <w:bCs/>
          <w:sz w:val="20"/>
          <w:szCs w:val="20"/>
          <w:lang w:val="en-US"/>
        </w:rPr>
      </w:pPr>
    </w:p>
    <w:p w:rsidR="00F77F6A" w:rsidRPr="00807837" w:rsidRDefault="00F77F6A" w:rsidP="00807837">
      <w:pPr>
        <w:autoSpaceDE w:val="0"/>
        <w:autoSpaceDN w:val="0"/>
        <w:adjustRightInd w:val="0"/>
        <w:spacing w:after="0" w:line="240" w:lineRule="auto"/>
        <w:rPr>
          <w:rFonts w:ascii="Arial" w:hAnsi="Arial" w:cs="Arial"/>
          <w:b/>
          <w:bCs/>
          <w:sz w:val="20"/>
          <w:szCs w:val="20"/>
        </w:rPr>
      </w:pPr>
      <w:r w:rsidRPr="00807837">
        <w:rPr>
          <w:rFonts w:ascii="Arial" w:hAnsi="Arial" w:cs="Arial"/>
          <w:b/>
          <w:bCs/>
          <w:sz w:val="20"/>
          <w:szCs w:val="20"/>
        </w:rPr>
        <w:t xml:space="preserve">Adjustment of material misstatements </w:t>
      </w:r>
    </w:p>
    <w:p w:rsidR="00F77F6A" w:rsidRPr="00807837" w:rsidRDefault="00F77F6A" w:rsidP="00807837">
      <w:pPr>
        <w:autoSpaceDE w:val="0"/>
        <w:autoSpaceDN w:val="0"/>
        <w:adjustRightInd w:val="0"/>
        <w:spacing w:after="0" w:line="240" w:lineRule="auto"/>
        <w:rPr>
          <w:rFonts w:ascii="Arial" w:hAnsi="Arial" w:cs="Arial"/>
          <w:bCs/>
          <w:sz w:val="20"/>
          <w:szCs w:val="20"/>
        </w:rPr>
      </w:pPr>
    </w:p>
    <w:p w:rsidR="00F77F6A" w:rsidRPr="00807837" w:rsidRDefault="00F77F6A" w:rsidP="00807837">
      <w:pPr>
        <w:pStyle w:val="ListParagraph"/>
        <w:numPr>
          <w:ilvl w:val="0"/>
          <w:numId w:val="36"/>
        </w:numPr>
        <w:autoSpaceDE w:val="0"/>
        <w:autoSpaceDN w:val="0"/>
        <w:adjustRightInd w:val="0"/>
        <w:spacing w:after="0" w:line="240" w:lineRule="auto"/>
        <w:rPr>
          <w:rFonts w:ascii="Arial" w:hAnsi="Arial" w:cs="Arial"/>
          <w:bCs/>
          <w:sz w:val="20"/>
          <w:szCs w:val="20"/>
          <w:lang w:val="en-US"/>
        </w:rPr>
      </w:pPr>
      <w:r w:rsidRPr="00807837">
        <w:rPr>
          <w:rFonts w:ascii="Arial" w:hAnsi="Arial" w:cs="Arial"/>
          <w:bCs/>
          <w:sz w:val="20"/>
          <w:szCs w:val="20"/>
        </w:rPr>
        <w:t>I identified material misstatements in the annual performance report submitted for auditing. These material misstatements were in the reported performance information of programme 3: Leisure Tourism Marketing. As management subsequently corrected the misstatements, I did not raise any material findings on the usefulness and reliability of the reported performance information.</w:t>
      </w:r>
    </w:p>
    <w:p w:rsidR="00F77F6A" w:rsidRPr="00807837" w:rsidRDefault="00F77F6A" w:rsidP="00807837">
      <w:pPr>
        <w:autoSpaceDE w:val="0"/>
        <w:autoSpaceDN w:val="0"/>
        <w:adjustRightInd w:val="0"/>
        <w:spacing w:after="0" w:line="240" w:lineRule="auto"/>
        <w:rPr>
          <w:rFonts w:ascii="Arial" w:hAnsi="Arial" w:cs="Arial"/>
          <w:bCs/>
          <w:sz w:val="20"/>
          <w:szCs w:val="20"/>
          <w:lang w:val="en-US"/>
        </w:rPr>
      </w:pPr>
    </w:p>
    <w:p w:rsidR="00F77F6A" w:rsidRPr="00807837" w:rsidRDefault="00F77F6A" w:rsidP="00807837">
      <w:pPr>
        <w:autoSpaceDE w:val="0"/>
        <w:autoSpaceDN w:val="0"/>
        <w:adjustRightInd w:val="0"/>
        <w:spacing w:after="0" w:line="240" w:lineRule="auto"/>
        <w:rPr>
          <w:rFonts w:ascii="Arial" w:hAnsi="Arial" w:cs="Arial"/>
          <w:b/>
          <w:bCs/>
          <w:sz w:val="20"/>
          <w:szCs w:val="20"/>
        </w:rPr>
      </w:pPr>
      <w:r w:rsidRPr="00807837">
        <w:rPr>
          <w:rFonts w:ascii="Arial" w:hAnsi="Arial" w:cs="Arial"/>
          <w:b/>
          <w:bCs/>
          <w:sz w:val="20"/>
          <w:szCs w:val="20"/>
        </w:rPr>
        <w:t>Annual financial statements</w:t>
      </w:r>
    </w:p>
    <w:p w:rsidR="00F77F6A" w:rsidRPr="00807837" w:rsidRDefault="00F77F6A" w:rsidP="00807837">
      <w:pPr>
        <w:autoSpaceDE w:val="0"/>
        <w:autoSpaceDN w:val="0"/>
        <w:adjustRightInd w:val="0"/>
        <w:spacing w:after="0" w:line="240" w:lineRule="auto"/>
        <w:rPr>
          <w:rFonts w:ascii="Arial" w:hAnsi="Arial" w:cs="Arial"/>
          <w:bCs/>
          <w:sz w:val="20"/>
          <w:szCs w:val="20"/>
        </w:rPr>
      </w:pPr>
    </w:p>
    <w:p w:rsidR="00F77F6A" w:rsidRPr="00807837" w:rsidRDefault="00F77F6A" w:rsidP="00807837">
      <w:pPr>
        <w:pStyle w:val="ListParagraph"/>
        <w:numPr>
          <w:ilvl w:val="0"/>
          <w:numId w:val="37"/>
        </w:numPr>
        <w:autoSpaceDE w:val="0"/>
        <w:autoSpaceDN w:val="0"/>
        <w:adjustRightInd w:val="0"/>
        <w:spacing w:after="0" w:line="240" w:lineRule="auto"/>
        <w:rPr>
          <w:rFonts w:ascii="Arial" w:hAnsi="Arial" w:cs="Arial"/>
          <w:bCs/>
          <w:sz w:val="20"/>
          <w:szCs w:val="20"/>
          <w:lang w:val="en-US"/>
        </w:rPr>
      </w:pPr>
      <w:r w:rsidRPr="00807837">
        <w:rPr>
          <w:rFonts w:ascii="Arial" w:hAnsi="Arial" w:cs="Arial"/>
          <w:bCs/>
          <w:sz w:val="20"/>
          <w:szCs w:val="20"/>
        </w:rPr>
        <w:t>The financial statements submitted for auditing were not fully prepared in accordance with the prescribed financial reporting framework as required by section 55(1)(b) of the PFMA. Material misstatements of disclosure items and explanatory information identified by the auditors in the submitted financial statements were corrected subsequently, resulting in the financial statements receiving and unqualified audit opinion.</w:t>
      </w:r>
    </w:p>
    <w:p w:rsidR="00F77F6A" w:rsidRPr="00807837" w:rsidRDefault="00F77F6A" w:rsidP="00807837">
      <w:pPr>
        <w:autoSpaceDE w:val="0"/>
        <w:autoSpaceDN w:val="0"/>
        <w:adjustRightInd w:val="0"/>
        <w:spacing w:after="0" w:line="240" w:lineRule="auto"/>
        <w:rPr>
          <w:rFonts w:ascii="Arial" w:hAnsi="Arial" w:cs="Arial"/>
          <w:bCs/>
          <w:sz w:val="20"/>
          <w:szCs w:val="20"/>
          <w:lang w:val="en-US"/>
        </w:rPr>
      </w:pPr>
    </w:p>
    <w:p w:rsidR="00F77F6A" w:rsidRPr="00807837" w:rsidRDefault="00F77F6A" w:rsidP="00807837">
      <w:pPr>
        <w:autoSpaceDE w:val="0"/>
        <w:autoSpaceDN w:val="0"/>
        <w:adjustRightInd w:val="0"/>
        <w:spacing w:after="0" w:line="240" w:lineRule="auto"/>
        <w:rPr>
          <w:rFonts w:ascii="Arial" w:hAnsi="Arial" w:cs="Arial"/>
          <w:b/>
          <w:bCs/>
          <w:sz w:val="20"/>
          <w:szCs w:val="20"/>
        </w:rPr>
      </w:pPr>
      <w:r w:rsidRPr="00807837">
        <w:rPr>
          <w:rFonts w:ascii="Arial" w:hAnsi="Arial" w:cs="Arial"/>
          <w:b/>
          <w:bCs/>
          <w:sz w:val="20"/>
          <w:szCs w:val="20"/>
        </w:rPr>
        <w:t>Expenditure management</w:t>
      </w:r>
    </w:p>
    <w:p w:rsidR="00F77F6A" w:rsidRPr="00807837" w:rsidRDefault="00F77F6A" w:rsidP="00807837">
      <w:pPr>
        <w:autoSpaceDE w:val="0"/>
        <w:autoSpaceDN w:val="0"/>
        <w:adjustRightInd w:val="0"/>
        <w:spacing w:after="0" w:line="240" w:lineRule="auto"/>
        <w:rPr>
          <w:rFonts w:ascii="Arial" w:hAnsi="Arial" w:cs="Arial"/>
          <w:bCs/>
          <w:sz w:val="20"/>
          <w:szCs w:val="20"/>
        </w:rPr>
      </w:pPr>
    </w:p>
    <w:p w:rsidR="00F77F6A" w:rsidRPr="00807837" w:rsidRDefault="00F77F6A" w:rsidP="00807837">
      <w:pPr>
        <w:pStyle w:val="ListParagraph"/>
        <w:numPr>
          <w:ilvl w:val="0"/>
          <w:numId w:val="36"/>
        </w:numPr>
        <w:autoSpaceDE w:val="0"/>
        <w:autoSpaceDN w:val="0"/>
        <w:adjustRightInd w:val="0"/>
        <w:spacing w:after="0" w:line="240" w:lineRule="auto"/>
        <w:rPr>
          <w:rFonts w:ascii="Arial" w:hAnsi="Arial" w:cs="Arial"/>
          <w:bCs/>
          <w:sz w:val="20"/>
          <w:szCs w:val="20"/>
          <w:lang w:val="en-US"/>
        </w:rPr>
      </w:pPr>
      <w:r w:rsidRPr="00807837">
        <w:rPr>
          <w:rFonts w:ascii="Arial" w:hAnsi="Arial" w:cs="Arial"/>
          <w:bCs/>
          <w:sz w:val="20"/>
          <w:szCs w:val="20"/>
        </w:rPr>
        <w:t>Effective and appropriate steps were not taken to prevent irregular expenditure amounting to R6 800 498 as disclosed in note 36 to the annual financial statements, as required by section 51(1)(b)(ii) of the PFMA. The majority of the irregular expenditure was cause by failure to follow a procedure process in terms of the Treasury transcripts to invite competitive bids.</w:t>
      </w:r>
    </w:p>
    <w:p w:rsidR="00F77F6A" w:rsidRPr="00807837" w:rsidRDefault="00F77F6A" w:rsidP="00807837">
      <w:pPr>
        <w:autoSpaceDE w:val="0"/>
        <w:autoSpaceDN w:val="0"/>
        <w:adjustRightInd w:val="0"/>
        <w:spacing w:after="0" w:line="240" w:lineRule="auto"/>
        <w:rPr>
          <w:rFonts w:ascii="Arial" w:hAnsi="Arial" w:cs="Arial"/>
          <w:bCs/>
          <w:sz w:val="20"/>
          <w:szCs w:val="20"/>
          <w:lang w:val="en-US"/>
        </w:rPr>
      </w:pPr>
    </w:p>
    <w:p w:rsidR="00F77F6A" w:rsidRPr="00807837" w:rsidRDefault="00F77F6A" w:rsidP="00807837">
      <w:pPr>
        <w:autoSpaceDE w:val="0"/>
        <w:autoSpaceDN w:val="0"/>
        <w:adjustRightInd w:val="0"/>
        <w:spacing w:after="0" w:line="240" w:lineRule="auto"/>
        <w:rPr>
          <w:rFonts w:ascii="Arial" w:hAnsi="Arial" w:cs="Arial"/>
          <w:b/>
          <w:bCs/>
          <w:sz w:val="20"/>
          <w:szCs w:val="20"/>
          <w:lang w:val="en-US"/>
        </w:rPr>
      </w:pPr>
      <w:r w:rsidRPr="00807837">
        <w:rPr>
          <w:rFonts w:ascii="Arial" w:hAnsi="Arial" w:cs="Arial"/>
          <w:b/>
          <w:bCs/>
          <w:sz w:val="20"/>
          <w:szCs w:val="20"/>
        </w:rPr>
        <w:t>Internal control deficiencies</w:t>
      </w:r>
    </w:p>
    <w:p w:rsidR="00F77F6A" w:rsidRPr="00807837" w:rsidRDefault="00F77F6A" w:rsidP="00807837">
      <w:pPr>
        <w:autoSpaceDE w:val="0"/>
        <w:autoSpaceDN w:val="0"/>
        <w:adjustRightInd w:val="0"/>
        <w:spacing w:after="0" w:line="240" w:lineRule="auto"/>
        <w:rPr>
          <w:rFonts w:ascii="Arial" w:hAnsi="Arial" w:cs="Arial"/>
          <w:bCs/>
          <w:sz w:val="20"/>
          <w:szCs w:val="20"/>
          <w:lang w:val="en-US"/>
        </w:rPr>
      </w:pPr>
    </w:p>
    <w:p w:rsidR="00F77F6A" w:rsidRPr="00807837" w:rsidRDefault="00F77F6A" w:rsidP="00807837">
      <w:pPr>
        <w:pStyle w:val="ListParagraph"/>
        <w:numPr>
          <w:ilvl w:val="0"/>
          <w:numId w:val="38"/>
        </w:numPr>
        <w:autoSpaceDE w:val="0"/>
        <w:autoSpaceDN w:val="0"/>
        <w:adjustRightInd w:val="0"/>
        <w:spacing w:after="0" w:line="240" w:lineRule="auto"/>
        <w:rPr>
          <w:rFonts w:ascii="Arial" w:hAnsi="Arial" w:cs="Arial"/>
          <w:bCs/>
          <w:sz w:val="20"/>
          <w:szCs w:val="20"/>
          <w:lang w:val="en-US"/>
        </w:rPr>
      </w:pPr>
      <w:r w:rsidRPr="00807837">
        <w:rPr>
          <w:rFonts w:ascii="Arial" w:hAnsi="Arial" w:cs="Arial"/>
          <w:bCs/>
          <w:sz w:val="20"/>
          <w:szCs w:val="20"/>
        </w:rPr>
        <w:t xml:space="preserve">I considered internal control relevant to my audit of the financial statements, reported performance information and compliance with applicable legislation; however, my objective was not to express any form of assurance on it. The matters reported below are limited to the </w:t>
      </w:r>
      <w:r w:rsidRPr="00807837">
        <w:rPr>
          <w:rFonts w:ascii="Arial" w:hAnsi="Arial" w:cs="Arial"/>
          <w:bCs/>
          <w:sz w:val="20"/>
          <w:szCs w:val="20"/>
        </w:rPr>
        <w:lastRenderedPageBreak/>
        <w:t xml:space="preserve">significant internal control deficiencies that resulted in the findings on compliance with legislation included in this report. </w:t>
      </w:r>
    </w:p>
    <w:p w:rsidR="00F77F6A" w:rsidRPr="00807837" w:rsidRDefault="00F77F6A" w:rsidP="00807837">
      <w:pPr>
        <w:pStyle w:val="ListParagraph"/>
        <w:autoSpaceDE w:val="0"/>
        <w:autoSpaceDN w:val="0"/>
        <w:adjustRightInd w:val="0"/>
        <w:spacing w:after="0" w:line="240" w:lineRule="auto"/>
        <w:rPr>
          <w:rFonts w:ascii="Arial" w:hAnsi="Arial" w:cs="Arial"/>
          <w:bCs/>
          <w:sz w:val="20"/>
          <w:szCs w:val="20"/>
          <w:lang w:val="en-US"/>
        </w:rPr>
      </w:pPr>
    </w:p>
    <w:p w:rsidR="00F77F6A" w:rsidRPr="00807837" w:rsidRDefault="00F77F6A" w:rsidP="00807837">
      <w:pPr>
        <w:pStyle w:val="ListParagraph"/>
        <w:numPr>
          <w:ilvl w:val="0"/>
          <w:numId w:val="38"/>
        </w:numPr>
        <w:autoSpaceDE w:val="0"/>
        <w:autoSpaceDN w:val="0"/>
        <w:adjustRightInd w:val="0"/>
        <w:spacing w:after="0" w:line="240" w:lineRule="auto"/>
        <w:rPr>
          <w:rFonts w:ascii="Arial" w:hAnsi="Arial" w:cs="Arial"/>
          <w:bCs/>
          <w:sz w:val="20"/>
          <w:szCs w:val="20"/>
          <w:lang w:val="en-US"/>
        </w:rPr>
      </w:pPr>
      <w:r w:rsidRPr="00807837">
        <w:rPr>
          <w:rFonts w:ascii="Arial" w:hAnsi="Arial" w:cs="Arial"/>
          <w:bCs/>
          <w:sz w:val="20"/>
          <w:szCs w:val="20"/>
        </w:rPr>
        <w:t xml:space="preserve">Management did not address previously reported deficiencies relating to oversight of the financial reporting process, including detailed reviews of the financial statements by delegated officials, and related Internal controls. </w:t>
      </w:r>
    </w:p>
    <w:p w:rsidR="00F77F6A" w:rsidRPr="00807837" w:rsidRDefault="00F77F6A" w:rsidP="00807837">
      <w:pPr>
        <w:pStyle w:val="ListParagraph"/>
        <w:spacing w:after="0" w:line="240" w:lineRule="auto"/>
        <w:rPr>
          <w:rFonts w:ascii="Arial" w:hAnsi="Arial" w:cs="Arial"/>
          <w:bCs/>
          <w:sz w:val="20"/>
          <w:szCs w:val="20"/>
        </w:rPr>
      </w:pPr>
    </w:p>
    <w:p w:rsidR="00F77F6A" w:rsidRPr="00807837" w:rsidRDefault="00F77F6A" w:rsidP="00807837">
      <w:pPr>
        <w:pStyle w:val="ListParagraph"/>
        <w:numPr>
          <w:ilvl w:val="0"/>
          <w:numId w:val="38"/>
        </w:numPr>
        <w:autoSpaceDE w:val="0"/>
        <w:autoSpaceDN w:val="0"/>
        <w:adjustRightInd w:val="0"/>
        <w:spacing w:after="0" w:line="240" w:lineRule="auto"/>
        <w:rPr>
          <w:rFonts w:ascii="Arial" w:hAnsi="Arial" w:cs="Arial"/>
          <w:bCs/>
          <w:sz w:val="20"/>
          <w:szCs w:val="20"/>
          <w:lang w:val="en-US"/>
        </w:rPr>
      </w:pPr>
      <w:r w:rsidRPr="00807837">
        <w:rPr>
          <w:rFonts w:ascii="Arial" w:hAnsi="Arial" w:cs="Arial"/>
          <w:bCs/>
          <w:sz w:val="20"/>
          <w:szCs w:val="20"/>
        </w:rPr>
        <w:t>Management did not timeously implement measures to monitor compliance with applicable legislation.</w:t>
      </w:r>
    </w:p>
    <w:p w:rsidR="00CA7896" w:rsidRPr="00807837" w:rsidRDefault="00CA7896" w:rsidP="00807837">
      <w:pPr>
        <w:autoSpaceDE w:val="0"/>
        <w:autoSpaceDN w:val="0"/>
        <w:adjustRightInd w:val="0"/>
        <w:spacing w:after="0" w:line="240" w:lineRule="auto"/>
        <w:rPr>
          <w:rFonts w:ascii="Arial" w:hAnsi="Arial" w:cs="Arial"/>
          <w:bCs/>
          <w:sz w:val="20"/>
          <w:szCs w:val="20"/>
          <w:lang w:val="en-US"/>
        </w:rPr>
      </w:pPr>
    </w:p>
    <w:p w:rsidR="00657558" w:rsidRPr="00807837" w:rsidRDefault="00657558" w:rsidP="00807837">
      <w:pPr>
        <w:autoSpaceDE w:val="0"/>
        <w:autoSpaceDN w:val="0"/>
        <w:adjustRightInd w:val="0"/>
        <w:spacing w:after="0" w:line="240" w:lineRule="auto"/>
        <w:rPr>
          <w:rFonts w:ascii="Arial" w:hAnsi="Arial" w:cs="Arial"/>
          <w:bCs/>
          <w:sz w:val="20"/>
          <w:szCs w:val="20"/>
          <w:lang w:val="en-US"/>
        </w:rPr>
      </w:pPr>
    </w:p>
    <w:p w:rsidR="00657558" w:rsidRPr="00807837" w:rsidRDefault="00657558" w:rsidP="00807837">
      <w:pPr>
        <w:autoSpaceDE w:val="0"/>
        <w:autoSpaceDN w:val="0"/>
        <w:adjustRightInd w:val="0"/>
        <w:spacing w:after="0" w:line="240" w:lineRule="auto"/>
        <w:rPr>
          <w:rFonts w:ascii="Arial" w:hAnsi="Arial" w:cs="Arial"/>
          <w:bCs/>
          <w:sz w:val="20"/>
          <w:szCs w:val="20"/>
          <w:lang w:val="en-US"/>
        </w:rPr>
      </w:pPr>
    </w:p>
    <w:p w:rsidR="00657558" w:rsidRPr="00807837" w:rsidRDefault="00657558" w:rsidP="00807837">
      <w:pPr>
        <w:autoSpaceDE w:val="0"/>
        <w:autoSpaceDN w:val="0"/>
        <w:adjustRightInd w:val="0"/>
        <w:spacing w:after="0" w:line="240" w:lineRule="auto"/>
        <w:rPr>
          <w:rFonts w:ascii="Arial" w:hAnsi="Arial" w:cs="Arial"/>
          <w:bCs/>
          <w:sz w:val="20"/>
          <w:szCs w:val="20"/>
          <w:lang w:val="en-US"/>
        </w:rPr>
      </w:pPr>
    </w:p>
    <w:p w:rsidR="00555B57" w:rsidRPr="00807837" w:rsidRDefault="00C028BE" w:rsidP="00807837">
      <w:pPr>
        <w:spacing w:after="0" w:line="240" w:lineRule="auto"/>
        <w:ind w:left="567" w:hanging="567"/>
        <w:contextualSpacing/>
        <w:rPr>
          <w:rFonts w:ascii="Arial" w:eastAsia="Calibri" w:hAnsi="Arial" w:cs="Arial"/>
          <w:b/>
          <w:sz w:val="20"/>
          <w:szCs w:val="20"/>
        </w:rPr>
      </w:pPr>
      <w:r w:rsidRPr="00807837">
        <w:rPr>
          <w:rFonts w:ascii="Arial" w:eastAsia="Calibri" w:hAnsi="Arial" w:cs="Arial"/>
          <w:b/>
          <w:sz w:val="20"/>
          <w:szCs w:val="20"/>
        </w:rPr>
        <w:t>5.4</w:t>
      </w:r>
      <w:r w:rsidR="00555B57" w:rsidRPr="00807837">
        <w:rPr>
          <w:rFonts w:ascii="Arial" w:eastAsia="Calibri" w:hAnsi="Arial" w:cs="Arial"/>
          <w:b/>
          <w:sz w:val="20"/>
          <w:szCs w:val="20"/>
        </w:rPr>
        <w:tab/>
        <w:t xml:space="preserve">Summary of key issues contained in reports of Finance/Appropriation Committees </w:t>
      </w:r>
    </w:p>
    <w:p w:rsidR="00555B57" w:rsidRPr="00807837" w:rsidRDefault="00555B57" w:rsidP="00807837">
      <w:pPr>
        <w:spacing w:after="0" w:line="240" w:lineRule="auto"/>
        <w:rPr>
          <w:rFonts w:ascii="Arial" w:eastAsia="Calibri" w:hAnsi="Arial" w:cs="Arial"/>
          <w:sz w:val="20"/>
          <w:szCs w:val="20"/>
        </w:rPr>
      </w:pPr>
    </w:p>
    <w:p w:rsidR="00657558" w:rsidRPr="00807837" w:rsidRDefault="00555B57" w:rsidP="00807837">
      <w:pPr>
        <w:spacing w:after="0" w:line="240" w:lineRule="auto"/>
        <w:rPr>
          <w:rFonts w:ascii="Arial" w:eastAsia="Calibri" w:hAnsi="Arial" w:cs="Arial"/>
          <w:sz w:val="20"/>
          <w:szCs w:val="20"/>
        </w:rPr>
      </w:pPr>
      <w:r w:rsidRPr="00807837">
        <w:rPr>
          <w:rFonts w:ascii="Arial" w:eastAsia="Calibri" w:hAnsi="Arial" w:cs="Arial"/>
          <w:sz w:val="20"/>
          <w:szCs w:val="20"/>
        </w:rPr>
        <w:t xml:space="preserve">In the period under review, the Department and SA Tourism had no issues raised by the finance or appropriation </w:t>
      </w:r>
      <w:r w:rsidR="00A35D59" w:rsidRPr="00807837">
        <w:rPr>
          <w:rFonts w:ascii="Arial" w:eastAsia="Calibri" w:hAnsi="Arial" w:cs="Arial"/>
          <w:sz w:val="20"/>
          <w:szCs w:val="20"/>
        </w:rPr>
        <w:t>committees</w:t>
      </w:r>
      <w:r w:rsidRPr="00807837">
        <w:rPr>
          <w:rFonts w:ascii="Arial" w:eastAsia="Calibri" w:hAnsi="Arial" w:cs="Arial"/>
          <w:sz w:val="20"/>
          <w:szCs w:val="20"/>
        </w:rPr>
        <w:t xml:space="preserve">. </w:t>
      </w:r>
    </w:p>
    <w:p w:rsidR="00555B57" w:rsidRPr="00807837" w:rsidRDefault="00555B57" w:rsidP="00807837">
      <w:pPr>
        <w:spacing w:after="0" w:line="240" w:lineRule="auto"/>
        <w:rPr>
          <w:rFonts w:ascii="Arial" w:eastAsia="Calibri" w:hAnsi="Arial" w:cs="Arial"/>
          <w:sz w:val="20"/>
          <w:szCs w:val="20"/>
        </w:rPr>
      </w:pPr>
      <w:r w:rsidRPr="00807837">
        <w:rPr>
          <w:rFonts w:ascii="Arial" w:eastAsia="Calibri" w:hAnsi="Arial" w:cs="Arial"/>
          <w:sz w:val="20"/>
          <w:szCs w:val="20"/>
        </w:rPr>
        <w:t xml:space="preserve"> </w:t>
      </w:r>
    </w:p>
    <w:p w:rsidR="00555B57" w:rsidRPr="00807837" w:rsidRDefault="00555B57" w:rsidP="00807837">
      <w:pPr>
        <w:pStyle w:val="ListParagraph"/>
        <w:numPr>
          <w:ilvl w:val="1"/>
          <w:numId w:val="12"/>
        </w:numPr>
        <w:spacing w:after="0" w:line="240" w:lineRule="auto"/>
        <w:ind w:left="567" w:hanging="567"/>
        <w:rPr>
          <w:rFonts w:ascii="Arial" w:eastAsia="Calibri" w:hAnsi="Arial" w:cs="Arial"/>
          <w:b/>
          <w:sz w:val="20"/>
          <w:szCs w:val="20"/>
        </w:rPr>
      </w:pPr>
      <w:r w:rsidRPr="00807837">
        <w:rPr>
          <w:rFonts w:ascii="Arial" w:eastAsia="Calibri" w:hAnsi="Arial" w:cs="Arial"/>
          <w:b/>
          <w:sz w:val="20"/>
          <w:szCs w:val="20"/>
        </w:rPr>
        <w:t xml:space="preserve">Summary of key financial issues contained in any other relevant report(s) </w:t>
      </w:r>
    </w:p>
    <w:p w:rsidR="00555B57" w:rsidRPr="00807837" w:rsidRDefault="00555B57" w:rsidP="00807837">
      <w:pPr>
        <w:spacing w:after="0" w:line="240" w:lineRule="auto"/>
        <w:contextualSpacing/>
        <w:rPr>
          <w:rFonts w:ascii="Arial" w:eastAsia="Calibri" w:hAnsi="Arial" w:cs="Arial"/>
          <w:sz w:val="20"/>
          <w:szCs w:val="20"/>
        </w:rPr>
      </w:pPr>
    </w:p>
    <w:p w:rsidR="00555B57" w:rsidRPr="00807837" w:rsidRDefault="00555B57" w:rsidP="00807837">
      <w:pPr>
        <w:spacing w:after="0" w:line="240" w:lineRule="auto"/>
        <w:contextualSpacing/>
        <w:rPr>
          <w:rFonts w:ascii="Arial" w:eastAsia="Calibri" w:hAnsi="Arial" w:cs="Arial"/>
          <w:sz w:val="20"/>
          <w:szCs w:val="20"/>
        </w:rPr>
      </w:pPr>
      <w:r w:rsidRPr="00807837">
        <w:rPr>
          <w:rFonts w:ascii="Arial" w:eastAsia="Calibri" w:hAnsi="Arial" w:cs="Arial"/>
          <w:sz w:val="20"/>
          <w:szCs w:val="20"/>
        </w:rPr>
        <w:t xml:space="preserve">The Standing Committee on Public Accounts (SCOPA) did not raise any issues with regard to spending by the Department. </w:t>
      </w:r>
      <w:r w:rsidR="009A6E57" w:rsidRPr="00807837">
        <w:rPr>
          <w:rFonts w:ascii="Arial" w:eastAsia="Calibri" w:hAnsi="Arial" w:cs="Arial"/>
          <w:sz w:val="20"/>
          <w:szCs w:val="20"/>
        </w:rPr>
        <w:t xml:space="preserve">The </w:t>
      </w:r>
      <w:r w:rsidR="00D0415C" w:rsidRPr="00807837">
        <w:rPr>
          <w:rFonts w:ascii="Arial" w:eastAsia="Calibri" w:hAnsi="Arial" w:cs="Arial"/>
          <w:sz w:val="20"/>
          <w:szCs w:val="20"/>
        </w:rPr>
        <w:t>issues</w:t>
      </w:r>
      <w:r w:rsidR="009A6E57" w:rsidRPr="00807837">
        <w:rPr>
          <w:rFonts w:ascii="Arial" w:eastAsia="Calibri" w:hAnsi="Arial" w:cs="Arial"/>
          <w:sz w:val="20"/>
          <w:szCs w:val="20"/>
        </w:rPr>
        <w:t xml:space="preserve"> on the COVID-19 expenditure are detailed under the Report of the Auditor-General</w:t>
      </w:r>
      <w:r w:rsidR="00B36F45" w:rsidRPr="00807837">
        <w:rPr>
          <w:rFonts w:ascii="Arial" w:eastAsia="Calibri" w:hAnsi="Arial" w:cs="Arial"/>
          <w:sz w:val="20"/>
          <w:szCs w:val="20"/>
        </w:rPr>
        <w:t xml:space="preserve"> and Committee observations</w:t>
      </w:r>
      <w:r w:rsidR="009A6E57" w:rsidRPr="00807837">
        <w:rPr>
          <w:rFonts w:ascii="Arial" w:eastAsia="Calibri" w:hAnsi="Arial" w:cs="Arial"/>
          <w:sz w:val="20"/>
          <w:szCs w:val="20"/>
        </w:rPr>
        <w:t xml:space="preserve">. </w:t>
      </w:r>
      <w:r w:rsidRPr="00807837">
        <w:rPr>
          <w:rFonts w:ascii="Arial" w:eastAsia="Calibri" w:hAnsi="Arial" w:cs="Arial"/>
          <w:sz w:val="20"/>
          <w:szCs w:val="20"/>
        </w:rPr>
        <w:t xml:space="preserve"> No financial issues were identified from other sources</w:t>
      </w:r>
      <w:r w:rsidR="009A6E57" w:rsidRPr="00807837">
        <w:rPr>
          <w:rFonts w:ascii="Arial" w:eastAsia="Calibri" w:hAnsi="Arial" w:cs="Arial"/>
          <w:sz w:val="20"/>
          <w:szCs w:val="20"/>
        </w:rPr>
        <w:t xml:space="preserve"> in the period under review</w:t>
      </w:r>
      <w:r w:rsidRPr="00807837">
        <w:rPr>
          <w:rFonts w:ascii="Arial" w:eastAsia="Calibri" w:hAnsi="Arial" w:cs="Arial"/>
          <w:sz w:val="20"/>
          <w:szCs w:val="20"/>
        </w:rPr>
        <w:t>.</w:t>
      </w:r>
    </w:p>
    <w:p w:rsidR="00A5772C" w:rsidRPr="00807837" w:rsidRDefault="00A5772C" w:rsidP="00807837">
      <w:pPr>
        <w:spacing w:after="0" w:line="240" w:lineRule="auto"/>
        <w:rPr>
          <w:rFonts w:ascii="Arial" w:eastAsia="Calibri" w:hAnsi="Arial" w:cs="Arial"/>
          <w:sz w:val="20"/>
          <w:szCs w:val="20"/>
        </w:rPr>
      </w:pPr>
    </w:p>
    <w:p w:rsidR="00A5772C" w:rsidRPr="00807837" w:rsidRDefault="00811AAF" w:rsidP="00807837">
      <w:pPr>
        <w:pStyle w:val="ListParagraph"/>
        <w:numPr>
          <w:ilvl w:val="1"/>
          <w:numId w:val="12"/>
        </w:numPr>
        <w:spacing w:after="0" w:line="240" w:lineRule="auto"/>
        <w:ind w:left="567" w:hanging="567"/>
        <w:rPr>
          <w:rFonts w:ascii="Arial" w:eastAsia="Calibri" w:hAnsi="Arial" w:cs="Arial"/>
          <w:b/>
          <w:sz w:val="20"/>
          <w:szCs w:val="20"/>
        </w:rPr>
      </w:pPr>
      <w:r w:rsidRPr="00807837">
        <w:rPr>
          <w:rFonts w:ascii="Arial" w:eastAsia="Calibri" w:hAnsi="Arial" w:cs="Arial"/>
          <w:b/>
          <w:sz w:val="20"/>
          <w:szCs w:val="20"/>
        </w:rPr>
        <w:t>202</w:t>
      </w:r>
      <w:r w:rsidR="000B728B" w:rsidRPr="00807837">
        <w:rPr>
          <w:rFonts w:ascii="Arial" w:eastAsia="Calibri" w:hAnsi="Arial" w:cs="Arial"/>
          <w:b/>
          <w:sz w:val="20"/>
          <w:szCs w:val="20"/>
        </w:rPr>
        <w:t>1</w:t>
      </w:r>
      <w:r w:rsidRPr="00807837">
        <w:rPr>
          <w:rFonts w:ascii="Arial" w:eastAsia="Calibri" w:hAnsi="Arial" w:cs="Arial"/>
          <w:b/>
          <w:sz w:val="20"/>
          <w:szCs w:val="20"/>
        </w:rPr>
        <w:t>/2</w:t>
      </w:r>
      <w:r w:rsidR="000B728B" w:rsidRPr="00807837">
        <w:rPr>
          <w:rFonts w:ascii="Arial" w:eastAsia="Calibri" w:hAnsi="Arial" w:cs="Arial"/>
          <w:b/>
          <w:sz w:val="20"/>
          <w:szCs w:val="20"/>
        </w:rPr>
        <w:t>2</w:t>
      </w:r>
      <w:r w:rsidR="00A5772C" w:rsidRPr="00807837">
        <w:rPr>
          <w:rFonts w:ascii="Arial" w:eastAsia="Calibri" w:hAnsi="Arial" w:cs="Arial"/>
          <w:b/>
          <w:sz w:val="20"/>
          <w:szCs w:val="20"/>
        </w:rPr>
        <w:t xml:space="preserve"> MTEF financial allocations</w:t>
      </w:r>
    </w:p>
    <w:p w:rsidR="00A5772C" w:rsidRPr="00807837" w:rsidRDefault="00A5772C" w:rsidP="00807837">
      <w:pPr>
        <w:pStyle w:val="ListParagraph"/>
        <w:spacing w:after="0" w:line="240" w:lineRule="auto"/>
        <w:ind w:left="567"/>
        <w:rPr>
          <w:rFonts w:ascii="Arial" w:eastAsia="Calibri" w:hAnsi="Arial" w:cs="Arial"/>
          <w:b/>
          <w:sz w:val="20"/>
          <w:szCs w:val="20"/>
        </w:rPr>
      </w:pPr>
    </w:p>
    <w:p w:rsidR="00A5772C" w:rsidRPr="00807837" w:rsidRDefault="00A5772C" w:rsidP="00807837">
      <w:pPr>
        <w:numPr>
          <w:ilvl w:val="2"/>
          <w:numId w:val="12"/>
        </w:numPr>
        <w:spacing w:after="0" w:line="240" w:lineRule="auto"/>
        <w:ind w:left="709" w:hanging="709"/>
        <w:contextualSpacing/>
        <w:rPr>
          <w:rFonts w:ascii="Arial" w:eastAsia="Calibri" w:hAnsi="Arial" w:cs="Arial"/>
          <w:sz w:val="20"/>
          <w:szCs w:val="20"/>
        </w:rPr>
      </w:pPr>
      <w:r w:rsidRPr="00807837">
        <w:rPr>
          <w:rFonts w:ascii="Arial" w:eastAsia="Calibri" w:hAnsi="Arial" w:cs="Arial"/>
          <w:sz w:val="20"/>
          <w:szCs w:val="20"/>
        </w:rPr>
        <w:t xml:space="preserve">Summary of funding submissions to the National Treasury for the </w:t>
      </w:r>
      <w:r w:rsidR="002A6718" w:rsidRPr="00807837">
        <w:rPr>
          <w:rFonts w:ascii="Arial" w:eastAsia="Calibri" w:hAnsi="Arial" w:cs="Arial"/>
          <w:sz w:val="20"/>
          <w:szCs w:val="20"/>
        </w:rPr>
        <w:t>202</w:t>
      </w:r>
      <w:r w:rsidR="000B728B" w:rsidRPr="00807837">
        <w:rPr>
          <w:rFonts w:ascii="Arial" w:eastAsia="Calibri" w:hAnsi="Arial" w:cs="Arial"/>
          <w:sz w:val="20"/>
          <w:szCs w:val="20"/>
        </w:rPr>
        <w:t>1</w:t>
      </w:r>
      <w:r w:rsidR="002A6718" w:rsidRPr="00807837">
        <w:rPr>
          <w:rFonts w:ascii="Arial" w:eastAsia="Calibri" w:hAnsi="Arial" w:cs="Arial"/>
          <w:sz w:val="20"/>
          <w:szCs w:val="20"/>
        </w:rPr>
        <w:t>/2</w:t>
      </w:r>
      <w:r w:rsidR="000B728B" w:rsidRPr="00807837">
        <w:rPr>
          <w:rFonts w:ascii="Arial" w:eastAsia="Calibri" w:hAnsi="Arial" w:cs="Arial"/>
          <w:sz w:val="20"/>
          <w:szCs w:val="20"/>
        </w:rPr>
        <w:t>2</w:t>
      </w:r>
      <w:r w:rsidRPr="00807837">
        <w:rPr>
          <w:rFonts w:ascii="Arial" w:eastAsia="Calibri" w:hAnsi="Arial" w:cs="Arial"/>
          <w:sz w:val="20"/>
          <w:szCs w:val="20"/>
        </w:rPr>
        <w:t xml:space="preserve"> MTEF.</w:t>
      </w:r>
    </w:p>
    <w:p w:rsidR="00E1330A" w:rsidRPr="00807837" w:rsidRDefault="00E1330A" w:rsidP="00807837">
      <w:pPr>
        <w:spacing w:after="0" w:line="240" w:lineRule="auto"/>
        <w:rPr>
          <w:rFonts w:ascii="Arial" w:eastAsia="Calibri" w:hAnsi="Arial" w:cs="Arial"/>
          <w:sz w:val="20"/>
          <w:szCs w:val="20"/>
        </w:rPr>
      </w:pPr>
    </w:p>
    <w:p w:rsidR="00A5772C" w:rsidRPr="00807837" w:rsidRDefault="00A5772C" w:rsidP="00807837">
      <w:pPr>
        <w:spacing w:after="0" w:line="240" w:lineRule="auto"/>
        <w:rPr>
          <w:rFonts w:ascii="Arial" w:eastAsia="Calibri" w:hAnsi="Arial" w:cs="Arial"/>
          <w:sz w:val="20"/>
          <w:szCs w:val="20"/>
        </w:rPr>
      </w:pPr>
      <w:r w:rsidRPr="00807837">
        <w:rPr>
          <w:rFonts w:ascii="Arial" w:eastAsia="Calibri" w:hAnsi="Arial" w:cs="Arial"/>
          <w:sz w:val="20"/>
          <w:szCs w:val="20"/>
        </w:rPr>
        <w:t>The detailed funding submissions made to th</w:t>
      </w:r>
      <w:r w:rsidR="00811AAF" w:rsidRPr="00807837">
        <w:rPr>
          <w:rFonts w:ascii="Arial" w:eastAsia="Calibri" w:hAnsi="Arial" w:cs="Arial"/>
          <w:sz w:val="20"/>
          <w:szCs w:val="20"/>
        </w:rPr>
        <w:t xml:space="preserve">e </w:t>
      </w:r>
      <w:r w:rsidR="00F37DE2" w:rsidRPr="00807837">
        <w:rPr>
          <w:rFonts w:ascii="Arial" w:eastAsia="Calibri" w:hAnsi="Arial" w:cs="Arial"/>
          <w:sz w:val="20"/>
          <w:szCs w:val="20"/>
        </w:rPr>
        <w:t>N</w:t>
      </w:r>
      <w:r w:rsidR="00811AAF" w:rsidRPr="00807837">
        <w:rPr>
          <w:rFonts w:ascii="Arial" w:eastAsia="Calibri" w:hAnsi="Arial" w:cs="Arial"/>
          <w:sz w:val="20"/>
          <w:szCs w:val="20"/>
        </w:rPr>
        <w:t>ational Treasury for the 202</w:t>
      </w:r>
      <w:r w:rsidR="000B728B" w:rsidRPr="00807837">
        <w:rPr>
          <w:rFonts w:ascii="Arial" w:eastAsia="Calibri" w:hAnsi="Arial" w:cs="Arial"/>
          <w:sz w:val="20"/>
          <w:szCs w:val="20"/>
        </w:rPr>
        <w:t>1</w:t>
      </w:r>
      <w:r w:rsidRPr="00807837">
        <w:rPr>
          <w:rFonts w:ascii="Arial" w:eastAsia="Calibri" w:hAnsi="Arial" w:cs="Arial"/>
          <w:sz w:val="20"/>
          <w:szCs w:val="20"/>
        </w:rPr>
        <w:t>/2</w:t>
      </w:r>
      <w:r w:rsidR="000B728B" w:rsidRPr="00807837">
        <w:rPr>
          <w:rFonts w:ascii="Arial" w:eastAsia="Calibri" w:hAnsi="Arial" w:cs="Arial"/>
          <w:sz w:val="20"/>
          <w:szCs w:val="20"/>
        </w:rPr>
        <w:t>2</w:t>
      </w:r>
      <w:r w:rsidR="00811AAF" w:rsidRPr="00807837">
        <w:rPr>
          <w:rFonts w:ascii="Arial" w:eastAsia="Calibri" w:hAnsi="Arial" w:cs="Arial"/>
          <w:sz w:val="20"/>
          <w:szCs w:val="20"/>
        </w:rPr>
        <w:t xml:space="preserve"> financial year were as follows:</w:t>
      </w:r>
    </w:p>
    <w:p w:rsidR="00811AAF" w:rsidRPr="00807837" w:rsidRDefault="00811AAF" w:rsidP="00807837">
      <w:pPr>
        <w:spacing w:after="0" w:line="240" w:lineRule="auto"/>
        <w:rPr>
          <w:rFonts w:ascii="Arial" w:eastAsia="Calibri" w:hAnsi="Arial" w:cs="Arial"/>
          <w:sz w:val="20"/>
          <w:szCs w:val="20"/>
        </w:rPr>
      </w:pPr>
    </w:p>
    <w:p w:rsidR="000B728B" w:rsidRPr="00807837" w:rsidRDefault="000B728B" w:rsidP="00807837">
      <w:pPr>
        <w:pStyle w:val="ListParagraph"/>
        <w:numPr>
          <w:ilvl w:val="0"/>
          <w:numId w:val="47"/>
        </w:numPr>
        <w:spacing w:after="0" w:line="240" w:lineRule="auto"/>
        <w:rPr>
          <w:rFonts w:ascii="Arial" w:hAnsi="Arial" w:cs="Arial"/>
          <w:sz w:val="20"/>
          <w:szCs w:val="20"/>
        </w:rPr>
      </w:pPr>
      <w:r w:rsidRPr="00807837">
        <w:rPr>
          <w:rFonts w:ascii="Arial" w:hAnsi="Arial" w:cs="Arial"/>
          <w:sz w:val="20"/>
          <w:szCs w:val="20"/>
        </w:rPr>
        <w:t xml:space="preserve">With regard to </w:t>
      </w:r>
      <w:r w:rsidR="00B75BD8" w:rsidRPr="00807837">
        <w:rPr>
          <w:rFonts w:ascii="Arial" w:hAnsi="Arial" w:cs="Arial"/>
          <w:sz w:val="20"/>
          <w:szCs w:val="20"/>
        </w:rPr>
        <w:t xml:space="preserve">the </w:t>
      </w:r>
      <w:r w:rsidRPr="00807837">
        <w:rPr>
          <w:rFonts w:ascii="Arial" w:hAnsi="Arial" w:cs="Arial"/>
          <w:sz w:val="20"/>
          <w:szCs w:val="20"/>
        </w:rPr>
        <w:t>court interdict on the implementation of the Tourism Equity Fund:</w:t>
      </w:r>
    </w:p>
    <w:p w:rsidR="000B728B" w:rsidRPr="00807837" w:rsidRDefault="000B728B" w:rsidP="00807837">
      <w:pPr>
        <w:pStyle w:val="ListParagraph"/>
        <w:spacing w:after="0" w:line="240" w:lineRule="auto"/>
        <w:rPr>
          <w:rFonts w:ascii="Arial" w:hAnsi="Arial" w:cs="Arial"/>
          <w:sz w:val="20"/>
          <w:szCs w:val="20"/>
        </w:rPr>
      </w:pPr>
    </w:p>
    <w:p w:rsidR="000B728B" w:rsidRPr="00807837" w:rsidRDefault="000B728B" w:rsidP="00807837">
      <w:pPr>
        <w:pStyle w:val="ListParagraph"/>
        <w:numPr>
          <w:ilvl w:val="0"/>
          <w:numId w:val="48"/>
        </w:numPr>
        <w:spacing w:after="0" w:line="240" w:lineRule="auto"/>
        <w:ind w:left="1080"/>
        <w:rPr>
          <w:rFonts w:ascii="Arial" w:hAnsi="Arial" w:cs="Arial"/>
          <w:sz w:val="20"/>
          <w:szCs w:val="20"/>
        </w:rPr>
      </w:pPr>
      <w:r w:rsidRPr="00807837">
        <w:rPr>
          <w:rFonts w:ascii="Arial" w:hAnsi="Arial" w:cs="Arial"/>
          <w:sz w:val="20"/>
          <w:szCs w:val="20"/>
        </w:rPr>
        <w:t>Follows up on the court interdict against the Tourism Equity Fund and engages relevant stakeholders to understand the transformation imperative in the tourism sector.</w:t>
      </w:r>
    </w:p>
    <w:p w:rsidR="00347163" w:rsidRPr="00807837" w:rsidRDefault="00347163" w:rsidP="00807837">
      <w:pPr>
        <w:pStyle w:val="ListParagraph"/>
        <w:spacing w:after="0" w:line="240" w:lineRule="auto"/>
        <w:ind w:left="1440"/>
        <w:rPr>
          <w:rFonts w:ascii="Arial" w:hAnsi="Arial" w:cs="Arial"/>
          <w:sz w:val="20"/>
          <w:szCs w:val="20"/>
        </w:rPr>
      </w:pPr>
    </w:p>
    <w:p w:rsidR="000B728B" w:rsidRPr="00807837" w:rsidRDefault="000B728B" w:rsidP="00807837">
      <w:pPr>
        <w:pStyle w:val="ListParagraph"/>
        <w:numPr>
          <w:ilvl w:val="0"/>
          <w:numId w:val="48"/>
        </w:numPr>
        <w:spacing w:after="0" w:line="240" w:lineRule="auto"/>
        <w:ind w:left="1080"/>
        <w:rPr>
          <w:rFonts w:ascii="Arial" w:hAnsi="Arial" w:cs="Arial"/>
          <w:sz w:val="20"/>
          <w:szCs w:val="20"/>
        </w:rPr>
      </w:pPr>
      <w:r w:rsidRPr="00807837">
        <w:rPr>
          <w:rFonts w:ascii="Arial" w:hAnsi="Arial" w:cs="Arial"/>
          <w:sz w:val="20"/>
          <w:szCs w:val="20"/>
        </w:rPr>
        <w:t>Adopts a counteroffensive strategy to push-back all and any malicious attempt by civil society organisations to derail the implementation of tourism transformation programmes.</w:t>
      </w:r>
    </w:p>
    <w:p w:rsidR="000B728B" w:rsidRPr="00807837" w:rsidRDefault="000B728B" w:rsidP="00807837">
      <w:pPr>
        <w:pStyle w:val="ListParagraph"/>
        <w:spacing w:after="0" w:line="240" w:lineRule="auto"/>
        <w:rPr>
          <w:rFonts w:ascii="Arial" w:hAnsi="Arial" w:cs="Arial"/>
          <w:sz w:val="20"/>
          <w:szCs w:val="20"/>
        </w:rPr>
      </w:pPr>
    </w:p>
    <w:p w:rsidR="000B728B" w:rsidRPr="00807837" w:rsidRDefault="000B728B" w:rsidP="00807837">
      <w:pPr>
        <w:pStyle w:val="ListParagraph"/>
        <w:numPr>
          <w:ilvl w:val="0"/>
          <w:numId w:val="47"/>
        </w:numPr>
        <w:spacing w:after="0" w:line="240" w:lineRule="auto"/>
        <w:rPr>
          <w:rFonts w:ascii="Arial" w:hAnsi="Arial" w:cs="Arial"/>
          <w:sz w:val="20"/>
          <w:szCs w:val="20"/>
        </w:rPr>
      </w:pPr>
      <w:r w:rsidRPr="00807837">
        <w:rPr>
          <w:rFonts w:ascii="Arial" w:hAnsi="Arial" w:cs="Arial"/>
          <w:sz w:val="20"/>
          <w:szCs w:val="20"/>
        </w:rPr>
        <w:t>Impresses on the Cabinet to work on repealing and rescinding the Treasury Note issued on 25 February 2022 that put appointment of new service providers in abeyance as this has serious implications in the implementation of the 2022/23 Annual Performance Plan.</w:t>
      </w:r>
    </w:p>
    <w:p w:rsidR="000B728B" w:rsidRPr="00807837" w:rsidRDefault="000B728B" w:rsidP="00807837">
      <w:pPr>
        <w:pStyle w:val="ListParagraph"/>
        <w:spacing w:after="0" w:line="240" w:lineRule="auto"/>
        <w:rPr>
          <w:rFonts w:ascii="Arial" w:hAnsi="Arial" w:cs="Arial"/>
          <w:sz w:val="20"/>
          <w:szCs w:val="20"/>
        </w:rPr>
      </w:pPr>
    </w:p>
    <w:p w:rsidR="000B728B" w:rsidRPr="00807837" w:rsidRDefault="000B728B" w:rsidP="00807837">
      <w:pPr>
        <w:pStyle w:val="ListParagraph"/>
        <w:numPr>
          <w:ilvl w:val="0"/>
          <w:numId w:val="47"/>
        </w:numPr>
        <w:spacing w:after="0" w:line="240" w:lineRule="auto"/>
        <w:rPr>
          <w:rFonts w:ascii="Arial" w:hAnsi="Arial" w:cs="Arial"/>
          <w:sz w:val="20"/>
          <w:szCs w:val="20"/>
        </w:rPr>
      </w:pPr>
      <w:r w:rsidRPr="00807837">
        <w:rPr>
          <w:rFonts w:ascii="Arial" w:hAnsi="Arial" w:cs="Arial"/>
          <w:sz w:val="20"/>
          <w:szCs w:val="20"/>
        </w:rPr>
        <w:t>Adopts a zero tolerance attitude to officials who commit fraudulent activities and apply serious consequence management to prevent any future financial maleficence.</w:t>
      </w:r>
    </w:p>
    <w:p w:rsidR="000B728B" w:rsidRPr="00807837" w:rsidRDefault="000B728B" w:rsidP="00807837">
      <w:pPr>
        <w:pStyle w:val="ListParagraph"/>
        <w:numPr>
          <w:ilvl w:val="0"/>
          <w:numId w:val="47"/>
        </w:numPr>
        <w:spacing w:after="0" w:line="240" w:lineRule="auto"/>
        <w:rPr>
          <w:rFonts w:ascii="Arial" w:hAnsi="Arial" w:cs="Arial"/>
          <w:sz w:val="20"/>
          <w:szCs w:val="20"/>
        </w:rPr>
      </w:pPr>
      <w:r w:rsidRPr="00807837">
        <w:rPr>
          <w:rFonts w:ascii="Arial" w:hAnsi="Arial" w:cs="Arial"/>
          <w:sz w:val="20"/>
          <w:szCs w:val="20"/>
        </w:rPr>
        <w:t xml:space="preserve"> Provides clarity on the relief and recovery interventions the Department will implement in assisting tourism establishments that were affected by the floods in KwaZulu-Natal, northern Eastern Cape and North West provinces.</w:t>
      </w:r>
    </w:p>
    <w:p w:rsidR="00347163" w:rsidRPr="00807837" w:rsidRDefault="00347163" w:rsidP="00807837">
      <w:pPr>
        <w:pStyle w:val="ListParagraph"/>
        <w:spacing w:after="0" w:line="240" w:lineRule="auto"/>
        <w:rPr>
          <w:rFonts w:ascii="Arial" w:hAnsi="Arial" w:cs="Arial"/>
          <w:sz w:val="20"/>
          <w:szCs w:val="20"/>
        </w:rPr>
      </w:pPr>
    </w:p>
    <w:p w:rsidR="00347163" w:rsidRPr="00807837" w:rsidRDefault="000B728B" w:rsidP="00807837">
      <w:pPr>
        <w:pStyle w:val="ListParagraph"/>
        <w:numPr>
          <w:ilvl w:val="0"/>
          <w:numId w:val="47"/>
        </w:numPr>
        <w:spacing w:after="0" w:line="240" w:lineRule="auto"/>
        <w:rPr>
          <w:rFonts w:ascii="Arial" w:hAnsi="Arial" w:cs="Arial"/>
          <w:sz w:val="20"/>
          <w:szCs w:val="20"/>
        </w:rPr>
      </w:pPr>
      <w:r w:rsidRPr="00807837">
        <w:rPr>
          <w:rFonts w:ascii="Arial" w:hAnsi="Arial" w:cs="Arial"/>
          <w:sz w:val="20"/>
          <w:szCs w:val="20"/>
        </w:rPr>
        <w:t>Provide equitable budget for leisure tourism and business tourism to leverage more from both.</w:t>
      </w:r>
    </w:p>
    <w:p w:rsidR="00347163" w:rsidRPr="00807837" w:rsidRDefault="00347163" w:rsidP="00807837">
      <w:pPr>
        <w:pStyle w:val="ListParagraph"/>
        <w:spacing w:after="0" w:line="240" w:lineRule="auto"/>
        <w:rPr>
          <w:rFonts w:ascii="Arial" w:hAnsi="Arial" w:cs="Arial"/>
          <w:sz w:val="20"/>
          <w:szCs w:val="20"/>
        </w:rPr>
      </w:pPr>
    </w:p>
    <w:p w:rsidR="000B728B" w:rsidRPr="00807837" w:rsidRDefault="000B728B" w:rsidP="00807837">
      <w:pPr>
        <w:pStyle w:val="ListParagraph"/>
        <w:numPr>
          <w:ilvl w:val="0"/>
          <w:numId w:val="47"/>
        </w:numPr>
        <w:spacing w:after="0" w:line="240" w:lineRule="auto"/>
        <w:rPr>
          <w:rFonts w:ascii="Arial" w:hAnsi="Arial" w:cs="Arial"/>
          <w:sz w:val="20"/>
          <w:szCs w:val="20"/>
        </w:rPr>
      </w:pPr>
      <w:r w:rsidRPr="00807837">
        <w:rPr>
          <w:rFonts w:ascii="Arial" w:hAnsi="Arial" w:cs="Arial"/>
          <w:sz w:val="20"/>
          <w:szCs w:val="20"/>
        </w:rPr>
        <w:t>Engage the Office of the President of the Republic of South Africa to relocate Brand South Africa from the Presidency to be the entity of the Department of Tourism to align marketing and brand work of the country.</w:t>
      </w:r>
    </w:p>
    <w:p w:rsidR="000B728B" w:rsidRPr="00807837" w:rsidRDefault="000B728B" w:rsidP="00807837">
      <w:pPr>
        <w:pStyle w:val="ListParagraph"/>
        <w:spacing w:after="0" w:line="240" w:lineRule="auto"/>
        <w:rPr>
          <w:rFonts w:ascii="Arial" w:hAnsi="Arial" w:cs="Arial"/>
          <w:sz w:val="20"/>
          <w:szCs w:val="20"/>
        </w:rPr>
      </w:pPr>
    </w:p>
    <w:p w:rsidR="00A5772C" w:rsidRPr="00807837" w:rsidRDefault="00A5772C" w:rsidP="00807837">
      <w:pPr>
        <w:pStyle w:val="ListParagraph"/>
        <w:numPr>
          <w:ilvl w:val="0"/>
          <w:numId w:val="8"/>
        </w:numPr>
        <w:spacing w:after="0" w:line="240" w:lineRule="auto"/>
        <w:ind w:left="567" w:hanging="567"/>
        <w:rPr>
          <w:rFonts w:ascii="Arial" w:eastAsia="Calibri" w:hAnsi="Arial" w:cs="Arial"/>
          <w:sz w:val="20"/>
          <w:szCs w:val="20"/>
        </w:rPr>
      </w:pPr>
      <w:r w:rsidRPr="00807837">
        <w:rPr>
          <w:rFonts w:ascii="Arial" w:eastAsia="Calibri" w:hAnsi="Arial" w:cs="Arial"/>
          <w:b/>
          <w:sz w:val="20"/>
          <w:szCs w:val="20"/>
        </w:rPr>
        <w:t>OVERVIEW AND ASSESSMENT OF SERVICE DELIVERY PERFORMANCE</w:t>
      </w:r>
    </w:p>
    <w:p w:rsidR="00A5772C" w:rsidRPr="00807837" w:rsidRDefault="00A5772C" w:rsidP="00807837">
      <w:pPr>
        <w:spacing w:after="0" w:line="240" w:lineRule="auto"/>
        <w:rPr>
          <w:rFonts w:ascii="Arial" w:eastAsia="Calibri" w:hAnsi="Arial" w:cs="Arial"/>
          <w:sz w:val="20"/>
          <w:szCs w:val="20"/>
        </w:rPr>
      </w:pPr>
    </w:p>
    <w:p w:rsidR="00A5772C" w:rsidRPr="00807837" w:rsidRDefault="00A5772C" w:rsidP="00807837">
      <w:pPr>
        <w:spacing w:after="0" w:line="240" w:lineRule="auto"/>
        <w:rPr>
          <w:rFonts w:ascii="Arial" w:eastAsia="Calibri" w:hAnsi="Arial" w:cs="Arial"/>
          <w:sz w:val="20"/>
          <w:szCs w:val="20"/>
        </w:rPr>
      </w:pPr>
      <w:r w:rsidRPr="00807837">
        <w:rPr>
          <w:rFonts w:ascii="Arial" w:eastAsia="Calibri" w:hAnsi="Arial" w:cs="Arial"/>
          <w:sz w:val="20"/>
          <w:szCs w:val="20"/>
        </w:rPr>
        <w:lastRenderedPageBreak/>
        <w:t>The service delivery performance assessment is presented for both the Department and SA Tourism</w:t>
      </w:r>
      <w:r w:rsidR="00B25974" w:rsidRPr="00807837">
        <w:rPr>
          <w:rFonts w:ascii="Arial" w:eastAsia="Calibri" w:hAnsi="Arial" w:cs="Arial"/>
          <w:sz w:val="20"/>
          <w:szCs w:val="20"/>
        </w:rPr>
        <w:t>.</w:t>
      </w:r>
    </w:p>
    <w:p w:rsidR="00B25974" w:rsidRPr="00807837" w:rsidRDefault="00B25974" w:rsidP="00807837">
      <w:pPr>
        <w:spacing w:after="0" w:line="240" w:lineRule="auto"/>
        <w:rPr>
          <w:rFonts w:ascii="Arial" w:eastAsia="Calibri" w:hAnsi="Arial" w:cs="Arial"/>
          <w:sz w:val="20"/>
          <w:szCs w:val="20"/>
        </w:rPr>
      </w:pPr>
    </w:p>
    <w:p w:rsidR="00B25974" w:rsidRPr="00807837" w:rsidRDefault="00B25974" w:rsidP="00807837">
      <w:pPr>
        <w:pStyle w:val="ListParagraph"/>
        <w:numPr>
          <w:ilvl w:val="1"/>
          <w:numId w:val="8"/>
        </w:numPr>
        <w:spacing w:after="0" w:line="240" w:lineRule="auto"/>
        <w:ind w:left="567" w:hanging="567"/>
        <w:rPr>
          <w:rFonts w:ascii="Arial" w:eastAsia="Calibri" w:hAnsi="Arial" w:cs="Arial"/>
          <w:sz w:val="20"/>
          <w:szCs w:val="20"/>
        </w:rPr>
      </w:pPr>
      <w:r w:rsidRPr="00807837">
        <w:rPr>
          <w:rFonts w:ascii="Arial" w:eastAsia="Calibri" w:hAnsi="Arial" w:cs="Arial"/>
          <w:sz w:val="20"/>
          <w:szCs w:val="20"/>
        </w:rPr>
        <w:t>The Department of Tourism</w:t>
      </w:r>
    </w:p>
    <w:p w:rsidR="002D3B50" w:rsidRPr="00807837" w:rsidRDefault="002D3B50" w:rsidP="00807837">
      <w:pPr>
        <w:spacing w:after="0" w:line="240" w:lineRule="auto"/>
        <w:contextualSpacing/>
        <w:rPr>
          <w:rFonts w:ascii="Arial" w:hAnsi="Arial" w:cs="Arial"/>
          <w:sz w:val="20"/>
          <w:szCs w:val="20"/>
        </w:rPr>
      </w:pPr>
    </w:p>
    <w:p w:rsidR="00447AC6" w:rsidRPr="00807837" w:rsidRDefault="00447AC6" w:rsidP="00807837">
      <w:pPr>
        <w:spacing w:after="0" w:line="240" w:lineRule="auto"/>
        <w:contextualSpacing/>
        <w:rPr>
          <w:rFonts w:ascii="Arial" w:hAnsi="Arial" w:cs="Arial"/>
          <w:sz w:val="20"/>
          <w:szCs w:val="20"/>
        </w:rPr>
      </w:pPr>
      <w:r w:rsidRPr="00807837">
        <w:rPr>
          <w:rFonts w:ascii="Arial" w:hAnsi="Arial" w:cs="Arial"/>
          <w:sz w:val="20"/>
          <w:szCs w:val="20"/>
        </w:rPr>
        <w:t xml:space="preserve">The achievement in the four Programmes was as follows: </w:t>
      </w:r>
    </w:p>
    <w:p w:rsidR="00900394" w:rsidRPr="00807837" w:rsidRDefault="00900394" w:rsidP="00807837">
      <w:pPr>
        <w:spacing w:after="0" w:line="240" w:lineRule="auto"/>
        <w:contextualSpacing/>
        <w:rPr>
          <w:rFonts w:ascii="Arial" w:hAnsi="Arial" w:cs="Arial"/>
          <w:b/>
          <w:sz w:val="20"/>
          <w:szCs w:val="20"/>
        </w:rPr>
      </w:pPr>
    </w:p>
    <w:p w:rsidR="00ED3136" w:rsidRPr="00807837" w:rsidRDefault="00447AC6" w:rsidP="00807837">
      <w:pPr>
        <w:spacing w:after="0" w:line="240" w:lineRule="auto"/>
        <w:contextualSpacing/>
        <w:rPr>
          <w:rFonts w:ascii="Arial" w:hAnsi="Arial" w:cs="Arial"/>
          <w:sz w:val="20"/>
          <w:szCs w:val="20"/>
        </w:rPr>
      </w:pPr>
      <w:r w:rsidRPr="00807837">
        <w:rPr>
          <w:rFonts w:ascii="Arial" w:hAnsi="Arial" w:cs="Arial"/>
          <w:b/>
          <w:sz w:val="20"/>
          <w:szCs w:val="20"/>
        </w:rPr>
        <w:t>Table 6</w:t>
      </w:r>
      <w:r w:rsidR="00ED3136" w:rsidRPr="00807837">
        <w:rPr>
          <w:rFonts w:ascii="Arial" w:hAnsi="Arial" w:cs="Arial"/>
          <w:b/>
          <w:sz w:val="20"/>
          <w:szCs w:val="20"/>
        </w:rPr>
        <w:t>: Achievement of Targets Per Programme</w:t>
      </w:r>
    </w:p>
    <w:tbl>
      <w:tblPr>
        <w:tblStyle w:val="TableGrid4"/>
        <w:tblW w:w="9214" w:type="dxa"/>
        <w:tblInd w:w="-5" w:type="dxa"/>
        <w:tblLayout w:type="fixed"/>
        <w:tblLook w:val="04A0"/>
      </w:tblPr>
      <w:tblGrid>
        <w:gridCol w:w="2977"/>
        <w:gridCol w:w="1134"/>
        <w:gridCol w:w="1276"/>
        <w:gridCol w:w="1134"/>
        <w:gridCol w:w="1276"/>
        <w:gridCol w:w="1417"/>
      </w:tblGrid>
      <w:tr w:rsidR="00720739" w:rsidRPr="00807837" w:rsidTr="00900394">
        <w:tc>
          <w:tcPr>
            <w:tcW w:w="2977" w:type="dxa"/>
            <w:vMerge w:val="restart"/>
          </w:tcPr>
          <w:p w:rsidR="00ED3136" w:rsidRPr="00807837" w:rsidRDefault="00ED3136" w:rsidP="00807837">
            <w:pPr>
              <w:rPr>
                <w:rFonts w:ascii="Arial" w:hAnsi="Arial" w:cs="Arial"/>
                <w:b/>
                <w:sz w:val="20"/>
                <w:szCs w:val="20"/>
              </w:rPr>
            </w:pPr>
            <w:r w:rsidRPr="00807837">
              <w:rPr>
                <w:rFonts w:ascii="Arial" w:hAnsi="Arial" w:cs="Arial"/>
                <w:b/>
                <w:sz w:val="20"/>
                <w:szCs w:val="20"/>
              </w:rPr>
              <w:t>Programme</w:t>
            </w:r>
          </w:p>
        </w:tc>
        <w:tc>
          <w:tcPr>
            <w:tcW w:w="1134" w:type="dxa"/>
            <w:vMerge w:val="restart"/>
          </w:tcPr>
          <w:p w:rsidR="00ED3136" w:rsidRPr="00807837" w:rsidRDefault="00ED3136" w:rsidP="00807837">
            <w:pPr>
              <w:rPr>
                <w:rFonts w:ascii="Arial" w:hAnsi="Arial" w:cs="Arial"/>
                <w:b/>
                <w:sz w:val="20"/>
                <w:szCs w:val="20"/>
              </w:rPr>
            </w:pPr>
            <w:r w:rsidRPr="00807837">
              <w:rPr>
                <w:rFonts w:ascii="Arial" w:hAnsi="Arial" w:cs="Arial"/>
                <w:b/>
                <w:sz w:val="20"/>
                <w:szCs w:val="20"/>
              </w:rPr>
              <w:t xml:space="preserve">Planned Targets </w:t>
            </w:r>
          </w:p>
        </w:tc>
        <w:tc>
          <w:tcPr>
            <w:tcW w:w="2410" w:type="dxa"/>
            <w:gridSpan w:val="2"/>
          </w:tcPr>
          <w:p w:rsidR="00ED3136" w:rsidRPr="00807837" w:rsidRDefault="00ED3136" w:rsidP="00807837">
            <w:pPr>
              <w:rPr>
                <w:rFonts w:ascii="Arial" w:hAnsi="Arial" w:cs="Arial"/>
                <w:b/>
                <w:sz w:val="20"/>
                <w:szCs w:val="20"/>
              </w:rPr>
            </w:pPr>
            <w:r w:rsidRPr="00807837">
              <w:rPr>
                <w:rFonts w:ascii="Arial" w:hAnsi="Arial" w:cs="Arial"/>
                <w:b/>
                <w:sz w:val="20"/>
                <w:szCs w:val="20"/>
              </w:rPr>
              <w:t>Achievement</w:t>
            </w:r>
          </w:p>
        </w:tc>
        <w:tc>
          <w:tcPr>
            <w:tcW w:w="2693" w:type="dxa"/>
            <w:gridSpan w:val="2"/>
          </w:tcPr>
          <w:p w:rsidR="00ED3136" w:rsidRPr="00807837" w:rsidRDefault="00ED3136" w:rsidP="00807837">
            <w:pPr>
              <w:rPr>
                <w:rFonts w:ascii="Arial" w:hAnsi="Arial" w:cs="Arial"/>
                <w:b/>
                <w:sz w:val="20"/>
                <w:szCs w:val="20"/>
              </w:rPr>
            </w:pPr>
            <w:r w:rsidRPr="00807837">
              <w:rPr>
                <w:rFonts w:ascii="Arial" w:hAnsi="Arial" w:cs="Arial"/>
                <w:b/>
                <w:sz w:val="20"/>
                <w:szCs w:val="20"/>
              </w:rPr>
              <w:t>Non Achievement</w:t>
            </w:r>
          </w:p>
        </w:tc>
      </w:tr>
      <w:tr w:rsidR="00720739" w:rsidRPr="00807837" w:rsidTr="00900394">
        <w:trPr>
          <w:trHeight w:val="44"/>
        </w:trPr>
        <w:tc>
          <w:tcPr>
            <w:tcW w:w="2977" w:type="dxa"/>
            <w:vMerge/>
          </w:tcPr>
          <w:p w:rsidR="00ED3136" w:rsidRPr="00807837" w:rsidRDefault="00ED3136" w:rsidP="00807837">
            <w:pPr>
              <w:rPr>
                <w:rFonts w:ascii="Arial" w:hAnsi="Arial" w:cs="Arial"/>
                <w:b/>
                <w:sz w:val="20"/>
                <w:szCs w:val="20"/>
              </w:rPr>
            </w:pPr>
          </w:p>
        </w:tc>
        <w:tc>
          <w:tcPr>
            <w:tcW w:w="1134" w:type="dxa"/>
            <w:vMerge/>
          </w:tcPr>
          <w:p w:rsidR="00ED3136" w:rsidRPr="00807837" w:rsidRDefault="00ED3136" w:rsidP="00807837">
            <w:pPr>
              <w:rPr>
                <w:rFonts w:ascii="Arial" w:hAnsi="Arial" w:cs="Arial"/>
                <w:b/>
                <w:sz w:val="20"/>
                <w:szCs w:val="20"/>
              </w:rPr>
            </w:pPr>
          </w:p>
        </w:tc>
        <w:tc>
          <w:tcPr>
            <w:tcW w:w="1276" w:type="dxa"/>
          </w:tcPr>
          <w:p w:rsidR="00ED3136" w:rsidRPr="00807837" w:rsidRDefault="00ED3136" w:rsidP="00807837">
            <w:pPr>
              <w:rPr>
                <w:rFonts w:ascii="Arial" w:hAnsi="Arial" w:cs="Arial"/>
                <w:b/>
                <w:sz w:val="20"/>
                <w:szCs w:val="20"/>
              </w:rPr>
            </w:pPr>
            <w:r w:rsidRPr="00807837">
              <w:rPr>
                <w:rFonts w:ascii="Arial" w:hAnsi="Arial" w:cs="Arial"/>
                <w:b/>
                <w:sz w:val="20"/>
                <w:szCs w:val="20"/>
              </w:rPr>
              <w:t>Total Achieved</w:t>
            </w:r>
          </w:p>
        </w:tc>
        <w:tc>
          <w:tcPr>
            <w:tcW w:w="1134" w:type="dxa"/>
          </w:tcPr>
          <w:p w:rsidR="00ED3136" w:rsidRPr="00807837" w:rsidRDefault="00ED3136" w:rsidP="00807837">
            <w:pPr>
              <w:rPr>
                <w:rFonts w:ascii="Arial" w:hAnsi="Arial" w:cs="Arial"/>
                <w:b/>
                <w:sz w:val="20"/>
                <w:szCs w:val="20"/>
              </w:rPr>
            </w:pPr>
            <w:r w:rsidRPr="00807837">
              <w:rPr>
                <w:rFonts w:ascii="Arial" w:hAnsi="Arial" w:cs="Arial"/>
                <w:b/>
                <w:sz w:val="20"/>
                <w:szCs w:val="20"/>
              </w:rPr>
              <w:t>% achieved</w:t>
            </w:r>
          </w:p>
        </w:tc>
        <w:tc>
          <w:tcPr>
            <w:tcW w:w="1276" w:type="dxa"/>
          </w:tcPr>
          <w:p w:rsidR="00ED3136" w:rsidRPr="00807837" w:rsidRDefault="00ED3136" w:rsidP="00807837">
            <w:pPr>
              <w:rPr>
                <w:rFonts w:ascii="Arial" w:hAnsi="Arial" w:cs="Arial"/>
                <w:b/>
                <w:sz w:val="20"/>
                <w:szCs w:val="20"/>
              </w:rPr>
            </w:pPr>
            <w:r w:rsidRPr="00807837">
              <w:rPr>
                <w:rFonts w:ascii="Arial" w:hAnsi="Arial" w:cs="Arial"/>
                <w:b/>
                <w:sz w:val="20"/>
                <w:szCs w:val="20"/>
              </w:rPr>
              <w:t>Total not achieved</w:t>
            </w:r>
          </w:p>
        </w:tc>
        <w:tc>
          <w:tcPr>
            <w:tcW w:w="1417" w:type="dxa"/>
          </w:tcPr>
          <w:p w:rsidR="00ED3136" w:rsidRPr="00807837" w:rsidRDefault="00ED3136" w:rsidP="00807837">
            <w:pPr>
              <w:rPr>
                <w:rFonts w:ascii="Arial" w:hAnsi="Arial" w:cs="Arial"/>
                <w:b/>
                <w:sz w:val="20"/>
                <w:szCs w:val="20"/>
              </w:rPr>
            </w:pPr>
            <w:r w:rsidRPr="00807837">
              <w:rPr>
                <w:rFonts w:ascii="Arial" w:hAnsi="Arial" w:cs="Arial"/>
                <w:b/>
                <w:sz w:val="20"/>
                <w:szCs w:val="20"/>
              </w:rPr>
              <w:t>% not achieved</w:t>
            </w:r>
          </w:p>
        </w:tc>
      </w:tr>
      <w:tr w:rsidR="00720739" w:rsidRPr="00807837" w:rsidTr="00900394">
        <w:tc>
          <w:tcPr>
            <w:tcW w:w="2977" w:type="dxa"/>
          </w:tcPr>
          <w:p w:rsidR="00ED3136" w:rsidRPr="00807837" w:rsidRDefault="00ED3136" w:rsidP="00807837">
            <w:pPr>
              <w:rPr>
                <w:rFonts w:ascii="Arial" w:hAnsi="Arial" w:cs="Arial"/>
                <w:sz w:val="20"/>
                <w:szCs w:val="20"/>
              </w:rPr>
            </w:pPr>
            <w:r w:rsidRPr="00807837">
              <w:rPr>
                <w:rFonts w:ascii="Arial" w:hAnsi="Arial" w:cs="Arial"/>
                <w:sz w:val="20"/>
                <w:szCs w:val="20"/>
              </w:rPr>
              <w:t xml:space="preserve">1. Administration  </w:t>
            </w:r>
          </w:p>
        </w:tc>
        <w:tc>
          <w:tcPr>
            <w:tcW w:w="1134" w:type="dxa"/>
          </w:tcPr>
          <w:p w:rsidR="00ED3136" w:rsidRPr="00807837" w:rsidRDefault="00ED3136" w:rsidP="00807837">
            <w:pPr>
              <w:rPr>
                <w:rFonts w:ascii="Arial" w:hAnsi="Arial" w:cs="Arial"/>
                <w:sz w:val="20"/>
                <w:szCs w:val="20"/>
              </w:rPr>
            </w:pPr>
            <w:r w:rsidRPr="00807837">
              <w:rPr>
                <w:rFonts w:ascii="Arial" w:hAnsi="Arial" w:cs="Arial"/>
                <w:sz w:val="20"/>
                <w:szCs w:val="20"/>
              </w:rPr>
              <w:t>16</w:t>
            </w:r>
          </w:p>
        </w:tc>
        <w:tc>
          <w:tcPr>
            <w:tcW w:w="1276" w:type="dxa"/>
          </w:tcPr>
          <w:p w:rsidR="00ED3136" w:rsidRPr="00807837" w:rsidRDefault="00ED3136" w:rsidP="00807837">
            <w:pPr>
              <w:rPr>
                <w:rFonts w:ascii="Arial" w:hAnsi="Arial" w:cs="Arial"/>
                <w:sz w:val="20"/>
                <w:szCs w:val="20"/>
              </w:rPr>
            </w:pPr>
            <w:r w:rsidRPr="00807837">
              <w:rPr>
                <w:rFonts w:ascii="Arial" w:hAnsi="Arial" w:cs="Arial"/>
                <w:sz w:val="20"/>
                <w:szCs w:val="20"/>
              </w:rPr>
              <w:t>14</w:t>
            </w:r>
          </w:p>
        </w:tc>
        <w:tc>
          <w:tcPr>
            <w:tcW w:w="1134" w:type="dxa"/>
          </w:tcPr>
          <w:p w:rsidR="00ED3136" w:rsidRPr="00807837" w:rsidRDefault="00ED3136" w:rsidP="00807837">
            <w:pPr>
              <w:rPr>
                <w:rFonts w:ascii="Arial" w:hAnsi="Arial" w:cs="Arial"/>
                <w:sz w:val="20"/>
                <w:szCs w:val="20"/>
              </w:rPr>
            </w:pPr>
            <w:r w:rsidRPr="00807837">
              <w:rPr>
                <w:rFonts w:ascii="Arial" w:hAnsi="Arial" w:cs="Arial"/>
                <w:sz w:val="20"/>
                <w:szCs w:val="20"/>
              </w:rPr>
              <w:t>87.5%</w:t>
            </w:r>
          </w:p>
        </w:tc>
        <w:tc>
          <w:tcPr>
            <w:tcW w:w="1276" w:type="dxa"/>
          </w:tcPr>
          <w:p w:rsidR="00ED3136" w:rsidRPr="00807837" w:rsidRDefault="00ED3136" w:rsidP="00807837">
            <w:pPr>
              <w:rPr>
                <w:rFonts w:ascii="Arial" w:hAnsi="Arial" w:cs="Arial"/>
                <w:sz w:val="20"/>
                <w:szCs w:val="20"/>
              </w:rPr>
            </w:pPr>
            <w:r w:rsidRPr="00807837">
              <w:rPr>
                <w:rFonts w:ascii="Arial" w:hAnsi="Arial" w:cs="Arial"/>
                <w:sz w:val="20"/>
                <w:szCs w:val="20"/>
              </w:rPr>
              <w:t>2</w:t>
            </w:r>
          </w:p>
        </w:tc>
        <w:tc>
          <w:tcPr>
            <w:tcW w:w="1417" w:type="dxa"/>
          </w:tcPr>
          <w:p w:rsidR="00ED3136" w:rsidRPr="00807837" w:rsidRDefault="00ED3136" w:rsidP="00807837">
            <w:pPr>
              <w:rPr>
                <w:rFonts w:ascii="Arial" w:hAnsi="Arial" w:cs="Arial"/>
                <w:sz w:val="20"/>
                <w:szCs w:val="20"/>
              </w:rPr>
            </w:pPr>
            <w:r w:rsidRPr="00807837">
              <w:rPr>
                <w:rFonts w:ascii="Arial" w:hAnsi="Arial" w:cs="Arial"/>
                <w:sz w:val="20"/>
                <w:szCs w:val="20"/>
              </w:rPr>
              <w:t>12.5%</w:t>
            </w:r>
          </w:p>
        </w:tc>
      </w:tr>
      <w:tr w:rsidR="00720739" w:rsidRPr="00807837" w:rsidTr="00900394">
        <w:tc>
          <w:tcPr>
            <w:tcW w:w="2977" w:type="dxa"/>
          </w:tcPr>
          <w:p w:rsidR="00ED3136" w:rsidRPr="00807837" w:rsidRDefault="00ED3136" w:rsidP="00807837">
            <w:pPr>
              <w:rPr>
                <w:rFonts w:ascii="Arial" w:hAnsi="Arial" w:cs="Arial"/>
                <w:sz w:val="20"/>
                <w:szCs w:val="20"/>
              </w:rPr>
            </w:pPr>
            <w:r w:rsidRPr="00807837">
              <w:rPr>
                <w:rFonts w:ascii="Arial" w:hAnsi="Arial" w:cs="Arial"/>
                <w:sz w:val="20"/>
                <w:szCs w:val="20"/>
              </w:rPr>
              <w:t>2. Tourism Research, Policy and International Relations</w:t>
            </w:r>
          </w:p>
        </w:tc>
        <w:tc>
          <w:tcPr>
            <w:tcW w:w="1134" w:type="dxa"/>
          </w:tcPr>
          <w:p w:rsidR="00ED3136" w:rsidRPr="00807837" w:rsidRDefault="00ED3136" w:rsidP="00807837">
            <w:pPr>
              <w:rPr>
                <w:rFonts w:ascii="Arial" w:hAnsi="Arial" w:cs="Arial"/>
                <w:sz w:val="20"/>
                <w:szCs w:val="20"/>
              </w:rPr>
            </w:pPr>
            <w:r w:rsidRPr="00807837">
              <w:rPr>
                <w:rFonts w:ascii="Arial" w:hAnsi="Arial" w:cs="Arial"/>
                <w:sz w:val="20"/>
                <w:szCs w:val="20"/>
              </w:rPr>
              <w:t>12</w:t>
            </w:r>
          </w:p>
        </w:tc>
        <w:tc>
          <w:tcPr>
            <w:tcW w:w="1276" w:type="dxa"/>
          </w:tcPr>
          <w:p w:rsidR="00ED3136" w:rsidRPr="00807837" w:rsidRDefault="00ED3136" w:rsidP="00807837">
            <w:pPr>
              <w:rPr>
                <w:rFonts w:ascii="Arial" w:hAnsi="Arial" w:cs="Arial"/>
                <w:sz w:val="20"/>
                <w:szCs w:val="20"/>
              </w:rPr>
            </w:pPr>
            <w:r w:rsidRPr="00807837">
              <w:rPr>
                <w:rFonts w:ascii="Arial" w:hAnsi="Arial" w:cs="Arial"/>
                <w:sz w:val="20"/>
                <w:szCs w:val="20"/>
              </w:rPr>
              <w:t>11</w:t>
            </w:r>
          </w:p>
        </w:tc>
        <w:tc>
          <w:tcPr>
            <w:tcW w:w="1134" w:type="dxa"/>
          </w:tcPr>
          <w:p w:rsidR="00ED3136" w:rsidRPr="00807837" w:rsidRDefault="00ED3136" w:rsidP="00807837">
            <w:pPr>
              <w:rPr>
                <w:rFonts w:ascii="Arial" w:hAnsi="Arial" w:cs="Arial"/>
                <w:sz w:val="20"/>
                <w:szCs w:val="20"/>
              </w:rPr>
            </w:pPr>
            <w:r w:rsidRPr="00807837">
              <w:rPr>
                <w:rFonts w:ascii="Arial" w:hAnsi="Arial" w:cs="Arial"/>
                <w:sz w:val="20"/>
                <w:szCs w:val="20"/>
              </w:rPr>
              <w:t>91.6%</w:t>
            </w:r>
          </w:p>
        </w:tc>
        <w:tc>
          <w:tcPr>
            <w:tcW w:w="1276" w:type="dxa"/>
            <w:shd w:val="clear" w:color="auto" w:fill="auto"/>
          </w:tcPr>
          <w:p w:rsidR="00ED3136" w:rsidRPr="00807837" w:rsidRDefault="00ED3136" w:rsidP="00807837">
            <w:pPr>
              <w:rPr>
                <w:rFonts w:ascii="Arial" w:hAnsi="Arial" w:cs="Arial"/>
                <w:sz w:val="20"/>
                <w:szCs w:val="20"/>
              </w:rPr>
            </w:pPr>
            <w:r w:rsidRPr="00807837">
              <w:rPr>
                <w:rFonts w:ascii="Arial" w:hAnsi="Arial" w:cs="Arial"/>
                <w:sz w:val="20"/>
                <w:szCs w:val="20"/>
              </w:rPr>
              <w:t>1</w:t>
            </w:r>
          </w:p>
        </w:tc>
        <w:tc>
          <w:tcPr>
            <w:tcW w:w="1417" w:type="dxa"/>
            <w:shd w:val="clear" w:color="auto" w:fill="auto"/>
          </w:tcPr>
          <w:p w:rsidR="00ED3136" w:rsidRPr="00807837" w:rsidRDefault="00ED3136" w:rsidP="00807837">
            <w:pPr>
              <w:rPr>
                <w:rFonts w:ascii="Arial" w:hAnsi="Arial" w:cs="Arial"/>
                <w:sz w:val="20"/>
                <w:szCs w:val="20"/>
              </w:rPr>
            </w:pPr>
            <w:r w:rsidRPr="00807837">
              <w:rPr>
                <w:rFonts w:ascii="Arial" w:hAnsi="Arial" w:cs="Arial"/>
                <w:sz w:val="20"/>
                <w:szCs w:val="20"/>
              </w:rPr>
              <w:t>8.3%</w:t>
            </w:r>
          </w:p>
        </w:tc>
      </w:tr>
      <w:tr w:rsidR="00720739" w:rsidRPr="00807837" w:rsidTr="00900394">
        <w:tc>
          <w:tcPr>
            <w:tcW w:w="2977" w:type="dxa"/>
          </w:tcPr>
          <w:p w:rsidR="00ED3136" w:rsidRPr="00807837" w:rsidRDefault="00ED3136" w:rsidP="00807837">
            <w:pPr>
              <w:rPr>
                <w:rFonts w:ascii="Arial" w:hAnsi="Arial" w:cs="Arial"/>
                <w:sz w:val="20"/>
                <w:szCs w:val="20"/>
              </w:rPr>
            </w:pPr>
            <w:r w:rsidRPr="00807837">
              <w:rPr>
                <w:rFonts w:ascii="Arial" w:hAnsi="Arial" w:cs="Arial"/>
                <w:sz w:val="20"/>
                <w:szCs w:val="20"/>
              </w:rPr>
              <w:t xml:space="preserve">3. Destination Development </w:t>
            </w:r>
          </w:p>
        </w:tc>
        <w:tc>
          <w:tcPr>
            <w:tcW w:w="1134" w:type="dxa"/>
          </w:tcPr>
          <w:p w:rsidR="00ED3136" w:rsidRPr="00807837" w:rsidRDefault="00ED3136" w:rsidP="00807837">
            <w:pPr>
              <w:rPr>
                <w:rFonts w:ascii="Arial" w:hAnsi="Arial" w:cs="Arial"/>
                <w:sz w:val="20"/>
                <w:szCs w:val="20"/>
              </w:rPr>
            </w:pPr>
            <w:r w:rsidRPr="00807837">
              <w:rPr>
                <w:rFonts w:ascii="Arial" w:hAnsi="Arial" w:cs="Arial"/>
                <w:sz w:val="20"/>
                <w:szCs w:val="20"/>
              </w:rPr>
              <w:t>9</w:t>
            </w:r>
          </w:p>
        </w:tc>
        <w:tc>
          <w:tcPr>
            <w:tcW w:w="1276" w:type="dxa"/>
          </w:tcPr>
          <w:p w:rsidR="00ED3136" w:rsidRPr="00807837" w:rsidRDefault="00ED3136" w:rsidP="00807837">
            <w:pPr>
              <w:rPr>
                <w:rFonts w:ascii="Arial" w:hAnsi="Arial" w:cs="Arial"/>
                <w:sz w:val="20"/>
                <w:szCs w:val="20"/>
              </w:rPr>
            </w:pPr>
            <w:r w:rsidRPr="00807837">
              <w:rPr>
                <w:rFonts w:ascii="Arial" w:hAnsi="Arial" w:cs="Arial"/>
                <w:sz w:val="20"/>
                <w:szCs w:val="20"/>
              </w:rPr>
              <w:t>9</w:t>
            </w:r>
          </w:p>
        </w:tc>
        <w:tc>
          <w:tcPr>
            <w:tcW w:w="1134" w:type="dxa"/>
          </w:tcPr>
          <w:p w:rsidR="00ED3136" w:rsidRPr="00807837" w:rsidRDefault="00ED3136" w:rsidP="00807837">
            <w:pPr>
              <w:rPr>
                <w:rFonts w:ascii="Arial" w:hAnsi="Arial" w:cs="Arial"/>
                <w:sz w:val="20"/>
                <w:szCs w:val="20"/>
              </w:rPr>
            </w:pPr>
            <w:r w:rsidRPr="00807837">
              <w:rPr>
                <w:rFonts w:ascii="Arial" w:hAnsi="Arial" w:cs="Arial"/>
                <w:sz w:val="20"/>
                <w:szCs w:val="20"/>
              </w:rPr>
              <w:t>100%</w:t>
            </w:r>
          </w:p>
        </w:tc>
        <w:tc>
          <w:tcPr>
            <w:tcW w:w="1276" w:type="dxa"/>
            <w:shd w:val="clear" w:color="auto" w:fill="D9D9D9" w:themeFill="background1" w:themeFillShade="D9"/>
          </w:tcPr>
          <w:p w:rsidR="00ED3136" w:rsidRPr="00807837" w:rsidRDefault="00ED3136" w:rsidP="00807837">
            <w:pPr>
              <w:rPr>
                <w:rFonts w:ascii="Arial" w:hAnsi="Arial" w:cs="Arial"/>
                <w:sz w:val="20"/>
                <w:szCs w:val="20"/>
              </w:rPr>
            </w:pPr>
          </w:p>
        </w:tc>
        <w:tc>
          <w:tcPr>
            <w:tcW w:w="1417" w:type="dxa"/>
            <w:shd w:val="clear" w:color="auto" w:fill="D9D9D9" w:themeFill="background1" w:themeFillShade="D9"/>
          </w:tcPr>
          <w:p w:rsidR="00ED3136" w:rsidRPr="00807837" w:rsidRDefault="00ED3136" w:rsidP="00807837">
            <w:pPr>
              <w:rPr>
                <w:rFonts w:ascii="Arial" w:hAnsi="Arial" w:cs="Arial"/>
                <w:sz w:val="20"/>
                <w:szCs w:val="20"/>
              </w:rPr>
            </w:pPr>
          </w:p>
        </w:tc>
      </w:tr>
      <w:tr w:rsidR="00720739" w:rsidRPr="00807837" w:rsidTr="00900394">
        <w:tc>
          <w:tcPr>
            <w:tcW w:w="2977" w:type="dxa"/>
          </w:tcPr>
          <w:p w:rsidR="00ED3136" w:rsidRPr="00807837" w:rsidRDefault="00ED3136" w:rsidP="00807837">
            <w:pPr>
              <w:rPr>
                <w:rFonts w:ascii="Arial" w:hAnsi="Arial" w:cs="Arial"/>
                <w:sz w:val="20"/>
                <w:szCs w:val="20"/>
              </w:rPr>
            </w:pPr>
            <w:r w:rsidRPr="00807837">
              <w:rPr>
                <w:rFonts w:ascii="Arial" w:hAnsi="Arial" w:cs="Arial"/>
                <w:sz w:val="20"/>
                <w:szCs w:val="20"/>
              </w:rPr>
              <w:t>4. Tourism Sector Support Services</w:t>
            </w:r>
          </w:p>
        </w:tc>
        <w:tc>
          <w:tcPr>
            <w:tcW w:w="1134" w:type="dxa"/>
          </w:tcPr>
          <w:p w:rsidR="00ED3136" w:rsidRPr="00807837" w:rsidRDefault="00ED3136" w:rsidP="00807837">
            <w:pPr>
              <w:rPr>
                <w:rFonts w:ascii="Arial" w:hAnsi="Arial" w:cs="Arial"/>
                <w:sz w:val="20"/>
                <w:szCs w:val="20"/>
              </w:rPr>
            </w:pPr>
            <w:r w:rsidRPr="00807837">
              <w:rPr>
                <w:rFonts w:ascii="Arial" w:hAnsi="Arial" w:cs="Arial"/>
                <w:sz w:val="20"/>
                <w:szCs w:val="20"/>
              </w:rPr>
              <w:t>18</w:t>
            </w:r>
          </w:p>
        </w:tc>
        <w:tc>
          <w:tcPr>
            <w:tcW w:w="1276" w:type="dxa"/>
          </w:tcPr>
          <w:p w:rsidR="00ED3136" w:rsidRPr="00807837" w:rsidRDefault="00ED3136" w:rsidP="00807837">
            <w:pPr>
              <w:rPr>
                <w:rFonts w:ascii="Arial" w:hAnsi="Arial" w:cs="Arial"/>
                <w:sz w:val="20"/>
                <w:szCs w:val="20"/>
              </w:rPr>
            </w:pPr>
            <w:r w:rsidRPr="00807837">
              <w:rPr>
                <w:rFonts w:ascii="Arial" w:hAnsi="Arial" w:cs="Arial"/>
                <w:sz w:val="20"/>
                <w:szCs w:val="20"/>
              </w:rPr>
              <w:t>10</w:t>
            </w:r>
          </w:p>
        </w:tc>
        <w:tc>
          <w:tcPr>
            <w:tcW w:w="1134" w:type="dxa"/>
          </w:tcPr>
          <w:p w:rsidR="00ED3136" w:rsidRPr="00807837" w:rsidRDefault="00ED3136" w:rsidP="00807837">
            <w:pPr>
              <w:rPr>
                <w:rFonts w:ascii="Arial" w:hAnsi="Arial" w:cs="Arial"/>
                <w:sz w:val="20"/>
                <w:szCs w:val="20"/>
              </w:rPr>
            </w:pPr>
            <w:r w:rsidRPr="00807837">
              <w:rPr>
                <w:rFonts w:ascii="Arial" w:hAnsi="Arial" w:cs="Arial"/>
                <w:sz w:val="20"/>
                <w:szCs w:val="20"/>
              </w:rPr>
              <w:t>55.5%</w:t>
            </w:r>
          </w:p>
        </w:tc>
        <w:tc>
          <w:tcPr>
            <w:tcW w:w="1276" w:type="dxa"/>
          </w:tcPr>
          <w:p w:rsidR="00ED3136" w:rsidRPr="00807837" w:rsidRDefault="00ED3136" w:rsidP="00807837">
            <w:pPr>
              <w:rPr>
                <w:rFonts w:ascii="Arial" w:hAnsi="Arial" w:cs="Arial"/>
                <w:sz w:val="20"/>
                <w:szCs w:val="20"/>
              </w:rPr>
            </w:pPr>
            <w:r w:rsidRPr="00807837">
              <w:rPr>
                <w:rFonts w:ascii="Arial" w:hAnsi="Arial" w:cs="Arial"/>
                <w:sz w:val="20"/>
                <w:szCs w:val="20"/>
              </w:rPr>
              <w:t>8</w:t>
            </w:r>
          </w:p>
        </w:tc>
        <w:tc>
          <w:tcPr>
            <w:tcW w:w="1417" w:type="dxa"/>
          </w:tcPr>
          <w:p w:rsidR="00ED3136" w:rsidRPr="00807837" w:rsidRDefault="00ED3136" w:rsidP="00807837">
            <w:pPr>
              <w:rPr>
                <w:rFonts w:ascii="Arial" w:hAnsi="Arial" w:cs="Arial"/>
                <w:sz w:val="20"/>
                <w:szCs w:val="20"/>
              </w:rPr>
            </w:pPr>
            <w:r w:rsidRPr="00807837">
              <w:rPr>
                <w:rFonts w:ascii="Arial" w:hAnsi="Arial" w:cs="Arial"/>
                <w:sz w:val="20"/>
                <w:szCs w:val="20"/>
              </w:rPr>
              <w:t>44.4%</w:t>
            </w:r>
          </w:p>
        </w:tc>
      </w:tr>
      <w:tr w:rsidR="00720739" w:rsidRPr="00807837" w:rsidTr="00900394">
        <w:tc>
          <w:tcPr>
            <w:tcW w:w="2977" w:type="dxa"/>
          </w:tcPr>
          <w:p w:rsidR="00ED3136" w:rsidRPr="00807837" w:rsidRDefault="00ED3136" w:rsidP="00807837">
            <w:pPr>
              <w:rPr>
                <w:rFonts w:ascii="Arial" w:hAnsi="Arial" w:cs="Arial"/>
                <w:b/>
                <w:sz w:val="20"/>
                <w:szCs w:val="20"/>
              </w:rPr>
            </w:pPr>
            <w:r w:rsidRPr="00807837">
              <w:rPr>
                <w:rFonts w:ascii="Arial" w:hAnsi="Arial" w:cs="Arial"/>
                <w:b/>
                <w:sz w:val="20"/>
                <w:szCs w:val="20"/>
              </w:rPr>
              <w:t xml:space="preserve">Total </w:t>
            </w:r>
          </w:p>
        </w:tc>
        <w:tc>
          <w:tcPr>
            <w:tcW w:w="1134" w:type="dxa"/>
          </w:tcPr>
          <w:p w:rsidR="00ED3136" w:rsidRPr="00807837" w:rsidRDefault="00ED3136" w:rsidP="00807837">
            <w:pPr>
              <w:rPr>
                <w:rFonts w:ascii="Arial" w:hAnsi="Arial" w:cs="Arial"/>
                <w:b/>
                <w:sz w:val="20"/>
                <w:szCs w:val="20"/>
              </w:rPr>
            </w:pPr>
            <w:r w:rsidRPr="00807837">
              <w:rPr>
                <w:rFonts w:ascii="Arial" w:hAnsi="Arial" w:cs="Arial"/>
                <w:b/>
                <w:sz w:val="20"/>
                <w:szCs w:val="20"/>
              </w:rPr>
              <w:t>55</w:t>
            </w:r>
          </w:p>
        </w:tc>
        <w:tc>
          <w:tcPr>
            <w:tcW w:w="1276" w:type="dxa"/>
          </w:tcPr>
          <w:p w:rsidR="00ED3136" w:rsidRPr="00807837" w:rsidRDefault="00ED3136" w:rsidP="00807837">
            <w:pPr>
              <w:rPr>
                <w:rFonts w:ascii="Arial" w:hAnsi="Arial" w:cs="Arial"/>
                <w:b/>
                <w:sz w:val="20"/>
                <w:szCs w:val="20"/>
              </w:rPr>
            </w:pPr>
            <w:r w:rsidRPr="00807837">
              <w:rPr>
                <w:rFonts w:ascii="Arial" w:hAnsi="Arial" w:cs="Arial"/>
                <w:b/>
                <w:sz w:val="20"/>
                <w:szCs w:val="20"/>
              </w:rPr>
              <w:t>44</w:t>
            </w:r>
          </w:p>
        </w:tc>
        <w:tc>
          <w:tcPr>
            <w:tcW w:w="1134" w:type="dxa"/>
          </w:tcPr>
          <w:p w:rsidR="00ED3136" w:rsidRPr="00807837" w:rsidRDefault="00ED3136" w:rsidP="00807837">
            <w:pPr>
              <w:rPr>
                <w:rFonts w:ascii="Arial" w:hAnsi="Arial" w:cs="Arial"/>
                <w:b/>
                <w:sz w:val="20"/>
                <w:szCs w:val="20"/>
              </w:rPr>
            </w:pPr>
            <w:r w:rsidRPr="00807837">
              <w:rPr>
                <w:rFonts w:ascii="Arial" w:hAnsi="Arial" w:cs="Arial"/>
                <w:b/>
                <w:sz w:val="20"/>
                <w:szCs w:val="20"/>
              </w:rPr>
              <w:t>80%</w:t>
            </w:r>
          </w:p>
        </w:tc>
        <w:tc>
          <w:tcPr>
            <w:tcW w:w="1276" w:type="dxa"/>
          </w:tcPr>
          <w:p w:rsidR="00ED3136" w:rsidRPr="00807837" w:rsidRDefault="00ED3136" w:rsidP="00807837">
            <w:pPr>
              <w:rPr>
                <w:rFonts w:ascii="Arial" w:hAnsi="Arial" w:cs="Arial"/>
                <w:b/>
                <w:sz w:val="20"/>
                <w:szCs w:val="20"/>
              </w:rPr>
            </w:pPr>
            <w:r w:rsidRPr="00807837">
              <w:rPr>
                <w:rFonts w:ascii="Arial" w:hAnsi="Arial" w:cs="Arial"/>
                <w:b/>
                <w:sz w:val="20"/>
                <w:szCs w:val="20"/>
              </w:rPr>
              <w:t>11</w:t>
            </w:r>
          </w:p>
        </w:tc>
        <w:tc>
          <w:tcPr>
            <w:tcW w:w="1417" w:type="dxa"/>
          </w:tcPr>
          <w:p w:rsidR="00ED3136" w:rsidRPr="00807837" w:rsidRDefault="00ED3136" w:rsidP="00807837">
            <w:pPr>
              <w:rPr>
                <w:rFonts w:ascii="Arial" w:hAnsi="Arial" w:cs="Arial"/>
                <w:b/>
                <w:sz w:val="20"/>
                <w:szCs w:val="20"/>
              </w:rPr>
            </w:pPr>
            <w:r w:rsidRPr="00807837">
              <w:rPr>
                <w:rFonts w:ascii="Arial" w:hAnsi="Arial" w:cs="Arial"/>
                <w:b/>
                <w:sz w:val="20"/>
                <w:szCs w:val="20"/>
              </w:rPr>
              <w:t>20%</w:t>
            </w:r>
          </w:p>
        </w:tc>
      </w:tr>
    </w:tbl>
    <w:p w:rsidR="00ED3136" w:rsidRPr="00807837" w:rsidRDefault="00ED3136" w:rsidP="00807837">
      <w:pPr>
        <w:spacing w:after="0" w:line="240" w:lineRule="auto"/>
        <w:contextualSpacing/>
        <w:rPr>
          <w:rFonts w:ascii="Arial" w:hAnsi="Arial" w:cs="Arial"/>
          <w:sz w:val="20"/>
          <w:szCs w:val="20"/>
        </w:rPr>
      </w:pPr>
      <w:r w:rsidRPr="00807837">
        <w:rPr>
          <w:rFonts w:ascii="Arial" w:hAnsi="Arial" w:cs="Arial"/>
          <w:b/>
          <w:sz w:val="20"/>
          <w:szCs w:val="20"/>
        </w:rPr>
        <w:t>Source:</w:t>
      </w:r>
      <w:r w:rsidRPr="00807837">
        <w:rPr>
          <w:rFonts w:ascii="Arial" w:hAnsi="Arial" w:cs="Arial"/>
          <w:sz w:val="20"/>
          <w:szCs w:val="20"/>
        </w:rPr>
        <w:t xml:space="preserve"> Adapted from DoT Annual Report 2021/22</w:t>
      </w:r>
    </w:p>
    <w:p w:rsidR="00B75BD8" w:rsidRPr="00807837" w:rsidRDefault="00B75BD8" w:rsidP="00807837">
      <w:pPr>
        <w:spacing w:after="0" w:line="240" w:lineRule="auto"/>
        <w:contextualSpacing/>
        <w:rPr>
          <w:rFonts w:ascii="Arial" w:hAnsi="Arial" w:cs="Arial"/>
          <w:sz w:val="20"/>
          <w:szCs w:val="20"/>
        </w:rPr>
      </w:pPr>
    </w:p>
    <w:p w:rsidR="00447AC6" w:rsidRPr="00807837" w:rsidRDefault="00447AC6" w:rsidP="00807837">
      <w:pPr>
        <w:spacing w:after="0" w:line="240" w:lineRule="auto"/>
        <w:contextualSpacing/>
        <w:rPr>
          <w:rFonts w:ascii="Arial" w:hAnsi="Arial" w:cs="Arial"/>
          <w:sz w:val="20"/>
          <w:szCs w:val="20"/>
        </w:rPr>
      </w:pPr>
      <w:r w:rsidRPr="00807837">
        <w:rPr>
          <w:rFonts w:ascii="Arial" w:hAnsi="Arial" w:cs="Arial"/>
          <w:sz w:val="20"/>
          <w:szCs w:val="20"/>
        </w:rPr>
        <w:t>Table 6 indicates</w:t>
      </w:r>
      <w:r w:rsidR="004659D9" w:rsidRPr="00807837">
        <w:rPr>
          <w:rFonts w:ascii="Arial" w:hAnsi="Arial" w:cs="Arial"/>
          <w:sz w:val="20"/>
          <w:szCs w:val="20"/>
        </w:rPr>
        <w:t xml:space="preserve"> </w:t>
      </w:r>
      <w:r w:rsidRPr="00807837">
        <w:rPr>
          <w:rFonts w:ascii="Arial" w:hAnsi="Arial" w:cs="Arial"/>
          <w:sz w:val="20"/>
          <w:szCs w:val="20"/>
        </w:rPr>
        <w:t>that the Department was able to achieve 44 (80%) of its 55 identified targets, with 11 (20%) targets not achieved.</w:t>
      </w:r>
    </w:p>
    <w:p w:rsidR="00ED3136" w:rsidRPr="00807837" w:rsidRDefault="00ED3136" w:rsidP="00807837">
      <w:pPr>
        <w:spacing w:after="0" w:line="240" w:lineRule="auto"/>
        <w:contextualSpacing/>
        <w:rPr>
          <w:rFonts w:ascii="Arial" w:hAnsi="Arial" w:cs="Arial"/>
          <w:sz w:val="20"/>
          <w:szCs w:val="20"/>
        </w:rPr>
      </w:pPr>
    </w:p>
    <w:p w:rsidR="001D07DB" w:rsidRPr="00807837" w:rsidRDefault="001D07DB" w:rsidP="00807837">
      <w:pPr>
        <w:spacing w:after="0" w:line="240" w:lineRule="auto"/>
        <w:contextualSpacing/>
        <w:rPr>
          <w:rFonts w:ascii="Arial" w:hAnsi="Arial" w:cs="Arial"/>
          <w:sz w:val="20"/>
          <w:szCs w:val="20"/>
        </w:rPr>
      </w:pPr>
    </w:p>
    <w:p w:rsidR="002D3B50" w:rsidRPr="00807837" w:rsidRDefault="002D3B50" w:rsidP="00807837">
      <w:pPr>
        <w:pStyle w:val="ListParagraph"/>
        <w:keepNext/>
        <w:keepLines/>
        <w:numPr>
          <w:ilvl w:val="2"/>
          <w:numId w:val="8"/>
        </w:numPr>
        <w:spacing w:after="0" w:line="240" w:lineRule="auto"/>
        <w:ind w:left="567" w:hanging="567"/>
        <w:outlineLvl w:val="1"/>
        <w:rPr>
          <w:rFonts w:ascii="Arial" w:eastAsiaTheme="majorEastAsia" w:hAnsi="Arial" w:cs="Arial"/>
          <w:b/>
          <w:sz w:val="20"/>
          <w:szCs w:val="20"/>
        </w:rPr>
      </w:pPr>
      <w:bookmarkStart w:id="1" w:name="_Toc116233916"/>
      <w:r w:rsidRPr="00807837">
        <w:rPr>
          <w:rFonts w:ascii="Arial" w:eastAsiaTheme="majorEastAsia" w:hAnsi="Arial" w:cs="Arial"/>
          <w:b/>
          <w:sz w:val="20"/>
          <w:szCs w:val="20"/>
        </w:rPr>
        <w:t>Programme 1: Administration</w:t>
      </w:r>
      <w:bookmarkEnd w:id="1"/>
      <w:r w:rsidRPr="00807837">
        <w:rPr>
          <w:rFonts w:ascii="Arial" w:eastAsiaTheme="majorEastAsia" w:hAnsi="Arial" w:cs="Arial"/>
          <w:b/>
          <w:sz w:val="20"/>
          <w:szCs w:val="20"/>
        </w:rPr>
        <w:t xml:space="preserve"> </w:t>
      </w:r>
    </w:p>
    <w:p w:rsidR="002D3B50" w:rsidRPr="00807837" w:rsidRDefault="002D3B50" w:rsidP="00807837">
      <w:pPr>
        <w:spacing w:after="0" w:line="240" w:lineRule="auto"/>
        <w:contextualSpacing/>
        <w:rPr>
          <w:rFonts w:ascii="Arial" w:hAnsi="Arial" w:cs="Arial"/>
          <w:sz w:val="20"/>
          <w:szCs w:val="20"/>
        </w:rPr>
      </w:pPr>
    </w:p>
    <w:p w:rsidR="002D3B50" w:rsidRPr="00807837" w:rsidRDefault="002D3B50" w:rsidP="00807837">
      <w:pPr>
        <w:tabs>
          <w:tab w:val="left" w:pos="360"/>
        </w:tabs>
        <w:spacing w:after="0" w:line="240" w:lineRule="auto"/>
        <w:contextualSpacing/>
        <w:rPr>
          <w:rFonts w:ascii="Arial" w:hAnsi="Arial" w:cs="Arial"/>
          <w:sz w:val="20"/>
          <w:szCs w:val="20"/>
        </w:rPr>
      </w:pPr>
      <w:r w:rsidRPr="00807837">
        <w:rPr>
          <w:rFonts w:ascii="Arial" w:hAnsi="Arial" w:cs="Arial"/>
          <w:sz w:val="20"/>
          <w:szCs w:val="20"/>
        </w:rPr>
        <w:t xml:space="preserve">The purpose of this programme is to provide strategic leadership, management and support services to the Department. </w:t>
      </w:r>
    </w:p>
    <w:p w:rsidR="002D3B50" w:rsidRPr="00807837" w:rsidRDefault="002D3B50" w:rsidP="00807837">
      <w:pPr>
        <w:tabs>
          <w:tab w:val="left" w:pos="360"/>
        </w:tabs>
        <w:spacing w:after="0" w:line="240" w:lineRule="auto"/>
        <w:contextualSpacing/>
        <w:rPr>
          <w:rFonts w:ascii="Arial" w:hAnsi="Arial" w:cs="Arial"/>
          <w:sz w:val="20"/>
          <w:szCs w:val="20"/>
        </w:rPr>
      </w:pPr>
    </w:p>
    <w:p w:rsidR="002D3B50" w:rsidRPr="00807837" w:rsidRDefault="00447AC6" w:rsidP="00807837">
      <w:pPr>
        <w:autoSpaceDE w:val="0"/>
        <w:autoSpaceDN w:val="0"/>
        <w:adjustRightInd w:val="0"/>
        <w:spacing w:after="0" w:line="240" w:lineRule="auto"/>
        <w:contextualSpacing/>
        <w:rPr>
          <w:rFonts w:ascii="Arial" w:hAnsi="Arial" w:cs="Arial"/>
          <w:b/>
          <w:sz w:val="20"/>
          <w:szCs w:val="20"/>
          <w:lang w:eastAsia="en-ZA"/>
        </w:rPr>
      </w:pPr>
      <w:r w:rsidRPr="00807837">
        <w:rPr>
          <w:rFonts w:ascii="Arial" w:hAnsi="Arial" w:cs="Arial"/>
          <w:b/>
          <w:sz w:val="20"/>
          <w:szCs w:val="20"/>
          <w:lang w:eastAsia="en-ZA"/>
        </w:rPr>
        <w:t xml:space="preserve">Table 7: </w:t>
      </w:r>
      <w:r w:rsidR="002D3B50" w:rsidRPr="00807837">
        <w:rPr>
          <w:rFonts w:ascii="Arial" w:hAnsi="Arial" w:cs="Arial"/>
          <w:b/>
          <w:sz w:val="20"/>
          <w:szCs w:val="20"/>
          <w:lang w:eastAsia="en-ZA"/>
        </w:rPr>
        <w:t>Programme</w:t>
      </w:r>
      <w:r w:rsidRPr="00807837">
        <w:rPr>
          <w:rFonts w:ascii="Arial" w:hAnsi="Arial" w:cs="Arial"/>
          <w:b/>
          <w:sz w:val="20"/>
          <w:szCs w:val="20"/>
          <w:lang w:eastAsia="en-ZA"/>
        </w:rPr>
        <w:t xml:space="preserve"> 1-</w:t>
      </w:r>
      <w:r w:rsidR="002D3B50" w:rsidRPr="00807837">
        <w:rPr>
          <w:rFonts w:ascii="Arial" w:hAnsi="Arial" w:cs="Arial"/>
          <w:b/>
          <w:sz w:val="20"/>
          <w:szCs w:val="20"/>
          <w:lang w:eastAsia="en-ZA"/>
        </w:rPr>
        <w:t xml:space="preserve"> Administration</w:t>
      </w:r>
    </w:p>
    <w:tbl>
      <w:tblPr>
        <w:tblStyle w:val="TableGrid2"/>
        <w:tblW w:w="9639" w:type="dxa"/>
        <w:tblInd w:w="-5" w:type="dxa"/>
        <w:tblLook w:val="04A0"/>
      </w:tblPr>
      <w:tblGrid>
        <w:gridCol w:w="4598"/>
        <w:gridCol w:w="5041"/>
      </w:tblGrid>
      <w:tr w:rsidR="00720739" w:rsidRPr="00807837" w:rsidTr="00057EC6">
        <w:tc>
          <w:tcPr>
            <w:tcW w:w="4598" w:type="dxa"/>
            <w:shd w:val="clear" w:color="auto" w:fill="auto"/>
          </w:tcPr>
          <w:p w:rsidR="002D3B50" w:rsidRPr="00807837" w:rsidRDefault="002D3B50" w:rsidP="00807837">
            <w:pPr>
              <w:rPr>
                <w:rFonts w:ascii="Arial" w:hAnsi="Arial" w:cs="Arial"/>
                <w:sz w:val="20"/>
                <w:szCs w:val="20"/>
              </w:rPr>
            </w:pPr>
            <w:r w:rsidRPr="00807837">
              <w:rPr>
                <w:rFonts w:ascii="Arial" w:hAnsi="Arial" w:cs="Arial"/>
                <w:sz w:val="20"/>
                <w:szCs w:val="20"/>
              </w:rPr>
              <w:t xml:space="preserve">Total Targets set </w:t>
            </w:r>
          </w:p>
        </w:tc>
        <w:tc>
          <w:tcPr>
            <w:tcW w:w="5041" w:type="dxa"/>
          </w:tcPr>
          <w:p w:rsidR="002D3B50" w:rsidRPr="00807837" w:rsidRDefault="002D3B50" w:rsidP="00807837">
            <w:pPr>
              <w:rPr>
                <w:rFonts w:ascii="Arial" w:hAnsi="Arial" w:cs="Arial"/>
                <w:sz w:val="20"/>
                <w:szCs w:val="20"/>
              </w:rPr>
            </w:pPr>
            <w:r w:rsidRPr="00807837">
              <w:rPr>
                <w:rFonts w:ascii="Arial" w:hAnsi="Arial" w:cs="Arial"/>
                <w:sz w:val="20"/>
                <w:szCs w:val="20"/>
              </w:rPr>
              <w:t>16</w:t>
            </w:r>
          </w:p>
        </w:tc>
      </w:tr>
      <w:tr w:rsidR="00720739" w:rsidRPr="00807837" w:rsidTr="00057EC6">
        <w:tc>
          <w:tcPr>
            <w:tcW w:w="4598" w:type="dxa"/>
            <w:shd w:val="clear" w:color="auto" w:fill="auto"/>
          </w:tcPr>
          <w:p w:rsidR="002D3B50" w:rsidRPr="00807837" w:rsidRDefault="002D3B50" w:rsidP="00807837">
            <w:pPr>
              <w:rPr>
                <w:rFonts w:ascii="Arial" w:hAnsi="Arial" w:cs="Arial"/>
                <w:sz w:val="20"/>
                <w:szCs w:val="20"/>
              </w:rPr>
            </w:pPr>
            <w:r w:rsidRPr="00807837">
              <w:rPr>
                <w:rFonts w:ascii="Arial" w:hAnsi="Arial" w:cs="Arial"/>
                <w:sz w:val="20"/>
                <w:szCs w:val="20"/>
              </w:rPr>
              <w:t>Targets achieved</w:t>
            </w:r>
          </w:p>
        </w:tc>
        <w:tc>
          <w:tcPr>
            <w:tcW w:w="5041" w:type="dxa"/>
          </w:tcPr>
          <w:p w:rsidR="002D3B50" w:rsidRPr="00807837" w:rsidRDefault="002D3B50" w:rsidP="00807837">
            <w:pPr>
              <w:rPr>
                <w:rFonts w:ascii="Arial" w:hAnsi="Arial" w:cs="Arial"/>
                <w:sz w:val="20"/>
                <w:szCs w:val="20"/>
              </w:rPr>
            </w:pPr>
            <w:r w:rsidRPr="00807837">
              <w:rPr>
                <w:rFonts w:ascii="Arial" w:hAnsi="Arial" w:cs="Arial"/>
                <w:sz w:val="20"/>
                <w:szCs w:val="20"/>
              </w:rPr>
              <w:t>14 (87.5%)</w:t>
            </w:r>
          </w:p>
        </w:tc>
      </w:tr>
      <w:tr w:rsidR="00720739" w:rsidRPr="00807837" w:rsidTr="00057EC6">
        <w:tc>
          <w:tcPr>
            <w:tcW w:w="4598" w:type="dxa"/>
            <w:shd w:val="clear" w:color="auto" w:fill="auto"/>
          </w:tcPr>
          <w:p w:rsidR="002D3B50" w:rsidRPr="00807837" w:rsidRDefault="002D3B50" w:rsidP="00807837">
            <w:pPr>
              <w:rPr>
                <w:rFonts w:ascii="Arial" w:hAnsi="Arial" w:cs="Arial"/>
                <w:sz w:val="20"/>
                <w:szCs w:val="20"/>
              </w:rPr>
            </w:pPr>
            <w:r w:rsidRPr="00807837">
              <w:rPr>
                <w:rFonts w:ascii="Arial" w:hAnsi="Arial" w:cs="Arial"/>
                <w:sz w:val="20"/>
                <w:szCs w:val="20"/>
              </w:rPr>
              <w:t>Targets not achieved</w:t>
            </w:r>
          </w:p>
        </w:tc>
        <w:tc>
          <w:tcPr>
            <w:tcW w:w="5041" w:type="dxa"/>
          </w:tcPr>
          <w:p w:rsidR="002D3B50" w:rsidRPr="00807837" w:rsidRDefault="002D3B50" w:rsidP="00807837">
            <w:pPr>
              <w:rPr>
                <w:rFonts w:ascii="Arial" w:hAnsi="Arial" w:cs="Arial"/>
                <w:sz w:val="20"/>
                <w:szCs w:val="20"/>
              </w:rPr>
            </w:pPr>
            <w:r w:rsidRPr="00807837">
              <w:rPr>
                <w:rFonts w:ascii="Arial" w:hAnsi="Arial" w:cs="Arial"/>
                <w:sz w:val="20"/>
                <w:szCs w:val="20"/>
              </w:rPr>
              <w:t>2 (12.5%)</w:t>
            </w:r>
          </w:p>
        </w:tc>
      </w:tr>
      <w:tr w:rsidR="00720739" w:rsidRPr="00807837" w:rsidTr="00057EC6">
        <w:tc>
          <w:tcPr>
            <w:tcW w:w="4598" w:type="dxa"/>
            <w:shd w:val="clear" w:color="auto" w:fill="auto"/>
          </w:tcPr>
          <w:p w:rsidR="002D3B50" w:rsidRPr="00807837" w:rsidRDefault="002D3B50" w:rsidP="00807837">
            <w:pPr>
              <w:rPr>
                <w:rFonts w:ascii="Arial" w:hAnsi="Arial" w:cs="Arial"/>
                <w:sz w:val="20"/>
                <w:szCs w:val="20"/>
              </w:rPr>
            </w:pPr>
            <w:r w:rsidRPr="00807837">
              <w:rPr>
                <w:rFonts w:ascii="Arial" w:hAnsi="Arial" w:cs="Arial"/>
                <w:sz w:val="20"/>
                <w:szCs w:val="20"/>
              </w:rPr>
              <w:t xml:space="preserve">Budget allocated </w:t>
            </w:r>
          </w:p>
        </w:tc>
        <w:tc>
          <w:tcPr>
            <w:tcW w:w="5041" w:type="dxa"/>
          </w:tcPr>
          <w:p w:rsidR="002D3B50" w:rsidRPr="00807837" w:rsidRDefault="002D3B50" w:rsidP="00807837">
            <w:pPr>
              <w:rPr>
                <w:rFonts w:ascii="Arial" w:hAnsi="Arial" w:cs="Arial"/>
                <w:sz w:val="20"/>
                <w:szCs w:val="20"/>
              </w:rPr>
            </w:pPr>
            <w:r w:rsidRPr="00807837">
              <w:rPr>
                <w:rFonts w:ascii="Arial" w:hAnsi="Arial" w:cs="Arial"/>
                <w:sz w:val="20"/>
                <w:szCs w:val="20"/>
              </w:rPr>
              <w:t xml:space="preserve">R305.3 million </w:t>
            </w:r>
          </w:p>
        </w:tc>
      </w:tr>
      <w:tr w:rsidR="00720739" w:rsidRPr="00807837" w:rsidTr="00057EC6">
        <w:tc>
          <w:tcPr>
            <w:tcW w:w="4598" w:type="dxa"/>
            <w:shd w:val="clear" w:color="auto" w:fill="auto"/>
          </w:tcPr>
          <w:p w:rsidR="002D3B50" w:rsidRPr="00807837" w:rsidRDefault="002D3B50" w:rsidP="00807837">
            <w:pPr>
              <w:rPr>
                <w:rFonts w:ascii="Arial" w:hAnsi="Arial" w:cs="Arial"/>
                <w:sz w:val="20"/>
                <w:szCs w:val="20"/>
              </w:rPr>
            </w:pPr>
            <w:r w:rsidRPr="00807837">
              <w:rPr>
                <w:rFonts w:ascii="Arial" w:hAnsi="Arial" w:cs="Arial"/>
                <w:sz w:val="20"/>
                <w:szCs w:val="20"/>
              </w:rPr>
              <w:t xml:space="preserve">Adjusted budget </w:t>
            </w:r>
          </w:p>
        </w:tc>
        <w:tc>
          <w:tcPr>
            <w:tcW w:w="5041" w:type="dxa"/>
          </w:tcPr>
          <w:p w:rsidR="002D3B50" w:rsidRPr="00807837" w:rsidRDefault="002D3B50" w:rsidP="00807837">
            <w:pPr>
              <w:rPr>
                <w:rFonts w:ascii="Arial" w:hAnsi="Arial" w:cs="Arial"/>
                <w:sz w:val="20"/>
                <w:szCs w:val="20"/>
              </w:rPr>
            </w:pPr>
            <w:r w:rsidRPr="00807837">
              <w:rPr>
                <w:rFonts w:ascii="Arial" w:hAnsi="Arial" w:cs="Arial"/>
                <w:sz w:val="20"/>
                <w:szCs w:val="20"/>
              </w:rPr>
              <w:t>R309.8 million</w:t>
            </w:r>
          </w:p>
        </w:tc>
      </w:tr>
      <w:tr w:rsidR="00720739" w:rsidRPr="00807837" w:rsidTr="00057EC6">
        <w:tc>
          <w:tcPr>
            <w:tcW w:w="4598" w:type="dxa"/>
            <w:shd w:val="clear" w:color="auto" w:fill="auto"/>
          </w:tcPr>
          <w:p w:rsidR="002D3B50" w:rsidRPr="00807837" w:rsidRDefault="002D3B50" w:rsidP="00807837">
            <w:pPr>
              <w:rPr>
                <w:rFonts w:ascii="Arial" w:hAnsi="Arial" w:cs="Arial"/>
                <w:sz w:val="20"/>
                <w:szCs w:val="20"/>
              </w:rPr>
            </w:pPr>
            <w:r w:rsidRPr="00807837">
              <w:rPr>
                <w:rFonts w:ascii="Arial" w:hAnsi="Arial" w:cs="Arial"/>
                <w:sz w:val="20"/>
                <w:szCs w:val="20"/>
              </w:rPr>
              <w:t>Final Appropriation</w:t>
            </w:r>
          </w:p>
        </w:tc>
        <w:tc>
          <w:tcPr>
            <w:tcW w:w="5041" w:type="dxa"/>
          </w:tcPr>
          <w:p w:rsidR="002D3B50" w:rsidRPr="00807837" w:rsidRDefault="002D3B50" w:rsidP="00807837">
            <w:pPr>
              <w:rPr>
                <w:rFonts w:ascii="Arial" w:hAnsi="Arial" w:cs="Arial"/>
                <w:sz w:val="20"/>
                <w:szCs w:val="20"/>
              </w:rPr>
            </w:pPr>
            <w:r w:rsidRPr="00807837">
              <w:rPr>
                <w:rFonts w:ascii="Arial" w:hAnsi="Arial" w:cs="Arial"/>
                <w:sz w:val="20"/>
                <w:szCs w:val="20"/>
              </w:rPr>
              <w:t xml:space="preserve">R288.5 million </w:t>
            </w:r>
          </w:p>
        </w:tc>
      </w:tr>
      <w:tr w:rsidR="00720739" w:rsidRPr="00807837" w:rsidTr="00057EC6">
        <w:tc>
          <w:tcPr>
            <w:tcW w:w="4598" w:type="dxa"/>
            <w:shd w:val="clear" w:color="auto" w:fill="auto"/>
          </w:tcPr>
          <w:p w:rsidR="002D3B50" w:rsidRPr="00807837" w:rsidRDefault="002D3B50" w:rsidP="00807837">
            <w:pPr>
              <w:rPr>
                <w:rFonts w:ascii="Arial" w:hAnsi="Arial" w:cs="Arial"/>
                <w:sz w:val="20"/>
                <w:szCs w:val="20"/>
              </w:rPr>
            </w:pPr>
            <w:r w:rsidRPr="00807837">
              <w:rPr>
                <w:rFonts w:ascii="Arial" w:hAnsi="Arial" w:cs="Arial"/>
                <w:sz w:val="20"/>
                <w:szCs w:val="20"/>
              </w:rPr>
              <w:t xml:space="preserve">Budget spent </w:t>
            </w:r>
          </w:p>
        </w:tc>
        <w:tc>
          <w:tcPr>
            <w:tcW w:w="5041" w:type="dxa"/>
          </w:tcPr>
          <w:p w:rsidR="002D3B50" w:rsidRPr="00807837" w:rsidRDefault="002D3B50" w:rsidP="00807837">
            <w:pPr>
              <w:rPr>
                <w:rFonts w:ascii="Arial" w:hAnsi="Arial" w:cs="Arial"/>
                <w:sz w:val="20"/>
                <w:szCs w:val="20"/>
              </w:rPr>
            </w:pPr>
            <w:r w:rsidRPr="00807837">
              <w:rPr>
                <w:rFonts w:ascii="Arial" w:hAnsi="Arial" w:cs="Arial"/>
                <w:sz w:val="20"/>
                <w:szCs w:val="20"/>
              </w:rPr>
              <w:t>R288.5 million (100%)</w:t>
            </w:r>
          </w:p>
        </w:tc>
      </w:tr>
    </w:tbl>
    <w:p w:rsidR="002D3B50" w:rsidRPr="00807837" w:rsidRDefault="002D3B50" w:rsidP="00807837">
      <w:pPr>
        <w:spacing w:after="0" w:line="240" w:lineRule="auto"/>
        <w:contextualSpacing/>
        <w:rPr>
          <w:rFonts w:ascii="Arial" w:hAnsi="Arial" w:cs="Arial"/>
          <w:noProof/>
          <w:sz w:val="20"/>
          <w:szCs w:val="20"/>
          <w:lang w:eastAsia="en-ZA"/>
        </w:rPr>
      </w:pPr>
    </w:p>
    <w:p w:rsidR="002D3B50" w:rsidRPr="00807837" w:rsidRDefault="002D3B50" w:rsidP="00807837">
      <w:p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 xml:space="preserve">As can be seen from the table above, the Department achieved only 14 of its 16 targets set for the financial year under this programme, while spending 100 per cent of its budget. The mismatch between performance and budget spending needs to be queried. </w:t>
      </w:r>
    </w:p>
    <w:p w:rsidR="002D3B50" w:rsidRPr="00807837" w:rsidRDefault="002D3B50" w:rsidP="00807837">
      <w:pPr>
        <w:autoSpaceDE w:val="0"/>
        <w:autoSpaceDN w:val="0"/>
        <w:adjustRightInd w:val="0"/>
        <w:spacing w:after="0" w:line="240" w:lineRule="auto"/>
        <w:contextualSpacing/>
        <w:rPr>
          <w:rFonts w:ascii="Arial" w:hAnsi="Arial" w:cs="Arial"/>
          <w:sz w:val="20"/>
          <w:szCs w:val="20"/>
        </w:rPr>
      </w:pPr>
    </w:p>
    <w:p w:rsidR="002D3B50" w:rsidRPr="00807837" w:rsidRDefault="002D3B50" w:rsidP="00807837">
      <w:p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The Department maintained its vacancy rate at 10 per cent as planned. As of 31 March 2022, the Departmental post establishment was at 512, with 461 positions filled and 51 positions vacant. Budget cuts affected the filling of posts. In terms of staff turnover for the financial year, 57 employees exited the Department. These include 13 (22.8%) resignations, nine (15.7%) transfers to other Departments and two (3.5%) retirements.</w:t>
      </w:r>
    </w:p>
    <w:p w:rsidR="002D3B50" w:rsidRPr="00807837" w:rsidRDefault="002D3B50" w:rsidP="00807837">
      <w:pPr>
        <w:autoSpaceDE w:val="0"/>
        <w:autoSpaceDN w:val="0"/>
        <w:adjustRightInd w:val="0"/>
        <w:spacing w:after="0" w:line="240" w:lineRule="auto"/>
        <w:contextualSpacing/>
        <w:rPr>
          <w:rFonts w:ascii="Arial" w:hAnsi="Arial" w:cs="Arial"/>
          <w:sz w:val="20"/>
          <w:szCs w:val="20"/>
        </w:rPr>
      </w:pPr>
    </w:p>
    <w:p w:rsidR="002D3B50" w:rsidRPr="00807837" w:rsidRDefault="002D3B50" w:rsidP="00807837">
      <w:p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 xml:space="preserve">The Department exceeded its target on minimum representation (3%) of employees with disabilities by 1.6 per cent. Support to small, micro and medium enterprises (SMMEs) continued, with the target of 100 per cent of expenditure on procurement from enterprises on B-BBEE status levels one to five achieved.  The Department continues to equip and sensitise employees on issues around diversity, disability management, ethical conduct and sexual harassment. The work environment needs to be a safe space for employees. </w:t>
      </w:r>
    </w:p>
    <w:p w:rsidR="002D3B50" w:rsidRPr="00807837" w:rsidRDefault="002D3B50" w:rsidP="00807837">
      <w:pPr>
        <w:autoSpaceDE w:val="0"/>
        <w:autoSpaceDN w:val="0"/>
        <w:adjustRightInd w:val="0"/>
        <w:spacing w:after="0" w:line="240" w:lineRule="auto"/>
        <w:contextualSpacing/>
        <w:rPr>
          <w:rFonts w:ascii="Arial" w:hAnsi="Arial" w:cs="Arial"/>
          <w:sz w:val="20"/>
          <w:szCs w:val="20"/>
        </w:rPr>
      </w:pPr>
    </w:p>
    <w:p w:rsidR="002D3B50" w:rsidRPr="00807837" w:rsidRDefault="00DE0357" w:rsidP="00807837">
      <w:p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The Department reported</w:t>
      </w:r>
      <w:r w:rsidR="002D3B50" w:rsidRPr="00807837">
        <w:rPr>
          <w:rFonts w:ascii="Arial" w:hAnsi="Arial" w:cs="Arial"/>
          <w:sz w:val="20"/>
          <w:szCs w:val="20"/>
        </w:rPr>
        <w:t xml:space="preserve"> that the following targets were not achieved: </w:t>
      </w:r>
    </w:p>
    <w:p w:rsidR="002D3B50" w:rsidRPr="00807837" w:rsidRDefault="002D3B50" w:rsidP="00807837">
      <w:pPr>
        <w:numPr>
          <w:ilvl w:val="0"/>
          <w:numId w:val="39"/>
        </w:num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 xml:space="preserve">50 per cent women representation at the Senior Management Service (SMS) level, as a result of both natural attrition and a restrictive budget for compensation of employees (CoE). Women’s representation was maintained at 46.9 per cent. The baseline for CoE was </w:t>
      </w:r>
      <w:r w:rsidRPr="00807837">
        <w:rPr>
          <w:rFonts w:ascii="Arial" w:hAnsi="Arial" w:cs="Arial"/>
          <w:sz w:val="20"/>
          <w:szCs w:val="20"/>
        </w:rPr>
        <w:lastRenderedPageBreak/>
        <w:t>increased for 20</w:t>
      </w:r>
      <w:r w:rsidR="002043BB" w:rsidRPr="00807837">
        <w:rPr>
          <w:rFonts w:ascii="Arial" w:hAnsi="Arial" w:cs="Arial"/>
          <w:sz w:val="20"/>
          <w:szCs w:val="20"/>
        </w:rPr>
        <w:t>22/23 and the Department reported</w:t>
      </w:r>
      <w:r w:rsidRPr="00807837">
        <w:rPr>
          <w:rFonts w:ascii="Arial" w:hAnsi="Arial" w:cs="Arial"/>
          <w:sz w:val="20"/>
          <w:szCs w:val="20"/>
        </w:rPr>
        <w:t xml:space="preserve"> that it will ring-fence the necessary posts and facilitate a process of attracting and retaining women at this level. </w:t>
      </w:r>
    </w:p>
    <w:p w:rsidR="002D3B50" w:rsidRPr="00807837" w:rsidRDefault="002D3B50" w:rsidP="00807837">
      <w:pPr>
        <w:autoSpaceDE w:val="0"/>
        <w:autoSpaceDN w:val="0"/>
        <w:adjustRightInd w:val="0"/>
        <w:spacing w:after="0" w:line="240" w:lineRule="auto"/>
        <w:ind w:left="720"/>
        <w:contextualSpacing/>
        <w:rPr>
          <w:rFonts w:ascii="Arial" w:hAnsi="Arial" w:cs="Arial"/>
          <w:sz w:val="20"/>
          <w:szCs w:val="20"/>
        </w:rPr>
      </w:pPr>
    </w:p>
    <w:p w:rsidR="002D3B50" w:rsidRPr="00807837" w:rsidRDefault="002D3B50" w:rsidP="00807837">
      <w:pPr>
        <w:numPr>
          <w:ilvl w:val="0"/>
          <w:numId w:val="39"/>
        </w:num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 xml:space="preserve">100 per cent payment of compliant invoices within 30 days. At 95.5 per cent, the target was not achieved due to officials being late in submitting invoices to the finance office. Amid the tourism sector’s recovery stemming from COVID-19, it is advised that this occurrence not become a trend in the Department. The Department has indicated its attempts at strengthening internal controls around this issue. </w:t>
      </w:r>
    </w:p>
    <w:p w:rsidR="00DE0357" w:rsidRPr="00807837" w:rsidRDefault="00DE0357" w:rsidP="00807837">
      <w:pPr>
        <w:autoSpaceDE w:val="0"/>
        <w:autoSpaceDN w:val="0"/>
        <w:adjustRightInd w:val="0"/>
        <w:spacing w:after="0" w:line="240" w:lineRule="auto"/>
        <w:contextualSpacing/>
        <w:rPr>
          <w:rFonts w:ascii="Arial" w:hAnsi="Arial" w:cs="Arial"/>
          <w:sz w:val="20"/>
          <w:szCs w:val="20"/>
        </w:rPr>
      </w:pPr>
    </w:p>
    <w:p w:rsidR="002D3B50" w:rsidRPr="00807837" w:rsidRDefault="002D3B50" w:rsidP="00807837">
      <w:p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 xml:space="preserve">About 28 interns are completing their 24-month internship programme with the Department. The Department </w:t>
      </w:r>
      <w:r w:rsidR="00DE0357" w:rsidRPr="00807837">
        <w:rPr>
          <w:rFonts w:ascii="Arial" w:hAnsi="Arial" w:cs="Arial"/>
          <w:sz w:val="20"/>
          <w:szCs w:val="20"/>
        </w:rPr>
        <w:t xml:space="preserve">also </w:t>
      </w:r>
      <w:r w:rsidRPr="00807837">
        <w:rPr>
          <w:rFonts w:ascii="Arial" w:hAnsi="Arial" w:cs="Arial"/>
          <w:sz w:val="20"/>
          <w:szCs w:val="20"/>
        </w:rPr>
        <w:t>supported 87 external and internal bursars during the 2021/22 financial period.</w:t>
      </w:r>
    </w:p>
    <w:p w:rsidR="002D3B50" w:rsidRPr="00807837" w:rsidRDefault="002D3B50" w:rsidP="00807837">
      <w:pPr>
        <w:pStyle w:val="ListParagraph"/>
        <w:spacing w:after="0" w:line="240" w:lineRule="auto"/>
        <w:rPr>
          <w:rFonts w:ascii="Arial" w:hAnsi="Arial" w:cs="Arial"/>
          <w:sz w:val="20"/>
          <w:szCs w:val="20"/>
        </w:rPr>
      </w:pPr>
    </w:p>
    <w:p w:rsidR="002D3B50" w:rsidRPr="00807837" w:rsidRDefault="002D3B50" w:rsidP="00807837">
      <w:pPr>
        <w:keepNext/>
        <w:keepLines/>
        <w:numPr>
          <w:ilvl w:val="2"/>
          <w:numId w:val="8"/>
        </w:numPr>
        <w:spacing w:after="0" w:line="240" w:lineRule="auto"/>
        <w:contextualSpacing/>
        <w:outlineLvl w:val="1"/>
        <w:rPr>
          <w:rFonts w:ascii="Arial" w:eastAsiaTheme="majorEastAsia" w:hAnsi="Arial" w:cs="Arial"/>
          <w:b/>
          <w:sz w:val="20"/>
          <w:szCs w:val="20"/>
        </w:rPr>
      </w:pPr>
      <w:bookmarkStart w:id="2" w:name="_Toc116233917"/>
      <w:r w:rsidRPr="00807837">
        <w:rPr>
          <w:rFonts w:ascii="Arial" w:eastAsiaTheme="majorEastAsia" w:hAnsi="Arial" w:cs="Arial"/>
          <w:b/>
          <w:sz w:val="20"/>
          <w:szCs w:val="20"/>
        </w:rPr>
        <w:t>Programme 2: Tourism Research, Policy and International Relations</w:t>
      </w:r>
      <w:bookmarkEnd w:id="2"/>
    </w:p>
    <w:p w:rsidR="002D3B50" w:rsidRPr="00807837" w:rsidRDefault="002D3B50" w:rsidP="00807837">
      <w:pPr>
        <w:spacing w:after="0" w:line="240" w:lineRule="auto"/>
        <w:contextualSpacing/>
        <w:rPr>
          <w:rFonts w:ascii="Arial" w:hAnsi="Arial" w:cs="Arial"/>
          <w:sz w:val="20"/>
          <w:szCs w:val="20"/>
        </w:rPr>
      </w:pPr>
    </w:p>
    <w:p w:rsidR="002D3B50" w:rsidRPr="00807837" w:rsidRDefault="002D3B50" w:rsidP="00807837">
      <w:pPr>
        <w:spacing w:after="0" w:line="240" w:lineRule="auto"/>
        <w:contextualSpacing/>
        <w:rPr>
          <w:rFonts w:ascii="Arial" w:hAnsi="Arial" w:cs="Arial"/>
          <w:sz w:val="20"/>
          <w:szCs w:val="20"/>
        </w:rPr>
      </w:pPr>
      <w:r w:rsidRPr="00807837">
        <w:rPr>
          <w:rFonts w:ascii="Arial" w:hAnsi="Arial" w:cs="Arial"/>
          <w:sz w:val="20"/>
          <w:szCs w:val="20"/>
        </w:rPr>
        <w:t>The purpose of this programme is to enhance the strategic policy environment, monitor the tourism sector’s performance and enable stakeholder relations.</w:t>
      </w:r>
    </w:p>
    <w:p w:rsidR="00DE0357" w:rsidRPr="00807837" w:rsidRDefault="00DE0357" w:rsidP="00807837">
      <w:pPr>
        <w:autoSpaceDE w:val="0"/>
        <w:autoSpaceDN w:val="0"/>
        <w:adjustRightInd w:val="0"/>
        <w:spacing w:after="0" w:line="240" w:lineRule="auto"/>
        <w:contextualSpacing/>
        <w:rPr>
          <w:rFonts w:ascii="Arial" w:hAnsi="Arial" w:cs="Arial"/>
          <w:b/>
          <w:sz w:val="20"/>
          <w:szCs w:val="20"/>
        </w:rPr>
      </w:pPr>
    </w:p>
    <w:p w:rsidR="002D3B50" w:rsidRPr="00807837" w:rsidRDefault="00447AC6" w:rsidP="00807837">
      <w:pPr>
        <w:autoSpaceDE w:val="0"/>
        <w:autoSpaceDN w:val="0"/>
        <w:adjustRightInd w:val="0"/>
        <w:spacing w:after="0" w:line="240" w:lineRule="auto"/>
        <w:contextualSpacing/>
        <w:rPr>
          <w:rFonts w:ascii="Arial" w:hAnsi="Arial" w:cs="Arial"/>
          <w:b/>
          <w:sz w:val="20"/>
          <w:szCs w:val="20"/>
          <w:lang w:eastAsia="en-ZA"/>
        </w:rPr>
      </w:pPr>
      <w:r w:rsidRPr="00807837">
        <w:rPr>
          <w:rFonts w:ascii="Arial" w:hAnsi="Arial" w:cs="Arial"/>
          <w:b/>
          <w:sz w:val="20"/>
          <w:szCs w:val="20"/>
        </w:rPr>
        <w:t>Table 8: Programme 2-</w:t>
      </w:r>
      <w:r w:rsidR="002D3B50" w:rsidRPr="00807837">
        <w:rPr>
          <w:rFonts w:ascii="Arial" w:hAnsi="Arial" w:cs="Arial"/>
          <w:b/>
          <w:sz w:val="20"/>
          <w:szCs w:val="20"/>
        </w:rPr>
        <w:t xml:space="preserve"> Tourism Research, Policy and International Relations</w:t>
      </w:r>
    </w:p>
    <w:tbl>
      <w:tblPr>
        <w:tblStyle w:val="TableGrid2"/>
        <w:tblW w:w="8931" w:type="dxa"/>
        <w:tblInd w:w="-5" w:type="dxa"/>
        <w:tblLook w:val="04A0"/>
      </w:tblPr>
      <w:tblGrid>
        <w:gridCol w:w="4536"/>
        <w:gridCol w:w="4395"/>
      </w:tblGrid>
      <w:tr w:rsidR="00720739" w:rsidRPr="00807837" w:rsidTr="001D07DB">
        <w:tc>
          <w:tcPr>
            <w:tcW w:w="4536" w:type="dxa"/>
            <w:shd w:val="clear" w:color="auto" w:fill="auto"/>
          </w:tcPr>
          <w:p w:rsidR="002D3B50" w:rsidRPr="00807837" w:rsidRDefault="002D3B50" w:rsidP="00807837">
            <w:pPr>
              <w:rPr>
                <w:rFonts w:ascii="Arial" w:hAnsi="Arial" w:cs="Arial"/>
                <w:sz w:val="20"/>
                <w:szCs w:val="20"/>
              </w:rPr>
            </w:pPr>
            <w:r w:rsidRPr="00807837">
              <w:rPr>
                <w:rFonts w:ascii="Arial" w:hAnsi="Arial" w:cs="Arial"/>
                <w:sz w:val="20"/>
                <w:szCs w:val="20"/>
              </w:rPr>
              <w:t xml:space="preserve">Total Targets set </w:t>
            </w:r>
          </w:p>
        </w:tc>
        <w:tc>
          <w:tcPr>
            <w:tcW w:w="4395" w:type="dxa"/>
          </w:tcPr>
          <w:p w:rsidR="002D3B50" w:rsidRPr="00807837" w:rsidRDefault="002D3B50" w:rsidP="00807837">
            <w:pPr>
              <w:rPr>
                <w:rFonts w:ascii="Arial" w:hAnsi="Arial" w:cs="Arial"/>
                <w:sz w:val="20"/>
                <w:szCs w:val="20"/>
              </w:rPr>
            </w:pPr>
            <w:r w:rsidRPr="00807837">
              <w:rPr>
                <w:rFonts w:ascii="Arial" w:hAnsi="Arial" w:cs="Arial"/>
                <w:sz w:val="20"/>
                <w:szCs w:val="20"/>
              </w:rPr>
              <w:t>12</w:t>
            </w:r>
          </w:p>
        </w:tc>
      </w:tr>
      <w:tr w:rsidR="00720739" w:rsidRPr="00807837" w:rsidTr="001D07DB">
        <w:tc>
          <w:tcPr>
            <w:tcW w:w="4536" w:type="dxa"/>
            <w:shd w:val="clear" w:color="auto" w:fill="auto"/>
          </w:tcPr>
          <w:p w:rsidR="002D3B50" w:rsidRPr="00807837" w:rsidRDefault="002D3B50" w:rsidP="00807837">
            <w:pPr>
              <w:rPr>
                <w:rFonts w:ascii="Arial" w:hAnsi="Arial" w:cs="Arial"/>
                <w:sz w:val="20"/>
                <w:szCs w:val="20"/>
              </w:rPr>
            </w:pPr>
            <w:r w:rsidRPr="00807837">
              <w:rPr>
                <w:rFonts w:ascii="Arial" w:hAnsi="Arial" w:cs="Arial"/>
                <w:sz w:val="20"/>
                <w:szCs w:val="20"/>
              </w:rPr>
              <w:t>Targets achieved</w:t>
            </w:r>
          </w:p>
        </w:tc>
        <w:tc>
          <w:tcPr>
            <w:tcW w:w="4395" w:type="dxa"/>
          </w:tcPr>
          <w:p w:rsidR="002D3B50" w:rsidRPr="00807837" w:rsidRDefault="002D3B50" w:rsidP="00807837">
            <w:pPr>
              <w:rPr>
                <w:rFonts w:ascii="Arial" w:hAnsi="Arial" w:cs="Arial"/>
                <w:sz w:val="20"/>
                <w:szCs w:val="20"/>
              </w:rPr>
            </w:pPr>
            <w:r w:rsidRPr="00807837">
              <w:rPr>
                <w:rFonts w:ascii="Arial" w:hAnsi="Arial" w:cs="Arial"/>
                <w:sz w:val="20"/>
                <w:szCs w:val="20"/>
              </w:rPr>
              <w:t>11 (91.6%)</w:t>
            </w:r>
          </w:p>
        </w:tc>
      </w:tr>
      <w:tr w:rsidR="00720739" w:rsidRPr="00807837" w:rsidTr="001D07DB">
        <w:tc>
          <w:tcPr>
            <w:tcW w:w="4536" w:type="dxa"/>
            <w:shd w:val="clear" w:color="auto" w:fill="auto"/>
          </w:tcPr>
          <w:p w:rsidR="002D3B50" w:rsidRPr="00807837" w:rsidRDefault="002D3B50" w:rsidP="00807837">
            <w:pPr>
              <w:rPr>
                <w:rFonts w:ascii="Arial" w:hAnsi="Arial" w:cs="Arial"/>
                <w:sz w:val="20"/>
                <w:szCs w:val="20"/>
              </w:rPr>
            </w:pPr>
            <w:r w:rsidRPr="00807837">
              <w:rPr>
                <w:rFonts w:ascii="Arial" w:hAnsi="Arial" w:cs="Arial"/>
                <w:sz w:val="20"/>
                <w:szCs w:val="20"/>
              </w:rPr>
              <w:t xml:space="preserve">Target not achieved </w:t>
            </w:r>
          </w:p>
        </w:tc>
        <w:tc>
          <w:tcPr>
            <w:tcW w:w="4395" w:type="dxa"/>
          </w:tcPr>
          <w:p w:rsidR="002D3B50" w:rsidRPr="00807837" w:rsidRDefault="002D3B50" w:rsidP="00807837">
            <w:pPr>
              <w:rPr>
                <w:rFonts w:ascii="Arial" w:hAnsi="Arial" w:cs="Arial"/>
                <w:sz w:val="20"/>
                <w:szCs w:val="20"/>
              </w:rPr>
            </w:pPr>
            <w:r w:rsidRPr="00807837">
              <w:rPr>
                <w:rFonts w:ascii="Arial" w:hAnsi="Arial" w:cs="Arial"/>
                <w:sz w:val="20"/>
                <w:szCs w:val="20"/>
              </w:rPr>
              <w:t>1 (8.3%)</w:t>
            </w:r>
          </w:p>
        </w:tc>
      </w:tr>
      <w:tr w:rsidR="00720739" w:rsidRPr="00807837" w:rsidTr="001D07DB">
        <w:tc>
          <w:tcPr>
            <w:tcW w:w="4536" w:type="dxa"/>
            <w:shd w:val="clear" w:color="auto" w:fill="auto"/>
          </w:tcPr>
          <w:p w:rsidR="002D3B50" w:rsidRPr="00807837" w:rsidRDefault="002D3B50" w:rsidP="00807837">
            <w:pPr>
              <w:rPr>
                <w:rFonts w:ascii="Arial" w:hAnsi="Arial" w:cs="Arial"/>
                <w:sz w:val="20"/>
                <w:szCs w:val="20"/>
              </w:rPr>
            </w:pPr>
            <w:r w:rsidRPr="00807837">
              <w:rPr>
                <w:rFonts w:ascii="Arial" w:hAnsi="Arial" w:cs="Arial"/>
                <w:sz w:val="20"/>
                <w:szCs w:val="20"/>
              </w:rPr>
              <w:t xml:space="preserve">Budget allocated </w:t>
            </w:r>
          </w:p>
        </w:tc>
        <w:tc>
          <w:tcPr>
            <w:tcW w:w="4395" w:type="dxa"/>
          </w:tcPr>
          <w:p w:rsidR="002D3B50" w:rsidRPr="00807837" w:rsidRDefault="002D3B50" w:rsidP="00807837">
            <w:pPr>
              <w:rPr>
                <w:rFonts w:ascii="Arial" w:hAnsi="Arial" w:cs="Arial"/>
                <w:sz w:val="20"/>
                <w:szCs w:val="20"/>
              </w:rPr>
            </w:pPr>
            <w:r w:rsidRPr="00807837">
              <w:rPr>
                <w:rFonts w:ascii="Arial" w:hAnsi="Arial" w:cs="Arial"/>
                <w:sz w:val="20"/>
                <w:szCs w:val="20"/>
              </w:rPr>
              <w:t xml:space="preserve">R1 382.2 billion </w:t>
            </w:r>
          </w:p>
        </w:tc>
      </w:tr>
      <w:tr w:rsidR="00720739" w:rsidRPr="00807837" w:rsidTr="001D07DB">
        <w:tc>
          <w:tcPr>
            <w:tcW w:w="4536" w:type="dxa"/>
            <w:shd w:val="clear" w:color="auto" w:fill="auto"/>
          </w:tcPr>
          <w:p w:rsidR="002D3B50" w:rsidRPr="00807837" w:rsidRDefault="002D3B50" w:rsidP="00807837">
            <w:pPr>
              <w:rPr>
                <w:rFonts w:ascii="Arial" w:hAnsi="Arial" w:cs="Arial"/>
                <w:sz w:val="20"/>
                <w:szCs w:val="20"/>
              </w:rPr>
            </w:pPr>
            <w:r w:rsidRPr="00807837">
              <w:rPr>
                <w:rFonts w:ascii="Arial" w:hAnsi="Arial" w:cs="Arial"/>
                <w:sz w:val="20"/>
                <w:szCs w:val="20"/>
              </w:rPr>
              <w:t xml:space="preserve">Adjusted budget </w:t>
            </w:r>
          </w:p>
        </w:tc>
        <w:tc>
          <w:tcPr>
            <w:tcW w:w="4395" w:type="dxa"/>
          </w:tcPr>
          <w:p w:rsidR="002D3B50" w:rsidRPr="00807837" w:rsidRDefault="002D3B50" w:rsidP="00807837">
            <w:pPr>
              <w:rPr>
                <w:rFonts w:ascii="Arial" w:hAnsi="Arial" w:cs="Arial"/>
                <w:sz w:val="20"/>
                <w:szCs w:val="20"/>
              </w:rPr>
            </w:pPr>
            <w:r w:rsidRPr="00807837">
              <w:rPr>
                <w:rFonts w:ascii="Arial" w:hAnsi="Arial" w:cs="Arial"/>
                <w:sz w:val="20"/>
                <w:szCs w:val="20"/>
              </w:rPr>
              <w:t>R1  382.7 billion</w:t>
            </w:r>
          </w:p>
        </w:tc>
      </w:tr>
      <w:tr w:rsidR="00720739" w:rsidRPr="00807837" w:rsidTr="001D07DB">
        <w:tc>
          <w:tcPr>
            <w:tcW w:w="4536" w:type="dxa"/>
            <w:shd w:val="clear" w:color="auto" w:fill="auto"/>
          </w:tcPr>
          <w:p w:rsidR="002D3B50" w:rsidRPr="00807837" w:rsidRDefault="002D3B50" w:rsidP="00807837">
            <w:pPr>
              <w:rPr>
                <w:rFonts w:ascii="Arial" w:hAnsi="Arial" w:cs="Arial"/>
                <w:sz w:val="20"/>
                <w:szCs w:val="20"/>
              </w:rPr>
            </w:pPr>
            <w:r w:rsidRPr="00807837">
              <w:rPr>
                <w:rFonts w:ascii="Arial" w:hAnsi="Arial" w:cs="Arial"/>
                <w:sz w:val="20"/>
                <w:szCs w:val="20"/>
              </w:rPr>
              <w:t>Final Appropriation</w:t>
            </w:r>
          </w:p>
        </w:tc>
        <w:tc>
          <w:tcPr>
            <w:tcW w:w="4395" w:type="dxa"/>
          </w:tcPr>
          <w:p w:rsidR="002D3B50" w:rsidRPr="00807837" w:rsidRDefault="002D3B50" w:rsidP="00807837">
            <w:pPr>
              <w:rPr>
                <w:rFonts w:ascii="Arial" w:hAnsi="Arial" w:cs="Arial"/>
                <w:sz w:val="20"/>
                <w:szCs w:val="20"/>
              </w:rPr>
            </w:pPr>
            <w:r w:rsidRPr="00807837">
              <w:rPr>
                <w:rFonts w:ascii="Arial" w:hAnsi="Arial" w:cs="Arial"/>
                <w:sz w:val="20"/>
                <w:szCs w:val="20"/>
              </w:rPr>
              <w:t xml:space="preserve">R1 362.6 billion </w:t>
            </w:r>
          </w:p>
        </w:tc>
      </w:tr>
      <w:tr w:rsidR="00720739" w:rsidRPr="00807837" w:rsidTr="001D07DB">
        <w:tc>
          <w:tcPr>
            <w:tcW w:w="4536" w:type="dxa"/>
            <w:shd w:val="clear" w:color="auto" w:fill="auto"/>
          </w:tcPr>
          <w:p w:rsidR="002D3B50" w:rsidRPr="00807837" w:rsidRDefault="002D3B50" w:rsidP="00807837">
            <w:pPr>
              <w:rPr>
                <w:rFonts w:ascii="Arial" w:hAnsi="Arial" w:cs="Arial"/>
                <w:sz w:val="20"/>
                <w:szCs w:val="20"/>
              </w:rPr>
            </w:pPr>
            <w:r w:rsidRPr="00807837">
              <w:rPr>
                <w:rFonts w:ascii="Arial" w:hAnsi="Arial" w:cs="Arial"/>
                <w:sz w:val="20"/>
                <w:szCs w:val="20"/>
              </w:rPr>
              <w:t xml:space="preserve">Budget spent </w:t>
            </w:r>
          </w:p>
        </w:tc>
        <w:tc>
          <w:tcPr>
            <w:tcW w:w="4395" w:type="dxa"/>
          </w:tcPr>
          <w:p w:rsidR="002D3B50" w:rsidRPr="00807837" w:rsidRDefault="002D3B50" w:rsidP="00807837">
            <w:pPr>
              <w:rPr>
                <w:rFonts w:ascii="Arial" w:hAnsi="Arial" w:cs="Arial"/>
                <w:sz w:val="20"/>
                <w:szCs w:val="20"/>
              </w:rPr>
            </w:pPr>
            <w:r w:rsidRPr="00807837">
              <w:rPr>
                <w:rFonts w:ascii="Arial" w:hAnsi="Arial" w:cs="Arial"/>
                <w:sz w:val="20"/>
                <w:szCs w:val="20"/>
              </w:rPr>
              <w:t xml:space="preserve">R1  358.6 billion (99.7%) </w:t>
            </w:r>
          </w:p>
        </w:tc>
      </w:tr>
      <w:tr w:rsidR="00720739" w:rsidRPr="00807837" w:rsidTr="001D07DB">
        <w:tc>
          <w:tcPr>
            <w:tcW w:w="4536" w:type="dxa"/>
            <w:shd w:val="clear" w:color="auto" w:fill="auto"/>
          </w:tcPr>
          <w:p w:rsidR="002D3B50" w:rsidRPr="00807837" w:rsidRDefault="002D3B50" w:rsidP="00807837">
            <w:pPr>
              <w:rPr>
                <w:rFonts w:ascii="Arial" w:hAnsi="Arial" w:cs="Arial"/>
                <w:sz w:val="20"/>
                <w:szCs w:val="20"/>
              </w:rPr>
            </w:pPr>
            <w:r w:rsidRPr="00807837">
              <w:rPr>
                <w:rFonts w:ascii="Arial" w:hAnsi="Arial" w:cs="Arial"/>
                <w:sz w:val="20"/>
                <w:szCs w:val="20"/>
              </w:rPr>
              <w:t xml:space="preserve">Underspending </w:t>
            </w:r>
          </w:p>
        </w:tc>
        <w:tc>
          <w:tcPr>
            <w:tcW w:w="4395" w:type="dxa"/>
          </w:tcPr>
          <w:p w:rsidR="002D3B50" w:rsidRPr="00807837" w:rsidRDefault="002D3B50" w:rsidP="00807837">
            <w:pPr>
              <w:rPr>
                <w:rFonts w:ascii="Arial" w:hAnsi="Arial" w:cs="Arial"/>
                <w:sz w:val="20"/>
                <w:szCs w:val="20"/>
              </w:rPr>
            </w:pPr>
            <w:r w:rsidRPr="00807837">
              <w:rPr>
                <w:rFonts w:ascii="Arial" w:hAnsi="Arial" w:cs="Arial"/>
                <w:sz w:val="20"/>
                <w:szCs w:val="20"/>
              </w:rPr>
              <w:t xml:space="preserve">R4 million </w:t>
            </w:r>
          </w:p>
        </w:tc>
      </w:tr>
    </w:tbl>
    <w:p w:rsidR="002D3B50" w:rsidRPr="00807837" w:rsidRDefault="002D3B50" w:rsidP="00807837">
      <w:pPr>
        <w:spacing w:after="0" w:line="240" w:lineRule="auto"/>
        <w:contextualSpacing/>
        <w:rPr>
          <w:rFonts w:ascii="Arial" w:hAnsi="Arial" w:cs="Arial"/>
          <w:sz w:val="20"/>
          <w:szCs w:val="20"/>
        </w:rPr>
      </w:pPr>
    </w:p>
    <w:p w:rsidR="002D3B50" w:rsidRPr="00807837" w:rsidRDefault="002D3B50" w:rsidP="00807837">
      <w:p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As can be seen from the table above, the Department achieved 11 of its 12 targets</w:t>
      </w:r>
      <w:r w:rsidR="00DE0357" w:rsidRPr="00807837">
        <w:rPr>
          <w:rFonts w:ascii="Arial" w:hAnsi="Arial" w:cs="Arial"/>
          <w:sz w:val="20"/>
          <w:szCs w:val="20"/>
        </w:rPr>
        <w:t xml:space="preserve"> and spent 99.7 per cent</w:t>
      </w:r>
      <w:r w:rsidRPr="00807837">
        <w:rPr>
          <w:rFonts w:ascii="Arial" w:hAnsi="Arial" w:cs="Arial"/>
          <w:sz w:val="20"/>
          <w:szCs w:val="20"/>
        </w:rPr>
        <w:t xml:space="preserve"> of its budget.  This results from unspent funds for travel and subsistence, strict policies applied on the compensation of employees and savings under Goods and Services.  The question that arises is whether this can be considered a saving, given that not all targets under this programme were achieved. </w:t>
      </w:r>
    </w:p>
    <w:p w:rsidR="00B75BD8" w:rsidRPr="00807837" w:rsidRDefault="00B75BD8" w:rsidP="00807837">
      <w:pPr>
        <w:autoSpaceDE w:val="0"/>
        <w:autoSpaceDN w:val="0"/>
        <w:adjustRightInd w:val="0"/>
        <w:spacing w:after="0" w:line="240" w:lineRule="auto"/>
        <w:contextualSpacing/>
        <w:rPr>
          <w:rFonts w:ascii="Arial" w:hAnsi="Arial" w:cs="Arial"/>
          <w:sz w:val="20"/>
          <w:szCs w:val="20"/>
        </w:rPr>
      </w:pPr>
    </w:p>
    <w:p w:rsidR="002D3B50" w:rsidRPr="00807837" w:rsidRDefault="002D3B50" w:rsidP="00807837">
      <w:p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 xml:space="preserve">The Department achieved its objective of monitoring and evaluating tourism initiatives. This was achieved through the development of reports focusing on tourism performance, the impact of COVID-19, the implementation of norms and standards and tourism recovery. Findings from these reports inform policy and the creation of an enabling environment for private sector operations. Unfortunately, the Department did not finalise the review of the Green Paper on the Development and Promotion of Tourism in South Africa, thus not achieving the set target as planned for the financial year. A delay of this nature affects the creation of an enabling regulatory environment for tourism development and growth. The finalisation of this document will inform legislative amendments, such as addressing issues around the sharing economy, of the Tourism Act No. 3 of 2014, which can only be reviewed once the process has been finalised and the revised White Paper is adopted as the new policy of government on tourism. </w:t>
      </w:r>
    </w:p>
    <w:p w:rsidR="002D3B50" w:rsidRPr="00807837" w:rsidRDefault="002D3B50" w:rsidP="00807837">
      <w:pPr>
        <w:autoSpaceDE w:val="0"/>
        <w:autoSpaceDN w:val="0"/>
        <w:adjustRightInd w:val="0"/>
        <w:spacing w:after="0" w:line="240" w:lineRule="auto"/>
        <w:contextualSpacing/>
        <w:rPr>
          <w:rFonts w:ascii="Arial" w:hAnsi="Arial" w:cs="Arial"/>
          <w:sz w:val="20"/>
          <w:szCs w:val="20"/>
        </w:rPr>
      </w:pPr>
    </w:p>
    <w:p w:rsidR="002D3B50" w:rsidRPr="00807837" w:rsidRDefault="002D3B50" w:rsidP="00807837">
      <w:p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 xml:space="preserve">The Department continued its oversight responsibility over South African Tourism. The Entity continues to operate without a Chief Executive Officer. The possible merger between South African Tourism and Brand South Africa continues to be elusive, with no exact dates and possible organisational structure yet presented to the Committee for engagement. </w:t>
      </w:r>
    </w:p>
    <w:p w:rsidR="002D3B50" w:rsidRPr="00807837" w:rsidRDefault="002D3B50" w:rsidP="00807837">
      <w:pPr>
        <w:autoSpaceDE w:val="0"/>
        <w:autoSpaceDN w:val="0"/>
        <w:adjustRightInd w:val="0"/>
        <w:spacing w:after="0" w:line="240" w:lineRule="auto"/>
        <w:contextualSpacing/>
        <w:rPr>
          <w:rFonts w:ascii="Arial" w:hAnsi="Arial" w:cs="Arial"/>
          <w:sz w:val="20"/>
          <w:szCs w:val="20"/>
        </w:rPr>
      </w:pPr>
    </w:p>
    <w:p w:rsidR="002D3B50" w:rsidRPr="00807837" w:rsidRDefault="002D3B50" w:rsidP="00807837">
      <w:p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 xml:space="preserve">The Department was able to achieve its objective of advancing the country’s tourism priorities through participation and engagement in bilateral and multilateral processes. This also saw South Africa securing a seat at the United Nations World Tourism Organisation’s Executive Council, placing the country in a prominent position to lobby for support for the Continent. These fora also include South Africa’s participation in the implementation of the SADC Tourism Programme and African Union Plan of Action on Tourism. </w:t>
      </w:r>
    </w:p>
    <w:p w:rsidR="002D3B50" w:rsidRPr="00807837" w:rsidRDefault="002D3B50" w:rsidP="00807837">
      <w:pPr>
        <w:autoSpaceDE w:val="0"/>
        <w:autoSpaceDN w:val="0"/>
        <w:adjustRightInd w:val="0"/>
        <w:spacing w:after="0" w:line="240" w:lineRule="auto"/>
        <w:contextualSpacing/>
        <w:rPr>
          <w:rFonts w:ascii="Arial" w:hAnsi="Arial" w:cs="Arial"/>
          <w:sz w:val="20"/>
          <w:szCs w:val="20"/>
        </w:rPr>
      </w:pPr>
    </w:p>
    <w:p w:rsidR="002D3B50" w:rsidRPr="00807837" w:rsidRDefault="002D3B50" w:rsidP="00807837">
      <w:pPr>
        <w:keepNext/>
        <w:keepLines/>
        <w:numPr>
          <w:ilvl w:val="2"/>
          <w:numId w:val="8"/>
        </w:numPr>
        <w:spacing w:after="0" w:line="240" w:lineRule="auto"/>
        <w:ind w:left="0" w:firstLine="0"/>
        <w:contextualSpacing/>
        <w:outlineLvl w:val="1"/>
        <w:rPr>
          <w:rFonts w:ascii="Arial" w:eastAsiaTheme="majorEastAsia" w:hAnsi="Arial" w:cs="Arial"/>
          <w:b/>
          <w:noProof/>
          <w:sz w:val="20"/>
          <w:szCs w:val="20"/>
          <w:lang w:eastAsia="en-ZA"/>
        </w:rPr>
      </w:pPr>
      <w:bookmarkStart w:id="3" w:name="_Toc116233918"/>
      <w:r w:rsidRPr="00807837">
        <w:rPr>
          <w:rFonts w:ascii="Arial" w:eastAsiaTheme="majorEastAsia" w:hAnsi="Arial" w:cs="Arial"/>
          <w:b/>
          <w:sz w:val="20"/>
          <w:szCs w:val="20"/>
        </w:rPr>
        <w:t>Programme 3: Destination Development</w:t>
      </w:r>
      <w:bookmarkEnd w:id="3"/>
      <w:r w:rsidRPr="00807837">
        <w:rPr>
          <w:rFonts w:ascii="Arial" w:eastAsiaTheme="majorEastAsia" w:hAnsi="Arial" w:cs="Arial"/>
          <w:b/>
          <w:sz w:val="20"/>
          <w:szCs w:val="20"/>
        </w:rPr>
        <w:t xml:space="preserve"> </w:t>
      </w:r>
    </w:p>
    <w:p w:rsidR="002D3B50" w:rsidRPr="00807837" w:rsidRDefault="002D3B50" w:rsidP="00807837">
      <w:pPr>
        <w:spacing w:after="0" w:line="240" w:lineRule="auto"/>
        <w:contextualSpacing/>
        <w:rPr>
          <w:rFonts w:ascii="Arial" w:hAnsi="Arial" w:cs="Arial"/>
          <w:sz w:val="20"/>
          <w:szCs w:val="20"/>
        </w:rPr>
      </w:pPr>
    </w:p>
    <w:p w:rsidR="002D3B50" w:rsidRPr="00807837" w:rsidRDefault="002D3B50" w:rsidP="00807837">
      <w:pPr>
        <w:spacing w:after="0" w:line="240" w:lineRule="auto"/>
        <w:contextualSpacing/>
        <w:rPr>
          <w:rFonts w:ascii="Arial" w:hAnsi="Arial" w:cs="Arial"/>
          <w:noProof/>
          <w:sz w:val="20"/>
          <w:szCs w:val="20"/>
          <w:lang w:eastAsia="en-ZA"/>
        </w:rPr>
      </w:pPr>
      <w:r w:rsidRPr="00807837">
        <w:rPr>
          <w:rFonts w:ascii="Arial" w:hAnsi="Arial" w:cs="Arial"/>
          <w:sz w:val="20"/>
          <w:szCs w:val="20"/>
        </w:rPr>
        <w:lastRenderedPageBreak/>
        <w:t xml:space="preserve">The purpose of the programme is to facilitate and coordinate tourism destination development. </w:t>
      </w:r>
    </w:p>
    <w:p w:rsidR="00CA7896" w:rsidRPr="00807837" w:rsidRDefault="00CA7896" w:rsidP="00807837">
      <w:pPr>
        <w:autoSpaceDE w:val="0"/>
        <w:autoSpaceDN w:val="0"/>
        <w:adjustRightInd w:val="0"/>
        <w:spacing w:after="0" w:line="240" w:lineRule="auto"/>
        <w:contextualSpacing/>
        <w:rPr>
          <w:rFonts w:ascii="Arial" w:hAnsi="Arial" w:cs="Arial"/>
          <w:b/>
          <w:sz w:val="20"/>
          <w:szCs w:val="20"/>
        </w:rPr>
      </w:pPr>
    </w:p>
    <w:p w:rsidR="002D3B50" w:rsidRPr="00807837" w:rsidRDefault="00447AC6" w:rsidP="00807837">
      <w:pPr>
        <w:autoSpaceDE w:val="0"/>
        <w:autoSpaceDN w:val="0"/>
        <w:adjustRightInd w:val="0"/>
        <w:spacing w:after="0" w:line="240" w:lineRule="auto"/>
        <w:contextualSpacing/>
        <w:rPr>
          <w:rFonts w:ascii="Arial" w:hAnsi="Arial" w:cs="Arial"/>
          <w:b/>
          <w:sz w:val="20"/>
          <w:szCs w:val="20"/>
          <w:lang w:eastAsia="en-ZA"/>
        </w:rPr>
      </w:pPr>
      <w:r w:rsidRPr="00807837">
        <w:rPr>
          <w:rFonts w:ascii="Arial" w:hAnsi="Arial" w:cs="Arial"/>
          <w:b/>
          <w:sz w:val="20"/>
          <w:szCs w:val="20"/>
        </w:rPr>
        <w:t xml:space="preserve">Table 9: </w:t>
      </w:r>
      <w:r w:rsidR="002D3B50" w:rsidRPr="00807837">
        <w:rPr>
          <w:rFonts w:ascii="Arial" w:hAnsi="Arial" w:cs="Arial"/>
          <w:b/>
          <w:sz w:val="20"/>
          <w:szCs w:val="20"/>
        </w:rPr>
        <w:t xml:space="preserve">Programme </w:t>
      </w:r>
      <w:r w:rsidRPr="00807837">
        <w:rPr>
          <w:rFonts w:ascii="Arial" w:hAnsi="Arial" w:cs="Arial"/>
          <w:b/>
          <w:sz w:val="20"/>
          <w:szCs w:val="20"/>
        </w:rPr>
        <w:t xml:space="preserve">- </w:t>
      </w:r>
      <w:r w:rsidR="002D3B50" w:rsidRPr="00807837">
        <w:rPr>
          <w:rFonts w:ascii="Arial" w:hAnsi="Arial" w:cs="Arial"/>
          <w:b/>
          <w:sz w:val="20"/>
          <w:szCs w:val="20"/>
        </w:rPr>
        <w:t>Destination Development</w:t>
      </w:r>
    </w:p>
    <w:tbl>
      <w:tblPr>
        <w:tblStyle w:val="TableGrid2"/>
        <w:tblW w:w="8931" w:type="dxa"/>
        <w:tblInd w:w="-5" w:type="dxa"/>
        <w:tblLook w:val="04A0"/>
      </w:tblPr>
      <w:tblGrid>
        <w:gridCol w:w="4353"/>
        <w:gridCol w:w="4578"/>
      </w:tblGrid>
      <w:tr w:rsidR="00720739" w:rsidRPr="00807837" w:rsidTr="001D07DB">
        <w:tc>
          <w:tcPr>
            <w:tcW w:w="4353" w:type="dxa"/>
            <w:shd w:val="clear" w:color="auto" w:fill="auto"/>
          </w:tcPr>
          <w:p w:rsidR="002D3B50" w:rsidRPr="00807837" w:rsidRDefault="002D3B50" w:rsidP="00807837">
            <w:pPr>
              <w:rPr>
                <w:rFonts w:ascii="Arial" w:hAnsi="Arial" w:cs="Arial"/>
                <w:sz w:val="20"/>
                <w:szCs w:val="20"/>
              </w:rPr>
            </w:pPr>
            <w:r w:rsidRPr="00807837">
              <w:rPr>
                <w:rFonts w:ascii="Arial" w:hAnsi="Arial" w:cs="Arial"/>
                <w:sz w:val="20"/>
                <w:szCs w:val="20"/>
              </w:rPr>
              <w:t xml:space="preserve">Total Targets set </w:t>
            </w:r>
          </w:p>
        </w:tc>
        <w:tc>
          <w:tcPr>
            <w:tcW w:w="4578" w:type="dxa"/>
          </w:tcPr>
          <w:p w:rsidR="002D3B50" w:rsidRPr="00807837" w:rsidRDefault="002D3B50" w:rsidP="00807837">
            <w:pPr>
              <w:rPr>
                <w:rFonts w:ascii="Arial" w:hAnsi="Arial" w:cs="Arial"/>
                <w:sz w:val="20"/>
                <w:szCs w:val="20"/>
              </w:rPr>
            </w:pPr>
            <w:r w:rsidRPr="00807837">
              <w:rPr>
                <w:rFonts w:ascii="Arial" w:hAnsi="Arial" w:cs="Arial"/>
                <w:sz w:val="20"/>
                <w:szCs w:val="20"/>
              </w:rPr>
              <w:t>9</w:t>
            </w:r>
          </w:p>
        </w:tc>
      </w:tr>
      <w:tr w:rsidR="00720739" w:rsidRPr="00807837" w:rsidTr="001D07DB">
        <w:tc>
          <w:tcPr>
            <w:tcW w:w="4353" w:type="dxa"/>
            <w:shd w:val="clear" w:color="auto" w:fill="auto"/>
          </w:tcPr>
          <w:p w:rsidR="002D3B50" w:rsidRPr="00807837" w:rsidRDefault="002D3B50" w:rsidP="00807837">
            <w:pPr>
              <w:rPr>
                <w:rFonts w:ascii="Arial" w:hAnsi="Arial" w:cs="Arial"/>
                <w:sz w:val="20"/>
                <w:szCs w:val="20"/>
              </w:rPr>
            </w:pPr>
            <w:r w:rsidRPr="00807837">
              <w:rPr>
                <w:rFonts w:ascii="Arial" w:hAnsi="Arial" w:cs="Arial"/>
                <w:sz w:val="20"/>
                <w:szCs w:val="20"/>
              </w:rPr>
              <w:t>Targets achieved</w:t>
            </w:r>
          </w:p>
        </w:tc>
        <w:tc>
          <w:tcPr>
            <w:tcW w:w="4578" w:type="dxa"/>
          </w:tcPr>
          <w:p w:rsidR="002D3B50" w:rsidRPr="00807837" w:rsidRDefault="002D3B50" w:rsidP="00807837">
            <w:pPr>
              <w:rPr>
                <w:rFonts w:ascii="Arial" w:hAnsi="Arial" w:cs="Arial"/>
                <w:sz w:val="20"/>
                <w:szCs w:val="20"/>
              </w:rPr>
            </w:pPr>
            <w:r w:rsidRPr="00807837">
              <w:rPr>
                <w:rFonts w:ascii="Arial" w:hAnsi="Arial" w:cs="Arial"/>
                <w:sz w:val="20"/>
                <w:szCs w:val="20"/>
              </w:rPr>
              <w:t>9 (100%)</w:t>
            </w:r>
          </w:p>
        </w:tc>
      </w:tr>
      <w:tr w:rsidR="00720739" w:rsidRPr="00807837" w:rsidTr="001D07DB">
        <w:tc>
          <w:tcPr>
            <w:tcW w:w="4353" w:type="dxa"/>
            <w:shd w:val="clear" w:color="auto" w:fill="auto"/>
          </w:tcPr>
          <w:p w:rsidR="002D3B50" w:rsidRPr="00807837" w:rsidRDefault="002D3B50" w:rsidP="00807837">
            <w:pPr>
              <w:rPr>
                <w:rFonts w:ascii="Arial" w:hAnsi="Arial" w:cs="Arial"/>
                <w:sz w:val="20"/>
                <w:szCs w:val="20"/>
              </w:rPr>
            </w:pPr>
            <w:r w:rsidRPr="00807837">
              <w:rPr>
                <w:rFonts w:ascii="Arial" w:hAnsi="Arial" w:cs="Arial"/>
                <w:sz w:val="20"/>
                <w:szCs w:val="20"/>
              </w:rPr>
              <w:t xml:space="preserve">Budget allocated </w:t>
            </w:r>
          </w:p>
        </w:tc>
        <w:tc>
          <w:tcPr>
            <w:tcW w:w="4578" w:type="dxa"/>
          </w:tcPr>
          <w:p w:rsidR="002D3B50" w:rsidRPr="00807837" w:rsidRDefault="002D3B50" w:rsidP="00807837">
            <w:pPr>
              <w:rPr>
                <w:rFonts w:ascii="Arial" w:hAnsi="Arial" w:cs="Arial"/>
                <w:sz w:val="20"/>
                <w:szCs w:val="20"/>
              </w:rPr>
            </w:pPr>
            <w:r w:rsidRPr="00807837">
              <w:rPr>
                <w:rFonts w:ascii="Arial" w:hAnsi="Arial" w:cs="Arial"/>
                <w:sz w:val="20"/>
                <w:szCs w:val="20"/>
              </w:rPr>
              <w:t xml:space="preserve">R305.6 million </w:t>
            </w:r>
          </w:p>
        </w:tc>
      </w:tr>
      <w:tr w:rsidR="00720739" w:rsidRPr="00807837" w:rsidTr="001D07DB">
        <w:tc>
          <w:tcPr>
            <w:tcW w:w="4353" w:type="dxa"/>
            <w:shd w:val="clear" w:color="auto" w:fill="auto"/>
          </w:tcPr>
          <w:p w:rsidR="002D3B50" w:rsidRPr="00807837" w:rsidRDefault="002D3B50" w:rsidP="00807837">
            <w:pPr>
              <w:rPr>
                <w:rFonts w:ascii="Arial" w:hAnsi="Arial" w:cs="Arial"/>
                <w:sz w:val="20"/>
                <w:szCs w:val="20"/>
              </w:rPr>
            </w:pPr>
            <w:r w:rsidRPr="00807837">
              <w:rPr>
                <w:rFonts w:ascii="Arial" w:hAnsi="Arial" w:cs="Arial"/>
                <w:sz w:val="20"/>
                <w:szCs w:val="20"/>
              </w:rPr>
              <w:t xml:space="preserve">Adjusted budget </w:t>
            </w:r>
          </w:p>
        </w:tc>
        <w:tc>
          <w:tcPr>
            <w:tcW w:w="4578" w:type="dxa"/>
          </w:tcPr>
          <w:p w:rsidR="002D3B50" w:rsidRPr="00807837" w:rsidRDefault="002D3B50" w:rsidP="00807837">
            <w:pPr>
              <w:rPr>
                <w:rFonts w:ascii="Arial" w:hAnsi="Arial" w:cs="Arial"/>
                <w:sz w:val="20"/>
                <w:szCs w:val="20"/>
              </w:rPr>
            </w:pPr>
            <w:r w:rsidRPr="00807837">
              <w:rPr>
                <w:rFonts w:ascii="Arial" w:hAnsi="Arial" w:cs="Arial"/>
                <w:sz w:val="20"/>
                <w:szCs w:val="20"/>
              </w:rPr>
              <w:t>R466.3 million</w:t>
            </w:r>
          </w:p>
        </w:tc>
      </w:tr>
      <w:tr w:rsidR="00720739" w:rsidRPr="00807837" w:rsidTr="001D07DB">
        <w:tc>
          <w:tcPr>
            <w:tcW w:w="4353" w:type="dxa"/>
            <w:shd w:val="clear" w:color="auto" w:fill="auto"/>
          </w:tcPr>
          <w:p w:rsidR="002D3B50" w:rsidRPr="00807837" w:rsidRDefault="002D3B50" w:rsidP="00807837">
            <w:pPr>
              <w:rPr>
                <w:rFonts w:ascii="Arial" w:hAnsi="Arial" w:cs="Arial"/>
                <w:sz w:val="20"/>
                <w:szCs w:val="20"/>
              </w:rPr>
            </w:pPr>
            <w:r w:rsidRPr="00807837">
              <w:rPr>
                <w:rFonts w:ascii="Arial" w:hAnsi="Arial" w:cs="Arial"/>
                <w:sz w:val="20"/>
                <w:szCs w:val="20"/>
              </w:rPr>
              <w:t>Final Appropriation</w:t>
            </w:r>
          </w:p>
        </w:tc>
        <w:tc>
          <w:tcPr>
            <w:tcW w:w="4578" w:type="dxa"/>
          </w:tcPr>
          <w:p w:rsidR="002D3B50" w:rsidRPr="00807837" w:rsidRDefault="002D3B50" w:rsidP="00807837">
            <w:pPr>
              <w:rPr>
                <w:rFonts w:ascii="Arial" w:hAnsi="Arial" w:cs="Arial"/>
                <w:sz w:val="20"/>
                <w:szCs w:val="20"/>
              </w:rPr>
            </w:pPr>
            <w:r w:rsidRPr="00807837">
              <w:rPr>
                <w:rFonts w:ascii="Arial" w:hAnsi="Arial" w:cs="Arial"/>
                <w:sz w:val="20"/>
                <w:szCs w:val="20"/>
              </w:rPr>
              <w:t xml:space="preserve">R530.5 million </w:t>
            </w:r>
          </w:p>
        </w:tc>
      </w:tr>
      <w:tr w:rsidR="00720739" w:rsidRPr="00807837" w:rsidTr="001D07DB">
        <w:tc>
          <w:tcPr>
            <w:tcW w:w="4353" w:type="dxa"/>
            <w:shd w:val="clear" w:color="auto" w:fill="auto"/>
          </w:tcPr>
          <w:p w:rsidR="002D3B50" w:rsidRPr="00807837" w:rsidRDefault="002D3B50" w:rsidP="00807837">
            <w:pPr>
              <w:rPr>
                <w:rFonts w:ascii="Arial" w:hAnsi="Arial" w:cs="Arial"/>
                <w:sz w:val="20"/>
                <w:szCs w:val="20"/>
              </w:rPr>
            </w:pPr>
            <w:r w:rsidRPr="00807837">
              <w:rPr>
                <w:rFonts w:ascii="Arial" w:hAnsi="Arial" w:cs="Arial"/>
                <w:sz w:val="20"/>
                <w:szCs w:val="20"/>
              </w:rPr>
              <w:t xml:space="preserve">Budget spent </w:t>
            </w:r>
          </w:p>
        </w:tc>
        <w:tc>
          <w:tcPr>
            <w:tcW w:w="4578" w:type="dxa"/>
          </w:tcPr>
          <w:p w:rsidR="002D3B50" w:rsidRPr="00807837" w:rsidRDefault="002D3B50" w:rsidP="00807837">
            <w:pPr>
              <w:rPr>
                <w:rFonts w:ascii="Arial" w:hAnsi="Arial" w:cs="Arial"/>
                <w:sz w:val="20"/>
                <w:szCs w:val="20"/>
              </w:rPr>
            </w:pPr>
            <w:r w:rsidRPr="00807837">
              <w:rPr>
                <w:rFonts w:ascii="Arial" w:hAnsi="Arial" w:cs="Arial"/>
                <w:sz w:val="20"/>
                <w:szCs w:val="20"/>
              </w:rPr>
              <w:t xml:space="preserve">R527.2 million (99.4%) </w:t>
            </w:r>
          </w:p>
        </w:tc>
      </w:tr>
      <w:tr w:rsidR="00720739" w:rsidRPr="00807837" w:rsidTr="001D07DB">
        <w:tc>
          <w:tcPr>
            <w:tcW w:w="4353" w:type="dxa"/>
            <w:shd w:val="clear" w:color="auto" w:fill="auto"/>
          </w:tcPr>
          <w:p w:rsidR="002D3B50" w:rsidRPr="00807837" w:rsidRDefault="002D3B50" w:rsidP="00807837">
            <w:pPr>
              <w:rPr>
                <w:rFonts w:ascii="Arial" w:hAnsi="Arial" w:cs="Arial"/>
                <w:sz w:val="20"/>
                <w:szCs w:val="20"/>
              </w:rPr>
            </w:pPr>
            <w:r w:rsidRPr="00807837">
              <w:rPr>
                <w:rFonts w:ascii="Arial" w:hAnsi="Arial" w:cs="Arial"/>
                <w:sz w:val="20"/>
                <w:szCs w:val="20"/>
              </w:rPr>
              <w:t xml:space="preserve">Underspending </w:t>
            </w:r>
          </w:p>
        </w:tc>
        <w:tc>
          <w:tcPr>
            <w:tcW w:w="4578" w:type="dxa"/>
          </w:tcPr>
          <w:p w:rsidR="002D3B50" w:rsidRPr="00807837" w:rsidRDefault="002D3B50" w:rsidP="00807837">
            <w:pPr>
              <w:rPr>
                <w:rFonts w:ascii="Arial" w:hAnsi="Arial" w:cs="Arial"/>
                <w:sz w:val="20"/>
                <w:szCs w:val="20"/>
              </w:rPr>
            </w:pPr>
            <w:r w:rsidRPr="00807837">
              <w:rPr>
                <w:rFonts w:ascii="Arial" w:hAnsi="Arial" w:cs="Arial"/>
                <w:sz w:val="20"/>
                <w:szCs w:val="20"/>
              </w:rPr>
              <w:t xml:space="preserve">R3.3 million </w:t>
            </w:r>
          </w:p>
        </w:tc>
      </w:tr>
    </w:tbl>
    <w:p w:rsidR="00B75BD8" w:rsidRPr="00807837" w:rsidRDefault="00B75BD8" w:rsidP="00807837">
      <w:pPr>
        <w:autoSpaceDE w:val="0"/>
        <w:autoSpaceDN w:val="0"/>
        <w:adjustRightInd w:val="0"/>
        <w:spacing w:after="0" w:line="240" w:lineRule="auto"/>
        <w:contextualSpacing/>
        <w:rPr>
          <w:rFonts w:ascii="Arial" w:hAnsi="Arial" w:cs="Arial"/>
          <w:sz w:val="20"/>
          <w:szCs w:val="20"/>
        </w:rPr>
      </w:pPr>
    </w:p>
    <w:p w:rsidR="00657558" w:rsidRPr="00807837" w:rsidRDefault="00657558" w:rsidP="00807837">
      <w:pPr>
        <w:autoSpaceDE w:val="0"/>
        <w:autoSpaceDN w:val="0"/>
        <w:adjustRightInd w:val="0"/>
        <w:spacing w:after="0" w:line="240" w:lineRule="auto"/>
        <w:contextualSpacing/>
        <w:rPr>
          <w:rFonts w:ascii="Arial" w:hAnsi="Arial" w:cs="Arial"/>
          <w:noProof/>
          <w:sz w:val="20"/>
          <w:szCs w:val="20"/>
          <w:lang w:eastAsia="en-ZA"/>
        </w:rPr>
      </w:pPr>
      <w:r w:rsidRPr="00807837">
        <w:rPr>
          <w:rFonts w:ascii="Arial" w:hAnsi="Arial" w:cs="Arial"/>
          <w:sz w:val="20"/>
          <w:szCs w:val="20"/>
        </w:rPr>
        <w:t xml:space="preserve">The Programme’s final appropriation was </w:t>
      </w:r>
      <w:r w:rsidRPr="00807837">
        <w:rPr>
          <w:rFonts w:ascii="Arial" w:hAnsi="Arial" w:cs="Arial"/>
          <w:noProof/>
          <w:sz w:val="20"/>
          <w:szCs w:val="20"/>
          <w:lang w:eastAsia="en-ZA"/>
        </w:rPr>
        <w:t>R</w:t>
      </w:r>
      <w:r w:rsidRPr="00807837">
        <w:rPr>
          <w:rFonts w:ascii="Arial" w:hAnsi="Arial" w:cs="Arial"/>
          <w:sz w:val="20"/>
          <w:szCs w:val="20"/>
        </w:rPr>
        <w:t xml:space="preserve">530.5 million </w:t>
      </w:r>
      <w:r w:rsidRPr="00807837">
        <w:rPr>
          <w:rFonts w:ascii="Arial" w:hAnsi="Arial" w:cs="Arial"/>
          <w:noProof/>
          <w:sz w:val="20"/>
          <w:szCs w:val="20"/>
          <w:lang w:eastAsia="en-ZA"/>
        </w:rPr>
        <w:t>in the 2021/22 financial year, the bulk of which (R377.4 million or 71.1 %) was allocated to the Working for Tourism sub-programme. Working for Tourism consists of the Expanded Public Works Programme (EPWP) and Expanded Public Works Incentive Programme.</w:t>
      </w:r>
    </w:p>
    <w:p w:rsidR="00657558" w:rsidRPr="00807837" w:rsidRDefault="00657558" w:rsidP="00807837">
      <w:pPr>
        <w:autoSpaceDE w:val="0"/>
        <w:autoSpaceDN w:val="0"/>
        <w:adjustRightInd w:val="0"/>
        <w:spacing w:after="0" w:line="240" w:lineRule="auto"/>
        <w:contextualSpacing/>
        <w:rPr>
          <w:rFonts w:ascii="Arial" w:hAnsi="Arial" w:cs="Arial"/>
          <w:sz w:val="20"/>
          <w:szCs w:val="20"/>
        </w:rPr>
      </w:pPr>
    </w:p>
    <w:p w:rsidR="002D3B50" w:rsidRPr="00807837" w:rsidRDefault="00DE0357" w:rsidP="00807837">
      <w:p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T</w:t>
      </w:r>
      <w:r w:rsidR="002D3B50" w:rsidRPr="00807837">
        <w:rPr>
          <w:rFonts w:ascii="Arial" w:hAnsi="Arial" w:cs="Arial"/>
          <w:sz w:val="20"/>
          <w:szCs w:val="20"/>
        </w:rPr>
        <w:t>he Department achieved all of its targets set for the programme</w:t>
      </w:r>
      <w:r w:rsidRPr="00807837">
        <w:rPr>
          <w:rFonts w:ascii="Arial" w:hAnsi="Arial" w:cs="Arial"/>
          <w:sz w:val="20"/>
          <w:szCs w:val="20"/>
        </w:rPr>
        <w:t xml:space="preserve"> and spent 99.4 per cent</w:t>
      </w:r>
      <w:r w:rsidR="002D3B50" w:rsidRPr="00807837">
        <w:rPr>
          <w:rFonts w:ascii="Arial" w:hAnsi="Arial" w:cs="Arial"/>
          <w:sz w:val="20"/>
          <w:szCs w:val="20"/>
        </w:rPr>
        <w:t xml:space="preserve"> of its budget. The Department attributes the underspending within Goods and Services of the EPWP, as contracts could not be concluded before year-end; including savings under Compensation of Employees (CoE) in the programme. </w:t>
      </w:r>
    </w:p>
    <w:p w:rsidR="002D3B50" w:rsidRPr="00807837" w:rsidRDefault="002D3B50" w:rsidP="00807837">
      <w:pPr>
        <w:autoSpaceDE w:val="0"/>
        <w:autoSpaceDN w:val="0"/>
        <w:adjustRightInd w:val="0"/>
        <w:spacing w:after="0" w:line="240" w:lineRule="auto"/>
        <w:contextualSpacing/>
        <w:rPr>
          <w:rFonts w:ascii="Arial" w:hAnsi="Arial" w:cs="Arial"/>
          <w:sz w:val="20"/>
          <w:szCs w:val="20"/>
        </w:rPr>
      </w:pPr>
    </w:p>
    <w:p w:rsidR="002D3B50" w:rsidRPr="00807837" w:rsidRDefault="002D3B50" w:rsidP="00807837">
      <w:p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 xml:space="preserve">The Department </w:t>
      </w:r>
      <w:r w:rsidR="002043BB" w:rsidRPr="00807837">
        <w:rPr>
          <w:rFonts w:ascii="Arial" w:hAnsi="Arial" w:cs="Arial"/>
          <w:sz w:val="20"/>
          <w:szCs w:val="20"/>
        </w:rPr>
        <w:t>reported</w:t>
      </w:r>
      <w:r w:rsidRPr="00807837">
        <w:rPr>
          <w:rFonts w:ascii="Arial" w:hAnsi="Arial" w:cs="Arial"/>
          <w:sz w:val="20"/>
          <w:szCs w:val="20"/>
        </w:rPr>
        <w:t xml:space="preserve"> that prioritised initiatives from the tourism spatial masterplans have been incorporated into One Plans for DDM (district development model) districts. The</w:t>
      </w:r>
      <w:r w:rsidRPr="00807837">
        <w:rPr>
          <w:rFonts w:ascii="Arial" w:hAnsi="Arial" w:cs="Arial"/>
          <w:i/>
          <w:sz w:val="20"/>
          <w:szCs w:val="20"/>
        </w:rPr>
        <w:t xml:space="preserve"> </w:t>
      </w:r>
      <w:r w:rsidRPr="00807837">
        <w:rPr>
          <w:rFonts w:ascii="Arial" w:hAnsi="Arial" w:cs="Arial"/>
          <w:sz w:val="20"/>
          <w:szCs w:val="20"/>
        </w:rPr>
        <w:t>identified district municipalities include OR Tambo, eThekwini Metro, Pixley ka Seme and Namakwa. Support to these districts is important, especially those based in rural areas, to ensure that funding is obtained for the initiatives and that economic objectives are achieved as planned. Funding, effective planning, relevant product development and economic linkages can grow the rural tourism market, which continues to be an untapped market in some South African towns.</w:t>
      </w:r>
    </w:p>
    <w:p w:rsidR="002D3B50" w:rsidRPr="00807837" w:rsidRDefault="002D3B50" w:rsidP="00807837">
      <w:pPr>
        <w:autoSpaceDE w:val="0"/>
        <w:autoSpaceDN w:val="0"/>
        <w:adjustRightInd w:val="0"/>
        <w:spacing w:after="0" w:line="240" w:lineRule="auto"/>
        <w:contextualSpacing/>
        <w:rPr>
          <w:rFonts w:ascii="Arial" w:hAnsi="Arial" w:cs="Arial"/>
          <w:i/>
          <w:sz w:val="20"/>
          <w:szCs w:val="20"/>
        </w:rPr>
      </w:pPr>
    </w:p>
    <w:p w:rsidR="002D3B50" w:rsidRPr="00807837" w:rsidRDefault="002D3B50" w:rsidP="00807837">
      <w:p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The Department continues to provide support to SANParks, through its maintenance of infrastructure in the various national parks across the coun</w:t>
      </w:r>
      <w:r w:rsidR="002043BB" w:rsidRPr="00807837">
        <w:rPr>
          <w:rFonts w:ascii="Arial" w:hAnsi="Arial" w:cs="Arial"/>
          <w:sz w:val="20"/>
          <w:szCs w:val="20"/>
        </w:rPr>
        <w:t>try. The Department also reported</w:t>
      </w:r>
      <w:r w:rsidRPr="00807837">
        <w:rPr>
          <w:rFonts w:ascii="Arial" w:hAnsi="Arial" w:cs="Arial"/>
          <w:sz w:val="20"/>
          <w:szCs w:val="20"/>
        </w:rPr>
        <w:t xml:space="preserve"> that work on 30 community-based tourism projects was supported and monitored. The projects are spread across eight provinces and include lodges, hiking trails, museums and accommodation facilities. In the new financial year, the implementation of these projects has been transferred to the Development Bank of Southern Africa (DBSA). </w:t>
      </w:r>
    </w:p>
    <w:p w:rsidR="002D3B50" w:rsidRPr="00807837" w:rsidRDefault="002D3B50" w:rsidP="00807837">
      <w:pPr>
        <w:autoSpaceDE w:val="0"/>
        <w:autoSpaceDN w:val="0"/>
        <w:adjustRightInd w:val="0"/>
        <w:spacing w:after="0" w:line="240" w:lineRule="auto"/>
        <w:contextualSpacing/>
        <w:rPr>
          <w:rFonts w:ascii="Arial" w:hAnsi="Arial" w:cs="Arial"/>
          <w:sz w:val="20"/>
          <w:szCs w:val="20"/>
        </w:rPr>
      </w:pPr>
    </w:p>
    <w:p w:rsidR="002D3B50" w:rsidRPr="00807837" w:rsidRDefault="002D3B50" w:rsidP="00807837">
      <w:p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 xml:space="preserve">The Department exceeded its annual target for work opportunities. Against a target of 3 826, the Department created 5 328 work opportunities. About 1 502 additional work opportunities were created resulting from the easing of lockdown restrictions, the overlapping of projects and the commencement of high labour-intensive projects during the financial year. </w:t>
      </w:r>
    </w:p>
    <w:p w:rsidR="002D3B50" w:rsidRPr="00807837" w:rsidRDefault="002D3B50" w:rsidP="00807837">
      <w:pPr>
        <w:autoSpaceDE w:val="0"/>
        <w:autoSpaceDN w:val="0"/>
        <w:adjustRightInd w:val="0"/>
        <w:spacing w:after="0" w:line="240" w:lineRule="auto"/>
        <w:contextualSpacing/>
        <w:rPr>
          <w:rFonts w:ascii="Arial" w:hAnsi="Arial" w:cs="Arial"/>
          <w:sz w:val="20"/>
          <w:szCs w:val="20"/>
        </w:rPr>
      </w:pPr>
    </w:p>
    <w:p w:rsidR="002D3B50" w:rsidRPr="00807837" w:rsidRDefault="002D3B50" w:rsidP="00807837">
      <w:pPr>
        <w:keepNext/>
        <w:keepLines/>
        <w:numPr>
          <w:ilvl w:val="2"/>
          <w:numId w:val="8"/>
        </w:numPr>
        <w:spacing w:after="0" w:line="240" w:lineRule="auto"/>
        <w:ind w:left="0" w:firstLine="0"/>
        <w:contextualSpacing/>
        <w:outlineLvl w:val="1"/>
        <w:rPr>
          <w:rFonts w:ascii="Arial" w:eastAsiaTheme="majorEastAsia" w:hAnsi="Arial" w:cs="Arial"/>
          <w:b/>
          <w:sz w:val="20"/>
          <w:szCs w:val="20"/>
        </w:rPr>
      </w:pPr>
      <w:bookmarkStart w:id="4" w:name="_Toc116233919"/>
      <w:r w:rsidRPr="00807837">
        <w:rPr>
          <w:rFonts w:ascii="Arial" w:eastAsiaTheme="majorEastAsia" w:hAnsi="Arial" w:cs="Arial"/>
          <w:b/>
          <w:sz w:val="20"/>
          <w:szCs w:val="20"/>
        </w:rPr>
        <w:t>Programme 4: Tourism Sector Support Services</w:t>
      </w:r>
      <w:bookmarkEnd w:id="4"/>
      <w:r w:rsidRPr="00807837">
        <w:rPr>
          <w:rFonts w:ascii="Arial" w:eastAsiaTheme="majorEastAsia" w:hAnsi="Arial" w:cs="Arial"/>
          <w:b/>
          <w:sz w:val="20"/>
          <w:szCs w:val="20"/>
        </w:rPr>
        <w:t xml:space="preserve"> </w:t>
      </w:r>
    </w:p>
    <w:p w:rsidR="002D3B50" w:rsidRPr="00807837" w:rsidRDefault="002D3B50" w:rsidP="00807837">
      <w:pPr>
        <w:tabs>
          <w:tab w:val="left" w:pos="360"/>
        </w:tabs>
        <w:spacing w:after="0" w:line="240" w:lineRule="auto"/>
        <w:contextualSpacing/>
        <w:rPr>
          <w:rFonts w:ascii="Arial" w:hAnsi="Arial" w:cs="Arial"/>
          <w:sz w:val="20"/>
          <w:szCs w:val="20"/>
        </w:rPr>
      </w:pPr>
    </w:p>
    <w:p w:rsidR="002D3B50" w:rsidRPr="00807837" w:rsidRDefault="002D3B50" w:rsidP="00807837">
      <w:pPr>
        <w:tabs>
          <w:tab w:val="left" w:pos="360"/>
        </w:tabs>
        <w:spacing w:after="0" w:line="240" w:lineRule="auto"/>
        <w:contextualSpacing/>
        <w:rPr>
          <w:rFonts w:ascii="Arial" w:hAnsi="Arial" w:cs="Arial"/>
          <w:sz w:val="20"/>
          <w:szCs w:val="20"/>
        </w:rPr>
      </w:pPr>
      <w:r w:rsidRPr="00807837">
        <w:rPr>
          <w:rFonts w:ascii="Arial" w:hAnsi="Arial" w:cs="Arial"/>
          <w:sz w:val="20"/>
          <w:szCs w:val="20"/>
        </w:rPr>
        <w:t xml:space="preserve">The purpose of this programme is to enhance transformation, increase skill levels and support the development of the sector to ensure that South Africa is a competitive tourism destination. </w:t>
      </w:r>
    </w:p>
    <w:p w:rsidR="002D3B50" w:rsidRPr="00807837" w:rsidRDefault="00447AC6" w:rsidP="00807837">
      <w:pPr>
        <w:autoSpaceDE w:val="0"/>
        <w:autoSpaceDN w:val="0"/>
        <w:adjustRightInd w:val="0"/>
        <w:spacing w:after="0" w:line="240" w:lineRule="auto"/>
        <w:contextualSpacing/>
        <w:rPr>
          <w:rFonts w:ascii="Arial" w:hAnsi="Arial" w:cs="Arial"/>
          <w:b/>
          <w:sz w:val="20"/>
          <w:szCs w:val="20"/>
          <w:lang w:eastAsia="en-ZA"/>
        </w:rPr>
      </w:pPr>
      <w:r w:rsidRPr="00807837">
        <w:rPr>
          <w:rFonts w:ascii="Arial" w:hAnsi="Arial" w:cs="Arial"/>
          <w:b/>
          <w:sz w:val="20"/>
          <w:szCs w:val="20"/>
        </w:rPr>
        <w:t xml:space="preserve">Table 10: </w:t>
      </w:r>
      <w:r w:rsidR="002D3B50" w:rsidRPr="00807837">
        <w:rPr>
          <w:rFonts w:ascii="Arial" w:hAnsi="Arial" w:cs="Arial"/>
          <w:b/>
          <w:sz w:val="20"/>
          <w:szCs w:val="20"/>
        </w:rPr>
        <w:t>Programme 4</w:t>
      </w:r>
      <w:r w:rsidRPr="00807837">
        <w:rPr>
          <w:rFonts w:ascii="Arial" w:hAnsi="Arial" w:cs="Arial"/>
          <w:b/>
          <w:sz w:val="20"/>
          <w:szCs w:val="20"/>
        </w:rPr>
        <w:t xml:space="preserve"> - </w:t>
      </w:r>
      <w:r w:rsidR="002D3B50" w:rsidRPr="00807837">
        <w:rPr>
          <w:rFonts w:ascii="Arial" w:hAnsi="Arial" w:cs="Arial"/>
          <w:b/>
          <w:sz w:val="20"/>
          <w:szCs w:val="20"/>
        </w:rPr>
        <w:t>Tourism Sector Support Services</w:t>
      </w:r>
    </w:p>
    <w:tbl>
      <w:tblPr>
        <w:tblStyle w:val="TableGrid2"/>
        <w:tblW w:w="9072" w:type="dxa"/>
        <w:tblInd w:w="-5" w:type="dxa"/>
        <w:tblLook w:val="04A0"/>
      </w:tblPr>
      <w:tblGrid>
        <w:gridCol w:w="4597"/>
        <w:gridCol w:w="4475"/>
      </w:tblGrid>
      <w:tr w:rsidR="00720739" w:rsidRPr="00807837" w:rsidTr="001D07DB">
        <w:tc>
          <w:tcPr>
            <w:tcW w:w="4597" w:type="dxa"/>
            <w:shd w:val="clear" w:color="auto" w:fill="auto"/>
          </w:tcPr>
          <w:p w:rsidR="002D3B50" w:rsidRPr="00807837" w:rsidRDefault="002D3B50" w:rsidP="00807837">
            <w:pPr>
              <w:rPr>
                <w:rFonts w:ascii="Arial" w:hAnsi="Arial" w:cs="Arial"/>
                <w:sz w:val="20"/>
                <w:szCs w:val="20"/>
              </w:rPr>
            </w:pPr>
            <w:r w:rsidRPr="00807837">
              <w:rPr>
                <w:rFonts w:ascii="Arial" w:hAnsi="Arial" w:cs="Arial"/>
                <w:sz w:val="20"/>
                <w:szCs w:val="20"/>
              </w:rPr>
              <w:t xml:space="preserve">Total Targets set </w:t>
            </w:r>
          </w:p>
        </w:tc>
        <w:tc>
          <w:tcPr>
            <w:tcW w:w="4475" w:type="dxa"/>
          </w:tcPr>
          <w:p w:rsidR="002D3B50" w:rsidRPr="00807837" w:rsidRDefault="002D3B50" w:rsidP="00807837">
            <w:pPr>
              <w:rPr>
                <w:rFonts w:ascii="Arial" w:hAnsi="Arial" w:cs="Arial"/>
                <w:sz w:val="20"/>
                <w:szCs w:val="20"/>
              </w:rPr>
            </w:pPr>
            <w:r w:rsidRPr="00807837">
              <w:rPr>
                <w:rFonts w:ascii="Arial" w:hAnsi="Arial" w:cs="Arial"/>
                <w:sz w:val="20"/>
                <w:szCs w:val="20"/>
              </w:rPr>
              <w:t>18</w:t>
            </w:r>
          </w:p>
        </w:tc>
      </w:tr>
      <w:tr w:rsidR="00720739" w:rsidRPr="00807837" w:rsidTr="001D07DB">
        <w:tc>
          <w:tcPr>
            <w:tcW w:w="4597" w:type="dxa"/>
            <w:shd w:val="clear" w:color="auto" w:fill="auto"/>
          </w:tcPr>
          <w:p w:rsidR="002D3B50" w:rsidRPr="00807837" w:rsidRDefault="002D3B50" w:rsidP="00807837">
            <w:pPr>
              <w:rPr>
                <w:rFonts w:ascii="Arial" w:hAnsi="Arial" w:cs="Arial"/>
                <w:sz w:val="20"/>
                <w:szCs w:val="20"/>
              </w:rPr>
            </w:pPr>
            <w:r w:rsidRPr="00807837">
              <w:rPr>
                <w:rFonts w:ascii="Arial" w:hAnsi="Arial" w:cs="Arial"/>
                <w:sz w:val="20"/>
                <w:szCs w:val="20"/>
              </w:rPr>
              <w:t>Targets achieved</w:t>
            </w:r>
          </w:p>
        </w:tc>
        <w:tc>
          <w:tcPr>
            <w:tcW w:w="4475" w:type="dxa"/>
          </w:tcPr>
          <w:p w:rsidR="002D3B50" w:rsidRPr="00807837" w:rsidRDefault="002D3B50" w:rsidP="00807837">
            <w:pPr>
              <w:rPr>
                <w:rFonts w:ascii="Arial" w:hAnsi="Arial" w:cs="Arial"/>
                <w:sz w:val="20"/>
                <w:szCs w:val="20"/>
              </w:rPr>
            </w:pPr>
            <w:r w:rsidRPr="00807837">
              <w:rPr>
                <w:rFonts w:ascii="Arial" w:hAnsi="Arial" w:cs="Arial"/>
                <w:sz w:val="20"/>
                <w:szCs w:val="20"/>
              </w:rPr>
              <w:t>10 (55.5%)</w:t>
            </w:r>
          </w:p>
        </w:tc>
      </w:tr>
      <w:tr w:rsidR="00720739" w:rsidRPr="00807837" w:rsidTr="001D07DB">
        <w:tc>
          <w:tcPr>
            <w:tcW w:w="4597" w:type="dxa"/>
            <w:shd w:val="clear" w:color="auto" w:fill="auto"/>
          </w:tcPr>
          <w:p w:rsidR="002D3B50" w:rsidRPr="00807837" w:rsidRDefault="002D3B50" w:rsidP="00807837">
            <w:pPr>
              <w:rPr>
                <w:rFonts w:ascii="Arial" w:hAnsi="Arial" w:cs="Arial"/>
                <w:sz w:val="20"/>
                <w:szCs w:val="20"/>
              </w:rPr>
            </w:pPr>
            <w:r w:rsidRPr="00807837">
              <w:rPr>
                <w:rFonts w:ascii="Arial" w:hAnsi="Arial" w:cs="Arial"/>
                <w:sz w:val="20"/>
                <w:szCs w:val="20"/>
              </w:rPr>
              <w:t>Targets not achieved</w:t>
            </w:r>
          </w:p>
        </w:tc>
        <w:tc>
          <w:tcPr>
            <w:tcW w:w="4475" w:type="dxa"/>
          </w:tcPr>
          <w:p w:rsidR="002D3B50" w:rsidRPr="00807837" w:rsidRDefault="002D3B50" w:rsidP="00807837">
            <w:pPr>
              <w:rPr>
                <w:rFonts w:ascii="Arial" w:hAnsi="Arial" w:cs="Arial"/>
                <w:sz w:val="20"/>
                <w:szCs w:val="20"/>
              </w:rPr>
            </w:pPr>
            <w:r w:rsidRPr="00807837">
              <w:rPr>
                <w:rFonts w:ascii="Arial" w:hAnsi="Arial" w:cs="Arial"/>
                <w:sz w:val="20"/>
                <w:szCs w:val="20"/>
              </w:rPr>
              <w:t>8 (44.4%.)</w:t>
            </w:r>
          </w:p>
        </w:tc>
      </w:tr>
      <w:tr w:rsidR="00720739" w:rsidRPr="00807837" w:rsidTr="001D07DB">
        <w:tc>
          <w:tcPr>
            <w:tcW w:w="4597" w:type="dxa"/>
            <w:shd w:val="clear" w:color="auto" w:fill="auto"/>
          </w:tcPr>
          <w:p w:rsidR="002D3B50" w:rsidRPr="00807837" w:rsidRDefault="002D3B50" w:rsidP="00807837">
            <w:pPr>
              <w:rPr>
                <w:rFonts w:ascii="Arial" w:hAnsi="Arial" w:cs="Arial"/>
                <w:sz w:val="20"/>
                <w:szCs w:val="20"/>
              </w:rPr>
            </w:pPr>
            <w:r w:rsidRPr="00807837">
              <w:rPr>
                <w:rFonts w:ascii="Arial" w:hAnsi="Arial" w:cs="Arial"/>
                <w:sz w:val="20"/>
                <w:szCs w:val="20"/>
              </w:rPr>
              <w:t xml:space="preserve">Budget allocated </w:t>
            </w:r>
          </w:p>
        </w:tc>
        <w:tc>
          <w:tcPr>
            <w:tcW w:w="4475" w:type="dxa"/>
          </w:tcPr>
          <w:p w:rsidR="002D3B50" w:rsidRPr="00807837" w:rsidRDefault="002D3B50" w:rsidP="00807837">
            <w:pPr>
              <w:rPr>
                <w:rFonts w:ascii="Arial" w:hAnsi="Arial" w:cs="Arial"/>
                <w:sz w:val="20"/>
                <w:szCs w:val="20"/>
              </w:rPr>
            </w:pPr>
            <w:r w:rsidRPr="00807837">
              <w:rPr>
                <w:rFonts w:ascii="Arial" w:hAnsi="Arial" w:cs="Arial"/>
                <w:sz w:val="20"/>
                <w:szCs w:val="20"/>
              </w:rPr>
              <w:t xml:space="preserve">R436.6 million </w:t>
            </w:r>
          </w:p>
        </w:tc>
      </w:tr>
      <w:tr w:rsidR="00720739" w:rsidRPr="00807837" w:rsidTr="001D07DB">
        <w:tc>
          <w:tcPr>
            <w:tcW w:w="4597" w:type="dxa"/>
            <w:shd w:val="clear" w:color="auto" w:fill="auto"/>
          </w:tcPr>
          <w:p w:rsidR="002D3B50" w:rsidRPr="00807837" w:rsidRDefault="002D3B50" w:rsidP="00807837">
            <w:pPr>
              <w:rPr>
                <w:rFonts w:ascii="Arial" w:hAnsi="Arial" w:cs="Arial"/>
                <w:sz w:val="20"/>
                <w:szCs w:val="20"/>
              </w:rPr>
            </w:pPr>
            <w:r w:rsidRPr="00807837">
              <w:rPr>
                <w:rFonts w:ascii="Arial" w:hAnsi="Arial" w:cs="Arial"/>
                <w:sz w:val="20"/>
                <w:szCs w:val="20"/>
              </w:rPr>
              <w:t xml:space="preserve">Adjusted budget </w:t>
            </w:r>
          </w:p>
        </w:tc>
        <w:tc>
          <w:tcPr>
            <w:tcW w:w="4475" w:type="dxa"/>
          </w:tcPr>
          <w:p w:rsidR="002D3B50" w:rsidRPr="00807837" w:rsidRDefault="002D3B50" w:rsidP="00807837">
            <w:pPr>
              <w:rPr>
                <w:rFonts w:ascii="Arial" w:hAnsi="Arial" w:cs="Arial"/>
                <w:sz w:val="20"/>
                <w:szCs w:val="20"/>
              </w:rPr>
            </w:pPr>
            <w:r w:rsidRPr="00807837">
              <w:rPr>
                <w:rFonts w:ascii="Arial" w:hAnsi="Arial" w:cs="Arial"/>
                <w:sz w:val="20"/>
                <w:szCs w:val="20"/>
              </w:rPr>
              <w:t>R386.6 million</w:t>
            </w:r>
          </w:p>
        </w:tc>
      </w:tr>
      <w:tr w:rsidR="00720739" w:rsidRPr="00807837" w:rsidTr="001D07DB">
        <w:tc>
          <w:tcPr>
            <w:tcW w:w="4597" w:type="dxa"/>
            <w:shd w:val="clear" w:color="auto" w:fill="auto"/>
          </w:tcPr>
          <w:p w:rsidR="002D3B50" w:rsidRPr="00807837" w:rsidRDefault="002D3B50" w:rsidP="00807837">
            <w:pPr>
              <w:rPr>
                <w:rFonts w:ascii="Arial" w:hAnsi="Arial" w:cs="Arial"/>
                <w:sz w:val="20"/>
                <w:szCs w:val="20"/>
              </w:rPr>
            </w:pPr>
            <w:r w:rsidRPr="00807837">
              <w:rPr>
                <w:rFonts w:ascii="Arial" w:hAnsi="Arial" w:cs="Arial"/>
                <w:sz w:val="20"/>
                <w:szCs w:val="20"/>
              </w:rPr>
              <w:t>Final Appropriation</w:t>
            </w:r>
          </w:p>
        </w:tc>
        <w:tc>
          <w:tcPr>
            <w:tcW w:w="4475" w:type="dxa"/>
          </w:tcPr>
          <w:p w:rsidR="002D3B50" w:rsidRPr="00807837" w:rsidRDefault="002D3B50" w:rsidP="00807837">
            <w:pPr>
              <w:rPr>
                <w:rFonts w:ascii="Arial" w:hAnsi="Arial" w:cs="Arial"/>
                <w:sz w:val="20"/>
                <w:szCs w:val="20"/>
              </w:rPr>
            </w:pPr>
            <w:r w:rsidRPr="00807837">
              <w:rPr>
                <w:rFonts w:ascii="Arial" w:hAnsi="Arial" w:cs="Arial"/>
                <w:sz w:val="20"/>
                <w:szCs w:val="20"/>
              </w:rPr>
              <w:t xml:space="preserve">R363.7 million </w:t>
            </w:r>
          </w:p>
        </w:tc>
      </w:tr>
      <w:tr w:rsidR="00720739" w:rsidRPr="00807837" w:rsidTr="001D07DB">
        <w:tc>
          <w:tcPr>
            <w:tcW w:w="4597" w:type="dxa"/>
            <w:shd w:val="clear" w:color="auto" w:fill="auto"/>
          </w:tcPr>
          <w:p w:rsidR="002D3B50" w:rsidRPr="00807837" w:rsidRDefault="002D3B50" w:rsidP="00807837">
            <w:pPr>
              <w:rPr>
                <w:rFonts w:ascii="Arial" w:hAnsi="Arial" w:cs="Arial"/>
                <w:sz w:val="20"/>
                <w:szCs w:val="20"/>
              </w:rPr>
            </w:pPr>
            <w:r w:rsidRPr="00807837">
              <w:rPr>
                <w:rFonts w:ascii="Arial" w:hAnsi="Arial" w:cs="Arial"/>
                <w:sz w:val="20"/>
                <w:szCs w:val="20"/>
              </w:rPr>
              <w:t xml:space="preserve">Budget spent </w:t>
            </w:r>
          </w:p>
        </w:tc>
        <w:tc>
          <w:tcPr>
            <w:tcW w:w="4475" w:type="dxa"/>
          </w:tcPr>
          <w:p w:rsidR="002D3B50" w:rsidRPr="00807837" w:rsidRDefault="002D3B50" w:rsidP="00807837">
            <w:pPr>
              <w:rPr>
                <w:rFonts w:ascii="Arial" w:hAnsi="Arial" w:cs="Arial"/>
                <w:sz w:val="20"/>
                <w:szCs w:val="20"/>
              </w:rPr>
            </w:pPr>
            <w:r w:rsidRPr="00807837">
              <w:rPr>
                <w:rFonts w:ascii="Arial" w:hAnsi="Arial" w:cs="Arial"/>
                <w:sz w:val="20"/>
                <w:szCs w:val="20"/>
              </w:rPr>
              <w:t>R363.5 million (99.9%)</w:t>
            </w:r>
          </w:p>
        </w:tc>
      </w:tr>
      <w:tr w:rsidR="00720739" w:rsidRPr="00807837" w:rsidTr="001D07DB">
        <w:tc>
          <w:tcPr>
            <w:tcW w:w="4597" w:type="dxa"/>
            <w:shd w:val="clear" w:color="auto" w:fill="auto"/>
          </w:tcPr>
          <w:p w:rsidR="002D3B50" w:rsidRPr="00807837" w:rsidRDefault="002D3B50" w:rsidP="00807837">
            <w:pPr>
              <w:rPr>
                <w:rFonts w:ascii="Arial" w:hAnsi="Arial" w:cs="Arial"/>
                <w:sz w:val="20"/>
                <w:szCs w:val="20"/>
              </w:rPr>
            </w:pPr>
            <w:r w:rsidRPr="00807837">
              <w:rPr>
                <w:rFonts w:ascii="Arial" w:hAnsi="Arial" w:cs="Arial"/>
                <w:sz w:val="20"/>
                <w:szCs w:val="20"/>
              </w:rPr>
              <w:t xml:space="preserve">Underspending </w:t>
            </w:r>
          </w:p>
        </w:tc>
        <w:tc>
          <w:tcPr>
            <w:tcW w:w="4475" w:type="dxa"/>
          </w:tcPr>
          <w:p w:rsidR="002D3B50" w:rsidRPr="00807837" w:rsidRDefault="002D3B50" w:rsidP="00807837">
            <w:pPr>
              <w:rPr>
                <w:rFonts w:ascii="Arial" w:hAnsi="Arial" w:cs="Arial"/>
                <w:sz w:val="20"/>
                <w:szCs w:val="20"/>
              </w:rPr>
            </w:pPr>
            <w:r w:rsidRPr="00807837">
              <w:rPr>
                <w:rFonts w:ascii="Arial" w:hAnsi="Arial" w:cs="Arial"/>
                <w:sz w:val="20"/>
                <w:szCs w:val="20"/>
              </w:rPr>
              <w:t>R209 000</w:t>
            </w:r>
          </w:p>
        </w:tc>
      </w:tr>
    </w:tbl>
    <w:p w:rsidR="00447AC6" w:rsidRPr="00807837" w:rsidRDefault="00447AC6" w:rsidP="00807837">
      <w:pPr>
        <w:autoSpaceDE w:val="0"/>
        <w:autoSpaceDN w:val="0"/>
        <w:adjustRightInd w:val="0"/>
        <w:spacing w:after="0" w:line="240" w:lineRule="auto"/>
        <w:contextualSpacing/>
        <w:rPr>
          <w:rFonts w:ascii="Arial" w:hAnsi="Arial" w:cs="Arial"/>
          <w:sz w:val="20"/>
          <w:szCs w:val="20"/>
        </w:rPr>
      </w:pPr>
    </w:p>
    <w:p w:rsidR="002D3B50" w:rsidRPr="00807837" w:rsidRDefault="00DE0357" w:rsidP="00807837">
      <w:p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T</w:t>
      </w:r>
      <w:r w:rsidR="002D3B50" w:rsidRPr="00807837">
        <w:rPr>
          <w:rFonts w:ascii="Arial" w:hAnsi="Arial" w:cs="Arial"/>
          <w:sz w:val="20"/>
          <w:szCs w:val="20"/>
        </w:rPr>
        <w:t>he Department only achieved 10 (55.5%) of its 18 targets set under this programme and</w:t>
      </w:r>
      <w:r w:rsidRPr="00807837">
        <w:rPr>
          <w:rFonts w:ascii="Arial" w:hAnsi="Arial" w:cs="Arial"/>
          <w:sz w:val="20"/>
          <w:szCs w:val="20"/>
        </w:rPr>
        <w:t xml:space="preserve"> yet spent 99.9 per cent</w:t>
      </w:r>
      <w:r w:rsidR="002D3B50" w:rsidRPr="00807837">
        <w:rPr>
          <w:rFonts w:ascii="Arial" w:hAnsi="Arial" w:cs="Arial"/>
          <w:sz w:val="20"/>
          <w:szCs w:val="20"/>
        </w:rPr>
        <w:t xml:space="preserve"> of its budget. </w:t>
      </w:r>
    </w:p>
    <w:p w:rsidR="002D3B50" w:rsidRPr="00807837" w:rsidRDefault="002D3B50" w:rsidP="00807837">
      <w:pPr>
        <w:autoSpaceDE w:val="0"/>
        <w:autoSpaceDN w:val="0"/>
        <w:adjustRightInd w:val="0"/>
        <w:spacing w:after="0" w:line="240" w:lineRule="auto"/>
        <w:contextualSpacing/>
        <w:rPr>
          <w:rFonts w:ascii="Arial" w:hAnsi="Arial" w:cs="Arial"/>
          <w:sz w:val="20"/>
          <w:szCs w:val="20"/>
        </w:rPr>
      </w:pPr>
    </w:p>
    <w:p w:rsidR="002D3B50" w:rsidRPr="00807837" w:rsidRDefault="002D3B50" w:rsidP="00807837">
      <w:pPr>
        <w:autoSpaceDE w:val="0"/>
        <w:autoSpaceDN w:val="0"/>
        <w:adjustRightInd w:val="0"/>
        <w:spacing w:after="0" w:line="240" w:lineRule="auto"/>
        <w:rPr>
          <w:rFonts w:ascii="Arial" w:hAnsi="Arial" w:cs="Arial"/>
          <w:sz w:val="20"/>
          <w:szCs w:val="20"/>
        </w:rPr>
      </w:pPr>
      <w:r w:rsidRPr="00807837">
        <w:rPr>
          <w:rFonts w:ascii="Arial" w:hAnsi="Arial" w:cs="Arial"/>
          <w:sz w:val="20"/>
          <w:szCs w:val="20"/>
        </w:rPr>
        <w:lastRenderedPageBreak/>
        <w:t xml:space="preserve">The target on the Tourism Equity Fund (TEF) was not achieved due to the High Court interdict. In April 2021, an order of the High Court against the Department interdicted the processing or making of any payment under any application for funding from the TEF, pending a review of the Fund’s criteria. Consequently, the rollout of the TEF has been suspended pending confirmation of the validity of the criteria of the Fund. </w:t>
      </w:r>
    </w:p>
    <w:p w:rsidR="002D3B50" w:rsidRPr="00807837" w:rsidRDefault="002D3B50" w:rsidP="00807837">
      <w:pPr>
        <w:autoSpaceDE w:val="0"/>
        <w:autoSpaceDN w:val="0"/>
        <w:adjustRightInd w:val="0"/>
        <w:spacing w:after="0" w:line="240" w:lineRule="auto"/>
        <w:rPr>
          <w:rFonts w:ascii="Arial" w:hAnsi="Arial" w:cs="Arial"/>
          <w:sz w:val="20"/>
          <w:szCs w:val="20"/>
        </w:rPr>
      </w:pPr>
    </w:p>
    <w:p w:rsidR="002D3B50" w:rsidRPr="00807837" w:rsidRDefault="002D3B50" w:rsidP="00807837">
      <w:p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The target on business support and development through the three incubators, Tech, Tour Operator and Food Services was achieved, including the provision of the implementation report. The Department also finalised support provided through the Manyeleti, Phalaborwa and Mier Incubators. However, within the same target, the Department report</w:t>
      </w:r>
      <w:r w:rsidR="002043BB" w:rsidRPr="00807837">
        <w:rPr>
          <w:rFonts w:ascii="Arial" w:hAnsi="Arial" w:cs="Arial"/>
          <w:sz w:val="20"/>
          <w:szCs w:val="20"/>
        </w:rPr>
        <w:t>ed</w:t>
      </w:r>
      <w:r w:rsidRPr="00807837">
        <w:rPr>
          <w:rFonts w:ascii="Arial" w:hAnsi="Arial" w:cs="Arial"/>
          <w:sz w:val="20"/>
          <w:szCs w:val="20"/>
        </w:rPr>
        <w:t xml:space="preserve"> that it was unable to implement the two community-based enterprises’ incubation programmes, due to procurement stipulations and delays resulting from the separated planning approach adopted per project. A service provider for the programmes will be appointed in the next financial year. </w:t>
      </w:r>
    </w:p>
    <w:p w:rsidR="002D3B50" w:rsidRPr="00807837" w:rsidRDefault="002D3B50" w:rsidP="00807837">
      <w:pPr>
        <w:autoSpaceDE w:val="0"/>
        <w:autoSpaceDN w:val="0"/>
        <w:adjustRightInd w:val="0"/>
        <w:spacing w:after="0" w:line="240" w:lineRule="auto"/>
        <w:contextualSpacing/>
        <w:rPr>
          <w:rFonts w:ascii="Arial" w:hAnsi="Arial" w:cs="Arial"/>
          <w:sz w:val="20"/>
          <w:szCs w:val="20"/>
        </w:rPr>
      </w:pPr>
    </w:p>
    <w:p w:rsidR="002D3B50" w:rsidRPr="00807837" w:rsidRDefault="002D3B50" w:rsidP="00807837">
      <w:p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The Department continued its initiatives in supporting women in business, however, it was unable to provide the required support to 225 SMMEs as planned. Lack of demand from provinces saw the Department only supporting 181 women-owned SMMEs. Recruitment attempts will continue in the new financial year. Another target not achieved is the implementation of the Tourism Monitors Programme in all p</w:t>
      </w:r>
      <w:r w:rsidR="002043BB" w:rsidRPr="00807837">
        <w:rPr>
          <w:rFonts w:ascii="Arial" w:hAnsi="Arial" w:cs="Arial"/>
          <w:sz w:val="20"/>
          <w:szCs w:val="20"/>
        </w:rPr>
        <w:t>rovinces. The Department reported</w:t>
      </w:r>
      <w:r w:rsidRPr="00807837">
        <w:rPr>
          <w:rFonts w:ascii="Arial" w:hAnsi="Arial" w:cs="Arial"/>
          <w:sz w:val="20"/>
          <w:szCs w:val="20"/>
        </w:rPr>
        <w:t xml:space="preserve"> that due to procurement irregularities, the tender process had to be restarted, and the programme could not be implemented in the Limpopo Province. </w:t>
      </w:r>
    </w:p>
    <w:p w:rsidR="002D3B50" w:rsidRPr="00807837" w:rsidRDefault="002D3B50" w:rsidP="00807837">
      <w:pPr>
        <w:autoSpaceDE w:val="0"/>
        <w:autoSpaceDN w:val="0"/>
        <w:adjustRightInd w:val="0"/>
        <w:spacing w:after="0" w:line="240" w:lineRule="auto"/>
        <w:contextualSpacing/>
        <w:rPr>
          <w:rFonts w:ascii="Arial" w:hAnsi="Arial" w:cs="Arial"/>
          <w:sz w:val="20"/>
          <w:szCs w:val="20"/>
        </w:rPr>
      </w:pPr>
    </w:p>
    <w:p w:rsidR="002D3B50" w:rsidRPr="00807837" w:rsidRDefault="002D3B50" w:rsidP="00807837">
      <w:p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 xml:space="preserve">The following capacity-building programmes were not fully implemented: </w:t>
      </w:r>
    </w:p>
    <w:p w:rsidR="002D3B50" w:rsidRPr="00807837" w:rsidRDefault="002D3B50" w:rsidP="00807837">
      <w:pPr>
        <w:numPr>
          <w:ilvl w:val="0"/>
          <w:numId w:val="27"/>
        </w:numPr>
        <w:autoSpaceDE w:val="0"/>
        <w:autoSpaceDN w:val="0"/>
        <w:adjustRightInd w:val="0"/>
        <w:spacing w:after="0" w:line="240" w:lineRule="auto"/>
        <w:contextualSpacing/>
        <w:rPr>
          <w:rFonts w:ascii="Arial" w:hAnsi="Arial" w:cs="Arial"/>
          <w:sz w:val="20"/>
          <w:szCs w:val="20"/>
        </w:rPr>
      </w:pPr>
      <w:r w:rsidRPr="00807837">
        <w:rPr>
          <w:rFonts w:ascii="Arial" w:hAnsi="Arial" w:cs="Arial"/>
          <w:i/>
          <w:sz w:val="20"/>
          <w:szCs w:val="20"/>
        </w:rPr>
        <w:t>Food Safety Quality Assurer Programme</w:t>
      </w:r>
      <w:r w:rsidRPr="00807837">
        <w:rPr>
          <w:rFonts w:ascii="Arial" w:hAnsi="Arial" w:cs="Arial"/>
          <w:sz w:val="20"/>
          <w:szCs w:val="20"/>
        </w:rPr>
        <w:t xml:space="preserve"> – did not take place in Kwazulu-Natal. </w:t>
      </w:r>
    </w:p>
    <w:p w:rsidR="002D3B50" w:rsidRPr="00807837" w:rsidRDefault="002D3B50" w:rsidP="00807837">
      <w:pPr>
        <w:numPr>
          <w:ilvl w:val="0"/>
          <w:numId w:val="27"/>
        </w:numPr>
        <w:autoSpaceDE w:val="0"/>
        <w:autoSpaceDN w:val="0"/>
        <w:adjustRightInd w:val="0"/>
        <w:spacing w:after="0" w:line="240" w:lineRule="auto"/>
        <w:contextualSpacing/>
        <w:rPr>
          <w:rFonts w:ascii="Arial" w:hAnsi="Arial" w:cs="Arial"/>
          <w:sz w:val="20"/>
          <w:szCs w:val="20"/>
        </w:rPr>
      </w:pPr>
      <w:r w:rsidRPr="00807837">
        <w:rPr>
          <w:rFonts w:ascii="Arial" w:hAnsi="Arial" w:cs="Arial"/>
          <w:i/>
          <w:sz w:val="20"/>
          <w:szCs w:val="20"/>
        </w:rPr>
        <w:t>Chef/Professional Cookery Programme</w:t>
      </w:r>
      <w:r w:rsidRPr="00807837">
        <w:rPr>
          <w:rFonts w:ascii="Arial" w:hAnsi="Arial" w:cs="Arial"/>
          <w:sz w:val="20"/>
          <w:szCs w:val="20"/>
        </w:rPr>
        <w:t xml:space="preserve"> - did not take place in the North West.</w:t>
      </w:r>
    </w:p>
    <w:p w:rsidR="002D3B50" w:rsidRPr="00807837" w:rsidRDefault="002D3B50" w:rsidP="00807837">
      <w:pPr>
        <w:numPr>
          <w:ilvl w:val="0"/>
          <w:numId w:val="27"/>
        </w:numPr>
        <w:autoSpaceDE w:val="0"/>
        <w:autoSpaceDN w:val="0"/>
        <w:adjustRightInd w:val="0"/>
        <w:spacing w:after="0" w:line="240" w:lineRule="auto"/>
        <w:contextualSpacing/>
        <w:rPr>
          <w:rFonts w:ascii="Arial" w:hAnsi="Arial" w:cs="Arial"/>
          <w:sz w:val="20"/>
          <w:szCs w:val="20"/>
        </w:rPr>
      </w:pPr>
      <w:r w:rsidRPr="00807837">
        <w:rPr>
          <w:rFonts w:ascii="Arial" w:hAnsi="Arial" w:cs="Arial"/>
          <w:i/>
          <w:sz w:val="20"/>
          <w:szCs w:val="20"/>
        </w:rPr>
        <w:t>Wine Service Training Programme</w:t>
      </w:r>
      <w:r w:rsidRPr="00807837">
        <w:rPr>
          <w:rFonts w:ascii="Arial" w:hAnsi="Arial" w:cs="Arial"/>
          <w:sz w:val="20"/>
          <w:szCs w:val="20"/>
        </w:rPr>
        <w:t xml:space="preserve"> - did not take place in the Northern Cape.</w:t>
      </w:r>
    </w:p>
    <w:p w:rsidR="002D3B50" w:rsidRPr="00807837" w:rsidRDefault="002D3B50" w:rsidP="00807837">
      <w:pPr>
        <w:numPr>
          <w:ilvl w:val="0"/>
          <w:numId w:val="27"/>
        </w:numPr>
        <w:autoSpaceDE w:val="0"/>
        <w:autoSpaceDN w:val="0"/>
        <w:adjustRightInd w:val="0"/>
        <w:spacing w:after="0" w:line="240" w:lineRule="auto"/>
        <w:contextualSpacing/>
        <w:rPr>
          <w:rFonts w:ascii="Arial" w:hAnsi="Arial" w:cs="Arial"/>
          <w:sz w:val="20"/>
          <w:szCs w:val="20"/>
        </w:rPr>
      </w:pPr>
      <w:r w:rsidRPr="00807837">
        <w:rPr>
          <w:rFonts w:ascii="Arial" w:hAnsi="Arial" w:cs="Arial"/>
          <w:i/>
          <w:sz w:val="20"/>
          <w:szCs w:val="20"/>
        </w:rPr>
        <w:t>Hospitality Youth Programme</w:t>
      </w:r>
      <w:r w:rsidRPr="00807837">
        <w:rPr>
          <w:rFonts w:ascii="Arial" w:hAnsi="Arial" w:cs="Arial"/>
          <w:sz w:val="20"/>
          <w:szCs w:val="20"/>
        </w:rPr>
        <w:t xml:space="preserve"> – only took place in six instead of nine provinces, with only 340 participants instead of the planned 1000.</w:t>
      </w:r>
    </w:p>
    <w:p w:rsidR="002D3B50" w:rsidRPr="00807837" w:rsidRDefault="002D3B50" w:rsidP="00807837">
      <w:pPr>
        <w:autoSpaceDE w:val="0"/>
        <w:autoSpaceDN w:val="0"/>
        <w:adjustRightInd w:val="0"/>
        <w:spacing w:after="0" w:line="240" w:lineRule="auto"/>
        <w:contextualSpacing/>
        <w:rPr>
          <w:rFonts w:ascii="Arial" w:hAnsi="Arial" w:cs="Arial"/>
          <w:sz w:val="20"/>
          <w:szCs w:val="20"/>
        </w:rPr>
      </w:pPr>
    </w:p>
    <w:p w:rsidR="002D3B50" w:rsidRPr="00807837" w:rsidRDefault="002D3B50" w:rsidP="00807837">
      <w:p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 xml:space="preserve">Concerning all these capacity-building programmes the Department cites challenges with securing a suitable service provider. In its reporting, the Department does not clarify the number of participants that benefitted from some of the programmes. </w:t>
      </w:r>
    </w:p>
    <w:p w:rsidR="002D3B50" w:rsidRPr="00807837" w:rsidRDefault="002D3B50" w:rsidP="00807837">
      <w:pPr>
        <w:autoSpaceDE w:val="0"/>
        <w:autoSpaceDN w:val="0"/>
        <w:adjustRightInd w:val="0"/>
        <w:spacing w:after="0" w:line="240" w:lineRule="auto"/>
        <w:contextualSpacing/>
        <w:rPr>
          <w:rFonts w:ascii="Arial" w:hAnsi="Arial" w:cs="Arial"/>
          <w:sz w:val="20"/>
          <w:szCs w:val="20"/>
        </w:rPr>
      </w:pPr>
    </w:p>
    <w:p w:rsidR="002D3B50" w:rsidRPr="00807837" w:rsidRDefault="002D3B50" w:rsidP="00807837">
      <w:p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 xml:space="preserve">The Department continues to support women in tourism through its Executive Development Programme. The Department was also able to host the National Tourism Careers Expo (NTCE), which was placed on hold due to COVID-19. The event plays a significant role in promoting tourism careers to school learners and empowering teachers. The target on the Educator’s Development Programme was also achieved, which empowers tourism educators with new knowledge about the sector. </w:t>
      </w:r>
    </w:p>
    <w:p w:rsidR="002D3B50" w:rsidRPr="00807837" w:rsidRDefault="002D3B50" w:rsidP="00807837">
      <w:pPr>
        <w:spacing w:after="0" w:line="240" w:lineRule="auto"/>
        <w:rPr>
          <w:rFonts w:ascii="Arial" w:eastAsia="Calibri" w:hAnsi="Arial" w:cs="Arial"/>
          <w:sz w:val="20"/>
          <w:szCs w:val="20"/>
        </w:rPr>
      </w:pPr>
    </w:p>
    <w:p w:rsidR="00E561B8" w:rsidRPr="00807837" w:rsidRDefault="0038739B" w:rsidP="00807837">
      <w:pPr>
        <w:pStyle w:val="ListParagraph"/>
        <w:numPr>
          <w:ilvl w:val="1"/>
          <w:numId w:val="8"/>
        </w:numPr>
        <w:spacing w:after="0" w:line="240" w:lineRule="auto"/>
        <w:ind w:left="567" w:hanging="567"/>
        <w:rPr>
          <w:rFonts w:ascii="Arial" w:eastAsia="Calibri" w:hAnsi="Arial" w:cs="Arial"/>
          <w:b/>
          <w:sz w:val="20"/>
          <w:szCs w:val="20"/>
        </w:rPr>
      </w:pPr>
      <w:r w:rsidRPr="00807837">
        <w:rPr>
          <w:rFonts w:ascii="Arial" w:eastAsia="Calibri" w:hAnsi="Arial" w:cs="Arial"/>
          <w:b/>
          <w:sz w:val="20"/>
          <w:szCs w:val="20"/>
        </w:rPr>
        <w:t xml:space="preserve">South African Tourism </w:t>
      </w:r>
      <w:r w:rsidR="00936951" w:rsidRPr="00807837">
        <w:rPr>
          <w:rFonts w:ascii="Arial" w:eastAsia="Calibri" w:hAnsi="Arial" w:cs="Arial"/>
          <w:b/>
          <w:sz w:val="20"/>
          <w:szCs w:val="20"/>
        </w:rPr>
        <w:t>2021/22</w:t>
      </w:r>
      <w:r w:rsidR="00E561B8" w:rsidRPr="00807837">
        <w:rPr>
          <w:rFonts w:ascii="Arial" w:eastAsia="Calibri" w:hAnsi="Arial" w:cs="Arial"/>
          <w:b/>
          <w:sz w:val="20"/>
          <w:szCs w:val="20"/>
        </w:rPr>
        <w:t xml:space="preserve"> Service delivery performance</w:t>
      </w:r>
    </w:p>
    <w:p w:rsidR="00E561B8" w:rsidRPr="00807837" w:rsidRDefault="00E561B8" w:rsidP="00807837">
      <w:pPr>
        <w:spacing w:after="0" w:line="240" w:lineRule="auto"/>
        <w:rPr>
          <w:rFonts w:ascii="Arial" w:eastAsia="Calibri" w:hAnsi="Arial" w:cs="Arial"/>
          <w:sz w:val="20"/>
          <w:szCs w:val="20"/>
        </w:rPr>
      </w:pPr>
    </w:p>
    <w:p w:rsidR="009300B0" w:rsidRPr="00807837" w:rsidRDefault="001F5109" w:rsidP="00807837">
      <w:pPr>
        <w:spacing w:after="0" w:line="240" w:lineRule="auto"/>
        <w:ind w:left="567" w:hanging="567"/>
        <w:rPr>
          <w:rFonts w:ascii="Arial" w:hAnsi="Arial" w:cs="Arial"/>
          <w:sz w:val="20"/>
          <w:szCs w:val="20"/>
        </w:rPr>
      </w:pPr>
      <w:r w:rsidRPr="00807837">
        <w:rPr>
          <w:rFonts w:ascii="Arial" w:hAnsi="Arial" w:cs="Arial"/>
          <w:b/>
          <w:sz w:val="20"/>
          <w:szCs w:val="20"/>
        </w:rPr>
        <w:t>6.2.1</w:t>
      </w:r>
      <w:r w:rsidRPr="00807837">
        <w:rPr>
          <w:rFonts w:ascii="Arial" w:hAnsi="Arial" w:cs="Arial"/>
          <w:b/>
          <w:sz w:val="20"/>
          <w:szCs w:val="20"/>
        </w:rPr>
        <w:tab/>
      </w:r>
      <w:r w:rsidR="00B70F5F" w:rsidRPr="00807837">
        <w:rPr>
          <w:rFonts w:ascii="Arial" w:hAnsi="Arial" w:cs="Arial"/>
          <w:b/>
          <w:sz w:val="20"/>
          <w:szCs w:val="20"/>
        </w:rPr>
        <w:t>Overview and assessment of financial performance</w:t>
      </w:r>
      <w:r w:rsidR="00B70F5F" w:rsidRPr="00807837">
        <w:rPr>
          <w:rFonts w:ascii="Arial" w:hAnsi="Arial" w:cs="Arial"/>
          <w:sz w:val="20"/>
          <w:szCs w:val="20"/>
        </w:rPr>
        <w:t xml:space="preserve"> </w:t>
      </w:r>
    </w:p>
    <w:p w:rsidR="00356445" w:rsidRPr="00807837" w:rsidRDefault="00356445" w:rsidP="00807837">
      <w:pPr>
        <w:keepNext/>
        <w:keepLines/>
        <w:spacing w:after="0" w:line="240" w:lineRule="auto"/>
        <w:contextualSpacing/>
        <w:outlineLvl w:val="1"/>
        <w:rPr>
          <w:rFonts w:ascii="Arial" w:eastAsiaTheme="majorEastAsia" w:hAnsi="Arial" w:cs="Arial"/>
          <w:b/>
          <w:sz w:val="20"/>
          <w:szCs w:val="20"/>
        </w:rPr>
      </w:pPr>
      <w:bookmarkStart w:id="5" w:name="_Toc116745266"/>
    </w:p>
    <w:p w:rsidR="00356445" w:rsidRPr="00807837" w:rsidRDefault="00356445" w:rsidP="00807837">
      <w:pPr>
        <w:pStyle w:val="ListParagraph"/>
        <w:keepNext/>
        <w:keepLines/>
        <w:numPr>
          <w:ilvl w:val="3"/>
          <w:numId w:val="8"/>
        </w:numPr>
        <w:spacing w:after="0" w:line="240" w:lineRule="auto"/>
        <w:outlineLvl w:val="1"/>
        <w:rPr>
          <w:rFonts w:ascii="Arial" w:eastAsiaTheme="majorEastAsia" w:hAnsi="Arial" w:cs="Arial"/>
          <w:b/>
          <w:sz w:val="20"/>
          <w:szCs w:val="20"/>
        </w:rPr>
      </w:pPr>
      <w:r w:rsidRPr="00807837">
        <w:rPr>
          <w:rFonts w:ascii="Arial" w:eastAsiaTheme="majorEastAsia" w:hAnsi="Arial" w:cs="Arial"/>
          <w:b/>
          <w:sz w:val="20"/>
          <w:szCs w:val="20"/>
        </w:rPr>
        <w:t>Programme 1: Corporate Support</w:t>
      </w:r>
      <w:bookmarkEnd w:id="5"/>
      <w:r w:rsidRPr="00807837">
        <w:rPr>
          <w:rFonts w:ascii="Arial" w:eastAsiaTheme="majorEastAsia" w:hAnsi="Arial" w:cs="Arial"/>
          <w:b/>
          <w:sz w:val="20"/>
          <w:szCs w:val="20"/>
        </w:rPr>
        <w:t xml:space="preserve"> </w:t>
      </w:r>
    </w:p>
    <w:p w:rsidR="00CA7896" w:rsidRPr="00807837" w:rsidRDefault="00CA7896" w:rsidP="00807837">
      <w:pPr>
        <w:pStyle w:val="ListParagraph"/>
        <w:keepNext/>
        <w:keepLines/>
        <w:spacing w:after="0" w:line="240" w:lineRule="auto"/>
        <w:ind w:left="862"/>
        <w:outlineLvl w:val="1"/>
        <w:rPr>
          <w:rFonts w:ascii="Arial" w:eastAsiaTheme="majorEastAsia" w:hAnsi="Arial" w:cs="Arial"/>
          <w:b/>
          <w:sz w:val="20"/>
          <w:szCs w:val="20"/>
        </w:rPr>
      </w:pPr>
    </w:p>
    <w:p w:rsidR="00356445" w:rsidRPr="00807837" w:rsidRDefault="00356445" w:rsidP="00807837">
      <w:pPr>
        <w:tabs>
          <w:tab w:val="left" w:pos="360"/>
        </w:tabs>
        <w:spacing w:after="0" w:line="240" w:lineRule="auto"/>
        <w:contextualSpacing/>
        <w:rPr>
          <w:rFonts w:ascii="Arial" w:hAnsi="Arial" w:cs="Arial"/>
          <w:sz w:val="20"/>
          <w:szCs w:val="20"/>
        </w:rPr>
      </w:pPr>
      <w:r w:rsidRPr="00807837">
        <w:rPr>
          <w:rFonts w:ascii="Arial" w:hAnsi="Arial" w:cs="Arial"/>
          <w:sz w:val="20"/>
          <w:szCs w:val="20"/>
        </w:rPr>
        <w:t xml:space="preserve">The purpose of this programme is to provide support to the organisation and ensure compliance with statutory requirements. The programme focuses on providing efficient, effective and proactive legal, governance, enterprise risk and compliance support. </w:t>
      </w:r>
    </w:p>
    <w:p w:rsidR="00936951" w:rsidRPr="00807837" w:rsidRDefault="00936951" w:rsidP="00807837">
      <w:pPr>
        <w:spacing w:after="0" w:line="240" w:lineRule="auto"/>
        <w:contextualSpacing/>
        <w:rPr>
          <w:rFonts w:ascii="Arial" w:hAnsi="Arial" w:cs="Arial"/>
          <w:sz w:val="20"/>
          <w:szCs w:val="20"/>
        </w:rPr>
      </w:pPr>
    </w:p>
    <w:p w:rsidR="00720739" w:rsidRPr="00807837" w:rsidRDefault="00720739" w:rsidP="00807837">
      <w:pPr>
        <w:spacing w:after="0" w:line="240" w:lineRule="auto"/>
        <w:contextualSpacing/>
        <w:rPr>
          <w:rFonts w:ascii="Arial" w:hAnsi="Arial" w:cs="Arial"/>
          <w:sz w:val="20"/>
          <w:szCs w:val="20"/>
        </w:rPr>
      </w:pPr>
      <w:r w:rsidRPr="00807837">
        <w:rPr>
          <w:rFonts w:ascii="Arial" w:hAnsi="Arial" w:cs="Arial"/>
          <w:sz w:val="20"/>
          <w:szCs w:val="20"/>
        </w:rPr>
        <w:t xml:space="preserve">Table 11 </w:t>
      </w:r>
      <w:r w:rsidR="004659D9" w:rsidRPr="00807837">
        <w:rPr>
          <w:rFonts w:ascii="Arial" w:hAnsi="Arial" w:cs="Arial"/>
          <w:sz w:val="20"/>
          <w:szCs w:val="20"/>
        </w:rPr>
        <w:t>depicts</w:t>
      </w:r>
      <w:r w:rsidRPr="00807837">
        <w:rPr>
          <w:rFonts w:ascii="Arial" w:hAnsi="Arial" w:cs="Arial"/>
          <w:sz w:val="20"/>
          <w:szCs w:val="20"/>
        </w:rPr>
        <w:t xml:space="preserve"> that the Entity achieved only 5 (62.5%) of its 8 targets by the end of the financial year and yet spent 95.7 </w:t>
      </w:r>
      <w:r w:rsidR="004659D9" w:rsidRPr="00807837">
        <w:rPr>
          <w:rFonts w:ascii="Arial" w:hAnsi="Arial" w:cs="Arial"/>
          <w:sz w:val="20"/>
          <w:szCs w:val="20"/>
        </w:rPr>
        <w:t>per cent</w:t>
      </w:r>
      <w:r w:rsidRPr="00807837">
        <w:rPr>
          <w:rFonts w:ascii="Arial" w:hAnsi="Arial" w:cs="Arial"/>
          <w:sz w:val="20"/>
          <w:szCs w:val="20"/>
        </w:rPr>
        <w:t xml:space="preserve"> of its budget. </w:t>
      </w:r>
    </w:p>
    <w:p w:rsidR="00CA7896" w:rsidRPr="00807837" w:rsidRDefault="00CA7896" w:rsidP="00807837">
      <w:pPr>
        <w:spacing w:after="0" w:line="240" w:lineRule="auto"/>
        <w:contextualSpacing/>
        <w:rPr>
          <w:rFonts w:ascii="Arial" w:hAnsi="Arial" w:cs="Arial"/>
          <w:sz w:val="20"/>
          <w:szCs w:val="20"/>
        </w:rPr>
      </w:pPr>
    </w:p>
    <w:p w:rsidR="00356445" w:rsidRPr="00807837" w:rsidRDefault="00B054BF" w:rsidP="00807837">
      <w:pPr>
        <w:autoSpaceDE w:val="0"/>
        <w:autoSpaceDN w:val="0"/>
        <w:adjustRightInd w:val="0"/>
        <w:spacing w:after="0" w:line="240" w:lineRule="auto"/>
        <w:contextualSpacing/>
        <w:rPr>
          <w:rFonts w:ascii="Arial" w:hAnsi="Arial" w:cs="Arial"/>
          <w:b/>
          <w:sz w:val="20"/>
          <w:szCs w:val="20"/>
          <w:lang w:eastAsia="en-ZA"/>
        </w:rPr>
      </w:pPr>
      <w:r w:rsidRPr="00807837">
        <w:rPr>
          <w:rFonts w:ascii="Arial" w:hAnsi="Arial" w:cs="Arial"/>
          <w:b/>
          <w:sz w:val="20"/>
          <w:szCs w:val="20"/>
          <w:lang w:eastAsia="en-ZA"/>
        </w:rPr>
        <w:t xml:space="preserve">Table 11: </w:t>
      </w:r>
      <w:r w:rsidR="00356445" w:rsidRPr="00807837">
        <w:rPr>
          <w:rFonts w:ascii="Arial" w:hAnsi="Arial" w:cs="Arial"/>
          <w:b/>
          <w:sz w:val="20"/>
          <w:szCs w:val="20"/>
          <w:lang w:eastAsia="en-ZA"/>
        </w:rPr>
        <w:t>Programme 1</w:t>
      </w:r>
      <w:r w:rsidRPr="00807837">
        <w:rPr>
          <w:rFonts w:ascii="Arial" w:hAnsi="Arial" w:cs="Arial"/>
          <w:b/>
          <w:sz w:val="20"/>
          <w:szCs w:val="20"/>
          <w:lang w:eastAsia="en-ZA"/>
        </w:rPr>
        <w:t xml:space="preserve"> - </w:t>
      </w:r>
      <w:r w:rsidR="00356445" w:rsidRPr="00807837">
        <w:rPr>
          <w:rFonts w:ascii="Arial" w:hAnsi="Arial" w:cs="Arial"/>
          <w:b/>
          <w:sz w:val="20"/>
          <w:szCs w:val="20"/>
          <w:lang w:eastAsia="en-ZA"/>
        </w:rPr>
        <w:t>Corporate Support</w:t>
      </w:r>
    </w:p>
    <w:tbl>
      <w:tblPr>
        <w:tblStyle w:val="TableGrid3"/>
        <w:tblW w:w="9072" w:type="dxa"/>
        <w:tblInd w:w="-5" w:type="dxa"/>
        <w:tblLook w:val="04A0"/>
      </w:tblPr>
      <w:tblGrid>
        <w:gridCol w:w="5103"/>
        <w:gridCol w:w="3969"/>
      </w:tblGrid>
      <w:tr w:rsidR="00720739" w:rsidRPr="00807837" w:rsidTr="001D07DB">
        <w:tc>
          <w:tcPr>
            <w:tcW w:w="5103"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 xml:space="preserve">Total Targets set </w:t>
            </w:r>
          </w:p>
        </w:tc>
        <w:tc>
          <w:tcPr>
            <w:tcW w:w="3969"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8</w:t>
            </w:r>
          </w:p>
        </w:tc>
      </w:tr>
      <w:tr w:rsidR="00720739" w:rsidRPr="00807837" w:rsidTr="001D07DB">
        <w:tc>
          <w:tcPr>
            <w:tcW w:w="5103"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Targets achieved</w:t>
            </w:r>
          </w:p>
        </w:tc>
        <w:tc>
          <w:tcPr>
            <w:tcW w:w="3969"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5 (62.5%)</w:t>
            </w:r>
          </w:p>
        </w:tc>
      </w:tr>
      <w:tr w:rsidR="00720739" w:rsidRPr="00807837" w:rsidTr="001D07DB">
        <w:tc>
          <w:tcPr>
            <w:tcW w:w="5103"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Targets not achieved</w:t>
            </w:r>
          </w:p>
        </w:tc>
        <w:tc>
          <w:tcPr>
            <w:tcW w:w="3969"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3 (37.5%)</w:t>
            </w:r>
          </w:p>
        </w:tc>
      </w:tr>
      <w:tr w:rsidR="00720739" w:rsidRPr="00807837" w:rsidTr="001D07DB">
        <w:tc>
          <w:tcPr>
            <w:tcW w:w="5103"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Budget allocated</w:t>
            </w:r>
          </w:p>
        </w:tc>
        <w:tc>
          <w:tcPr>
            <w:tcW w:w="3969"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R126 000 million</w:t>
            </w:r>
          </w:p>
        </w:tc>
      </w:tr>
      <w:tr w:rsidR="00720739" w:rsidRPr="00807837" w:rsidTr="001D07DB">
        <w:tc>
          <w:tcPr>
            <w:tcW w:w="5103"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lastRenderedPageBreak/>
              <w:t>Adjusted budget</w:t>
            </w:r>
          </w:p>
        </w:tc>
        <w:tc>
          <w:tcPr>
            <w:tcW w:w="3969"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R101 353 million</w:t>
            </w:r>
          </w:p>
        </w:tc>
      </w:tr>
      <w:tr w:rsidR="00720739" w:rsidRPr="00807837" w:rsidTr="001D07DB">
        <w:tc>
          <w:tcPr>
            <w:tcW w:w="5103"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 xml:space="preserve">Actual budget </w:t>
            </w:r>
          </w:p>
        </w:tc>
        <w:tc>
          <w:tcPr>
            <w:tcW w:w="3969"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 xml:space="preserve">R154 768 million </w:t>
            </w:r>
          </w:p>
        </w:tc>
      </w:tr>
      <w:tr w:rsidR="00720739" w:rsidRPr="00807837" w:rsidTr="001D07DB">
        <w:tc>
          <w:tcPr>
            <w:tcW w:w="5103"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 xml:space="preserve">Budget spent </w:t>
            </w:r>
          </w:p>
        </w:tc>
        <w:tc>
          <w:tcPr>
            <w:tcW w:w="3969"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R148 118 million (95.7%)</w:t>
            </w:r>
          </w:p>
        </w:tc>
      </w:tr>
      <w:tr w:rsidR="00720739" w:rsidRPr="00807837" w:rsidTr="001D07DB">
        <w:tc>
          <w:tcPr>
            <w:tcW w:w="5103"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 xml:space="preserve">Underspending </w:t>
            </w:r>
          </w:p>
        </w:tc>
        <w:tc>
          <w:tcPr>
            <w:tcW w:w="3969"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R6 650 million (4.3%)</w:t>
            </w:r>
          </w:p>
        </w:tc>
      </w:tr>
    </w:tbl>
    <w:p w:rsidR="00356445" w:rsidRPr="00807837" w:rsidRDefault="00356445" w:rsidP="00807837">
      <w:pPr>
        <w:spacing w:after="0" w:line="240" w:lineRule="auto"/>
        <w:contextualSpacing/>
        <w:rPr>
          <w:rFonts w:ascii="Arial" w:hAnsi="Arial" w:cs="Arial"/>
          <w:sz w:val="20"/>
          <w:szCs w:val="20"/>
        </w:rPr>
      </w:pPr>
      <w:r w:rsidRPr="00807837">
        <w:rPr>
          <w:rFonts w:ascii="Arial" w:hAnsi="Arial" w:cs="Arial"/>
          <w:sz w:val="20"/>
          <w:szCs w:val="20"/>
        </w:rPr>
        <w:t>The Entity reported that:</w:t>
      </w:r>
    </w:p>
    <w:p w:rsidR="00356445" w:rsidRPr="00807837" w:rsidRDefault="00356445" w:rsidP="00807837">
      <w:pPr>
        <w:spacing w:after="0" w:line="240" w:lineRule="auto"/>
        <w:contextualSpacing/>
        <w:rPr>
          <w:rFonts w:ascii="Arial" w:hAnsi="Arial" w:cs="Arial"/>
          <w:sz w:val="20"/>
          <w:szCs w:val="20"/>
        </w:rPr>
      </w:pPr>
    </w:p>
    <w:p w:rsidR="00356445" w:rsidRPr="00807837" w:rsidRDefault="00356445" w:rsidP="00807837">
      <w:pPr>
        <w:numPr>
          <w:ilvl w:val="0"/>
          <w:numId w:val="42"/>
        </w:numPr>
        <w:spacing w:after="0" w:line="240" w:lineRule="auto"/>
        <w:contextualSpacing/>
        <w:rPr>
          <w:rFonts w:ascii="Arial" w:hAnsi="Arial" w:cs="Arial"/>
          <w:sz w:val="20"/>
          <w:szCs w:val="20"/>
        </w:rPr>
      </w:pPr>
      <w:r w:rsidRPr="00807837">
        <w:rPr>
          <w:rFonts w:ascii="Arial" w:hAnsi="Arial" w:cs="Arial"/>
          <w:sz w:val="20"/>
          <w:szCs w:val="20"/>
        </w:rPr>
        <w:t>It was unable to address all 164 audit recommendations, which form part of the audit action plan, with only 73 per cent actions completed. This target relates to the Entity’s objective of promoting good governance. Audit recommendations are made to assist organs of state in achieving this objective. Under-performance of the Entity under this target does not bode well for its governance.</w:t>
      </w:r>
      <w:r w:rsidRPr="00807837">
        <w:rPr>
          <w:rFonts w:ascii="Arial" w:hAnsi="Arial" w:cs="Arial"/>
          <w:i/>
          <w:sz w:val="20"/>
          <w:szCs w:val="20"/>
        </w:rPr>
        <w:t xml:space="preserve"> </w:t>
      </w:r>
      <w:r w:rsidRPr="00807837">
        <w:rPr>
          <w:rFonts w:ascii="Arial" w:hAnsi="Arial" w:cs="Arial"/>
          <w:sz w:val="20"/>
          <w:szCs w:val="20"/>
        </w:rPr>
        <w:t xml:space="preserve">For those addressed, the Entity reported that consequence management was applied at the impacted business units. </w:t>
      </w:r>
    </w:p>
    <w:p w:rsidR="00356445" w:rsidRPr="00807837" w:rsidRDefault="00356445" w:rsidP="00807837">
      <w:pPr>
        <w:spacing w:after="0" w:line="240" w:lineRule="auto"/>
        <w:contextualSpacing/>
        <w:rPr>
          <w:rFonts w:ascii="Arial" w:hAnsi="Arial" w:cs="Arial"/>
          <w:sz w:val="20"/>
          <w:szCs w:val="20"/>
        </w:rPr>
      </w:pPr>
    </w:p>
    <w:p w:rsidR="00356445" w:rsidRPr="00807837" w:rsidRDefault="00356445" w:rsidP="00807837">
      <w:pPr>
        <w:numPr>
          <w:ilvl w:val="0"/>
          <w:numId w:val="41"/>
        </w:numPr>
        <w:spacing w:after="0" w:line="240" w:lineRule="auto"/>
        <w:contextualSpacing/>
        <w:rPr>
          <w:rFonts w:ascii="Arial" w:hAnsi="Arial" w:cs="Arial"/>
          <w:sz w:val="20"/>
          <w:szCs w:val="20"/>
        </w:rPr>
      </w:pPr>
      <w:r w:rsidRPr="00807837">
        <w:rPr>
          <w:rFonts w:ascii="Arial" w:hAnsi="Arial" w:cs="Arial"/>
          <w:sz w:val="20"/>
          <w:szCs w:val="20"/>
        </w:rPr>
        <w:t xml:space="preserve">The turnaround time for the payment of invoices improved from 22 days in quarter two to 12 days in quarter four. Therefore, the target was achieved for the financial year. This benefits suppliers who have been negatively impacted by the COVID-19 pandemic. </w:t>
      </w:r>
    </w:p>
    <w:p w:rsidR="00356445" w:rsidRPr="00807837" w:rsidRDefault="00356445" w:rsidP="00807837">
      <w:pPr>
        <w:spacing w:after="0" w:line="240" w:lineRule="auto"/>
        <w:ind w:left="360"/>
        <w:contextualSpacing/>
        <w:rPr>
          <w:rFonts w:ascii="Arial" w:hAnsi="Arial" w:cs="Arial"/>
          <w:sz w:val="20"/>
          <w:szCs w:val="20"/>
        </w:rPr>
      </w:pPr>
    </w:p>
    <w:p w:rsidR="00356445" w:rsidRPr="00807837" w:rsidRDefault="00356445" w:rsidP="00807837">
      <w:pPr>
        <w:numPr>
          <w:ilvl w:val="0"/>
          <w:numId w:val="41"/>
        </w:numPr>
        <w:spacing w:after="0" w:line="240" w:lineRule="auto"/>
        <w:contextualSpacing/>
        <w:rPr>
          <w:rFonts w:ascii="Arial" w:hAnsi="Arial" w:cs="Arial"/>
          <w:sz w:val="20"/>
          <w:szCs w:val="20"/>
        </w:rPr>
      </w:pPr>
      <w:r w:rsidRPr="00807837">
        <w:rPr>
          <w:rFonts w:ascii="Arial" w:hAnsi="Arial" w:cs="Arial"/>
          <w:sz w:val="20"/>
          <w:szCs w:val="20"/>
        </w:rPr>
        <w:t xml:space="preserve">The target on automating business processes was not achieved, about 80 per cent of the work was not done. Based on the Entity’s reporting, the scope of work on this project was understated. Only the business processes for the Tourism Grading Council were automated. The Committee was concerned about the implications of this incomplete work on business operations. </w:t>
      </w:r>
    </w:p>
    <w:p w:rsidR="00356445" w:rsidRPr="00807837" w:rsidRDefault="00356445" w:rsidP="00807837">
      <w:pPr>
        <w:spacing w:after="0" w:line="240" w:lineRule="auto"/>
        <w:ind w:left="720"/>
        <w:contextualSpacing/>
        <w:rPr>
          <w:rFonts w:ascii="Arial" w:hAnsi="Arial" w:cs="Arial"/>
          <w:sz w:val="20"/>
          <w:szCs w:val="20"/>
        </w:rPr>
      </w:pPr>
    </w:p>
    <w:p w:rsidR="00356445" w:rsidRPr="00807837" w:rsidRDefault="00356445" w:rsidP="00807837">
      <w:pPr>
        <w:numPr>
          <w:ilvl w:val="0"/>
          <w:numId w:val="41"/>
        </w:numPr>
        <w:spacing w:after="0" w:line="240" w:lineRule="auto"/>
        <w:contextualSpacing/>
        <w:rPr>
          <w:rFonts w:ascii="Arial" w:hAnsi="Arial" w:cs="Arial"/>
          <w:sz w:val="20"/>
          <w:szCs w:val="20"/>
        </w:rPr>
      </w:pPr>
      <w:r w:rsidRPr="00807837">
        <w:rPr>
          <w:rFonts w:ascii="Arial" w:hAnsi="Arial" w:cs="Arial"/>
          <w:sz w:val="20"/>
          <w:szCs w:val="20"/>
        </w:rPr>
        <w:t xml:space="preserve">The target on the staff engagement score was also not achieved. The target looks at the engagement levels of staff each year; the higher the engagement, the more satisfied staff tend to be. Ultimately, it measures the culture of the organisation. By the end of the financial year, a service provider had not yet been secured for the project. </w:t>
      </w:r>
    </w:p>
    <w:p w:rsidR="00356445" w:rsidRPr="00807837" w:rsidRDefault="00356445" w:rsidP="00807837">
      <w:pPr>
        <w:spacing w:after="0" w:line="240" w:lineRule="auto"/>
        <w:ind w:left="720"/>
        <w:contextualSpacing/>
        <w:rPr>
          <w:rFonts w:ascii="Arial" w:hAnsi="Arial" w:cs="Arial"/>
          <w:sz w:val="20"/>
          <w:szCs w:val="20"/>
        </w:rPr>
      </w:pPr>
    </w:p>
    <w:p w:rsidR="00356445" w:rsidRPr="00807837" w:rsidRDefault="00356445" w:rsidP="00807837">
      <w:pPr>
        <w:spacing w:after="0" w:line="240" w:lineRule="auto"/>
        <w:contextualSpacing/>
        <w:rPr>
          <w:rFonts w:ascii="Arial" w:hAnsi="Arial" w:cs="Arial"/>
          <w:sz w:val="20"/>
          <w:szCs w:val="20"/>
        </w:rPr>
      </w:pPr>
      <w:r w:rsidRPr="00807837">
        <w:rPr>
          <w:rFonts w:ascii="Arial" w:hAnsi="Arial" w:cs="Arial"/>
          <w:sz w:val="20"/>
          <w:szCs w:val="20"/>
        </w:rPr>
        <w:t>Equity targets were all achieved as a result of a targeted recruitment drive approved by the Board.</w:t>
      </w:r>
      <w:r w:rsidR="002043BB" w:rsidRPr="00807837">
        <w:rPr>
          <w:rFonts w:ascii="Arial" w:hAnsi="Arial" w:cs="Arial"/>
          <w:sz w:val="20"/>
          <w:szCs w:val="20"/>
        </w:rPr>
        <w:t xml:space="preserve"> The Entity reported</w:t>
      </w:r>
      <w:r w:rsidRPr="00807837">
        <w:rPr>
          <w:rFonts w:ascii="Arial" w:hAnsi="Arial" w:cs="Arial"/>
          <w:sz w:val="20"/>
          <w:szCs w:val="20"/>
        </w:rPr>
        <w:t xml:space="preserve"> that by 31 March 2022 its vacancy rate was 7.9 per cent with 16 vacancies against 202 positions. About 24 permanent positions were vacant at the end of the financial year, however, eight of these were filled with fixed-term contractors to ensure business continuity. </w:t>
      </w:r>
      <w:r w:rsidR="00936951" w:rsidRPr="00807837">
        <w:rPr>
          <w:rFonts w:ascii="Arial" w:hAnsi="Arial" w:cs="Arial"/>
          <w:sz w:val="20"/>
          <w:szCs w:val="20"/>
        </w:rPr>
        <w:t xml:space="preserve">Vacant management posts also include that of the </w:t>
      </w:r>
      <w:r w:rsidRPr="00807837">
        <w:rPr>
          <w:rFonts w:ascii="Arial" w:hAnsi="Arial" w:cs="Arial"/>
          <w:sz w:val="20"/>
          <w:szCs w:val="20"/>
        </w:rPr>
        <w:t xml:space="preserve">Chief Strategy Officer and the three hub heads for the United Kingdom (UK), Ireland and Central and South Europe. </w:t>
      </w:r>
    </w:p>
    <w:p w:rsidR="00356445" w:rsidRPr="00807837" w:rsidRDefault="00356445" w:rsidP="00807837">
      <w:pPr>
        <w:spacing w:after="0" w:line="240" w:lineRule="auto"/>
        <w:contextualSpacing/>
        <w:rPr>
          <w:rFonts w:ascii="Arial" w:hAnsi="Arial" w:cs="Arial"/>
          <w:sz w:val="20"/>
          <w:szCs w:val="20"/>
        </w:rPr>
      </w:pPr>
    </w:p>
    <w:p w:rsidR="00657558" w:rsidRPr="00807837" w:rsidRDefault="00657558" w:rsidP="00807837">
      <w:pPr>
        <w:spacing w:after="0" w:line="240" w:lineRule="auto"/>
        <w:contextualSpacing/>
        <w:rPr>
          <w:rFonts w:ascii="Arial" w:hAnsi="Arial" w:cs="Arial"/>
          <w:sz w:val="20"/>
          <w:szCs w:val="20"/>
        </w:rPr>
      </w:pPr>
    </w:p>
    <w:p w:rsidR="00356445" w:rsidRPr="00807837" w:rsidRDefault="00356445" w:rsidP="00807837">
      <w:pPr>
        <w:pStyle w:val="ListParagraph"/>
        <w:keepNext/>
        <w:keepLines/>
        <w:numPr>
          <w:ilvl w:val="3"/>
          <w:numId w:val="52"/>
        </w:numPr>
        <w:spacing w:after="0" w:line="240" w:lineRule="auto"/>
        <w:ind w:left="851" w:hanging="851"/>
        <w:outlineLvl w:val="1"/>
        <w:rPr>
          <w:rFonts w:ascii="Arial" w:eastAsiaTheme="majorEastAsia" w:hAnsi="Arial" w:cs="Arial"/>
          <w:sz w:val="20"/>
          <w:szCs w:val="20"/>
        </w:rPr>
      </w:pPr>
      <w:bookmarkStart w:id="6" w:name="_Toc116745267"/>
      <w:r w:rsidRPr="00807837">
        <w:rPr>
          <w:rFonts w:ascii="Arial" w:eastAsiaTheme="majorEastAsia" w:hAnsi="Arial" w:cs="Arial"/>
          <w:sz w:val="20"/>
          <w:szCs w:val="20"/>
        </w:rPr>
        <w:t>Programme 2: Business Enablement</w:t>
      </w:r>
      <w:bookmarkEnd w:id="6"/>
      <w:r w:rsidRPr="00807837">
        <w:rPr>
          <w:rFonts w:ascii="Arial" w:eastAsiaTheme="majorEastAsia" w:hAnsi="Arial" w:cs="Arial"/>
          <w:sz w:val="20"/>
          <w:szCs w:val="20"/>
        </w:rPr>
        <w:t xml:space="preserve"> </w:t>
      </w:r>
    </w:p>
    <w:p w:rsidR="00356445" w:rsidRPr="00807837" w:rsidRDefault="00356445" w:rsidP="00807837">
      <w:pPr>
        <w:spacing w:after="0" w:line="240" w:lineRule="auto"/>
        <w:contextualSpacing/>
        <w:rPr>
          <w:rFonts w:ascii="Arial" w:hAnsi="Arial" w:cs="Arial"/>
          <w:sz w:val="20"/>
          <w:szCs w:val="20"/>
        </w:rPr>
      </w:pPr>
    </w:p>
    <w:p w:rsidR="00657558" w:rsidRPr="00807837" w:rsidRDefault="00657558" w:rsidP="00807837">
      <w:pPr>
        <w:spacing w:after="0" w:line="240" w:lineRule="auto"/>
        <w:contextualSpacing/>
        <w:rPr>
          <w:rFonts w:ascii="Arial" w:hAnsi="Arial" w:cs="Arial"/>
          <w:sz w:val="20"/>
          <w:szCs w:val="20"/>
        </w:rPr>
      </w:pPr>
      <w:r w:rsidRPr="00807837">
        <w:rPr>
          <w:rFonts w:ascii="Arial" w:hAnsi="Arial" w:cs="Arial"/>
          <w:sz w:val="20"/>
          <w:szCs w:val="20"/>
        </w:rPr>
        <w:t xml:space="preserve">The purpose of this programme is to enhance collaboration with various stakeholders. It also provides centralised tourism intelligence to support evidence-based decision making, for future marketing initiatives aimed at stimulating visitor demand.    </w:t>
      </w:r>
    </w:p>
    <w:p w:rsidR="00356445" w:rsidRPr="00807837" w:rsidRDefault="00356445" w:rsidP="00807837">
      <w:pPr>
        <w:tabs>
          <w:tab w:val="left" w:pos="360"/>
        </w:tabs>
        <w:spacing w:after="0" w:line="240" w:lineRule="auto"/>
        <w:contextualSpacing/>
        <w:rPr>
          <w:rFonts w:ascii="Arial" w:hAnsi="Arial" w:cs="Arial"/>
          <w:sz w:val="20"/>
          <w:szCs w:val="20"/>
        </w:rPr>
      </w:pPr>
    </w:p>
    <w:p w:rsidR="00356445" w:rsidRPr="00807837" w:rsidRDefault="00B054BF" w:rsidP="00807837">
      <w:pPr>
        <w:autoSpaceDE w:val="0"/>
        <w:autoSpaceDN w:val="0"/>
        <w:adjustRightInd w:val="0"/>
        <w:spacing w:after="0" w:line="240" w:lineRule="auto"/>
        <w:contextualSpacing/>
        <w:rPr>
          <w:rFonts w:ascii="Arial" w:hAnsi="Arial" w:cs="Arial"/>
          <w:b/>
          <w:sz w:val="20"/>
          <w:szCs w:val="20"/>
          <w:lang w:eastAsia="en-ZA"/>
        </w:rPr>
      </w:pPr>
      <w:r w:rsidRPr="00807837">
        <w:rPr>
          <w:rFonts w:ascii="Arial" w:hAnsi="Arial" w:cs="Arial"/>
          <w:b/>
          <w:sz w:val="20"/>
          <w:szCs w:val="20"/>
        </w:rPr>
        <w:t xml:space="preserve">Table 12: </w:t>
      </w:r>
      <w:r w:rsidR="00356445" w:rsidRPr="00807837">
        <w:rPr>
          <w:rFonts w:ascii="Arial" w:hAnsi="Arial" w:cs="Arial"/>
          <w:b/>
          <w:sz w:val="20"/>
          <w:szCs w:val="20"/>
        </w:rPr>
        <w:t>Programme 2</w:t>
      </w:r>
      <w:r w:rsidRPr="00807837">
        <w:rPr>
          <w:rFonts w:ascii="Arial" w:hAnsi="Arial" w:cs="Arial"/>
          <w:b/>
          <w:sz w:val="20"/>
          <w:szCs w:val="20"/>
        </w:rPr>
        <w:t xml:space="preserve"> - </w:t>
      </w:r>
      <w:r w:rsidR="00356445" w:rsidRPr="00807837">
        <w:rPr>
          <w:rFonts w:ascii="Arial" w:hAnsi="Arial" w:cs="Arial"/>
          <w:b/>
          <w:sz w:val="20"/>
          <w:szCs w:val="20"/>
        </w:rPr>
        <w:t xml:space="preserve">Business Enablement </w:t>
      </w:r>
    </w:p>
    <w:tbl>
      <w:tblPr>
        <w:tblStyle w:val="TableGrid3"/>
        <w:tblW w:w="9072" w:type="dxa"/>
        <w:tblInd w:w="-5" w:type="dxa"/>
        <w:tblLook w:val="04A0"/>
      </w:tblPr>
      <w:tblGrid>
        <w:gridCol w:w="4820"/>
        <w:gridCol w:w="4252"/>
      </w:tblGrid>
      <w:tr w:rsidR="00720739" w:rsidRPr="00807837" w:rsidTr="009A6FA5">
        <w:tc>
          <w:tcPr>
            <w:tcW w:w="4820"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 xml:space="preserve">Total Targets set </w:t>
            </w:r>
          </w:p>
        </w:tc>
        <w:tc>
          <w:tcPr>
            <w:tcW w:w="4252"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 xml:space="preserve">5 </w:t>
            </w:r>
          </w:p>
        </w:tc>
      </w:tr>
      <w:tr w:rsidR="00720739" w:rsidRPr="00807837" w:rsidTr="009A6FA5">
        <w:tc>
          <w:tcPr>
            <w:tcW w:w="4820"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Targets achieved</w:t>
            </w:r>
          </w:p>
        </w:tc>
        <w:tc>
          <w:tcPr>
            <w:tcW w:w="4252"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3 (60%)</w:t>
            </w:r>
          </w:p>
        </w:tc>
      </w:tr>
      <w:tr w:rsidR="00720739" w:rsidRPr="00807837" w:rsidTr="009A6FA5">
        <w:tc>
          <w:tcPr>
            <w:tcW w:w="4820"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Targets not achieved</w:t>
            </w:r>
          </w:p>
        </w:tc>
        <w:tc>
          <w:tcPr>
            <w:tcW w:w="4252"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2 (40%)</w:t>
            </w:r>
          </w:p>
        </w:tc>
      </w:tr>
      <w:tr w:rsidR="00720739" w:rsidRPr="00807837" w:rsidTr="009A6FA5">
        <w:tc>
          <w:tcPr>
            <w:tcW w:w="4820"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Budget allocated</w:t>
            </w:r>
          </w:p>
        </w:tc>
        <w:tc>
          <w:tcPr>
            <w:tcW w:w="4252"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R84 900 million</w:t>
            </w:r>
          </w:p>
        </w:tc>
      </w:tr>
      <w:tr w:rsidR="00720739" w:rsidRPr="00807837" w:rsidTr="009A6FA5">
        <w:tc>
          <w:tcPr>
            <w:tcW w:w="4820"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Adjusted budget</w:t>
            </w:r>
          </w:p>
        </w:tc>
        <w:tc>
          <w:tcPr>
            <w:tcW w:w="4252"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R80 761 million</w:t>
            </w:r>
          </w:p>
        </w:tc>
      </w:tr>
      <w:tr w:rsidR="00720739" w:rsidRPr="00807837" w:rsidTr="009A6FA5">
        <w:tc>
          <w:tcPr>
            <w:tcW w:w="4820"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 xml:space="preserve">Budget spent </w:t>
            </w:r>
          </w:p>
        </w:tc>
        <w:tc>
          <w:tcPr>
            <w:tcW w:w="4252"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R55 740 million (69%)</w:t>
            </w:r>
          </w:p>
        </w:tc>
      </w:tr>
      <w:tr w:rsidR="00720739" w:rsidRPr="00807837" w:rsidTr="009A6FA5">
        <w:tc>
          <w:tcPr>
            <w:tcW w:w="4820"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Underspending</w:t>
            </w:r>
          </w:p>
        </w:tc>
        <w:tc>
          <w:tcPr>
            <w:tcW w:w="4252"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 xml:space="preserve">R25 021 million (30.9%) </w:t>
            </w:r>
          </w:p>
        </w:tc>
      </w:tr>
    </w:tbl>
    <w:p w:rsidR="00356445" w:rsidRPr="00807837" w:rsidRDefault="00356445" w:rsidP="00807837">
      <w:pPr>
        <w:spacing w:after="0" w:line="240" w:lineRule="auto"/>
        <w:contextualSpacing/>
        <w:rPr>
          <w:rFonts w:ascii="Arial" w:hAnsi="Arial" w:cs="Arial"/>
          <w:sz w:val="20"/>
          <w:szCs w:val="20"/>
        </w:rPr>
      </w:pPr>
    </w:p>
    <w:p w:rsidR="009A6FA5" w:rsidRPr="00807837" w:rsidRDefault="009A6FA5" w:rsidP="00807837">
      <w:pPr>
        <w:spacing w:after="0" w:line="240" w:lineRule="auto"/>
        <w:contextualSpacing/>
        <w:rPr>
          <w:rFonts w:ascii="Arial" w:hAnsi="Arial" w:cs="Arial"/>
          <w:sz w:val="20"/>
          <w:szCs w:val="20"/>
        </w:rPr>
      </w:pPr>
    </w:p>
    <w:p w:rsidR="00356445" w:rsidRPr="00807837" w:rsidRDefault="00356445" w:rsidP="00807837">
      <w:pPr>
        <w:spacing w:after="0" w:line="240" w:lineRule="auto"/>
        <w:contextualSpacing/>
        <w:rPr>
          <w:rFonts w:ascii="Arial" w:hAnsi="Arial" w:cs="Arial"/>
          <w:sz w:val="20"/>
          <w:szCs w:val="20"/>
        </w:rPr>
      </w:pPr>
      <w:r w:rsidRPr="00807837">
        <w:rPr>
          <w:rFonts w:ascii="Arial" w:hAnsi="Arial" w:cs="Arial"/>
          <w:sz w:val="20"/>
          <w:szCs w:val="20"/>
        </w:rPr>
        <w:t xml:space="preserve">The Entity achieved 3 (60%) of its 5 targets for the end of the financial year </w:t>
      </w:r>
      <w:r w:rsidR="002043BB" w:rsidRPr="00807837">
        <w:rPr>
          <w:rFonts w:ascii="Arial" w:hAnsi="Arial" w:cs="Arial"/>
          <w:sz w:val="20"/>
          <w:szCs w:val="20"/>
        </w:rPr>
        <w:t>and spent 69 per cent</w:t>
      </w:r>
      <w:r w:rsidRPr="00807837">
        <w:rPr>
          <w:rFonts w:ascii="Arial" w:hAnsi="Arial" w:cs="Arial"/>
          <w:sz w:val="20"/>
          <w:szCs w:val="20"/>
        </w:rPr>
        <w:t xml:space="preserve"> of its budget. Spending </w:t>
      </w:r>
      <w:r w:rsidR="00936951" w:rsidRPr="00807837">
        <w:rPr>
          <w:rFonts w:ascii="Arial" w:hAnsi="Arial" w:cs="Arial"/>
          <w:sz w:val="20"/>
          <w:szCs w:val="20"/>
        </w:rPr>
        <w:t xml:space="preserve">was </w:t>
      </w:r>
      <w:r w:rsidRPr="00807837">
        <w:rPr>
          <w:rFonts w:ascii="Arial" w:hAnsi="Arial" w:cs="Arial"/>
          <w:sz w:val="20"/>
          <w:szCs w:val="20"/>
        </w:rPr>
        <w:t xml:space="preserve">thus more or less aligned with programme performance. </w:t>
      </w:r>
    </w:p>
    <w:p w:rsidR="00356445" w:rsidRPr="00807837" w:rsidRDefault="00356445" w:rsidP="00807837">
      <w:pPr>
        <w:autoSpaceDE w:val="0"/>
        <w:autoSpaceDN w:val="0"/>
        <w:adjustRightInd w:val="0"/>
        <w:spacing w:after="0" w:line="240" w:lineRule="auto"/>
        <w:contextualSpacing/>
        <w:rPr>
          <w:rFonts w:ascii="Arial" w:hAnsi="Arial" w:cs="Arial"/>
          <w:sz w:val="20"/>
          <w:szCs w:val="20"/>
        </w:rPr>
      </w:pPr>
    </w:p>
    <w:p w:rsidR="00356445" w:rsidRPr="00807837" w:rsidRDefault="002043BB" w:rsidP="00807837">
      <w:p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The Entity reported</w:t>
      </w:r>
      <w:r w:rsidR="00356445" w:rsidRPr="00807837">
        <w:rPr>
          <w:rFonts w:ascii="Arial" w:hAnsi="Arial" w:cs="Arial"/>
          <w:sz w:val="20"/>
          <w:szCs w:val="20"/>
        </w:rPr>
        <w:t xml:space="preserve"> that the following targets were </w:t>
      </w:r>
      <w:r w:rsidR="00356445" w:rsidRPr="00807837">
        <w:rPr>
          <w:rFonts w:ascii="Arial" w:hAnsi="Arial" w:cs="Arial"/>
          <w:i/>
          <w:sz w:val="20"/>
          <w:szCs w:val="20"/>
        </w:rPr>
        <w:t>achieved</w:t>
      </w:r>
      <w:r w:rsidR="00356445" w:rsidRPr="00807837">
        <w:rPr>
          <w:rFonts w:ascii="Arial" w:hAnsi="Arial" w:cs="Arial"/>
          <w:sz w:val="20"/>
          <w:szCs w:val="20"/>
        </w:rPr>
        <w:t xml:space="preserve"> for the financial year: </w:t>
      </w:r>
    </w:p>
    <w:p w:rsidR="00356445" w:rsidRPr="00807837" w:rsidRDefault="00356445" w:rsidP="00807837">
      <w:pPr>
        <w:autoSpaceDE w:val="0"/>
        <w:autoSpaceDN w:val="0"/>
        <w:adjustRightInd w:val="0"/>
        <w:spacing w:after="0" w:line="240" w:lineRule="auto"/>
        <w:ind w:left="360"/>
        <w:contextualSpacing/>
        <w:rPr>
          <w:rFonts w:ascii="Arial" w:hAnsi="Arial" w:cs="Arial"/>
          <w:sz w:val="20"/>
          <w:szCs w:val="20"/>
        </w:rPr>
      </w:pPr>
    </w:p>
    <w:p w:rsidR="00356445" w:rsidRPr="00807837" w:rsidRDefault="00356445" w:rsidP="00807837">
      <w:pPr>
        <w:numPr>
          <w:ilvl w:val="0"/>
          <w:numId w:val="43"/>
        </w:num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 xml:space="preserve">The target on the SA Tourism Reputation Index, which focused on conducting a survey to establish a new baseline, was achieved. The Index calculates whether stakeholders see SAT as a </w:t>
      </w:r>
      <w:r w:rsidRPr="00807837">
        <w:rPr>
          <w:rFonts w:ascii="Arial" w:hAnsi="Arial" w:cs="Arial"/>
          <w:sz w:val="20"/>
          <w:szCs w:val="20"/>
        </w:rPr>
        <w:lastRenderedPageBreak/>
        <w:t>leader in the tourism industry in South Africa. The five-year target will be calculated after establishing the baseline.</w:t>
      </w:r>
    </w:p>
    <w:p w:rsidR="00356445" w:rsidRPr="00807837" w:rsidRDefault="00356445" w:rsidP="00807837">
      <w:pPr>
        <w:autoSpaceDE w:val="0"/>
        <w:autoSpaceDN w:val="0"/>
        <w:adjustRightInd w:val="0"/>
        <w:spacing w:after="0" w:line="240" w:lineRule="auto"/>
        <w:ind w:left="360"/>
        <w:rPr>
          <w:rFonts w:ascii="Arial" w:hAnsi="Arial" w:cs="Arial"/>
          <w:sz w:val="20"/>
          <w:szCs w:val="20"/>
        </w:rPr>
      </w:pPr>
    </w:p>
    <w:p w:rsidR="00356445" w:rsidRPr="00807837" w:rsidRDefault="00356445" w:rsidP="00807837">
      <w:pPr>
        <w:numPr>
          <w:ilvl w:val="0"/>
          <w:numId w:val="43"/>
        </w:num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 xml:space="preserve">All the tourism sector performance reports were produced. The reports are significant in keeping track of the sector’s performance and in turn play a crucial role in informing business strategies adopted to market and grow tourism. Data from these reports provide results of the Entity’s marketing endeavours, which are aligned to its strategy for increasing tourism’s contribution to the economy. </w:t>
      </w:r>
    </w:p>
    <w:p w:rsidR="00356445" w:rsidRPr="00807837" w:rsidRDefault="00356445" w:rsidP="00807837">
      <w:pPr>
        <w:autoSpaceDE w:val="0"/>
        <w:autoSpaceDN w:val="0"/>
        <w:adjustRightInd w:val="0"/>
        <w:spacing w:after="0" w:line="240" w:lineRule="auto"/>
        <w:ind w:left="360"/>
        <w:contextualSpacing/>
        <w:rPr>
          <w:rFonts w:ascii="Arial" w:hAnsi="Arial" w:cs="Arial"/>
          <w:sz w:val="20"/>
          <w:szCs w:val="20"/>
        </w:rPr>
      </w:pPr>
    </w:p>
    <w:p w:rsidR="00356445" w:rsidRPr="00807837" w:rsidRDefault="00356445" w:rsidP="00807837">
      <w:pPr>
        <w:numPr>
          <w:ilvl w:val="0"/>
          <w:numId w:val="43"/>
        </w:num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The planned sector engagement meetings were hosted for the year. These meetings entail deliberations with tourism sector stakeholders, with a focus on activities in support of the Tourism Sector Recovery Plan (TSRP).</w:t>
      </w:r>
    </w:p>
    <w:p w:rsidR="00356445" w:rsidRPr="00807837" w:rsidRDefault="00356445" w:rsidP="00807837">
      <w:pPr>
        <w:autoSpaceDE w:val="0"/>
        <w:autoSpaceDN w:val="0"/>
        <w:adjustRightInd w:val="0"/>
        <w:spacing w:after="0" w:line="240" w:lineRule="auto"/>
        <w:contextualSpacing/>
        <w:rPr>
          <w:rFonts w:ascii="Arial" w:hAnsi="Arial" w:cs="Arial"/>
          <w:sz w:val="20"/>
          <w:szCs w:val="20"/>
        </w:rPr>
      </w:pPr>
    </w:p>
    <w:p w:rsidR="00356445" w:rsidRPr="00807837" w:rsidRDefault="00356445" w:rsidP="00807837">
      <w:p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The following targets were not achieved:</w:t>
      </w:r>
    </w:p>
    <w:p w:rsidR="002043BB" w:rsidRPr="00807837" w:rsidRDefault="002043BB" w:rsidP="00807837">
      <w:pPr>
        <w:autoSpaceDE w:val="0"/>
        <w:autoSpaceDN w:val="0"/>
        <w:adjustRightInd w:val="0"/>
        <w:spacing w:after="0" w:line="240" w:lineRule="auto"/>
        <w:contextualSpacing/>
        <w:rPr>
          <w:rFonts w:ascii="Arial" w:hAnsi="Arial" w:cs="Arial"/>
          <w:sz w:val="20"/>
          <w:szCs w:val="20"/>
        </w:rPr>
      </w:pPr>
    </w:p>
    <w:p w:rsidR="00356445" w:rsidRPr="00807837" w:rsidRDefault="002043BB" w:rsidP="00807837">
      <w:pPr>
        <w:numPr>
          <w:ilvl w:val="0"/>
          <w:numId w:val="44"/>
        </w:num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The 100 per cent</w:t>
      </w:r>
      <w:r w:rsidR="00356445" w:rsidRPr="00807837">
        <w:rPr>
          <w:rFonts w:ascii="Arial" w:hAnsi="Arial" w:cs="Arial"/>
          <w:sz w:val="20"/>
          <w:szCs w:val="20"/>
        </w:rPr>
        <w:t xml:space="preserve"> implementation of approved Memoranda of Understanding (MoUs) with Provincial Tourism Authorities (PTAs), was not fully completed.  Th</w:t>
      </w:r>
      <w:r w:rsidR="00103799" w:rsidRPr="00807837">
        <w:rPr>
          <w:rFonts w:ascii="Arial" w:hAnsi="Arial" w:cs="Arial"/>
          <w:sz w:val="20"/>
          <w:szCs w:val="20"/>
        </w:rPr>
        <w:t>e Entity reported</w:t>
      </w:r>
      <w:r w:rsidRPr="00807837">
        <w:rPr>
          <w:rFonts w:ascii="Arial" w:hAnsi="Arial" w:cs="Arial"/>
          <w:sz w:val="20"/>
          <w:szCs w:val="20"/>
        </w:rPr>
        <w:t xml:space="preserve"> that only 95 per cent</w:t>
      </w:r>
      <w:r w:rsidR="00356445" w:rsidRPr="00807837">
        <w:rPr>
          <w:rFonts w:ascii="Arial" w:hAnsi="Arial" w:cs="Arial"/>
          <w:sz w:val="20"/>
          <w:szCs w:val="20"/>
        </w:rPr>
        <w:t xml:space="preserve"> of MoUs were implemented.  In its quarter four reporting, it indicated that about 36 of the 38 action items from the Activity Plan with the PTAs were implemented. The Lilizela Awards, which honour entrepreneurs in the hospitality sector, was not implemented as a result of COVID-19 restrictions.</w:t>
      </w:r>
    </w:p>
    <w:p w:rsidR="00356445" w:rsidRPr="00807837" w:rsidRDefault="00356445" w:rsidP="00807837">
      <w:pPr>
        <w:autoSpaceDE w:val="0"/>
        <w:autoSpaceDN w:val="0"/>
        <w:adjustRightInd w:val="0"/>
        <w:spacing w:after="0" w:line="240" w:lineRule="auto"/>
        <w:ind w:left="360"/>
        <w:contextualSpacing/>
        <w:rPr>
          <w:rFonts w:ascii="Arial" w:hAnsi="Arial" w:cs="Arial"/>
          <w:sz w:val="20"/>
          <w:szCs w:val="20"/>
        </w:rPr>
      </w:pPr>
    </w:p>
    <w:p w:rsidR="00356445" w:rsidRPr="00807837" w:rsidRDefault="00356445" w:rsidP="00807837">
      <w:pPr>
        <w:numPr>
          <w:ilvl w:val="0"/>
          <w:numId w:val="44"/>
        </w:numPr>
        <w:autoSpaceDE w:val="0"/>
        <w:autoSpaceDN w:val="0"/>
        <w:adjustRightInd w:val="0"/>
        <w:spacing w:after="0" w:line="240" w:lineRule="auto"/>
        <w:contextualSpacing/>
        <w:rPr>
          <w:rFonts w:ascii="Arial" w:hAnsi="Arial" w:cs="Arial"/>
          <w:sz w:val="20"/>
          <w:szCs w:val="20"/>
        </w:rPr>
      </w:pPr>
      <w:r w:rsidRPr="00807837">
        <w:rPr>
          <w:rFonts w:ascii="Arial" w:hAnsi="Arial" w:cs="Arial"/>
          <w:i/>
          <w:sz w:val="20"/>
          <w:szCs w:val="20"/>
        </w:rPr>
        <w:t>Go-live and support (B2B and B2C portals)</w:t>
      </w:r>
      <w:r w:rsidRPr="00807837">
        <w:rPr>
          <w:rFonts w:ascii="Arial" w:hAnsi="Arial" w:cs="Arial"/>
          <w:sz w:val="20"/>
          <w:szCs w:val="20"/>
        </w:rPr>
        <w:t xml:space="preserve"> – </w:t>
      </w:r>
      <w:r w:rsidR="00103799" w:rsidRPr="00807837">
        <w:rPr>
          <w:rFonts w:ascii="Arial" w:hAnsi="Arial" w:cs="Arial"/>
          <w:sz w:val="20"/>
          <w:szCs w:val="20"/>
        </w:rPr>
        <w:t>The Entity reported</w:t>
      </w:r>
      <w:r w:rsidRPr="00807837">
        <w:rPr>
          <w:rFonts w:ascii="Arial" w:hAnsi="Arial" w:cs="Arial"/>
          <w:sz w:val="20"/>
          <w:szCs w:val="20"/>
        </w:rPr>
        <w:t xml:space="preserve"> that the project has been discontinued, due to a flawed process followed to appoint a service provider. A forensic investigation was undertaken and concluded. The portal was to be used to develop a two-way communication that centralises communication between the industry and the Entity. The portal would allow for open communication, transparency and aligned marketing messages, which are key elements for good governance and economic growth. </w:t>
      </w:r>
    </w:p>
    <w:p w:rsidR="00356445" w:rsidRPr="00807837" w:rsidRDefault="00356445" w:rsidP="00807837">
      <w:pPr>
        <w:autoSpaceDE w:val="0"/>
        <w:autoSpaceDN w:val="0"/>
        <w:adjustRightInd w:val="0"/>
        <w:spacing w:after="0" w:line="240" w:lineRule="auto"/>
        <w:contextualSpacing/>
        <w:rPr>
          <w:rFonts w:ascii="Arial" w:hAnsi="Arial" w:cs="Arial"/>
          <w:sz w:val="20"/>
          <w:szCs w:val="20"/>
          <w:lang w:val="en-US"/>
        </w:rPr>
      </w:pPr>
    </w:p>
    <w:p w:rsidR="00356445" w:rsidRPr="00807837" w:rsidRDefault="00356445" w:rsidP="00807837">
      <w:pPr>
        <w:pStyle w:val="ListParagraph"/>
        <w:keepNext/>
        <w:keepLines/>
        <w:numPr>
          <w:ilvl w:val="3"/>
          <w:numId w:val="52"/>
        </w:numPr>
        <w:spacing w:after="0" w:line="240" w:lineRule="auto"/>
        <w:ind w:left="851" w:hanging="851"/>
        <w:outlineLvl w:val="1"/>
        <w:rPr>
          <w:rFonts w:ascii="Arial" w:eastAsiaTheme="majorEastAsia" w:hAnsi="Arial" w:cs="Arial"/>
          <w:b/>
          <w:sz w:val="20"/>
          <w:szCs w:val="20"/>
        </w:rPr>
      </w:pPr>
      <w:bookmarkStart w:id="7" w:name="_Toc116745268"/>
      <w:r w:rsidRPr="00807837">
        <w:rPr>
          <w:rFonts w:ascii="Arial" w:eastAsiaTheme="majorEastAsia" w:hAnsi="Arial" w:cs="Arial"/>
          <w:b/>
          <w:sz w:val="20"/>
          <w:szCs w:val="20"/>
        </w:rPr>
        <w:t>Programme 3: Leisure Tourism Marketing</w:t>
      </w:r>
      <w:bookmarkEnd w:id="7"/>
      <w:r w:rsidRPr="00807837">
        <w:rPr>
          <w:rFonts w:ascii="Arial" w:eastAsiaTheme="majorEastAsia" w:hAnsi="Arial" w:cs="Arial"/>
          <w:b/>
          <w:sz w:val="20"/>
          <w:szCs w:val="20"/>
        </w:rPr>
        <w:t xml:space="preserve">  </w:t>
      </w:r>
    </w:p>
    <w:p w:rsidR="00356445" w:rsidRPr="00807837" w:rsidRDefault="00356445" w:rsidP="00807837">
      <w:pPr>
        <w:spacing w:after="0" w:line="240" w:lineRule="auto"/>
        <w:contextualSpacing/>
        <w:rPr>
          <w:rFonts w:ascii="Arial" w:hAnsi="Arial" w:cs="Arial"/>
          <w:sz w:val="20"/>
          <w:szCs w:val="20"/>
        </w:rPr>
      </w:pPr>
    </w:p>
    <w:p w:rsidR="00356445" w:rsidRPr="00807837" w:rsidRDefault="00356445" w:rsidP="00807837">
      <w:pPr>
        <w:spacing w:after="0" w:line="240" w:lineRule="auto"/>
        <w:contextualSpacing/>
        <w:rPr>
          <w:rFonts w:ascii="Arial" w:hAnsi="Arial" w:cs="Arial"/>
          <w:sz w:val="20"/>
          <w:szCs w:val="20"/>
        </w:rPr>
      </w:pPr>
      <w:r w:rsidRPr="00807837">
        <w:rPr>
          <w:rFonts w:ascii="Arial" w:hAnsi="Arial" w:cs="Arial"/>
          <w:sz w:val="20"/>
          <w:szCs w:val="20"/>
        </w:rPr>
        <w:t xml:space="preserve">The purpose of the programme is to create demand through travel acquisition and growing brand equity for South Africa as a leisure and business events destination in identified markets.  </w:t>
      </w:r>
    </w:p>
    <w:p w:rsidR="001F5109" w:rsidRPr="00807837" w:rsidRDefault="001F5109" w:rsidP="00807837">
      <w:pPr>
        <w:spacing w:after="0" w:line="240" w:lineRule="auto"/>
        <w:contextualSpacing/>
        <w:rPr>
          <w:rFonts w:ascii="Arial" w:hAnsi="Arial" w:cs="Arial"/>
          <w:sz w:val="20"/>
          <w:szCs w:val="20"/>
        </w:rPr>
      </w:pPr>
      <w:r w:rsidRPr="00807837">
        <w:rPr>
          <w:rFonts w:ascii="Arial" w:hAnsi="Arial" w:cs="Arial"/>
          <w:sz w:val="20"/>
          <w:szCs w:val="20"/>
        </w:rPr>
        <w:t xml:space="preserve">The Entity achieved only 10 (83.3%) of its 12 targets by the end of the financial year and spent 89.8 per cent of its budget. Spending </w:t>
      </w:r>
      <w:r w:rsidR="00936951" w:rsidRPr="00807837">
        <w:rPr>
          <w:rFonts w:ascii="Arial" w:hAnsi="Arial" w:cs="Arial"/>
          <w:sz w:val="20"/>
          <w:szCs w:val="20"/>
        </w:rPr>
        <w:t xml:space="preserve">was </w:t>
      </w:r>
      <w:r w:rsidRPr="00807837">
        <w:rPr>
          <w:rFonts w:ascii="Arial" w:hAnsi="Arial" w:cs="Arial"/>
          <w:sz w:val="20"/>
          <w:szCs w:val="20"/>
        </w:rPr>
        <w:t xml:space="preserve">thus more or less aligned with programme performance. </w:t>
      </w:r>
    </w:p>
    <w:p w:rsidR="00356445" w:rsidRPr="00807837" w:rsidRDefault="00356445" w:rsidP="00807837">
      <w:pPr>
        <w:spacing w:after="0" w:line="240" w:lineRule="auto"/>
        <w:contextualSpacing/>
        <w:rPr>
          <w:rFonts w:ascii="Arial" w:hAnsi="Arial" w:cs="Arial"/>
          <w:sz w:val="20"/>
          <w:szCs w:val="20"/>
        </w:rPr>
      </w:pPr>
    </w:p>
    <w:p w:rsidR="00356445" w:rsidRPr="00807837" w:rsidRDefault="00B054BF" w:rsidP="00807837">
      <w:pPr>
        <w:autoSpaceDE w:val="0"/>
        <w:autoSpaceDN w:val="0"/>
        <w:adjustRightInd w:val="0"/>
        <w:spacing w:after="0" w:line="240" w:lineRule="auto"/>
        <w:contextualSpacing/>
        <w:rPr>
          <w:rFonts w:ascii="Arial" w:hAnsi="Arial" w:cs="Arial"/>
          <w:b/>
          <w:sz w:val="20"/>
          <w:szCs w:val="20"/>
          <w:lang w:eastAsia="en-ZA"/>
        </w:rPr>
      </w:pPr>
      <w:r w:rsidRPr="00807837">
        <w:rPr>
          <w:rFonts w:ascii="Arial" w:hAnsi="Arial" w:cs="Arial"/>
          <w:b/>
          <w:sz w:val="20"/>
          <w:szCs w:val="20"/>
        </w:rPr>
        <w:t xml:space="preserve">Table 13: </w:t>
      </w:r>
      <w:r w:rsidR="00356445" w:rsidRPr="00807837">
        <w:rPr>
          <w:rFonts w:ascii="Arial" w:hAnsi="Arial" w:cs="Arial"/>
          <w:b/>
          <w:sz w:val="20"/>
          <w:szCs w:val="20"/>
        </w:rPr>
        <w:t>Programme 3</w:t>
      </w:r>
      <w:r w:rsidRPr="00807837">
        <w:rPr>
          <w:rFonts w:ascii="Arial" w:hAnsi="Arial" w:cs="Arial"/>
          <w:b/>
          <w:sz w:val="20"/>
          <w:szCs w:val="20"/>
        </w:rPr>
        <w:t xml:space="preserve"> - </w:t>
      </w:r>
      <w:r w:rsidR="00356445" w:rsidRPr="00807837">
        <w:rPr>
          <w:rFonts w:ascii="Arial" w:hAnsi="Arial" w:cs="Arial"/>
          <w:b/>
          <w:sz w:val="20"/>
          <w:szCs w:val="20"/>
        </w:rPr>
        <w:t xml:space="preserve">Leisure Tourism Marketing  </w:t>
      </w:r>
    </w:p>
    <w:tbl>
      <w:tblPr>
        <w:tblStyle w:val="TableGrid3"/>
        <w:tblW w:w="9072" w:type="dxa"/>
        <w:tblInd w:w="-5" w:type="dxa"/>
        <w:tblLook w:val="04A0"/>
      </w:tblPr>
      <w:tblGrid>
        <w:gridCol w:w="4678"/>
        <w:gridCol w:w="4394"/>
      </w:tblGrid>
      <w:tr w:rsidR="00720739" w:rsidRPr="00807837" w:rsidTr="009A6FA5">
        <w:tc>
          <w:tcPr>
            <w:tcW w:w="4678"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 xml:space="preserve">Total Targets set </w:t>
            </w:r>
          </w:p>
        </w:tc>
        <w:tc>
          <w:tcPr>
            <w:tcW w:w="4394"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12</w:t>
            </w:r>
          </w:p>
        </w:tc>
      </w:tr>
      <w:tr w:rsidR="00720739" w:rsidRPr="00807837" w:rsidTr="009A6FA5">
        <w:tc>
          <w:tcPr>
            <w:tcW w:w="4678"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Targets achieved</w:t>
            </w:r>
          </w:p>
        </w:tc>
        <w:tc>
          <w:tcPr>
            <w:tcW w:w="4394"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10 (83.3%)</w:t>
            </w:r>
          </w:p>
        </w:tc>
      </w:tr>
      <w:tr w:rsidR="00720739" w:rsidRPr="00807837" w:rsidTr="009A6FA5">
        <w:tc>
          <w:tcPr>
            <w:tcW w:w="4678"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Targets not achieved</w:t>
            </w:r>
          </w:p>
        </w:tc>
        <w:tc>
          <w:tcPr>
            <w:tcW w:w="4394"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2 (16.7%)</w:t>
            </w:r>
          </w:p>
        </w:tc>
      </w:tr>
      <w:tr w:rsidR="00720739" w:rsidRPr="00807837" w:rsidTr="009A6FA5">
        <w:tc>
          <w:tcPr>
            <w:tcW w:w="4678"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Budget allocated</w:t>
            </w:r>
          </w:p>
        </w:tc>
        <w:tc>
          <w:tcPr>
            <w:tcW w:w="4394"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 xml:space="preserve">R1  015 222 billion </w:t>
            </w:r>
          </w:p>
        </w:tc>
      </w:tr>
      <w:tr w:rsidR="00720739" w:rsidRPr="00807837" w:rsidTr="009A6FA5">
        <w:tc>
          <w:tcPr>
            <w:tcW w:w="4678"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 xml:space="preserve">Adjusted budget </w:t>
            </w:r>
          </w:p>
        </w:tc>
        <w:tc>
          <w:tcPr>
            <w:tcW w:w="4394"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R1  109 613 billion</w:t>
            </w:r>
          </w:p>
        </w:tc>
      </w:tr>
      <w:tr w:rsidR="00720739" w:rsidRPr="00807837" w:rsidTr="009A6FA5">
        <w:tc>
          <w:tcPr>
            <w:tcW w:w="4678"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Actual budget</w:t>
            </w:r>
          </w:p>
        </w:tc>
        <w:tc>
          <w:tcPr>
            <w:tcW w:w="4394"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 xml:space="preserve">R1  026 687 billion </w:t>
            </w:r>
          </w:p>
        </w:tc>
      </w:tr>
      <w:tr w:rsidR="00720739" w:rsidRPr="00807837" w:rsidTr="009A6FA5">
        <w:tc>
          <w:tcPr>
            <w:tcW w:w="4678"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Budget spent</w:t>
            </w:r>
          </w:p>
        </w:tc>
        <w:tc>
          <w:tcPr>
            <w:tcW w:w="4394"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 xml:space="preserve">R922 293 million (89.8%) </w:t>
            </w:r>
          </w:p>
        </w:tc>
      </w:tr>
      <w:tr w:rsidR="00720739" w:rsidRPr="00807837" w:rsidTr="009A6FA5">
        <w:tc>
          <w:tcPr>
            <w:tcW w:w="4678"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Underspending</w:t>
            </w:r>
          </w:p>
        </w:tc>
        <w:tc>
          <w:tcPr>
            <w:tcW w:w="4394"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R104 394  million (10.2%)</w:t>
            </w:r>
          </w:p>
        </w:tc>
      </w:tr>
    </w:tbl>
    <w:p w:rsidR="00356445" w:rsidRPr="00807837" w:rsidRDefault="00356445" w:rsidP="00807837">
      <w:pPr>
        <w:spacing w:after="0" w:line="240" w:lineRule="auto"/>
        <w:contextualSpacing/>
        <w:rPr>
          <w:rFonts w:ascii="Arial" w:hAnsi="Arial" w:cs="Arial"/>
          <w:sz w:val="20"/>
          <w:szCs w:val="20"/>
        </w:rPr>
      </w:pPr>
    </w:p>
    <w:p w:rsidR="00356445" w:rsidRPr="00807837" w:rsidRDefault="00356445" w:rsidP="00807837">
      <w:pPr>
        <w:autoSpaceDE w:val="0"/>
        <w:autoSpaceDN w:val="0"/>
        <w:adjustRightInd w:val="0"/>
        <w:spacing w:after="0" w:line="240" w:lineRule="auto"/>
        <w:contextualSpacing/>
        <w:rPr>
          <w:rFonts w:ascii="Arial" w:hAnsi="Arial" w:cs="Arial"/>
          <w:sz w:val="20"/>
          <w:szCs w:val="20"/>
        </w:rPr>
      </w:pPr>
    </w:p>
    <w:p w:rsidR="00356445" w:rsidRPr="00807837" w:rsidRDefault="00356445" w:rsidP="00807837">
      <w:p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 xml:space="preserve">The report on target performance is as follows: </w:t>
      </w:r>
    </w:p>
    <w:p w:rsidR="00356445" w:rsidRPr="00807837" w:rsidRDefault="00356445" w:rsidP="00807837">
      <w:pPr>
        <w:numPr>
          <w:ilvl w:val="0"/>
          <w:numId w:val="45"/>
        </w:num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 xml:space="preserve">The Entity exceeded its targets on both international and regional tourist arrivals, as a result of South Africa’s removal from the ‘red list’ and successful regional brand and deal-driven campaigns. </w:t>
      </w:r>
    </w:p>
    <w:p w:rsidR="00356445" w:rsidRPr="00807837" w:rsidRDefault="00356445" w:rsidP="00807837">
      <w:pPr>
        <w:autoSpaceDE w:val="0"/>
        <w:autoSpaceDN w:val="0"/>
        <w:adjustRightInd w:val="0"/>
        <w:spacing w:after="0" w:line="240" w:lineRule="auto"/>
        <w:ind w:left="360"/>
        <w:contextualSpacing/>
        <w:rPr>
          <w:rFonts w:ascii="Arial" w:hAnsi="Arial" w:cs="Arial"/>
          <w:sz w:val="20"/>
          <w:szCs w:val="20"/>
        </w:rPr>
      </w:pPr>
    </w:p>
    <w:p w:rsidR="00356445" w:rsidRPr="00807837" w:rsidRDefault="00356445" w:rsidP="00807837">
      <w:pPr>
        <w:numPr>
          <w:ilvl w:val="0"/>
          <w:numId w:val="45"/>
        </w:num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The target on increasing dom</w:t>
      </w:r>
      <w:r w:rsidR="002043BB" w:rsidRPr="00807837">
        <w:rPr>
          <w:rFonts w:ascii="Arial" w:hAnsi="Arial" w:cs="Arial"/>
          <w:sz w:val="20"/>
          <w:szCs w:val="20"/>
        </w:rPr>
        <w:t>estic travel was exceeded by 49 per cent</w:t>
      </w:r>
      <w:r w:rsidRPr="00807837">
        <w:rPr>
          <w:rFonts w:ascii="Arial" w:hAnsi="Arial" w:cs="Arial"/>
          <w:sz w:val="20"/>
          <w:szCs w:val="20"/>
        </w:rPr>
        <w:t xml:space="preserve"> (4.6 million holiday trips), with spend doubling at R25.8 billion. </w:t>
      </w:r>
    </w:p>
    <w:p w:rsidR="00356445" w:rsidRPr="00807837" w:rsidRDefault="00356445" w:rsidP="00807837">
      <w:pPr>
        <w:autoSpaceDE w:val="0"/>
        <w:autoSpaceDN w:val="0"/>
        <w:adjustRightInd w:val="0"/>
        <w:spacing w:after="0" w:line="240" w:lineRule="auto"/>
        <w:rPr>
          <w:rFonts w:ascii="Arial" w:hAnsi="Arial" w:cs="Arial"/>
          <w:sz w:val="20"/>
          <w:szCs w:val="20"/>
        </w:rPr>
      </w:pPr>
    </w:p>
    <w:p w:rsidR="00356445" w:rsidRPr="00807837" w:rsidRDefault="00356445" w:rsidP="00807837">
      <w:pPr>
        <w:numPr>
          <w:ilvl w:val="0"/>
          <w:numId w:val="45"/>
        </w:num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 xml:space="preserve">However, the same cannot be said for domestic day trips where the target of 116.1 million was not achieved, at 82.5 million. The Entity cites lockdown, travel restrictions and limited disposable income as some of the reasons for the unmet target. </w:t>
      </w:r>
    </w:p>
    <w:p w:rsidR="00356445" w:rsidRPr="00807837" w:rsidRDefault="00356445" w:rsidP="00807837">
      <w:pPr>
        <w:autoSpaceDE w:val="0"/>
        <w:autoSpaceDN w:val="0"/>
        <w:adjustRightInd w:val="0"/>
        <w:spacing w:after="0" w:line="240" w:lineRule="auto"/>
        <w:ind w:left="360"/>
        <w:contextualSpacing/>
        <w:rPr>
          <w:rFonts w:ascii="Arial" w:hAnsi="Arial" w:cs="Arial"/>
          <w:sz w:val="20"/>
          <w:szCs w:val="20"/>
        </w:rPr>
      </w:pPr>
    </w:p>
    <w:p w:rsidR="00356445" w:rsidRPr="00807837" w:rsidRDefault="00356445" w:rsidP="00807837">
      <w:pPr>
        <w:numPr>
          <w:ilvl w:val="0"/>
          <w:numId w:val="45"/>
        </w:num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 xml:space="preserve">The target on the Brand Strength Index survey was not achieved, as the survey was not undertaken. The tender for the survey has been re-advertised and has been moved to the new financial year. </w:t>
      </w:r>
    </w:p>
    <w:p w:rsidR="00356445" w:rsidRPr="00807837" w:rsidRDefault="00356445" w:rsidP="00807837">
      <w:pPr>
        <w:autoSpaceDE w:val="0"/>
        <w:autoSpaceDN w:val="0"/>
        <w:adjustRightInd w:val="0"/>
        <w:spacing w:after="0" w:line="240" w:lineRule="auto"/>
        <w:contextualSpacing/>
        <w:rPr>
          <w:rFonts w:ascii="Arial" w:hAnsi="Arial" w:cs="Arial"/>
          <w:sz w:val="20"/>
          <w:szCs w:val="20"/>
        </w:rPr>
      </w:pPr>
    </w:p>
    <w:p w:rsidR="00356445" w:rsidRPr="00807837" w:rsidRDefault="00356445" w:rsidP="00807837">
      <w:pPr>
        <w:numPr>
          <w:ilvl w:val="0"/>
          <w:numId w:val="45"/>
        </w:num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 xml:space="preserve">The Entity was able to deliver on its target of launching domestic deal-driven campaigns for the year. The campaigns assisted in driving demand for domestic travel. Domestic tourism continues to be highlighted as a significant pillar for the recovery of the sector. </w:t>
      </w:r>
    </w:p>
    <w:p w:rsidR="00356445" w:rsidRPr="00807837" w:rsidRDefault="00356445" w:rsidP="00807837">
      <w:pPr>
        <w:autoSpaceDE w:val="0"/>
        <w:autoSpaceDN w:val="0"/>
        <w:adjustRightInd w:val="0"/>
        <w:spacing w:after="0" w:line="240" w:lineRule="auto"/>
        <w:contextualSpacing/>
        <w:rPr>
          <w:rFonts w:ascii="Arial" w:hAnsi="Arial" w:cs="Arial"/>
          <w:sz w:val="20"/>
          <w:szCs w:val="20"/>
        </w:rPr>
      </w:pPr>
    </w:p>
    <w:p w:rsidR="00356445" w:rsidRPr="00807837" w:rsidRDefault="00356445" w:rsidP="00807837">
      <w:pPr>
        <w:numPr>
          <w:ilvl w:val="0"/>
          <w:numId w:val="45"/>
        </w:num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 xml:space="preserve">Another target achieved includes tourism activation at the World Expo 2020 in Dubai. According to the Entity, more than 51 000 people visited the South African Pavilion at the Expo. </w:t>
      </w:r>
    </w:p>
    <w:p w:rsidR="00356445" w:rsidRPr="00807837" w:rsidRDefault="00356445" w:rsidP="00807837">
      <w:pPr>
        <w:autoSpaceDE w:val="0"/>
        <w:autoSpaceDN w:val="0"/>
        <w:adjustRightInd w:val="0"/>
        <w:spacing w:after="0" w:line="240" w:lineRule="auto"/>
        <w:rPr>
          <w:rFonts w:ascii="Arial" w:hAnsi="Arial" w:cs="Arial"/>
          <w:sz w:val="20"/>
          <w:szCs w:val="20"/>
        </w:rPr>
      </w:pPr>
      <w:r w:rsidRPr="00807837">
        <w:rPr>
          <w:rFonts w:ascii="Arial" w:hAnsi="Arial" w:cs="Arial"/>
          <w:sz w:val="20"/>
          <w:szCs w:val="20"/>
        </w:rPr>
        <w:t xml:space="preserve"> </w:t>
      </w:r>
    </w:p>
    <w:p w:rsidR="00356445" w:rsidRPr="00807837" w:rsidRDefault="00356445" w:rsidP="00807837">
      <w:pPr>
        <w:pStyle w:val="ListParagraph"/>
        <w:keepNext/>
        <w:keepLines/>
        <w:numPr>
          <w:ilvl w:val="3"/>
          <w:numId w:val="52"/>
        </w:numPr>
        <w:spacing w:after="0" w:line="240" w:lineRule="auto"/>
        <w:ind w:left="851" w:hanging="851"/>
        <w:outlineLvl w:val="1"/>
        <w:rPr>
          <w:rFonts w:ascii="Arial" w:eastAsiaTheme="majorEastAsia" w:hAnsi="Arial" w:cs="Arial"/>
          <w:sz w:val="20"/>
          <w:szCs w:val="20"/>
        </w:rPr>
      </w:pPr>
      <w:bookmarkStart w:id="8" w:name="_Toc116745269"/>
      <w:r w:rsidRPr="00807837">
        <w:rPr>
          <w:rFonts w:ascii="Arial" w:eastAsiaTheme="majorEastAsia" w:hAnsi="Arial" w:cs="Arial"/>
          <w:sz w:val="20"/>
          <w:szCs w:val="20"/>
        </w:rPr>
        <w:t>Programme 4: Business Events</w:t>
      </w:r>
      <w:bookmarkEnd w:id="8"/>
      <w:r w:rsidRPr="00807837">
        <w:rPr>
          <w:rFonts w:ascii="Arial" w:eastAsiaTheme="majorEastAsia" w:hAnsi="Arial" w:cs="Arial"/>
          <w:sz w:val="20"/>
          <w:szCs w:val="20"/>
        </w:rPr>
        <w:t xml:space="preserve"> </w:t>
      </w:r>
    </w:p>
    <w:p w:rsidR="00356445" w:rsidRPr="00807837" w:rsidRDefault="00356445" w:rsidP="00807837">
      <w:pPr>
        <w:tabs>
          <w:tab w:val="left" w:pos="360"/>
        </w:tabs>
        <w:spacing w:after="0" w:line="240" w:lineRule="auto"/>
        <w:contextualSpacing/>
        <w:rPr>
          <w:rFonts w:ascii="Arial" w:hAnsi="Arial" w:cs="Arial"/>
          <w:sz w:val="20"/>
          <w:szCs w:val="20"/>
        </w:rPr>
      </w:pPr>
    </w:p>
    <w:p w:rsidR="00356445" w:rsidRPr="00807837" w:rsidRDefault="00356445" w:rsidP="00807837">
      <w:pPr>
        <w:tabs>
          <w:tab w:val="left" w:pos="360"/>
        </w:tabs>
        <w:spacing w:after="0" w:line="240" w:lineRule="auto"/>
        <w:contextualSpacing/>
        <w:rPr>
          <w:rFonts w:ascii="Arial" w:hAnsi="Arial" w:cs="Arial"/>
          <w:sz w:val="20"/>
          <w:szCs w:val="20"/>
        </w:rPr>
      </w:pPr>
      <w:r w:rsidRPr="00807837">
        <w:rPr>
          <w:rFonts w:ascii="Arial" w:hAnsi="Arial" w:cs="Arial"/>
          <w:sz w:val="20"/>
          <w:szCs w:val="20"/>
        </w:rPr>
        <w:t>The purpose of this programme is to grow South Africa’s business events industry. The programme is also aimed creating inclusive market access and transaction platforms for the country’s tourism businesses and their products.</w:t>
      </w:r>
    </w:p>
    <w:p w:rsidR="00356445" w:rsidRPr="00807837" w:rsidRDefault="00356445" w:rsidP="00807837">
      <w:pPr>
        <w:tabs>
          <w:tab w:val="left" w:pos="360"/>
        </w:tabs>
        <w:spacing w:after="0" w:line="240" w:lineRule="auto"/>
        <w:contextualSpacing/>
        <w:rPr>
          <w:rFonts w:ascii="Arial" w:hAnsi="Arial" w:cs="Arial"/>
          <w:sz w:val="20"/>
          <w:szCs w:val="20"/>
        </w:rPr>
      </w:pPr>
    </w:p>
    <w:p w:rsidR="00356445" w:rsidRPr="00807837" w:rsidRDefault="00B054BF" w:rsidP="00807837">
      <w:pPr>
        <w:autoSpaceDE w:val="0"/>
        <w:autoSpaceDN w:val="0"/>
        <w:adjustRightInd w:val="0"/>
        <w:spacing w:after="0" w:line="240" w:lineRule="auto"/>
        <w:contextualSpacing/>
        <w:rPr>
          <w:rFonts w:ascii="Arial" w:hAnsi="Arial" w:cs="Arial"/>
          <w:b/>
          <w:sz w:val="20"/>
          <w:szCs w:val="20"/>
          <w:lang w:eastAsia="en-ZA"/>
        </w:rPr>
      </w:pPr>
      <w:r w:rsidRPr="00807837">
        <w:rPr>
          <w:rFonts w:ascii="Arial" w:hAnsi="Arial" w:cs="Arial"/>
          <w:b/>
          <w:sz w:val="20"/>
          <w:szCs w:val="20"/>
        </w:rPr>
        <w:t xml:space="preserve">Table 14: </w:t>
      </w:r>
      <w:r w:rsidR="00356445" w:rsidRPr="00807837">
        <w:rPr>
          <w:rFonts w:ascii="Arial" w:hAnsi="Arial" w:cs="Arial"/>
          <w:b/>
          <w:sz w:val="20"/>
          <w:szCs w:val="20"/>
        </w:rPr>
        <w:t>Programme 4</w:t>
      </w:r>
      <w:r w:rsidRPr="00807837">
        <w:rPr>
          <w:rFonts w:ascii="Arial" w:hAnsi="Arial" w:cs="Arial"/>
          <w:b/>
          <w:sz w:val="20"/>
          <w:szCs w:val="20"/>
        </w:rPr>
        <w:t xml:space="preserve"> - </w:t>
      </w:r>
      <w:r w:rsidR="00356445" w:rsidRPr="00807837">
        <w:rPr>
          <w:rFonts w:ascii="Arial" w:hAnsi="Arial" w:cs="Arial"/>
          <w:b/>
          <w:sz w:val="20"/>
          <w:szCs w:val="20"/>
        </w:rPr>
        <w:t>Business Events</w:t>
      </w:r>
    </w:p>
    <w:tbl>
      <w:tblPr>
        <w:tblStyle w:val="TableGrid3"/>
        <w:tblW w:w="9498" w:type="dxa"/>
        <w:tblInd w:w="-5" w:type="dxa"/>
        <w:tblLook w:val="04A0"/>
      </w:tblPr>
      <w:tblGrid>
        <w:gridCol w:w="5103"/>
        <w:gridCol w:w="4395"/>
      </w:tblGrid>
      <w:tr w:rsidR="00720739" w:rsidRPr="00807837" w:rsidTr="00720739">
        <w:tc>
          <w:tcPr>
            <w:tcW w:w="5103"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 xml:space="preserve">Total Targets set </w:t>
            </w:r>
          </w:p>
        </w:tc>
        <w:tc>
          <w:tcPr>
            <w:tcW w:w="4395"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7</w:t>
            </w:r>
          </w:p>
        </w:tc>
      </w:tr>
      <w:tr w:rsidR="00720739" w:rsidRPr="00807837" w:rsidTr="00720739">
        <w:tc>
          <w:tcPr>
            <w:tcW w:w="5103"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Targets achieved</w:t>
            </w:r>
          </w:p>
        </w:tc>
        <w:tc>
          <w:tcPr>
            <w:tcW w:w="4395"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5 (71.4%)</w:t>
            </w:r>
          </w:p>
        </w:tc>
      </w:tr>
      <w:tr w:rsidR="00720739" w:rsidRPr="00807837" w:rsidTr="00720739">
        <w:tc>
          <w:tcPr>
            <w:tcW w:w="5103"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Targets not achieved</w:t>
            </w:r>
          </w:p>
        </w:tc>
        <w:tc>
          <w:tcPr>
            <w:tcW w:w="4395"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2 (28.6%)</w:t>
            </w:r>
          </w:p>
        </w:tc>
      </w:tr>
      <w:tr w:rsidR="00720739" w:rsidRPr="00807837" w:rsidTr="00720739">
        <w:tc>
          <w:tcPr>
            <w:tcW w:w="5103"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Budget allocated</w:t>
            </w:r>
          </w:p>
        </w:tc>
        <w:tc>
          <w:tcPr>
            <w:tcW w:w="4395"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R126 500 million</w:t>
            </w:r>
          </w:p>
        </w:tc>
      </w:tr>
      <w:tr w:rsidR="00720739" w:rsidRPr="00807837" w:rsidTr="00720739">
        <w:tc>
          <w:tcPr>
            <w:tcW w:w="5103"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 xml:space="preserve">Adjusted budget </w:t>
            </w:r>
          </w:p>
        </w:tc>
        <w:tc>
          <w:tcPr>
            <w:tcW w:w="4395"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R104 166 million</w:t>
            </w:r>
          </w:p>
        </w:tc>
      </w:tr>
      <w:tr w:rsidR="00720739" w:rsidRPr="00807837" w:rsidTr="00720739">
        <w:tc>
          <w:tcPr>
            <w:tcW w:w="5103"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 xml:space="preserve">Actual budget </w:t>
            </w:r>
          </w:p>
        </w:tc>
        <w:tc>
          <w:tcPr>
            <w:tcW w:w="4395"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R106 259 million</w:t>
            </w:r>
          </w:p>
        </w:tc>
      </w:tr>
      <w:tr w:rsidR="00720739" w:rsidRPr="00807837" w:rsidTr="00720739">
        <w:tc>
          <w:tcPr>
            <w:tcW w:w="5103"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 xml:space="preserve">Budget spent </w:t>
            </w:r>
          </w:p>
        </w:tc>
        <w:tc>
          <w:tcPr>
            <w:tcW w:w="4395"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R108 085 million (101.7%)</w:t>
            </w:r>
          </w:p>
        </w:tc>
      </w:tr>
      <w:tr w:rsidR="00720739" w:rsidRPr="00807837" w:rsidTr="00720739">
        <w:tc>
          <w:tcPr>
            <w:tcW w:w="5103"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Overspending</w:t>
            </w:r>
          </w:p>
        </w:tc>
        <w:tc>
          <w:tcPr>
            <w:tcW w:w="4395"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 xml:space="preserve">R1 826 million (1.7%) </w:t>
            </w:r>
          </w:p>
        </w:tc>
      </w:tr>
    </w:tbl>
    <w:p w:rsidR="00356445" w:rsidRPr="00807837" w:rsidRDefault="00356445" w:rsidP="00807837">
      <w:pPr>
        <w:spacing w:after="0" w:line="240" w:lineRule="auto"/>
        <w:contextualSpacing/>
        <w:rPr>
          <w:rFonts w:ascii="Arial" w:hAnsi="Arial" w:cs="Arial"/>
          <w:sz w:val="20"/>
          <w:szCs w:val="20"/>
        </w:rPr>
      </w:pPr>
    </w:p>
    <w:p w:rsidR="00356445" w:rsidRPr="00807837" w:rsidRDefault="002043BB" w:rsidP="00807837">
      <w:pPr>
        <w:spacing w:after="0" w:line="240" w:lineRule="auto"/>
        <w:contextualSpacing/>
        <w:rPr>
          <w:rFonts w:ascii="Arial" w:hAnsi="Arial" w:cs="Arial"/>
          <w:sz w:val="20"/>
          <w:szCs w:val="20"/>
        </w:rPr>
      </w:pPr>
      <w:r w:rsidRPr="00807837">
        <w:rPr>
          <w:rFonts w:ascii="Arial" w:hAnsi="Arial" w:cs="Arial"/>
          <w:sz w:val="20"/>
          <w:szCs w:val="20"/>
        </w:rPr>
        <w:t>T</w:t>
      </w:r>
      <w:r w:rsidR="00356445" w:rsidRPr="00807837">
        <w:rPr>
          <w:rFonts w:ascii="Arial" w:hAnsi="Arial" w:cs="Arial"/>
          <w:sz w:val="20"/>
          <w:szCs w:val="20"/>
        </w:rPr>
        <w:t>he Entity achieved 5 of the 7 targets set for the financial year and yet overspent on its budget</w:t>
      </w:r>
      <w:r w:rsidRPr="00807837">
        <w:rPr>
          <w:rFonts w:ascii="Arial" w:hAnsi="Arial" w:cs="Arial"/>
          <w:sz w:val="20"/>
          <w:szCs w:val="20"/>
        </w:rPr>
        <w:t xml:space="preserve"> by 1.7 per cent</w:t>
      </w:r>
      <w:r w:rsidR="00356445" w:rsidRPr="00807837">
        <w:rPr>
          <w:rFonts w:ascii="Arial" w:hAnsi="Arial" w:cs="Arial"/>
          <w:sz w:val="20"/>
          <w:szCs w:val="20"/>
        </w:rPr>
        <w:t>.</w:t>
      </w:r>
      <w:r w:rsidRPr="00807837">
        <w:rPr>
          <w:rFonts w:ascii="Arial" w:hAnsi="Arial" w:cs="Arial"/>
          <w:sz w:val="20"/>
          <w:szCs w:val="20"/>
        </w:rPr>
        <w:t xml:space="preserve"> The Committee was concerned about overspending in this Programme.</w:t>
      </w:r>
      <w:r w:rsidR="00356445" w:rsidRPr="00807837">
        <w:rPr>
          <w:rFonts w:ascii="Arial" w:hAnsi="Arial" w:cs="Arial"/>
          <w:sz w:val="20"/>
          <w:szCs w:val="20"/>
        </w:rPr>
        <w:t xml:space="preserve">  </w:t>
      </w:r>
    </w:p>
    <w:p w:rsidR="00356445" w:rsidRPr="00807837" w:rsidRDefault="00356445" w:rsidP="00807837">
      <w:pPr>
        <w:autoSpaceDE w:val="0"/>
        <w:autoSpaceDN w:val="0"/>
        <w:adjustRightInd w:val="0"/>
        <w:spacing w:after="0" w:line="240" w:lineRule="auto"/>
        <w:rPr>
          <w:rFonts w:ascii="Arial" w:hAnsi="Arial" w:cs="Arial"/>
          <w:sz w:val="20"/>
          <w:szCs w:val="20"/>
        </w:rPr>
      </w:pPr>
      <w:r w:rsidRPr="00807837">
        <w:rPr>
          <w:rFonts w:ascii="Arial" w:hAnsi="Arial" w:cs="Arial"/>
          <w:sz w:val="20"/>
          <w:szCs w:val="20"/>
        </w:rPr>
        <w:t>The business events industry was amongst the most severely impacted sectors by the COVID-19 pandemic. However, the 2021/22 financial year saw South Africa’s business events industry host regular events, for the first time since the start of the pandemic. During the year, South African Tourism submitted 81 bids for international business events to be hosted in the country between 2022 and 2027. The 81 bid submissions have a combined estimated economic impact of R1.217 billion and the potential to attract 41 322 international and regional delegates to the country. Thus far, South Africa has secured 31 of the 81 bids submitted for the 2021/22 financial year. These secured business events will contribute R380 million to South Africa’s economy between 2022 and 2027 and attract 13 170 international and regional delegates.</w:t>
      </w:r>
    </w:p>
    <w:p w:rsidR="00356445" w:rsidRPr="00807837" w:rsidRDefault="00356445" w:rsidP="00807837">
      <w:pPr>
        <w:autoSpaceDE w:val="0"/>
        <w:autoSpaceDN w:val="0"/>
        <w:adjustRightInd w:val="0"/>
        <w:spacing w:after="0" w:line="240" w:lineRule="auto"/>
        <w:contextualSpacing/>
        <w:rPr>
          <w:rFonts w:ascii="Arial" w:hAnsi="Arial" w:cs="Arial"/>
          <w:sz w:val="20"/>
          <w:szCs w:val="20"/>
        </w:rPr>
      </w:pPr>
    </w:p>
    <w:p w:rsidR="00356445" w:rsidRPr="00807837" w:rsidRDefault="00356445" w:rsidP="00807837">
      <w:p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In terms of target performance, t</w:t>
      </w:r>
      <w:r w:rsidR="002043BB" w:rsidRPr="00807837">
        <w:rPr>
          <w:rFonts w:ascii="Arial" w:hAnsi="Arial" w:cs="Arial"/>
          <w:sz w:val="20"/>
          <w:szCs w:val="20"/>
        </w:rPr>
        <w:t>he Entity reported</w:t>
      </w:r>
      <w:r w:rsidRPr="00807837">
        <w:rPr>
          <w:rFonts w:ascii="Arial" w:hAnsi="Arial" w:cs="Arial"/>
          <w:sz w:val="20"/>
          <w:szCs w:val="20"/>
        </w:rPr>
        <w:t xml:space="preserve"> that:</w:t>
      </w:r>
    </w:p>
    <w:p w:rsidR="00356445" w:rsidRPr="00807837" w:rsidRDefault="00356445" w:rsidP="00807837">
      <w:pPr>
        <w:numPr>
          <w:ilvl w:val="0"/>
          <w:numId w:val="40"/>
        </w:num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 xml:space="preserve">The target on the Global Business Events campaign was achieved. The campaign is targeted at increasing tourism’s contribution to inclusive economic growth by positioning South Africa as a business events destination. This also includes the domestic business events campaign, which is targeted at positioning South Africa as a business events destination for the domestic market. </w:t>
      </w:r>
    </w:p>
    <w:p w:rsidR="00356445" w:rsidRPr="00807837" w:rsidRDefault="00356445" w:rsidP="00807837">
      <w:pPr>
        <w:autoSpaceDE w:val="0"/>
        <w:autoSpaceDN w:val="0"/>
        <w:adjustRightInd w:val="0"/>
        <w:spacing w:after="0" w:line="240" w:lineRule="auto"/>
        <w:ind w:left="360"/>
        <w:contextualSpacing/>
        <w:rPr>
          <w:rFonts w:ascii="Arial" w:hAnsi="Arial" w:cs="Arial"/>
          <w:sz w:val="20"/>
          <w:szCs w:val="20"/>
        </w:rPr>
      </w:pPr>
    </w:p>
    <w:p w:rsidR="00356445" w:rsidRPr="00807837" w:rsidRDefault="00356445" w:rsidP="00807837">
      <w:pPr>
        <w:numPr>
          <w:ilvl w:val="0"/>
          <w:numId w:val="40"/>
        </w:num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 xml:space="preserve">Eighty-one bids were successfully submitted, exceeding the 77 bid submissions targeted for the year. The achievement of this target means favourable economic returns for the local destinations that will succeed as hosts. </w:t>
      </w:r>
    </w:p>
    <w:p w:rsidR="00356445" w:rsidRPr="00807837" w:rsidRDefault="00356445" w:rsidP="00807837">
      <w:pPr>
        <w:autoSpaceDE w:val="0"/>
        <w:autoSpaceDN w:val="0"/>
        <w:adjustRightInd w:val="0"/>
        <w:spacing w:after="0" w:line="240" w:lineRule="auto"/>
        <w:contextualSpacing/>
        <w:rPr>
          <w:rFonts w:ascii="Arial" w:hAnsi="Arial" w:cs="Arial"/>
          <w:sz w:val="20"/>
          <w:szCs w:val="20"/>
        </w:rPr>
      </w:pPr>
    </w:p>
    <w:p w:rsidR="00356445" w:rsidRPr="00807837" w:rsidRDefault="00356445" w:rsidP="00807837">
      <w:pPr>
        <w:numPr>
          <w:ilvl w:val="0"/>
          <w:numId w:val="40"/>
        </w:num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The annual target aimed at hosting three business events at villages, townships and small dorpies (VTSDs), in support of promoting inclusive development, was achieved. Three events were hosted at the Gariep Dam (Free State), Phokeng (North West) and Upington (Northern Cape). The towns were selected as a result of bids submitted for hosting rights.</w:t>
      </w:r>
    </w:p>
    <w:p w:rsidR="00356445" w:rsidRPr="00807837" w:rsidRDefault="00356445" w:rsidP="00807837">
      <w:pPr>
        <w:spacing w:after="0" w:line="240" w:lineRule="auto"/>
        <w:ind w:left="720"/>
        <w:contextualSpacing/>
        <w:rPr>
          <w:rFonts w:ascii="Arial" w:hAnsi="Arial" w:cs="Arial"/>
          <w:sz w:val="20"/>
          <w:szCs w:val="20"/>
        </w:rPr>
      </w:pPr>
    </w:p>
    <w:p w:rsidR="00356445" w:rsidRPr="00807837" w:rsidRDefault="00356445" w:rsidP="00807837">
      <w:pPr>
        <w:numPr>
          <w:ilvl w:val="0"/>
          <w:numId w:val="40"/>
        </w:num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lastRenderedPageBreak/>
        <w:t>The target on hosting Africa’s Travel Indaba was not achieved. The event was not held due to COVID-19. However, the Entity hosted the Africa Travel and Tourism Summit, which was a hybrid event, later in the year during September.</w:t>
      </w:r>
    </w:p>
    <w:p w:rsidR="00356445" w:rsidRPr="00807837" w:rsidRDefault="00356445" w:rsidP="00807837">
      <w:pPr>
        <w:spacing w:after="0" w:line="240" w:lineRule="auto"/>
        <w:ind w:left="720"/>
        <w:contextualSpacing/>
        <w:rPr>
          <w:rFonts w:ascii="Arial" w:hAnsi="Arial" w:cs="Arial"/>
          <w:sz w:val="20"/>
          <w:szCs w:val="20"/>
        </w:rPr>
      </w:pPr>
    </w:p>
    <w:p w:rsidR="00356445" w:rsidRPr="00807837" w:rsidRDefault="00356445" w:rsidP="00807837">
      <w:pPr>
        <w:numPr>
          <w:ilvl w:val="0"/>
          <w:numId w:val="40"/>
        </w:num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 xml:space="preserve">The Entity was able to host Meetings Africa between 28 February and 2 March 2022, as most restrictions were lifted and the event was attended physically by delegates. The event was attended by 1 734 delegates and featured 216 exhibiting companies. </w:t>
      </w:r>
    </w:p>
    <w:p w:rsidR="00356445" w:rsidRPr="00807837" w:rsidRDefault="00356445" w:rsidP="00807837">
      <w:pPr>
        <w:numPr>
          <w:ilvl w:val="0"/>
          <w:numId w:val="40"/>
        </w:num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 xml:space="preserve">However, the target on the Lilizela Awards was not achieved. The event did not take place as planned due to the impact of COVID-19 on tourism businesses, which the event sought to recognise and honour. </w:t>
      </w:r>
    </w:p>
    <w:p w:rsidR="00356445" w:rsidRPr="00807837" w:rsidRDefault="00356445" w:rsidP="00807837">
      <w:pPr>
        <w:autoSpaceDE w:val="0"/>
        <w:autoSpaceDN w:val="0"/>
        <w:adjustRightInd w:val="0"/>
        <w:spacing w:after="0" w:line="240" w:lineRule="auto"/>
        <w:contextualSpacing/>
        <w:rPr>
          <w:rFonts w:ascii="Arial" w:hAnsi="Arial" w:cs="Arial"/>
          <w:sz w:val="20"/>
          <w:szCs w:val="20"/>
        </w:rPr>
      </w:pPr>
    </w:p>
    <w:p w:rsidR="00356445" w:rsidRPr="00807837" w:rsidRDefault="00356445" w:rsidP="00807837">
      <w:pPr>
        <w:pStyle w:val="ListParagraph"/>
        <w:keepNext/>
        <w:keepLines/>
        <w:numPr>
          <w:ilvl w:val="3"/>
          <w:numId w:val="52"/>
        </w:numPr>
        <w:spacing w:after="0" w:line="240" w:lineRule="auto"/>
        <w:ind w:left="851" w:hanging="851"/>
        <w:outlineLvl w:val="1"/>
        <w:rPr>
          <w:rFonts w:ascii="Arial" w:eastAsiaTheme="majorEastAsia" w:hAnsi="Arial" w:cs="Arial"/>
          <w:b/>
          <w:sz w:val="20"/>
          <w:szCs w:val="20"/>
        </w:rPr>
      </w:pPr>
      <w:bookmarkStart w:id="9" w:name="_Toc116745270"/>
      <w:r w:rsidRPr="00807837">
        <w:rPr>
          <w:rFonts w:ascii="Arial" w:eastAsiaTheme="majorEastAsia" w:hAnsi="Arial" w:cs="Arial"/>
          <w:b/>
          <w:sz w:val="20"/>
          <w:szCs w:val="20"/>
        </w:rPr>
        <w:t>Programme 5: Tourist Experience</w:t>
      </w:r>
      <w:bookmarkEnd w:id="9"/>
    </w:p>
    <w:p w:rsidR="00356445" w:rsidRPr="00807837" w:rsidRDefault="00356445" w:rsidP="00807837">
      <w:pPr>
        <w:keepNext/>
        <w:keepLines/>
        <w:spacing w:after="0" w:line="240" w:lineRule="auto"/>
        <w:contextualSpacing/>
        <w:outlineLvl w:val="1"/>
        <w:rPr>
          <w:rFonts w:ascii="Arial" w:eastAsiaTheme="majorEastAsia" w:hAnsi="Arial" w:cs="Arial"/>
          <w:b/>
          <w:sz w:val="20"/>
          <w:szCs w:val="20"/>
        </w:rPr>
      </w:pPr>
      <w:r w:rsidRPr="00807837">
        <w:rPr>
          <w:rFonts w:ascii="Arial" w:eastAsiaTheme="majorEastAsia" w:hAnsi="Arial" w:cs="Arial"/>
          <w:b/>
          <w:sz w:val="20"/>
          <w:szCs w:val="20"/>
        </w:rPr>
        <w:t xml:space="preserve">  </w:t>
      </w:r>
    </w:p>
    <w:p w:rsidR="00B054BF" w:rsidRPr="00807837" w:rsidRDefault="00356445" w:rsidP="00807837">
      <w:pPr>
        <w:spacing w:after="0" w:line="240" w:lineRule="auto"/>
        <w:contextualSpacing/>
        <w:rPr>
          <w:rFonts w:ascii="Arial" w:hAnsi="Arial" w:cs="Arial"/>
          <w:sz w:val="20"/>
          <w:szCs w:val="20"/>
        </w:rPr>
      </w:pPr>
      <w:r w:rsidRPr="00807837">
        <w:rPr>
          <w:rFonts w:ascii="Arial" w:hAnsi="Arial" w:cs="Arial"/>
          <w:sz w:val="20"/>
          <w:szCs w:val="20"/>
        </w:rPr>
        <w:t xml:space="preserve">The purpose of this programme is to ensure the delivery of quality-assured tourist experiences, which are diverse, unique and enriched. </w:t>
      </w:r>
    </w:p>
    <w:p w:rsidR="00356445" w:rsidRPr="00807837" w:rsidRDefault="00356445" w:rsidP="00807837">
      <w:pPr>
        <w:tabs>
          <w:tab w:val="left" w:pos="360"/>
        </w:tabs>
        <w:spacing w:after="0" w:line="240" w:lineRule="auto"/>
        <w:contextualSpacing/>
        <w:rPr>
          <w:rFonts w:ascii="Arial" w:hAnsi="Arial" w:cs="Arial"/>
          <w:sz w:val="20"/>
          <w:szCs w:val="20"/>
        </w:rPr>
      </w:pPr>
    </w:p>
    <w:p w:rsidR="00356445" w:rsidRPr="00807837" w:rsidRDefault="00B054BF" w:rsidP="00807837">
      <w:pPr>
        <w:autoSpaceDE w:val="0"/>
        <w:autoSpaceDN w:val="0"/>
        <w:adjustRightInd w:val="0"/>
        <w:spacing w:after="0" w:line="240" w:lineRule="auto"/>
        <w:contextualSpacing/>
        <w:rPr>
          <w:rFonts w:ascii="Arial" w:hAnsi="Arial" w:cs="Arial"/>
          <w:b/>
          <w:sz w:val="20"/>
          <w:szCs w:val="20"/>
          <w:lang w:eastAsia="en-ZA"/>
        </w:rPr>
      </w:pPr>
      <w:r w:rsidRPr="00807837">
        <w:rPr>
          <w:rFonts w:ascii="Arial" w:hAnsi="Arial" w:cs="Arial"/>
          <w:b/>
          <w:sz w:val="20"/>
          <w:szCs w:val="20"/>
        </w:rPr>
        <w:t xml:space="preserve">Table 15: </w:t>
      </w:r>
      <w:r w:rsidR="00356445" w:rsidRPr="00807837">
        <w:rPr>
          <w:rFonts w:ascii="Arial" w:hAnsi="Arial" w:cs="Arial"/>
          <w:b/>
          <w:sz w:val="20"/>
          <w:szCs w:val="20"/>
        </w:rPr>
        <w:t>Programme 5</w:t>
      </w:r>
      <w:r w:rsidRPr="00807837">
        <w:rPr>
          <w:rFonts w:ascii="Arial" w:hAnsi="Arial" w:cs="Arial"/>
          <w:b/>
          <w:sz w:val="20"/>
          <w:szCs w:val="20"/>
        </w:rPr>
        <w:t xml:space="preserve"> - </w:t>
      </w:r>
      <w:r w:rsidR="00356445" w:rsidRPr="00807837">
        <w:rPr>
          <w:rFonts w:ascii="Arial" w:hAnsi="Arial" w:cs="Arial"/>
          <w:b/>
          <w:sz w:val="20"/>
          <w:szCs w:val="20"/>
        </w:rPr>
        <w:t xml:space="preserve">Tourist Experience </w:t>
      </w:r>
    </w:p>
    <w:tbl>
      <w:tblPr>
        <w:tblStyle w:val="TableGrid3"/>
        <w:tblW w:w="9498" w:type="dxa"/>
        <w:tblInd w:w="-5" w:type="dxa"/>
        <w:tblLook w:val="04A0"/>
      </w:tblPr>
      <w:tblGrid>
        <w:gridCol w:w="5103"/>
        <w:gridCol w:w="4395"/>
      </w:tblGrid>
      <w:tr w:rsidR="002043BB" w:rsidRPr="00807837" w:rsidTr="00E33DD2">
        <w:tc>
          <w:tcPr>
            <w:tcW w:w="5103"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 xml:space="preserve">Total Targets set </w:t>
            </w:r>
          </w:p>
        </w:tc>
        <w:tc>
          <w:tcPr>
            <w:tcW w:w="4395"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10</w:t>
            </w:r>
          </w:p>
        </w:tc>
      </w:tr>
      <w:tr w:rsidR="002043BB" w:rsidRPr="00807837" w:rsidTr="00E33DD2">
        <w:tc>
          <w:tcPr>
            <w:tcW w:w="5103"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Targets achieved</w:t>
            </w:r>
          </w:p>
        </w:tc>
        <w:tc>
          <w:tcPr>
            <w:tcW w:w="4395"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9 (90%)</w:t>
            </w:r>
          </w:p>
        </w:tc>
      </w:tr>
      <w:tr w:rsidR="002043BB" w:rsidRPr="00807837" w:rsidTr="00E33DD2">
        <w:tc>
          <w:tcPr>
            <w:tcW w:w="5103"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Targets not achieved</w:t>
            </w:r>
          </w:p>
        </w:tc>
        <w:tc>
          <w:tcPr>
            <w:tcW w:w="4395"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1 (10%)</w:t>
            </w:r>
          </w:p>
        </w:tc>
      </w:tr>
      <w:tr w:rsidR="002043BB" w:rsidRPr="00807837" w:rsidTr="00E33DD2">
        <w:tc>
          <w:tcPr>
            <w:tcW w:w="5103"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Budget allocated</w:t>
            </w:r>
          </w:p>
        </w:tc>
        <w:tc>
          <w:tcPr>
            <w:tcW w:w="4395"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 xml:space="preserve">R65 million </w:t>
            </w:r>
          </w:p>
        </w:tc>
      </w:tr>
      <w:tr w:rsidR="002043BB" w:rsidRPr="00807837" w:rsidTr="00E33DD2">
        <w:tc>
          <w:tcPr>
            <w:tcW w:w="5103"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 xml:space="preserve">Adjusted budget </w:t>
            </w:r>
          </w:p>
        </w:tc>
        <w:tc>
          <w:tcPr>
            <w:tcW w:w="4395"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 xml:space="preserve">R49 147 million </w:t>
            </w:r>
          </w:p>
        </w:tc>
      </w:tr>
      <w:tr w:rsidR="002043BB" w:rsidRPr="00807837" w:rsidTr="00E33DD2">
        <w:tc>
          <w:tcPr>
            <w:tcW w:w="5103"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Budget spent</w:t>
            </w:r>
          </w:p>
        </w:tc>
        <w:tc>
          <w:tcPr>
            <w:tcW w:w="4395"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R39 658 million (80.7%)</w:t>
            </w:r>
          </w:p>
        </w:tc>
      </w:tr>
      <w:tr w:rsidR="002043BB" w:rsidRPr="00807837" w:rsidTr="00E33DD2">
        <w:tc>
          <w:tcPr>
            <w:tcW w:w="5103" w:type="dxa"/>
            <w:shd w:val="clear" w:color="auto" w:fill="auto"/>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Underspending</w:t>
            </w:r>
          </w:p>
        </w:tc>
        <w:tc>
          <w:tcPr>
            <w:tcW w:w="4395" w:type="dxa"/>
          </w:tcPr>
          <w:p w:rsidR="00356445" w:rsidRPr="00807837" w:rsidRDefault="00356445" w:rsidP="00807837">
            <w:pPr>
              <w:contextualSpacing/>
              <w:rPr>
                <w:rFonts w:ascii="Arial" w:hAnsi="Arial" w:cs="Arial"/>
                <w:sz w:val="20"/>
                <w:szCs w:val="20"/>
              </w:rPr>
            </w:pPr>
            <w:r w:rsidRPr="00807837">
              <w:rPr>
                <w:rFonts w:ascii="Arial" w:hAnsi="Arial" w:cs="Arial"/>
                <w:sz w:val="20"/>
                <w:szCs w:val="20"/>
              </w:rPr>
              <w:t>R9 489 million (19.3%)</w:t>
            </w:r>
          </w:p>
        </w:tc>
      </w:tr>
    </w:tbl>
    <w:p w:rsidR="00356445" w:rsidRPr="00807837" w:rsidRDefault="00356445" w:rsidP="00807837">
      <w:p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 xml:space="preserve">Programme performance entailed the following: </w:t>
      </w:r>
    </w:p>
    <w:p w:rsidR="004659D9" w:rsidRPr="00807837" w:rsidRDefault="004659D9" w:rsidP="00807837">
      <w:pPr>
        <w:autoSpaceDE w:val="0"/>
        <w:autoSpaceDN w:val="0"/>
        <w:adjustRightInd w:val="0"/>
        <w:spacing w:after="0" w:line="240" w:lineRule="auto"/>
        <w:contextualSpacing/>
        <w:rPr>
          <w:rFonts w:ascii="Arial" w:hAnsi="Arial" w:cs="Arial"/>
          <w:sz w:val="20"/>
          <w:szCs w:val="20"/>
        </w:rPr>
      </w:pPr>
    </w:p>
    <w:p w:rsidR="004659D9" w:rsidRPr="00807837" w:rsidRDefault="004659D9" w:rsidP="00807837">
      <w:p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 xml:space="preserve">Table 15 indicates that the Entity achieved 9 (90%) of its 10 targets by the end of the financial year and spent 80.7 per cent of its budget. Spending </w:t>
      </w:r>
      <w:r w:rsidR="003A0158" w:rsidRPr="00807837">
        <w:rPr>
          <w:rFonts w:ascii="Arial" w:hAnsi="Arial" w:cs="Arial"/>
          <w:sz w:val="20"/>
          <w:szCs w:val="20"/>
        </w:rPr>
        <w:t xml:space="preserve">was </w:t>
      </w:r>
      <w:r w:rsidRPr="00807837">
        <w:rPr>
          <w:rFonts w:ascii="Arial" w:hAnsi="Arial" w:cs="Arial"/>
          <w:sz w:val="20"/>
          <w:szCs w:val="20"/>
        </w:rPr>
        <w:t>thus more or less aligned with performance.</w:t>
      </w:r>
    </w:p>
    <w:p w:rsidR="00B054BF" w:rsidRPr="00807837" w:rsidRDefault="00B054BF" w:rsidP="00807837">
      <w:pPr>
        <w:autoSpaceDE w:val="0"/>
        <w:autoSpaceDN w:val="0"/>
        <w:adjustRightInd w:val="0"/>
        <w:spacing w:after="0" w:line="240" w:lineRule="auto"/>
        <w:contextualSpacing/>
        <w:rPr>
          <w:rFonts w:ascii="Arial" w:hAnsi="Arial" w:cs="Arial"/>
          <w:sz w:val="20"/>
          <w:szCs w:val="20"/>
        </w:rPr>
      </w:pPr>
    </w:p>
    <w:p w:rsidR="00356445" w:rsidRPr="00807837" w:rsidRDefault="00356445" w:rsidP="00807837">
      <w:pPr>
        <w:numPr>
          <w:ilvl w:val="0"/>
          <w:numId w:val="46"/>
        </w:num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 xml:space="preserve">The target on the Net Promoter Score (NPS) was achieved. The NPS </w:t>
      </w:r>
      <w:r w:rsidRPr="00807837">
        <w:rPr>
          <w:rFonts w:ascii="Arial" w:hAnsi="Arial" w:cs="Arial"/>
          <w:noProof/>
          <w:sz w:val="20"/>
          <w:szCs w:val="20"/>
          <w:lang w:eastAsia="en-ZA"/>
        </w:rPr>
        <w:t>measures a consumer’s willingness to recommend South Africa to others. It is used to determine customer satisfaction and is also a proxy for brand loyalty. This information is sourced through South African Tourism Departure Surveys.</w:t>
      </w:r>
    </w:p>
    <w:p w:rsidR="00356445" w:rsidRPr="00807837" w:rsidRDefault="00356445" w:rsidP="00807837">
      <w:pPr>
        <w:autoSpaceDE w:val="0"/>
        <w:autoSpaceDN w:val="0"/>
        <w:adjustRightInd w:val="0"/>
        <w:spacing w:after="0" w:line="240" w:lineRule="auto"/>
        <w:ind w:left="360"/>
        <w:contextualSpacing/>
        <w:rPr>
          <w:rFonts w:ascii="Arial" w:hAnsi="Arial" w:cs="Arial"/>
          <w:sz w:val="20"/>
          <w:szCs w:val="20"/>
        </w:rPr>
      </w:pPr>
    </w:p>
    <w:p w:rsidR="00356445" w:rsidRPr="00807837" w:rsidRDefault="00356445" w:rsidP="00807837">
      <w:pPr>
        <w:numPr>
          <w:ilvl w:val="0"/>
          <w:numId w:val="46"/>
        </w:num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 xml:space="preserve">The annual target on the grading of tourism establishments was not achieved for the year. Only 3 605 establishments were graded instead of the planned 4 707. This came as a result of memberships that were not renewed. The Entity is encouraged to work with the Department on a promotional drive focused on the benefits of quality assurance to stimulate previous members’ interest and recruit new businesses to grade their establishments. </w:t>
      </w:r>
    </w:p>
    <w:p w:rsidR="00356445" w:rsidRPr="00807837" w:rsidRDefault="00356445" w:rsidP="00807837">
      <w:pPr>
        <w:autoSpaceDE w:val="0"/>
        <w:autoSpaceDN w:val="0"/>
        <w:adjustRightInd w:val="0"/>
        <w:spacing w:after="0" w:line="240" w:lineRule="auto"/>
        <w:contextualSpacing/>
        <w:rPr>
          <w:rFonts w:ascii="Arial" w:hAnsi="Arial" w:cs="Arial"/>
          <w:sz w:val="20"/>
          <w:szCs w:val="20"/>
        </w:rPr>
      </w:pPr>
    </w:p>
    <w:p w:rsidR="00356445" w:rsidRPr="00807837" w:rsidRDefault="00356445" w:rsidP="00807837">
      <w:pPr>
        <w:numPr>
          <w:ilvl w:val="0"/>
          <w:numId w:val="46"/>
        </w:numPr>
        <w:autoSpaceDE w:val="0"/>
        <w:autoSpaceDN w:val="0"/>
        <w:adjustRightInd w:val="0"/>
        <w:spacing w:after="0" w:line="240" w:lineRule="auto"/>
        <w:contextualSpacing/>
        <w:rPr>
          <w:rFonts w:ascii="Arial" w:hAnsi="Arial" w:cs="Arial"/>
          <w:sz w:val="20"/>
          <w:szCs w:val="20"/>
        </w:rPr>
      </w:pPr>
      <w:r w:rsidRPr="00807837">
        <w:rPr>
          <w:rFonts w:ascii="Arial" w:hAnsi="Arial" w:cs="Arial"/>
          <w:sz w:val="20"/>
          <w:szCs w:val="20"/>
        </w:rPr>
        <w:t xml:space="preserve">The annual target on the Enterprise and Supplier Development programme was achieved. The programme is aimed at ensuring that SMMEs attend tradeshow platforms in which SAT participates. The lifting of travel restrictions saw the exhibition sector open its doors once again, in turn offering opportunity for SMMEs to showcase their products. </w:t>
      </w:r>
    </w:p>
    <w:p w:rsidR="00356445" w:rsidRPr="00807837" w:rsidRDefault="00356445" w:rsidP="00807837">
      <w:pPr>
        <w:autoSpaceDE w:val="0"/>
        <w:autoSpaceDN w:val="0"/>
        <w:adjustRightInd w:val="0"/>
        <w:spacing w:after="0" w:line="240" w:lineRule="auto"/>
        <w:contextualSpacing/>
        <w:rPr>
          <w:rFonts w:ascii="Arial" w:hAnsi="Arial" w:cs="Arial"/>
          <w:sz w:val="20"/>
          <w:szCs w:val="20"/>
        </w:rPr>
      </w:pPr>
    </w:p>
    <w:p w:rsidR="00356445" w:rsidRPr="00807837" w:rsidRDefault="00356445" w:rsidP="00807837">
      <w:pPr>
        <w:numPr>
          <w:ilvl w:val="0"/>
          <w:numId w:val="46"/>
        </w:numPr>
        <w:spacing w:after="0" w:line="240" w:lineRule="auto"/>
        <w:contextualSpacing/>
        <w:rPr>
          <w:rFonts w:ascii="Arial" w:hAnsi="Arial" w:cs="Arial"/>
          <w:sz w:val="20"/>
          <w:szCs w:val="20"/>
        </w:rPr>
      </w:pPr>
      <w:r w:rsidRPr="00807837">
        <w:rPr>
          <w:rFonts w:ascii="Arial" w:hAnsi="Arial" w:cs="Arial"/>
          <w:sz w:val="20"/>
          <w:szCs w:val="20"/>
        </w:rPr>
        <w:t>The target on establishing a baseline for the Basic Quality Verification programme was completed as planned. The programme seeks to provide basic quality support for SMME accommodation establishments by recognising new entrants in the sector who are not able to be graded at the outset.</w:t>
      </w:r>
    </w:p>
    <w:p w:rsidR="00356445" w:rsidRPr="00807837" w:rsidRDefault="00356445" w:rsidP="00807837">
      <w:pPr>
        <w:spacing w:after="0" w:line="240" w:lineRule="auto"/>
        <w:ind w:left="720"/>
        <w:contextualSpacing/>
        <w:rPr>
          <w:rFonts w:ascii="Arial" w:hAnsi="Arial" w:cs="Arial"/>
          <w:sz w:val="20"/>
          <w:szCs w:val="20"/>
        </w:rPr>
      </w:pPr>
    </w:p>
    <w:p w:rsidR="00356445" w:rsidRPr="00807837" w:rsidRDefault="00356445" w:rsidP="00807837">
      <w:pPr>
        <w:numPr>
          <w:ilvl w:val="0"/>
          <w:numId w:val="46"/>
        </w:numPr>
        <w:spacing w:after="0" w:line="240" w:lineRule="auto"/>
        <w:contextualSpacing/>
        <w:rPr>
          <w:rFonts w:ascii="Arial" w:hAnsi="Arial" w:cs="Arial"/>
          <w:sz w:val="20"/>
          <w:szCs w:val="20"/>
        </w:rPr>
      </w:pPr>
      <w:r w:rsidRPr="00807837">
        <w:rPr>
          <w:rFonts w:ascii="Arial" w:hAnsi="Arial" w:cs="Arial"/>
          <w:sz w:val="20"/>
          <w:szCs w:val="20"/>
        </w:rPr>
        <w:t xml:space="preserve">The Entity achieved both targets on procuring from B-BBEE status level 1-5 businesses and women-owned, youth-owned and businesses owned by people with disabilities. The intentional effort to procure from said businesses is commended and is significant in ensuring inclusivity in the sector. </w:t>
      </w:r>
    </w:p>
    <w:p w:rsidR="00356445" w:rsidRPr="00807837" w:rsidRDefault="00356445" w:rsidP="00807837">
      <w:pPr>
        <w:spacing w:after="0" w:line="240" w:lineRule="auto"/>
        <w:rPr>
          <w:rFonts w:ascii="Arial" w:hAnsi="Arial" w:cs="Arial"/>
          <w:sz w:val="20"/>
          <w:szCs w:val="20"/>
        </w:rPr>
      </w:pPr>
    </w:p>
    <w:p w:rsidR="009300B0" w:rsidRPr="00807837" w:rsidRDefault="00B70F5F" w:rsidP="00807837">
      <w:pPr>
        <w:spacing w:after="0" w:line="240" w:lineRule="auto"/>
        <w:rPr>
          <w:rFonts w:ascii="Arial" w:hAnsi="Arial" w:cs="Arial"/>
          <w:sz w:val="20"/>
          <w:szCs w:val="20"/>
        </w:rPr>
      </w:pPr>
      <w:r w:rsidRPr="00807837">
        <w:rPr>
          <w:rFonts w:ascii="Arial" w:hAnsi="Arial" w:cs="Arial"/>
          <w:sz w:val="20"/>
          <w:szCs w:val="20"/>
        </w:rPr>
        <w:t>6.2.2.</w:t>
      </w:r>
      <w:r w:rsidR="00A37EC8" w:rsidRPr="00807837">
        <w:rPr>
          <w:rFonts w:ascii="Arial" w:hAnsi="Arial" w:cs="Arial"/>
          <w:sz w:val="20"/>
          <w:szCs w:val="20"/>
        </w:rPr>
        <w:tab/>
      </w:r>
      <w:r w:rsidR="009300B0" w:rsidRPr="00807837">
        <w:rPr>
          <w:rFonts w:ascii="Arial" w:hAnsi="Arial" w:cs="Arial"/>
          <w:sz w:val="20"/>
          <w:szCs w:val="20"/>
        </w:rPr>
        <w:t xml:space="preserve">Financial Statements for the 2020/21 financial year </w:t>
      </w:r>
    </w:p>
    <w:p w:rsidR="009300B0" w:rsidRPr="00807837" w:rsidRDefault="009300B0" w:rsidP="00807837">
      <w:pPr>
        <w:spacing w:after="0" w:line="240" w:lineRule="auto"/>
        <w:rPr>
          <w:rFonts w:ascii="Arial" w:hAnsi="Arial" w:cs="Arial"/>
          <w:sz w:val="20"/>
          <w:szCs w:val="20"/>
        </w:rPr>
      </w:pPr>
    </w:p>
    <w:p w:rsidR="00125DB0" w:rsidRPr="00807837" w:rsidRDefault="00125DB0" w:rsidP="00807837">
      <w:pPr>
        <w:spacing w:after="0" w:line="240" w:lineRule="auto"/>
        <w:rPr>
          <w:rFonts w:ascii="Arial" w:hAnsi="Arial" w:cs="Arial"/>
          <w:sz w:val="20"/>
          <w:szCs w:val="20"/>
          <w:lang w:val="en-US"/>
        </w:rPr>
      </w:pPr>
      <w:r w:rsidRPr="00807837">
        <w:rPr>
          <w:rFonts w:ascii="Arial" w:hAnsi="Arial" w:cs="Arial"/>
          <w:sz w:val="20"/>
          <w:szCs w:val="20"/>
          <w:lang w:val="en-US"/>
        </w:rPr>
        <w:lastRenderedPageBreak/>
        <w:t xml:space="preserve">South African Tourism primarily derives income from transfers made by Government as a contribution to operations, with other revenue generated through voluntary Tourism Marketing South Africa (TOMSA) levies allocated through the Tourism Business Council of South Africa (TBCSA), interest on investment, grading income, and sundry income (income from exhibitions such as INDABA and Meetings Africa). </w:t>
      </w:r>
    </w:p>
    <w:p w:rsidR="00125DB0" w:rsidRPr="00807837" w:rsidRDefault="00125DB0" w:rsidP="00807837">
      <w:pPr>
        <w:spacing w:after="0" w:line="240" w:lineRule="auto"/>
        <w:rPr>
          <w:rFonts w:ascii="Arial" w:hAnsi="Arial" w:cs="Arial"/>
          <w:sz w:val="20"/>
          <w:szCs w:val="20"/>
          <w:lang w:val="en-US"/>
        </w:rPr>
      </w:pPr>
    </w:p>
    <w:p w:rsidR="00125DB0" w:rsidRPr="00807837" w:rsidRDefault="00125DB0" w:rsidP="00807837">
      <w:pPr>
        <w:spacing w:after="0" w:line="240" w:lineRule="auto"/>
        <w:rPr>
          <w:rFonts w:ascii="Arial" w:hAnsi="Arial" w:cs="Arial"/>
          <w:b/>
          <w:sz w:val="20"/>
          <w:szCs w:val="20"/>
        </w:rPr>
      </w:pPr>
      <w:r w:rsidRPr="00807837">
        <w:rPr>
          <w:rFonts w:ascii="Arial" w:hAnsi="Arial" w:cs="Arial"/>
          <w:b/>
          <w:sz w:val="20"/>
          <w:szCs w:val="20"/>
        </w:rPr>
        <w:t>Table 1</w:t>
      </w:r>
      <w:r w:rsidR="00B054BF" w:rsidRPr="00807837">
        <w:rPr>
          <w:rFonts w:ascii="Arial" w:hAnsi="Arial" w:cs="Arial"/>
          <w:b/>
          <w:sz w:val="20"/>
          <w:szCs w:val="20"/>
        </w:rPr>
        <w:t>7</w:t>
      </w:r>
      <w:r w:rsidRPr="00807837">
        <w:rPr>
          <w:rFonts w:ascii="Arial" w:hAnsi="Arial" w:cs="Arial"/>
          <w:b/>
          <w:sz w:val="20"/>
          <w:szCs w:val="20"/>
        </w:rPr>
        <w:t>: Budget and Expenditure Summary 2021/22</w:t>
      </w:r>
    </w:p>
    <w:tbl>
      <w:tblPr>
        <w:tblStyle w:val="TableGrid"/>
        <w:tblW w:w="9072" w:type="dxa"/>
        <w:tblInd w:w="-5" w:type="dxa"/>
        <w:tblLayout w:type="fixed"/>
        <w:tblLook w:val="04A0"/>
      </w:tblPr>
      <w:tblGrid>
        <w:gridCol w:w="1329"/>
        <w:gridCol w:w="861"/>
        <w:gridCol w:w="1177"/>
        <w:gridCol w:w="1177"/>
        <w:gridCol w:w="985"/>
        <w:gridCol w:w="1134"/>
        <w:gridCol w:w="1134"/>
        <w:gridCol w:w="1275"/>
      </w:tblGrid>
      <w:tr w:rsidR="00125DB0" w:rsidRPr="00807837" w:rsidTr="00E33DD2">
        <w:tc>
          <w:tcPr>
            <w:tcW w:w="1329" w:type="dxa"/>
            <w:shd w:val="clear" w:color="auto" w:fill="auto"/>
          </w:tcPr>
          <w:p w:rsidR="00125DB0" w:rsidRPr="00807837" w:rsidRDefault="00125DB0" w:rsidP="00807837">
            <w:pPr>
              <w:tabs>
                <w:tab w:val="left" w:pos="360"/>
              </w:tabs>
              <w:contextualSpacing/>
              <w:rPr>
                <w:rFonts w:ascii="Arial" w:hAnsi="Arial" w:cs="Arial"/>
                <w:b/>
                <w:sz w:val="20"/>
                <w:szCs w:val="20"/>
              </w:rPr>
            </w:pPr>
          </w:p>
        </w:tc>
        <w:tc>
          <w:tcPr>
            <w:tcW w:w="3215" w:type="dxa"/>
            <w:gridSpan w:val="3"/>
            <w:shd w:val="clear" w:color="auto" w:fill="auto"/>
          </w:tcPr>
          <w:p w:rsidR="00125DB0" w:rsidRPr="00807837" w:rsidRDefault="00125DB0" w:rsidP="00807837">
            <w:pPr>
              <w:tabs>
                <w:tab w:val="left" w:pos="360"/>
              </w:tabs>
              <w:contextualSpacing/>
              <w:rPr>
                <w:rFonts w:ascii="Arial" w:hAnsi="Arial" w:cs="Arial"/>
                <w:b/>
                <w:sz w:val="20"/>
                <w:szCs w:val="20"/>
              </w:rPr>
            </w:pPr>
            <w:r w:rsidRPr="00807837">
              <w:rPr>
                <w:rFonts w:ascii="Arial" w:hAnsi="Arial" w:cs="Arial"/>
                <w:b/>
                <w:sz w:val="20"/>
                <w:szCs w:val="20"/>
              </w:rPr>
              <w:t>2020/21</w:t>
            </w:r>
          </w:p>
        </w:tc>
        <w:tc>
          <w:tcPr>
            <w:tcW w:w="3253" w:type="dxa"/>
            <w:gridSpan w:val="3"/>
            <w:shd w:val="clear" w:color="auto" w:fill="auto"/>
          </w:tcPr>
          <w:p w:rsidR="00125DB0" w:rsidRPr="00807837" w:rsidRDefault="00125DB0" w:rsidP="00807837">
            <w:pPr>
              <w:tabs>
                <w:tab w:val="left" w:pos="360"/>
              </w:tabs>
              <w:contextualSpacing/>
              <w:rPr>
                <w:rFonts w:ascii="Arial" w:hAnsi="Arial" w:cs="Arial"/>
                <w:b/>
                <w:sz w:val="20"/>
                <w:szCs w:val="20"/>
              </w:rPr>
            </w:pPr>
            <w:r w:rsidRPr="00807837">
              <w:rPr>
                <w:rFonts w:ascii="Arial" w:hAnsi="Arial" w:cs="Arial"/>
                <w:b/>
                <w:sz w:val="20"/>
                <w:szCs w:val="20"/>
              </w:rPr>
              <w:t>2021/22</w:t>
            </w:r>
          </w:p>
        </w:tc>
        <w:tc>
          <w:tcPr>
            <w:tcW w:w="1275" w:type="dxa"/>
            <w:shd w:val="clear" w:color="auto" w:fill="auto"/>
          </w:tcPr>
          <w:p w:rsidR="00125DB0" w:rsidRPr="00807837" w:rsidRDefault="00125DB0" w:rsidP="00807837">
            <w:pPr>
              <w:tabs>
                <w:tab w:val="left" w:pos="360"/>
              </w:tabs>
              <w:contextualSpacing/>
              <w:rPr>
                <w:rFonts w:ascii="Arial" w:hAnsi="Arial" w:cs="Arial"/>
                <w:b/>
                <w:sz w:val="20"/>
                <w:szCs w:val="20"/>
              </w:rPr>
            </w:pPr>
          </w:p>
        </w:tc>
      </w:tr>
      <w:tr w:rsidR="00125DB0" w:rsidRPr="00807837" w:rsidTr="00C35365">
        <w:tc>
          <w:tcPr>
            <w:tcW w:w="1329" w:type="dxa"/>
          </w:tcPr>
          <w:p w:rsidR="00125DB0" w:rsidRPr="00807837" w:rsidRDefault="00125DB0" w:rsidP="00807837">
            <w:pPr>
              <w:tabs>
                <w:tab w:val="left" w:pos="360"/>
              </w:tabs>
              <w:contextualSpacing/>
              <w:rPr>
                <w:rFonts w:ascii="Arial" w:hAnsi="Arial" w:cs="Arial"/>
                <w:b/>
                <w:sz w:val="20"/>
                <w:szCs w:val="20"/>
              </w:rPr>
            </w:pPr>
            <w:r w:rsidRPr="00807837">
              <w:rPr>
                <w:rFonts w:ascii="Arial" w:hAnsi="Arial" w:cs="Arial"/>
                <w:b/>
                <w:sz w:val="20"/>
                <w:szCs w:val="20"/>
              </w:rPr>
              <w:t>Programme</w:t>
            </w:r>
          </w:p>
        </w:tc>
        <w:tc>
          <w:tcPr>
            <w:tcW w:w="861" w:type="dxa"/>
          </w:tcPr>
          <w:p w:rsidR="00125DB0" w:rsidRPr="00807837" w:rsidRDefault="00125DB0" w:rsidP="00807837">
            <w:pPr>
              <w:tabs>
                <w:tab w:val="left" w:pos="360"/>
              </w:tabs>
              <w:contextualSpacing/>
              <w:rPr>
                <w:rFonts w:ascii="Arial" w:hAnsi="Arial" w:cs="Arial"/>
                <w:b/>
                <w:sz w:val="20"/>
                <w:szCs w:val="20"/>
              </w:rPr>
            </w:pPr>
            <w:r w:rsidRPr="00807837">
              <w:rPr>
                <w:rFonts w:ascii="Arial" w:hAnsi="Arial" w:cs="Arial"/>
                <w:b/>
                <w:sz w:val="20"/>
                <w:szCs w:val="20"/>
              </w:rPr>
              <w:t>Budget</w:t>
            </w:r>
          </w:p>
          <w:p w:rsidR="00125DB0" w:rsidRPr="00807837" w:rsidRDefault="00125DB0" w:rsidP="00807837">
            <w:pPr>
              <w:tabs>
                <w:tab w:val="left" w:pos="360"/>
              </w:tabs>
              <w:contextualSpacing/>
              <w:rPr>
                <w:rFonts w:ascii="Arial" w:hAnsi="Arial" w:cs="Arial"/>
                <w:b/>
                <w:sz w:val="20"/>
                <w:szCs w:val="20"/>
              </w:rPr>
            </w:pPr>
            <w:r w:rsidRPr="00807837">
              <w:rPr>
                <w:rFonts w:ascii="Arial" w:hAnsi="Arial" w:cs="Arial"/>
                <w:b/>
                <w:sz w:val="20"/>
                <w:szCs w:val="20"/>
              </w:rPr>
              <w:t>(R’000)</w:t>
            </w:r>
          </w:p>
        </w:tc>
        <w:tc>
          <w:tcPr>
            <w:tcW w:w="1177" w:type="dxa"/>
          </w:tcPr>
          <w:p w:rsidR="00125DB0" w:rsidRPr="00807837" w:rsidRDefault="00125DB0" w:rsidP="00807837">
            <w:pPr>
              <w:tabs>
                <w:tab w:val="left" w:pos="360"/>
              </w:tabs>
              <w:contextualSpacing/>
              <w:rPr>
                <w:rFonts w:ascii="Arial" w:hAnsi="Arial" w:cs="Arial"/>
                <w:b/>
                <w:sz w:val="20"/>
                <w:szCs w:val="20"/>
              </w:rPr>
            </w:pPr>
            <w:r w:rsidRPr="00807837">
              <w:rPr>
                <w:rFonts w:ascii="Arial" w:hAnsi="Arial" w:cs="Arial"/>
                <w:b/>
                <w:sz w:val="20"/>
                <w:szCs w:val="20"/>
              </w:rPr>
              <w:t>Actual Expenditure</w:t>
            </w:r>
          </w:p>
        </w:tc>
        <w:tc>
          <w:tcPr>
            <w:tcW w:w="1177" w:type="dxa"/>
          </w:tcPr>
          <w:p w:rsidR="00125DB0" w:rsidRPr="00807837" w:rsidRDefault="00125DB0" w:rsidP="00807837">
            <w:pPr>
              <w:tabs>
                <w:tab w:val="left" w:pos="360"/>
              </w:tabs>
              <w:contextualSpacing/>
              <w:rPr>
                <w:rFonts w:ascii="Arial" w:hAnsi="Arial" w:cs="Arial"/>
                <w:b/>
                <w:sz w:val="20"/>
                <w:szCs w:val="20"/>
              </w:rPr>
            </w:pPr>
            <w:r w:rsidRPr="00807837">
              <w:rPr>
                <w:rFonts w:ascii="Arial" w:hAnsi="Arial" w:cs="Arial"/>
                <w:b/>
                <w:sz w:val="20"/>
                <w:szCs w:val="20"/>
              </w:rPr>
              <w:t>(Over) / Under Expenditure</w:t>
            </w:r>
          </w:p>
        </w:tc>
        <w:tc>
          <w:tcPr>
            <w:tcW w:w="985" w:type="dxa"/>
          </w:tcPr>
          <w:p w:rsidR="00125DB0" w:rsidRPr="00807837" w:rsidRDefault="00125DB0" w:rsidP="00807837">
            <w:pPr>
              <w:tabs>
                <w:tab w:val="left" w:pos="360"/>
              </w:tabs>
              <w:contextualSpacing/>
              <w:rPr>
                <w:rFonts w:ascii="Arial" w:hAnsi="Arial" w:cs="Arial"/>
                <w:b/>
                <w:sz w:val="20"/>
                <w:szCs w:val="20"/>
              </w:rPr>
            </w:pPr>
            <w:r w:rsidRPr="00807837">
              <w:rPr>
                <w:rFonts w:ascii="Arial" w:hAnsi="Arial" w:cs="Arial"/>
                <w:b/>
                <w:sz w:val="20"/>
                <w:szCs w:val="20"/>
              </w:rPr>
              <w:t>Budget</w:t>
            </w:r>
          </w:p>
          <w:p w:rsidR="00125DB0" w:rsidRPr="00807837" w:rsidRDefault="00125DB0" w:rsidP="00807837">
            <w:pPr>
              <w:tabs>
                <w:tab w:val="left" w:pos="360"/>
              </w:tabs>
              <w:contextualSpacing/>
              <w:rPr>
                <w:rFonts w:ascii="Arial" w:hAnsi="Arial" w:cs="Arial"/>
                <w:b/>
                <w:sz w:val="20"/>
                <w:szCs w:val="20"/>
              </w:rPr>
            </w:pPr>
            <w:r w:rsidRPr="00807837">
              <w:rPr>
                <w:rFonts w:ascii="Arial" w:hAnsi="Arial" w:cs="Arial"/>
                <w:b/>
                <w:sz w:val="20"/>
                <w:szCs w:val="20"/>
              </w:rPr>
              <w:t>(R’000)</w:t>
            </w:r>
          </w:p>
        </w:tc>
        <w:tc>
          <w:tcPr>
            <w:tcW w:w="1134" w:type="dxa"/>
          </w:tcPr>
          <w:p w:rsidR="00125DB0" w:rsidRPr="00807837" w:rsidRDefault="00125DB0" w:rsidP="00807837">
            <w:pPr>
              <w:tabs>
                <w:tab w:val="left" w:pos="360"/>
              </w:tabs>
              <w:contextualSpacing/>
              <w:rPr>
                <w:rFonts w:ascii="Arial" w:hAnsi="Arial" w:cs="Arial"/>
                <w:b/>
                <w:sz w:val="20"/>
                <w:szCs w:val="20"/>
              </w:rPr>
            </w:pPr>
            <w:r w:rsidRPr="00807837">
              <w:rPr>
                <w:rFonts w:ascii="Arial" w:hAnsi="Arial" w:cs="Arial"/>
                <w:b/>
                <w:sz w:val="20"/>
                <w:szCs w:val="20"/>
              </w:rPr>
              <w:t>Actual Expenditure</w:t>
            </w:r>
          </w:p>
        </w:tc>
        <w:tc>
          <w:tcPr>
            <w:tcW w:w="1134" w:type="dxa"/>
          </w:tcPr>
          <w:p w:rsidR="00125DB0" w:rsidRPr="00807837" w:rsidRDefault="00125DB0" w:rsidP="00807837">
            <w:pPr>
              <w:tabs>
                <w:tab w:val="left" w:pos="360"/>
              </w:tabs>
              <w:contextualSpacing/>
              <w:rPr>
                <w:rFonts w:ascii="Arial" w:hAnsi="Arial" w:cs="Arial"/>
                <w:b/>
                <w:sz w:val="20"/>
                <w:szCs w:val="20"/>
              </w:rPr>
            </w:pPr>
            <w:r w:rsidRPr="00807837">
              <w:rPr>
                <w:rFonts w:ascii="Arial" w:hAnsi="Arial" w:cs="Arial"/>
                <w:b/>
                <w:sz w:val="20"/>
                <w:szCs w:val="20"/>
              </w:rPr>
              <w:t>(Over) / Under Expenditure</w:t>
            </w:r>
          </w:p>
        </w:tc>
        <w:tc>
          <w:tcPr>
            <w:tcW w:w="1275" w:type="dxa"/>
          </w:tcPr>
          <w:p w:rsidR="00125DB0" w:rsidRPr="00807837" w:rsidRDefault="00125DB0" w:rsidP="00807837">
            <w:pPr>
              <w:tabs>
                <w:tab w:val="left" w:pos="360"/>
              </w:tabs>
              <w:contextualSpacing/>
              <w:rPr>
                <w:rFonts w:ascii="Arial" w:hAnsi="Arial" w:cs="Arial"/>
                <w:b/>
                <w:sz w:val="20"/>
                <w:szCs w:val="20"/>
              </w:rPr>
            </w:pPr>
            <w:r w:rsidRPr="00807837">
              <w:rPr>
                <w:rFonts w:ascii="Arial" w:hAnsi="Arial" w:cs="Arial"/>
                <w:b/>
                <w:sz w:val="20"/>
                <w:szCs w:val="20"/>
              </w:rPr>
              <w:t>% (Over) / Under Expenditure</w:t>
            </w:r>
          </w:p>
        </w:tc>
      </w:tr>
      <w:tr w:rsidR="00125DB0" w:rsidRPr="00807837" w:rsidTr="00C35365">
        <w:tc>
          <w:tcPr>
            <w:tcW w:w="1329"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1. Corporate Support</w:t>
            </w:r>
          </w:p>
        </w:tc>
        <w:tc>
          <w:tcPr>
            <w:tcW w:w="861"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111 445</w:t>
            </w:r>
          </w:p>
        </w:tc>
        <w:tc>
          <w:tcPr>
            <w:tcW w:w="1177"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111 344</w:t>
            </w:r>
          </w:p>
        </w:tc>
        <w:tc>
          <w:tcPr>
            <w:tcW w:w="1177"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101</w:t>
            </w:r>
          </w:p>
        </w:tc>
        <w:tc>
          <w:tcPr>
            <w:tcW w:w="985"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154 768</w:t>
            </w:r>
          </w:p>
        </w:tc>
        <w:tc>
          <w:tcPr>
            <w:tcW w:w="1134"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148 118</w:t>
            </w:r>
          </w:p>
        </w:tc>
        <w:tc>
          <w:tcPr>
            <w:tcW w:w="1134"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6 650</w:t>
            </w:r>
          </w:p>
        </w:tc>
        <w:tc>
          <w:tcPr>
            <w:tcW w:w="1275"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4.3%</w:t>
            </w:r>
          </w:p>
        </w:tc>
      </w:tr>
      <w:tr w:rsidR="00125DB0" w:rsidRPr="00807837" w:rsidTr="00C35365">
        <w:tc>
          <w:tcPr>
            <w:tcW w:w="1329"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2.Business Enablement</w:t>
            </w:r>
          </w:p>
        </w:tc>
        <w:tc>
          <w:tcPr>
            <w:tcW w:w="861"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33 807</w:t>
            </w:r>
          </w:p>
        </w:tc>
        <w:tc>
          <w:tcPr>
            <w:tcW w:w="1177"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39 841</w:t>
            </w:r>
          </w:p>
        </w:tc>
        <w:tc>
          <w:tcPr>
            <w:tcW w:w="1177"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(6 034)</w:t>
            </w:r>
          </w:p>
        </w:tc>
        <w:tc>
          <w:tcPr>
            <w:tcW w:w="985"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 xml:space="preserve">80 761 </w:t>
            </w:r>
          </w:p>
        </w:tc>
        <w:tc>
          <w:tcPr>
            <w:tcW w:w="1134"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55 740</w:t>
            </w:r>
          </w:p>
        </w:tc>
        <w:tc>
          <w:tcPr>
            <w:tcW w:w="1134"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25 021</w:t>
            </w:r>
          </w:p>
        </w:tc>
        <w:tc>
          <w:tcPr>
            <w:tcW w:w="1275"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30.9%</w:t>
            </w:r>
          </w:p>
        </w:tc>
      </w:tr>
      <w:tr w:rsidR="00125DB0" w:rsidRPr="00807837" w:rsidTr="00C35365">
        <w:tc>
          <w:tcPr>
            <w:tcW w:w="1329"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3. Leisure Tourism Marketing</w:t>
            </w:r>
          </w:p>
        </w:tc>
        <w:tc>
          <w:tcPr>
            <w:tcW w:w="861"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266 423</w:t>
            </w:r>
          </w:p>
        </w:tc>
        <w:tc>
          <w:tcPr>
            <w:tcW w:w="1177"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405 555</w:t>
            </w:r>
          </w:p>
        </w:tc>
        <w:tc>
          <w:tcPr>
            <w:tcW w:w="1177"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(139 131)</w:t>
            </w:r>
          </w:p>
        </w:tc>
        <w:tc>
          <w:tcPr>
            <w:tcW w:w="985"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1 026 687</w:t>
            </w:r>
          </w:p>
        </w:tc>
        <w:tc>
          <w:tcPr>
            <w:tcW w:w="1134"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922 293</w:t>
            </w:r>
          </w:p>
        </w:tc>
        <w:tc>
          <w:tcPr>
            <w:tcW w:w="1134"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104 394</w:t>
            </w:r>
          </w:p>
        </w:tc>
        <w:tc>
          <w:tcPr>
            <w:tcW w:w="1275"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10.2%</w:t>
            </w:r>
          </w:p>
        </w:tc>
      </w:tr>
      <w:tr w:rsidR="00125DB0" w:rsidRPr="00807837" w:rsidTr="00C35365">
        <w:tc>
          <w:tcPr>
            <w:tcW w:w="1329"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4. Business Events</w:t>
            </w:r>
          </w:p>
        </w:tc>
        <w:tc>
          <w:tcPr>
            <w:tcW w:w="861"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23 291</w:t>
            </w:r>
          </w:p>
        </w:tc>
        <w:tc>
          <w:tcPr>
            <w:tcW w:w="1177"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30 836</w:t>
            </w:r>
          </w:p>
        </w:tc>
        <w:tc>
          <w:tcPr>
            <w:tcW w:w="1177"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(7 545)</w:t>
            </w:r>
          </w:p>
        </w:tc>
        <w:tc>
          <w:tcPr>
            <w:tcW w:w="985"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106 259</w:t>
            </w:r>
          </w:p>
        </w:tc>
        <w:tc>
          <w:tcPr>
            <w:tcW w:w="1134"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108 085</w:t>
            </w:r>
          </w:p>
        </w:tc>
        <w:tc>
          <w:tcPr>
            <w:tcW w:w="1134"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(1 826)</w:t>
            </w:r>
          </w:p>
        </w:tc>
        <w:tc>
          <w:tcPr>
            <w:tcW w:w="1275"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(1.7%)</w:t>
            </w:r>
          </w:p>
        </w:tc>
      </w:tr>
      <w:tr w:rsidR="00125DB0" w:rsidRPr="00807837" w:rsidTr="00C35365">
        <w:tc>
          <w:tcPr>
            <w:tcW w:w="1329"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5. Tourist Experience</w:t>
            </w:r>
          </w:p>
        </w:tc>
        <w:tc>
          <w:tcPr>
            <w:tcW w:w="861"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44 061</w:t>
            </w:r>
          </w:p>
        </w:tc>
        <w:tc>
          <w:tcPr>
            <w:tcW w:w="1177"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34 487</w:t>
            </w:r>
          </w:p>
        </w:tc>
        <w:tc>
          <w:tcPr>
            <w:tcW w:w="1177"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9 574</w:t>
            </w:r>
          </w:p>
        </w:tc>
        <w:tc>
          <w:tcPr>
            <w:tcW w:w="985"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49 147</w:t>
            </w:r>
          </w:p>
        </w:tc>
        <w:tc>
          <w:tcPr>
            <w:tcW w:w="1134"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39 658</w:t>
            </w:r>
          </w:p>
        </w:tc>
        <w:tc>
          <w:tcPr>
            <w:tcW w:w="1134"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9 489</w:t>
            </w:r>
          </w:p>
        </w:tc>
        <w:tc>
          <w:tcPr>
            <w:tcW w:w="1275" w:type="dxa"/>
          </w:tcPr>
          <w:p w:rsidR="00125DB0" w:rsidRPr="00807837" w:rsidRDefault="00125DB0" w:rsidP="00807837">
            <w:pPr>
              <w:contextualSpacing/>
              <w:rPr>
                <w:rFonts w:ascii="Arial" w:hAnsi="Arial" w:cs="Arial"/>
                <w:sz w:val="20"/>
                <w:szCs w:val="20"/>
              </w:rPr>
            </w:pPr>
            <w:r w:rsidRPr="00807837">
              <w:rPr>
                <w:rFonts w:ascii="Arial" w:hAnsi="Arial" w:cs="Arial"/>
                <w:sz w:val="20"/>
                <w:szCs w:val="20"/>
              </w:rPr>
              <w:t>19.3%</w:t>
            </w:r>
          </w:p>
        </w:tc>
      </w:tr>
      <w:tr w:rsidR="00125DB0" w:rsidRPr="00807837" w:rsidTr="00C35365">
        <w:tc>
          <w:tcPr>
            <w:tcW w:w="1329" w:type="dxa"/>
          </w:tcPr>
          <w:p w:rsidR="00125DB0" w:rsidRPr="00807837" w:rsidRDefault="00125DB0" w:rsidP="00807837">
            <w:pPr>
              <w:contextualSpacing/>
              <w:rPr>
                <w:rFonts w:ascii="Arial" w:hAnsi="Arial" w:cs="Arial"/>
                <w:b/>
                <w:sz w:val="20"/>
                <w:szCs w:val="20"/>
              </w:rPr>
            </w:pPr>
            <w:r w:rsidRPr="00807837">
              <w:rPr>
                <w:rFonts w:ascii="Arial" w:hAnsi="Arial" w:cs="Arial"/>
                <w:b/>
                <w:sz w:val="20"/>
                <w:szCs w:val="20"/>
              </w:rPr>
              <w:t>Total</w:t>
            </w:r>
          </w:p>
        </w:tc>
        <w:tc>
          <w:tcPr>
            <w:tcW w:w="861" w:type="dxa"/>
          </w:tcPr>
          <w:p w:rsidR="00125DB0" w:rsidRPr="00807837" w:rsidRDefault="00125DB0" w:rsidP="00807837">
            <w:pPr>
              <w:contextualSpacing/>
              <w:rPr>
                <w:rFonts w:ascii="Arial" w:hAnsi="Arial" w:cs="Arial"/>
                <w:b/>
                <w:sz w:val="20"/>
                <w:szCs w:val="20"/>
              </w:rPr>
            </w:pPr>
            <w:r w:rsidRPr="00807837">
              <w:rPr>
                <w:rFonts w:ascii="Arial" w:hAnsi="Arial" w:cs="Arial"/>
                <w:b/>
                <w:sz w:val="20"/>
                <w:szCs w:val="20"/>
              </w:rPr>
              <w:t>479 027</w:t>
            </w:r>
          </w:p>
        </w:tc>
        <w:tc>
          <w:tcPr>
            <w:tcW w:w="1177" w:type="dxa"/>
          </w:tcPr>
          <w:p w:rsidR="00125DB0" w:rsidRPr="00807837" w:rsidRDefault="00125DB0" w:rsidP="00807837">
            <w:pPr>
              <w:contextualSpacing/>
              <w:rPr>
                <w:rFonts w:ascii="Arial" w:hAnsi="Arial" w:cs="Arial"/>
                <w:b/>
                <w:sz w:val="20"/>
                <w:szCs w:val="20"/>
              </w:rPr>
            </w:pPr>
            <w:r w:rsidRPr="00807837">
              <w:rPr>
                <w:rFonts w:ascii="Arial" w:hAnsi="Arial" w:cs="Arial"/>
                <w:b/>
                <w:sz w:val="20"/>
                <w:szCs w:val="20"/>
              </w:rPr>
              <w:t>622 063</w:t>
            </w:r>
          </w:p>
        </w:tc>
        <w:tc>
          <w:tcPr>
            <w:tcW w:w="1177" w:type="dxa"/>
          </w:tcPr>
          <w:p w:rsidR="00125DB0" w:rsidRPr="00807837" w:rsidRDefault="00125DB0" w:rsidP="00807837">
            <w:pPr>
              <w:contextualSpacing/>
              <w:rPr>
                <w:rFonts w:ascii="Arial" w:hAnsi="Arial" w:cs="Arial"/>
                <w:b/>
                <w:sz w:val="20"/>
                <w:szCs w:val="20"/>
              </w:rPr>
            </w:pPr>
            <w:r w:rsidRPr="00807837">
              <w:rPr>
                <w:rFonts w:ascii="Arial" w:hAnsi="Arial" w:cs="Arial"/>
                <w:b/>
                <w:sz w:val="20"/>
                <w:szCs w:val="20"/>
              </w:rPr>
              <w:t>(143 036)</w:t>
            </w:r>
          </w:p>
        </w:tc>
        <w:tc>
          <w:tcPr>
            <w:tcW w:w="985" w:type="dxa"/>
          </w:tcPr>
          <w:p w:rsidR="00125DB0" w:rsidRPr="00807837" w:rsidRDefault="00125DB0" w:rsidP="00807837">
            <w:pPr>
              <w:contextualSpacing/>
              <w:rPr>
                <w:rFonts w:ascii="Arial" w:hAnsi="Arial" w:cs="Arial"/>
                <w:b/>
                <w:sz w:val="20"/>
                <w:szCs w:val="20"/>
              </w:rPr>
            </w:pPr>
            <w:r w:rsidRPr="00807837">
              <w:rPr>
                <w:rFonts w:ascii="Arial" w:hAnsi="Arial" w:cs="Arial"/>
                <w:b/>
                <w:sz w:val="20"/>
                <w:szCs w:val="20"/>
              </w:rPr>
              <w:t>1 417 622</w:t>
            </w:r>
          </w:p>
        </w:tc>
        <w:tc>
          <w:tcPr>
            <w:tcW w:w="1134" w:type="dxa"/>
          </w:tcPr>
          <w:p w:rsidR="00125DB0" w:rsidRPr="00807837" w:rsidRDefault="00125DB0" w:rsidP="00807837">
            <w:pPr>
              <w:contextualSpacing/>
              <w:rPr>
                <w:rFonts w:ascii="Arial" w:hAnsi="Arial" w:cs="Arial"/>
                <w:b/>
                <w:sz w:val="20"/>
                <w:szCs w:val="20"/>
              </w:rPr>
            </w:pPr>
            <w:r w:rsidRPr="00807837">
              <w:rPr>
                <w:rFonts w:ascii="Arial" w:hAnsi="Arial" w:cs="Arial"/>
                <w:b/>
                <w:sz w:val="20"/>
                <w:szCs w:val="20"/>
              </w:rPr>
              <w:t>1 273 894</w:t>
            </w:r>
          </w:p>
        </w:tc>
        <w:tc>
          <w:tcPr>
            <w:tcW w:w="1134" w:type="dxa"/>
          </w:tcPr>
          <w:p w:rsidR="00125DB0" w:rsidRPr="00807837" w:rsidRDefault="00125DB0" w:rsidP="00807837">
            <w:pPr>
              <w:contextualSpacing/>
              <w:rPr>
                <w:rFonts w:ascii="Arial" w:hAnsi="Arial" w:cs="Arial"/>
                <w:b/>
                <w:sz w:val="20"/>
                <w:szCs w:val="20"/>
              </w:rPr>
            </w:pPr>
            <w:r w:rsidRPr="00807837">
              <w:rPr>
                <w:rFonts w:ascii="Arial" w:hAnsi="Arial" w:cs="Arial"/>
                <w:b/>
                <w:sz w:val="20"/>
                <w:szCs w:val="20"/>
              </w:rPr>
              <w:t>143 728</w:t>
            </w:r>
          </w:p>
        </w:tc>
        <w:tc>
          <w:tcPr>
            <w:tcW w:w="1275" w:type="dxa"/>
          </w:tcPr>
          <w:p w:rsidR="00125DB0" w:rsidRPr="00807837" w:rsidRDefault="00125DB0" w:rsidP="00807837">
            <w:pPr>
              <w:contextualSpacing/>
              <w:rPr>
                <w:rFonts w:ascii="Arial" w:hAnsi="Arial" w:cs="Arial"/>
                <w:b/>
                <w:sz w:val="20"/>
                <w:szCs w:val="20"/>
              </w:rPr>
            </w:pPr>
            <w:r w:rsidRPr="00807837">
              <w:rPr>
                <w:rFonts w:ascii="Arial" w:hAnsi="Arial" w:cs="Arial"/>
                <w:b/>
                <w:sz w:val="20"/>
                <w:szCs w:val="20"/>
              </w:rPr>
              <w:t>10.1%</w:t>
            </w:r>
          </w:p>
        </w:tc>
      </w:tr>
    </w:tbl>
    <w:p w:rsidR="00125DB0" w:rsidRPr="00807837" w:rsidRDefault="00125DB0" w:rsidP="00807837">
      <w:pPr>
        <w:tabs>
          <w:tab w:val="left" w:pos="360"/>
        </w:tabs>
        <w:spacing w:after="0" w:line="240" w:lineRule="auto"/>
        <w:contextualSpacing/>
        <w:rPr>
          <w:rFonts w:ascii="Arial" w:hAnsi="Arial" w:cs="Arial"/>
          <w:sz w:val="20"/>
          <w:szCs w:val="20"/>
        </w:rPr>
      </w:pPr>
      <w:r w:rsidRPr="00807837">
        <w:rPr>
          <w:rFonts w:ascii="Arial" w:hAnsi="Arial" w:cs="Arial"/>
          <w:b/>
          <w:sz w:val="20"/>
          <w:szCs w:val="20"/>
        </w:rPr>
        <w:t>Source</w:t>
      </w:r>
      <w:r w:rsidRPr="00807837">
        <w:rPr>
          <w:rFonts w:ascii="Arial" w:hAnsi="Arial" w:cs="Arial"/>
          <w:sz w:val="20"/>
          <w:szCs w:val="20"/>
        </w:rPr>
        <w:t>: South African Tourism Annual Report (2021/22)</w:t>
      </w:r>
    </w:p>
    <w:p w:rsidR="006A24B6" w:rsidRPr="00807837" w:rsidRDefault="006A24B6" w:rsidP="00807837">
      <w:pPr>
        <w:spacing w:after="0" w:line="240" w:lineRule="auto"/>
        <w:rPr>
          <w:rFonts w:ascii="Arial" w:hAnsi="Arial" w:cs="Arial"/>
          <w:sz w:val="20"/>
          <w:szCs w:val="20"/>
          <w:lang w:val="en-US"/>
        </w:rPr>
      </w:pPr>
      <w:r w:rsidRPr="00807837">
        <w:rPr>
          <w:rFonts w:ascii="Arial" w:hAnsi="Arial" w:cs="Arial"/>
          <w:sz w:val="20"/>
          <w:szCs w:val="20"/>
          <w:lang w:val="en-US"/>
        </w:rPr>
        <w:t xml:space="preserve">Revenue from Government transfers was received at R1.297 billion. The income from TOMSA levies was R58.8 million, R8.8 million higher than the projected R50 million. The Entity’s sundry income for the financial year was R16.8 million, significantly lower than the projected R58.3 million. This under-recovery has been attributed to a decrease in exhibition income due to a lower number of exhibitions at Meetings Africa and the cancelled Africa Travel Indaba. Grading revenue received was R15.0 million, higher than the projected R12.2 million and interest from investments was R4.8 million, slightly higher from the previous year’s R2.9 million. </w:t>
      </w:r>
    </w:p>
    <w:p w:rsidR="006A24B6" w:rsidRPr="00807837" w:rsidRDefault="006A24B6" w:rsidP="00807837">
      <w:pPr>
        <w:spacing w:after="0" w:line="240" w:lineRule="auto"/>
        <w:rPr>
          <w:rFonts w:ascii="Arial" w:hAnsi="Arial" w:cs="Arial"/>
          <w:sz w:val="20"/>
          <w:szCs w:val="20"/>
        </w:rPr>
      </w:pPr>
    </w:p>
    <w:p w:rsidR="00125DB0" w:rsidRPr="00807837" w:rsidRDefault="00125DB0" w:rsidP="00807837">
      <w:pPr>
        <w:spacing w:after="0" w:line="240" w:lineRule="auto"/>
        <w:rPr>
          <w:rFonts w:ascii="Arial" w:hAnsi="Arial" w:cs="Arial"/>
          <w:sz w:val="20"/>
          <w:szCs w:val="20"/>
        </w:rPr>
      </w:pPr>
      <w:r w:rsidRPr="00807837">
        <w:rPr>
          <w:rFonts w:ascii="Arial" w:hAnsi="Arial" w:cs="Arial"/>
          <w:sz w:val="20"/>
          <w:szCs w:val="20"/>
        </w:rPr>
        <w:t xml:space="preserve">Table </w:t>
      </w:r>
      <w:r w:rsidR="00B054BF" w:rsidRPr="00807837">
        <w:rPr>
          <w:rFonts w:ascii="Arial" w:hAnsi="Arial" w:cs="Arial"/>
          <w:sz w:val="20"/>
          <w:szCs w:val="20"/>
        </w:rPr>
        <w:t>17</w:t>
      </w:r>
      <w:r w:rsidRPr="00807837">
        <w:rPr>
          <w:rFonts w:ascii="Arial" w:hAnsi="Arial" w:cs="Arial"/>
          <w:sz w:val="20"/>
          <w:szCs w:val="20"/>
        </w:rPr>
        <w:t xml:space="preserve"> depicts that the Entity spent R1.27 billion (89.9%) of its budget of R1.41 billion for the 2021/22 financial year. A significant portion of this underspending is in Programme 2 (Business Enablement) at 30.9%; Programme 3 (Leisure Tourism Marketing) at 10.2% and Programme 5 (Tourist Experience) at 19.3%. The underspending relates to unmet targets under each programme</w:t>
      </w:r>
      <w:r w:rsidR="003A0158" w:rsidRPr="00807837">
        <w:rPr>
          <w:rFonts w:ascii="Arial" w:hAnsi="Arial" w:cs="Arial"/>
          <w:sz w:val="20"/>
          <w:szCs w:val="20"/>
        </w:rPr>
        <w:t xml:space="preserve">. </w:t>
      </w:r>
    </w:p>
    <w:p w:rsidR="00125DB0" w:rsidRPr="00807837" w:rsidRDefault="00125DB0" w:rsidP="00807837">
      <w:pPr>
        <w:spacing w:after="0" w:line="240" w:lineRule="auto"/>
        <w:rPr>
          <w:rFonts w:ascii="Arial" w:hAnsi="Arial" w:cs="Arial"/>
          <w:sz w:val="20"/>
          <w:szCs w:val="20"/>
        </w:rPr>
      </w:pPr>
    </w:p>
    <w:p w:rsidR="00885CEE" w:rsidRPr="00807837" w:rsidRDefault="00885CEE" w:rsidP="00807837">
      <w:pPr>
        <w:pStyle w:val="ListParagraph"/>
        <w:numPr>
          <w:ilvl w:val="1"/>
          <w:numId w:val="17"/>
        </w:numPr>
        <w:spacing w:after="0" w:line="240" w:lineRule="auto"/>
        <w:ind w:left="567" w:hanging="567"/>
        <w:rPr>
          <w:rFonts w:ascii="Arial" w:eastAsia="Calibri" w:hAnsi="Arial" w:cs="Arial"/>
          <w:b/>
          <w:sz w:val="20"/>
          <w:szCs w:val="20"/>
        </w:rPr>
      </w:pPr>
      <w:r w:rsidRPr="00807837">
        <w:rPr>
          <w:rFonts w:ascii="Arial" w:eastAsia="Calibri" w:hAnsi="Arial" w:cs="Arial"/>
          <w:b/>
          <w:sz w:val="20"/>
          <w:szCs w:val="20"/>
        </w:rPr>
        <w:t>Key reported achievements</w:t>
      </w:r>
    </w:p>
    <w:p w:rsidR="00885CEE" w:rsidRPr="00807837" w:rsidRDefault="00885CEE" w:rsidP="00807837">
      <w:pPr>
        <w:spacing w:after="0" w:line="240" w:lineRule="auto"/>
        <w:rPr>
          <w:rFonts w:ascii="Arial" w:eastAsia="Calibri" w:hAnsi="Arial" w:cs="Arial"/>
          <w:sz w:val="20"/>
          <w:szCs w:val="20"/>
        </w:rPr>
      </w:pPr>
    </w:p>
    <w:p w:rsidR="00885CEE" w:rsidRPr="00807837" w:rsidRDefault="00885CEE" w:rsidP="00807837">
      <w:pPr>
        <w:spacing w:after="0" w:line="240" w:lineRule="auto"/>
        <w:rPr>
          <w:rFonts w:ascii="Arial" w:eastAsia="Calibri" w:hAnsi="Arial" w:cs="Arial"/>
          <w:sz w:val="20"/>
          <w:szCs w:val="20"/>
        </w:rPr>
      </w:pPr>
      <w:r w:rsidRPr="00807837">
        <w:rPr>
          <w:rFonts w:ascii="Arial" w:eastAsia="Calibri" w:hAnsi="Arial" w:cs="Arial"/>
          <w:sz w:val="20"/>
          <w:szCs w:val="20"/>
        </w:rPr>
        <w:t>The following are some of the key achievements</w:t>
      </w:r>
      <w:r w:rsidR="00711970" w:rsidRPr="00807837">
        <w:rPr>
          <w:rFonts w:ascii="Arial" w:eastAsia="Calibri" w:hAnsi="Arial" w:cs="Arial"/>
          <w:sz w:val="20"/>
          <w:szCs w:val="20"/>
        </w:rPr>
        <w:t xml:space="preserve"> </w:t>
      </w:r>
      <w:r w:rsidR="009E55FD" w:rsidRPr="00807837">
        <w:rPr>
          <w:rFonts w:ascii="Arial" w:eastAsia="Calibri" w:hAnsi="Arial" w:cs="Arial"/>
          <w:sz w:val="20"/>
          <w:szCs w:val="20"/>
        </w:rPr>
        <w:t>reported by the Department in the 202</w:t>
      </w:r>
      <w:r w:rsidR="0015777C" w:rsidRPr="00807837">
        <w:rPr>
          <w:rFonts w:ascii="Arial" w:eastAsia="Calibri" w:hAnsi="Arial" w:cs="Arial"/>
          <w:sz w:val="20"/>
          <w:szCs w:val="20"/>
        </w:rPr>
        <w:t>1</w:t>
      </w:r>
      <w:r w:rsidR="009E55FD" w:rsidRPr="00807837">
        <w:rPr>
          <w:rFonts w:ascii="Arial" w:eastAsia="Calibri" w:hAnsi="Arial" w:cs="Arial"/>
          <w:sz w:val="20"/>
          <w:szCs w:val="20"/>
        </w:rPr>
        <w:t>/2</w:t>
      </w:r>
      <w:r w:rsidR="0015777C" w:rsidRPr="00807837">
        <w:rPr>
          <w:rFonts w:ascii="Arial" w:eastAsia="Calibri" w:hAnsi="Arial" w:cs="Arial"/>
          <w:sz w:val="20"/>
          <w:szCs w:val="20"/>
        </w:rPr>
        <w:t>2</w:t>
      </w:r>
      <w:r w:rsidR="009E55FD" w:rsidRPr="00807837">
        <w:rPr>
          <w:rFonts w:ascii="Arial" w:eastAsia="Calibri" w:hAnsi="Arial" w:cs="Arial"/>
          <w:sz w:val="20"/>
          <w:szCs w:val="20"/>
        </w:rPr>
        <w:t xml:space="preserve"> financial year</w:t>
      </w:r>
      <w:r w:rsidRPr="00807837">
        <w:rPr>
          <w:rFonts w:ascii="Arial" w:eastAsia="Calibri" w:hAnsi="Arial" w:cs="Arial"/>
          <w:sz w:val="20"/>
          <w:szCs w:val="20"/>
        </w:rPr>
        <w:t>:</w:t>
      </w:r>
    </w:p>
    <w:p w:rsidR="0015777C" w:rsidRPr="00807837" w:rsidRDefault="0007777F" w:rsidP="00807837">
      <w:pPr>
        <w:spacing w:after="0" w:line="240" w:lineRule="auto"/>
        <w:rPr>
          <w:rFonts w:ascii="Arial" w:eastAsia="Calibri" w:hAnsi="Arial" w:cs="Arial"/>
          <w:sz w:val="20"/>
          <w:szCs w:val="20"/>
        </w:rPr>
      </w:pPr>
      <w:r w:rsidRPr="00807837">
        <w:rPr>
          <w:rFonts w:ascii="Arial" w:eastAsia="Calibri" w:hAnsi="Arial" w:cs="Arial"/>
          <w:sz w:val="20"/>
          <w:szCs w:val="20"/>
        </w:rPr>
        <w:t>Some of the achievements by the Department include:</w:t>
      </w:r>
    </w:p>
    <w:p w:rsidR="0007777F" w:rsidRPr="00807837" w:rsidRDefault="0007777F" w:rsidP="00807837">
      <w:pPr>
        <w:spacing w:after="0" w:line="240" w:lineRule="auto"/>
        <w:rPr>
          <w:rFonts w:ascii="Arial" w:eastAsia="Calibri" w:hAnsi="Arial" w:cs="Arial"/>
          <w:sz w:val="20"/>
          <w:szCs w:val="20"/>
        </w:rPr>
      </w:pPr>
    </w:p>
    <w:p w:rsidR="0007777F" w:rsidRPr="00807837" w:rsidRDefault="0007777F" w:rsidP="00807837">
      <w:pPr>
        <w:pStyle w:val="ListParagraph"/>
        <w:numPr>
          <w:ilvl w:val="0"/>
          <w:numId w:val="26"/>
        </w:numPr>
        <w:spacing w:after="0" w:line="240" w:lineRule="auto"/>
        <w:rPr>
          <w:rFonts w:ascii="Arial" w:eastAsia="Calibri" w:hAnsi="Arial" w:cs="Arial"/>
          <w:sz w:val="20"/>
          <w:szCs w:val="20"/>
        </w:rPr>
      </w:pPr>
      <w:r w:rsidRPr="00807837">
        <w:rPr>
          <w:rFonts w:ascii="Arial" w:eastAsia="Calibri" w:hAnsi="Arial" w:cs="Arial"/>
          <w:sz w:val="20"/>
          <w:szCs w:val="20"/>
        </w:rPr>
        <w:t xml:space="preserve">Championing the removal of “red listing” of South Africa through diplomatic efforts. Furthermore, through structured engagement with the Sector, tourism has been able to make a case for its readiness to operate safely and this has yielded good results; </w:t>
      </w:r>
    </w:p>
    <w:p w:rsidR="0007777F" w:rsidRPr="00807837" w:rsidRDefault="0007777F" w:rsidP="00807837">
      <w:pPr>
        <w:pStyle w:val="ListParagraph"/>
        <w:spacing w:after="0" w:line="240" w:lineRule="auto"/>
        <w:rPr>
          <w:rFonts w:ascii="Arial" w:eastAsia="Calibri" w:hAnsi="Arial" w:cs="Arial"/>
          <w:sz w:val="20"/>
          <w:szCs w:val="20"/>
        </w:rPr>
      </w:pPr>
    </w:p>
    <w:p w:rsidR="003A0158" w:rsidRPr="00807837" w:rsidRDefault="0007777F" w:rsidP="00807837">
      <w:pPr>
        <w:pStyle w:val="ListParagraph"/>
        <w:numPr>
          <w:ilvl w:val="0"/>
          <w:numId w:val="26"/>
        </w:numPr>
        <w:spacing w:after="0" w:line="240" w:lineRule="auto"/>
        <w:rPr>
          <w:rFonts w:ascii="Arial" w:eastAsia="Calibri" w:hAnsi="Arial" w:cs="Arial"/>
          <w:sz w:val="20"/>
          <w:szCs w:val="20"/>
        </w:rPr>
      </w:pPr>
      <w:r w:rsidRPr="00807837">
        <w:rPr>
          <w:rFonts w:ascii="Arial" w:eastAsia="Calibri" w:hAnsi="Arial" w:cs="Arial"/>
          <w:sz w:val="20"/>
          <w:szCs w:val="20"/>
        </w:rPr>
        <w:t>South Africa secured a seat at the UNWTO Executive Council which is the highest decision-making body between the United Nations General Assembly and successfully lobbied the UNWTO to back African States and call on the world to reopen their borders</w:t>
      </w:r>
      <w:r w:rsidR="003A0158" w:rsidRPr="00807837">
        <w:rPr>
          <w:rFonts w:ascii="Arial" w:eastAsia="Calibri" w:hAnsi="Arial" w:cs="Arial"/>
          <w:sz w:val="20"/>
          <w:szCs w:val="20"/>
        </w:rPr>
        <w:t>.</w:t>
      </w:r>
      <w:r w:rsidR="003A0158" w:rsidRPr="00807837">
        <w:rPr>
          <w:rFonts w:ascii="Arial" w:hAnsi="Arial" w:cs="Arial"/>
          <w:sz w:val="20"/>
          <w:szCs w:val="20"/>
        </w:rPr>
        <w:t xml:space="preserve"> </w:t>
      </w:r>
    </w:p>
    <w:p w:rsidR="003A0158" w:rsidRPr="00807837" w:rsidRDefault="003A0158" w:rsidP="00807837">
      <w:pPr>
        <w:pStyle w:val="ListParagraph"/>
        <w:spacing w:after="0" w:line="240" w:lineRule="auto"/>
        <w:rPr>
          <w:rFonts w:ascii="Arial" w:eastAsia="Calibri" w:hAnsi="Arial" w:cs="Arial"/>
          <w:sz w:val="20"/>
          <w:szCs w:val="20"/>
        </w:rPr>
      </w:pPr>
    </w:p>
    <w:p w:rsidR="0007777F" w:rsidRPr="00807837" w:rsidRDefault="0007777F" w:rsidP="00807837">
      <w:pPr>
        <w:pStyle w:val="ListParagraph"/>
        <w:numPr>
          <w:ilvl w:val="0"/>
          <w:numId w:val="26"/>
        </w:numPr>
        <w:spacing w:after="0" w:line="240" w:lineRule="auto"/>
        <w:rPr>
          <w:rFonts w:ascii="Arial" w:eastAsia="Calibri" w:hAnsi="Arial" w:cs="Arial"/>
          <w:sz w:val="20"/>
          <w:szCs w:val="20"/>
        </w:rPr>
      </w:pPr>
      <w:r w:rsidRPr="00807837">
        <w:rPr>
          <w:rFonts w:ascii="Arial" w:eastAsia="Calibri" w:hAnsi="Arial" w:cs="Arial"/>
          <w:sz w:val="20"/>
          <w:szCs w:val="20"/>
        </w:rPr>
        <w:t xml:space="preserve">Sponsored a framework for the establishment of the Africa Tourism Unit for the African Union Commission in an effort to strengthen regional integration that was closely followed by a regional collaboration and synchronization of policy including the MoU signed with Kenya, during the Kenyan President’s visit to South Africa; </w:t>
      </w:r>
    </w:p>
    <w:p w:rsidR="0007777F" w:rsidRPr="00807837" w:rsidRDefault="0007777F" w:rsidP="00807837">
      <w:pPr>
        <w:pStyle w:val="ListParagraph"/>
        <w:spacing w:after="0" w:line="240" w:lineRule="auto"/>
        <w:rPr>
          <w:rFonts w:ascii="Arial" w:eastAsia="Calibri" w:hAnsi="Arial" w:cs="Arial"/>
          <w:sz w:val="20"/>
          <w:szCs w:val="20"/>
        </w:rPr>
      </w:pPr>
    </w:p>
    <w:p w:rsidR="0007777F" w:rsidRPr="00807837" w:rsidRDefault="0007777F" w:rsidP="00807837">
      <w:pPr>
        <w:pStyle w:val="ListParagraph"/>
        <w:numPr>
          <w:ilvl w:val="0"/>
          <w:numId w:val="26"/>
        </w:numPr>
        <w:spacing w:after="0" w:line="240" w:lineRule="auto"/>
        <w:rPr>
          <w:rFonts w:ascii="Arial" w:eastAsia="Calibri" w:hAnsi="Arial" w:cs="Arial"/>
          <w:sz w:val="20"/>
          <w:szCs w:val="20"/>
        </w:rPr>
      </w:pPr>
      <w:r w:rsidRPr="00807837">
        <w:rPr>
          <w:rFonts w:ascii="Arial" w:eastAsia="Calibri" w:hAnsi="Arial" w:cs="Arial"/>
          <w:sz w:val="20"/>
          <w:szCs w:val="20"/>
        </w:rPr>
        <w:lastRenderedPageBreak/>
        <w:t>Bilateral engagements held with key Investors in the UAE and Gulf Cooperation Council Region who have shown interest to invest in tourism-mega projects;</w:t>
      </w:r>
    </w:p>
    <w:p w:rsidR="0007777F" w:rsidRPr="00807837" w:rsidRDefault="0007777F" w:rsidP="00807837">
      <w:pPr>
        <w:pStyle w:val="ListParagraph"/>
        <w:spacing w:after="0" w:line="240" w:lineRule="auto"/>
        <w:rPr>
          <w:rFonts w:ascii="Arial" w:eastAsia="Calibri" w:hAnsi="Arial" w:cs="Arial"/>
          <w:sz w:val="20"/>
          <w:szCs w:val="20"/>
        </w:rPr>
      </w:pPr>
    </w:p>
    <w:p w:rsidR="0007777F" w:rsidRPr="00807837" w:rsidRDefault="0007777F" w:rsidP="00807837">
      <w:pPr>
        <w:pStyle w:val="ListParagraph"/>
        <w:numPr>
          <w:ilvl w:val="0"/>
          <w:numId w:val="26"/>
        </w:numPr>
        <w:spacing w:after="0" w:line="240" w:lineRule="auto"/>
        <w:rPr>
          <w:rFonts w:ascii="Arial" w:eastAsia="Calibri" w:hAnsi="Arial" w:cs="Arial"/>
          <w:sz w:val="20"/>
          <w:szCs w:val="20"/>
        </w:rPr>
      </w:pPr>
      <w:r w:rsidRPr="00807837">
        <w:rPr>
          <w:rFonts w:ascii="Arial" w:eastAsia="Calibri" w:hAnsi="Arial" w:cs="Arial"/>
          <w:sz w:val="20"/>
          <w:szCs w:val="20"/>
        </w:rPr>
        <w:t>Supportive interventions led by the Ministry and SA Tourism to reconnect Destination South Africa through air service de</w:t>
      </w:r>
      <w:r w:rsidR="00D02A00" w:rsidRPr="00807837">
        <w:rPr>
          <w:rFonts w:ascii="Arial" w:eastAsia="Calibri" w:hAnsi="Arial" w:cs="Arial"/>
          <w:sz w:val="20"/>
          <w:szCs w:val="20"/>
        </w:rPr>
        <w:t>velopment working through multi-</w:t>
      </w:r>
      <w:r w:rsidRPr="00807837">
        <w:rPr>
          <w:rFonts w:ascii="Arial" w:eastAsia="Calibri" w:hAnsi="Arial" w:cs="Arial"/>
          <w:sz w:val="20"/>
          <w:szCs w:val="20"/>
        </w:rPr>
        <w:t xml:space="preserve">stakeholder public and private sector structures; </w:t>
      </w:r>
    </w:p>
    <w:p w:rsidR="0007777F" w:rsidRPr="00807837" w:rsidRDefault="0007777F" w:rsidP="00807837">
      <w:pPr>
        <w:pStyle w:val="ListParagraph"/>
        <w:spacing w:after="0" w:line="240" w:lineRule="auto"/>
        <w:rPr>
          <w:rFonts w:ascii="Arial" w:eastAsia="Calibri" w:hAnsi="Arial" w:cs="Arial"/>
          <w:sz w:val="20"/>
          <w:szCs w:val="20"/>
        </w:rPr>
      </w:pPr>
    </w:p>
    <w:p w:rsidR="0015777C" w:rsidRPr="00807837" w:rsidRDefault="0007777F" w:rsidP="00807837">
      <w:pPr>
        <w:pStyle w:val="ListParagraph"/>
        <w:numPr>
          <w:ilvl w:val="0"/>
          <w:numId w:val="26"/>
        </w:numPr>
        <w:spacing w:after="0" w:line="240" w:lineRule="auto"/>
        <w:rPr>
          <w:rFonts w:ascii="Arial" w:eastAsia="Calibri" w:hAnsi="Arial" w:cs="Arial"/>
          <w:sz w:val="20"/>
          <w:szCs w:val="20"/>
        </w:rPr>
      </w:pPr>
      <w:r w:rsidRPr="00807837">
        <w:rPr>
          <w:rFonts w:ascii="Arial" w:eastAsia="Calibri" w:hAnsi="Arial" w:cs="Arial"/>
          <w:sz w:val="20"/>
          <w:szCs w:val="20"/>
        </w:rPr>
        <w:t xml:space="preserve">Growing interest in investment in tourism as demonstrated by investors from the Gulf Region during </w:t>
      </w:r>
      <w:r w:rsidR="003A0158" w:rsidRPr="00807837">
        <w:rPr>
          <w:rFonts w:ascii="Arial" w:eastAsia="Calibri" w:hAnsi="Arial" w:cs="Arial"/>
          <w:sz w:val="20"/>
          <w:szCs w:val="20"/>
        </w:rPr>
        <w:t xml:space="preserve">the Department’s </w:t>
      </w:r>
      <w:r w:rsidRPr="00807837">
        <w:rPr>
          <w:rFonts w:ascii="Arial" w:eastAsia="Calibri" w:hAnsi="Arial" w:cs="Arial"/>
          <w:sz w:val="20"/>
          <w:szCs w:val="20"/>
        </w:rPr>
        <w:t>engagements at the Dubai Expo in December 2021;</w:t>
      </w:r>
    </w:p>
    <w:p w:rsidR="0007777F" w:rsidRPr="00807837" w:rsidRDefault="0007777F" w:rsidP="00807837">
      <w:pPr>
        <w:pStyle w:val="ListParagraph"/>
        <w:spacing w:after="0" w:line="240" w:lineRule="auto"/>
        <w:rPr>
          <w:rFonts w:ascii="Arial" w:eastAsia="Calibri" w:hAnsi="Arial" w:cs="Arial"/>
          <w:sz w:val="20"/>
          <w:szCs w:val="20"/>
        </w:rPr>
      </w:pPr>
    </w:p>
    <w:p w:rsidR="0007777F" w:rsidRPr="00807837" w:rsidRDefault="0007777F" w:rsidP="00807837">
      <w:pPr>
        <w:pStyle w:val="ListParagraph"/>
        <w:numPr>
          <w:ilvl w:val="0"/>
          <w:numId w:val="26"/>
        </w:numPr>
        <w:spacing w:after="0" w:line="240" w:lineRule="auto"/>
        <w:rPr>
          <w:rFonts w:ascii="Arial" w:eastAsia="Calibri" w:hAnsi="Arial" w:cs="Arial"/>
          <w:sz w:val="20"/>
          <w:szCs w:val="20"/>
        </w:rPr>
      </w:pPr>
      <w:r w:rsidRPr="00807837">
        <w:rPr>
          <w:rFonts w:ascii="Arial" w:eastAsia="Calibri" w:hAnsi="Arial" w:cs="Arial"/>
          <w:sz w:val="20"/>
          <w:szCs w:val="20"/>
        </w:rPr>
        <w:t xml:space="preserve">The </w:t>
      </w:r>
      <w:r w:rsidR="003A0158" w:rsidRPr="00807837">
        <w:rPr>
          <w:rFonts w:ascii="Arial" w:eastAsia="Calibri" w:hAnsi="Arial" w:cs="Arial"/>
          <w:sz w:val="20"/>
          <w:szCs w:val="20"/>
        </w:rPr>
        <w:t xml:space="preserve">implementation of the </w:t>
      </w:r>
      <w:r w:rsidRPr="00807837">
        <w:rPr>
          <w:rFonts w:ascii="Arial" w:eastAsia="Calibri" w:hAnsi="Arial" w:cs="Arial"/>
          <w:sz w:val="20"/>
          <w:szCs w:val="20"/>
        </w:rPr>
        <w:t xml:space="preserve">Food Safety Quality Assurer Programme with training on norms and standards for safe tourism operations, including COVID-19 Protocols in the Western Cape and Gauteng provinces in line with project plans, targeting 300 unemployed and retrenched youth; </w:t>
      </w:r>
    </w:p>
    <w:p w:rsidR="0007777F" w:rsidRPr="00807837" w:rsidRDefault="0007777F" w:rsidP="00807837">
      <w:pPr>
        <w:pStyle w:val="ListParagraph"/>
        <w:spacing w:after="0" w:line="240" w:lineRule="auto"/>
        <w:rPr>
          <w:rFonts w:ascii="Arial" w:eastAsia="Calibri" w:hAnsi="Arial" w:cs="Arial"/>
          <w:sz w:val="20"/>
          <w:szCs w:val="20"/>
        </w:rPr>
      </w:pPr>
    </w:p>
    <w:p w:rsidR="0007777F" w:rsidRPr="00807837" w:rsidRDefault="0007777F" w:rsidP="00807837">
      <w:pPr>
        <w:pStyle w:val="ListParagraph"/>
        <w:numPr>
          <w:ilvl w:val="0"/>
          <w:numId w:val="26"/>
        </w:numPr>
        <w:spacing w:after="0" w:line="240" w:lineRule="auto"/>
        <w:rPr>
          <w:rFonts w:ascii="Arial" w:eastAsia="Calibri" w:hAnsi="Arial" w:cs="Arial"/>
          <w:sz w:val="20"/>
          <w:szCs w:val="20"/>
        </w:rPr>
      </w:pPr>
      <w:r w:rsidRPr="00807837">
        <w:rPr>
          <w:rFonts w:ascii="Arial" w:eastAsia="Calibri" w:hAnsi="Arial" w:cs="Arial"/>
          <w:sz w:val="20"/>
          <w:szCs w:val="20"/>
        </w:rPr>
        <w:t xml:space="preserve">The </w:t>
      </w:r>
      <w:r w:rsidR="003A0158" w:rsidRPr="00807837">
        <w:rPr>
          <w:rFonts w:ascii="Arial" w:eastAsia="Calibri" w:hAnsi="Arial" w:cs="Arial"/>
          <w:sz w:val="20"/>
          <w:szCs w:val="20"/>
        </w:rPr>
        <w:t xml:space="preserve">implementation of the </w:t>
      </w:r>
      <w:r w:rsidRPr="00807837">
        <w:rPr>
          <w:rFonts w:ascii="Arial" w:eastAsia="Calibri" w:hAnsi="Arial" w:cs="Arial"/>
          <w:sz w:val="20"/>
          <w:szCs w:val="20"/>
        </w:rPr>
        <w:t>Chef/Professional Cookery with training on norms and standards for safe tourism operations, including COVID-19 Protocols in the Free State and Northern Cape provinces in line with project plans, targeting 300 unemployed and retrenched youth;</w:t>
      </w:r>
    </w:p>
    <w:p w:rsidR="0007777F" w:rsidRPr="00807837" w:rsidRDefault="0007777F" w:rsidP="00807837">
      <w:pPr>
        <w:pStyle w:val="ListParagraph"/>
        <w:spacing w:after="0" w:line="240" w:lineRule="auto"/>
        <w:rPr>
          <w:rFonts w:ascii="Arial" w:eastAsia="Calibri" w:hAnsi="Arial" w:cs="Arial"/>
          <w:sz w:val="20"/>
          <w:szCs w:val="20"/>
        </w:rPr>
      </w:pPr>
    </w:p>
    <w:p w:rsidR="0007777F" w:rsidRPr="00807837" w:rsidRDefault="0007777F" w:rsidP="00807837">
      <w:pPr>
        <w:pStyle w:val="ListParagraph"/>
        <w:numPr>
          <w:ilvl w:val="0"/>
          <w:numId w:val="26"/>
        </w:numPr>
        <w:spacing w:after="0" w:line="240" w:lineRule="auto"/>
        <w:rPr>
          <w:rFonts w:ascii="Arial" w:eastAsia="Calibri" w:hAnsi="Arial" w:cs="Arial"/>
          <w:sz w:val="20"/>
          <w:szCs w:val="20"/>
        </w:rPr>
      </w:pPr>
      <w:r w:rsidRPr="00807837">
        <w:rPr>
          <w:rFonts w:ascii="Arial" w:eastAsia="Calibri" w:hAnsi="Arial" w:cs="Arial"/>
          <w:sz w:val="20"/>
          <w:szCs w:val="20"/>
        </w:rPr>
        <w:t xml:space="preserve">The </w:t>
      </w:r>
      <w:r w:rsidR="003A0158" w:rsidRPr="00807837">
        <w:rPr>
          <w:rFonts w:ascii="Arial" w:eastAsia="Calibri" w:hAnsi="Arial" w:cs="Arial"/>
          <w:sz w:val="20"/>
          <w:szCs w:val="20"/>
        </w:rPr>
        <w:t xml:space="preserve">implementation of the </w:t>
      </w:r>
      <w:r w:rsidRPr="00807837">
        <w:rPr>
          <w:rFonts w:ascii="Arial" w:eastAsia="Calibri" w:hAnsi="Arial" w:cs="Arial"/>
          <w:sz w:val="20"/>
          <w:szCs w:val="20"/>
        </w:rPr>
        <w:t xml:space="preserve">Hospitality Youth Programme (Food and Beverage) in KwaZulu-Natal, Western Cape, North West, Gauteng and Mpumalanga provinces, where 340 youth were being trained or active in the Eastern Cape (100), Western Cape (140) and Northern Cape (100); and </w:t>
      </w:r>
    </w:p>
    <w:p w:rsidR="0007777F" w:rsidRPr="00807837" w:rsidRDefault="0007777F" w:rsidP="00807837">
      <w:pPr>
        <w:pStyle w:val="ListParagraph"/>
        <w:spacing w:after="0" w:line="240" w:lineRule="auto"/>
        <w:rPr>
          <w:rFonts w:ascii="Arial" w:eastAsia="Calibri" w:hAnsi="Arial" w:cs="Arial"/>
          <w:sz w:val="20"/>
          <w:szCs w:val="20"/>
        </w:rPr>
      </w:pPr>
    </w:p>
    <w:p w:rsidR="0007777F" w:rsidRPr="00807837" w:rsidRDefault="003A0158" w:rsidP="00807837">
      <w:pPr>
        <w:pStyle w:val="ListParagraph"/>
        <w:numPr>
          <w:ilvl w:val="0"/>
          <w:numId w:val="26"/>
        </w:numPr>
        <w:spacing w:after="0" w:line="240" w:lineRule="auto"/>
        <w:rPr>
          <w:rFonts w:ascii="Arial" w:eastAsia="Calibri" w:hAnsi="Arial" w:cs="Arial"/>
          <w:sz w:val="20"/>
          <w:szCs w:val="20"/>
        </w:rPr>
      </w:pPr>
      <w:r w:rsidRPr="00807837">
        <w:rPr>
          <w:rFonts w:ascii="Arial" w:eastAsia="Calibri" w:hAnsi="Arial" w:cs="Arial"/>
          <w:sz w:val="20"/>
          <w:szCs w:val="20"/>
        </w:rPr>
        <w:t xml:space="preserve">The </w:t>
      </w:r>
      <w:r w:rsidR="0007777F" w:rsidRPr="00807837">
        <w:rPr>
          <w:rFonts w:ascii="Arial" w:eastAsia="Calibri" w:hAnsi="Arial" w:cs="Arial"/>
          <w:sz w:val="20"/>
          <w:szCs w:val="20"/>
        </w:rPr>
        <w:t>Wine Service Training Programme (Sommelier) with training on norms and standards for safe tourism operations, including COVID-19 Protocols was implemented in KwaZulu-Natal, Western Cape and Northern Cape provinces targeting 252 unemployed and retrenched youth</w:t>
      </w:r>
    </w:p>
    <w:p w:rsidR="0007777F" w:rsidRPr="00807837" w:rsidRDefault="0007777F" w:rsidP="00807837">
      <w:pPr>
        <w:spacing w:after="0" w:line="240" w:lineRule="auto"/>
        <w:rPr>
          <w:rFonts w:ascii="Arial" w:eastAsia="Calibri" w:hAnsi="Arial" w:cs="Arial"/>
          <w:sz w:val="20"/>
          <w:szCs w:val="20"/>
        </w:rPr>
      </w:pPr>
    </w:p>
    <w:p w:rsidR="0015777C" w:rsidRPr="00807837" w:rsidRDefault="0015777C" w:rsidP="00807837">
      <w:pPr>
        <w:spacing w:after="0" w:line="240" w:lineRule="auto"/>
        <w:rPr>
          <w:rFonts w:ascii="Arial" w:eastAsia="Calibri" w:hAnsi="Arial" w:cs="Arial"/>
          <w:sz w:val="20"/>
          <w:szCs w:val="20"/>
        </w:rPr>
      </w:pPr>
      <w:r w:rsidRPr="00807837">
        <w:rPr>
          <w:rFonts w:ascii="Arial" w:eastAsia="Calibri" w:hAnsi="Arial" w:cs="Arial"/>
          <w:sz w:val="20"/>
          <w:szCs w:val="20"/>
        </w:rPr>
        <w:t>Achievements by SA Tourism:</w:t>
      </w:r>
    </w:p>
    <w:p w:rsidR="0015777C" w:rsidRPr="00807837" w:rsidRDefault="0015777C" w:rsidP="00807837">
      <w:pPr>
        <w:spacing w:after="0" w:line="240" w:lineRule="auto"/>
        <w:rPr>
          <w:rFonts w:ascii="Arial" w:eastAsia="Calibri" w:hAnsi="Arial" w:cs="Arial"/>
          <w:sz w:val="20"/>
          <w:szCs w:val="20"/>
        </w:rPr>
      </w:pPr>
    </w:p>
    <w:p w:rsidR="0015777C" w:rsidRPr="00807837" w:rsidRDefault="0015777C" w:rsidP="00807837">
      <w:pPr>
        <w:pStyle w:val="ListParagraph"/>
        <w:numPr>
          <w:ilvl w:val="0"/>
          <w:numId w:val="26"/>
        </w:numPr>
        <w:spacing w:after="0" w:line="240" w:lineRule="auto"/>
        <w:rPr>
          <w:rFonts w:ascii="Arial" w:eastAsia="Calibri" w:hAnsi="Arial" w:cs="Arial"/>
          <w:sz w:val="20"/>
          <w:szCs w:val="20"/>
        </w:rPr>
      </w:pPr>
      <w:r w:rsidRPr="00807837">
        <w:rPr>
          <w:rFonts w:ascii="Arial" w:eastAsia="Calibri" w:hAnsi="Arial" w:cs="Arial"/>
          <w:sz w:val="20"/>
          <w:szCs w:val="20"/>
        </w:rPr>
        <w:t xml:space="preserve">Number of international tourist arrivals achieved (April 2021 – February 2022): 2 417 452. </w:t>
      </w:r>
    </w:p>
    <w:p w:rsidR="0007777F" w:rsidRPr="00807837" w:rsidRDefault="0015777C" w:rsidP="00807837">
      <w:pPr>
        <w:pStyle w:val="ListParagraph"/>
        <w:numPr>
          <w:ilvl w:val="0"/>
          <w:numId w:val="26"/>
        </w:numPr>
        <w:spacing w:after="0" w:line="240" w:lineRule="auto"/>
        <w:rPr>
          <w:rFonts w:ascii="Arial" w:eastAsia="Calibri" w:hAnsi="Arial" w:cs="Arial"/>
          <w:sz w:val="20"/>
          <w:szCs w:val="20"/>
        </w:rPr>
      </w:pPr>
      <w:r w:rsidRPr="00807837">
        <w:rPr>
          <w:rFonts w:ascii="Arial" w:eastAsia="Calibri" w:hAnsi="Arial" w:cs="Arial"/>
          <w:sz w:val="20"/>
          <w:szCs w:val="20"/>
        </w:rPr>
        <w:t>Number of domestic holiday trips achieved (April 2021 – February 2022): 3.7 million.</w:t>
      </w:r>
    </w:p>
    <w:p w:rsidR="0007777F" w:rsidRPr="00807837" w:rsidRDefault="0015777C" w:rsidP="00807837">
      <w:pPr>
        <w:pStyle w:val="ListParagraph"/>
        <w:numPr>
          <w:ilvl w:val="0"/>
          <w:numId w:val="26"/>
        </w:numPr>
        <w:spacing w:after="0" w:line="240" w:lineRule="auto"/>
        <w:rPr>
          <w:rFonts w:ascii="Arial" w:eastAsia="Calibri" w:hAnsi="Arial" w:cs="Arial"/>
          <w:sz w:val="20"/>
          <w:szCs w:val="20"/>
        </w:rPr>
      </w:pPr>
      <w:r w:rsidRPr="00807837">
        <w:rPr>
          <w:rFonts w:ascii="Arial" w:eastAsia="Calibri" w:hAnsi="Arial" w:cs="Arial"/>
          <w:sz w:val="20"/>
          <w:szCs w:val="20"/>
        </w:rPr>
        <w:t xml:space="preserve"> Total tourism revenue: R53.63 billion </w:t>
      </w:r>
    </w:p>
    <w:p w:rsidR="0007777F" w:rsidRPr="00807837" w:rsidRDefault="006A24B6" w:rsidP="00807837">
      <w:pPr>
        <w:pStyle w:val="ListParagraph"/>
        <w:numPr>
          <w:ilvl w:val="0"/>
          <w:numId w:val="26"/>
        </w:numPr>
        <w:spacing w:after="0" w:line="240" w:lineRule="auto"/>
        <w:rPr>
          <w:rFonts w:ascii="Arial" w:eastAsia="Calibri" w:hAnsi="Arial" w:cs="Arial"/>
          <w:sz w:val="20"/>
          <w:szCs w:val="20"/>
        </w:rPr>
      </w:pPr>
      <w:r w:rsidRPr="00807837">
        <w:rPr>
          <w:rFonts w:ascii="Arial" w:eastAsia="Calibri" w:hAnsi="Arial" w:cs="Arial"/>
          <w:sz w:val="20"/>
          <w:szCs w:val="20"/>
        </w:rPr>
        <w:t>Total Tourist Foreign Direct Spend (</w:t>
      </w:r>
      <w:r w:rsidR="0015777C" w:rsidRPr="00807837">
        <w:rPr>
          <w:rFonts w:ascii="Arial" w:eastAsia="Calibri" w:hAnsi="Arial" w:cs="Arial"/>
          <w:sz w:val="20"/>
          <w:szCs w:val="20"/>
        </w:rPr>
        <w:t>TTFDS</w:t>
      </w:r>
      <w:r w:rsidRPr="00807837">
        <w:rPr>
          <w:rFonts w:ascii="Arial" w:eastAsia="Calibri" w:hAnsi="Arial" w:cs="Arial"/>
          <w:sz w:val="20"/>
          <w:szCs w:val="20"/>
        </w:rPr>
        <w:t>)</w:t>
      </w:r>
      <w:r w:rsidR="0015777C" w:rsidRPr="00807837">
        <w:rPr>
          <w:rFonts w:ascii="Arial" w:eastAsia="Calibri" w:hAnsi="Arial" w:cs="Arial"/>
          <w:sz w:val="20"/>
          <w:szCs w:val="20"/>
        </w:rPr>
        <w:t>: R16.3 billion (April – December 2021).</w:t>
      </w:r>
    </w:p>
    <w:p w:rsidR="0007777F" w:rsidRPr="00807837" w:rsidRDefault="0015777C" w:rsidP="00807837">
      <w:pPr>
        <w:pStyle w:val="ListParagraph"/>
        <w:numPr>
          <w:ilvl w:val="0"/>
          <w:numId w:val="26"/>
        </w:numPr>
        <w:spacing w:after="0" w:line="240" w:lineRule="auto"/>
        <w:rPr>
          <w:rFonts w:ascii="Arial" w:eastAsia="Calibri" w:hAnsi="Arial" w:cs="Arial"/>
          <w:sz w:val="20"/>
          <w:szCs w:val="20"/>
        </w:rPr>
      </w:pPr>
      <w:r w:rsidRPr="00807837">
        <w:rPr>
          <w:rFonts w:ascii="Arial" w:eastAsia="Calibri" w:hAnsi="Arial" w:cs="Arial"/>
          <w:sz w:val="20"/>
          <w:szCs w:val="20"/>
        </w:rPr>
        <w:t>T</w:t>
      </w:r>
      <w:r w:rsidR="006A24B6" w:rsidRPr="00807837">
        <w:rPr>
          <w:rFonts w:ascii="Arial" w:eastAsia="Calibri" w:hAnsi="Arial" w:cs="Arial"/>
          <w:sz w:val="20"/>
          <w:szCs w:val="20"/>
        </w:rPr>
        <w:t xml:space="preserve">otal </w:t>
      </w:r>
      <w:r w:rsidRPr="00807837">
        <w:rPr>
          <w:rFonts w:ascii="Arial" w:eastAsia="Calibri" w:hAnsi="Arial" w:cs="Arial"/>
          <w:sz w:val="20"/>
          <w:szCs w:val="20"/>
        </w:rPr>
        <w:t>D</w:t>
      </w:r>
      <w:r w:rsidR="006A24B6" w:rsidRPr="00807837">
        <w:rPr>
          <w:rFonts w:ascii="Arial" w:eastAsia="Calibri" w:hAnsi="Arial" w:cs="Arial"/>
          <w:sz w:val="20"/>
          <w:szCs w:val="20"/>
        </w:rPr>
        <w:t xml:space="preserve">irect </w:t>
      </w:r>
      <w:r w:rsidRPr="00807837">
        <w:rPr>
          <w:rFonts w:ascii="Arial" w:eastAsia="Calibri" w:hAnsi="Arial" w:cs="Arial"/>
          <w:sz w:val="20"/>
          <w:szCs w:val="20"/>
        </w:rPr>
        <w:t>D</w:t>
      </w:r>
      <w:r w:rsidR="006A24B6" w:rsidRPr="00807837">
        <w:rPr>
          <w:rFonts w:ascii="Arial" w:eastAsia="Calibri" w:hAnsi="Arial" w:cs="Arial"/>
          <w:sz w:val="20"/>
          <w:szCs w:val="20"/>
        </w:rPr>
        <w:t xml:space="preserve">omestic </w:t>
      </w:r>
      <w:r w:rsidRPr="00807837">
        <w:rPr>
          <w:rFonts w:ascii="Arial" w:eastAsia="Calibri" w:hAnsi="Arial" w:cs="Arial"/>
          <w:sz w:val="20"/>
          <w:szCs w:val="20"/>
        </w:rPr>
        <w:t>S</w:t>
      </w:r>
      <w:r w:rsidR="006A24B6" w:rsidRPr="00807837">
        <w:rPr>
          <w:rFonts w:ascii="Arial" w:eastAsia="Calibri" w:hAnsi="Arial" w:cs="Arial"/>
          <w:sz w:val="20"/>
          <w:szCs w:val="20"/>
        </w:rPr>
        <w:t>pend (TDDS)</w:t>
      </w:r>
      <w:r w:rsidRPr="00807837">
        <w:rPr>
          <w:rFonts w:ascii="Arial" w:eastAsia="Calibri" w:hAnsi="Arial" w:cs="Arial"/>
          <w:sz w:val="20"/>
          <w:szCs w:val="20"/>
        </w:rPr>
        <w:t xml:space="preserve">: R37.3 billion achieved (April – December 2021). </w:t>
      </w:r>
    </w:p>
    <w:p w:rsidR="0007777F" w:rsidRPr="00807837" w:rsidRDefault="0015777C" w:rsidP="00807837">
      <w:pPr>
        <w:pStyle w:val="ListParagraph"/>
        <w:numPr>
          <w:ilvl w:val="0"/>
          <w:numId w:val="26"/>
        </w:numPr>
        <w:spacing w:after="0" w:line="240" w:lineRule="auto"/>
        <w:rPr>
          <w:rFonts w:ascii="Arial" w:eastAsia="Calibri" w:hAnsi="Arial" w:cs="Arial"/>
          <w:sz w:val="20"/>
          <w:szCs w:val="20"/>
        </w:rPr>
      </w:pPr>
      <w:r w:rsidRPr="00807837">
        <w:rPr>
          <w:rFonts w:ascii="Arial" w:eastAsia="Calibri" w:hAnsi="Arial" w:cs="Arial"/>
          <w:sz w:val="20"/>
          <w:szCs w:val="20"/>
        </w:rPr>
        <w:t xml:space="preserve">Number of bid submissions: 82 bid submissions </w:t>
      </w:r>
    </w:p>
    <w:p w:rsidR="0007777F" w:rsidRPr="00807837" w:rsidRDefault="0015777C" w:rsidP="00807837">
      <w:pPr>
        <w:pStyle w:val="ListParagraph"/>
        <w:numPr>
          <w:ilvl w:val="0"/>
          <w:numId w:val="26"/>
        </w:numPr>
        <w:spacing w:after="0" w:line="240" w:lineRule="auto"/>
        <w:rPr>
          <w:rFonts w:ascii="Arial" w:eastAsia="Calibri" w:hAnsi="Arial" w:cs="Arial"/>
          <w:sz w:val="20"/>
          <w:szCs w:val="20"/>
        </w:rPr>
      </w:pPr>
      <w:r w:rsidRPr="00807837">
        <w:rPr>
          <w:rFonts w:ascii="Arial" w:eastAsia="Calibri" w:hAnsi="Arial" w:cs="Arial"/>
          <w:sz w:val="20"/>
          <w:szCs w:val="20"/>
        </w:rPr>
        <w:t>Number of accommodation establishments graded (April 2021 – March 2022): 3</w:t>
      </w:r>
      <w:r w:rsidR="0007777F" w:rsidRPr="00807837">
        <w:rPr>
          <w:rFonts w:ascii="Arial" w:eastAsia="Calibri" w:hAnsi="Arial" w:cs="Arial"/>
          <w:sz w:val="20"/>
          <w:szCs w:val="20"/>
        </w:rPr>
        <w:t> </w:t>
      </w:r>
      <w:r w:rsidRPr="00807837">
        <w:rPr>
          <w:rFonts w:ascii="Arial" w:eastAsia="Calibri" w:hAnsi="Arial" w:cs="Arial"/>
          <w:sz w:val="20"/>
          <w:szCs w:val="20"/>
        </w:rPr>
        <w:t>605.</w:t>
      </w:r>
    </w:p>
    <w:p w:rsidR="0015777C" w:rsidRPr="00807837" w:rsidRDefault="0015777C" w:rsidP="00807837">
      <w:pPr>
        <w:pStyle w:val="ListParagraph"/>
        <w:numPr>
          <w:ilvl w:val="0"/>
          <w:numId w:val="26"/>
        </w:numPr>
        <w:spacing w:after="0" w:line="240" w:lineRule="auto"/>
        <w:rPr>
          <w:rFonts w:ascii="Arial" w:eastAsia="Calibri" w:hAnsi="Arial" w:cs="Arial"/>
          <w:sz w:val="20"/>
          <w:szCs w:val="20"/>
        </w:rPr>
      </w:pPr>
      <w:r w:rsidRPr="00807837">
        <w:rPr>
          <w:rFonts w:ascii="Arial" w:eastAsia="Calibri" w:hAnsi="Arial" w:cs="Arial"/>
          <w:sz w:val="20"/>
          <w:szCs w:val="20"/>
        </w:rPr>
        <w:t>Number of graded rooms (April 2021 – March 2022): 89</w:t>
      </w:r>
      <w:r w:rsidR="00B054BF" w:rsidRPr="00807837">
        <w:rPr>
          <w:rFonts w:ascii="Arial" w:eastAsia="Calibri" w:hAnsi="Arial" w:cs="Arial"/>
          <w:sz w:val="20"/>
          <w:szCs w:val="20"/>
        </w:rPr>
        <w:t> </w:t>
      </w:r>
      <w:r w:rsidRPr="00807837">
        <w:rPr>
          <w:rFonts w:ascii="Arial" w:eastAsia="Calibri" w:hAnsi="Arial" w:cs="Arial"/>
          <w:sz w:val="20"/>
          <w:szCs w:val="20"/>
        </w:rPr>
        <w:t>075</w:t>
      </w:r>
    </w:p>
    <w:p w:rsidR="0015777C" w:rsidRPr="00807837" w:rsidRDefault="0015777C" w:rsidP="00807837">
      <w:pPr>
        <w:spacing w:after="0" w:line="240" w:lineRule="auto"/>
        <w:rPr>
          <w:rFonts w:ascii="Arial" w:eastAsia="Calibri" w:hAnsi="Arial" w:cs="Arial"/>
          <w:sz w:val="20"/>
          <w:szCs w:val="20"/>
        </w:rPr>
      </w:pPr>
    </w:p>
    <w:p w:rsidR="00885CEE" w:rsidRPr="00807837" w:rsidRDefault="00885CEE" w:rsidP="00807837">
      <w:pPr>
        <w:numPr>
          <w:ilvl w:val="1"/>
          <w:numId w:val="17"/>
        </w:numPr>
        <w:spacing w:after="0" w:line="240" w:lineRule="auto"/>
        <w:rPr>
          <w:rFonts w:ascii="Arial" w:eastAsia="Calibri" w:hAnsi="Arial" w:cs="Arial"/>
          <w:b/>
          <w:sz w:val="20"/>
          <w:szCs w:val="20"/>
        </w:rPr>
      </w:pPr>
      <w:r w:rsidRPr="00807837">
        <w:rPr>
          <w:rFonts w:ascii="Arial" w:eastAsia="Calibri" w:hAnsi="Arial" w:cs="Arial"/>
          <w:b/>
          <w:sz w:val="20"/>
          <w:szCs w:val="20"/>
        </w:rPr>
        <w:t>Non-financial Audit outcomes and steps taken to address adverse audit findings</w:t>
      </w:r>
    </w:p>
    <w:p w:rsidR="00A37EC8" w:rsidRPr="00807837" w:rsidRDefault="00A37EC8" w:rsidP="00807837">
      <w:pPr>
        <w:spacing w:after="0" w:line="240" w:lineRule="auto"/>
        <w:rPr>
          <w:rFonts w:ascii="Arial" w:eastAsia="Calibri" w:hAnsi="Arial" w:cs="Arial"/>
          <w:sz w:val="20"/>
          <w:szCs w:val="20"/>
        </w:rPr>
      </w:pPr>
    </w:p>
    <w:p w:rsidR="008D633B" w:rsidRPr="00807837" w:rsidRDefault="00EE53DF" w:rsidP="00807837">
      <w:pPr>
        <w:spacing w:after="0" w:line="240" w:lineRule="auto"/>
        <w:rPr>
          <w:rFonts w:ascii="Arial" w:eastAsia="Calibri" w:hAnsi="Arial" w:cs="Arial"/>
          <w:sz w:val="20"/>
          <w:szCs w:val="20"/>
        </w:rPr>
      </w:pPr>
      <w:r w:rsidRPr="00807837">
        <w:rPr>
          <w:rFonts w:ascii="Arial" w:eastAsia="Calibri" w:hAnsi="Arial" w:cs="Arial"/>
          <w:sz w:val="20"/>
          <w:szCs w:val="20"/>
        </w:rPr>
        <w:t>Similarly,</w:t>
      </w:r>
      <w:r w:rsidR="00B62FDD" w:rsidRPr="00807837">
        <w:rPr>
          <w:rFonts w:ascii="Arial" w:eastAsia="Calibri" w:hAnsi="Arial" w:cs="Arial"/>
          <w:sz w:val="20"/>
          <w:szCs w:val="20"/>
        </w:rPr>
        <w:t xml:space="preserve"> to the previous audit period, the </w:t>
      </w:r>
      <w:r w:rsidR="00DF1BDF" w:rsidRPr="00807837">
        <w:rPr>
          <w:rFonts w:ascii="Arial" w:eastAsia="Calibri" w:hAnsi="Arial" w:cs="Arial"/>
          <w:sz w:val="20"/>
          <w:szCs w:val="20"/>
        </w:rPr>
        <w:t xml:space="preserve">Committee is </w:t>
      </w:r>
      <w:r w:rsidR="008D633B" w:rsidRPr="00807837">
        <w:rPr>
          <w:rFonts w:ascii="Arial" w:eastAsia="Calibri" w:hAnsi="Arial" w:cs="Arial"/>
          <w:sz w:val="20"/>
          <w:szCs w:val="20"/>
        </w:rPr>
        <w:t xml:space="preserve">generally </w:t>
      </w:r>
      <w:r w:rsidR="004659D9" w:rsidRPr="00807837">
        <w:rPr>
          <w:rFonts w:ascii="Arial" w:eastAsia="Calibri" w:hAnsi="Arial" w:cs="Arial"/>
          <w:sz w:val="20"/>
          <w:szCs w:val="20"/>
        </w:rPr>
        <w:t>dissatisfied</w:t>
      </w:r>
      <w:r w:rsidR="008D633B" w:rsidRPr="00807837">
        <w:rPr>
          <w:rFonts w:ascii="Arial" w:eastAsia="Calibri" w:hAnsi="Arial" w:cs="Arial"/>
          <w:sz w:val="20"/>
          <w:szCs w:val="20"/>
        </w:rPr>
        <w:t xml:space="preserve"> with the non-financial </w:t>
      </w:r>
      <w:r w:rsidR="00D0415C" w:rsidRPr="00807837">
        <w:rPr>
          <w:rFonts w:ascii="Arial" w:eastAsia="Calibri" w:hAnsi="Arial" w:cs="Arial"/>
          <w:sz w:val="20"/>
          <w:szCs w:val="20"/>
        </w:rPr>
        <w:t>audit</w:t>
      </w:r>
      <w:r w:rsidR="008D633B" w:rsidRPr="00807837">
        <w:rPr>
          <w:rFonts w:ascii="Arial" w:eastAsia="Calibri" w:hAnsi="Arial" w:cs="Arial"/>
          <w:sz w:val="20"/>
          <w:szCs w:val="20"/>
        </w:rPr>
        <w:t xml:space="preserve"> outcomes raised by the Auditor-general in the period under review. The following are some of the</w:t>
      </w:r>
      <w:r w:rsidR="00E45835" w:rsidRPr="00807837">
        <w:rPr>
          <w:rFonts w:ascii="Arial" w:eastAsia="Calibri" w:hAnsi="Arial" w:cs="Arial"/>
          <w:sz w:val="20"/>
          <w:szCs w:val="20"/>
        </w:rPr>
        <w:t xml:space="preserve"> findings and remedial</w:t>
      </w:r>
      <w:r w:rsidR="008D633B" w:rsidRPr="00807837">
        <w:rPr>
          <w:rFonts w:ascii="Arial" w:eastAsia="Calibri" w:hAnsi="Arial" w:cs="Arial"/>
          <w:sz w:val="20"/>
          <w:szCs w:val="20"/>
        </w:rPr>
        <w:t xml:space="preserve"> actions </w:t>
      </w:r>
      <w:r w:rsidR="00D0415C" w:rsidRPr="00807837">
        <w:rPr>
          <w:rFonts w:ascii="Arial" w:eastAsia="Calibri" w:hAnsi="Arial" w:cs="Arial"/>
          <w:sz w:val="20"/>
          <w:szCs w:val="20"/>
        </w:rPr>
        <w:t>taken</w:t>
      </w:r>
      <w:r w:rsidR="008D633B" w:rsidRPr="00807837">
        <w:rPr>
          <w:rFonts w:ascii="Arial" w:eastAsia="Calibri" w:hAnsi="Arial" w:cs="Arial"/>
          <w:sz w:val="20"/>
          <w:szCs w:val="20"/>
        </w:rPr>
        <w:t>:</w:t>
      </w:r>
    </w:p>
    <w:p w:rsidR="005E7CEA" w:rsidRPr="00807837" w:rsidRDefault="005E7CEA" w:rsidP="00807837">
      <w:pPr>
        <w:spacing w:after="0" w:line="240" w:lineRule="auto"/>
        <w:rPr>
          <w:rFonts w:ascii="Arial" w:eastAsia="Calibri" w:hAnsi="Arial" w:cs="Arial"/>
          <w:sz w:val="20"/>
          <w:szCs w:val="20"/>
        </w:rPr>
      </w:pPr>
    </w:p>
    <w:p w:rsidR="00B62FDD" w:rsidRPr="00807837" w:rsidRDefault="005E7CEA" w:rsidP="00807837">
      <w:pPr>
        <w:pStyle w:val="ListParagraph"/>
        <w:numPr>
          <w:ilvl w:val="0"/>
          <w:numId w:val="25"/>
        </w:numPr>
        <w:spacing w:after="0" w:line="240" w:lineRule="auto"/>
        <w:rPr>
          <w:rFonts w:ascii="Arial" w:eastAsia="Calibri" w:hAnsi="Arial" w:cs="Arial"/>
          <w:sz w:val="20"/>
          <w:szCs w:val="20"/>
        </w:rPr>
      </w:pPr>
      <w:r w:rsidRPr="00807837">
        <w:rPr>
          <w:rFonts w:ascii="Arial" w:eastAsia="Calibri" w:hAnsi="Arial" w:cs="Arial"/>
          <w:sz w:val="20"/>
          <w:szCs w:val="20"/>
        </w:rPr>
        <w:t>Implementation of the Presidential Employment Stimulus Package (PESP) - This was done through expenditure on tourism projects that would create employment. The</w:t>
      </w:r>
      <w:r w:rsidR="003A0158" w:rsidRPr="00807837">
        <w:rPr>
          <w:rFonts w:ascii="Arial" w:eastAsia="Calibri" w:hAnsi="Arial" w:cs="Arial"/>
          <w:sz w:val="20"/>
          <w:szCs w:val="20"/>
        </w:rPr>
        <w:t xml:space="preserve"> Department</w:t>
      </w:r>
      <w:r w:rsidRPr="00807837">
        <w:rPr>
          <w:rFonts w:ascii="Arial" w:eastAsia="Calibri" w:hAnsi="Arial" w:cs="Arial"/>
          <w:sz w:val="20"/>
          <w:szCs w:val="20"/>
        </w:rPr>
        <w:t xml:space="preserve"> only had </w:t>
      </w:r>
      <w:r w:rsidR="003A0158" w:rsidRPr="00807837">
        <w:rPr>
          <w:rFonts w:ascii="Arial" w:eastAsia="Calibri" w:hAnsi="Arial" w:cs="Arial"/>
          <w:sz w:val="20"/>
          <w:szCs w:val="20"/>
        </w:rPr>
        <w:t xml:space="preserve">six </w:t>
      </w:r>
      <w:r w:rsidRPr="00807837">
        <w:rPr>
          <w:rFonts w:ascii="Arial" w:eastAsia="Calibri" w:hAnsi="Arial" w:cs="Arial"/>
          <w:sz w:val="20"/>
          <w:szCs w:val="20"/>
        </w:rPr>
        <w:t xml:space="preserve">months to rollout the programme and agreed with the PESP team on a target of 1 162 learners in the programme. The Department </w:t>
      </w:r>
      <w:r w:rsidR="00E21CCC" w:rsidRPr="00807837">
        <w:rPr>
          <w:rFonts w:ascii="Arial" w:eastAsia="Calibri" w:hAnsi="Arial" w:cs="Arial"/>
          <w:sz w:val="20"/>
          <w:szCs w:val="20"/>
        </w:rPr>
        <w:t>created</w:t>
      </w:r>
      <w:r w:rsidRPr="00807837">
        <w:rPr>
          <w:rFonts w:ascii="Arial" w:eastAsia="Calibri" w:hAnsi="Arial" w:cs="Arial"/>
          <w:sz w:val="20"/>
          <w:szCs w:val="20"/>
        </w:rPr>
        <w:t xml:space="preserve"> 919 by the end of March 2022. The remedial action will be through better coordination between all role players</w:t>
      </w:r>
      <w:r w:rsidR="00C5339A" w:rsidRPr="00807837">
        <w:rPr>
          <w:rFonts w:ascii="Arial" w:eastAsia="Calibri" w:hAnsi="Arial" w:cs="Arial"/>
          <w:sz w:val="20"/>
          <w:szCs w:val="20"/>
        </w:rPr>
        <w:t xml:space="preserve">; </w:t>
      </w:r>
      <w:r w:rsidRPr="00807837">
        <w:rPr>
          <w:rFonts w:ascii="Arial" w:eastAsia="Calibri" w:hAnsi="Arial" w:cs="Arial"/>
          <w:sz w:val="20"/>
          <w:szCs w:val="20"/>
        </w:rPr>
        <w:t xml:space="preserve">Presidency, National Treasury and the Department could have prevented the under achievement of the target. It is also acknowledged that factors such as the increase in </w:t>
      </w:r>
      <w:r w:rsidR="003A0158" w:rsidRPr="00807837">
        <w:rPr>
          <w:rFonts w:ascii="Arial" w:eastAsia="Calibri" w:hAnsi="Arial" w:cs="Arial"/>
          <w:sz w:val="20"/>
          <w:szCs w:val="20"/>
        </w:rPr>
        <w:t xml:space="preserve">the </w:t>
      </w:r>
      <w:r w:rsidRPr="00807837">
        <w:rPr>
          <w:rFonts w:ascii="Arial" w:eastAsia="Calibri" w:hAnsi="Arial" w:cs="Arial"/>
          <w:sz w:val="20"/>
          <w:szCs w:val="20"/>
        </w:rPr>
        <w:t>wage rate to R23 per hour also contributed to the under achievement.  It will be prudent if future employment initiatives will be more focused on sustainable job creation.</w:t>
      </w:r>
    </w:p>
    <w:p w:rsidR="005E7CEA" w:rsidRPr="00807837" w:rsidRDefault="005E7CEA" w:rsidP="00807837">
      <w:pPr>
        <w:pStyle w:val="ListParagraph"/>
        <w:spacing w:after="0" w:line="240" w:lineRule="auto"/>
        <w:rPr>
          <w:rFonts w:ascii="Arial" w:eastAsia="Calibri" w:hAnsi="Arial" w:cs="Arial"/>
          <w:sz w:val="20"/>
          <w:szCs w:val="20"/>
        </w:rPr>
      </w:pPr>
    </w:p>
    <w:p w:rsidR="005E7CEA" w:rsidRPr="00807837" w:rsidRDefault="005E7CEA" w:rsidP="00807837">
      <w:pPr>
        <w:pStyle w:val="ListParagraph"/>
        <w:numPr>
          <w:ilvl w:val="0"/>
          <w:numId w:val="25"/>
        </w:numPr>
        <w:spacing w:after="0" w:line="240" w:lineRule="auto"/>
        <w:rPr>
          <w:rFonts w:ascii="Arial" w:eastAsia="Calibri" w:hAnsi="Arial" w:cs="Arial"/>
          <w:sz w:val="20"/>
          <w:szCs w:val="20"/>
        </w:rPr>
      </w:pPr>
      <w:r w:rsidRPr="00807837">
        <w:rPr>
          <w:rFonts w:ascii="Arial" w:eastAsia="Calibri" w:hAnsi="Arial" w:cs="Arial"/>
          <w:sz w:val="20"/>
          <w:szCs w:val="20"/>
        </w:rPr>
        <w:t>Implementation of the Expanded Public Works Program (EPWP)</w:t>
      </w:r>
      <w:r w:rsidR="0015777C" w:rsidRPr="00807837">
        <w:rPr>
          <w:rFonts w:ascii="Arial" w:eastAsia="Calibri" w:hAnsi="Arial" w:cs="Arial"/>
          <w:sz w:val="20"/>
          <w:szCs w:val="20"/>
        </w:rPr>
        <w:t xml:space="preserve"> - </w:t>
      </w:r>
      <w:r w:rsidRPr="00807837">
        <w:rPr>
          <w:rFonts w:ascii="Arial" w:eastAsia="Calibri" w:hAnsi="Arial" w:cs="Arial"/>
          <w:sz w:val="20"/>
          <w:szCs w:val="20"/>
        </w:rPr>
        <w:t xml:space="preserve">The Department is responsible for the implementation of EPWP projects under the Working for Tourism (WFT) programme previously known as the Social Responsibility Implementation (SRI). This is aimed at creating employment and training opportunities to unemployed youth through </w:t>
      </w:r>
      <w:r w:rsidRPr="00807837">
        <w:rPr>
          <w:rFonts w:ascii="Arial" w:eastAsia="Calibri" w:hAnsi="Arial" w:cs="Arial"/>
          <w:sz w:val="20"/>
          <w:szCs w:val="20"/>
        </w:rPr>
        <w:lastRenderedPageBreak/>
        <w:t>projects where labour (people from the local communities) is used as well as training people to function within the tourism sector (e.g. chefs, hospitality, etc.). The planned annual target was 3826 but this was overachie</w:t>
      </w:r>
      <w:r w:rsidR="00FF43E5" w:rsidRPr="00807837">
        <w:rPr>
          <w:rFonts w:ascii="Arial" w:eastAsia="Calibri" w:hAnsi="Arial" w:cs="Arial"/>
          <w:sz w:val="20"/>
          <w:szCs w:val="20"/>
        </w:rPr>
        <w:t>ve</w:t>
      </w:r>
      <w:r w:rsidRPr="00807837">
        <w:rPr>
          <w:rFonts w:ascii="Arial" w:eastAsia="Calibri" w:hAnsi="Arial" w:cs="Arial"/>
          <w:sz w:val="20"/>
          <w:szCs w:val="20"/>
        </w:rPr>
        <w:t xml:space="preserve">d </w:t>
      </w:r>
      <w:r w:rsidR="0015777C" w:rsidRPr="00807837">
        <w:rPr>
          <w:rFonts w:ascii="Arial" w:eastAsia="Calibri" w:hAnsi="Arial" w:cs="Arial"/>
          <w:sz w:val="20"/>
          <w:szCs w:val="20"/>
        </w:rPr>
        <w:t>by 1502 as the 5</w:t>
      </w:r>
      <w:r w:rsidR="00C5339A" w:rsidRPr="00807837">
        <w:rPr>
          <w:rFonts w:ascii="Arial" w:eastAsia="Calibri" w:hAnsi="Arial" w:cs="Arial"/>
          <w:sz w:val="20"/>
          <w:szCs w:val="20"/>
        </w:rPr>
        <w:t>3</w:t>
      </w:r>
      <w:r w:rsidR="0015777C" w:rsidRPr="00807837">
        <w:rPr>
          <w:rFonts w:ascii="Arial" w:eastAsia="Calibri" w:hAnsi="Arial" w:cs="Arial"/>
          <w:sz w:val="20"/>
          <w:szCs w:val="20"/>
        </w:rPr>
        <w:t xml:space="preserve">28 job opportunities were created. The reason for the over achievement is that some projects which commenced in 2020/21 and had delayed because of COVID-19 lockdown restrictions in the tourism sector were able to continue in 2021/22. In addition, some skills projects which by design </w:t>
      </w:r>
      <w:r w:rsidR="00FF43E5" w:rsidRPr="00807837">
        <w:rPr>
          <w:rFonts w:ascii="Arial" w:eastAsia="Calibri" w:hAnsi="Arial" w:cs="Arial"/>
          <w:sz w:val="20"/>
          <w:szCs w:val="20"/>
        </w:rPr>
        <w:t>enrol</w:t>
      </w:r>
      <w:r w:rsidR="0015777C" w:rsidRPr="00807837">
        <w:rPr>
          <w:rFonts w:ascii="Arial" w:eastAsia="Calibri" w:hAnsi="Arial" w:cs="Arial"/>
          <w:sz w:val="20"/>
          <w:szCs w:val="20"/>
        </w:rPr>
        <w:t xml:space="preserve"> a large number of youth commenced in quarter three of 2021/22.</w:t>
      </w:r>
    </w:p>
    <w:p w:rsidR="00B62FDD" w:rsidRPr="00807837" w:rsidRDefault="00B62FDD" w:rsidP="00807837">
      <w:pPr>
        <w:spacing w:after="0" w:line="240" w:lineRule="auto"/>
        <w:rPr>
          <w:rFonts w:ascii="Arial" w:eastAsia="Calibri" w:hAnsi="Arial" w:cs="Arial"/>
          <w:sz w:val="20"/>
          <w:szCs w:val="20"/>
        </w:rPr>
      </w:pPr>
    </w:p>
    <w:p w:rsidR="002A2C5C" w:rsidRPr="00807837" w:rsidRDefault="002A2C5C" w:rsidP="00807837">
      <w:pPr>
        <w:pStyle w:val="ListParagraph"/>
        <w:numPr>
          <w:ilvl w:val="2"/>
          <w:numId w:val="17"/>
        </w:numPr>
        <w:autoSpaceDE w:val="0"/>
        <w:autoSpaceDN w:val="0"/>
        <w:adjustRightInd w:val="0"/>
        <w:spacing w:after="0" w:line="240" w:lineRule="auto"/>
        <w:rPr>
          <w:rFonts w:ascii="Arial" w:hAnsi="Arial" w:cs="Arial"/>
          <w:sz w:val="20"/>
          <w:szCs w:val="20"/>
        </w:rPr>
      </w:pPr>
      <w:r w:rsidRPr="00807837">
        <w:rPr>
          <w:rFonts w:ascii="Arial" w:hAnsi="Arial" w:cs="Arial"/>
          <w:sz w:val="20"/>
          <w:szCs w:val="20"/>
        </w:rPr>
        <w:t>Previous year issues</w:t>
      </w:r>
    </w:p>
    <w:p w:rsidR="002A2C5C" w:rsidRPr="00807837" w:rsidRDefault="002A2C5C" w:rsidP="00807837">
      <w:pPr>
        <w:autoSpaceDE w:val="0"/>
        <w:autoSpaceDN w:val="0"/>
        <w:adjustRightInd w:val="0"/>
        <w:spacing w:after="0" w:line="240" w:lineRule="auto"/>
        <w:rPr>
          <w:rFonts w:ascii="Arial" w:hAnsi="Arial" w:cs="Arial"/>
          <w:sz w:val="20"/>
          <w:szCs w:val="20"/>
        </w:rPr>
      </w:pPr>
    </w:p>
    <w:p w:rsidR="008611F9" w:rsidRPr="00807837" w:rsidRDefault="008611F9" w:rsidP="00807837">
      <w:pPr>
        <w:autoSpaceDE w:val="0"/>
        <w:autoSpaceDN w:val="0"/>
        <w:adjustRightInd w:val="0"/>
        <w:spacing w:after="0" w:line="240" w:lineRule="auto"/>
        <w:rPr>
          <w:rFonts w:ascii="Arial" w:hAnsi="Arial" w:cs="Arial"/>
          <w:sz w:val="20"/>
          <w:szCs w:val="20"/>
        </w:rPr>
      </w:pPr>
      <w:r w:rsidRPr="00807837">
        <w:rPr>
          <w:rFonts w:ascii="Arial" w:hAnsi="Arial" w:cs="Arial"/>
          <w:sz w:val="20"/>
          <w:szCs w:val="20"/>
        </w:rPr>
        <w:t xml:space="preserve">The portfolio’s overall audit outcomes </w:t>
      </w:r>
      <w:r w:rsidR="001245C2" w:rsidRPr="00807837">
        <w:rPr>
          <w:rFonts w:ascii="Arial" w:hAnsi="Arial" w:cs="Arial"/>
          <w:sz w:val="20"/>
          <w:szCs w:val="20"/>
        </w:rPr>
        <w:t xml:space="preserve">in the previous audit period </w:t>
      </w:r>
      <w:r w:rsidRPr="00807837">
        <w:rPr>
          <w:rFonts w:ascii="Arial" w:hAnsi="Arial" w:cs="Arial"/>
          <w:sz w:val="20"/>
          <w:szCs w:val="20"/>
        </w:rPr>
        <w:t>ha</w:t>
      </w:r>
      <w:r w:rsidR="001245C2" w:rsidRPr="00807837">
        <w:rPr>
          <w:rFonts w:ascii="Arial" w:hAnsi="Arial" w:cs="Arial"/>
          <w:sz w:val="20"/>
          <w:szCs w:val="20"/>
        </w:rPr>
        <w:t>d</w:t>
      </w:r>
      <w:r w:rsidRPr="00807837">
        <w:rPr>
          <w:rFonts w:ascii="Arial" w:hAnsi="Arial" w:cs="Arial"/>
          <w:sz w:val="20"/>
          <w:szCs w:val="20"/>
        </w:rPr>
        <w:t xml:space="preserve"> regressed from the prior year. </w:t>
      </w:r>
    </w:p>
    <w:p w:rsidR="008611F9" w:rsidRPr="00807837" w:rsidRDefault="008611F9" w:rsidP="00807837">
      <w:pPr>
        <w:autoSpaceDE w:val="0"/>
        <w:autoSpaceDN w:val="0"/>
        <w:adjustRightInd w:val="0"/>
        <w:spacing w:after="0" w:line="240" w:lineRule="auto"/>
        <w:rPr>
          <w:rFonts w:ascii="Arial" w:hAnsi="Arial" w:cs="Arial"/>
          <w:sz w:val="20"/>
          <w:szCs w:val="20"/>
        </w:rPr>
      </w:pPr>
    </w:p>
    <w:p w:rsidR="001245C2" w:rsidRPr="00807837" w:rsidRDefault="001245C2" w:rsidP="00807837">
      <w:pPr>
        <w:pStyle w:val="ListParagraph"/>
        <w:numPr>
          <w:ilvl w:val="0"/>
          <w:numId w:val="24"/>
        </w:numPr>
        <w:autoSpaceDE w:val="0"/>
        <w:autoSpaceDN w:val="0"/>
        <w:adjustRightInd w:val="0"/>
        <w:spacing w:after="0" w:line="240" w:lineRule="auto"/>
        <w:rPr>
          <w:rFonts w:ascii="Arial" w:hAnsi="Arial" w:cs="Arial"/>
          <w:sz w:val="20"/>
          <w:szCs w:val="20"/>
        </w:rPr>
      </w:pPr>
      <w:r w:rsidRPr="00807837">
        <w:rPr>
          <w:rFonts w:ascii="Arial" w:hAnsi="Arial" w:cs="Arial"/>
          <w:sz w:val="20"/>
          <w:szCs w:val="20"/>
        </w:rPr>
        <w:t>The audit outcome of the Department remained unchanged as financially unqualified with findings on compliance with legislation. The Department was commended for submitting financial statements that were free from material misstatements.</w:t>
      </w:r>
    </w:p>
    <w:p w:rsidR="001245C2" w:rsidRPr="00807837" w:rsidRDefault="001245C2" w:rsidP="00807837">
      <w:pPr>
        <w:pStyle w:val="ListParagraph"/>
        <w:autoSpaceDE w:val="0"/>
        <w:autoSpaceDN w:val="0"/>
        <w:adjustRightInd w:val="0"/>
        <w:spacing w:after="0" w:line="240" w:lineRule="auto"/>
        <w:rPr>
          <w:rFonts w:ascii="Arial" w:hAnsi="Arial" w:cs="Arial"/>
          <w:sz w:val="20"/>
          <w:szCs w:val="20"/>
        </w:rPr>
      </w:pPr>
    </w:p>
    <w:p w:rsidR="008611F9" w:rsidRPr="00807837" w:rsidRDefault="001245C2" w:rsidP="00807837">
      <w:pPr>
        <w:pStyle w:val="ListParagraph"/>
        <w:numPr>
          <w:ilvl w:val="0"/>
          <w:numId w:val="24"/>
        </w:numPr>
        <w:autoSpaceDE w:val="0"/>
        <w:autoSpaceDN w:val="0"/>
        <w:adjustRightInd w:val="0"/>
        <w:spacing w:after="0" w:line="240" w:lineRule="auto"/>
        <w:rPr>
          <w:rFonts w:ascii="Arial" w:hAnsi="Arial" w:cs="Arial"/>
          <w:sz w:val="20"/>
          <w:szCs w:val="20"/>
        </w:rPr>
      </w:pPr>
      <w:r w:rsidRPr="00807837">
        <w:rPr>
          <w:rFonts w:ascii="Arial" w:hAnsi="Arial" w:cs="Arial"/>
          <w:sz w:val="20"/>
          <w:szCs w:val="20"/>
        </w:rPr>
        <w:t xml:space="preserve">SA </w:t>
      </w:r>
      <w:r w:rsidR="008611F9" w:rsidRPr="00807837">
        <w:rPr>
          <w:rFonts w:ascii="Arial" w:hAnsi="Arial" w:cs="Arial"/>
          <w:sz w:val="20"/>
          <w:szCs w:val="20"/>
        </w:rPr>
        <w:t>T</w:t>
      </w:r>
      <w:r w:rsidRPr="00807837">
        <w:rPr>
          <w:rFonts w:ascii="Arial" w:hAnsi="Arial" w:cs="Arial"/>
          <w:sz w:val="20"/>
          <w:szCs w:val="20"/>
        </w:rPr>
        <w:t>ourism</w:t>
      </w:r>
      <w:r w:rsidR="008611F9" w:rsidRPr="00807837">
        <w:rPr>
          <w:rFonts w:ascii="Arial" w:hAnsi="Arial" w:cs="Arial"/>
          <w:sz w:val="20"/>
          <w:szCs w:val="20"/>
        </w:rPr>
        <w:t xml:space="preserve"> received a qualified audit opinion as a result of a limitation of scope on expenditure and receivables from non-exchange transactions. </w:t>
      </w:r>
    </w:p>
    <w:p w:rsidR="008611F9" w:rsidRPr="00807837" w:rsidRDefault="008611F9" w:rsidP="00807837">
      <w:pPr>
        <w:autoSpaceDE w:val="0"/>
        <w:autoSpaceDN w:val="0"/>
        <w:adjustRightInd w:val="0"/>
        <w:spacing w:after="0" w:line="240" w:lineRule="auto"/>
        <w:rPr>
          <w:rFonts w:ascii="Arial" w:hAnsi="Arial" w:cs="Arial"/>
          <w:sz w:val="20"/>
          <w:szCs w:val="20"/>
        </w:rPr>
      </w:pPr>
    </w:p>
    <w:p w:rsidR="001245C2" w:rsidRPr="00807837" w:rsidRDefault="008611F9" w:rsidP="00807837">
      <w:pPr>
        <w:pStyle w:val="ListParagraph"/>
        <w:numPr>
          <w:ilvl w:val="0"/>
          <w:numId w:val="24"/>
        </w:numPr>
        <w:autoSpaceDE w:val="0"/>
        <w:autoSpaceDN w:val="0"/>
        <w:adjustRightInd w:val="0"/>
        <w:spacing w:after="0" w:line="240" w:lineRule="auto"/>
        <w:rPr>
          <w:rFonts w:ascii="Arial" w:hAnsi="Arial" w:cs="Arial"/>
          <w:sz w:val="20"/>
          <w:szCs w:val="20"/>
        </w:rPr>
      </w:pPr>
      <w:r w:rsidRPr="00807837">
        <w:rPr>
          <w:rFonts w:ascii="Arial" w:hAnsi="Arial" w:cs="Arial"/>
          <w:sz w:val="20"/>
          <w:szCs w:val="20"/>
        </w:rPr>
        <w:t xml:space="preserve">The quality of the annual performance reports regressed in the portfolio. The </w:t>
      </w:r>
      <w:r w:rsidR="001245C2" w:rsidRPr="00807837">
        <w:rPr>
          <w:rFonts w:ascii="Arial" w:hAnsi="Arial" w:cs="Arial"/>
          <w:sz w:val="20"/>
          <w:szCs w:val="20"/>
        </w:rPr>
        <w:t xml:space="preserve">Department </w:t>
      </w:r>
      <w:r w:rsidRPr="00807837">
        <w:rPr>
          <w:rFonts w:ascii="Arial" w:hAnsi="Arial" w:cs="Arial"/>
          <w:sz w:val="20"/>
          <w:szCs w:val="20"/>
        </w:rPr>
        <w:t>had a material misstatement on consistency as the description of the indicators in the annual performance report submitted for audit differed from the description in the annual performance plan. This inconsistency was subsequently corrected by management.</w:t>
      </w:r>
    </w:p>
    <w:p w:rsidR="001245C2" w:rsidRPr="00807837" w:rsidRDefault="001245C2" w:rsidP="00807837">
      <w:pPr>
        <w:pStyle w:val="ListParagraph"/>
        <w:spacing w:after="0" w:line="240" w:lineRule="auto"/>
        <w:rPr>
          <w:rFonts w:ascii="Arial" w:hAnsi="Arial" w:cs="Arial"/>
          <w:sz w:val="20"/>
          <w:szCs w:val="20"/>
        </w:rPr>
      </w:pPr>
    </w:p>
    <w:p w:rsidR="00B061E9" w:rsidRPr="00807837" w:rsidRDefault="008611F9" w:rsidP="00807837">
      <w:pPr>
        <w:pStyle w:val="ListParagraph"/>
        <w:numPr>
          <w:ilvl w:val="0"/>
          <w:numId w:val="24"/>
        </w:numPr>
        <w:autoSpaceDE w:val="0"/>
        <w:autoSpaceDN w:val="0"/>
        <w:adjustRightInd w:val="0"/>
        <w:spacing w:after="0" w:line="240" w:lineRule="auto"/>
        <w:rPr>
          <w:rFonts w:ascii="Arial" w:hAnsi="Arial" w:cs="Arial"/>
          <w:sz w:val="20"/>
          <w:szCs w:val="20"/>
        </w:rPr>
      </w:pPr>
      <w:r w:rsidRPr="00807837">
        <w:rPr>
          <w:rFonts w:ascii="Arial" w:hAnsi="Arial" w:cs="Arial"/>
          <w:sz w:val="20"/>
          <w:szCs w:val="20"/>
        </w:rPr>
        <w:t>At SA</w:t>
      </w:r>
      <w:r w:rsidR="001245C2" w:rsidRPr="00807837">
        <w:rPr>
          <w:rFonts w:ascii="Arial" w:hAnsi="Arial" w:cs="Arial"/>
          <w:sz w:val="20"/>
          <w:szCs w:val="20"/>
        </w:rPr>
        <w:t xml:space="preserve"> </w:t>
      </w:r>
      <w:r w:rsidR="00FF43E5" w:rsidRPr="00807837">
        <w:rPr>
          <w:rFonts w:ascii="Arial" w:hAnsi="Arial" w:cs="Arial"/>
          <w:sz w:val="20"/>
          <w:szCs w:val="20"/>
        </w:rPr>
        <w:t>Tourism</w:t>
      </w:r>
      <w:r w:rsidR="001245C2" w:rsidRPr="00807837">
        <w:rPr>
          <w:rFonts w:ascii="Arial" w:hAnsi="Arial" w:cs="Arial"/>
          <w:sz w:val="20"/>
          <w:szCs w:val="20"/>
        </w:rPr>
        <w:t xml:space="preserve"> there was </w:t>
      </w:r>
      <w:r w:rsidRPr="00807837">
        <w:rPr>
          <w:rFonts w:ascii="Arial" w:hAnsi="Arial" w:cs="Arial"/>
          <w:sz w:val="20"/>
          <w:szCs w:val="20"/>
        </w:rPr>
        <w:t xml:space="preserve">a material finding on the usefulness of the target for programme 3: leisure tourism marketing, which was not specific. </w:t>
      </w:r>
      <w:r w:rsidR="001245C2" w:rsidRPr="00807837">
        <w:rPr>
          <w:rFonts w:ascii="Arial" w:hAnsi="Arial" w:cs="Arial"/>
          <w:sz w:val="20"/>
          <w:szCs w:val="20"/>
        </w:rPr>
        <w:t xml:space="preserve">The Auditor-General </w:t>
      </w:r>
      <w:r w:rsidRPr="00807837">
        <w:rPr>
          <w:rFonts w:ascii="Arial" w:hAnsi="Arial" w:cs="Arial"/>
          <w:sz w:val="20"/>
          <w:szCs w:val="20"/>
        </w:rPr>
        <w:t>could not determine the actual achievement due to insufficient measurement definitions and processes.</w:t>
      </w:r>
    </w:p>
    <w:p w:rsidR="008611F9" w:rsidRPr="00807837" w:rsidRDefault="008611F9" w:rsidP="00807837">
      <w:pPr>
        <w:spacing w:after="0" w:line="240" w:lineRule="auto"/>
        <w:rPr>
          <w:rFonts w:ascii="Arial" w:hAnsi="Arial" w:cs="Arial"/>
          <w:sz w:val="20"/>
          <w:szCs w:val="20"/>
        </w:rPr>
      </w:pPr>
    </w:p>
    <w:p w:rsidR="008611F9" w:rsidRPr="00807837" w:rsidRDefault="008611F9" w:rsidP="00807837">
      <w:pPr>
        <w:pStyle w:val="ListParagraph"/>
        <w:numPr>
          <w:ilvl w:val="0"/>
          <w:numId w:val="24"/>
        </w:numPr>
        <w:spacing w:after="0" w:line="240" w:lineRule="auto"/>
        <w:rPr>
          <w:rFonts w:ascii="Arial" w:hAnsi="Arial" w:cs="Arial"/>
          <w:sz w:val="20"/>
          <w:szCs w:val="20"/>
        </w:rPr>
      </w:pPr>
      <w:r w:rsidRPr="00807837">
        <w:rPr>
          <w:rFonts w:ascii="Arial" w:hAnsi="Arial" w:cs="Arial"/>
          <w:sz w:val="20"/>
          <w:szCs w:val="20"/>
        </w:rPr>
        <w:t xml:space="preserve">Although material non-compliance in the </w:t>
      </w:r>
      <w:r w:rsidR="001245C2" w:rsidRPr="00807837">
        <w:rPr>
          <w:rFonts w:ascii="Arial" w:hAnsi="Arial" w:cs="Arial"/>
          <w:sz w:val="20"/>
          <w:szCs w:val="20"/>
        </w:rPr>
        <w:t xml:space="preserve">Department’s </w:t>
      </w:r>
      <w:r w:rsidRPr="00807837">
        <w:rPr>
          <w:rFonts w:ascii="Arial" w:hAnsi="Arial" w:cs="Arial"/>
          <w:sz w:val="20"/>
          <w:szCs w:val="20"/>
        </w:rPr>
        <w:t>supply chain management</w:t>
      </w:r>
      <w:r w:rsidR="001245C2" w:rsidRPr="00807837">
        <w:rPr>
          <w:rFonts w:ascii="Arial" w:hAnsi="Arial" w:cs="Arial"/>
          <w:sz w:val="20"/>
          <w:szCs w:val="20"/>
        </w:rPr>
        <w:t xml:space="preserve"> was reported</w:t>
      </w:r>
      <w:r w:rsidRPr="00807837">
        <w:rPr>
          <w:rFonts w:ascii="Arial" w:hAnsi="Arial" w:cs="Arial"/>
          <w:sz w:val="20"/>
          <w:szCs w:val="20"/>
        </w:rPr>
        <w:t>, this was an improvement on the number of findings from the previous year. The SA</w:t>
      </w:r>
      <w:r w:rsidR="001245C2" w:rsidRPr="00807837">
        <w:rPr>
          <w:rFonts w:ascii="Arial" w:hAnsi="Arial" w:cs="Arial"/>
          <w:sz w:val="20"/>
          <w:szCs w:val="20"/>
        </w:rPr>
        <w:t xml:space="preserve"> </w:t>
      </w:r>
      <w:r w:rsidRPr="00807837">
        <w:rPr>
          <w:rFonts w:ascii="Arial" w:hAnsi="Arial" w:cs="Arial"/>
          <w:sz w:val="20"/>
          <w:szCs w:val="20"/>
        </w:rPr>
        <w:t>T</w:t>
      </w:r>
      <w:r w:rsidR="001245C2" w:rsidRPr="00807837">
        <w:rPr>
          <w:rFonts w:ascii="Arial" w:hAnsi="Arial" w:cs="Arial"/>
          <w:sz w:val="20"/>
          <w:szCs w:val="20"/>
        </w:rPr>
        <w:t>ourism</w:t>
      </w:r>
      <w:r w:rsidRPr="00807837">
        <w:rPr>
          <w:rFonts w:ascii="Arial" w:hAnsi="Arial" w:cs="Arial"/>
          <w:sz w:val="20"/>
          <w:szCs w:val="20"/>
        </w:rPr>
        <w:t xml:space="preserve">’s material non-compliance was in procurement and contract management, as supply chain management processes were not followed for expenditure incurred by SAT and paid by a third party. This resulted in irregular expenditure of R34 million. </w:t>
      </w:r>
    </w:p>
    <w:p w:rsidR="008611F9" w:rsidRPr="00807837" w:rsidRDefault="008611F9" w:rsidP="00807837">
      <w:pPr>
        <w:spacing w:after="0" w:line="240" w:lineRule="auto"/>
        <w:rPr>
          <w:rFonts w:ascii="Arial" w:hAnsi="Arial" w:cs="Arial"/>
          <w:sz w:val="20"/>
          <w:szCs w:val="20"/>
        </w:rPr>
      </w:pPr>
    </w:p>
    <w:p w:rsidR="001245C2" w:rsidRPr="00807837" w:rsidRDefault="001245C2" w:rsidP="00807837">
      <w:pPr>
        <w:pStyle w:val="ListParagraph"/>
        <w:numPr>
          <w:ilvl w:val="0"/>
          <w:numId w:val="24"/>
        </w:numPr>
        <w:spacing w:after="0" w:line="240" w:lineRule="auto"/>
        <w:rPr>
          <w:rFonts w:ascii="Arial" w:hAnsi="Arial" w:cs="Arial"/>
          <w:sz w:val="20"/>
          <w:szCs w:val="20"/>
        </w:rPr>
      </w:pPr>
      <w:r w:rsidRPr="00807837">
        <w:rPr>
          <w:rFonts w:ascii="Arial" w:hAnsi="Arial" w:cs="Arial"/>
          <w:sz w:val="20"/>
          <w:szCs w:val="20"/>
        </w:rPr>
        <w:t xml:space="preserve">On the </w:t>
      </w:r>
      <w:r w:rsidR="008611F9" w:rsidRPr="00807837">
        <w:rPr>
          <w:rFonts w:ascii="Arial" w:hAnsi="Arial" w:cs="Arial"/>
          <w:sz w:val="20"/>
          <w:szCs w:val="20"/>
        </w:rPr>
        <w:t xml:space="preserve">six recommendations for the Tourism Relief Fund (TRF), which was audited in the previous year as part of the </w:t>
      </w:r>
      <w:r w:rsidR="00C5339A" w:rsidRPr="00807837">
        <w:rPr>
          <w:rFonts w:ascii="Arial" w:hAnsi="Arial" w:cs="Arial"/>
          <w:sz w:val="20"/>
          <w:szCs w:val="20"/>
        </w:rPr>
        <w:t>COVID</w:t>
      </w:r>
      <w:r w:rsidR="008611F9" w:rsidRPr="00807837">
        <w:rPr>
          <w:rFonts w:ascii="Arial" w:hAnsi="Arial" w:cs="Arial"/>
          <w:sz w:val="20"/>
          <w:szCs w:val="20"/>
        </w:rPr>
        <w:t>-19 proactive audits</w:t>
      </w:r>
      <w:r w:rsidRPr="00807837">
        <w:rPr>
          <w:rFonts w:ascii="Arial" w:hAnsi="Arial" w:cs="Arial"/>
          <w:sz w:val="20"/>
          <w:szCs w:val="20"/>
        </w:rPr>
        <w:t xml:space="preserve">, </w:t>
      </w:r>
      <w:r w:rsidR="008611F9" w:rsidRPr="00807837">
        <w:rPr>
          <w:rFonts w:ascii="Arial" w:hAnsi="Arial" w:cs="Arial"/>
          <w:sz w:val="20"/>
          <w:szCs w:val="20"/>
        </w:rPr>
        <w:t xml:space="preserve">the only action taken was to hand over the duplicate payment of R50 000 to the state attorney for recovery from the beneficiary. The other five recommendations were not implemented. </w:t>
      </w:r>
    </w:p>
    <w:p w:rsidR="001245C2" w:rsidRPr="00807837" w:rsidRDefault="001245C2" w:rsidP="00807837">
      <w:pPr>
        <w:spacing w:after="0" w:line="240" w:lineRule="auto"/>
        <w:rPr>
          <w:rFonts w:ascii="Arial" w:hAnsi="Arial" w:cs="Arial"/>
          <w:sz w:val="20"/>
          <w:szCs w:val="20"/>
        </w:rPr>
      </w:pPr>
    </w:p>
    <w:p w:rsidR="008611F9" w:rsidRPr="00807837" w:rsidRDefault="008611F9" w:rsidP="00807837">
      <w:pPr>
        <w:pStyle w:val="ListParagraph"/>
        <w:numPr>
          <w:ilvl w:val="0"/>
          <w:numId w:val="24"/>
        </w:numPr>
        <w:spacing w:after="0" w:line="240" w:lineRule="auto"/>
        <w:rPr>
          <w:rFonts w:ascii="Arial" w:hAnsi="Arial" w:cs="Arial"/>
          <w:sz w:val="20"/>
          <w:szCs w:val="20"/>
        </w:rPr>
      </w:pPr>
      <w:r w:rsidRPr="00807837">
        <w:rPr>
          <w:rFonts w:ascii="Arial" w:hAnsi="Arial" w:cs="Arial"/>
          <w:sz w:val="20"/>
          <w:szCs w:val="20"/>
        </w:rPr>
        <w:t xml:space="preserve">The </w:t>
      </w:r>
      <w:r w:rsidR="00B62FDD" w:rsidRPr="00807837">
        <w:rPr>
          <w:rFonts w:ascii="Arial" w:hAnsi="Arial" w:cs="Arial"/>
          <w:sz w:val="20"/>
          <w:szCs w:val="20"/>
        </w:rPr>
        <w:t>D</w:t>
      </w:r>
      <w:r w:rsidRPr="00807837">
        <w:rPr>
          <w:rFonts w:ascii="Arial" w:hAnsi="Arial" w:cs="Arial"/>
          <w:sz w:val="20"/>
          <w:szCs w:val="20"/>
        </w:rPr>
        <w:t xml:space="preserve">epartment also had a relief fund for tour guides, with a budget of R30 </w:t>
      </w:r>
      <w:r w:rsidR="005567D0" w:rsidRPr="00807837">
        <w:rPr>
          <w:rFonts w:ascii="Arial" w:hAnsi="Arial" w:cs="Arial"/>
          <w:sz w:val="20"/>
          <w:szCs w:val="20"/>
        </w:rPr>
        <w:t>millions</w:t>
      </w:r>
      <w:r w:rsidRPr="00807837">
        <w:rPr>
          <w:rFonts w:ascii="Arial" w:hAnsi="Arial" w:cs="Arial"/>
          <w:sz w:val="20"/>
          <w:szCs w:val="20"/>
        </w:rPr>
        <w:t xml:space="preserve"> of which R17,28 million was used by 31 March 2021. The </w:t>
      </w:r>
      <w:r w:rsidR="00B62FDD" w:rsidRPr="00807837">
        <w:rPr>
          <w:rFonts w:ascii="Arial" w:hAnsi="Arial" w:cs="Arial"/>
          <w:sz w:val="20"/>
          <w:szCs w:val="20"/>
        </w:rPr>
        <w:t xml:space="preserve">COVID-19 Relief Fund for </w:t>
      </w:r>
      <w:r w:rsidR="00FF43E5" w:rsidRPr="00807837">
        <w:rPr>
          <w:rFonts w:ascii="Arial" w:hAnsi="Arial" w:cs="Arial"/>
          <w:sz w:val="20"/>
          <w:szCs w:val="20"/>
        </w:rPr>
        <w:t>T</w:t>
      </w:r>
      <w:r w:rsidR="00B62FDD" w:rsidRPr="00807837">
        <w:rPr>
          <w:rFonts w:ascii="Arial" w:hAnsi="Arial" w:cs="Arial"/>
          <w:sz w:val="20"/>
          <w:szCs w:val="20"/>
        </w:rPr>
        <w:t>our G</w:t>
      </w:r>
      <w:r w:rsidRPr="00807837">
        <w:rPr>
          <w:rFonts w:ascii="Arial" w:hAnsi="Arial" w:cs="Arial"/>
          <w:sz w:val="20"/>
          <w:szCs w:val="20"/>
        </w:rPr>
        <w:t>uides under distress (TG</w:t>
      </w:r>
      <w:r w:rsidR="00EC5395" w:rsidRPr="00807837">
        <w:rPr>
          <w:rFonts w:ascii="Arial" w:hAnsi="Arial" w:cs="Arial"/>
          <w:sz w:val="20"/>
          <w:szCs w:val="20"/>
        </w:rPr>
        <w:t>R</w:t>
      </w:r>
      <w:r w:rsidRPr="00807837">
        <w:rPr>
          <w:rFonts w:ascii="Arial" w:hAnsi="Arial" w:cs="Arial"/>
          <w:sz w:val="20"/>
          <w:szCs w:val="20"/>
        </w:rPr>
        <w:t xml:space="preserve">F) granted beneficiaries R1 500 per month for three months. </w:t>
      </w:r>
      <w:r w:rsidR="00B62FDD" w:rsidRPr="00807837">
        <w:rPr>
          <w:rFonts w:ascii="Arial" w:hAnsi="Arial" w:cs="Arial"/>
          <w:sz w:val="20"/>
          <w:szCs w:val="20"/>
        </w:rPr>
        <w:t xml:space="preserve">The </w:t>
      </w:r>
      <w:r w:rsidRPr="00807837">
        <w:rPr>
          <w:rFonts w:ascii="Arial" w:hAnsi="Arial" w:cs="Arial"/>
          <w:sz w:val="20"/>
          <w:szCs w:val="20"/>
        </w:rPr>
        <w:t xml:space="preserve">findings were that </w:t>
      </w:r>
      <w:r w:rsidR="00EC5395" w:rsidRPr="00807837">
        <w:rPr>
          <w:rFonts w:ascii="Arial" w:hAnsi="Arial" w:cs="Arial"/>
          <w:sz w:val="20"/>
          <w:szCs w:val="20"/>
        </w:rPr>
        <w:t xml:space="preserve">some of </w:t>
      </w:r>
      <w:r w:rsidRPr="00807837">
        <w:rPr>
          <w:rFonts w:ascii="Arial" w:hAnsi="Arial" w:cs="Arial"/>
          <w:sz w:val="20"/>
          <w:szCs w:val="20"/>
        </w:rPr>
        <w:t>the tour guides grant</w:t>
      </w:r>
      <w:r w:rsidR="00EC5395" w:rsidRPr="00807837">
        <w:rPr>
          <w:rFonts w:ascii="Arial" w:hAnsi="Arial" w:cs="Arial"/>
          <w:sz w:val="20"/>
          <w:szCs w:val="20"/>
        </w:rPr>
        <w:t>s that</w:t>
      </w:r>
      <w:r w:rsidRPr="00807837">
        <w:rPr>
          <w:rFonts w:ascii="Arial" w:hAnsi="Arial" w:cs="Arial"/>
          <w:sz w:val="20"/>
          <w:szCs w:val="20"/>
        </w:rPr>
        <w:t xml:space="preserve"> </w:t>
      </w:r>
      <w:r w:rsidR="00EC5395" w:rsidRPr="00807837">
        <w:rPr>
          <w:rFonts w:ascii="Arial" w:hAnsi="Arial" w:cs="Arial"/>
          <w:sz w:val="20"/>
          <w:szCs w:val="20"/>
        </w:rPr>
        <w:t xml:space="preserve">were </w:t>
      </w:r>
      <w:r w:rsidRPr="00807837">
        <w:rPr>
          <w:rFonts w:ascii="Arial" w:hAnsi="Arial" w:cs="Arial"/>
          <w:sz w:val="20"/>
          <w:szCs w:val="20"/>
        </w:rPr>
        <w:t xml:space="preserve">approved, and paid </w:t>
      </w:r>
      <w:r w:rsidR="00EC5395" w:rsidRPr="00807837">
        <w:rPr>
          <w:rFonts w:ascii="Arial" w:hAnsi="Arial" w:cs="Arial"/>
          <w:sz w:val="20"/>
          <w:szCs w:val="20"/>
        </w:rPr>
        <w:t xml:space="preserve">were </w:t>
      </w:r>
      <w:r w:rsidRPr="00807837">
        <w:rPr>
          <w:rFonts w:ascii="Arial" w:hAnsi="Arial" w:cs="Arial"/>
          <w:sz w:val="20"/>
          <w:szCs w:val="20"/>
        </w:rPr>
        <w:t>to, individuals who received other grants such as the Sassa R350 grant; beneficiaries who did not meet the set criteria; and beneficiaries who were approved without validating their ID numbers.</w:t>
      </w:r>
    </w:p>
    <w:p w:rsidR="008611F9" w:rsidRPr="00807837" w:rsidRDefault="008611F9" w:rsidP="00807837">
      <w:pPr>
        <w:spacing w:after="0" w:line="240" w:lineRule="auto"/>
        <w:rPr>
          <w:rFonts w:ascii="Arial" w:hAnsi="Arial" w:cs="Arial"/>
          <w:sz w:val="20"/>
          <w:szCs w:val="20"/>
        </w:rPr>
      </w:pPr>
    </w:p>
    <w:p w:rsidR="0041765F" w:rsidRPr="00807837" w:rsidRDefault="0041765F" w:rsidP="00807837">
      <w:pPr>
        <w:numPr>
          <w:ilvl w:val="1"/>
          <w:numId w:val="17"/>
        </w:numPr>
        <w:spacing w:after="0" w:line="240" w:lineRule="auto"/>
        <w:ind w:left="567" w:hanging="567"/>
        <w:rPr>
          <w:rFonts w:ascii="Arial" w:eastAsia="Calibri" w:hAnsi="Arial" w:cs="Arial"/>
          <w:b/>
          <w:sz w:val="20"/>
          <w:szCs w:val="20"/>
        </w:rPr>
      </w:pPr>
      <w:r w:rsidRPr="00807837">
        <w:rPr>
          <w:rFonts w:ascii="Arial" w:eastAsia="Calibri" w:hAnsi="Arial" w:cs="Arial"/>
          <w:b/>
          <w:sz w:val="20"/>
          <w:szCs w:val="20"/>
        </w:rPr>
        <w:t>Other service delivery performance findings</w:t>
      </w:r>
    </w:p>
    <w:p w:rsidR="00885CEE" w:rsidRPr="00807837" w:rsidRDefault="00885CEE" w:rsidP="00807837">
      <w:pPr>
        <w:spacing w:after="0" w:line="240" w:lineRule="auto"/>
        <w:rPr>
          <w:rFonts w:ascii="Arial" w:eastAsia="Calibri" w:hAnsi="Arial" w:cs="Arial"/>
          <w:sz w:val="20"/>
          <w:szCs w:val="20"/>
        </w:rPr>
      </w:pPr>
    </w:p>
    <w:p w:rsidR="00EA441E" w:rsidRPr="00807837" w:rsidRDefault="00EA441E" w:rsidP="00807837">
      <w:pPr>
        <w:spacing w:after="0" w:line="240" w:lineRule="auto"/>
        <w:rPr>
          <w:rFonts w:ascii="Arial" w:eastAsia="Calibri" w:hAnsi="Arial" w:cs="Arial"/>
          <w:sz w:val="20"/>
          <w:szCs w:val="20"/>
          <w:lang w:eastAsia="en-ZA"/>
        </w:rPr>
      </w:pPr>
      <w:r w:rsidRPr="00807837">
        <w:rPr>
          <w:rFonts w:ascii="Arial" w:eastAsia="Calibri" w:hAnsi="Arial" w:cs="Arial"/>
          <w:sz w:val="20"/>
          <w:szCs w:val="20"/>
          <w:lang w:eastAsia="en-ZA"/>
        </w:rPr>
        <w:t xml:space="preserve">The impact of targets not achieved </w:t>
      </w:r>
      <w:r w:rsidR="008611F9" w:rsidRPr="00807837">
        <w:rPr>
          <w:rFonts w:ascii="Arial" w:eastAsia="Calibri" w:hAnsi="Arial" w:cs="Arial"/>
          <w:sz w:val="20"/>
          <w:szCs w:val="20"/>
          <w:lang w:eastAsia="en-ZA"/>
        </w:rPr>
        <w:t xml:space="preserve">in the period under review </w:t>
      </w:r>
      <w:r w:rsidRPr="00807837">
        <w:rPr>
          <w:rFonts w:ascii="Arial" w:eastAsia="Calibri" w:hAnsi="Arial" w:cs="Arial"/>
          <w:sz w:val="20"/>
          <w:szCs w:val="20"/>
          <w:lang w:eastAsia="en-ZA"/>
        </w:rPr>
        <w:t>includes</w:t>
      </w:r>
      <w:r w:rsidR="008611F9" w:rsidRPr="00807837">
        <w:rPr>
          <w:rFonts w:ascii="Arial" w:eastAsia="Calibri" w:hAnsi="Arial" w:cs="Arial"/>
          <w:sz w:val="20"/>
          <w:szCs w:val="20"/>
          <w:lang w:eastAsia="en-ZA"/>
        </w:rPr>
        <w:t xml:space="preserve">, but is not limited to </w:t>
      </w:r>
      <w:r w:rsidR="00FF43E5" w:rsidRPr="00807837">
        <w:rPr>
          <w:rFonts w:ascii="Arial" w:eastAsia="Calibri" w:hAnsi="Arial" w:cs="Arial"/>
          <w:sz w:val="20"/>
          <w:szCs w:val="20"/>
          <w:lang w:eastAsia="en-ZA"/>
        </w:rPr>
        <w:t>the following</w:t>
      </w:r>
      <w:r w:rsidRPr="00807837">
        <w:rPr>
          <w:rFonts w:ascii="Arial" w:eastAsia="Calibri" w:hAnsi="Arial" w:cs="Arial"/>
          <w:sz w:val="20"/>
          <w:szCs w:val="20"/>
          <w:lang w:eastAsia="en-ZA"/>
        </w:rPr>
        <w:t>:</w:t>
      </w:r>
    </w:p>
    <w:p w:rsidR="008611F9" w:rsidRPr="00807837" w:rsidRDefault="008611F9" w:rsidP="00807837">
      <w:pPr>
        <w:spacing w:after="0" w:line="240" w:lineRule="auto"/>
        <w:rPr>
          <w:rFonts w:ascii="Arial" w:eastAsia="Calibri" w:hAnsi="Arial" w:cs="Arial"/>
          <w:sz w:val="20"/>
          <w:szCs w:val="20"/>
          <w:lang w:eastAsia="en-ZA"/>
        </w:rPr>
      </w:pPr>
    </w:p>
    <w:p w:rsidR="00EA441E" w:rsidRPr="00807837" w:rsidRDefault="00EA441E" w:rsidP="00807837">
      <w:pPr>
        <w:numPr>
          <w:ilvl w:val="0"/>
          <w:numId w:val="23"/>
        </w:numPr>
        <w:spacing w:after="0" w:line="240" w:lineRule="auto"/>
        <w:rPr>
          <w:rFonts w:ascii="Arial" w:eastAsia="Calibri" w:hAnsi="Arial" w:cs="Arial"/>
          <w:sz w:val="20"/>
          <w:szCs w:val="20"/>
          <w:lang w:eastAsia="en-ZA"/>
        </w:rPr>
      </w:pPr>
      <w:r w:rsidRPr="00807837">
        <w:rPr>
          <w:rFonts w:ascii="Arial" w:eastAsia="Calibri" w:hAnsi="Arial" w:cs="Arial"/>
          <w:sz w:val="20"/>
          <w:szCs w:val="20"/>
          <w:lang w:eastAsia="en-ZA"/>
        </w:rPr>
        <w:t>Delayed transformation in the tourism industry</w:t>
      </w:r>
      <w:r w:rsidR="00EC5395" w:rsidRPr="00807837">
        <w:rPr>
          <w:rFonts w:ascii="Arial" w:eastAsia="Calibri" w:hAnsi="Arial" w:cs="Arial"/>
          <w:sz w:val="20"/>
          <w:szCs w:val="20"/>
          <w:lang w:eastAsia="en-ZA"/>
        </w:rPr>
        <w:t>;</w:t>
      </w:r>
    </w:p>
    <w:p w:rsidR="00EA441E" w:rsidRPr="00807837" w:rsidRDefault="00EA441E" w:rsidP="00807837">
      <w:pPr>
        <w:numPr>
          <w:ilvl w:val="0"/>
          <w:numId w:val="23"/>
        </w:numPr>
        <w:spacing w:after="0" w:line="240" w:lineRule="auto"/>
        <w:rPr>
          <w:rFonts w:ascii="Arial" w:eastAsia="Calibri" w:hAnsi="Arial" w:cs="Arial"/>
          <w:sz w:val="20"/>
          <w:szCs w:val="20"/>
          <w:lang w:eastAsia="en-ZA"/>
        </w:rPr>
      </w:pPr>
      <w:r w:rsidRPr="00807837">
        <w:rPr>
          <w:rFonts w:ascii="Arial" w:eastAsia="Calibri" w:hAnsi="Arial" w:cs="Arial"/>
          <w:sz w:val="20"/>
          <w:szCs w:val="20"/>
          <w:lang w:eastAsia="en-ZA"/>
        </w:rPr>
        <w:t>Lack of support for small, medium and micro enterprises in the tourism industry</w:t>
      </w:r>
      <w:r w:rsidR="00EC5395" w:rsidRPr="00807837">
        <w:rPr>
          <w:rFonts w:ascii="Arial" w:eastAsia="Calibri" w:hAnsi="Arial" w:cs="Arial"/>
          <w:sz w:val="20"/>
          <w:szCs w:val="20"/>
          <w:lang w:eastAsia="en-ZA"/>
        </w:rPr>
        <w:t>;</w:t>
      </w:r>
    </w:p>
    <w:p w:rsidR="00EA441E" w:rsidRPr="00807837" w:rsidRDefault="00EA441E" w:rsidP="00807837">
      <w:pPr>
        <w:numPr>
          <w:ilvl w:val="0"/>
          <w:numId w:val="23"/>
        </w:numPr>
        <w:spacing w:after="0" w:line="240" w:lineRule="auto"/>
        <w:rPr>
          <w:rFonts w:ascii="Arial" w:eastAsia="Calibri" w:hAnsi="Arial" w:cs="Arial"/>
          <w:sz w:val="20"/>
          <w:szCs w:val="20"/>
          <w:lang w:eastAsia="en-ZA"/>
        </w:rPr>
      </w:pPr>
      <w:r w:rsidRPr="00807837">
        <w:rPr>
          <w:rFonts w:ascii="Arial" w:eastAsia="Calibri" w:hAnsi="Arial" w:cs="Arial"/>
          <w:sz w:val="20"/>
          <w:szCs w:val="20"/>
          <w:lang w:eastAsia="en-ZA"/>
        </w:rPr>
        <w:t>Lack of support for women in tourism particularly in the rural provinces</w:t>
      </w:r>
      <w:r w:rsidR="00EC5395" w:rsidRPr="00807837">
        <w:rPr>
          <w:rFonts w:ascii="Arial" w:eastAsia="Calibri" w:hAnsi="Arial" w:cs="Arial"/>
          <w:sz w:val="20"/>
          <w:szCs w:val="20"/>
          <w:lang w:eastAsia="en-ZA"/>
        </w:rPr>
        <w:t>;</w:t>
      </w:r>
    </w:p>
    <w:p w:rsidR="00EA441E" w:rsidRPr="00807837" w:rsidRDefault="00EA441E" w:rsidP="00807837">
      <w:pPr>
        <w:numPr>
          <w:ilvl w:val="0"/>
          <w:numId w:val="23"/>
        </w:numPr>
        <w:spacing w:after="0" w:line="240" w:lineRule="auto"/>
        <w:rPr>
          <w:rFonts w:ascii="Arial" w:eastAsia="Calibri" w:hAnsi="Arial" w:cs="Arial"/>
          <w:sz w:val="20"/>
          <w:szCs w:val="20"/>
          <w:lang w:eastAsia="en-ZA"/>
        </w:rPr>
      </w:pPr>
      <w:r w:rsidRPr="00807837">
        <w:rPr>
          <w:rFonts w:ascii="Arial" w:eastAsia="Calibri" w:hAnsi="Arial" w:cs="Arial"/>
          <w:sz w:val="20"/>
          <w:szCs w:val="20"/>
          <w:lang w:eastAsia="en-ZA"/>
        </w:rPr>
        <w:t>Lack of job creation</w:t>
      </w:r>
      <w:r w:rsidR="00EC5395" w:rsidRPr="00807837">
        <w:rPr>
          <w:rFonts w:ascii="Arial" w:eastAsia="Calibri" w:hAnsi="Arial" w:cs="Arial"/>
          <w:sz w:val="20"/>
          <w:szCs w:val="20"/>
          <w:lang w:eastAsia="en-ZA"/>
        </w:rPr>
        <w:t>;</w:t>
      </w:r>
    </w:p>
    <w:p w:rsidR="00EA441E" w:rsidRPr="00807837" w:rsidRDefault="00EA441E" w:rsidP="00807837">
      <w:pPr>
        <w:numPr>
          <w:ilvl w:val="0"/>
          <w:numId w:val="23"/>
        </w:numPr>
        <w:spacing w:after="0" w:line="240" w:lineRule="auto"/>
        <w:rPr>
          <w:rFonts w:ascii="Arial" w:eastAsia="Calibri" w:hAnsi="Arial" w:cs="Arial"/>
          <w:sz w:val="20"/>
          <w:szCs w:val="20"/>
          <w:lang w:eastAsia="en-ZA"/>
        </w:rPr>
      </w:pPr>
      <w:r w:rsidRPr="00807837">
        <w:rPr>
          <w:rFonts w:ascii="Arial" w:eastAsia="Calibri" w:hAnsi="Arial" w:cs="Arial"/>
          <w:sz w:val="20"/>
          <w:szCs w:val="20"/>
          <w:lang w:eastAsia="en-ZA"/>
        </w:rPr>
        <w:t>Inability to apply strategies to improve the South African Brand when marketing the country</w:t>
      </w:r>
      <w:r w:rsidR="00EC5395" w:rsidRPr="00807837">
        <w:rPr>
          <w:rFonts w:ascii="Arial" w:eastAsia="Calibri" w:hAnsi="Arial" w:cs="Arial"/>
          <w:sz w:val="20"/>
          <w:szCs w:val="20"/>
          <w:lang w:eastAsia="en-ZA"/>
        </w:rPr>
        <w:t xml:space="preserve">; </w:t>
      </w:r>
      <w:r w:rsidRPr="00807837">
        <w:rPr>
          <w:rFonts w:ascii="Arial" w:eastAsia="Calibri" w:hAnsi="Arial" w:cs="Arial"/>
          <w:sz w:val="20"/>
          <w:szCs w:val="20"/>
          <w:lang w:eastAsia="en-ZA"/>
        </w:rPr>
        <w:t xml:space="preserve">and </w:t>
      </w:r>
    </w:p>
    <w:p w:rsidR="00EA441E" w:rsidRPr="00807837" w:rsidRDefault="00EA441E" w:rsidP="00807837">
      <w:pPr>
        <w:numPr>
          <w:ilvl w:val="0"/>
          <w:numId w:val="23"/>
        </w:numPr>
        <w:spacing w:after="0" w:line="240" w:lineRule="auto"/>
        <w:rPr>
          <w:rFonts w:ascii="Arial" w:eastAsia="Calibri" w:hAnsi="Arial" w:cs="Arial"/>
          <w:sz w:val="20"/>
          <w:szCs w:val="20"/>
          <w:lang w:eastAsia="en-ZA"/>
        </w:rPr>
      </w:pPr>
      <w:r w:rsidRPr="00807837">
        <w:rPr>
          <w:rFonts w:ascii="Arial" w:eastAsia="Calibri" w:hAnsi="Arial" w:cs="Arial"/>
          <w:sz w:val="20"/>
          <w:szCs w:val="20"/>
          <w:lang w:eastAsia="en-ZA"/>
        </w:rPr>
        <w:t>Domestic tourism is still under pressure due to lack of support by South Africans</w:t>
      </w:r>
      <w:r w:rsidR="00EC5395" w:rsidRPr="00807837">
        <w:rPr>
          <w:rFonts w:ascii="Arial" w:eastAsia="Calibri" w:hAnsi="Arial" w:cs="Arial"/>
          <w:sz w:val="20"/>
          <w:szCs w:val="20"/>
          <w:lang w:eastAsia="en-ZA"/>
        </w:rPr>
        <w:t>.</w:t>
      </w:r>
    </w:p>
    <w:p w:rsidR="000F359A" w:rsidRPr="00807837" w:rsidRDefault="000F359A" w:rsidP="00807837">
      <w:pPr>
        <w:suppressAutoHyphens/>
        <w:autoSpaceDN w:val="0"/>
        <w:spacing w:after="0" w:line="240" w:lineRule="auto"/>
        <w:rPr>
          <w:rFonts w:ascii="Arial" w:eastAsia="Calibri" w:hAnsi="Arial" w:cs="Arial"/>
          <w:sz w:val="20"/>
          <w:szCs w:val="20"/>
          <w:lang w:eastAsia="en-ZA"/>
        </w:rPr>
      </w:pPr>
    </w:p>
    <w:p w:rsidR="00733FA4" w:rsidRPr="00807837" w:rsidRDefault="00733FA4" w:rsidP="00807837">
      <w:pPr>
        <w:numPr>
          <w:ilvl w:val="1"/>
          <w:numId w:val="17"/>
        </w:numPr>
        <w:spacing w:after="0" w:line="240" w:lineRule="auto"/>
        <w:ind w:left="567" w:hanging="567"/>
        <w:contextualSpacing/>
        <w:rPr>
          <w:rFonts w:ascii="Arial" w:hAnsi="Arial" w:cs="Arial"/>
          <w:b/>
          <w:sz w:val="20"/>
          <w:szCs w:val="20"/>
        </w:rPr>
      </w:pPr>
      <w:r w:rsidRPr="00807837">
        <w:rPr>
          <w:rFonts w:ascii="Arial" w:hAnsi="Arial" w:cs="Arial"/>
          <w:b/>
          <w:sz w:val="20"/>
          <w:szCs w:val="20"/>
        </w:rPr>
        <w:lastRenderedPageBreak/>
        <w:t>Relevant external research assessing performance of the Department</w:t>
      </w:r>
    </w:p>
    <w:p w:rsidR="00733FA4" w:rsidRPr="00807837" w:rsidRDefault="00733FA4" w:rsidP="00807837">
      <w:pPr>
        <w:spacing w:after="0" w:line="240" w:lineRule="auto"/>
        <w:ind w:left="360"/>
        <w:contextualSpacing/>
        <w:rPr>
          <w:rFonts w:ascii="Arial" w:hAnsi="Arial" w:cs="Arial"/>
          <w:b/>
          <w:sz w:val="20"/>
          <w:szCs w:val="20"/>
        </w:rPr>
      </w:pPr>
    </w:p>
    <w:p w:rsidR="00EA441E" w:rsidRPr="00807837" w:rsidRDefault="00EA441E" w:rsidP="00807837">
      <w:pPr>
        <w:spacing w:after="0" w:line="240" w:lineRule="auto"/>
        <w:ind w:left="567" w:hanging="567"/>
        <w:rPr>
          <w:rFonts w:ascii="Arial" w:eastAsia="Calibri" w:hAnsi="Arial" w:cs="Arial"/>
          <w:sz w:val="20"/>
          <w:szCs w:val="20"/>
        </w:rPr>
      </w:pPr>
      <w:r w:rsidRPr="00807837">
        <w:rPr>
          <w:rFonts w:ascii="Arial" w:eastAsia="Calibri" w:hAnsi="Arial" w:cs="Arial"/>
          <w:sz w:val="20"/>
          <w:szCs w:val="20"/>
        </w:rPr>
        <w:t>6.6.1</w:t>
      </w:r>
      <w:r w:rsidRPr="00807837">
        <w:rPr>
          <w:rFonts w:ascii="Arial" w:eastAsia="Calibri" w:hAnsi="Arial" w:cs="Arial"/>
          <w:sz w:val="20"/>
          <w:szCs w:val="20"/>
        </w:rPr>
        <w:tab/>
        <w:t>Travel and Tourism Development Index</w:t>
      </w:r>
    </w:p>
    <w:p w:rsidR="00EA441E" w:rsidRPr="00807837" w:rsidRDefault="00EA441E" w:rsidP="00807837">
      <w:pPr>
        <w:spacing w:after="0" w:line="240" w:lineRule="auto"/>
        <w:rPr>
          <w:rFonts w:ascii="Arial" w:eastAsia="Calibri" w:hAnsi="Arial" w:cs="Arial"/>
          <w:sz w:val="20"/>
          <w:szCs w:val="20"/>
        </w:rPr>
      </w:pPr>
    </w:p>
    <w:p w:rsidR="00EA441E" w:rsidRPr="00807837" w:rsidRDefault="00EA441E" w:rsidP="00807837">
      <w:pPr>
        <w:spacing w:after="0" w:line="240" w:lineRule="auto"/>
        <w:rPr>
          <w:rFonts w:ascii="Arial" w:eastAsia="Calibri" w:hAnsi="Arial" w:cs="Arial"/>
          <w:sz w:val="20"/>
          <w:szCs w:val="20"/>
        </w:rPr>
      </w:pPr>
      <w:r w:rsidRPr="00807837">
        <w:rPr>
          <w:rFonts w:ascii="Arial" w:eastAsia="Calibri" w:hAnsi="Arial" w:cs="Arial"/>
          <w:sz w:val="20"/>
          <w:szCs w:val="20"/>
        </w:rPr>
        <w:t>As reported, the Travel and Tourism Development Index, which is updated by the World Economic Forum every two years, benchmarks and measures “the set of factors and policies that enable the sustainable and resilient development of the tourism sector” within 117 countries, including South Africa. The 2021 survey was released towards end-May 2022.  South Africa was ranked 68</w:t>
      </w:r>
      <w:r w:rsidRPr="00807837">
        <w:rPr>
          <w:rFonts w:ascii="Arial" w:eastAsia="Calibri" w:hAnsi="Arial" w:cs="Arial"/>
          <w:sz w:val="20"/>
          <w:szCs w:val="20"/>
          <w:vertAlign w:val="superscript"/>
        </w:rPr>
        <w:t>th</w:t>
      </w:r>
      <w:r w:rsidRPr="00807837">
        <w:rPr>
          <w:rFonts w:ascii="Arial" w:eastAsia="Calibri" w:hAnsi="Arial" w:cs="Arial"/>
          <w:sz w:val="20"/>
          <w:szCs w:val="20"/>
        </w:rPr>
        <w:t> in 2021, unchanged from the 2019 ranking. Its score is below the global average and similar to the score ascribed to Kazakhstan, Montenegro, Dominican Republic and Serbia. The following insights are worth noting by the Committee:</w:t>
      </w:r>
    </w:p>
    <w:p w:rsidR="00EA441E" w:rsidRPr="00807837" w:rsidRDefault="00EA441E" w:rsidP="00807837">
      <w:pPr>
        <w:spacing w:after="0" w:line="240" w:lineRule="auto"/>
        <w:rPr>
          <w:rFonts w:ascii="Arial" w:eastAsia="Calibri" w:hAnsi="Arial" w:cs="Arial"/>
          <w:sz w:val="20"/>
          <w:szCs w:val="20"/>
        </w:rPr>
      </w:pPr>
    </w:p>
    <w:p w:rsidR="00EA441E" w:rsidRPr="00807837" w:rsidRDefault="00EA441E" w:rsidP="00807837">
      <w:pPr>
        <w:spacing w:after="0" w:line="240" w:lineRule="auto"/>
        <w:rPr>
          <w:rFonts w:ascii="Arial" w:eastAsia="Calibri" w:hAnsi="Arial" w:cs="Arial"/>
          <w:sz w:val="20"/>
          <w:szCs w:val="20"/>
        </w:rPr>
      </w:pPr>
      <w:r w:rsidRPr="00807837">
        <w:rPr>
          <w:rFonts w:ascii="Arial" w:eastAsia="Calibri" w:hAnsi="Arial" w:cs="Arial"/>
          <w:sz w:val="20"/>
          <w:szCs w:val="20"/>
        </w:rPr>
        <w:t>South Africa scored highly in the category related to the demand drivers of tourism, in particular Natural Resources (national parks and nature reserves, landscapes, richness of fauna, etc.), in which it ranks an impressive 13</w:t>
      </w:r>
      <w:r w:rsidRPr="00807837">
        <w:rPr>
          <w:rFonts w:ascii="Arial" w:eastAsia="Calibri" w:hAnsi="Arial" w:cs="Arial"/>
          <w:sz w:val="20"/>
          <w:szCs w:val="20"/>
          <w:vertAlign w:val="superscript"/>
        </w:rPr>
        <w:t>th</w:t>
      </w:r>
      <w:r w:rsidRPr="00807837">
        <w:rPr>
          <w:rFonts w:ascii="Arial" w:eastAsia="Calibri" w:hAnsi="Arial" w:cs="Arial"/>
          <w:sz w:val="20"/>
          <w:szCs w:val="20"/>
        </w:rPr>
        <w:t> in the world; non-leisure resources (factors that drive non-leisure travel, including medical travel, ranked 21</w:t>
      </w:r>
      <w:r w:rsidRPr="00807837">
        <w:rPr>
          <w:rFonts w:ascii="Arial" w:eastAsia="Calibri" w:hAnsi="Arial" w:cs="Arial"/>
          <w:sz w:val="20"/>
          <w:szCs w:val="20"/>
          <w:vertAlign w:val="superscript"/>
        </w:rPr>
        <w:t>st</w:t>
      </w:r>
      <w:r w:rsidRPr="00807837">
        <w:rPr>
          <w:rFonts w:ascii="Arial" w:eastAsia="Calibri" w:hAnsi="Arial" w:cs="Arial"/>
          <w:sz w:val="20"/>
          <w:szCs w:val="20"/>
        </w:rPr>
        <w:t>); and cultural resources (ranging from archaeological sites to entertainment facilities, ranked 26</w:t>
      </w:r>
      <w:r w:rsidRPr="00807837">
        <w:rPr>
          <w:rFonts w:ascii="Arial" w:eastAsia="Calibri" w:hAnsi="Arial" w:cs="Arial"/>
          <w:sz w:val="20"/>
          <w:szCs w:val="20"/>
          <w:vertAlign w:val="superscript"/>
        </w:rPr>
        <w:t>th</w:t>
      </w:r>
      <w:r w:rsidRPr="00807837">
        <w:rPr>
          <w:rFonts w:ascii="Arial" w:eastAsia="Calibri" w:hAnsi="Arial" w:cs="Arial"/>
          <w:sz w:val="20"/>
          <w:szCs w:val="20"/>
        </w:rPr>
        <w:t>).</w:t>
      </w:r>
    </w:p>
    <w:p w:rsidR="00EA441E" w:rsidRPr="00807837" w:rsidRDefault="00EA441E" w:rsidP="00807837">
      <w:pPr>
        <w:spacing w:after="0" w:line="240" w:lineRule="auto"/>
        <w:rPr>
          <w:rFonts w:ascii="Arial" w:eastAsia="Calibri" w:hAnsi="Arial" w:cs="Arial"/>
          <w:sz w:val="20"/>
          <w:szCs w:val="20"/>
        </w:rPr>
      </w:pPr>
    </w:p>
    <w:p w:rsidR="00EA441E" w:rsidRPr="00807837" w:rsidRDefault="00EA441E" w:rsidP="00807837">
      <w:pPr>
        <w:spacing w:after="0" w:line="240" w:lineRule="auto"/>
        <w:rPr>
          <w:rFonts w:ascii="Arial" w:eastAsia="Calibri" w:hAnsi="Arial" w:cs="Arial"/>
          <w:sz w:val="20"/>
          <w:szCs w:val="20"/>
        </w:rPr>
      </w:pPr>
      <w:r w:rsidRPr="00807837">
        <w:rPr>
          <w:rFonts w:ascii="Arial" w:eastAsia="Calibri" w:hAnsi="Arial" w:cs="Arial"/>
          <w:bCs/>
          <w:sz w:val="20"/>
          <w:szCs w:val="20"/>
        </w:rPr>
        <w:t>I</w:t>
      </w:r>
      <w:r w:rsidRPr="00807837">
        <w:rPr>
          <w:rFonts w:ascii="Arial" w:eastAsia="Calibri" w:hAnsi="Arial" w:cs="Arial"/>
          <w:sz w:val="20"/>
          <w:szCs w:val="20"/>
        </w:rPr>
        <w:t>n key areas, South Africa’s tourism score is shockingly low. A key example is South Africa’s global ranking of 112/117 in Safety and Security. This reflects the extent to which a country exposes locals, tourists and businesses to security risks. Another clear area of weakness is passenger rail and port infrastructure (ranked 73</w:t>
      </w:r>
      <w:r w:rsidRPr="00807837">
        <w:rPr>
          <w:rFonts w:ascii="Arial" w:eastAsia="Calibri" w:hAnsi="Arial" w:cs="Arial"/>
          <w:sz w:val="20"/>
          <w:szCs w:val="20"/>
          <w:vertAlign w:val="superscript"/>
        </w:rPr>
        <w:t>rd</w:t>
      </w:r>
      <w:r w:rsidRPr="00807837">
        <w:rPr>
          <w:rFonts w:ascii="Arial" w:eastAsia="Calibri" w:hAnsi="Arial" w:cs="Arial"/>
          <w:sz w:val="20"/>
          <w:szCs w:val="20"/>
        </w:rPr>
        <w:t>). Uplifting South Africa’s transport infrastructure and reducing crime would benefit a huge array of industries extending well beyond the tourism sector. This, in turn, would lift consumer and business confidence, encourage private sector fixed investment and create employment, thereby boosting government’s tax revenue collection and overall popularity. Yet government appears content to merely highlight its policy intentions, rather than implement key reforms.</w:t>
      </w:r>
    </w:p>
    <w:p w:rsidR="00EA441E" w:rsidRPr="00807837" w:rsidRDefault="00EA441E" w:rsidP="00807837">
      <w:pPr>
        <w:spacing w:after="0" w:line="240" w:lineRule="auto"/>
        <w:rPr>
          <w:rFonts w:ascii="Arial" w:eastAsia="Calibri" w:hAnsi="Arial" w:cs="Arial"/>
          <w:sz w:val="20"/>
          <w:szCs w:val="20"/>
        </w:rPr>
      </w:pPr>
    </w:p>
    <w:p w:rsidR="00EA441E" w:rsidRPr="00807837" w:rsidRDefault="00EA441E" w:rsidP="00807837">
      <w:pPr>
        <w:spacing w:after="0" w:line="240" w:lineRule="auto"/>
        <w:rPr>
          <w:rFonts w:ascii="Arial" w:eastAsia="Calibri" w:hAnsi="Arial" w:cs="Arial"/>
          <w:sz w:val="20"/>
          <w:szCs w:val="20"/>
        </w:rPr>
      </w:pPr>
      <w:r w:rsidRPr="00807837">
        <w:rPr>
          <w:rFonts w:ascii="Arial" w:eastAsia="Calibri" w:hAnsi="Arial" w:cs="Arial"/>
          <w:bCs/>
          <w:sz w:val="20"/>
          <w:szCs w:val="20"/>
        </w:rPr>
        <w:t xml:space="preserve">Furthermore, </w:t>
      </w:r>
      <w:r w:rsidRPr="00807837">
        <w:rPr>
          <w:rFonts w:ascii="Arial" w:eastAsia="Calibri" w:hAnsi="Arial" w:cs="Arial"/>
          <w:sz w:val="20"/>
          <w:szCs w:val="20"/>
        </w:rPr>
        <w:t>South Africa ranks a respectable 43</w:t>
      </w:r>
      <w:r w:rsidRPr="00807837">
        <w:rPr>
          <w:rFonts w:ascii="Arial" w:eastAsia="Calibri" w:hAnsi="Arial" w:cs="Arial"/>
          <w:sz w:val="20"/>
          <w:szCs w:val="20"/>
          <w:vertAlign w:val="superscript"/>
        </w:rPr>
        <w:t>rd</w:t>
      </w:r>
      <w:r w:rsidRPr="00807837">
        <w:rPr>
          <w:rFonts w:ascii="Arial" w:eastAsia="Calibri" w:hAnsi="Arial" w:cs="Arial"/>
          <w:sz w:val="20"/>
          <w:szCs w:val="20"/>
        </w:rPr>
        <w:t> in the world in terms of the price competitiveness of its tourism sector. It is known, internationally, as a relatively low-cost travel destination, although the market can accommodate both the budget-conscious traveller, as well as those tourists looking for a more luxurious experience.</w:t>
      </w:r>
    </w:p>
    <w:p w:rsidR="00EA441E" w:rsidRPr="00807837" w:rsidRDefault="00EA441E" w:rsidP="00807837">
      <w:pPr>
        <w:spacing w:after="0" w:line="240" w:lineRule="auto"/>
        <w:rPr>
          <w:rFonts w:ascii="Arial" w:eastAsia="Calibri" w:hAnsi="Arial" w:cs="Arial"/>
          <w:sz w:val="20"/>
          <w:szCs w:val="20"/>
        </w:rPr>
      </w:pPr>
    </w:p>
    <w:p w:rsidR="00EA441E" w:rsidRPr="00807837" w:rsidRDefault="00EA441E" w:rsidP="00807837">
      <w:pPr>
        <w:spacing w:after="0" w:line="240" w:lineRule="auto"/>
        <w:rPr>
          <w:rFonts w:ascii="Arial" w:eastAsia="Calibri" w:hAnsi="Arial" w:cs="Arial"/>
          <w:sz w:val="20"/>
          <w:szCs w:val="20"/>
        </w:rPr>
      </w:pPr>
      <w:r w:rsidRPr="00807837">
        <w:rPr>
          <w:rFonts w:ascii="Arial" w:eastAsia="Calibri" w:hAnsi="Arial" w:cs="Arial"/>
          <w:bCs/>
          <w:sz w:val="20"/>
          <w:szCs w:val="20"/>
        </w:rPr>
        <w:t>E</w:t>
      </w:r>
      <w:r w:rsidRPr="00807837">
        <w:rPr>
          <w:rFonts w:ascii="Arial" w:eastAsia="Calibri" w:hAnsi="Arial" w:cs="Arial"/>
          <w:sz w:val="20"/>
          <w:szCs w:val="20"/>
        </w:rPr>
        <w:t>xploring the World Economic Forum’s detailed assessment of South Africa’s travel and tourism sectors, it can be argued that the country is being underrated in a few key areas. These include a rating of 109/117 in environmental sustainability, which includes factors such as the protection of natural resources and exposure to weather-related events. While South Africa falls short in some areas, this ranking seems very harsh and undeserved. The same can be argued for South Africa’s ranking of 71/117 in tourist service infrastructure, which includes the availability of tourist accommodation, car rental, resort and leisure facilities and ATMs.</w:t>
      </w:r>
    </w:p>
    <w:p w:rsidR="00EA441E" w:rsidRPr="00807837" w:rsidRDefault="00EA441E" w:rsidP="00807837">
      <w:pPr>
        <w:spacing w:after="0" w:line="240" w:lineRule="auto"/>
        <w:rPr>
          <w:rFonts w:ascii="Arial" w:eastAsia="Calibri" w:hAnsi="Arial" w:cs="Arial"/>
          <w:sz w:val="20"/>
          <w:szCs w:val="20"/>
        </w:rPr>
      </w:pPr>
      <w:r w:rsidRPr="00807837">
        <w:rPr>
          <w:rFonts w:ascii="Arial" w:eastAsia="Calibri" w:hAnsi="Arial" w:cs="Arial"/>
          <w:sz w:val="20"/>
          <w:szCs w:val="20"/>
        </w:rPr>
        <w:t> </w:t>
      </w:r>
    </w:p>
    <w:p w:rsidR="00EA441E" w:rsidRPr="00807837" w:rsidRDefault="00EA441E" w:rsidP="00807837">
      <w:pPr>
        <w:spacing w:after="0" w:line="240" w:lineRule="auto"/>
        <w:rPr>
          <w:rFonts w:ascii="Arial" w:eastAsia="Calibri" w:hAnsi="Arial" w:cs="Arial"/>
          <w:sz w:val="20"/>
          <w:szCs w:val="20"/>
        </w:rPr>
      </w:pPr>
      <w:r w:rsidRPr="00807837">
        <w:rPr>
          <w:rFonts w:ascii="Arial" w:eastAsia="Calibri" w:hAnsi="Arial" w:cs="Arial"/>
          <w:bCs/>
          <w:sz w:val="20"/>
          <w:szCs w:val="20"/>
        </w:rPr>
        <w:t xml:space="preserve">In addition, </w:t>
      </w:r>
      <w:r w:rsidRPr="00807837">
        <w:rPr>
          <w:rFonts w:ascii="Arial" w:eastAsia="Calibri" w:hAnsi="Arial" w:cs="Arial"/>
          <w:sz w:val="20"/>
          <w:szCs w:val="20"/>
        </w:rPr>
        <w:t>the World Economic Forum’s Travel and Tourism Development report does an excellent job in highlighting the correlation between the development of the tourism sector and a very broad range of social, economic and policy metrics. For example, the reliability of police services matters much more to the development of tourism than the cost of hotels. Exploring these relationships can help to identify the most important areas for development.</w:t>
      </w:r>
    </w:p>
    <w:p w:rsidR="00EA441E" w:rsidRPr="00807837" w:rsidRDefault="00EA441E" w:rsidP="00807837">
      <w:pPr>
        <w:spacing w:after="0" w:line="240" w:lineRule="auto"/>
        <w:rPr>
          <w:rFonts w:ascii="Arial" w:eastAsia="Calibri" w:hAnsi="Arial" w:cs="Arial"/>
          <w:sz w:val="20"/>
          <w:szCs w:val="20"/>
        </w:rPr>
      </w:pPr>
      <w:r w:rsidRPr="00807837">
        <w:rPr>
          <w:rFonts w:ascii="Arial" w:eastAsia="Calibri" w:hAnsi="Arial" w:cs="Arial"/>
          <w:sz w:val="20"/>
          <w:szCs w:val="20"/>
        </w:rPr>
        <w:t> </w:t>
      </w:r>
    </w:p>
    <w:p w:rsidR="00EA441E" w:rsidRPr="00807837" w:rsidRDefault="00EA441E" w:rsidP="00807837">
      <w:pPr>
        <w:spacing w:after="0" w:line="240" w:lineRule="auto"/>
        <w:rPr>
          <w:rFonts w:ascii="Arial" w:eastAsia="Calibri" w:hAnsi="Arial" w:cs="Arial"/>
          <w:sz w:val="20"/>
          <w:szCs w:val="20"/>
        </w:rPr>
      </w:pPr>
      <w:r w:rsidRPr="00807837">
        <w:rPr>
          <w:rFonts w:ascii="Arial" w:eastAsia="Calibri" w:hAnsi="Arial" w:cs="Arial"/>
          <w:bCs/>
          <w:sz w:val="20"/>
          <w:szCs w:val="20"/>
        </w:rPr>
        <w:t>Overall</w:t>
      </w:r>
      <w:r w:rsidRPr="00807837">
        <w:rPr>
          <w:rFonts w:ascii="Arial" w:eastAsia="Calibri" w:hAnsi="Arial" w:cs="Arial"/>
          <w:sz w:val="20"/>
          <w:szCs w:val="20"/>
        </w:rPr>
        <w:t>, SA’s tourism sector is in the process of recovering from the impact of the COVID-19 restrictions. Domestic flights have increased substantially relative to 2020, and on some routes (depending on the airline) business is back to around 70 per cent of pre-COVID volumes. Unfortunately, while outbound international travel has also increased meaningfully, inbound international travel continues to lag.</w:t>
      </w:r>
    </w:p>
    <w:p w:rsidR="00EC5395" w:rsidRPr="00807837" w:rsidRDefault="00EC5395" w:rsidP="00807837">
      <w:pPr>
        <w:spacing w:after="0" w:line="240" w:lineRule="auto"/>
        <w:rPr>
          <w:rFonts w:ascii="Arial" w:eastAsia="Calibri" w:hAnsi="Arial" w:cs="Arial"/>
          <w:sz w:val="20"/>
          <w:szCs w:val="20"/>
        </w:rPr>
      </w:pPr>
    </w:p>
    <w:p w:rsidR="00EA441E" w:rsidRPr="00807837" w:rsidRDefault="00EA441E" w:rsidP="00807837">
      <w:pPr>
        <w:spacing w:after="0" w:line="240" w:lineRule="auto"/>
        <w:rPr>
          <w:rFonts w:ascii="Arial" w:eastAsia="Calibri" w:hAnsi="Arial" w:cs="Arial"/>
          <w:sz w:val="20"/>
          <w:szCs w:val="20"/>
        </w:rPr>
      </w:pPr>
      <w:r w:rsidRPr="00807837">
        <w:rPr>
          <w:rFonts w:ascii="Arial" w:eastAsia="Calibri" w:hAnsi="Arial" w:cs="Arial"/>
          <w:sz w:val="20"/>
          <w:szCs w:val="20"/>
        </w:rPr>
        <w:t>The above insights have a direct bearing on the Committee’s oversight over the portfolio in regard to the Department and the Entity reporting directly to it, and the overall government departments and entities that have a direct and indirect impact to tourism development.</w:t>
      </w:r>
    </w:p>
    <w:p w:rsidR="002B6863" w:rsidRPr="00807837" w:rsidRDefault="002B6863" w:rsidP="00807837">
      <w:pPr>
        <w:spacing w:after="0" w:line="240" w:lineRule="auto"/>
        <w:rPr>
          <w:rFonts w:ascii="Arial" w:eastAsia="Calibri" w:hAnsi="Arial" w:cs="Arial"/>
          <w:sz w:val="20"/>
          <w:szCs w:val="20"/>
        </w:rPr>
      </w:pPr>
    </w:p>
    <w:p w:rsidR="00E42BA3" w:rsidRPr="00807837" w:rsidRDefault="00E42BA3" w:rsidP="00807837">
      <w:pPr>
        <w:pStyle w:val="ListParagraph"/>
        <w:numPr>
          <w:ilvl w:val="0"/>
          <w:numId w:val="8"/>
        </w:numPr>
        <w:tabs>
          <w:tab w:val="left" w:pos="3119"/>
        </w:tabs>
        <w:spacing w:after="0" w:line="240" w:lineRule="auto"/>
        <w:ind w:left="567" w:hanging="567"/>
        <w:rPr>
          <w:rFonts w:ascii="Arial" w:eastAsia="Calibri" w:hAnsi="Arial" w:cs="Arial"/>
          <w:b/>
          <w:sz w:val="20"/>
          <w:szCs w:val="20"/>
        </w:rPr>
      </w:pPr>
      <w:r w:rsidRPr="00807837">
        <w:rPr>
          <w:rFonts w:ascii="Arial" w:eastAsia="Calibri" w:hAnsi="Arial" w:cs="Arial"/>
          <w:b/>
          <w:caps/>
          <w:sz w:val="20"/>
          <w:szCs w:val="20"/>
        </w:rPr>
        <w:t>Finance and Service delivery performance assessment</w:t>
      </w:r>
    </w:p>
    <w:p w:rsidR="00E42BA3" w:rsidRPr="00807837" w:rsidRDefault="00E42BA3" w:rsidP="00807837">
      <w:pPr>
        <w:spacing w:after="0" w:line="240" w:lineRule="auto"/>
        <w:rPr>
          <w:rFonts w:ascii="Arial" w:hAnsi="Arial" w:cs="Arial"/>
          <w:sz w:val="20"/>
          <w:szCs w:val="20"/>
        </w:rPr>
      </w:pPr>
    </w:p>
    <w:p w:rsidR="004806FB" w:rsidRPr="00807837" w:rsidRDefault="004806FB" w:rsidP="00807837">
      <w:pPr>
        <w:spacing w:after="0" w:line="240" w:lineRule="auto"/>
        <w:rPr>
          <w:rFonts w:ascii="Arial" w:eastAsia="Calibri" w:hAnsi="Arial" w:cs="Arial"/>
          <w:sz w:val="20"/>
          <w:szCs w:val="20"/>
        </w:rPr>
      </w:pPr>
      <w:r w:rsidRPr="00807837">
        <w:rPr>
          <w:rFonts w:ascii="Arial" w:eastAsia="Calibri" w:hAnsi="Arial" w:cs="Arial"/>
          <w:sz w:val="20"/>
          <w:szCs w:val="20"/>
        </w:rPr>
        <w:lastRenderedPageBreak/>
        <w:t>At the end of the financial year, the Department spent R2.5</w:t>
      </w:r>
      <w:r w:rsidR="00EC5395" w:rsidRPr="00807837">
        <w:rPr>
          <w:rFonts w:ascii="Arial" w:eastAsia="Calibri" w:hAnsi="Arial" w:cs="Arial"/>
          <w:sz w:val="20"/>
          <w:szCs w:val="20"/>
        </w:rPr>
        <w:t>3</w:t>
      </w:r>
      <w:r w:rsidRPr="00807837">
        <w:rPr>
          <w:rFonts w:ascii="Arial" w:eastAsia="Calibri" w:hAnsi="Arial" w:cs="Arial"/>
          <w:sz w:val="20"/>
          <w:szCs w:val="20"/>
        </w:rPr>
        <w:t xml:space="preserve"> billion or 99.7 per cent of the available budget of R2.5</w:t>
      </w:r>
      <w:r w:rsidR="00EC5395" w:rsidRPr="00807837">
        <w:rPr>
          <w:rFonts w:ascii="Arial" w:eastAsia="Calibri" w:hAnsi="Arial" w:cs="Arial"/>
          <w:sz w:val="20"/>
          <w:szCs w:val="20"/>
        </w:rPr>
        <w:t>4</w:t>
      </w:r>
      <w:r w:rsidRPr="00807837">
        <w:rPr>
          <w:rFonts w:ascii="Arial" w:eastAsia="Calibri" w:hAnsi="Arial" w:cs="Arial"/>
          <w:sz w:val="20"/>
          <w:szCs w:val="20"/>
        </w:rPr>
        <w:t xml:space="preserve"> billion. This translates to R7.6 million or 0.3 per cent underspending against the total available budget of R2.5 billion for the 2021/22 financial year. The underspending was mainly observed in Programme 4: Tourism Sector Support Services due to an internal departmental decision to reduce expenditure on goods and services in order to reprioritise funds towards Destination Development capital infrastructure projects. This indicates a healthy spending pattern, consistent with previous financial years. The concern is that the spending did not translate to the achievement of the government MTSF targets pursued by the Department.</w:t>
      </w:r>
    </w:p>
    <w:p w:rsidR="004806FB" w:rsidRPr="00807837" w:rsidRDefault="004806FB" w:rsidP="00807837">
      <w:pPr>
        <w:spacing w:after="0" w:line="240" w:lineRule="auto"/>
        <w:rPr>
          <w:rFonts w:ascii="Arial" w:eastAsia="Calibri" w:hAnsi="Arial" w:cs="Arial"/>
          <w:sz w:val="20"/>
          <w:szCs w:val="20"/>
        </w:rPr>
      </w:pPr>
    </w:p>
    <w:p w:rsidR="00E75B8A" w:rsidRPr="00807837" w:rsidRDefault="004806FB" w:rsidP="00807837">
      <w:pPr>
        <w:spacing w:after="0" w:line="240" w:lineRule="auto"/>
        <w:rPr>
          <w:rFonts w:ascii="Arial" w:eastAsia="Calibri" w:hAnsi="Arial" w:cs="Arial"/>
          <w:sz w:val="20"/>
          <w:szCs w:val="20"/>
        </w:rPr>
      </w:pPr>
      <w:r w:rsidRPr="00807837">
        <w:rPr>
          <w:rFonts w:ascii="Arial" w:eastAsia="Calibri" w:hAnsi="Arial" w:cs="Arial"/>
          <w:sz w:val="20"/>
          <w:szCs w:val="20"/>
        </w:rPr>
        <w:t>For SA Tourism, the revenue from transfers was projected at R1.297 billion, constituting 95.7 per cent of R1.355 billion projected revenue for the last quarter. Overall, actual revenue was R1.345 billion or 99.3 per cent of projected revenue for the year. Expenditure on goods and services was R919.4 million which was R238.6 million or 35.1 per cent higher than the projected amount of R680.6 million for the fourth quarter. Actual compensation on employees was R172.5 million, which was R59.6 million or 24.4 per cent lower than the projected expenditure of R232.1 million for the fourth quarter. Slower spending was due to vacant positions not filled due to the anticipated merger between Brand SA and South African Tourism.</w:t>
      </w:r>
    </w:p>
    <w:p w:rsidR="00E75B8A" w:rsidRPr="00807837" w:rsidRDefault="00E75B8A" w:rsidP="00807837">
      <w:pPr>
        <w:spacing w:after="0" w:line="240" w:lineRule="auto"/>
        <w:rPr>
          <w:rFonts w:ascii="Arial" w:eastAsia="Calibri" w:hAnsi="Arial" w:cs="Arial"/>
          <w:sz w:val="20"/>
          <w:szCs w:val="20"/>
        </w:rPr>
      </w:pPr>
    </w:p>
    <w:p w:rsidR="003B0E05" w:rsidRPr="00807837" w:rsidRDefault="003B0E05" w:rsidP="00807837">
      <w:pPr>
        <w:spacing w:after="0" w:line="240" w:lineRule="auto"/>
        <w:rPr>
          <w:rFonts w:ascii="Arial" w:eastAsia="Calibri" w:hAnsi="Arial" w:cs="Arial"/>
          <w:sz w:val="20"/>
          <w:szCs w:val="20"/>
        </w:rPr>
      </w:pPr>
      <w:r w:rsidRPr="00807837">
        <w:rPr>
          <w:rFonts w:ascii="Arial" w:eastAsia="Calibri" w:hAnsi="Arial" w:cs="Arial"/>
          <w:sz w:val="20"/>
          <w:szCs w:val="20"/>
        </w:rPr>
        <w:t>On service delivery performance, the following factors are notable:</w:t>
      </w:r>
    </w:p>
    <w:p w:rsidR="004806FB" w:rsidRPr="00807837" w:rsidRDefault="004806FB" w:rsidP="00807837">
      <w:pPr>
        <w:spacing w:after="0" w:line="240" w:lineRule="auto"/>
        <w:rPr>
          <w:rFonts w:ascii="Arial" w:eastAsia="Calibri" w:hAnsi="Arial" w:cs="Arial"/>
          <w:sz w:val="20"/>
          <w:szCs w:val="20"/>
        </w:rPr>
      </w:pPr>
    </w:p>
    <w:p w:rsidR="00AC0F37" w:rsidRPr="00807837" w:rsidRDefault="00AC0F37" w:rsidP="00807837">
      <w:pPr>
        <w:pStyle w:val="ListParagraph"/>
        <w:numPr>
          <w:ilvl w:val="0"/>
          <w:numId w:val="23"/>
        </w:numPr>
        <w:spacing w:after="0" w:line="240" w:lineRule="auto"/>
        <w:rPr>
          <w:rFonts w:ascii="Arial" w:eastAsia="Calibri" w:hAnsi="Arial" w:cs="Arial"/>
          <w:sz w:val="20"/>
          <w:szCs w:val="20"/>
        </w:rPr>
      </w:pPr>
      <w:r w:rsidRPr="00807837">
        <w:rPr>
          <w:rFonts w:ascii="Arial" w:eastAsia="Calibri" w:hAnsi="Arial" w:cs="Arial"/>
          <w:sz w:val="20"/>
          <w:szCs w:val="20"/>
        </w:rPr>
        <w:t>Implementation of Food Safety Quality Assurance Program (</w:t>
      </w:r>
      <w:r w:rsidR="00FF43E5" w:rsidRPr="00807837">
        <w:rPr>
          <w:rFonts w:ascii="Arial" w:eastAsia="Calibri" w:hAnsi="Arial" w:cs="Arial"/>
          <w:sz w:val="20"/>
          <w:szCs w:val="20"/>
        </w:rPr>
        <w:t>NDT) -</w:t>
      </w:r>
      <w:r w:rsidRPr="00807837">
        <w:rPr>
          <w:rFonts w:ascii="Arial" w:eastAsia="Calibri" w:hAnsi="Arial" w:cs="Arial"/>
          <w:sz w:val="20"/>
          <w:szCs w:val="20"/>
        </w:rPr>
        <w:t xml:space="preserve">  The target relates to training of unemployed and retrenched youth on norms and standards for safe tourism operations. The under achievement was due to lack of </w:t>
      </w:r>
      <w:r w:rsidR="008519D7" w:rsidRPr="00807837">
        <w:rPr>
          <w:rFonts w:ascii="Arial" w:eastAsia="Calibri" w:hAnsi="Arial" w:cs="Arial"/>
          <w:sz w:val="20"/>
          <w:szCs w:val="20"/>
        </w:rPr>
        <w:t xml:space="preserve">a </w:t>
      </w:r>
      <w:r w:rsidRPr="00807837">
        <w:rPr>
          <w:rFonts w:ascii="Arial" w:eastAsia="Calibri" w:hAnsi="Arial" w:cs="Arial"/>
          <w:sz w:val="20"/>
          <w:szCs w:val="20"/>
        </w:rPr>
        <w:t xml:space="preserve">suitable service provider to implement the programme in the province of KwaZulu-Natal (KZN). The Department has since revisited the terms of reference and procurement processes </w:t>
      </w:r>
      <w:r w:rsidR="008519D7" w:rsidRPr="00807837">
        <w:rPr>
          <w:rFonts w:ascii="Arial" w:eastAsia="Calibri" w:hAnsi="Arial" w:cs="Arial"/>
          <w:sz w:val="20"/>
          <w:szCs w:val="20"/>
        </w:rPr>
        <w:t xml:space="preserve">are </w:t>
      </w:r>
      <w:r w:rsidRPr="00807837">
        <w:rPr>
          <w:rFonts w:ascii="Arial" w:eastAsia="Calibri" w:hAnsi="Arial" w:cs="Arial"/>
          <w:sz w:val="20"/>
          <w:szCs w:val="20"/>
        </w:rPr>
        <w:t xml:space="preserve">expected to restart soon. The programme was however implemented in other provinces as planned. The impact of the under achievement is a delayed opportunity to provide skills and practical work experience in the area of food safety quality assurance to unemployed youth in KZN. The accounting officer should closely monitor the implementation of the strategy to overcome the under achievement which is prioritising the procurement of a service provider for </w:t>
      </w:r>
      <w:r w:rsidR="008519D7" w:rsidRPr="00807837">
        <w:rPr>
          <w:rFonts w:ascii="Arial" w:eastAsia="Calibri" w:hAnsi="Arial" w:cs="Arial"/>
          <w:sz w:val="20"/>
          <w:szCs w:val="20"/>
        </w:rPr>
        <w:t>i</w:t>
      </w:r>
      <w:r w:rsidRPr="00807837">
        <w:rPr>
          <w:rFonts w:ascii="Arial" w:eastAsia="Calibri" w:hAnsi="Arial" w:cs="Arial"/>
          <w:sz w:val="20"/>
          <w:szCs w:val="20"/>
        </w:rPr>
        <w:t xml:space="preserve">mplementation of </w:t>
      </w:r>
      <w:r w:rsidR="008519D7" w:rsidRPr="00807837">
        <w:rPr>
          <w:rFonts w:ascii="Arial" w:eastAsia="Calibri" w:hAnsi="Arial" w:cs="Arial"/>
          <w:sz w:val="20"/>
          <w:szCs w:val="20"/>
        </w:rPr>
        <w:t xml:space="preserve">the </w:t>
      </w:r>
      <w:r w:rsidRPr="00807837">
        <w:rPr>
          <w:rFonts w:ascii="Arial" w:eastAsia="Calibri" w:hAnsi="Arial" w:cs="Arial"/>
          <w:sz w:val="20"/>
          <w:szCs w:val="20"/>
        </w:rPr>
        <w:t>Food Safety Quality Assurance Program in KwaZulu-Natal. Procurement processes should be adequately planned to prevent under achievement of targets due to procurement delays</w:t>
      </w:r>
      <w:r w:rsidR="008519D7" w:rsidRPr="00807837">
        <w:rPr>
          <w:rFonts w:ascii="Arial" w:eastAsia="Calibri" w:hAnsi="Arial" w:cs="Arial"/>
          <w:sz w:val="20"/>
          <w:szCs w:val="20"/>
        </w:rPr>
        <w:t>.</w:t>
      </w:r>
    </w:p>
    <w:p w:rsidR="00AC0F37" w:rsidRPr="00807837" w:rsidRDefault="00AC0F37" w:rsidP="00807837">
      <w:pPr>
        <w:pStyle w:val="ListParagraph"/>
        <w:spacing w:after="0" w:line="240" w:lineRule="auto"/>
        <w:rPr>
          <w:rFonts w:ascii="Arial" w:eastAsia="Calibri" w:hAnsi="Arial" w:cs="Arial"/>
          <w:sz w:val="20"/>
          <w:szCs w:val="20"/>
        </w:rPr>
      </w:pPr>
    </w:p>
    <w:p w:rsidR="003B0E05" w:rsidRPr="00807837" w:rsidRDefault="003B0E05" w:rsidP="00807837">
      <w:pPr>
        <w:pStyle w:val="ListParagraph"/>
        <w:numPr>
          <w:ilvl w:val="0"/>
          <w:numId w:val="23"/>
        </w:numPr>
        <w:spacing w:after="0" w:line="240" w:lineRule="auto"/>
        <w:rPr>
          <w:rFonts w:ascii="Arial" w:eastAsia="Calibri" w:hAnsi="Arial" w:cs="Arial"/>
          <w:sz w:val="20"/>
          <w:szCs w:val="20"/>
        </w:rPr>
      </w:pPr>
      <w:r w:rsidRPr="00807837">
        <w:rPr>
          <w:rFonts w:ascii="Arial" w:eastAsia="Calibri" w:hAnsi="Arial" w:cs="Arial"/>
          <w:sz w:val="20"/>
          <w:szCs w:val="20"/>
        </w:rPr>
        <w:t xml:space="preserve">Training of chefs in norms and standards of the industry - The Department did not achieve this target </w:t>
      </w:r>
      <w:r w:rsidR="00AC0F37" w:rsidRPr="00807837">
        <w:rPr>
          <w:rFonts w:ascii="Arial" w:eastAsia="Calibri" w:hAnsi="Arial" w:cs="Arial"/>
          <w:sz w:val="20"/>
          <w:szCs w:val="20"/>
        </w:rPr>
        <w:t xml:space="preserve">which </w:t>
      </w:r>
      <w:r w:rsidRPr="00807837">
        <w:rPr>
          <w:rFonts w:ascii="Arial" w:eastAsia="Calibri" w:hAnsi="Arial" w:cs="Arial"/>
          <w:sz w:val="20"/>
          <w:szCs w:val="20"/>
        </w:rPr>
        <w:t>relates to training of chefs on norms and standard for safe tourism operations. The under achievement was due to the non</w:t>
      </w:r>
      <w:r w:rsidR="00AC0F37" w:rsidRPr="00807837">
        <w:rPr>
          <w:rFonts w:ascii="Arial" w:eastAsia="Calibri" w:hAnsi="Arial" w:cs="Arial"/>
          <w:sz w:val="20"/>
          <w:szCs w:val="20"/>
        </w:rPr>
        <w:t xml:space="preserve">- </w:t>
      </w:r>
      <w:r w:rsidR="00FF43E5" w:rsidRPr="00807837">
        <w:rPr>
          <w:rFonts w:ascii="Arial" w:eastAsia="Calibri" w:hAnsi="Arial" w:cs="Arial"/>
          <w:sz w:val="20"/>
          <w:szCs w:val="20"/>
        </w:rPr>
        <w:t>implementation</w:t>
      </w:r>
      <w:r w:rsidRPr="00807837">
        <w:rPr>
          <w:rFonts w:ascii="Arial" w:eastAsia="Calibri" w:hAnsi="Arial" w:cs="Arial"/>
          <w:sz w:val="20"/>
          <w:szCs w:val="20"/>
        </w:rPr>
        <w:t xml:space="preserve"> of the programme in </w:t>
      </w:r>
      <w:r w:rsidR="008519D7" w:rsidRPr="00807837">
        <w:rPr>
          <w:rFonts w:ascii="Arial" w:eastAsia="Calibri" w:hAnsi="Arial" w:cs="Arial"/>
          <w:sz w:val="20"/>
          <w:szCs w:val="20"/>
        </w:rPr>
        <w:t xml:space="preserve">the </w:t>
      </w:r>
      <w:r w:rsidRPr="00807837">
        <w:rPr>
          <w:rFonts w:ascii="Arial" w:eastAsia="Calibri" w:hAnsi="Arial" w:cs="Arial"/>
          <w:sz w:val="20"/>
          <w:szCs w:val="20"/>
        </w:rPr>
        <w:t xml:space="preserve">North-West </w:t>
      </w:r>
      <w:r w:rsidR="008519D7" w:rsidRPr="00807837">
        <w:rPr>
          <w:rFonts w:ascii="Arial" w:eastAsia="Calibri" w:hAnsi="Arial" w:cs="Arial"/>
          <w:sz w:val="20"/>
          <w:szCs w:val="20"/>
        </w:rPr>
        <w:t xml:space="preserve">province </w:t>
      </w:r>
      <w:r w:rsidRPr="00807837">
        <w:rPr>
          <w:rFonts w:ascii="Arial" w:eastAsia="Calibri" w:hAnsi="Arial" w:cs="Arial"/>
          <w:sz w:val="20"/>
          <w:szCs w:val="20"/>
        </w:rPr>
        <w:t>due to legal processes underway related to the validity of Preferential Procurement Regulations of 2017 and restriction imposed by National Treasury on the advertisement of tenders following the judg</w:t>
      </w:r>
      <w:r w:rsidR="008519D7" w:rsidRPr="00807837">
        <w:rPr>
          <w:rFonts w:ascii="Arial" w:eastAsia="Calibri" w:hAnsi="Arial" w:cs="Arial"/>
          <w:sz w:val="20"/>
          <w:szCs w:val="20"/>
        </w:rPr>
        <w:t>e</w:t>
      </w:r>
      <w:r w:rsidRPr="00807837">
        <w:rPr>
          <w:rFonts w:ascii="Arial" w:eastAsia="Calibri" w:hAnsi="Arial" w:cs="Arial"/>
          <w:sz w:val="20"/>
          <w:szCs w:val="20"/>
        </w:rPr>
        <w:t xml:space="preserve">ment handed down by the Constitutional Court. The programme was implemented successfully in other provinces as planned. The impact of the under achievement has delayed the opportunity to provide training to chefs in norms and standards of the tourism industry and creation of jobs in the North-West Province. </w:t>
      </w:r>
      <w:r w:rsidR="00AC0F37" w:rsidRPr="00807837">
        <w:rPr>
          <w:rFonts w:ascii="Arial" w:eastAsia="Calibri" w:hAnsi="Arial" w:cs="Arial"/>
          <w:sz w:val="20"/>
          <w:szCs w:val="20"/>
        </w:rPr>
        <w:t xml:space="preserve">The accounting officer should closely monitor the implementation of the </w:t>
      </w:r>
      <w:r w:rsidR="008519D7" w:rsidRPr="00807837">
        <w:rPr>
          <w:rFonts w:ascii="Arial" w:eastAsia="Calibri" w:hAnsi="Arial" w:cs="Arial"/>
          <w:sz w:val="20"/>
          <w:szCs w:val="20"/>
        </w:rPr>
        <w:t xml:space="preserve">programme </w:t>
      </w:r>
      <w:r w:rsidR="00AC0F37" w:rsidRPr="00807837">
        <w:rPr>
          <w:rFonts w:ascii="Arial" w:eastAsia="Calibri" w:hAnsi="Arial" w:cs="Arial"/>
          <w:sz w:val="20"/>
          <w:szCs w:val="20"/>
        </w:rPr>
        <w:t xml:space="preserve">to overcome the under achievement which is prioritising the procurement of a service provider for training of chefs in norms and standards of the industry in </w:t>
      </w:r>
      <w:r w:rsidR="008519D7" w:rsidRPr="00807837">
        <w:rPr>
          <w:rFonts w:ascii="Arial" w:eastAsia="Calibri" w:hAnsi="Arial" w:cs="Arial"/>
          <w:sz w:val="20"/>
          <w:szCs w:val="20"/>
        </w:rPr>
        <w:t xml:space="preserve">the </w:t>
      </w:r>
      <w:r w:rsidR="00AC0F37" w:rsidRPr="00807837">
        <w:rPr>
          <w:rFonts w:ascii="Arial" w:eastAsia="Calibri" w:hAnsi="Arial" w:cs="Arial"/>
          <w:sz w:val="20"/>
          <w:szCs w:val="20"/>
        </w:rPr>
        <w:t xml:space="preserve">North-West, noting that legal processes are not always in the control of the </w:t>
      </w:r>
      <w:r w:rsidR="008519D7" w:rsidRPr="00807837">
        <w:rPr>
          <w:rFonts w:ascii="Arial" w:eastAsia="Calibri" w:hAnsi="Arial" w:cs="Arial"/>
          <w:sz w:val="20"/>
          <w:szCs w:val="20"/>
        </w:rPr>
        <w:t>D</w:t>
      </w:r>
      <w:r w:rsidR="00AC0F37" w:rsidRPr="00807837">
        <w:rPr>
          <w:rFonts w:ascii="Arial" w:eastAsia="Calibri" w:hAnsi="Arial" w:cs="Arial"/>
          <w:sz w:val="20"/>
          <w:szCs w:val="20"/>
        </w:rPr>
        <w:t>epartment.</w:t>
      </w:r>
    </w:p>
    <w:p w:rsidR="00AC0F37" w:rsidRPr="00807837" w:rsidRDefault="00AC0F37" w:rsidP="00807837">
      <w:pPr>
        <w:pStyle w:val="ListParagraph"/>
        <w:spacing w:after="0" w:line="240" w:lineRule="auto"/>
        <w:rPr>
          <w:rFonts w:ascii="Arial" w:eastAsia="Calibri" w:hAnsi="Arial" w:cs="Arial"/>
          <w:sz w:val="20"/>
          <w:szCs w:val="20"/>
        </w:rPr>
      </w:pPr>
    </w:p>
    <w:p w:rsidR="00AC0F37" w:rsidRPr="00807837" w:rsidRDefault="00AC0F37" w:rsidP="00807837">
      <w:pPr>
        <w:pStyle w:val="ListParagraph"/>
        <w:numPr>
          <w:ilvl w:val="0"/>
          <w:numId w:val="23"/>
        </w:numPr>
        <w:spacing w:after="0" w:line="240" w:lineRule="auto"/>
        <w:rPr>
          <w:rFonts w:ascii="Arial" w:eastAsia="Calibri" w:hAnsi="Arial" w:cs="Arial"/>
          <w:sz w:val="20"/>
          <w:szCs w:val="20"/>
        </w:rPr>
      </w:pPr>
      <w:r w:rsidRPr="00807837">
        <w:rPr>
          <w:rFonts w:ascii="Arial" w:eastAsia="Calibri" w:hAnsi="Arial" w:cs="Arial"/>
          <w:sz w:val="20"/>
          <w:szCs w:val="20"/>
        </w:rPr>
        <w:t xml:space="preserve">Implementation of the Hospitality Youth Program to train youth in the tourism industry - The target relates to the training of unemployed youth on norms and standards </w:t>
      </w:r>
      <w:r w:rsidR="008519D7" w:rsidRPr="00807837">
        <w:rPr>
          <w:rFonts w:ascii="Arial" w:eastAsia="Calibri" w:hAnsi="Arial" w:cs="Arial"/>
          <w:sz w:val="20"/>
          <w:szCs w:val="20"/>
        </w:rPr>
        <w:t xml:space="preserve">for safe tourism </w:t>
      </w:r>
      <w:r w:rsidR="005567D0" w:rsidRPr="00807837">
        <w:rPr>
          <w:rFonts w:ascii="Arial" w:eastAsia="Calibri" w:hAnsi="Arial" w:cs="Arial"/>
          <w:sz w:val="20"/>
          <w:szCs w:val="20"/>
        </w:rPr>
        <w:t>operations</w:t>
      </w:r>
      <w:r w:rsidRPr="00807837">
        <w:rPr>
          <w:rFonts w:ascii="Arial" w:eastAsia="Calibri" w:hAnsi="Arial" w:cs="Arial"/>
          <w:sz w:val="20"/>
          <w:szCs w:val="20"/>
        </w:rPr>
        <w:t xml:space="preserve">. The under achievement was due to delays in the appointment of service providers for Gauteng (GP), North-West (NW), Mpumalanga (MP), Limpopo (LP), KwaZulu-Natal (KZN) and Free State (FS) Provinces. The delay in the appointment of service providers was due to legal processes related to the validity of Preferential Procurement Regulations of 2017 and restriction imposed by National Treasury on the advertisement of tenders following the judgement handed down by the Constitutional Court. The impact of the under achievement is </w:t>
      </w:r>
      <w:r w:rsidR="008519D7" w:rsidRPr="00807837">
        <w:rPr>
          <w:rFonts w:ascii="Arial" w:eastAsia="Calibri" w:hAnsi="Arial" w:cs="Arial"/>
          <w:sz w:val="20"/>
          <w:szCs w:val="20"/>
        </w:rPr>
        <w:t xml:space="preserve">a </w:t>
      </w:r>
      <w:r w:rsidRPr="00807837">
        <w:rPr>
          <w:rFonts w:ascii="Arial" w:eastAsia="Calibri" w:hAnsi="Arial" w:cs="Arial"/>
          <w:sz w:val="20"/>
          <w:szCs w:val="20"/>
        </w:rPr>
        <w:t xml:space="preserve">delayed opportunity to provide training to youth in the hospitality industry as well as the </w:t>
      </w:r>
      <w:r w:rsidR="008519D7" w:rsidRPr="00807837">
        <w:rPr>
          <w:rFonts w:ascii="Arial" w:eastAsia="Calibri" w:hAnsi="Arial" w:cs="Arial"/>
          <w:sz w:val="20"/>
          <w:szCs w:val="20"/>
        </w:rPr>
        <w:t xml:space="preserve">creation </w:t>
      </w:r>
      <w:r w:rsidRPr="00807837">
        <w:rPr>
          <w:rFonts w:ascii="Arial" w:eastAsia="Calibri" w:hAnsi="Arial" w:cs="Arial"/>
          <w:sz w:val="20"/>
          <w:szCs w:val="20"/>
        </w:rPr>
        <w:t xml:space="preserve">of jobs in GP, NW, MP, LP, KZN and FS. The accounting officer should closely monitor the implementation of the strategy to overcome the under achievement which is </w:t>
      </w:r>
      <w:r w:rsidRPr="00807837">
        <w:rPr>
          <w:rFonts w:ascii="Arial" w:eastAsia="Calibri" w:hAnsi="Arial" w:cs="Arial"/>
          <w:sz w:val="20"/>
          <w:szCs w:val="20"/>
        </w:rPr>
        <w:lastRenderedPageBreak/>
        <w:t xml:space="preserve">prioritising the procurement of a service provider for </w:t>
      </w:r>
      <w:r w:rsidR="008519D7" w:rsidRPr="00807837">
        <w:rPr>
          <w:rFonts w:ascii="Arial" w:eastAsia="Calibri" w:hAnsi="Arial" w:cs="Arial"/>
          <w:sz w:val="20"/>
          <w:szCs w:val="20"/>
        </w:rPr>
        <w:t xml:space="preserve">the implementation </w:t>
      </w:r>
      <w:r w:rsidRPr="00807837">
        <w:rPr>
          <w:rFonts w:ascii="Arial" w:eastAsia="Calibri" w:hAnsi="Arial" w:cs="Arial"/>
          <w:sz w:val="20"/>
          <w:szCs w:val="20"/>
        </w:rPr>
        <w:t xml:space="preserve">of the Hospitality Youth Program, noting that legal processes are not always in the control of the </w:t>
      </w:r>
      <w:r w:rsidR="008519D7" w:rsidRPr="00807837">
        <w:rPr>
          <w:rFonts w:ascii="Arial" w:eastAsia="Calibri" w:hAnsi="Arial" w:cs="Arial"/>
          <w:sz w:val="20"/>
          <w:szCs w:val="20"/>
        </w:rPr>
        <w:t>D</w:t>
      </w:r>
      <w:r w:rsidRPr="00807837">
        <w:rPr>
          <w:rFonts w:ascii="Arial" w:eastAsia="Calibri" w:hAnsi="Arial" w:cs="Arial"/>
          <w:sz w:val="20"/>
          <w:szCs w:val="20"/>
        </w:rPr>
        <w:t>epartment.</w:t>
      </w:r>
    </w:p>
    <w:p w:rsidR="00AC0F37" w:rsidRPr="00807837" w:rsidRDefault="00AC0F37" w:rsidP="00807837">
      <w:pPr>
        <w:pStyle w:val="ListParagraph"/>
        <w:spacing w:after="0" w:line="240" w:lineRule="auto"/>
        <w:rPr>
          <w:rFonts w:ascii="Arial" w:eastAsia="Calibri" w:hAnsi="Arial" w:cs="Arial"/>
          <w:sz w:val="20"/>
          <w:szCs w:val="20"/>
        </w:rPr>
      </w:pPr>
    </w:p>
    <w:p w:rsidR="00AC0F37" w:rsidRPr="00807837" w:rsidRDefault="00AC0F37" w:rsidP="00807837">
      <w:pPr>
        <w:pStyle w:val="ListParagraph"/>
        <w:numPr>
          <w:ilvl w:val="0"/>
          <w:numId w:val="23"/>
        </w:numPr>
        <w:spacing w:after="0" w:line="240" w:lineRule="auto"/>
        <w:rPr>
          <w:rFonts w:ascii="Arial" w:eastAsia="Calibri" w:hAnsi="Arial" w:cs="Arial"/>
          <w:sz w:val="20"/>
          <w:szCs w:val="20"/>
        </w:rPr>
      </w:pPr>
      <w:r w:rsidRPr="00807837">
        <w:rPr>
          <w:rFonts w:ascii="Arial" w:eastAsia="Calibri" w:hAnsi="Arial" w:cs="Arial"/>
          <w:sz w:val="20"/>
          <w:szCs w:val="20"/>
        </w:rPr>
        <w:t>Number of day trips not achieved by SA Tourism - The target relates to the number of day trips taken by a South African within the country which is outside their usual place of residence. The target was not met due to less travel undertaken by South Africans because of the COVID-19 pandemic and the resultant lockdown restrictions for the greatest portion of the financial year. Although the effect of COVID-19 is not within the control of the entity, the likely impact of a lesser number of day trips is reduced demand overall in the tourism sector, ultimately affecting job creation and retention. The accounting authority should compile a strategy for improving under achievement of this target going forward. Initiatives already implemented such as the “Sho’t Left” campaign are starting to bear fruits as can be seen in the significant increase in value of domestic holiday direct spend.</w:t>
      </w:r>
    </w:p>
    <w:p w:rsidR="00AC0F37" w:rsidRPr="00807837" w:rsidRDefault="00AC0F37" w:rsidP="00807837">
      <w:pPr>
        <w:pStyle w:val="ListParagraph"/>
        <w:spacing w:after="0" w:line="240" w:lineRule="auto"/>
        <w:rPr>
          <w:rFonts w:ascii="Arial" w:eastAsia="Calibri" w:hAnsi="Arial" w:cs="Arial"/>
          <w:sz w:val="20"/>
          <w:szCs w:val="20"/>
        </w:rPr>
      </w:pPr>
    </w:p>
    <w:p w:rsidR="00AC0F37" w:rsidRPr="00807837" w:rsidRDefault="00AC0F37" w:rsidP="00807837">
      <w:pPr>
        <w:pStyle w:val="ListParagraph"/>
        <w:numPr>
          <w:ilvl w:val="0"/>
          <w:numId w:val="23"/>
        </w:numPr>
        <w:spacing w:after="0" w:line="240" w:lineRule="auto"/>
        <w:rPr>
          <w:rFonts w:ascii="Arial" w:eastAsia="Calibri" w:hAnsi="Arial" w:cs="Arial"/>
          <w:sz w:val="20"/>
          <w:szCs w:val="20"/>
        </w:rPr>
      </w:pPr>
      <w:r w:rsidRPr="00807837">
        <w:rPr>
          <w:rFonts w:ascii="Arial" w:eastAsia="Calibri" w:hAnsi="Arial" w:cs="Arial"/>
          <w:sz w:val="20"/>
          <w:szCs w:val="20"/>
        </w:rPr>
        <w:t>Brand Strength Index not achieved by SA Tourism - The target measures the South African brand performance. SA</w:t>
      </w:r>
      <w:r w:rsidR="00E75B8A" w:rsidRPr="00807837">
        <w:rPr>
          <w:rFonts w:ascii="Arial" w:eastAsia="Calibri" w:hAnsi="Arial" w:cs="Arial"/>
          <w:sz w:val="20"/>
          <w:szCs w:val="20"/>
        </w:rPr>
        <w:t xml:space="preserve"> </w:t>
      </w:r>
      <w:r w:rsidRPr="00807837">
        <w:rPr>
          <w:rFonts w:ascii="Arial" w:eastAsia="Calibri" w:hAnsi="Arial" w:cs="Arial"/>
          <w:sz w:val="20"/>
          <w:szCs w:val="20"/>
        </w:rPr>
        <w:t>T</w:t>
      </w:r>
      <w:r w:rsidR="00E75B8A" w:rsidRPr="00807837">
        <w:rPr>
          <w:rFonts w:ascii="Arial" w:eastAsia="Calibri" w:hAnsi="Arial" w:cs="Arial"/>
          <w:sz w:val="20"/>
          <w:szCs w:val="20"/>
        </w:rPr>
        <w:t>ourism</w:t>
      </w:r>
      <w:r w:rsidRPr="00807837">
        <w:rPr>
          <w:rFonts w:ascii="Arial" w:eastAsia="Calibri" w:hAnsi="Arial" w:cs="Arial"/>
          <w:sz w:val="20"/>
          <w:szCs w:val="20"/>
        </w:rPr>
        <w:t xml:space="preserve"> seeks an improvement in the brand strength index. The target was not met due to the tender for the service provider to conduct the survey having been cancelled and re-advertised and was being evaluated at year end. SA</w:t>
      </w:r>
      <w:r w:rsidR="00E75B8A" w:rsidRPr="00807837">
        <w:rPr>
          <w:rFonts w:ascii="Arial" w:eastAsia="Calibri" w:hAnsi="Arial" w:cs="Arial"/>
          <w:sz w:val="20"/>
          <w:szCs w:val="20"/>
        </w:rPr>
        <w:t xml:space="preserve"> </w:t>
      </w:r>
      <w:r w:rsidRPr="00807837">
        <w:rPr>
          <w:rFonts w:ascii="Arial" w:eastAsia="Calibri" w:hAnsi="Arial" w:cs="Arial"/>
          <w:sz w:val="20"/>
          <w:szCs w:val="20"/>
        </w:rPr>
        <w:t>T</w:t>
      </w:r>
      <w:r w:rsidR="00E75B8A" w:rsidRPr="00807837">
        <w:rPr>
          <w:rFonts w:ascii="Arial" w:eastAsia="Calibri" w:hAnsi="Arial" w:cs="Arial"/>
          <w:sz w:val="20"/>
          <w:szCs w:val="20"/>
        </w:rPr>
        <w:t>ourism</w:t>
      </w:r>
      <w:r w:rsidRPr="00807837">
        <w:rPr>
          <w:rFonts w:ascii="Arial" w:eastAsia="Calibri" w:hAnsi="Arial" w:cs="Arial"/>
          <w:sz w:val="20"/>
          <w:szCs w:val="20"/>
        </w:rPr>
        <w:t xml:space="preserve"> </w:t>
      </w:r>
      <w:r w:rsidR="008519D7" w:rsidRPr="00807837">
        <w:rPr>
          <w:rFonts w:ascii="Arial" w:eastAsia="Calibri" w:hAnsi="Arial" w:cs="Arial"/>
          <w:sz w:val="20"/>
          <w:szCs w:val="20"/>
        </w:rPr>
        <w:t xml:space="preserve">intended </w:t>
      </w:r>
      <w:r w:rsidRPr="00807837">
        <w:rPr>
          <w:rFonts w:ascii="Arial" w:eastAsia="Calibri" w:hAnsi="Arial" w:cs="Arial"/>
          <w:sz w:val="20"/>
          <w:szCs w:val="20"/>
        </w:rPr>
        <w:t>to conduct the survey in the 2021-22</w:t>
      </w:r>
      <w:r w:rsidR="008519D7" w:rsidRPr="00807837">
        <w:rPr>
          <w:rFonts w:ascii="Arial" w:eastAsia="Calibri" w:hAnsi="Arial" w:cs="Arial"/>
          <w:sz w:val="20"/>
          <w:szCs w:val="20"/>
        </w:rPr>
        <w:t xml:space="preserve"> financial year</w:t>
      </w:r>
      <w:r w:rsidRPr="00807837">
        <w:rPr>
          <w:rFonts w:ascii="Arial" w:eastAsia="Calibri" w:hAnsi="Arial" w:cs="Arial"/>
          <w:sz w:val="20"/>
          <w:szCs w:val="20"/>
        </w:rPr>
        <w:t>. As an all-encompassing measure of brand performance, SA</w:t>
      </w:r>
      <w:r w:rsidR="00E75B8A" w:rsidRPr="00807837">
        <w:rPr>
          <w:rFonts w:ascii="Arial" w:eastAsia="Calibri" w:hAnsi="Arial" w:cs="Arial"/>
          <w:sz w:val="20"/>
          <w:szCs w:val="20"/>
        </w:rPr>
        <w:t xml:space="preserve"> </w:t>
      </w:r>
      <w:r w:rsidRPr="00807837">
        <w:rPr>
          <w:rFonts w:ascii="Arial" w:eastAsia="Calibri" w:hAnsi="Arial" w:cs="Arial"/>
          <w:sz w:val="20"/>
          <w:szCs w:val="20"/>
        </w:rPr>
        <w:t>T</w:t>
      </w:r>
      <w:r w:rsidR="00E75B8A" w:rsidRPr="00807837">
        <w:rPr>
          <w:rFonts w:ascii="Arial" w:eastAsia="Calibri" w:hAnsi="Arial" w:cs="Arial"/>
          <w:sz w:val="20"/>
          <w:szCs w:val="20"/>
        </w:rPr>
        <w:t>ourism</w:t>
      </w:r>
      <w:r w:rsidRPr="00807837">
        <w:rPr>
          <w:rFonts w:ascii="Arial" w:eastAsia="Calibri" w:hAnsi="Arial" w:cs="Arial"/>
          <w:sz w:val="20"/>
          <w:szCs w:val="20"/>
        </w:rPr>
        <w:t xml:space="preserve"> seeks an improvement in the brand strength index. Delays in conducting the brand strength survey may affect the ability of the entity to apply strategies to improve the South African Brand as they market the country as a preferred tourist destination. The accounting authority should closely monitor the finalisation of </w:t>
      </w:r>
      <w:r w:rsidR="00BF0FF6" w:rsidRPr="00807837">
        <w:rPr>
          <w:rFonts w:ascii="Arial" w:eastAsia="Calibri" w:hAnsi="Arial" w:cs="Arial"/>
          <w:sz w:val="20"/>
          <w:szCs w:val="20"/>
        </w:rPr>
        <w:t xml:space="preserve">the </w:t>
      </w:r>
      <w:r w:rsidRPr="00807837">
        <w:rPr>
          <w:rFonts w:ascii="Arial" w:eastAsia="Calibri" w:hAnsi="Arial" w:cs="Arial"/>
          <w:sz w:val="20"/>
          <w:szCs w:val="20"/>
        </w:rPr>
        <w:t>procurement process to ensure the timeous conduction of the brand strength survey which informs the target.</w:t>
      </w:r>
    </w:p>
    <w:p w:rsidR="00E75B8A" w:rsidRPr="00807837" w:rsidRDefault="00E75B8A" w:rsidP="00807837">
      <w:pPr>
        <w:pStyle w:val="ListParagraph"/>
        <w:spacing w:after="0" w:line="240" w:lineRule="auto"/>
        <w:rPr>
          <w:rFonts w:ascii="Arial" w:eastAsia="Calibri" w:hAnsi="Arial" w:cs="Arial"/>
          <w:sz w:val="20"/>
          <w:szCs w:val="20"/>
        </w:rPr>
      </w:pPr>
    </w:p>
    <w:p w:rsidR="008F0134" w:rsidRPr="00807837" w:rsidRDefault="008F0134" w:rsidP="00807837">
      <w:pPr>
        <w:pStyle w:val="ListParagraph"/>
        <w:numPr>
          <w:ilvl w:val="0"/>
          <w:numId w:val="15"/>
        </w:numPr>
        <w:spacing w:after="0" w:line="240" w:lineRule="auto"/>
        <w:ind w:left="567" w:hanging="567"/>
        <w:rPr>
          <w:rFonts w:ascii="Arial" w:hAnsi="Arial" w:cs="Arial"/>
          <w:b/>
          <w:sz w:val="20"/>
          <w:szCs w:val="20"/>
        </w:rPr>
      </w:pPr>
      <w:r w:rsidRPr="00807837">
        <w:rPr>
          <w:rFonts w:ascii="Arial" w:hAnsi="Arial" w:cs="Arial"/>
          <w:b/>
          <w:sz w:val="20"/>
          <w:szCs w:val="20"/>
        </w:rPr>
        <w:t>KEY FINDINGS - COMMITTEE OBSERVATIONS AND RESPONSES</w:t>
      </w:r>
    </w:p>
    <w:p w:rsidR="008F0134" w:rsidRPr="00807837" w:rsidRDefault="008F0134" w:rsidP="00807837">
      <w:pPr>
        <w:spacing w:after="0" w:line="240" w:lineRule="auto"/>
        <w:rPr>
          <w:rFonts w:ascii="Arial" w:hAnsi="Arial" w:cs="Arial"/>
          <w:sz w:val="20"/>
          <w:szCs w:val="20"/>
        </w:rPr>
      </w:pPr>
    </w:p>
    <w:p w:rsidR="008D3551" w:rsidRPr="00807837" w:rsidRDefault="005E0188" w:rsidP="00807837">
      <w:pPr>
        <w:spacing w:after="0" w:line="240" w:lineRule="auto"/>
        <w:rPr>
          <w:rFonts w:ascii="Arial" w:hAnsi="Arial" w:cs="Arial"/>
          <w:sz w:val="20"/>
          <w:szCs w:val="20"/>
        </w:rPr>
      </w:pPr>
      <w:r w:rsidRPr="00807837">
        <w:rPr>
          <w:rFonts w:ascii="Arial" w:hAnsi="Arial" w:cs="Arial"/>
          <w:sz w:val="20"/>
          <w:szCs w:val="20"/>
        </w:rPr>
        <w:t xml:space="preserve">The Committee </w:t>
      </w:r>
      <w:r w:rsidR="008D3551" w:rsidRPr="00807837">
        <w:rPr>
          <w:rFonts w:ascii="Arial" w:hAnsi="Arial" w:cs="Arial"/>
          <w:sz w:val="20"/>
          <w:szCs w:val="20"/>
        </w:rPr>
        <w:t xml:space="preserve">and the Auditor-General </w:t>
      </w:r>
      <w:r w:rsidRPr="00807837">
        <w:rPr>
          <w:rFonts w:ascii="Arial" w:hAnsi="Arial" w:cs="Arial"/>
          <w:sz w:val="20"/>
          <w:szCs w:val="20"/>
        </w:rPr>
        <w:t xml:space="preserve">made a </w:t>
      </w:r>
      <w:r w:rsidR="008D3551" w:rsidRPr="00807837">
        <w:rPr>
          <w:rFonts w:ascii="Arial" w:hAnsi="Arial" w:cs="Arial"/>
          <w:sz w:val="20"/>
          <w:szCs w:val="20"/>
        </w:rPr>
        <w:t>substan</w:t>
      </w:r>
      <w:r w:rsidR="00FF43E5" w:rsidRPr="00807837">
        <w:rPr>
          <w:rFonts w:ascii="Arial" w:hAnsi="Arial" w:cs="Arial"/>
          <w:sz w:val="20"/>
          <w:szCs w:val="20"/>
        </w:rPr>
        <w:t>tial</w:t>
      </w:r>
      <w:r w:rsidR="008D3551" w:rsidRPr="00807837">
        <w:rPr>
          <w:rFonts w:ascii="Arial" w:hAnsi="Arial" w:cs="Arial"/>
          <w:sz w:val="20"/>
          <w:szCs w:val="20"/>
        </w:rPr>
        <w:t xml:space="preserve"> number of findings in both the Department and SA Tourism in the 2021/22 audit period. As in the previous financial year, the Committee bases most of its observations on the findings of the Auditor-General to ensure a seamless over</w:t>
      </w:r>
      <w:r w:rsidR="00FF43E5" w:rsidRPr="00807837">
        <w:rPr>
          <w:rFonts w:ascii="Arial" w:hAnsi="Arial" w:cs="Arial"/>
          <w:sz w:val="20"/>
          <w:szCs w:val="20"/>
        </w:rPr>
        <w:t>si</w:t>
      </w:r>
      <w:r w:rsidR="008D3551" w:rsidRPr="00807837">
        <w:rPr>
          <w:rFonts w:ascii="Arial" w:hAnsi="Arial" w:cs="Arial"/>
          <w:sz w:val="20"/>
          <w:szCs w:val="20"/>
        </w:rPr>
        <w:t xml:space="preserve">ght work on how these are addressed and resolved. The </w:t>
      </w:r>
      <w:r w:rsidR="00FF43E5" w:rsidRPr="00807837">
        <w:rPr>
          <w:rFonts w:ascii="Arial" w:hAnsi="Arial" w:cs="Arial"/>
          <w:sz w:val="20"/>
          <w:szCs w:val="20"/>
        </w:rPr>
        <w:t>observations</w:t>
      </w:r>
      <w:r w:rsidR="008D3551" w:rsidRPr="00807837">
        <w:rPr>
          <w:rFonts w:ascii="Arial" w:hAnsi="Arial" w:cs="Arial"/>
          <w:sz w:val="20"/>
          <w:szCs w:val="20"/>
        </w:rPr>
        <w:t xml:space="preserve"> are catergorised as follows:</w:t>
      </w:r>
    </w:p>
    <w:p w:rsidR="00BF0FF6" w:rsidRPr="00807837" w:rsidRDefault="00BF0FF6" w:rsidP="00807837">
      <w:pPr>
        <w:spacing w:after="0" w:line="240" w:lineRule="auto"/>
        <w:rPr>
          <w:rFonts w:ascii="Arial" w:hAnsi="Arial" w:cs="Arial"/>
          <w:b/>
          <w:sz w:val="20"/>
          <w:szCs w:val="20"/>
        </w:rPr>
      </w:pPr>
    </w:p>
    <w:p w:rsidR="008F0134" w:rsidRPr="00807837" w:rsidRDefault="006657D5" w:rsidP="00807837">
      <w:pPr>
        <w:spacing w:after="0" w:line="240" w:lineRule="auto"/>
        <w:rPr>
          <w:rFonts w:ascii="Arial" w:hAnsi="Arial" w:cs="Arial"/>
          <w:b/>
          <w:sz w:val="20"/>
          <w:szCs w:val="20"/>
        </w:rPr>
      </w:pPr>
      <w:r w:rsidRPr="00807837">
        <w:rPr>
          <w:rFonts w:ascii="Arial" w:hAnsi="Arial" w:cs="Arial"/>
          <w:b/>
          <w:sz w:val="20"/>
          <w:szCs w:val="20"/>
        </w:rPr>
        <w:t>Generic o</w:t>
      </w:r>
      <w:r w:rsidR="005D38F8" w:rsidRPr="00807837">
        <w:rPr>
          <w:rFonts w:ascii="Arial" w:hAnsi="Arial" w:cs="Arial"/>
          <w:b/>
          <w:sz w:val="20"/>
          <w:szCs w:val="20"/>
        </w:rPr>
        <w:t xml:space="preserve">bservations with </w:t>
      </w:r>
      <w:r w:rsidRPr="00807837">
        <w:rPr>
          <w:rFonts w:ascii="Arial" w:hAnsi="Arial" w:cs="Arial"/>
          <w:b/>
          <w:sz w:val="20"/>
          <w:szCs w:val="20"/>
        </w:rPr>
        <w:t xml:space="preserve">both </w:t>
      </w:r>
      <w:r w:rsidR="005D38F8" w:rsidRPr="00807837">
        <w:rPr>
          <w:rFonts w:ascii="Arial" w:hAnsi="Arial" w:cs="Arial"/>
          <w:b/>
          <w:sz w:val="20"/>
          <w:szCs w:val="20"/>
        </w:rPr>
        <w:t xml:space="preserve">the Department </w:t>
      </w:r>
      <w:r w:rsidRPr="00807837">
        <w:rPr>
          <w:rFonts w:ascii="Arial" w:hAnsi="Arial" w:cs="Arial"/>
          <w:b/>
          <w:sz w:val="20"/>
          <w:szCs w:val="20"/>
        </w:rPr>
        <w:t xml:space="preserve">and SA </w:t>
      </w:r>
      <w:r w:rsidR="005D38F8" w:rsidRPr="00807837">
        <w:rPr>
          <w:rFonts w:ascii="Arial" w:hAnsi="Arial" w:cs="Arial"/>
          <w:b/>
          <w:sz w:val="20"/>
          <w:szCs w:val="20"/>
        </w:rPr>
        <w:t>Tourism</w:t>
      </w:r>
    </w:p>
    <w:p w:rsidR="005D38F8" w:rsidRPr="00807837" w:rsidRDefault="005D38F8" w:rsidP="00807837">
      <w:pPr>
        <w:spacing w:after="0" w:line="240" w:lineRule="auto"/>
        <w:rPr>
          <w:rFonts w:ascii="Arial" w:hAnsi="Arial" w:cs="Arial"/>
          <w:b/>
          <w:sz w:val="20"/>
          <w:szCs w:val="20"/>
        </w:rPr>
      </w:pPr>
    </w:p>
    <w:p w:rsidR="008F0134" w:rsidRPr="00807837" w:rsidRDefault="002B0D05" w:rsidP="00807837">
      <w:pPr>
        <w:pStyle w:val="ListParagraph"/>
        <w:numPr>
          <w:ilvl w:val="1"/>
          <w:numId w:val="14"/>
        </w:numPr>
        <w:spacing w:after="0" w:line="240" w:lineRule="auto"/>
        <w:ind w:left="567" w:hanging="567"/>
        <w:rPr>
          <w:rFonts w:ascii="Arial" w:hAnsi="Arial" w:cs="Arial"/>
          <w:b/>
          <w:sz w:val="20"/>
          <w:szCs w:val="20"/>
        </w:rPr>
      </w:pPr>
      <w:r w:rsidRPr="00807837">
        <w:rPr>
          <w:rFonts w:ascii="Arial" w:hAnsi="Arial" w:cs="Arial"/>
          <w:b/>
          <w:sz w:val="20"/>
          <w:szCs w:val="20"/>
        </w:rPr>
        <w:t>Technical issues</w:t>
      </w:r>
    </w:p>
    <w:p w:rsidR="00A37EC8" w:rsidRPr="00807837" w:rsidRDefault="00A37EC8" w:rsidP="00807837">
      <w:pPr>
        <w:pStyle w:val="ListParagraph"/>
        <w:spacing w:after="0" w:line="240" w:lineRule="auto"/>
        <w:ind w:left="567"/>
        <w:rPr>
          <w:rFonts w:ascii="Arial" w:hAnsi="Arial" w:cs="Arial"/>
          <w:b/>
          <w:sz w:val="20"/>
          <w:szCs w:val="20"/>
        </w:rPr>
      </w:pPr>
    </w:p>
    <w:p w:rsidR="00C66E1D" w:rsidRPr="00807837" w:rsidRDefault="008D3551" w:rsidP="00807837">
      <w:pPr>
        <w:spacing w:after="0" w:line="240" w:lineRule="auto"/>
        <w:rPr>
          <w:rFonts w:ascii="Arial" w:hAnsi="Arial" w:cs="Arial"/>
          <w:sz w:val="20"/>
          <w:szCs w:val="20"/>
        </w:rPr>
      </w:pPr>
      <w:r w:rsidRPr="00807837">
        <w:rPr>
          <w:rFonts w:ascii="Arial" w:hAnsi="Arial" w:cs="Arial"/>
          <w:sz w:val="20"/>
          <w:szCs w:val="20"/>
        </w:rPr>
        <w:t>8.1.1</w:t>
      </w:r>
      <w:r w:rsidRPr="00807837">
        <w:rPr>
          <w:rFonts w:ascii="Arial" w:hAnsi="Arial" w:cs="Arial"/>
          <w:sz w:val="20"/>
          <w:szCs w:val="20"/>
        </w:rPr>
        <w:tab/>
      </w:r>
      <w:r w:rsidR="00C66E1D" w:rsidRPr="00807837">
        <w:rPr>
          <w:rFonts w:ascii="Arial" w:hAnsi="Arial" w:cs="Arial"/>
          <w:sz w:val="20"/>
          <w:szCs w:val="20"/>
        </w:rPr>
        <w:t xml:space="preserve">Non-attendance of the Minister </w:t>
      </w:r>
      <w:r w:rsidR="005A3AC2" w:rsidRPr="00807837">
        <w:rPr>
          <w:rFonts w:ascii="Arial" w:hAnsi="Arial" w:cs="Arial"/>
          <w:sz w:val="20"/>
          <w:szCs w:val="20"/>
        </w:rPr>
        <w:t>at Committee meetings</w:t>
      </w:r>
    </w:p>
    <w:p w:rsidR="005A3AC2" w:rsidRPr="00807837" w:rsidRDefault="005A3AC2" w:rsidP="00807837">
      <w:pPr>
        <w:spacing w:after="0" w:line="240" w:lineRule="auto"/>
        <w:rPr>
          <w:rFonts w:ascii="Arial" w:hAnsi="Arial" w:cs="Arial"/>
          <w:sz w:val="20"/>
          <w:szCs w:val="20"/>
        </w:rPr>
      </w:pPr>
    </w:p>
    <w:p w:rsidR="005A3AC2" w:rsidRPr="00807837" w:rsidRDefault="005A3AC2" w:rsidP="00807837">
      <w:pPr>
        <w:spacing w:after="0" w:line="240" w:lineRule="auto"/>
        <w:rPr>
          <w:rFonts w:ascii="Arial" w:hAnsi="Arial" w:cs="Arial"/>
          <w:sz w:val="20"/>
          <w:szCs w:val="20"/>
        </w:rPr>
      </w:pPr>
      <w:r w:rsidRPr="00807837">
        <w:rPr>
          <w:rFonts w:ascii="Arial" w:hAnsi="Arial" w:cs="Arial"/>
          <w:sz w:val="20"/>
          <w:szCs w:val="20"/>
        </w:rPr>
        <w:t>The Committee noted with serious concern that the Minister did not appear before the Committee when the Department and SA Tourism were presenting their 2021/22 Annual Reports to Parliament. This is considered as a serious derel</w:t>
      </w:r>
      <w:r w:rsidR="00657928" w:rsidRPr="00807837">
        <w:rPr>
          <w:rFonts w:ascii="Arial" w:hAnsi="Arial" w:cs="Arial"/>
          <w:sz w:val="20"/>
          <w:szCs w:val="20"/>
        </w:rPr>
        <w:t>i</w:t>
      </w:r>
      <w:r w:rsidRPr="00807837">
        <w:rPr>
          <w:rFonts w:ascii="Arial" w:hAnsi="Arial" w:cs="Arial"/>
          <w:sz w:val="20"/>
          <w:szCs w:val="20"/>
        </w:rPr>
        <w:t xml:space="preserve">ction of duty and </w:t>
      </w:r>
      <w:r w:rsidR="00657928" w:rsidRPr="00807837">
        <w:rPr>
          <w:rFonts w:ascii="Arial" w:hAnsi="Arial" w:cs="Arial"/>
          <w:sz w:val="20"/>
          <w:szCs w:val="20"/>
        </w:rPr>
        <w:t>tantamount</w:t>
      </w:r>
      <w:r w:rsidRPr="00807837">
        <w:rPr>
          <w:rFonts w:ascii="Arial" w:hAnsi="Arial" w:cs="Arial"/>
          <w:sz w:val="20"/>
          <w:szCs w:val="20"/>
        </w:rPr>
        <w:t xml:space="preserve"> to the Minister not taking </w:t>
      </w:r>
      <w:r w:rsidR="00657928" w:rsidRPr="00807837">
        <w:rPr>
          <w:rFonts w:ascii="Arial" w:hAnsi="Arial" w:cs="Arial"/>
          <w:sz w:val="20"/>
          <w:szCs w:val="20"/>
        </w:rPr>
        <w:t xml:space="preserve">the oversight of the Committee and her </w:t>
      </w:r>
      <w:r w:rsidRPr="00807837">
        <w:rPr>
          <w:rFonts w:ascii="Arial" w:hAnsi="Arial" w:cs="Arial"/>
          <w:sz w:val="20"/>
          <w:szCs w:val="20"/>
        </w:rPr>
        <w:t xml:space="preserve">accountability to Parliament seriously. The non-attendance of the Minister left the Committee uncertain in a number of issues that </w:t>
      </w:r>
      <w:r w:rsidR="00657928" w:rsidRPr="00807837">
        <w:rPr>
          <w:rFonts w:ascii="Arial" w:hAnsi="Arial" w:cs="Arial"/>
          <w:sz w:val="20"/>
          <w:szCs w:val="20"/>
        </w:rPr>
        <w:t>required</w:t>
      </w:r>
      <w:r w:rsidRPr="00807837">
        <w:rPr>
          <w:rFonts w:ascii="Arial" w:hAnsi="Arial" w:cs="Arial"/>
          <w:sz w:val="20"/>
          <w:szCs w:val="20"/>
        </w:rPr>
        <w:t xml:space="preserve"> direct response</w:t>
      </w:r>
      <w:r w:rsidR="00657928" w:rsidRPr="00807837">
        <w:rPr>
          <w:rFonts w:ascii="Arial" w:hAnsi="Arial" w:cs="Arial"/>
          <w:sz w:val="20"/>
          <w:szCs w:val="20"/>
        </w:rPr>
        <w:t>s</w:t>
      </w:r>
      <w:r w:rsidRPr="00807837">
        <w:rPr>
          <w:rFonts w:ascii="Arial" w:hAnsi="Arial" w:cs="Arial"/>
          <w:sz w:val="20"/>
          <w:szCs w:val="20"/>
        </w:rPr>
        <w:t xml:space="preserve"> and clarification by the Minister. These include, but are not limited to:</w:t>
      </w:r>
    </w:p>
    <w:p w:rsidR="005A3AC2" w:rsidRPr="00807837" w:rsidRDefault="005A3AC2" w:rsidP="00807837">
      <w:pPr>
        <w:spacing w:after="0" w:line="240" w:lineRule="auto"/>
        <w:rPr>
          <w:rFonts w:ascii="Arial" w:hAnsi="Arial" w:cs="Arial"/>
          <w:sz w:val="20"/>
          <w:szCs w:val="20"/>
        </w:rPr>
      </w:pPr>
    </w:p>
    <w:p w:rsidR="005A3AC2" w:rsidRPr="00807837" w:rsidRDefault="005A3AC2" w:rsidP="00807837">
      <w:pPr>
        <w:pStyle w:val="ListParagraph"/>
        <w:numPr>
          <w:ilvl w:val="0"/>
          <w:numId w:val="49"/>
        </w:numPr>
        <w:spacing w:after="0" w:line="240" w:lineRule="auto"/>
        <w:rPr>
          <w:rFonts w:ascii="Arial" w:hAnsi="Arial" w:cs="Arial"/>
          <w:sz w:val="20"/>
          <w:szCs w:val="20"/>
        </w:rPr>
      </w:pPr>
      <w:r w:rsidRPr="00807837">
        <w:rPr>
          <w:rFonts w:ascii="Arial" w:hAnsi="Arial" w:cs="Arial"/>
          <w:sz w:val="20"/>
          <w:szCs w:val="20"/>
        </w:rPr>
        <w:t>The policy review process and the timeframes for concluding this process which hampers commencement of the legislative review process.</w:t>
      </w:r>
    </w:p>
    <w:p w:rsidR="005A3AC2" w:rsidRPr="00807837" w:rsidRDefault="005A3AC2" w:rsidP="00807837">
      <w:pPr>
        <w:pStyle w:val="ListParagraph"/>
        <w:spacing w:after="0" w:line="240" w:lineRule="auto"/>
        <w:rPr>
          <w:rFonts w:ascii="Arial" w:hAnsi="Arial" w:cs="Arial"/>
          <w:sz w:val="20"/>
          <w:szCs w:val="20"/>
        </w:rPr>
      </w:pPr>
    </w:p>
    <w:p w:rsidR="005A3AC2" w:rsidRPr="00807837" w:rsidRDefault="005A3AC2" w:rsidP="00807837">
      <w:pPr>
        <w:pStyle w:val="ListParagraph"/>
        <w:numPr>
          <w:ilvl w:val="0"/>
          <w:numId w:val="49"/>
        </w:numPr>
        <w:spacing w:after="0" w:line="240" w:lineRule="auto"/>
        <w:rPr>
          <w:rFonts w:ascii="Arial" w:hAnsi="Arial" w:cs="Arial"/>
          <w:sz w:val="20"/>
          <w:szCs w:val="20"/>
        </w:rPr>
      </w:pPr>
      <w:r w:rsidRPr="00807837">
        <w:rPr>
          <w:rFonts w:ascii="Arial" w:hAnsi="Arial" w:cs="Arial"/>
          <w:sz w:val="20"/>
          <w:szCs w:val="20"/>
        </w:rPr>
        <w:t>Clarity on the imminent merger of SA Tourism and Brand South Africa.</w:t>
      </w:r>
    </w:p>
    <w:p w:rsidR="005A3AC2" w:rsidRPr="00807837" w:rsidRDefault="005A3AC2" w:rsidP="00807837">
      <w:pPr>
        <w:pStyle w:val="ListParagraph"/>
        <w:spacing w:after="0" w:line="240" w:lineRule="auto"/>
        <w:rPr>
          <w:rFonts w:ascii="Arial" w:hAnsi="Arial" w:cs="Arial"/>
          <w:sz w:val="20"/>
          <w:szCs w:val="20"/>
        </w:rPr>
      </w:pPr>
    </w:p>
    <w:p w:rsidR="00657928" w:rsidRPr="00807837" w:rsidRDefault="005A3AC2" w:rsidP="00807837">
      <w:pPr>
        <w:pStyle w:val="ListParagraph"/>
        <w:numPr>
          <w:ilvl w:val="0"/>
          <w:numId w:val="49"/>
        </w:numPr>
        <w:spacing w:after="0" w:line="240" w:lineRule="auto"/>
        <w:rPr>
          <w:rFonts w:ascii="Arial" w:hAnsi="Arial" w:cs="Arial"/>
          <w:sz w:val="20"/>
          <w:szCs w:val="20"/>
        </w:rPr>
      </w:pPr>
      <w:r w:rsidRPr="00807837">
        <w:rPr>
          <w:rFonts w:ascii="Arial" w:hAnsi="Arial" w:cs="Arial"/>
          <w:sz w:val="20"/>
          <w:szCs w:val="20"/>
        </w:rPr>
        <w:t>The process of the appointment of the Interim Board of SA Tourism and its legal standing.</w:t>
      </w:r>
    </w:p>
    <w:p w:rsidR="00B054BF" w:rsidRPr="00807837" w:rsidRDefault="00B054BF" w:rsidP="00807837">
      <w:pPr>
        <w:spacing w:after="0" w:line="240" w:lineRule="auto"/>
        <w:rPr>
          <w:rFonts w:ascii="Arial" w:hAnsi="Arial" w:cs="Arial"/>
          <w:sz w:val="20"/>
          <w:szCs w:val="20"/>
        </w:rPr>
      </w:pPr>
    </w:p>
    <w:p w:rsidR="008D3551" w:rsidRPr="00807837" w:rsidRDefault="00C66E1D" w:rsidP="00807837">
      <w:pPr>
        <w:spacing w:after="0" w:line="240" w:lineRule="auto"/>
        <w:rPr>
          <w:rFonts w:ascii="Arial" w:hAnsi="Arial" w:cs="Arial"/>
          <w:sz w:val="20"/>
          <w:szCs w:val="20"/>
        </w:rPr>
      </w:pPr>
      <w:r w:rsidRPr="00807837">
        <w:rPr>
          <w:rFonts w:ascii="Arial" w:hAnsi="Arial" w:cs="Arial"/>
          <w:sz w:val="20"/>
          <w:szCs w:val="20"/>
        </w:rPr>
        <w:t>8.1.2</w:t>
      </w:r>
      <w:r w:rsidRPr="00807837">
        <w:rPr>
          <w:rFonts w:ascii="Arial" w:hAnsi="Arial" w:cs="Arial"/>
          <w:sz w:val="20"/>
          <w:szCs w:val="20"/>
        </w:rPr>
        <w:tab/>
      </w:r>
      <w:r w:rsidR="008D3551" w:rsidRPr="00807837">
        <w:rPr>
          <w:rFonts w:ascii="Arial" w:hAnsi="Arial" w:cs="Arial"/>
          <w:sz w:val="20"/>
          <w:szCs w:val="20"/>
        </w:rPr>
        <w:t>Audit findings</w:t>
      </w:r>
    </w:p>
    <w:p w:rsidR="008D3551" w:rsidRPr="00807837" w:rsidRDefault="008D3551" w:rsidP="00807837">
      <w:pPr>
        <w:spacing w:after="0" w:line="240" w:lineRule="auto"/>
        <w:rPr>
          <w:rFonts w:ascii="Arial" w:hAnsi="Arial" w:cs="Arial"/>
          <w:b/>
          <w:sz w:val="20"/>
          <w:szCs w:val="20"/>
        </w:rPr>
      </w:pPr>
    </w:p>
    <w:p w:rsidR="008D3551" w:rsidRPr="00807837" w:rsidRDefault="008D3551" w:rsidP="00807837">
      <w:pPr>
        <w:spacing w:after="0" w:line="240" w:lineRule="auto"/>
        <w:rPr>
          <w:rFonts w:ascii="Arial" w:hAnsi="Arial" w:cs="Arial"/>
          <w:sz w:val="20"/>
          <w:szCs w:val="20"/>
        </w:rPr>
      </w:pPr>
      <w:r w:rsidRPr="00807837">
        <w:rPr>
          <w:rFonts w:ascii="Arial" w:hAnsi="Arial" w:cs="Arial"/>
          <w:sz w:val="20"/>
          <w:szCs w:val="20"/>
        </w:rPr>
        <w:t xml:space="preserve">The overall audit outcome for the tourism portfolio improved from the previous financial year. The Department </w:t>
      </w:r>
      <w:r w:rsidR="00D47AFE" w:rsidRPr="00807837">
        <w:rPr>
          <w:rFonts w:ascii="Arial" w:hAnsi="Arial" w:cs="Arial"/>
          <w:sz w:val="20"/>
          <w:szCs w:val="20"/>
        </w:rPr>
        <w:t xml:space="preserve">and </w:t>
      </w:r>
      <w:r w:rsidRPr="00807837">
        <w:rPr>
          <w:rFonts w:ascii="Arial" w:hAnsi="Arial" w:cs="Arial"/>
          <w:sz w:val="20"/>
          <w:szCs w:val="20"/>
        </w:rPr>
        <w:t xml:space="preserve">SA Tourism received financially unqualified </w:t>
      </w:r>
      <w:r w:rsidR="00D47AFE" w:rsidRPr="00807837">
        <w:rPr>
          <w:rFonts w:ascii="Arial" w:hAnsi="Arial" w:cs="Arial"/>
          <w:sz w:val="20"/>
          <w:szCs w:val="20"/>
        </w:rPr>
        <w:t xml:space="preserve">audit </w:t>
      </w:r>
      <w:r w:rsidRPr="00807837">
        <w:rPr>
          <w:rFonts w:ascii="Arial" w:hAnsi="Arial" w:cs="Arial"/>
          <w:sz w:val="20"/>
          <w:szCs w:val="20"/>
        </w:rPr>
        <w:t>opinion</w:t>
      </w:r>
      <w:r w:rsidR="00D47AFE" w:rsidRPr="00807837">
        <w:rPr>
          <w:rFonts w:ascii="Arial" w:hAnsi="Arial" w:cs="Arial"/>
          <w:sz w:val="20"/>
          <w:szCs w:val="20"/>
        </w:rPr>
        <w:t>s</w:t>
      </w:r>
      <w:r w:rsidRPr="00807837">
        <w:rPr>
          <w:rFonts w:ascii="Arial" w:hAnsi="Arial" w:cs="Arial"/>
          <w:sz w:val="20"/>
          <w:szCs w:val="20"/>
        </w:rPr>
        <w:t xml:space="preserve"> with findings on compliance with key legislation. The improvement in the overall audit outcome is due to the improvement at SA</w:t>
      </w:r>
      <w:r w:rsidR="00D648A1" w:rsidRPr="00807837">
        <w:rPr>
          <w:rFonts w:ascii="Arial" w:hAnsi="Arial" w:cs="Arial"/>
          <w:sz w:val="20"/>
          <w:szCs w:val="20"/>
        </w:rPr>
        <w:t xml:space="preserve"> </w:t>
      </w:r>
      <w:r w:rsidRPr="00807837">
        <w:rPr>
          <w:rFonts w:ascii="Arial" w:hAnsi="Arial" w:cs="Arial"/>
          <w:sz w:val="20"/>
          <w:szCs w:val="20"/>
        </w:rPr>
        <w:t>T</w:t>
      </w:r>
      <w:r w:rsidR="00D648A1" w:rsidRPr="00807837">
        <w:rPr>
          <w:rFonts w:ascii="Arial" w:hAnsi="Arial" w:cs="Arial"/>
          <w:sz w:val="20"/>
          <w:szCs w:val="20"/>
        </w:rPr>
        <w:t>ourism</w:t>
      </w:r>
      <w:r w:rsidRPr="00807837">
        <w:rPr>
          <w:rFonts w:ascii="Arial" w:hAnsi="Arial" w:cs="Arial"/>
          <w:sz w:val="20"/>
          <w:szCs w:val="20"/>
        </w:rPr>
        <w:t xml:space="preserve"> which had received a financially qualified opinion in the prior year with </w:t>
      </w:r>
      <w:r w:rsidRPr="00807837">
        <w:rPr>
          <w:rFonts w:ascii="Arial" w:hAnsi="Arial" w:cs="Arial"/>
          <w:sz w:val="20"/>
          <w:szCs w:val="20"/>
        </w:rPr>
        <w:lastRenderedPageBreak/>
        <w:t>findings on compliance and predetermined objectives. In the prior year, SA</w:t>
      </w:r>
      <w:r w:rsidR="00D648A1" w:rsidRPr="00807837">
        <w:rPr>
          <w:rFonts w:ascii="Arial" w:hAnsi="Arial" w:cs="Arial"/>
          <w:sz w:val="20"/>
          <w:szCs w:val="20"/>
        </w:rPr>
        <w:t xml:space="preserve"> </w:t>
      </w:r>
      <w:r w:rsidRPr="00807837">
        <w:rPr>
          <w:rFonts w:ascii="Arial" w:hAnsi="Arial" w:cs="Arial"/>
          <w:sz w:val="20"/>
          <w:szCs w:val="20"/>
        </w:rPr>
        <w:t>T</w:t>
      </w:r>
      <w:r w:rsidR="00D648A1" w:rsidRPr="00807837">
        <w:rPr>
          <w:rFonts w:ascii="Arial" w:hAnsi="Arial" w:cs="Arial"/>
          <w:sz w:val="20"/>
          <w:szCs w:val="20"/>
        </w:rPr>
        <w:t>ourism</w:t>
      </w:r>
      <w:r w:rsidRPr="00807837">
        <w:rPr>
          <w:rFonts w:ascii="Arial" w:hAnsi="Arial" w:cs="Arial"/>
          <w:sz w:val="20"/>
          <w:szCs w:val="20"/>
        </w:rPr>
        <w:t xml:space="preserve"> was qualified on marketing expenditure and receivables from non-exchange transactions as management did not have sufficient controls to ensure completeness of expenditure incurred by third parties on behalf of </w:t>
      </w:r>
      <w:r w:rsidR="00D648A1" w:rsidRPr="00807837">
        <w:rPr>
          <w:rFonts w:ascii="Arial" w:hAnsi="Arial" w:cs="Arial"/>
          <w:sz w:val="20"/>
          <w:szCs w:val="20"/>
        </w:rPr>
        <w:t>the Entity.</w:t>
      </w:r>
    </w:p>
    <w:p w:rsidR="00B45EAB" w:rsidRPr="00807837" w:rsidRDefault="00B45EAB" w:rsidP="00807837">
      <w:pPr>
        <w:spacing w:after="0" w:line="240" w:lineRule="auto"/>
        <w:rPr>
          <w:rFonts w:ascii="Arial" w:hAnsi="Arial" w:cs="Arial"/>
          <w:sz w:val="20"/>
          <w:szCs w:val="20"/>
        </w:rPr>
      </w:pPr>
    </w:p>
    <w:p w:rsidR="00FF6E8A" w:rsidRPr="00807837" w:rsidRDefault="00D648A1" w:rsidP="00807837">
      <w:pPr>
        <w:spacing w:after="0" w:line="240" w:lineRule="auto"/>
        <w:rPr>
          <w:rFonts w:ascii="Arial" w:hAnsi="Arial" w:cs="Arial"/>
          <w:sz w:val="20"/>
          <w:szCs w:val="20"/>
        </w:rPr>
      </w:pPr>
      <w:r w:rsidRPr="00807837">
        <w:rPr>
          <w:rFonts w:ascii="Arial" w:hAnsi="Arial" w:cs="Arial"/>
          <w:sz w:val="20"/>
          <w:szCs w:val="20"/>
        </w:rPr>
        <w:t>8.1.</w:t>
      </w:r>
      <w:r w:rsidR="00A37EC8" w:rsidRPr="00807837">
        <w:rPr>
          <w:rFonts w:ascii="Arial" w:hAnsi="Arial" w:cs="Arial"/>
          <w:sz w:val="20"/>
          <w:szCs w:val="20"/>
        </w:rPr>
        <w:t>3</w:t>
      </w:r>
      <w:r w:rsidRPr="00807837">
        <w:rPr>
          <w:rFonts w:ascii="Arial" w:hAnsi="Arial" w:cs="Arial"/>
          <w:sz w:val="20"/>
          <w:szCs w:val="20"/>
        </w:rPr>
        <w:tab/>
      </w:r>
      <w:r w:rsidR="00FF6E8A" w:rsidRPr="00807837">
        <w:rPr>
          <w:rFonts w:ascii="Arial" w:hAnsi="Arial" w:cs="Arial"/>
          <w:sz w:val="20"/>
          <w:szCs w:val="20"/>
        </w:rPr>
        <w:t>Expenditure management (irregular expenditure)</w:t>
      </w:r>
    </w:p>
    <w:p w:rsidR="00FF6E8A" w:rsidRPr="00807837" w:rsidRDefault="00FF6E8A" w:rsidP="00807837">
      <w:pPr>
        <w:spacing w:after="0" w:line="240" w:lineRule="auto"/>
        <w:rPr>
          <w:rFonts w:ascii="Arial" w:hAnsi="Arial" w:cs="Arial"/>
          <w:sz w:val="20"/>
          <w:szCs w:val="20"/>
        </w:rPr>
      </w:pPr>
    </w:p>
    <w:p w:rsidR="00FF6E8A" w:rsidRPr="00807837" w:rsidRDefault="00FF6E8A" w:rsidP="00807837">
      <w:pPr>
        <w:spacing w:after="0" w:line="240" w:lineRule="auto"/>
        <w:rPr>
          <w:rFonts w:ascii="Arial" w:hAnsi="Arial" w:cs="Arial"/>
          <w:sz w:val="20"/>
          <w:szCs w:val="20"/>
        </w:rPr>
      </w:pPr>
      <w:r w:rsidRPr="00807837">
        <w:rPr>
          <w:rFonts w:ascii="Arial" w:hAnsi="Arial" w:cs="Arial"/>
          <w:sz w:val="20"/>
          <w:szCs w:val="20"/>
        </w:rPr>
        <w:t xml:space="preserve">The irregular expenditure in the portfolio decreased from R21,29 million in 2020/21 to R8,6 million in the 2021/22 financial year. SA Tourism remains the biggest contributor to irregular expenditure, accounting for 79 per cent of irregular expenditure for the year. The irregular expenditure incurred by SA Tourism relates mainly to non-compliance with Supply Chain Management (SCM) prescripts which was due to lack of preventative controls to ensure compliance with SCM legislation. </w:t>
      </w:r>
      <w:r w:rsidR="00B07DE8" w:rsidRPr="00807837">
        <w:rPr>
          <w:rFonts w:ascii="Arial" w:hAnsi="Arial" w:cs="Arial"/>
          <w:sz w:val="20"/>
          <w:szCs w:val="20"/>
        </w:rPr>
        <w:t>T</w:t>
      </w:r>
      <w:r w:rsidRPr="00807837">
        <w:rPr>
          <w:rFonts w:ascii="Arial" w:hAnsi="Arial" w:cs="Arial"/>
          <w:sz w:val="20"/>
          <w:szCs w:val="20"/>
        </w:rPr>
        <w:t>he irregular expenditure incurred at</w:t>
      </w:r>
      <w:r w:rsidR="00B07DE8" w:rsidRPr="00807837">
        <w:rPr>
          <w:rFonts w:ascii="Arial" w:hAnsi="Arial" w:cs="Arial"/>
          <w:sz w:val="20"/>
          <w:szCs w:val="20"/>
        </w:rPr>
        <w:t xml:space="preserve"> the Department </w:t>
      </w:r>
      <w:r w:rsidRPr="00807837">
        <w:rPr>
          <w:rFonts w:ascii="Arial" w:hAnsi="Arial" w:cs="Arial"/>
          <w:sz w:val="20"/>
          <w:szCs w:val="20"/>
        </w:rPr>
        <w:t xml:space="preserve">was mainly due </w:t>
      </w:r>
      <w:r w:rsidR="00D47AFE" w:rsidRPr="00807837">
        <w:rPr>
          <w:rFonts w:ascii="Arial" w:hAnsi="Arial" w:cs="Arial"/>
          <w:sz w:val="20"/>
          <w:szCs w:val="20"/>
        </w:rPr>
        <w:t xml:space="preserve">to </w:t>
      </w:r>
      <w:r w:rsidRPr="00807837">
        <w:rPr>
          <w:rFonts w:ascii="Arial" w:hAnsi="Arial" w:cs="Arial"/>
          <w:sz w:val="20"/>
          <w:szCs w:val="20"/>
        </w:rPr>
        <w:t xml:space="preserve">a </w:t>
      </w:r>
      <w:r w:rsidR="00FF43E5" w:rsidRPr="00807837">
        <w:rPr>
          <w:rFonts w:ascii="Arial" w:hAnsi="Arial" w:cs="Arial"/>
          <w:sz w:val="20"/>
          <w:szCs w:val="20"/>
        </w:rPr>
        <w:t>multi-year</w:t>
      </w:r>
      <w:r w:rsidRPr="00807837">
        <w:rPr>
          <w:rFonts w:ascii="Arial" w:hAnsi="Arial" w:cs="Arial"/>
          <w:sz w:val="20"/>
          <w:szCs w:val="20"/>
        </w:rPr>
        <w:t xml:space="preserve"> contract declared irregular in the prior year wherein expenditure is still being incurred</w:t>
      </w:r>
      <w:r w:rsidR="00B07DE8" w:rsidRPr="00807837">
        <w:rPr>
          <w:rFonts w:ascii="Arial" w:hAnsi="Arial" w:cs="Arial"/>
          <w:sz w:val="20"/>
          <w:szCs w:val="20"/>
        </w:rPr>
        <w:t>, therefore there was no new irregular expenditure</w:t>
      </w:r>
      <w:r w:rsidRPr="00807837">
        <w:rPr>
          <w:rFonts w:ascii="Arial" w:hAnsi="Arial" w:cs="Arial"/>
          <w:sz w:val="20"/>
          <w:szCs w:val="20"/>
        </w:rPr>
        <w:t xml:space="preserve">. </w:t>
      </w:r>
    </w:p>
    <w:p w:rsidR="00B07DE8" w:rsidRPr="00807837" w:rsidRDefault="00B07DE8" w:rsidP="00807837">
      <w:pPr>
        <w:spacing w:after="0" w:line="240" w:lineRule="auto"/>
        <w:rPr>
          <w:rFonts w:ascii="Arial" w:hAnsi="Arial" w:cs="Arial"/>
          <w:sz w:val="20"/>
          <w:szCs w:val="20"/>
        </w:rPr>
      </w:pPr>
    </w:p>
    <w:p w:rsidR="00D648A1" w:rsidRPr="00807837" w:rsidRDefault="00FF6E8A" w:rsidP="00807837">
      <w:pPr>
        <w:spacing w:after="0" w:line="240" w:lineRule="auto"/>
        <w:rPr>
          <w:rFonts w:ascii="Arial" w:hAnsi="Arial" w:cs="Arial"/>
          <w:sz w:val="20"/>
          <w:szCs w:val="20"/>
        </w:rPr>
      </w:pPr>
      <w:r w:rsidRPr="00807837">
        <w:rPr>
          <w:rFonts w:ascii="Arial" w:hAnsi="Arial" w:cs="Arial"/>
          <w:sz w:val="20"/>
          <w:szCs w:val="20"/>
        </w:rPr>
        <w:t>8.1.</w:t>
      </w:r>
      <w:r w:rsidR="00A37EC8" w:rsidRPr="00807837">
        <w:rPr>
          <w:rFonts w:ascii="Arial" w:hAnsi="Arial" w:cs="Arial"/>
          <w:sz w:val="20"/>
          <w:szCs w:val="20"/>
        </w:rPr>
        <w:t>4</w:t>
      </w:r>
      <w:r w:rsidRPr="00807837">
        <w:rPr>
          <w:rFonts w:ascii="Arial" w:hAnsi="Arial" w:cs="Arial"/>
          <w:sz w:val="20"/>
          <w:szCs w:val="20"/>
        </w:rPr>
        <w:tab/>
      </w:r>
      <w:r w:rsidR="00D648A1" w:rsidRPr="00807837">
        <w:rPr>
          <w:rFonts w:ascii="Arial" w:hAnsi="Arial" w:cs="Arial"/>
          <w:sz w:val="20"/>
          <w:szCs w:val="20"/>
        </w:rPr>
        <w:t>Implementation of the Audit Action Plan</w:t>
      </w:r>
    </w:p>
    <w:p w:rsidR="00D648A1" w:rsidRPr="00807837" w:rsidRDefault="00D648A1" w:rsidP="00807837">
      <w:pPr>
        <w:spacing w:after="0" w:line="240" w:lineRule="auto"/>
        <w:rPr>
          <w:rFonts w:ascii="Arial" w:hAnsi="Arial" w:cs="Arial"/>
          <w:sz w:val="20"/>
          <w:szCs w:val="20"/>
        </w:rPr>
      </w:pPr>
    </w:p>
    <w:p w:rsidR="00D648A1" w:rsidRPr="00807837" w:rsidRDefault="00D648A1" w:rsidP="00807837">
      <w:pPr>
        <w:spacing w:after="0" w:line="240" w:lineRule="auto"/>
        <w:rPr>
          <w:rFonts w:ascii="Arial" w:hAnsi="Arial" w:cs="Arial"/>
          <w:sz w:val="20"/>
          <w:szCs w:val="20"/>
        </w:rPr>
      </w:pPr>
      <w:r w:rsidRPr="00807837">
        <w:rPr>
          <w:rFonts w:ascii="Arial" w:hAnsi="Arial" w:cs="Arial"/>
          <w:sz w:val="20"/>
          <w:szCs w:val="20"/>
        </w:rPr>
        <w:t xml:space="preserve">The performance of the portfolio improved, albeit with repeat findings. The improvement in the audit outcome is attributable to the effectiveness of the action plan implemented by the accounting authority of SA </w:t>
      </w:r>
      <w:r w:rsidR="00FF43E5" w:rsidRPr="00807837">
        <w:rPr>
          <w:rFonts w:ascii="Arial" w:hAnsi="Arial" w:cs="Arial"/>
          <w:sz w:val="20"/>
          <w:szCs w:val="20"/>
        </w:rPr>
        <w:t>Tourism</w:t>
      </w:r>
      <w:r w:rsidR="009831D5" w:rsidRPr="00807837">
        <w:rPr>
          <w:rFonts w:ascii="Arial" w:hAnsi="Arial" w:cs="Arial"/>
          <w:sz w:val="20"/>
          <w:szCs w:val="20"/>
        </w:rPr>
        <w:t>,</w:t>
      </w:r>
      <w:r w:rsidRPr="00807837">
        <w:rPr>
          <w:rFonts w:ascii="Arial" w:hAnsi="Arial" w:cs="Arial"/>
          <w:sz w:val="20"/>
          <w:szCs w:val="20"/>
        </w:rPr>
        <w:t xml:space="preserve"> as well as the existence of effective governance structures to implement and monitor the audit action plan. While the audit outcome for NDT remains unchanged from the prior year, there was a notable improvement in areas of compliance with supply chain management and predetermined objectives. The improvement is attributable to the effectiveness of the action plan implemented by the accounting officer. While the action plan was effective in addressing prior year findings, the emergence of new findings is indicative of the need to implement preventative controls that will strengthen the overall control environment. The accounting officer and accounting authority should ensure that the portfolio has embedded preventative controls necessary to improve audit outcomes to achieve clean administration and avert regression. Future action plan</w:t>
      </w:r>
      <w:r w:rsidR="009831D5" w:rsidRPr="00807837">
        <w:rPr>
          <w:rFonts w:ascii="Arial" w:hAnsi="Arial" w:cs="Arial"/>
          <w:sz w:val="20"/>
          <w:szCs w:val="20"/>
        </w:rPr>
        <w:t>s</w:t>
      </w:r>
      <w:r w:rsidRPr="00807837">
        <w:rPr>
          <w:rFonts w:ascii="Arial" w:hAnsi="Arial" w:cs="Arial"/>
          <w:sz w:val="20"/>
          <w:szCs w:val="20"/>
        </w:rPr>
        <w:t xml:space="preserve"> should be tailored at achieving clean administration and not only addressing prior year findings.</w:t>
      </w:r>
    </w:p>
    <w:p w:rsidR="00C66E1D" w:rsidRPr="00807837" w:rsidRDefault="00C66E1D" w:rsidP="00807837">
      <w:pPr>
        <w:spacing w:after="0" w:line="240" w:lineRule="auto"/>
        <w:rPr>
          <w:rFonts w:ascii="Arial" w:hAnsi="Arial" w:cs="Arial"/>
          <w:sz w:val="20"/>
          <w:szCs w:val="20"/>
        </w:rPr>
      </w:pPr>
    </w:p>
    <w:p w:rsidR="00C66E1D" w:rsidRPr="00807837" w:rsidRDefault="00C66E1D" w:rsidP="00807837">
      <w:pPr>
        <w:spacing w:after="0" w:line="240" w:lineRule="auto"/>
        <w:rPr>
          <w:rFonts w:ascii="Arial" w:hAnsi="Arial" w:cs="Arial"/>
          <w:sz w:val="20"/>
          <w:szCs w:val="20"/>
        </w:rPr>
      </w:pPr>
      <w:r w:rsidRPr="00807837">
        <w:rPr>
          <w:rFonts w:ascii="Arial" w:hAnsi="Arial" w:cs="Arial"/>
          <w:sz w:val="20"/>
          <w:szCs w:val="20"/>
        </w:rPr>
        <w:t>8.1.</w:t>
      </w:r>
      <w:r w:rsidR="00A37EC8" w:rsidRPr="00807837">
        <w:rPr>
          <w:rFonts w:ascii="Arial" w:hAnsi="Arial" w:cs="Arial"/>
          <w:sz w:val="20"/>
          <w:szCs w:val="20"/>
        </w:rPr>
        <w:t>5</w:t>
      </w:r>
      <w:r w:rsidRPr="00807837">
        <w:rPr>
          <w:rFonts w:ascii="Arial" w:hAnsi="Arial" w:cs="Arial"/>
          <w:sz w:val="20"/>
          <w:szCs w:val="20"/>
        </w:rPr>
        <w:tab/>
        <w:t>National Treasury support for the sector</w:t>
      </w:r>
    </w:p>
    <w:p w:rsidR="00C66E1D" w:rsidRPr="00807837" w:rsidRDefault="00C66E1D" w:rsidP="00807837">
      <w:pPr>
        <w:spacing w:after="0" w:line="240" w:lineRule="auto"/>
        <w:rPr>
          <w:rFonts w:ascii="Arial" w:hAnsi="Arial" w:cs="Arial"/>
          <w:sz w:val="20"/>
          <w:szCs w:val="20"/>
        </w:rPr>
      </w:pPr>
    </w:p>
    <w:p w:rsidR="00D648A1" w:rsidRPr="00807837" w:rsidRDefault="00C66E1D" w:rsidP="00807837">
      <w:pPr>
        <w:spacing w:after="0" w:line="240" w:lineRule="auto"/>
        <w:rPr>
          <w:rFonts w:ascii="Arial" w:hAnsi="Arial" w:cs="Arial"/>
          <w:sz w:val="20"/>
          <w:szCs w:val="20"/>
        </w:rPr>
      </w:pPr>
      <w:r w:rsidRPr="00807837">
        <w:rPr>
          <w:rFonts w:ascii="Arial" w:hAnsi="Arial" w:cs="Arial"/>
          <w:sz w:val="20"/>
          <w:szCs w:val="20"/>
        </w:rPr>
        <w:t xml:space="preserve">The Committee noted from </w:t>
      </w:r>
      <w:r w:rsidR="00FF43E5" w:rsidRPr="00807837">
        <w:rPr>
          <w:rFonts w:ascii="Arial" w:hAnsi="Arial" w:cs="Arial"/>
          <w:sz w:val="20"/>
          <w:szCs w:val="20"/>
        </w:rPr>
        <w:t>the Consolidated</w:t>
      </w:r>
      <w:r w:rsidRPr="00807837">
        <w:rPr>
          <w:rFonts w:ascii="Arial" w:hAnsi="Arial" w:cs="Arial"/>
          <w:sz w:val="20"/>
          <w:szCs w:val="20"/>
        </w:rPr>
        <w:t xml:space="preserve"> Spending Plans issued by the National Treasury that the Department of Tourism will continue to focus on supporting </w:t>
      </w:r>
      <w:r w:rsidR="00EE53DF" w:rsidRPr="00807837">
        <w:rPr>
          <w:rFonts w:ascii="Arial" w:hAnsi="Arial" w:cs="Arial"/>
          <w:sz w:val="20"/>
          <w:szCs w:val="20"/>
        </w:rPr>
        <w:t>recovery in</w:t>
      </w:r>
      <w:r w:rsidRPr="00807837">
        <w:rPr>
          <w:rFonts w:ascii="Arial" w:hAnsi="Arial" w:cs="Arial"/>
          <w:sz w:val="20"/>
          <w:szCs w:val="20"/>
        </w:rPr>
        <w:t xml:space="preserve"> the tourism sector while accelerating the move towards a stronger, </w:t>
      </w:r>
      <w:r w:rsidR="00EE53DF" w:rsidRPr="00807837">
        <w:rPr>
          <w:rFonts w:ascii="Arial" w:hAnsi="Arial" w:cs="Arial"/>
          <w:sz w:val="20"/>
          <w:szCs w:val="20"/>
        </w:rPr>
        <w:t xml:space="preserve">more equitable </w:t>
      </w:r>
      <w:r w:rsidR="005567D0" w:rsidRPr="00807837">
        <w:rPr>
          <w:rFonts w:ascii="Arial" w:hAnsi="Arial" w:cs="Arial"/>
          <w:sz w:val="20"/>
          <w:szCs w:val="20"/>
        </w:rPr>
        <w:t>and resilient</w:t>
      </w:r>
      <w:r w:rsidRPr="00807837">
        <w:rPr>
          <w:rFonts w:ascii="Arial" w:hAnsi="Arial" w:cs="Arial"/>
          <w:sz w:val="20"/>
          <w:szCs w:val="20"/>
        </w:rPr>
        <w:t xml:space="preserve"> </w:t>
      </w:r>
      <w:r w:rsidR="00C74C57" w:rsidRPr="00807837">
        <w:rPr>
          <w:rFonts w:ascii="Arial" w:hAnsi="Arial" w:cs="Arial"/>
          <w:sz w:val="20"/>
          <w:szCs w:val="20"/>
        </w:rPr>
        <w:t>tourism economy</w:t>
      </w:r>
      <w:r w:rsidRPr="00807837">
        <w:rPr>
          <w:rFonts w:ascii="Arial" w:hAnsi="Arial" w:cs="Arial"/>
          <w:sz w:val="20"/>
          <w:szCs w:val="20"/>
        </w:rPr>
        <w:t xml:space="preserve">.  </w:t>
      </w:r>
      <w:r w:rsidR="00FF43E5" w:rsidRPr="00807837">
        <w:rPr>
          <w:rFonts w:ascii="Arial" w:hAnsi="Arial" w:cs="Arial"/>
          <w:sz w:val="20"/>
          <w:szCs w:val="20"/>
        </w:rPr>
        <w:t>Accordingly, R</w:t>
      </w:r>
      <w:r w:rsidRPr="00807837">
        <w:rPr>
          <w:rFonts w:ascii="Arial" w:hAnsi="Arial" w:cs="Arial"/>
          <w:sz w:val="20"/>
          <w:szCs w:val="20"/>
        </w:rPr>
        <w:t xml:space="preserve">360 </w:t>
      </w:r>
      <w:r w:rsidR="00FF43E5" w:rsidRPr="00807837">
        <w:rPr>
          <w:rFonts w:ascii="Arial" w:hAnsi="Arial" w:cs="Arial"/>
          <w:sz w:val="20"/>
          <w:szCs w:val="20"/>
        </w:rPr>
        <w:t xml:space="preserve">million </w:t>
      </w:r>
      <w:r w:rsidR="00EE53DF" w:rsidRPr="00807837">
        <w:rPr>
          <w:rFonts w:ascii="Arial" w:hAnsi="Arial" w:cs="Arial"/>
          <w:sz w:val="20"/>
          <w:szCs w:val="20"/>
        </w:rPr>
        <w:t>is allocated</w:t>
      </w:r>
      <w:r w:rsidRPr="00807837">
        <w:rPr>
          <w:rFonts w:ascii="Arial" w:hAnsi="Arial" w:cs="Arial"/>
          <w:sz w:val="20"/>
          <w:szCs w:val="20"/>
        </w:rPr>
        <w:t xml:space="preserve"> over the medium term to support the pilot phase of the </w:t>
      </w:r>
      <w:r w:rsidR="00EE53DF" w:rsidRPr="00807837">
        <w:rPr>
          <w:rFonts w:ascii="Arial" w:hAnsi="Arial" w:cs="Arial"/>
          <w:sz w:val="20"/>
          <w:szCs w:val="20"/>
        </w:rPr>
        <w:t xml:space="preserve">Tourism Equity </w:t>
      </w:r>
      <w:r w:rsidR="005567D0" w:rsidRPr="00807837">
        <w:rPr>
          <w:rFonts w:ascii="Arial" w:hAnsi="Arial" w:cs="Arial"/>
          <w:sz w:val="20"/>
          <w:szCs w:val="20"/>
        </w:rPr>
        <w:t>Fund introduced</w:t>
      </w:r>
      <w:r w:rsidRPr="00807837">
        <w:rPr>
          <w:rFonts w:ascii="Arial" w:hAnsi="Arial" w:cs="Arial"/>
          <w:sz w:val="20"/>
          <w:szCs w:val="20"/>
        </w:rPr>
        <w:t xml:space="preserve"> in 2021, R240 million is allocated to enhance tourism assets and infrastructure, and R80 million has been reprioritised to support short</w:t>
      </w:r>
      <w:r w:rsidRPr="00807837">
        <w:rPr>
          <w:rFonts w:ascii="Times New Roman" w:hAnsi="Times New Roman" w:cs="Arial"/>
          <w:sz w:val="20"/>
          <w:szCs w:val="20"/>
        </w:rPr>
        <w:t>‐</w:t>
      </w:r>
      <w:r w:rsidRPr="00807837">
        <w:rPr>
          <w:rFonts w:ascii="Arial" w:hAnsi="Arial" w:cs="Arial"/>
          <w:sz w:val="20"/>
          <w:szCs w:val="20"/>
        </w:rPr>
        <w:t xml:space="preserve">term jobs in tourism. It was noted also that, </w:t>
      </w:r>
      <w:r w:rsidR="00FF43E5" w:rsidRPr="00807837">
        <w:rPr>
          <w:rFonts w:ascii="Arial" w:hAnsi="Arial" w:cs="Arial"/>
          <w:sz w:val="20"/>
          <w:szCs w:val="20"/>
        </w:rPr>
        <w:t>to support</w:t>
      </w:r>
      <w:r w:rsidRPr="00807837">
        <w:rPr>
          <w:rFonts w:ascii="Arial" w:hAnsi="Arial" w:cs="Arial"/>
          <w:sz w:val="20"/>
          <w:szCs w:val="20"/>
        </w:rPr>
        <w:t xml:space="preserve"> tourism and improve</w:t>
      </w:r>
      <w:r w:rsidR="00C74C57" w:rsidRPr="00807837">
        <w:rPr>
          <w:rFonts w:ascii="Arial" w:hAnsi="Arial" w:cs="Arial"/>
          <w:sz w:val="20"/>
          <w:szCs w:val="20"/>
        </w:rPr>
        <w:t xml:space="preserve"> </w:t>
      </w:r>
      <w:r w:rsidRPr="00807837">
        <w:rPr>
          <w:rFonts w:ascii="Arial" w:hAnsi="Arial" w:cs="Arial"/>
          <w:sz w:val="20"/>
          <w:szCs w:val="20"/>
        </w:rPr>
        <w:t xml:space="preserve">the visa application process, the </w:t>
      </w:r>
      <w:r w:rsidR="00EE53DF" w:rsidRPr="00807837">
        <w:rPr>
          <w:rFonts w:ascii="Arial" w:hAnsi="Arial" w:cs="Arial"/>
          <w:sz w:val="20"/>
          <w:szCs w:val="20"/>
        </w:rPr>
        <w:t>Department of</w:t>
      </w:r>
      <w:r w:rsidRPr="00807837">
        <w:rPr>
          <w:rFonts w:ascii="Arial" w:hAnsi="Arial" w:cs="Arial"/>
          <w:sz w:val="20"/>
          <w:szCs w:val="20"/>
        </w:rPr>
        <w:t xml:space="preserve"> Home Affairs has reprioritised R10 million over the MTEF period.</w:t>
      </w:r>
    </w:p>
    <w:p w:rsidR="00022C24" w:rsidRPr="00807837" w:rsidRDefault="00022C24" w:rsidP="00807837">
      <w:pPr>
        <w:spacing w:after="0" w:line="240" w:lineRule="auto"/>
        <w:rPr>
          <w:rFonts w:ascii="Arial" w:eastAsia="Calibri" w:hAnsi="Arial" w:cs="Arial"/>
          <w:b/>
          <w:sz w:val="20"/>
          <w:szCs w:val="20"/>
        </w:rPr>
      </w:pPr>
      <w:r w:rsidRPr="00807837">
        <w:rPr>
          <w:rFonts w:ascii="Arial" w:eastAsia="Calibri" w:hAnsi="Arial" w:cs="Arial"/>
          <w:b/>
          <w:sz w:val="20"/>
          <w:szCs w:val="20"/>
        </w:rPr>
        <w:t>Observations with regard to the Department</w:t>
      </w:r>
    </w:p>
    <w:p w:rsidR="00FB0FD9" w:rsidRPr="00807837" w:rsidRDefault="00FB0FD9" w:rsidP="00807837">
      <w:pPr>
        <w:spacing w:after="0" w:line="240" w:lineRule="auto"/>
        <w:rPr>
          <w:rFonts w:ascii="Arial" w:eastAsia="Calibri" w:hAnsi="Arial" w:cs="Arial"/>
          <w:b/>
          <w:sz w:val="20"/>
          <w:szCs w:val="20"/>
        </w:rPr>
      </w:pPr>
    </w:p>
    <w:p w:rsidR="0092440E" w:rsidRPr="00807837" w:rsidRDefault="0092440E" w:rsidP="00807837">
      <w:pPr>
        <w:pStyle w:val="ListParagraph"/>
        <w:numPr>
          <w:ilvl w:val="1"/>
          <w:numId w:val="16"/>
        </w:numPr>
        <w:spacing w:after="0" w:line="240" w:lineRule="auto"/>
        <w:rPr>
          <w:rFonts w:ascii="Arial" w:eastAsia="Calibri" w:hAnsi="Arial" w:cs="Arial"/>
          <w:b/>
          <w:sz w:val="20"/>
          <w:szCs w:val="20"/>
        </w:rPr>
      </w:pPr>
      <w:r w:rsidRPr="00807837">
        <w:rPr>
          <w:rFonts w:ascii="Arial" w:eastAsia="Calibri" w:hAnsi="Arial" w:cs="Arial"/>
          <w:b/>
          <w:sz w:val="20"/>
          <w:szCs w:val="20"/>
        </w:rPr>
        <w:t>Governance and operational issues</w:t>
      </w:r>
    </w:p>
    <w:p w:rsidR="0092440E" w:rsidRPr="00807837" w:rsidRDefault="0092440E" w:rsidP="00807837">
      <w:pPr>
        <w:spacing w:after="0" w:line="240" w:lineRule="auto"/>
        <w:rPr>
          <w:rFonts w:ascii="Arial" w:eastAsia="Calibri" w:hAnsi="Arial" w:cs="Arial"/>
          <w:b/>
          <w:sz w:val="20"/>
          <w:szCs w:val="20"/>
        </w:rPr>
      </w:pPr>
    </w:p>
    <w:p w:rsidR="009D5850" w:rsidRPr="00807837" w:rsidRDefault="009D5850" w:rsidP="00807837">
      <w:pPr>
        <w:pStyle w:val="ListParagraph"/>
        <w:numPr>
          <w:ilvl w:val="2"/>
          <w:numId w:val="16"/>
        </w:numPr>
        <w:spacing w:after="0" w:line="240" w:lineRule="auto"/>
        <w:ind w:left="567" w:hanging="567"/>
        <w:rPr>
          <w:rFonts w:ascii="Arial" w:hAnsi="Arial" w:cs="Arial"/>
          <w:sz w:val="20"/>
          <w:szCs w:val="20"/>
        </w:rPr>
      </w:pPr>
      <w:r w:rsidRPr="00807837">
        <w:rPr>
          <w:rFonts w:ascii="Arial" w:hAnsi="Arial" w:cs="Arial"/>
          <w:sz w:val="20"/>
          <w:szCs w:val="20"/>
        </w:rPr>
        <w:t xml:space="preserve">Policy </w:t>
      </w:r>
      <w:r w:rsidR="00B07DE8" w:rsidRPr="00807837">
        <w:rPr>
          <w:rFonts w:ascii="Arial" w:hAnsi="Arial" w:cs="Arial"/>
          <w:sz w:val="20"/>
          <w:szCs w:val="20"/>
        </w:rPr>
        <w:t xml:space="preserve">and </w:t>
      </w:r>
      <w:r w:rsidRPr="00807837">
        <w:rPr>
          <w:rFonts w:ascii="Arial" w:hAnsi="Arial" w:cs="Arial"/>
          <w:sz w:val="20"/>
          <w:szCs w:val="20"/>
        </w:rPr>
        <w:t>legislati</w:t>
      </w:r>
      <w:r w:rsidR="00B07DE8" w:rsidRPr="00807837">
        <w:rPr>
          <w:rFonts w:ascii="Arial" w:hAnsi="Arial" w:cs="Arial"/>
          <w:sz w:val="20"/>
          <w:szCs w:val="20"/>
        </w:rPr>
        <w:t>ve review</w:t>
      </w:r>
    </w:p>
    <w:p w:rsidR="009D5850" w:rsidRPr="00807837" w:rsidRDefault="009D5850" w:rsidP="00807837">
      <w:pPr>
        <w:spacing w:after="0" w:line="240" w:lineRule="auto"/>
        <w:rPr>
          <w:rFonts w:ascii="Arial" w:eastAsia="Calibri" w:hAnsi="Arial" w:cs="Arial"/>
          <w:sz w:val="20"/>
          <w:szCs w:val="20"/>
        </w:rPr>
      </w:pPr>
    </w:p>
    <w:p w:rsidR="009D5850" w:rsidRPr="00807837" w:rsidRDefault="009D5850" w:rsidP="00807837">
      <w:pPr>
        <w:spacing w:after="0" w:line="240" w:lineRule="auto"/>
        <w:rPr>
          <w:rFonts w:ascii="Arial" w:eastAsia="Calibri" w:hAnsi="Arial" w:cs="Arial"/>
          <w:sz w:val="20"/>
          <w:szCs w:val="20"/>
        </w:rPr>
      </w:pPr>
      <w:r w:rsidRPr="00807837">
        <w:rPr>
          <w:rFonts w:ascii="Arial" w:eastAsia="Calibri" w:hAnsi="Arial" w:cs="Arial"/>
          <w:sz w:val="20"/>
          <w:szCs w:val="20"/>
        </w:rPr>
        <w:t>The Committee noted that the policy review process was not finalised in the 2021/22 financial year as it had not been signed off by the Minister. The Department reported that the draft Green Paper on the Development and Promotion of Tourism in South Africa was developed. The document has been submitted to the Executive Authority for consideration but had not been sign</w:t>
      </w:r>
      <w:r w:rsidR="00346CB7" w:rsidRPr="00807837">
        <w:rPr>
          <w:rFonts w:ascii="Arial" w:eastAsia="Calibri" w:hAnsi="Arial" w:cs="Arial"/>
          <w:sz w:val="20"/>
          <w:szCs w:val="20"/>
        </w:rPr>
        <w:t>ed</w:t>
      </w:r>
      <w:r w:rsidRPr="00807837">
        <w:rPr>
          <w:rFonts w:ascii="Arial" w:eastAsia="Calibri" w:hAnsi="Arial" w:cs="Arial"/>
          <w:sz w:val="20"/>
          <w:szCs w:val="20"/>
        </w:rPr>
        <w:t xml:space="preserve"> off. The Committee noted these delays with concern as this has </w:t>
      </w:r>
      <w:r w:rsidR="00346CB7" w:rsidRPr="00807837">
        <w:rPr>
          <w:rFonts w:ascii="Arial" w:eastAsia="Calibri" w:hAnsi="Arial" w:cs="Arial"/>
          <w:sz w:val="20"/>
          <w:szCs w:val="20"/>
        </w:rPr>
        <w:t xml:space="preserve">a </w:t>
      </w:r>
      <w:r w:rsidRPr="00807837">
        <w:rPr>
          <w:rFonts w:ascii="Arial" w:eastAsia="Calibri" w:hAnsi="Arial" w:cs="Arial"/>
          <w:sz w:val="20"/>
          <w:szCs w:val="20"/>
        </w:rPr>
        <w:t>ripple effect in further delaying the commencement of the legislative review process, which is long overdue. The Committee is of the view that the Department is not taking the matter of policy and legislative review seriously, and this attitude should change</w:t>
      </w:r>
      <w:r w:rsidR="00B07DE8" w:rsidRPr="00807837">
        <w:rPr>
          <w:rFonts w:ascii="Arial" w:eastAsia="Calibri" w:hAnsi="Arial" w:cs="Arial"/>
          <w:sz w:val="20"/>
          <w:szCs w:val="20"/>
        </w:rPr>
        <w:t xml:space="preserve"> henceforth</w:t>
      </w:r>
      <w:r w:rsidRPr="00807837">
        <w:rPr>
          <w:rFonts w:ascii="Arial" w:eastAsia="Calibri" w:hAnsi="Arial" w:cs="Arial"/>
          <w:sz w:val="20"/>
          <w:szCs w:val="20"/>
        </w:rPr>
        <w:t>.</w:t>
      </w:r>
    </w:p>
    <w:p w:rsidR="00B054BF" w:rsidRPr="00807837" w:rsidRDefault="00B054BF" w:rsidP="00807837">
      <w:pPr>
        <w:spacing w:after="0" w:line="240" w:lineRule="auto"/>
        <w:rPr>
          <w:rFonts w:ascii="Arial" w:eastAsia="Calibri" w:hAnsi="Arial" w:cs="Arial"/>
          <w:sz w:val="20"/>
          <w:szCs w:val="20"/>
        </w:rPr>
      </w:pPr>
    </w:p>
    <w:p w:rsidR="000C7351" w:rsidRPr="00807837" w:rsidRDefault="00CB515B" w:rsidP="00807837">
      <w:pPr>
        <w:spacing w:after="0" w:line="240" w:lineRule="auto"/>
        <w:rPr>
          <w:rFonts w:ascii="Arial" w:eastAsia="Calibri" w:hAnsi="Arial" w:cs="Arial"/>
          <w:sz w:val="20"/>
          <w:szCs w:val="20"/>
        </w:rPr>
      </w:pPr>
      <w:r w:rsidRPr="00807837">
        <w:rPr>
          <w:rFonts w:ascii="Arial" w:eastAsia="Calibri" w:hAnsi="Arial" w:cs="Arial"/>
          <w:sz w:val="20"/>
          <w:szCs w:val="20"/>
        </w:rPr>
        <w:t>8.2.2</w:t>
      </w:r>
      <w:r w:rsidRPr="00807837">
        <w:rPr>
          <w:rFonts w:ascii="Arial" w:eastAsia="Calibri" w:hAnsi="Arial" w:cs="Arial"/>
          <w:sz w:val="20"/>
          <w:szCs w:val="20"/>
        </w:rPr>
        <w:tab/>
      </w:r>
      <w:r w:rsidR="000C7351" w:rsidRPr="00807837">
        <w:rPr>
          <w:rFonts w:ascii="Arial" w:eastAsia="Calibri" w:hAnsi="Arial" w:cs="Arial"/>
          <w:sz w:val="20"/>
          <w:szCs w:val="20"/>
        </w:rPr>
        <w:t>Audit opinion</w:t>
      </w:r>
    </w:p>
    <w:p w:rsidR="007A629B" w:rsidRPr="00807837" w:rsidRDefault="007A629B" w:rsidP="00807837">
      <w:pPr>
        <w:spacing w:after="0" w:line="240" w:lineRule="auto"/>
        <w:rPr>
          <w:rFonts w:ascii="Arial" w:eastAsia="Calibri" w:hAnsi="Arial" w:cs="Arial"/>
          <w:sz w:val="20"/>
          <w:szCs w:val="20"/>
        </w:rPr>
      </w:pPr>
    </w:p>
    <w:p w:rsidR="000C7351" w:rsidRPr="00807837" w:rsidRDefault="00346CB7" w:rsidP="00807837">
      <w:pPr>
        <w:spacing w:after="0" w:line="240" w:lineRule="auto"/>
        <w:rPr>
          <w:rFonts w:ascii="Arial" w:eastAsia="Calibri" w:hAnsi="Arial" w:cs="Arial"/>
          <w:sz w:val="20"/>
          <w:szCs w:val="20"/>
        </w:rPr>
      </w:pPr>
      <w:r w:rsidRPr="00807837">
        <w:rPr>
          <w:rFonts w:ascii="Arial" w:eastAsia="Calibri" w:hAnsi="Arial" w:cs="Arial"/>
          <w:sz w:val="20"/>
          <w:szCs w:val="20"/>
        </w:rPr>
        <w:lastRenderedPageBreak/>
        <w:t xml:space="preserve">The </w:t>
      </w:r>
      <w:r w:rsidR="007A629B" w:rsidRPr="00807837">
        <w:rPr>
          <w:rFonts w:ascii="Arial" w:eastAsia="Calibri" w:hAnsi="Arial" w:cs="Arial"/>
          <w:sz w:val="20"/>
          <w:szCs w:val="20"/>
        </w:rPr>
        <w:t xml:space="preserve">Committee noted that the </w:t>
      </w:r>
      <w:r w:rsidR="000C7351" w:rsidRPr="00807837">
        <w:rPr>
          <w:rFonts w:ascii="Arial" w:eastAsia="Calibri" w:hAnsi="Arial" w:cs="Arial"/>
          <w:sz w:val="20"/>
          <w:szCs w:val="20"/>
        </w:rPr>
        <w:t xml:space="preserve">Department received an unqualified opinion with emphasis of matter for the 2021/22 financial year. The Auditor-General indicated that the financial statements present fairly, in all material respects, the financial position of the National Department of Tourism as at 31 March 2022, and its financial performance and cash flows for the year then ended in accordance with the Modified Cash Standard (MCS) and the requirements of the Public Finance Management Act 1 of 1999 (PFMA) and the Division of Revenue Act of South Africa, 2021 (Act No.9 of 2021) (Dora). </w:t>
      </w:r>
      <w:r w:rsidR="007A629B" w:rsidRPr="00807837">
        <w:rPr>
          <w:rFonts w:ascii="Arial" w:eastAsia="Calibri" w:hAnsi="Arial" w:cs="Arial"/>
          <w:sz w:val="20"/>
          <w:szCs w:val="20"/>
        </w:rPr>
        <w:t xml:space="preserve"> However, there was e</w:t>
      </w:r>
      <w:r w:rsidR="000C7351" w:rsidRPr="00807837">
        <w:rPr>
          <w:rFonts w:ascii="Arial" w:eastAsia="Calibri" w:hAnsi="Arial" w:cs="Arial"/>
          <w:sz w:val="20"/>
          <w:szCs w:val="20"/>
        </w:rPr>
        <w:t xml:space="preserve">mphasis of matter </w:t>
      </w:r>
      <w:r w:rsidR="007A629B" w:rsidRPr="00807837">
        <w:rPr>
          <w:rFonts w:ascii="Arial" w:eastAsia="Calibri" w:hAnsi="Arial" w:cs="Arial"/>
          <w:sz w:val="20"/>
          <w:szCs w:val="20"/>
        </w:rPr>
        <w:t xml:space="preserve">as </w:t>
      </w:r>
      <w:r w:rsidR="000C7351" w:rsidRPr="00807837">
        <w:rPr>
          <w:rFonts w:ascii="Arial" w:eastAsia="Calibri" w:hAnsi="Arial" w:cs="Arial"/>
          <w:sz w:val="20"/>
          <w:szCs w:val="20"/>
        </w:rPr>
        <w:t>the Auditor-General drew attention to the matter of “Restatement of corresponding figures”. As disclosed in note 31 to the financial statements, the corresponding figures for 31 March 2021 have been restated as a result of an error in the financial statements of the Department at, and for the year ended, 31 March 2022.</w:t>
      </w:r>
      <w:r w:rsidR="007A629B" w:rsidRPr="00807837">
        <w:rPr>
          <w:rFonts w:ascii="Arial" w:eastAsia="Calibri" w:hAnsi="Arial" w:cs="Arial"/>
          <w:sz w:val="20"/>
          <w:szCs w:val="20"/>
        </w:rPr>
        <w:t xml:space="preserve"> </w:t>
      </w:r>
      <w:r w:rsidR="000C7351" w:rsidRPr="00807837">
        <w:rPr>
          <w:rFonts w:ascii="Arial" w:eastAsia="Calibri" w:hAnsi="Arial" w:cs="Arial"/>
          <w:sz w:val="20"/>
          <w:szCs w:val="20"/>
        </w:rPr>
        <w:t>Notwithstanding the mat</w:t>
      </w:r>
      <w:r w:rsidRPr="00807837">
        <w:rPr>
          <w:rFonts w:ascii="Arial" w:eastAsia="Calibri" w:hAnsi="Arial" w:cs="Arial"/>
          <w:sz w:val="20"/>
          <w:szCs w:val="20"/>
        </w:rPr>
        <w:t>t</w:t>
      </w:r>
      <w:r w:rsidR="000C7351" w:rsidRPr="00807837">
        <w:rPr>
          <w:rFonts w:ascii="Arial" w:eastAsia="Calibri" w:hAnsi="Arial" w:cs="Arial"/>
          <w:sz w:val="20"/>
          <w:szCs w:val="20"/>
        </w:rPr>
        <w:t xml:space="preserve">er of emphasis, the Department shows stability and return to good governance and improvement in financial management as the Department obtained an unqualified audit opinion similar to the 2020/21 and the 2019/20 financial years. </w:t>
      </w:r>
      <w:r w:rsidR="007A629B" w:rsidRPr="00807837">
        <w:rPr>
          <w:rFonts w:ascii="Arial" w:eastAsia="Calibri" w:hAnsi="Arial" w:cs="Arial"/>
          <w:sz w:val="20"/>
          <w:szCs w:val="20"/>
        </w:rPr>
        <w:t>The Committee is, however, concerned with the historical irregular expenditure expressed by the Auditor-General.</w:t>
      </w:r>
    </w:p>
    <w:p w:rsidR="00A37EC8" w:rsidRPr="00807837" w:rsidRDefault="00A37EC8" w:rsidP="00807837">
      <w:pPr>
        <w:spacing w:after="0" w:line="240" w:lineRule="auto"/>
        <w:rPr>
          <w:rFonts w:ascii="Arial" w:eastAsia="Calibri" w:hAnsi="Arial" w:cs="Arial"/>
          <w:sz w:val="20"/>
          <w:szCs w:val="20"/>
        </w:rPr>
      </w:pPr>
    </w:p>
    <w:p w:rsidR="00BA14AF" w:rsidRPr="00807837" w:rsidRDefault="000C7351" w:rsidP="00807837">
      <w:pPr>
        <w:spacing w:after="0" w:line="240" w:lineRule="auto"/>
        <w:rPr>
          <w:rFonts w:ascii="Arial" w:eastAsia="Calibri" w:hAnsi="Arial" w:cs="Arial"/>
          <w:sz w:val="20"/>
          <w:szCs w:val="20"/>
        </w:rPr>
      </w:pPr>
      <w:r w:rsidRPr="00807837">
        <w:rPr>
          <w:rFonts w:ascii="Arial" w:eastAsia="Calibri" w:hAnsi="Arial" w:cs="Arial"/>
          <w:sz w:val="20"/>
          <w:szCs w:val="20"/>
        </w:rPr>
        <w:t xml:space="preserve"> </w:t>
      </w:r>
      <w:r w:rsidR="00CB515B" w:rsidRPr="00807837">
        <w:rPr>
          <w:rFonts w:ascii="Arial" w:eastAsia="Calibri" w:hAnsi="Arial" w:cs="Arial"/>
          <w:sz w:val="20"/>
          <w:szCs w:val="20"/>
        </w:rPr>
        <w:t>8.2.</w:t>
      </w:r>
      <w:r w:rsidR="00F11C76" w:rsidRPr="00807837">
        <w:rPr>
          <w:rFonts w:ascii="Arial" w:eastAsia="Calibri" w:hAnsi="Arial" w:cs="Arial"/>
          <w:sz w:val="20"/>
          <w:szCs w:val="20"/>
        </w:rPr>
        <w:t>3</w:t>
      </w:r>
      <w:r w:rsidR="00CB515B" w:rsidRPr="00807837">
        <w:rPr>
          <w:rFonts w:ascii="Arial" w:eastAsia="Calibri" w:hAnsi="Arial" w:cs="Arial"/>
          <w:sz w:val="20"/>
          <w:szCs w:val="20"/>
        </w:rPr>
        <w:tab/>
      </w:r>
      <w:r w:rsidRPr="00807837">
        <w:rPr>
          <w:rFonts w:ascii="Arial" w:eastAsia="Calibri" w:hAnsi="Arial" w:cs="Arial"/>
          <w:sz w:val="20"/>
          <w:szCs w:val="20"/>
        </w:rPr>
        <w:t xml:space="preserve">Assessment of expenditure against </w:t>
      </w:r>
      <w:r w:rsidR="00BA14AF" w:rsidRPr="00807837">
        <w:rPr>
          <w:rFonts w:ascii="Arial" w:eastAsia="Calibri" w:hAnsi="Arial" w:cs="Arial"/>
          <w:sz w:val="20"/>
          <w:szCs w:val="20"/>
        </w:rPr>
        <w:t>achievement of predetermined objectives</w:t>
      </w:r>
    </w:p>
    <w:p w:rsidR="00BA14AF" w:rsidRPr="00807837" w:rsidRDefault="00BA14AF" w:rsidP="00807837">
      <w:pPr>
        <w:spacing w:after="0" w:line="240" w:lineRule="auto"/>
        <w:rPr>
          <w:rFonts w:ascii="Arial" w:eastAsia="Calibri" w:hAnsi="Arial" w:cs="Arial"/>
          <w:sz w:val="20"/>
          <w:szCs w:val="20"/>
        </w:rPr>
      </w:pPr>
    </w:p>
    <w:p w:rsidR="000C7351" w:rsidRPr="00807837" w:rsidRDefault="00CB515B" w:rsidP="00807837">
      <w:pPr>
        <w:spacing w:after="0" w:line="240" w:lineRule="auto"/>
        <w:rPr>
          <w:rFonts w:ascii="Arial" w:eastAsia="Calibri" w:hAnsi="Arial" w:cs="Arial"/>
          <w:sz w:val="20"/>
          <w:szCs w:val="20"/>
        </w:rPr>
      </w:pPr>
      <w:r w:rsidRPr="00807837">
        <w:rPr>
          <w:rFonts w:ascii="Arial" w:eastAsia="Calibri" w:hAnsi="Arial" w:cs="Arial"/>
          <w:sz w:val="20"/>
          <w:szCs w:val="20"/>
        </w:rPr>
        <w:t>The D</w:t>
      </w:r>
      <w:r w:rsidR="00BA14AF" w:rsidRPr="00807837">
        <w:rPr>
          <w:rFonts w:ascii="Arial" w:eastAsia="Calibri" w:hAnsi="Arial" w:cs="Arial"/>
          <w:sz w:val="20"/>
          <w:szCs w:val="20"/>
        </w:rPr>
        <w:t>epartment continued</w:t>
      </w:r>
      <w:r w:rsidRPr="00807837">
        <w:rPr>
          <w:rFonts w:ascii="Arial" w:eastAsia="Calibri" w:hAnsi="Arial" w:cs="Arial"/>
          <w:sz w:val="20"/>
          <w:szCs w:val="20"/>
        </w:rPr>
        <w:t xml:space="preserve"> with its expenditure pattern </w:t>
      </w:r>
      <w:r w:rsidR="00FF43E5" w:rsidRPr="00807837">
        <w:rPr>
          <w:rFonts w:ascii="Arial" w:eastAsia="Calibri" w:hAnsi="Arial" w:cs="Arial"/>
          <w:sz w:val="20"/>
          <w:szCs w:val="20"/>
        </w:rPr>
        <w:t>similar</w:t>
      </w:r>
      <w:r w:rsidRPr="00807837">
        <w:rPr>
          <w:rFonts w:ascii="Arial" w:eastAsia="Calibri" w:hAnsi="Arial" w:cs="Arial"/>
          <w:sz w:val="20"/>
          <w:szCs w:val="20"/>
        </w:rPr>
        <w:t xml:space="preserve"> to previous years as it </w:t>
      </w:r>
      <w:r w:rsidR="00BA14AF" w:rsidRPr="00807837">
        <w:rPr>
          <w:rFonts w:ascii="Arial" w:eastAsia="Calibri" w:hAnsi="Arial" w:cs="Arial"/>
          <w:sz w:val="20"/>
          <w:szCs w:val="20"/>
        </w:rPr>
        <w:t xml:space="preserve">spent R2 537.8 billion or </w:t>
      </w:r>
      <w:r w:rsidR="00BA14AF" w:rsidRPr="00807837">
        <w:rPr>
          <w:rFonts w:ascii="Arial" w:eastAsia="Calibri" w:hAnsi="Arial" w:cs="Arial"/>
          <w:color w:val="FF0000"/>
          <w:sz w:val="20"/>
          <w:szCs w:val="20"/>
        </w:rPr>
        <w:t>9</w:t>
      </w:r>
      <w:r w:rsidR="005D58F1" w:rsidRPr="00807837">
        <w:rPr>
          <w:rFonts w:ascii="Arial" w:eastAsia="Calibri" w:hAnsi="Arial" w:cs="Arial"/>
          <w:color w:val="FF0000"/>
          <w:sz w:val="20"/>
          <w:szCs w:val="20"/>
        </w:rPr>
        <w:t>9.7</w:t>
      </w:r>
      <w:r w:rsidR="000C7351" w:rsidRPr="00807837">
        <w:rPr>
          <w:rFonts w:ascii="Arial" w:eastAsia="Calibri" w:hAnsi="Arial" w:cs="Arial"/>
          <w:color w:val="FF0000"/>
          <w:sz w:val="20"/>
          <w:szCs w:val="20"/>
        </w:rPr>
        <w:t xml:space="preserve"> </w:t>
      </w:r>
      <w:r w:rsidR="000C7351" w:rsidRPr="00807837">
        <w:rPr>
          <w:rFonts w:ascii="Arial" w:eastAsia="Calibri" w:hAnsi="Arial" w:cs="Arial"/>
          <w:sz w:val="20"/>
          <w:szCs w:val="20"/>
        </w:rPr>
        <w:t xml:space="preserve">per cent of its total appropriated budget of R2 545.3 billion. </w:t>
      </w:r>
      <w:r w:rsidRPr="00807837">
        <w:rPr>
          <w:rFonts w:ascii="Arial" w:eastAsia="Calibri" w:hAnsi="Arial" w:cs="Arial"/>
          <w:sz w:val="20"/>
          <w:szCs w:val="20"/>
        </w:rPr>
        <w:t>At a financial expenditure level, this expenditure is commendable</w:t>
      </w:r>
      <w:r w:rsidR="000C7351" w:rsidRPr="00807837">
        <w:rPr>
          <w:rFonts w:ascii="Arial" w:eastAsia="Calibri" w:hAnsi="Arial" w:cs="Arial"/>
          <w:sz w:val="20"/>
          <w:szCs w:val="20"/>
        </w:rPr>
        <w:t xml:space="preserve"> as the Department was able to spend almost all of its budget for the re</w:t>
      </w:r>
      <w:r w:rsidRPr="00807837">
        <w:rPr>
          <w:rFonts w:ascii="Arial" w:eastAsia="Calibri" w:hAnsi="Arial" w:cs="Arial"/>
          <w:sz w:val="20"/>
          <w:szCs w:val="20"/>
        </w:rPr>
        <w:t xml:space="preserve">porting period. It </w:t>
      </w:r>
      <w:r w:rsidR="000C7351" w:rsidRPr="00807837">
        <w:rPr>
          <w:rFonts w:ascii="Arial" w:eastAsia="Calibri" w:hAnsi="Arial" w:cs="Arial"/>
          <w:sz w:val="20"/>
          <w:szCs w:val="20"/>
        </w:rPr>
        <w:t xml:space="preserve">depicts </w:t>
      </w:r>
      <w:r w:rsidR="00346CB7" w:rsidRPr="00807837">
        <w:rPr>
          <w:rFonts w:ascii="Arial" w:eastAsia="Calibri" w:hAnsi="Arial" w:cs="Arial"/>
          <w:sz w:val="20"/>
          <w:szCs w:val="20"/>
        </w:rPr>
        <w:t xml:space="preserve">a </w:t>
      </w:r>
      <w:r w:rsidR="000C7351" w:rsidRPr="00807837">
        <w:rPr>
          <w:rFonts w:ascii="Arial" w:eastAsia="Calibri" w:hAnsi="Arial" w:cs="Arial"/>
          <w:sz w:val="20"/>
          <w:szCs w:val="20"/>
        </w:rPr>
        <w:t xml:space="preserve">constant expenditure pattern over the years as the Department spent 97.6 percent in 2020/21; 99.7 per cent in 2019/20; 98.9 per cent in the 2018/19; 99.7 per cent in the 2017/18 and 95.5 percent in the 2016/17 financial years. </w:t>
      </w:r>
    </w:p>
    <w:p w:rsidR="00F11C76" w:rsidRPr="00807837" w:rsidRDefault="00F11C76" w:rsidP="00807837">
      <w:pPr>
        <w:spacing w:after="0" w:line="240" w:lineRule="auto"/>
        <w:rPr>
          <w:rFonts w:ascii="Arial" w:eastAsia="Calibri" w:hAnsi="Arial" w:cs="Arial"/>
          <w:sz w:val="20"/>
          <w:szCs w:val="20"/>
        </w:rPr>
      </w:pPr>
    </w:p>
    <w:p w:rsidR="00F11C76" w:rsidRPr="00807837" w:rsidRDefault="00BA14AF" w:rsidP="00807837">
      <w:pPr>
        <w:spacing w:after="0" w:line="240" w:lineRule="auto"/>
        <w:rPr>
          <w:rFonts w:ascii="Arial" w:eastAsia="Calibri" w:hAnsi="Arial" w:cs="Arial"/>
          <w:sz w:val="20"/>
          <w:szCs w:val="20"/>
        </w:rPr>
      </w:pPr>
      <w:r w:rsidRPr="00807837">
        <w:rPr>
          <w:rFonts w:ascii="Arial" w:eastAsia="Calibri" w:hAnsi="Arial" w:cs="Arial"/>
          <w:sz w:val="20"/>
          <w:szCs w:val="20"/>
        </w:rPr>
        <w:t>On the achievement of targets, t</w:t>
      </w:r>
      <w:r w:rsidR="00F11C76" w:rsidRPr="00807837">
        <w:rPr>
          <w:rFonts w:ascii="Arial" w:eastAsia="Calibri" w:hAnsi="Arial" w:cs="Arial"/>
          <w:sz w:val="20"/>
          <w:szCs w:val="20"/>
        </w:rPr>
        <w:t xml:space="preserve">he Department </w:t>
      </w:r>
      <w:r w:rsidR="00FF43E5" w:rsidRPr="00807837">
        <w:rPr>
          <w:rFonts w:ascii="Arial" w:eastAsia="Calibri" w:hAnsi="Arial" w:cs="Arial"/>
          <w:sz w:val="20"/>
          <w:szCs w:val="20"/>
        </w:rPr>
        <w:t>achieved 80</w:t>
      </w:r>
      <w:r w:rsidRPr="00807837">
        <w:rPr>
          <w:rFonts w:ascii="Arial" w:eastAsia="Calibri" w:hAnsi="Arial" w:cs="Arial"/>
          <w:sz w:val="20"/>
          <w:szCs w:val="20"/>
        </w:rPr>
        <w:t xml:space="preserve"> percent, which is 44 of the 55 </w:t>
      </w:r>
      <w:r w:rsidR="00FF43E5" w:rsidRPr="00807837">
        <w:rPr>
          <w:rFonts w:ascii="Arial" w:eastAsia="Calibri" w:hAnsi="Arial" w:cs="Arial"/>
          <w:sz w:val="20"/>
          <w:szCs w:val="20"/>
        </w:rPr>
        <w:t>predetermined</w:t>
      </w:r>
      <w:r w:rsidRPr="00807837">
        <w:rPr>
          <w:rFonts w:ascii="Arial" w:eastAsia="Calibri" w:hAnsi="Arial" w:cs="Arial"/>
          <w:sz w:val="20"/>
          <w:szCs w:val="20"/>
        </w:rPr>
        <w:t xml:space="preserve"> </w:t>
      </w:r>
      <w:r w:rsidR="00FF43E5" w:rsidRPr="00807837">
        <w:rPr>
          <w:rFonts w:ascii="Arial" w:eastAsia="Calibri" w:hAnsi="Arial" w:cs="Arial"/>
          <w:sz w:val="20"/>
          <w:szCs w:val="20"/>
        </w:rPr>
        <w:t>objectives</w:t>
      </w:r>
      <w:r w:rsidRPr="00807837">
        <w:rPr>
          <w:rFonts w:ascii="Arial" w:eastAsia="Calibri" w:hAnsi="Arial" w:cs="Arial"/>
          <w:sz w:val="20"/>
          <w:szCs w:val="20"/>
        </w:rPr>
        <w:t xml:space="preserve"> in the Annual Performance Plan </w:t>
      </w:r>
      <w:r w:rsidR="00F11C76" w:rsidRPr="00807837">
        <w:rPr>
          <w:rFonts w:ascii="Arial" w:eastAsia="Calibri" w:hAnsi="Arial" w:cs="Arial"/>
          <w:sz w:val="20"/>
          <w:szCs w:val="20"/>
        </w:rPr>
        <w:t>for the 2021/22 financial year. In the previous financial year, the Department achieved 56 of the 64 annual targets, accounting for 87.50 per cent</w:t>
      </w:r>
      <w:r w:rsidR="00346CB7" w:rsidRPr="00807837">
        <w:rPr>
          <w:rFonts w:ascii="Arial" w:eastAsia="Calibri" w:hAnsi="Arial" w:cs="Arial"/>
          <w:sz w:val="20"/>
          <w:szCs w:val="20"/>
        </w:rPr>
        <w:t xml:space="preserve"> performance</w:t>
      </w:r>
      <w:r w:rsidR="00F11C76" w:rsidRPr="00807837">
        <w:rPr>
          <w:rFonts w:ascii="Arial" w:eastAsia="Calibri" w:hAnsi="Arial" w:cs="Arial"/>
          <w:sz w:val="20"/>
          <w:szCs w:val="20"/>
        </w:rPr>
        <w:t>. This indicates that in the current reporting period, the Department had a slight underperformance compared to the previous financial year.</w:t>
      </w:r>
      <w:r w:rsidRPr="00807837">
        <w:rPr>
          <w:rFonts w:ascii="Arial" w:eastAsia="Calibri" w:hAnsi="Arial" w:cs="Arial"/>
          <w:sz w:val="20"/>
          <w:szCs w:val="20"/>
        </w:rPr>
        <w:t xml:space="preserve"> The Committee is concerned that the 11 targets not achieved are mainly those geared toward uplifting small businesses in the tourism industry, transformation of women and youth as well as the indirect creation of jobs. This means the performance of the Department in the period under review did not achieve the MTSF targets </w:t>
      </w:r>
      <w:r w:rsidR="00FF43E5" w:rsidRPr="00807837">
        <w:rPr>
          <w:rFonts w:ascii="Arial" w:eastAsia="Calibri" w:hAnsi="Arial" w:cs="Arial"/>
          <w:sz w:val="20"/>
          <w:szCs w:val="20"/>
        </w:rPr>
        <w:t>pursued</w:t>
      </w:r>
      <w:r w:rsidRPr="00807837">
        <w:rPr>
          <w:rFonts w:ascii="Arial" w:eastAsia="Calibri" w:hAnsi="Arial" w:cs="Arial"/>
          <w:sz w:val="20"/>
          <w:szCs w:val="20"/>
        </w:rPr>
        <w:t xml:space="preserve"> by the Department.</w:t>
      </w:r>
    </w:p>
    <w:p w:rsidR="00F11C76" w:rsidRPr="00807837" w:rsidRDefault="00F11C76" w:rsidP="00807837">
      <w:pPr>
        <w:spacing w:after="0" w:line="240" w:lineRule="auto"/>
        <w:rPr>
          <w:rFonts w:ascii="Arial" w:eastAsia="Calibri" w:hAnsi="Arial" w:cs="Arial"/>
          <w:sz w:val="20"/>
          <w:szCs w:val="20"/>
        </w:rPr>
      </w:pPr>
    </w:p>
    <w:p w:rsidR="00CB515B" w:rsidRPr="00807837" w:rsidRDefault="000C7351" w:rsidP="00807837">
      <w:pPr>
        <w:pStyle w:val="ListParagraph"/>
        <w:numPr>
          <w:ilvl w:val="2"/>
          <w:numId w:val="21"/>
        </w:numPr>
        <w:spacing w:after="0" w:line="240" w:lineRule="auto"/>
        <w:rPr>
          <w:rFonts w:ascii="Arial" w:eastAsia="Calibri" w:hAnsi="Arial" w:cs="Arial"/>
          <w:sz w:val="20"/>
          <w:szCs w:val="20"/>
        </w:rPr>
      </w:pPr>
      <w:r w:rsidRPr="00807837">
        <w:rPr>
          <w:rFonts w:ascii="Arial" w:eastAsia="Calibri" w:hAnsi="Arial" w:cs="Arial"/>
          <w:sz w:val="20"/>
          <w:szCs w:val="20"/>
        </w:rPr>
        <w:t>Irregular expenditure</w:t>
      </w:r>
    </w:p>
    <w:p w:rsidR="00CB515B" w:rsidRPr="00807837" w:rsidRDefault="00CB515B" w:rsidP="00807837">
      <w:pPr>
        <w:pStyle w:val="ListParagraph"/>
        <w:spacing w:after="0" w:line="240" w:lineRule="auto"/>
        <w:rPr>
          <w:rFonts w:ascii="Arial" w:eastAsia="Calibri" w:hAnsi="Arial" w:cs="Arial"/>
          <w:sz w:val="20"/>
          <w:szCs w:val="20"/>
        </w:rPr>
      </w:pPr>
    </w:p>
    <w:p w:rsidR="000C7351" w:rsidRPr="00807837" w:rsidRDefault="00CB515B" w:rsidP="00807837">
      <w:pPr>
        <w:spacing w:after="0" w:line="240" w:lineRule="auto"/>
        <w:rPr>
          <w:rFonts w:ascii="Arial" w:eastAsia="Calibri" w:hAnsi="Arial" w:cs="Arial"/>
          <w:sz w:val="20"/>
          <w:szCs w:val="20"/>
        </w:rPr>
      </w:pPr>
      <w:r w:rsidRPr="00807837">
        <w:rPr>
          <w:rFonts w:ascii="Arial" w:eastAsia="Calibri" w:hAnsi="Arial" w:cs="Arial"/>
          <w:sz w:val="20"/>
          <w:szCs w:val="20"/>
        </w:rPr>
        <w:t>T</w:t>
      </w:r>
      <w:r w:rsidR="000C7351" w:rsidRPr="00807837">
        <w:rPr>
          <w:rFonts w:ascii="Arial" w:eastAsia="Calibri" w:hAnsi="Arial" w:cs="Arial"/>
          <w:sz w:val="20"/>
          <w:szCs w:val="20"/>
        </w:rPr>
        <w:t>he Department incurred R1</w:t>
      </w:r>
      <w:r w:rsidRPr="00807837">
        <w:rPr>
          <w:rFonts w:ascii="Arial" w:eastAsia="Calibri" w:hAnsi="Arial" w:cs="Arial"/>
          <w:sz w:val="20"/>
          <w:szCs w:val="20"/>
        </w:rPr>
        <w:t>.</w:t>
      </w:r>
      <w:r w:rsidR="000C7351" w:rsidRPr="00807837">
        <w:rPr>
          <w:rFonts w:ascii="Arial" w:eastAsia="Calibri" w:hAnsi="Arial" w:cs="Arial"/>
          <w:sz w:val="20"/>
          <w:szCs w:val="20"/>
        </w:rPr>
        <w:t>8 million irregular expenditure in the 2021/22 financial year. This amount comprises R1</w:t>
      </w:r>
      <w:r w:rsidRPr="00807837">
        <w:rPr>
          <w:rFonts w:ascii="Arial" w:eastAsia="Calibri" w:hAnsi="Arial" w:cs="Arial"/>
          <w:sz w:val="20"/>
          <w:szCs w:val="20"/>
        </w:rPr>
        <w:t>.7</w:t>
      </w:r>
      <w:r w:rsidR="000C7351" w:rsidRPr="00807837">
        <w:rPr>
          <w:rFonts w:ascii="Arial" w:eastAsia="Calibri" w:hAnsi="Arial" w:cs="Arial"/>
          <w:sz w:val="20"/>
          <w:szCs w:val="20"/>
        </w:rPr>
        <w:t xml:space="preserve"> million from non-compliance with SCM Procedures - irregular award of tenders - tender not awarded to the tenderer who scored the highest points; and R150 000.00 from non-compliance with SCM Procedures - Irregular award of tender - three quotes not obtained. This is a marked improvement as the Department incurred R34 932 million irregular expenditure in the previous financial year. The Committee should insist on consequence management for staff who do not comply with SCM procedures should they be found to have deliberately contravened the policies.</w:t>
      </w:r>
    </w:p>
    <w:p w:rsidR="00903C18" w:rsidRPr="00807837" w:rsidRDefault="00903C18" w:rsidP="00807837">
      <w:pPr>
        <w:spacing w:after="0" w:line="240" w:lineRule="auto"/>
        <w:rPr>
          <w:rFonts w:ascii="Arial" w:eastAsia="Calibri" w:hAnsi="Arial" w:cs="Arial"/>
          <w:sz w:val="20"/>
          <w:szCs w:val="20"/>
        </w:rPr>
      </w:pPr>
    </w:p>
    <w:p w:rsidR="00CB515B" w:rsidRPr="00807837" w:rsidRDefault="000C7351" w:rsidP="00807837">
      <w:pPr>
        <w:pStyle w:val="ListParagraph"/>
        <w:numPr>
          <w:ilvl w:val="2"/>
          <w:numId w:val="21"/>
        </w:numPr>
        <w:spacing w:after="0" w:line="240" w:lineRule="auto"/>
        <w:rPr>
          <w:rFonts w:ascii="Arial" w:eastAsia="Calibri" w:hAnsi="Arial" w:cs="Arial"/>
          <w:sz w:val="20"/>
          <w:szCs w:val="20"/>
        </w:rPr>
      </w:pPr>
      <w:r w:rsidRPr="00807837">
        <w:rPr>
          <w:rFonts w:ascii="Arial" w:eastAsia="Calibri" w:hAnsi="Arial" w:cs="Arial"/>
          <w:sz w:val="20"/>
          <w:szCs w:val="20"/>
        </w:rPr>
        <w:t>Fruitless and wasteful expenditure</w:t>
      </w:r>
    </w:p>
    <w:p w:rsidR="00CB515B" w:rsidRPr="00807837" w:rsidRDefault="00CB515B" w:rsidP="00807837">
      <w:pPr>
        <w:spacing w:after="0" w:line="240" w:lineRule="auto"/>
        <w:rPr>
          <w:rFonts w:ascii="Arial" w:eastAsia="Calibri" w:hAnsi="Arial" w:cs="Arial"/>
          <w:sz w:val="20"/>
          <w:szCs w:val="20"/>
        </w:rPr>
      </w:pPr>
    </w:p>
    <w:p w:rsidR="00CB515B" w:rsidRPr="00807837" w:rsidRDefault="00CB515B" w:rsidP="00807837">
      <w:pPr>
        <w:spacing w:after="0" w:line="240" w:lineRule="auto"/>
        <w:rPr>
          <w:rFonts w:ascii="Arial" w:eastAsia="Calibri" w:hAnsi="Arial" w:cs="Arial"/>
          <w:sz w:val="20"/>
          <w:szCs w:val="20"/>
        </w:rPr>
      </w:pPr>
      <w:r w:rsidRPr="00807837">
        <w:rPr>
          <w:rFonts w:ascii="Arial" w:eastAsia="Calibri" w:hAnsi="Arial" w:cs="Arial"/>
          <w:sz w:val="20"/>
          <w:szCs w:val="20"/>
        </w:rPr>
        <w:t>The actual fruitless and wasteful expenditure for the 2021/22 financial year is only R21 million. This comprises R125 million from flight amendments and no show</w:t>
      </w:r>
      <w:r w:rsidR="00346CB7" w:rsidRPr="00807837">
        <w:rPr>
          <w:rFonts w:ascii="Arial" w:eastAsia="Calibri" w:hAnsi="Arial" w:cs="Arial"/>
          <w:sz w:val="20"/>
          <w:szCs w:val="20"/>
        </w:rPr>
        <w:t>s</w:t>
      </w:r>
      <w:r w:rsidRPr="00807837">
        <w:rPr>
          <w:rFonts w:ascii="Arial" w:eastAsia="Calibri" w:hAnsi="Arial" w:cs="Arial"/>
          <w:sz w:val="20"/>
          <w:szCs w:val="20"/>
        </w:rPr>
        <w:t xml:space="preserve"> for shuttle</w:t>
      </w:r>
      <w:r w:rsidR="00346CB7" w:rsidRPr="00807837">
        <w:rPr>
          <w:rFonts w:ascii="Arial" w:eastAsia="Calibri" w:hAnsi="Arial" w:cs="Arial"/>
          <w:sz w:val="20"/>
          <w:szCs w:val="20"/>
        </w:rPr>
        <w:t>s</w:t>
      </w:r>
      <w:r w:rsidRPr="00807837">
        <w:rPr>
          <w:rFonts w:ascii="Arial" w:eastAsia="Calibri" w:hAnsi="Arial" w:cs="Arial"/>
          <w:sz w:val="20"/>
          <w:szCs w:val="20"/>
        </w:rPr>
        <w:t xml:space="preserve"> and accommodation with regards to travel bookings. Of this, R104 million was written off by the Department for late cancellation/no-show/flight amendments with regard to travel bookings.</w:t>
      </w:r>
    </w:p>
    <w:p w:rsidR="000C7351" w:rsidRPr="00807837" w:rsidRDefault="00CB515B" w:rsidP="00807837">
      <w:pPr>
        <w:spacing w:after="0" w:line="240" w:lineRule="auto"/>
        <w:rPr>
          <w:rFonts w:ascii="Arial" w:eastAsia="Calibri" w:hAnsi="Arial" w:cs="Arial"/>
          <w:sz w:val="20"/>
          <w:szCs w:val="20"/>
        </w:rPr>
      </w:pPr>
      <w:r w:rsidRPr="00807837">
        <w:rPr>
          <w:rFonts w:ascii="Arial" w:eastAsia="Calibri" w:hAnsi="Arial" w:cs="Arial"/>
          <w:sz w:val="20"/>
          <w:szCs w:val="20"/>
        </w:rPr>
        <w:t>The non-compliance with financial statements led to the restatement of R194.8</w:t>
      </w:r>
      <w:r w:rsidR="000C7351" w:rsidRPr="00807837">
        <w:rPr>
          <w:rFonts w:ascii="Arial" w:eastAsia="Calibri" w:hAnsi="Arial" w:cs="Arial"/>
          <w:sz w:val="20"/>
          <w:szCs w:val="20"/>
        </w:rPr>
        <w:t xml:space="preserve"> million fruitless and irregular expenditure in the 2021/22 financial year (restated from the 2020/21 financial year). This emanated from flight amendments and no show</w:t>
      </w:r>
      <w:r w:rsidR="00732BFC" w:rsidRPr="00807837">
        <w:rPr>
          <w:rFonts w:ascii="Arial" w:eastAsia="Calibri" w:hAnsi="Arial" w:cs="Arial"/>
          <w:sz w:val="20"/>
          <w:szCs w:val="20"/>
        </w:rPr>
        <w:t>s</w:t>
      </w:r>
      <w:r w:rsidR="000C7351" w:rsidRPr="00807837">
        <w:rPr>
          <w:rFonts w:ascii="Arial" w:eastAsia="Calibri" w:hAnsi="Arial" w:cs="Arial"/>
          <w:sz w:val="20"/>
          <w:szCs w:val="20"/>
        </w:rPr>
        <w:t xml:space="preserve"> for shuttle</w:t>
      </w:r>
      <w:r w:rsidR="00732BFC" w:rsidRPr="00807837">
        <w:rPr>
          <w:rFonts w:ascii="Arial" w:eastAsia="Calibri" w:hAnsi="Arial" w:cs="Arial"/>
          <w:sz w:val="20"/>
          <w:szCs w:val="20"/>
        </w:rPr>
        <w:t>s</w:t>
      </w:r>
      <w:r w:rsidR="000C7351" w:rsidRPr="00807837">
        <w:rPr>
          <w:rFonts w:ascii="Arial" w:eastAsia="Calibri" w:hAnsi="Arial" w:cs="Arial"/>
          <w:sz w:val="20"/>
          <w:szCs w:val="20"/>
        </w:rPr>
        <w:t xml:space="preserve"> and accommodation with regards to travel bookings. The Department should be commended from having conducted an investigation and recovered the said fruitless and expenditure amount.</w:t>
      </w:r>
    </w:p>
    <w:p w:rsidR="000C7351" w:rsidRPr="00807837" w:rsidRDefault="000C7351" w:rsidP="00807837">
      <w:pPr>
        <w:spacing w:after="0" w:line="240" w:lineRule="auto"/>
        <w:rPr>
          <w:rFonts w:ascii="Arial" w:eastAsia="Calibri" w:hAnsi="Arial" w:cs="Arial"/>
          <w:sz w:val="20"/>
          <w:szCs w:val="20"/>
        </w:rPr>
      </w:pPr>
    </w:p>
    <w:p w:rsidR="00F11C76" w:rsidRPr="00807837" w:rsidRDefault="000C7351" w:rsidP="00807837">
      <w:pPr>
        <w:pStyle w:val="ListParagraph"/>
        <w:numPr>
          <w:ilvl w:val="2"/>
          <w:numId w:val="21"/>
        </w:numPr>
        <w:spacing w:after="0" w:line="240" w:lineRule="auto"/>
        <w:rPr>
          <w:rFonts w:ascii="Arial" w:eastAsia="Calibri" w:hAnsi="Arial" w:cs="Arial"/>
          <w:sz w:val="20"/>
          <w:szCs w:val="20"/>
        </w:rPr>
      </w:pPr>
      <w:r w:rsidRPr="00807837">
        <w:rPr>
          <w:rFonts w:ascii="Arial" w:eastAsia="Calibri" w:hAnsi="Arial" w:cs="Arial"/>
          <w:sz w:val="20"/>
          <w:szCs w:val="20"/>
        </w:rPr>
        <w:t>Unauthorised expenditure</w:t>
      </w:r>
    </w:p>
    <w:p w:rsidR="00F11C76" w:rsidRPr="00807837" w:rsidRDefault="00F11C76" w:rsidP="00807837">
      <w:pPr>
        <w:spacing w:after="0" w:line="240" w:lineRule="auto"/>
        <w:rPr>
          <w:rFonts w:ascii="Arial" w:eastAsia="Calibri" w:hAnsi="Arial" w:cs="Arial"/>
          <w:sz w:val="20"/>
          <w:szCs w:val="20"/>
        </w:rPr>
      </w:pPr>
    </w:p>
    <w:p w:rsidR="000C7351" w:rsidRPr="00807837" w:rsidRDefault="00F11C76" w:rsidP="00807837">
      <w:pPr>
        <w:spacing w:after="0" w:line="240" w:lineRule="auto"/>
        <w:rPr>
          <w:rFonts w:ascii="Arial" w:eastAsia="Calibri" w:hAnsi="Arial" w:cs="Arial"/>
          <w:sz w:val="20"/>
          <w:szCs w:val="20"/>
        </w:rPr>
      </w:pPr>
      <w:r w:rsidRPr="00807837">
        <w:rPr>
          <w:rFonts w:ascii="Arial" w:eastAsia="Calibri" w:hAnsi="Arial" w:cs="Arial"/>
          <w:sz w:val="20"/>
          <w:szCs w:val="20"/>
        </w:rPr>
        <w:lastRenderedPageBreak/>
        <w:t>T</w:t>
      </w:r>
      <w:r w:rsidR="000C7351" w:rsidRPr="00807837">
        <w:rPr>
          <w:rFonts w:ascii="Arial" w:eastAsia="Calibri" w:hAnsi="Arial" w:cs="Arial"/>
          <w:sz w:val="20"/>
          <w:szCs w:val="20"/>
        </w:rPr>
        <w:t>he Department did not incur any unauthorised expenditure in the 2021/22 financial year. This should be commended as the Department did not incur unauthorised expenditure in the previous reporting period as well.</w:t>
      </w:r>
      <w:r w:rsidRPr="00807837">
        <w:rPr>
          <w:rFonts w:ascii="Arial" w:eastAsia="Calibri" w:hAnsi="Arial" w:cs="Arial"/>
          <w:sz w:val="20"/>
          <w:szCs w:val="20"/>
        </w:rPr>
        <w:t xml:space="preserve"> This is commendable and the Department is urged to continue </w:t>
      </w:r>
      <w:r w:rsidR="00FF43E5" w:rsidRPr="00807837">
        <w:rPr>
          <w:rFonts w:ascii="Arial" w:eastAsia="Calibri" w:hAnsi="Arial" w:cs="Arial"/>
          <w:sz w:val="20"/>
          <w:szCs w:val="20"/>
        </w:rPr>
        <w:t>strengthening</w:t>
      </w:r>
      <w:r w:rsidRPr="00807837">
        <w:rPr>
          <w:rFonts w:ascii="Arial" w:eastAsia="Calibri" w:hAnsi="Arial" w:cs="Arial"/>
          <w:sz w:val="20"/>
          <w:szCs w:val="20"/>
        </w:rPr>
        <w:t xml:space="preserve"> its internal controls to avoid unauthorised expenditure.</w:t>
      </w:r>
    </w:p>
    <w:p w:rsidR="000C7351" w:rsidRPr="00807837" w:rsidRDefault="000C7351" w:rsidP="00807837">
      <w:pPr>
        <w:spacing w:after="0" w:line="240" w:lineRule="auto"/>
        <w:rPr>
          <w:rFonts w:ascii="Arial" w:eastAsia="Calibri" w:hAnsi="Arial" w:cs="Arial"/>
          <w:sz w:val="20"/>
          <w:szCs w:val="20"/>
        </w:rPr>
      </w:pPr>
    </w:p>
    <w:p w:rsidR="00A37EC8" w:rsidRPr="00807837" w:rsidRDefault="000C7351" w:rsidP="00807837">
      <w:pPr>
        <w:pStyle w:val="ListParagraph"/>
        <w:numPr>
          <w:ilvl w:val="2"/>
          <w:numId w:val="21"/>
        </w:numPr>
        <w:spacing w:after="0" w:line="240" w:lineRule="auto"/>
        <w:rPr>
          <w:rFonts w:ascii="Arial" w:eastAsia="Calibri" w:hAnsi="Arial" w:cs="Arial"/>
          <w:sz w:val="20"/>
          <w:szCs w:val="20"/>
        </w:rPr>
      </w:pPr>
      <w:r w:rsidRPr="00807837">
        <w:rPr>
          <w:rFonts w:ascii="Arial" w:eastAsia="Calibri" w:hAnsi="Arial" w:cs="Arial"/>
          <w:sz w:val="20"/>
          <w:szCs w:val="20"/>
        </w:rPr>
        <w:t>Underspending</w:t>
      </w:r>
    </w:p>
    <w:p w:rsidR="00A37EC8" w:rsidRPr="00807837" w:rsidRDefault="00A37EC8" w:rsidP="00807837">
      <w:pPr>
        <w:spacing w:after="0" w:line="240" w:lineRule="auto"/>
        <w:rPr>
          <w:rFonts w:ascii="Arial" w:eastAsia="Calibri" w:hAnsi="Arial" w:cs="Arial"/>
          <w:sz w:val="20"/>
          <w:szCs w:val="20"/>
        </w:rPr>
      </w:pPr>
    </w:p>
    <w:p w:rsidR="00F11C76" w:rsidRPr="00807837" w:rsidRDefault="00F11C76" w:rsidP="00807837">
      <w:pPr>
        <w:spacing w:after="0" w:line="240" w:lineRule="auto"/>
        <w:rPr>
          <w:rFonts w:ascii="Arial" w:eastAsia="Calibri" w:hAnsi="Arial" w:cs="Arial"/>
          <w:sz w:val="20"/>
          <w:szCs w:val="20"/>
        </w:rPr>
      </w:pPr>
      <w:r w:rsidRPr="00807837">
        <w:rPr>
          <w:rFonts w:ascii="Arial" w:eastAsia="Calibri" w:hAnsi="Arial" w:cs="Arial"/>
          <w:sz w:val="20"/>
          <w:szCs w:val="20"/>
        </w:rPr>
        <w:t>The Department incurred underspending of R4 015 million i</w:t>
      </w:r>
      <w:r w:rsidR="000C7351" w:rsidRPr="00807837">
        <w:rPr>
          <w:rFonts w:ascii="Arial" w:eastAsia="Calibri" w:hAnsi="Arial" w:cs="Arial"/>
          <w:sz w:val="20"/>
          <w:szCs w:val="20"/>
        </w:rPr>
        <w:t>n Programme 2: Tourism Research, Pol</w:t>
      </w:r>
      <w:r w:rsidRPr="00807837">
        <w:rPr>
          <w:rFonts w:ascii="Arial" w:eastAsia="Calibri" w:hAnsi="Arial" w:cs="Arial"/>
          <w:sz w:val="20"/>
          <w:szCs w:val="20"/>
        </w:rPr>
        <w:t xml:space="preserve">icy and International </w:t>
      </w:r>
      <w:r w:rsidR="00FF43E5" w:rsidRPr="00807837">
        <w:rPr>
          <w:rFonts w:ascii="Arial" w:eastAsia="Calibri" w:hAnsi="Arial" w:cs="Arial"/>
          <w:sz w:val="20"/>
          <w:szCs w:val="20"/>
        </w:rPr>
        <w:t>Relations; R</w:t>
      </w:r>
      <w:r w:rsidRPr="00807837">
        <w:rPr>
          <w:rFonts w:ascii="Arial" w:eastAsia="Calibri" w:hAnsi="Arial" w:cs="Arial"/>
          <w:sz w:val="20"/>
          <w:szCs w:val="20"/>
        </w:rPr>
        <w:t>3 338 million in Programme 3: Destination Development and R209 000.00 in Programme 4: Tourism Sector Support Services</w:t>
      </w:r>
    </w:p>
    <w:p w:rsidR="00F11C76" w:rsidRPr="00807837" w:rsidRDefault="00F11C76" w:rsidP="00807837">
      <w:pPr>
        <w:spacing w:after="0" w:line="240" w:lineRule="auto"/>
        <w:rPr>
          <w:rFonts w:ascii="Arial" w:eastAsia="Calibri" w:hAnsi="Arial" w:cs="Arial"/>
          <w:sz w:val="20"/>
          <w:szCs w:val="20"/>
        </w:rPr>
      </w:pPr>
    </w:p>
    <w:p w:rsidR="00F11C76" w:rsidRPr="00807837" w:rsidRDefault="00F11C76" w:rsidP="00807837">
      <w:pPr>
        <w:spacing w:after="0" w:line="240" w:lineRule="auto"/>
        <w:rPr>
          <w:rFonts w:ascii="Arial" w:eastAsia="Calibri" w:hAnsi="Arial" w:cs="Arial"/>
          <w:sz w:val="20"/>
          <w:szCs w:val="20"/>
        </w:rPr>
      </w:pPr>
      <w:r w:rsidRPr="00807837">
        <w:rPr>
          <w:rFonts w:ascii="Arial" w:eastAsia="Calibri" w:hAnsi="Arial" w:cs="Arial"/>
          <w:sz w:val="20"/>
          <w:szCs w:val="20"/>
        </w:rPr>
        <w:t>8.2.8</w:t>
      </w:r>
      <w:r w:rsidRPr="00807837">
        <w:rPr>
          <w:rFonts w:ascii="Arial" w:eastAsia="Calibri" w:hAnsi="Arial" w:cs="Arial"/>
          <w:sz w:val="20"/>
          <w:szCs w:val="20"/>
        </w:rPr>
        <w:tab/>
      </w:r>
      <w:r w:rsidR="000C7351" w:rsidRPr="00807837">
        <w:rPr>
          <w:rFonts w:ascii="Arial" w:eastAsia="Calibri" w:hAnsi="Arial" w:cs="Arial"/>
          <w:sz w:val="20"/>
          <w:szCs w:val="20"/>
        </w:rPr>
        <w:t>Virements</w:t>
      </w:r>
    </w:p>
    <w:p w:rsidR="00F11C76" w:rsidRPr="00807837" w:rsidRDefault="00F11C76" w:rsidP="00807837">
      <w:pPr>
        <w:spacing w:after="0" w:line="240" w:lineRule="auto"/>
        <w:rPr>
          <w:rFonts w:ascii="Arial" w:eastAsia="Calibri" w:hAnsi="Arial" w:cs="Arial"/>
          <w:sz w:val="20"/>
          <w:szCs w:val="20"/>
        </w:rPr>
      </w:pPr>
    </w:p>
    <w:p w:rsidR="000C7351" w:rsidRPr="00807837" w:rsidRDefault="000C7351" w:rsidP="00807837">
      <w:pPr>
        <w:spacing w:after="0" w:line="240" w:lineRule="auto"/>
        <w:rPr>
          <w:rFonts w:ascii="Arial" w:eastAsia="Calibri" w:hAnsi="Arial" w:cs="Arial"/>
          <w:sz w:val="20"/>
          <w:szCs w:val="20"/>
        </w:rPr>
      </w:pPr>
      <w:r w:rsidRPr="00807837">
        <w:rPr>
          <w:rFonts w:ascii="Arial" w:eastAsia="Calibri" w:hAnsi="Arial" w:cs="Arial"/>
          <w:sz w:val="20"/>
          <w:szCs w:val="20"/>
        </w:rPr>
        <w:t>The Department shifted an amount of R52 million from Transfers and Subsidies: Public Corporations and Private Enterprise in Programme 4: Tourism Sector Support Services to Goods and Services in Programme 3: Destination Development.</w:t>
      </w:r>
    </w:p>
    <w:p w:rsidR="00732BFC" w:rsidRPr="00807837" w:rsidRDefault="00732BFC" w:rsidP="00807837">
      <w:pPr>
        <w:spacing w:after="0" w:line="240" w:lineRule="auto"/>
        <w:rPr>
          <w:rFonts w:ascii="Arial" w:eastAsia="Calibri" w:hAnsi="Arial" w:cs="Arial"/>
          <w:sz w:val="20"/>
          <w:szCs w:val="20"/>
        </w:rPr>
      </w:pPr>
    </w:p>
    <w:p w:rsidR="00F11C76" w:rsidRPr="00807837" w:rsidRDefault="00F11C76" w:rsidP="00807837">
      <w:pPr>
        <w:spacing w:after="0" w:line="240" w:lineRule="auto"/>
        <w:rPr>
          <w:rFonts w:ascii="Arial" w:eastAsia="Calibri" w:hAnsi="Arial" w:cs="Arial"/>
          <w:sz w:val="20"/>
          <w:szCs w:val="20"/>
        </w:rPr>
      </w:pPr>
      <w:r w:rsidRPr="00807837">
        <w:rPr>
          <w:rFonts w:ascii="Arial" w:eastAsia="Calibri" w:hAnsi="Arial" w:cs="Arial"/>
          <w:sz w:val="20"/>
          <w:szCs w:val="20"/>
        </w:rPr>
        <w:t>8.2.9</w:t>
      </w:r>
      <w:r w:rsidRPr="00807837">
        <w:rPr>
          <w:rFonts w:ascii="Arial" w:eastAsia="Calibri" w:hAnsi="Arial" w:cs="Arial"/>
          <w:sz w:val="20"/>
          <w:szCs w:val="20"/>
        </w:rPr>
        <w:tab/>
      </w:r>
      <w:r w:rsidR="000C7351" w:rsidRPr="00807837">
        <w:rPr>
          <w:rFonts w:ascii="Arial" w:eastAsia="Calibri" w:hAnsi="Arial" w:cs="Arial"/>
          <w:sz w:val="20"/>
          <w:szCs w:val="20"/>
        </w:rPr>
        <w:t xml:space="preserve">Voted funds surrendered to the Revenue Fund </w:t>
      </w:r>
    </w:p>
    <w:p w:rsidR="00F11C76" w:rsidRPr="00807837" w:rsidRDefault="00F11C76" w:rsidP="00807837">
      <w:pPr>
        <w:spacing w:after="0" w:line="240" w:lineRule="auto"/>
        <w:rPr>
          <w:rFonts w:ascii="Arial" w:eastAsia="Calibri" w:hAnsi="Arial" w:cs="Arial"/>
          <w:sz w:val="20"/>
          <w:szCs w:val="20"/>
        </w:rPr>
      </w:pPr>
    </w:p>
    <w:p w:rsidR="000C7351" w:rsidRPr="00807837" w:rsidRDefault="00F11C76" w:rsidP="00807837">
      <w:pPr>
        <w:spacing w:after="0" w:line="240" w:lineRule="auto"/>
        <w:rPr>
          <w:rFonts w:ascii="Arial" w:eastAsia="Calibri" w:hAnsi="Arial" w:cs="Arial"/>
          <w:sz w:val="20"/>
          <w:szCs w:val="20"/>
        </w:rPr>
      </w:pPr>
      <w:r w:rsidRPr="00807837">
        <w:rPr>
          <w:rFonts w:ascii="Arial" w:eastAsia="Calibri" w:hAnsi="Arial" w:cs="Arial"/>
          <w:sz w:val="20"/>
          <w:szCs w:val="20"/>
        </w:rPr>
        <w:t>T</w:t>
      </w:r>
      <w:r w:rsidR="000C7351" w:rsidRPr="00807837">
        <w:rPr>
          <w:rFonts w:ascii="Arial" w:eastAsia="Calibri" w:hAnsi="Arial" w:cs="Arial"/>
          <w:sz w:val="20"/>
          <w:szCs w:val="20"/>
        </w:rPr>
        <w:t>he Department surrendered R7 562 million back to National Treasury in 2021/22 compared to R34 611milion in the 2020/21 financial year. The surrender of funds to the Revenue Fund by the Department, no matter how small, remains a concern as the portfolio is not appropriated enough funds to fulfil its mandate.</w:t>
      </w:r>
    </w:p>
    <w:p w:rsidR="00903C18" w:rsidRPr="00807837" w:rsidRDefault="00903C18" w:rsidP="00807837">
      <w:pPr>
        <w:spacing w:after="0" w:line="240" w:lineRule="auto"/>
        <w:rPr>
          <w:rFonts w:ascii="Arial" w:eastAsia="Calibri" w:hAnsi="Arial" w:cs="Arial"/>
          <w:sz w:val="20"/>
          <w:szCs w:val="20"/>
        </w:rPr>
      </w:pPr>
    </w:p>
    <w:p w:rsidR="00F11C76" w:rsidRPr="00807837" w:rsidRDefault="00F11C76" w:rsidP="00807837">
      <w:pPr>
        <w:spacing w:after="0" w:line="240" w:lineRule="auto"/>
        <w:rPr>
          <w:rFonts w:ascii="Arial" w:eastAsia="Calibri" w:hAnsi="Arial" w:cs="Arial"/>
          <w:sz w:val="20"/>
          <w:szCs w:val="20"/>
        </w:rPr>
      </w:pPr>
      <w:r w:rsidRPr="00807837">
        <w:rPr>
          <w:rFonts w:ascii="Arial" w:eastAsia="Calibri" w:hAnsi="Arial" w:cs="Arial"/>
          <w:sz w:val="20"/>
          <w:szCs w:val="20"/>
        </w:rPr>
        <w:t>8.2.10</w:t>
      </w:r>
      <w:r w:rsidRPr="00807837">
        <w:rPr>
          <w:rFonts w:ascii="Arial" w:eastAsia="Calibri" w:hAnsi="Arial" w:cs="Arial"/>
          <w:sz w:val="20"/>
          <w:szCs w:val="20"/>
        </w:rPr>
        <w:tab/>
      </w:r>
      <w:r w:rsidR="000C7351" w:rsidRPr="00807837">
        <w:rPr>
          <w:rFonts w:ascii="Arial" w:eastAsia="Calibri" w:hAnsi="Arial" w:cs="Arial"/>
          <w:sz w:val="20"/>
          <w:szCs w:val="20"/>
        </w:rPr>
        <w:t>Leave entitlement</w:t>
      </w:r>
    </w:p>
    <w:p w:rsidR="00F11C76" w:rsidRPr="00807837" w:rsidRDefault="00F11C76" w:rsidP="00807837">
      <w:pPr>
        <w:spacing w:after="0" w:line="240" w:lineRule="auto"/>
        <w:rPr>
          <w:rFonts w:ascii="Arial" w:eastAsia="Calibri" w:hAnsi="Arial" w:cs="Arial"/>
          <w:sz w:val="20"/>
          <w:szCs w:val="20"/>
        </w:rPr>
      </w:pPr>
    </w:p>
    <w:p w:rsidR="000C7351" w:rsidRPr="00807837" w:rsidRDefault="00F11C76" w:rsidP="00807837">
      <w:pPr>
        <w:spacing w:after="0" w:line="240" w:lineRule="auto"/>
        <w:rPr>
          <w:rFonts w:ascii="Arial" w:eastAsia="Calibri" w:hAnsi="Arial" w:cs="Arial"/>
          <w:sz w:val="20"/>
          <w:szCs w:val="20"/>
        </w:rPr>
      </w:pPr>
      <w:r w:rsidRPr="00807837">
        <w:rPr>
          <w:rFonts w:ascii="Arial" w:eastAsia="Calibri" w:hAnsi="Arial" w:cs="Arial"/>
          <w:sz w:val="20"/>
          <w:szCs w:val="20"/>
        </w:rPr>
        <w:t>I</w:t>
      </w:r>
      <w:r w:rsidR="000C7351" w:rsidRPr="00807837">
        <w:rPr>
          <w:rFonts w:ascii="Arial" w:eastAsia="Calibri" w:hAnsi="Arial" w:cs="Arial"/>
          <w:sz w:val="20"/>
          <w:szCs w:val="20"/>
        </w:rPr>
        <w:t xml:space="preserve">t is of concern that the Department has a negative Leave Entitlement amounting to R125 </w:t>
      </w:r>
      <w:r w:rsidR="00FF43E5" w:rsidRPr="00807837">
        <w:rPr>
          <w:rFonts w:ascii="Arial" w:eastAsia="Calibri" w:hAnsi="Arial" w:cs="Arial"/>
          <w:sz w:val="20"/>
          <w:szCs w:val="20"/>
        </w:rPr>
        <w:t>574.45.</w:t>
      </w:r>
      <w:r w:rsidR="000C7351" w:rsidRPr="00807837">
        <w:rPr>
          <w:rFonts w:ascii="Arial" w:eastAsia="Calibri" w:hAnsi="Arial" w:cs="Arial"/>
          <w:sz w:val="20"/>
          <w:szCs w:val="20"/>
        </w:rPr>
        <w:t xml:space="preserve"> The Committee note</w:t>
      </w:r>
      <w:r w:rsidRPr="00807837">
        <w:rPr>
          <w:rFonts w:ascii="Arial" w:eastAsia="Calibri" w:hAnsi="Arial" w:cs="Arial"/>
          <w:sz w:val="20"/>
          <w:szCs w:val="20"/>
        </w:rPr>
        <w:t>d</w:t>
      </w:r>
      <w:r w:rsidR="000C7351" w:rsidRPr="00807837">
        <w:rPr>
          <w:rFonts w:ascii="Arial" w:eastAsia="Calibri" w:hAnsi="Arial" w:cs="Arial"/>
          <w:sz w:val="20"/>
          <w:szCs w:val="20"/>
        </w:rPr>
        <w:t xml:space="preserve"> with concern that at this stage the Department is not able to reliably measure the long-term portion of the Long Service Awards. Due to the utilisation of Leave within the first quarter of the Leave Cycle (Leave taken without any Leave Credits available). The category “Other” comprises Long Service Awards. “Leave Entitlement” provision for 2020/2021 has been decreased from R24.841 million to R24.814 million. This is due to Leave that was not captured on time for the 2020/2021 financial year. The Department should ensure a proper capturing of leave on the system. </w:t>
      </w:r>
    </w:p>
    <w:p w:rsidR="00BA14AF" w:rsidRPr="00807837" w:rsidRDefault="00BA14AF" w:rsidP="00807837">
      <w:pPr>
        <w:spacing w:after="0" w:line="240" w:lineRule="auto"/>
        <w:rPr>
          <w:rFonts w:ascii="Arial" w:eastAsia="Calibri" w:hAnsi="Arial" w:cs="Arial"/>
          <w:sz w:val="20"/>
          <w:szCs w:val="20"/>
        </w:rPr>
      </w:pPr>
    </w:p>
    <w:p w:rsidR="00BA14AF" w:rsidRPr="00807837" w:rsidRDefault="00BA14AF" w:rsidP="00807837">
      <w:pPr>
        <w:spacing w:after="0" w:line="240" w:lineRule="auto"/>
        <w:rPr>
          <w:rFonts w:ascii="Arial" w:eastAsia="Calibri" w:hAnsi="Arial" w:cs="Arial"/>
          <w:sz w:val="20"/>
          <w:szCs w:val="20"/>
        </w:rPr>
      </w:pPr>
      <w:r w:rsidRPr="00807837">
        <w:rPr>
          <w:rFonts w:ascii="Arial" w:eastAsia="Calibri" w:hAnsi="Arial" w:cs="Arial"/>
          <w:sz w:val="20"/>
          <w:szCs w:val="20"/>
        </w:rPr>
        <w:t>8.2.11</w:t>
      </w:r>
      <w:r w:rsidRPr="00807837">
        <w:rPr>
          <w:rFonts w:ascii="Arial" w:eastAsia="Calibri" w:hAnsi="Arial" w:cs="Arial"/>
          <w:sz w:val="20"/>
          <w:szCs w:val="20"/>
        </w:rPr>
        <w:tab/>
      </w:r>
      <w:r w:rsidR="00601FF9" w:rsidRPr="00807837">
        <w:rPr>
          <w:rFonts w:ascii="Arial" w:eastAsia="Calibri" w:hAnsi="Arial" w:cs="Arial"/>
          <w:sz w:val="20"/>
          <w:szCs w:val="20"/>
        </w:rPr>
        <w:t>Impact of the court interdict on the Tourism Equity Fund</w:t>
      </w:r>
    </w:p>
    <w:p w:rsidR="00BA14AF" w:rsidRPr="00807837" w:rsidRDefault="00BA14AF" w:rsidP="00807837">
      <w:pPr>
        <w:spacing w:after="0" w:line="240" w:lineRule="auto"/>
        <w:rPr>
          <w:rFonts w:ascii="Arial" w:eastAsia="Calibri" w:hAnsi="Arial" w:cs="Arial"/>
          <w:sz w:val="20"/>
          <w:szCs w:val="20"/>
        </w:rPr>
      </w:pPr>
    </w:p>
    <w:p w:rsidR="00601FF9" w:rsidRPr="00807837" w:rsidRDefault="00601FF9" w:rsidP="00807837">
      <w:pPr>
        <w:spacing w:after="0" w:line="240" w:lineRule="auto"/>
        <w:rPr>
          <w:rFonts w:ascii="Arial" w:eastAsia="Calibri" w:hAnsi="Arial" w:cs="Arial"/>
          <w:sz w:val="20"/>
          <w:szCs w:val="20"/>
        </w:rPr>
      </w:pPr>
      <w:r w:rsidRPr="00807837">
        <w:rPr>
          <w:rFonts w:ascii="Arial" w:eastAsia="Calibri" w:hAnsi="Arial" w:cs="Arial"/>
          <w:sz w:val="20"/>
          <w:szCs w:val="20"/>
        </w:rPr>
        <w:t>The Committee noted that the T</w:t>
      </w:r>
      <w:r w:rsidR="00BA14AF" w:rsidRPr="00807837">
        <w:rPr>
          <w:rFonts w:ascii="Arial" w:eastAsia="Calibri" w:hAnsi="Arial" w:cs="Arial"/>
          <w:sz w:val="20"/>
          <w:szCs w:val="20"/>
        </w:rPr>
        <w:t xml:space="preserve">ourism Equity Fund </w:t>
      </w:r>
      <w:r w:rsidRPr="00807837">
        <w:rPr>
          <w:rFonts w:ascii="Arial" w:eastAsia="Calibri" w:hAnsi="Arial" w:cs="Arial"/>
          <w:sz w:val="20"/>
          <w:szCs w:val="20"/>
        </w:rPr>
        <w:t xml:space="preserve">(TEF) is still affected by the court interdict. </w:t>
      </w:r>
      <w:r w:rsidR="00BA14AF" w:rsidRPr="00807837">
        <w:rPr>
          <w:rFonts w:ascii="Arial" w:eastAsia="Calibri" w:hAnsi="Arial" w:cs="Arial"/>
          <w:sz w:val="20"/>
          <w:szCs w:val="20"/>
        </w:rPr>
        <w:t>The target relating to the TEF which was meant to offer grant-funding support for black industrialists in the tourism sector was not achieved. This programme has been halted due to a court interdict</w:t>
      </w:r>
      <w:r w:rsidRPr="00807837">
        <w:rPr>
          <w:rFonts w:ascii="Arial" w:eastAsia="Calibri" w:hAnsi="Arial" w:cs="Arial"/>
          <w:sz w:val="20"/>
          <w:szCs w:val="20"/>
        </w:rPr>
        <w:t xml:space="preserve"> which prevents the Department from disbursing the funds</w:t>
      </w:r>
      <w:r w:rsidR="00BA14AF" w:rsidRPr="00807837">
        <w:rPr>
          <w:rFonts w:ascii="Arial" w:eastAsia="Calibri" w:hAnsi="Arial" w:cs="Arial"/>
          <w:sz w:val="20"/>
          <w:szCs w:val="20"/>
        </w:rPr>
        <w:t xml:space="preserve">. Even though the delay is not within the control of the department, this delay impacts negatively on the progress in transforming the tourism industry. </w:t>
      </w:r>
      <w:r w:rsidRPr="00807837">
        <w:rPr>
          <w:rFonts w:ascii="Arial" w:eastAsia="Calibri" w:hAnsi="Arial" w:cs="Arial"/>
          <w:sz w:val="20"/>
          <w:szCs w:val="20"/>
        </w:rPr>
        <w:t>The Committee welcomes the innovation by the Department to seek legal opinion</w:t>
      </w:r>
      <w:r w:rsidR="00C31929" w:rsidRPr="00807837">
        <w:rPr>
          <w:rFonts w:ascii="Arial" w:eastAsia="Calibri" w:hAnsi="Arial" w:cs="Arial"/>
          <w:sz w:val="20"/>
          <w:szCs w:val="20"/>
        </w:rPr>
        <w:t>,</w:t>
      </w:r>
      <w:r w:rsidRPr="00807837">
        <w:rPr>
          <w:rFonts w:ascii="Arial" w:eastAsia="Calibri" w:hAnsi="Arial" w:cs="Arial"/>
          <w:sz w:val="20"/>
          <w:szCs w:val="20"/>
        </w:rPr>
        <w:t xml:space="preserve"> which allowed the Department to capitalise the fund whilst waiting for the issues around the interdict to be resolved. Though the target was not achieved, the impact has been mitigated as </w:t>
      </w:r>
      <w:r w:rsidR="00FF43E5" w:rsidRPr="00807837">
        <w:rPr>
          <w:rFonts w:ascii="Arial" w:eastAsia="Calibri" w:hAnsi="Arial" w:cs="Arial"/>
          <w:sz w:val="20"/>
          <w:szCs w:val="20"/>
        </w:rPr>
        <w:t>capitalising</w:t>
      </w:r>
      <w:r w:rsidRPr="00807837">
        <w:rPr>
          <w:rFonts w:ascii="Arial" w:eastAsia="Calibri" w:hAnsi="Arial" w:cs="Arial"/>
          <w:sz w:val="20"/>
          <w:szCs w:val="20"/>
        </w:rPr>
        <w:t xml:space="preserve"> the fund is a good strategy to ensure that funds are available once the court interdict matter has been resolved. </w:t>
      </w:r>
      <w:r w:rsidR="00BA14AF" w:rsidRPr="00807837">
        <w:rPr>
          <w:rFonts w:ascii="Arial" w:eastAsia="Calibri" w:hAnsi="Arial" w:cs="Arial"/>
          <w:sz w:val="20"/>
          <w:szCs w:val="20"/>
        </w:rPr>
        <w:t xml:space="preserve">The </w:t>
      </w:r>
      <w:r w:rsidRPr="00807837">
        <w:rPr>
          <w:rFonts w:ascii="Arial" w:eastAsia="Calibri" w:hAnsi="Arial" w:cs="Arial"/>
          <w:sz w:val="20"/>
          <w:szCs w:val="20"/>
        </w:rPr>
        <w:t>Committee urges the Department to</w:t>
      </w:r>
      <w:r w:rsidR="00BA14AF" w:rsidRPr="00807837">
        <w:rPr>
          <w:rFonts w:ascii="Arial" w:eastAsia="Calibri" w:hAnsi="Arial" w:cs="Arial"/>
          <w:sz w:val="20"/>
          <w:szCs w:val="20"/>
        </w:rPr>
        <w:t xml:space="preserve"> continue </w:t>
      </w:r>
      <w:r w:rsidRPr="00807837">
        <w:rPr>
          <w:rFonts w:ascii="Arial" w:eastAsia="Calibri" w:hAnsi="Arial" w:cs="Arial"/>
          <w:sz w:val="20"/>
          <w:szCs w:val="20"/>
        </w:rPr>
        <w:t>m</w:t>
      </w:r>
      <w:r w:rsidR="00BA14AF" w:rsidRPr="00807837">
        <w:rPr>
          <w:rFonts w:ascii="Arial" w:eastAsia="Calibri" w:hAnsi="Arial" w:cs="Arial"/>
          <w:sz w:val="20"/>
          <w:szCs w:val="20"/>
        </w:rPr>
        <w:t>onitor</w:t>
      </w:r>
      <w:r w:rsidRPr="00807837">
        <w:rPr>
          <w:rFonts w:ascii="Arial" w:eastAsia="Calibri" w:hAnsi="Arial" w:cs="Arial"/>
          <w:sz w:val="20"/>
          <w:szCs w:val="20"/>
        </w:rPr>
        <w:t>ing</w:t>
      </w:r>
      <w:r w:rsidR="00BA14AF" w:rsidRPr="00807837">
        <w:rPr>
          <w:rFonts w:ascii="Arial" w:eastAsia="Calibri" w:hAnsi="Arial" w:cs="Arial"/>
          <w:sz w:val="20"/>
          <w:szCs w:val="20"/>
        </w:rPr>
        <w:t xml:space="preserve"> the development</w:t>
      </w:r>
      <w:r w:rsidRPr="00807837">
        <w:rPr>
          <w:rFonts w:ascii="Arial" w:eastAsia="Calibri" w:hAnsi="Arial" w:cs="Arial"/>
          <w:sz w:val="20"/>
          <w:szCs w:val="20"/>
        </w:rPr>
        <w:t>s around this case.</w:t>
      </w:r>
    </w:p>
    <w:p w:rsidR="00C31929" w:rsidRPr="00807837" w:rsidRDefault="00C31929" w:rsidP="00807837">
      <w:pPr>
        <w:spacing w:after="0" w:line="240" w:lineRule="auto"/>
        <w:rPr>
          <w:rFonts w:ascii="Arial" w:eastAsia="Calibri" w:hAnsi="Arial" w:cs="Arial"/>
          <w:sz w:val="20"/>
          <w:szCs w:val="20"/>
        </w:rPr>
      </w:pPr>
    </w:p>
    <w:p w:rsidR="00601FF9" w:rsidRPr="00807837" w:rsidRDefault="00601FF9" w:rsidP="00807837">
      <w:pPr>
        <w:spacing w:after="0" w:line="240" w:lineRule="auto"/>
        <w:rPr>
          <w:rFonts w:ascii="Arial" w:eastAsia="Calibri" w:hAnsi="Arial" w:cs="Arial"/>
          <w:sz w:val="20"/>
          <w:szCs w:val="20"/>
        </w:rPr>
      </w:pPr>
      <w:r w:rsidRPr="00807837">
        <w:rPr>
          <w:rFonts w:ascii="Arial" w:eastAsia="Calibri" w:hAnsi="Arial" w:cs="Arial"/>
          <w:sz w:val="20"/>
          <w:szCs w:val="20"/>
        </w:rPr>
        <w:t>8.2.12</w:t>
      </w:r>
      <w:r w:rsidRPr="00807837">
        <w:rPr>
          <w:rFonts w:ascii="Arial" w:eastAsia="Calibri" w:hAnsi="Arial" w:cs="Arial"/>
          <w:sz w:val="20"/>
          <w:szCs w:val="20"/>
        </w:rPr>
        <w:tab/>
        <w:t>The World Tourism Day celebrations</w:t>
      </w:r>
    </w:p>
    <w:p w:rsidR="00601FF9" w:rsidRPr="00807837" w:rsidRDefault="00601FF9" w:rsidP="00807837">
      <w:pPr>
        <w:spacing w:after="0" w:line="240" w:lineRule="auto"/>
        <w:rPr>
          <w:rFonts w:ascii="Arial" w:eastAsia="Calibri" w:hAnsi="Arial" w:cs="Arial"/>
          <w:sz w:val="20"/>
          <w:szCs w:val="20"/>
        </w:rPr>
      </w:pPr>
    </w:p>
    <w:p w:rsidR="00BA14AF" w:rsidRPr="00807837" w:rsidRDefault="00601FF9" w:rsidP="00807837">
      <w:pPr>
        <w:spacing w:after="0" w:line="240" w:lineRule="auto"/>
        <w:rPr>
          <w:rFonts w:ascii="Arial" w:eastAsia="Calibri" w:hAnsi="Arial" w:cs="Arial"/>
          <w:sz w:val="20"/>
          <w:szCs w:val="20"/>
        </w:rPr>
      </w:pPr>
      <w:r w:rsidRPr="00807837">
        <w:rPr>
          <w:rFonts w:ascii="Arial" w:eastAsia="Calibri" w:hAnsi="Arial" w:cs="Arial"/>
          <w:sz w:val="20"/>
          <w:szCs w:val="20"/>
        </w:rPr>
        <w:t>The Committee welcomed the invitation by the Minister to attend the World Tourism Day</w:t>
      </w:r>
      <w:r w:rsidR="00C31929" w:rsidRPr="00807837">
        <w:rPr>
          <w:rFonts w:ascii="Arial" w:eastAsia="Calibri" w:hAnsi="Arial" w:cs="Arial"/>
          <w:sz w:val="20"/>
          <w:szCs w:val="20"/>
        </w:rPr>
        <w:t xml:space="preserve"> celebration</w:t>
      </w:r>
      <w:r w:rsidRPr="00807837">
        <w:rPr>
          <w:rFonts w:ascii="Arial" w:eastAsia="Calibri" w:hAnsi="Arial" w:cs="Arial"/>
          <w:sz w:val="20"/>
          <w:szCs w:val="20"/>
        </w:rPr>
        <w:t xml:space="preserve"> on 27 September 2022 in Hermanus. The Committee is, however, dissatisfied with the level of the organisation of such </w:t>
      </w:r>
      <w:r w:rsidR="00C31929" w:rsidRPr="00807837">
        <w:rPr>
          <w:rFonts w:ascii="Arial" w:eastAsia="Calibri" w:hAnsi="Arial" w:cs="Arial"/>
          <w:sz w:val="20"/>
          <w:szCs w:val="20"/>
        </w:rPr>
        <w:t xml:space="preserve">an </w:t>
      </w:r>
      <w:r w:rsidRPr="00807837">
        <w:rPr>
          <w:rFonts w:ascii="Arial" w:eastAsia="Calibri" w:hAnsi="Arial" w:cs="Arial"/>
          <w:sz w:val="20"/>
          <w:szCs w:val="20"/>
        </w:rPr>
        <w:t xml:space="preserve">event. The Minister and the </w:t>
      </w:r>
      <w:r w:rsidR="00FF43E5" w:rsidRPr="00807837">
        <w:rPr>
          <w:rFonts w:ascii="Arial" w:eastAsia="Calibri" w:hAnsi="Arial" w:cs="Arial"/>
          <w:sz w:val="20"/>
          <w:szCs w:val="20"/>
        </w:rPr>
        <w:t>Deputy</w:t>
      </w:r>
      <w:r w:rsidRPr="00807837">
        <w:rPr>
          <w:rFonts w:ascii="Arial" w:eastAsia="Calibri" w:hAnsi="Arial" w:cs="Arial"/>
          <w:sz w:val="20"/>
          <w:szCs w:val="20"/>
        </w:rPr>
        <w:t xml:space="preserve"> Minister opted to attend the event organised by the United Nations World Tourism Organisation and </w:t>
      </w:r>
      <w:r w:rsidR="00FF43E5" w:rsidRPr="00807837">
        <w:rPr>
          <w:rFonts w:ascii="Arial" w:eastAsia="Calibri" w:hAnsi="Arial" w:cs="Arial"/>
          <w:sz w:val="20"/>
          <w:szCs w:val="20"/>
        </w:rPr>
        <w:t>abandoned</w:t>
      </w:r>
      <w:r w:rsidRPr="00807837">
        <w:rPr>
          <w:rFonts w:ascii="Arial" w:eastAsia="Calibri" w:hAnsi="Arial" w:cs="Arial"/>
          <w:sz w:val="20"/>
          <w:szCs w:val="20"/>
        </w:rPr>
        <w:t xml:space="preserve"> the event organised by the </w:t>
      </w:r>
      <w:r w:rsidR="00FF43E5" w:rsidRPr="00807837">
        <w:rPr>
          <w:rFonts w:ascii="Arial" w:eastAsia="Calibri" w:hAnsi="Arial" w:cs="Arial"/>
          <w:sz w:val="20"/>
          <w:szCs w:val="20"/>
        </w:rPr>
        <w:t>Department</w:t>
      </w:r>
      <w:r w:rsidRPr="00807837">
        <w:rPr>
          <w:rFonts w:ascii="Arial" w:eastAsia="Calibri" w:hAnsi="Arial" w:cs="Arial"/>
          <w:sz w:val="20"/>
          <w:szCs w:val="20"/>
        </w:rPr>
        <w:t xml:space="preserve">. The Interim Board of SA Tourism was also not acknowledged at the event despite the fact that they </w:t>
      </w:r>
      <w:r w:rsidR="00FF43E5" w:rsidRPr="00807837">
        <w:rPr>
          <w:rFonts w:ascii="Arial" w:eastAsia="Calibri" w:hAnsi="Arial" w:cs="Arial"/>
          <w:sz w:val="20"/>
          <w:szCs w:val="20"/>
        </w:rPr>
        <w:t>were at the event.</w:t>
      </w:r>
      <w:r w:rsidRPr="00807837">
        <w:rPr>
          <w:rFonts w:ascii="Arial" w:eastAsia="Calibri" w:hAnsi="Arial" w:cs="Arial"/>
          <w:sz w:val="20"/>
          <w:szCs w:val="20"/>
        </w:rPr>
        <w:t xml:space="preserve"> There was also no </w:t>
      </w:r>
      <w:r w:rsidR="00795FBD" w:rsidRPr="00807837">
        <w:rPr>
          <w:rFonts w:ascii="Arial" w:eastAsia="Calibri" w:hAnsi="Arial" w:cs="Arial"/>
          <w:sz w:val="20"/>
          <w:szCs w:val="20"/>
        </w:rPr>
        <w:t xml:space="preserve">participation by either the Department or SA Tourism in the proceedings that were literally handled by the </w:t>
      </w:r>
      <w:r w:rsidR="00FF43E5" w:rsidRPr="00807837">
        <w:rPr>
          <w:rFonts w:ascii="Arial" w:eastAsia="Calibri" w:hAnsi="Arial" w:cs="Arial"/>
          <w:sz w:val="20"/>
          <w:szCs w:val="20"/>
        </w:rPr>
        <w:t>municipality</w:t>
      </w:r>
      <w:r w:rsidR="00795FBD" w:rsidRPr="00807837">
        <w:rPr>
          <w:rFonts w:ascii="Arial" w:eastAsia="Calibri" w:hAnsi="Arial" w:cs="Arial"/>
          <w:sz w:val="20"/>
          <w:szCs w:val="20"/>
        </w:rPr>
        <w:t xml:space="preserve"> and the Western Cape provincial government. The non-participation of the Department and SA Tourism is a cause for concern as the event was organised by the national government in partnership with the province.</w:t>
      </w:r>
      <w:r w:rsidR="00BA14AF" w:rsidRPr="00807837">
        <w:rPr>
          <w:rFonts w:ascii="Arial" w:eastAsia="Calibri" w:hAnsi="Arial" w:cs="Arial"/>
          <w:sz w:val="20"/>
          <w:szCs w:val="20"/>
        </w:rPr>
        <w:t xml:space="preserve"> </w:t>
      </w:r>
    </w:p>
    <w:p w:rsidR="00795FBD" w:rsidRPr="00807837" w:rsidRDefault="00795FBD" w:rsidP="00807837">
      <w:pPr>
        <w:spacing w:after="0" w:line="240" w:lineRule="auto"/>
        <w:rPr>
          <w:rFonts w:ascii="Arial" w:eastAsia="Calibri" w:hAnsi="Arial" w:cs="Arial"/>
          <w:sz w:val="20"/>
          <w:szCs w:val="20"/>
        </w:rPr>
      </w:pPr>
    </w:p>
    <w:p w:rsidR="00795FBD" w:rsidRPr="00807837" w:rsidRDefault="00795FBD" w:rsidP="00807837">
      <w:pPr>
        <w:pStyle w:val="ListParagraph"/>
        <w:numPr>
          <w:ilvl w:val="2"/>
          <w:numId w:val="22"/>
        </w:numPr>
        <w:spacing w:after="0" w:line="240" w:lineRule="auto"/>
        <w:rPr>
          <w:rFonts w:ascii="Arial" w:eastAsia="Calibri" w:hAnsi="Arial" w:cs="Arial"/>
          <w:sz w:val="20"/>
          <w:szCs w:val="20"/>
        </w:rPr>
      </w:pPr>
      <w:r w:rsidRPr="00807837">
        <w:rPr>
          <w:rFonts w:ascii="Arial" w:eastAsia="Calibri" w:hAnsi="Arial" w:cs="Arial"/>
          <w:sz w:val="20"/>
          <w:szCs w:val="20"/>
        </w:rPr>
        <w:lastRenderedPageBreak/>
        <w:t>Delays in recouping Tourist Guides Relief Funds</w:t>
      </w:r>
    </w:p>
    <w:p w:rsidR="00795FBD" w:rsidRPr="00807837" w:rsidRDefault="00795FBD" w:rsidP="00807837">
      <w:pPr>
        <w:spacing w:after="0" w:line="240" w:lineRule="auto"/>
        <w:rPr>
          <w:rFonts w:ascii="Arial" w:eastAsia="Calibri" w:hAnsi="Arial" w:cs="Arial"/>
          <w:sz w:val="20"/>
          <w:szCs w:val="20"/>
        </w:rPr>
      </w:pPr>
    </w:p>
    <w:p w:rsidR="00784F66" w:rsidRPr="00807837" w:rsidRDefault="00795FBD" w:rsidP="00807837">
      <w:pPr>
        <w:spacing w:after="0" w:line="240" w:lineRule="auto"/>
        <w:rPr>
          <w:rFonts w:ascii="Arial" w:eastAsia="Calibri" w:hAnsi="Arial" w:cs="Arial"/>
          <w:sz w:val="20"/>
          <w:szCs w:val="20"/>
        </w:rPr>
      </w:pPr>
      <w:r w:rsidRPr="00807837">
        <w:rPr>
          <w:rFonts w:ascii="Arial" w:eastAsia="Calibri" w:hAnsi="Arial" w:cs="Arial"/>
          <w:sz w:val="20"/>
          <w:szCs w:val="20"/>
        </w:rPr>
        <w:t>The C</w:t>
      </w:r>
      <w:r w:rsidR="00784F66" w:rsidRPr="00807837">
        <w:rPr>
          <w:rFonts w:ascii="Arial" w:eastAsia="Calibri" w:hAnsi="Arial" w:cs="Arial"/>
          <w:sz w:val="20"/>
          <w:szCs w:val="20"/>
        </w:rPr>
        <w:t>ommittee is disappointed</w:t>
      </w:r>
      <w:r w:rsidRPr="00807837">
        <w:rPr>
          <w:rFonts w:ascii="Arial" w:eastAsia="Calibri" w:hAnsi="Arial" w:cs="Arial"/>
          <w:sz w:val="20"/>
          <w:szCs w:val="20"/>
        </w:rPr>
        <w:t xml:space="preserve"> that the Department has not been able to recover all the funds paid erroneously to </w:t>
      </w:r>
      <w:r w:rsidR="00FF43E5" w:rsidRPr="00807837">
        <w:rPr>
          <w:rFonts w:ascii="Arial" w:eastAsia="Calibri" w:hAnsi="Arial" w:cs="Arial"/>
          <w:sz w:val="20"/>
          <w:szCs w:val="20"/>
        </w:rPr>
        <w:t>recipients</w:t>
      </w:r>
      <w:r w:rsidRPr="00807837">
        <w:rPr>
          <w:rFonts w:ascii="Arial" w:eastAsia="Calibri" w:hAnsi="Arial" w:cs="Arial"/>
          <w:sz w:val="20"/>
          <w:szCs w:val="20"/>
        </w:rPr>
        <w:t xml:space="preserve"> who did not qualify</w:t>
      </w:r>
      <w:r w:rsidR="00C31929" w:rsidRPr="00807837">
        <w:rPr>
          <w:rFonts w:ascii="Arial" w:eastAsia="Calibri" w:hAnsi="Arial" w:cs="Arial"/>
          <w:sz w:val="20"/>
          <w:szCs w:val="20"/>
        </w:rPr>
        <w:t xml:space="preserve"> for the Tourist Guide Relief Fund</w:t>
      </w:r>
      <w:r w:rsidRPr="00807837">
        <w:rPr>
          <w:rFonts w:ascii="Arial" w:eastAsia="Calibri" w:hAnsi="Arial" w:cs="Arial"/>
          <w:sz w:val="20"/>
          <w:szCs w:val="20"/>
        </w:rPr>
        <w:t xml:space="preserve">. </w:t>
      </w:r>
      <w:r w:rsidR="00784F66" w:rsidRPr="00807837">
        <w:rPr>
          <w:rFonts w:ascii="Arial" w:eastAsia="Calibri" w:hAnsi="Arial" w:cs="Arial"/>
          <w:sz w:val="20"/>
          <w:szCs w:val="20"/>
        </w:rPr>
        <w:t xml:space="preserve">The Committee acknowledges that an amount </w:t>
      </w:r>
      <w:r w:rsidR="00FF43E5" w:rsidRPr="00807837">
        <w:rPr>
          <w:rFonts w:ascii="Arial" w:eastAsia="Calibri" w:hAnsi="Arial" w:cs="Arial"/>
          <w:sz w:val="20"/>
          <w:szCs w:val="20"/>
        </w:rPr>
        <w:t>of R</w:t>
      </w:r>
      <w:r w:rsidR="00784F66" w:rsidRPr="00807837">
        <w:rPr>
          <w:rFonts w:ascii="Arial" w:eastAsia="Calibri" w:hAnsi="Arial" w:cs="Arial"/>
          <w:sz w:val="20"/>
          <w:szCs w:val="20"/>
        </w:rPr>
        <w:t xml:space="preserve">51 700 had been recovered as at 31 March but by September 2022 the amount recovered was around R131 000.  It is also acknowledged that 47 recipients were in the employ of the state and that some are </w:t>
      </w:r>
      <w:r w:rsidR="00C31929" w:rsidRPr="00807837">
        <w:rPr>
          <w:rFonts w:ascii="Arial" w:eastAsia="Calibri" w:hAnsi="Arial" w:cs="Arial"/>
          <w:sz w:val="20"/>
          <w:szCs w:val="20"/>
        </w:rPr>
        <w:t>re</w:t>
      </w:r>
      <w:r w:rsidR="00784F66" w:rsidRPr="00807837">
        <w:rPr>
          <w:rFonts w:ascii="Arial" w:eastAsia="Calibri" w:hAnsi="Arial" w:cs="Arial"/>
          <w:sz w:val="20"/>
          <w:szCs w:val="20"/>
        </w:rPr>
        <w:t xml:space="preserve">paying through instalments. </w:t>
      </w:r>
    </w:p>
    <w:p w:rsidR="00795FBD" w:rsidRPr="00807837" w:rsidRDefault="00795FBD" w:rsidP="00807837">
      <w:pPr>
        <w:spacing w:after="0" w:line="240" w:lineRule="auto"/>
        <w:rPr>
          <w:rFonts w:ascii="Arial" w:eastAsia="Calibri" w:hAnsi="Arial" w:cs="Arial"/>
          <w:sz w:val="20"/>
          <w:szCs w:val="20"/>
        </w:rPr>
      </w:pPr>
    </w:p>
    <w:p w:rsidR="00784F66" w:rsidRPr="00807837" w:rsidRDefault="001A499A" w:rsidP="00807837">
      <w:pPr>
        <w:pStyle w:val="ListParagraph"/>
        <w:numPr>
          <w:ilvl w:val="2"/>
          <w:numId w:val="22"/>
        </w:numPr>
        <w:spacing w:after="0" w:line="240" w:lineRule="auto"/>
        <w:rPr>
          <w:rFonts w:ascii="Arial" w:eastAsia="Calibri" w:hAnsi="Arial" w:cs="Arial"/>
          <w:sz w:val="20"/>
          <w:szCs w:val="20"/>
        </w:rPr>
      </w:pPr>
      <w:r w:rsidRPr="00807837">
        <w:rPr>
          <w:rFonts w:ascii="Arial" w:eastAsia="Calibri" w:hAnsi="Arial" w:cs="Arial"/>
          <w:sz w:val="20"/>
          <w:szCs w:val="20"/>
        </w:rPr>
        <w:t xml:space="preserve">Success of departmental </w:t>
      </w:r>
      <w:r w:rsidR="00784F66" w:rsidRPr="00807837">
        <w:rPr>
          <w:rFonts w:ascii="Arial" w:eastAsia="Calibri" w:hAnsi="Arial" w:cs="Arial"/>
          <w:sz w:val="20"/>
          <w:szCs w:val="20"/>
        </w:rPr>
        <w:t xml:space="preserve">youth </w:t>
      </w:r>
      <w:r w:rsidRPr="00807837">
        <w:rPr>
          <w:rFonts w:ascii="Arial" w:eastAsia="Calibri" w:hAnsi="Arial" w:cs="Arial"/>
          <w:sz w:val="20"/>
          <w:szCs w:val="20"/>
        </w:rPr>
        <w:t xml:space="preserve">and women </w:t>
      </w:r>
      <w:r w:rsidR="00784F66" w:rsidRPr="00807837">
        <w:rPr>
          <w:rFonts w:ascii="Arial" w:eastAsia="Calibri" w:hAnsi="Arial" w:cs="Arial"/>
          <w:sz w:val="20"/>
          <w:szCs w:val="20"/>
        </w:rPr>
        <w:t>programmes</w:t>
      </w:r>
    </w:p>
    <w:p w:rsidR="00784F66" w:rsidRPr="00807837" w:rsidRDefault="00784F66" w:rsidP="00807837">
      <w:pPr>
        <w:spacing w:after="0" w:line="240" w:lineRule="auto"/>
        <w:rPr>
          <w:rFonts w:ascii="Arial" w:eastAsia="Calibri" w:hAnsi="Arial" w:cs="Arial"/>
          <w:sz w:val="20"/>
          <w:szCs w:val="20"/>
        </w:rPr>
      </w:pPr>
    </w:p>
    <w:p w:rsidR="00784F66" w:rsidRPr="00807837" w:rsidRDefault="00784F66" w:rsidP="00807837">
      <w:pPr>
        <w:spacing w:after="0" w:line="240" w:lineRule="auto"/>
        <w:rPr>
          <w:rFonts w:ascii="Arial" w:eastAsia="Calibri" w:hAnsi="Arial" w:cs="Arial"/>
          <w:sz w:val="20"/>
          <w:szCs w:val="20"/>
        </w:rPr>
      </w:pPr>
      <w:r w:rsidRPr="00807837">
        <w:rPr>
          <w:rFonts w:ascii="Arial" w:eastAsia="Calibri" w:hAnsi="Arial" w:cs="Arial"/>
          <w:sz w:val="20"/>
          <w:szCs w:val="20"/>
        </w:rPr>
        <w:t xml:space="preserve">The Committee raised concerns about the effectiveness of the </w:t>
      </w:r>
      <w:r w:rsidR="001A499A" w:rsidRPr="00807837">
        <w:rPr>
          <w:rFonts w:ascii="Arial" w:eastAsia="Calibri" w:hAnsi="Arial" w:cs="Arial"/>
          <w:sz w:val="20"/>
          <w:szCs w:val="20"/>
        </w:rPr>
        <w:t>youth and women programmes implemented by the Department</w:t>
      </w:r>
      <w:r w:rsidR="003B0E05" w:rsidRPr="00807837">
        <w:rPr>
          <w:rFonts w:ascii="Arial" w:eastAsia="Calibri" w:hAnsi="Arial" w:cs="Arial"/>
          <w:sz w:val="20"/>
          <w:szCs w:val="20"/>
        </w:rPr>
        <w:t>, especially placement after completing training</w:t>
      </w:r>
      <w:r w:rsidR="001A499A" w:rsidRPr="00807837">
        <w:rPr>
          <w:rFonts w:ascii="Arial" w:eastAsia="Calibri" w:hAnsi="Arial" w:cs="Arial"/>
          <w:sz w:val="20"/>
          <w:szCs w:val="20"/>
        </w:rPr>
        <w:t>. The Committee, however, noted challenges and pr</w:t>
      </w:r>
      <w:r w:rsidR="008352D5" w:rsidRPr="00807837">
        <w:rPr>
          <w:rFonts w:ascii="Arial" w:eastAsia="Calibri" w:hAnsi="Arial" w:cs="Arial"/>
          <w:sz w:val="20"/>
          <w:szCs w:val="20"/>
        </w:rPr>
        <w:t>ogress in the implementation suc</w:t>
      </w:r>
      <w:r w:rsidR="001A499A" w:rsidRPr="00807837">
        <w:rPr>
          <w:rFonts w:ascii="Arial" w:eastAsia="Calibri" w:hAnsi="Arial" w:cs="Arial"/>
          <w:sz w:val="20"/>
          <w:szCs w:val="20"/>
        </w:rPr>
        <w:t>h as:</w:t>
      </w:r>
    </w:p>
    <w:p w:rsidR="00125DB0" w:rsidRPr="00807837" w:rsidRDefault="00125DB0" w:rsidP="00807837">
      <w:pPr>
        <w:spacing w:after="0" w:line="240" w:lineRule="auto"/>
        <w:rPr>
          <w:rFonts w:ascii="Arial" w:eastAsia="Calibri" w:hAnsi="Arial" w:cs="Arial"/>
          <w:sz w:val="20"/>
          <w:szCs w:val="20"/>
        </w:rPr>
      </w:pPr>
    </w:p>
    <w:p w:rsidR="001A499A" w:rsidRPr="00807837" w:rsidRDefault="00784F66" w:rsidP="00807837">
      <w:pPr>
        <w:pStyle w:val="ListParagraph"/>
        <w:numPr>
          <w:ilvl w:val="0"/>
          <w:numId w:val="54"/>
        </w:numPr>
        <w:spacing w:after="0" w:line="240" w:lineRule="auto"/>
        <w:rPr>
          <w:rFonts w:ascii="Arial" w:eastAsia="Calibri" w:hAnsi="Arial" w:cs="Arial"/>
          <w:sz w:val="20"/>
          <w:szCs w:val="20"/>
        </w:rPr>
      </w:pPr>
      <w:r w:rsidRPr="00807837">
        <w:rPr>
          <w:rFonts w:ascii="Arial" w:eastAsia="Calibri" w:hAnsi="Arial" w:cs="Arial"/>
          <w:sz w:val="20"/>
          <w:szCs w:val="20"/>
        </w:rPr>
        <w:t xml:space="preserve">The </w:t>
      </w:r>
      <w:r w:rsidR="001A499A" w:rsidRPr="00807837">
        <w:rPr>
          <w:rFonts w:ascii="Arial" w:eastAsia="Calibri" w:hAnsi="Arial" w:cs="Arial"/>
          <w:sz w:val="20"/>
          <w:szCs w:val="20"/>
        </w:rPr>
        <w:t>youth and women are e</w:t>
      </w:r>
      <w:r w:rsidR="00902E84" w:rsidRPr="00807837">
        <w:rPr>
          <w:rFonts w:ascii="Arial" w:eastAsia="Calibri" w:hAnsi="Arial" w:cs="Arial"/>
          <w:sz w:val="20"/>
          <w:szCs w:val="20"/>
        </w:rPr>
        <w:t>m</w:t>
      </w:r>
      <w:r w:rsidR="001A499A" w:rsidRPr="00807837">
        <w:rPr>
          <w:rFonts w:ascii="Arial" w:eastAsia="Calibri" w:hAnsi="Arial" w:cs="Arial"/>
          <w:sz w:val="20"/>
          <w:szCs w:val="20"/>
        </w:rPr>
        <w:t>powered in a number of</w:t>
      </w:r>
      <w:r w:rsidR="00902E84" w:rsidRPr="00807837">
        <w:rPr>
          <w:rFonts w:ascii="Arial" w:eastAsia="Calibri" w:hAnsi="Arial" w:cs="Arial"/>
          <w:sz w:val="20"/>
          <w:szCs w:val="20"/>
        </w:rPr>
        <w:t xml:space="preserve"> skills spanning</w:t>
      </w:r>
      <w:r w:rsidR="001A499A" w:rsidRPr="00807837">
        <w:rPr>
          <w:rFonts w:ascii="Arial" w:eastAsia="Calibri" w:hAnsi="Arial" w:cs="Arial"/>
          <w:sz w:val="20"/>
          <w:szCs w:val="20"/>
        </w:rPr>
        <w:t xml:space="preserve"> </w:t>
      </w:r>
      <w:r w:rsidRPr="00807837">
        <w:rPr>
          <w:rFonts w:ascii="Arial" w:eastAsia="Calibri" w:hAnsi="Arial" w:cs="Arial"/>
          <w:sz w:val="20"/>
          <w:szCs w:val="20"/>
        </w:rPr>
        <w:t>var</w:t>
      </w:r>
      <w:r w:rsidR="001A499A" w:rsidRPr="00807837">
        <w:rPr>
          <w:rFonts w:ascii="Arial" w:eastAsia="Calibri" w:hAnsi="Arial" w:cs="Arial"/>
          <w:sz w:val="20"/>
          <w:szCs w:val="20"/>
        </w:rPr>
        <w:t>ious careers. They need to spend some</w:t>
      </w:r>
      <w:r w:rsidRPr="00807837">
        <w:rPr>
          <w:rFonts w:ascii="Arial" w:eastAsia="Calibri" w:hAnsi="Arial" w:cs="Arial"/>
          <w:sz w:val="20"/>
          <w:szCs w:val="20"/>
        </w:rPr>
        <w:t xml:space="preserve"> time in the practical experience training. Arrangements are made w</w:t>
      </w:r>
      <w:r w:rsidR="001A499A" w:rsidRPr="00807837">
        <w:rPr>
          <w:rFonts w:ascii="Arial" w:eastAsia="Calibri" w:hAnsi="Arial" w:cs="Arial"/>
          <w:sz w:val="20"/>
          <w:szCs w:val="20"/>
        </w:rPr>
        <w:t>ith host employers to expo</w:t>
      </w:r>
      <w:r w:rsidRPr="00807837">
        <w:rPr>
          <w:rFonts w:ascii="Arial" w:eastAsia="Calibri" w:hAnsi="Arial" w:cs="Arial"/>
          <w:sz w:val="20"/>
          <w:szCs w:val="20"/>
        </w:rPr>
        <w:t xml:space="preserve">se beneficiaries on practical skills. Stipends are paid to </w:t>
      </w:r>
      <w:r w:rsidR="00FF43E5" w:rsidRPr="00807837">
        <w:rPr>
          <w:rFonts w:ascii="Arial" w:eastAsia="Calibri" w:hAnsi="Arial" w:cs="Arial"/>
          <w:sz w:val="20"/>
          <w:szCs w:val="20"/>
        </w:rPr>
        <w:t>alleviate</w:t>
      </w:r>
      <w:r w:rsidRPr="00807837">
        <w:rPr>
          <w:rFonts w:ascii="Arial" w:eastAsia="Calibri" w:hAnsi="Arial" w:cs="Arial"/>
          <w:sz w:val="20"/>
          <w:szCs w:val="20"/>
        </w:rPr>
        <w:t xml:space="preserve"> poverty whilst i</w:t>
      </w:r>
      <w:r w:rsidR="001A499A" w:rsidRPr="00807837">
        <w:rPr>
          <w:rFonts w:ascii="Arial" w:eastAsia="Calibri" w:hAnsi="Arial" w:cs="Arial"/>
          <w:sz w:val="20"/>
          <w:szCs w:val="20"/>
        </w:rPr>
        <w:t>m</w:t>
      </w:r>
      <w:r w:rsidRPr="00807837">
        <w:rPr>
          <w:rFonts w:ascii="Arial" w:eastAsia="Calibri" w:hAnsi="Arial" w:cs="Arial"/>
          <w:sz w:val="20"/>
          <w:szCs w:val="20"/>
        </w:rPr>
        <w:t xml:space="preserve">parting skills. </w:t>
      </w:r>
    </w:p>
    <w:p w:rsidR="00125DB0" w:rsidRPr="00807837" w:rsidRDefault="00125DB0" w:rsidP="00807837">
      <w:pPr>
        <w:pStyle w:val="ListParagraph"/>
        <w:spacing w:after="0" w:line="240" w:lineRule="auto"/>
        <w:ind w:left="1440"/>
        <w:rPr>
          <w:rFonts w:ascii="Arial" w:eastAsia="Calibri" w:hAnsi="Arial" w:cs="Arial"/>
          <w:sz w:val="20"/>
          <w:szCs w:val="20"/>
        </w:rPr>
      </w:pPr>
    </w:p>
    <w:p w:rsidR="00784F66" w:rsidRPr="00807837" w:rsidRDefault="00784F66" w:rsidP="00807837">
      <w:pPr>
        <w:pStyle w:val="ListParagraph"/>
        <w:numPr>
          <w:ilvl w:val="0"/>
          <w:numId w:val="54"/>
        </w:numPr>
        <w:spacing w:after="0" w:line="240" w:lineRule="auto"/>
        <w:rPr>
          <w:rFonts w:ascii="Arial" w:eastAsia="Calibri" w:hAnsi="Arial" w:cs="Arial"/>
          <w:sz w:val="20"/>
          <w:szCs w:val="20"/>
        </w:rPr>
      </w:pPr>
      <w:r w:rsidRPr="00807837">
        <w:rPr>
          <w:rFonts w:ascii="Arial" w:eastAsia="Calibri" w:hAnsi="Arial" w:cs="Arial"/>
          <w:sz w:val="20"/>
          <w:szCs w:val="20"/>
        </w:rPr>
        <w:t>In alleviating COVID</w:t>
      </w:r>
      <w:r w:rsidR="00C31929" w:rsidRPr="00807837">
        <w:rPr>
          <w:rFonts w:ascii="Arial" w:eastAsia="Calibri" w:hAnsi="Arial" w:cs="Arial"/>
          <w:sz w:val="20"/>
          <w:szCs w:val="20"/>
        </w:rPr>
        <w:t>-</w:t>
      </w:r>
      <w:r w:rsidRPr="00807837">
        <w:rPr>
          <w:rFonts w:ascii="Arial" w:eastAsia="Calibri" w:hAnsi="Arial" w:cs="Arial"/>
          <w:sz w:val="20"/>
          <w:szCs w:val="20"/>
        </w:rPr>
        <w:t>19</w:t>
      </w:r>
      <w:r w:rsidR="00C25C85" w:rsidRPr="00807837">
        <w:rPr>
          <w:rFonts w:ascii="Arial" w:eastAsia="Calibri" w:hAnsi="Arial" w:cs="Arial"/>
          <w:sz w:val="20"/>
          <w:szCs w:val="20"/>
        </w:rPr>
        <w:t>,</w:t>
      </w:r>
      <w:r w:rsidRPr="00807837">
        <w:rPr>
          <w:rFonts w:ascii="Arial" w:eastAsia="Calibri" w:hAnsi="Arial" w:cs="Arial"/>
          <w:sz w:val="20"/>
          <w:szCs w:val="20"/>
        </w:rPr>
        <w:t xml:space="preserve"> the </w:t>
      </w:r>
      <w:r w:rsidR="00DE2715" w:rsidRPr="00807837">
        <w:rPr>
          <w:rFonts w:ascii="Arial" w:eastAsia="Calibri" w:hAnsi="Arial" w:cs="Arial"/>
          <w:sz w:val="20"/>
          <w:szCs w:val="20"/>
        </w:rPr>
        <w:t xml:space="preserve">capacity building </w:t>
      </w:r>
      <w:r w:rsidR="00FF43E5" w:rsidRPr="00807837">
        <w:rPr>
          <w:rFonts w:ascii="Arial" w:eastAsia="Calibri" w:hAnsi="Arial" w:cs="Arial"/>
          <w:sz w:val="20"/>
          <w:szCs w:val="20"/>
        </w:rPr>
        <w:t>programmes</w:t>
      </w:r>
      <w:r w:rsidRPr="00807837">
        <w:rPr>
          <w:rFonts w:ascii="Arial" w:eastAsia="Calibri" w:hAnsi="Arial" w:cs="Arial"/>
          <w:sz w:val="20"/>
          <w:szCs w:val="20"/>
        </w:rPr>
        <w:t xml:space="preserve"> included th</w:t>
      </w:r>
      <w:r w:rsidR="00C25C85" w:rsidRPr="00807837">
        <w:rPr>
          <w:rFonts w:ascii="Arial" w:eastAsia="Calibri" w:hAnsi="Arial" w:cs="Arial"/>
          <w:sz w:val="20"/>
          <w:szCs w:val="20"/>
        </w:rPr>
        <w:t>at the</w:t>
      </w:r>
      <w:r w:rsidRPr="00807837">
        <w:rPr>
          <w:rFonts w:ascii="Arial" w:eastAsia="Calibri" w:hAnsi="Arial" w:cs="Arial"/>
          <w:sz w:val="20"/>
          <w:szCs w:val="20"/>
        </w:rPr>
        <w:t xml:space="preserve"> retrenched youth </w:t>
      </w:r>
      <w:r w:rsidR="00C25C85" w:rsidRPr="00807837">
        <w:rPr>
          <w:rFonts w:ascii="Arial" w:eastAsia="Calibri" w:hAnsi="Arial" w:cs="Arial"/>
          <w:sz w:val="20"/>
          <w:szCs w:val="20"/>
        </w:rPr>
        <w:t xml:space="preserve">will continue being hosted by </w:t>
      </w:r>
      <w:r w:rsidR="005567D0" w:rsidRPr="00807837">
        <w:rPr>
          <w:rFonts w:ascii="Arial" w:eastAsia="Calibri" w:hAnsi="Arial" w:cs="Arial"/>
          <w:sz w:val="20"/>
          <w:szCs w:val="20"/>
        </w:rPr>
        <w:t>the employers</w:t>
      </w:r>
      <w:r w:rsidRPr="00807837">
        <w:rPr>
          <w:rFonts w:ascii="Arial" w:eastAsia="Calibri" w:hAnsi="Arial" w:cs="Arial"/>
          <w:sz w:val="20"/>
          <w:szCs w:val="20"/>
        </w:rPr>
        <w:t xml:space="preserve">. The training offered </w:t>
      </w:r>
      <w:r w:rsidR="00DE2715" w:rsidRPr="00807837">
        <w:rPr>
          <w:rFonts w:ascii="Arial" w:eastAsia="Calibri" w:hAnsi="Arial" w:cs="Arial"/>
          <w:sz w:val="20"/>
          <w:szCs w:val="20"/>
        </w:rPr>
        <w:t xml:space="preserve">to the </w:t>
      </w:r>
      <w:r w:rsidRPr="00807837">
        <w:rPr>
          <w:rFonts w:ascii="Arial" w:eastAsia="Calibri" w:hAnsi="Arial" w:cs="Arial"/>
          <w:sz w:val="20"/>
          <w:szCs w:val="20"/>
        </w:rPr>
        <w:t xml:space="preserve">youth </w:t>
      </w:r>
      <w:r w:rsidR="001A499A" w:rsidRPr="00807837">
        <w:rPr>
          <w:rFonts w:ascii="Arial" w:eastAsia="Calibri" w:hAnsi="Arial" w:cs="Arial"/>
          <w:sz w:val="20"/>
          <w:szCs w:val="20"/>
        </w:rPr>
        <w:t xml:space="preserve">equipped them with </w:t>
      </w:r>
      <w:r w:rsidRPr="00807837">
        <w:rPr>
          <w:rFonts w:ascii="Arial" w:eastAsia="Calibri" w:hAnsi="Arial" w:cs="Arial"/>
          <w:sz w:val="20"/>
          <w:szCs w:val="20"/>
        </w:rPr>
        <w:t xml:space="preserve">more skills, </w:t>
      </w:r>
      <w:r w:rsidR="00DE2715" w:rsidRPr="00807837">
        <w:rPr>
          <w:rFonts w:ascii="Arial" w:eastAsia="Calibri" w:hAnsi="Arial" w:cs="Arial"/>
          <w:sz w:val="20"/>
          <w:szCs w:val="20"/>
        </w:rPr>
        <w:t xml:space="preserve">such </w:t>
      </w:r>
      <w:r w:rsidRPr="00807837">
        <w:rPr>
          <w:rFonts w:ascii="Arial" w:eastAsia="Calibri" w:hAnsi="Arial" w:cs="Arial"/>
          <w:sz w:val="20"/>
          <w:szCs w:val="20"/>
        </w:rPr>
        <w:t xml:space="preserve">as </w:t>
      </w:r>
      <w:r w:rsidR="001A499A" w:rsidRPr="00807837">
        <w:rPr>
          <w:rFonts w:ascii="Arial" w:eastAsia="Calibri" w:hAnsi="Arial" w:cs="Arial"/>
          <w:sz w:val="20"/>
          <w:szCs w:val="20"/>
        </w:rPr>
        <w:t>training on Norms and Standards</w:t>
      </w:r>
      <w:r w:rsidR="00DE2715" w:rsidRPr="00807837">
        <w:rPr>
          <w:rFonts w:ascii="Arial" w:eastAsia="Calibri" w:hAnsi="Arial" w:cs="Arial"/>
          <w:sz w:val="20"/>
          <w:szCs w:val="20"/>
        </w:rPr>
        <w:t xml:space="preserve"> for safe operations at tourism facilities</w:t>
      </w:r>
      <w:r w:rsidR="001A499A" w:rsidRPr="00807837">
        <w:rPr>
          <w:rFonts w:ascii="Arial" w:eastAsia="Calibri" w:hAnsi="Arial" w:cs="Arial"/>
          <w:sz w:val="20"/>
          <w:szCs w:val="20"/>
        </w:rPr>
        <w:t>.</w:t>
      </w:r>
    </w:p>
    <w:p w:rsidR="00125DB0" w:rsidRPr="00807837" w:rsidRDefault="00125DB0" w:rsidP="00807837">
      <w:pPr>
        <w:spacing w:after="0" w:line="240" w:lineRule="auto"/>
        <w:rPr>
          <w:rFonts w:ascii="Arial" w:eastAsia="Calibri" w:hAnsi="Arial" w:cs="Arial"/>
          <w:sz w:val="20"/>
          <w:szCs w:val="20"/>
        </w:rPr>
      </w:pPr>
    </w:p>
    <w:p w:rsidR="00784F66" w:rsidRPr="00807837" w:rsidRDefault="00784F66" w:rsidP="00807837">
      <w:pPr>
        <w:numPr>
          <w:ilvl w:val="0"/>
          <w:numId w:val="54"/>
        </w:numPr>
        <w:spacing w:after="0" w:line="240" w:lineRule="auto"/>
        <w:rPr>
          <w:rFonts w:ascii="Arial" w:eastAsia="Calibri" w:hAnsi="Arial" w:cs="Arial"/>
          <w:sz w:val="20"/>
          <w:szCs w:val="20"/>
        </w:rPr>
      </w:pPr>
      <w:r w:rsidRPr="00807837">
        <w:rPr>
          <w:rFonts w:ascii="Arial" w:eastAsia="Calibri" w:hAnsi="Arial" w:cs="Arial"/>
          <w:sz w:val="20"/>
          <w:szCs w:val="20"/>
        </w:rPr>
        <w:t>Currently</w:t>
      </w:r>
      <w:r w:rsidR="001A499A" w:rsidRPr="00807837">
        <w:rPr>
          <w:rFonts w:ascii="Arial" w:eastAsia="Calibri" w:hAnsi="Arial" w:cs="Arial"/>
          <w:sz w:val="20"/>
          <w:szCs w:val="20"/>
        </w:rPr>
        <w:t xml:space="preserve">, the Department is </w:t>
      </w:r>
      <w:r w:rsidRPr="00807837">
        <w:rPr>
          <w:rFonts w:ascii="Arial" w:eastAsia="Calibri" w:hAnsi="Arial" w:cs="Arial"/>
          <w:sz w:val="20"/>
          <w:szCs w:val="20"/>
        </w:rPr>
        <w:t xml:space="preserve">in negotiations with associations in </w:t>
      </w:r>
      <w:r w:rsidR="001A499A" w:rsidRPr="00807837">
        <w:rPr>
          <w:rFonts w:ascii="Arial" w:eastAsia="Calibri" w:hAnsi="Arial" w:cs="Arial"/>
          <w:sz w:val="20"/>
          <w:szCs w:val="20"/>
        </w:rPr>
        <w:t xml:space="preserve">the </w:t>
      </w:r>
      <w:r w:rsidRPr="00807837">
        <w:rPr>
          <w:rFonts w:ascii="Arial" w:eastAsia="Calibri" w:hAnsi="Arial" w:cs="Arial"/>
          <w:sz w:val="20"/>
          <w:szCs w:val="20"/>
        </w:rPr>
        <w:t xml:space="preserve">accommodation </w:t>
      </w:r>
      <w:r w:rsidR="001A499A" w:rsidRPr="00807837">
        <w:rPr>
          <w:rFonts w:ascii="Arial" w:eastAsia="Calibri" w:hAnsi="Arial" w:cs="Arial"/>
          <w:sz w:val="20"/>
          <w:szCs w:val="20"/>
        </w:rPr>
        <w:t xml:space="preserve">sector </w:t>
      </w:r>
      <w:r w:rsidRPr="00807837">
        <w:rPr>
          <w:rFonts w:ascii="Arial" w:eastAsia="Calibri" w:hAnsi="Arial" w:cs="Arial"/>
          <w:sz w:val="20"/>
          <w:szCs w:val="20"/>
        </w:rPr>
        <w:t>to indicate areas in which the youth could be placed. A database has been made avail</w:t>
      </w:r>
      <w:r w:rsidR="001A499A" w:rsidRPr="00807837">
        <w:rPr>
          <w:rFonts w:ascii="Arial" w:eastAsia="Calibri" w:hAnsi="Arial" w:cs="Arial"/>
          <w:sz w:val="20"/>
          <w:szCs w:val="20"/>
        </w:rPr>
        <w:t xml:space="preserve">able to the Department of Employment and </w:t>
      </w:r>
      <w:r w:rsidRPr="00807837">
        <w:rPr>
          <w:rFonts w:ascii="Arial" w:eastAsia="Calibri" w:hAnsi="Arial" w:cs="Arial"/>
          <w:sz w:val="20"/>
          <w:szCs w:val="20"/>
        </w:rPr>
        <w:t>Labour to assist with placement. Th</w:t>
      </w:r>
      <w:r w:rsidR="001A499A" w:rsidRPr="00807837">
        <w:rPr>
          <w:rFonts w:ascii="Arial" w:eastAsia="Calibri" w:hAnsi="Arial" w:cs="Arial"/>
          <w:sz w:val="20"/>
          <w:szCs w:val="20"/>
        </w:rPr>
        <w:t xml:space="preserve">e </w:t>
      </w:r>
      <w:r w:rsidR="00FF43E5" w:rsidRPr="00807837">
        <w:rPr>
          <w:rFonts w:ascii="Arial" w:eastAsia="Calibri" w:hAnsi="Arial" w:cs="Arial"/>
          <w:sz w:val="20"/>
          <w:szCs w:val="20"/>
        </w:rPr>
        <w:t>private</w:t>
      </w:r>
      <w:r w:rsidRPr="00807837">
        <w:rPr>
          <w:rFonts w:ascii="Arial" w:eastAsia="Calibri" w:hAnsi="Arial" w:cs="Arial"/>
          <w:sz w:val="20"/>
          <w:szCs w:val="20"/>
        </w:rPr>
        <w:t xml:space="preserve"> sector is participating in the database to increase </w:t>
      </w:r>
      <w:r w:rsidR="00DE2715" w:rsidRPr="00807837">
        <w:rPr>
          <w:rFonts w:ascii="Arial" w:eastAsia="Calibri" w:hAnsi="Arial" w:cs="Arial"/>
          <w:sz w:val="20"/>
          <w:szCs w:val="20"/>
        </w:rPr>
        <w:t xml:space="preserve">the </w:t>
      </w:r>
      <w:r w:rsidRPr="00807837">
        <w:rPr>
          <w:rFonts w:ascii="Arial" w:eastAsia="Calibri" w:hAnsi="Arial" w:cs="Arial"/>
          <w:sz w:val="20"/>
          <w:szCs w:val="20"/>
        </w:rPr>
        <w:t>employability</w:t>
      </w:r>
      <w:r w:rsidR="00DE2715" w:rsidRPr="00807837">
        <w:rPr>
          <w:rFonts w:ascii="Arial" w:eastAsia="Calibri" w:hAnsi="Arial" w:cs="Arial"/>
          <w:sz w:val="20"/>
          <w:szCs w:val="20"/>
        </w:rPr>
        <w:t xml:space="preserve"> of youth</w:t>
      </w:r>
      <w:r w:rsidR="001A499A" w:rsidRPr="00807837">
        <w:rPr>
          <w:rFonts w:ascii="Arial" w:eastAsia="Calibri" w:hAnsi="Arial" w:cs="Arial"/>
          <w:sz w:val="20"/>
          <w:szCs w:val="20"/>
        </w:rPr>
        <w:t>.</w:t>
      </w:r>
    </w:p>
    <w:p w:rsidR="00125DB0" w:rsidRPr="00807837" w:rsidRDefault="00125DB0" w:rsidP="00807837">
      <w:pPr>
        <w:pStyle w:val="ListParagraph"/>
        <w:spacing w:after="0" w:line="240" w:lineRule="auto"/>
        <w:ind w:left="1440"/>
        <w:rPr>
          <w:rFonts w:ascii="Arial" w:eastAsia="Calibri" w:hAnsi="Arial" w:cs="Arial"/>
          <w:sz w:val="20"/>
          <w:szCs w:val="20"/>
        </w:rPr>
      </w:pPr>
    </w:p>
    <w:p w:rsidR="00784F66" w:rsidRPr="00807837" w:rsidRDefault="00784F66" w:rsidP="00807837">
      <w:pPr>
        <w:numPr>
          <w:ilvl w:val="0"/>
          <w:numId w:val="54"/>
        </w:numPr>
        <w:spacing w:after="0" w:line="240" w:lineRule="auto"/>
        <w:rPr>
          <w:rFonts w:ascii="Arial" w:eastAsia="Calibri" w:hAnsi="Arial" w:cs="Arial"/>
          <w:sz w:val="20"/>
          <w:szCs w:val="20"/>
        </w:rPr>
      </w:pPr>
      <w:r w:rsidRPr="00807837">
        <w:rPr>
          <w:rFonts w:ascii="Arial" w:eastAsia="Calibri" w:hAnsi="Arial" w:cs="Arial"/>
          <w:sz w:val="20"/>
          <w:szCs w:val="20"/>
        </w:rPr>
        <w:t>The employability is increased through incubation programme</w:t>
      </w:r>
      <w:r w:rsidR="00DE2715" w:rsidRPr="00807837">
        <w:rPr>
          <w:rFonts w:ascii="Arial" w:eastAsia="Calibri" w:hAnsi="Arial" w:cs="Arial"/>
          <w:sz w:val="20"/>
          <w:szCs w:val="20"/>
        </w:rPr>
        <w:t>s</w:t>
      </w:r>
      <w:r w:rsidRPr="00807837">
        <w:rPr>
          <w:rFonts w:ascii="Arial" w:eastAsia="Calibri" w:hAnsi="Arial" w:cs="Arial"/>
          <w:sz w:val="20"/>
          <w:szCs w:val="20"/>
        </w:rPr>
        <w:t xml:space="preserve">, such as </w:t>
      </w:r>
      <w:r w:rsidR="00DE2715" w:rsidRPr="00807837">
        <w:rPr>
          <w:rFonts w:ascii="Arial" w:eastAsia="Calibri" w:hAnsi="Arial" w:cs="Arial"/>
          <w:sz w:val="20"/>
          <w:szCs w:val="20"/>
        </w:rPr>
        <w:t xml:space="preserve">for </w:t>
      </w:r>
      <w:r w:rsidRPr="00807837">
        <w:rPr>
          <w:rFonts w:ascii="Arial" w:eastAsia="Calibri" w:hAnsi="Arial" w:cs="Arial"/>
          <w:sz w:val="20"/>
          <w:szCs w:val="20"/>
        </w:rPr>
        <w:t>sommeliers and chefs to gain business skills to run their own businesses.</w:t>
      </w:r>
    </w:p>
    <w:p w:rsidR="00784F66" w:rsidRPr="00807837" w:rsidRDefault="00784F66" w:rsidP="00807837">
      <w:pPr>
        <w:numPr>
          <w:ilvl w:val="0"/>
          <w:numId w:val="54"/>
        </w:numPr>
        <w:spacing w:after="0" w:line="240" w:lineRule="auto"/>
        <w:rPr>
          <w:rFonts w:ascii="Arial" w:eastAsia="Calibri" w:hAnsi="Arial" w:cs="Arial"/>
          <w:sz w:val="20"/>
          <w:szCs w:val="20"/>
        </w:rPr>
      </w:pPr>
      <w:r w:rsidRPr="00807837">
        <w:rPr>
          <w:rFonts w:ascii="Arial" w:eastAsia="Calibri" w:hAnsi="Arial" w:cs="Arial"/>
          <w:sz w:val="20"/>
          <w:szCs w:val="20"/>
        </w:rPr>
        <w:t>Some community based projects were being id</w:t>
      </w:r>
      <w:r w:rsidR="001A499A" w:rsidRPr="00807837">
        <w:rPr>
          <w:rFonts w:ascii="Arial" w:eastAsia="Calibri" w:hAnsi="Arial" w:cs="Arial"/>
          <w:sz w:val="20"/>
          <w:szCs w:val="20"/>
        </w:rPr>
        <w:t>entified for implementation</w:t>
      </w:r>
      <w:r w:rsidR="003B0E05" w:rsidRPr="00807837">
        <w:rPr>
          <w:rFonts w:ascii="Arial" w:eastAsia="Calibri" w:hAnsi="Arial" w:cs="Arial"/>
          <w:sz w:val="20"/>
          <w:szCs w:val="20"/>
        </w:rPr>
        <w:t xml:space="preserve"> - </w:t>
      </w:r>
      <w:r w:rsidR="001A499A" w:rsidRPr="00807837">
        <w:rPr>
          <w:rFonts w:ascii="Arial" w:eastAsia="Calibri" w:hAnsi="Arial" w:cs="Arial"/>
          <w:sz w:val="20"/>
          <w:szCs w:val="20"/>
        </w:rPr>
        <w:t>this</w:t>
      </w:r>
      <w:r w:rsidRPr="00807837">
        <w:rPr>
          <w:rFonts w:ascii="Arial" w:eastAsia="Calibri" w:hAnsi="Arial" w:cs="Arial"/>
          <w:sz w:val="20"/>
          <w:szCs w:val="20"/>
        </w:rPr>
        <w:t xml:space="preserve"> is a </w:t>
      </w:r>
      <w:r w:rsidR="00FF43E5" w:rsidRPr="00807837">
        <w:rPr>
          <w:rFonts w:ascii="Arial" w:eastAsia="Calibri" w:hAnsi="Arial" w:cs="Arial"/>
          <w:sz w:val="20"/>
          <w:szCs w:val="20"/>
        </w:rPr>
        <w:t>pilot</w:t>
      </w:r>
      <w:r w:rsidRPr="00807837">
        <w:rPr>
          <w:rFonts w:ascii="Arial" w:eastAsia="Calibri" w:hAnsi="Arial" w:cs="Arial"/>
          <w:sz w:val="20"/>
          <w:szCs w:val="20"/>
        </w:rPr>
        <w:t xml:space="preserve"> programme and </w:t>
      </w:r>
      <w:r w:rsidR="001A499A" w:rsidRPr="00807837">
        <w:rPr>
          <w:rFonts w:ascii="Arial" w:eastAsia="Calibri" w:hAnsi="Arial" w:cs="Arial"/>
          <w:sz w:val="20"/>
          <w:szCs w:val="20"/>
        </w:rPr>
        <w:t xml:space="preserve">will commence </w:t>
      </w:r>
      <w:r w:rsidRPr="00807837">
        <w:rPr>
          <w:rFonts w:ascii="Arial" w:eastAsia="Calibri" w:hAnsi="Arial" w:cs="Arial"/>
          <w:sz w:val="20"/>
          <w:szCs w:val="20"/>
        </w:rPr>
        <w:t>soon</w:t>
      </w:r>
      <w:r w:rsidR="001A499A" w:rsidRPr="00807837">
        <w:rPr>
          <w:rFonts w:ascii="Arial" w:eastAsia="Calibri" w:hAnsi="Arial" w:cs="Arial"/>
          <w:sz w:val="20"/>
          <w:szCs w:val="20"/>
        </w:rPr>
        <w:t>.</w:t>
      </w:r>
    </w:p>
    <w:p w:rsidR="00125DB0" w:rsidRPr="00807837" w:rsidRDefault="00125DB0" w:rsidP="00807837">
      <w:pPr>
        <w:pStyle w:val="ListParagraph"/>
        <w:spacing w:after="0" w:line="240" w:lineRule="auto"/>
        <w:ind w:left="1440"/>
        <w:rPr>
          <w:rFonts w:ascii="Arial" w:eastAsia="Calibri" w:hAnsi="Arial" w:cs="Arial"/>
          <w:sz w:val="20"/>
          <w:szCs w:val="20"/>
        </w:rPr>
      </w:pPr>
    </w:p>
    <w:p w:rsidR="00784F66" w:rsidRPr="00807837" w:rsidRDefault="00784F66" w:rsidP="00807837">
      <w:pPr>
        <w:numPr>
          <w:ilvl w:val="0"/>
          <w:numId w:val="54"/>
        </w:numPr>
        <w:spacing w:after="0" w:line="240" w:lineRule="auto"/>
        <w:rPr>
          <w:rFonts w:ascii="Arial" w:eastAsia="Calibri" w:hAnsi="Arial" w:cs="Arial"/>
          <w:sz w:val="20"/>
          <w:szCs w:val="20"/>
        </w:rPr>
      </w:pPr>
      <w:r w:rsidRPr="00807837">
        <w:rPr>
          <w:rFonts w:ascii="Arial" w:eastAsia="Calibri" w:hAnsi="Arial" w:cs="Arial"/>
          <w:sz w:val="20"/>
          <w:szCs w:val="20"/>
        </w:rPr>
        <w:t xml:space="preserve">The Phalaborwa </w:t>
      </w:r>
      <w:r w:rsidR="00FF43E5" w:rsidRPr="00807837">
        <w:rPr>
          <w:rFonts w:ascii="Arial" w:eastAsia="Calibri" w:hAnsi="Arial" w:cs="Arial"/>
          <w:sz w:val="20"/>
          <w:szCs w:val="20"/>
        </w:rPr>
        <w:t>and</w:t>
      </w:r>
      <w:r w:rsidRPr="00807837">
        <w:rPr>
          <w:rFonts w:ascii="Arial" w:eastAsia="Calibri" w:hAnsi="Arial" w:cs="Arial"/>
          <w:sz w:val="20"/>
          <w:szCs w:val="20"/>
        </w:rPr>
        <w:t xml:space="preserve"> Manyeleti </w:t>
      </w:r>
      <w:r w:rsidR="001A499A" w:rsidRPr="00807837">
        <w:rPr>
          <w:rFonts w:ascii="Arial" w:eastAsia="Calibri" w:hAnsi="Arial" w:cs="Arial"/>
          <w:sz w:val="20"/>
          <w:szCs w:val="20"/>
        </w:rPr>
        <w:t>incubator</w:t>
      </w:r>
      <w:r w:rsidR="00DE2715" w:rsidRPr="00807837">
        <w:rPr>
          <w:rFonts w:ascii="Arial" w:eastAsia="Calibri" w:hAnsi="Arial" w:cs="Arial"/>
          <w:sz w:val="20"/>
          <w:szCs w:val="20"/>
        </w:rPr>
        <w:t>s</w:t>
      </w:r>
      <w:r w:rsidR="001A499A" w:rsidRPr="00807837">
        <w:rPr>
          <w:rFonts w:ascii="Arial" w:eastAsia="Calibri" w:hAnsi="Arial" w:cs="Arial"/>
          <w:sz w:val="20"/>
          <w:szCs w:val="20"/>
        </w:rPr>
        <w:t xml:space="preserve"> </w:t>
      </w:r>
      <w:r w:rsidRPr="00807837">
        <w:rPr>
          <w:rFonts w:ascii="Arial" w:eastAsia="Calibri" w:hAnsi="Arial" w:cs="Arial"/>
          <w:sz w:val="20"/>
          <w:szCs w:val="20"/>
        </w:rPr>
        <w:t xml:space="preserve">sourced a number of women – at some point there was a rotation of </w:t>
      </w:r>
      <w:r w:rsidR="001A499A" w:rsidRPr="00807837">
        <w:rPr>
          <w:rFonts w:ascii="Arial" w:eastAsia="Calibri" w:hAnsi="Arial" w:cs="Arial"/>
          <w:sz w:val="20"/>
          <w:szCs w:val="20"/>
        </w:rPr>
        <w:t>over 50 women in each incubator</w:t>
      </w:r>
      <w:r w:rsidRPr="00807837">
        <w:rPr>
          <w:rFonts w:ascii="Arial" w:eastAsia="Calibri" w:hAnsi="Arial" w:cs="Arial"/>
          <w:sz w:val="20"/>
          <w:szCs w:val="20"/>
        </w:rPr>
        <w:t>.</w:t>
      </w:r>
    </w:p>
    <w:p w:rsidR="00125DB0" w:rsidRPr="00807837" w:rsidRDefault="00125DB0" w:rsidP="00807837">
      <w:pPr>
        <w:pStyle w:val="ListParagraph"/>
        <w:spacing w:after="0" w:line="240" w:lineRule="auto"/>
        <w:ind w:left="1440"/>
        <w:rPr>
          <w:rFonts w:ascii="Arial" w:eastAsia="Calibri" w:hAnsi="Arial" w:cs="Arial"/>
          <w:sz w:val="20"/>
          <w:szCs w:val="20"/>
        </w:rPr>
      </w:pPr>
    </w:p>
    <w:p w:rsidR="00784F66" w:rsidRPr="00807837" w:rsidRDefault="001A499A" w:rsidP="00807837">
      <w:pPr>
        <w:numPr>
          <w:ilvl w:val="0"/>
          <w:numId w:val="54"/>
        </w:numPr>
        <w:spacing w:after="0" w:line="240" w:lineRule="auto"/>
        <w:rPr>
          <w:rFonts w:ascii="Arial" w:eastAsia="Calibri" w:hAnsi="Arial" w:cs="Arial"/>
          <w:sz w:val="20"/>
          <w:szCs w:val="20"/>
        </w:rPr>
      </w:pPr>
      <w:r w:rsidRPr="00807837">
        <w:rPr>
          <w:rFonts w:ascii="Arial" w:eastAsia="Calibri" w:hAnsi="Arial" w:cs="Arial"/>
          <w:sz w:val="20"/>
          <w:szCs w:val="20"/>
        </w:rPr>
        <w:t>The Women Executive Development P</w:t>
      </w:r>
      <w:r w:rsidR="00784F66" w:rsidRPr="00807837">
        <w:rPr>
          <w:rFonts w:ascii="Arial" w:eastAsia="Calibri" w:hAnsi="Arial" w:cs="Arial"/>
          <w:sz w:val="20"/>
          <w:szCs w:val="20"/>
        </w:rPr>
        <w:t xml:space="preserve">rogramme partners with tertiary </w:t>
      </w:r>
      <w:r w:rsidRPr="00807837">
        <w:rPr>
          <w:rFonts w:ascii="Arial" w:eastAsia="Calibri" w:hAnsi="Arial" w:cs="Arial"/>
          <w:sz w:val="20"/>
          <w:szCs w:val="20"/>
        </w:rPr>
        <w:t>education institution</w:t>
      </w:r>
      <w:r w:rsidR="00784F66" w:rsidRPr="00807837">
        <w:rPr>
          <w:rFonts w:ascii="Arial" w:eastAsia="Calibri" w:hAnsi="Arial" w:cs="Arial"/>
          <w:sz w:val="20"/>
          <w:szCs w:val="20"/>
        </w:rPr>
        <w:t>s</w:t>
      </w:r>
      <w:r w:rsidRPr="00807837">
        <w:rPr>
          <w:rFonts w:ascii="Arial" w:eastAsia="Calibri" w:hAnsi="Arial" w:cs="Arial"/>
          <w:sz w:val="20"/>
          <w:szCs w:val="20"/>
        </w:rPr>
        <w:t xml:space="preserve"> in</w:t>
      </w:r>
      <w:r w:rsidR="00784F66" w:rsidRPr="00807837">
        <w:rPr>
          <w:rFonts w:ascii="Arial" w:eastAsia="Calibri" w:hAnsi="Arial" w:cs="Arial"/>
          <w:sz w:val="20"/>
          <w:szCs w:val="20"/>
        </w:rPr>
        <w:t xml:space="preserve"> ensuring that </w:t>
      </w:r>
      <w:r w:rsidR="00FF43E5" w:rsidRPr="00807837">
        <w:rPr>
          <w:rFonts w:ascii="Arial" w:eastAsia="Calibri" w:hAnsi="Arial" w:cs="Arial"/>
          <w:sz w:val="20"/>
          <w:szCs w:val="20"/>
        </w:rPr>
        <w:t>women</w:t>
      </w:r>
      <w:r w:rsidR="00784F66" w:rsidRPr="00807837">
        <w:rPr>
          <w:rFonts w:ascii="Arial" w:eastAsia="Calibri" w:hAnsi="Arial" w:cs="Arial"/>
          <w:sz w:val="20"/>
          <w:szCs w:val="20"/>
        </w:rPr>
        <w:t xml:space="preserve"> participate fully in tourism programmes.</w:t>
      </w:r>
    </w:p>
    <w:p w:rsidR="000C7351" w:rsidRPr="00807837" w:rsidRDefault="000C7351" w:rsidP="00807837">
      <w:pPr>
        <w:spacing w:after="0" w:line="240" w:lineRule="auto"/>
        <w:rPr>
          <w:rFonts w:ascii="Arial" w:eastAsia="Calibri" w:hAnsi="Arial" w:cs="Arial"/>
          <w:sz w:val="20"/>
          <w:szCs w:val="20"/>
        </w:rPr>
      </w:pPr>
    </w:p>
    <w:p w:rsidR="000C7351" w:rsidRPr="00807837" w:rsidRDefault="008352D5" w:rsidP="00807837">
      <w:pPr>
        <w:spacing w:after="0" w:line="240" w:lineRule="auto"/>
        <w:rPr>
          <w:rFonts w:ascii="Arial" w:eastAsia="Calibri" w:hAnsi="Arial" w:cs="Arial"/>
          <w:sz w:val="20"/>
          <w:szCs w:val="20"/>
        </w:rPr>
      </w:pPr>
      <w:r w:rsidRPr="00807837">
        <w:rPr>
          <w:rFonts w:ascii="Arial" w:eastAsia="Calibri" w:hAnsi="Arial" w:cs="Arial"/>
          <w:sz w:val="20"/>
          <w:szCs w:val="20"/>
        </w:rPr>
        <w:t>8.2.15</w:t>
      </w:r>
      <w:r w:rsidRPr="00807837">
        <w:rPr>
          <w:rFonts w:ascii="Arial" w:eastAsia="Calibri" w:hAnsi="Arial" w:cs="Arial"/>
          <w:sz w:val="20"/>
          <w:szCs w:val="20"/>
        </w:rPr>
        <w:tab/>
      </w:r>
      <w:r w:rsidR="000C7351" w:rsidRPr="00807837">
        <w:rPr>
          <w:rFonts w:ascii="Arial" w:eastAsia="Calibri" w:hAnsi="Arial" w:cs="Arial"/>
          <w:sz w:val="20"/>
          <w:szCs w:val="20"/>
        </w:rPr>
        <w:t>Safety and security for tourists</w:t>
      </w:r>
    </w:p>
    <w:p w:rsidR="000C7351" w:rsidRPr="00807837" w:rsidRDefault="000C7351" w:rsidP="00807837">
      <w:pPr>
        <w:spacing w:after="0" w:line="240" w:lineRule="auto"/>
        <w:rPr>
          <w:rFonts w:ascii="Arial" w:eastAsia="Calibri" w:hAnsi="Arial" w:cs="Arial"/>
          <w:sz w:val="20"/>
          <w:szCs w:val="20"/>
        </w:rPr>
      </w:pPr>
    </w:p>
    <w:p w:rsidR="000C7351" w:rsidRPr="00807837" w:rsidRDefault="000C7351" w:rsidP="00807837">
      <w:pPr>
        <w:spacing w:after="0" w:line="240" w:lineRule="auto"/>
        <w:rPr>
          <w:rFonts w:ascii="Arial" w:eastAsia="Calibri" w:hAnsi="Arial" w:cs="Arial"/>
          <w:sz w:val="20"/>
          <w:szCs w:val="20"/>
        </w:rPr>
      </w:pPr>
      <w:r w:rsidRPr="00807837">
        <w:rPr>
          <w:rFonts w:ascii="Arial" w:eastAsia="Calibri" w:hAnsi="Arial" w:cs="Arial"/>
          <w:sz w:val="20"/>
          <w:szCs w:val="20"/>
        </w:rPr>
        <w:t xml:space="preserve">The Committee </w:t>
      </w:r>
      <w:r w:rsidR="00567BC8" w:rsidRPr="00807837">
        <w:rPr>
          <w:rFonts w:ascii="Arial" w:eastAsia="Calibri" w:hAnsi="Arial" w:cs="Arial"/>
          <w:sz w:val="20"/>
          <w:szCs w:val="20"/>
        </w:rPr>
        <w:t>noted with serious concern the</w:t>
      </w:r>
      <w:r w:rsidRPr="00807837">
        <w:rPr>
          <w:rFonts w:ascii="Arial" w:eastAsia="Calibri" w:hAnsi="Arial" w:cs="Arial"/>
          <w:sz w:val="20"/>
          <w:szCs w:val="20"/>
        </w:rPr>
        <w:t xml:space="preserve"> deepening situation on safety and security for tourists. The</w:t>
      </w:r>
      <w:r w:rsidR="00567BC8" w:rsidRPr="00807837">
        <w:rPr>
          <w:rFonts w:ascii="Arial" w:eastAsia="Calibri" w:hAnsi="Arial" w:cs="Arial"/>
          <w:sz w:val="20"/>
          <w:szCs w:val="20"/>
        </w:rPr>
        <w:t xml:space="preserve"> situation was </w:t>
      </w:r>
      <w:r w:rsidR="00FF43E5" w:rsidRPr="00807837">
        <w:rPr>
          <w:rFonts w:ascii="Arial" w:eastAsia="Calibri" w:hAnsi="Arial" w:cs="Arial"/>
          <w:sz w:val="20"/>
          <w:szCs w:val="20"/>
        </w:rPr>
        <w:t>exacerbated by</w:t>
      </w:r>
      <w:r w:rsidR="00567BC8" w:rsidRPr="00807837">
        <w:rPr>
          <w:rFonts w:ascii="Arial" w:eastAsia="Calibri" w:hAnsi="Arial" w:cs="Arial"/>
          <w:sz w:val="20"/>
          <w:szCs w:val="20"/>
        </w:rPr>
        <w:t xml:space="preserve"> the </w:t>
      </w:r>
      <w:r w:rsidRPr="00807837">
        <w:rPr>
          <w:rFonts w:ascii="Arial" w:eastAsia="Calibri" w:hAnsi="Arial" w:cs="Arial"/>
          <w:sz w:val="20"/>
          <w:szCs w:val="20"/>
        </w:rPr>
        <w:t xml:space="preserve">fatal shooting </w:t>
      </w:r>
      <w:r w:rsidR="00FF43E5" w:rsidRPr="00807837">
        <w:rPr>
          <w:rFonts w:ascii="Arial" w:eastAsia="Calibri" w:hAnsi="Arial" w:cs="Arial"/>
          <w:sz w:val="20"/>
          <w:szCs w:val="20"/>
        </w:rPr>
        <w:t>of a</w:t>
      </w:r>
      <w:r w:rsidR="00567BC8" w:rsidRPr="00807837">
        <w:rPr>
          <w:rFonts w:ascii="Arial" w:eastAsia="Calibri" w:hAnsi="Arial" w:cs="Arial"/>
          <w:sz w:val="20"/>
          <w:szCs w:val="20"/>
        </w:rPr>
        <w:t xml:space="preserve"> </w:t>
      </w:r>
      <w:r w:rsidRPr="00807837">
        <w:rPr>
          <w:rFonts w:ascii="Arial" w:eastAsia="Calibri" w:hAnsi="Arial" w:cs="Arial"/>
          <w:sz w:val="20"/>
          <w:szCs w:val="20"/>
        </w:rPr>
        <w:t xml:space="preserve">German tourist en route to the Kruger National Park in Mpumalanga on the 3rd October 2022. </w:t>
      </w:r>
      <w:r w:rsidR="00567BC8" w:rsidRPr="00807837">
        <w:rPr>
          <w:rFonts w:ascii="Arial" w:eastAsia="Calibri" w:hAnsi="Arial" w:cs="Arial"/>
          <w:sz w:val="20"/>
          <w:szCs w:val="20"/>
        </w:rPr>
        <w:t xml:space="preserve">The Committee also noted that </w:t>
      </w:r>
      <w:r w:rsidRPr="00807837">
        <w:rPr>
          <w:rFonts w:ascii="Arial" w:eastAsia="Calibri" w:hAnsi="Arial" w:cs="Arial"/>
          <w:sz w:val="20"/>
          <w:szCs w:val="20"/>
        </w:rPr>
        <w:t xml:space="preserve">three </w:t>
      </w:r>
      <w:r w:rsidR="00567BC8" w:rsidRPr="00807837">
        <w:rPr>
          <w:rFonts w:ascii="Arial" w:eastAsia="Calibri" w:hAnsi="Arial" w:cs="Arial"/>
          <w:sz w:val="20"/>
          <w:szCs w:val="20"/>
        </w:rPr>
        <w:t xml:space="preserve">suspects </w:t>
      </w:r>
      <w:r w:rsidRPr="00807837">
        <w:rPr>
          <w:rFonts w:ascii="Arial" w:eastAsia="Calibri" w:hAnsi="Arial" w:cs="Arial"/>
          <w:sz w:val="20"/>
          <w:szCs w:val="20"/>
        </w:rPr>
        <w:t>have been arrested by the South African Police Service</w:t>
      </w:r>
      <w:r w:rsidR="00DE2715" w:rsidRPr="00807837">
        <w:rPr>
          <w:rFonts w:ascii="Arial" w:eastAsia="Calibri" w:hAnsi="Arial" w:cs="Arial"/>
          <w:sz w:val="20"/>
          <w:szCs w:val="20"/>
        </w:rPr>
        <w:t>s</w:t>
      </w:r>
      <w:r w:rsidRPr="00807837">
        <w:rPr>
          <w:rFonts w:ascii="Arial" w:eastAsia="Calibri" w:hAnsi="Arial" w:cs="Arial"/>
          <w:sz w:val="20"/>
          <w:szCs w:val="20"/>
        </w:rPr>
        <w:t xml:space="preserve"> in relation to the murder of the tourist.  The Minister of Tourism </w:t>
      </w:r>
      <w:r w:rsidR="00567BC8" w:rsidRPr="00807837">
        <w:rPr>
          <w:rFonts w:ascii="Arial" w:eastAsia="Calibri" w:hAnsi="Arial" w:cs="Arial"/>
          <w:sz w:val="20"/>
          <w:szCs w:val="20"/>
        </w:rPr>
        <w:t xml:space="preserve">is </w:t>
      </w:r>
      <w:r w:rsidRPr="00807837">
        <w:rPr>
          <w:rFonts w:ascii="Arial" w:eastAsia="Calibri" w:hAnsi="Arial" w:cs="Arial"/>
          <w:sz w:val="20"/>
          <w:szCs w:val="20"/>
        </w:rPr>
        <w:t xml:space="preserve">commended for her role in the matter </w:t>
      </w:r>
      <w:r w:rsidR="005567D0" w:rsidRPr="00807837">
        <w:rPr>
          <w:rFonts w:ascii="Arial" w:eastAsia="Calibri" w:hAnsi="Arial" w:cs="Arial"/>
          <w:sz w:val="20"/>
          <w:szCs w:val="20"/>
        </w:rPr>
        <w:t>and the</w:t>
      </w:r>
      <w:r w:rsidR="00DE2715" w:rsidRPr="00807837">
        <w:rPr>
          <w:rFonts w:ascii="Arial" w:eastAsia="Calibri" w:hAnsi="Arial" w:cs="Arial"/>
          <w:sz w:val="20"/>
          <w:szCs w:val="20"/>
        </w:rPr>
        <w:t xml:space="preserve"> efforts </w:t>
      </w:r>
      <w:r w:rsidRPr="00807837">
        <w:rPr>
          <w:rFonts w:ascii="Arial" w:eastAsia="Calibri" w:hAnsi="Arial" w:cs="Arial"/>
          <w:sz w:val="20"/>
          <w:szCs w:val="20"/>
        </w:rPr>
        <w:t xml:space="preserve">she showed with her team in taking time to reach out to the family of the victim, the other three tourists and getting to the bottom of what happened. </w:t>
      </w:r>
      <w:r w:rsidR="00567BC8" w:rsidRPr="00807837">
        <w:rPr>
          <w:rFonts w:ascii="Arial" w:eastAsia="Calibri" w:hAnsi="Arial" w:cs="Arial"/>
          <w:sz w:val="20"/>
          <w:szCs w:val="20"/>
        </w:rPr>
        <w:t>The Committee is concerned that th</w:t>
      </w:r>
      <w:r w:rsidRPr="00807837">
        <w:rPr>
          <w:rFonts w:ascii="Arial" w:eastAsia="Calibri" w:hAnsi="Arial" w:cs="Arial"/>
          <w:sz w:val="20"/>
          <w:szCs w:val="20"/>
        </w:rPr>
        <w:t xml:space="preserve">is incident may discourage international tourists to come to South Africa and seriously have a knock on effect on forward bookings, even inducing cancellations. The </w:t>
      </w:r>
      <w:r w:rsidR="00567BC8" w:rsidRPr="00807837">
        <w:rPr>
          <w:rFonts w:ascii="Arial" w:eastAsia="Calibri" w:hAnsi="Arial" w:cs="Arial"/>
          <w:sz w:val="20"/>
          <w:szCs w:val="20"/>
        </w:rPr>
        <w:t xml:space="preserve">Committee </w:t>
      </w:r>
      <w:r w:rsidR="00FF43E5" w:rsidRPr="00807837">
        <w:rPr>
          <w:rFonts w:ascii="Arial" w:eastAsia="Calibri" w:hAnsi="Arial" w:cs="Arial"/>
          <w:sz w:val="20"/>
          <w:szCs w:val="20"/>
        </w:rPr>
        <w:t>acknowledges</w:t>
      </w:r>
      <w:r w:rsidR="009D5850" w:rsidRPr="00807837">
        <w:rPr>
          <w:rFonts w:ascii="Arial" w:eastAsia="Calibri" w:hAnsi="Arial" w:cs="Arial"/>
          <w:sz w:val="20"/>
          <w:szCs w:val="20"/>
        </w:rPr>
        <w:t xml:space="preserve"> the efforts made by</w:t>
      </w:r>
      <w:r w:rsidR="00567BC8" w:rsidRPr="00807837">
        <w:rPr>
          <w:rFonts w:ascii="Arial" w:eastAsia="Calibri" w:hAnsi="Arial" w:cs="Arial"/>
          <w:sz w:val="20"/>
          <w:szCs w:val="20"/>
        </w:rPr>
        <w:t xml:space="preserve"> the </w:t>
      </w:r>
      <w:r w:rsidR="00FF43E5" w:rsidRPr="00807837">
        <w:rPr>
          <w:rFonts w:ascii="Arial" w:eastAsia="Calibri" w:hAnsi="Arial" w:cs="Arial"/>
          <w:sz w:val="20"/>
          <w:szCs w:val="20"/>
        </w:rPr>
        <w:t>Minister of</w:t>
      </w:r>
      <w:r w:rsidR="00567BC8" w:rsidRPr="00807837">
        <w:rPr>
          <w:rFonts w:ascii="Arial" w:eastAsia="Calibri" w:hAnsi="Arial" w:cs="Arial"/>
          <w:sz w:val="20"/>
          <w:szCs w:val="20"/>
        </w:rPr>
        <w:t xml:space="preserve"> Tourism on the </w:t>
      </w:r>
      <w:r w:rsidR="009D5850" w:rsidRPr="00807837">
        <w:rPr>
          <w:rFonts w:ascii="Arial" w:eastAsia="Calibri" w:hAnsi="Arial" w:cs="Arial"/>
          <w:sz w:val="20"/>
          <w:szCs w:val="20"/>
        </w:rPr>
        <w:t xml:space="preserve">matter of safety and security </w:t>
      </w:r>
      <w:r w:rsidR="00DE2715" w:rsidRPr="00807837">
        <w:rPr>
          <w:rFonts w:ascii="Arial" w:eastAsia="Calibri" w:hAnsi="Arial" w:cs="Arial"/>
          <w:sz w:val="20"/>
          <w:szCs w:val="20"/>
        </w:rPr>
        <w:t xml:space="preserve">and the </w:t>
      </w:r>
      <w:r w:rsidR="00567BC8" w:rsidRPr="00807837">
        <w:rPr>
          <w:rFonts w:ascii="Arial" w:eastAsia="Calibri" w:hAnsi="Arial" w:cs="Arial"/>
          <w:sz w:val="20"/>
          <w:szCs w:val="20"/>
        </w:rPr>
        <w:t xml:space="preserve">work with the </w:t>
      </w:r>
      <w:r w:rsidR="009D5850" w:rsidRPr="00807837">
        <w:rPr>
          <w:rFonts w:ascii="Arial" w:eastAsia="Calibri" w:hAnsi="Arial" w:cs="Arial"/>
          <w:sz w:val="20"/>
          <w:szCs w:val="20"/>
        </w:rPr>
        <w:t>South African Police Services, but calls for more measures to be put in place.</w:t>
      </w:r>
    </w:p>
    <w:p w:rsidR="00DE2715" w:rsidRPr="00807837" w:rsidRDefault="00DE2715" w:rsidP="00807837">
      <w:pPr>
        <w:spacing w:after="0" w:line="240" w:lineRule="auto"/>
        <w:rPr>
          <w:rFonts w:ascii="Arial" w:eastAsia="Calibri" w:hAnsi="Arial" w:cs="Arial"/>
          <w:sz w:val="20"/>
          <w:szCs w:val="20"/>
        </w:rPr>
      </w:pPr>
    </w:p>
    <w:p w:rsidR="000C7351" w:rsidRPr="00807837" w:rsidRDefault="008352D5" w:rsidP="00807837">
      <w:pPr>
        <w:spacing w:after="0" w:line="240" w:lineRule="auto"/>
        <w:rPr>
          <w:rFonts w:ascii="Arial" w:eastAsia="Calibri" w:hAnsi="Arial" w:cs="Arial"/>
          <w:sz w:val="20"/>
          <w:szCs w:val="20"/>
        </w:rPr>
      </w:pPr>
      <w:r w:rsidRPr="00807837">
        <w:rPr>
          <w:rFonts w:ascii="Arial" w:eastAsia="Calibri" w:hAnsi="Arial" w:cs="Arial"/>
          <w:sz w:val="20"/>
          <w:szCs w:val="20"/>
        </w:rPr>
        <w:t>8.2.16</w:t>
      </w:r>
      <w:r w:rsidRPr="00807837">
        <w:rPr>
          <w:rFonts w:ascii="Arial" w:eastAsia="Calibri" w:hAnsi="Arial" w:cs="Arial"/>
          <w:sz w:val="20"/>
          <w:szCs w:val="20"/>
        </w:rPr>
        <w:tab/>
      </w:r>
      <w:r w:rsidR="000C7351" w:rsidRPr="00807837">
        <w:rPr>
          <w:rFonts w:ascii="Arial" w:eastAsia="Calibri" w:hAnsi="Arial" w:cs="Arial"/>
          <w:sz w:val="20"/>
          <w:szCs w:val="20"/>
        </w:rPr>
        <w:t>Attacks on long distance bus operators</w:t>
      </w:r>
    </w:p>
    <w:p w:rsidR="000C7351" w:rsidRPr="00807837" w:rsidRDefault="000C7351" w:rsidP="00807837">
      <w:pPr>
        <w:spacing w:after="0" w:line="240" w:lineRule="auto"/>
        <w:rPr>
          <w:rFonts w:ascii="Arial" w:eastAsia="Calibri" w:hAnsi="Arial" w:cs="Arial"/>
          <w:sz w:val="20"/>
          <w:szCs w:val="20"/>
        </w:rPr>
      </w:pPr>
    </w:p>
    <w:p w:rsidR="000C7351" w:rsidRPr="00807837" w:rsidRDefault="000035BF" w:rsidP="00807837">
      <w:pPr>
        <w:spacing w:after="0" w:line="240" w:lineRule="auto"/>
        <w:rPr>
          <w:rFonts w:ascii="Arial" w:eastAsia="Calibri" w:hAnsi="Arial" w:cs="Arial"/>
          <w:sz w:val="20"/>
          <w:szCs w:val="20"/>
        </w:rPr>
      </w:pPr>
      <w:r w:rsidRPr="00807837">
        <w:rPr>
          <w:rFonts w:ascii="Arial" w:eastAsia="Calibri" w:hAnsi="Arial" w:cs="Arial"/>
          <w:sz w:val="20"/>
          <w:szCs w:val="20"/>
        </w:rPr>
        <w:t xml:space="preserve">The Committee has observed increasing incidents of attacks on long distance busses. In this regard, the Committee </w:t>
      </w:r>
      <w:r w:rsidR="00FF43E5" w:rsidRPr="00807837">
        <w:rPr>
          <w:rFonts w:ascii="Arial" w:eastAsia="Calibri" w:hAnsi="Arial" w:cs="Arial"/>
          <w:sz w:val="20"/>
          <w:szCs w:val="20"/>
        </w:rPr>
        <w:t>convened</w:t>
      </w:r>
      <w:r w:rsidRPr="00807837">
        <w:rPr>
          <w:rFonts w:ascii="Arial" w:eastAsia="Calibri" w:hAnsi="Arial" w:cs="Arial"/>
          <w:sz w:val="20"/>
          <w:szCs w:val="20"/>
        </w:rPr>
        <w:t xml:space="preserve"> hearings with the affected parties, being the Intercape Long Distance </w:t>
      </w:r>
      <w:r w:rsidR="002F2E54" w:rsidRPr="00807837">
        <w:rPr>
          <w:rFonts w:ascii="Arial" w:eastAsia="Calibri" w:hAnsi="Arial" w:cs="Arial"/>
          <w:sz w:val="20"/>
          <w:szCs w:val="20"/>
        </w:rPr>
        <w:t xml:space="preserve">Bus </w:t>
      </w:r>
      <w:r w:rsidRPr="00807837">
        <w:rPr>
          <w:rFonts w:ascii="Arial" w:eastAsia="Calibri" w:hAnsi="Arial" w:cs="Arial"/>
          <w:sz w:val="20"/>
          <w:szCs w:val="20"/>
        </w:rPr>
        <w:t xml:space="preserve">Liner and also the leadership of </w:t>
      </w:r>
      <w:r w:rsidR="0056242C" w:rsidRPr="00807837">
        <w:rPr>
          <w:rFonts w:ascii="Arial" w:eastAsia="Calibri" w:hAnsi="Arial" w:cs="Arial"/>
          <w:sz w:val="20"/>
          <w:szCs w:val="20"/>
        </w:rPr>
        <w:t xml:space="preserve">the </w:t>
      </w:r>
      <w:r w:rsidRPr="00807837">
        <w:rPr>
          <w:rFonts w:ascii="Arial" w:eastAsia="Calibri" w:hAnsi="Arial" w:cs="Arial"/>
          <w:sz w:val="20"/>
          <w:szCs w:val="20"/>
        </w:rPr>
        <w:t xml:space="preserve">South African Police </w:t>
      </w:r>
      <w:r w:rsidR="0056242C" w:rsidRPr="00807837">
        <w:rPr>
          <w:rFonts w:ascii="Arial" w:eastAsia="Calibri" w:hAnsi="Arial" w:cs="Arial"/>
          <w:sz w:val="20"/>
          <w:szCs w:val="20"/>
        </w:rPr>
        <w:t>S</w:t>
      </w:r>
      <w:r w:rsidRPr="00807837">
        <w:rPr>
          <w:rFonts w:ascii="Arial" w:eastAsia="Calibri" w:hAnsi="Arial" w:cs="Arial"/>
          <w:sz w:val="20"/>
          <w:szCs w:val="20"/>
        </w:rPr>
        <w:t xml:space="preserve">ervices and the </w:t>
      </w:r>
      <w:r w:rsidR="00FF43E5" w:rsidRPr="00807837">
        <w:rPr>
          <w:rFonts w:ascii="Arial" w:eastAsia="Calibri" w:hAnsi="Arial" w:cs="Arial"/>
          <w:sz w:val="20"/>
          <w:szCs w:val="20"/>
        </w:rPr>
        <w:t xml:space="preserve">Minister of Transport. The </w:t>
      </w:r>
      <w:r w:rsidR="00FF43E5" w:rsidRPr="00807837">
        <w:rPr>
          <w:rFonts w:ascii="Arial" w:eastAsia="Calibri" w:hAnsi="Arial" w:cs="Arial"/>
          <w:sz w:val="20"/>
          <w:szCs w:val="20"/>
        </w:rPr>
        <w:lastRenderedPageBreak/>
        <w:t>Committee is of th</w:t>
      </w:r>
      <w:r w:rsidRPr="00807837">
        <w:rPr>
          <w:rFonts w:ascii="Arial" w:eastAsia="Calibri" w:hAnsi="Arial" w:cs="Arial"/>
          <w:sz w:val="20"/>
          <w:szCs w:val="20"/>
        </w:rPr>
        <w:t>e</w:t>
      </w:r>
      <w:r w:rsidR="00FF43E5" w:rsidRPr="00807837">
        <w:rPr>
          <w:rFonts w:ascii="Arial" w:eastAsia="Calibri" w:hAnsi="Arial" w:cs="Arial"/>
          <w:sz w:val="20"/>
          <w:szCs w:val="20"/>
        </w:rPr>
        <w:t xml:space="preserve"> </w:t>
      </w:r>
      <w:r w:rsidRPr="00807837">
        <w:rPr>
          <w:rFonts w:ascii="Arial" w:eastAsia="Calibri" w:hAnsi="Arial" w:cs="Arial"/>
          <w:sz w:val="20"/>
          <w:szCs w:val="20"/>
        </w:rPr>
        <w:t>view that t</w:t>
      </w:r>
      <w:r w:rsidR="000C7351" w:rsidRPr="00807837">
        <w:rPr>
          <w:rFonts w:ascii="Arial" w:eastAsia="Calibri" w:hAnsi="Arial" w:cs="Arial"/>
          <w:sz w:val="20"/>
          <w:szCs w:val="20"/>
        </w:rPr>
        <w:t>he ranking of</w:t>
      </w:r>
      <w:r w:rsidRPr="00807837">
        <w:rPr>
          <w:rFonts w:ascii="Arial" w:eastAsia="Calibri" w:hAnsi="Arial" w:cs="Arial"/>
          <w:sz w:val="20"/>
          <w:szCs w:val="20"/>
        </w:rPr>
        <w:t xml:space="preserve"> </w:t>
      </w:r>
      <w:r w:rsidR="000C7351" w:rsidRPr="00807837">
        <w:rPr>
          <w:rFonts w:ascii="Arial" w:eastAsia="Calibri" w:hAnsi="Arial" w:cs="Arial"/>
          <w:sz w:val="20"/>
          <w:szCs w:val="20"/>
        </w:rPr>
        <w:t xml:space="preserve">112 in 117 countries in Safety and Security should provide an increased impetus in solving matters that have a potential to exacerbate the situation. The ongoing targeted attacks on long distance busses is a ticking time bomb should international tourists be hurt in the attacks. </w:t>
      </w:r>
      <w:r w:rsidRPr="00807837">
        <w:rPr>
          <w:rFonts w:ascii="Arial" w:eastAsia="Calibri" w:hAnsi="Arial" w:cs="Arial"/>
          <w:sz w:val="20"/>
          <w:szCs w:val="20"/>
        </w:rPr>
        <w:t xml:space="preserve">The matter has been escalated with the </w:t>
      </w:r>
      <w:r w:rsidR="00FF43E5" w:rsidRPr="00807837">
        <w:rPr>
          <w:rFonts w:ascii="Arial" w:eastAsia="Calibri" w:hAnsi="Arial" w:cs="Arial"/>
          <w:sz w:val="20"/>
          <w:szCs w:val="20"/>
        </w:rPr>
        <w:t>Minister</w:t>
      </w:r>
      <w:r w:rsidRPr="00807837">
        <w:rPr>
          <w:rFonts w:ascii="Arial" w:eastAsia="Calibri" w:hAnsi="Arial" w:cs="Arial"/>
          <w:sz w:val="20"/>
          <w:szCs w:val="20"/>
        </w:rPr>
        <w:t xml:space="preserve"> of Tourism to call for a</w:t>
      </w:r>
      <w:r w:rsidR="0056242C" w:rsidRPr="00807837">
        <w:rPr>
          <w:rFonts w:ascii="Arial" w:eastAsia="Calibri" w:hAnsi="Arial" w:cs="Arial"/>
          <w:sz w:val="20"/>
          <w:szCs w:val="20"/>
        </w:rPr>
        <w:t>n</w:t>
      </w:r>
      <w:r w:rsidRPr="00807837">
        <w:rPr>
          <w:rFonts w:ascii="Arial" w:eastAsia="Calibri" w:hAnsi="Arial" w:cs="Arial"/>
          <w:sz w:val="20"/>
          <w:szCs w:val="20"/>
        </w:rPr>
        <w:t xml:space="preserve"> InterMinisterial Committee to work with NATJOINTS on the matter. The Committee will</w:t>
      </w:r>
      <w:r w:rsidR="000C7351" w:rsidRPr="00807837">
        <w:rPr>
          <w:rFonts w:ascii="Arial" w:eastAsia="Calibri" w:hAnsi="Arial" w:cs="Arial"/>
          <w:sz w:val="20"/>
          <w:szCs w:val="20"/>
        </w:rPr>
        <w:t xml:space="preserve"> impress on the Minister to provide a comprehensive feedback to the letter w</w:t>
      </w:r>
      <w:r w:rsidRPr="00807837">
        <w:rPr>
          <w:rFonts w:ascii="Arial" w:eastAsia="Calibri" w:hAnsi="Arial" w:cs="Arial"/>
          <w:sz w:val="20"/>
          <w:szCs w:val="20"/>
        </w:rPr>
        <w:t>ritten by the Chairperson on how</w:t>
      </w:r>
      <w:r w:rsidR="000C7351" w:rsidRPr="00807837">
        <w:rPr>
          <w:rFonts w:ascii="Arial" w:eastAsia="Calibri" w:hAnsi="Arial" w:cs="Arial"/>
          <w:sz w:val="20"/>
          <w:szCs w:val="20"/>
        </w:rPr>
        <w:t xml:space="preserve"> she has escalated the matter at a Cabinet level. A decisive action by the NATJOINTS is necessary to avert incidents such as the recent killing of the German tourist in </w:t>
      </w:r>
      <w:r w:rsidR="00FF43E5" w:rsidRPr="00807837">
        <w:rPr>
          <w:rFonts w:ascii="Arial" w:eastAsia="Calibri" w:hAnsi="Arial" w:cs="Arial"/>
          <w:sz w:val="20"/>
          <w:szCs w:val="20"/>
        </w:rPr>
        <w:t>Mpumalanga</w:t>
      </w:r>
      <w:r w:rsidR="000C7351" w:rsidRPr="00807837">
        <w:rPr>
          <w:rFonts w:ascii="Arial" w:eastAsia="Calibri" w:hAnsi="Arial" w:cs="Arial"/>
          <w:sz w:val="20"/>
          <w:szCs w:val="20"/>
        </w:rPr>
        <w:t>.</w:t>
      </w:r>
    </w:p>
    <w:p w:rsidR="000C7351" w:rsidRPr="00807837" w:rsidRDefault="000C7351" w:rsidP="00807837">
      <w:pPr>
        <w:spacing w:after="0" w:line="240" w:lineRule="auto"/>
        <w:rPr>
          <w:rFonts w:ascii="Arial" w:eastAsia="Calibri" w:hAnsi="Arial" w:cs="Arial"/>
          <w:sz w:val="20"/>
          <w:szCs w:val="20"/>
        </w:rPr>
      </w:pPr>
    </w:p>
    <w:p w:rsidR="000C7351" w:rsidRPr="00807837" w:rsidRDefault="008352D5" w:rsidP="00807837">
      <w:pPr>
        <w:spacing w:after="0" w:line="240" w:lineRule="auto"/>
        <w:rPr>
          <w:rFonts w:ascii="Arial" w:eastAsia="Calibri" w:hAnsi="Arial" w:cs="Arial"/>
          <w:sz w:val="20"/>
          <w:szCs w:val="20"/>
        </w:rPr>
      </w:pPr>
      <w:r w:rsidRPr="00807837">
        <w:rPr>
          <w:rFonts w:ascii="Arial" w:eastAsia="Calibri" w:hAnsi="Arial" w:cs="Arial"/>
          <w:sz w:val="20"/>
          <w:szCs w:val="20"/>
        </w:rPr>
        <w:t>8.2.17</w:t>
      </w:r>
      <w:r w:rsidRPr="00807837">
        <w:rPr>
          <w:rFonts w:ascii="Arial" w:eastAsia="Calibri" w:hAnsi="Arial" w:cs="Arial"/>
          <w:sz w:val="20"/>
          <w:szCs w:val="20"/>
        </w:rPr>
        <w:tab/>
      </w:r>
      <w:r w:rsidR="000C7351" w:rsidRPr="00807837">
        <w:rPr>
          <w:rFonts w:ascii="Arial" w:eastAsia="Calibri" w:hAnsi="Arial" w:cs="Arial"/>
          <w:sz w:val="20"/>
          <w:szCs w:val="20"/>
        </w:rPr>
        <w:t>Increased cost of air travel</w:t>
      </w:r>
    </w:p>
    <w:p w:rsidR="000C7351" w:rsidRPr="00807837" w:rsidRDefault="000C7351" w:rsidP="00807837">
      <w:pPr>
        <w:spacing w:after="0" w:line="240" w:lineRule="auto"/>
        <w:rPr>
          <w:rFonts w:ascii="Arial" w:eastAsia="Calibri" w:hAnsi="Arial" w:cs="Arial"/>
          <w:sz w:val="20"/>
          <w:szCs w:val="20"/>
        </w:rPr>
      </w:pPr>
    </w:p>
    <w:p w:rsidR="000C7351" w:rsidRPr="00807837" w:rsidRDefault="000035BF" w:rsidP="00807837">
      <w:pPr>
        <w:spacing w:after="0" w:line="240" w:lineRule="auto"/>
        <w:rPr>
          <w:rFonts w:ascii="Arial" w:eastAsia="Calibri" w:hAnsi="Arial" w:cs="Arial"/>
          <w:sz w:val="20"/>
          <w:szCs w:val="20"/>
        </w:rPr>
      </w:pPr>
      <w:r w:rsidRPr="00807837">
        <w:rPr>
          <w:rFonts w:ascii="Arial" w:eastAsia="Calibri" w:hAnsi="Arial" w:cs="Arial"/>
          <w:sz w:val="20"/>
          <w:szCs w:val="20"/>
        </w:rPr>
        <w:t xml:space="preserve">It was noted that the </w:t>
      </w:r>
      <w:r w:rsidR="000C7351" w:rsidRPr="00807837">
        <w:rPr>
          <w:rFonts w:ascii="Arial" w:eastAsia="Calibri" w:hAnsi="Arial" w:cs="Arial"/>
          <w:sz w:val="20"/>
          <w:szCs w:val="20"/>
        </w:rPr>
        <w:t>Global Business Travel Association (GBTA) has predicted that air travel cost will continue to rise sharply for the remainder of 2022 and the entirety of 2023. The organisation’s 2023 Annual Global Business Travel Forecast, which examines costs across the world, predicts that 2022 will see a full year average increase of 48.5 per cent in airfares, 18.5 per cent in hotel rates and 7.3 per cent in car-rental charges. In 2023, airfares are expected to rise by 8.4 per cent, hotel rates by 8.2 per cent and car rentals by 6.8 per cent. The sentiments raised by industry experts note that the rising fuel prices, labour shortages, and inflationary pressures in raw material costs are the primary drivers of the expected price growth. The demand for business travel and meetings is back with a vengeance, of that there is absolutely no doubt. However, labour shortages across the travel and hospitality industry, rising raw material prices, and greater awareness for responsible travel are all having an impact on services, but predicted pricing is, on the whole, on a par with 2019.</w:t>
      </w:r>
      <w:r w:rsidRPr="00807837">
        <w:rPr>
          <w:rFonts w:ascii="Arial" w:eastAsia="Calibri" w:hAnsi="Arial" w:cs="Arial"/>
          <w:sz w:val="20"/>
          <w:szCs w:val="20"/>
        </w:rPr>
        <w:t xml:space="preserve"> The Committee noted with concern that t</w:t>
      </w:r>
      <w:r w:rsidR="000C7351" w:rsidRPr="00807837">
        <w:rPr>
          <w:rFonts w:ascii="Arial" w:eastAsia="Calibri" w:hAnsi="Arial" w:cs="Arial"/>
          <w:sz w:val="20"/>
          <w:szCs w:val="20"/>
        </w:rPr>
        <w:t xml:space="preserve">he demise of the domestic </w:t>
      </w:r>
      <w:r w:rsidR="00C25C85" w:rsidRPr="00807837">
        <w:rPr>
          <w:rFonts w:ascii="Arial" w:eastAsia="Calibri" w:hAnsi="Arial" w:cs="Arial"/>
          <w:sz w:val="20"/>
          <w:szCs w:val="20"/>
        </w:rPr>
        <w:t>air carriers</w:t>
      </w:r>
      <w:r w:rsidR="000C7351" w:rsidRPr="00807837">
        <w:rPr>
          <w:rFonts w:ascii="Arial" w:eastAsia="Calibri" w:hAnsi="Arial" w:cs="Arial"/>
          <w:sz w:val="20"/>
          <w:szCs w:val="20"/>
        </w:rPr>
        <w:t xml:space="preserve"> in South Africa has exacerbated the increase in </w:t>
      </w:r>
      <w:r w:rsidR="0056242C" w:rsidRPr="00807837">
        <w:rPr>
          <w:rFonts w:ascii="Arial" w:eastAsia="Calibri" w:hAnsi="Arial" w:cs="Arial"/>
          <w:sz w:val="20"/>
          <w:szCs w:val="20"/>
        </w:rPr>
        <w:t xml:space="preserve">prices for </w:t>
      </w:r>
      <w:r w:rsidR="000C7351" w:rsidRPr="00807837">
        <w:rPr>
          <w:rFonts w:ascii="Arial" w:eastAsia="Calibri" w:hAnsi="Arial" w:cs="Arial"/>
          <w:sz w:val="20"/>
          <w:szCs w:val="20"/>
        </w:rPr>
        <w:t xml:space="preserve">domestic flights. This will bring more pressure on the sector, in addition to the forecasted increase in international flights. The Committee </w:t>
      </w:r>
      <w:r w:rsidRPr="00807837">
        <w:rPr>
          <w:rFonts w:ascii="Arial" w:eastAsia="Calibri" w:hAnsi="Arial" w:cs="Arial"/>
          <w:sz w:val="20"/>
          <w:szCs w:val="20"/>
        </w:rPr>
        <w:t>will continue e</w:t>
      </w:r>
      <w:r w:rsidR="000C7351" w:rsidRPr="00807837">
        <w:rPr>
          <w:rFonts w:ascii="Arial" w:eastAsia="Calibri" w:hAnsi="Arial" w:cs="Arial"/>
          <w:sz w:val="20"/>
          <w:szCs w:val="20"/>
        </w:rPr>
        <w:t>ngag</w:t>
      </w:r>
      <w:r w:rsidRPr="00807837">
        <w:rPr>
          <w:rFonts w:ascii="Arial" w:eastAsia="Calibri" w:hAnsi="Arial" w:cs="Arial"/>
          <w:sz w:val="20"/>
          <w:szCs w:val="20"/>
        </w:rPr>
        <w:t>ing</w:t>
      </w:r>
      <w:r w:rsidR="000C7351" w:rsidRPr="00807837">
        <w:rPr>
          <w:rFonts w:ascii="Arial" w:eastAsia="Calibri" w:hAnsi="Arial" w:cs="Arial"/>
          <w:sz w:val="20"/>
          <w:szCs w:val="20"/>
        </w:rPr>
        <w:t xml:space="preserve"> the Minister on </w:t>
      </w:r>
      <w:r w:rsidRPr="00807837">
        <w:rPr>
          <w:rFonts w:ascii="Arial" w:eastAsia="Calibri" w:hAnsi="Arial" w:cs="Arial"/>
          <w:sz w:val="20"/>
          <w:szCs w:val="20"/>
        </w:rPr>
        <w:t xml:space="preserve">the </w:t>
      </w:r>
      <w:r w:rsidR="000C7351" w:rsidRPr="00807837">
        <w:rPr>
          <w:rFonts w:ascii="Arial" w:eastAsia="Calibri" w:hAnsi="Arial" w:cs="Arial"/>
          <w:sz w:val="20"/>
          <w:szCs w:val="20"/>
        </w:rPr>
        <w:t xml:space="preserve">strategies </w:t>
      </w:r>
      <w:r w:rsidR="0056242C" w:rsidRPr="00807837">
        <w:rPr>
          <w:rFonts w:ascii="Arial" w:eastAsia="Calibri" w:hAnsi="Arial" w:cs="Arial"/>
          <w:sz w:val="20"/>
          <w:szCs w:val="20"/>
        </w:rPr>
        <w:t xml:space="preserve">to </w:t>
      </w:r>
      <w:r w:rsidR="00FF43E5" w:rsidRPr="00807837">
        <w:rPr>
          <w:rFonts w:ascii="Arial" w:eastAsia="Calibri" w:hAnsi="Arial" w:cs="Arial"/>
          <w:sz w:val="20"/>
          <w:szCs w:val="20"/>
        </w:rPr>
        <w:t>cushion</w:t>
      </w:r>
      <w:r w:rsidRPr="00807837">
        <w:rPr>
          <w:rFonts w:ascii="Arial" w:eastAsia="Calibri" w:hAnsi="Arial" w:cs="Arial"/>
          <w:sz w:val="20"/>
          <w:szCs w:val="20"/>
        </w:rPr>
        <w:t xml:space="preserve"> citizens from </w:t>
      </w:r>
      <w:r w:rsidR="0056242C" w:rsidRPr="00807837">
        <w:rPr>
          <w:rFonts w:ascii="Arial" w:eastAsia="Calibri" w:hAnsi="Arial" w:cs="Arial"/>
          <w:sz w:val="20"/>
          <w:szCs w:val="20"/>
        </w:rPr>
        <w:t xml:space="preserve">the </w:t>
      </w:r>
      <w:r w:rsidRPr="00807837">
        <w:rPr>
          <w:rFonts w:ascii="Arial" w:eastAsia="Calibri" w:hAnsi="Arial" w:cs="Arial"/>
          <w:sz w:val="20"/>
          <w:szCs w:val="20"/>
        </w:rPr>
        <w:t>increasing cost of air travel.</w:t>
      </w:r>
    </w:p>
    <w:p w:rsidR="0056242C" w:rsidRPr="00807837" w:rsidRDefault="0056242C" w:rsidP="00807837">
      <w:pPr>
        <w:spacing w:after="0" w:line="240" w:lineRule="auto"/>
        <w:rPr>
          <w:rFonts w:ascii="Arial" w:eastAsia="Calibri" w:hAnsi="Arial" w:cs="Arial"/>
          <w:sz w:val="20"/>
          <w:szCs w:val="20"/>
        </w:rPr>
      </w:pPr>
    </w:p>
    <w:p w:rsidR="000C7351" w:rsidRPr="00807837" w:rsidRDefault="008352D5" w:rsidP="00807837">
      <w:pPr>
        <w:spacing w:after="0" w:line="240" w:lineRule="auto"/>
        <w:rPr>
          <w:rFonts w:ascii="Arial" w:eastAsia="Calibri" w:hAnsi="Arial" w:cs="Arial"/>
          <w:sz w:val="20"/>
          <w:szCs w:val="20"/>
        </w:rPr>
      </w:pPr>
      <w:r w:rsidRPr="00807837">
        <w:rPr>
          <w:rFonts w:ascii="Arial" w:eastAsia="Calibri" w:hAnsi="Arial" w:cs="Arial"/>
          <w:sz w:val="20"/>
          <w:szCs w:val="20"/>
        </w:rPr>
        <w:t>8.2.18</w:t>
      </w:r>
      <w:r w:rsidRPr="00807837">
        <w:rPr>
          <w:rFonts w:ascii="Arial" w:eastAsia="Calibri" w:hAnsi="Arial" w:cs="Arial"/>
          <w:sz w:val="20"/>
          <w:szCs w:val="20"/>
        </w:rPr>
        <w:tab/>
      </w:r>
      <w:r w:rsidR="000C7351" w:rsidRPr="00807837">
        <w:rPr>
          <w:rFonts w:ascii="Arial" w:eastAsia="Calibri" w:hAnsi="Arial" w:cs="Arial"/>
          <w:sz w:val="20"/>
          <w:szCs w:val="20"/>
        </w:rPr>
        <w:t xml:space="preserve">Vacancy rate </w:t>
      </w:r>
    </w:p>
    <w:p w:rsidR="000C7351" w:rsidRPr="00807837" w:rsidRDefault="000C7351" w:rsidP="00807837">
      <w:pPr>
        <w:spacing w:after="0" w:line="240" w:lineRule="auto"/>
        <w:rPr>
          <w:rFonts w:ascii="Arial" w:eastAsia="Calibri" w:hAnsi="Arial" w:cs="Arial"/>
          <w:sz w:val="20"/>
          <w:szCs w:val="20"/>
        </w:rPr>
      </w:pPr>
    </w:p>
    <w:p w:rsidR="000C7351" w:rsidRPr="00807837" w:rsidRDefault="000035BF" w:rsidP="00807837">
      <w:pPr>
        <w:spacing w:after="0" w:line="240" w:lineRule="auto"/>
        <w:rPr>
          <w:rFonts w:ascii="Arial" w:eastAsia="Calibri" w:hAnsi="Arial" w:cs="Arial"/>
          <w:sz w:val="20"/>
          <w:szCs w:val="20"/>
        </w:rPr>
      </w:pPr>
      <w:r w:rsidRPr="00807837">
        <w:rPr>
          <w:rFonts w:ascii="Arial" w:eastAsia="Calibri" w:hAnsi="Arial" w:cs="Arial"/>
          <w:sz w:val="20"/>
          <w:szCs w:val="20"/>
        </w:rPr>
        <w:t>The Department is doing well on t</w:t>
      </w:r>
      <w:r w:rsidR="000C7351" w:rsidRPr="00807837">
        <w:rPr>
          <w:rFonts w:ascii="Arial" w:eastAsia="Calibri" w:hAnsi="Arial" w:cs="Arial"/>
          <w:sz w:val="20"/>
          <w:szCs w:val="20"/>
        </w:rPr>
        <w:t xml:space="preserve">he vacancy rate </w:t>
      </w:r>
      <w:r w:rsidRPr="00807837">
        <w:rPr>
          <w:rFonts w:ascii="Arial" w:eastAsia="Calibri" w:hAnsi="Arial" w:cs="Arial"/>
          <w:sz w:val="20"/>
          <w:szCs w:val="20"/>
        </w:rPr>
        <w:t>a</w:t>
      </w:r>
      <w:r w:rsidR="00FF43E5" w:rsidRPr="00807837">
        <w:rPr>
          <w:rFonts w:ascii="Arial" w:eastAsia="Calibri" w:hAnsi="Arial" w:cs="Arial"/>
          <w:sz w:val="20"/>
          <w:szCs w:val="20"/>
        </w:rPr>
        <w:t>s</w:t>
      </w:r>
      <w:r w:rsidRPr="00807837">
        <w:rPr>
          <w:rFonts w:ascii="Arial" w:eastAsia="Calibri" w:hAnsi="Arial" w:cs="Arial"/>
          <w:sz w:val="20"/>
          <w:szCs w:val="20"/>
        </w:rPr>
        <w:t xml:space="preserve"> it </w:t>
      </w:r>
      <w:r w:rsidR="00FF43E5" w:rsidRPr="00807837">
        <w:rPr>
          <w:rFonts w:ascii="Arial" w:eastAsia="Calibri" w:hAnsi="Arial" w:cs="Arial"/>
          <w:sz w:val="20"/>
          <w:szCs w:val="20"/>
        </w:rPr>
        <w:t>stood</w:t>
      </w:r>
      <w:r w:rsidRPr="00807837">
        <w:rPr>
          <w:rFonts w:ascii="Arial" w:eastAsia="Calibri" w:hAnsi="Arial" w:cs="Arial"/>
          <w:sz w:val="20"/>
          <w:szCs w:val="20"/>
        </w:rPr>
        <w:t xml:space="preserve"> at 1</w:t>
      </w:r>
      <w:r w:rsidR="000C7351" w:rsidRPr="00807837">
        <w:rPr>
          <w:rFonts w:ascii="Arial" w:eastAsia="Calibri" w:hAnsi="Arial" w:cs="Arial"/>
          <w:sz w:val="20"/>
          <w:szCs w:val="20"/>
        </w:rPr>
        <w:t>0 per cent at the end of the financial year. The Departmental post-establishment was at 512 with 461 positions filled and 51 positions vacant. The Committee note</w:t>
      </w:r>
      <w:r w:rsidRPr="00807837">
        <w:rPr>
          <w:rFonts w:ascii="Arial" w:eastAsia="Calibri" w:hAnsi="Arial" w:cs="Arial"/>
          <w:sz w:val="20"/>
          <w:szCs w:val="20"/>
        </w:rPr>
        <w:t>d</w:t>
      </w:r>
      <w:r w:rsidR="000C7351" w:rsidRPr="00807837">
        <w:rPr>
          <w:rFonts w:ascii="Arial" w:eastAsia="Calibri" w:hAnsi="Arial" w:cs="Arial"/>
          <w:sz w:val="20"/>
          <w:szCs w:val="20"/>
        </w:rPr>
        <w:t xml:space="preserve"> that 2021/2022 was the first year of the implementation of the National Treasury reduction of baseline which included budget cuts within Compensation of Employees, resulting in several previously funded positions declared unfunded. While the target on 10 per cent vacancy rate was achieved, the target on 50 per cent female representation at Senior Management Services was impacted.</w:t>
      </w:r>
    </w:p>
    <w:p w:rsidR="000C7351" w:rsidRPr="00807837" w:rsidRDefault="000C7351" w:rsidP="00807837">
      <w:pPr>
        <w:spacing w:after="0" w:line="240" w:lineRule="auto"/>
        <w:rPr>
          <w:rFonts w:ascii="Arial" w:eastAsia="Calibri" w:hAnsi="Arial" w:cs="Arial"/>
          <w:sz w:val="20"/>
          <w:szCs w:val="20"/>
        </w:rPr>
      </w:pPr>
    </w:p>
    <w:p w:rsidR="005D38F8" w:rsidRPr="00807837" w:rsidRDefault="005D38F8" w:rsidP="00807837">
      <w:pPr>
        <w:spacing w:after="0" w:line="240" w:lineRule="auto"/>
        <w:rPr>
          <w:rFonts w:ascii="Arial" w:eastAsia="Calibri" w:hAnsi="Arial" w:cs="Arial"/>
          <w:b/>
          <w:sz w:val="20"/>
          <w:szCs w:val="20"/>
        </w:rPr>
      </w:pPr>
      <w:r w:rsidRPr="00807837">
        <w:rPr>
          <w:rFonts w:ascii="Arial" w:eastAsia="Calibri" w:hAnsi="Arial" w:cs="Arial"/>
          <w:b/>
          <w:sz w:val="20"/>
          <w:szCs w:val="20"/>
        </w:rPr>
        <w:t>Observations with regard to South African Tourism</w:t>
      </w:r>
    </w:p>
    <w:p w:rsidR="005D38F8" w:rsidRPr="00807837" w:rsidRDefault="005D38F8" w:rsidP="00807837">
      <w:pPr>
        <w:spacing w:after="0" w:line="240" w:lineRule="auto"/>
        <w:rPr>
          <w:rFonts w:ascii="Arial" w:eastAsia="Calibri" w:hAnsi="Arial" w:cs="Arial"/>
          <w:sz w:val="20"/>
          <w:szCs w:val="20"/>
        </w:rPr>
      </w:pPr>
    </w:p>
    <w:p w:rsidR="00AC4A4B" w:rsidRPr="00807837" w:rsidRDefault="005D38F8" w:rsidP="00807837">
      <w:pPr>
        <w:spacing w:after="0" w:line="240" w:lineRule="auto"/>
        <w:rPr>
          <w:rFonts w:ascii="Arial" w:eastAsia="Calibri" w:hAnsi="Arial" w:cs="Arial"/>
          <w:sz w:val="20"/>
          <w:szCs w:val="20"/>
        </w:rPr>
      </w:pPr>
      <w:r w:rsidRPr="00807837">
        <w:rPr>
          <w:rFonts w:ascii="Arial" w:eastAsia="Calibri" w:hAnsi="Arial" w:cs="Arial"/>
          <w:sz w:val="20"/>
          <w:szCs w:val="20"/>
        </w:rPr>
        <w:t>The following observations were made in relation to South African Tourism from the Report of the Auditor-General and the analysis of the Annual Report:</w:t>
      </w:r>
      <w:r w:rsidR="00AC4A4B" w:rsidRPr="00807837">
        <w:rPr>
          <w:rFonts w:ascii="Arial" w:eastAsia="Calibri" w:hAnsi="Arial" w:cs="Arial"/>
          <w:sz w:val="20"/>
          <w:szCs w:val="20"/>
        </w:rPr>
        <w:tab/>
      </w:r>
    </w:p>
    <w:p w:rsidR="00906728" w:rsidRPr="00807837" w:rsidRDefault="00906728" w:rsidP="00807837">
      <w:pPr>
        <w:spacing w:after="0" w:line="240" w:lineRule="auto"/>
        <w:rPr>
          <w:rFonts w:ascii="Arial" w:eastAsia="Calibri" w:hAnsi="Arial" w:cs="Arial"/>
          <w:sz w:val="20"/>
          <w:szCs w:val="20"/>
        </w:rPr>
      </w:pPr>
    </w:p>
    <w:p w:rsidR="000C7351" w:rsidRPr="00807837" w:rsidRDefault="00906728" w:rsidP="00807837">
      <w:pPr>
        <w:spacing w:after="0" w:line="240" w:lineRule="auto"/>
        <w:rPr>
          <w:rFonts w:ascii="Arial" w:eastAsia="Calibri" w:hAnsi="Arial" w:cs="Arial"/>
          <w:sz w:val="20"/>
          <w:szCs w:val="20"/>
        </w:rPr>
      </w:pPr>
      <w:r w:rsidRPr="00807837">
        <w:rPr>
          <w:rFonts w:ascii="Arial" w:eastAsia="Calibri" w:hAnsi="Arial" w:cs="Arial"/>
          <w:sz w:val="20"/>
          <w:szCs w:val="20"/>
        </w:rPr>
        <w:t>8.2.19</w:t>
      </w:r>
      <w:r w:rsidRPr="00807837">
        <w:rPr>
          <w:rFonts w:ascii="Arial" w:eastAsia="Calibri" w:hAnsi="Arial" w:cs="Arial"/>
          <w:sz w:val="20"/>
          <w:szCs w:val="20"/>
        </w:rPr>
        <w:tab/>
        <w:t xml:space="preserve">Confusion about </w:t>
      </w:r>
      <w:r w:rsidR="00657928" w:rsidRPr="00807837">
        <w:rPr>
          <w:rFonts w:ascii="Arial" w:eastAsia="Calibri" w:hAnsi="Arial" w:cs="Arial"/>
          <w:sz w:val="20"/>
          <w:szCs w:val="20"/>
        </w:rPr>
        <w:t>t</w:t>
      </w:r>
      <w:r w:rsidR="000C7351" w:rsidRPr="00807837">
        <w:rPr>
          <w:rFonts w:ascii="Arial" w:eastAsia="Calibri" w:hAnsi="Arial" w:cs="Arial"/>
          <w:sz w:val="20"/>
          <w:szCs w:val="20"/>
        </w:rPr>
        <w:t>he Interim Board and m</w:t>
      </w:r>
      <w:r w:rsidR="00657928" w:rsidRPr="00807837">
        <w:rPr>
          <w:rFonts w:ascii="Arial" w:eastAsia="Calibri" w:hAnsi="Arial" w:cs="Arial"/>
          <w:sz w:val="20"/>
          <w:szCs w:val="20"/>
        </w:rPr>
        <w:t>erger of SA Tourism with</w:t>
      </w:r>
      <w:r w:rsidRPr="00807837">
        <w:rPr>
          <w:rFonts w:ascii="Arial" w:eastAsia="Calibri" w:hAnsi="Arial" w:cs="Arial"/>
          <w:sz w:val="20"/>
          <w:szCs w:val="20"/>
        </w:rPr>
        <w:t xml:space="preserve"> Brand South Africa</w:t>
      </w:r>
    </w:p>
    <w:p w:rsidR="000C7351" w:rsidRPr="00807837" w:rsidRDefault="000C7351" w:rsidP="00807837">
      <w:pPr>
        <w:spacing w:after="0" w:line="240" w:lineRule="auto"/>
        <w:rPr>
          <w:rFonts w:ascii="Arial" w:eastAsia="Calibri" w:hAnsi="Arial" w:cs="Arial"/>
          <w:sz w:val="20"/>
          <w:szCs w:val="20"/>
        </w:rPr>
      </w:pPr>
    </w:p>
    <w:p w:rsidR="000C7351" w:rsidRPr="00807837" w:rsidRDefault="000C7351" w:rsidP="00807837">
      <w:pPr>
        <w:spacing w:after="0" w:line="240" w:lineRule="auto"/>
        <w:rPr>
          <w:rFonts w:ascii="Arial" w:eastAsia="Calibri" w:hAnsi="Arial" w:cs="Arial"/>
          <w:sz w:val="20"/>
          <w:szCs w:val="20"/>
        </w:rPr>
      </w:pPr>
      <w:r w:rsidRPr="00807837">
        <w:rPr>
          <w:rFonts w:ascii="Arial" w:eastAsia="Calibri" w:hAnsi="Arial" w:cs="Arial"/>
          <w:sz w:val="20"/>
          <w:szCs w:val="20"/>
        </w:rPr>
        <w:t xml:space="preserve">The term of the Board </w:t>
      </w:r>
      <w:r w:rsidR="0056242C" w:rsidRPr="00807837">
        <w:rPr>
          <w:rFonts w:ascii="Arial" w:eastAsia="Calibri" w:hAnsi="Arial" w:cs="Arial"/>
          <w:sz w:val="20"/>
          <w:szCs w:val="20"/>
        </w:rPr>
        <w:t xml:space="preserve">at </w:t>
      </w:r>
      <w:r w:rsidRPr="00807837">
        <w:rPr>
          <w:rFonts w:ascii="Arial" w:eastAsia="Calibri" w:hAnsi="Arial" w:cs="Arial"/>
          <w:sz w:val="20"/>
          <w:szCs w:val="20"/>
        </w:rPr>
        <w:t xml:space="preserve">SA Tourism expired </w:t>
      </w:r>
      <w:r w:rsidR="0056242C" w:rsidRPr="00807837">
        <w:rPr>
          <w:rFonts w:ascii="Arial" w:eastAsia="Calibri" w:hAnsi="Arial" w:cs="Arial"/>
          <w:sz w:val="20"/>
          <w:szCs w:val="20"/>
        </w:rPr>
        <w:t xml:space="preserve">at the end of May 2022 </w:t>
      </w:r>
      <w:r w:rsidRPr="00807837">
        <w:rPr>
          <w:rFonts w:ascii="Arial" w:eastAsia="Calibri" w:hAnsi="Arial" w:cs="Arial"/>
          <w:sz w:val="20"/>
          <w:szCs w:val="20"/>
        </w:rPr>
        <w:t xml:space="preserve">and the Minister of Tourism published the call for nominations in Government Gazette 45909 dated 11 February 2022, in terms of the Tourism Act. The appointees were to serve a three-year term effective from 1 June 2022 until 31 May 2025. Nominations were invited until 7 March 2022. The call for nominations in the Government Gazette 45909 seems to have been put in abeyance and the Minister appointed a new Interim Board for SA Tourism. However, the new Interim Board has not been gazetted and </w:t>
      </w:r>
      <w:r w:rsidR="0056242C" w:rsidRPr="00807837">
        <w:rPr>
          <w:rFonts w:ascii="Arial" w:eastAsia="Calibri" w:hAnsi="Arial" w:cs="Arial"/>
          <w:sz w:val="20"/>
          <w:szCs w:val="20"/>
        </w:rPr>
        <w:t xml:space="preserve">this </w:t>
      </w:r>
      <w:r w:rsidRPr="00807837">
        <w:rPr>
          <w:rFonts w:ascii="Arial" w:eastAsia="Calibri" w:hAnsi="Arial" w:cs="Arial"/>
          <w:sz w:val="20"/>
          <w:szCs w:val="20"/>
        </w:rPr>
        <w:t xml:space="preserve">makes </w:t>
      </w:r>
      <w:r w:rsidR="0056242C" w:rsidRPr="00807837">
        <w:rPr>
          <w:rFonts w:ascii="Arial" w:eastAsia="Calibri" w:hAnsi="Arial" w:cs="Arial"/>
          <w:sz w:val="20"/>
          <w:szCs w:val="20"/>
        </w:rPr>
        <w:t xml:space="preserve">it </w:t>
      </w:r>
      <w:r w:rsidRPr="00807837">
        <w:rPr>
          <w:rFonts w:ascii="Arial" w:eastAsia="Calibri" w:hAnsi="Arial" w:cs="Arial"/>
          <w:sz w:val="20"/>
          <w:szCs w:val="20"/>
        </w:rPr>
        <w:t>difficult to ascertain its legal standing. The Committee is advised to enquire from the Minister about the legal prescripts used to establish the new Interim Board.</w:t>
      </w:r>
    </w:p>
    <w:p w:rsidR="000C7351" w:rsidRPr="00807837" w:rsidRDefault="000C7351" w:rsidP="00807837">
      <w:pPr>
        <w:spacing w:after="0" w:line="240" w:lineRule="auto"/>
        <w:rPr>
          <w:rFonts w:ascii="Arial" w:eastAsia="Calibri" w:hAnsi="Arial" w:cs="Arial"/>
          <w:sz w:val="20"/>
          <w:szCs w:val="20"/>
        </w:rPr>
      </w:pPr>
      <w:r w:rsidRPr="00807837">
        <w:rPr>
          <w:rFonts w:ascii="Arial" w:eastAsia="Calibri" w:hAnsi="Arial" w:cs="Arial"/>
          <w:sz w:val="20"/>
          <w:szCs w:val="20"/>
        </w:rPr>
        <w:t>In a press briefing on Thursday 1 September 2022, the Minister announced that the President had given the green light for the merger of Brand SA and SA Tourism.  In that press briefing, the Minister indicated that the process of legal and regulatory changes still needed to be completed. In the meantime, there will be a combined interim board. This will allow the two entities to collaborate as single entities under the Tourism Ministry. It is thus important for the Committee to follow up on the merger process and the legal/regulatory requirements inherent thereto.</w:t>
      </w:r>
    </w:p>
    <w:p w:rsidR="00906728" w:rsidRPr="00807837" w:rsidRDefault="00906728" w:rsidP="00807837">
      <w:pPr>
        <w:spacing w:after="0" w:line="240" w:lineRule="auto"/>
        <w:rPr>
          <w:rFonts w:ascii="Arial" w:eastAsia="Calibri" w:hAnsi="Arial" w:cs="Arial"/>
          <w:b/>
          <w:bCs/>
          <w:sz w:val="20"/>
          <w:szCs w:val="20"/>
        </w:rPr>
      </w:pPr>
      <w:r w:rsidRPr="00807837">
        <w:rPr>
          <w:rFonts w:ascii="Arial" w:eastAsia="Calibri" w:hAnsi="Arial" w:cs="Arial"/>
          <w:sz w:val="20"/>
          <w:szCs w:val="20"/>
        </w:rPr>
        <w:lastRenderedPageBreak/>
        <w:t>Of great concern, is that after the announcement by the Minister of Tourism on the imminent merger, The Presidency has subsequently made a call</w:t>
      </w:r>
      <w:r w:rsidRPr="00807837">
        <w:rPr>
          <w:rFonts w:ascii="Arial" w:eastAsia="Calibri" w:hAnsi="Arial" w:cs="Arial"/>
          <w:bCs/>
          <w:sz w:val="20"/>
          <w:szCs w:val="20"/>
        </w:rPr>
        <w:t xml:space="preserve"> for nominations for members to serve on the board of trustees of the Brand South Africa trust on 17 October 2022. The closing date for the receipt of nominations </w:t>
      </w:r>
      <w:r w:rsidR="00FF43E5" w:rsidRPr="00807837">
        <w:rPr>
          <w:rFonts w:ascii="Arial" w:eastAsia="Calibri" w:hAnsi="Arial" w:cs="Arial"/>
          <w:bCs/>
          <w:sz w:val="20"/>
          <w:szCs w:val="20"/>
        </w:rPr>
        <w:t>was</w:t>
      </w:r>
      <w:r w:rsidRPr="00807837">
        <w:rPr>
          <w:rFonts w:ascii="Arial" w:eastAsia="Calibri" w:hAnsi="Arial" w:cs="Arial"/>
          <w:bCs/>
          <w:sz w:val="20"/>
          <w:szCs w:val="20"/>
        </w:rPr>
        <w:t xml:space="preserve"> indicated as 28 October 2022</w:t>
      </w:r>
      <w:r w:rsidR="00EF0A8F" w:rsidRPr="00807837">
        <w:rPr>
          <w:rFonts w:ascii="Arial" w:eastAsia="Calibri" w:hAnsi="Arial" w:cs="Arial"/>
          <w:bCs/>
          <w:sz w:val="20"/>
          <w:szCs w:val="20"/>
        </w:rPr>
        <w:t>.</w:t>
      </w:r>
      <w:r w:rsidR="00657928" w:rsidRPr="00807837">
        <w:rPr>
          <w:rFonts w:ascii="Arial" w:eastAsia="Calibri" w:hAnsi="Arial" w:cs="Arial"/>
          <w:bCs/>
          <w:sz w:val="20"/>
          <w:szCs w:val="20"/>
        </w:rPr>
        <w:t xml:space="preserve"> This leaves the state of governance at SA T</w:t>
      </w:r>
      <w:r w:rsidR="00DD214F" w:rsidRPr="00807837">
        <w:rPr>
          <w:rFonts w:ascii="Arial" w:eastAsia="Calibri" w:hAnsi="Arial" w:cs="Arial"/>
          <w:bCs/>
          <w:sz w:val="20"/>
          <w:szCs w:val="20"/>
        </w:rPr>
        <w:t>ourism in tatters</w:t>
      </w:r>
      <w:r w:rsidR="00657928" w:rsidRPr="00807837">
        <w:rPr>
          <w:rFonts w:ascii="Arial" w:eastAsia="Calibri" w:hAnsi="Arial" w:cs="Arial"/>
          <w:bCs/>
          <w:sz w:val="20"/>
          <w:szCs w:val="20"/>
        </w:rPr>
        <w:t xml:space="preserve"> as the Board is not properly constituted and the Entity is without a permanent Chief Executive Officer.</w:t>
      </w:r>
    </w:p>
    <w:p w:rsidR="000C7351" w:rsidRPr="00807837" w:rsidRDefault="000C7351" w:rsidP="00807837">
      <w:pPr>
        <w:spacing w:after="0" w:line="240" w:lineRule="auto"/>
        <w:rPr>
          <w:rFonts w:ascii="Arial" w:eastAsia="Calibri" w:hAnsi="Arial" w:cs="Arial"/>
          <w:sz w:val="20"/>
          <w:szCs w:val="20"/>
        </w:rPr>
      </w:pPr>
    </w:p>
    <w:p w:rsidR="000C7351" w:rsidRPr="00807837" w:rsidRDefault="000C7351" w:rsidP="00807837">
      <w:pPr>
        <w:spacing w:after="0" w:line="240" w:lineRule="auto"/>
        <w:rPr>
          <w:rFonts w:ascii="Arial" w:eastAsia="Calibri" w:hAnsi="Arial" w:cs="Arial"/>
          <w:sz w:val="20"/>
          <w:szCs w:val="20"/>
        </w:rPr>
      </w:pPr>
      <w:r w:rsidRPr="00807837">
        <w:rPr>
          <w:rFonts w:ascii="Arial" w:eastAsia="Calibri" w:hAnsi="Arial" w:cs="Arial"/>
          <w:sz w:val="20"/>
          <w:szCs w:val="20"/>
        </w:rPr>
        <w:t>The merger follows the decision of the Cabinet Lekgotla of January 2020 which directed that government entities should be rationalised and repurposed. As part of this exercise, SA Tourism and Brand SA were identified as entities that have similar and/or related mandates. Since this Cabinet decision, the Committee has been following up on the matter fervently, but information was not readily made available.</w:t>
      </w:r>
    </w:p>
    <w:p w:rsidR="00906728" w:rsidRPr="00807837" w:rsidRDefault="00906728" w:rsidP="00807837">
      <w:pPr>
        <w:spacing w:after="0" w:line="240" w:lineRule="auto"/>
        <w:rPr>
          <w:rFonts w:ascii="Arial" w:eastAsia="Calibri" w:hAnsi="Arial" w:cs="Arial"/>
          <w:sz w:val="20"/>
          <w:szCs w:val="20"/>
        </w:rPr>
      </w:pPr>
    </w:p>
    <w:p w:rsidR="000C7351" w:rsidRPr="00807837" w:rsidRDefault="00906728" w:rsidP="00807837">
      <w:pPr>
        <w:spacing w:after="0" w:line="240" w:lineRule="auto"/>
        <w:rPr>
          <w:rFonts w:ascii="Arial" w:eastAsia="Calibri" w:hAnsi="Arial" w:cs="Arial"/>
          <w:sz w:val="20"/>
          <w:szCs w:val="20"/>
        </w:rPr>
      </w:pPr>
      <w:r w:rsidRPr="00807837">
        <w:rPr>
          <w:rFonts w:ascii="Arial" w:eastAsia="Calibri" w:hAnsi="Arial" w:cs="Arial"/>
          <w:sz w:val="20"/>
          <w:szCs w:val="20"/>
        </w:rPr>
        <w:t xml:space="preserve">This matter therefore creates great confusion and the </w:t>
      </w:r>
      <w:r w:rsidR="000C7351" w:rsidRPr="00807837">
        <w:rPr>
          <w:rFonts w:ascii="Arial" w:eastAsia="Calibri" w:hAnsi="Arial" w:cs="Arial"/>
          <w:sz w:val="20"/>
          <w:szCs w:val="20"/>
        </w:rPr>
        <w:t xml:space="preserve">Committee </w:t>
      </w:r>
      <w:r w:rsidRPr="00807837">
        <w:rPr>
          <w:rFonts w:ascii="Arial" w:eastAsia="Calibri" w:hAnsi="Arial" w:cs="Arial"/>
          <w:sz w:val="20"/>
          <w:szCs w:val="20"/>
        </w:rPr>
        <w:t>is un</w:t>
      </w:r>
      <w:r w:rsidR="000C7351" w:rsidRPr="00807837">
        <w:rPr>
          <w:rFonts w:ascii="Arial" w:eastAsia="Calibri" w:hAnsi="Arial" w:cs="Arial"/>
          <w:sz w:val="20"/>
          <w:szCs w:val="20"/>
        </w:rPr>
        <w:t xml:space="preserve">certain </w:t>
      </w:r>
      <w:r w:rsidRPr="00807837">
        <w:rPr>
          <w:rFonts w:ascii="Arial" w:eastAsia="Calibri" w:hAnsi="Arial" w:cs="Arial"/>
          <w:sz w:val="20"/>
          <w:szCs w:val="20"/>
        </w:rPr>
        <w:t xml:space="preserve">whether the merger is going ahead. This </w:t>
      </w:r>
      <w:r w:rsidR="0056242C" w:rsidRPr="00807837">
        <w:rPr>
          <w:rFonts w:ascii="Arial" w:eastAsia="Calibri" w:hAnsi="Arial" w:cs="Arial"/>
          <w:sz w:val="20"/>
          <w:szCs w:val="20"/>
        </w:rPr>
        <w:t xml:space="preserve">then </w:t>
      </w:r>
      <w:r w:rsidRPr="00807837">
        <w:rPr>
          <w:rFonts w:ascii="Arial" w:eastAsia="Calibri" w:hAnsi="Arial" w:cs="Arial"/>
          <w:sz w:val="20"/>
          <w:szCs w:val="20"/>
        </w:rPr>
        <w:t>makes it even more confusing to understand the rationale of establishing an Interim Board for S</w:t>
      </w:r>
      <w:r w:rsidR="00EF0A8F" w:rsidRPr="00807837">
        <w:rPr>
          <w:rFonts w:ascii="Arial" w:eastAsia="Calibri" w:hAnsi="Arial" w:cs="Arial"/>
          <w:sz w:val="20"/>
          <w:szCs w:val="20"/>
        </w:rPr>
        <w:t xml:space="preserve">A Tourism if the merger is not going ahead. The Committee is also uncertain about </w:t>
      </w:r>
      <w:r w:rsidR="000C7351" w:rsidRPr="00807837">
        <w:rPr>
          <w:rFonts w:ascii="Arial" w:eastAsia="Calibri" w:hAnsi="Arial" w:cs="Arial"/>
          <w:sz w:val="20"/>
          <w:szCs w:val="20"/>
        </w:rPr>
        <w:t>the entire process of the merger and the legal standi</w:t>
      </w:r>
      <w:r w:rsidR="00EF0A8F" w:rsidRPr="00807837">
        <w:rPr>
          <w:rFonts w:ascii="Arial" w:eastAsia="Calibri" w:hAnsi="Arial" w:cs="Arial"/>
          <w:sz w:val="20"/>
          <w:szCs w:val="20"/>
        </w:rPr>
        <w:t xml:space="preserve">ng of the Interim Board. Clarification </w:t>
      </w:r>
      <w:r w:rsidR="0056242C" w:rsidRPr="00807837">
        <w:rPr>
          <w:rFonts w:ascii="Arial" w:eastAsia="Calibri" w:hAnsi="Arial" w:cs="Arial"/>
          <w:sz w:val="20"/>
          <w:szCs w:val="20"/>
        </w:rPr>
        <w:t xml:space="preserve">on </w:t>
      </w:r>
      <w:r w:rsidR="00EF0A8F" w:rsidRPr="00807837">
        <w:rPr>
          <w:rFonts w:ascii="Arial" w:eastAsia="Calibri" w:hAnsi="Arial" w:cs="Arial"/>
          <w:sz w:val="20"/>
          <w:szCs w:val="20"/>
        </w:rPr>
        <w:t xml:space="preserve">this matter is </w:t>
      </w:r>
      <w:r w:rsidR="000C7351" w:rsidRPr="00807837">
        <w:rPr>
          <w:rFonts w:ascii="Arial" w:eastAsia="Calibri" w:hAnsi="Arial" w:cs="Arial"/>
          <w:sz w:val="20"/>
          <w:szCs w:val="20"/>
        </w:rPr>
        <w:t xml:space="preserve">critical as the Interim Board may approve strategies and expenditure of budget by SA Tourism. If the Interim Board is not properly constituted, this may render all the financial expenditure approved by it as irregular expenditure, and may cause serious challenges for the Entity. </w:t>
      </w:r>
    </w:p>
    <w:p w:rsidR="000C7351" w:rsidRPr="00807837" w:rsidRDefault="000C7351" w:rsidP="00807837">
      <w:pPr>
        <w:spacing w:after="0" w:line="240" w:lineRule="auto"/>
        <w:rPr>
          <w:rFonts w:ascii="Arial" w:eastAsia="Calibri" w:hAnsi="Arial" w:cs="Arial"/>
          <w:sz w:val="20"/>
          <w:szCs w:val="20"/>
        </w:rPr>
      </w:pPr>
    </w:p>
    <w:p w:rsidR="000C7351" w:rsidRPr="00807837" w:rsidRDefault="00EF0A8F" w:rsidP="00807837">
      <w:pPr>
        <w:spacing w:after="0" w:line="240" w:lineRule="auto"/>
        <w:rPr>
          <w:rFonts w:ascii="Arial" w:eastAsia="Calibri" w:hAnsi="Arial" w:cs="Arial"/>
          <w:sz w:val="20"/>
          <w:szCs w:val="20"/>
        </w:rPr>
      </w:pPr>
      <w:r w:rsidRPr="00807837">
        <w:rPr>
          <w:rFonts w:ascii="Arial" w:eastAsia="Calibri" w:hAnsi="Arial" w:cs="Arial"/>
          <w:sz w:val="20"/>
          <w:szCs w:val="20"/>
        </w:rPr>
        <w:t>8.2.20</w:t>
      </w:r>
      <w:r w:rsidRPr="00807837">
        <w:rPr>
          <w:rFonts w:ascii="Arial" w:eastAsia="Calibri" w:hAnsi="Arial" w:cs="Arial"/>
          <w:sz w:val="20"/>
          <w:szCs w:val="20"/>
        </w:rPr>
        <w:tab/>
      </w:r>
      <w:r w:rsidR="000C7351" w:rsidRPr="00807837">
        <w:rPr>
          <w:rFonts w:ascii="Arial" w:eastAsia="Calibri" w:hAnsi="Arial" w:cs="Arial"/>
          <w:sz w:val="20"/>
          <w:szCs w:val="20"/>
        </w:rPr>
        <w:t>Audit opinion</w:t>
      </w:r>
    </w:p>
    <w:p w:rsidR="000C7351" w:rsidRPr="00807837" w:rsidRDefault="000C7351" w:rsidP="00807837">
      <w:pPr>
        <w:spacing w:after="0" w:line="240" w:lineRule="auto"/>
        <w:rPr>
          <w:rFonts w:ascii="Arial" w:eastAsia="Calibri" w:hAnsi="Arial" w:cs="Arial"/>
          <w:sz w:val="20"/>
          <w:szCs w:val="20"/>
        </w:rPr>
      </w:pPr>
    </w:p>
    <w:p w:rsidR="000C7351" w:rsidRPr="00807837" w:rsidRDefault="000C7351" w:rsidP="00807837">
      <w:pPr>
        <w:spacing w:after="0" w:line="240" w:lineRule="auto"/>
        <w:rPr>
          <w:rFonts w:ascii="Arial" w:eastAsia="Calibri" w:hAnsi="Arial" w:cs="Arial"/>
          <w:sz w:val="20"/>
          <w:szCs w:val="20"/>
        </w:rPr>
      </w:pPr>
      <w:r w:rsidRPr="00807837">
        <w:rPr>
          <w:rFonts w:ascii="Arial" w:eastAsia="Calibri" w:hAnsi="Arial" w:cs="Arial"/>
          <w:sz w:val="20"/>
          <w:szCs w:val="20"/>
        </w:rPr>
        <w:t>In the 2021/22 financial year, SA Tourism received a financially unqualified opinion with findings on compliance with key legislation. The Committee note</w:t>
      </w:r>
      <w:r w:rsidR="00C66E1D" w:rsidRPr="00807837">
        <w:rPr>
          <w:rFonts w:ascii="Arial" w:eastAsia="Calibri" w:hAnsi="Arial" w:cs="Arial"/>
          <w:sz w:val="20"/>
          <w:szCs w:val="20"/>
        </w:rPr>
        <w:t>d that this wa</w:t>
      </w:r>
      <w:r w:rsidRPr="00807837">
        <w:rPr>
          <w:rFonts w:ascii="Arial" w:eastAsia="Calibri" w:hAnsi="Arial" w:cs="Arial"/>
          <w:sz w:val="20"/>
          <w:szCs w:val="20"/>
        </w:rPr>
        <w:t>s an improvement as the Entity received a financially qualified opinion in the 2020/21 financial year with findings on compliance and predetermined objectives. In the prior year, SA Tourism was qualified on marketing expenditure and receivables from non-exchange transactions as management did not have sufficient controls to ensure completeness of expenditure incurred by third parti</w:t>
      </w:r>
      <w:r w:rsidR="00C66E1D" w:rsidRPr="00807837">
        <w:rPr>
          <w:rFonts w:ascii="Arial" w:eastAsia="Calibri" w:hAnsi="Arial" w:cs="Arial"/>
          <w:sz w:val="20"/>
          <w:szCs w:val="20"/>
        </w:rPr>
        <w:t xml:space="preserve">es on behalf of the Entity. The </w:t>
      </w:r>
      <w:r w:rsidR="00FF43E5" w:rsidRPr="00807837">
        <w:rPr>
          <w:rFonts w:ascii="Arial" w:eastAsia="Calibri" w:hAnsi="Arial" w:cs="Arial"/>
          <w:sz w:val="20"/>
          <w:szCs w:val="20"/>
        </w:rPr>
        <w:t>Committee, however</w:t>
      </w:r>
      <w:r w:rsidR="00C66E1D" w:rsidRPr="00807837">
        <w:rPr>
          <w:rFonts w:ascii="Arial" w:eastAsia="Calibri" w:hAnsi="Arial" w:cs="Arial"/>
          <w:sz w:val="20"/>
          <w:szCs w:val="20"/>
        </w:rPr>
        <w:t xml:space="preserve">, is of the view that this audit opinion should </w:t>
      </w:r>
      <w:r w:rsidRPr="00807837">
        <w:rPr>
          <w:rFonts w:ascii="Arial" w:eastAsia="Calibri" w:hAnsi="Arial" w:cs="Arial"/>
          <w:sz w:val="20"/>
          <w:szCs w:val="20"/>
        </w:rPr>
        <w:t xml:space="preserve">not be celebrated as the Entity did not </w:t>
      </w:r>
      <w:r w:rsidR="0056242C" w:rsidRPr="00807837">
        <w:rPr>
          <w:rFonts w:ascii="Arial" w:eastAsia="Calibri" w:hAnsi="Arial" w:cs="Arial"/>
          <w:sz w:val="20"/>
          <w:szCs w:val="20"/>
        </w:rPr>
        <w:t xml:space="preserve">adequately </w:t>
      </w:r>
      <w:r w:rsidRPr="00807837">
        <w:rPr>
          <w:rFonts w:ascii="Arial" w:eastAsia="Calibri" w:hAnsi="Arial" w:cs="Arial"/>
          <w:sz w:val="20"/>
          <w:szCs w:val="20"/>
        </w:rPr>
        <w:t xml:space="preserve">implement its Audit Action Plan and incurred numerous repeat findings. </w:t>
      </w:r>
    </w:p>
    <w:p w:rsidR="0056242C" w:rsidRPr="00807837" w:rsidRDefault="0056242C" w:rsidP="00807837">
      <w:pPr>
        <w:spacing w:after="0" w:line="240" w:lineRule="auto"/>
        <w:rPr>
          <w:rFonts w:ascii="Arial" w:eastAsia="Calibri" w:hAnsi="Arial" w:cs="Arial"/>
          <w:sz w:val="20"/>
          <w:szCs w:val="20"/>
        </w:rPr>
      </w:pPr>
    </w:p>
    <w:p w:rsidR="000C7351" w:rsidRPr="00807837" w:rsidRDefault="00EF0A8F" w:rsidP="00807837">
      <w:pPr>
        <w:spacing w:after="0" w:line="240" w:lineRule="auto"/>
        <w:rPr>
          <w:rFonts w:ascii="Arial" w:eastAsia="Calibri" w:hAnsi="Arial" w:cs="Arial"/>
          <w:sz w:val="20"/>
          <w:szCs w:val="20"/>
        </w:rPr>
      </w:pPr>
      <w:r w:rsidRPr="00807837">
        <w:rPr>
          <w:rFonts w:ascii="Arial" w:eastAsia="Calibri" w:hAnsi="Arial" w:cs="Arial"/>
          <w:sz w:val="20"/>
          <w:szCs w:val="20"/>
        </w:rPr>
        <w:t>8.2.21</w:t>
      </w:r>
      <w:r w:rsidR="000C7351" w:rsidRPr="00807837">
        <w:rPr>
          <w:rFonts w:ascii="Arial" w:eastAsia="Calibri" w:hAnsi="Arial" w:cs="Arial"/>
          <w:sz w:val="20"/>
          <w:szCs w:val="20"/>
        </w:rPr>
        <w:tab/>
        <w:t>Budget and expenditure patterns</w:t>
      </w:r>
    </w:p>
    <w:p w:rsidR="000C7351" w:rsidRPr="00807837" w:rsidRDefault="000C7351" w:rsidP="00807837">
      <w:pPr>
        <w:spacing w:after="0" w:line="240" w:lineRule="auto"/>
        <w:rPr>
          <w:rFonts w:ascii="Arial" w:eastAsia="Calibri" w:hAnsi="Arial" w:cs="Arial"/>
          <w:sz w:val="20"/>
          <w:szCs w:val="20"/>
        </w:rPr>
      </w:pPr>
    </w:p>
    <w:p w:rsidR="000C7351" w:rsidRPr="00807837" w:rsidRDefault="000C7351" w:rsidP="00807837">
      <w:pPr>
        <w:spacing w:after="0" w:line="240" w:lineRule="auto"/>
        <w:rPr>
          <w:rFonts w:ascii="Arial" w:eastAsia="Calibri" w:hAnsi="Arial" w:cs="Arial"/>
          <w:sz w:val="20"/>
          <w:szCs w:val="20"/>
        </w:rPr>
      </w:pPr>
      <w:r w:rsidRPr="00807837">
        <w:rPr>
          <w:rFonts w:ascii="Arial" w:eastAsia="Calibri" w:hAnsi="Arial" w:cs="Arial"/>
          <w:sz w:val="20"/>
          <w:szCs w:val="20"/>
        </w:rPr>
        <w:t>SA Tourism spent R1 273.8 billion of R1 417. 6 billion available in the period under review, accounting for 90 per cent expenditure. The Entity incurred under expenditure of R143.7 million, which accounts for 10 per cent under expenditure. On the achievement of targets, the Entity had 42 targets in the 2021/22 Annual Performance Plan. A total of 32 targets were achieved, accounting for 76 per cent performance. A total of 10 targets were not achieved, accounting for 24 per</w:t>
      </w:r>
      <w:r w:rsidR="0056242C" w:rsidRPr="00807837">
        <w:rPr>
          <w:rFonts w:ascii="Arial" w:eastAsia="Calibri" w:hAnsi="Arial" w:cs="Arial"/>
          <w:sz w:val="20"/>
          <w:szCs w:val="20"/>
        </w:rPr>
        <w:t xml:space="preserve"> </w:t>
      </w:r>
      <w:r w:rsidRPr="00807837">
        <w:rPr>
          <w:rFonts w:ascii="Arial" w:eastAsia="Calibri" w:hAnsi="Arial" w:cs="Arial"/>
          <w:sz w:val="20"/>
          <w:szCs w:val="20"/>
        </w:rPr>
        <w:t>cent underperformance. This indicates that SA Tourism had poor performance in both financial management (expenditure) and achievement of the pre-determined objectives.</w:t>
      </w:r>
    </w:p>
    <w:p w:rsidR="000C7351" w:rsidRPr="00807837" w:rsidRDefault="000C7351" w:rsidP="00807837">
      <w:pPr>
        <w:spacing w:after="0" w:line="240" w:lineRule="auto"/>
        <w:rPr>
          <w:rFonts w:ascii="Arial" w:eastAsia="Calibri" w:hAnsi="Arial" w:cs="Arial"/>
          <w:sz w:val="20"/>
          <w:szCs w:val="20"/>
        </w:rPr>
      </w:pPr>
    </w:p>
    <w:p w:rsidR="000C7351" w:rsidRPr="00807837" w:rsidRDefault="000C7351" w:rsidP="00807837">
      <w:pPr>
        <w:spacing w:after="0" w:line="240" w:lineRule="auto"/>
        <w:rPr>
          <w:rFonts w:ascii="Arial" w:eastAsia="Calibri" w:hAnsi="Arial" w:cs="Arial"/>
          <w:sz w:val="20"/>
          <w:szCs w:val="20"/>
        </w:rPr>
      </w:pPr>
      <w:r w:rsidRPr="00807837">
        <w:rPr>
          <w:rFonts w:ascii="Arial" w:eastAsia="Calibri" w:hAnsi="Arial" w:cs="Arial"/>
          <w:sz w:val="20"/>
          <w:szCs w:val="20"/>
        </w:rPr>
        <w:t>The Committee note</w:t>
      </w:r>
      <w:r w:rsidR="00DD214F" w:rsidRPr="00807837">
        <w:rPr>
          <w:rFonts w:ascii="Arial" w:eastAsia="Calibri" w:hAnsi="Arial" w:cs="Arial"/>
          <w:sz w:val="20"/>
          <w:szCs w:val="20"/>
        </w:rPr>
        <w:t>d</w:t>
      </w:r>
      <w:r w:rsidRPr="00807837">
        <w:rPr>
          <w:rFonts w:ascii="Arial" w:eastAsia="Calibri" w:hAnsi="Arial" w:cs="Arial"/>
          <w:sz w:val="20"/>
          <w:szCs w:val="20"/>
        </w:rPr>
        <w:t xml:space="preserve"> the following expenditure patterns:</w:t>
      </w:r>
    </w:p>
    <w:p w:rsidR="00DD214F" w:rsidRPr="00807837" w:rsidRDefault="00DD214F" w:rsidP="00807837">
      <w:pPr>
        <w:spacing w:after="0" w:line="240" w:lineRule="auto"/>
        <w:ind w:left="720"/>
        <w:rPr>
          <w:rFonts w:ascii="Arial" w:eastAsia="Calibri" w:hAnsi="Arial" w:cs="Arial"/>
          <w:sz w:val="20"/>
          <w:szCs w:val="20"/>
        </w:rPr>
      </w:pPr>
    </w:p>
    <w:p w:rsidR="000C7351" w:rsidRPr="00807837" w:rsidRDefault="000C7351" w:rsidP="00807837">
      <w:pPr>
        <w:pStyle w:val="ListParagraph"/>
        <w:numPr>
          <w:ilvl w:val="0"/>
          <w:numId w:val="50"/>
        </w:numPr>
        <w:spacing w:after="0" w:line="240" w:lineRule="auto"/>
        <w:ind w:left="1440"/>
        <w:rPr>
          <w:rFonts w:ascii="Arial" w:eastAsia="Calibri" w:hAnsi="Arial" w:cs="Arial"/>
          <w:sz w:val="20"/>
          <w:szCs w:val="20"/>
        </w:rPr>
      </w:pPr>
      <w:r w:rsidRPr="00807837">
        <w:rPr>
          <w:rFonts w:ascii="Arial" w:eastAsia="Calibri" w:hAnsi="Arial" w:cs="Arial"/>
          <w:sz w:val="20"/>
          <w:szCs w:val="20"/>
        </w:rPr>
        <w:t>Irregular expenditure</w:t>
      </w:r>
    </w:p>
    <w:p w:rsidR="000C7351" w:rsidRPr="00807837" w:rsidRDefault="000C7351" w:rsidP="00807837">
      <w:pPr>
        <w:spacing w:after="0" w:line="240" w:lineRule="auto"/>
        <w:ind w:left="720"/>
        <w:rPr>
          <w:rFonts w:ascii="Arial" w:eastAsia="Calibri" w:hAnsi="Arial" w:cs="Arial"/>
          <w:sz w:val="20"/>
          <w:szCs w:val="20"/>
        </w:rPr>
      </w:pPr>
    </w:p>
    <w:p w:rsidR="000C7351" w:rsidRPr="00807837" w:rsidRDefault="000C7351" w:rsidP="00807837">
      <w:pPr>
        <w:spacing w:after="0" w:line="240" w:lineRule="auto"/>
        <w:ind w:left="720"/>
        <w:rPr>
          <w:rFonts w:ascii="Arial" w:eastAsia="Calibri" w:hAnsi="Arial" w:cs="Arial"/>
          <w:sz w:val="20"/>
          <w:szCs w:val="20"/>
        </w:rPr>
      </w:pPr>
      <w:r w:rsidRPr="00807837">
        <w:rPr>
          <w:rFonts w:ascii="Arial" w:eastAsia="Calibri" w:hAnsi="Arial" w:cs="Arial"/>
          <w:sz w:val="20"/>
          <w:szCs w:val="20"/>
        </w:rPr>
        <w:t>SA Tourism had a total irregular expenditure of R6,80 million as follows:</w:t>
      </w:r>
    </w:p>
    <w:p w:rsidR="000C7351" w:rsidRPr="00807837" w:rsidRDefault="000C7351" w:rsidP="00807837">
      <w:pPr>
        <w:spacing w:after="0" w:line="240" w:lineRule="auto"/>
        <w:ind w:left="720"/>
        <w:rPr>
          <w:rFonts w:ascii="Arial" w:eastAsia="Calibri" w:hAnsi="Arial" w:cs="Arial"/>
          <w:sz w:val="20"/>
          <w:szCs w:val="20"/>
        </w:rPr>
      </w:pPr>
    </w:p>
    <w:p w:rsidR="000C7351" w:rsidRPr="00807837" w:rsidRDefault="000C7351" w:rsidP="00807837">
      <w:pPr>
        <w:pStyle w:val="ListParagraph"/>
        <w:numPr>
          <w:ilvl w:val="0"/>
          <w:numId w:val="51"/>
        </w:numPr>
        <w:spacing w:after="0" w:line="240" w:lineRule="auto"/>
        <w:ind w:left="1440"/>
        <w:rPr>
          <w:rFonts w:ascii="Arial" w:eastAsia="Calibri" w:hAnsi="Arial" w:cs="Arial"/>
          <w:sz w:val="20"/>
          <w:szCs w:val="20"/>
        </w:rPr>
      </w:pPr>
      <w:r w:rsidRPr="00807837">
        <w:rPr>
          <w:rFonts w:ascii="Arial" w:eastAsia="Calibri" w:hAnsi="Arial" w:cs="Arial"/>
          <w:sz w:val="20"/>
          <w:szCs w:val="20"/>
        </w:rPr>
        <w:t>R4.47 million was incurred on marketing procurement where competitive bidding process was not followed related to the “I Do Tourism” campaign.</w:t>
      </w:r>
    </w:p>
    <w:p w:rsidR="000C7351" w:rsidRPr="00807837" w:rsidRDefault="000C7351" w:rsidP="00807837">
      <w:pPr>
        <w:pStyle w:val="ListParagraph"/>
        <w:numPr>
          <w:ilvl w:val="0"/>
          <w:numId w:val="51"/>
        </w:numPr>
        <w:spacing w:after="0" w:line="240" w:lineRule="auto"/>
        <w:ind w:left="1440"/>
        <w:rPr>
          <w:rFonts w:ascii="Arial" w:eastAsia="Calibri" w:hAnsi="Arial" w:cs="Arial"/>
          <w:sz w:val="20"/>
          <w:szCs w:val="20"/>
        </w:rPr>
      </w:pPr>
      <w:r w:rsidRPr="00807837">
        <w:rPr>
          <w:rFonts w:ascii="Arial" w:eastAsia="Calibri" w:hAnsi="Arial" w:cs="Arial"/>
          <w:sz w:val="20"/>
          <w:szCs w:val="20"/>
        </w:rPr>
        <w:t>R1.5 million was incurred on expenditure without obtaining the necessary approvals, for collaboration of SA Tourism and the Eastern Cape Parks and Tourism Agency.</w:t>
      </w:r>
    </w:p>
    <w:p w:rsidR="000C7351" w:rsidRPr="00807837" w:rsidRDefault="000C7351" w:rsidP="00807837">
      <w:pPr>
        <w:pStyle w:val="ListParagraph"/>
        <w:numPr>
          <w:ilvl w:val="0"/>
          <w:numId w:val="51"/>
        </w:numPr>
        <w:spacing w:after="0" w:line="240" w:lineRule="auto"/>
        <w:ind w:left="1440"/>
        <w:rPr>
          <w:rFonts w:ascii="Arial" w:eastAsia="Calibri" w:hAnsi="Arial" w:cs="Arial"/>
          <w:sz w:val="20"/>
          <w:szCs w:val="20"/>
        </w:rPr>
      </w:pPr>
      <w:r w:rsidRPr="00807837">
        <w:rPr>
          <w:rFonts w:ascii="Arial" w:eastAsia="Calibri" w:hAnsi="Arial" w:cs="Arial"/>
          <w:sz w:val="20"/>
          <w:szCs w:val="20"/>
        </w:rPr>
        <w:t>R830 000.00 was incurred due to preferential points system not applied correctly on the appointment of internal auditors.</w:t>
      </w:r>
    </w:p>
    <w:p w:rsidR="000C7351" w:rsidRPr="00807837" w:rsidRDefault="000C7351" w:rsidP="00807837">
      <w:pPr>
        <w:spacing w:after="0" w:line="240" w:lineRule="auto"/>
        <w:ind w:left="720"/>
        <w:rPr>
          <w:rFonts w:ascii="Arial" w:eastAsia="Calibri" w:hAnsi="Arial" w:cs="Arial"/>
          <w:sz w:val="20"/>
          <w:szCs w:val="20"/>
        </w:rPr>
      </w:pPr>
    </w:p>
    <w:p w:rsidR="000C7351" w:rsidRPr="00807837" w:rsidRDefault="000C7351" w:rsidP="00807837">
      <w:pPr>
        <w:spacing w:after="0" w:line="240" w:lineRule="auto"/>
        <w:ind w:left="720"/>
        <w:rPr>
          <w:rFonts w:ascii="Arial" w:eastAsia="Calibri" w:hAnsi="Arial" w:cs="Arial"/>
          <w:sz w:val="20"/>
          <w:szCs w:val="20"/>
        </w:rPr>
      </w:pPr>
      <w:r w:rsidRPr="00807837">
        <w:rPr>
          <w:rFonts w:ascii="Arial" w:eastAsia="Calibri" w:hAnsi="Arial" w:cs="Arial"/>
          <w:sz w:val="20"/>
          <w:szCs w:val="20"/>
        </w:rPr>
        <w:t xml:space="preserve">The irregular expenditure incurred by SA Tourism relates mainly to non-compliance with Supply Chain Management (SCM) prescripts which was due to </w:t>
      </w:r>
      <w:r w:rsidR="0056242C" w:rsidRPr="00807837">
        <w:rPr>
          <w:rFonts w:ascii="Arial" w:eastAsia="Calibri" w:hAnsi="Arial" w:cs="Arial"/>
          <w:sz w:val="20"/>
          <w:szCs w:val="20"/>
        </w:rPr>
        <w:t xml:space="preserve">a </w:t>
      </w:r>
      <w:r w:rsidRPr="00807837">
        <w:rPr>
          <w:rFonts w:ascii="Arial" w:eastAsia="Calibri" w:hAnsi="Arial" w:cs="Arial"/>
          <w:sz w:val="20"/>
          <w:szCs w:val="20"/>
        </w:rPr>
        <w:t>lack of preventative controls to ensure compliance with SCM legislation. This is a cause for concern as it led to many repeat/ recurring finding</w:t>
      </w:r>
      <w:r w:rsidR="0056242C" w:rsidRPr="00807837">
        <w:rPr>
          <w:rFonts w:ascii="Arial" w:eastAsia="Calibri" w:hAnsi="Arial" w:cs="Arial"/>
          <w:sz w:val="20"/>
          <w:szCs w:val="20"/>
        </w:rPr>
        <w:t>s</w:t>
      </w:r>
      <w:r w:rsidRPr="00807837">
        <w:rPr>
          <w:rFonts w:ascii="Arial" w:eastAsia="Calibri" w:hAnsi="Arial" w:cs="Arial"/>
          <w:sz w:val="20"/>
          <w:szCs w:val="20"/>
        </w:rPr>
        <w:t xml:space="preserve"> similar to prior audit periods.</w:t>
      </w:r>
    </w:p>
    <w:p w:rsidR="00A46A73" w:rsidRPr="00807837" w:rsidRDefault="00A46A73" w:rsidP="00807837">
      <w:pPr>
        <w:spacing w:after="0" w:line="240" w:lineRule="auto"/>
        <w:ind w:left="720"/>
        <w:rPr>
          <w:rFonts w:ascii="Arial" w:eastAsia="Calibri" w:hAnsi="Arial" w:cs="Arial"/>
          <w:sz w:val="20"/>
          <w:szCs w:val="20"/>
        </w:rPr>
      </w:pPr>
    </w:p>
    <w:p w:rsidR="000C7351" w:rsidRPr="00807837" w:rsidRDefault="000C7351" w:rsidP="00807837">
      <w:pPr>
        <w:pStyle w:val="ListParagraph"/>
        <w:numPr>
          <w:ilvl w:val="0"/>
          <w:numId w:val="50"/>
        </w:numPr>
        <w:spacing w:after="0" w:line="240" w:lineRule="auto"/>
        <w:ind w:left="1440"/>
        <w:rPr>
          <w:rFonts w:ascii="Arial" w:eastAsia="Calibri" w:hAnsi="Arial" w:cs="Arial"/>
          <w:sz w:val="20"/>
          <w:szCs w:val="20"/>
        </w:rPr>
      </w:pPr>
      <w:r w:rsidRPr="00807837">
        <w:rPr>
          <w:rFonts w:ascii="Arial" w:eastAsia="Calibri" w:hAnsi="Arial" w:cs="Arial"/>
          <w:sz w:val="20"/>
          <w:szCs w:val="20"/>
        </w:rPr>
        <w:t>Irregular expenditure being investigated</w:t>
      </w:r>
    </w:p>
    <w:p w:rsidR="000C7351" w:rsidRPr="00807837" w:rsidRDefault="000C7351" w:rsidP="00807837">
      <w:pPr>
        <w:spacing w:after="0" w:line="240" w:lineRule="auto"/>
        <w:ind w:left="720"/>
        <w:rPr>
          <w:rFonts w:ascii="Arial" w:eastAsia="Calibri" w:hAnsi="Arial" w:cs="Arial"/>
          <w:sz w:val="20"/>
          <w:szCs w:val="20"/>
        </w:rPr>
      </w:pPr>
    </w:p>
    <w:p w:rsidR="000C7351" w:rsidRPr="00807837" w:rsidRDefault="00DD214F" w:rsidP="00807837">
      <w:pPr>
        <w:spacing w:after="0" w:line="240" w:lineRule="auto"/>
        <w:ind w:left="720"/>
        <w:rPr>
          <w:rFonts w:ascii="Arial" w:eastAsia="Calibri" w:hAnsi="Arial" w:cs="Arial"/>
          <w:sz w:val="20"/>
          <w:szCs w:val="20"/>
        </w:rPr>
      </w:pPr>
      <w:r w:rsidRPr="00807837">
        <w:rPr>
          <w:rFonts w:ascii="Arial" w:eastAsia="Calibri" w:hAnsi="Arial" w:cs="Arial"/>
          <w:sz w:val="20"/>
          <w:szCs w:val="20"/>
        </w:rPr>
        <w:t xml:space="preserve">It was noted that </w:t>
      </w:r>
      <w:r w:rsidR="000C7351" w:rsidRPr="00807837">
        <w:rPr>
          <w:rFonts w:ascii="Arial" w:eastAsia="Calibri" w:hAnsi="Arial" w:cs="Arial"/>
          <w:sz w:val="20"/>
          <w:szCs w:val="20"/>
        </w:rPr>
        <w:t>SA Tourism is currently investigating irregular expenditure of R45,13 m</w:t>
      </w:r>
      <w:r w:rsidR="00234F2E" w:rsidRPr="00807837">
        <w:rPr>
          <w:rFonts w:ascii="Arial" w:eastAsia="Calibri" w:hAnsi="Arial" w:cs="Arial"/>
          <w:sz w:val="20"/>
          <w:szCs w:val="20"/>
        </w:rPr>
        <w:t>illion</w:t>
      </w:r>
      <w:r w:rsidR="000C7351" w:rsidRPr="00807837">
        <w:rPr>
          <w:rFonts w:ascii="Arial" w:eastAsia="Calibri" w:hAnsi="Arial" w:cs="Arial"/>
          <w:sz w:val="20"/>
          <w:szCs w:val="20"/>
        </w:rPr>
        <w:t xml:space="preserve">, which is currently being subjected to consequence management processes. Pending conclusion of investigations, the Entity might have incurred more irregular expenditure in the current financial year. The Committee </w:t>
      </w:r>
      <w:r w:rsidRPr="00807837">
        <w:rPr>
          <w:rFonts w:ascii="Arial" w:eastAsia="Calibri" w:hAnsi="Arial" w:cs="Arial"/>
          <w:sz w:val="20"/>
          <w:szCs w:val="20"/>
        </w:rPr>
        <w:t xml:space="preserve">will </w:t>
      </w:r>
      <w:r w:rsidR="000C7351" w:rsidRPr="00807837">
        <w:rPr>
          <w:rFonts w:ascii="Arial" w:eastAsia="Calibri" w:hAnsi="Arial" w:cs="Arial"/>
          <w:sz w:val="20"/>
          <w:szCs w:val="20"/>
        </w:rPr>
        <w:t>follow up on the irregular expenditure being investigated and outcomes of consequence management.</w:t>
      </w:r>
    </w:p>
    <w:p w:rsidR="000C7351" w:rsidRPr="00807837" w:rsidRDefault="000C7351" w:rsidP="00807837">
      <w:pPr>
        <w:spacing w:after="0" w:line="240" w:lineRule="auto"/>
        <w:ind w:left="720"/>
        <w:rPr>
          <w:rFonts w:ascii="Arial" w:eastAsia="Calibri" w:hAnsi="Arial" w:cs="Arial"/>
          <w:sz w:val="20"/>
          <w:szCs w:val="20"/>
        </w:rPr>
      </w:pPr>
    </w:p>
    <w:p w:rsidR="000C7351" w:rsidRPr="00807837" w:rsidRDefault="000C7351" w:rsidP="00807837">
      <w:pPr>
        <w:pStyle w:val="ListParagraph"/>
        <w:numPr>
          <w:ilvl w:val="0"/>
          <w:numId w:val="50"/>
        </w:numPr>
        <w:spacing w:after="0" w:line="240" w:lineRule="auto"/>
        <w:ind w:left="1440"/>
        <w:rPr>
          <w:rFonts w:ascii="Arial" w:eastAsia="Calibri" w:hAnsi="Arial" w:cs="Arial"/>
          <w:sz w:val="20"/>
          <w:szCs w:val="20"/>
        </w:rPr>
      </w:pPr>
      <w:r w:rsidRPr="00807837">
        <w:rPr>
          <w:rFonts w:ascii="Arial" w:eastAsia="Calibri" w:hAnsi="Arial" w:cs="Arial"/>
          <w:sz w:val="20"/>
          <w:szCs w:val="20"/>
        </w:rPr>
        <w:t>Quality of financial statements</w:t>
      </w:r>
    </w:p>
    <w:p w:rsidR="000C7351" w:rsidRPr="00807837" w:rsidRDefault="000C7351" w:rsidP="00807837">
      <w:pPr>
        <w:spacing w:after="0" w:line="240" w:lineRule="auto"/>
        <w:ind w:left="720"/>
        <w:rPr>
          <w:rFonts w:ascii="Arial" w:eastAsia="Calibri" w:hAnsi="Arial" w:cs="Arial"/>
          <w:sz w:val="20"/>
          <w:szCs w:val="20"/>
        </w:rPr>
      </w:pPr>
    </w:p>
    <w:p w:rsidR="000C7351" w:rsidRPr="00807837" w:rsidRDefault="000C7351" w:rsidP="00807837">
      <w:pPr>
        <w:spacing w:after="0" w:line="240" w:lineRule="auto"/>
        <w:ind w:left="720"/>
        <w:rPr>
          <w:rFonts w:ascii="Arial" w:eastAsia="Calibri" w:hAnsi="Arial" w:cs="Arial"/>
          <w:sz w:val="20"/>
          <w:szCs w:val="20"/>
        </w:rPr>
      </w:pPr>
      <w:r w:rsidRPr="00807837">
        <w:rPr>
          <w:rFonts w:ascii="Arial" w:eastAsia="Calibri" w:hAnsi="Arial" w:cs="Arial"/>
          <w:sz w:val="20"/>
          <w:szCs w:val="20"/>
        </w:rPr>
        <w:t>The quality of submitted annual financial statements is an area of concern for the Entity as material adjustments were made to the financial statements that were submitted for audit for SA Tourism. The errors identified range from inconsistencies between figures reported in the financial statements and the notes, to formula errors and inappropriate presentation. This was mainly due to inadequate review of the annual financial statements as the errors could have been identified had timeous and proper reviews been undertaken. The cause for concern is that the financial statements were approved by the Board and the Audit and Risk Committee. Given that this is a repeat finding, it begs the question whether the Entity has adequate capacity to prepare financial statements.</w:t>
      </w:r>
    </w:p>
    <w:p w:rsidR="000C7351" w:rsidRPr="00807837" w:rsidRDefault="000C7351" w:rsidP="00807837">
      <w:pPr>
        <w:spacing w:after="0" w:line="240" w:lineRule="auto"/>
        <w:rPr>
          <w:rFonts w:ascii="Arial" w:eastAsia="Calibri" w:hAnsi="Arial" w:cs="Arial"/>
          <w:sz w:val="20"/>
          <w:szCs w:val="20"/>
        </w:rPr>
      </w:pPr>
    </w:p>
    <w:p w:rsidR="000C7351" w:rsidRPr="00807837" w:rsidRDefault="00DD214F" w:rsidP="00807837">
      <w:pPr>
        <w:spacing w:after="0" w:line="240" w:lineRule="auto"/>
        <w:rPr>
          <w:rFonts w:ascii="Arial" w:eastAsia="Calibri" w:hAnsi="Arial" w:cs="Arial"/>
          <w:sz w:val="20"/>
          <w:szCs w:val="20"/>
        </w:rPr>
      </w:pPr>
      <w:r w:rsidRPr="00807837">
        <w:rPr>
          <w:rFonts w:ascii="Arial" w:eastAsia="Calibri" w:hAnsi="Arial" w:cs="Arial"/>
          <w:sz w:val="20"/>
          <w:szCs w:val="20"/>
        </w:rPr>
        <w:t>8.2.22</w:t>
      </w:r>
      <w:r w:rsidRPr="00807837">
        <w:rPr>
          <w:rFonts w:ascii="Arial" w:eastAsia="Calibri" w:hAnsi="Arial" w:cs="Arial"/>
          <w:sz w:val="20"/>
          <w:szCs w:val="20"/>
        </w:rPr>
        <w:tab/>
      </w:r>
      <w:r w:rsidR="000C7351" w:rsidRPr="00807837">
        <w:rPr>
          <w:rFonts w:ascii="Arial" w:eastAsia="Calibri" w:hAnsi="Arial" w:cs="Arial"/>
          <w:sz w:val="20"/>
          <w:szCs w:val="20"/>
        </w:rPr>
        <w:t>Vacant position of the Chief Executive Officer and other vacancies</w:t>
      </w:r>
    </w:p>
    <w:p w:rsidR="000C7351" w:rsidRPr="00807837" w:rsidRDefault="000C7351" w:rsidP="00807837">
      <w:pPr>
        <w:spacing w:after="0" w:line="240" w:lineRule="auto"/>
        <w:rPr>
          <w:rFonts w:ascii="Arial" w:eastAsia="Calibri" w:hAnsi="Arial" w:cs="Arial"/>
          <w:sz w:val="20"/>
          <w:szCs w:val="20"/>
        </w:rPr>
      </w:pPr>
    </w:p>
    <w:p w:rsidR="000C7351" w:rsidRPr="00807837" w:rsidRDefault="000C7351" w:rsidP="00807837">
      <w:pPr>
        <w:spacing w:after="0" w:line="240" w:lineRule="auto"/>
        <w:rPr>
          <w:rFonts w:ascii="Arial" w:eastAsia="Calibri" w:hAnsi="Arial" w:cs="Arial"/>
          <w:sz w:val="20"/>
          <w:szCs w:val="20"/>
        </w:rPr>
      </w:pPr>
      <w:r w:rsidRPr="00807837">
        <w:rPr>
          <w:rFonts w:ascii="Arial" w:eastAsia="Calibri" w:hAnsi="Arial" w:cs="Arial"/>
          <w:sz w:val="20"/>
          <w:szCs w:val="20"/>
        </w:rPr>
        <w:t>The Committee note</w:t>
      </w:r>
      <w:r w:rsidR="00DD214F" w:rsidRPr="00807837">
        <w:rPr>
          <w:rFonts w:ascii="Arial" w:eastAsia="Calibri" w:hAnsi="Arial" w:cs="Arial"/>
          <w:sz w:val="20"/>
          <w:szCs w:val="20"/>
        </w:rPr>
        <w:t>d</w:t>
      </w:r>
      <w:r w:rsidRPr="00807837">
        <w:rPr>
          <w:rFonts w:ascii="Arial" w:eastAsia="Calibri" w:hAnsi="Arial" w:cs="Arial"/>
          <w:sz w:val="20"/>
          <w:szCs w:val="20"/>
        </w:rPr>
        <w:t xml:space="preserve"> that </w:t>
      </w:r>
      <w:r w:rsidR="00DD214F" w:rsidRPr="00807837">
        <w:rPr>
          <w:rFonts w:ascii="Arial" w:eastAsia="Calibri" w:hAnsi="Arial" w:cs="Arial"/>
          <w:sz w:val="20"/>
          <w:szCs w:val="20"/>
        </w:rPr>
        <w:t xml:space="preserve">whilst the Entity has done extremely well in filling critical </w:t>
      </w:r>
      <w:r w:rsidR="00FF43E5" w:rsidRPr="00807837">
        <w:rPr>
          <w:rFonts w:ascii="Arial" w:eastAsia="Calibri" w:hAnsi="Arial" w:cs="Arial"/>
          <w:sz w:val="20"/>
          <w:szCs w:val="20"/>
        </w:rPr>
        <w:t>vacancies</w:t>
      </w:r>
      <w:r w:rsidR="00DD214F" w:rsidRPr="00807837">
        <w:rPr>
          <w:rFonts w:ascii="Arial" w:eastAsia="Calibri" w:hAnsi="Arial" w:cs="Arial"/>
          <w:sz w:val="20"/>
          <w:szCs w:val="20"/>
        </w:rPr>
        <w:t xml:space="preserve">, </w:t>
      </w:r>
      <w:r w:rsidRPr="00807837">
        <w:rPr>
          <w:rFonts w:ascii="Arial" w:eastAsia="Calibri" w:hAnsi="Arial" w:cs="Arial"/>
          <w:sz w:val="20"/>
          <w:szCs w:val="20"/>
        </w:rPr>
        <w:t xml:space="preserve">the Chief Executive Officer (CEO) position </w:t>
      </w:r>
      <w:r w:rsidR="00DD214F" w:rsidRPr="00807837">
        <w:rPr>
          <w:rFonts w:ascii="Arial" w:eastAsia="Calibri" w:hAnsi="Arial" w:cs="Arial"/>
          <w:sz w:val="20"/>
          <w:szCs w:val="20"/>
        </w:rPr>
        <w:t>remains vacant since 1 June 202</w:t>
      </w:r>
      <w:r w:rsidR="00234F2E" w:rsidRPr="00807837">
        <w:rPr>
          <w:rFonts w:ascii="Arial" w:eastAsia="Calibri" w:hAnsi="Arial" w:cs="Arial"/>
          <w:sz w:val="20"/>
          <w:szCs w:val="20"/>
        </w:rPr>
        <w:t>1</w:t>
      </w:r>
      <w:r w:rsidR="00DD214F" w:rsidRPr="00807837">
        <w:rPr>
          <w:rFonts w:ascii="Arial" w:eastAsia="Calibri" w:hAnsi="Arial" w:cs="Arial"/>
          <w:sz w:val="20"/>
          <w:szCs w:val="20"/>
        </w:rPr>
        <w:t xml:space="preserve">. </w:t>
      </w:r>
      <w:r w:rsidR="006B06B8" w:rsidRPr="00807837">
        <w:rPr>
          <w:rFonts w:ascii="Arial" w:eastAsia="Calibri" w:hAnsi="Arial" w:cs="Arial"/>
          <w:sz w:val="20"/>
          <w:szCs w:val="20"/>
        </w:rPr>
        <w:t xml:space="preserve">The absence of the </w:t>
      </w:r>
      <w:r w:rsidR="00FF43E5" w:rsidRPr="00807837">
        <w:rPr>
          <w:rFonts w:ascii="Arial" w:eastAsia="Calibri" w:hAnsi="Arial" w:cs="Arial"/>
          <w:sz w:val="20"/>
          <w:szCs w:val="20"/>
        </w:rPr>
        <w:t>permanent</w:t>
      </w:r>
      <w:r w:rsidR="006B06B8" w:rsidRPr="00807837">
        <w:rPr>
          <w:rFonts w:ascii="Arial" w:eastAsia="Calibri" w:hAnsi="Arial" w:cs="Arial"/>
          <w:sz w:val="20"/>
          <w:szCs w:val="20"/>
        </w:rPr>
        <w:t xml:space="preserve"> Chief Executive Officer might have affected the performance of the Entity in the period under review as the organisation did not manage </w:t>
      </w:r>
      <w:r w:rsidR="00234F2E" w:rsidRPr="00807837">
        <w:rPr>
          <w:rFonts w:ascii="Arial" w:eastAsia="Calibri" w:hAnsi="Arial" w:cs="Arial"/>
          <w:sz w:val="20"/>
          <w:szCs w:val="20"/>
        </w:rPr>
        <w:t xml:space="preserve">to </w:t>
      </w:r>
      <w:r w:rsidR="006B06B8" w:rsidRPr="00807837">
        <w:rPr>
          <w:rFonts w:ascii="Arial" w:eastAsia="Calibri" w:hAnsi="Arial" w:cs="Arial"/>
          <w:sz w:val="20"/>
          <w:szCs w:val="20"/>
        </w:rPr>
        <w:t xml:space="preserve">implement its Audit Action Plan and incurred recurring findings. </w:t>
      </w:r>
      <w:r w:rsidR="00DD214F" w:rsidRPr="00807837">
        <w:rPr>
          <w:rFonts w:ascii="Arial" w:eastAsia="Calibri" w:hAnsi="Arial" w:cs="Arial"/>
          <w:sz w:val="20"/>
          <w:szCs w:val="20"/>
        </w:rPr>
        <w:t xml:space="preserve">The Entity is commended for filling </w:t>
      </w:r>
      <w:r w:rsidR="006B06B8" w:rsidRPr="00807837">
        <w:rPr>
          <w:rFonts w:ascii="Arial" w:eastAsia="Calibri" w:hAnsi="Arial" w:cs="Arial"/>
          <w:sz w:val="20"/>
          <w:szCs w:val="20"/>
        </w:rPr>
        <w:t>th</w:t>
      </w:r>
      <w:r w:rsidR="00DD214F" w:rsidRPr="00807837">
        <w:rPr>
          <w:rFonts w:ascii="Arial" w:eastAsia="Calibri" w:hAnsi="Arial" w:cs="Arial"/>
          <w:sz w:val="20"/>
          <w:szCs w:val="20"/>
        </w:rPr>
        <w:t>e</w:t>
      </w:r>
      <w:r w:rsidR="006B06B8" w:rsidRPr="00807837">
        <w:rPr>
          <w:rFonts w:ascii="Arial" w:eastAsia="Calibri" w:hAnsi="Arial" w:cs="Arial"/>
          <w:sz w:val="20"/>
          <w:szCs w:val="20"/>
        </w:rPr>
        <w:t xml:space="preserve"> </w:t>
      </w:r>
      <w:r w:rsidR="00DD214F" w:rsidRPr="00807837">
        <w:rPr>
          <w:rFonts w:ascii="Arial" w:eastAsia="Calibri" w:hAnsi="Arial" w:cs="Arial"/>
          <w:sz w:val="20"/>
          <w:szCs w:val="20"/>
        </w:rPr>
        <w:t>vacancy of the Chief Operations officer and the Chief Quality Assurance Officer</w:t>
      </w:r>
      <w:r w:rsidR="00234F2E" w:rsidRPr="00807837">
        <w:rPr>
          <w:rFonts w:ascii="Arial" w:eastAsia="Calibri" w:hAnsi="Arial" w:cs="Arial"/>
          <w:sz w:val="20"/>
          <w:szCs w:val="20"/>
        </w:rPr>
        <w:t>,</w:t>
      </w:r>
      <w:r w:rsidR="00DD214F" w:rsidRPr="00807837">
        <w:rPr>
          <w:rFonts w:ascii="Arial" w:eastAsia="Calibri" w:hAnsi="Arial" w:cs="Arial"/>
          <w:sz w:val="20"/>
          <w:szCs w:val="20"/>
        </w:rPr>
        <w:t xml:space="preserve"> </w:t>
      </w:r>
      <w:r w:rsidR="00234F2E" w:rsidRPr="00807837">
        <w:rPr>
          <w:rFonts w:ascii="Arial" w:eastAsia="Calibri" w:hAnsi="Arial" w:cs="Arial"/>
          <w:sz w:val="20"/>
          <w:szCs w:val="20"/>
        </w:rPr>
        <w:t xml:space="preserve">which </w:t>
      </w:r>
      <w:r w:rsidR="00DD214F" w:rsidRPr="00807837">
        <w:rPr>
          <w:rFonts w:ascii="Arial" w:eastAsia="Calibri" w:hAnsi="Arial" w:cs="Arial"/>
          <w:sz w:val="20"/>
          <w:szCs w:val="20"/>
        </w:rPr>
        <w:t xml:space="preserve">was an </w:t>
      </w:r>
      <w:r w:rsidR="00234F2E" w:rsidRPr="00807837">
        <w:rPr>
          <w:rFonts w:ascii="Arial" w:eastAsia="Calibri" w:hAnsi="Arial" w:cs="Arial"/>
          <w:sz w:val="20"/>
          <w:szCs w:val="20"/>
        </w:rPr>
        <w:t xml:space="preserve">internal </w:t>
      </w:r>
      <w:r w:rsidR="00DD214F" w:rsidRPr="00807837">
        <w:rPr>
          <w:rFonts w:ascii="Arial" w:eastAsia="Calibri" w:hAnsi="Arial" w:cs="Arial"/>
          <w:sz w:val="20"/>
          <w:szCs w:val="20"/>
        </w:rPr>
        <w:t>appointment. The indicates that the Entity has depth of skills and can empower its internal employees to rise to management echelon</w:t>
      </w:r>
      <w:r w:rsidR="00234F2E" w:rsidRPr="00807837">
        <w:rPr>
          <w:rFonts w:ascii="Arial" w:eastAsia="Calibri" w:hAnsi="Arial" w:cs="Arial"/>
          <w:sz w:val="20"/>
          <w:szCs w:val="20"/>
        </w:rPr>
        <w:t>s</w:t>
      </w:r>
      <w:r w:rsidR="00DD214F" w:rsidRPr="00807837">
        <w:rPr>
          <w:rFonts w:ascii="Arial" w:eastAsia="Calibri" w:hAnsi="Arial" w:cs="Arial"/>
          <w:sz w:val="20"/>
          <w:szCs w:val="20"/>
        </w:rPr>
        <w:t xml:space="preserve">. The Committee was, however, </w:t>
      </w:r>
      <w:r w:rsidR="00FF43E5" w:rsidRPr="00807837">
        <w:rPr>
          <w:rFonts w:ascii="Arial" w:eastAsia="Calibri" w:hAnsi="Arial" w:cs="Arial"/>
          <w:sz w:val="20"/>
          <w:szCs w:val="20"/>
        </w:rPr>
        <w:t>concerned that due to th</w:t>
      </w:r>
      <w:r w:rsidR="00DD214F" w:rsidRPr="00807837">
        <w:rPr>
          <w:rFonts w:ascii="Arial" w:eastAsia="Calibri" w:hAnsi="Arial" w:cs="Arial"/>
          <w:sz w:val="20"/>
          <w:szCs w:val="20"/>
        </w:rPr>
        <w:t>e</w:t>
      </w:r>
      <w:r w:rsidR="00FF43E5" w:rsidRPr="00807837">
        <w:rPr>
          <w:rFonts w:ascii="Arial" w:eastAsia="Calibri" w:hAnsi="Arial" w:cs="Arial"/>
          <w:sz w:val="20"/>
          <w:szCs w:val="20"/>
        </w:rPr>
        <w:t xml:space="preserve"> </w:t>
      </w:r>
      <w:r w:rsidR="00DD214F" w:rsidRPr="00807837">
        <w:rPr>
          <w:rFonts w:ascii="Arial" w:eastAsia="Calibri" w:hAnsi="Arial" w:cs="Arial"/>
          <w:sz w:val="20"/>
          <w:szCs w:val="20"/>
        </w:rPr>
        <w:t xml:space="preserve">reason by the </w:t>
      </w:r>
      <w:r w:rsidR="00FF43E5" w:rsidRPr="00807837">
        <w:rPr>
          <w:rFonts w:ascii="Arial" w:eastAsia="Calibri" w:hAnsi="Arial" w:cs="Arial"/>
          <w:sz w:val="20"/>
          <w:szCs w:val="20"/>
        </w:rPr>
        <w:t>Minister</w:t>
      </w:r>
      <w:r w:rsidR="00DD214F" w:rsidRPr="00807837">
        <w:rPr>
          <w:rFonts w:ascii="Arial" w:eastAsia="Calibri" w:hAnsi="Arial" w:cs="Arial"/>
          <w:sz w:val="20"/>
          <w:szCs w:val="20"/>
        </w:rPr>
        <w:t xml:space="preserve"> to appoint the Acting CEO to act in lieu of the Board, the new Chief Operations Officer is occupying the position of the COO and the Chief </w:t>
      </w:r>
      <w:r w:rsidR="00FF43E5" w:rsidRPr="00807837">
        <w:rPr>
          <w:rFonts w:ascii="Arial" w:eastAsia="Calibri" w:hAnsi="Arial" w:cs="Arial"/>
          <w:sz w:val="20"/>
          <w:szCs w:val="20"/>
        </w:rPr>
        <w:t>Marketing</w:t>
      </w:r>
      <w:r w:rsidR="00DD214F" w:rsidRPr="00807837">
        <w:rPr>
          <w:rFonts w:ascii="Arial" w:eastAsia="Calibri" w:hAnsi="Arial" w:cs="Arial"/>
          <w:sz w:val="20"/>
          <w:szCs w:val="20"/>
        </w:rPr>
        <w:t xml:space="preserve"> Officer.</w:t>
      </w:r>
      <w:r w:rsidR="006B06B8" w:rsidRPr="00807837">
        <w:rPr>
          <w:rFonts w:ascii="Arial" w:eastAsia="Calibri" w:hAnsi="Arial" w:cs="Arial"/>
          <w:sz w:val="20"/>
          <w:szCs w:val="20"/>
        </w:rPr>
        <w:t xml:space="preserve"> </w:t>
      </w:r>
      <w:r w:rsidRPr="00807837">
        <w:rPr>
          <w:rFonts w:ascii="Arial" w:eastAsia="Calibri" w:hAnsi="Arial" w:cs="Arial"/>
          <w:sz w:val="20"/>
          <w:szCs w:val="20"/>
        </w:rPr>
        <w:t xml:space="preserve">In total, the Entity has 202 posts in its staff establishment. A total of 186 are filled and 16 are vacant, constituting 7.9 per cent vacancy rate. </w:t>
      </w:r>
    </w:p>
    <w:p w:rsidR="00A37EC8" w:rsidRPr="00807837" w:rsidRDefault="00A37EC8" w:rsidP="00807837">
      <w:pPr>
        <w:spacing w:after="0" w:line="240" w:lineRule="auto"/>
        <w:rPr>
          <w:rFonts w:ascii="Arial" w:eastAsia="Calibri" w:hAnsi="Arial" w:cs="Arial"/>
          <w:sz w:val="20"/>
          <w:szCs w:val="20"/>
        </w:rPr>
      </w:pPr>
    </w:p>
    <w:p w:rsidR="000C7351" w:rsidRPr="00807837" w:rsidRDefault="006B06B8" w:rsidP="00807837">
      <w:pPr>
        <w:spacing w:after="0" w:line="240" w:lineRule="auto"/>
        <w:rPr>
          <w:rFonts w:ascii="Arial" w:eastAsia="Calibri" w:hAnsi="Arial" w:cs="Arial"/>
          <w:sz w:val="20"/>
          <w:szCs w:val="20"/>
        </w:rPr>
      </w:pPr>
      <w:r w:rsidRPr="00807837">
        <w:rPr>
          <w:rFonts w:ascii="Arial" w:eastAsia="Calibri" w:hAnsi="Arial" w:cs="Arial"/>
          <w:sz w:val="20"/>
          <w:szCs w:val="20"/>
        </w:rPr>
        <w:t>8.2.23</w:t>
      </w:r>
      <w:r w:rsidRPr="00807837">
        <w:rPr>
          <w:rFonts w:ascii="Arial" w:eastAsia="Calibri" w:hAnsi="Arial" w:cs="Arial"/>
          <w:sz w:val="20"/>
          <w:szCs w:val="20"/>
        </w:rPr>
        <w:tab/>
        <w:t xml:space="preserve">Failure to implement </w:t>
      </w:r>
      <w:r w:rsidR="000C7351" w:rsidRPr="00807837">
        <w:rPr>
          <w:rFonts w:ascii="Arial" w:eastAsia="Calibri" w:hAnsi="Arial" w:cs="Arial"/>
          <w:sz w:val="20"/>
          <w:szCs w:val="20"/>
        </w:rPr>
        <w:t>IT Governance</w:t>
      </w:r>
    </w:p>
    <w:p w:rsidR="000C7351" w:rsidRPr="00807837" w:rsidRDefault="000C7351" w:rsidP="00807837">
      <w:pPr>
        <w:spacing w:after="0" w:line="240" w:lineRule="auto"/>
        <w:rPr>
          <w:rFonts w:ascii="Arial" w:eastAsia="Calibri" w:hAnsi="Arial" w:cs="Arial"/>
          <w:sz w:val="20"/>
          <w:szCs w:val="20"/>
        </w:rPr>
      </w:pPr>
    </w:p>
    <w:p w:rsidR="000C7351" w:rsidRPr="00807837" w:rsidRDefault="000C7351" w:rsidP="00807837">
      <w:pPr>
        <w:spacing w:after="0" w:line="240" w:lineRule="auto"/>
        <w:rPr>
          <w:rFonts w:ascii="Arial" w:eastAsia="Calibri" w:hAnsi="Arial" w:cs="Arial"/>
          <w:sz w:val="20"/>
          <w:szCs w:val="20"/>
        </w:rPr>
      </w:pPr>
      <w:r w:rsidRPr="00807837">
        <w:rPr>
          <w:rFonts w:ascii="Arial" w:eastAsia="Calibri" w:hAnsi="Arial" w:cs="Arial"/>
          <w:sz w:val="20"/>
          <w:szCs w:val="20"/>
        </w:rPr>
        <w:t xml:space="preserve">It </w:t>
      </w:r>
      <w:r w:rsidR="006B06B8" w:rsidRPr="00807837">
        <w:rPr>
          <w:rFonts w:ascii="Arial" w:eastAsia="Calibri" w:hAnsi="Arial" w:cs="Arial"/>
          <w:sz w:val="20"/>
          <w:szCs w:val="20"/>
        </w:rPr>
        <w:t xml:space="preserve">was observed with serious concern that the Entity performed badly in its IT governance. This </w:t>
      </w:r>
      <w:r w:rsidR="00234F2E" w:rsidRPr="00807837">
        <w:rPr>
          <w:rFonts w:ascii="Arial" w:eastAsia="Calibri" w:hAnsi="Arial" w:cs="Arial"/>
          <w:sz w:val="20"/>
          <w:szCs w:val="20"/>
        </w:rPr>
        <w:t xml:space="preserve">is </w:t>
      </w:r>
      <w:r w:rsidR="006B06B8" w:rsidRPr="00807837">
        <w:rPr>
          <w:rFonts w:ascii="Arial" w:eastAsia="Calibri" w:hAnsi="Arial" w:cs="Arial"/>
          <w:sz w:val="20"/>
          <w:szCs w:val="20"/>
        </w:rPr>
        <w:t xml:space="preserve">a cause for concern as SA Tourism </w:t>
      </w:r>
      <w:r w:rsidR="00234F2E" w:rsidRPr="00807837">
        <w:rPr>
          <w:rFonts w:ascii="Arial" w:eastAsia="Calibri" w:hAnsi="Arial" w:cs="Arial"/>
          <w:sz w:val="20"/>
          <w:szCs w:val="20"/>
        </w:rPr>
        <w:t xml:space="preserve">has </w:t>
      </w:r>
      <w:r w:rsidRPr="00807837">
        <w:rPr>
          <w:rFonts w:ascii="Arial" w:eastAsia="Calibri" w:hAnsi="Arial" w:cs="Arial"/>
          <w:sz w:val="20"/>
          <w:szCs w:val="20"/>
        </w:rPr>
        <w:t xml:space="preserve">no formalised processes relating to IT governance that will direct and evaluate the use of IT to support its operations. These processes include the formalisation of the IT governance framework, IT strategic plan and IT policies. Without these processes, SA Tourism will not be able to monitor the use of ICT to achieve its plans, use IT strategy and policies to accomplish its purpose and align the IT strategy with its goals. The areas of work affected include, among others, the core marketing function; the National Conventions Bureau and the Tourism Grading Council. Instead of improvement, the Auditor-General made findings that the Entity regressed on the IT environment. This </w:t>
      </w:r>
      <w:r w:rsidR="006B06B8" w:rsidRPr="00807837">
        <w:rPr>
          <w:rFonts w:ascii="Arial" w:eastAsia="Calibri" w:hAnsi="Arial" w:cs="Arial"/>
          <w:sz w:val="20"/>
          <w:szCs w:val="20"/>
        </w:rPr>
        <w:t xml:space="preserve">Committee will put this matter under </w:t>
      </w:r>
      <w:r w:rsidRPr="00807837">
        <w:rPr>
          <w:rFonts w:ascii="Arial" w:eastAsia="Calibri" w:hAnsi="Arial" w:cs="Arial"/>
          <w:sz w:val="20"/>
          <w:szCs w:val="20"/>
        </w:rPr>
        <w:t xml:space="preserve">critical scrutiny </w:t>
      </w:r>
      <w:r w:rsidR="006B06B8" w:rsidRPr="00807837">
        <w:rPr>
          <w:rFonts w:ascii="Arial" w:eastAsia="Calibri" w:hAnsi="Arial" w:cs="Arial"/>
          <w:sz w:val="20"/>
          <w:szCs w:val="20"/>
        </w:rPr>
        <w:t xml:space="preserve">as it has serious </w:t>
      </w:r>
      <w:r w:rsidR="00FF43E5" w:rsidRPr="00807837">
        <w:rPr>
          <w:rFonts w:ascii="Arial" w:eastAsia="Calibri" w:hAnsi="Arial" w:cs="Arial"/>
          <w:sz w:val="20"/>
          <w:szCs w:val="20"/>
        </w:rPr>
        <w:t>repercussions</w:t>
      </w:r>
      <w:r w:rsidR="006B06B8" w:rsidRPr="00807837">
        <w:rPr>
          <w:rFonts w:ascii="Arial" w:eastAsia="Calibri" w:hAnsi="Arial" w:cs="Arial"/>
          <w:sz w:val="20"/>
          <w:szCs w:val="20"/>
        </w:rPr>
        <w:t xml:space="preserve"> for the business processes of the Entity and modernising the tourism sector in South Africa to be on par with the </w:t>
      </w:r>
      <w:r w:rsidR="00FF43E5" w:rsidRPr="00807837">
        <w:rPr>
          <w:rFonts w:ascii="Arial" w:eastAsia="Calibri" w:hAnsi="Arial" w:cs="Arial"/>
          <w:sz w:val="20"/>
          <w:szCs w:val="20"/>
        </w:rPr>
        <w:t>world</w:t>
      </w:r>
      <w:r w:rsidR="00C35365" w:rsidRPr="00807837">
        <w:rPr>
          <w:rFonts w:ascii="Arial" w:eastAsia="Calibri" w:hAnsi="Arial" w:cs="Arial"/>
          <w:sz w:val="20"/>
          <w:szCs w:val="20"/>
        </w:rPr>
        <w:t xml:space="preserve"> on th</w:t>
      </w:r>
      <w:r w:rsidR="006B06B8" w:rsidRPr="00807837">
        <w:rPr>
          <w:rFonts w:ascii="Arial" w:eastAsia="Calibri" w:hAnsi="Arial" w:cs="Arial"/>
          <w:sz w:val="20"/>
          <w:szCs w:val="20"/>
        </w:rPr>
        <w:t>e</w:t>
      </w:r>
      <w:r w:rsidR="00C35365" w:rsidRPr="00807837">
        <w:rPr>
          <w:rFonts w:ascii="Arial" w:eastAsia="Calibri" w:hAnsi="Arial" w:cs="Arial"/>
          <w:sz w:val="20"/>
          <w:szCs w:val="20"/>
        </w:rPr>
        <w:t xml:space="preserve"> </w:t>
      </w:r>
      <w:r w:rsidR="006B06B8" w:rsidRPr="00807837">
        <w:rPr>
          <w:rFonts w:ascii="Arial" w:eastAsia="Calibri" w:hAnsi="Arial" w:cs="Arial"/>
          <w:sz w:val="20"/>
          <w:szCs w:val="20"/>
        </w:rPr>
        <w:t xml:space="preserve">usage of </w:t>
      </w:r>
      <w:r w:rsidR="005567D0" w:rsidRPr="00807837">
        <w:rPr>
          <w:rFonts w:ascii="Arial" w:eastAsia="Calibri" w:hAnsi="Arial" w:cs="Arial"/>
          <w:sz w:val="20"/>
          <w:szCs w:val="20"/>
        </w:rPr>
        <w:t>technology by</w:t>
      </w:r>
      <w:r w:rsidRPr="00807837">
        <w:rPr>
          <w:rFonts w:ascii="Arial" w:eastAsia="Calibri" w:hAnsi="Arial" w:cs="Arial"/>
          <w:sz w:val="20"/>
          <w:szCs w:val="20"/>
        </w:rPr>
        <w:t xml:space="preserve"> the </w:t>
      </w:r>
      <w:r w:rsidR="00234F2E" w:rsidRPr="00807837">
        <w:rPr>
          <w:rFonts w:ascii="Arial" w:eastAsia="Calibri" w:hAnsi="Arial" w:cs="Arial"/>
          <w:sz w:val="20"/>
          <w:szCs w:val="20"/>
        </w:rPr>
        <w:t>Entity</w:t>
      </w:r>
      <w:r w:rsidRPr="00807837">
        <w:rPr>
          <w:rFonts w:ascii="Arial" w:eastAsia="Calibri" w:hAnsi="Arial" w:cs="Arial"/>
          <w:sz w:val="20"/>
          <w:szCs w:val="20"/>
        </w:rPr>
        <w:t>.</w:t>
      </w:r>
      <w:r w:rsidR="006B06B8" w:rsidRPr="00807837">
        <w:rPr>
          <w:rFonts w:ascii="Arial" w:eastAsia="Calibri" w:hAnsi="Arial" w:cs="Arial"/>
          <w:sz w:val="20"/>
          <w:szCs w:val="20"/>
        </w:rPr>
        <w:t xml:space="preserve"> </w:t>
      </w:r>
    </w:p>
    <w:p w:rsidR="006B06B8" w:rsidRPr="00807837" w:rsidRDefault="006B06B8" w:rsidP="00807837">
      <w:pPr>
        <w:spacing w:after="0" w:line="240" w:lineRule="auto"/>
        <w:rPr>
          <w:rFonts w:ascii="Arial" w:eastAsia="Calibri" w:hAnsi="Arial" w:cs="Arial"/>
          <w:sz w:val="20"/>
          <w:szCs w:val="20"/>
        </w:rPr>
      </w:pPr>
      <w:r w:rsidRPr="00807837">
        <w:rPr>
          <w:rFonts w:ascii="Arial" w:eastAsia="Calibri" w:hAnsi="Arial" w:cs="Arial"/>
          <w:sz w:val="20"/>
          <w:szCs w:val="20"/>
        </w:rPr>
        <w:t xml:space="preserve">It was noted with optimism that the Entity applied consequence management on the previous IT management team that failed to </w:t>
      </w:r>
      <w:r w:rsidR="008C6637" w:rsidRPr="00807837">
        <w:rPr>
          <w:rFonts w:ascii="Arial" w:eastAsia="Calibri" w:hAnsi="Arial" w:cs="Arial"/>
          <w:sz w:val="20"/>
          <w:szCs w:val="20"/>
        </w:rPr>
        <w:t>im</w:t>
      </w:r>
      <w:r w:rsidRPr="00807837">
        <w:rPr>
          <w:rFonts w:ascii="Arial" w:eastAsia="Calibri" w:hAnsi="Arial" w:cs="Arial"/>
          <w:sz w:val="20"/>
          <w:szCs w:val="20"/>
        </w:rPr>
        <w:t>prove IT govern</w:t>
      </w:r>
      <w:r w:rsidR="008C6637" w:rsidRPr="00807837">
        <w:rPr>
          <w:rFonts w:ascii="Arial" w:eastAsia="Calibri" w:hAnsi="Arial" w:cs="Arial"/>
          <w:sz w:val="20"/>
          <w:szCs w:val="20"/>
        </w:rPr>
        <w:t>ance,</w:t>
      </w:r>
      <w:r w:rsidRPr="00807837">
        <w:rPr>
          <w:rFonts w:ascii="Arial" w:eastAsia="Calibri" w:hAnsi="Arial" w:cs="Arial"/>
          <w:sz w:val="20"/>
          <w:szCs w:val="20"/>
        </w:rPr>
        <w:t xml:space="preserve"> and that the new staff has been recruited to improve the IT regime. The Committee will continue paying attention on this significant aspect of the work of the Entity.</w:t>
      </w:r>
    </w:p>
    <w:p w:rsidR="000C7351" w:rsidRPr="00807837" w:rsidRDefault="000C7351" w:rsidP="00807837">
      <w:pPr>
        <w:spacing w:after="0" w:line="240" w:lineRule="auto"/>
        <w:rPr>
          <w:rFonts w:ascii="Arial" w:eastAsia="Calibri" w:hAnsi="Arial" w:cs="Arial"/>
          <w:sz w:val="20"/>
          <w:szCs w:val="20"/>
        </w:rPr>
      </w:pPr>
    </w:p>
    <w:p w:rsidR="000C7351" w:rsidRPr="00807837" w:rsidRDefault="00A37EC8" w:rsidP="00807837">
      <w:pPr>
        <w:spacing w:after="0" w:line="240" w:lineRule="auto"/>
        <w:rPr>
          <w:rFonts w:ascii="Arial" w:eastAsia="Calibri" w:hAnsi="Arial" w:cs="Arial"/>
          <w:sz w:val="20"/>
          <w:szCs w:val="20"/>
        </w:rPr>
      </w:pPr>
      <w:r w:rsidRPr="00807837">
        <w:rPr>
          <w:rFonts w:ascii="Arial" w:eastAsia="Calibri" w:hAnsi="Arial" w:cs="Arial"/>
          <w:sz w:val="20"/>
          <w:szCs w:val="20"/>
        </w:rPr>
        <w:t>8.2.24</w:t>
      </w:r>
      <w:r w:rsidRPr="00807837">
        <w:rPr>
          <w:rFonts w:ascii="Arial" w:eastAsia="Calibri" w:hAnsi="Arial" w:cs="Arial"/>
          <w:sz w:val="20"/>
          <w:szCs w:val="20"/>
        </w:rPr>
        <w:tab/>
      </w:r>
      <w:r w:rsidR="000C7351" w:rsidRPr="00807837">
        <w:rPr>
          <w:rFonts w:ascii="Arial" w:eastAsia="Calibri" w:hAnsi="Arial" w:cs="Arial"/>
          <w:sz w:val="20"/>
          <w:szCs w:val="20"/>
        </w:rPr>
        <w:t>Fatal shooting of the German tourist</w:t>
      </w:r>
    </w:p>
    <w:p w:rsidR="000C7351" w:rsidRPr="00807837" w:rsidRDefault="000C7351" w:rsidP="00807837">
      <w:pPr>
        <w:spacing w:after="0" w:line="240" w:lineRule="auto"/>
        <w:rPr>
          <w:rFonts w:ascii="Arial" w:eastAsia="Calibri" w:hAnsi="Arial" w:cs="Arial"/>
          <w:sz w:val="20"/>
          <w:szCs w:val="20"/>
        </w:rPr>
      </w:pPr>
    </w:p>
    <w:p w:rsidR="008C6637" w:rsidRPr="00807837" w:rsidRDefault="000C7351" w:rsidP="00807837">
      <w:pPr>
        <w:spacing w:after="0" w:line="240" w:lineRule="auto"/>
        <w:rPr>
          <w:rFonts w:ascii="Arial" w:eastAsia="Calibri" w:hAnsi="Arial" w:cs="Arial"/>
          <w:sz w:val="20"/>
          <w:szCs w:val="20"/>
        </w:rPr>
      </w:pPr>
      <w:r w:rsidRPr="00807837">
        <w:rPr>
          <w:rFonts w:ascii="Arial" w:eastAsia="Calibri" w:hAnsi="Arial" w:cs="Arial"/>
          <w:sz w:val="20"/>
          <w:szCs w:val="20"/>
        </w:rPr>
        <w:t>The Committee note</w:t>
      </w:r>
      <w:r w:rsidR="008C6637" w:rsidRPr="00807837">
        <w:rPr>
          <w:rFonts w:ascii="Arial" w:eastAsia="Calibri" w:hAnsi="Arial" w:cs="Arial"/>
          <w:sz w:val="20"/>
          <w:szCs w:val="20"/>
        </w:rPr>
        <w:t>d</w:t>
      </w:r>
      <w:r w:rsidRPr="00807837">
        <w:rPr>
          <w:rFonts w:ascii="Arial" w:eastAsia="Calibri" w:hAnsi="Arial" w:cs="Arial"/>
          <w:sz w:val="20"/>
          <w:szCs w:val="20"/>
        </w:rPr>
        <w:t xml:space="preserve"> that the murder of international tourists in South Africa attract</w:t>
      </w:r>
      <w:r w:rsidR="008C6637" w:rsidRPr="00807837">
        <w:rPr>
          <w:rFonts w:ascii="Arial" w:eastAsia="Calibri" w:hAnsi="Arial" w:cs="Arial"/>
          <w:sz w:val="20"/>
          <w:szCs w:val="20"/>
        </w:rPr>
        <w:t>ed</w:t>
      </w:r>
      <w:r w:rsidRPr="00807837">
        <w:rPr>
          <w:rFonts w:ascii="Arial" w:eastAsia="Calibri" w:hAnsi="Arial" w:cs="Arial"/>
          <w:sz w:val="20"/>
          <w:szCs w:val="20"/>
        </w:rPr>
        <w:t xml:space="preserve"> widespread reporting in international headlines. </w:t>
      </w:r>
      <w:r w:rsidR="008C6637" w:rsidRPr="00807837">
        <w:rPr>
          <w:rFonts w:ascii="Arial" w:eastAsia="Calibri" w:hAnsi="Arial" w:cs="Arial"/>
          <w:sz w:val="20"/>
          <w:szCs w:val="20"/>
        </w:rPr>
        <w:t xml:space="preserve">Consequently, the US embassy in South Africa has issued a security alert advising US citizens to steer clear of the Kruger National Park’s Numbi Gate. This </w:t>
      </w:r>
      <w:r w:rsidR="00C35365" w:rsidRPr="00807837">
        <w:rPr>
          <w:rFonts w:ascii="Arial" w:eastAsia="Calibri" w:hAnsi="Arial" w:cs="Arial"/>
          <w:sz w:val="20"/>
          <w:szCs w:val="20"/>
        </w:rPr>
        <w:t>alert</w:t>
      </w:r>
      <w:r w:rsidR="008C6637" w:rsidRPr="00807837">
        <w:rPr>
          <w:rFonts w:ascii="Arial" w:eastAsia="Calibri" w:hAnsi="Arial" w:cs="Arial"/>
          <w:sz w:val="20"/>
          <w:szCs w:val="20"/>
        </w:rPr>
        <w:t xml:space="preserve"> </w:t>
      </w:r>
      <w:r w:rsidR="008C6637" w:rsidRPr="00807837">
        <w:rPr>
          <w:rFonts w:ascii="Arial" w:eastAsia="Calibri" w:hAnsi="Arial" w:cs="Arial"/>
          <w:sz w:val="20"/>
          <w:szCs w:val="20"/>
        </w:rPr>
        <w:lastRenderedPageBreak/>
        <w:t xml:space="preserve">cites an increase in crime in the area and warns travellers to use alternative entrances to the Kruger </w:t>
      </w:r>
      <w:r w:rsidR="00234F2E" w:rsidRPr="00807837">
        <w:rPr>
          <w:rFonts w:ascii="Arial" w:eastAsia="Calibri" w:hAnsi="Arial" w:cs="Arial"/>
          <w:sz w:val="20"/>
          <w:szCs w:val="20"/>
        </w:rPr>
        <w:t>N</w:t>
      </w:r>
      <w:r w:rsidR="008C6637" w:rsidRPr="00807837">
        <w:rPr>
          <w:rFonts w:ascii="Arial" w:eastAsia="Calibri" w:hAnsi="Arial" w:cs="Arial"/>
          <w:sz w:val="20"/>
          <w:szCs w:val="20"/>
        </w:rPr>
        <w:t>ational Park</w:t>
      </w:r>
    </w:p>
    <w:p w:rsidR="008C6637" w:rsidRPr="00807837" w:rsidRDefault="008C6637" w:rsidP="00807837">
      <w:pPr>
        <w:spacing w:after="0" w:line="240" w:lineRule="auto"/>
        <w:rPr>
          <w:rFonts w:ascii="Arial" w:eastAsia="Calibri" w:hAnsi="Arial" w:cs="Arial"/>
          <w:sz w:val="20"/>
          <w:szCs w:val="20"/>
        </w:rPr>
      </w:pPr>
      <w:r w:rsidRPr="00807837">
        <w:rPr>
          <w:rFonts w:ascii="Arial" w:eastAsia="Calibri" w:hAnsi="Arial" w:cs="Arial"/>
          <w:sz w:val="20"/>
          <w:szCs w:val="20"/>
        </w:rPr>
        <w:t>The Committee commends the quick action by the Entity to immediately deploy the Chief Operations Officer to the area to be the eyes and ears on the ground. As reported by the Entity,</w:t>
      </w:r>
      <w:r w:rsidR="00C35365" w:rsidRPr="00807837">
        <w:rPr>
          <w:rFonts w:ascii="Arial" w:eastAsia="Calibri" w:hAnsi="Arial" w:cs="Arial"/>
          <w:sz w:val="20"/>
          <w:szCs w:val="20"/>
        </w:rPr>
        <w:t xml:space="preserve"> this led to the incident not </w:t>
      </w:r>
      <w:r w:rsidR="00234F2E" w:rsidRPr="00807837">
        <w:rPr>
          <w:rFonts w:ascii="Arial" w:eastAsia="Calibri" w:hAnsi="Arial" w:cs="Arial"/>
          <w:sz w:val="20"/>
          <w:szCs w:val="20"/>
        </w:rPr>
        <w:t xml:space="preserve">being </w:t>
      </w:r>
      <w:r w:rsidR="00C35365" w:rsidRPr="00807837">
        <w:rPr>
          <w:rFonts w:ascii="Arial" w:eastAsia="Calibri" w:hAnsi="Arial" w:cs="Arial"/>
          <w:sz w:val="20"/>
          <w:szCs w:val="20"/>
        </w:rPr>
        <w:t>wi</w:t>
      </w:r>
      <w:r w:rsidRPr="00807837">
        <w:rPr>
          <w:rFonts w:ascii="Arial" w:eastAsia="Calibri" w:hAnsi="Arial" w:cs="Arial"/>
          <w:sz w:val="20"/>
          <w:szCs w:val="20"/>
        </w:rPr>
        <w:t xml:space="preserve">dely reported </w:t>
      </w:r>
      <w:r w:rsidR="00C35365" w:rsidRPr="00807837">
        <w:rPr>
          <w:rFonts w:ascii="Arial" w:eastAsia="Calibri" w:hAnsi="Arial" w:cs="Arial"/>
          <w:sz w:val="20"/>
          <w:szCs w:val="20"/>
        </w:rPr>
        <w:t>in</w:t>
      </w:r>
      <w:r w:rsidRPr="00807837">
        <w:rPr>
          <w:rFonts w:ascii="Arial" w:eastAsia="Calibri" w:hAnsi="Arial" w:cs="Arial"/>
          <w:sz w:val="20"/>
          <w:szCs w:val="20"/>
        </w:rPr>
        <w:t xml:space="preserve"> the international media as there was personal contact and guidance given to the affected touring German party.</w:t>
      </w:r>
    </w:p>
    <w:p w:rsidR="00A46A73" w:rsidRPr="00807837" w:rsidRDefault="00A46A73" w:rsidP="00807837">
      <w:pPr>
        <w:spacing w:after="0" w:line="240" w:lineRule="auto"/>
        <w:rPr>
          <w:rFonts w:ascii="Arial" w:eastAsia="Calibri" w:hAnsi="Arial" w:cs="Arial"/>
          <w:sz w:val="20"/>
          <w:szCs w:val="20"/>
        </w:rPr>
      </w:pPr>
    </w:p>
    <w:p w:rsidR="00C43C33" w:rsidRPr="00807837" w:rsidRDefault="00AC4A4B" w:rsidP="00807837">
      <w:pPr>
        <w:pStyle w:val="ListParagraph"/>
        <w:numPr>
          <w:ilvl w:val="0"/>
          <w:numId w:val="13"/>
        </w:numPr>
        <w:spacing w:after="0" w:line="240" w:lineRule="auto"/>
        <w:ind w:left="567" w:hanging="567"/>
        <w:rPr>
          <w:rFonts w:ascii="Arial" w:eastAsia="Calibri" w:hAnsi="Arial" w:cs="Arial"/>
          <w:b/>
          <w:sz w:val="20"/>
          <w:szCs w:val="20"/>
        </w:rPr>
      </w:pPr>
      <w:r w:rsidRPr="00807837">
        <w:rPr>
          <w:rFonts w:ascii="Arial" w:eastAsia="Calibri" w:hAnsi="Arial" w:cs="Arial"/>
          <w:b/>
          <w:sz w:val="20"/>
          <w:szCs w:val="20"/>
        </w:rPr>
        <w:t>RECOMMENDATIONS</w:t>
      </w:r>
    </w:p>
    <w:p w:rsidR="00CD190E" w:rsidRPr="00807837" w:rsidRDefault="00CD190E" w:rsidP="00807837">
      <w:pPr>
        <w:pStyle w:val="ListParagraph"/>
        <w:spacing w:after="0" w:line="240" w:lineRule="auto"/>
        <w:ind w:left="502"/>
        <w:rPr>
          <w:rFonts w:ascii="Arial" w:eastAsia="Calibri" w:hAnsi="Arial" w:cs="Arial"/>
          <w:sz w:val="20"/>
          <w:szCs w:val="20"/>
        </w:rPr>
      </w:pPr>
    </w:p>
    <w:p w:rsidR="00413730" w:rsidRPr="00807837" w:rsidRDefault="00CD190E" w:rsidP="00807837">
      <w:pPr>
        <w:spacing w:after="0" w:line="240" w:lineRule="auto"/>
        <w:rPr>
          <w:rFonts w:ascii="Arial" w:hAnsi="Arial" w:cs="Arial"/>
          <w:sz w:val="20"/>
          <w:szCs w:val="20"/>
          <w:lang w:val="en-US"/>
        </w:rPr>
      </w:pPr>
      <w:r w:rsidRPr="00807837">
        <w:rPr>
          <w:rFonts w:ascii="Arial" w:hAnsi="Arial" w:cs="Arial"/>
          <w:sz w:val="20"/>
          <w:szCs w:val="20"/>
          <w:lang w:val="en-US"/>
        </w:rPr>
        <w:t>The Committee</w:t>
      </w:r>
      <w:r w:rsidR="006814C3" w:rsidRPr="00807837">
        <w:rPr>
          <w:rFonts w:ascii="Arial" w:hAnsi="Arial" w:cs="Arial"/>
          <w:sz w:val="20"/>
          <w:szCs w:val="20"/>
          <w:lang w:val="en-US"/>
        </w:rPr>
        <w:t>,</w:t>
      </w:r>
      <w:r w:rsidRPr="00807837">
        <w:rPr>
          <w:rFonts w:ascii="Arial" w:hAnsi="Arial" w:cs="Arial"/>
          <w:sz w:val="20"/>
          <w:szCs w:val="20"/>
          <w:lang w:val="en-US"/>
        </w:rPr>
        <w:t xml:space="preserve"> after </w:t>
      </w:r>
      <w:r w:rsidR="006814C3" w:rsidRPr="00807837">
        <w:rPr>
          <w:rFonts w:ascii="Arial" w:hAnsi="Arial" w:cs="Arial"/>
          <w:sz w:val="20"/>
          <w:szCs w:val="20"/>
          <w:lang w:val="en-US"/>
        </w:rPr>
        <w:t xml:space="preserve">a careful consideration of </w:t>
      </w:r>
      <w:r w:rsidRPr="00807837">
        <w:rPr>
          <w:rFonts w:ascii="Arial" w:hAnsi="Arial" w:cs="Arial"/>
          <w:sz w:val="20"/>
          <w:szCs w:val="20"/>
          <w:lang w:val="en-US"/>
        </w:rPr>
        <w:t xml:space="preserve">the Annual Reports of both the Department </w:t>
      </w:r>
      <w:r w:rsidR="00B36B26" w:rsidRPr="00807837">
        <w:rPr>
          <w:rFonts w:ascii="Arial" w:hAnsi="Arial" w:cs="Arial"/>
          <w:sz w:val="20"/>
          <w:szCs w:val="20"/>
          <w:lang w:val="en-US"/>
        </w:rPr>
        <w:t xml:space="preserve">and </w:t>
      </w:r>
      <w:r w:rsidRPr="00807837">
        <w:rPr>
          <w:rFonts w:ascii="Arial" w:hAnsi="Arial" w:cs="Arial"/>
          <w:sz w:val="20"/>
          <w:szCs w:val="20"/>
          <w:lang w:val="en-US"/>
        </w:rPr>
        <w:t>S</w:t>
      </w:r>
      <w:r w:rsidR="00B36B26" w:rsidRPr="00807837">
        <w:rPr>
          <w:rFonts w:ascii="Arial" w:hAnsi="Arial" w:cs="Arial"/>
          <w:sz w:val="20"/>
          <w:szCs w:val="20"/>
          <w:lang w:val="en-US"/>
        </w:rPr>
        <w:t xml:space="preserve">A </w:t>
      </w:r>
      <w:r w:rsidRPr="00807837">
        <w:rPr>
          <w:rFonts w:ascii="Arial" w:hAnsi="Arial" w:cs="Arial"/>
          <w:sz w:val="20"/>
          <w:szCs w:val="20"/>
          <w:lang w:val="en-US"/>
        </w:rPr>
        <w:t>Tourism in the implementation of the</w:t>
      </w:r>
      <w:r w:rsidR="00B36B26" w:rsidRPr="00807837">
        <w:rPr>
          <w:rFonts w:ascii="Arial" w:hAnsi="Arial" w:cs="Arial"/>
          <w:sz w:val="20"/>
          <w:szCs w:val="20"/>
          <w:lang w:val="en-US"/>
        </w:rPr>
        <w:t xml:space="preserve"> budget appropriated for Vote 38</w:t>
      </w:r>
      <w:r w:rsidR="00661E19" w:rsidRPr="00807837">
        <w:rPr>
          <w:rFonts w:ascii="Arial" w:hAnsi="Arial" w:cs="Arial"/>
          <w:sz w:val="20"/>
          <w:szCs w:val="20"/>
          <w:lang w:val="en-US"/>
        </w:rPr>
        <w:t xml:space="preserve"> </w:t>
      </w:r>
      <w:r w:rsidRPr="00807837">
        <w:rPr>
          <w:rFonts w:ascii="Arial" w:hAnsi="Arial" w:cs="Arial"/>
          <w:sz w:val="20"/>
          <w:szCs w:val="20"/>
          <w:lang w:val="en-US"/>
        </w:rPr>
        <w:t>makes recommendations to the Minister</w:t>
      </w:r>
      <w:r w:rsidR="00B36B26" w:rsidRPr="00807837">
        <w:rPr>
          <w:rFonts w:ascii="Arial" w:hAnsi="Arial" w:cs="Arial"/>
          <w:sz w:val="20"/>
          <w:szCs w:val="20"/>
          <w:lang w:val="en-US"/>
        </w:rPr>
        <w:t>s</w:t>
      </w:r>
      <w:r w:rsidRPr="00807837">
        <w:rPr>
          <w:rFonts w:ascii="Arial" w:hAnsi="Arial" w:cs="Arial"/>
          <w:sz w:val="20"/>
          <w:szCs w:val="20"/>
          <w:lang w:val="en-US"/>
        </w:rPr>
        <w:t xml:space="preserve"> of Finance and </w:t>
      </w:r>
      <w:r w:rsidR="00836F88" w:rsidRPr="00807837">
        <w:rPr>
          <w:rFonts w:ascii="Arial" w:hAnsi="Arial" w:cs="Arial"/>
          <w:sz w:val="20"/>
          <w:szCs w:val="20"/>
          <w:lang w:val="en-US"/>
        </w:rPr>
        <w:t xml:space="preserve">the Minister of </w:t>
      </w:r>
      <w:r w:rsidRPr="00807837">
        <w:rPr>
          <w:rFonts w:ascii="Arial" w:hAnsi="Arial" w:cs="Arial"/>
          <w:sz w:val="20"/>
          <w:szCs w:val="20"/>
          <w:lang w:val="en-US"/>
        </w:rPr>
        <w:t>Tourism respectively, for responding on or before the end of the 202</w:t>
      </w:r>
      <w:r w:rsidR="000402D9" w:rsidRPr="00807837">
        <w:rPr>
          <w:rFonts w:ascii="Arial" w:hAnsi="Arial" w:cs="Arial"/>
          <w:sz w:val="20"/>
          <w:szCs w:val="20"/>
          <w:lang w:val="en-US"/>
        </w:rPr>
        <w:t>2</w:t>
      </w:r>
      <w:r w:rsidRPr="00807837">
        <w:rPr>
          <w:rFonts w:ascii="Arial" w:hAnsi="Arial" w:cs="Arial"/>
          <w:sz w:val="20"/>
          <w:szCs w:val="20"/>
          <w:lang w:val="en-US"/>
        </w:rPr>
        <w:t>/2</w:t>
      </w:r>
      <w:r w:rsidR="000402D9" w:rsidRPr="00807837">
        <w:rPr>
          <w:rFonts w:ascii="Arial" w:hAnsi="Arial" w:cs="Arial"/>
          <w:sz w:val="20"/>
          <w:szCs w:val="20"/>
          <w:lang w:val="en-US"/>
        </w:rPr>
        <w:t>3</w:t>
      </w:r>
      <w:r w:rsidRPr="00807837">
        <w:rPr>
          <w:rFonts w:ascii="Arial" w:hAnsi="Arial" w:cs="Arial"/>
          <w:sz w:val="20"/>
          <w:szCs w:val="20"/>
          <w:lang w:val="en-US"/>
        </w:rPr>
        <w:t xml:space="preserve"> financial year</w:t>
      </w:r>
      <w:r w:rsidR="00836F88" w:rsidRPr="00807837">
        <w:rPr>
          <w:rFonts w:ascii="Arial" w:hAnsi="Arial" w:cs="Arial"/>
          <w:sz w:val="20"/>
          <w:szCs w:val="20"/>
          <w:lang w:val="en-US"/>
        </w:rPr>
        <w:t>, namely</w:t>
      </w:r>
      <w:r w:rsidRPr="00807837">
        <w:rPr>
          <w:rFonts w:ascii="Arial" w:hAnsi="Arial" w:cs="Arial"/>
          <w:sz w:val="20"/>
          <w:szCs w:val="20"/>
          <w:lang w:val="en-US"/>
        </w:rPr>
        <w:t xml:space="preserve"> </w:t>
      </w:r>
      <w:r w:rsidR="00836F88" w:rsidRPr="00807837">
        <w:rPr>
          <w:rFonts w:ascii="Arial" w:hAnsi="Arial" w:cs="Arial"/>
          <w:sz w:val="20"/>
          <w:szCs w:val="20"/>
          <w:lang w:val="en-US"/>
        </w:rPr>
        <w:t xml:space="preserve">31 </w:t>
      </w:r>
      <w:r w:rsidRPr="00807837">
        <w:rPr>
          <w:rFonts w:ascii="Arial" w:hAnsi="Arial" w:cs="Arial"/>
          <w:sz w:val="20"/>
          <w:szCs w:val="20"/>
          <w:lang w:val="en-US"/>
        </w:rPr>
        <w:t>March 202</w:t>
      </w:r>
      <w:r w:rsidR="000402D9" w:rsidRPr="00807837">
        <w:rPr>
          <w:rFonts w:ascii="Arial" w:hAnsi="Arial" w:cs="Arial"/>
          <w:sz w:val="20"/>
          <w:szCs w:val="20"/>
          <w:lang w:val="en-US"/>
        </w:rPr>
        <w:t>3</w:t>
      </w:r>
      <w:r w:rsidRPr="00807837">
        <w:rPr>
          <w:rFonts w:ascii="Arial" w:hAnsi="Arial" w:cs="Arial"/>
          <w:sz w:val="20"/>
          <w:szCs w:val="20"/>
          <w:lang w:val="en-US"/>
        </w:rPr>
        <w:t xml:space="preserve">. </w:t>
      </w:r>
    </w:p>
    <w:p w:rsidR="003B566E" w:rsidRPr="00807837" w:rsidRDefault="003B566E" w:rsidP="00807837">
      <w:pPr>
        <w:spacing w:after="0" w:line="240" w:lineRule="auto"/>
        <w:rPr>
          <w:rFonts w:ascii="Arial" w:hAnsi="Arial" w:cs="Arial"/>
          <w:b/>
          <w:sz w:val="20"/>
          <w:szCs w:val="20"/>
          <w:lang w:val="en-US"/>
        </w:rPr>
      </w:pPr>
    </w:p>
    <w:p w:rsidR="00E72F3B" w:rsidRPr="00807837" w:rsidRDefault="00E72F3B" w:rsidP="00807837">
      <w:pPr>
        <w:spacing w:after="0" w:line="240" w:lineRule="auto"/>
        <w:rPr>
          <w:rFonts w:ascii="Arial" w:hAnsi="Arial" w:cs="Arial"/>
          <w:b/>
          <w:sz w:val="20"/>
          <w:szCs w:val="20"/>
          <w:lang w:val="en-US"/>
        </w:rPr>
      </w:pPr>
      <w:r w:rsidRPr="00807837">
        <w:rPr>
          <w:rFonts w:ascii="Arial" w:hAnsi="Arial" w:cs="Arial"/>
          <w:b/>
          <w:sz w:val="20"/>
          <w:szCs w:val="20"/>
          <w:lang w:val="en-US"/>
        </w:rPr>
        <w:t>Recommendations to the Minister of Finance</w:t>
      </w:r>
    </w:p>
    <w:p w:rsidR="00E72F3B" w:rsidRPr="00807837" w:rsidRDefault="00E72F3B" w:rsidP="00807837">
      <w:pPr>
        <w:spacing w:after="0" w:line="240" w:lineRule="auto"/>
        <w:rPr>
          <w:rFonts w:ascii="Arial" w:hAnsi="Arial" w:cs="Arial"/>
          <w:b/>
          <w:sz w:val="20"/>
          <w:szCs w:val="20"/>
          <w:lang w:val="en-US"/>
        </w:rPr>
      </w:pPr>
    </w:p>
    <w:p w:rsidR="00E72F3B" w:rsidRPr="00807837" w:rsidRDefault="00E72F3B" w:rsidP="00807837">
      <w:pPr>
        <w:spacing w:after="0" w:line="240" w:lineRule="auto"/>
        <w:rPr>
          <w:rFonts w:ascii="Arial" w:hAnsi="Arial" w:cs="Arial"/>
          <w:sz w:val="20"/>
          <w:szCs w:val="20"/>
          <w:lang w:val="en-US"/>
        </w:rPr>
      </w:pPr>
      <w:r w:rsidRPr="00807837">
        <w:rPr>
          <w:rFonts w:ascii="Arial" w:hAnsi="Arial" w:cs="Arial"/>
          <w:sz w:val="20"/>
          <w:szCs w:val="20"/>
          <w:lang w:val="en-US"/>
        </w:rPr>
        <w:t>It is recommended that</w:t>
      </w:r>
      <w:r w:rsidR="00B36B26" w:rsidRPr="00807837">
        <w:rPr>
          <w:rFonts w:ascii="Arial" w:hAnsi="Arial" w:cs="Arial"/>
          <w:sz w:val="20"/>
          <w:szCs w:val="20"/>
          <w:lang w:val="en-US"/>
        </w:rPr>
        <w:t>:</w:t>
      </w:r>
    </w:p>
    <w:p w:rsidR="00E72F3B" w:rsidRPr="00807837" w:rsidRDefault="00E72F3B" w:rsidP="00807837">
      <w:pPr>
        <w:spacing w:after="0" w:line="240" w:lineRule="auto"/>
        <w:rPr>
          <w:rFonts w:ascii="Arial" w:hAnsi="Arial" w:cs="Arial"/>
          <w:sz w:val="20"/>
          <w:szCs w:val="20"/>
          <w:lang w:val="en-US"/>
        </w:rPr>
      </w:pPr>
    </w:p>
    <w:p w:rsidR="00516B42" w:rsidRPr="00807837" w:rsidRDefault="00516B42" w:rsidP="00807837">
      <w:pPr>
        <w:pStyle w:val="ListParagraph"/>
        <w:numPr>
          <w:ilvl w:val="1"/>
          <w:numId w:val="13"/>
        </w:numPr>
        <w:spacing w:after="0" w:line="240" w:lineRule="auto"/>
        <w:ind w:left="567" w:hanging="567"/>
        <w:rPr>
          <w:rFonts w:ascii="Arial" w:hAnsi="Arial" w:cs="Arial"/>
          <w:sz w:val="20"/>
          <w:szCs w:val="20"/>
          <w:lang w:val="en-US"/>
        </w:rPr>
      </w:pPr>
      <w:r w:rsidRPr="00807837">
        <w:rPr>
          <w:rFonts w:ascii="Arial" w:hAnsi="Arial" w:cs="Arial"/>
          <w:sz w:val="20"/>
          <w:szCs w:val="20"/>
          <w:lang w:val="en-US"/>
        </w:rPr>
        <w:t xml:space="preserve">The National Treasury appropriates a </w:t>
      </w:r>
      <w:r w:rsidR="00C35365" w:rsidRPr="00807837">
        <w:rPr>
          <w:rFonts w:ascii="Arial" w:hAnsi="Arial" w:cs="Arial"/>
          <w:sz w:val="20"/>
          <w:szCs w:val="20"/>
          <w:lang w:val="en-US"/>
        </w:rPr>
        <w:t>ring-fenced</w:t>
      </w:r>
      <w:r w:rsidRPr="00807837">
        <w:rPr>
          <w:rFonts w:ascii="Arial" w:hAnsi="Arial" w:cs="Arial"/>
          <w:sz w:val="20"/>
          <w:szCs w:val="20"/>
          <w:lang w:val="en-US"/>
        </w:rPr>
        <w:t xml:space="preserve"> budget that will be used to develop, enhance and market domestic tourism which is a cornerstone for successful tourism destinations.</w:t>
      </w:r>
    </w:p>
    <w:p w:rsidR="00516B42" w:rsidRPr="00807837" w:rsidRDefault="00516B42" w:rsidP="00807837">
      <w:pPr>
        <w:pStyle w:val="ListParagraph"/>
        <w:spacing w:after="0" w:line="240" w:lineRule="auto"/>
        <w:ind w:left="567"/>
        <w:rPr>
          <w:rFonts w:ascii="Arial" w:hAnsi="Arial" w:cs="Arial"/>
          <w:sz w:val="20"/>
          <w:szCs w:val="20"/>
          <w:lang w:val="en-US"/>
        </w:rPr>
      </w:pPr>
    </w:p>
    <w:p w:rsidR="00E72F3B" w:rsidRPr="00807837" w:rsidRDefault="007A112B" w:rsidP="00807837">
      <w:pPr>
        <w:pStyle w:val="ListParagraph"/>
        <w:numPr>
          <w:ilvl w:val="1"/>
          <w:numId w:val="13"/>
        </w:numPr>
        <w:spacing w:after="0" w:line="240" w:lineRule="auto"/>
        <w:ind w:left="567" w:hanging="567"/>
        <w:rPr>
          <w:rFonts w:ascii="Arial" w:hAnsi="Arial" w:cs="Arial"/>
          <w:sz w:val="20"/>
          <w:szCs w:val="20"/>
          <w:lang w:val="en-US"/>
        </w:rPr>
      </w:pPr>
      <w:r w:rsidRPr="00807837">
        <w:rPr>
          <w:rFonts w:ascii="Arial" w:hAnsi="Arial" w:cs="Arial"/>
          <w:sz w:val="20"/>
          <w:szCs w:val="20"/>
          <w:lang w:val="en-US"/>
        </w:rPr>
        <w:t xml:space="preserve">The National Treasury </w:t>
      </w:r>
      <w:r w:rsidR="00516B42" w:rsidRPr="00807837">
        <w:rPr>
          <w:rFonts w:ascii="Arial" w:hAnsi="Arial" w:cs="Arial"/>
          <w:sz w:val="20"/>
          <w:szCs w:val="20"/>
          <w:lang w:val="en-US"/>
        </w:rPr>
        <w:t>appropriates budget that will allow sector recovery and assists in surpassing the 2019 performance levels before the advent of the COVID-19 pandemic.</w:t>
      </w:r>
    </w:p>
    <w:p w:rsidR="00811D7C" w:rsidRPr="00807837" w:rsidRDefault="00811D7C" w:rsidP="00807837">
      <w:pPr>
        <w:pStyle w:val="ListParagraph"/>
        <w:spacing w:after="0" w:line="240" w:lineRule="auto"/>
        <w:ind w:left="567"/>
        <w:rPr>
          <w:rFonts w:ascii="Arial" w:hAnsi="Arial" w:cs="Arial"/>
          <w:sz w:val="20"/>
          <w:szCs w:val="20"/>
          <w:lang w:val="en-US"/>
        </w:rPr>
      </w:pPr>
    </w:p>
    <w:p w:rsidR="004C50D9" w:rsidRPr="00807837" w:rsidRDefault="004C50D9" w:rsidP="00807837">
      <w:pPr>
        <w:spacing w:after="0" w:line="240" w:lineRule="auto"/>
        <w:rPr>
          <w:rFonts w:ascii="Arial" w:hAnsi="Arial" w:cs="Arial"/>
          <w:b/>
          <w:sz w:val="20"/>
          <w:szCs w:val="20"/>
          <w:lang w:val="en-US"/>
        </w:rPr>
      </w:pPr>
      <w:r w:rsidRPr="00807837">
        <w:rPr>
          <w:rFonts w:ascii="Arial" w:hAnsi="Arial" w:cs="Arial"/>
          <w:b/>
          <w:sz w:val="20"/>
          <w:szCs w:val="20"/>
          <w:lang w:val="en-US"/>
        </w:rPr>
        <w:t>Generic recommendations for the Department of Tourism and South African Tourism</w:t>
      </w:r>
    </w:p>
    <w:p w:rsidR="007A7DB6" w:rsidRPr="00807837" w:rsidRDefault="007A7DB6" w:rsidP="00807837">
      <w:pPr>
        <w:spacing w:after="0" w:line="240" w:lineRule="auto"/>
        <w:rPr>
          <w:rFonts w:ascii="Arial" w:hAnsi="Arial" w:cs="Arial"/>
          <w:sz w:val="20"/>
          <w:szCs w:val="20"/>
          <w:lang w:val="en-US"/>
        </w:rPr>
      </w:pPr>
    </w:p>
    <w:p w:rsidR="00922DF2" w:rsidRPr="00807837" w:rsidRDefault="00922DF2" w:rsidP="00807837">
      <w:pPr>
        <w:spacing w:after="0" w:line="240" w:lineRule="auto"/>
        <w:rPr>
          <w:rFonts w:ascii="Arial" w:hAnsi="Arial" w:cs="Arial"/>
          <w:sz w:val="20"/>
          <w:szCs w:val="20"/>
          <w:lang w:val="en-US"/>
        </w:rPr>
      </w:pPr>
      <w:r w:rsidRPr="00807837">
        <w:rPr>
          <w:rFonts w:ascii="Arial" w:hAnsi="Arial" w:cs="Arial"/>
          <w:sz w:val="20"/>
          <w:szCs w:val="20"/>
          <w:lang w:val="en-US"/>
        </w:rPr>
        <w:t xml:space="preserve">The following generic </w:t>
      </w:r>
      <w:r w:rsidR="00C35365" w:rsidRPr="00807837">
        <w:rPr>
          <w:rFonts w:ascii="Arial" w:hAnsi="Arial" w:cs="Arial"/>
          <w:sz w:val="20"/>
          <w:szCs w:val="20"/>
          <w:lang w:val="en-US"/>
        </w:rPr>
        <w:t>recommendations</w:t>
      </w:r>
      <w:r w:rsidRPr="00807837">
        <w:rPr>
          <w:rFonts w:ascii="Arial" w:hAnsi="Arial" w:cs="Arial"/>
          <w:sz w:val="20"/>
          <w:szCs w:val="20"/>
          <w:lang w:val="en-US"/>
        </w:rPr>
        <w:t xml:space="preserve"> are meant to ensure that the Minister, the Board and Accounting Officers of both the Department and the Entity are collectively and individually held accountable. </w:t>
      </w:r>
    </w:p>
    <w:p w:rsidR="00516B42" w:rsidRPr="00807837" w:rsidRDefault="00516B42" w:rsidP="00807837">
      <w:pPr>
        <w:spacing w:after="0" w:line="240" w:lineRule="auto"/>
        <w:rPr>
          <w:rFonts w:ascii="Arial" w:hAnsi="Arial" w:cs="Arial"/>
          <w:sz w:val="20"/>
          <w:szCs w:val="20"/>
          <w:lang w:val="en-US"/>
        </w:rPr>
      </w:pPr>
    </w:p>
    <w:p w:rsidR="00516B42" w:rsidRPr="00807837" w:rsidRDefault="00516B42" w:rsidP="00807837">
      <w:pPr>
        <w:spacing w:after="0" w:line="240" w:lineRule="auto"/>
        <w:ind w:left="720" w:hanging="720"/>
        <w:rPr>
          <w:rFonts w:ascii="Arial" w:hAnsi="Arial" w:cs="Arial"/>
          <w:sz w:val="20"/>
          <w:szCs w:val="20"/>
          <w:lang w:val="en-US"/>
        </w:rPr>
      </w:pPr>
      <w:r w:rsidRPr="00807837">
        <w:rPr>
          <w:rFonts w:ascii="Arial" w:hAnsi="Arial" w:cs="Arial"/>
          <w:sz w:val="20"/>
          <w:szCs w:val="20"/>
          <w:lang w:val="en-US"/>
        </w:rPr>
        <w:t>9.3</w:t>
      </w:r>
      <w:r w:rsidRPr="00807837">
        <w:rPr>
          <w:rFonts w:ascii="Arial" w:hAnsi="Arial" w:cs="Arial"/>
          <w:sz w:val="20"/>
          <w:szCs w:val="20"/>
          <w:lang w:val="en-US"/>
        </w:rPr>
        <w:tab/>
        <w:t xml:space="preserve">It is </w:t>
      </w:r>
      <w:r w:rsidR="00C35365" w:rsidRPr="00807837">
        <w:rPr>
          <w:rFonts w:ascii="Arial" w:hAnsi="Arial" w:cs="Arial"/>
          <w:sz w:val="20"/>
          <w:szCs w:val="20"/>
          <w:lang w:val="en-US"/>
        </w:rPr>
        <w:t>recommended</w:t>
      </w:r>
      <w:r w:rsidRPr="00807837">
        <w:rPr>
          <w:rFonts w:ascii="Arial" w:hAnsi="Arial" w:cs="Arial"/>
          <w:sz w:val="20"/>
          <w:szCs w:val="20"/>
          <w:lang w:val="en-US"/>
        </w:rPr>
        <w:t xml:space="preserve"> that the </w:t>
      </w:r>
      <w:r w:rsidR="00C35365" w:rsidRPr="00807837">
        <w:rPr>
          <w:rFonts w:ascii="Arial" w:hAnsi="Arial" w:cs="Arial"/>
          <w:sz w:val="20"/>
          <w:szCs w:val="20"/>
          <w:lang w:val="en-US"/>
        </w:rPr>
        <w:t>Minister</w:t>
      </w:r>
      <w:r w:rsidRPr="00807837">
        <w:rPr>
          <w:rFonts w:ascii="Arial" w:hAnsi="Arial" w:cs="Arial"/>
          <w:sz w:val="20"/>
          <w:szCs w:val="20"/>
          <w:lang w:val="en-US"/>
        </w:rPr>
        <w:t xml:space="preserve"> of Tourism </w:t>
      </w:r>
      <w:r w:rsidR="00153C75" w:rsidRPr="00807837">
        <w:rPr>
          <w:rFonts w:ascii="Arial" w:hAnsi="Arial" w:cs="Arial"/>
          <w:sz w:val="20"/>
          <w:szCs w:val="20"/>
          <w:lang w:val="en-US"/>
        </w:rPr>
        <w:t xml:space="preserve">honours and </w:t>
      </w:r>
      <w:r w:rsidRPr="00807837">
        <w:rPr>
          <w:rFonts w:ascii="Arial" w:hAnsi="Arial" w:cs="Arial"/>
          <w:sz w:val="20"/>
          <w:szCs w:val="20"/>
          <w:lang w:val="en-US"/>
        </w:rPr>
        <w:t xml:space="preserve">attends all the meetings of the Committee as this is a statutory requirement that allows the Committee to exercise its oversight role effectively and </w:t>
      </w:r>
      <w:r w:rsidR="00153C75" w:rsidRPr="00807837">
        <w:rPr>
          <w:rFonts w:ascii="Arial" w:hAnsi="Arial" w:cs="Arial"/>
          <w:sz w:val="20"/>
          <w:szCs w:val="20"/>
          <w:lang w:val="en-US"/>
        </w:rPr>
        <w:t xml:space="preserve">for </w:t>
      </w:r>
      <w:r w:rsidRPr="00807837">
        <w:rPr>
          <w:rFonts w:ascii="Arial" w:hAnsi="Arial" w:cs="Arial"/>
          <w:sz w:val="20"/>
          <w:szCs w:val="20"/>
          <w:lang w:val="en-US"/>
        </w:rPr>
        <w:t>the Minister to account to Parliament accordingly.</w:t>
      </w:r>
    </w:p>
    <w:p w:rsidR="00922DF2" w:rsidRPr="00807837" w:rsidRDefault="00922DF2" w:rsidP="00807837">
      <w:pPr>
        <w:spacing w:after="0" w:line="240" w:lineRule="auto"/>
        <w:rPr>
          <w:rFonts w:ascii="Arial" w:hAnsi="Arial" w:cs="Arial"/>
          <w:sz w:val="20"/>
          <w:szCs w:val="20"/>
          <w:lang w:val="en-US"/>
        </w:rPr>
      </w:pPr>
    </w:p>
    <w:p w:rsidR="004C50D9" w:rsidRPr="00807837" w:rsidRDefault="004C50D9" w:rsidP="00807837">
      <w:pPr>
        <w:spacing w:after="0" w:line="240" w:lineRule="auto"/>
        <w:rPr>
          <w:rFonts w:ascii="Arial" w:hAnsi="Arial" w:cs="Arial"/>
          <w:sz w:val="20"/>
          <w:szCs w:val="20"/>
          <w:lang w:val="en-US"/>
        </w:rPr>
      </w:pPr>
      <w:r w:rsidRPr="00807837">
        <w:rPr>
          <w:rFonts w:ascii="Arial" w:hAnsi="Arial" w:cs="Arial"/>
          <w:sz w:val="20"/>
          <w:szCs w:val="20"/>
          <w:lang w:val="en-US"/>
        </w:rPr>
        <w:t>It i</w:t>
      </w:r>
      <w:r w:rsidR="007A7DB6" w:rsidRPr="00807837">
        <w:rPr>
          <w:rFonts w:ascii="Arial" w:hAnsi="Arial" w:cs="Arial"/>
          <w:sz w:val="20"/>
          <w:szCs w:val="20"/>
          <w:lang w:val="en-US"/>
        </w:rPr>
        <w:t>s</w:t>
      </w:r>
      <w:r w:rsidRPr="00807837">
        <w:rPr>
          <w:rFonts w:ascii="Arial" w:hAnsi="Arial" w:cs="Arial"/>
          <w:sz w:val="20"/>
          <w:szCs w:val="20"/>
          <w:lang w:val="en-US"/>
        </w:rPr>
        <w:t xml:space="preserve"> recommended that the Minister </w:t>
      </w:r>
      <w:r w:rsidR="00B36B26" w:rsidRPr="00807837">
        <w:rPr>
          <w:rFonts w:ascii="Arial" w:hAnsi="Arial" w:cs="Arial"/>
          <w:sz w:val="20"/>
          <w:szCs w:val="20"/>
          <w:lang w:val="en-US"/>
        </w:rPr>
        <w:t>of Tourism</w:t>
      </w:r>
      <w:r w:rsidR="00BE6EC7" w:rsidRPr="00807837">
        <w:rPr>
          <w:rFonts w:ascii="Arial" w:hAnsi="Arial" w:cs="Arial"/>
          <w:sz w:val="20"/>
          <w:szCs w:val="20"/>
          <w:lang w:val="en-US"/>
        </w:rPr>
        <w:t xml:space="preserve"> ensures that the Accounting Off</w:t>
      </w:r>
      <w:r w:rsidR="00C10914" w:rsidRPr="00807837">
        <w:rPr>
          <w:rFonts w:ascii="Arial" w:hAnsi="Arial" w:cs="Arial"/>
          <w:sz w:val="20"/>
          <w:szCs w:val="20"/>
          <w:lang w:val="en-US"/>
        </w:rPr>
        <w:t>icer of the Depar</w:t>
      </w:r>
      <w:r w:rsidR="00BE6EC7" w:rsidRPr="00807837">
        <w:rPr>
          <w:rFonts w:ascii="Arial" w:hAnsi="Arial" w:cs="Arial"/>
          <w:sz w:val="20"/>
          <w:szCs w:val="20"/>
          <w:lang w:val="en-US"/>
        </w:rPr>
        <w:t>tment, the Board and Accounting Officer of SA Tourism</w:t>
      </w:r>
      <w:r w:rsidRPr="00807837">
        <w:rPr>
          <w:rFonts w:ascii="Arial" w:hAnsi="Arial" w:cs="Arial"/>
          <w:sz w:val="20"/>
          <w:szCs w:val="20"/>
          <w:lang w:val="en-US"/>
        </w:rPr>
        <w:t>:</w:t>
      </w:r>
    </w:p>
    <w:p w:rsidR="001867A1" w:rsidRPr="00807837" w:rsidRDefault="001867A1" w:rsidP="00807837">
      <w:pPr>
        <w:spacing w:after="0" w:line="240" w:lineRule="auto"/>
        <w:rPr>
          <w:rFonts w:ascii="Arial" w:hAnsi="Arial" w:cs="Arial"/>
          <w:sz w:val="20"/>
          <w:szCs w:val="20"/>
          <w:lang w:val="en-US"/>
        </w:rPr>
      </w:pPr>
    </w:p>
    <w:p w:rsidR="00811D7C" w:rsidRPr="00807837" w:rsidRDefault="00153C75" w:rsidP="00807837">
      <w:pPr>
        <w:pStyle w:val="ListParagraph"/>
        <w:numPr>
          <w:ilvl w:val="1"/>
          <w:numId w:val="90"/>
        </w:numPr>
        <w:spacing w:after="0" w:line="240" w:lineRule="auto"/>
        <w:ind w:left="567" w:hanging="567"/>
        <w:rPr>
          <w:rFonts w:ascii="Arial" w:hAnsi="Arial" w:cs="Arial"/>
          <w:sz w:val="20"/>
          <w:szCs w:val="20"/>
          <w:lang w:val="en-US"/>
        </w:rPr>
      </w:pPr>
      <w:r w:rsidRPr="00807837">
        <w:rPr>
          <w:rFonts w:ascii="Arial" w:hAnsi="Arial" w:cs="Arial"/>
          <w:sz w:val="20"/>
          <w:szCs w:val="20"/>
        </w:rPr>
        <w:t>D</w:t>
      </w:r>
      <w:r w:rsidR="00F43063" w:rsidRPr="00807837">
        <w:rPr>
          <w:rFonts w:ascii="Arial" w:hAnsi="Arial" w:cs="Arial"/>
          <w:sz w:val="20"/>
          <w:szCs w:val="20"/>
          <w:lang w:val="en-US"/>
        </w:rPr>
        <w:t xml:space="preserve">evelop and </w:t>
      </w:r>
      <w:r w:rsidR="00C10914" w:rsidRPr="00807837">
        <w:rPr>
          <w:rFonts w:ascii="Arial" w:hAnsi="Arial" w:cs="Arial"/>
          <w:sz w:val="20"/>
          <w:szCs w:val="20"/>
          <w:lang w:val="en-US"/>
        </w:rPr>
        <w:t xml:space="preserve">maintain </w:t>
      </w:r>
      <w:r w:rsidR="00F43063" w:rsidRPr="00807837">
        <w:rPr>
          <w:rFonts w:ascii="Arial" w:hAnsi="Arial" w:cs="Arial"/>
          <w:sz w:val="20"/>
          <w:szCs w:val="20"/>
          <w:lang w:val="en-US"/>
        </w:rPr>
        <w:t>Audit Action P</w:t>
      </w:r>
      <w:r w:rsidR="00C10914" w:rsidRPr="00807837">
        <w:rPr>
          <w:rFonts w:ascii="Arial" w:hAnsi="Arial" w:cs="Arial"/>
          <w:sz w:val="20"/>
          <w:szCs w:val="20"/>
          <w:lang w:val="en-US"/>
        </w:rPr>
        <w:t xml:space="preserve">lans and implement </w:t>
      </w:r>
      <w:r w:rsidR="00F43063" w:rsidRPr="00807837">
        <w:rPr>
          <w:rFonts w:ascii="Arial" w:hAnsi="Arial" w:cs="Arial"/>
          <w:sz w:val="20"/>
          <w:szCs w:val="20"/>
          <w:lang w:val="en-US"/>
        </w:rPr>
        <w:t xml:space="preserve">these </w:t>
      </w:r>
      <w:r w:rsidR="00C10914" w:rsidRPr="00807837">
        <w:rPr>
          <w:rFonts w:ascii="Arial" w:hAnsi="Arial" w:cs="Arial"/>
          <w:sz w:val="20"/>
          <w:szCs w:val="20"/>
          <w:lang w:val="en-US"/>
        </w:rPr>
        <w:t>timeously to address audit findings.</w:t>
      </w:r>
    </w:p>
    <w:p w:rsidR="004D105C" w:rsidRPr="00807837" w:rsidRDefault="004D105C" w:rsidP="00807837">
      <w:pPr>
        <w:pStyle w:val="ListParagraph"/>
        <w:spacing w:after="0" w:line="240" w:lineRule="auto"/>
        <w:ind w:left="360"/>
        <w:rPr>
          <w:rFonts w:ascii="Arial" w:hAnsi="Arial" w:cs="Arial"/>
          <w:sz w:val="20"/>
          <w:szCs w:val="20"/>
          <w:lang w:val="en-US"/>
        </w:rPr>
      </w:pPr>
    </w:p>
    <w:p w:rsidR="00F43063" w:rsidRPr="00807837" w:rsidRDefault="00F43063" w:rsidP="00807837">
      <w:pPr>
        <w:pStyle w:val="ListParagraph"/>
        <w:numPr>
          <w:ilvl w:val="1"/>
          <w:numId w:val="90"/>
        </w:numPr>
        <w:spacing w:after="0" w:line="240" w:lineRule="auto"/>
        <w:ind w:left="567" w:hanging="567"/>
        <w:rPr>
          <w:rFonts w:ascii="Arial" w:hAnsi="Arial" w:cs="Arial"/>
          <w:sz w:val="20"/>
          <w:szCs w:val="20"/>
        </w:rPr>
      </w:pPr>
      <w:r w:rsidRPr="00807837">
        <w:rPr>
          <w:rFonts w:ascii="Arial" w:hAnsi="Arial" w:cs="Arial"/>
          <w:sz w:val="20"/>
          <w:szCs w:val="20"/>
        </w:rPr>
        <w:t>Monitor performance and consequence management in relation to the reported findings on expenditure management as well as procurement and contract management at the Department and SA Tourism.</w:t>
      </w:r>
    </w:p>
    <w:p w:rsidR="004D105C" w:rsidRPr="00807837" w:rsidRDefault="004D105C" w:rsidP="00807837">
      <w:pPr>
        <w:pStyle w:val="ListParagraph"/>
        <w:spacing w:after="0" w:line="240" w:lineRule="auto"/>
        <w:rPr>
          <w:rFonts w:ascii="Arial" w:hAnsi="Arial" w:cs="Arial"/>
          <w:sz w:val="20"/>
          <w:szCs w:val="20"/>
          <w:lang w:val="en-US"/>
        </w:rPr>
      </w:pPr>
    </w:p>
    <w:p w:rsidR="00811D7C" w:rsidRPr="00807837" w:rsidRDefault="008356DA" w:rsidP="00807837">
      <w:pPr>
        <w:pStyle w:val="ListParagraph"/>
        <w:numPr>
          <w:ilvl w:val="1"/>
          <w:numId w:val="90"/>
        </w:numPr>
        <w:spacing w:after="0" w:line="240" w:lineRule="auto"/>
        <w:ind w:left="567" w:hanging="567"/>
        <w:rPr>
          <w:rFonts w:ascii="Arial" w:hAnsi="Arial" w:cs="Arial"/>
          <w:sz w:val="20"/>
          <w:szCs w:val="20"/>
          <w:lang w:val="en-US"/>
        </w:rPr>
      </w:pPr>
      <w:r w:rsidRPr="00807837">
        <w:rPr>
          <w:rFonts w:ascii="Arial" w:hAnsi="Arial" w:cs="Arial"/>
          <w:sz w:val="20"/>
          <w:szCs w:val="20"/>
          <w:lang w:val="en-US"/>
        </w:rPr>
        <w:t xml:space="preserve">Impose consequence management on all officials that flout </w:t>
      </w:r>
      <w:r w:rsidR="005567D0" w:rsidRPr="00807837">
        <w:rPr>
          <w:rFonts w:ascii="Arial" w:hAnsi="Arial" w:cs="Arial"/>
          <w:sz w:val="20"/>
          <w:szCs w:val="20"/>
          <w:lang w:val="en-US"/>
        </w:rPr>
        <w:t>government</w:t>
      </w:r>
      <w:r w:rsidRPr="00807837">
        <w:rPr>
          <w:rFonts w:ascii="Arial" w:hAnsi="Arial" w:cs="Arial"/>
          <w:sz w:val="20"/>
          <w:szCs w:val="20"/>
          <w:lang w:val="en-US"/>
        </w:rPr>
        <w:t xml:space="preserve"> policies and legislations and i</w:t>
      </w:r>
      <w:r w:rsidR="0016780D" w:rsidRPr="00807837">
        <w:rPr>
          <w:rFonts w:ascii="Arial" w:hAnsi="Arial" w:cs="Arial"/>
          <w:sz w:val="20"/>
          <w:szCs w:val="20"/>
          <w:lang w:val="en-US"/>
        </w:rPr>
        <w:t>mplem</w:t>
      </w:r>
      <w:r w:rsidR="00C35365" w:rsidRPr="00807837">
        <w:rPr>
          <w:rFonts w:ascii="Arial" w:hAnsi="Arial" w:cs="Arial"/>
          <w:sz w:val="20"/>
          <w:szCs w:val="20"/>
          <w:lang w:val="en-US"/>
        </w:rPr>
        <w:t>ent</w:t>
      </w:r>
      <w:r w:rsidR="00C10914" w:rsidRPr="00807837">
        <w:rPr>
          <w:rFonts w:ascii="Arial" w:hAnsi="Arial" w:cs="Arial"/>
          <w:sz w:val="20"/>
          <w:szCs w:val="20"/>
          <w:lang w:val="en-US"/>
        </w:rPr>
        <w:t xml:space="preserve"> preventative controls relating to Supply Chain Management.</w:t>
      </w:r>
    </w:p>
    <w:p w:rsidR="004D105C" w:rsidRPr="00807837" w:rsidRDefault="004D105C" w:rsidP="00807837">
      <w:pPr>
        <w:pStyle w:val="ListParagraph"/>
        <w:spacing w:after="0" w:line="240" w:lineRule="auto"/>
        <w:ind w:left="360"/>
        <w:rPr>
          <w:rFonts w:ascii="Arial" w:hAnsi="Arial" w:cs="Arial"/>
          <w:sz w:val="20"/>
          <w:szCs w:val="20"/>
          <w:lang w:val="en-US"/>
        </w:rPr>
      </w:pPr>
    </w:p>
    <w:p w:rsidR="00811D7C" w:rsidRPr="00807837" w:rsidRDefault="008356DA" w:rsidP="00807837">
      <w:pPr>
        <w:pStyle w:val="ListParagraph"/>
        <w:numPr>
          <w:ilvl w:val="1"/>
          <w:numId w:val="90"/>
        </w:numPr>
        <w:spacing w:after="0" w:line="240" w:lineRule="auto"/>
        <w:ind w:left="567" w:hanging="567"/>
        <w:rPr>
          <w:rFonts w:ascii="Arial" w:hAnsi="Arial" w:cs="Arial"/>
          <w:sz w:val="20"/>
          <w:szCs w:val="20"/>
          <w:lang w:val="en-US"/>
        </w:rPr>
      </w:pPr>
      <w:r w:rsidRPr="00807837">
        <w:rPr>
          <w:rFonts w:ascii="Arial" w:hAnsi="Arial" w:cs="Arial"/>
          <w:sz w:val="20"/>
          <w:szCs w:val="20"/>
          <w:lang w:val="en-US"/>
        </w:rPr>
        <w:t xml:space="preserve">Strengthen controls to prevent </w:t>
      </w:r>
      <w:r w:rsidR="00C10914" w:rsidRPr="00807837">
        <w:rPr>
          <w:rFonts w:ascii="Arial" w:hAnsi="Arial" w:cs="Arial"/>
          <w:sz w:val="20"/>
          <w:szCs w:val="20"/>
          <w:lang w:val="en-US"/>
        </w:rPr>
        <w:t xml:space="preserve">irregular, fruitless and wasteful expenditure </w:t>
      </w:r>
      <w:r w:rsidRPr="00807837">
        <w:rPr>
          <w:rFonts w:ascii="Arial" w:hAnsi="Arial" w:cs="Arial"/>
          <w:sz w:val="20"/>
          <w:szCs w:val="20"/>
          <w:lang w:val="en-US"/>
        </w:rPr>
        <w:t xml:space="preserve">and impose </w:t>
      </w:r>
      <w:r w:rsidR="00922DF2" w:rsidRPr="00807837">
        <w:rPr>
          <w:rFonts w:ascii="Arial" w:hAnsi="Arial" w:cs="Arial"/>
          <w:sz w:val="20"/>
          <w:szCs w:val="20"/>
          <w:lang w:val="en-US"/>
        </w:rPr>
        <w:t>c</w:t>
      </w:r>
      <w:r w:rsidR="00C10914" w:rsidRPr="00807837">
        <w:rPr>
          <w:rFonts w:ascii="Arial" w:hAnsi="Arial" w:cs="Arial"/>
          <w:sz w:val="20"/>
          <w:szCs w:val="20"/>
          <w:lang w:val="en-US"/>
        </w:rPr>
        <w:t>onsequence management</w:t>
      </w:r>
      <w:r w:rsidRPr="00807837">
        <w:rPr>
          <w:rFonts w:ascii="Arial" w:hAnsi="Arial" w:cs="Arial"/>
          <w:sz w:val="20"/>
          <w:szCs w:val="20"/>
          <w:lang w:val="en-US"/>
        </w:rPr>
        <w:t xml:space="preserve"> on officials who are involved in financial </w:t>
      </w:r>
      <w:r w:rsidR="005567D0" w:rsidRPr="00807837">
        <w:rPr>
          <w:rFonts w:ascii="Arial" w:hAnsi="Arial" w:cs="Arial"/>
          <w:sz w:val="20"/>
          <w:szCs w:val="20"/>
          <w:lang w:val="en-US"/>
        </w:rPr>
        <w:t>malfeasance</w:t>
      </w:r>
      <w:r w:rsidR="00C10914" w:rsidRPr="00807837">
        <w:rPr>
          <w:rFonts w:ascii="Arial" w:hAnsi="Arial" w:cs="Arial"/>
          <w:sz w:val="20"/>
          <w:szCs w:val="20"/>
          <w:lang w:val="en-US"/>
        </w:rPr>
        <w:t>.</w:t>
      </w:r>
    </w:p>
    <w:p w:rsidR="004D105C" w:rsidRPr="00807837" w:rsidRDefault="004D105C" w:rsidP="00807837">
      <w:pPr>
        <w:pStyle w:val="ListParagraph"/>
        <w:spacing w:after="0" w:line="240" w:lineRule="auto"/>
        <w:rPr>
          <w:rFonts w:ascii="Arial" w:hAnsi="Arial" w:cs="Arial"/>
          <w:sz w:val="20"/>
          <w:szCs w:val="20"/>
          <w:lang w:val="en-US"/>
        </w:rPr>
      </w:pPr>
    </w:p>
    <w:p w:rsidR="00811D7C" w:rsidRPr="00807837" w:rsidRDefault="0016780D" w:rsidP="00807837">
      <w:pPr>
        <w:pStyle w:val="ListParagraph"/>
        <w:numPr>
          <w:ilvl w:val="1"/>
          <w:numId w:val="90"/>
        </w:numPr>
        <w:spacing w:after="0" w:line="240" w:lineRule="auto"/>
        <w:ind w:left="567" w:hanging="567"/>
        <w:rPr>
          <w:rFonts w:ascii="Arial" w:hAnsi="Arial" w:cs="Arial"/>
          <w:sz w:val="20"/>
          <w:szCs w:val="20"/>
          <w:lang w:val="en-US"/>
        </w:rPr>
      </w:pPr>
      <w:r w:rsidRPr="00807837">
        <w:rPr>
          <w:rFonts w:ascii="Arial" w:hAnsi="Arial" w:cs="Arial"/>
          <w:sz w:val="20"/>
          <w:szCs w:val="20"/>
          <w:lang w:val="en-US"/>
        </w:rPr>
        <w:t>I</w:t>
      </w:r>
      <w:r w:rsidR="00C10914" w:rsidRPr="00807837">
        <w:rPr>
          <w:rFonts w:ascii="Arial" w:hAnsi="Arial" w:cs="Arial"/>
          <w:sz w:val="20"/>
          <w:szCs w:val="20"/>
          <w:lang w:val="en-US"/>
        </w:rPr>
        <w:t>mprove the quality of the financial</w:t>
      </w:r>
      <w:r w:rsidR="00922DF2" w:rsidRPr="00807837">
        <w:rPr>
          <w:rFonts w:ascii="Arial" w:hAnsi="Arial" w:cs="Arial"/>
          <w:sz w:val="20"/>
          <w:szCs w:val="20"/>
          <w:lang w:val="en-US"/>
        </w:rPr>
        <w:t xml:space="preserve"> </w:t>
      </w:r>
      <w:r w:rsidR="00C10914" w:rsidRPr="00807837">
        <w:rPr>
          <w:rFonts w:ascii="Arial" w:hAnsi="Arial" w:cs="Arial"/>
          <w:sz w:val="20"/>
          <w:szCs w:val="20"/>
          <w:lang w:val="en-US"/>
        </w:rPr>
        <w:t>statements.</w:t>
      </w:r>
    </w:p>
    <w:p w:rsidR="004D105C" w:rsidRPr="00807837" w:rsidRDefault="004D105C" w:rsidP="00807837">
      <w:pPr>
        <w:pStyle w:val="ListParagraph"/>
        <w:spacing w:after="0" w:line="240" w:lineRule="auto"/>
        <w:ind w:left="360"/>
        <w:rPr>
          <w:rFonts w:ascii="Arial" w:hAnsi="Arial" w:cs="Arial"/>
          <w:sz w:val="20"/>
          <w:szCs w:val="20"/>
          <w:lang w:val="en-US"/>
        </w:rPr>
      </w:pPr>
    </w:p>
    <w:p w:rsidR="00811D7C" w:rsidRPr="00807837" w:rsidRDefault="00C35365" w:rsidP="00807837">
      <w:pPr>
        <w:pStyle w:val="ListParagraph"/>
        <w:numPr>
          <w:ilvl w:val="1"/>
          <w:numId w:val="90"/>
        </w:numPr>
        <w:spacing w:after="0" w:line="240" w:lineRule="auto"/>
        <w:ind w:left="567" w:hanging="567"/>
        <w:rPr>
          <w:rFonts w:ascii="Arial" w:hAnsi="Arial" w:cs="Arial"/>
          <w:sz w:val="20"/>
          <w:szCs w:val="20"/>
          <w:lang w:val="en-US"/>
        </w:rPr>
      </w:pPr>
      <w:r w:rsidRPr="00807837">
        <w:rPr>
          <w:rFonts w:ascii="Arial" w:hAnsi="Arial" w:cs="Arial"/>
          <w:sz w:val="20"/>
          <w:szCs w:val="20"/>
          <w:lang w:val="en-US"/>
        </w:rPr>
        <w:t>Enhance</w:t>
      </w:r>
      <w:r w:rsidR="00C10914" w:rsidRPr="00807837">
        <w:rPr>
          <w:rFonts w:ascii="Arial" w:hAnsi="Arial" w:cs="Arial"/>
          <w:sz w:val="20"/>
          <w:szCs w:val="20"/>
          <w:lang w:val="en-US"/>
        </w:rPr>
        <w:t xml:space="preserve"> the achievement of targets and service delivery objectives.</w:t>
      </w:r>
    </w:p>
    <w:p w:rsidR="004D105C" w:rsidRPr="00807837" w:rsidRDefault="004D105C" w:rsidP="00807837">
      <w:pPr>
        <w:pStyle w:val="ListParagraph"/>
        <w:spacing w:after="0" w:line="240" w:lineRule="auto"/>
        <w:ind w:left="567" w:hanging="360"/>
        <w:rPr>
          <w:rFonts w:ascii="Arial" w:hAnsi="Arial" w:cs="Arial"/>
          <w:sz w:val="20"/>
          <w:szCs w:val="20"/>
          <w:lang w:val="en-US"/>
        </w:rPr>
      </w:pPr>
    </w:p>
    <w:p w:rsidR="00811D7C" w:rsidRPr="00807837" w:rsidRDefault="0016780D" w:rsidP="00807837">
      <w:pPr>
        <w:pStyle w:val="ListParagraph"/>
        <w:numPr>
          <w:ilvl w:val="1"/>
          <w:numId w:val="90"/>
        </w:numPr>
        <w:spacing w:after="0" w:line="240" w:lineRule="auto"/>
        <w:ind w:left="567" w:hanging="567"/>
        <w:rPr>
          <w:rFonts w:ascii="Arial" w:hAnsi="Arial" w:cs="Arial"/>
          <w:sz w:val="20"/>
          <w:szCs w:val="20"/>
          <w:lang w:val="en-US"/>
        </w:rPr>
      </w:pPr>
      <w:r w:rsidRPr="00807837">
        <w:rPr>
          <w:rFonts w:ascii="Arial" w:hAnsi="Arial" w:cs="Arial"/>
          <w:sz w:val="20"/>
          <w:szCs w:val="20"/>
          <w:lang w:val="en-US"/>
        </w:rPr>
        <w:t>I</w:t>
      </w:r>
      <w:r w:rsidR="00C35365" w:rsidRPr="00807837">
        <w:rPr>
          <w:rFonts w:ascii="Arial" w:hAnsi="Arial" w:cs="Arial"/>
          <w:sz w:val="20"/>
          <w:szCs w:val="20"/>
          <w:lang w:val="en-US"/>
        </w:rPr>
        <w:t>mplement</w:t>
      </w:r>
      <w:r w:rsidRPr="00807837">
        <w:rPr>
          <w:rFonts w:ascii="Arial" w:hAnsi="Arial" w:cs="Arial"/>
          <w:sz w:val="20"/>
          <w:szCs w:val="20"/>
          <w:lang w:val="en-US"/>
        </w:rPr>
        <w:t xml:space="preserve"> </w:t>
      </w:r>
      <w:r w:rsidR="00C10914" w:rsidRPr="00807837">
        <w:rPr>
          <w:rFonts w:ascii="Arial" w:hAnsi="Arial" w:cs="Arial"/>
          <w:sz w:val="20"/>
          <w:szCs w:val="20"/>
          <w:lang w:val="en-US"/>
        </w:rPr>
        <w:t>strategies to overcome challenges</w:t>
      </w:r>
      <w:r w:rsidR="00922DF2" w:rsidRPr="00807837">
        <w:rPr>
          <w:rFonts w:ascii="Arial" w:hAnsi="Arial" w:cs="Arial"/>
          <w:sz w:val="20"/>
          <w:szCs w:val="20"/>
          <w:lang w:val="en-US"/>
        </w:rPr>
        <w:t xml:space="preserve"> </w:t>
      </w:r>
      <w:r w:rsidR="00C10914" w:rsidRPr="00807837">
        <w:rPr>
          <w:rFonts w:ascii="Arial" w:hAnsi="Arial" w:cs="Arial"/>
          <w:sz w:val="20"/>
          <w:szCs w:val="20"/>
          <w:lang w:val="en-US"/>
        </w:rPr>
        <w:t>relating to under achievement of targets in the tourism portfolio.</w:t>
      </w:r>
    </w:p>
    <w:p w:rsidR="004D105C" w:rsidRPr="00807837" w:rsidRDefault="004D105C" w:rsidP="00807837">
      <w:pPr>
        <w:pStyle w:val="ListParagraph"/>
        <w:spacing w:after="0" w:line="240" w:lineRule="auto"/>
        <w:rPr>
          <w:rFonts w:ascii="Arial" w:hAnsi="Arial" w:cs="Arial"/>
          <w:sz w:val="20"/>
          <w:szCs w:val="20"/>
          <w:lang w:val="en-US"/>
        </w:rPr>
      </w:pPr>
    </w:p>
    <w:p w:rsidR="000E48C8" w:rsidRPr="00807837" w:rsidRDefault="000E48C8" w:rsidP="00807837">
      <w:pPr>
        <w:pStyle w:val="ListParagraph"/>
        <w:numPr>
          <w:ilvl w:val="1"/>
          <w:numId w:val="90"/>
        </w:numPr>
        <w:spacing w:after="0" w:line="240" w:lineRule="auto"/>
        <w:ind w:left="567" w:hanging="567"/>
        <w:rPr>
          <w:rFonts w:ascii="Arial" w:hAnsi="Arial" w:cs="Arial"/>
          <w:sz w:val="20"/>
          <w:szCs w:val="20"/>
        </w:rPr>
      </w:pPr>
      <w:r w:rsidRPr="00807837">
        <w:rPr>
          <w:rFonts w:ascii="Arial" w:hAnsi="Arial" w:cs="Arial"/>
          <w:sz w:val="20"/>
          <w:szCs w:val="20"/>
        </w:rPr>
        <w:t>Urgently submit and present to the Committee the Audit A</w:t>
      </w:r>
      <w:r w:rsidR="000B07EA" w:rsidRPr="00807837">
        <w:rPr>
          <w:rFonts w:ascii="Arial" w:hAnsi="Arial" w:cs="Arial"/>
          <w:sz w:val="20"/>
          <w:szCs w:val="20"/>
        </w:rPr>
        <w:t>ction Plans</w:t>
      </w:r>
      <w:r w:rsidRPr="00807837">
        <w:rPr>
          <w:rFonts w:ascii="Arial" w:hAnsi="Arial" w:cs="Arial"/>
          <w:sz w:val="20"/>
          <w:szCs w:val="20"/>
        </w:rPr>
        <w:t xml:space="preserve"> for both the Department and SA Tourism</w:t>
      </w:r>
      <w:r w:rsidR="000B07EA" w:rsidRPr="00807837">
        <w:rPr>
          <w:rFonts w:ascii="Arial" w:hAnsi="Arial" w:cs="Arial"/>
          <w:sz w:val="20"/>
          <w:szCs w:val="20"/>
        </w:rPr>
        <w:t xml:space="preserve"> to ensure all the identified issues are addressed </w:t>
      </w:r>
      <w:r w:rsidR="00C35365" w:rsidRPr="00807837">
        <w:rPr>
          <w:rFonts w:ascii="Arial" w:hAnsi="Arial" w:cs="Arial"/>
          <w:sz w:val="20"/>
          <w:szCs w:val="20"/>
        </w:rPr>
        <w:t>effectively</w:t>
      </w:r>
      <w:r w:rsidR="000B07EA" w:rsidRPr="00807837">
        <w:rPr>
          <w:rFonts w:ascii="Arial" w:hAnsi="Arial" w:cs="Arial"/>
          <w:sz w:val="20"/>
          <w:szCs w:val="20"/>
        </w:rPr>
        <w:t xml:space="preserve"> and efficiently</w:t>
      </w:r>
      <w:r w:rsidRPr="00807837">
        <w:rPr>
          <w:rFonts w:ascii="Arial" w:hAnsi="Arial" w:cs="Arial"/>
          <w:sz w:val="20"/>
          <w:szCs w:val="20"/>
        </w:rPr>
        <w:t>.</w:t>
      </w:r>
    </w:p>
    <w:p w:rsidR="004D105C" w:rsidRPr="00807837" w:rsidRDefault="004D105C" w:rsidP="00807837">
      <w:pPr>
        <w:pStyle w:val="ListParagraph"/>
        <w:spacing w:after="0" w:line="240" w:lineRule="auto"/>
        <w:ind w:left="360"/>
        <w:rPr>
          <w:rFonts w:ascii="Arial" w:hAnsi="Arial" w:cs="Arial"/>
          <w:sz w:val="20"/>
          <w:szCs w:val="20"/>
        </w:rPr>
      </w:pPr>
    </w:p>
    <w:p w:rsidR="00F31E97" w:rsidRPr="00807837" w:rsidRDefault="0016780D" w:rsidP="00807837">
      <w:pPr>
        <w:spacing w:after="0" w:line="240" w:lineRule="auto"/>
        <w:ind w:left="567" w:hanging="567"/>
        <w:rPr>
          <w:rFonts w:ascii="Arial" w:hAnsi="Arial" w:cs="Arial"/>
          <w:sz w:val="20"/>
          <w:szCs w:val="20"/>
        </w:rPr>
      </w:pPr>
      <w:r w:rsidRPr="00807837">
        <w:rPr>
          <w:rFonts w:ascii="Arial" w:hAnsi="Arial" w:cs="Arial"/>
          <w:sz w:val="20"/>
          <w:szCs w:val="20"/>
        </w:rPr>
        <w:t>9.1</w:t>
      </w:r>
      <w:r w:rsidR="004D105C" w:rsidRPr="00807837">
        <w:rPr>
          <w:rFonts w:ascii="Arial" w:hAnsi="Arial" w:cs="Arial"/>
          <w:sz w:val="20"/>
          <w:szCs w:val="20"/>
        </w:rPr>
        <w:t>2</w:t>
      </w:r>
      <w:r w:rsidR="00F31E97" w:rsidRPr="00807837">
        <w:rPr>
          <w:rFonts w:ascii="Arial" w:hAnsi="Arial" w:cs="Arial"/>
          <w:sz w:val="20"/>
          <w:szCs w:val="20"/>
        </w:rPr>
        <w:tab/>
        <w:t>Engage Ca</w:t>
      </w:r>
      <w:r w:rsidR="004D0817" w:rsidRPr="00807837">
        <w:rPr>
          <w:rFonts w:ascii="Arial" w:hAnsi="Arial" w:cs="Arial"/>
          <w:sz w:val="20"/>
          <w:szCs w:val="20"/>
        </w:rPr>
        <w:t xml:space="preserve">binet </w:t>
      </w:r>
      <w:r w:rsidR="002B2092" w:rsidRPr="00807837">
        <w:rPr>
          <w:rFonts w:ascii="Arial" w:hAnsi="Arial" w:cs="Arial"/>
          <w:sz w:val="20"/>
          <w:szCs w:val="20"/>
        </w:rPr>
        <w:t xml:space="preserve">on developing a war room </w:t>
      </w:r>
      <w:r w:rsidR="008356DA" w:rsidRPr="00807837">
        <w:rPr>
          <w:rFonts w:ascii="Arial" w:hAnsi="Arial" w:cs="Arial"/>
          <w:sz w:val="20"/>
          <w:szCs w:val="20"/>
        </w:rPr>
        <w:t>comprising all departments that affect the mandate of the Department of Tourism and/</w:t>
      </w:r>
      <w:r w:rsidR="002B2092" w:rsidRPr="00807837">
        <w:rPr>
          <w:rFonts w:ascii="Arial" w:hAnsi="Arial" w:cs="Arial"/>
          <w:sz w:val="20"/>
          <w:szCs w:val="20"/>
        </w:rPr>
        <w:t xml:space="preserve">or an </w:t>
      </w:r>
      <w:r w:rsidR="005567D0" w:rsidRPr="00807837">
        <w:rPr>
          <w:rFonts w:ascii="Arial" w:hAnsi="Arial" w:cs="Arial"/>
          <w:sz w:val="20"/>
          <w:szCs w:val="20"/>
        </w:rPr>
        <w:t>InterMinisterial</w:t>
      </w:r>
      <w:r w:rsidR="002B2092" w:rsidRPr="00807837">
        <w:rPr>
          <w:rFonts w:ascii="Arial" w:hAnsi="Arial" w:cs="Arial"/>
          <w:sz w:val="20"/>
          <w:szCs w:val="20"/>
        </w:rPr>
        <w:t xml:space="preserve"> Committee that will </w:t>
      </w:r>
      <w:r w:rsidR="008356DA" w:rsidRPr="00807837">
        <w:rPr>
          <w:rFonts w:ascii="Arial" w:hAnsi="Arial" w:cs="Arial"/>
          <w:sz w:val="20"/>
          <w:szCs w:val="20"/>
        </w:rPr>
        <w:t xml:space="preserve">focus </w:t>
      </w:r>
      <w:r w:rsidR="004D0817" w:rsidRPr="00807837">
        <w:rPr>
          <w:rFonts w:ascii="Arial" w:hAnsi="Arial" w:cs="Arial"/>
          <w:sz w:val="20"/>
          <w:szCs w:val="20"/>
        </w:rPr>
        <w:t>on cross-cutting</w:t>
      </w:r>
      <w:r w:rsidR="00F31E97" w:rsidRPr="00807837">
        <w:rPr>
          <w:rFonts w:ascii="Arial" w:hAnsi="Arial" w:cs="Arial"/>
          <w:sz w:val="20"/>
          <w:szCs w:val="20"/>
        </w:rPr>
        <w:t xml:space="preserve"> matters that affect tourism and ensure that </w:t>
      </w:r>
      <w:r w:rsidR="008356DA" w:rsidRPr="00807837">
        <w:rPr>
          <w:rFonts w:ascii="Arial" w:hAnsi="Arial" w:cs="Arial"/>
          <w:sz w:val="20"/>
          <w:szCs w:val="20"/>
        </w:rPr>
        <w:t xml:space="preserve">government </w:t>
      </w:r>
      <w:r w:rsidR="00F31E97" w:rsidRPr="00807837">
        <w:rPr>
          <w:rFonts w:ascii="Arial" w:hAnsi="Arial" w:cs="Arial"/>
          <w:sz w:val="20"/>
          <w:szCs w:val="20"/>
        </w:rPr>
        <w:t>take</w:t>
      </w:r>
      <w:r w:rsidR="008356DA" w:rsidRPr="00807837">
        <w:rPr>
          <w:rFonts w:ascii="Arial" w:hAnsi="Arial" w:cs="Arial"/>
          <w:sz w:val="20"/>
          <w:szCs w:val="20"/>
        </w:rPr>
        <w:t>s</w:t>
      </w:r>
      <w:r w:rsidR="00F31E97" w:rsidRPr="00807837">
        <w:rPr>
          <w:rFonts w:ascii="Arial" w:hAnsi="Arial" w:cs="Arial"/>
          <w:sz w:val="20"/>
          <w:szCs w:val="20"/>
        </w:rPr>
        <w:t xml:space="preserve"> cognisance of the Travel and Tourism Development Index in their planning.</w:t>
      </w:r>
    </w:p>
    <w:p w:rsidR="000E48C8" w:rsidRPr="00807837" w:rsidRDefault="000E48C8" w:rsidP="00807837">
      <w:pPr>
        <w:spacing w:after="0" w:line="240" w:lineRule="auto"/>
        <w:ind w:left="720" w:hanging="720"/>
        <w:rPr>
          <w:rFonts w:ascii="Arial" w:hAnsi="Arial" w:cs="Arial"/>
          <w:sz w:val="20"/>
          <w:szCs w:val="20"/>
          <w:lang w:val="en-US"/>
        </w:rPr>
      </w:pPr>
    </w:p>
    <w:p w:rsidR="00413730" w:rsidRPr="00807837" w:rsidRDefault="00413730" w:rsidP="00807837">
      <w:pPr>
        <w:spacing w:after="0" w:line="240" w:lineRule="auto"/>
        <w:rPr>
          <w:rFonts w:ascii="Arial" w:hAnsi="Arial" w:cs="Arial"/>
          <w:b/>
          <w:sz w:val="20"/>
          <w:szCs w:val="20"/>
          <w:lang w:val="en-US"/>
        </w:rPr>
      </w:pPr>
      <w:r w:rsidRPr="00807837">
        <w:rPr>
          <w:rFonts w:ascii="Arial" w:hAnsi="Arial" w:cs="Arial"/>
          <w:b/>
          <w:sz w:val="20"/>
          <w:szCs w:val="20"/>
          <w:lang w:val="en-US"/>
        </w:rPr>
        <w:t>Recommendations with regard to the Department of Tourism</w:t>
      </w:r>
    </w:p>
    <w:p w:rsidR="00360745" w:rsidRPr="00807837" w:rsidRDefault="00360745" w:rsidP="00807837">
      <w:pPr>
        <w:spacing w:after="0" w:line="240" w:lineRule="auto"/>
        <w:rPr>
          <w:rFonts w:ascii="Arial" w:hAnsi="Arial" w:cs="Arial"/>
          <w:b/>
          <w:sz w:val="20"/>
          <w:szCs w:val="20"/>
          <w:lang w:val="en-US"/>
        </w:rPr>
      </w:pPr>
    </w:p>
    <w:p w:rsidR="00413730" w:rsidRPr="00807837" w:rsidRDefault="00413730" w:rsidP="00807837">
      <w:pPr>
        <w:spacing w:after="0" w:line="240" w:lineRule="auto"/>
        <w:rPr>
          <w:rFonts w:ascii="Arial" w:hAnsi="Arial" w:cs="Arial"/>
          <w:sz w:val="20"/>
          <w:szCs w:val="20"/>
          <w:lang w:val="en-US"/>
        </w:rPr>
      </w:pPr>
      <w:r w:rsidRPr="00807837">
        <w:rPr>
          <w:rFonts w:ascii="Arial" w:hAnsi="Arial" w:cs="Arial"/>
          <w:sz w:val="20"/>
          <w:szCs w:val="20"/>
          <w:lang w:val="en-US"/>
        </w:rPr>
        <w:t>The Minister</w:t>
      </w:r>
      <w:r w:rsidR="00836F88" w:rsidRPr="00807837">
        <w:rPr>
          <w:rFonts w:ascii="Arial" w:hAnsi="Arial" w:cs="Arial"/>
          <w:sz w:val="20"/>
          <w:szCs w:val="20"/>
          <w:lang w:val="en-US"/>
        </w:rPr>
        <w:t xml:space="preserve"> of Tourism</w:t>
      </w:r>
      <w:r w:rsidRPr="00807837">
        <w:rPr>
          <w:rFonts w:ascii="Arial" w:hAnsi="Arial" w:cs="Arial"/>
          <w:sz w:val="20"/>
          <w:szCs w:val="20"/>
          <w:lang w:val="en-US"/>
        </w:rPr>
        <w:t xml:space="preserve"> should:</w:t>
      </w:r>
    </w:p>
    <w:p w:rsidR="004D105C" w:rsidRPr="00807837" w:rsidRDefault="004D105C" w:rsidP="00807837">
      <w:pPr>
        <w:spacing w:after="0" w:line="240" w:lineRule="auto"/>
        <w:rPr>
          <w:rFonts w:ascii="Arial" w:hAnsi="Arial" w:cs="Arial"/>
          <w:sz w:val="20"/>
          <w:szCs w:val="20"/>
          <w:lang w:val="en-US"/>
        </w:rPr>
      </w:pPr>
    </w:p>
    <w:p w:rsidR="00B564A4" w:rsidRPr="00807837" w:rsidRDefault="00A37EC8" w:rsidP="00807837">
      <w:pPr>
        <w:spacing w:after="0" w:line="240" w:lineRule="auto"/>
        <w:ind w:left="720" w:hanging="720"/>
        <w:rPr>
          <w:rFonts w:ascii="Arial" w:hAnsi="Arial" w:cs="Arial"/>
          <w:sz w:val="20"/>
          <w:szCs w:val="20"/>
          <w:lang w:val="en-US"/>
        </w:rPr>
      </w:pPr>
      <w:r w:rsidRPr="00807837">
        <w:rPr>
          <w:rFonts w:ascii="Arial" w:hAnsi="Arial" w:cs="Arial"/>
          <w:sz w:val="20"/>
          <w:szCs w:val="20"/>
          <w:lang w:val="en-US"/>
        </w:rPr>
        <w:t>9.13</w:t>
      </w:r>
      <w:r w:rsidR="00922DF2" w:rsidRPr="00807837">
        <w:rPr>
          <w:rFonts w:ascii="Arial" w:hAnsi="Arial" w:cs="Arial"/>
          <w:sz w:val="20"/>
          <w:szCs w:val="20"/>
          <w:lang w:val="en-US"/>
        </w:rPr>
        <w:tab/>
        <w:t>As recommended in the previous financial ye</w:t>
      </w:r>
      <w:r w:rsidR="000402D9" w:rsidRPr="00807837">
        <w:rPr>
          <w:rFonts w:ascii="Arial" w:hAnsi="Arial" w:cs="Arial"/>
          <w:sz w:val="20"/>
          <w:szCs w:val="20"/>
          <w:lang w:val="en-US"/>
        </w:rPr>
        <w:t xml:space="preserve">ar, expedite the policy review process and table the Tourism </w:t>
      </w:r>
      <w:r w:rsidR="00C35365" w:rsidRPr="00807837">
        <w:rPr>
          <w:rFonts w:ascii="Arial" w:hAnsi="Arial" w:cs="Arial"/>
          <w:sz w:val="20"/>
          <w:szCs w:val="20"/>
          <w:lang w:val="en-US"/>
        </w:rPr>
        <w:t>Amendment</w:t>
      </w:r>
      <w:r w:rsidR="000402D9" w:rsidRPr="00807837">
        <w:rPr>
          <w:rFonts w:ascii="Arial" w:hAnsi="Arial" w:cs="Arial"/>
          <w:sz w:val="20"/>
          <w:szCs w:val="20"/>
          <w:lang w:val="en-US"/>
        </w:rPr>
        <w:t xml:space="preserve"> Act in time to be processed and finalised by the 6</w:t>
      </w:r>
      <w:r w:rsidR="000402D9" w:rsidRPr="00807837">
        <w:rPr>
          <w:rFonts w:ascii="Arial" w:hAnsi="Arial" w:cs="Arial"/>
          <w:sz w:val="20"/>
          <w:szCs w:val="20"/>
          <w:vertAlign w:val="superscript"/>
          <w:lang w:val="en-US"/>
        </w:rPr>
        <w:t>th</w:t>
      </w:r>
      <w:r w:rsidR="000402D9" w:rsidRPr="00807837">
        <w:rPr>
          <w:rFonts w:ascii="Arial" w:hAnsi="Arial" w:cs="Arial"/>
          <w:sz w:val="20"/>
          <w:szCs w:val="20"/>
          <w:lang w:val="en-US"/>
        </w:rPr>
        <w:t xml:space="preserve"> Parliament.</w:t>
      </w:r>
    </w:p>
    <w:p w:rsidR="000402D9" w:rsidRPr="00807837" w:rsidRDefault="00A37EC8" w:rsidP="00807837">
      <w:pPr>
        <w:spacing w:after="0" w:line="240" w:lineRule="auto"/>
        <w:ind w:left="720" w:hanging="720"/>
        <w:rPr>
          <w:rFonts w:ascii="Arial" w:hAnsi="Arial" w:cs="Arial"/>
          <w:sz w:val="20"/>
          <w:szCs w:val="20"/>
          <w:lang w:val="en-US"/>
        </w:rPr>
      </w:pPr>
      <w:r w:rsidRPr="00807837">
        <w:rPr>
          <w:rFonts w:ascii="Arial" w:hAnsi="Arial" w:cs="Arial"/>
          <w:sz w:val="20"/>
          <w:szCs w:val="20"/>
          <w:lang w:val="en-US"/>
        </w:rPr>
        <w:t>9.14</w:t>
      </w:r>
      <w:r w:rsidR="000E48C8" w:rsidRPr="00807837">
        <w:rPr>
          <w:rFonts w:ascii="Arial" w:hAnsi="Arial" w:cs="Arial"/>
          <w:sz w:val="20"/>
          <w:szCs w:val="20"/>
          <w:lang w:val="en-US"/>
        </w:rPr>
        <w:tab/>
      </w:r>
      <w:r w:rsidR="00F43063" w:rsidRPr="00807837">
        <w:rPr>
          <w:rFonts w:ascii="Arial" w:hAnsi="Arial" w:cs="Arial"/>
          <w:sz w:val="20"/>
          <w:szCs w:val="20"/>
          <w:lang w:val="en-US"/>
        </w:rPr>
        <w:t>C</w:t>
      </w:r>
      <w:r w:rsidR="00F43063" w:rsidRPr="00807837">
        <w:rPr>
          <w:rFonts w:ascii="Arial" w:hAnsi="Arial" w:cs="Arial"/>
          <w:sz w:val="20"/>
          <w:szCs w:val="20"/>
        </w:rPr>
        <w:t xml:space="preserve">onduct follow up with regard to payments made to beneficiaries who did not qualify for the Tourist Guide Relief Fund and </w:t>
      </w:r>
      <w:r w:rsidR="005567D0" w:rsidRPr="00807837">
        <w:rPr>
          <w:rFonts w:ascii="Arial" w:hAnsi="Arial" w:cs="Arial"/>
          <w:sz w:val="20"/>
          <w:szCs w:val="20"/>
          <w:lang w:val="en-US"/>
        </w:rPr>
        <w:t>provide</w:t>
      </w:r>
      <w:r w:rsidR="00F43063" w:rsidRPr="00807837">
        <w:rPr>
          <w:rFonts w:ascii="Arial" w:hAnsi="Arial" w:cs="Arial"/>
          <w:sz w:val="20"/>
          <w:szCs w:val="20"/>
          <w:lang w:val="en-US"/>
        </w:rPr>
        <w:t xml:space="preserve"> a comprehensive report on the recovery of the </w:t>
      </w:r>
      <w:r w:rsidR="00234F2E" w:rsidRPr="00807837">
        <w:rPr>
          <w:rFonts w:ascii="Arial" w:hAnsi="Arial" w:cs="Arial"/>
          <w:sz w:val="20"/>
          <w:szCs w:val="20"/>
          <w:lang w:val="en-US"/>
        </w:rPr>
        <w:t xml:space="preserve">incorrectly </w:t>
      </w:r>
      <w:r w:rsidR="00F43063" w:rsidRPr="00807837">
        <w:rPr>
          <w:rFonts w:ascii="Arial" w:hAnsi="Arial" w:cs="Arial"/>
          <w:sz w:val="20"/>
          <w:szCs w:val="20"/>
          <w:lang w:val="en-US"/>
        </w:rPr>
        <w:t xml:space="preserve">disbursed </w:t>
      </w:r>
      <w:r w:rsidR="00234F2E" w:rsidRPr="00807837">
        <w:rPr>
          <w:rFonts w:ascii="Arial" w:hAnsi="Arial" w:cs="Arial"/>
          <w:sz w:val="20"/>
          <w:szCs w:val="20"/>
          <w:lang w:val="en-US"/>
        </w:rPr>
        <w:t>funds</w:t>
      </w:r>
      <w:r w:rsidR="00F43063" w:rsidRPr="00807837">
        <w:rPr>
          <w:rFonts w:ascii="Arial" w:hAnsi="Arial" w:cs="Arial"/>
          <w:sz w:val="20"/>
          <w:szCs w:val="20"/>
          <w:lang w:val="en-US"/>
        </w:rPr>
        <w:t>.</w:t>
      </w:r>
    </w:p>
    <w:p w:rsidR="009D5850" w:rsidRPr="00807837" w:rsidRDefault="00A37EC8" w:rsidP="00807837">
      <w:pPr>
        <w:spacing w:after="0" w:line="240" w:lineRule="auto"/>
        <w:ind w:left="720" w:hanging="720"/>
        <w:rPr>
          <w:rFonts w:ascii="Arial" w:hAnsi="Arial" w:cs="Arial"/>
          <w:sz w:val="20"/>
          <w:szCs w:val="20"/>
          <w:lang w:val="en-US"/>
        </w:rPr>
      </w:pPr>
      <w:r w:rsidRPr="00807837">
        <w:rPr>
          <w:rFonts w:ascii="Arial" w:hAnsi="Arial" w:cs="Arial"/>
          <w:sz w:val="20"/>
          <w:szCs w:val="20"/>
          <w:lang w:val="en-US"/>
        </w:rPr>
        <w:t>9.15</w:t>
      </w:r>
      <w:r w:rsidR="009D5850" w:rsidRPr="00807837">
        <w:rPr>
          <w:rFonts w:ascii="Arial" w:hAnsi="Arial" w:cs="Arial"/>
          <w:sz w:val="20"/>
          <w:szCs w:val="20"/>
          <w:lang w:val="en-US"/>
        </w:rPr>
        <w:tab/>
        <w:t xml:space="preserve">Work closely with the </w:t>
      </w:r>
      <w:r w:rsidR="00C35365" w:rsidRPr="00807837">
        <w:rPr>
          <w:rFonts w:ascii="Arial" w:hAnsi="Arial" w:cs="Arial"/>
          <w:sz w:val="20"/>
          <w:szCs w:val="20"/>
          <w:lang w:val="en-US"/>
        </w:rPr>
        <w:t>Minister</w:t>
      </w:r>
      <w:r w:rsidR="009D5850" w:rsidRPr="00807837">
        <w:rPr>
          <w:rFonts w:ascii="Arial" w:hAnsi="Arial" w:cs="Arial"/>
          <w:sz w:val="20"/>
          <w:szCs w:val="20"/>
          <w:lang w:val="en-US"/>
        </w:rPr>
        <w:t xml:space="preserve"> of Police to </w:t>
      </w:r>
      <w:r w:rsidR="00EA27ED" w:rsidRPr="00807837">
        <w:rPr>
          <w:rFonts w:ascii="Arial" w:hAnsi="Arial" w:cs="Arial"/>
          <w:sz w:val="20"/>
          <w:szCs w:val="20"/>
          <w:lang w:val="en-US"/>
        </w:rPr>
        <w:t xml:space="preserve">develop effective strategies that enhance safety and security for tourists and </w:t>
      </w:r>
      <w:r w:rsidR="009D5850" w:rsidRPr="00807837">
        <w:rPr>
          <w:rFonts w:ascii="Arial" w:hAnsi="Arial" w:cs="Arial"/>
          <w:sz w:val="20"/>
          <w:szCs w:val="20"/>
          <w:lang w:val="en-US"/>
        </w:rPr>
        <w:t>explore the possibility of establishing Tourism Police to be deployed in tourism crime hotspots throughout the country.</w:t>
      </w:r>
    </w:p>
    <w:p w:rsidR="00C909E0" w:rsidRPr="00807837" w:rsidRDefault="00C909E0" w:rsidP="00807837">
      <w:pPr>
        <w:spacing w:after="0" w:line="240" w:lineRule="auto"/>
        <w:ind w:left="720" w:hanging="720"/>
        <w:rPr>
          <w:rFonts w:ascii="Arial" w:hAnsi="Arial" w:cs="Arial"/>
          <w:sz w:val="20"/>
          <w:szCs w:val="20"/>
          <w:lang w:val="en-US"/>
        </w:rPr>
      </w:pPr>
    </w:p>
    <w:p w:rsidR="00C909E0" w:rsidRPr="00807837" w:rsidRDefault="00C909E0" w:rsidP="00807837">
      <w:pPr>
        <w:spacing w:after="0" w:line="240" w:lineRule="auto"/>
        <w:ind w:left="720" w:hanging="720"/>
        <w:rPr>
          <w:rFonts w:ascii="Arial" w:hAnsi="Arial" w:cs="Arial"/>
          <w:sz w:val="20"/>
          <w:szCs w:val="20"/>
          <w:lang w:val="en-US"/>
        </w:rPr>
      </w:pPr>
      <w:r w:rsidRPr="00807837">
        <w:rPr>
          <w:rFonts w:ascii="Arial" w:hAnsi="Arial" w:cs="Arial"/>
          <w:sz w:val="20"/>
          <w:szCs w:val="20"/>
          <w:lang w:val="en-US"/>
        </w:rPr>
        <w:t>9.16</w:t>
      </w:r>
      <w:r w:rsidRPr="00807837">
        <w:rPr>
          <w:rFonts w:ascii="Arial" w:hAnsi="Arial" w:cs="Arial"/>
          <w:sz w:val="20"/>
          <w:szCs w:val="20"/>
          <w:lang w:val="en-US"/>
        </w:rPr>
        <w:tab/>
        <w:t>Work with the Department of Employment and Labour to address the employment patterns in the tourism sector, ensuring citizens are given preference to foreign nationals.</w:t>
      </w:r>
    </w:p>
    <w:p w:rsidR="00C909E0" w:rsidRPr="00807837" w:rsidRDefault="00C909E0" w:rsidP="00807837">
      <w:pPr>
        <w:spacing w:after="0" w:line="240" w:lineRule="auto"/>
        <w:ind w:left="720" w:hanging="720"/>
        <w:rPr>
          <w:rFonts w:ascii="Arial" w:hAnsi="Arial" w:cs="Arial"/>
          <w:sz w:val="20"/>
          <w:szCs w:val="20"/>
          <w:lang w:val="en-US"/>
        </w:rPr>
      </w:pPr>
    </w:p>
    <w:p w:rsidR="00C909E0" w:rsidRPr="00807837" w:rsidRDefault="00C909E0" w:rsidP="00807837">
      <w:pPr>
        <w:spacing w:after="0" w:line="240" w:lineRule="auto"/>
        <w:ind w:left="720" w:hanging="720"/>
        <w:rPr>
          <w:rFonts w:ascii="Arial" w:hAnsi="Arial" w:cs="Arial"/>
          <w:sz w:val="20"/>
          <w:szCs w:val="20"/>
          <w:lang w:val="en-US"/>
        </w:rPr>
      </w:pPr>
      <w:r w:rsidRPr="00807837">
        <w:rPr>
          <w:rFonts w:ascii="Arial" w:hAnsi="Arial" w:cs="Arial"/>
          <w:sz w:val="20"/>
          <w:szCs w:val="20"/>
          <w:lang w:val="en-US"/>
        </w:rPr>
        <w:t>9.17</w:t>
      </w:r>
      <w:r w:rsidRPr="00807837">
        <w:rPr>
          <w:rFonts w:ascii="Arial" w:hAnsi="Arial" w:cs="Arial"/>
          <w:sz w:val="20"/>
          <w:szCs w:val="20"/>
          <w:lang w:val="en-US"/>
        </w:rPr>
        <w:tab/>
        <w:t xml:space="preserve">Work with the Tourism Business Council of South Africa to ensure that foreign </w:t>
      </w:r>
      <w:r w:rsidR="005567D0" w:rsidRPr="00807837">
        <w:rPr>
          <w:rFonts w:ascii="Arial" w:hAnsi="Arial" w:cs="Arial"/>
          <w:sz w:val="20"/>
          <w:szCs w:val="20"/>
          <w:lang w:val="en-US"/>
        </w:rPr>
        <w:t>nationals</w:t>
      </w:r>
      <w:r w:rsidRPr="00807837">
        <w:rPr>
          <w:rFonts w:ascii="Arial" w:hAnsi="Arial" w:cs="Arial"/>
          <w:sz w:val="20"/>
          <w:szCs w:val="20"/>
          <w:lang w:val="en-US"/>
        </w:rPr>
        <w:t xml:space="preserve"> already employed in the sector are paid according to the </w:t>
      </w:r>
      <w:r w:rsidR="005567D0" w:rsidRPr="00807837">
        <w:rPr>
          <w:rFonts w:ascii="Arial" w:hAnsi="Arial" w:cs="Arial"/>
          <w:sz w:val="20"/>
          <w:szCs w:val="20"/>
          <w:lang w:val="en-US"/>
        </w:rPr>
        <w:t>minimum</w:t>
      </w:r>
      <w:r w:rsidRPr="00807837">
        <w:rPr>
          <w:rFonts w:ascii="Arial" w:hAnsi="Arial" w:cs="Arial"/>
          <w:sz w:val="20"/>
          <w:szCs w:val="20"/>
          <w:lang w:val="en-US"/>
        </w:rPr>
        <w:t xml:space="preserve"> wage applicable in the tourism </w:t>
      </w:r>
      <w:r w:rsidR="005567D0" w:rsidRPr="00807837">
        <w:rPr>
          <w:rFonts w:ascii="Arial" w:hAnsi="Arial" w:cs="Arial"/>
          <w:sz w:val="20"/>
          <w:szCs w:val="20"/>
          <w:lang w:val="en-US"/>
        </w:rPr>
        <w:t>sector</w:t>
      </w:r>
      <w:r w:rsidRPr="00807837">
        <w:rPr>
          <w:rFonts w:ascii="Arial" w:hAnsi="Arial" w:cs="Arial"/>
          <w:sz w:val="20"/>
          <w:szCs w:val="20"/>
          <w:lang w:val="en-US"/>
        </w:rPr>
        <w:t>.</w:t>
      </w:r>
    </w:p>
    <w:p w:rsidR="00C909E0" w:rsidRPr="00807837" w:rsidRDefault="00C909E0" w:rsidP="00807837">
      <w:pPr>
        <w:spacing w:after="0" w:line="240" w:lineRule="auto"/>
        <w:ind w:left="720" w:hanging="720"/>
        <w:rPr>
          <w:rFonts w:ascii="Arial" w:hAnsi="Arial" w:cs="Arial"/>
          <w:sz w:val="20"/>
          <w:szCs w:val="20"/>
          <w:lang w:val="en-US"/>
        </w:rPr>
      </w:pPr>
    </w:p>
    <w:p w:rsidR="00C909E0" w:rsidRPr="00807837" w:rsidRDefault="00C909E0" w:rsidP="00807837">
      <w:pPr>
        <w:spacing w:after="0" w:line="240" w:lineRule="auto"/>
        <w:ind w:left="720" w:hanging="720"/>
        <w:rPr>
          <w:rFonts w:ascii="Arial" w:hAnsi="Arial" w:cs="Arial"/>
          <w:sz w:val="20"/>
          <w:szCs w:val="20"/>
          <w:lang w:val="en-US"/>
        </w:rPr>
      </w:pPr>
      <w:r w:rsidRPr="00807837">
        <w:rPr>
          <w:rFonts w:ascii="Arial" w:hAnsi="Arial" w:cs="Arial"/>
          <w:sz w:val="20"/>
          <w:szCs w:val="20"/>
          <w:lang w:val="en-US"/>
        </w:rPr>
        <w:t>9.18</w:t>
      </w:r>
      <w:r w:rsidRPr="00807837">
        <w:rPr>
          <w:rFonts w:ascii="Arial" w:hAnsi="Arial" w:cs="Arial"/>
          <w:sz w:val="20"/>
          <w:szCs w:val="20"/>
          <w:lang w:val="en-US"/>
        </w:rPr>
        <w:tab/>
        <w:t xml:space="preserve">Work with the National Public Transport Regulator to ensure that tour operator </w:t>
      </w:r>
      <w:r w:rsidR="005567D0" w:rsidRPr="00807837">
        <w:rPr>
          <w:rFonts w:ascii="Arial" w:hAnsi="Arial" w:cs="Arial"/>
          <w:sz w:val="20"/>
          <w:szCs w:val="20"/>
          <w:lang w:val="en-US"/>
        </w:rPr>
        <w:t>licenses</w:t>
      </w:r>
      <w:r w:rsidRPr="00807837">
        <w:rPr>
          <w:rFonts w:ascii="Arial" w:hAnsi="Arial" w:cs="Arial"/>
          <w:sz w:val="20"/>
          <w:szCs w:val="20"/>
          <w:lang w:val="en-US"/>
        </w:rPr>
        <w:t xml:space="preserve"> are issued timeously and that there is equity in the issuance of </w:t>
      </w:r>
      <w:r w:rsidR="00EA27ED" w:rsidRPr="00807837">
        <w:rPr>
          <w:rFonts w:ascii="Arial" w:hAnsi="Arial" w:cs="Arial"/>
          <w:sz w:val="20"/>
          <w:szCs w:val="20"/>
          <w:lang w:val="en-US"/>
        </w:rPr>
        <w:t>operating permits to advance transformation imperatives.</w:t>
      </w:r>
    </w:p>
    <w:p w:rsidR="00EA27ED" w:rsidRPr="00807837" w:rsidRDefault="00EA27ED" w:rsidP="00807837">
      <w:pPr>
        <w:spacing w:after="0" w:line="240" w:lineRule="auto"/>
        <w:ind w:left="720" w:hanging="720"/>
        <w:rPr>
          <w:rFonts w:ascii="Arial" w:hAnsi="Arial" w:cs="Arial"/>
          <w:sz w:val="20"/>
          <w:szCs w:val="20"/>
          <w:lang w:val="en-US"/>
        </w:rPr>
      </w:pPr>
    </w:p>
    <w:p w:rsidR="00EA27ED" w:rsidRPr="00807837" w:rsidRDefault="00EA27ED" w:rsidP="00807837">
      <w:pPr>
        <w:spacing w:after="0" w:line="240" w:lineRule="auto"/>
        <w:ind w:left="720" w:hanging="720"/>
        <w:rPr>
          <w:rFonts w:ascii="Arial" w:hAnsi="Arial" w:cs="Arial"/>
          <w:sz w:val="20"/>
          <w:szCs w:val="20"/>
          <w:lang w:val="en-US"/>
        </w:rPr>
      </w:pPr>
      <w:r w:rsidRPr="00807837">
        <w:rPr>
          <w:rFonts w:ascii="Arial" w:hAnsi="Arial" w:cs="Arial"/>
          <w:sz w:val="20"/>
          <w:szCs w:val="20"/>
          <w:lang w:val="en-US"/>
        </w:rPr>
        <w:t>9.19</w:t>
      </w:r>
      <w:r w:rsidRPr="00807837">
        <w:rPr>
          <w:rFonts w:ascii="Arial" w:hAnsi="Arial" w:cs="Arial"/>
          <w:sz w:val="20"/>
          <w:szCs w:val="20"/>
          <w:lang w:val="en-US"/>
        </w:rPr>
        <w:tab/>
        <w:t xml:space="preserve">Ensure that all the Working for Tourism infrastructure </w:t>
      </w:r>
      <w:r w:rsidR="005567D0" w:rsidRPr="00807837">
        <w:rPr>
          <w:rFonts w:ascii="Arial" w:hAnsi="Arial" w:cs="Arial"/>
          <w:sz w:val="20"/>
          <w:szCs w:val="20"/>
          <w:lang w:val="en-US"/>
        </w:rPr>
        <w:t>projects</w:t>
      </w:r>
      <w:r w:rsidRPr="00807837">
        <w:rPr>
          <w:rFonts w:ascii="Arial" w:hAnsi="Arial" w:cs="Arial"/>
          <w:sz w:val="20"/>
          <w:szCs w:val="20"/>
          <w:lang w:val="en-US"/>
        </w:rPr>
        <w:t xml:space="preserve"> are properly implemented and prepare a progress report on each of them.</w:t>
      </w:r>
    </w:p>
    <w:p w:rsidR="00EA27ED" w:rsidRPr="00807837" w:rsidRDefault="00EA27ED" w:rsidP="00807837">
      <w:pPr>
        <w:spacing w:after="0" w:line="240" w:lineRule="auto"/>
        <w:ind w:left="720" w:hanging="720"/>
        <w:rPr>
          <w:rFonts w:ascii="Arial" w:hAnsi="Arial" w:cs="Arial"/>
          <w:sz w:val="20"/>
          <w:szCs w:val="20"/>
          <w:lang w:val="en-US"/>
        </w:rPr>
      </w:pPr>
    </w:p>
    <w:p w:rsidR="00EA27ED" w:rsidRPr="00807837" w:rsidRDefault="00EA27ED" w:rsidP="00807837">
      <w:pPr>
        <w:spacing w:after="0" w:line="240" w:lineRule="auto"/>
        <w:ind w:left="720" w:hanging="720"/>
        <w:rPr>
          <w:rFonts w:ascii="Arial" w:hAnsi="Arial" w:cs="Arial"/>
          <w:sz w:val="20"/>
          <w:szCs w:val="20"/>
          <w:lang w:val="en-US"/>
        </w:rPr>
      </w:pPr>
      <w:r w:rsidRPr="00807837">
        <w:rPr>
          <w:rFonts w:ascii="Arial" w:hAnsi="Arial" w:cs="Arial"/>
          <w:sz w:val="20"/>
          <w:szCs w:val="20"/>
          <w:lang w:val="en-US"/>
        </w:rPr>
        <w:t>9.20</w:t>
      </w:r>
      <w:r w:rsidRPr="00807837">
        <w:rPr>
          <w:rFonts w:ascii="Arial" w:hAnsi="Arial" w:cs="Arial"/>
          <w:sz w:val="20"/>
          <w:szCs w:val="20"/>
          <w:lang w:val="en-US"/>
        </w:rPr>
        <w:tab/>
        <w:t>Ensure that the tourism grading policy of the country is made free but compulsory and that this change in policy direction is captured in the new Tourism White Paper</w:t>
      </w:r>
      <w:r w:rsidR="002B2092" w:rsidRPr="00807837">
        <w:rPr>
          <w:rFonts w:ascii="Arial" w:hAnsi="Arial" w:cs="Arial"/>
          <w:sz w:val="20"/>
          <w:szCs w:val="20"/>
          <w:lang w:val="en-US"/>
        </w:rPr>
        <w:t xml:space="preserve"> in order to facilitate the standard</w:t>
      </w:r>
      <w:r w:rsidR="005567D0" w:rsidRPr="00807837">
        <w:rPr>
          <w:rFonts w:ascii="Arial" w:hAnsi="Arial" w:cs="Arial"/>
          <w:sz w:val="20"/>
          <w:szCs w:val="20"/>
          <w:lang w:val="en-US"/>
        </w:rPr>
        <w:t>i</w:t>
      </w:r>
      <w:r w:rsidR="002B2092" w:rsidRPr="00807837">
        <w:rPr>
          <w:rFonts w:ascii="Arial" w:hAnsi="Arial" w:cs="Arial"/>
          <w:sz w:val="20"/>
          <w:szCs w:val="20"/>
          <w:lang w:val="en-US"/>
        </w:rPr>
        <w:t>sed quality assurance throughout the sector.</w:t>
      </w:r>
    </w:p>
    <w:p w:rsidR="00EA27ED" w:rsidRPr="00807837" w:rsidRDefault="00EA27ED" w:rsidP="00807837">
      <w:pPr>
        <w:spacing w:after="0" w:line="240" w:lineRule="auto"/>
        <w:ind w:left="720" w:hanging="720"/>
        <w:rPr>
          <w:rFonts w:ascii="Arial" w:hAnsi="Arial" w:cs="Arial"/>
          <w:sz w:val="20"/>
          <w:szCs w:val="20"/>
          <w:lang w:val="en-US"/>
        </w:rPr>
      </w:pPr>
    </w:p>
    <w:p w:rsidR="00EA27ED" w:rsidRPr="00807837" w:rsidRDefault="00EA27ED" w:rsidP="00807837">
      <w:pPr>
        <w:spacing w:after="0" w:line="240" w:lineRule="auto"/>
        <w:ind w:left="720" w:hanging="720"/>
        <w:rPr>
          <w:rFonts w:ascii="Arial" w:hAnsi="Arial" w:cs="Arial"/>
          <w:sz w:val="20"/>
          <w:szCs w:val="20"/>
          <w:lang w:val="en-US"/>
        </w:rPr>
      </w:pPr>
      <w:r w:rsidRPr="00807837">
        <w:rPr>
          <w:rFonts w:ascii="Arial" w:hAnsi="Arial" w:cs="Arial"/>
          <w:sz w:val="20"/>
          <w:szCs w:val="20"/>
          <w:lang w:val="en-US"/>
        </w:rPr>
        <w:t>9.21</w:t>
      </w:r>
      <w:r w:rsidRPr="00807837">
        <w:rPr>
          <w:rFonts w:ascii="Arial" w:hAnsi="Arial" w:cs="Arial"/>
          <w:sz w:val="20"/>
          <w:szCs w:val="20"/>
          <w:lang w:val="en-US"/>
        </w:rPr>
        <w:tab/>
      </w:r>
      <w:r w:rsidR="0014246B" w:rsidRPr="00807837">
        <w:rPr>
          <w:rFonts w:ascii="Arial" w:hAnsi="Arial" w:cs="Arial"/>
          <w:sz w:val="20"/>
          <w:szCs w:val="20"/>
          <w:lang w:val="en-US"/>
        </w:rPr>
        <w:t>Work with the Department of Home Affairs and other stakeholders to facilitate the introduction of Digital Nomad Visa in South Africa to mordenise the tourism sector in the country to be on par with the rest of the world.</w:t>
      </w:r>
    </w:p>
    <w:p w:rsidR="0014246B" w:rsidRPr="00807837" w:rsidRDefault="0014246B" w:rsidP="00807837">
      <w:pPr>
        <w:spacing w:after="0" w:line="240" w:lineRule="auto"/>
        <w:ind w:left="567" w:hanging="567"/>
        <w:rPr>
          <w:rFonts w:ascii="Arial" w:hAnsi="Arial" w:cs="Arial"/>
          <w:sz w:val="20"/>
          <w:szCs w:val="20"/>
          <w:lang w:val="en-US"/>
        </w:rPr>
      </w:pPr>
    </w:p>
    <w:p w:rsidR="0014246B" w:rsidRPr="00807837" w:rsidRDefault="0014246B" w:rsidP="00807837">
      <w:pPr>
        <w:spacing w:after="0" w:line="240" w:lineRule="auto"/>
        <w:ind w:left="567" w:hanging="567"/>
        <w:rPr>
          <w:rFonts w:ascii="Arial" w:hAnsi="Arial" w:cs="Arial"/>
          <w:sz w:val="20"/>
          <w:szCs w:val="20"/>
          <w:lang w:val="en-US"/>
        </w:rPr>
      </w:pPr>
      <w:r w:rsidRPr="00807837">
        <w:rPr>
          <w:rFonts w:ascii="Arial" w:hAnsi="Arial" w:cs="Arial"/>
          <w:sz w:val="20"/>
          <w:szCs w:val="20"/>
          <w:lang w:val="en-US"/>
        </w:rPr>
        <w:t>9.22</w:t>
      </w:r>
      <w:r w:rsidRPr="00807837">
        <w:rPr>
          <w:rFonts w:ascii="Arial" w:hAnsi="Arial" w:cs="Arial"/>
          <w:sz w:val="20"/>
          <w:szCs w:val="20"/>
          <w:lang w:val="en-US"/>
        </w:rPr>
        <w:tab/>
        <w:t>Work with the Department of Homme Affairs to roll out e-visas for many countries which form tourism markets for South Africa.</w:t>
      </w:r>
    </w:p>
    <w:p w:rsidR="0014246B" w:rsidRPr="00807837" w:rsidRDefault="0014246B" w:rsidP="00807837">
      <w:pPr>
        <w:spacing w:after="0" w:line="240" w:lineRule="auto"/>
        <w:rPr>
          <w:rFonts w:ascii="Arial" w:hAnsi="Arial" w:cs="Arial"/>
          <w:sz w:val="20"/>
          <w:szCs w:val="20"/>
          <w:lang w:val="en-US"/>
        </w:rPr>
      </w:pPr>
    </w:p>
    <w:p w:rsidR="0014246B" w:rsidRPr="00807837" w:rsidRDefault="0014246B" w:rsidP="00807837">
      <w:pPr>
        <w:spacing w:after="0" w:line="240" w:lineRule="auto"/>
        <w:ind w:left="567" w:hanging="567"/>
        <w:rPr>
          <w:rFonts w:ascii="Arial" w:hAnsi="Arial" w:cs="Arial"/>
          <w:sz w:val="20"/>
          <w:szCs w:val="20"/>
          <w:lang w:val="en-US"/>
        </w:rPr>
      </w:pPr>
      <w:r w:rsidRPr="00807837">
        <w:rPr>
          <w:rFonts w:ascii="Arial" w:hAnsi="Arial" w:cs="Arial"/>
          <w:sz w:val="20"/>
          <w:szCs w:val="20"/>
          <w:lang w:val="en-US"/>
        </w:rPr>
        <w:t>9.23</w:t>
      </w:r>
      <w:r w:rsidRPr="00807837">
        <w:rPr>
          <w:rFonts w:ascii="Arial" w:hAnsi="Arial" w:cs="Arial"/>
          <w:sz w:val="20"/>
          <w:szCs w:val="20"/>
          <w:lang w:val="en-US"/>
        </w:rPr>
        <w:tab/>
        <w:t xml:space="preserve">Work with the South African Local </w:t>
      </w:r>
      <w:r w:rsidR="005567D0" w:rsidRPr="00807837">
        <w:rPr>
          <w:rFonts w:ascii="Arial" w:hAnsi="Arial" w:cs="Arial"/>
          <w:sz w:val="20"/>
          <w:szCs w:val="20"/>
          <w:lang w:val="en-US"/>
        </w:rPr>
        <w:t>Government</w:t>
      </w:r>
      <w:r w:rsidRPr="00807837">
        <w:rPr>
          <w:rFonts w:ascii="Arial" w:hAnsi="Arial" w:cs="Arial"/>
          <w:sz w:val="20"/>
          <w:szCs w:val="20"/>
          <w:lang w:val="en-US"/>
        </w:rPr>
        <w:t xml:space="preserve"> Association (SALGA) and the Department of Cooperative Governance and Traditional Affairs(Cogta) on maintaining tourism infrastructure throughout the country, including dealing with sewage spillage that has affected tourism in Durban.</w:t>
      </w:r>
    </w:p>
    <w:p w:rsidR="0014246B" w:rsidRPr="00807837" w:rsidRDefault="0014246B" w:rsidP="00807837">
      <w:pPr>
        <w:spacing w:after="0" w:line="240" w:lineRule="auto"/>
        <w:ind w:left="567" w:hanging="567"/>
        <w:rPr>
          <w:rFonts w:ascii="Arial" w:hAnsi="Arial" w:cs="Arial"/>
          <w:sz w:val="20"/>
          <w:szCs w:val="20"/>
          <w:lang w:val="en-US"/>
        </w:rPr>
      </w:pPr>
    </w:p>
    <w:p w:rsidR="002B2092" w:rsidRPr="00807837" w:rsidRDefault="0014246B" w:rsidP="00807837">
      <w:pPr>
        <w:spacing w:after="0" w:line="240" w:lineRule="auto"/>
        <w:ind w:left="567" w:hanging="567"/>
        <w:rPr>
          <w:rFonts w:ascii="Arial" w:hAnsi="Arial" w:cs="Arial"/>
          <w:sz w:val="20"/>
          <w:szCs w:val="20"/>
          <w:lang w:val="en-US"/>
        </w:rPr>
      </w:pPr>
      <w:r w:rsidRPr="00807837">
        <w:rPr>
          <w:rFonts w:ascii="Arial" w:hAnsi="Arial" w:cs="Arial"/>
          <w:sz w:val="20"/>
          <w:szCs w:val="20"/>
          <w:lang w:val="en-US"/>
        </w:rPr>
        <w:t>9.24</w:t>
      </w:r>
      <w:r w:rsidRPr="00807837">
        <w:rPr>
          <w:rFonts w:ascii="Arial" w:hAnsi="Arial" w:cs="Arial"/>
          <w:sz w:val="20"/>
          <w:szCs w:val="20"/>
          <w:lang w:val="en-US"/>
        </w:rPr>
        <w:tab/>
      </w:r>
      <w:r w:rsidR="002B2092" w:rsidRPr="00807837">
        <w:rPr>
          <w:rFonts w:ascii="Arial" w:hAnsi="Arial" w:cs="Arial"/>
          <w:sz w:val="20"/>
          <w:szCs w:val="20"/>
          <w:lang w:val="en-US"/>
        </w:rPr>
        <w:t xml:space="preserve">Ensure that the Incubation Programme </w:t>
      </w:r>
      <w:r w:rsidR="005567D0" w:rsidRPr="00807837">
        <w:rPr>
          <w:rFonts w:ascii="Arial" w:hAnsi="Arial" w:cs="Arial"/>
          <w:sz w:val="20"/>
          <w:szCs w:val="20"/>
          <w:lang w:val="en-US"/>
        </w:rPr>
        <w:t>implemented</w:t>
      </w:r>
      <w:r w:rsidR="002B2092" w:rsidRPr="00807837">
        <w:rPr>
          <w:rFonts w:ascii="Arial" w:hAnsi="Arial" w:cs="Arial"/>
          <w:sz w:val="20"/>
          <w:szCs w:val="20"/>
          <w:lang w:val="en-US"/>
        </w:rPr>
        <w:t xml:space="preserve"> by the Department goes hand in hand with programmes to formalise the informal tourism sector, particularly in villages, townships and small towns/dorpies (VTSDs).</w:t>
      </w:r>
    </w:p>
    <w:p w:rsidR="002B2092" w:rsidRPr="00807837" w:rsidRDefault="002B2092" w:rsidP="00807837">
      <w:pPr>
        <w:spacing w:after="0" w:line="240" w:lineRule="auto"/>
        <w:rPr>
          <w:rFonts w:ascii="Arial" w:hAnsi="Arial" w:cs="Arial"/>
          <w:sz w:val="20"/>
          <w:szCs w:val="20"/>
          <w:lang w:val="en-US"/>
        </w:rPr>
      </w:pPr>
    </w:p>
    <w:p w:rsidR="002B2092" w:rsidRPr="00807837" w:rsidRDefault="002B2092" w:rsidP="00807837">
      <w:pPr>
        <w:spacing w:after="0" w:line="240" w:lineRule="auto"/>
        <w:ind w:left="567" w:hanging="567"/>
        <w:rPr>
          <w:rFonts w:ascii="Arial" w:hAnsi="Arial" w:cs="Arial"/>
          <w:sz w:val="20"/>
          <w:szCs w:val="20"/>
          <w:lang w:val="en-US"/>
        </w:rPr>
      </w:pPr>
      <w:r w:rsidRPr="00807837">
        <w:rPr>
          <w:rFonts w:ascii="Arial" w:hAnsi="Arial" w:cs="Arial"/>
          <w:sz w:val="20"/>
          <w:szCs w:val="20"/>
          <w:lang w:val="en-US"/>
        </w:rPr>
        <w:t>9.2</w:t>
      </w:r>
      <w:r w:rsidR="00F863E1" w:rsidRPr="00807837">
        <w:rPr>
          <w:rFonts w:ascii="Arial" w:hAnsi="Arial" w:cs="Arial"/>
          <w:sz w:val="20"/>
          <w:szCs w:val="20"/>
          <w:lang w:val="en-US"/>
        </w:rPr>
        <w:t>5</w:t>
      </w:r>
      <w:r w:rsidRPr="00807837">
        <w:rPr>
          <w:rFonts w:ascii="Arial" w:hAnsi="Arial" w:cs="Arial"/>
          <w:sz w:val="20"/>
          <w:szCs w:val="20"/>
          <w:lang w:val="en-US"/>
        </w:rPr>
        <w:tab/>
        <w:t>Explore implementing more programmes that will empower women in the tourism sector.</w:t>
      </w:r>
    </w:p>
    <w:p w:rsidR="002B2092" w:rsidRPr="00807837" w:rsidRDefault="002B2092" w:rsidP="00807837">
      <w:pPr>
        <w:spacing w:after="0" w:line="240" w:lineRule="auto"/>
        <w:ind w:left="567" w:hanging="567"/>
        <w:rPr>
          <w:rFonts w:ascii="Arial" w:hAnsi="Arial" w:cs="Arial"/>
          <w:sz w:val="20"/>
          <w:szCs w:val="20"/>
          <w:lang w:val="en-US"/>
        </w:rPr>
      </w:pPr>
    </w:p>
    <w:p w:rsidR="002B2092" w:rsidRPr="00807837" w:rsidRDefault="002B2092" w:rsidP="00807837">
      <w:pPr>
        <w:spacing w:after="0" w:line="240" w:lineRule="auto"/>
        <w:ind w:left="567" w:hanging="567"/>
        <w:rPr>
          <w:rFonts w:ascii="Arial" w:hAnsi="Arial" w:cs="Arial"/>
          <w:sz w:val="20"/>
          <w:szCs w:val="20"/>
          <w:lang w:val="en-US"/>
        </w:rPr>
      </w:pPr>
      <w:r w:rsidRPr="00807837">
        <w:rPr>
          <w:rFonts w:ascii="Arial" w:hAnsi="Arial" w:cs="Arial"/>
          <w:sz w:val="20"/>
          <w:szCs w:val="20"/>
          <w:lang w:val="en-US"/>
        </w:rPr>
        <w:t>9.2</w:t>
      </w:r>
      <w:r w:rsidR="00F863E1" w:rsidRPr="00807837">
        <w:rPr>
          <w:rFonts w:ascii="Arial" w:hAnsi="Arial" w:cs="Arial"/>
          <w:sz w:val="20"/>
          <w:szCs w:val="20"/>
          <w:lang w:val="en-US"/>
        </w:rPr>
        <w:t>6</w:t>
      </w:r>
      <w:r w:rsidRPr="00807837">
        <w:rPr>
          <w:rFonts w:ascii="Arial" w:hAnsi="Arial" w:cs="Arial"/>
          <w:sz w:val="20"/>
          <w:szCs w:val="20"/>
          <w:lang w:val="en-US"/>
        </w:rPr>
        <w:tab/>
        <w:t>Explore possibilities of formalising/insourcing Tourism Monitors into formal departmental programmes.</w:t>
      </w:r>
    </w:p>
    <w:p w:rsidR="002B2092" w:rsidRPr="00807837" w:rsidRDefault="002B2092" w:rsidP="00807837">
      <w:pPr>
        <w:spacing w:after="0" w:line="240" w:lineRule="auto"/>
        <w:ind w:left="567" w:hanging="567"/>
        <w:rPr>
          <w:rFonts w:ascii="Arial" w:hAnsi="Arial" w:cs="Arial"/>
          <w:sz w:val="20"/>
          <w:szCs w:val="20"/>
          <w:lang w:val="en-US"/>
        </w:rPr>
      </w:pPr>
    </w:p>
    <w:p w:rsidR="002B2092" w:rsidRPr="00807837" w:rsidRDefault="002B2092" w:rsidP="00807837">
      <w:pPr>
        <w:spacing w:after="0" w:line="240" w:lineRule="auto"/>
        <w:ind w:left="567" w:hanging="567"/>
        <w:rPr>
          <w:rFonts w:ascii="Arial" w:hAnsi="Arial" w:cs="Arial"/>
          <w:sz w:val="20"/>
          <w:szCs w:val="20"/>
          <w:lang w:val="en-US"/>
        </w:rPr>
      </w:pPr>
      <w:r w:rsidRPr="00807837">
        <w:rPr>
          <w:rFonts w:ascii="Arial" w:hAnsi="Arial" w:cs="Arial"/>
          <w:sz w:val="20"/>
          <w:szCs w:val="20"/>
          <w:lang w:val="en-US"/>
        </w:rPr>
        <w:t>9.2</w:t>
      </w:r>
      <w:r w:rsidR="00F863E1" w:rsidRPr="00807837">
        <w:rPr>
          <w:rFonts w:ascii="Arial" w:hAnsi="Arial" w:cs="Arial"/>
          <w:sz w:val="20"/>
          <w:szCs w:val="20"/>
          <w:lang w:val="en-US"/>
        </w:rPr>
        <w:t>7</w:t>
      </w:r>
      <w:r w:rsidRPr="00807837">
        <w:rPr>
          <w:rFonts w:ascii="Arial" w:hAnsi="Arial" w:cs="Arial"/>
          <w:sz w:val="20"/>
          <w:szCs w:val="20"/>
          <w:lang w:val="en-US"/>
        </w:rPr>
        <w:tab/>
        <w:t>Intensify the implementation of the Hospitality Youth Programme.</w:t>
      </w:r>
    </w:p>
    <w:p w:rsidR="002B2092" w:rsidRPr="00807837" w:rsidRDefault="002B2092" w:rsidP="00807837">
      <w:pPr>
        <w:spacing w:after="0" w:line="240" w:lineRule="auto"/>
        <w:ind w:left="567" w:hanging="567"/>
        <w:rPr>
          <w:rFonts w:ascii="Arial" w:hAnsi="Arial" w:cs="Arial"/>
          <w:sz w:val="20"/>
          <w:szCs w:val="20"/>
          <w:lang w:val="en-US"/>
        </w:rPr>
      </w:pPr>
    </w:p>
    <w:p w:rsidR="002B2092" w:rsidRPr="00807837" w:rsidRDefault="002B2092" w:rsidP="00807837">
      <w:pPr>
        <w:spacing w:after="0" w:line="240" w:lineRule="auto"/>
        <w:ind w:left="567" w:hanging="567"/>
        <w:rPr>
          <w:rFonts w:ascii="Arial" w:hAnsi="Arial" w:cs="Arial"/>
          <w:sz w:val="20"/>
          <w:szCs w:val="20"/>
          <w:lang w:val="en-US"/>
        </w:rPr>
      </w:pPr>
      <w:r w:rsidRPr="00807837">
        <w:rPr>
          <w:rFonts w:ascii="Arial" w:hAnsi="Arial" w:cs="Arial"/>
          <w:sz w:val="20"/>
          <w:szCs w:val="20"/>
          <w:lang w:val="en-US"/>
        </w:rPr>
        <w:t>9.2</w:t>
      </w:r>
      <w:r w:rsidR="00F863E1" w:rsidRPr="00807837">
        <w:rPr>
          <w:rFonts w:ascii="Arial" w:hAnsi="Arial" w:cs="Arial"/>
          <w:sz w:val="20"/>
          <w:szCs w:val="20"/>
          <w:lang w:val="en-US"/>
        </w:rPr>
        <w:t>8</w:t>
      </w:r>
      <w:r w:rsidRPr="00807837">
        <w:rPr>
          <w:rFonts w:ascii="Arial" w:hAnsi="Arial" w:cs="Arial"/>
          <w:sz w:val="20"/>
          <w:szCs w:val="20"/>
          <w:lang w:val="en-US"/>
        </w:rPr>
        <w:tab/>
        <w:t xml:space="preserve">Work with all vested stakeholders to ensure provision of ablution facilities at all tourism </w:t>
      </w:r>
      <w:r w:rsidR="005567D0" w:rsidRPr="00807837">
        <w:rPr>
          <w:rFonts w:ascii="Arial" w:hAnsi="Arial" w:cs="Arial"/>
          <w:sz w:val="20"/>
          <w:szCs w:val="20"/>
          <w:lang w:val="en-US"/>
        </w:rPr>
        <w:t>attractions</w:t>
      </w:r>
      <w:r w:rsidRPr="00807837">
        <w:rPr>
          <w:rFonts w:ascii="Arial" w:hAnsi="Arial" w:cs="Arial"/>
          <w:sz w:val="20"/>
          <w:szCs w:val="20"/>
          <w:lang w:val="en-US"/>
        </w:rPr>
        <w:t xml:space="preserve"> throughout the country, especially those in rural areas.</w:t>
      </w:r>
    </w:p>
    <w:p w:rsidR="002B2092" w:rsidRPr="00807837" w:rsidRDefault="002B2092" w:rsidP="00807837">
      <w:pPr>
        <w:spacing w:after="0" w:line="240" w:lineRule="auto"/>
        <w:ind w:left="567" w:hanging="567"/>
        <w:rPr>
          <w:rFonts w:ascii="Arial" w:hAnsi="Arial" w:cs="Arial"/>
          <w:sz w:val="20"/>
          <w:szCs w:val="20"/>
          <w:lang w:val="en-US"/>
        </w:rPr>
      </w:pPr>
    </w:p>
    <w:p w:rsidR="002B2092" w:rsidRPr="00807837" w:rsidRDefault="002B2092" w:rsidP="00807837">
      <w:pPr>
        <w:spacing w:after="0" w:line="240" w:lineRule="auto"/>
        <w:ind w:left="567" w:hanging="567"/>
        <w:rPr>
          <w:rFonts w:ascii="Arial" w:hAnsi="Arial" w:cs="Arial"/>
          <w:sz w:val="20"/>
          <w:szCs w:val="20"/>
          <w:lang w:val="en-US"/>
        </w:rPr>
      </w:pPr>
      <w:r w:rsidRPr="00807837">
        <w:rPr>
          <w:rFonts w:ascii="Arial" w:hAnsi="Arial" w:cs="Arial"/>
          <w:sz w:val="20"/>
          <w:szCs w:val="20"/>
          <w:lang w:val="en-US"/>
        </w:rPr>
        <w:t>9.2</w:t>
      </w:r>
      <w:r w:rsidR="00F863E1" w:rsidRPr="00807837">
        <w:rPr>
          <w:rFonts w:ascii="Arial" w:hAnsi="Arial" w:cs="Arial"/>
          <w:sz w:val="20"/>
          <w:szCs w:val="20"/>
          <w:lang w:val="en-US"/>
        </w:rPr>
        <w:t>9</w:t>
      </w:r>
      <w:r w:rsidRPr="00807837">
        <w:rPr>
          <w:rFonts w:ascii="Arial" w:hAnsi="Arial" w:cs="Arial"/>
          <w:sz w:val="20"/>
          <w:szCs w:val="20"/>
          <w:lang w:val="en-US"/>
        </w:rPr>
        <w:tab/>
        <w:t>Facilitate the development of tourist attractions for the inclusion of previously disadvantaged communities, especially in rural areas.</w:t>
      </w:r>
    </w:p>
    <w:p w:rsidR="00C25C85" w:rsidRPr="00807837" w:rsidRDefault="00C25C85" w:rsidP="00807837">
      <w:pPr>
        <w:spacing w:after="0" w:line="240" w:lineRule="auto"/>
        <w:ind w:left="720" w:hanging="720"/>
        <w:rPr>
          <w:rFonts w:ascii="Arial" w:hAnsi="Arial" w:cs="Arial"/>
          <w:sz w:val="20"/>
          <w:szCs w:val="20"/>
          <w:lang w:val="en-US"/>
        </w:rPr>
      </w:pPr>
    </w:p>
    <w:p w:rsidR="0030772B" w:rsidRPr="00807837" w:rsidRDefault="007C1FB2" w:rsidP="00807837">
      <w:pPr>
        <w:spacing w:after="0" w:line="240" w:lineRule="auto"/>
        <w:rPr>
          <w:rFonts w:ascii="Arial" w:hAnsi="Arial" w:cs="Arial"/>
          <w:b/>
          <w:sz w:val="20"/>
          <w:szCs w:val="20"/>
          <w:lang w:val="en-US"/>
        </w:rPr>
      </w:pPr>
      <w:r w:rsidRPr="00807837">
        <w:rPr>
          <w:rFonts w:ascii="Arial" w:hAnsi="Arial" w:cs="Arial"/>
          <w:b/>
          <w:sz w:val="20"/>
          <w:szCs w:val="20"/>
          <w:lang w:val="en-US"/>
        </w:rPr>
        <w:t>Recommendations with regard to South African Tourism</w:t>
      </w:r>
    </w:p>
    <w:p w:rsidR="00360745" w:rsidRPr="00807837" w:rsidRDefault="00360745" w:rsidP="00807837">
      <w:pPr>
        <w:spacing w:after="0" w:line="240" w:lineRule="auto"/>
        <w:rPr>
          <w:rFonts w:ascii="Arial" w:hAnsi="Arial" w:cs="Arial"/>
          <w:sz w:val="20"/>
          <w:szCs w:val="20"/>
          <w:lang w:val="en-US"/>
        </w:rPr>
      </w:pPr>
    </w:p>
    <w:p w:rsidR="00F914A7" w:rsidRPr="00807837" w:rsidRDefault="00F914A7" w:rsidP="00807837">
      <w:pPr>
        <w:spacing w:after="0" w:line="240" w:lineRule="auto"/>
        <w:rPr>
          <w:rFonts w:ascii="Arial" w:hAnsi="Arial" w:cs="Arial"/>
          <w:sz w:val="20"/>
          <w:szCs w:val="20"/>
          <w:lang w:val="en-US"/>
        </w:rPr>
      </w:pPr>
      <w:r w:rsidRPr="00807837">
        <w:rPr>
          <w:rFonts w:ascii="Arial" w:hAnsi="Arial" w:cs="Arial"/>
          <w:sz w:val="20"/>
          <w:szCs w:val="20"/>
          <w:lang w:val="en-US"/>
        </w:rPr>
        <w:t xml:space="preserve">The Minister </w:t>
      </w:r>
      <w:r w:rsidR="00FF591D" w:rsidRPr="00807837">
        <w:rPr>
          <w:rFonts w:ascii="Arial" w:hAnsi="Arial" w:cs="Arial"/>
          <w:sz w:val="20"/>
          <w:szCs w:val="20"/>
          <w:lang w:val="en-US"/>
        </w:rPr>
        <w:t xml:space="preserve">of Tourism </w:t>
      </w:r>
      <w:r w:rsidRPr="00807837">
        <w:rPr>
          <w:rFonts w:ascii="Arial" w:hAnsi="Arial" w:cs="Arial"/>
          <w:sz w:val="20"/>
          <w:szCs w:val="20"/>
          <w:lang w:val="en-US"/>
        </w:rPr>
        <w:t>should:</w:t>
      </w:r>
    </w:p>
    <w:p w:rsidR="005567D0" w:rsidRPr="00807837" w:rsidRDefault="005567D0" w:rsidP="00807837">
      <w:pPr>
        <w:spacing w:after="0" w:line="240" w:lineRule="auto"/>
        <w:rPr>
          <w:rFonts w:ascii="Arial" w:hAnsi="Arial" w:cs="Arial"/>
          <w:sz w:val="20"/>
          <w:szCs w:val="20"/>
          <w:lang w:val="en-US"/>
        </w:rPr>
      </w:pPr>
    </w:p>
    <w:p w:rsidR="001E143E" w:rsidRPr="00807837" w:rsidRDefault="005A2D77" w:rsidP="00807837">
      <w:pPr>
        <w:spacing w:after="0" w:line="240" w:lineRule="auto"/>
        <w:ind w:left="567" w:hanging="567"/>
        <w:rPr>
          <w:rFonts w:ascii="Arial" w:hAnsi="Arial" w:cs="Arial"/>
          <w:sz w:val="20"/>
          <w:szCs w:val="20"/>
          <w:lang w:val="en-US"/>
        </w:rPr>
      </w:pPr>
      <w:r w:rsidRPr="00807837">
        <w:rPr>
          <w:rFonts w:ascii="Arial" w:hAnsi="Arial" w:cs="Arial"/>
          <w:sz w:val="20"/>
          <w:szCs w:val="20"/>
          <w:lang w:val="en-US"/>
        </w:rPr>
        <w:t>9.</w:t>
      </w:r>
      <w:r w:rsidR="00F863E1" w:rsidRPr="00807837">
        <w:rPr>
          <w:rFonts w:ascii="Arial" w:hAnsi="Arial" w:cs="Arial"/>
          <w:sz w:val="20"/>
          <w:szCs w:val="20"/>
          <w:lang w:val="en-US"/>
        </w:rPr>
        <w:t>30</w:t>
      </w:r>
      <w:r w:rsidR="005567D0" w:rsidRPr="00807837">
        <w:rPr>
          <w:rFonts w:ascii="Arial" w:hAnsi="Arial" w:cs="Arial"/>
          <w:sz w:val="20"/>
          <w:szCs w:val="20"/>
          <w:lang w:val="en-US"/>
        </w:rPr>
        <w:tab/>
      </w:r>
      <w:r w:rsidR="001E143E" w:rsidRPr="00807837">
        <w:rPr>
          <w:rFonts w:ascii="Arial" w:hAnsi="Arial" w:cs="Arial"/>
          <w:sz w:val="20"/>
          <w:szCs w:val="20"/>
          <w:lang w:val="en-US"/>
        </w:rPr>
        <w:t>Provide an urgent, full and separate briefing on the merger of SA Tourism and Brand SA in relation to Brand SA relocating to th</w:t>
      </w:r>
      <w:r w:rsidR="00C35365" w:rsidRPr="00807837">
        <w:rPr>
          <w:rFonts w:ascii="Arial" w:hAnsi="Arial" w:cs="Arial"/>
          <w:sz w:val="20"/>
          <w:szCs w:val="20"/>
          <w:lang w:val="en-US"/>
        </w:rPr>
        <w:t>e Department of Tourism from th</w:t>
      </w:r>
      <w:r w:rsidR="001E143E" w:rsidRPr="00807837">
        <w:rPr>
          <w:rFonts w:ascii="Arial" w:hAnsi="Arial" w:cs="Arial"/>
          <w:sz w:val="20"/>
          <w:szCs w:val="20"/>
          <w:lang w:val="en-US"/>
        </w:rPr>
        <w:t>e</w:t>
      </w:r>
      <w:r w:rsidR="00C35365" w:rsidRPr="00807837">
        <w:rPr>
          <w:rFonts w:ascii="Arial" w:hAnsi="Arial" w:cs="Arial"/>
          <w:sz w:val="20"/>
          <w:szCs w:val="20"/>
          <w:lang w:val="en-US"/>
        </w:rPr>
        <w:t xml:space="preserve"> Presidency, to</w:t>
      </w:r>
      <w:r w:rsidR="001E143E" w:rsidRPr="00807837">
        <w:rPr>
          <w:rFonts w:ascii="Arial" w:hAnsi="Arial" w:cs="Arial"/>
          <w:sz w:val="20"/>
          <w:szCs w:val="20"/>
          <w:lang w:val="en-US"/>
        </w:rPr>
        <w:t xml:space="preserve"> assist the Committee in understanding the implications on broad mandate, budget and staffing.</w:t>
      </w:r>
    </w:p>
    <w:p w:rsidR="004D105C" w:rsidRPr="00807837" w:rsidRDefault="004D105C" w:rsidP="00807837">
      <w:pPr>
        <w:spacing w:after="0" w:line="240" w:lineRule="auto"/>
        <w:ind w:left="567" w:hanging="567"/>
        <w:rPr>
          <w:rFonts w:ascii="Arial" w:hAnsi="Arial" w:cs="Arial"/>
          <w:sz w:val="20"/>
          <w:szCs w:val="20"/>
          <w:lang w:val="en-US"/>
        </w:rPr>
      </w:pPr>
    </w:p>
    <w:p w:rsidR="004D105C" w:rsidRPr="00807837" w:rsidRDefault="00A37EC8" w:rsidP="00807837">
      <w:pPr>
        <w:spacing w:after="0" w:line="240" w:lineRule="auto"/>
        <w:ind w:left="567" w:hanging="567"/>
        <w:rPr>
          <w:rFonts w:ascii="Arial" w:hAnsi="Arial" w:cs="Arial"/>
          <w:sz w:val="20"/>
          <w:szCs w:val="20"/>
          <w:lang w:val="en-US"/>
        </w:rPr>
      </w:pPr>
      <w:r w:rsidRPr="00807837">
        <w:rPr>
          <w:rFonts w:ascii="Arial" w:hAnsi="Arial" w:cs="Arial"/>
          <w:sz w:val="20"/>
          <w:szCs w:val="20"/>
          <w:lang w:val="en-US"/>
        </w:rPr>
        <w:t>9.</w:t>
      </w:r>
      <w:r w:rsidR="00F863E1" w:rsidRPr="00807837">
        <w:rPr>
          <w:rFonts w:ascii="Arial" w:hAnsi="Arial" w:cs="Arial"/>
          <w:sz w:val="20"/>
          <w:szCs w:val="20"/>
          <w:lang w:val="en-US"/>
        </w:rPr>
        <w:t>31</w:t>
      </w:r>
      <w:r w:rsidR="000E48C8" w:rsidRPr="00807837">
        <w:rPr>
          <w:rFonts w:ascii="Arial" w:hAnsi="Arial" w:cs="Arial"/>
          <w:sz w:val="20"/>
          <w:szCs w:val="20"/>
          <w:lang w:val="en-US"/>
        </w:rPr>
        <w:tab/>
      </w:r>
      <w:r w:rsidR="001E143E" w:rsidRPr="00807837">
        <w:rPr>
          <w:rFonts w:ascii="Arial" w:hAnsi="Arial" w:cs="Arial"/>
          <w:sz w:val="20"/>
          <w:szCs w:val="20"/>
          <w:lang w:val="en-US"/>
        </w:rPr>
        <w:t xml:space="preserve">Provide the </w:t>
      </w:r>
      <w:r w:rsidR="000E48C8" w:rsidRPr="00807837">
        <w:rPr>
          <w:rFonts w:ascii="Arial" w:hAnsi="Arial" w:cs="Arial"/>
          <w:sz w:val="20"/>
          <w:szCs w:val="20"/>
          <w:lang w:val="en-US"/>
        </w:rPr>
        <w:t xml:space="preserve">process followed in appointing the new Interim Board </w:t>
      </w:r>
      <w:r w:rsidR="00C35365" w:rsidRPr="00807837">
        <w:rPr>
          <w:rFonts w:ascii="Arial" w:hAnsi="Arial" w:cs="Arial"/>
          <w:sz w:val="20"/>
          <w:szCs w:val="20"/>
          <w:lang w:val="en-US"/>
        </w:rPr>
        <w:t>of SA Tourism an</w:t>
      </w:r>
      <w:r w:rsidR="001E143E" w:rsidRPr="00807837">
        <w:rPr>
          <w:rFonts w:ascii="Arial" w:hAnsi="Arial" w:cs="Arial"/>
          <w:sz w:val="20"/>
          <w:szCs w:val="20"/>
          <w:lang w:val="en-US"/>
        </w:rPr>
        <w:t>d</w:t>
      </w:r>
      <w:r w:rsidR="00C35365" w:rsidRPr="00807837">
        <w:rPr>
          <w:rFonts w:ascii="Arial" w:hAnsi="Arial" w:cs="Arial"/>
          <w:sz w:val="20"/>
          <w:szCs w:val="20"/>
          <w:lang w:val="en-US"/>
        </w:rPr>
        <w:t xml:space="preserve"> </w:t>
      </w:r>
      <w:r w:rsidR="001E143E" w:rsidRPr="00807837">
        <w:rPr>
          <w:rFonts w:ascii="Arial" w:hAnsi="Arial" w:cs="Arial"/>
          <w:sz w:val="20"/>
          <w:szCs w:val="20"/>
          <w:lang w:val="en-US"/>
        </w:rPr>
        <w:t>the current legal standing of the Interim Board.</w:t>
      </w:r>
    </w:p>
    <w:p w:rsidR="001E143E" w:rsidRPr="00807837" w:rsidRDefault="001E143E" w:rsidP="00807837">
      <w:pPr>
        <w:spacing w:after="0" w:line="240" w:lineRule="auto"/>
        <w:ind w:left="567" w:hanging="567"/>
        <w:rPr>
          <w:rFonts w:ascii="Arial" w:hAnsi="Arial" w:cs="Arial"/>
          <w:sz w:val="20"/>
          <w:szCs w:val="20"/>
          <w:lang w:val="en-US"/>
        </w:rPr>
      </w:pPr>
      <w:r w:rsidRPr="00807837">
        <w:rPr>
          <w:rFonts w:ascii="Arial" w:hAnsi="Arial" w:cs="Arial"/>
          <w:sz w:val="20"/>
          <w:szCs w:val="20"/>
          <w:lang w:val="en-US"/>
        </w:rPr>
        <w:t xml:space="preserve"> </w:t>
      </w:r>
    </w:p>
    <w:p w:rsidR="000E48C8" w:rsidRPr="00807837" w:rsidRDefault="00A37EC8" w:rsidP="00807837">
      <w:pPr>
        <w:spacing w:after="0" w:line="240" w:lineRule="auto"/>
        <w:ind w:left="567" w:hanging="567"/>
        <w:rPr>
          <w:rFonts w:ascii="Arial" w:hAnsi="Arial" w:cs="Arial"/>
          <w:sz w:val="20"/>
          <w:szCs w:val="20"/>
          <w:lang w:val="en-US"/>
        </w:rPr>
      </w:pPr>
      <w:r w:rsidRPr="00807837">
        <w:rPr>
          <w:rFonts w:ascii="Arial" w:hAnsi="Arial" w:cs="Arial"/>
          <w:sz w:val="20"/>
          <w:szCs w:val="20"/>
          <w:lang w:val="en-US"/>
        </w:rPr>
        <w:t>9.</w:t>
      </w:r>
      <w:r w:rsidR="00F863E1" w:rsidRPr="00807837">
        <w:rPr>
          <w:rFonts w:ascii="Arial" w:hAnsi="Arial" w:cs="Arial"/>
          <w:sz w:val="20"/>
          <w:szCs w:val="20"/>
          <w:lang w:val="en-US"/>
        </w:rPr>
        <w:t>32</w:t>
      </w:r>
      <w:r w:rsidR="000402D9" w:rsidRPr="00807837">
        <w:rPr>
          <w:rFonts w:ascii="Arial" w:hAnsi="Arial" w:cs="Arial"/>
          <w:sz w:val="20"/>
          <w:szCs w:val="20"/>
          <w:lang w:val="en-US"/>
        </w:rPr>
        <w:tab/>
      </w:r>
      <w:r w:rsidR="001E143E" w:rsidRPr="00807837">
        <w:rPr>
          <w:rFonts w:ascii="Arial" w:hAnsi="Arial" w:cs="Arial"/>
          <w:sz w:val="20"/>
          <w:szCs w:val="20"/>
          <w:lang w:val="en-US"/>
        </w:rPr>
        <w:t>If going ahead with the merger, e</w:t>
      </w:r>
      <w:r w:rsidR="000402D9" w:rsidRPr="00807837">
        <w:rPr>
          <w:rFonts w:ascii="Arial" w:hAnsi="Arial" w:cs="Arial"/>
          <w:sz w:val="20"/>
          <w:szCs w:val="20"/>
          <w:lang w:val="en-US"/>
        </w:rPr>
        <w:t>nsure that the Board of the new merged Entity is properly constituted and dispatches its role efficiently and effectively.</w:t>
      </w:r>
    </w:p>
    <w:p w:rsidR="00EA27ED" w:rsidRPr="00807837" w:rsidRDefault="00EA27ED" w:rsidP="00807837">
      <w:pPr>
        <w:spacing w:after="0" w:line="240" w:lineRule="auto"/>
        <w:ind w:left="567" w:hanging="567"/>
        <w:rPr>
          <w:rFonts w:ascii="Arial" w:hAnsi="Arial" w:cs="Arial"/>
          <w:sz w:val="20"/>
          <w:szCs w:val="20"/>
          <w:lang w:val="en-US"/>
        </w:rPr>
      </w:pPr>
    </w:p>
    <w:p w:rsidR="00EA27ED" w:rsidRPr="00807837" w:rsidRDefault="005567D0" w:rsidP="00807837">
      <w:pPr>
        <w:spacing w:after="0" w:line="240" w:lineRule="auto"/>
        <w:ind w:left="567" w:hanging="567"/>
        <w:rPr>
          <w:rFonts w:ascii="Arial" w:hAnsi="Arial" w:cs="Arial"/>
          <w:sz w:val="20"/>
          <w:szCs w:val="20"/>
          <w:lang w:val="en-US"/>
        </w:rPr>
      </w:pPr>
      <w:r w:rsidRPr="00807837">
        <w:rPr>
          <w:rFonts w:ascii="Arial" w:hAnsi="Arial" w:cs="Arial"/>
          <w:sz w:val="20"/>
          <w:szCs w:val="20"/>
          <w:lang w:val="en-US"/>
        </w:rPr>
        <w:t>9.3</w:t>
      </w:r>
      <w:r w:rsidR="00F863E1" w:rsidRPr="00807837">
        <w:rPr>
          <w:rFonts w:ascii="Arial" w:hAnsi="Arial" w:cs="Arial"/>
          <w:sz w:val="20"/>
          <w:szCs w:val="20"/>
          <w:lang w:val="en-US"/>
        </w:rPr>
        <w:t>3</w:t>
      </w:r>
      <w:r w:rsidR="00EA27ED" w:rsidRPr="00807837">
        <w:rPr>
          <w:rFonts w:ascii="Arial" w:hAnsi="Arial" w:cs="Arial"/>
          <w:sz w:val="20"/>
          <w:szCs w:val="20"/>
          <w:lang w:val="en-US"/>
        </w:rPr>
        <w:tab/>
        <w:t>Ensure that the new Board of South African Tourism initiates and expedites the process of appointing the Chief Executive Officer for the Entity.</w:t>
      </w:r>
    </w:p>
    <w:p w:rsidR="0014246B" w:rsidRPr="00807837" w:rsidRDefault="0014246B" w:rsidP="00807837">
      <w:pPr>
        <w:spacing w:after="0" w:line="240" w:lineRule="auto"/>
        <w:ind w:left="567" w:hanging="567"/>
        <w:rPr>
          <w:rFonts w:ascii="Arial" w:hAnsi="Arial" w:cs="Arial"/>
          <w:sz w:val="20"/>
          <w:szCs w:val="20"/>
          <w:lang w:val="en-US"/>
        </w:rPr>
      </w:pPr>
    </w:p>
    <w:p w:rsidR="0014246B" w:rsidRPr="00807837" w:rsidRDefault="005567D0" w:rsidP="00807837">
      <w:pPr>
        <w:spacing w:after="0" w:line="240" w:lineRule="auto"/>
        <w:ind w:left="567" w:hanging="567"/>
        <w:rPr>
          <w:rFonts w:ascii="Arial" w:hAnsi="Arial" w:cs="Arial"/>
          <w:sz w:val="20"/>
          <w:szCs w:val="20"/>
          <w:lang w:val="en-US"/>
        </w:rPr>
      </w:pPr>
      <w:r w:rsidRPr="00807837">
        <w:rPr>
          <w:rFonts w:ascii="Arial" w:hAnsi="Arial" w:cs="Arial"/>
          <w:sz w:val="20"/>
          <w:szCs w:val="20"/>
          <w:lang w:val="en-US"/>
        </w:rPr>
        <w:t>9.3</w:t>
      </w:r>
      <w:r w:rsidR="00F863E1" w:rsidRPr="00807837">
        <w:rPr>
          <w:rFonts w:ascii="Arial" w:hAnsi="Arial" w:cs="Arial"/>
          <w:sz w:val="20"/>
          <w:szCs w:val="20"/>
          <w:lang w:val="en-US"/>
        </w:rPr>
        <w:t>4</w:t>
      </w:r>
      <w:r w:rsidR="0014246B" w:rsidRPr="00807837">
        <w:rPr>
          <w:rFonts w:ascii="Arial" w:hAnsi="Arial" w:cs="Arial"/>
          <w:sz w:val="20"/>
          <w:szCs w:val="20"/>
          <w:lang w:val="en-US"/>
        </w:rPr>
        <w:tab/>
        <w:t xml:space="preserve">Work with the Board of SA Tourism and the Tourism Business Council of South Africa to digitise the tourism sector in the country and ensure that the industry is on par with the world in terms of IT </w:t>
      </w:r>
      <w:r w:rsidRPr="00807837">
        <w:rPr>
          <w:rFonts w:ascii="Arial" w:hAnsi="Arial" w:cs="Arial"/>
          <w:sz w:val="20"/>
          <w:szCs w:val="20"/>
          <w:lang w:val="en-US"/>
        </w:rPr>
        <w:t>governance</w:t>
      </w:r>
      <w:r w:rsidR="0014246B" w:rsidRPr="00807837">
        <w:rPr>
          <w:rFonts w:ascii="Arial" w:hAnsi="Arial" w:cs="Arial"/>
          <w:sz w:val="20"/>
          <w:szCs w:val="20"/>
          <w:lang w:val="en-US"/>
        </w:rPr>
        <w:t xml:space="preserve"> and </w:t>
      </w:r>
      <w:r w:rsidR="006270D8" w:rsidRPr="00807837">
        <w:rPr>
          <w:rFonts w:ascii="Arial" w:hAnsi="Arial" w:cs="Arial"/>
          <w:sz w:val="20"/>
          <w:szCs w:val="20"/>
          <w:lang w:val="en-US"/>
        </w:rPr>
        <w:t xml:space="preserve">its </w:t>
      </w:r>
      <w:r w:rsidR="0014246B" w:rsidRPr="00807837">
        <w:rPr>
          <w:rFonts w:ascii="Arial" w:hAnsi="Arial" w:cs="Arial"/>
          <w:sz w:val="20"/>
          <w:szCs w:val="20"/>
          <w:lang w:val="en-US"/>
        </w:rPr>
        <w:t xml:space="preserve">application. </w:t>
      </w:r>
    </w:p>
    <w:p w:rsidR="006270D8" w:rsidRPr="00807837" w:rsidRDefault="006270D8" w:rsidP="00807837">
      <w:pPr>
        <w:spacing w:after="0" w:line="240" w:lineRule="auto"/>
        <w:ind w:left="567" w:hanging="567"/>
        <w:rPr>
          <w:rFonts w:ascii="Arial" w:hAnsi="Arial" w:cs="Arial"/>
          <w:sz w:val="20"/>
          <w:szCs w:val="20"/>
          <w:lang w:val="en-US"/>
        </w:rPr>
      </w:pPr>
    </w:p>
    <w:p w:rsidR="002A2C5C" w:rsidRPr="00807837" w:rsidRDefault="002A2C5C" w:rsidP="00807837">
      <w:pPr>
        <w:pStyle w:val="ListParagraph"/>
        <w:numPr>
          <w:ilvl w:val="0"/>
          <w:numId w:val="90"/>
        </w:numPr>
        <w:spacing w:after="0" w:line="240" w:lineRule="auto"/>
        <w:ind w:left="567" w:hanging="567"/>
        <w:rPr>
          <w:rFonts w:ascii="Arial" w:eastAsia="Calibri" w:hAnsi="Arial" w:cs="Arial"/>
          <w:b/>
          <w:sz w:val="20"/>
          <w:szCs w:val="20"/>
        </w:rPr>
      </w:pPr>
      <w:r w:rsidRPr="00807837">
        <w:rPr>
          <w:rFonts w:ascii="Arial" w:eastAsia="Calibri" w:hAnsi="Arial" w:cs="Arial"/>
          <w:b/>
          <w:sz w:val="20"/>
          <w:szCs w:val="20"/>
        </w:rPr>
        <w:t>CONCLUSION</w:t>
      </w:r>
    </w:p>
    <w:p w:rsidR="00173E3C" w:rsidRPr="00807837" w:rsidRDefault="00173E3C" w:rsidP="00807837">
      <w:pPr>
        <w:pStyle w:val="ListParagraph"/>
        <w:spacing w:after="0" w:line="240" w:lineRule="auto"/>
        <w:ind w:left="567"/>
        <w:rPr>
          <w:rFonts w:ascii="Arial" w:eastAsia="Calibri" w:hAnsi="Arial" w:cs="Arial"/>
          <w:b/>
          <w:sz w:val="20"/>
          <w:szCs w:val="20"/>
        </w:rPr>
      </w:pPr>
    </w:p>
    <w:p w:rsidR="00CF1F10" w:rsidRPr="00807837" w:rsidRDefault="00CF1F10" w:rsidP="00807837">
      <w:pPr>
        <w:spacing w:after="0" w:line="240" w:lineRule="auto"/>
        <w:rPr>
          <w:rFonts w:ascii="Arial" w:eastAsia="Calibri" w:hAnsi="Arial" w:cs="Arial"/>
          <w:sz w:val="20"/>
          <w:szCs w:val="20"/>
        </w:rPr>
      </w:pPr>
      <w:r w:rsidRPr="00807837">
        <w:rPr>
          <w:rFonts w:ascii="Arial" w:eastAsia="Calibri" w:hAnsi="Arial" w:cs="Arial"/>
          <w:sz w:val="20"/>
          <w:szCs w:val="20"/>
        </w:rPr>
        <w:t xml:space="preserve">This Budget Review and Recommendation </w:t>
      </w:r>
      <w:r w:rsidR="00C35365" w:rsidRPr="00807837">
        <w:rPr>
          <w:rFonts w:ascii="Arial" w:eastAsia="Calibri" w:hAnsi="Arial" w:cs="Arial"/>
          <w:sz w:val="20"/>
          <w:szCs w:val="20"/>
        </w:rPr>
        <w:t>Report</w:t>
      </w:r>
      <w:r w:rsidRPr="00807837">
        <w:rPr>
          <w:rFonts w:ascii="Arial" w:eastAsia="Calibri" w:hAnsi="Arial" w:cs="Arial"/>
          <w:sz w:val="20"/>
          <w:szCs w:val="20"/>
        </w:rPr>
        <w:t xml:space="preserve"> has been compiled taking all the factors in the national </w:t>
      </w:r>
      <w:r w:rsidR="00C35365" w:rsidRPr="00807837">
        <w:rPr>
          <w:rFonts w:ascii="Arial" w:eastAsia="Calibri" w:hAnsi="Arial" w:cs="Arial"/>
          <w:sz w:val="20"/>
          <w:szCs w:val="20"/>
        </w:rPr>
        <w:t>fiscus</w:t>
      </w:r>
      <w:r w:rsidRPr="00807837">
        <w:rPr>
          <w:rFonts w:ascii="Arial" w:eastAsia="Calibri" w:hAnsi="Arial" w:cs="Arial"/>
          <w:sz w:val="20"/>
          <w:szCs w:val="20"/>
        </w:rPr>
        <w:t xml:space="preserve"> and the service delivery environment in which the Department of Tourism and SA Tourism pursue their respective mandate. The report ack</w:t>
      </w:r>
      <w:r w:rsidR="00C35365" w:rsidRPr="00807837">
        <w:rPr>
          <w:rFonts w:ascii="Arial" w:eastAsia="Calibri" w:hAnsi="Arial" w:cs="Arial"/>
          <w:sz w:val="20"/>
          <w:szCs w:val="20"/>
        </w:rPr>
        <w:t>no</w:t>
      </w:r>
      <w:r w:rsidRPr="00807837">
        <w:rPr>
          <w:rFonts w:ascii="Arial" w:eastAsia="Calibri" w:hAnsi="Arial" w:cs="Arial"/>
          <w:sz w:val="20"/>
          <w:szCs w:val="20"/>
        </w:rPr>
        <w:t xml:space="preserve">wledges that the 2021/22 financial was not an easy year for the tourism </w:t>
      </w:r>
      <w:r w:rsidR="00234F2E" w:rsidRPr="00807837">
        <w:rPr>
          <w:rFonts w:ascii="Arial" w:eastAsia="Calibri" w:hAnsi="Arial" w:cs="Arial"/>
          <w:sz w:val="20"/>
          <w:szCs w:val="20"/>
        </w:rPr>
        <w:t xml:space="preserve">sector </w:t>
      </w:r>
      <w:r w:rsidRPr="00807837">
        <w:rPr>
          <w:rFonts w:ascii="Arial" w:eastAsia="Calibri" w:hAnsi="Arial" w:cs="Arial"/>
          <w:sz w:val="20"/>
          <w:szCs w:val="20"/>
        </w:rPr>
        <w:t xml:space="preserve">as the effects of the COVID-19 pandemic are still </w:t>
      </w:r>
      <w:r w:rsidR="00C35365" w:rsidRPr="00807837">
        <w:rPr>
          <w:rFonts w:ascii="Arial" w:eastAsia="Calibri" w:hAnsi="Arial" w:cs="Arial"/>
          <w:sz w:val="20"/>
          <w:szCs w:val="20"/>
        </w:rPr>
        <w:t>lingering</w:t>
      </w:r>
      <w:r w:rsidRPr="00807837">
        <w:rPr>
          <w:rFonts w:ascii="Arial" w:eastAsia="Calibri" w:hAnsi="Arial" w:cs="Arial"/>
          <w:sz w:val="20"/>
          <w:szCs w:val="20"/>
        </w:rPr>
        <w:t xml:space="preserve"> in the sector. </w:t>
      </w:r>
    </w:p>
    <w:p w:rsidR="00CF1F10" w:rsidRPr="00807837" w:rsidRDefault="00CF1F10" w:rsidP="00807837">
      <w:pPr>
        <w:spacing w:after="0" w:line="240" w:lineRule="auto"/>
        <w:rPr>
          <w:rFonts w:ascii="Arial" w:eastAsia="Calibri" w:hAnsi="Arial" w:cs="Arial"/>
          <w:sz w:val="20"/>
          <w:szCs w:val="20"/>
        </w:rPr>
      </w:pPr>
      <w:r w:rsidRPr="00807837">
        <w:rPr>
          <w:rFonts w:ascii="Arial" w:eastAsia="Calibri" w:hAnsi="Arial" w:cs="Arial"/>
          <w:sz w:val="20"/>
          <w:szCs w:val="20"/>
        </w:rPr>
        <w:t xml:space="preserve">The efforts of the Department to transform the sector were still </w:t>
      </w:r>
      <w:r w:rsidR="00C35365" w:rsidRPr="00807837">
        <w:rPr>
          <w:rFonts w:ascii="Arial" w:eastAsia="Calibri" w:hAnsi="Arial" w:cs="Arial"/>
          <w:sz w:val="20"/>
          <w:szCs w:val="20"/>
        </w:rPr>
        <w:t>hum strung</w:t>
      </w:r>
      <w:r w:rsidRPr="00807837">
        <w:rPr>
          <w:rFonts w:ascii="Arial" w:eastAsia="Calibri" w:hAnsi="Arial" w:cs="Arial"/>
          <w:sz w:val="20"/>
          <w:szCs w:val="20"/>
        </w:rPr>
        <w:t xml:space="preserve"> by the court interdict on the implementation of the Tourism Equity Fund. This has meant that the major transformation programmes were halted and the impact of the interdict widely felt both by the Department and the sector at large. The</w:t>
      </w:r>
      <w:r w:rsidR="00C35365" w:rsidRPr="00807837">
        <w:rPr>
          <w:rFonts w:ascii="Arial" w:eastAsia="Calibri" w:hAnsi="Arial" w:cs="Arial"/>
          <w:sz w:val="20"/>
          <w:szCs w:val="20"/>
        </w:rPr>
        <w:t xml:space="preserve"> brilliant</w:t>
      </w:r>
      <w:r w:rsidRPr="00807837">
        <w:rPr>
          <w:rFonts w:ascii="Arial" w:eastAsia="Calibri" w:hAnsi="Arial" w:cs="Arial"/>
          <w:sz w:val="20"/>
          <w:szCs w:val="20"/>
        </w:rPr>
        <w:t xml:space="preserve"> thinking by the </w:t>
      </w:r>
      <w:r w:rsidR="00C35365" w:rsidRPr="00807837">
        <w:rPr>
          <w:rFonts w:ascii="Arial" w:eastAsia="Calibri" w:hAnsi="Arial" w:cs="Arial"/>
          <w:sz w:val="20"/>
          <w:szCs w:val="20"/>
        </w:rPr>
        <w:t>Department</w:t>
      </w:r>
      <w:r w:rsidRPr="00807837">
        <w:rPr>
          <w:rFonts w:ascii="Arial" w:eastAsia="Calibri" w:hAnsi="Arial" w:cs="Arial"/>
          <w:sz w:val="20"/>
          <w:szCs w:val="20"/>
        </w:rPr>
        <w:t xml:space="preserve"> to capitalise the fund whilst awaiting the resolution of the matter is seen as a creative initiative that will allow </w:t>
      </w:r>
      <w:r w:rsidR="00C35365" w:rsidRPr="00807837">
        <w:rPr>
          <w:rFonts w:ascii="Arial" w:eastAsia="Calibri" w:hAnsi="Arial" w:cs="Arial"/>
          <w:sz w:val="20"/>
          <w:szCs w:val="20"/>
        </w:rPr>
        <w:t>smooth</w:t>
      </w:r>
      <w:r w:rsidRPr="00807837">
        <w:rPr>
          <w:rFonts w:ascii="Arial" w:eastAsia="Calibri" w:hAnsi="Arial" w:cs="Arial"/>
          <w:sz w:val="20"/>
          <w:szCs w:val="20"/>
        </w:rPr>
        <w:t xml:space="preserve"> implementation once the court </w:t>
      </w:r>
      <w:r w:rsidR="00C35365" w:rsidRPr="00807837">
        <w:rPr>
          <w:rFonts w:ascii="Arial" w:eastAsia="Calibri" w:hAnsi="Arial" w:cs="Arial"/>
          <w:sz w:val="20"/>
          <w:szCs w:val="20"/>
        </w:rPr>
        <w:t>interdict</w:t>
      </w:r>
      <w:r w:rsidRPr="00807837">
        <w:rPr>
          <w:rFonts w:ascii="Arial" w:eastAsia="Calibri" w:hAnsi="Arial" w:cs="Arial"/>
          <w:sz w:val="20"/>
          <w:szCs w:val="20"/>
        </w:rPr>
        <w:t xml:space="preserve"> has been lifted.</w:t>
      </w:r>
    </w:p>
    <w:p w:rsidR="003421D0" w:rsidRPr="00807837" w:rsidRDefault="00CF1F10" w:rsidP="00807837">
      <w:pPr>
        <w:spacing w:after="0" w:line="240" w:lineRule="auto"/>
        <w:rPr>
          <w:rFonts w:ascii="Arial" w:eastAsia="Calibri" w:hAnsi="Arial" w:cs="Arial"/>
          <w:sz w:val="20"/>
          <w:szCs w:val="20"/>
        </w:rPr>
      </w:pPr>
      <w:r w:rsidRPr="00807837">
        <w:rPr>
          <w:rFonts w:ascii="Arial" w:eastAsia="Calibri" w:hAnsi="Arial" w:cs="Arial"/>
          <w:sz w:val="20"/>
          <w:szCs w:val="20"/>
        </w:rPr>
        <w:t xml:space="preserve">The performance of the Department remained </w:t>
      </w:r>
      <w:r w:rsidR="00C35365" w:rsidRPr="00807837">
        <w:rPr>
          <w:rFonts w:ascii="Arial" w:eastAsia="Calibri" w:hAnsi="Arial" w:cs="Arial"/>
          <w:sz w:val="20"/>
          <w:szCs w:val="20"/>
        </w:rPr>
        <w:t>unchanged</w:t>
      </w:r>
      <w:r w:rsidRPr="00807837">
        <w:rPr>
          <w:rFonts w:ascii="Arial" w:eastAsia="Calibri" w:hAnsi="Arial" w:cs="Arial"/>
          <w:sz w:val="20"/>
          <w:szCs w:val="20"/>
        </w:rPr>
        <w:t xml:space="preserve"> on both financial management and audit opinion by the Auditor-General whilst SA Tourism had an improvement </w:t>
      </w:r>
      <w:r w:rsidR="00C35365" w:rsidRPr="00807837">
        <w:rPr>
          <w:rFonts w:ascii="Arial" w:eastAsia="Calibri" w:hAnsi="Arial" w:cs="Arial"/>
          <w:sz w:val="20"/>
          <w:szCs w:val="20"/>
        </w:rPr>
        <w:t>from a</w:t>
      </w:r>
      <w:r w:rsidRPr="00807837">
        <w:rPr>
          <w:rFonts w:ascii="Arial" w:eastAsia="Calibri" w:hAnsi="Arial" w:cs="Arial"/>
          <w:sz w:val="20"/>
          <w:szCs w:val="20"/>
        </w:rPr>
        <w:t xml:space="preserve"> qualified audit to </w:t>
      </w:r>
      <w:r w:rsidR="00F4745C" w:rsidRPr="00807837">
        <w:rPr>
          <w:rFonts w:ascii="Arial" w:eastAsia="Calibri" w:hAnsi="Arial" w:cs="Arial"/>
          <w:sz w:val="20"/>
          <w:szCs w:val="20"/>
        </w:rPr>
        <w:t xml:space="preserve">an </w:t>
      </w:r>
      <w:r w:rsidRPr="00807837">
        <w:rPr>
          <w:rFonts w:ascii="Arial" w:eastAsia="Calibri" w:hAnsi="Arial" w:cs="Arial"/>
          <w:sz w:val="20"/>
          <w:szCs w:val="20"/>
        </w:rPr>
        <w:t xml:space="preserve">unqualified audit with findings. There is still a lot of work to be done by both the Department and the Entity to improve on the financial and non-financial performance. The </w:t>
      </w:r>
      <w:r w:rsidR="003421D0" w:rsidRPr="00807837">
        <w:rPr>
          <w:rFonts w:ascii="Arial" w:eastAsia="Calibri" w:hAnsi="Arial" w:cs="Arial"/>
          <w:sz w:val="20"/>
          <w:szCs w:val="20"/>
        </w:rPr>
        <w:t>continua</w:t>
      </w:r>
      <w:r w:rsidR="00C35365" w:rsidRPr="00807837">
        <w:rPr>
          <w:rFonts w:ascii="Arial" w:eastAsia="Calibri" w:hAnsi="Arial" w:cs="Arial"/>
          <w:sz w:val="20"/>
          <w:szCs w:val="20"/>
        </w:rPr>
        <w:t>tion of the non-implementation of progr</w:t>
      </w:r>
      <w:r w:rsidR="003421D0" w:rsidRPr="00807837">
        <w:rPr>
          <w:rFonts w:ascii="Arial" w:eastAsia="Calibri" w:hAnsi="Arial" w:cs="Arial"/>
          <w:sz w:val="20"/>
          <w:szCs w:val="20"/>
        </w:rPr>
        <w:t>ammes and projects due to Supply Chain Management issues remains unacceptable and the Minister is urged to seriously deal with the non-</w:t>
      </w:r>
      <w:r w:rsidR="00C35365" w:rsidRPr="00807837">
        <w:rPr>
          <w:rFonts w:ascii="Arial" w:eastAsia="Calibri" w:hAnsi="Arial" w:cs="Arial"/>
          <w:sz w:val="20"/>
          <w:szCs w:val="20"/>
        </w:rPr>
        <w:t>implementation</w:t>
      </w:r>
      <w:r w:rsidR="003421D0" w:rsidRPr="00807837">
        <w:rPr>
          <w:rFonts w:ascii="Arial" w:eastAsia="Calibri" w:hAnsi="Arial" w:cs="Arial"/>
          <w:sz w:val="20"/>
          <w:szCs w:val="20"/>
        </w:rPr>
        <w:t xml:space="preserve"> of the Annual </w:t>
      </w:r>
      <w:r w:rsidR="00C35365" w:rsidRPr="00807837">
        <w:rPr>
          <w:rFonts w:ascii="Arial" w:eastAsia="Calibri" w:hAnsi="Arial" w:cs="Arial"/>
          <w:sz w:val="20"/>
          <w:szCs w:val="20"/>
        </w:rPr>
        <w:t>Performance</w:t>
      </w:r>
      <w:r w:rsidR="003421D0" w:rsidRPr="00807837">
        <w:rPr>
          <w:rFonts w:ascii="Arial" w:eastAsia="Calibri" w:hAnsi="Arial" w:cs="Arial"/>
          <w:sz w:val="20"/>
          <w:szCs w:val="20"/>
        </w:rPr>
        <w:t xml:space="preserve"> Plan.</w:t>
      </w:r>
    </w:p>
    <w:p w:rsidR="00CF1F10" w:rsidRPr="00807837" w:rsidRDefault="003421D0" w:rsidP="00807837">
      <w:pPr>
        <w:spacing w:after="0" w:line="240" w:lineRule="auto"/>
        <w:rPr>
          <w:rFonts w:ascii="Arial" w:eastAsia="Calibri" w:hAnsi="Arial" w:cs="Arial"/>
          <w:sz w:val="20"/>
          <w:szCs w:val="20"/>
        </w:rPr>
      </w:pPr>
      <w:r w:rsidRPr="00807837">
        <w:rPr>
          <w:rFonts w:ascii="Arial" w:eastAsia="Calibri" w:hAnsi="Arial" w:cs="Arial"/>
          <w:sz w:val="20"/>
          <w:szCs w:val="20"/>
        </w:rPr>
        <w:t xml:space="preserve">The issue of safety and security also </w:t>
      </w:r>
      <w:r w:rsidR="00C35365" w:rsidRPr="00807837">
        <w:rPr>
          <w:rFonts w:ascii="Arial" w:eastAsia="Calibri" w:hAnsi="Arial" w:cs="Arial"/>
          <w:sz w:val="20"/>
          <w:szCs w:val="20"/>
        </w:rPr>
        <w:t>remains a serious challenge in th</w:t>
      </w:r>
      <w:r w:rsidRPr="00807837">
        <w:rPr>
          <w:rFonts w:ascii="Arial" w:eastAsia="Calibri" w:hAnsi="Arial" w:cs="Arial"/>
          <w:sz w:val="20"/>
          <w:szCs w:val="20"/>
        </w:rPr>
        <w:t>e</w:t>
      </w:r>
      <w:r w:rsidR="00C35365" w:rsidRPr="00807837">
        <w:rPr>
          <w:rFonts w:ascii="Arial" w:eastAsia="Calibri" w:hAnsi="Arial" w:cs="Arial"/>
          <w:sz w:val="20"/>
          <w:szCs w:val="20"/>
        </w:rPr>
        <w:t xml:space="preserve"> </w:t>
      </w:r>
      <w:r w:rsidRPr="00807837">
        <w:rPr>
          <w:rFonts w:ascii="Arial" w:eastAsia="Calibri" w:hAnsi="Arial" w:cs="Arial"/>
          <w:sz w:val="20"/>
          <w:szCs w:val="20"/>
        </w:rPr>
        <w:t xml:space="preserve">sector. Dealing with this matter needs a collective effort of various government departments, the private sector and communities. </w:t>
      </w:r>
      <w:r w:rsidR="00CF1F10" w:rsidRPr="00807837">
        <w:rPr>
          <w:rFonts w:ascii="Arial" w:eastAsia="Calibri" w:hAnsi="Arial" w:cs="Arial"/>
          <w:sz w:val="20"/>
          <w:szCs w:val="20"/>
        </w:rPr>
        <w:t xml:space="preserve"> </w:t>
      </w:r>
      <w:r w:rsidRPr="00807837">
        <w:rPr>
          <w:rFonts w:ascii="Arial" w:eastAsia="Calibri" w:hAnsi="Arial" w:cs="Arial"/>
          <w:sz w:val="20"/>
          <w:szCs w:val="20"/>
        </w:rPr>
        <w:t xml:space="preserve">The image of the country is already tarnished, and the destination cannot afford to </w:t>
      </w:r>
      <w:r w:rsidR="00C35365" w:rsidRPr="00807837">
        <w:rPr>
          <w:rFonts w:ascii="Arial" w:eastAsia="Calibri" w:hAnsi="Arial" w:cs="Arial"/>
          <w:sz w:val="20"/>
          <w:szCs w:val="20"/>
        </w:rPr>
        <w:t>lose</w:t>
      </w:r>
      <w:r w:rsidRPr="00807837">
        <w:rPr>
          <w:rFonts w:ascii="Arial" w:eastAsia="Calibri" w:hAnsi="Arial" w:cs="Arial"/>
          <w:sz w:val="20"/>
          <w:szCs w:val="20"/>
        </w:rPr>
        <w:t xml:space="preserve"> more brand image due to crime in the country. The Committee will continue monitoring the implementation of the Audit Action Plans for the Department and SA Tourism to improve on the audit findings made by the Audi</w:t>
      </w:r>
      <w:r w:rsidR="00C35365" w:rsidRPr="00807837">
        <w:rPr>
          <w:rFonts w:ascii="Arial" w:eastAsia="Calibri" w:hAnsi="Arial" w:cs="Arial"/>
          <w:sz w:val="20"/>
          <w:szCs w:val="20"/>
        </w:rPr>
        <w:t>to</w:t>
      </w:r>
      <w:r w:rsidRPr="00807837">
        <w:rPr>
          <w:rFonts w:ascii="Arial" w:eastAsia="Calibri" w:hAnsi="Arial" w:cs="Arial"/>
          <w:sz w:val="20"/>
          <w:szCs w:val="20"/>
        </w:rPr>
        <w:t>r-General.</w:t>
      </w:r>
    </w:p>
    <w:p w:rsidR="00447AC6" w:rsidRPr="00807837" w:rsidRDefault="00447AC6" w:rsidP="00807837">
      <w:pPr>
        <w:spacing w:after="0" w:line="240" w:lineRule="auto"/>
        <w:rPr>
          <w:rFonts w:ascii="Arial" w:eastAsia="Calibri" w:hAnsi="Arial" w:cs="Arial"/>
          <w:sz w:val="20"/>
          <w:szCs w:val="20"/>
        </w:rPr>
      </w:pPr>
    </w:p>
    <w:p w:rsidR="00EF4BBB" w:rsidRPr="00807837" w:rsidRDefault="00EA2BDE" w:rsidP="00807837">
      <w:pPr>
        <w:spacing w:after="0" w:line="240" w:lineRule="auto"/>
        <w:rPr>
          <w:rFonts w:ascii="Arial" w:eastAsia="Calibri" w:hAnsi="Arial" w:cs="Arial"/>
          <w:b/>
          <w:sz w:val="20"/>
          <w:szCs w:val="20"/>
        </w:rPr>
      </w:pPr>
      <w:r w:rsidRPr="00807837">
        <w:rPr>
          <w:rFonts w:ascii="Arial" w:eastAsia="Calibri" w:hAnsi="Arial" w:cs="Arial"/>
          <w:b/>
          <w:sz w:val="20"/>
          <w:szCs w:val="20"/>
        </w:rPr>
        <w:t>Report to be considered</w:t>
      </w:r>
      <w:r w:rsidR="00124D7B" w:rsidRPr="00807837">
        <w:rPr>
          <w:rFonts w:ascii="Arial" w:eastAsia="Calibri" w:hAnsi="Arial" w:cs="Arial"/>
          <w:b/>
          <w:sz w:val="20"/>
          <w:szCs w:val="20"/>
        </w:rPr>
        <w:t>.</w:t>
      </w:r>
    </w:p>
    <w:p w:rsidR="00EF4BBB" w:rsidRPr="00807837" w:rsidRDefault="00EF4BBB" w:rsidP="00807837">
      <w:pPr>
        <w:spacing w:after="0" w:line="240" w:lineRule="auto"/>
        <w:rPr>
          <w:rFonts w:ascii="Arial" w:eastAsia="Calibri" w:hAnsi="Arial" w:cs="Arial"/>
          <w:sz w:val="20"/>
          <w:szCs w:val="20"/>
        </w:rPr>
      </w:pPr>
    </w:p>
    <w:p w:rsidR="00EF4BBB" w:rsidRPr="00807837" w:rsidRDefault="00EF4BBB" w:rsidP="00807837">
      <w:pPr>
        <w:spacing w:after="0" w:line="240" w:lineRule="auto"/>
        <w:rPr>
          <w:rFonts w:ascii="Arial" w:eastAsia="Calibri" w:hAnsi="Arial" w:cs="Arial"/>
          <w:color w:val="FF0000"/>
          <w:sz w:val="20"/>
          <w:szCs w:val="20"/>
        </w:rPr>
      </w:pPr>
    </w:p>
    <w:sectPr w:rsidR="00EF4BBB" w:rsidRPr="00807837" w:rsidSect="00570F5D">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8EB" w:rsidRDefault="002318EB" w:rsidP="00E2146A">
      <w:pPr>
        <w:spacing w:after="0" w:line="240" w:lineRule="auto"/>
      </w:pPr>
      <w:r>
        <w:separator/>
      </w:r>
    </w:p>
  </w:endnote>
  <w:endnote w:type="continuationSeparator" w:id="0">
    <w:p w:rsidR="002318EB" w:rsidRDefault="002318EB" w:rsidP="00E21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135417"/>
      <w:docPartObj>
        <w:docPartGallery w:val="Page Numbers (Bottom of Page)"/>
        <w:docPartUnique/>
      </w:docPartObj>
    </w:sdtPr>
    <w:sdtEndPr>
      <w:rPr>
        <w:noProof/>
      </w:rPr>
    </w:sdtEndPr>
    <w:sdtContent>
      <w:p w:rsidR="005D58F1" w:rsidRDefault="00570F5D">
        <w:pPr>
          <w:pStyle w:val="Footer"/>
          <w:jc w:val="right"/>
        </w:pPr>
        <w:r>
          <w:fldChar w:fldCharType="begin"/>
        </w:r>
        <w:r w:rsidR="005D58F1">
          <w:instrText xml:space="preserve"> PAGE   \* MERGEFORMAT </w:instrText>
        </w:r>
        <w:r>
          <w:fldChar w:fldCharType="separate"/>
        </w:r>
        <w:r w:rsidR="00807837">
          <w:rPr>
            <w:noProof/>
          </w:rPr>
          <w:t>1</w:t>
        </w:r>
        <w:r>
          <w:rPr>
            <w:noProof/>
          </w:rPr>
          <w:fldChar w:fldCharType="end"/>
        </w:r>
      </w:p>
    </w:sdtContent>
  </w:sdt>
  <w:p w:rsidR="005D58F1" w:rsidRDefault="005D58F1">
    <w:pPr>
      <w:pStyle w:val="Footer"/>
    </w:pPr>
  </w:p>
  <w:p w:rsidR="005D58F1" w:rsidRDefault="005D58F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8EB" w:rsidRDefault="002318EB" w:rsidP="00E2146A">
      <w:pPr>
        <w:spacing w:after="0" w:line="240" w:lineRule="auto"/>
      </w:pPr>
      <w:r>
        <w:separator/>
      </w:r>
    </w:p>
  </w:footnote>
  <w:footnote w:type="continuationSeparator" w:id="0">
    <w:p w:rsidR="002318EB" w:rsidRDefault="002318EB" w:rsidP="00E214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7D15"/>
    <w:multiLevelType w:val="multilevel"/>
    <w:tmpl w:val="AE0ED22A"/>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BE48CC"/>
    <w:multiLevelType w:val="multilevel"/>
    <w:tmpl w:val="AB7E8342"/>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A66AD"/>
    <w:multiLevelType w:val="hybridMultilevel"/>
    <w:tmpl w:val="8D98AC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A5E5D24"/>
    <w:multiLevelType w:val="hybridMultilevel"/>
    <w:tmpl w:val="E886EA2A"/>
    <w:lvl w:ilvl="0" w:tplc="8E02708C">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DA52C99"/>
    <w:multiLevelType w:val="hybridMultilevel"/>
    <w:tmpl w:val="C310B838"/>
    <w:lvl w:ilvl="0" w:tplc="1C090001">
      <w:start w:val="1"/>
      <w:numFmt w:val="bullet"/>
      <w:lvlText w:val=""/>
      <w:lvlJc w:val="left"/>
      <w:pPr>
        <w:tabs>
          <w:tab w:val="num" w:pos="360"/>
        </w:tabs>
        <w:ind w:left="360" w:hanging="360"/>
      </w:pPr>
      <w:rPr>
        <w:rFonts w:ascii="Symbol" w:hAnsi="Symbol" w:hint="default"/>
      </w:rPr>
    </w:lvl>
    <w:lvl w:ilvl="1" w:tplc="5E0EDC28">
      <w:start w:val="1"/>
      <w:numFmt w:val="bullet"/>
      <w:lvlText w:val="–"/>
      <w:lvlJc w:val="left"/>
      <w:pPr>
        <w:tabs>
          <w:tab w:val="num" w:pos="1080"/>
        </w:tabs>
        <w:ind w:left="1080" w:hanging="360"/>
      </w:pPr>
      <w:rPr>
        <w:rFonts w:ascii="Arial" w:hAnsi="Arial" w:hint="default"/>
      </w:rPr>
    </w:lvl>
    <w:lvl w:ilvl="2" w:tplc="93FCD59C" w:tentative="1">
      <w:start w:val="1"/>
      <w:numFmt w:val="bullet"/>
      <w:lvlText w:val="–"/>
      <w:lvlJc w:val="left"/>
      <w:pPr>
        <w:tabs>
          <w:tab w:val="num" w:pos="1800"/>
        </w:tabs>
        <w:ind w:left="1800" w:hanging="360"/>
      </w:pPr>
      <w:rPr>
        <w:rFonts w:ascii="Arial" w:hAnsi="Arial" w:hint="default"/>
      </w:rPr>
    </w:lvl>
    <w:lvl w:ilvl="3" w:tplc="3DAC6BBE" w:tentative="1">
      <w:start w:val="1"/>
      <w:numFmt w:val="bullet"/>
      <w:lvlText w:val="–"/>
      <w:lvlJc w:val="left"/>
      <w:pPr>
        <w:tabs>
          <w:tab w:val="num" w:pos="2520"/>
        </w:tabs>
        <w:ind w:left="2520" w:hanging="360"/>
      </w:pPr>
      <w:rPr>
        <w:rFonts w:ascii="Arial" w:hAnsi="Arial" w:hint="default"/>
      </w:rPr>
    </w:lvl>
    <w:lvl w:ilvl="4" w:tplc="D56E6536" w:tentative="1">
      <w:start w:val="1"/>
      <w:numFmt w:val="bullet"/>
      <w:lvlText w:val="–"/>
      <w:lvlJc w:val="left"/>
      <w:pPr>
        <w:tabs>
          <w:tab w:val="num" w:pos="3240"/>
        </w:tabs>
        <w:ind w:left="3240" w:hanging="360"/>
      </w:pPr>
      <w:rPr>
        <w:rFonts w:ascii="Arial" w:hAnsi="Arial" w:hint="default"/>
      </w:rPr>
    </w:lvl>
    <w:lvl w:ilvl="5" w:tplc="36C46DB4" w:tentative="1">
      <w:start w:val="1"/>
      <w:numFmt w:val="bullet"/>
      <w:lvlText w:val="–"/>
      <w:lvlJc w:val="left"/>
      <w:pPr>
        <w:tabs>
          <w:tab w:val="num" w:pos="3960"/>
        </w:tabs>
        <w:ind w:left="3960" w:hanging="360"/>
      </w:pPr>
      <w:rPr>
        <w:rFonts w:ascii="Arial" w:hAnsi="Arial" w:hint="default"/>
      </w:rPr>
    </w:lvl>
    <w:lvl w:ilvl="6" w:tplc="0C4ABDE6" w:tentative="1">
      <w:start w:val="1"/>
      <w:numFmt w:val="bullet"/>
      <w:lvlText w:val="–"/>
      <w:lvlJc w:val="left"/>
      <w:pPr>
        <w:tabs>
          <w:tab w:val="num" w:pos="4680"/>
        </w:tabs>
        <w:ind w:left="4680" w:hanging="360"/>
      </w:pPr>
      <w:rPr>
        <w:rFonts w:ascii="Arial" w:hAnsi="Arial" w:hint="default"/>
      </w:rPr>
    </w:lvl>
    <w:lvl w:ilvl="7" w:tplc="CFDCB900" w:tentative="1">
      <w:start w:val="1"/>
      <w:numFmt w:val="bullet"/>
      <w:lvlText w:val="–"/>
      <w:lvlJc w:val="left"/>
      <w:pPr>
        <w:tabs>
          <w:tab w:val="num" w:pos="5400"/>
        </w:tabs>
        <w:ind w:left="5400" w:hanging="360"/>
      </w:pPr>
      <w:rPr>
        <w:rFonts w:ascii="Arial" w:hAnsi="Arial" w:hint="default"/>
      </w:rPr>
    </w:lvl>
    <w:lvl w:ilvl="8" w:tplc="B17A1F88" w:tentative="1">
      <w:start w:val="1"/>
      <w:numFmt w:val="bullet"/>
      <w:lvlText w:val="–"/>
      <w:lvlJc w:val="left"/>
      <w:pPr>
        <w:tabs>
          <w:tab w:val="num" w:pos="6120"/>
        </w:tabs>
        <w:ind w:left="6120" w:hanging="360"/>
      </w:pPr>
      <w:rPr>
        <w:rFonts w:ascii="Arial" w:hAnsi="Arial" w:hint="default"/>
      </w:rPr>
    </w:lvl>
  </w:abstractNum>
  <w:abstractNum w:abstractNumId="5">
    <w:nsid w:val="0EAC7EC9"/>
    <w:multiLevelType w:val="hybridMultilevel"/>
    <w:tmpl w:val="980A4D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EC67991"/>
    <w:multiLevelType w:val="hybridMultilevel"/>
    <w:tmpl w:val="BF78E2A6"/>
    <w:lvl w:ilvl="0" w:tplc="F724B0C4">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75374E3"/>
    <w:multiLevelType w:val="hybridMultilevel"/>
    <w:tmpl w:val="D3CCF5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DFC7CEA"/>
    <w:multiLevelType w:val="multilevel"/>
    <w:tmpl w:val="CB0C2F9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7D76DE"/>
    <w:multiLevelType w:val="multilevel"/>
    <w:tmpl w:val="FF62DC8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11037A"/>
    <w:multiLevelType w:val="multilevel"/>
    <w:tmpl w:val="2BD26CA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E96CE4"/>
    <w:multiLevelType w:val="hybridMultilevel"/>
    <w:tmpl w:val="83BAD53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6DA41EE"/>
    <w:multiLevelType w:val="hybridMultilevel"/>
    <w:tmpl w:val="2702058C"/>
    <w:lvl w:ilvl="0" w:tplc="F724B0C4">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70C20FD"/>
    <w:multiLevelType w:val="hybridMultilevel"/>
    <w:tmpl w:val="851E553A"/>
    <w:lvl w:ilvl="0" w:tplc="F83A95C8">
      <w:numFmt w:val="bullet"/>
      <w:lvlText w:val="-"/>
      <w:lvlJc w:val="left"/>
      <w:pPr>
        <w:ind w:left="720" w:hanging="360"/>
      </w:pPr>
      <w:rPr>
        <w:rFonts w:ascii="Arial" w:eastAsiaTheme="minorHAnsi" w:hAnsi="Arial" w:cs="Arial" w:hint="default"/>
        <w:color w:val="auto"/>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8032D06"/>
    <w:multiLevelType w:val="hybridMultilevel"/>
    <w:tmpl w:val="E8D03AF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A972DA2"/>
    <w:multiLevelType w:val="hybridMultilevel"/>
    <w:tmpl w:val="A3EAD3A0"/>
    <w:lvl w:ilvl="0" w:tplc="F724B0C4">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C265E2A"/>
    <w:multiLevelType w:val="multilevel"/>
    <w:tmpl w:val="95F66D22"/>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C6D0F93"/>
    <w:multiLevelType w:val="hybridMultilevel"/>
    <w:tmpl w:val="A51CB756"/>
    <w:lvl w:ilvl="0" w:tplc="D312D052">
      <w:numFmt w:val="bullet"/>
      <w:lvlText w:val="•"/>
      <w:lvlJc w:val="left"/>
      <w:pPr>
        <w:ind w:left="720" w:hanging="360"/>
      </w:pPr>
      <w:rPr>
        <w:rFonts w:ascii="Times New Roman" w:eastAsiaTheme="minorHAnsi" w:hAnsi="Times New Roman" w:cs="Times New Roman" w:hint="default"/>
        <w:color w:val="auto"/>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DDE4D1C"/>
    <w:multiLevelType w:val="hybridMultilevel"/>
    <w:tmpl w:val="DF9C1886"/>
    <w:lvl w:ilvl="0" w:tplc="313C15A0">
      <w:numFmt w:val="bullet"/>
      <w:lvlText w:val="•"/>
      <w:lvlJc w:val="left"/>
      <w:pPr>
        <w:ind w:left="720" w:hanging="360"/>
      </w:pPr>
      <w:rPr>
        <w:rFonts w:ascii="Arial" w:eastAsia="Calibri" w:hAnsi="Arial" w:cs="Aria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EA65773"/>
    <w:multiLevelType w:val="multilevel"/>
    <w:tmpl w:val="3282056A"/>
    <w:lvl w:ilvl="0">
      <w:start w:val="2"/>
      <w:numFmt w:val="decimal"/>
      <w:lvlText w:val="%1."/>
      <w:lvlJc w:val="left"/>
      <w:pPr>
        <w:ind w:left="502"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nsid w:val="31E31EDD"/>
    <w:multiLevelType w:val="multilevel"/>
    <w:tmpl w:val="83889E84"/>
    <w:lvl w:ilvl="0">
      <w:start w:val="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FC3A68"/>
    <w:multiLevelType w:val="multilevel"/>
    <w:tmpl w:val="B06EE3F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42F356D"/>
    <w:multiLevelType w:val="hybridMultilevel"/>
    <w:tmpl w:val="A55A014C"/>
    <w:lvl w:ilvl="0" w:tplc="8E02708C">
      <w:numFmt w:val="bullet"/>
      <w:lvlText w:val="•"/>
      <w:lvlJc w:val="left"/>
      <w:pPr>
        <w:ind w:left="720" w:hanging="360"/>
      </w:pPr>
      <w:rPr>
        <w:rFonts w:ascii="Arial" w:eastAsia="Calibri" w:hAnsi="Arial" w:cs="Arial" w:hint="default"/>
        <w:color w:val="auto"/>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46E1541"/>
    <w:multiLevelType w:val="hybridMultilevel"/>
    <w:tmpl w:val="31469BFA"/>
    <w:lvl w:ilvl="0" w:tplc="8E02708C">
      <w:numFmt w:val="bullet"/>
      <w:lvlText w:val="•"/>
      <w:lvlJc w:val="left"/>
      <w:pPr>
        <w:ind w:left="720" w:hanging="360"/>
      </w:pPr>
      <w:rPr>
        <w:rFonts w:ascii="Arial" w:eastAsia="Calibri" w:hAnsi="Arial" w:cs="Arial" w:hint="default"/>
        <w:color w:val="auto"/>
        <w:sz w:val="22"/>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4E31E05"/>
    <w:multiLevelType w:val="hybridMultilevel"/>
    <w:tmpl w:val="54467F34"/>
    <w:lvl w:ilvl="0" w:tplc="663C8C0C">
      <w:numFmt w:val="bullet"/>
      <w:lvlText w:val="•"/>
      <w:lvlJc w:val="left"/>
      <w:pPr>
        <w:ind w:left="720" w:hanging="360"/>
      </w:pPr>
      <w:rPr>
        <w:rFonts w:ascii="Times New Roman" w:eastAsiaTheme="minorHAnsi" w:hAnsi="Times New Roman" w:cs="Times New Roman" w:hint="default"/>
        <w:color w:val="auto"/>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3A6F00A1"/>
    <w:multiLevelType w:val="multilevel"/>
    <w:tmpl w:val="9312A87C"/>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BBB3E62"/>
    <w:multiLevelType w:val="multilevel"/>
    <w:tmpl w:val="C89CB068"/>
    <w:lvl w:ilvl="0">
      <w:start w:val="8"/>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A9611C"/>
    <w:multiLevelType w:val="hybridMultilevel"/>
    <w:tmpl w:val="6196420C"/>
    <w:lvl w:ilvl="0" w:tplc="F724B0C4">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05127A5"/>
    <w:multiLevelType w:val="hybridMultilevel"/>
    <w:tmpl w:val="4A480C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45F17B73"/>
    <w:multiLevelType w:val="multilevel"/>
    <w:tmpl w:val="5B02B0A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4AD87C95"/>
    <w:multiLevelType w:val="multilevel"/>
    <w:tmpl w:val="AE1C08B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B857DA3"/>
    <w:multiLevelType w:val="multilevel"/>
    <w:tmpl w:val="5F906C4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3D47F2"/>
    <w:multiLevelType w:val="multilevel"/>
    <w:tmpl w:val="79088E62"/>
    <w:lvl w:ilvl="0">
      <w:start w:val="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E887826"/>
    <w:multiLevelType w:val="hybridMultilevel"/>
    <w:tmpl w:val="1220D6E8"/>
    <w:lvl w:ilvl="0" w:tplc="F724B0C4">
      <w:numFmt w:val="bullet"/>
      <w:lvlText w:val="•"/>
      <w:lvlJc w:val="left"/>
      <w:pPr>
        <w:ind w:left="776" w:hanging="360"/>
      </w:pPr>
      <w:rPr>
        <w:rFonts w:ascii="Times New Roman" w:eastAsiaTheme="minorHAnsi" w:hAnsi="Times New Roman" w:cs="Times New Roman" w:hint="default"/>
      </w:rPr>
    </w:lvl>
    <w:lvl w:ilvl="1" w:tplc="1C090003" w:tentative="1">
      <w:start w:val="1"/>
      <w:numFmt w:val="bullet"/>
      <w:lvlText w:val="o"/>
      <w:lvlJc w:val="left"/>
      <w:pPr>
        <w:ind w:left="1496" w:hanging="360"/>
      </w:pPr>
      <w:rPr>
        <w:rFonts w:ascii="Courier New" w:hAnsi="Courier New" w:cs="Courier New" w:hint="default"/>
      </w:rPr>
    </w:lvl>
    <w:lvl w:ilvl="2" w:tplc="1C090005" w:tentative="1">
      <w:start w:val="1"/>
      <w:numFmt w:val="bullet"/>
      <w:lvlText w:val=""/>
      <w:lvlJc w:val="left"/>
      <w:pPr>
        <w:ind w:left="2216" w:hanging="360"/>
      </w:pPr>
      <w:rPr>
        <w:rFonts w:ascii="Wingdings" w:hAnsi="Wingdings" w:hint="default"/>
      </w:rPr>
    </w:lvl>
    <w:lvl w:ilvl="3" w:tplc="1C090001" w:tentative="1">
      <w:start w:val="1"/>
      <w:numFmt w:val="bullet"/>
      <w:lvlText w:val=""/>
      <w:lvlJc w:val="left"/>
      <w:pPr>
        <w:ind w:left="2936" w:hanging="360"/>
      </w:pPr>
      <w:rPr>
        <w:rFonts w:ascii="Symbol" w:hAnsi="Symbol" w:hint="default"/>
      </w:rPr>
    </w:lvl>
    <w:lvl w:ilvl="4" w:tplc="1C090003" w:tentative="1">
      <w:start w:val="1"/>
      <w:numFmt w:val="bullet"/>
      <w:lvlText w:val="o"/>
      <w:lvlJc w:val="left"/>
      <w:pPr>
        <w:ind w:left="3656" w:hanging="360"/>
      </w:pPr>
      <w:rPr>
        <w:rFonts w:ascii="Courier New" w:hAnsi="Courier New" w:cs="Courier New" w:hint="default"/>
      </w:rPr>
    </w:lvl>
    <w:lvl w:ilvl="5" w:tplc="1C090005" w:tentative="1">
      <w:start w:val="1"/>
      <w:numFmt w:val="bullet"/>
      <w:lvlText w:val=""/>
      <w:lvlJc w:val="left"/>
      <w:pPr>
        <w:ind w:left="4376" w:hanging="360"/>
      </w:pPr>
      <w:rPr>
        <w:rFonts w:ascii="Wingdings" w:hAnsi="Wingdings" w:hint="default"/>
      </w:rPr>
    </w:lvl>
    <w:lvl w:ilvl="6" w:tplc="1C090001" w:tentative="1">
      <w:start w:val="1"/>
      <w:numFmt w:val="bullet"/>
      <w:lvlText w:val=""/>
      <w:lvlJc w:val="left"/>
      <w:pPr>
        <w:ind w:left="5096" w:hanging="360"/>
      </w:pPr>
      <w:rPr>
        <w:rFonts w:ascii="Symbol" w:hAnsi="Symbol" w:hint="default"/>
      </w:rPr>
    </w:lvl>
    <w:lvl w:ilvl="7" w:tplc="1C090003" w:tentative="1">
      <w:start w:val="1"/>
      <w:numFmt w:val="bullet"/>
      <w:lvlText w:val="o"/>
      <w:lvlJc w:val="left"/>
      <w:pPr>
        <w:ind w:left="5816" w:hanging="360"/>
      </w:pPr>
      <w:rPr>
        <w:rFonts w:ascii="Courier New" w:hAnsi="Courier New" w:cs="Courier New" w:hint="default"/>
      </w:rPr>
    </w:lvl>
    <w:lvl w:ilvl="8" w:tplc="1C090005" w:tentative="1">
      <w:start w:val="1"/>
      <w:numFmt w:val="bullet"/>
      <w:lvlText w:val=""/>
      <w:lvlJc w:val="left"/>
      <w:pPr>
        <w:ind w:left="6536" w:hanging="360"/>
      </w:pPr>
      <w:rPr>
        <w:rFonts w:ascii="Wingdings" w:hAnsi="Wingdings" w:hint="default"/>
      </w:rPr>
    </w:lvl>
  </w:abstractNum>
  <w:abstractNum w:abstractNumId="34">
    <w:nsid w:val="51DA680B"/>
    <w:multiLevelType w:val="hybridMultilevel"/>
    <w:tmpl w:val="C7442FD8"/>
    <w:lvl w:ilvl="0" w:tplc="F724B0C4">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52829B1"/>
    <w:multiLevelType w:val="hybridMultilevel"/>
    <w:tmpl w:val="6518E8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55D355FA"/>
    <w:multiLevelType w:val="hybridMultilevel"/>
    <w:tmpl w:val="57084240"/>
    <w:lvl w:ilvl="0" w:tplc="F724B0C4">
      <w:numFmt w:val="bullet"/>
      <w:lvlText w:val="•"/>
      <w:lvlJc w:val="left"/>
      <w:pPr>
        <w:ind w:left="776" w:hanging="360"/>
      </w:pPr>
      <w:rPr>
        <w:rFonts w:ascii="Times New Roman" w:eastAsiaTheme="minorHAnsi" w:hAnsi="Times New Roman" w:cs="Times New Roman" w:hint="default"/>
      </w:rPr>
    </w:lvl>
    <w:lvl w:ilvl="1" w:tplc="1C090003" w:tentative="1">
      <w:start w:val="1"/>
      <w:numFmt w:val="bullet"/>
      <w:lvlText w:val="o"/>
      <w:lvlJc w:val="left"/>
      <w:pPr>
        <w:ind w:left="1496" w:hanging="360"/>
      </w:pPr>
      <w:rPr>
        <w:rFonts w:ascii="Courier New" w:hAnsi="Courier New" w:cs="Courier New" w:hint="default"/>
      </w:rPr>
    </w:lvl>
    <w:lvl w:ilvl="2" w:tplc="1C090005" w:tentative="1">
      <w:start w:val="1"/>
      <w:numFmt w:val="bullet"/>
      <w:lvlText w:val=""/>
      <w:lvlJc w:val="left"/>
      <w:pPr>
        <w:ind w:left="2216" w:hanging="360"/>
      </w:pPr>
      <w:rPr>
        <w:rFonts w:ascii="Wingdings" w:hAnsi="Wingdings" w:hint="default"/>
      </w:rPr>
    </w:lvl>
    <w:lvl w:ilvl="3" w:tplc="1C090001" w:tentative="1">
      <w:start w:val="1"/>
      <w:numFmt w:val="bullet"/>
      <w:lvlText w:val=""/>
      <w:lvlJc w:val="left"/>
      <w:pPr>
        <w:ind w:left="2936" w:hanging="360"/>
      </w:pPr>
      <w:rPr>
        <w:rFonts w:ascii="Symbol" w:hAnsi="Symbol" w:hint="default"/>
      </w:rPr>
    </w:lvl>
    <w:lvl w:ilvl="4" w:tplc="1C090003" w:tentative="1">
      <w:start w:val="1"/>
      <w:numFmt w:val="bullet"/>
      <w:lvlText w:val="o"/>
      <w:lvlJc w:val="left"/>
      <w:pPr>
        <w:ind w:left="3656" w:hanging="360"/>
      </w:pPr>
      <w:rPr>
        <w:rFonts w:ascii="Courier New" w:hAnsi="Courier New" w:cs="Courier New" w:hint="default"/>
      </w:rPr>
    </w:lvl>
    <w:lvl w:ilvl="5" w:tplc="1C090005" w:tentative="1">
      <w:start w:val="1"/>
      <w:numFmt w:val="bullet"/>
      <w:lvlText w:val=""/>
      <w:lvlJc w:val="left"/>
      <w:pPr>
        <w:ind w:left="4376" w:hanging="360"/>
      </w:pPr>
      <w:rPr>
        <w:rFonts w:ascii="Wingdings" w:hAnsi="Wingdings" w:hint="default"/>
      </w:rPr>
    </w:lvl>
    <w:lvl w:ilvl="6" w:tplc="1C090001" w:tentative="1">
      <w:start w:val="1"/>
      <w:numFmt w:val="bullet"/>
      <w:lvlText w:val=""/>
      <w:lvlJc w:val="left"/>
      <w:pPr>
        <w:ind w:left="5096" w:hanging="360"/>
      </w:pPr>
      <w:rPr>
        <w:rFonts w:ascii="Symbol" w:hAnsi="Symbol" w:hint="default"/>
      </w:rPr>
    </w:lvl>
    <w:lvl w:ilvl="7" w:tplc="1C090003" w:tentative="1">
      <w:start w:val="1"/>
      <w:numFmt w:val="bullet"/>
      <w:lvlText w:val="o"/>
      <w:lvlJc w:val="left"/>
      <w:pPr>
        <w:ind w:left="5816" w:hanging="360"/>
      </w:pPr>
      <w:rPr>
        <w:rFonts w:ascii="Courier New" w:hAnsi="Courier New" w:cs="Courier New" w:hint="default"/>
      </w:rPr>
    </w:lvl>
    <w:lvl w:ilvl="8" w:tplc="1C090005" w:tentative="1">
      <w:start w:val="1"/>
      <w:numFmt w:val="bullet"/>
      <w:lvlText w:val=""/>
      <w:lvlJc w:val="left"/>
      <w:pPr>
        <w:ind w:left="6536" w:hanging="360"/>
      </w:pPr>
      <w:rPr>
        <w:rFonts w:ascii="Wingdings" w:hAnsi="Wingdings" w:hint="default"/>
      </w:rPr>
    </w:lvl>
  </w:abstractNum>
  <w:abstractNum w:abstractNumId="37">
    <w:nsid w:val="57772614"/>
    <w:multiLevelType w:val="hybridMultilevel"/>
    <w:tmpl w:val="03867F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589E5DA6"/>
    <w:multiLevelType w:val="hybridMultilevel"/>
    <w:tmpl w:val="D18EBD74"/>
    <w:lvl w:ilvl="0" w:tplc="8E02708C">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5B8F5370"/>
    <w:multiLevelType w:val="hybridMultilevel"/>
    <w:tmpl w:val="92BA8370"/>
    <w:lvl w:ilvl="0" w:tplc="99FE154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5D1D624E"/>
    <w:multiLevelType w:val="hybridMultilevel"/>
    <w:tmpl w:val="0EE6E0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36035A9"/>
    <w:multiLevelType w:val="hybridMultilevel"/>
    <w:tmpl w:val="C6A661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66052D18"/>
    <w:multiLevelType w:val="multilevel"/>
    <w:tmpl w:val="14B0107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7002504"/>
    <w:multiLevelType w:val="hybridMultilevel"/>
    <w:tmpl w:val="54C81086"/>
    <w:lvl w:ilvl="0" w:tplc="F724B0C4">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68D86595"/>
    <w:multiLevelType w:val="hybridMultilevel"/>
    <w:tmpl w:val="AB06B4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nsid w:val="6A883124"/>
    <w:multiLevelType w:val="hybridMultilevel"/>
    <w:tmpl w:val="C94C12F8"/>
    <w:lvl w:ilvl="0" w:tplc="8E02708C">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6AF03A63"/>
    <w:multiLevelType w:val="hybridMultilevel"/>
    <w:tmpl w:val="B17C50EC"/>
    <w:lvl w:ilvl="0" w:tplc="D032944C">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F724B0C4">
      <w:numFmt w:val="bullet"/>
      <w:lvlText w:val="•"/>
      <w:lvlJc w:val="left"/>
      <w:pPr>
        <w:ind w:left="2340" w:hanging="360"/>
      </w:pPr>
      <w:rPr>
        <w:rFonts w:ascii="Times New Roman" w:eastAsiaTheme="minorHAnsi" w:hAnsi="Times New Roman" w:cs="Times New Roman"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6C6D6D11"/>
    <w:multiLevelType w:val="multilevel"/>
    <w:tmpl w:val="CFC449F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6C7D3AEE"/>
    <w:multiLevelType w:val="multilevel"/>
    <w:tmpl w:val="DAACA9DA"/>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9">
    <w:nsid w:val="6E6F685C"/>
    <w:multiLevelType w:val="multilevel"/>
    <w:tmpl w:val="9C0C27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nsid w:val="6FC51901"/>
    <w:multiLevelType w:val="hybridMultilevel"/>
    <w:tmpl w:val="48C8A388"/>
    <w:lvl w:ilvl="0" w:tplc="F724B0C4">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nsid w:val="77525DB5"/>
    <w:multiLevelType w:val="hybridMultilevel"/>
    <w:tmpl w:val="A7948684"/>
    <w:lvl w:ilvl="0" w:tplc="26F25D5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2">
    <w:nsid w:val="775951D6"/>
    <w:multiLevelType w:val="multilevel"/>
    <w:tmpl w:val="81CA7F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76374D3"/>
    <w:multiLevelType w:val="hybridMultilevel"/>
    <w:tmpl w:val="05E43A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4">
    <w:nsid w:val="790E5081"/>
    <w:multiLevelType w:val="hybridMultilevel"/>
    <w:tmpl w:val="36AE34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5">
    <w:nsid w:val="7A4F7718"/>
    <w:multiLevelType w:val="multilevel"/>
    <w:tmpl w:val="DB12FA1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B9A1D2E"/>
    <w:multiLevelType w:val="hybridMultilevel"/>
    <w:tmpl w:val="2DA2232C"/>
    <w:lvl w:ilvl="0" w:tplc="8E02708C">
      <w:numFmt w:val="bullet"/>
      <w:lvlText w:val="•"/>
      <w:lvlJc w:val="left"/>
      <w:pPr>
        <w:ind w:left="720" w:hanging="360"/>
      </w:pPr>
      <w:rPr>
        <w:rFonts w:ascii="Arial" w:eastAsia="Calibri" w:hAnsi="Arial" w:cs="Arial" w:hint="default"/>
        <w:color w:val="auto"/>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2"/>
  </w:num>
  <w:num w:numId="2">
    <w:abstractNumId w:val="48"/>
  </w:num>
  <w:num w:numId="3">
    <w:abstractNumId w:val="30"/>
  </w:num>
  <w:num w:numId="4">
    <w:abstractNumId w:val="46"/>
  </w:num>
  <w:num w:numId="5">
    <w:abstractNumId w:val="10"/>
  </w:num>
  <w:num w:numId="6">
    <w:abstractNumId w:val="9"/>
  </w:num>
  <w:num w:numId="7">
    <w:abstractNumId w:val="29"/>
  </w:num>
  <w:num w:numId="8">
    <w:abstractNumId w:val="19"/>
  </w:num>
  <w:num w:numId="9">
    <w:abstractNumId w:val="55"/>
  </w:num>
  <w:num w:numId="10">
    <w:abstractNumId w:val="42"/>
  </w:num>
  <w:num w:numId="11">
    <w:abstractNumId w:val="8"/>
  </w:num>
  <w:num w:numId="12">
    <w:abstractNumId w:val="21"/>
  </w:num>
  <w:num w:numId="13">
    <w:abstractNumId w:val="1"/>
  </w:num>
  <w:num w:numId="14">
    <w:abstractNumId w:val="47"/>
  </w:num>
  <w:num w:numId="15">
    <w:abstractNumId w:val="32"/>
  </w:num>
  <w:num w:numId="16">
    <w:abstractNumId w:val="0"/>
  </w:num>
  <w:num w:numId="17">
    <w:abstractNumId w:val="16"/>
  </w:num>
  <w:num w:numId="18">
    <w:abstractNumId w:val="53"/>
  </w:num>
  <w:num w:numId="19">
    <w:abstractNumId w:val="5"/>
  </w:num>
  <w:num w:numId="20">
    <w:abstractNumId w:val="18"/>
  </w:num>
  <w:num w:numId="21">
    <w:abstractNumId w:val="25"/>
  </w:num>
  <w:num w:numId="22">
    <w:abstractNumId w:val="26"/>
  </w:num>
  <w:num w:numId="23">
    <w:abstractNumId w:val="11"/>
  </w:num>
  <w:num w:numId="24">
    <w:abstractNumId w:val="50"/>
  </w:num>
  <w:num w:numId="25">
    <w:abstractNumId w:val="27"/>
  </w:num>
  <w:num w:numId="26">
    <w:abstractNumId w:val="43"/>
  </w:num>
  <w:num w:numId="27">
    <w:abstractNumId w:val="13"/>
  </w:num>
  <w:num w:numId="28">
    <w:abstractNumId w:val="17"/>
  </w:num>
  <w:num w:numId="29">
    <w:abstractNumId w:val="22"/>
  </w:num>
  <w:num w:numId="30">
    <w:abstractNumId w:val="24"/>
  </w:num>
  <w:num w:numId="31">
    <w:abstractNumId w:val="33"/>
  </w:num>
  <w:num w:numId="32">
    <w:abstractNumId w:val="6"/>
  </w:num>
  <w:num w:numId="33">
    <w:abstractNumId w:val="36"/>
  </w:num>
  <w:num w:numId="34">
    <w:abstractNumId w:val="15"/>
  </w:num>
  <w:num w:numId="35">
    <w:abstractNumId w:val="38"/>
  </w:num>
  <w:num w:numId="36">
    <w:abstractNumId w:val="34"/>
  </w:num>
  <w:num w:numId="37">
    <w:abstractNumId w:val="3"/>
  </w:num>
  <w:num w:numId="38">
    <w:abstractNumId w:val="45"/>
  </w:num>
  <w:num w:numId="39">
    <w:abstractNumId w:val="12"/>
  </w:num>
  <w:num w:numId="40">
    <w:abstractNumId w:val="39"/>
  </w:num>
  <w:num w:numId="41">
    <w:abstractNumId w:val="35"/>
  </w:num>
  <w:num w:numId="42">
    <w:abstractNumId w:val="28"/>
  </w:num>
  <w:num w:numId="43">
    <w:abstractNumId w:val="4"/>
  </w:num>
  <w:num w:numId="44">
    <w:abstractNumId w:val="2"/>
  </w:num>
  <w:num w:numId="45">
    <w:abstractNumId w:val="44"/>
  </w:num>
  <w:num w:numId="46">
    <w:abstractNumId w:val="54"/>
  </w:num>
  <w:num w:numId="47">
    <w:abstractNumId w:val="7"/>
  </w:num>
  <w:num w:numId="48">
    <w:abstractNumId w:val="14"/>
  </w:num>
  <w:num w:numId="49">
    <w:abstractNumId w:val="40"/>
  </w:num>
  <w:num w:numId="50">
    <w:abstractNumId w:val="51"/>
  </w:num>
  <w:num w:numId="51">
    <w:abstractNumId w:val="41"/>
  </w:num>
  <w:num w:numId="52">
    <w:abstractNumId w:val="20"/>
  </w:num>
  <w:num w:numId="53">
    <w:abstractNumId w:val="56"/>
  </w:num>
  <w:num w:numId="54">
    <w:abstractNumId w:val="23"/>
  </w:num>
  <w:num w:numId="55">
    <w:abstractNumId w:val="49"/>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7"/>
  </w:num>
  <w:num w:numId="90">
    <w:abstractNumId w:val="31"/>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hideGrammaticalErrors/>
  <w:defaultTabStop w:val="720"/>
  <w:characterSpacingControl w:val="doNotCompress"/>
  <w:hdrShapeDefaults>
    <o:shapedefaults v:ext="edit" spidmax="5122"/>
  </w:hdrShapeDefaults>
  <w:footnotePr>
    <w:footnote w:id="-1"/>
    <w:footnote w:id="0"/>
  </w:footnotePr>
  <w:endnotePr>
    <w:endnote w:id="-1"/>
    <w:endnote w:id="0"/>
  </w:endnotePr>
  <w:compat/>
  <w:rsids>
    <w:rsidRoot w:val="0072224B"/>
    <w:rsid w:val="0000209F"/>
    <w:rsid w:val="000035BF"/>
    <w:rsid w:val="00007C6D"/>
    <w:rsid w:val="000126AE"/>
    <w:rsid w:val="00012F45"/>
    <w:rsid w:val="000178F9"/>
    <w:rsid w:val="00020DCB"/>
    <w:rsid w:val="0002129C"/>
    <w:rsid w:val="000228FE"/>
    <w:rsid w:val="00022C24"/>
    <w:rsid w:val="00022EEA"/>
    <w:rsid w:val="000235E3"/>
    <w:rsid w:val="000320FC"/>
    <w:rsid w:val="00033F4D"/>
    <w:rsid w:val="0003719D"/>
    <w:rsid w:val="000402D9"/>
    <w:rsid w:val="00040A2C"/>
    <w:rsid w:val="000520B1"/>
    <w:rsid w:val="00056C66"/>
    <w:rsid w:val="00057EC6"/>
    <w:rsid w:val="00061403"/>
    <w:rsid w:val="000646F6"/>
    <w:rsid w:val="00064C23"/>
    <w:rsid w:val="00065003"/>
    <w:rsid w:val="00067C1C"/>
    <w:rsid w:val="0007287B"/>
    <w:rsid w:val="0007777F"/>
    <w:rsid w:val="000808D3"/>
    <w:rsid w:val="00081A6F"/>
    <w:rsid w:val="00081C20"/>
    <w:rsid w:val="00082D07"/>
    <w:rsid w:val="00083FBA"/>
    <w:rsid w:val="000840EA"/>
    <w:rsid w:val="0008465F"/>
    <w:rsid w:val="00085C39"/>
    <w:rsid w:val="00092828"/>
    <w:rsid w:val="00094315"/>
    <w:rsid w:val="000A0881"/>
    <w:rsid w:val="000A09A3"/>
    <w:rsid w:val="000A4745"/>
    <w:rsid w:val="000B07EA"/>
    <w:rsid w:val="000B312C"/>
    <w:rsid w:val="000B666C"/>
    <w:rsid w:val="000B728B"/>
    <w:rsid w:val="000C22DF"/>
    <w:rsid w:val="000C26CE"/>
    <w:rsid w:val="000C7351"/>
    <w:rsid w:val="000C7C98"/>
    <w:rsid w:val="000E0E0B"/>
    <w:rsid w:val="000E48C8"/>
    <w:rsid w:val="000F2487"/>
    <w:rsid w:val="000F359A"/>
    <w:rsid w:val="001016BB"/>
    <w:rsid w:val="0010367A"/>
    <w:rsid w:val="00103799"/>
    <w:rsid w:val="001053FF"/>
    <w:rsid w:val="001066A2"/>
    <w:rsid w:val="00107665"/>
    <w:rsid w:val="00115D71"/>
    <w:rsid w:val="001245C2"/>
    <w:rsid w:val="00124D7B"/>
    <w:rsid w:val="00125DB0"/>
    <w:rsid w:val="001324D4"/>
    <w:rsid w:val="00137E9D"/>
    <w:rsid w:val="0014246B"/>
    <w:rsid w:val="001424A0"/>
    <w:rsid w:val="00150469"/>
    <w:rsid w:val="00153C75"/>
    <w:rsid w:val="00153E59"/>
    <w:rsid w:val="001556DA"/>
    <w:rsid w:val="001560BF"/>
    <w:rsid w:val="0015777C"/>
    <w:rsid w:val="00162492"/>
    <w:rsid w:val="001626E6"/>
    <w:rsid w:val="001659C1"/>
    <w:rsid w:val="00165E65"/>
    <w:rsid w:val="001665DB"/>
    <w:rsid w:val="0016780D"/>
    <w:rsid w:val="00173E3C"/>
    <w:rsid w:val="00177B46"/>
    <w:rsid w:val="001814D7"/>
    <w:rsid w:val="00183145"/>
    <w:rsid w:val="001867A1"/>
    <w:rsid w:val="00190520"/>
    <w:rsid w:val="00192834"/>
    <w:rsid w:val="00196734"/>
    <w:rsid w:val="001A2552"/>
    <w:rsid w:val="001A499A"/>
    <w:rsid w:val="001A6593"/>
    <w:rsid w:val="001B1426"/>
    <w:rsid w:val="001B2C41"/>
    <w:rsid w:val="001B584B"/>
    <w:rsid w:val="001C116B"/>
    <w:rsid w:val="001C1D8B"/>
    <w:rsid w:val="001C2CDA"/>
    <w:rsid w:val="001C6F3F"/>
    <w:rsid w:val="001D01F2"/>
    <w:rsid w:val="001D07DB"/>
    <w:rsid w:val="001D53D3"/>
    <w:rsid w:val="001E0F88"/>
    <w:rsid w:val="001E143E"/>
    <w:rsid w:val="001E1FE3"/>
    <w:rsid w:val="001E2331"/>
    <w:rsid w:val="001E4B03"/>
    <w:rsid w:val="001E75B6"/>
    <w:rsid w:val="001F0FC5"/>
    <w:rsid w:val="001F3D10"/>
    <w:rsid w:val="001F4815"/>
    <w:rsid w:val="001F5109"/>
    <w:rsid w:val="00200C14"/>
    <w:rsid w:val="00202A7C"/>
    <w:rsid w:val="002043BB"/>
    <w:rsid w:val="00206ACD"/>
    <w:rsid w:val="00211452"/>
    <w:rsid w:val="002119A2"/>
    <w:rsid w:val="00213408"/>
    <w:rsid w:val="00213922"/>
    <w:rsid w:val="002168FD"/>
    <w:rsid w:val="002204C8"/>
    <w:rsid w:val="0022057D"/>
    <w:rsid w:val="002226DD"/>
    <w:rsid w:val="002239AD"/>
    <w:rsid w:val="002318EB"/>
    <w:rsid w:val="00231AB0"/>
    <w:rsid w:val="00232199"/>
    <w:rsid w:val="002329C9"/>
    <w:rsid w:val="00233A89"/>
    <w:rsid w:val="0023462C"/>
    <w:rsid w:val="00234F2E"/>
    <w:rsid w:val="00241624"/>
    <w:rsid w:val="00251F1A"/>
    <w:rsid w:val="00252F3E"/>
    <w:rsid w:val="002539BC"/>
    <w:rsid w:val="00256790"/>
    <w:rsid w:val="00260C8F"/>
    <w:rsid w:val="00261CDD"/>
    <w:rsid w:val="00264370"/>
    <w:rsid w:val="00264CE9"/>
    <w:rsid w:val="0026733C"/>
    <w:rsid w:val="00267CDC"/>
    <w:rsid w:val="00282508"/>
    <w:rsid w:val="00282AC1"/>
    <w:rsid w:val="0029392C"/>
    <w:rsid w:val="002A2C5C"/>
    <w:rsid w:val="002A4009"/>
    <w:rsid w:val="002A403E"/>
    <w:rsid w:val="002A6718"/>
    <w:rsid w:val="002B0D05"/>
    <w:rsid w:val="002B0EA2"/>
    <w:rsid w:val="002B2092"/>
    <w:rsid w:val="002B6863"/>
    <w:rsid w:val="002B74AF"/>
    <w:rsid w:val="002B756E"/>
    <w:rsid w:val="002C3985"/>
    <w:rsid w:val="002C6623"/>
    <w:rsid w:val="002D39FC"/>
    <w:rsid w:val="002D3B50"/>
    <w:rsid w:val="002E12F0"/>
    <w:rsid w:val="002E1A75"/>
    <w:rsid w:val="002E2942"/>
    <w:rsid w:val="002E4FA4"/>
    <w:rsid w:val="002E63B6"/>
    <w:rsid w:val="002E6E4E"/>
    <w:rsid w:val="002F2E54"/>
    <w:rsid w:val="002F5665"/>
    <w:rsid w:val="002F69E8"/>
    <w:rsid w:val="002F7869"/>
    <w:rsid w:val="0030161C"/>
    <w:rsid w:val="003023E7"/>
    <w:rsid w:val="003072E1"/>
    <w:rsid w:val="0030772B"/>
    <w:rsid w:val="00317D5E"/>
    <w:rsid w:val="00326307"/>
    <w:rsid w:val="00326556"/>
    <w:rsid w:val="00326B51"/>
    <w:rsid w:val="0032732C"/>
    <w:rsid w:val="00335ACB"/>
    <w:rsid w:val="00336451"/>
    <w:rsid w:val="003421D0"/>
    <w:rsid w:val="00346CB7"/>
    <w:rsid w:val="00347163"/>
    <w:rsid w:val="00347386"/>
    <w:rsid w:val="00351552"/>
    <w:rsid w:val="00351E37"/>
    <w:rsid w:val="0035590B"/>
    <w:rsid w:val="00356445"/>
    <w:rsid w:val="00356DEA"/>
    <w:rsid w:val="00360745"/>
    <w:rsid w:val="00360D60"/>
    <w:rsid w:val="0036633C"/>
    <w:rsid w:val="00370335"/>
    <w:rsid w:val="00370370"/>
    <w:rsid w:val="003721D5"/>
    <w:rsid w:val="003813D1"/>
    <w:rsid w:val="00381862"/>
    <w:rsid w:val="0038739B"/>
    <w:rsid w:val="003875C5"/>
    <w:rsid w:val="00393DC9"/>
    <w:rsid w:val="00397B5A"/>
    <w:rsid w:val="003A0158"/>
    <w:rsid w:val="003A16DC"/>
    <w:rsid w:val="003A738C"/>
    <w:rsid w:val="003B0E05"/>
    <w:rsid w:val="003B35D5"/>
    <w:rsid w:val="003B529F"/>
    <w:rsid w:val="003B566E"/>
    <w:rsid w:val="003B5EF9"/>
    <w:rsid w:val="003C4C32"/>
    <w:rsid w:val="003C5EF4"/>
    <w:rsid w:val="003C660C"/>
    <w:rsid w:val="003C79F9"/>
    <w:rsid w:val="003C7F13"/>
    <w:rsid w:val="003D1ACD"/>
    <w:rsid w:val="003D48D9"/>
    <w:rsid w:val="003F03AD"/>
    <w:rsid w:val="003F26A3"/>
    <w:rsid w:val="003F4CC0"/>
    <w:rsid w:val="003F6388"/>
    <w:rsid w:val="004002F1"/>
    <w:rsid w:val="004011AB"/>
    <w:rsid w:val="00404240"/>
    <w:rsid w:val="00413730"/>
    <w:rsid w:val="00414AD0"/>
    <w:rsid w:val="00415D74"/>
    <w:rsid w:val="0041765F"/>
    <w:rsid w:val="00424A39"/>
    <w:rsid w:val="00424E36"/>
    <w:rsid w:val="004261FC"/>
    <w:rsid w:val="00427630"/>
    <w:rsid w:val="00427EDC"/>
    <w:rsid w:val="00445311"/>
    <w:rsid w:val="00446A91"/>
    <w:rsid w:val="00447AC6"/>
    <w:rsid w:val="00452309"/>
    <w:rsid w:val="004544BB"/>
    <w:rsid w:val="00454947"/>
    <w:rsid w:val="004564F3"/>
    <w:rsid w:val="00456C94"/>
    <w:rsid w:val="004605AA"/>
    <w:rsid w:val="00462FB1"/>
    <w:rsid w:val="004659D9"/>
    <w:rsid w:val="00466797"/>
    <w:rsid w:val="00467BA9"/>
    <w:rsid w:val="00467EEE"/>
    <w:rsid w:val="00474978"/>
    <w:rsid w:val="004765A2"/>
    <w:rsid w:val="00476696"/>
    <w:rsid w:val="004805DC"/>
    <w:rsid w:val="004806FB"/>
    <w:rsid w:val="00480877"/>
    <w:rsid w:val="0048105F"/>
    <w:rsid w:val="00481653"/>
    <w:rsid w:val="00490892"/>
    <w:rsid w:val="004915D3"/>
    <w:rsid w:val="00495E8E"/>
    <w:rsid w:val="004A17CA"/>
    <w:rsid w:val="004B4750"/>
    <w:rsid w:val="004B5A1A"/>
    <w:rsid w:val="004C0356"/>
    <w:rsid w:val="004C248F"/>
    <w:rsid w:val="004C27C5"/>
    <w:rsid w:val="004C32F9"/>
    <w:rsid w:val="004C3363"/>
    <w:rsid w:val="004C50D9"/>
    <w:rsid w:val="004C593C"/>
    <w:rsid w:val="004C7273"/>
    <w:rsid w:val="004D0817"/>
    <w:rsid w:val="004D105A"/>
    <w:rsid w:val="004D105C"/>
    <w:rsid w:val="004E2BCE"/>
    <w:rsid w:val="004E6F19"/>
    <w:rsid w:val="004F008C"/>
    <w:rsid w:val="004F0AA2"/>
    <w:rsid w:val="00502F2C"/>
    <w:rsid w:val="005056A1"/>
    <w:rsid w:val="00510F2F"/>
    <w:rsid w:val="00511EC8"/>
    <w:rsid w:val="005125E2"/>
    <w:rsid w:val="005147EA"/>
    <w:rsid w:val="00516B42"/>
    <w:rsid w:val="00517FD2"/>
    <w:rsid w:val="00523DED"/>
    <w:rsid w:val="005315B1"/>
    <w:rsid w:val="00532294"/>
    <w:rsid w:val="00546D6C"/>
    <w:rsid w:val="00546E9C"/>
    <w:rsid w:val="00552027"/>
    <w:rsid w:val="0055322C"/>
    <w:rsid w:val="00555B57"/>
    <w:rsid w:val="005567D0"/>
    <w:rsid w:val="005567D7"/>
    <w:rsid w:val="00557647"/>
    <w:rsid w:val="0056242C"/>
    <w:rsid w:val="00564D43"/>
    <w:rsid w:val="00565638"/>
    <w:rsid w:val="00565868"/>
    <w:rsid w:val="00566582"/>
    <w:rsid w:val="00567BC8"/>
    <w:rsid w:val="00570F5D"/>
    <w:rsid w:val="005754AD"/>
    <w:rsid w:val="0057582F"/>
    <w:rsid w:val="00586E09"/>
    <w:rsid w:val="005903F5"/>
    <w:rsid w:val="0059250A"/>
    <w:rsid w:val="005956A6"/>
    <w:rsid w:val="00596913"/>
    <w:rsid w:val="005A2D77"/>
    <w:rsid w:val="005A3AC2"/>
    <w:rsid w:val="005A418E"/>
    <w:rsid w:val="005A79B2"/>
    <w:rsid w:val="005B4049"/>
    <w:rsid w:val="005B4F37"/>
    <w:rsid w:val="005B549B"/>
    <w:rsid w:val="005B6368"/>
    <w:rsid w:val="005B7EB6"/>
    <w:rsid w:val="005C0FC0"/>
    <w:rsid w:val="005C436C"/>
    <w:rsid w:val="005D1B5A"/>
    <w:rsid w:val="005D2A39"/>
    <w:rsid w:val="005D38F8"/>
    <w:rsid w:val="005D3B96"/>
    <w:rsid w:val="005D58F1"/>
    <w:rsid w:val="005E0188"/>
    <w:rsid w:val="005E1A0D"/>
    <w:rsid w:val="005E2490"/>
    <w:rsid w:val="005E31DC"/>
    <w:rsid w:val="005E46F4"/>
    <w:rsid w:val="005E7732"/>
    <w:rsid w:val="005E7CEA"/>
    <w:rsid w:val="005F1135"/>
    <w:rsid w:val="005F6BA8"/>
    <w:rsid w:val="005F6D27"/>
    <w:rsid w:val="00601619"/>
    <w:rsid w:val="00601F53"/>
    <w:rsid w:val="00601FF9"/>
    <w:rsid w:val="006060EC"/>
    <w:rsid w:val="00612395"/>
    <w:rsid w:val="00616416"/>
    <w:rsid w:val="0062048B"/>
    <w:rsid w:val="00623FC2"/>
    <w:rsid w:val="006270D8"/>
    <w:rsid w:val="00631DCA"/>
    <w:rsid w:val="00636A0A"/>
    <w:rsid w:val="006404A8"/>
    <w:rsid w:val="006412B6"/>
    <w:rsid w:val="00644FF9"/>
    <w:rsid w:val="00646F72"/>
    <w:rsid w:val="00651A9D"/>
    <w:rsid w:val="00652942"/>
    <w:rsid w:val="00652F49"/>
    <w:rsid w:val="006534D9"/>
    <w:rsid w:val="00655474"/>
    <w:rsid w:val="00657558"/>
    <w:rsid w:val="00657928"/>
    <w:rsid w:val="00660821"/>
    <w:rsid w:val="006608D1"/>
    <w:rsid w:val="00661C8B"/>
    <w:rsid w:val="00661E19"/>
    <w:rsid w:val="006657D5"/>
    <w:rsid w:val="00665CF4"/>
    <w:rsid w:val="00672E6C"/>
    <w:rsid w:val="006735EA"/>
    <w:rsid w:val="0067460D"/>
    <w:rsid w:val="006814C3"/>
    <w:rsid w:val="00684841"/>
    <w:rsid w:val="00685497"/>
    <w:rsid w:val="0069039D"/>
    <w:rsid w:val="006967EB"/>
    <w:rsid w:val="006A24B6"/>
    <w:rsid w:val="006B06B8"/>
    <w:rsid w:val="006B1C85"/>
    <w:rsid w:val="006B4133"/>
    <w:rsid w:val="006B430C"/>
    <w:rsid w:val="006C057E"/>
    <w:rsid w:val="006D0C52"/>
    <w:rsid w:val="006D32FB"/>
    <w:rsid w:val="006D36D8"/>
    <w:rsid w:val="006E08D6"/>
    <w:rsid w:val="006E28B1"/>
    <w:rsid w:val="006E51AB"/>
    <w:rsid w:val="006E603F"/>
    <w:rsid w:val="006E71A9"/>
    <w:rsid w:val="006F0DB0"/>
    <w:rsid w:val="006F11D7"/>
    <w:rsid w:val="006F3C91"/>
    <w:rsid w:val="006F410C"/>
    <w:rsid w:val="006F7034"/>
    <w:rsid w:val="007113C0"/>
    <w:rsid w:val="00711970"/>
    <w:rsid w:val="00711C0A"/>
    <w:rsid w:val="007125C1"/>
    <w:rsid w:val="00715091"/>
    <w:rsid w:val="00716A9D"/>
    <w:rsid w:val="00720739"/>
    <w:rsid w:val="00721082"/>
    <w:rsid w:val="007218A5"/>
    <w:rsid w:val="00721ECF"/>
    <w:rsid w:val="0072224B"/>
    <w:rsid w:val="007229C7"/>
    <w:rsid w:val="00732BFC"/>
    <w:rsid w:val="0073307F"/>
    <w:rsid w:val="00733FA4"/>
    <w:rsid w:val="007340AA"/>
    <w:rsid w:val="007463D1"/>
    <w:rsid w:val="00747F73"/>
    <w:rsid w:val="00751E40"/>
    <w:rsid w:val="00754DBA"/>
    <w:rsid w:val="00755F15"/>
    <w:rsid w:val="0075692F"/>
    <w:rsid w:val="007604D0"/>
    <w:rsid w:val="007727DD"/>
    <w:rsid w:val="0078025E"/>
    <w:rsid w:val="00783B11"/>
    <w:rsid w:val="00784F66"/>
    <w:rsid w:val="007867DF"/>
    <w:rsid w:val="007928B8"/>
    <w:rsid w:val="00793E0F"/>
    <w:rsid w:val="00795BD9"/>
    <w:rsid w:val="00795FBD"/>
    <w:rsid w:val="007A112B"/>
    <w:rsid w:val="007A3FDA"/>
    <w:rsid w:val="007A48B0"/>
    <w:rsid w:val="007A5600"/>
    <w:rsid w:val="007A629B"/>
    <w:rsid w:val="007A74D0"/>
    <w:rsid w:val="007A7DB6"/>
    <w:rsid w:val="007B10E7"/>
    <w:rsid w:val="007B1108"/>
    <w:rsid w:val="007B5065"/>
    <w:rsid w:val="007B684E"/>
    <w:rsid w:val="007B6C12"/>
    <w:rsid w:val="007C1FB2"/>
    <w:rsid w:val="007C25C1"/>
    <w:rsid w:val="007C2902"/>
    <w:rsid w:val="007C3089"/>
    <w:rsid w:val="007C4724"/>
    <w:rsid w:val="007C6922"/>
    <w:rsid w:val="007D5D71"/>
    <w:rsid w:val="007D6291"/>
    <w:rsid w:val="007E2BA6"/>
    <w:rsid w:val="007E2C7D"/>
    <w:rsid w:val="007F400D"/>
    <w:rsid w:val="007F74FB"/>
    <w:rsid w:val="00802ED3"/>
    <w:rsid w:val="00806256"/>
    <w:rsid w:val="00807419"/>
    <w:rsid w:val="00807837"/>
    <w:rsid w:val="00810298"/>
    <w:rsid w:val="008112E8"/>
    <w:rsid w:val="00811AAF"/>
    <w:rsid w:val="00811D7C"/>
    <w:rsid w:val="00831331"/>
    <w:rsid w:val="008352D5"/>
    <w:rsid w:val="008356DA"/>
    <w:rsid w:val="00836F88"/>
    <w:rsid w:val="00841B34"/>
    <w:rsid w:val="008429BE"/>
    <w:rsid w:val="00843856"/>
    <w:rsid w:val="00843BFD"/>
    <w:rsid w:val="00843D09"/>
    <w:rsid w:val="008473E8"/>
    <w:rsid w:val="0084785B"/>
    <w:rsid w:val="008519D7"/>
    <w:rsid w:val="00852BF7"/>
    <w:rsid w:val="008606B4"/>
    <w:rsid w:val="008611F9"/>
    <w:rsid w:val="00864CB1"/>
    <w:rsid w:val="00866DA5"/>
    <w:rsid w:val="00867F04"/>
    <w:rsid w:val="00872188"/>
    <w:rsid w:val="00873909"/>
    <w:rsid w:val="00877689"/>
    <w:rsid w:val="008778B0"/>
    <w:rsid w:val="0088127D"/>
    <w:rsid w:val="00882530"/>
    <w:rsid w:val="00884C23"/>
    <w:rsid w:val="00885CEE"/>
    <w:rsid w:val="0088637D"/>
    <w:rsid w:val="00887844"/>
    <w:rsid w:val="008900DD"/>
    <w:rsid w:val="00890240"/>
    <w:rsid w:val="00892708"/>
    <w:rsid w:val="00893161"/>
    <w:rsid w:val="0089654D"/>
    <w:rsid w:val="008A028D"/>
    <w:rsid w:val="008A16CF"/>
    <w:rsid w:val="008B183C"/>
    <w:rsid w:val="008C018D"/>
    <w:rsid w:val="008C03A6"/>
    <w:rsid w:val="008C140F"/>
    <w:rsid w:val="008C1F2C"/>
    <w:rsid w:val="008C3FFA"/>
    <w:rsid w:val="008C43D1"/>
    <w:rsid w:val="008C6637"/>
    <w:rsid w:val="008C6E7C"/>
    <w:rsid w:val="008C74E3"/>
    <w:rsid w:val="008D119E"/>
    <w:rsid w:val="008D2909"/>
    <w:rsid w:val="008D3551"/>
    <w:rsid w:val="008D633B"/>
    <w:rsid w:val="008E0299"/>
    <w:rsid w:val="008E2416"/>
    <w:rsid w:val="008E4E71"/>
    <w:rsid w:val="008F0134"/>
    <w:rsid w:val="008F0DDA"/>
    <w:rsid w:val="008F2BD6"/>
    <w:rsid w:val="00900394"/>
    <w:rsid w:val="00901750"/>
    <w:rsid w:val="00901ACB"/>
    <w:rsid w:val="00902E84"/>
    <w:rsid w:val="00902F52"/>
    <w:rsid w:val="009034B4"/>
    <w:rsid w:val="00903C18"/>
    <w:rsid w:val="00906728"/>
    <w:rsid w:val="00912FA6"/>
    <w:rsid w:val="0091331E"/>
    <w:rsid w:val="00915FCF"/>
    <w:rsid w:val="00916C63"/>
    <w:rsid w:val="00922DF2"/>
    <w:rsid w:val="00923C0A"/>
    <w:rsid w:val="0092440E"/>
    <w:rsid w:val="009300B0"/>
    <w:rsid w:val="00931B24"/>
    <w:rsid w:val="00934C10"/>
    <w:rsid w:val="00936951"/>
    <w:rsid w:val="00937157"/>
    <w:rsid w:val="009431FE"/>
    <w:rsid w:val="00953536"/>
    <w:rsid w:val="00953A0D"/>
    <w:rsid w:val="009549D4"/>
    <w:rsid w:val="00957D0F"/>
    <w:rsid w:val="00957EAD"/>
    <w:rsid w:val="00960BA3"/>
    <w:rsid w:val="0096133A"/>
    <w:rsid w:val="00965DD0"/>
    <w:rsid w:val="0096766E"/>
    <w:rsid w:val="009728BA"/>
    <w:rsid w:val="00977601"/>
    <w:rsid w:val="00977A4E"/>
    <w:rsid w:val="009831D5"/>
    <w:rsid w:val="00985537"/>
    <w:rsid w:val="009878A2"/>
    <w:rsid w:val="00987A5F"/>
    <w:rsid w:val="0099624C"/>
    <w:rsid w:val="009A0ADA"/>
    <w:rsid w:val="009A362A"/>
    <w:rsid w:val="009A4C1E"/>
    <w:rsid w:val="009A6A40"/>
    <w:rsid w:val="009A6E57"/>
    <w:rsid w:val="009A6FA5"/>
    <w:rsid w:val="009B0945"/>
    <w:rsid w:val="009B0B8C"/>
    <w:rsid w:val="009B3930"/>
    <w:rsid w:val="009B54FB"/>
    <w:rsid w:val="009B5A6F"/>
    <w:rsid w:val="009B6F78"/>
    <w:rsid w:val="009C34B0"/>
    <w:rsid w:val="009C4CC6"/>
    <w:rsid w:val="009C6684"/>
    <w:rsid w:val="009D0404"/>
    <w:rsid w:val="009D0FEE"/>
    <w:rsid w:val="009D5850"/>
    <w:rsid w:val="009E010C"/>
    <w:rsid w:val="009E3E08"/>
    <w:rsid w:val="009E55FD"/>
    <w:rsid w:val="009E5EC9"/>
    <w:rsid w:val="009E6178"/>
    <w:rsid w:val="009F3997"/>
    <w:rsid w:val="009F3CD2"/>
    <w:rsid w:val="009F4122"/>
    <w:rsid w:val="009F71EF"/>
    <w:rsid w:val="00A00E0D"/>
    <w:rsid w:val="00A0583B"/>
    <w:rsid w:val="00A05EB5"/>
    <w:rsid w:val="00A10F43"/>
    <w:rsid w:val="00A113DB"/>
    <w:rsid w:val="00A13E68"/>
    <w:rsid w:val="00A141EF"/>
    <w:rsid w:val="00A143CA"/>
    <w:rsid w:val="00A14B16"/>
    <w:rsid w:val="00A1617B"/>
    <w:rsid w:val="00A34CCA"/>
    <w:rsid w:val="00A35D59"/>
    <w:rsid w:val="00A37EC8"/>
    <w:rsid w:val="00A41072"/>
    <w:rsid w:val="00A41374"/>
    <w:rsid w:val="00A41BAE"/>
    <w:rsid w:val="00A41C8F"/>
    <w:rsid w:val="00A46A73"/>
    <w:rsid w:val="00A46E01"/>
    <w:rsid w:val="00A52A90"/>
    <w:rsid w:val="00A5772C"/>
    <w:rsid w:val="00A57F4F"/>
    <w:rsid w:val="00A715E4"/>
    <w:rsid w:val="00A718DF"/>
    <w:rsid w:val="00A74460"/>
    <w:rsid w:val="00A77AB7"/>
    <w:rsid w:val="00A87C47"/>
    <w:rsid w:val="00A92CAD"/>
    <w:rsid w:val="00A96844"/>
    <w:rsid w:val="00A96D83"/>
    <w:rsid w:val="00AA315B"/>
    <w:rsid w:val="00AA4113"/>
    <w:rsid w:val="00AA7A82"/>
    <w:rsid w:val="00AB1796"/>
    <w:rsid w:val="00AB1A77"/>
    <w:rsid w:val="00AB6BC3"/>
    <w:rsid w:val="00AC0F37"/>
    <w:rsid w:val="00AC15A7"/>
    <w:rsid w:val="00AC4A4B"/>
    <w:rsid w:val="00AC5DC4"/>
    <w:rsid w:val="00AD02D4"/>
    <w:rsid w:val="00AD1B24"/>
    <w:rsid w:val="00AD3971"/>
    <w:rsid w:val="00AD58BA"/>
    <w:rsid w:val="00AE6131"/>
    <w:rsid w:val="00AF1A86"/>
    <w:rsid w:val="00AF1AE7"/>
    <w:rsid w:val="00AF2E4C"/>
    <w:rsid w:val="00AF404F"/>
    <w:rsid w:val="00AF5899"/>
    <w:rsid w:val="00AF7172"/>
    <w:rsid w:val="00B0493F"/>
    <w:rsid w:val="00B0547B"/>
    <w:rsid w:val="00B054BF"/>
    <w:rsid w:val="00B061E9"/>
    <w:rsid w:val="00B07DE8"/>
    <w:rsid w:val="00B13001"/>
    <w:rsid w:val="00B14FD8"/>
    <w:rsid w:val="00B153F5"/>
    <w:rsid w:val="00B15CE7"/>
    <w:rsid w:val="00B17683"/>
    <w:rsid w:val="00B20BF9"/>
    <w:rsid w:val="00B228AA"/>
    <w:rsid w:val="00B25974"/>
    <w:rsid w:val="00B30D42"/>
    <w:rsid w:val="00B33414"/>
    <w:rsid w:val="00B34A09"/>
    <w:rsid w:val="00B34A90"/>
    <w:rsid w:val="00B3634B"/>
    <w:rsid w:val="00B36B26"/>
    <w:rsid w:val="00B36F45"/>
    <w:rsid w:val="00B37A7D"/>
    <w:rsid w:val="00B4544B"/>
    <w:rsid w:val="00B45EAB"/>
    <w:rsid w:val="00B47A98"/>
    <w:rsid w:val="00B47BCB"/>
    <w:rsid w:val="00B533D5"/>
    <w:rsid w:val="00B557F5"/>
    <w:rsid w:val="00B564A4"/>
    <w:rsid w:val="00B56882"/>
    <w:rsid w:val="00B57B6F"/>
    <w:rsid w:val="00B60D7B"/>
    <w:rsid w:val="00B6176D"/>
    <w:rsid w:val="00B62FDD"/>
    <w:rsid w:val="00B6693F"/>
    <w:rsid w:val="00B66E44"/>
    <w:rsid w:val="00B70F5F"/>
    <w:rsid w:val="00B75BD8"/>
    <w:rsid w:val="00B76B96"/>
    <w:rsid w:val="00B832B2"/>
    <w:rsid w:val="00B9616D"/>
    <w:rsid w:val="00BA14AF"/>
    <w:rsid w:val="00BA2D16"/>
    <w:rsid w:val="00BA61E0"/>
    <w:rsid w:val="00BA739F"/>
    <w:rsid w:val="00BA7C91"/>
    <w:rsid w:val="00BB7CC2"/>
    <w:rsid w:val="00BD2687"/>
    <w:rsid w:val="00BD4BD6"/>
    <w:rsid w:val="00BE289D"/>
    <w:rsid w:val="00BE4934"/>
    <w:rsid w:val="00BE546B"/>
    <w:rsid w:val="00BE6EC7"/>
    <w:rsid w:val="00BF0FF6"/>
    <w:rsid w:val="00BF306A"/>
    <w:rsid w:val="00C01F3C"/>
    <w:rsid w:val="00C028BE"/>
    <w:rsid w:val="00C0759E"/>
    <w:rsid w:val="00C10914"/>
    <w:rsid w:val="00C1549D"/>
    <w:rsid w:val="00C21534"/>
    <w:rsid w:val="00C24753"/>
    <w:rsid w:val="00C24BE8"/>
    <w:rsid w:val="00C25C85"/>
    <w:rsid w:val="00C30D8F"/>
    <w:rsid w:val="00C31929"/>
    <w:rsid w:val="00C31BE0"/>
    <w:rsid w:val="00C35365"/>
    <w:rsid w:val="00C43C33"/>
    <w:rsid w:val="00C5161E"/>
    <w:rsid w:val="00C5339A"/>
    <w:rsid w:val="00C53C0A"/>
    <w:rsid w:val="00C62C02"/>
    <w:rsid w:val="00C647DB"/>
    <w:rsid w:val="00C64A50"/>
    <w:rsid w:val="00C6643C"/>
    <w:rsid w:val="00C66E1D"/>
    <w:rsid w:val="00C720E1"/>
    <w:rsid w:val="00C72E3A"/>
    <w:rsid w:val="00C74C57"/>
    <w:rsid w:val="00C814E8"/>
    <w:rsid w:val="00C85E29"/>
    <w:rsid w:val="00C85ED9"/>
    <w:rsid w:val="00C909E0"/>
    <w:rsid w:val="00C93242"/>
    <w:rsid w:val="00C955D3"/>
    <w:rsid w:val="00C959B9"/>
    <w:rsid w:val="00C95B7F"/>
    <w:rsid w:val="00CA1A16"/>
    <w:rsid w:val="00CA41B3"/>
    <w:rsid w:val="00CA7896"/>
    <w:rsid w:val="00CB3233"/>
    <w:rsid w:val="00CB515B"/>
    <w:rsid w:val="00CB725E"/>
    <w:rsid w:val="00CC525D"/>
    <w:rsid w:val="00CD190E"/>
    <w:rsid w:val="00CD227D"/>
    <w:rsid w:val="00CD3840"/>
    <w:rsid w:val="00CD5057"/>
    <w:rsid w:val="00CD664E"/>
    <w:rsid w:val="00CD6ECC"/>
    <w:rsid w:val="00CD7EA8"/>
    <w:rsid w:val="00CE4930"/>
    <w:rsid w:val="00CE580B"/>
    <w:rsid w:val="00CF1F10"/>
    <w:rsid w:val="00CF5F80"/>
    <w:rsid w:val="00CF78CE"/>
    <w:rsid w:val="00D02A00"/>
    <w:rsid w:val="00D0415C"/>
    <w:rsid w:val="00D128D8"/>
    <w:rsid w:val="00D15335"/>
    <w:rsid w:val="00D21D5F"/>
    <w:rsid w:val="00D244B2"/>
    <w:rsid w:val="00D24FE9"/>
    <w:rsid w:val="00D2570A"/>
    <w:rsid w:val="00D25DEB"/>
    <w:rsid w:val="00D34C78"/>
    <w:rsid w:val="00D34D84"/>
    <w:rsid w:val="00D37513"/>
    <w:rsid w:val="00D404F2"/>
    <w:rsid w:val="00D47AFE"/>
    <w:rsid w:val="00D51CEF"/>
    <w:rsid w:val="00D6079B"/>
    <w:rsid w:val="00D636DE"/>
    <w:rsid w:val="00D642AC"/>
    <w:rsid w:val="00D648A1"/>
    <w:rsid w:val="00D7457E"/>
    <w:rsid w:val="00D769E0"/>
    <w:rsid w:val="00D81C2E"/>
    <w:rsid w:val="00D8297A"/>
    <w:rsid w:val="00D83246"/>
    <w:rsid w:val="00D8352D"/>
    <w:rsid w:val="00D83C50"/>
    <w:rsid w:val="00D84280"/>
    <w:rsid w:val="00D85026"/>
    <w:rsid w:val="00D87FE4"/>
    <w:rsid w:val="00D964B4"/>
    <w:rsid w:val="00D979B1"/>
    <w:rsid w:val="00DA30E7"/>
    <w:rsid w:val="00DB1B91"/>
    <w:rsid w:val="00DB5A10"/>
    <w:rsid w:val="00DC6081"/>
    <w:rsid w:val="00DD091D"/>
    <w:rsid w:val="00DD214F"/>
    <w:rsid w:val="00DD4FDC"/>
    <w:rsid w:val="00DD5BCB"/>
    <w:rsid w:val="00DE0357"/>
    <w:rsid w:val="00DE2715"/>
    <w:rsid w:val="00DE5270"/>
    <w:rsid w:val="00DE5981"/>
    <w:rsid w:val="00DE7CBB"/>
    <w:rsid w:val="00DF1BDF"/>
    <w:rsid w:val="00DF2BB2"/>
    <w:rsid w:val="00DF3BAC"/>
    <w:rsid w:val="00E11963"/>
    <w:rsid w:val="00E1330A"/>
    <w:rsid w:val="00E140EC"/>
    <w:rsid w:val="00E17062"/>
    <w:rsid w:val="00E2146A"/>
    <w:rsid w:val="00E21CBC"/>
    <w:rsid w:val="00E21CCC"/>
    <w:rsid w:val="00E224F5"/>
    <w:rsid w:val="00E25634"/>
    <w:rsid w:val="00E312A8"/>
    <w:rsid w:val="00E31750"/>
    <w:rsid w:val="00E33DD2"/>
    <w:rsid w:val="00E34400"/>
    <w:rsid w:val="00E345B3"/>
    <w:rsid w:val="00E42BA3"/>
    <w:rsid w:val="00E442D6"/>
    <w:rsid w:val="00E45835"/>
    <w:rsid w:val="00E506EA"/>
    <w:rsid w:val="00E51AD8"/>
    <w:rsid w:val="00E52EEE"/>
    <w:rsid w:val="00E53F7D"/>
    <w:rsid w:val="00E561B8"/>
    <w:rsid w:val="00E565BB"/>
    <w:rsid w:val="00E565F7"/>
    <w:rsid w:val="00E610F3"/>
    <w:rsid w:val="00E7128E"/>
    <w:rsid w:val="00E713C2"/>
    <w:rsid w:val="00E719CD"/>
    <w:rsid w:val="00E71B49"/>
    <w:rsid w:val="00E7218C"/>
    <w:rsid w:val="00E72F3B"/>
    <w:rsid w:val="00E75B8A"/>
    <w:rsid w:val="00E77BCC"/>
    <w:rsid w:val="00E81B50"/>
    <w:rsid w:val="00E851D1"/>
    <w:rsid w:val="00E85983"/>
    <w:rsid w:val="00E93DA4"/>
    <w:rsid w:val="00EA22F7"/>
    <w:rsid w:val="00EA27ED"/>
    <w:rsid w:val="00EA2BDE"/>
    <w:rsid w:val="00EA3303"/>
    <w:rsid w:val="00EA3A0A"/>
    <w:rsid w:val="00EA441E"/>
    <w:rsid w:val="00EA60DF"/>
    <w:rsid w:val="00EA6181"/>
    <w:rsid w:val="00EB1D15"/>
    <w:rsid w:val="00EB789A"/>
    <w:rsid w:val="00EC5395"/>
    <w:rsid w:val="00EC56BD"/>
    <w:rsid w:val="00ED2654"/>
    <w:rsid w:val="00ED3136"/>
    <w:rsid w:val="00ED462A"/>
    <w:rsid w:val="00ED6063"/>
    <w:rsid w:val="00ED62FC"/>
    <w:rsid w:val="00ED6F19"/>
    <w:rsid w:val="00ED72D5"/>
    <w:rsid w:val="00EE53DF"/>
    <w:rsid w:val="00EE5CFF"/>
    <w:rsid w:val="00EE6E11"/>
    <w:rsid w:val="00EE773C"/>
    <w:rsid w:val="00EE79D1"/>
    <w:rsid w:val="00EF0A8F"/>
    <w:rsid w:val="00EF0BD7"/>
    <w:rsid w:val="00EF4BBB"/>
    <w:rsid w:val="00EF6CE0"/>
    <w:rsid w:val="00EF6FBD"/>
    <w:rsid w:val="00EF7B97"/>
    <w:rsid w:val="00F00F49"/>
    <w:rsid w:val="00F032E9"/>
    <w:rsid w:val="00F107B2"/>
    <w:rsid w:val="00F11C76"/>
    <w:rsid w:val="00F132D8"/>
    <w:rsid w:val="00F17237"/>
    <w:rsid w:val="00F207FF"/>
    <w:rsid w:val="00F24563"/>
    <w:rsid w:val="00F25A75"/>
    <w:rsid w:val="00F30505"/>
    <w:rsid w:val="00F31E97"/>
    <w:rsid w:val="00F322DC"/>
    <w:rsid w:val="00F35932"/>
    <w:rsid w:val="00F37DE2"/>
    <w:rsid w:val="00F41AA7"/>
    <w:rsid w:val="00F43063"/>
    <w:rsid w:val="00F43707"/>
    <w:rsid w:val="00F451C0"/>
    <w:rsid w:val="00F4745C"/>
    <w:rsid w:val="00F52F3C"/>
    <w:rsid w:val="00F54C94"/>
    <w:rsid w:val="00F56CD9"/>
    <w:rsid w:val="00F56F00"/>
    <w:rsid w:val="00F60EE3"/>
    <w:rsid w:val="00F64C29"/>
    <w:rsid w:val="00F65219"/>
    <w:rsid w:val="00F754EB"/>
    <w:rsid w:val="00F77F6A"/>
    <w:rsid w:val="00F8087B"/>
    <w:rsid w:val="00F82D10"/>
    <w:rsid w:val="00F847A2"/>
    <w:rsid w:val="00F84ACF"/>
    <w:rsid w:val="00F863E1"/>
    <w:rsid w:val="00F86E5E"/>
    <w:rsid w:val="00F90913"/>
    <w:rsid w:val="00F914A7"/>
    <w:rsid w:val="00F91F22"/>
    <w:rsid w:val="00F92A5A"/>
    <w:rsid w:val="00F9396D"/>
    <w:rsid w:val="00F93E09"/>
    <w:rsid w:val="00F95069"/>
    <w:rsid w:val="00FA0A58"/>
    <w:rsid w:val="00FA0D88"/>
    <w:rsid w:val="00FA2D87"/>
    <w:rsid w:val="00FA42B1"/>
    <w:rsid w:val="00FB0FD9"/>
    <w:rsid w:val="00FB1066"/>
    <w:rsid w:val="00FB1B0B"/>
    <w:rsid w:val="00FB1FB8"/>
    <w:rsid w:val="00FB603D"/>
    <w:rsid w:val="00FC05D6"/>
    <w:rsid w:val="00FC560E"/>
    <w:rsid w:val="00FD38F7"/>
    <w:rsid w:val="00FD4537"/>
    <w:rsid w:val="00FD5493"/>
    <w:rsid w:val="00FD6F83"/>
    <w:rsid w:val="00FE69A5"/>
    <w:rsid w:val="00FE769D"/>
    <w:rsid w:val="00FF0708"/>
    <w:rsid w:val="00FF23E9"/>
    <w:rsid w:val="00FF43E5"/>
    <w:rsid w:val="00FF47E3"/>
    <w:rsid w:val="00FF5315"/>
    <w:rsid w:val="00FF591D"/>
    <w:rsid w:val="00FF6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56"/>
  </w:style>
  <w:style w:type="paragraph" w:styleId="Heading1">
    <w:name w:val="heading 1"/>
    <w:basedOn w:val="Normal"/>
    <w:next w:val="Normal"/>
    <w:link w:val="Heading1Char"/>
    <w:uiPriority w:val="9"/>
    <w:qFormat/>
    <w:rsid w:val="009067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89D"/>
    <w:pPr>
      <w:ind w:left="720"/>
      <w:contextualSpacing/>
    </w:pPr>
  </w:style>
  <w:style w:type="paragraph" w:styleId="Header">
    <w:name w:val="header"/>
    <w:basedOn w:val="Normal"/>
    <w:link w:val="HeaderChar"/>
    <w:uiPriority w:val="99"/>
    <w:unhideWhenUsed/>
    <w:rsid w:val="00E21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46A"/>
  </w:style>
  <w:style w:type="paragraph" w:styleId="Footer">
    <w:name w:val="footer"/>
    <w:basedOn w:val="Normal"/>
    <w:link w:val="FooterChar"/>
    <w:uiPriority w:val="99"/>
    <w:unhideWhenUsed/>
    <w:rsid w:val="00E21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46A"/>
  </w:style>
  <w:style w:type="table" w:customStyle="1" w:styleId="TableGrid5">
    <w:name w:val="Table Grid5"/>
    <w:basedOn w:val="TableNormal"/>
    <w:next w:val="TableGrid"/>
    <w:uiPriority w:val="39"/>
    <w:rsid w:val="00696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696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3FD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3634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23462C"/>
    <w:rPr>
      <w:sz w:val="16"/>
      <w:szCs w:val="16"/>
    </w:rPr>
  </w:style>
  <w:style w:type="paragraph" w:styleId="CommentText">
    <w:name w:val="annotation text"/>
    <w:basedOn w:val="Normal"/>
    <w:link w:val="CommentTextChar"/>
    <w:uiPriority w:val="99"/>
    <w:semiHidden/>
    <w:unhideWhenUsed/>
    <w:rsid w:val="0023462C"/>
    <w:pPr>
      <w:spacing w:line="240" w:lineRule="auto"/>
    </w:pPr>
    <w:rPr>
      <w:sz w:val="20"/>
      <w:szCs w:val="20"/>
    </w:rPr>
  </w:style>
  <w:style w:type="character" w:customStyle="1" w:styleId="CommentTextChar">
    <w:name w:val="Comment Text Char"/>
    <w:basedOn w:val="DefaultParagraphFont"/>
    <w:link w:val="CommentText"/>
    <w:uiPriority w:val="99"/>
    <w:semiHidden/>
    <w:rsid w:val="0023462C"/>
    <w:rPr>
      <w:sz w:val="20"/>
      <w:szCs w:val="20"/>
    </w:rPr>
  </w:style>
  <w:style w:type="paragraph" w:styleId="CommentSubject">
    <w:name w:val="annotation subject"/>
    <w:basedOn w:val="CommentText"/>
    <w:next w:val="CommentText"/>
    <w:link w:val="CommentSubjectChar"/>
    <w:uiPriority w:val="99"/>
    <w:semiHidden/>
    <w:unhideWhenUsed/>
    <w:rsid w:val="0023462C"/>
    <w:rPr>
      <w:b/>
      <w:bCs/>
    </w:rPr>
  </w:style>
  <w:style w:type="character" w:customStyle="1" w:styleId="CommentSubjectChar">
    <w:name w:val="Comment Subject Char"/>
    <w:basedOn w:val="CommentTextChar"/>
    <w:link w:val="CommentSubject"/>
    <w:uiPriority w:val="99"/>
    <w:semiHidden/>
    <w:rsid w:val="0023462C"/>
    <w:rPr>
      <w:b/>
      <w:bCs/>
      <w:sz w:val="20"/>
      <w:szCs w:val="20"/>
    </w:rPr>
  </w:style>
  <w:style w:type="paragraph" w:styleId="BalloonText">
    <w:name w:val="Balloon Text"/>
    <w:basedOn w:val="Normal"/>
    <w:link w:val="BalloonTextChar"/>
    <w:uiPriority w:val="99"/>
    <w:semiHidden/>
    <w:unhideWhenUsed/>
    <w:rsid w:val="00234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62C"/>
    <w:rPr>
      <w:rFonts w:ascii="Segoe UI" w:hAnsi="Segoe UI" w:cs="Segoe UI"/>
      <w:sz w:val="18"/>
      <w:szCs w:val="18"/>
    </w:rPr>
  </w:style>
  <w:style w:type="paragraph" w:styleId="FootnoteText">
    <w:name w:val="footnote text"/>
    <w:aliases w:val="Footnote Text Char1,Footnote Text Char Char,fn Char"/>
    <w:basedOn w:val="Normal"/>
    <w:link w:val="FootnoteTextChar"/>
    <w:uiPriority w:val="99"/>
    <w:unhideWhenUsed/>
    <w:rsid w:val="007229C7"/>
    <w:pPr>
      <w:spacing w:after="0" w:line="240" w:lineRule="auto"/>
      <w:contextualSpacing/>
      <w:jc w:val="both"/>
    </w:pPr>
    <w:rPr>
      <w:rFonts w:ascii="Arial" w:hAnsi="Arial"/>
      <w:sz w:val="20"/>
      <w:szCs w:val="20"/>
    </w:rPr>
  </w:style>
  <w:style w:type="character" w:customStyle="1" w:styleId="FootnoteTextChar">
    <w:name w:val="Footnote Text Char"/>
    <w:aliases w:val="Footnote Text Char1 Char,Footnote Text Char Char Char,fn Char Char"/>
    <w:basedOn w:val="DefaultParagraphFont"/>
    <w:link w:val="FootnoteText"/>
    <w:uiPriority w:val="99"/>
    <w:rsid w:val="007229C7"/>
    <w:rPr>
      <w:rFonts w:ascii="Arial" w:hAnsi="Arial"/>
      <w:sz w:val="20"/>
      <w:szCs w:val="20"/>
    </w:rPr>
  </w:style>
  <w:style w:type="character" w:styleId="FootnoteReference">
    <w:name w:val="footnote reference"/>
    <w:uiPriority w:val="99"/>
    <w:rsid w:val="007229C7"/>
    <w:rPr>
      <w:vertAlign w:val="superscript"/>
    </w:rPr>
  </w:style>
  <w:style w:type="table" w:customStyle="1" w:styleId="TableGrid1">
    <w:name w:val="Table Grid1"/>
    <w:basedOn w:val="TableNormal"/>
    <w:next w:val="TableGrid"/>
    <w:uiPriority w:val="39"/>
    <w:rsid w:val="007B5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D3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56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ED3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06728"/>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94642355">
      <w:bodyDiv w:val="1"/>
      <w:marLeft w:val="0"/>
      <w:marRight w:val="0"/>
      <w:marTop w:val="0"/>
      <w:marBottom w:val="0"/>
      <w:divBdr>
        <w:top w:val="none" w:sz="0" w:space="0" w:color="auto"/>
        <w:left w:val="none" w:sz="0" w:space="0" w:color="auto"/>
        <w:bottom w:val="none" w:sz="0" w:space="0" w:color="auto"/>
        <w:right w:val="none" w:sz="0" w:space="0" w:color="auto"/>
      </w:divBdr>
      <w:divsChild>
        <w:div w:id="861699474">
          <w:marLeft w:val="0"/>
          <w:marRight w:val="0"/>
          <w:marTop w:val="0"/>
          <w:marBottom w:val="0"/>
          <w:divBdr>
            <w:top w:val="none" w:sz="0" w:space="0" w:color="auto"/>
            <w:left w:val="none" w:sz="0" w:space="0" w:color="auto"/>
            <w:bottom w:val="none" w:sz="0" w:space="0" w:color="auto"/>
            <w:right w:val="none" w:sz="0" w:space="0" w:color="auto"/>
          </w:divBdr>
          <w:divsChild>
            <w:div w:id="1666208315">
              <w:marLeft w:val="-113"/>
              <w:marRight w:val="-113"/>
              <w:marTop w:val="0"/>
              <w:marBottom w:val="0"/>
              <w:divBdr>
                <w:top w:val="none" w:sz="0" w:space="0" w:color="auto"/>
                <w:left w:val="none" w:sz="0" w:space="0" w:color="auto"/>
                <w:bottom w:val="none" w:sz="0" w:space="0" w:color="auto"/>
                <w:right w:val="none" w:sz="0" w:space="0" w:color="auto"/>
              </w:divBdr>
              <w:divsChild>
                <w:div w:id="602497547">
                  <w:marLeft w:val="0"/>
                  <w:marRight w:val="0"/>
                  <w:marTop w:val="0"/>
                  <w:marBottom w:val="0"/>
                  <w:divBdr>
                    <w:top w:val="none" w:sz="0" w:space="0" w:color="auto"/>
                    <w:left w:val="none" w:sz="0" w:space="0" w:color="auto"/>
                    <w:bottom w:val="none" w:sz="0" w:space="0" w:color="auto"/>
                    <w:right w:val="none" w:sz="0" w:space="0" w:color="auto"/>
                  </w:divBdr>
                  <w:divsChild>
                    <w:div w:id="845899390">
                      <w:marLeft w:val="0"/>
                      <w:marRight w:val="0"/>
                      <w:marTop w:val="0"/>
                      <w:marBottom w:val="0"/>
                      <w:divBdr>
                        <w:top w:val="none" w:sz="0" w:space="0" w:color="auto"/>
                        <w:left w:val="none" w:sz="0" w:space="0" w:color="auto"/>
                        <w:bottom w:val="none" w:sz="0" w:space="0" w:color="auto"/>
                        <w:right w:val="none" w:sz="0" w:space="0" w:color="auto"/>
                      </w:divBdr>
                      <w:divsChild>
                        <w:div w:id="1149397581">
                          <w:marLeft w:val="0"/>
                          <w:marRight w:val="0"/>
                          <w:marTop w:val="0"/>
                          <w:marBottom w:val="0"/>
                          <w:divBdr>
                            <w:top w:val="none" w:sz="0" w:space="0" w:color="auto"/>
                            <w:left w:val="none" w:sz="0" w:space="0" w:color="auto"/>
                            <w:bottom w:val="none" w:sz="0" w:space="0" w:color="auto"/>
                            <w:right w:val="none" w:sz="0" w:space="0" w:color="auto"/>
                          </w:divBdr>
                          <w:divsChild>
                            <w:div w:id="1023095690">
                              <w:marLeft w:val="0"/>
                              <w:marRight w:val="0"/>
                              <w:marTop w:val="0"/>
                              <w:marBottom w:val="0"/>
                              <w:divBdr>
                                <w:top w:val="none" w:sz="0" w:space="0" w:color="auto"/>
                                <w:left w:val="none" w:sz="0" w:space="0" w:color="auto"/>
                                <w:bottom w:val="none" w:sz="0" w:space="0" w:color="auto"/>
                                <w:right w:val="none" w:sz="0" w:space="0" w:color="auto"/>
                              </w:divBdr>
                              <w:divsChild>
                                <w:div w:id="1290698619">
                                  <w:marLeft w:val="0"/>
                                  <w:marRight w:val="0"/>
                                  <w:marTop w:val="0"/>
                                  <w:marBottom w:val="0"/>
                                  <w:divBdr>
                                    <w:top w:val="none" w:sz="0" w:space="0" w:color="auto"/>
                                    <w:left w:val="none" w:sz="0" w:space="0" w:color="auto"/>
                                    <w:bottom w:val="none" w:sz="0" w:space="0" w:color="auto"/>
                                    <w:right w:val="none" w:sz="0" w:space="0" w:color="auto"/>
                                  </w:divBdr>
                                  <w:divsChild>
                                    <w:div w:id="381757041">
                                      <w:marLeft w:val="0"/>
                                      <w:marRight w:val="0"/>
                                      <w:marTop w:val="0"/>
                                      <w:marBottom w:val="0"/>
                                      <w:divBdr>
                                        <w:top w:val="none" w:sz="0" w:space="0" w:color="auto"/>
                                        <w:left w:val="none" w:sz="0" w:space="0" w:color="auto"/>
                                        <w:bottom w:val="none" w:sz="0" w:space="0" w:color="auto"/>
                                        <w:right w:val="none" w:sz="0" w:space="0" w:color="auto"/>
                                      </w:divBdr>
                                      <w:divsChild>
                                        <w:div w:id="136118399">
                                          <w:marLeft w:val="0"/>
                                          <w:marRight w:val="0"/>
                                          <w:marTop w:val="0"/>
                                          <w:marBottom w:val="0"/>
                                          <w:divBdr>
                                            <w:top w:val="none" w:sz="0" w:space="0" w:color="auto"/>
                                            <w:left w:val="none" w:sz="0" w:space="0" w:color="auto"/>
                                            <w:bottom w:val="none" w:sz="0" w:space="0" w:color="auto"/>
                                            <w:right w:val="none" w:sz="0" w:space="0" w:color="auto"/>
                                          </w:divBdr>
                                          <w:divsChild>
                                            <w:div w:id="52506070">
                                              <w:marLeft w:val="0"/>
                                              <w:marRight w:val="0"/>
                                              <w:marTop w:val="0"/>
                                              <w:marBottom w:val="0"/>
                                              <w:divBdr>
                                                <w:top w:val="none" w:sz="0" w:space="0" w:color="auto"/>
                                                <w:left w:val="none" w:sz="0" w:space="0" w:color="auto"/>
                                                <w:bottom w:val="none" w:sz="0" w:space="0" w:color="auto"/>
                                                <w:right w:val="none" w:sz="0" w:space="0" w:color="auto"/>
                                              </w:divBdr>
                                              <w:divsChild>
                                                <w:div w:id="539245519">
                                                  <w:marLeft w:val="0"/>
                                                  <w:marRight w:val="0"/>
                                                  <w:marTop w:val="0"/>
                                                  <w:marBottom w:val="0"/>
                                                  <w:divBdr>
                                                    <w:top w:val="none" w:sz="0" w:space="0" w:color="auto"/>
                                                    <w:left w:val="none" w:sz="0" w:space="0" w:color="auto"/>
                                                    <w:bottom w:val="none" w:sz="0" w:space="0" w:color="auto"/>
                                                    <w:right w:val="none" w:sz="0" w:space="0" w:color="auto"/>
                                                  </w:divBdr>
                                                  <w:divsChild>
                                                    <w:div w:id="1743748272">
                                                      <w:marLeft w:val="0"/>
                                                      <w:marRight w:val="0"/>
                                                      <w:marTop w:val="0"/>
                                                      <w:marBottom w:val="0"/>
                                                      <w:divBdr>
                                                        <w:top w:val="none" w:sz="0" w:space="0" w:color="auto"/>
                                                        <w:left w:val="none" w:sz="0" w:space="0" w:color="auto"/>
                                                        <w:bottom w:val="none" w:sz="0" w:space="0" w:color="auto"/>
                                                        <w:right w:val="none" w:sz="0" w:space="0" w:color="auto"/>
                                                      </w:divBdr>
                                                      <w:divsChild>
                                                        <w:div w:id="7702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1981">
      <w:bodyDiv w:val="1"/>
      <w:marLeft w:val="0"/>
      <w:marRight w:val="0"/>
      <w:marTop w:val="0"/>
      <w:marBottom w:val="0"/>
      <w:divBdr>
        <w:top w:val="none" w:sz="0" w:space="0" w:color="auto"/>
        <w:left w:val="none" w:sz="0" w:space="0" w:color="auto"/>
        <w:bottom w:val="none" w:sz="0" w:space="0" w:color="auto"/>
        <w:right w:val="none" w:sz="0" w:space="0" w:color="auto"/>
      </w:divBdr>
    </w:div>
    <w:div w:id="109665390">
      <w:bodyDiv w:val="1"/>
      <w:marLeft w:val="0"/>
      <w:marRight w:val="0"/>
      <w:marTop w:val="0"/>
      <w:marBottom w:val="0"/>
      <w:divBdr>
        <w:top w:val="none" w:sz="0" w:space="0" w:color="auto"/>
        <w:left w:val="none" w:sz="0" w:space="0" w:color="auto"/>
        <w:bottom w:val="none" w:sz="0" w:space="0" w:color="auto"/>
        <w:right w:val="none" w:sz="0" w:space="0" w:color="auto"/>
      </w:divBdr>
      <w:divsChild>
        <w:div w:id="1604805776">
          <w:marLeft w:val="446"/>
          <w:marRight w:val="0"/>
          <w:marTop w:val="0"/>
          <w:marBottom w:val="0"/>
          <w:divBdr>
            <w:top w:val="none" w:sz="0" w:space="0" w:color="auto"/>
            <w:left w:val="none" w:sz="0" w:space="0" w:color="auto"/>
            <w:bottom w:val="none" w:sz="0" w:space="0" w:color="auto"/>
            <w:right w:val="none" w:sz="0" w:space="0" w:color="auto"/>
          </w:divBdr>
        </w:div>
      </w:divsChild>
    </w:div>
    <w:div w:id="329870221">
      <w:bodyDiv w:val="1"/>
      <w:marLeft w:val="0"/>
      <w:marRight w:val="0"/>
      <w:marTop w:val="0"/>
      <w:marBottom w:val="0"/>
      <w:divBdr>
        <w:top w:val="none" w:sz="0" w:space="0" w:color="auto"/>
        <w:left w:val="none" w:sz="0" w:space="0" w:color="auto"/>
        <w:bottom w:val="none" w:sz="0" w:space="0" w:color="auto"/>
        <w:right w:val="none" w:sz="0" w:space="0" w:color="auto"/>
      </w:divBdr>
      <w:divsChild>
        <w:div w:id="91438125">
          <w:marLeft w:val="0"/>
          <w:marRight w:val="0"/>
          <w:marTop w:val="0"/>
          <w:marBottom w:val="0"/>
          <w:divBdr>
            <w:top w:val="none" w:sz="0" w:space="0" w:color="auto"/>
            <w:left w:val="none" w:sz="0" w:space="0" w:color="auto"/>
            <w:bottom w:val="none" w:sz="0" w:space="0" w:color="auto"/>
            <w:right w:val="none" w:sz="0" w:space="0" w:color="auto"/>
          </w:divBdr>
          <w:divsChild>
            <w:div w:id="237060294">
              <w:marLeft w:val="-113"/>
              <w:marRight w:val="-113"/>
              <w:marTop w:val="0"/>
              <w:marBottom w:val="0"/>
              <w:divBdr>
                <w:top w:val="none" w:sz="0" w:space="0" w:color="auto"/>
                <w:left w:val="none" w:sz="0" w:space="0" w:color="auto"/>
                <w:bottom w:val="none" w:sz="0" w:space="0" w:color="auto"/>
                <w:right w:val="none" w:sz="0" w:space="0" w:color="auto"/>
              </w:divBdr>
              <w:divsChild>
                <w:div w:id="2084836427">
                  <w:marLeft w:val="0"/>
                  <w:marRight w:val="0"/>
                  <w:marTop w:val="0"/>
                  <w:marBottom w:val="0"/>
                  <w:divBdr>
                    <w:top w:val="none" w:sz="0" w:space="0" w:color="auto"/>
                    <w:left w:val="none" w:sz="0" w:space="0" w:color="auto"/>
                    <w:bottom w:val="none" w:sz="0" w:space="0" w:color="auto"/>
                    <w:right w:val="none" w:sz="0" w:space="0" w:color="auto"/>
                  </w:divBdr>
                  <w:divsChild>
                    <w:div w:id="754941894">
                      <w:marLeft w:val="0"/>
                      <w:marRight w:val="0"/>
                      <w:marTop w:val="0"/>
                      <w:marBottom w:val="0"/>
                      <w:divBdr>
                        <w:top w:val="none" w:sz="0" w:space="0" w:color="auto"/>
                        <w:left w:val="none" w:sz="0" w:space="0" w:color="auto"/>
                        <w:bottom w:val="none" w:sz="0" w:space="0" w:color="auto"/>
                        <w:right w:val="none" w:sz="0" w:space="0" w:color="auto"/>
                      </w:divBdr>
                      <w:divsChild>
                        <w:div w:id="573929782">
                          <w:marLeft w:val="0"/>
                          <w:marRight w:val="0"/>
                          <w:marTop w:val="0"/>
                          <w:marBottom w:val="0"/>
                          <w:divBdr>
                            <w:top w:val="none" w:sz="0" w:space="0" w:color="auto"/>
                            <w:left w:val="none" w:sz="0" w:space="0" w:color="auto"/>
                            <w:bottom w:val="none" w:sz="0" w:space="0" w:color="auto"/>
                            <w:right w:val="none" w:sz="0" w:space="0" w:color="auto"/>
                          </w:divBdr>
                          <w:divsChild>
                            <w:div w:id="423841815">
                              <w:marLeft w:val="0"/>
                              <w:marRight w:val="0"/>
                              <w:marTop w:val="0"/>
                              <w:marBottom w:val="0"/>
                              <w:divBdr>
                                <w:top w:val="none" w:sz="0" w:space="0" w:color="auto"/>
                                <w:left w:val="none" w:sz="0" w:space="0" w:color="auto"/>
                                <w:bottom w:val="none" w:sz="0" w:space="0" w:color="auto"/>
                                <w:right w:val="none" w:sz="0" w:space="0" w:color="auto"/>
                              </w:divBdr>
                              <w:divsChild>
                                <w:div w:id="484392545">
                                  <w:marLeft w:val="0"/>
                                  <w:marRight w:val="0"/>
                                  <w:marTop w:val="0"/>
                                  <w:marBottom w:val="0"/>
                                  <w:divBdr>
                                    <w:top w:val="none" w:sz="0" w:space="0" w:color="auto"/>
                                    <w:left w:val="none" w:sz="0" w:space="0" w:color="auto"/>
                                    <w:bottom w:val="none" w:sz="0" w:space="0" w:color="auto"/>
                                    <w:right w:val="none" w:sz="0" w:space="0" w:color="auto"/>
                                  </w:divBdr>
                                  <w:divsChild>
                                    <w:div w:id="1619138923">
                                      <w:marLeft w:val="0"/>
                                      <w:marRight w:val="0"/>
                                      <w:marTop w:val="0"/>
                                      <w:marBottom w:val="0"/>
                                      <w:divBdr>
                                        <w:top w:val="none" w:sz="0" w:space="0" w:color="auto"/>
                                        <w:left w:val="none" w:sz="0" w:space="0" w:color="auto"/>
                                        <w:bottom w:val="none" w:sz="0" w:space="0" w:color="auto"/>
                                        <w:right w:val="none" w:sz="0" w:space="0" w:color="auto"/>
                                      </w:divBdr>
                                      <w:divsChild>
                                        <w:div w:id="1345010408">
                                          <w:marLeft w:val="0"/>
                                          <w:marRight w:val="0"/>
                                          <w:marTop w:val="0"/>
                                          <w:marBottom w:val="0"/>
                                          <w:divBdr>
                                            <w:top w:val="none" w:sz="0" w:space="0" w:color="auto"/>
                                            <w:left w:val="none" w:sz="0" w:space="0" w:color="auto"/>
                                            <w:bottom w:val="none" w:sz="0" w:space="0" w:color="auto"/>
                                            <w:right w:val="none" w:sz="0" w:space="0" w:color="auto"/>
                                          </w:divBdr>
                                          <w:divsChild>
                                            <w:div w:id="1447312337">
                                              <w:marLeft w:val="0"/>
                                              <w:marRight w:val="0"/>
                                              <w:marTop w:val="0"/>
                                              <w:marBottom w:val="0"/>
                                              <w:divBdr>
                                                <w:top w:val="none" w:sz="0" w:space="0" w:color="auto"/>
                                                <w:left w:val="none" w:sz="0" w:space="0" w:color="auto"/>
                                                <w:bottom w:val="none" w:sz="0" w:space="0" w:color="auto"/>
                                                <w:right w:val="none" w:sz="0" w:space="0" w:color="auto"/>
                                              </w:divBdr>
                                              <w:divsChild>
                                                <w:div w:id="1363242097">
                                                  <w:marLeft w:val="0"/>
                                                  <w:marRight w:val="0"/>
                                                  <w:marTop w:val="0"/>
                                                  <w:marBottom w:val="0"/>
                                                  <w:divBdr>
                                                    <w:top w:val="none" w:sz="0" w:space="0" w:color="auto"/>
                                                    <w:left w:val="none" w:sz="0" w:space="0" w:color="auto"/>
                                                    <w:bottom w:val="none" w:sz="0" w:space="0" w:color="auto"/>
                                                    <w:right w:val="none" w:sz="0" w:space="0" w:color="auto"/>
                                                  </w:divBdr>
                                                  <w:divsChild>
                                                    <w:div w:id="1679498401">
                                                      <w:marLeft w:val="0"/>
                                                      <w:marRight w:val="0"/>
                                                      <w:marTop w:val="0"/>
                                                      <w:marBottom w:val="0"/>
                                                      <w:divBdr>
                                                        <w:top w:val="none" w:sz="0" w:space="0" w:color="auto"/>
                                                        <w:left w:val="none" w:sz="0" w:space="0" w:color="auto"/>
                                                        <w:bottom w:val="none" w:sz="0" w:space="0" w:color="auto"/>
                                                        <w:right w:val="none" w:sz="0" w:space="0" w:color="auto"/>
                                                      </w:divBdr>
                                                      <w:divsChild>
                                                        <w:div w:id="13291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3887995">
      <w:bodyDiv w:val="1"/>
      <w:marLeft w:val="0"/>
      <w:marRight w:val="0"/>
      <w:marTop w:val="0"/>
      <w:marBottom w:val="0"/>
      <w:divBdr>
        <w:top w:val="none" w:sz="0" w:space="0" w:color="auto"/>
        <w:left w:val="none" w:sz="0" w:space="0" w:color="auto"/>
        <w:bottom w:val="none" w:sz="0" w:space="0" w:color="auto"/>
        <w:right w:val="none" w:sz="0" w:space="0" w:color="auto"/>
      </w:divBdr>
      <w:divsChild>
        <w:div w:id="1455058672">
          <w:marLeft w:val="0"/>
          <w:marRight w:val="0"/>
          <w:marTop w:val="0"/>
          <w:marBottom w:val="0"/>
          <w:divBdr>
            <w:top w:val="none" w:sz="0" w:space="0" w:color="auto"/>
            <w:left w:val="none" w:sz="0" w:space="0" w:color="auto"/>
            <w:bottom w:val="none" w:sz="0" w:space="0" w:color="auto"/>
            <w:right w:val="none" w:sz="0" w:space="0" w:color="auto"/>
          </w:divBdr>
          <w:divsChild>
            <w:div w:id="967396443">
              <w:marLeft w:val="-113"/>
              <w:marRight w:val="-113"/>
              <w:marTop w:val="0"/>
              <w:marBottom w:val="0"/>
              <w:divBdr>
                <w:top w:val="none" w:sz="0" w:space="0" w:color="auto"/>
                <w:left w:val="none" w:sz="0" w:space="0" w:color="auto"/>
                <w:bottom w:val="none" w:sz="0" w:space="0" w:color="auto"/>
                <w:right w:val="none" w:sz="0" w:space="0" w:color="auto"/>
              </w:divBdr>
              <w:divsChild>
                <w:div w:id="1020160959">
                  <w:marLeft w:val="0"/>
                  <w:marRight w:val="0"/>
                  <w:marTop w:val="0"/>
                  <w:marBottom w:val="0"/>
                  <w:divBdr>
                    <w:top w:val="none" w:sz="0" w:space="0" w:color="auto"/>
                    <w:left w:val="none" w:sz="0" w:space="0" w:color="auto"/>
                    <w:bottom w:val="none" w:sz="0" w:space="0" w:color="auto"/>
                    <w:right w:val="none" w:sz="0" w:space="0" w:color="auto"/>
                  </w:divBdr>
                  <w:divsChild>
                    <w:div w:id="1407335293">
                      <w:marLeft w:val="0"/>
                      <w:marRight w:val="0"/>
                      <w:marTop w:val="0"/>
                      <w:marBottom w:val="0"/>
                      <w:divBdr>
                        <w:top w:val="none" w:sz="0" w:space="0" w:color="auto"/>
                        <w:left w:val="none" w:sz="0" w:space="0" w:color="auto"/>
                        <w:bottom w:val="none" w:sz="0" w:space="0" w:color="auto"/>
                        <w:right w:val="none" w:sz="0" w:space="0" w:color="auto"/>
                      </w:divBdr>
                      <w:divsChild>
                        <w:div w:id="742878441">
                          <w:marLeft w:val="0"/>
                          <w:marRight w:val="0"/>
                          <w:marTop w:val="0"/>
                          <w:marBottom w:val="0"/>
                          <w:divBdr>
                            <w:top w:val="none" w:sz="0" w:space="0" w:color="auto"/>
                            <w:left w:val="none" w:sz="0" w:space="0" w:color="auto"/>
                            <w:bottom w:val="none" w:sz="0" w:space="0" w:color="auto"/>
                            <w:right w:val="none" w:sz="0" w:space="0" w:color="auto"/>
                          </w:divBdr>
                          <w:divsChild>
                            <w:div w:id="600141456">
                              <w:marLeft w:val="0"/>
                              <w:marRight w:val="0"/>
                              <w:marTop w:val="0"/>
                              <w:marBottom w:val="0"/>
                              <w:divBdr>
                                <w:top w:val="none" w:sz="0" w:space="0" w:color="auto"/>
                                <w:left w:val="none" w:sz="0" w:space="0" w:color="auto"/>
                                <w:bottom w:val="none" w:sz="0" w:space="0" w:color="auto"/>
                                <w:right w:val="none" w:sz="0" w:space="0" w:color="auto"/>
                              </w:divBdr>
                              <w:divsChild>
                                <w:div w:id="1974169325">
                                  <w:marLeft w:val="0"/>
                                  <w:marRight w:val="0"/>
                                  <w:marTop w:val="0"/>
                                  <w:marBottom w:val="0"/>
                                  <w:divBdr>
                                    <w:top w:val="none" w:sz="0" w:space="0" w:color="auto"/>
                                    <w:left w:val="none" w:sz="0" w:space="0" w:color="auto"/>
                                    <w:bottom w:val="none" w:sz="0" w:space="0" w:color="auto"/>
                                    <w:right w:val="none" w:sz="0" w:space="0" w:color="auto"/>
                                  </w:divBdr>
                                  <w:divsChild>
                                    <w:div w:id="1235118501">
                                      <w:marLeft w:val="0"/>
                                      <w:marRight w:val="0"/>
                                      <w:marTop w:val="0"/>
                                      <w:marBottom w:val="0"/>
                                      <w:divBdr>
                                        <w:top w:val="none" w:sz="0" w:space="0" w:color="auto"/>
                                        <w:left w:val="none" w:sz="0" w:space="0" w:color="auto"/>
                                        <w:bottom w:val="none" w:sz="0" w:space="0" w:color="auto"/>
                                        <w:right w:val="none" w:sz="0" w:space="0" w:color="auto"/>
                                      </w:divBdr>
                                      <w:divsChild>
                                        <w:div w:id="1164584578">
                                          <w:marLeft w:val="0"/>
                                          <w:marRight w:val="0"/>
                                          <w:marTop w:val="0"/>
                                          <w:marBottom w:val="0"/>
                                          <w:divBdr>
                                            <w:top w:val="none" w:sz="0" w:space="0" w:color="auto"/>
                                            <w:left w:val="none" w:sz="0" w:space="0" w:color="auto"/>
                                            <w:bottom w:val="none" w:sz="0" w:space="0" w:color="auto"/>
                                            <w:right w:val="none" w:sz="0" w:space="0" w:color="auto"/>
                                          </w:divBdr>
                                          <w:divsChild>
                                            <w:div w:id="1566836731">
                                              <w:marLeft w:val="0"/>
                                              <w:marRight w:val="0"/>
                                              <w:marTop w:val="0"/>
                                              <w:marBottom w:val="0"/>
                                              <w:divBdr>
                                                <w:top w:val="none" w:sz="0" w:space="0" w:color="auto"/>
                                                <w:left w:val="none" w:sz="0" w:space="0" w:color="auto"/>
                                                <w:bottom w:val="none" w:sz="0" w:space="0" w:color="auto"/>
                                                <w:right w:val="none" w:sz="0" w:space="0" w:color="auto"/>
                                              </w:divBdr>
                                              <w:divsChild>
                                                <w:div w:id="1451587645">
                                                  <w:marLeft w:val="0"/>
                                                  <w:marRight w:val="0"/>
                                                  <w:marTop w:val="0"/>
                                                  <w:marBottom w:val="0"/>
                                                  <w:divBdr>
                                                    <w:top w:val="none" w:sz="0" w:space="0" w:color="auto"/>
                                                    <w:left w:val="none" w:sz="0" w:space="0" w:color="auto"/>
                                                    <w:bottom w:val="none" w:sz="0" w:space="0" w:color="auto"/>
                                                    <w:right w:val="none" w:sz="0" w:space="0" w:color="auto"/>
                                                  </w:divBdr>
                                                  <w:divsChild>
                                                    <w:div w:id="1919092322">
                                                      <w:marLeft w:val="0"/>
                                                      <w:marRight w:val="0"/>
                                                      <w:marTop w:val="0"/>
                                                      <w:marBottom w:val="0"/>
                                                      <w:divBdr>
                                                        <w:top w:val="none" w:sz="0" w:space="0" w:color="auto"/>
                                                        <w:left w:val="none" w:sz="0" w:space="0" w:color="auto"/>
                                                        <w:bottom w:val="none" w:sz="0" w:space="0" w:color="auto"/>
                                                        <w:right w:val="none" w:sz="0" w:space="0" w:color="auto"/>
                                                      </w:divBdr>
                                                      <w:divsChild>
                                                        <w:div w:id="1161115435">
                                                          <w:marLeft w:val="0"/>
                                                          <w:marRight w:val="0"/>
                                                          <w:marTop w:val="0"/>
                                                          <w:marBottom w:val="0"/>
                                                          <w:divBdr>
                                                            <w:top w:val="none" w:sz="0" w:space="0" w:color="auto"/>
                                                            <w:left w:val="none" w:sz="0" w:space="0" w:color="auto"/>
                                                            <w:bottom w:val="none" w:sz="0" w:space="0" w:color="auto"/>
                                                            <w:right w:val="none" w:sz="0" w:space="0" w:color="auto"/>
                                                          </w:divBdr>
                                                          <w:divsChild>
                                                            <w:div w:id="8607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1848830">
      <w:bodyDiv w:val="1"/>
      <w:marLeft w:val="0"/>
      <w:marRight w:val="0"/>
      <w:marTop w:val="0"/>
      <w:marBottom w:val="0"/>
      <w:divBdr>
        <w:top w:val="none" w:sz="0" w:space="0" w:color="auto"/>
        <w:left w:val="none" w:sz="0" w:space="0" w:color="auto"/>
        <w:bottom w:val="none" w:sz="0" w:space="0" w:color="auto"/>
        <w:right w:val="none" w:sz="0" w:space="0" w:color="auto"/>
      </w:divBdr>
      <w:divsChild>
        <w:div w:id="1561869120">
          <w:marLeft w:val="0"/>
          <w:marRight w:val="0"/>
          <w:marTop w:val="0"/>
          <w:marBottom w:val="0"/>
          <w:divBdr>
            <w:top w:val="none" w:sz="0" w:space="0" w:color="auto"/>
            <w:left w:val="none" w:sz="0" w:space="0" w:color="auto"/>
            <w:bottom w:val="none" w:sz="0" w:space="0" w:color="auto"/>
            <w:right w:val="none" w:sz="0" w:space="0" w:color="auto"/>
          </w:divBdr>
          <w:divsChild>
            <w:div w:id="1516336776">
              <w:marLeft w:val="-113"/>
              <w:marRight w:val="-113"/>
              <w:marTop w:val="0"/>
              <w:marBottom w:val="0"/>
              <w:divBdr>
                <w:top w:val="none" w:sz="0" w:space="0" w:color="auto"/>
                <w:left w:val="none" w:sz="0" w:space="0" w:color="auto"/>
                <w:bottom w:val="none" w:sz="0" w:space="0" w:color="auto"/>
                <w:right w:val="none" w:sz="0" w:space="0" w:color="auto"/>
              </w:divBdr>
              <w:divsChild>
                <w:div w:id="737433922">
                  <w:marLeft w:val="0"/>
                  <w:marRight w:val="0"/>
                  <w:marTop w:val="0"/>
                  <w:marBottom w:val="0"/>
                  <w:divBdr>
                    <w:top w:val="none" w:sz="0" w:space="0" w:color="auto"/>
                    <w:left w:val="none" w:sz="0" w:space="0" w:color="auto"/>
                    <w:bottom w:val="none" w:sz="0" w:space="0" w:color="auto"/>
                    <w:right w:val="none" w:sz="0" w:space="0" w:color="auto"/>
                  </w:divBdr>
                  <w:divsChild>
                    <w:div w:id="382558963">
                      <w:marLeft w:val="0"/>
                      <w:marRight w:val="0"/>
                      <w:marTop w:val="0"/>
                      <w:marBottom w:val="0"/>
                      <w:divBdr>
                        <w:top w:val="none" w:sz="0" w:space="0" w:color="auto"/>
                        <w:left w:val="none" w:sz="0" w:space="0" w:color="auto"/>
                        <w:bottom w:val="none" w:sz="0" w:space="0" w:color="auto"/>
                        <w:right w:val="none" w:sz="0" w:space="0" w:color="auto"/>
                      </w:divBdr>
                      <w:divsChild>
                        <w:div w:id="533344390">
                          <w:marLeft w:val="0"/>
                          <w:marRight w:val="0"/>
                          <w:marTop w:val="0"/>
                          <w:marBottom w:val="0"/>
                          <w:divBdr>
                            <w:top w:val="none" w:sz="0" w:space="0" w:color="auto"/>
                            <w:left w:val="none" w:sz="0" w:space="0" w:color="auto"/>
                            <w:bottom w:val="none" w:sz="0" w:space="0" w:color="auto"/>
                            <w:right w:val="none" w:sz="0" w:space="0" w:color="auto"/>
                          </w:divBdr>
                          <w:divsChild>
                            <w:div w:id="1550069777">
                              <w:marLeft w:val="0"/>
                              <w:marRight w:val="0"/>
                              <w:marTop w:val="0"/>
                              <w:marBottom w:val="0"/>
                              <w:divBdr>
                                <w:top w:val="none" w:sz="0" w:space="0" w:color="auto"/>
                                <w:left w:val="none" w:sz="0" w:space="0" w:color="auto"/>
                                <w:bottom w:val="none" w:sz="0" w:space="0" w:color="auto"/>
                                <w:right w:val="none" w:sz="0" w:space="0" w:color="auto"/>
                              </w:divBdr>
                              <w:divsChild>
                                <w:div w:id="1106583733">
                                  <w:marLeft w:val="0"/>
                                  <w:marRight w:val="0"/>
                                  <w:marTop w:val="0"/>
                                  <w:marBottom w:val="0"/>
                                  <w:divBdr>
                                    <w:top w:val="none" w:sz="0" w:space="0" w:color="auto"/>
                                    <w:left w:val="none" w:sz="0" w:space="0" w:color="auto"/>
                                    <w:bottom w:val="none" w:sz="0" w:space="0" w:color="auto"/>
                                    <w:right w:val="none" w:sz="0" w:space="0" w:color="auto"/>
                                  </w:divBdr>
                                  <w:divsChild>
                                    <w:div w:id="154882215">
                                      <w:marLeft w:val="0"/>
                                      <w:marRight w:val="0"/>
                                      <w:marTop w:val="0"/>
                                      <w:marBottom w:val="0"/>
                                      <w:divBdr>
                                        <w:top w:val="none" w:sz="0" w:space="0" w:color="auto"/>
                                        <w:left w:val="none" w:sz="0" w:space="0" w:color="auto"/>
                                        <w:bottom w:val="none" w:sz="0" w:space="0" w:color="auto"/>
                                        <w:right w:val="none" w:sz="0" w:space="0" w:color="auto"/>
                                      </w:divBdr>
                                      <w:divsChild>
                                        <w:div w:id="995258826">
                                          <w:marLeft w:val="0"/>
                                          <w:marRight w:val="0"/>
                                          <w:marTop w:val="0"/>
                                          <w:marBottom w:val="0"/>
                                          <w:divBdr>
                                            <w:top w:val="none" w:sz="0" w:space="0" w:color="auto"/>
                                            <w:left w:val="none" w:sz="0" w:space="0" w:color="auto"/>
                                            <w:bottom w:val="none" w:sz="0" w:space="0" w:color="auto"/>
                                            <w:right w:val="none" w:sz="0" w:space="0" w:color="auto"/>
                                          </w:divBdr>
                                          <w:divsChild>
                                            <w:div w:id="1248880228">
                                              <w:marLeft w:val="0"/>
                                              <w:marRight w:val="0"/>
                                              <w:marTop w:val="0"/>
                                              <w:marBottom w:val="0"/>
                                              <w:divBdr>
                                                <w:top w:val="none" w:sz="0" w:space="0" w:color="auto"/>
                                                <w:left w:val="none" w:sz="0" w:space="0" w:color="auto"/>
                                                <w:bottom w:val="none" w:sz="0" w:space="0" w:color="auto"/>
                                                <w:right w:val="none" w:sz="0" w:space="0" w:color="auto"/>
                                              </w:divBdr>
                                              <w:divsChild>
                                                <w:div w:id="1451631627">
                                                  <w:marLeft w:val="0"/>
                                                  <w:marRight w:val="0"/>
                                                  <w:marTop w:val="0"/>
                                                  <w:marBottom w:val="0"/>
                                                  <w:divBdr>
                                                    <w:top w:val="none" w:sz="0" w:space="0" w:color="auto"/>
                                                    <w:left w:val="none" w:sz="0" w:space="0" w:color="auto"/>
                                                    <w:bottom w:val="none" w:sz="0" w:space="0" w:color="auto"/>
                                                    <w:right w:val="none" w:sz="0" w:space="0" w:color="auto"/>
                                                  </w:divBdr>
                                                  <w:divsChild>
                                                    <w:div w:id="1342925957">
                                                      <w:marLeft w:val="0"/>
                                                      <w:marRight w:val="0"/>
                                                      <w:marTop w:val="0"/>
                                                      <w:marBottom w:val="0"/>
                                                      <w:divBdr>
                                                        <w:top w:val="none" w:sz="0" w:space="0" w:color="auto"/>
                                                        <w:left w:val="none" w:sz="0" w:space="0" w:color="auto"/>
                                                        <w:bottom w:val="none" w:sz="0" w:space="0" w:color="auto"/>
                                                        <w:right w:val="none" w:sz="0" w:space="0" w:color="auto"/>
                                                      </w:divBdr>
                                                      <w:divsChild>
                                                        <w:div w:id="201747729">
                                                          <w:marLeft w:val="0"/>
                                                          <w:marRight w:val="0"/>
                                                          <w:marTop w:val="0"/>
                                                          <w:marBottom w:val="0"/>
                                                          <w:divBdr>
                                                            <w:top w:val="none" w:sz="0" w:space="0" w:color="auto"/>
                                                            <w:left w:val="none" w:sz="0" w:space="0" w:color="auto"/>
                                                            <w:bottom w:val="none" w:sz="0" w:space="0" w:color="auto"/>
                                                            <w:right w:val="none" w:sz="0" w:space="0" w:color="auto"/>
                                                          </w:divBdr>
                                                          <w:divsChild>
                                                            <w:div w:id="7805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7066109">
      <w:bodyDiv w:val="1"/>
      <w:marLeft w:val="0"/>
      <w:marRight w:val="0"/>
      <w:marTop w:val="0"/>
      <w:marBottom w:val="0"/>
      <w:divBdr>
        <w:top w:val="none" w:sz="0" w:space="0" w:color="auto"/>
        <w:left w:val="none" w:sz="0" w:space="0" w:color="auto"/>
        <w:bottom w:val="none" w:sz="0" w:space="0" w:color="auto"/>
        <w:right w:val="none" w:sz="0" w:space="0" w:color="auto"/>
      </w:divBdr>
    </w:div>
    <w:div w:id="1065033875">
      <w:bodyDiv w:val="1"/>
      <w:marLeft w:val="0"/>
      <w:marRight w:val="0"/>
      <w:marTop w:val="0"/>
      <w:marBottom w:val="0"/>
      <w:divBdr>
        <w:top w:val="none" w:sz="0" w:space="0" w:color="auto"/>
        <w:left w:val="none" w:sz="0" w:space="0" w:color="auto"/>
        <w:bottom w:val="none" w:sz="0" w:space="0" w:color="auto"/>
        <w:right w:val="none" w:sz="0" w:space="0" w:color="auto"/>
      </w:divBdr>
      <w:divsChild>
        <w:div w:id="1367409202">
          <w:marLeft w:val="0"/>
          <w:marRight w:val="0"/>
          <w:marTop w:val="0"/>
          <w:marBottom w:val="0"/>
          <w:divBdr>
            <w:top w:val="none" w:sz="0" w:space="0" w:color="auto"/>
            <w:left w:val="none" w:sz="0" w:space="0" w:color="auto"/>
            <w:bottom w:val="none" w:sz="0" w:space="0" w:color="auto"/>
            <w:right w:val="none" w:sz="0" w:space="0" w:color="auto"/>
          </w:divBdr>
          <w:divsChild>
            <w:div w:id="1520508068">
              <w:marLeft w:val="-113"/>
              <w:marRight w:val="-113"/>
              <w:marTop w:val="0"/>
              <w:marBottom w:val="0"/>
              <w:divBdr>
                <w:top w:val="none" w:sz="0" w:space="0" w:color="auto"/>
                <w:left w:val="none" w:sz="0" w:space="0" w:color="auto"/>
                <w:bottom w:val="none" w:sz="0" w:space="0" w:color="auto"/>
                <w:right w:val="none" w:sz="0" w:space="0" w:color="auto"/>
              </w:divBdr>
              <w:divsChild>
                <w:div w:id="912158390">
                  <w:marLeft w:val="0"/>
                  <w:marRight w:val="0"/>
                  <w:marTop w:val="0"/>
                  <w:marBottom w:val="0"/>
                  <w:divBdr>
                    <w:top w:val="none" w:sz="0" w:space="0" w:color="auto"/>
                    <w:left w:val="none" w:sz="0" w:space="0" w:color="auto"/>
                    <w:bottom w:val="none" w:sz="0" w:space="0" w:color="auto"/>
                    <w:right w:val="none" w:sz="0" w:space="0" w:color="auto"/>
                  </w:divBdr>
                  <w:divsChild>
                    <w:div w:id="1820346635">
                      <w:marLeft w:val="0"/>
                      <w:marRight w:val="0"/>
                      <w:marTop w:val="0"/>
                      <w:marBottom w:val="0"/>
                      <w:divBdr>
                        <w:top w:val="none" w:sz="0" w:space="0" w:color="auto"/>
                        <w:left w:val="none" w:sz="0" w:space="0" w:color="auto"/>
                        <w:bottom w:val="none" w:sz="0" w:space="0" w:color="auto"/>
                        <w:right w:val="none" w:sz="0" w:space="0" w:color="auto"/>
                      </w:divBdr>
                      <w:divsChild>
                        <w:div w:id="1172913002">
                          <w:marLeft w:val="0"/>
                          <w:marRight w:val="0"/>
                          <w:marTop w:val="0"/>
                          <w:marBottom w:val="0"/>
                          <w:divBdr>
                            <w:top w:val="none" w:sz="0" w:space="0" w:color="auto"/>
                            <w:left w:val="none" w:sz="0" w:space="0" w:color="auto"/>
                            <w:bottom w:val="none" w:sz="0" w:space="0" w:color="auto"/>
                            <w:right w:val="none" w:sz="0" w:space="0" w:color="auto"/>
                          </w:divBdr>
                          <w:divsChild>
                            <w:div w:id="1029526836">
                              <w:marLeft w:val="0"/>
                              <w:marRight w:val="0"/>
                              <w:marTop w:val="0"/>
                              <w:marBottom w:val="0"/>
                              <w:divBdr>
                                <w:top w:val="none" w:sz="0" w:space="0" w:color="auto"/>
                                <w:left w:val="none" w:sz="0" w:space="0" w:color="auto"/>
                                <w:bottom w:val="none" w:sz="0" w:space="0" w:color="auto"/>
                                <w:right w:val="none" w:sz="0" w:space="0" w:color="auto"/>
                              </w:divBdr>
                              <w:divsChild>
                                <w:div w:id="230888711">
                                  <w:marLeft w:val="0"/>
                                  <w:marRight w:val="0"/>
                                  <w:marTop w:val="0"/>
                                  <w:marBottom w:val="0"/>
                                  <w:divBdr>
                                    <w:top w:val="none" w:sz="0" w:space="0" w:color="auto"/>
                                    <w:left w:val="none" w:sz="0" w:space="0" w:color="auto"/>
                                    <w:bottom w:val="none" w:sz="0" w:space="0" w:color="auto"/>
                                    <w:right w:val="none" w:sz="0" w:space="0" w:color="auto"/>
                                  </w:divBdr>
                                  <w:divsChild>
                                    <w:div w:id="438373671">
                                      <w:marLeft w:val="0"/>
                                      <w:marRight w:val="0"/>
                                      <w:marTop w:val="0"/>
                                      <w:marBottom w:val="0"/>
                                      <w:divBdr>
                                        <w:top w:val="none" w:sz="0" w:space="0" w:color="auto"/>
                                        <w:left w:val="none" w:sz="0" w:space="0" w:color="auto"/>
                                        <w:bottom w:val="none" w:sz="0" w:space="0" w:color="auto"/>
                                        <w:right w:val="none" w:sz="0" w:space="0" w:color="auto"/>
                                      </w:divBdr>
                                      <w:divsChild>
                                        <w:div w:id="683897264">
                                          <w:marLeft w:val="0"/>
                                          <w:marRight w:val="0"/>
                                          <w:marTop w:val="0"/>
                                          <w:marBottom w:val="0"/>
                                          <w:divBdr>
                                            <w:top w:val="none" w:sz="0" w:space="0" w:color="auto"/>
                                            <w:left w:val="none" w:sz="0" w:space="0" w:color="auto"/>
                                            <w:bottom w:val="none" w:sz="0" w:space="0" w:color="auto"/>
                                            <w:right w:val="none" w:sz="0" w:space="0" w:color="auto"/>
                                          </w:divBdr>
                                          <w:divsChild>
                                            <w:div w:id="105857350">
                                              <w:marLeft w:val="0"/>
                                              <w:marRight w:val="0"/>
                                              <w:marTop w:val="0"/>
                                              <w:marBottom w:val="0"/>
                                              <w:divBdr>
                                                <w:top w:val="none" w:sz="0" w:space="0" w:color="auto"/>
                                                <w:left w:val="none" w:sz="0" w:space="0" w:color="auto"/>
                                                <w:bottom w:val="none" w:sz="0" w:space="0" w:color="auto"/>
                                                <w:right w:val="none" w:sz="0" w:space="0" w:color="auto"/>
                                              </w:divBdr>
                                              <w:divsChild>
                                                <w:div w:id="1289244441">
                                                  <w:marLeft w:val="0"/>
                                                  <w:marRight w:val="0"/>
                                                  <w:marTop w:val="0"/>
                                                  <w:marBottom w:val="0"/>
                                                  <w:divBdr>
                                                    <w:top w:val="none" w:sz="0" w:space="0" w:color="auto"/>
                                                    <w:left w:val="none" w:sz="0" w:space="0" w:color="auto"/>
                                                    <w:bottom w:val="none" w:sz="0" w:space="0" w:color="auto"/>
                                                    <w:right w:val="none" w:sz="0" w:space="0" w:color="auto"/>
                                                  </w:divBdr>
                                                  <w:divsChild>
                                                    <w:div w:id="105198848">
                                                      <w:marLeft w:val="0"/>
                                                      <w:marRight w:val="0"/>
                                                      <w:marTop w:val="0"/>
                                                      <w:marBottom w:val="0"/>
                                                      <w:divBdr>
                                                        <w:top w:val="none" w:sz="0" w:space="0" w:color="auto"/>
                                                        <w:left w:val="none" w:sz="0" w:space="0" w:color="auto"/>
                                                        <w:bottom w:val="none" w:sz="0" w:space="0" w:color="auto"/>
                                                        <w:right w:val="none" w:sz="0" w:space="0" w:color="auto"/>
                                                      </w:divBdr>
                                                      <w:divsChild>
                                                        <w:div w:id="1446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038076">
      <w:bodyDiv w:val="1"/>
      <w:marLeft w:val="0"/>
      <w:marRight w:val="0"/>
      <w:marTop w:val="0"/>
      <w:marBottom w:val="0"/>
      <w:divBdr>
        <w:top w:val="none" w:sz="0" w:space="0" w:color="auto"/>
        <w:left w:val="none" w:sz="0" w:space="0" w:color="auto"/>
        <w:bottom w:val="none" w:sz="0" w:space="0" w:color="auto"/>
        <w:right w:val="none" w:sz="0" w:space="0" w:color="auto"/>
      </w:divBdr>
    </w:div>
    <w:div w:id="1109860660">
      <w:bodyDiv w:val="1"/>
      <w:marLeft w:val="0"/>
      <w:marRight w:val="0"/>
      <w:marTop w:val="0"/>
      <w:marBottom w:val="0"/>
      <w:divBdr>
        <w:top w:val="none" w:sz="0" w:space="0" w:color="auto"/>
        <w:left w:val="none" w:sz="0" w:space="0" w:color="auto"/>
        <w:bottom w:val="none" w:sz="0" w:space="0" w:color="auto"/>
        <w:right w:val="none" w:sz="0" w:space="0" w:color="auto"/>
      </w:divBdr>
      <w:divsChild>
        <w:div w:id="711734858">
          <w:marLeft w:val="360"/>
          <w:marRight w:val="0"/>
          <w:marTop w:val="200"/>
          <w:marBottom w:val="0"/>
          <w:divBdr>
            <w:top w:val="none" w:sz="0" w:space="0" w:color="auto"/>
            <w:left w:val="none" w:sz="0" w:space="0" w:color="auto"/>
            <w:bottom w:val="none" w:sz="0" w:space="0" w:color="auto"/>
            <w:right w:val="none" w:sz="0" w:space="0" w:color="auto"/>
          </w:divBdr>
        </w:div>
      </w:divsChild>
    </w:div>
    <w:div w:id="1196308188">
      <w:bodyDiv w:val="1"/>
      <w:marLeft w:val="0"/>
      <w:marRight w:val="0"/>
      <w:marTop w:val="0"/>
      <w:marBottom w:val="0"/>
      <w:divBdr>
        <w:top w:val="none" w:sz="0" w:space="0" w:color="auto"/>
        <w:left w:val="none" w:sz="0" w:space="0" w:color="auto"/>
        <w:bottom w:val="none" w:sz="0" w:space="0" w:color="auto"/>
        <w:right w:val="none" w:sz="0" w:space="0" w:color="auto"/>
      </w:divBdr>
    </w:div>
    <w:div w:id="1343970652">
      <w:bodyDiv w:val="1"/>
      <w:marLeft w:val="0"/>
      <w:marRight w:val="0"/>
      <w:marTop w:val="0"/>
      <w:marBottom w:val="0"/>
      <w:divBdr>
        <w:top w:val="none" w:sz="0" w:space="0" w:color="auto"/>
        <w:left w:val="none" w:sz="0" w:space="0" w:color="auto"/>
        <w:bottom w:val="none" w:sz="0" w:space="0" w:color="auto"/>
        <w:right w:val="none" w:sz="0" w:space="0" w:color="auto"/>
      </w:divBdr>
    </w:div>
    <w:div w:id="1470249513">
      <w:bodyDiv w:val="1"/>
      <w:marLeft w:val="0"/>
      <w:marRight w:val="0"/>
      <w:marTop w:val="0"/>
      <w:marBottom w:val="0"/>
      <w:divBdr>
        <w:top w:val="none" w:sz="0" w:space="0" w:color="auto"/>
        <w:left w:val="none" w:sz="0" w:space="0" w:color="auto"/>
        <w:bottom w:val="none" w:sz="0" w:space="0" w:color="auto"/>
        <w:right w:val="none" w:sz="0" w:space="0" w:color="auto"/>
      </w:divBdr>
    </w:div>
    <w:div w:id="1474446833">
      <w:bodyDiv w:val="1"/>
      <w:marLeft w:val="0"/>
      <w:marRight w:val="0"/>
      <w:marTop w:val="0"/>
      <w:marBottom w:val="0"/>
      <w:divBdr>
        <w:top w:val="none" w:sz="0" w:space="0" w:color="auto"/>
        <w:left w:val="none" w:sz="0" w:space="0" w:color="auto"/>
        <w:bottom w:val="none" w:sz="0" w:space="0" w:color="auto"/>
        <w:right w:val="none" w:sz="0" w:space="0" w:color="auto"/>
      </w:divBdr>
      <w:divsChild>
        <w:div w:id="279844157">
          <w:marLeft w:val="360"/>
          <w:marRight w:val="0"/>
          <w:marTop w:val="200"/>
          <w:marBottom w:val="0"/>
          <w:divBdr>
            <w:top w:val="none" w:sz="0" w:space="0" w:color="auto"/>
            <w:left w:val="none" w:sz="0" w:space="0" w:color="auto"/>
            <w:bottom w:val="none" w:sz="0" w:space="0" w:color="auto"/>
            <w:right w:val="none" w:sz="0" w:space="0" w:color="auto"/>
          </w:divBdr>
        </w:div>
        <w:div w:id="725445472">
          <w:marLeft w:val="360"/>
          <w:marRight w:val="0"/>
          <w:marTop w:val="200"/>
          <w:marBottom w:val="0"/>
          <w:divBdr>
            <w:top w:val="none" w:sz="0" w:space="0" w:color="auto"/>
            <w:left w:val="none" w:sz="0" w:space="0" w:color="auto"/>
            <w:bottom w:val="none" w:sz="0" w:space="0" w:color="auto"/>
            <w:right w:val="none" w:sz="0" w:space="0" w:color="auto"/>
          </w:divBdr>
        </w:div>
        <w:div w:id="775977469">
          <w:marLeft w:val="360"/>
          <w:marRight w:val="0"/>
          <w:marTop w:val="200"/>
          <w:marBottom w:val="0"/>
          <w:divBdr>
            <w:top w:val="none" w:sz="0" w:space="0" w:color="auto"/>
            <w:left w:val="none" w:sz="0" w:space="0" w:color="auto"/>
            <w:bottom w:val="none" w:sz="0" w:space="0" w:color="auto"/>
            <w:right w:val="none" w:sz="0" w:space="0" w:color="auto"/>
          </w:divBdr>
        </w:div>
        <w:div w:id="902372674">
          <w:marLeft w:val="360"/>
          <w:marRight w:val="0"/>
          <w:marTop w:val="200"/>
          <w:marBottom w:val="0"/>
          <w:divBdr>
            <w:top w:val="none" w:sz="0" w:space="0" w:color="auto"/>
            <w:left w:val="none" w:sz="0" w:space="0" w:color="auto"/>
            <w:bottom w:val="none" w:sz="0" w:space="0" w:color="auto"/>
            <w:right w:val="none" w:sz="0" w:space="0" w:color="auto"/>
          </w:divBdr>
        </w:div>
        <w:div w:id="963073092">
          <w:marLeft w:val="360"/>
          <w:marRight w:val="0"/>
          <w:marTop w:val="200"/>
          <w:marBottom w:val="0"/>
          <w:divBdr>
            <w:top w:val="none" w:sz="0" w:space="0" w:color="auto"/>
            <w:left w:val="none" w:sz="0" w:space="0" w:color="auto"/>
            <w:bottom w:val="none" w:sz="0" w:space="0" w:color="auto"/>
            <w:right w:val="none" w:sz="0" w:space="0" w:color="auto"/>
          </w:divBdr>
        </w:div>
        <w:div w:id="987901454">
          <w:marLeft w:val="360"/>
          <w:marRight w:val="0"/>
          <w:marTop w:val="200"/>
          <w:marBottom w:val="0"/>
          <w:divBdr>
            <w:top w:val="none" w:sz="0" w:space="0" w:color="auto"/>
            <w:left w:val="none" w:sz="0" w:space="0" w:color="auto"/>
            <w:bottom w:val="none" w:sz="0" w:space="0" w:color="auto"/>
            <w:right w:val="none" w:sz="0" w:space="0" w:color="auto"/>
          </w:divBdr>
        </w:div>
        <w:div w:id="1190996066">
          <w:marLeft w:val="360"/>
          <w:marRight w:val="0"/>
          <w:marTop w:val="200"/>
          <w:marBottom w:val="0"/>
          <w:divBdr>
            <w:top w:val="none" w:sz="0" w:space="0" w:color="auto"/>
            <w:left w:val="none" w:sz="0" w:space="0" w:color="auto"/>
            <w:bottom w:val="none" w:sz="0" w:space="0" w:color="auto"/>
            <w:right w:val="none" w:sz="0" w:space="0" w:color="auto"/>
          </w:divBdr>
        </w:div>
        <w:div w:id="1299804730">
          <w:marLeft w:val="360"/>
          <w:marRight w:val="0"/>
          <w:marTop w:val="200"/>
          <w:marBottom w:val="0"/>
          <w:divBdr>
            <w:top w:val="none" w:sz="0" w:space="0" w:color="auto"/>
            <w:left w:val="none" w:sz="0" w:space="0" w:color="auto"/>
            <w:bottom w:val="none" w:sz="0" w:space="0" w:color="auto"/>
            <w:right w:val="none" w:sz="0" w:space="0" w:color="auto"/>
          </w:divBdr>
        </w:div>
        <w:div w:id="1408770353">
          <w:marLeft w:val="360"/>
          <w:marRight w:val="0"/>
          <w:marTop w:val="200"/>
          <w:marBottom w:val="0"/>
          <w:divBdr>
            <w:top w:val="none" w:sz="0" w:space="0" w:color="auto"/>
            <w:left w:val="none" w:sz="0" w:space="0" w:color="auto"/>
            <w:bottom w:val="none" w:sz="0" w:space="0" w:color="auto"/>
            <w:right w:val="none" w:sz="0" w:space="0" w:color="auto"/>
          </w:divBdr>
        </w:div>
        <w:div w:id="1416781542">
          <w:marLeft w:val="360"/>
          <w:marRight w:val="0"/>
          <w:marTop w:val="200"/>
          <w:marBottom w:val="0"/>
          <w:divBdr>
            <w:top w:val="none" w:sz="0" w:space="0" w:color="auto"/>
            <w:left w:val="none" w:sz="0" w:space="0" w:color="auto"/>
            <w:bottom w:val="none" w:sz="0" w:space="0" w:color="auto"/>
            <w:right w:val="none" w:sz="0" w:space="0" w:color="auto"/>
          </w:divBdr>
        </w:div>
        <w:div w:id="2117866538">
          <w:marLeft w:val="360"/>
          <w:marRight w:val="0"/>
          <w:marTop w:val="200"/>
          <w:marBottom w:val="0"/>
          <w:divBdr>
            <w:top w:val="none" w:sz="0" w:space="0" w:color="auto"/>
            <w:left w:val="none" w:sz="0" w:space="0" w:color="auto"/>
            <w:bottom w:val="none" w:sz="0" w:space="0" w:color="auto"/>
            <w:right w:val="none" w:sz="0" w:space="0" w:color="auto"/>
          </w:divBdr>
        </w:div>
        <w:div w:id="2137095905">
          <w:marLeft w:val="360"/>
          <w:marRight w:val="0"/>
          <w:marTop w:val="200"/>
          <w:marBottom w:val="0"/>
          <w:divBdr>
            <w:top w:val="none" w:sz="0" w:space="0" w:color="auto"/>
            <w:left w:val="none" w:sz="0" w:space="0" w:color="auto"/>
            <w:bottom w:val="none" w:sz="0" w:space="0" w:color="auto"/>
            <w:right w:val="none" w:sz="0" w:space="0" w:color="auto"/>
          </w:divBdr>
        </w:div>
      </w:divsChild>
    </w:div>
    <w:div w:id="1731080052">
      <w:bodyDiv w:val="1"/>
      <w:marLeft w:val="0"/>
      <w:marRight w:val="0"/>
      <w:marTop w:val="0"/>
      <w:marBottom w:val="0"/>
      <w:divBdr>
        <w:top w:val="none" w:sz="0" w:space="0" w:color="auto"/>
        <w:left w:val="none" w:sz="0" w:space="0" w:color="auto"/>
        <w:bottom w:val="none" w:sz="0" w:space="0" w:color="auto"/>
        <w:right w:val="none" w:sz="0" w:space="0" w:color="auto"/>
      </w:divBdr>
      <w:divsChild>
        <w:div w:id="676271678">
          <w:marLeft w:val="446"/>
          <w:marRight w:val="0"/>
          <w:marTop w:val="0"/>
          <w:marBottom w:val="0"/>
          <w:divBdr>
            <w:top w:val="none" w:sz="0" w:space="0" w:color="auto"/>
            <w:left w:val="none" w:sz="0" w:space="0" w:color="auto"/>
            <w:bottom w:val="none" w:sz="0" w:space="0" w:color="auto"/>
            <w:right w:val="none" w:sz="0" w:space="0" w:color="auto"/>
          </w:divBdr>
        </w:div>
      </w:divsChild>
    </w:div>
    <w:div w:id="1735156662">
      <w:bodyDiv w:val="1"/>
      <w:marLeft w:val="0"/>
      <w:marRight w:val="0"/>
      <w:marTop w:val="0"/>
      <w:marBottom w:val="0"/>
      <w:divBdr>
        <w:top w:val="none" w:sz="0" w:space="0" w:color="auto"/>
        <w:left w:val="none" w:sz="0" w:space="0" w:color="auto"/>
        <w:bottom w:val="none" w:sz="0" w:space="0" w:color="auto"/>
        <w:right w:val="none" w:sz="0" w:space="0" w:color="auto"/>
      </w:divBdr>
      <w:divsChild>
        <w:div w:id="365910342">
          <w:marLeft w:val="1987"/>
          <w:marRight w:val="0"/>
          <w:marTop w:val="0"/>
          <w:marBottom w:val="0"/>
          <w:divBdr>
            <w:top w:val="none" w:sz="0" w:space="0" w:color="auto"/>
            <w:left w:val="none" w:sz="0" w:space="0" w:color="auto"/>
            <w:bottom w:val="none" w:sz="0" w:space="0" w:color="auto"/>
            <w:right w:val="none" w:sz="0" w:space="0" w:color="auto"/>
          </w:divBdr>
        </w:div>
        <w:div w:id="369841002">
          <w:marLeft w:val="1987"/>
          <w:marRight w:val="0"/>
          <w:marTop w:val="0"/>
          <w:marBottom w:val="0"/>
          <w:divBdr>
            <w:top w:val="none" w:sz="0" w:space="0" w:color="auto"/>
            <w:left w:val="none" w:sz="0" w:space="0" w:color="auto"/>
            <w:bottom w:val="none" w:sz="0" w:space="0" w:color="auto"/>
            <w:right w:val="none" w:sz="0" w:space="0" w:color="auto"/>
          </w:divBdr>
        </w:div>
        <w:div w:id="885288650">
          <w:marLeft w:val="1987"/>
          <w:marRight w:val="0"/>
          <w:marTop w:val="0"/>
          <w:marBottom w:val="0"/>
          <w:divBdr>
            <w:top w:val="none" w:sz="0" w:space="0" w:color="auto"/>
            <w:left w:val="none" w:sz="0" w:space="0" w:color="auto"/>
            <w:bottom w:val="none" w:sz="0" w:space="0" w:color="auto"/>
            <w:right w:val="none" w:sz="0" w:space="0" w:color="auto"/>
          </w:divBdr>
        </w:div>
        <w:div w:id="1986348193">
          <w:marLeft w:val="446"/>
          <w:marRight w:val="0"/>
          <w:marTop w:val="0"/>
          <w:marBottom w:val="0"/>
          <w:divBdr>
            <w:top w:val="none" w:sz="0" w:space="0" w:color="auto"/>
            <w:left w:val="none" w:sz="0" w:space="0" w:color="auto"/>
            <w:bottom w:val="none" w:sz="0" w:space="0" w:color="auto"/>
            <w:right w:val="none" w:sz="0" w:space="0" w:color="auto"/>
          </w:divBdr>
        </w:div>
      </w:divsChild>
    </w:div>
    <w:div w:id="21425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277C6-1A23-4F92-BEA8-A66C42492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19992</Words>
  <Characters>113956</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133681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Khuzwayo</dc:creator>
  <cp:lastModifiedBy>User</cp:lastModifiedBy>
  <cp:revision>2</cp:revision>
  <dcterms:created xsi:type="dcterms:W3CDTF">2022-10-25T17:01:00Z</dcterms:created>
  <dcterms:modified xsi:type="dcterms:W3CDTF">2022-10-25T17:01:00Z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20e5d4f5c7c3d7e4df9e10c86790a059d759c83a6a155ed137ba98ddf13f8550</vt:lpwstr>
  </property>
</Properties>
</file>