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E1" w:rsidRPr="0030354F" w:rsidRDefault="0030354F" w:rsidP="0030354F">
      <w:pPr>
        <w:spacing w:after="0" w:line="240" w:lineRule="auto"/>
        <w:contextualSpacing/>
        <w:rPr>
          <w:rFonts w:ascii="Arial" w:eastAsia="Times New Roman" w:hAnsi="Arial" w:cs="Arial"/>
          <w:b/>
          <w:sz w:val="20"/>
          <w:szCs w:val="20"/>
          <w:lang w:eastAsia="en-ZA"/>
        </w:rPr>
      </w:pPr>
      <w:r w:rsidRPr="0030354F">
        <w:rPr>
          <w:rFonts w:ascii="Arial" w:eastAsia="Times New Roman" w:hAnsi="Arial" w:cs="Arial"/>
          <w:b/>
          <w:sz w:val="20"/>
          <w:szCs w:val="20"/>
          <w:lang w:eastAsia="en-ZA"/>
        </w:rPr>
        <w:t>The Budgetary Review and Recommendation Report of the Portfolio Committee on Small Business Development, Dated 19 October 2022</w:t>
      </w:r>
    </w:p>
    <w:p w:rsidR="005F6C13" w:rsidRPr="0030354F" w:rsidRDefault="005F6C13" w:rsidP="0030354F">
      <w:pPr>
        <w:spacing w:after="0" w:line="240" w:lineRule="auto"/>
        <w:contextualSpacing/>
        <w:rPr>
          <w:rFonts w:ascii="Arial" w:eastAsia="Times New Roman" w:hAnsi="Arial" w:cs="Arial"/>
          <w:b/>
          <w:sz w:val="20"/>
          <w:szCs w:val="20"/>
          <w:lang w:eastAsia="en-ZA"/>
        </w:rPr>
      </w:pPr>
    </w:p>
    <w:p w:rsidR="00775569" w:rsidRPr="0030354F" w:rsidRDefault="00775569" w:rsidP="0030354F">
      <w:pPr>
        <w:spacing w:after="0" w:line="240" w:lineRule="auto"/>
        <w:contextualSpacing/>
        <w:rPr>
          <w:rFonts w:ascii="Arial" w:hAnsi="Arial" w:cs="Arial"/>
          <w:sz w:val="20"/>
          <w:szCs w:val="20"/>
        </w:rPr>
      </w:pPr>
      <w:r w:rsidRPr="0030354F">
        <w:rPr>
          <w:rFonts w:ascii="Arial" w:hAnsi="Arial" w:cs="Arial"/>
          <w:sz w:val="20"/>
          <w:szCs w:val="20"/>
        </w:rPr>
        <w:t>The Portfolio Committee on Small Business Development</w:t>
      </w:r>
      <w:r w:rsidR="007D52AE" w:rsidRPr="0030354F">
        <w:rPr>
          <w:rFonts w:ascii="Arial" w:hAnsi="Arial" w:cs="Arial"/>
          <w:sz w:val="20"/>
          <w:szCs w:val="20"/>
        </w:rPr>
        <w:t>,</w:t>
      </w:r>
      <w:r w:rsidRPr="0030354F">
        <w:rPr>
          <w:rFonts w:ascii="Arial" w:hAnsi="Arial" w:cs="Arial"/>
          <w:sz w:val="20"/>
          <w:szCs w:val="20"/>
        </w:rPr>
        <w:t xml:space="preserve"> having considered </w:t>
      </w:r>
      <w:r w:rsidR="007D52AE" w:rsidRPr="0030354F">
        <w:rPr>
          <w:rFonts w:ascii="Arial" w:hAnsi="Arial" w:cs="Arial"/>
          <w:sz w:val="20"/>
          <w:szCs w:val="20"/>
        </w:rPr>
        <w:t xml:space="preserve">the </w:t>
      </w:r>
      <w:r w:rsidR="00474914" w:rsidRPr="0030354F">
        <w:rPr>
          <w:rFonts w:ascii="Arial" w:hAnsi="Arial" w:cs="Arial"/>
          <w:sz w:val="20"/>
          <w:szCs w:val="20"/>
        </w:rPr>
        <w:t>202</w:t>
      </w:r>
      <w:r w:rsidR="005F6C13" w:rsidRPr="0030354F">
        <w:rPr>
          <w:rFonts w:ascii="Arial" w:hAnsi="Arial" w:cs="Arial"/>
          <w:sz w:val="20"/>
          <w:szCs w:val="20"/>
        </w:rPr>
        <w:t>1/22</w:t>
      </w:r>
      <w:r w:rsidR="00474914" w:rsidRPr="0030354F">
        <w:rPr>
          <w:rFonts w:ascii="Arial" w:hAnsi="Arial" w:cs="Arial"/>
          <w:sz w:val="20"/>
          <w:szCs w:val="20"/>
        </w:rPr>
        <w:t xml:space="preserve"> </w:t>
      </w:r>
      <w:r w:rsidRPr="0030354F">
        <w:rPr>
          <w:rFonts w:ascii="Arial" w:hAnsi="Arial" w:cs="Arial"/>
          <w:sz w:val="20"/>
          <w:szCs w:val="20"/>
        </w:rPr>
        <w:t xml:space="preserve">performance </w:t>
      </w:r>
      <w:r w:rsidR="00474914" w:rsidRPr="0030354F">
        <w:rPr>
          <w:rFonts w:ascii="Arial" w:hAnsi="Arial" w:cs="Arial"/>
          <w:sz w:val="20"/>
          <w:szCs w:val="20"/>
        </w:rPr>
        <w:t xml:space="preserve">and expenditure </w:t>
      </w:r>
      <w:r w:rsidRPr="0030354F">
        <w:rPr>
          <w:rFonts w:ascii="Arial" w:hAnsi="Arial" w:cs="Arial"/>
          <w:sz w:val="20"/>
          <w:szCs w:val="20"/>
        </w:rPr>
        <w:t xml:space="preserve">of the Department of Small </w:t>
      </w:r>
      <w:r w:rsidR="005313EC" w:rsidRPr="0030354F">
        <w:rPr>
          <w:rFonts w:ascii="Arial" w:hAnsi="Arial" w:cs="Arial"/>
          <w:sz w:val="20"/>
          <w:szCs w:val="20"/>
        </w:rPr>
        <w:t xml:space="preserve">Business Development </w:t>
      </w:r>
      <w:r w:rsidRPr="0030354F">
        <w:rPr>
          <w:rFonts w:ascii="Arial" w:hAnsi="Arial" w:cs="Arial"/>
          <w:sz w:val="20"/>
          <w:szCs w:val="20"/>
        </w:rPr>
        <w:t>and its entities, Sm</w:t>
      </w:r>
      <w:r w:rsidR="005313EC" w:rsidRPr="0030354F">
        <w:rPr>
          <w:rFonts w:ascii="Arial" w:hAnsi="Arial" w:cs="Arial"/>
          <w:sz w:val="20"/>
          <w:szCs w:val="20"/>
        </w:rPr>
        <w:t>all Enterprise Finan</w:t>
      </w:r>
      <w:bookmarkStart w:id="0" w:name="_GoBack"/>
      <w:bookmarkEnd w:id="0"/>
      <w:r w:rsidR="005313EC" w:rsidRPr="0030354F">
        <w:rPr>
          <w:rFonts w:ascii="Arial" w:hAnsi="Arial" w:cs="Arial"/>
          <w:sz w:val="20"/>
          <w:szCs w:val="20"/>
        </w:rPr>
        <w:t xml:space="preserve">ce Agency </w:t>
      </w:r>
      <w:r w:rsidRPr="0030354F">
        <w:rPr>
          <w:rFonts w:ascii="Arial" w:hAnsi="Arial" w:cs="Arial"/>
          <w:sz w:val="20"/>
          <w:szCs w:val="20"/>
        </w:rPr>
        <w:t>and Small Enterp</w:t>
      </w:r>
      <w:r w:rsidR="005313EC" w:rsidRPr="0030354F">
        <w:rPr>
          <w:rFonts w:ascii="Arial" w:hAnsi="Arial" w:cs="Arial"/>
          <w:sz w:val="20"/>
          <w:szCs w:val="20"/>
        </w:rPr>
        <w:t>rise Development Agency</w:t>
      </w:r>
      <w:r w:rsidR="00474914" w:rsidRPr="0030354F">
        <w:rPr>
          <w:rFonts w:ascii="Arial" w:hAnsi="Arial" w:cs="Arial"/>
          <w:sz w:val="20"/>
          <w:szCs w:val="20"/>
        </w:rPr>
        <w:t xml:space="preserve">, </w:t>
      </w:r>
      <w:r w:rsidRPr="0030354F">
        <w:rPr>
          <w:rFonts w:ascii="Arial" w:hAnsi="Arial" w:cs="Arial"/>
          <w:sz w:val="20"/>
          <w:szCs w:val="20"/>
        </w:rPr>
        <w:t xml:space="preserve">reports as follows: </w:t>
      </w:r>
    </w:p>
    <w:p w:rsidR="00C15AAC" w:rsidRPr="0030354F" w:rsidRDefault="00C15AAC" w:rsidP="0030354F">
      <w:pPr>
        <w:spacing w:after="0" w:line="240" w:lineRule="auto"/>
        <w:contextualSpacing/>
        <w:rPr>
          <w:rFonts w:ascii="Arial" w:eastAsia="Times New Roman" w:hAnsi="Arial" w:cs="Arial"/>
          <w:b/>
          <w:sz w:val="20"/>
          <w:szCs w:val="20"/>
          <w:lang w:eastAsia="en-GB"/>
        </w:rPr>
      </w:pPr>
    </w:p>
    <w:p w:rsidR="00C15AAC" w:rsidRPr="0030354F" w:rsidRDefault="007A35F3" w:rsidP="0030354F">
      <w:pPr>
        <w:numPr>
          <w:ilvl w:val="0"/>
          <w:numId w:val="1"/>
        </w:numPr>
        <w:spacing w:after="0" w:line="240" w:lineRule="auto"/>
        <w:contextualSpacing/>
        <w:rPr>
          <w:rFonts w:ascii="Arial" w:eastAsia="Times New Roman" w:hAnsi="Arial" w:cs="Arial"/>
          <w:b/>
          <w:sz w:val="20"/>
          <w:szCs w:val="20"/>
          <w:lang w:eastAsia="en-GB"/>
        </w:rPr>
      </w:pPr>
      <w:r w:rsidRPr="0030354F">
        <w:rPr>
          <w:rFonts w:ascii="Arial" w:eastAsia="Times New Roman" w:hAnsi="Arial" w:cs="Arial"/>
          <w:b/>
          <w:sz w:val="20"/>
          <w:szCs w:val="20"/>
          <w:lang w:eastAsia="en-GB"/>
        </w:rPr>
        <w:t>INTRODUCTION</w:t>
      </w:r>
    </w:p>
    <w:p w:rsidR="00785188" w:rsidRPr="0030354F" w:rsidRDefault="001C2D19" w:rsidP="0030354F">
      <w:pPr>
        <w:pStyle w:val="NormalWeb"/>
        <w:shd w:val="clear" w:color="auto" w:fill="FFFFFF"/>
        <w:spacing w:before="0" w:beforeAutospacing="0" w:after="0" w:afterAutospacing="0"/>
        <w:contextualSpacing/>
        <w:rPr>
          <w:rFonts w:ascii="Arial" w:hAnsi="Arial" w:cs="Arial"/>
          <w:sz w:val="20"/>
          <w:szCs w:val="20"/>
        </w:rPr>
      </w:pPr>
      <w:r w:rsidRPr="0030354F">
        <w:rPr>
          <w:rFonts w:ascii="Arial" w:hAnsi="Arial" w:cs="Arial"/>
          <w:sz w:val="20"/>
          <w:szCs w:val="20"/>
        </w:rPr>
        <w:t xml:space="preserve">The Budgetary Review and Recommendation Report </w:t>
      </w:r>
      <w:r w:rsidR="007D4C91" w:rsidRPr="0030354F">
        <w:rPr>
          <w:rFonts w:ascii="Arial" w:hAnsi="Arial" w:cs="Arial"/>
          <w:sz w:val="20"/>
          <w:szCs w:val="20"/>
        </w:rPr>
        <w:t xml:space="preserve">(BRRR) </w:t>
      </w:r>
      <w:r w:rsidRPr="0030354F">
        <w:rPr>
          <w:rFonts w:ascii="Arial" w:hAnsi="Arial" w:cs="Arial"/>
          <w:sz w:val="20"/>
          <w:szCs w:val="20"/>
        </w:rPr>
        <w:t>of the Portfolio Committee on Small Business Development</w:t>
      </w:r>
      <w:r w:rsidR="007D4C91" w:rsidRPr="0030354F">
        <w:rPr>
          <w:rFonts w:ascii="Arial" w:hAnsi="Arial" w:cs="Arial"/>
          <w:sz w:val="20"/>
          <w:szCs w:val="20"/>
        </w:rPr>
        <w:t xml:space="preserve"> </w:t>
      </w:r>
      <w:r w:rsidRPr="0030354F">
        <w:rPr>
          <w:rFonts w:ascii="Arial" w:hAnsi="Arial" w:cs="Arial"/>
          <w:sz w:val="20"/>
          <w:szCs w:val="20"/>
        </w:rPr>
        <w:t xml:space="preserve">has been compiled in compliance with the Money Bills Amendment Procedure and Related Matters Act, No. 9 of 2009. The objective of the report is to provide </w:t>
      </w:r>
      <w:r w:rsidR="007D52AE" w:rsidRPr="0030354F">
        <w:rPr>
          <w:rFonts w:ascii="Arial" w:hAnsi="Arial" w:cs="Arial"/>
          <w:sz w:val="20"/>
          <w:szCs w:val="20"/>
        </w:rPr>
        <w:t xml:space="preserve">an </w:t>
      </w:r>
      <w:r w:rsidRPr="0030354F">
        <w:rPr>
          <w:rFonts w:ascii="Arial" w:hAnsi="Arial" w:cs="Arial"/>
          <w:sz w:val="20"/>
          <w:szCs w:val="20"/>
        </w:rPr>
        <w:t xml:space="preserve">appraisal of the Department of Small Business Development and its entities’ service delivery performance given available resources, effectiveness and efficiency </w:t>
      </w:r>
      <w:r w:rsidR="002D4AE8" w:rsidRPr="0030354F">
        <w:rPr>
          <w:rFonts w:ascii="Arial" w:hAnsi="Arial" w:cs="Arial"/>
          <w:sz w:val="20"/>
          <w:szCs w:val="20"/>
        </w:rPr>
        <w:t xml:space="preserve">of the Department’s use and allocation of available resources; and may include recommendations on the forward use of resources. </w:t>
      </w:r>
      <w:r w:rsidR="00AC781B" w:rsidRPr="0030354F">
        <w:rPr>
          <w:rFonts w:ascii="Arial" w:hAnsi="Arial" w:cs="Arial"/>
          <w:sz w:val="20"/>
          <w:szCs w:val="20"/>
        </w:rPr>
        <w:t xml:space="preserve">The </w:t>
      </w:r>
      <w:r w:rsidR="005313EC" w:rsidRPr="0030354F">
        <w:rPr>
          <w:rFonts w:ascii="Arial" w:hAnsi="Arial" w:cs="Arial"/>
          <w:sz w:val="20"/>
          <w:szCs w:val="20"/>
        </w:rPr>
        <w:t xml:space="preserve">Portfolio Committee </w:t>
      </w:r>
      <w:r w:rsidR="00446846" w:rsidRPr="0030354F">
        <w:rPr>
          <w:rFonts w:ascii="Arial" w:hAnsi="Arial" w:cs="Arial"/>
          <w:sz w:val="20"/>
          <w:szCs w:val="20"/>
        </w:rPr>
        <w:t>(</w:t>
      </w:r>
      <w:r w:rsidR="00C1211A" w:rsidRPr="0030354F">
        <w:rPr>
          <w:rFonts w:ascii="Arial" w:hAnsi="Arial" w:cs="Arial"/>
          <w:sz w:val="20"/>
          <w:szCs w:val="20"/>
        </w:rPr>
        <w:t>the</w:t>
      </w:r>
      <w:r w:rsidR="005313EC" w:rsidRPr="0030354F">
        <w:rPr>
          <w:rFonts w:ascii="Arial" w:hAnsi="Arial" w:cs="Arial"/>
          <w:sz w:val="20"/>
          <w:szCs w:val="20"/>
        </w:rPr>
        <w:t xml:space="preserve"> Committee) oversees the budget and performance of the Department of Small Business Development </w:t>
      </w:r>
      <w:r w:rsidR="00446846" w:rsidRPr="0030354F">
        <w:rPr>
          <w:rFonts w:ascii="Arial" w:hAnsi="Arial" w:cs="Arial"/>
          <w:sz w:val="20"/>
          <w:szCs w:val="20"/>
        </w:rPr>
        <w:t>(</w:t>
      </w:r>
      <w:r w:rsidR="005313EC" w:rsidRPr="0030354F">
        <w:rPr>
          <w:rFonts w:ascii="Arial" w:hAnsi="Arial" w:cs="Arial"/>
          <w:sz w:val="20"/>
          <w:szCs w:val="20"/>
        </w:rPr>
        <w:t>the</w:t>
      </w:r>
      <w:r w:rsidR="00446846" w:rsidRPr="0030354F">
        <w:rPr>
          <w:rFonts w:ascii="Arial" w:hAnsi="Arial" w:cs="Arial"/>
          <w:sz w:val="20"/>
          <w:szCs w:val="20"/>
        </w:rPr>
        <w:t xml:space="preserve"> Department), alternatively, (</w:t>
      </w:r>
      <w:r w:rsidR="005313EC" w:rsidRPr="0030354F">
        <w:rPr>
          <w:rFonts w:ascii="Arial" w:hAnsi="Arial" w:cs="Arial"/>
          <w:sz w:val="20"/>
          <w:szCs w:val="20"/>
        </w:rPr>
        <w:t>DSBD)</w:t>
      </w:r>
      <w:r w:rsidR="00F703E6" w:rsidRPr="0030354F">
        <w:rPr>
          <w:rFonts w:ascii="Arial" w:hAnsi="Arial" w:cs="Arial"/>
          <w:sz w:val="20"/>
          <w:szCs w:val="20"/>
        </w:rPr>
        <w:t>,</w:t>
      </w:r>
      <w:r w:rsidR="00C1211A" w:rsidRPr="0030354F">
        <w:rPr>
          <w:rFonts w:ascii="Arial" w:hAnsi="Arial" w:cs="Arial"/>
          <w:sz w:val="20"/>
          <w:szCs w:val="20"/>
        </w:rPr>
        <w:t xml:space="preserve"> as well as its entities,</w:t>
      </w:r>
      <w:r w:rsidR="00F703E6" w:rsidRPr="0030354F">
        <w:rPr>
          <w:rFonts w:ascii="Arial" w:hAnsi="Arial" w:cs="Arial"/>
          <w:sz w:val="20"/>
          <w:szCs w:val="20"/>
        </w:rPr>
        <w:t xml:space="preserve"> </w:t>
      </w:r>
      <w:r w:rsidR="005313EC" w:rsidRPr="0030354F">
        <w:rPr>
          <w:rFonts w:ascii="Arial" w:hAnsi="Arial" w:cs="Arial"/>
          <w:sz w:val="20"/>
          <w:szCs w:val="20"/>
        </w:rPr>
        <w:t>Sm</w:t>
      </w:r>
      <w:r w:rsidR="00851889" w:rsidRPr="0030354F">
        <w:rPr>
          <w:rFonts w:ascii="Arial" w:hAnsi="Arial" w:cs="Arial"/>
          <w:sz w:val="20"/>
          <w:szCs w:val="20"/>
        </w:rPr>
        <w:t xml:space="preserve">all Enterprise Finance Agency (Sefa) and </w:t>
      </w:r>
      <w:r w:rsidR="005313EC" w:rsidRPr="0030354F">
        <w:rPr>
          <w:rFonts w:ascii="Arial" w:hAnsi="Arial" w:cs="Arial"/>
          <w:sz w:val="20"/>
          <w:szCs w:val="20"/>
        </w:rPr>
        <w:t xml:space="preserve">Small </w:t>
      </w:r>
      <w:r w:rsidR="00446846" w:rsidRPr="0030354F">
        <w:rPr>
          <w:rFonts w:ascii="Arial" w:hAnsi="Arial" w:cs="Arial"/>
          <w:sz w:val="20"/>
          <w:szCs w:val="20"/>
        </w:rPr>
        <w:t>Enterprise Development Agency (</w:t>
      </w:r>
      <w:r w:rsidR="005313EC" w:rsidRPr="0030354F">
        <w:rPr>
          <w:rFonts w:ascii="Arial" w:hAnsi="Arial" w:cs="Arial"/>
          <w:sz w:val="20"/>
          <w:szCs w:val="20"/>
        </w:rPr>
        <w:t>Seda)</w:t>
      </w:r>
      <w:r w:rsidR="00F703E6" w:rsidRPr="0030354F">
        <w:rPr>
          <w:rFonts w:ascii="Arial" w:hAnsi="Arial" w:cs="Arial"/>
          <w:sz w:val="20"/>
          <w:szCs w:val="20"/>
        </w:rPr>
        <w:t>.</w:t>
      </w:r>
    </w:p>
    <w:p w:rsidR="00272B28" w:rsidRPr="0030354F" w:rsidRDefault="00272B28" w:rsidP="0030354F">
      <w:pPr>
        <w:pStyle w:val="NormalWeb"/>
        <w:shd w:val="clear" w:color="auto" w:fill="FFFFFF"/>
        <w:spacing w:before="0" w:beforeAutospacing="0" w:after="0" w:afterAutospacing="0"/>
        <w:contextualSpacing/>
        <w:rPr>
          <w:rFonts w:ascii="Arial" w:hAnsi="Arial" w:cs="Arial"/>
          <w:sz w:val="20"/>
          <w:szCs w:val="20"/>
        </w:rPr>
      </w:pPr>
    </w:p>
    <w:p w:rsidR="007979BF" w:rsidRPr="0030354F" w:rsidRDefault="00785188" w:rsidP="0030354F">
      <w:pPr>
        <w:pStyle w:val="NormalWeb"/>
        <w:shd w:val="clear" w:color="auto" w:fill="FFFFFF"/>
        <w:spacing w:before="0" w:beforeAutospacing="0" w:after="0" w:afterAutospacing="0"/>
        <w:contextualSpacing/>
        <w:rPr>
          <w:rFonts w:ascii="Arial" w:hAnsi="Arial" w:cs="Arial"/>
          <w:b/>
          <w:bCs/>
          <w:sz w:val="20"/>
          <w:szCs w:val="20"/>
        </w:rPr>
      </w:pPr>
      <w:r w:rsidRPr="0030354F">
        <w:rPr>
          <w:rFonts w:ascii="Arial" w:hAnsi="Arial" w:cs="Arial"/>
          <w:b/>
          <w:sz w:val="20"/>
          <w:szCs w:val="20"/>
        </w:rPr>
        <w:t>1.1.</w:t>
      </w:r>
      <w:r w:rsidRPr="0030354F">
        <w:rPr>
          <w:rFonts w:ascii="Arial" w:hAnsi="Arial" w:cs="Arial"/>
          <w:b/>
          <w:sz w:val="20"/>
          <w:szCs w:val="20"/>
        </w:rPr>
        <w:tab/>
      </w:r>
      <w:r w:rsidRPr="0030354F">
        <w:rPr>
          <w:rFonts w:ascii="Arial" w:hAnsi="Arial" w:cs="Arial"/>
          <w:b/>
          <w:bCs/>
          <w:sz w:val="20"/>
          <w:szCs w:val="20"/>
        </w:rPr>
        <w:t>Purpose of the Budget</w:t>
      </w:r>
      <w:r w:rsidR="007D52AE" w:rsidRPr="0030354F">
        <w:rPr>
          <w:rFonts w:ascii="Arial" w:hAnsi="Arial" w:cs="Arial"/>
          <w:b/>
          <w:bCs/>
          <w:sz w:val="20"/>
          <w:szCs w:val="20"/>
        </w:rPr>
        <w:t>ary</w:t>
      </w:r>
      <w:r w:rsidRPr="0030354F">
        <w:rPr>
          <w:rFonts w:ascii="Arial" w:hAnsi="Arial" w:cs="Arial"/>
          <w:b/>
          <w:bCs/>
          <w:sz w:val="20"/>
          <w:szCs w:val="20"/>
        </w:rPr>
        <w:t xml:space="preserve"> Review and Recommendation Report </w:t>
      </w:r>
    </w:p>
    <w:p w:rsidR="00446846" w:rsidRPr="0030354F" w:rsidRDefault="00785188" w:rsidP="0030354F">
      <w:pPr>
        <w:pStyle w:val="NormalWeb"/>
        <w:shd w:val="clear" w:color="auto" w:fill="FFFFFF"/>
        <w:spacing w:before="0" w:beforeAutospacing="0" w:after="0" w:afterAutospacing="0"/>
        <w:contextualSpacing/>
        <w:rPr>
          <w:rFonts w:ascii="Arial" w:hAnsi="Arial" w:cs="Arial"/>
          <w:b/>
          <w:bCs/>
          <w:sz w:val="20"/>
          <w:szCs w:val="20"/>
        </w:rPr>
      </w:pPr>
      <w:r w:rsidRPr="0030354F">
        <w:rPr>
          <w:rFonts w:ascii="Arial" w:hAnsi="Arial" w:cs="Arial"/>
          <w:sz w:val="20"/>
          <w:szCs w:val="20"/>
        </w:rPr>
        <w:t>The Constitution of the Re</w:t>
      </w:r>
      <w:r w:rsidR="00446846" w:rsidRPr="0030354F">
        <w:rPr>
          <w:rFonts w:ascii="Arial" w:hAnsi="Arial" w:cs="Arial"/>
          <w:sz w:val="20"/>
          <w:szCs w:val="20"/>
        </w:rPr>
        <w:t>public of South Africa, 1996 (the Constitution</w:t>
      </w:r>
      <w:r w:rsidRPr="0030354F">
        <w:rPr>
          <w:rFonts w:ascii="Arial" w:hAnsi="Arial" w:cs="Arial"/>
          <w:sz w:val="20"/>
          <w:szCs w:val="20"/>
        </w:rPr>
        <w:t>), specifically Section 77 (3), stipulates that an Act of Parliament must provide for a procedure to amend money bills before Parliament. It is this constitutional provision that gave birth to the Money Bills Amendment Procedure and Rela</w:t>
      </w:r>
      <w:r w:rsidR="00446846" w:rsidRPr="0030354F">
        <w:rPr>
          <w:rFonts w:ascii="Arial" w:hAnsi="Arial" w:cs="Arial"/>
          <w:sz w:val="20"/>
          <w:szCs w:val="20"/>
        </w:rPr>
        <w:t>ted Matters Act</w:t>
      </w:r>
      <w:r w:rsidR="007D52AE" w:rsidRPr="0030354F">
        <w:rPr>
          <w:rFonts w:ascii="Arial" w:hAnsi="Arial" w:cs="Arial"/>
          <w:sz w:val="20"/>
          <w:szCs w:val="20"/>
        </w:rPr>
        <w:t>,</w:t>
      </w:r>
      <w:r w:rsidR="00446846" w:rsidRPr="0030354F">
        <w:rPr>
          <w:rFonts w:ascii="Arial" w:hAnsi="Arial" w:cs="Arial"/>
          <w:sz w:val="20"/>
          <w:szCs w:val="20"/>
        </w:rPr>
        <w:t xml:space="preserve"> No. 9 of 2009 (the Act</w:t>
      </w:r>
      <w:r w:rsidRPr="0030354F">
        <w:rPr>
          <w:rFonts w:ascii="Arial" w:hAnsi="Arial" w:cs="Arial"/>
          <w:sz w:val="20"/>
          <w:szCs w:val="20"/>
        </w:rPr>
        <w:t xml:space="preserve">). </w:t>
      </w:r>
      <w:r w:rsidR="007B7797" w:rsidRPr="0030354F">
        <w:rPr>
          <w:rFonts w:ascii="Arial" w:hAnsi="Arial" w:cs="Arial"/>
          <w:sz w:val="20"/>
          <w:szCs w:val="20"/>
        </w:rPr>
        <w:t>The</w:t>
      </w:r>
      <w:r w:rsidRPr="0030354F">
        <w:rPr>
          <w:rFonts w:ascii="Arial" w:hAnsi="Arial" w:cs="Arial"/>
          <w:sz w:val="20"/>
          <w:szCs w:val="20"/>
        </w:rPr>
        <w:t xml:space="preserve"> BRRR </w:t>
      </w:r>
      <w:r w:rsidR="006E6E86" w:rsidRPr="0030354F">
        <w:rPr>
          <w:rFonts w:ascii="Arial" w:hAnsi="Arial" w:cs="Arial"/>
          <w:sz w:val="20"/>
          <w:szCs w:val="20"/>
        </w:rPr>
        <w:t xml:space="preserve">is </w:t>
      </w:r>
      <w:r w:rsidR="007B7797" w:rsidRPr="0030354F">
        <w:rPr>
          <w:rFonts w:ascii="Arial" w:hAnsi="Arial" w:cs="Arial"/>
          <w:sz w:val="20"/>
          <w:szCs w:val="20"/>
        </w:rPr>
        <w:t xml:space="preserve">therefore </w:t>
      </w:r>
      <w:r w:rsidR="006E6E86" w:rsidRPr="0030354F">
        <w:rPr>
          <w:rFonts w:ascii="Arial" w:hAnsi="Arial" w:cs="Arial"/>
          <w:sz w:val="20"/>
          <w:szCs w:val="20"/>
        </w:rPr>
        <w:t>a</w:t>
      </w:r>
      <w:r w:rsidR="00C1211A" w:rsidRPr="0030354F">
        <w:rPr>
          <w:rFonts w:ascii="Arial" w:hAnsi="Arial" w:cs="Arial"/>
          <w:sz w:val="20"/>
          <w:szCs w:val="20"/>
        </w:rPr>
        <w:t xml:space="preserve">n instrument Parliament utilises </w:t>
      </w:r>
      <w:r w:rsidR="006E6E86" w:rsidRPr="0030354F">
        <w:rPr>
          <w:rFonts w:ascii="Arial" w:hAnsi="Arial" w:cs="Arial"/>
          <w:sz w:val="20"/>
          <w:szCs w:val="20"/>
        </w:rPr>
        <w:t xml:space="preserve">to </w:t>
      </w:r>
      <w:r w:rsidRPr="0030354F">
        <w:rPr>
          <w:rFonts w:ascii="Arial" w:hAnsi="Arial" w:cs="Arial"/>
          <w:sz w:val="20"/>
          <w:szCs w:val="20"/>
        </w:rPr>
        <w:t>assess the effectiveness and efficiency of a Department’s use and forward allocation of available resources and may include recommendation</w:t>
      </w:r>
      <w:r w:rsidR="00851889" w:rsidRPr="0030354F">
        <w:rPr>
          <w:rFonts w:ascii="Arial" w:hAnsi="Arial" w:cs="Arial"/>
          <w:sz w:val="20"/>
          <w:szCs w:val="20"/>
        </w:rPr>
        <w:t>s</w:t>
      </w:r>
      <w:r w:rsidRPr="0030354F">
        <w:rPr>
          <w:rFonts w:ascii="Arial" w:hAnsi="Arial" w:cs="Arial"/>
          <w:sz w:val="20"/>
          <w:szCs w:val="20"/>
        </w:rPr>
        <w:t xml:space="preserve"> on the use of resources in the medium term. </w:t>
      </w:r>
    </w:p>
    <w:p w:rsidR="00446846" w:rsidRPr="0030354F" w:rsidRDefault="00446846" w:rsidP="0030354F">
      <w:pPr>
        <w:pStyle w:val="NormalWeb"/>
        <w:shd w:val="clear" w:color="auto" w:fill="FFFFFF"/>
        <w:spacing w:before="0" w:beforeAutospacing="0" w:after="0" w:afterAutospacing="0"/>
        <w:contextualSpacing/>
        <w:rPr>
          <w:rFonts w:ascii="Arial" w:hAnsi="Arial" w:cs="Arial"/>
          <w:b/>
          <w:bCs/>
          <w:sz w:val="20"/>
          <w:szCs w:val="20"/>
        </w:rPr>
      </w:pPr>
    </w:p>
    <w:p w:rsidR="000132A0" w:rsidRPr="0030354F" w:rsidRDefault="001C2D19" w:rsidP="0030354F">
      <w:pPr>
        <w:pStyle w:val="NormalWeb"/>
        <w:shd w:val="clear" w:color="auto" w:fill="FFFFFF"/>
        <w:spacing w:before="0" w:beforeAutospacing="0" w:after="0" w:afterAutospacing="0"/>
        <w:contextualSpacing/>
        <w:rPr>
          <w:rFonts w:ascii="Arial" w:hAnsi="Arial" w:cs="Arial"/>
          <w:b/>
          <w:bCs/>
          <w:sz w:val="20"/>
          <w:szCs w:val="20"/>
        </w:rPr>
      </w:pPr>
      <w:r w:rsidRPr="0030354F">
        <w:rPr>
          <w:rFonts w:ascii="Arial" w:hAnsi="Arial" w:cs="Arial"/>
          <w:b/>
          <w:bCs/>
          <w:sz w:val="20"/>
          <w:szCs w:val="20"/>
        </w:rPr>
        <w:t>1.2</w:t>
      </w:r>
      <w:r w:rsidR="007979BF" w:rsidRPr="0030354F">
        <w:rPr>
          <w:rFonts w:ascii="Arial" w:hAnsi="Arial" w:cs="Arial"/>
          <w:b/>
          <w:bCs/>
          <w:sz w:val="20"/>
          <w:szCs w:val="20"/>
        </w:rPr>
        <w:tab/>
        <w:t xml:space="preserve">Mandate of the Committee </w:t>
      </w:r>
    </w:p>
    <w:p w:rsidR="001C2D19" w:rsidRPr="0030354F" w:rsidRDefault="007979BF" w:rsidP="0030354F">
      <w:pPr>
        <w:pStyle w:val="NormalWeb"/>
        <w:shd w:val="clear" w:color="auto" w:fill="FFFFFF"/>
        <w:spacing w:before="0" w:beforeAutospacing="0" w:after="0" w:afterAutospacing="0"/>
        <w:contextualSpacing/>
        <w:rPr>
          <w:rFonts w:ascii="Arial" w:hAnsi="Arial" w:cs="Arial"/>
          <w:sz w:val="20"/>
          <w:szCs w:val="20"/>
        </w:rPr>
      </w:pPr>
      <w:r w:rsidRPr="0030354F">
        <w:rPr>
          <w:rFonts w:ascii="Arial" w:hAnsi="Arial" w:cs="Arial"/>
          <w:sz w:val="20"/>
          <w:szCs w:val="20"/>
        </w:rPr>
        <w:t xml:space="preserve">In terms of the Constitution of the Republic of South Africa, Portfolio Committees have authority to legislate, conduct oversight over the Executive and facilitate public participation. Parliament’s mission and vision statements, the rules of Parliament and its Constitutional obligations govern the Portfolio Committee on Small Business Development mandate. The mandate of the Portfolio Committee is to contribute to the realisation of a developmental state and to ensure effective service delivery through discharging its responsibility as a Portfolio Committee of Parliament. </w:t>
      </w:r>
    </w:p>
    <w:p w:rsidR="001C2D19" w:rsidRPr="0030354F" w:rsidRDefault="001C2D19" w:rsidP="0030354F">
      <w:pPr>
        <w:pStyle w:val="NormalWeb"/>
        <w:shd w:val="clear" w:color="auto" w:fill="FFFFFF"/>
        <w:spacing w:before="0" w:beforeAutospacing="0" w:after="0" w:afterAutospacing="0"/>
        <w:contextualSpacing/>
        <w:rPr>
          <w:rFonts w:ascii="Arial" w:hAnsi="Arial" w:cs="Arial"/>
          <w:sz w:val="20"/>
          <w:szCs w:val="20"/>
        </w:rPr>
      </w:pPr>
    </w:p>
    <w:p w:rsidR="002B5655" w:rsidRPr="0030354F" w:rsidRDefault="001C2D19" w:rsidP="0030354F">
      <w:pPr>
        <w:pStyle w:val="NormalWeb"/>
        <w:shd w:val="clear" w:color="auto" w:fill="FFFFFF"/>
        <w:spacing w:before="0" w:beforeAutospacing="0" w:after="0" w:afterAutospacing="0"/>
        <w:contextualSpacing/>
        <w:rPr>
          <w:rFonts w:ascii="Arial" w:hAnsi="Arial" w:cs="Arial"/>
          <w:b/>
          <w:bCs/>
          <w:sz w:val="20"/>
          <w:szCs w:val="20"/>
        </w:rPr>
      </w:pPr>
      <w:r w:rsidRPr="0030354F">
        <w:rPr>
          <w:rFonts w:ascii="Arial" w:hAnsi="Arial" w:cs="Arial"/>
          <w:b/>
          <w:bCs/>
          <w:sz w:val="20"/>
          <w:szCs w:val="20"/>
        </w:rPr>
        <w:t>1.3</w:t>
      </w:r>
      <w:r w:rsidR="007979BF" w:rsidRPr="0030354F">
        <w:rPr>
          <w:rFonts w:ascii="Arial" w:hAnsi="Arial" w:cs="Arial"/>
          <w:b/>
          <w:bCs/>
          <w:sz w:val="20"/>
          <w:szCs w:val="20"/>
        </w:rPr>
        <w:tab/>
        <w:t xml:space="preserve">Mandate of the Department </w:t>
      </w:r>
    </w:p>
    <w:p w:rsidR="00C1211A" w:rsidRPr="0030354F" w:rsidRDefault="007979BF" w:rsidP="0030354F">
      <w:pPr>
        <w:pStyle w:val="NormalWeb"/>
        <w:shd w:val="clear" w:color="auto" w:fill="FFFFFF"/>
        <w:spacing w:before="0" w:beforeAutospacing="0" w:after="0" w:afterAutospacing="0"/>
        <w:contextualSpacing/>
        <w:rPr>
          <w:rFonts w:ascii="Arial" w:hAnsi="Arial" w:cs="Arial"/>
          <w:sz w:val="20"/>
          <w:szCs w:val="20"/>
        </w:rPr>
      </w:pPr>
      <w:r w:rsidRPr="0030354F">
        <w:rPr>
          <w:rFonts w:ascii="Arial" w:hAnsi="Arial" w:cs="Arial"/>
          <w:sz w:val="20"/>
          <w:szCs w:val="20"/>
        </w:rPr>
        <w:t xml:space="preserve">The Department of Small Business Development plays a major role in </w:t>
      </w:r>
      <w:r w:rsidR="00814937" w:rsidRPr="0030354F">
        <w:rPr>
          <w:rFonts w:ascii="Arial" w:hAnsi="Arial" w:cs="Arial"/>
          <w:sz w:val="20"/>
          <w:szCs w:val="20"/>
        </w:rPr>
        <w:t>implementing</w:t>
      </w:r>
      <w:r w:rsidRPr="0030354F">
        <w:rPr>
          <w:rFonts w:ascii="Arial" w:hAnsi="Arial" w:cs="Arial"/>
          <w:sz w:val="20"/>
          <w:szCs w:val="20"/>
        </w:rPr>
        <w:t xml:space="preserve"> Chapter three (3) and six (6) of </w:t>
      </w:r>
      <w:r w:rsidR="00814937" w:rsidRPr="0030354F">
        <w:rPr>
          <w:rFonts w:ascii="Arial" w:hAnsi="Arial" w:cs="Arial"/>
          <w:sz w:val="20"/>
          <w:szCs w:val="20"/>
        </w:rPr>
        <w:t>the National Development Plan (NDP</w:t>
      </w:r>
      <w:r w:rsidRPr="0030354F">
        <w:rPr>
          <w:rFonts w:ascii="Arial" w:hAnsi="Arial" w:cs="Arial"/>
          <w:sz w:val="20"/>
          <w:szCs w:val="20"/>
        </w:rPr>
        <w:t>). Both chapters deal with the economy and employment as well as rural inclusive growth.</w:t>
      </w:r>
      <w:r w:rsidR="002B5655" w:rsidRPr="0030354F">
        <w:rPr>
          <w:rFonts w:ascii="Arial" w:hAnsi="Arial" w:cs="Arial"/>
          <w:sz w:val="20"/>
          <w:szCs w:val="20"/>
        </w:rPr>
        <w:t xml:space="preserve"> </w:t>
      </w:r>
      <w:r w:rsidRPr="0030354F">
        <w:rPr>
          <w:rFonts w:ascii="Arial" w:hAnsi="Arial" w:cs="Arial"/>
          <w:sz w:val="20"/>
          <w:szCs w:val="20"/>
        </w:rPr>
        <w:t xml:space="preserve"> </w:t>
      </w:r>
      <w:r w:rsidR="002B5655" w:rsidRPr="0030354F">
        <w:rPr>
          <w:rFonts w:ascii="Arial" w:hAnsi="Arial" w:cs="Arial"/>
          <w:sz w:val="20"/>
          <w:szCs w:val="20"/>
        </w:rPr>
        <w:t>With respect to the seven priorities identified in the Medium Term Strategic Framework (MTSF), the Department has a primary responsibility in relation to Priority 2: Economic Transformation and Job Creation and their related sub</w:t>
      </w:r>
      <w:r w:rsidR="00814937" w:rsidRPr="0030354F">
        <w:rPr>
          <w:rFonts w:ascii="Arial" w:hAnsi="Arial" w:cs="Arial"/>
          <w:sz w:val="20"/>
          <w:szCs w:val="20"/>
        </w:rPr>
        <w:t>-</w:t>
      </w:r>
      <w:r w:rsidR="002B5655" w:rsidRPr="0030354F">
        <w:rPr>
          <w:rFonts w:ascii="Arial" w:hAnsi="Arial" w:cs="Arial"/>
          <w:sz w:val="20"/>
          <w:szCs w:val="20"/>
        </w:rPr>
        <w:t>outcomes and interventions. Other policy and strategy mandates informing the strategic direction of the Department include the Integrated Strategy on the Promotion of Entrepreneurship and Small Enterprises (2005), the Integrated Strategy on the Development and Promotion of Co-operatives (2012) and National Informal Business Upliftment Strategy (NIBUS) and Implementation Framework (2014 and 2015).</w:t>
      </w:r>
    </w:p>
    <w:p w:rsidR="00C1211A" w:rsidRPr="0030354F" w:rsidRDefault="00C1211A" w:rsidP="0030354F">
      <w:pPr>
        <w:pStyle w:val="NormalWeb"/>
        <w:shd w:val="clear" w:color="auto" w:fill="FFFFFF"/>
        <w:spacing w:before="0" w:beforeAutospacing="0" w:after="0" w:afterAutospacing="0"/>
        <w:contextualSpacing/>
        <w:rPr>
          <w:rFonts w:ascii="Arial" w:hAnsi="Arial" w:cs="Arial"/>
          <w:sz w:val="20"/>
          <w:szCs w:val="20"/>
        </w:rPr>
      </w:pPr>
    </w:p>
    <w:p w:rsidR="00C1211A" w:rsidRPr="0030354F" w:rsidRDefault="001C2D19" w:rsidP="0030354F">
      <w:pPr>
        <w:pStyle w:val="NormalWeb"/>
        <w:shd w:val="clear" w:color="auto" w:fill="FFFFFF"/>
        <w:spacing w:before="0" w:beforeAutospacing="0" w:after="0" w:afterAutospacing="0"/>
        <w:contextualSpacing/>
        <w:rPr>
          <w:rFonts w:ascii="Arial" w:hAnsi="Arial" w:cs="Arial"/>
          <w:b/>
          <w:bCs/>
          <w:sz w:val="20"/>
          <w:szCs w:val="20"/>
        </w:rPr>
      </w:pPr>
      <w:r w:rsidRPr="0030354F">
        <w:rPr>
          <w:rFonts w:ascii="Arial" w:hAnsi="Arial" w:cs="Arial"/>
          <w:b/>
          <w:bCs/>
          <w:sz w:val="20"/>
          <w:szCs w:val="20"/>
        </w:rPr>
        <w:t>1.3</w:t>
      </w:r>
      <w:r w:rsidR="007979BF" w:rsidRPr="0030354F">
        <w:rPr>
          <w:rFonts w:ascii="Arial" w:hAnsi="Arial" w:cs="Arial"/>
          <w:b/>
          <w:bCs/>
          <w:sz w:val="20"/>
          <w:szCs w:val="20"/>
        </w:rPr>
        <w:t>.1</w:t>
      </w:r>
      <w:r w:rsidR="007979BF" w:rsidRPr="0030354F">
        <w:rPr>
          <w:rFonts w:ascii="Arial" w:hAnsi="Arial" w:cs="Arial"/>
          <w:b/>
          <w:bCs/>
          <w:sz w:val="20"/>
          <w:szCs w:val="20"/>
        </w:rPr>
        <w:tab/>
        <w:t xml:space="preserve">Small Enterprise Development Agency </w:t>
      </w:r>
    </w:p>
    <w:p w:rsidR="00C1211A" w:rsidRPr="0030354F" w:rsidRDefault="007979BF" w:rsidP="0030354F">
      <w:pPr>
        <w:pStyle w:val="NormalWeb"/>
        <w:shd w:val="clear" w:color="auto" w:fill="FFFFFF"/>
        <w:spacing w:before="0" w:beforeAutospacing="0" w:after="0" w:afterAutospacing="0"/>
        <w:contextualSpacing/>
        <w:rPr>
          <w:rFonts w:ascii="Arial" w:hAnsi="Arial" w:cs="Arial"/>
          <w:sz w:val="20"/>
          <w:szCs w:val="20"/>
        </w:rPr>
      </w:pPr>
      <w:r w:rsidRPr="0030354F">
        <w:rPr>
          <w:rFonts w:ascii="Arial" w:hAnsi="Arial" w:cs="Arial"/>
          <w:sz w:val="20"/>
          <w:szCs w:val="20"/>
        </w:rPr>
        <w:t xml:space="preserve">Small Enterprise Development Agency is an entity of the Department whose mandate include, inter alia, developing, nurturing, supporting and promoting small business ventures throughout the country, whilst ensuring their growth and sustainability in a harmonised fashion with various stakeholders. The Minister of Small Business Development is the </w:t>
      </w:r>
      <w:r w:rsidR="00851889" w:rsidRPr="0030354F">
        <w:rPr>
          <w:rFonts w:ascii="Arial" w:hAnsi="Arial" w:cs="Arial"/>
          <w:sz w:val="20"/>
          <w:szCs w:val="20"/>
        </w:rPr>
        <w:t>E</w:t>
      </w:r>
      <w:r w:rsidRPr="0030354F">
        <w:rPr>
          <w:rFonts w:ascii="Arial" w:hAnsi="Arial" w:cs="Arial"/>
          <w:sz w:val="20"/>
          <w:szCs w:val="20"/>
        </w:rPr>
        <w:t>xecutive</w:t>
      </w:r>
      <w:r w:rsidR="00851889" w:rsidRPr="0030354F">
        <w:rPr>
          <w:rFonts w:ascii="Arial" w:hAnsi="Arial" w:cs="Arial"/>
          <w:sz w:val="20"/>
          <w:szCs w:val="20"/>
        </w:rPr>
        <w:t xml:space="preserve"> A</w:t>
      </w:r>
      <w:r w:rsidRPr="0030354F">
        <w:rPr>
          <w:rFonts w:ascii="Arial" w:hAnsi="Arial" w:cs="Arial"/>
          <w:sz w:val="20"/>
          <w:szCs w:val="20"/>
        </w:rPr>
        <w:t xml:space="preserve">uthority </w:t>
      </w:r>
      <w:r w:rsidR="00851889" w:rsidRPr="0030354F">
        <w:rPr>
          <w:rFonts w:ascii="Arial" w:hAnsi="Arial" w:cs="Arial"/>
          <w:sz w:val="20"/>
          <w:szCs w:val="20"/>
        </w:rPr>
        <w:t xml:space="preserve">(EA) </w:t>
      </w:r>
      <w:r w:rsidRPr="0030354F">
        <w:rPr>
          <w:rFonts w:ascii="Arial" w:hAnsi="Arial" w:cs="Arial"/>
          <w:sz w:val="20"/>
          <w:szCs w:val="20"/>
        </w:rPr>
        <w:t xml:space="preserve">of the agency and as such exercise oversight role over the entity as prescribed by the Public Finance Management Act. Seda is a schedule 3A national public entity in terms of the </w:t>
      </w:r>
      <w:r w:rsidR="00851889" w:rsidRPr="0030354F">
        <w:rPr>
          <w:rFonts w:ascii="Arial" w:hAnsi="Arial" w:cs="Arial"/>
          <w:sz w:val="20"/>
          <w:szCs w:val="20"/>
        </w:rPr>
        <w:t>Public Finance Management Act (</w:t>
      </w:r>
      <w:r w:rsidRPr="0030354F">
        <w:rPr>
          <w:rFonts w:ascii="Arial" w:hAnsi="Arial" w:cs="Arial"/>
          <w:sz w:val="20"/>
          <w:szCs w:val="20"/>
        </w:rPr>
        <w:t xml:space="preserve">PFMA), Act 1 of 1999, as amended. </w:t>
      </w:r>
      <w:r w:rsidR="002B5655" w:rsidRPr="0030354F">
        <w:rPr>
          <w:rFonts w:ascii="Arial" w:hAnsi="Arial" w:cs="Arial"/>
          <w:sz w:val="20"/>
          <w:szCs w:val="20"/>
        </w:rPr>
        <w:t xml:space="preserve">The agency decree is to serve as the implementation </w:t>
      </w:r>
      <w:r w:rsidR="00C1211A" w:rsidRPr="0030354F">
        <w:rPr>
          <w:rFonts w:ascii="Arial" w:hAnsi="Arial" w:cs="Arial"/>
          <w:sz w:val="20"/>
          <w:szCs w:val="20"/>
        </w:rPr>
        <w:t xml:space="preserve">arm </w:t>
      </w:r>
      <w:r w:rsidR="00475644" w:rsidRPr="0030354F">
        <w:rPr>
          <w:rFonts w:ascii="Arial" w:hAnsi="Arial" w:cs="Arial"/>
          <w:sz w:val="20"/>
          <w:szCs w:val="20"/>
        </w:rPr>
        <w:t>for DSBD</w:t>
      </w:r>
      <w:r w:rsidR="0032753D" w:rsidRPr="0030354F">
        <w:rPr>
          <w:rFonts w:ascii="Arial" w:hAnsi="Arial" w:cs="Arial"/>
          <w:sz w:val="20"/>
          <w:szCs w:val="20"/>
        </w:rPr>
        <w:t xml:space="preserve"> specifically </w:t>
      </w:r>
      <w:r w:rsidR="00C1211A" w:rsidRPr="0030354F">
        <w:rPr>
          <w:rFonts w:ascii="Arial" w:hAnsi="Arial" w:cs="Arial"/>
          <w:sz w:val="20"/>
          <w:szCs w:val="20"/>
        </w:rPr>
        <w:t>on</w:t>
      </w:r>
      <w:r w:rsidR="0032753D" w:rsidRPr="0030354F">
        <w:rPr>
          <w:rFonts w:ascii="Arial" w:hAnsi="Arial" w:cs="Arial"/>
          <w:sz w:val="20"/>
          <w:szCs w:val="20"/>
        </w:rPr>
        <w:t xml:space="preserve"> non-financial products and services</w:t>
      </w:r>
      <w:r w:rsidR="002B5655" w:rsidRPr="0030354F">
        <w:rPr>
          <w:rFonts w:ascii="Arial" w:hAnsi="Arial" w:cs="Arial"/>
          <w:sz w:val="20"/>
          <w:szCs w:val="20"/>
        </w:rPr>
        <w:t>.</w:t>
      </w:r>
    </w:p>
    <w:p w:rsidR="00C1211A" w:rsidRPr="0030354F" w:rsidRDefault="00C1211A" w:rsidP="0030354F">
      <w:pPr>
        <w:pStyle w:val="NormalWeb"/>
        <w:shd w:val="clear" w:color="auto" w:fill="FFFFFF"/>
        <w:spacing w:before="0" w:beforeAutospacing="0" w:after="0" w:afterAutospacing="0"/>
        <w:contextualSpacing/>
        <w:rPr>
          <w:rFonts w:ascii="Arial" w:hAnsi="Arial" w:cs="Arial"/>
          <w:sz w:val="20"/>
          <w:szCs w:val="20"/>
        </w:rPr>
      </w:pPr>
    </w:p>
    <w:p w:rsidR="00C1211A" w:rsidRPr="0030354F" w:rsidRDefault="007979BF" w:rsidP="0030354F">
      <w:pPr>
        <w:pStyle w:val="NormalWeb"/>
        <w:shd w:val="clear" w:color="auto" w:fill="FFFFFF"/>
        <w:spacing w:before="0" w:beforeAutospacing="0" w:after="0" w:afterAutospacing="0"/>
        <w:contextualSpacing/>
        <w:rPr>
          <w:rFonts w:ascii="Arial" w:hAnsi="Arial" w:cs="Arial"/>
          <w:b/>
          <w:bCs/>
          <w:sz w:val="20"/>
          <w:szCs w:val="20"/>
        </w:rPr>
      </w:pPr>
      <w:r w:rsidRPr="0030354F">
        <w:rPr>
          <w:rFonts w:ascii="Arial" w:hAnsi="Arial" w:cs="Arial"/>
          <w:b/>
          <w:sz w:val="20"/>
          <w:szCs w:val="20"/>
        </w:rPr>
        <w:t>1</w:t>
      </w:r>
      <w:r w:rsidR="001C2D19" w:rsidRPr="0030354F">
        <w:rPr>
          <w:rFonts w:ascii="Arial" w:hAnsi="Arial" w:cs="Arial"/>
          <w:b/>
          <w:bCs/>
          <w:sz w:val="20"/>
          <w:szCs w:val="20"/>
        </w:rPr>
        <w:t>.3</w:t>
      </w:r>
      <w:r w:rsidRPr="0030354F">
        <w:rPr>
          <w:rFonts w:ascii="Arial" w:hAnsi="Arial" w:cs="Arial"/>
          <w:b/>
          <w:bCs/>
          <w:sz w:val="20"/>
          <w:szCs w:val="20"/>
        </w:rPr>
        <w:t>.2</w:t>
      </w:r>
      <w:r w:rsidRPr="0030354F">
        <w:rPr>
          <w:rFonts w:ascii="Arial" w:hAnsi="Arial" w:cs="Arial"/>
          <w:b/>
          <w:bCs/>
          <w:sz w:val="20"/>
          <w:szCs w:val="20"/>
        </w:rPr>
        <w:tab/>
        <w:t xml:space="preserve">Small Enterprise Finance Agency </w:t>
      </w:r>
    </w:p>
    <w:p w:rsidR="00C1211A" w:rsidRPr="0030354F" w:rsidRDefault="006A2ACB" w:rsidP="0030354F">
      <w:pPr>
        <w:pStyle w:val="NormalWeb"/>
        <w:shd w:val="clear" w:color="auto" w:fill="FFFFFF"/>
        <w:spacing w:before="0" w:beforeAutospacing="0" w:after="0" w:afterAutospacing="0"/>
        <w:contextualSpacing/>
        <w:rPr>
          <w:rFonts w:ascii="Arial" w:hAnsi="Arial" w:cs="Arial"/>
          <w:sz w:val="20"/>
          <w:szCs w:val="20"/>
        </w:rPr>
      </w:pPr>
      <w:r w:rsidRPr="0030354F">
        <w:rPr>
          <w:rFonts w:ascii="Arial" w:hAnsi="Arial" w:cs="Arial"/>
          <w:sz w:val="20"/>
          <w:szCs w:val="20"/>
        </w:rPr>
        <w:t xml:space="preserve">The </w:t>
      </w:r>
      <w:r w:rsidR="007979BF" w:rsidRPr="0030354F">
        <w:rPr>
          <w:rFonts w:ascii="Arial" w:hAnsi="Arial" w:cs="Arial"/>
          <w:sz w:val="20"/>
          <w:szCs w:val="20"/>
        </w:rPr>
        <w:t>Smal</w:t>
      </w:r>
      <w:r w:rsidR="00544AE5" w:rsidRPr="0030354F">
        <w:rPr>
          <w:rFonts w:ascii="Arial" w:hAnsi="Arial" w:cs="Arial"/>
          <w:sz w:val="20"/>
          <w:szCs w:val="20"/>
        </w:rPr>
        <w:t xml:space="preserve">l Enterprise Finance Agency was </w:t>
      </w:r>
      <w:r w:rsidR="007979BF" w:rsidRPr="0030354F">
        <w:rPr>
          <w:rFonts w:ascii="Arial" w:hAnsi="Arial" w:cs="Arial"/>
          <w:sz w:val="20"/>
          <w:szCs w:val="20"/>
        </w:rPr>
        <w:t>e</w:t>
      </w:r>
      <w:r w:rsidRPr="0030354F">
        <w:rPr>
          <w:rFonts w:ascii="Arial" w:hAnsi="Arial" w:cs="Arial"/>
          <w:sz w:val="20"/>
          <w:szCs w:val="20"/>
        </w:rPr>
        <w:t xml:space="preserve">stablished in April 2012 </w:t>
      </w:r>
      <w:r w:rsidR="007979BF" w:rsidRPr="0030354F">
        <w:rPr>
          <w:rFonts w:ascii="Arial" w:hAnsi="Arial" w:cs="Arial"/>
          <w:sz w:val="20"/>
          <w:szCs w:val="20"/>
        </w:rPr>
        <w:t xml:space="preserve">through the amalgamation of South African Micro-Finance Apex Fund (SAMAF), Khula Enterprise Finance and Industrial Development Corporation’s small business activities. It is a registered entity in terms of the Companies Act of 2008 and incorporated in terms of Section 3(d) of the Industrial </w:t>
      </w:r>
      <w:r w:rsidR="00851889" w:rsidRPr="0030354F">
        <w:rPr>
          <w:rFonts w:ascii="Arial" w:hAnsi="Arial" w:cs="Arial"/>
          <w:sz w:val="20"/>
          <w:szCs w:val="20"/>
        </w:rPr>
        <w:t xml:space="preserve">Development </w:t>
      </w:r>
      <w:r w:rsidR="00851889" w:rsidRPr="0030354F">
        <w:rPr>
          <w:rFonts w:ascii="Arial" w:hAnsi="Arial" w:cs="Arial"/>
          <w:sz w:val="20"/>
          <w:szCs w:val="20"/>
        </w:rPr>
        <w:lastRenderedPageBreak/>
        <w:t>Corporation (</w:t>
      </w:r>
      <w:r w:rsidR="007979BF" w:rsidRPr="0030354F">
        <w:rPr>
          <w:rFonts w:ascii="Arial" w:hAnsi="Arial" w:cs="Arial"/>
          <w:sz w:val="20"/>
          <w:szCs w:val="20"/>
        </w:rPr>
        <w:t>IDC) Act, 1940, and thus a wholly owned subsidiary of the IDC. Section 3(d) of the IDC Act seeks “to foster the development of small and medium enterprises and co-operatives”.</w:t>
      </w:r>
      <w:r w:rsidR="0032753D" w:rsidRPr="0030354F">
        <w:rPr>
          <w:rFonts w:ascii="Arial" w:hAnsi="Arial" w:cs="Arial"/>
          <w:sz w:val="20"/>
          <w:szCs w:val="20"/>
        </w:rPr>
        <w:t xml:space="preserve"> The fusion of </w:t>
      </w:r>
      <w:r w:rsidR="00851889" w:rsidRPr="0030354F">
        <w:rPr>
          <w:rFonts w:ascii="Arial" w:hAnsi="Arial" w:cs="Arial"/>
          <w:sz w:val="20"/>
          <w:szCs w:val="20"/>
        </w:rPr>
        <w:t xml:space="preserve">the </w:t>
      </w:r>
      <w:r w:rsidR="0032753D" w:rsidRPr="0030354F">
        <w:rPr>
          <w:rFonts w:ascii="Arial" w:hAnsi="Arial" w:cs="Arial"/>
          <w:sz w:val="20"/>
          <w:szCs w:val="20"/>
        </w:rPr>
        <w:t xml:space="preserve">two entities, Seda and Sefa, including Co-operatives Bank Development Agency (CBDA) into a single entity in </w:t>
      </w:r>
      <w:r w:rsidR="00814937" w:rsidRPr="0030354F">
        <w:rPr>
          <w:rFonts w:ascii="Arial" w:hAnsi="Arial" w:cs="Arial"/>
          <w:sz w:val="20"/>
          <w:szCs w:val="20"/>
        </w:rPr>
        <w:t>conformity</w:t>
      </w:r>
      <w:r w:rsidR="0032753D" w:rsidRPr="0030354F">
        <w:rPr>
          <w:rFonts w:ascii="Arial" w:hAnsi="Arial" w:cs="Arial"/>
          <w:sz w:val="20"/>
          <w:szCs w:val="20"/>
        </w:rPr>
        <w:t xml:space="preserve"> </w:t>
      </w:r>
      <w:r w:rsidR="00814937" w:rsidRPr="0030354F">
        <w:rPr>
          <w:rFonts w:ascii="Arial" w:hAnsi="Arial" w:cs="Arial"/>
          <w:sz w:val="20"/>
          <w:szCs w:val="20"/>
        </w:rPr>
        <w:t>with</w:t>
      </w:r>
      <w:r w:rsidR="0032753D" w:rsidRPr="0030354F">
        <w:rPr>
          <w:rFonts w:ascii="Arial" w:hAnsi="Arial" w:cs="Arial"/>
          <w:sz w:val="20"/>
          <w:szCs w:val="20"/>
        </w:rPr>
        <w:t xml:space="preserve"> PFMA and Companies Act(s), has </w:t>
      </w:r>
      <w:r w:rsidR="00693903" w:rsidRPr="0030354F">
        <w:rPr>
          <w:rFonts w:ascii="Arial" w:hAnsi="Arial" w:cs="Arial"/>
          <w:sz w:val="20"/>
          <w:szCs w:val="20"/>
        </w:rPr>
        <w:t xml:space="preserve">already </w:t>
      </w:r>
      <w:r w:rsidR="0032753D" w:rsidRPr="0030354F">
        <w:rPr>
          <w:rFonts w:ascii="Arial" w:hAnsi="Arial" w:cs="Arial"/>
          <w:sz w:val="20"/>
          <w:szCs w:val="20"/>
        </w:rPr>
        <w:t>begun.</w:t>
      </w:r>
    </w:p>
    <w:p w:rsidR="00C1211A" w:rsidRPr="0030354F" w:rsidRDefault="00C1211A" w:rsidP="0030354F">
      <w:pPr>
        <w:pStyle w:val="NormalWeb"/>
        <w:shd w:val="clear" w:color="auto" w:fill="FFFFFF"/>
        <w:spacing w:before="0" w:beforeAutospacing="0" w:after="0" w:afterAutospacing="0"/>
        <w:contextualSpacing/>
        <w:rPr>
          <w:rFonts w:ascii="Arial" w:hAnsi="Arial" w:cs="Arial"/>
          <w:sz w:val="20"/>
          <w:szCs w:val="20"/>
        </w:rPr>
      </w:pPr>
    </w:p>
    <w:p w:rsidR="00C1211A" w:rsidRPr="0030354F" w:rsidRDefault="001C2D19" w:rsidP="0030354F">
      <w:pPr>
        <w:pStyle w:val="NormalWeb"/>
        <w:shd w:val="clear" w:color="auto" w:fill="FFFFFF"/>
        <w:spacing w:before="0" w:beforeAutospacing="0" w:after="0" w:afterAutospacing="0"/>
        <w:contextualSpacing/>
        <w:rPr>
          <w:rFonts w:ascii="Arial" w:hAnsi="Arial" w:cs="Arial"/>
          <w:b/>
          <w:sz w:val="20"/>
          <w:szCs w:val="20"/>
        </w:rPr>
      </w:pPr>
      <w:r w:rsidRPr="0030354F">
        <w:rPr>
          <w:rFonts w:ascii="Arial" w:hAnsi="Arial" w:cs="Arial"/>
          <w:b/>
          <w:sz w:val="20"/>
          <w:szCs w:val="20"/>
        </w:rPr>
        <w:t>1.4</w:t>
      </w:r>
      <w:r w:rsidRPr="0030354F">
        <w:rPr>
          <w:rFonts w:ascii="Arial" w:hAnsi="Arial" w:cs="Arial"/>
          <w:b/>
          <w:sz w:val="20"/>
          <w:szCs w:val="20"/>
        </w:rPr>
        <w:tab/>
        <w:t>Preparation of</w:t>
      </w:r>
      <w:r w:rsidR="0053566C" w:rsidRPr="0030354F">
        <w:rPr>
          <w:rFonts w:ascii="Arial" w:hAnsi="Arial" w:cs="Arial"/>
          <w:b/>
          <w:sz w:val="20"/>
          <w:szCs w:val="20"/>
        </w:rPr>
        <w:t xml:space="preserve"> BRRR</w:t>
      </w:r>
      <w:r w:rsidR="005924B0" w:rsidRPr="0030354F">
        <w:rPr>
          <w:rFonts w:ascii="Arial" w:hAnsi="Arial" w:cs="Arial"/>
          <w:b/>
          <w:sz w:val="20"/>
          <w:szCs w:val="20"/>
        </w:rPr>
        <w:t xml:space="preserve"> </w:t>
      </w:r>
      <w:r w:rsidRPr="0030354F">
        <w:rPr>
          <w:rFonts w:ascii="Arial" w:hAnsi="Arial" w:cs="Arial"/>
          <w:b/>
          <w:sz w:val="20"/>
          <w:szCs w:val="20"/>
        </w:rPr>
        <w:t>Report</w:t>
      </w:r>
    </w:p>
    <w:p w:rsidR="001C2D19" w:rsidRPr="0030354F" w:rsidRDefault="001215A3" w:rsidP="0030354F">
      <w:pPr>
        <w:pStyle w:val="NormalWeb"/>
        <w:shd w:val="clear" w:color="auto" w:fill="FFFFFF"/>
        <w:spacing w:before="0" w:beforeAutospacing="0" w:after="0" w:afterAutospacing="0"/>
        <w:contextualSpacing/>
        <w:rPr>
          <w:rFonts w:ascii="Arial" w:hAnsi="Arial" w:cs="Arial"/>
          <w:b/>
          <w:bCs/>
          <w:sz w:val="20"/>
          <w:szCs w:val="20"/>
        </w:rPr>
      </w:pPr>
      <w:r w:rsidRPr="0030354F">
        <w:rPr>
          <w:rFonts w:ascii="Arial" w:hAnsi="Arial" w:cs="Arial"/>
          <w:sz w:val="20"/>
          <w:szCs w:val="20"/>
        </w:rPr>
        <w:t xml:space="preserve">In preparation for the BRRR </w:t>
      </w:r>
      <w:r w:rsidR="00CB1D4E" w:rsidRPr="0030354F">
        <w:rPr>
          <w:rFonts w:ascii="Arial" w:hAnsi="Arial" w:cs="Arial"/>
          <w:sz w:val="20"/>
          <w:szCs w:val="20"/>
        </w:rPr>
        <w:t>r</w:t>
      </w:r>
      <w:r w:rsidR="00822FFC" w:rsidRPr="0030354F">
        <w:rPr>
          <w:rFonts w:ascii="Arial" w:hAnsi="Arial" w:cs="Arial"/>
          <w:sz w:val="20"/>
          <w:szCs w:val="20"/>
        </w:rPr>
        <w:t xml:space="preserve">eport </w:t>
      </w:r>
      <w:r w:rsidR="00693903" w:rsidRPr="0030354F">
        <w:rPr>
          <w:rFonts w:ascii="Arial" w:hAnsi="Arial" w:cs="Arial"/>
          <w:sz w:val="20"/>
          <w:szCs w:val="20"/>
        </w:rPr>
        <w:t>the Portfolio C</w:t>
      </w:r>
      <w:r w:rsidR="001C2D19" w:rsidRPr="0030354F">
        <w:rPr>
          <w:rFonts w:ascii="Arial" w:hAnsi="Arial" w:cs="Arial"/>
          <w:sz w:val="20"/>
          <w:szCs w:val="20"/>
        </w:rPr>
        <w:t xml:space="preserve">ommittee </w:t>
      </w:r>
      <w:r w:rsidRPr="0030354F">
        <w:rPr>
          <w:rFonts w:ascii="Arial" w:hAnsi="Arial" w:cs="Arial"/>
          <w:sz w:val="20"/>
          <w:szCs w:val="20"/>
        </w:rPr>
        <w:t xml:space="preserve">received briefings from the Auditor-General of South </w:t>
      </w:r>
      <w:r w:rsidR="00822FFC" w:rsidRPr="0030354F">
        <w:rPr>
          <w:rFonts w:ascii="Arial" w:hAnsi="Arial" w:cs="Arial"/>
          <w:sz w:val="20"/>
          <w:szCs w:val="20"/>
        </w:rPr>
        <w:t>Africa on 1</w:t>
      </w:r>
      <w:r w:rsidR="003176F8" w:rsidRPr="0030354F">
        <w:rPr>
          <w:rFonts w:ascii="Arial" w:hAnsi="Arial" w:cs="Arial"/>
          <w:sz w:val="20"/>
          <w:szCs w:val="20"/>
        </w:rPr>
        <w:t>1 October 2022</w:t>
      </w:r>
      <w:r w:rsidR="00822FFC" w:rsidRPr="0030354F">
        <w:rPr>
          <w:rFonts w:ascii="Arial" w:hAnsi="Arial" w:cs="Arial"/>
          <w:sz w:val="20"/>
          <w:szCs w:val="20"/>
        </w:rPr>
        <w:t>, as well as DSBD and entities on 1</w:t>
      </w:r>
      <w:r w:rsidR="003176F8" w:rsidRPr="0030354F">
        <w:rPr>
          <w:rFonts w:ascii="Arial" w:hAnsi="Arial" w:cs="Arial"/>
          <w:sz w:val="20"/>
          <w:szCs w:val="20"/>
        </w:rPr>
        <w:t>2 October 2022</w:t>
      </w:r>
      <w:r w:rsidR="00822FFC" w:rsidRPr="0030354F">
        <w:rPr>
          <w:rFonts w:ascii="Arial" w:hAnsi="Arial" w:cs="Arial"/>
          <w:sz w:val="20"/>
          <w:szCs w:val="20"/>
        </w:rPr>
        <w:t>. Whereas during the course of 202</w:t>
      </w:r>
      <w:r w:rsidR="003176F8" w:rsidRPr="0030354F">
        <w:rPr>
          <w:rFonts w:ascii="Arial" w:hAnsi="Arial" w:cs="Arial"/>
          <w:sz w:val="20"/>
          <w:szCs w:val="20"/>
        </w:rPr>
        <w:t>1/22</w:t>
      </w:r>
      <w:r w:rsidR="00822FFC" w:rsidRPr="0030354F">
        <w:rPr>
          <w:rFonts w:ascii="Arial" w:hAnsi="Arial" w:cs="Arial"/>
          <w:sz w:val="20"/>
          <w:szCs w:val="20"/>
        </w:rPr>
        <w:t xml:space="preserve"> the Committee </w:t>
      </w:r>
      <w:r w:rsidR="001C2D19" w:rsidRPr="0030354F">
        <w:rPr>
          <w:rFonts w:ascii="Arial" w:hAnsi="Arial" w:cs="Arial"/>
          <w:sz w:val="20"/>
          <w:szCs w:val="20"/>
        </w:rPr>
        <w:t>undertook the</w:t>
      </w:r>
      <w:r w:rsidR="00822FFC" w:rsidRPr="0030354F">
        <w:rPr>
          <w:rFonts w:ascii="Arial" w:hAnsi="Arial" w:cs="Arial"/>
          <w:sz w:val="20"/>
          <w:szCs w:val="20"/>
        </w:rPr>
        <w:t xml:space="preserve"> following activities</w:t>
      </w:r>
      <w:r w:rsidR="001C2D19" w:rsidRPr="0030354F">
        <w:rPr>
          <w:rFonts w:ascii="Arial" w:hAnsi="Arial" w:cs="Arial"/>
          <w:sz w:val="20"/>
          <w:szCs w:val="20"/>
        </w:rPr>
        <w:t xml:space="preserve"> -</w:t>
      </w:r>
    </w:p>
    <w:p w:rsidR="001C2D19" w:rsidRPr="0030354F" w:rsidRDefault="001C2D19" w:rsidP="0030354F">
      <w:pPr>
        <w:pStyle w:val="ListParagraph"/>
        <w:numPr>
          <w:ilvl w:val="0"/>
          <w:numId w:val="10"/>
        </w:numPr>
        <w:shd w:val="clear" w:color="auto" w:fill="FFFFFF"/>
        <w:rPr>
          <w:rFonts w:ascii="Arial" w:hAnsi="Arial" w:cs="Arial"/>
          <w:sz w:val="20"/>
          <w:szCs w:val="20"/>
        </w:rPr>
      </w:pPr>
      <w:r w:rsidRPr="0030354F">
        <w:rPr>
          <w:rFonts w:ascii="Arial" w:hAnsi="Arial" w:cs="Arial"/>
          <w:sz w:val="20"/>
          <w:szCs w:val="20"/>
        </w:rPr>
        <w:t>Received regular briefings from the Department and entities on quarterly performance and expenditure reports;</w:t>
      </w:r>
    </w:p>
    <w:p w:rsidR="001C2D19" w:rsidRPr="0030354F" w:rsidRDefault="001C2D19" w:rsidP="0030354F">
      <w:pPr>
        <w:pStyle w:val="ListParagraph"/>
        <w:numPr>
          <w:ilvl w:val="0"/>
          <w:numId w:val="10"/>
        </w:numPr>
        <w:shd w:val="clear" w:color="auto" w:fill="FFFFFF"/>
        <w:rPr>
          <w:rFonts w:ascii="Arial" w:hAnsi="Arial" w:cs="Arial"/>
          <w:sz w:val="20"/>
          <w:szCs w:val="20"/>
        </w:rPr>
      </w:pPr>
      <w:r w:rsidRPr="0030354F">
        <w:rPr>
          <w:rFonts w:ascii="Arial" w:hAnsi="Arial" w:cs="Arial"/>
          <w:sz w:val="20"/>
          <w:szCs w:val="20"/>
        </w:rPr>
        <w:t>Held virtual oversight sessions with the Department beneficiaries and stakeholders;</w:t>
      </w:r>
    </w:p>
    <w:p w:rsidR="00863729" w:rsidRPr="0030354F" w:rsidRDefault="001C2D19" w:rsidP="0030354F">
      <w:pPr>
        <w:pStyle w:val="ListParagraph"/>
        <w:numPr>
          <w:ilvl w:val="0"/>
          <w:numId w:val="10"/>
        </w:numPr>
        <w:shd w:val="clear" w:color="auto" w:fill="FFFFFF"/>
        <w:rPr>
          <w:rFonts w:ascii="Arial" w:hAnsi="Arial" w:cs="Arial"/>
          <w:sz w:val="20"/>
          <w:szCs w:val="20"/>
        </w:rPr>
      </w:pPr>
      <w:r w:rsidRPr="0030354F">
        <w:rPr>
          <w:rFonts w:ascii="Arial" w:hAnsi="Arial" w:cs="Arial"/>
          <w:sz w:val="20"/>
          <w:szCs w:val="20"/>
        </w:rPr>
        <w:t>Scrutinised performance of the D</w:t>
      </w:r>
      <w:r w:rsidR="00863729" w:rsidRPr="0030354F">
        <w:rPr>
          <w:rFonts w:ascii="Arial" w:hAnsi="Arial" w:cs="Arial"/>
          <w:sz w:val="20"/>
          <w:szCs w:val="20"/>
        </w:rPr>
        <w:t xml:space="preserve">epartment and entities </w:t>
      </w:r>
      <w:r w:rsidRPr="0030354F">
        <w:rPr>
          <w:rFonts w:ascii="Arial" w:hAnsi="Arial" w:cs="Arial"/>
          <w:sz w:val="20"/>
          <w:szCs w:val="20"/>
        </w:rPr>
        <w:t>in relation to set targets as captured in the Strategic Plan, the Annual Performance Plan and Budget of the Department for the 202</w:t>
      </w:r>
      <w:r w:rsidR="003176F8" w:rsidRPr="0030354F">
        <w:rPr>
          <w:rFonts w:ascii="Arial" w:hAnsi="Arial" w:cs="Arial"/>
          <w:sz w:val="20"/>
          <w:szCs w:val="20"/>
        </w:rPr>
        <w:t>1/22</w:t>
      </w:r>
      <w:r w:rsidR="00863729" w:rsidRPr="0030354F">
        <w:rPr>
          <w:rFonts w:ascii="Arial" w:hAnsi="Arial" w:cs="Arial"/>
          <w:sz w:val="20"/>
          <w:szCs w:val="20"/>
        </w:rPr>
        <w:t xml:space="preserve"> financial year</w:t>
      </w:r>
      <w:r w:rsidR="00CB1D4E" w:rsidRPr="0030354F">
        <w:rPr>
          <w:rFonts w:ascii="Arial" w:hAnsi="Arial" w:cs="Arial"/>
          <w:sz w:val="20"/>
          <w:szCs w:val="20"/>
        </w:rPr>
        <w:t>, Economic Reconstruction and Recovery Plan (ERRP)</w:t>
      </w:r>
      <w:r w:rsidR="00851889" w:rsidRPr="0030354F">
        <w:rPr>
          <w:rFonts w:ascii="Arial" w:hAnsi="Arial" w:cs="Arial"/>
          <w:sz w:val="20"/>
          <w:szCs w:val="20"/>
        </w:rPr>
        <w:t xml:space="preserve"> and</w:t>
      </w:r>
      <w:r w:rsidR="00CB1D4E" w:rsidRPr="0030354F">
        <w:rPr>
          <w:rFonts w:ascii="Arial" w:hAnsi="Arial" w:cs="Arial"/>
          <w:sz w:val="20"/>
          <w:szCs w:val="20"/>
        </w:rPr>
        <w:t xml:space="preserve"> National Development Plan (NDP) etc</w:t>
      </w:r>
      <w:r w:rsidR="00863729" w:rsidRPr="0030354F">
        <w:rPr>
          <w:rFonts w:ascii="Arial" w:hAnsi="Arial" w:cs="Arial"/>
          <w:sz w:val="20"/>
          <w:szCs w:val="20"/>
        </w:rPr>
        <w:t>;</w:t>
      </w:r>
    </w:p>
    <w:p w:rsidR="00863729" w:rsidRPr="0030354F" w:rsidRDefault="00863729" w:rsidP="0030354F">
      <w:pPr>
        <w:pStyle w:val="ListParagraph"/>
        <w:numPr>
          <w:ilvl w:val="0"/>
          <w:numId w:val="10"/>
        </w:numPr>
        <w:shd w:val="clear" w:color="auto" w:fill="FFFFFF"/>
        <w:rPr>
          <w:rFonts w:ascii="Arial" w:hAnsi="Arial" w:cs="Arial"/>
          <w:sz w:val="20"/>
          <w:szCs w:val="20"/>
        </w:rPr>
      </w:pPr>
      <w:r w:rsidRPr="0030354F">
        <w:rPr>
          <w:rFonts w:ascii="Arial" w:hAnsi="Arial" w:cs="Arial"/>
          <w:sz w:val="20"/>
          <w:szCs w:val="20"/>
        </w:rPr>
        <w:t>Assessed</w:t>
      </w:r>
      <w:r w:rsidR="001C2D19" w:rsidRPr="0030354F">
        <w:rPr>
          <w:rFonts w:ascii="Arial" w:hAnsi="Arial" w:cs="Arial"/>
          <w:sz w:val="20"/>
          <w:szCs w:val="20"/>
        </w:rPr>
        <w:t xml:space="preserve"> the impact of support interventions o</w:t>
      </w:r>
      <w:r w:rsidRPr="0030354F">
        <w:rPr>
          <w:rFonts w:ascii="Arial" w:hAnsi="Arial" w:cs="Arial"/>
          <w:sz w:val="20"/>
          <w:szCs w:val="20"/>
        </w:rPr>
        <w:t xml:space="preserve">ffered by the overall portfolio for the benefit of small enterprises, including updates on the expenditure of </w:t>
      </w:r>
      <w:r w:rsidR="003176F8" w:rsidRPr="0030354F">
        <w:rPr>
          <w:rFonts w:ascii="Arial" w:hAnsi="Arial" w:cs="Arial"/>
          <w:sz w:val="20"/>
          <w:szCs w:val="20"/>
        </w:rPr>
        <w:t xml:space="preserve">the </w:t>
      </w:r>
      <w:r w:rsidRPr="0030354F">
        <w:rPr>
          <w:rFonts w:ascii="Arial" w:hAnsi="Arial" w:cs="Arial"/>
          <w:sz w:val="20"/>
          <w:szCs w:val="20"/>
        </w:rPr>
        <w:t xml:space="preserve">Covid-19 </w:t>
      </w:r>
      <w:r w:rsidR="003176F8" w:rsidRPr="0030354F">
        <w:rPr>
          <w:rFonts w:ascii="Arial" w:hAnsi="Arial" w:cs="Arial"/>
          <w:sz w:val="20"/>
          <w:szCs w:val="20"/>
        </w:rPr>
        <w:t xml:space="preserve">and Flood Relief </w:t>
      </w:r>
      <w:r w:rsidRPr="0030354F">
        <w:rPr>
          <w:rFonts w:ascii="Arial" w:hAnsi="Arial" w:cs="Arial"/>
          <w:sz w:val="20"/>
          <w:szCs w:val="20"/>
        </w:rPr>
        <w:t>funds</w:t>
      </w:r>
      <w:r w:rsidR="00CB1D4E" w:rsidRPr="0030354F">
        <w:rPr>
          <w:rFonts w:ascii="Arial" w:hAnsi="Arial" w:cs="Arial"/>
          <w:sz w:val="20"/>
          <w:szCs w:val="20"/>
        </w:rPr>
        <w:t xml:space="preserve"> and other support measures to cushion the sector from devastating impacts of the pandemic</w:t>
      </w:r>
      <w:r w:rsidRPr="0030354F">
        <w:rPr>
          <w:rFonts w:ascii="Arial" w:hAnsi="Arial" w:cs="Arial"/>
          <w:sz w:val="20"/>
          <w:szCs w:val="20"/>
        </w:rPr>
        <w:t>;</w:t>
      </w:r>
    </w:p>
    <w:p w:rsidR="001C2D19" w:rsidRPr="0030354F" w:rsidRDefault="00863729" w:rsidP="0030354F">
      <w:pPr>
        <w:pStyle w:val="ListParagraph"/>
        <w:numPr>
          <w:ilvl w:val="0"/>
          <w:numId w:val="10"/>
        </w:numPr>
        <w:shd w:val="clear" w:color="auto" w:fill="FFFFFF"/>
        <w:rPr>
          <w:rFonts w:ascii="Arial" w:hAnsi="Arial" w:cs="Arial"/>
          <w:sz w:val="20"/>
          <w:szCs w:val="20"/>
        </w:rPr>
      </w:pPr>
      <w:r w:rsidRPr="0030354F">
        <w:rPr>
          <w:rFonts w:ascii="Arial" w:hAnsi="Arial" w:cs="Arial"/>
          <w:sz w:val="20"/>
          <w:szCs w:val="20"/>
        </w:rPr>
        <w:t>The r</w:t>
      </w:r>
      <w:r w:rsidR="001C2D19" w:rsidRPr="0030354F">
        <w:rPr>
          <w:rFonts w:ascii="Arial" w:hAnsi="Arial" w:cs="Arial"/>
          <w:sz w:val="20"/>
          <w:szCs w:val="20"/>
        </w:rPr>
        <w:t>eport also draws from other briefings</w:t>
      </w:r>
      <w:r w:rsidRPr="0030354F">
        <w:rPr>
          <w:rFonts w:ascii="Arial" w:hAnsi="Arial" w:cs="Arial"/>
          <w:sz w:val="20"/>
          <w:szCs w:val="20"/>
        </w:rPr>
        <w:t>, reports</w:t>
      </w:r>
      <w:r w:rsidR="001C2D19" w:rsidRPr="0030354F">
        <w:rPr>
          <w:rFonts w:ascii="Arial" w:hAnsi="Arial" w:cs="Arial"/>
          <w:sz w:val="20"/>
          <w:szCs w:val="20"/>
        </w:rPr>
        <w:t xml:space="preserve"> and inputs that the </w:t>
      </w:r>
      <w:r w:rsidRPr="0030354F">
        <w:rPr>
          <w:rFonts w:ascii="Arial" w:hAnsi="Arial" w:cs="Arial"/>
          <w:sz w:val="20"/>
          <w:szCs w:val="20"/>
        </w:rPr>
        <w:t xml:space="preserve">Portfolio </w:t>
      </w:r>
      <w:r w:rsidR="001C2D19" w:rsidRPr="0030354F">
        <w:rPr>
          <w:rFonts w:ascii="Arial" w:hAnsi="Arial" w:cs="Arial"/>
          <w:sz w:val="20"/>
          <w:szCs w:val="20"/>
        </w:rPr>
        <w:t>Committee received throughout the 20</w:t>
      </w:r>
      <w:r w:rsidR="003176F8" w:rsidRPr="0030354F">
        <w:rPr>
          <w:rFonts w:ascii="Arial" w:hAnsi="Arial" w:cs="Arial"/>
          <w:sz w:val="20"/>
          <w:szCs w:val="20"/>
        </w:rPr>
        <w:t>21/22</w:t>
      </w:r>
      <w:r w:rsidR="00851889" w:rsidRPr="0030354F">
        <w:rPr>
          <w:rFonts w:ascii="Arial" w:hAnsi="Arial" w:cs="Arial"/>
          <w:sz w:val="20"/>
          <w:szCs w:val="20"/>
        </w:rPr>
        <w:t xml:space="preserve"> financial year,</w:t>
      </w:r>
      <w:r w:rsidR="001C2D19" w:rsidRPr="0030354F">
        <w:rPr>
          <w:rFonts w:ascii="Arial" w:hAnsi="Arial" w:cs="Arial"/>
          <w:sz w:val="20"/>
          <w:szCs w:val="20"/>
        </w:rPr>
        <w:t xml:space="preserve"> and the 202</w:t>
      </w:r>
      <w:r w:rsidR="003176F8" w:rsidRPr="0030354F">
        <w:rPr>
          <w:rFonts w:ascii="Arial" w:hAnsi="Arial" w:cs="Arial"/>
          <w:sz w:val="20"/>
          <w:szCs w:val="20"/>
        </w:rPr>
        <w:t>2/3</w:t>
      </w:r>
      <w:r w:rsidR="001C2D19" w:rsidRPr="0030354F">
        <w:rPr>
          <w:rFonts w:ascii="Arial" w:hAnsi="Arial" w:cs="Arial"/>
          <w:sz w:val="20"/>
          <w:szCs w:val="20"/>
        </w:rPr>
        <w:t xml:space="preserve"> financial year to date.</w:t>
      </w:r>
    </w:p>
    <w:p w:rsidR="007979BF" w:rsidRPr="0030354F" w:rsidRDefault="007979BF" w:rsidP="0030354F">
      <w:pPr>
        <w:spacing w:after="0" w:line="240" w:lineRule="auto"/>
        <w:contextualSpacing/>
        <w:rPr>
          <w:rFonts w:ascii="Arial" w:hAnsi="Arial" w:cs="Arial"/>
          <w:b/>
          <w:bCs/>
          <w:sz w:val="20"/>
          <w:szCs w:val="20"/>
        </w:rPr>
      </w:pPr>
      <w:r w:rsidRPr="0030354F">
        <w:rPr>
          <w:rFonts w:ascii="Arial" w:hAnsi="Arial" w:cs="Arial"/>
          <w:b/>
          <w:bCs/>
          <w:sz w:val="20"/>
          <w:szCs w:val="20"/>
        </w:rPr>
        <w:t>1.5</w:t>
      </w:r>
      <w:r w:rsidRPr="0030354F">
        <w:rPr>
          <w:rFonts w:ascii="Arial" w:hAnsi="Arial" w:cs="Arial"/>
          <w:b/>
          <w:bCs/>
          <w:sz w:val="20"/>
          <w:szCs w:val="20"/>
        </w:rPr>
        <w:tab/>
        <w:t xml:space="preserve">Outline of the Report </w:t>
      </w:r>
    </w:p>
    <w:p w:rsidR="007979BF" w:rsidRPr="0030354F" w:rsidRDefault="00693903" w:rsidP="0030354F">
      <w:pPr>
        <w:spacing w:after="0" w:line="240" w:lineRule="auto"/>
        <w:contextualSpacing/>
        <w:rPr>
          <w:rFonts w:ascii="Arial" w:hAnsi="Arial" w:cs="Arial"/>
          <w:sz w:val="20"/>
          <w:szCs w:val="20"/>
        </w:rPr>
      </w:pPr>
      <w:r w:rsidRPr="0030354F">
        <w:rPr>
          <w:rFonts w:ascii="Arial" w:hAnsi="Arial" w:cs="Arial"/>
          <w:sz w:val="20"/>
          <w:szCs w:val="20"/>
        </w:rPr>
        <w:t>This report</w:t>
      </w:r>
      <w:r w:rsidR="007979BF" w:rsidRPr="0030354F">
        <w:rPr>
          <w:rFonts w:ascii="Arial" w:hAnsi="Arial" w:cs="Arial"/>
          <w:sz w:val="20"/>
          <w:szCs w:val="20"/>
        </w:rPr>
        <w:t xml:space="preserve"> consists of seven sections. Section one (1) </w:t>
      </w:r>
      <w:r w:rsidRPr="0030354F">
        <w:rPr>
          <w:rFonts w:ascii="Arial" w:hAnsi="Arial" w:cs="Arial"/>
          <w:sz w:val="20"/>
          <w:szCs w:val="20"/>
        </w:rPr>
        <w:t>covers the introduction, briefly</w:t>
      </w:r>
      <w:r w:rsidR="007979BF" w:rsidRPr="0030354F">
        <w:rPr>
          <w:rFonts w:ascii="Arial" w:hAnsi="Arial" w:cs="Arial"/>
          <w:sz w:val="20"/>
          <w:szCs w:val="20"/>
        </w:rPr>
        <w:t xml:space="preserve"> outline the mandate of the </w:t>
      </w:r>
      <w:r w:rsidRPr="0030354F">
        <w:rPr>
          <w:rFonts w:ascii="Arial" w:hAnsi="Arial" w:cs="Arial"/>
          <w:sz w:val="20"/>
          <w:szCs w:val="20"/>
        </w:rPr>
        <w:t xml:space="preserve">Portfolio </w:t>
      </w:r>
      <w:r w:rsidR="007979BF" w:rsidRPr="0030354F">
        <w:rPr>
          <w:rFonts w:ascii="Arial" w:hAnsi="Arial" w:cs="Arial"/>
          <w:sz w:val="20"/>
          <w:szCs w:val="20"/>
        </w:rPr>
        <w:t xml:space="preserve">Committee and the Department, the purpose of </w:t>
      </w:r>
      <w:r w:rsidRPr="0030354F">
        <w:rPr>
          <w:rFonts w:ascii="Arial" w:hAnsi="Arial" w:cs="Arial"/>
          <w:sz w:val="20"/>
          <w:szCs w:val="20"/>
        </w:rPr>
        <w:t>BRR</w:t>
      </w:r>
      <w:r w:rsidR="007979BF" w:rsidRPr="0030354F">
        <w:rPr>
          <w:rFonts w:ascii="Arial" w:hAnsi="Arial" w:cs="Arial"/>
          <w:sz w:val="20"/>
          <w:szCs w:val="20"/>
        </w:rPr>
        <w:t xml:space="preserve"> report and the methodology followed in preparing the report.</w:t>
      </w:r>
    </w:p>
    <w:p w:rsidR="00957A6D" w:rsidRPr="0030354F" w:rsidRDefault="00957A6D" w:rsidP="0030354F">
      <w:pPr>
        <w:spacing w:after="0" w:line="240" w:lineRule="auto"/>
        <w:contextualSpacing/>
        <w:rPr>
          <w:rFonts w:ascii="Arial" w:hAnsi="Arial" w:cs="Arial"/>
          <w:sz w:val="20"/>
          <w:szCs w:val="20"/>
        </w:rPr>
      </w:pPr>
    </w:p>
    <w:p w:rsidR="00C1211A" w:rsidRPr="0030354F" w:rsidRDefault="007979BF" w:rsidP="0030354F">
      <w:pPr>
        <w:spacing w:after="0" w:line="240" w:lineRule="auto"/>
        <w:contextualSpacing/>
        <w:rPr>
          <w:rFonts w:ascii="Arial" w:hAnsi="Arial" w:cs="Arial"/>
          <w:sz w:val="20"/>
          <w:szCs w:val="20"/>
        </w:rPr>
      </w:pPr>
      <w:r w:rsidRPr="0030354F">
        <w:rPr>
          <w:rFonts w:ascii="Arial" w:hAnsi="Arial" w:cs="Arial"/>
          <w:sz w:val="20"/>
          <w:szCs w:val="20"/>
        </w:rPr>
        <w:t>Section two (2) sets out the key policy focus areas for the Department. This includes an overview of the relevant national priorities as outlined in the government policies and plans such as the National Development Plan, the Medium Term Strategic Framework and the State of Nation Address that the Department has to contribute</w:t>
      </w:r>
      <w:r w:rsidR="00EC3A7C" w:rsidRPr="0030354F">
        <w:rPr>
          <w:rFonts w:ascii="Arial" w:hAnsi="Arial" w:cs="Arial"/>
          <w:sz w:val="20"/>
          <w:szCs w:val="20"/>
        </w:rPr>
        <w:t xml:space="preserve"> to</w:t>
      </w:r>
      <w:r w:rsidRPr="0030354F">
        <w:rPr>
          <w:rFonts w:ascii="Arial" w:hAnsi="Arial" w:cs="Arial"/>
          <w:sz w:val="20"/>
          <w:szCs w:val="20"/>
        </w:rPr>
        <w:t xml:space="preserve"> in achieving them. Thereafter, an overview of the strategic plans of the Department and its entities are highlighted with </w:t>
      </w:r>
      <w:r w:rsidR="00957A6D" w:rsidRPr="0030354F">
        <w:rPr>
          <w:rFonts w:ascii="Arial" w:hAnsi="Arial" w:cs="Arial"/>
          <w:sz w:val="20"/>
          <w:szCs w:val="20"/>
        </w:rPr>
        <w:t xml:space="preserve">a </w:t>
      </w:r>
      <w:r w:rsidRPr="0030354F">
        <w:rPr>
          <w:rFonts w:ascii="Arial" w:hAnsi="Arial" w:cs="Arial"/>
          <w:sz w:val="20"/>
          <w:szCs w:val="20"/>
        </w:rPr>
        <w:t xml:space="preserve">view </w:t>
      </w:r>
      <w:r w:rsidR="00693903" w:rsidRPr="0030354F">
        <w:rPr>
          <w:rFonts w:ascii="Arial" w:hAnsi="Arial" w:cs="Arial"/>
          <w:sz w:val="20"/>
          <w:szCs w:val="20"/>
        </w:rPr>
        <w:t xml:space="preserve">to assess the extent to which </w:t>
      </w:r>
      <w:r w:rsidRPr="0030354F">
        <w:rPr>
          <w:rFonts w:ascii="Arial" w:hAnsi="Arial" w:cs="Arial"/>
          <w:sz w:val="20"/>
          <w:szCs w:val="20"/>
        </w:rPr>
        <w:t>they address the broader government priorities and plans originating from the</w:t>
      </w:r>
      <w:r w:rsidR="00C1211A" w:rsidRPr="0030354F">
        <w:rPr>
          <w:rFonts w:ascii="Arial" w:hAnsi="Arial" w:cs="Arial"/>
          <w:sz w:val="20"/>
          <w:szCs w:val="20"/>
        </w:rPr>
        <w:t xml:space="preserve"> afore-said policies and plans.</w:t>
      </w:r>
    </w:p>
    <w:p w:rsidR="00C1211A" w:rsidRPr="0030354F" w:rsidRDefault="00C1211A" w:rsidP="0030354F">
      <w:pPr>
        <w:spacing w:after="0" w:line="240" w:lineRule="auto"/>
        <w:contextualSpacing/>
        <w:rPr>
          <w:rFonts w:ascii="Arial" w:hAnsi="Arial" w:cs="Arial"/>
          <w:sz w:val="20"/>
          <w:szCs w:val="20"/>
        </w:rPr>
      </w:pPr>
    </w:p>
    <w:p w:rsidR="00C1211A" w:rsidRPr="0030354F" w:rsidRDefault="00693903" w:rsidP="0030354F">
      <w:pPr>
        <w:spacing w:after="0" w:line="240" w:lineRule="auto"/>
        <w:contextualSpacing/>
        <w:rPr>
          <w:rFonts w:ascii="Arial" w:hAnsi="Arial" w:cs="Arial"/>
          <w:sz w:val="20"/>
          <w:szCs w:val="20"/>
        </w:rPr>
      </w:pPr>
      <w:r w:rsidRPr="0030354F">
        <w:rPr>
          <w:rFonts w:ascii="Arial" w:hAnsi="Arial" w:cs="Arial"/>
          <w:sz w:val="20"/>
          <w:szCs w:val="20"/>
        </w:rPr>
        <w:t xml:space="preserve">Section three (3) revisits </w:t>
      </w:r>
      <w:r w:rsidR="00C1211A" w:rsidRPr="0030354F">
        <w:rPr>
          <w:rFonts w:ascii="Arial" w:hAnsi="Arial" w:cs="Arial"/>
          <w:sz w:val="20"/>
          <w:szCs w:val="20"/>
        </w:rPr>
        <w:t>202</w:t>
      </w:r>
      <w:r w:rsidR="003176F8" w:rsidRPr="0030354F">
        <w:rPr>
          <w:rFonts w:ascii="Arial" w:hAnsi="Arial" w:cs="Arial"/>
          <w:sz w:val="20"/>
          <w:szCs w:val="20"/>
        </w:rPr>
        <w:t>1/22</w:t>
      </w:r>
      <w:r w:rsidR="00C1211A" w:rsidRPr="0030354F">
        <w:rPr>
          <w:rFonts w:ascii="Arial" w:hAnsi="Arial" w:cs="Arial"/>
          <w:sz w:val="20"/>
          <w:szCs w:val="20"/>
        </w:rPr>
        <w:t xml:space="preserve"> recommendations </w:t>
      </w:r>
      <w:r w:rsidR="007979BF" w:rsidRPr="0030354F">
        <w:rPr>
          <w:rFonts w:ascii="Arial" w:hAnsi="Arial" w:cs="Arial"/>
          <w:sz w:val="20"/>
          <w:szCs w:val="20"/>
        </w:rPr>
        <w:t xml:space="preserve">to ascertain if any of these </w:t>
      </w:r>
      <w:r w:rsidR="00EC3A7C" w:rsidRPr="0030354F">
        <w:rPr>
          <w:rFonts w:ascii="Arial" w:hAnsi="Arial" w:cs="Arial"/>
          <w:sz w:val="20"/>
          <w:szCs w:val="20"/>
        </w:rPr>
        <w:t xml:space="preserve">have at all been </w:t>
      </w:r>
      <w:r w:rsidR="00C1211A" w:rsidRPr="0030354F">
        <w:rPr>
          <w:rFonts w:ascii="Arial" w:hAnsi="Arial" w:cs="Arial"/>
          <w:sz w:val="20"/>
          <w:szCs w:val="20"/>
        </w:rPr>
        <w:t xml:space="preserve">given attention or implemented. </w:t>
      </w:r>
      <w:r w:rsidR="007979BF" w:rsidRPr="0030354F">
        <w:rPr>
          <w:rFonts w:ascii="Arial" w:hAnsi="Arial" w:cs="Arial"/>
          <w:sz w:val="20"/>
          <w:szCs w:val="20"/>
        </w:rPr>
        <w:t xml:space="preserve">Section four (4) </w:t>
      </w:r>
      <w:r w:rsidR="00957A6D" w:rsidRPr="0030354F">
        <w:rPr>
          <w:rFonts w:ascii="Arial" w:hAnsi="Arial" w:cs="Arial"/>
          <w:sz w:val="20"/>
          <w:szCs w:val="20"/>
        </w:rPr>
        <w:t xml:space="preserve">and five (5) </w:t>
      </w:r>
      <w:r w:rsidR="007979BF" w:rsidRPr="0030354F">
        <w:rPr>
          <w:rFonts w:ascii="Arial" w:hAnsi="Arial" w:cs="Arial"/>
          <w:sz w:val="20"/>
          <w:szCs w:val="20"/>
        </w:rPr>
        <w:t xml:space="preserve">considers the Department’s </w:t>
      </w:r>
      <w:r w:rsidR="00957A6D" w:rsidRPr="0030354F">
        <w:rPr>
          <w:rFonts w:ascii="Arial" w:hAnsi="Arial" w:cs="Arial"/>
          <w:sz w:val="20"/>
          <w:szCs w:val="20"/>
        </w:rPr>
        <w:t xml:space="preserve">and entities </w:t>
      </w:r>
      <w:r w:rsidR="007979BF" w:rsidRPr="0030354F">
        <w:rPr>
          <w:rFonts w:ascii="Arial" w:hAnsi="Arial" w:cs="Arial"/>
          <w:sz w:val="20"/>
          <w:szCs w:val="20"/>
        </w:rPr>
        <w:t>financial</w:t>
      </w:r>
      <w:r w:rsidR="009325E6" w:rsidRPr="0030354F">
        <w:rPr>
          <w:rFonts w:ascii="Arial" w:hAnsi="Arial" w:cs="Arial"/>
          <w:sz w:val="20"/>
          <w:szCs w:val="20"/>
        </w:rPr>
        <w:t xml:space="preserve"> and nonfinancial</w:t>
      </w:r>
      <w:r w:rsidR="007979BF" w:rsidRPr="0030354F">
        <w:rPr>
          <w:rFonts w:ascii="Arial" w:hAnsi="Arial" w:cs="Arial"/>
          <w:sz w:val="20"/>
          <w:szCs w:val="20"/>
        </w:rPr>
        <w:t xml:space="preserve"> performance against its allocation for </w:t>
      </w:r>
      <w:r w:rsidR="00797565" w:rsidRPr="0030354F">
        <w:rPr>
          <w:rFonts w:ascii="Arial" w:hAnsi="Arial" w:cs="Arial"/>
          <w:sz w:val="20"/>
          <w:szCs w:val="20"/>
        </w:rPr>
        <w:t>the financial year 20</w:t>
      </w:r>
      <w:r w:rsidR="001522B3" w:rsidRPr="0030354F">
        <w:rPr>
          <w:rFonts w:ascii="Arial" w:hAnsi="Arial" w:cs="Arial"/>
          <w:sz w:val="20"/>
          <w:szCs w:val="20"/>
        </w:rPr>
        <w:t>2</w:t>
      </w:r>
      <w:r w:rsidR="003176F8" w:rsidRPr="0030354F">
        <w:rPr>
          <w:rFonts w:ascii="Arial" w:hAnsi="Arial" w:cs="Arial"/>
          <w:sz w:val="20"/>
          <w:szCs w:val="20"/>
        </w:rPr>
        <w:t>1/22</w:t>
      </w:r>
      <w:r w:rsidR="00C1211A" w:rsidRPr="0030354F">
        <w:rPr>
          <w:rFonts w:ascii="Arial" w:hAnsi="Arial" w:cs="Arial"/>
          <w:sz w:val="20"/>
          <w:szCs w:val="20"/>
        </w:rPr>
        <w:t>.</w:t>
      </w:r>
    </w:p>
    <w:p w:rsidR="00C1211A" w:rsidRPr="0030354F" w:rsidRDefault="00C1211A" w:rsidP="0030354F">
      <w:pPr>
        <w:spacing w:after="0" w:line="240" w:lineRule="auto"/>
        <w:contextualSpacing/>
        <w:rPr>
          <w:rFonts w:ascii="Arial" w:hAnsi="Arial" w:cs="Arial"/>
          <w:sz w:val="20"/>
          <w:szCs w:val="20"/>
        </w:rPr>
      </w:pPr>
    </w:p>
    <w:p w:rsidR="007979BF" w:rsidRPr="0030354F" w:rsidRDefault="00CA75E8" w:rsidP="0030354F">
      <w:pPr>
        <w:spacing w:after="0" w:line="240" w:lineRule="auto"/>
        <w:contextualSpacing/>
        <w:rPr>
          <w:rFonts w:ascii="Arial" w:eastAsia="Times New Roman" w:hAnsi="Arial" w:cs="Arial"/>
          <w:sz w:val="20"/>
          <w:szCs w:val="20"/>
          <w:lang w:eastAsia="en-ZA"/>
        </w:rPr>
      </w:pPr>
      <w:r w:rsidRPr="0030354F">
        <w:rPr>
          <w:rFonts w:ascii="Arial" w:hAnsi="Arial" w:cs="Arial"/>
          <w:sz w:val="20"/>
          <w:szCs w:val="20"/>
        </w:rPr>
        <w:t>Section seven (6</w:t>
      </w:r>
      <w:r w:rsidR="007979BF" w:rsidRPr="0030354F">
        <w:rPr>
          <w:rFonts w:ascii="Arial" w:hAnsi="Arial" w:cs="Arial"/>
          <w:sz w:val="20"/>
          <w:szCs w:val="20"/>
        </w:rPr>
        <w:t xml:space="preserve">) of the report </w:t>
      </w:r>
      <w:r w:rsidR="00C1211A" w:rsidRPr="0030354F">
        <w:rPr>
          <w:rFonts w:ascii="Arial" w:hAnsi="Arial" w:cs="Arial"/>
          <w:sz w:val="20"/>
          <w:szCs w:val="20"/>
        </w:rPr>
        <w:t>considers Committee</w:t>
      </w:r>
      <w:r w:rsidR="007979BF" w:rsidRPr="0030354F">
        <w:rPr>
          <w:rFonts w:ascii="Arial" w:hAnsi="Arial" w:cs="Arial"/>
          <w:sz w:val="20"/>
          <w:szCs w:val="20"/>
        </w:rPr>
        <w:t xml:space="preserve"> observations and perspectives with regard to the </w:t>
      </w:r>
      <w:r w:rsidR="00C1211A" w:rsidRPr="0030354F">
        <w:rPr>
          <w:rFonts w:ascii="Arial" w:hAnsi="Arial" w:cs="Arial"/>
          <w:sz w:val="20"/>
          <w:szCs w:val="20"/>
        </w:rPr>
        <w:t xml:space="preserve">annual </w:t>
      </w:r>
      <w:r w:rsidR="001B6B6E" w:rsidRPr="0030354F">
        <w:rPr>
          <w:rFonts w:ascii="Arial" w:hAnsi="Arial" w:cs="Arial"/>
          <w:sz w:val="20"/>
          <w:szCs w:val="20"/>
        </w:rPr>
        <w:t>reports</w:t>
      </w:r>
      <w:r w:rsidR="007979BF" w:rsidRPr="0030354F">
        <w:rPr>
          <w:rFonts w:ascii="Arial" w:hAnsi="Arial" w:cs="Arial"/>
          <w:sz w:val="20"/>
          <w:szCs w:val="20"/>
        </w:rPr>
        <w:t xml:space="preserve"> of the Department</w:t>
      </w:r>
      <w:r w:rsidR="001B6B6E" w:rsidRPr="0030354F">
        <w:rPr>
          <w:rFonts w:ascii="Arial" w:hAnsi="Arial" w:cs="Arial"/>
          <w:sz w:val="20"/>
          <w:szCs w:val="20"/>
        </w:rPr>
        <w:t xml:space="preserve"> and entities</w:t>
      </w:r>
      <w:r w:rsidR="007979BF" w:rsidRPr="0030354F">
        <w:rPr>
          <w:rFonts w:ascii="Arial" w:hAnsi="Arial" w:cs="Arial"/>
          <w:sz w:val="20"/>
          <w:szCs w:val="20"/>
        </w:rPr>
        <w:t xml:space="preserve"> concerning its mandates, strategic objectives and core issues previously and currently identi</w:t>
      </w:r>
      <w:r w:rsidR="00957A6D" w:rsidRPr="0030354F">
        <w:rPr>
          <w:rFonts w:ascii="Arial" w:hAnsi="Arial" w:cs="Arial"/>
          <w:sz w:val="20"/>
          <w:szCs w:val="20"/>
        </w:rPr>
        <w:t>fied by the Committee. Whereas</w:t>
      </w:r>
      <w:r w:rsidR="007979BF" w:rsidRPr="0030354F">
        <w:rPr>
          <w:rFonts w:ascii="Arial" w:hAnsi="Arial" w:cs="Arial"/>
          <w:sz w:val="20"/>
          <w:szCs w:val="20"/>
        </w:rPr>
        <w:t xml:space="preserve"> s</w:t>
      </w:r>
      <w:r w:rsidRPr="0030354F">
        <w:rPr>
          <w:rFonts w:ascii="Arial" w:hAnsi="Arial" w:cs="Arial"/>
          <w:sz w:val="20"/>
          <w:szCs w:val="20"/>
        </w:rPr>
        <w:t>ection eight (7</w:t>
      </w:r>
      <w:r w:rsidR="007979BF" w:rsidRPr="0030354F">
        <w:rPr>
          <w:rFonts w:ascii="Arial" w:hAnsi="Arial" w:cs="Arial"/>
          <w:sz w:val="20"/>
          <w:szCs w:val="20"/>
        </w:rPr>
        <w:t xml:space="preserve">) is a synthesis of recommendations, past and present, based on the deliberations informed by the assessment of the Department in each of the sections discussed above. </w:t>
      </w:r>
    </w:p>
    <w:p w:rsidR="00723C4B" w:rsidRPr="0030354F" w:rsidRDefault="00723C4B" w:rsidP="0030354F">
      <w:pPr>
        <w:spacing w:after="0" w:line="240" w:lineRule="auto"/>
        <w:contextualSpacing/>
        <w:rPr>
          <w:rFonts w:ascii="Arial" w:hAnsi="Arial" w:cs="Arial"/>
          <w:b/>
          <w:sz w:val="20"/>
          <w:szCs w:val="20"/>
          <w:lang w:val="en-GB"/>
        </w:rPr>
      </w:pPr>
    </w:p>
    <w:p w:rsidR="00C15AAC" w:rsidRPr="0030354F" w:rsidRDefault="002950A8" w:rsidP="0030354F">
      <w:pPr>
        <w:spacing w:after="0" w:line="240" w:lineRule="auto"/>
        <w:contextualSpacing/>
        <w:rPr>
          <w:rFonts w:ascii="Arial" w:hAnsi="Arial" w:cs="Arial"/>
          <w:b/>
          <w:sz w:val="20"/>
          <w:szCs w:val="20"/>
          <w:lang w:val="en-GB"/>
        </w:rPr>
      </w:pPr>
      <w:r w:rsidRPr="0030354F">
        <w:rPr>
          <w:rFonts w:ascii="Arial" w:hAnsi="Arial" w:cs="Arial"/>
          <w:b/>
          <w:sz w:val="20"/>
          <w:szCs w:val="20"/>
          <w:lang w:val="en-GB"/>
        </w:rPr>
        <w:t>2.</w:t>
      </w:r>
      <w:r w:rsidRPr="0030354F">
        <w:rPr>
          <w:rFonts w:ascii="Arial" w:hAnsi="Arial" w:cs="Arial"/>
          <w:b/>
          <w:sz w:val="20"/>
          <w:szCs w:val="20"/>
          <w:lang w:val="en-GB"/>
        </w:rPr>
        <w:tab/>
      </w:r>
      <w:r w:rsidR="00FB66C9" w:rsidRPr="0030354F">
        <w:rPr>
          <w:rFonts w:ascii="Arial" w:hAnsi="Arial" w:cs="Arial"/>
          <w:b/>
          <w:sz w:val="20"/>
          <w:szCs w:val="20"/>
          <w:lang w:val="en-GB"/>
        </w:rPr>
        <w:t>OVERVIEW OF THE RELEVANT POLICY FOCUS AREAS</w:t>
      </w:r>
    </w:p>
    <w:p w:rsidR="005E456A" w:rsidRPr="0030354F" w:rsidRDefault="00851889" w:rsidP="0030354F">
      <w:pPr>
        <w:spacing w:after="0" w:line="240" w:lineRule="auto"/>
        <w:contextualSpacing/>
        <w:rPr>
          <w:rFonts w:ascii="Arial" w:hAnsi="Arial" w:cs="Arial"/>
          <w:sz w:val="20"/>
          <w:szCs w:val="20"/>
        </w:rPr>
      </w:pPr>
      <w:r w:rsidRPr="0030354F">
        <w:rPr>
          <w:rFonts w:ascii="Arial" w:hAnsi="Arial" w:cs="Arial"/>
          <w:sz w:val="20"/>
          <w:szCs w:val="20"/>
        </w:rPr>
        <w:t>The National Development Plan (</w:t>
      </w:r>
      <w:r w:rsidR="005E456A" w:rsidRPr="0030354F">
        <w:rPr>
          <w:rFonts w:ascii="Arial" w:hAnsi="Arial" w:cs="Arial"/>
          <w:sz w:val="20"/>
          <w:szCs w:val="20"/>
        </w:rPr>
        <w:t>NDP) is a long-term development plan, crafted by the</w:t>
      </w:r>
      <w:r w:rsidRPr="0030354F">
        <w:rPr>
          <w:rFonts w:ascii="Arial" w:hAnsi="Arial" w:cs="Arial"/>
          <w:sz w:val="20"/>
          <w:szCs w:val="20"/>
        </w:rPr>
        <w:t xml:space="preserve"> National Planning Commission (</w:t>
      </w:r>
      <w:r w:rsidR="005E456A" w:rsidRPr="0030354F">
        <w:rPr>
          <w:rFonts w:ascii="Arial" w:hAnsi="Arial" w:cs="Arial"/>
          <w:sz w:val="20"/>
          <w:szCs w:val="20"/>
        </w:rPr>
        <w:t xml:space="preserve">NPC) on behalf of the South African government in collaboration with South Africans from all walks of life. </w:t>
      </w:r>
      <w:r w:rsidR="005E456A" w:rsidRPr="0030354F">
        <w:rPr>
          <w:rFonts w:ascii="Arial" w:eastAsia="Times New Roman" w:hAnsi="Arial" w:cs="Arial"/>
          <w:sz w:val="20"/>
          <w:szCs w:val="20"/>
          <w:lang w:eastAsia="en-ZA"/>
        </w:rPr>
        <w:t xml:space="preserve">The NDP aims to achieve the following objectives by </w:t>
      </w:r>
      <w:r w:rsidR="005E456A" w:rsidRPr="0030354F">
        <w:rPr>
          <w:rFonts w:ascii="Arial" w:eastAsia="Times New Roman" w:hAnsi="Arial" w:cs="Arial"/>
          <w:bCs/>
          <w:sz w:val="20"/>
          <w:szCs w:val="20"/>
          <w:lang w:eastAsia="en-ZA"/>
        </w:rPr>
        <w:t>2030 -:</w:t>
      </w:r>
    </w:p>
    <w:p w:rsidR="005E456A" w:rsidRPr="0030354F" w:rsidRDefault="005E456A" w:rsidP="0030354F">
      <w:pPr>
        <w:numPr>
          <w:ilvl w:val="0"/>
          <w:numId w:val="2"/>
        </w:numPr>
        <w:spacing w:after="0" w:line="240" w:lineRule="auto"/>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Uniting South Africans of all races and classes around a common programme to eliminate poverty and reduce inequality</w:t>
      </w:r>
      <w:r w:rsidR="007F1E66" w:rsidRPr="0030354F">
        <w:rPr>
          <w:rFonts w:ascii="Arial" w:eastAsia="Times New Roman" w:hAnsi="Arial" w:cs="Arial"/>
          <w:sz w:val="20"/>
          <w:szCs w:val="20"/>
          <w:lang w:eastAsia="en-ZA"/>
        </w:rPr>
        <w:t>;</w:t>
      </w:r>
    </w:p>
    <w:p w:rsidR="005E456A" w:rsidRPr="0030354F" w:rsidRDefault="005E456A" w:rsidP="0030354F">
      <w:pPr>
        <w:numPr>
          <w:ilvl w:val="0"/>
          <w:numId w:val="2"/>
        </w:numPr>
        <w:spacing w:after="0" w:line="240" w:lineRule="auto"/>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Encourage citizens to be active in their own development, in strengthening democracy and in holding their government accountable</w:t>
      </w:r>
      <w:r w:rsidR="007F1E66" w:rsidRPr="0030354F">
        <w:rPr>
          <w:rFonts w:ascii="Arial" w:eastAsia="Times New Roman" w:hAnsi="Arial" w:cs="Arial"/>
          <w:sz w:val="20"/>
          <w:szCs w:val="20"/>
          <w:lang w:eastAsia="en-ZA"/>
        </w:rPr>
        <w:t>;</w:t>
      </w:r>
    </w:p>
    <w:p w:rsidR="005E456A" w:rsidRPr="0030354F" w:rsidRDefault="005E456A" w:rsidP="0030354F">
      <w:pPr>
        <w:numPr>
          <w:ilvl w:val="0"/>
          <w:numId w:val="2"/>
        </w:numPr>
        <w:spacing w:after="0" w:line="240" w:lineRule="auto"/>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Raising economic growth, promoting exports and making the economy more labour absorbing</w:t>
      </w:r>
      <w:r w:rsidR="00475644" w:rsidRPr="0030354F">
        <w:rPr>
          <w:rFonts w:ascii="Arial" w:eastAsia="Times New Roman" w:hAnsi="Arial" w:cs="Arial"/>
          <w:sz w:val="20"/>
          <w:szCs w:val="20"/>
          <w:lang w:eastAsia="en-ZA"/>
        </w:rPr>
        <w:t xml:space="preserve"> whilst f</w:t>
      </w:r>
      <w:r w:rsidRPr="0030354F">
        <w:rPr>
          <w:rFonts w:ascii="Arial" w:eastAsia="Times New Roman" w:hAnsi="Arial" w:cs="Arial"/>
          <w:sz w:val="20"/>
          <w:szCs w:val="20"/>
          <w:lang w:eastAsia="en-ZA"/>
        </w:rPr>
        <w:t>ocusing on key capabilities of both people and the country</w:t>
      </w:r>
      <w:r w:rsidR="007F1E66" w:rsidRPr="0030354F">
        <w:rPr>
          <w:rFonts w:ascii="Arial" w:eastAsia="Times New Roman" w:hAnsi="Arial" w:cs="Arial"/>
          <w:sz w:val="20"/>
          <w:szCs w:val="20"/>
          <w:lang w:eastAsia="en-ZA"/>
        </w:rPr>
        <w:t>;</w:t>
      </w:r>
    </w:p>
    <w:p w:rsidR="005E456A" w:rsidRPr="0030354F" w:rsidRDefault="005E456A" w:rsidP="0030354F">
      <w:pPr>
        <w:numPr>
          <w:ilvl w:val="0"/>
          <w:numId w:val="2"/>
        </w:numPr>
        <w:spacing w:after="0" w:line="240" w:lineRule="auto"/>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Capabilities include skills, infrastructure, social security, strong institutions and partnerships both within the country and with key international partners</w:t>
      </w:r>
      <w:r w:rsidR="007F1E66" w:rsidRPr="0030354F">
        <w:rPr>
          <w:rFonts w:ascii="Arial" w:eastAsia="Times New Roman" w:hAnsi="Arial" w:cs="Arial"/>
          <w:sz w:val="20"/>
          <w:szCs w:val="20"/>
          <w:lang w:eastAsia="en-ZA"/>
        </w:rPr>
        <w:t>;</w:t>
      </w:r>
    </w:p>
    <w:p w:rsidR="005E456A" w:rsidRPr="0030354F" w:rsidRDefault="005E456A" w:rsidP="0030354F">
      <w:pPr>
        <w:numPr>
          <w:ilvl w:val="0"/>
          <w:numId w:val="2"/>
        </w:numPr>
        <w:spacing w:after="0" w:line="240" w:lineRule="auto"/>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Building a capable and developmental state</w:t>
      </w:r>
      <w:r w:rsidR="007F1E66" w:rsidRPr="0030354F">
        <w:rPr>
          <w:rFonts w:ascii="Arial" w:eastAsia="Times New Roman" w:hAnsi="Arial" w:cs="Arial"/>
          <w:sz w:val="20"/>
          <w:szCs w:val="20"/>
          <w:lang w:eastAsia="en-ZA"/>
        </w:rPr>
        <w:t xml:space="preserve"> and;</w:t>
      </w:r>
    </w:p>
    <w:p w:rsidR="005E456A" w:rsidRPr="0030354F" w:rsidRDefault="005E456A" w:rsidP="0030354F">
      <w:pPr>
        <w:numPr>
          <w:ilvl w:val="0"/>
          <w:numId w:val="2"/>
        </w:numPr>
        <w:spacing w:after="0" w:line="240" w:lineRule="auto"/>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Strong leadership throughout society that work together to solve our problems</w:t>
      </w:r>
      <w:r w:rsidR="007F1E66" w:rsidRPr="0030354F">
        <w:rPr>
          <w:rFonts w:ascii="Arial" w:eastAsia="Times New Roman" w:hAnsi="Arial" w:cs="Arial"/>
          <w:sz w:val="20"/>
          <w:szCs w:val="20"/>
          <w:lang w:eastAsia="en-ZA"/>
        </w:rPr>
        <w:t>.</w:t>
      </w:r>
    </w:p>
    <w:p w:rsidR="00CF23DC" w:rsidRPr="0030354F" w:rsidRDefault="00CF23DC" w:rsidP="0030354F">
      <w:pPr>
        <w:spacing w:after="0" w:line="240" w:lineRule="auto"/>
        <w:contextualSpacing/>
        <w:rPr>
          <w:rFonts w:ascii="Arial" w:eastAsia="Times New Roman" w:hAnsi="Arial" w:cs="Arial"/>
          <w:b/>
          <w:sz w:val="20"/>
          <w:szCs w:val="20"/>
          <w:lang w:val="en-GB" w:eastAsia="en-GB"/>
        </w:rPr>
      </w:pPr>
    </w:p>
    <w:p w:rsidR="00EE2EFE" w:rsidRPr="0030354F" w:rsidRDefault="00EE2EFE" w:rsidP="0030354F">
      <w:pPr>
        <w:autoSpaceDE w:val="0"/>
        <w:autoSpaceDN w:val="0"/>
        <w:adjustRightInd w:val="0"/>
        <w:spacing w:after="0" w:line="240" w:lineRule="auto"/>
        <w:contextualSpacing/>
        <w:rPr>
          <w:rFonts w:ascii="Arial" w:hAnsi="Arial" w:cs="Arial"/>
          <w:b/>
          <w:sz w:val="20"/>
          <w:szCs w:val="20"/>
        </w:rPr>
      </w:pPr>
      <w:r w:rsidRPr="0030354F">
        <w:rPr>
          <w:rFonts w:ascii="Arial" w:hAnsi="Arial" w:cs="Arial"/>
          <w:b/>
          <w:sz w:val="20"/>
          <w:szCs w:val="20"/>
        </w:rPr>
        <w:t>2.</w:t>
      </w:r>
      <w:r w:rsidR="00330880" w:rsidRPr="0030354F">
        <w:rPr>
          <w:rFonts w:ascii="Arial" w:hAnsi="Arial" w:cs="Arial"/>
          <w:b/>
          <w:sz w:val="20"/>
          <w:szCs w:val="20"/>
        </w:rPr>
        <w:t>1</w:t>
      </w:r>
      <w:r w:rsidRPr="0030354F">
        <w:rPr>
          <w:rFonts w:ascii="Arial" w:hAnsi="Arial" w:cs="Arial"/>
          <w:b/>
          <w:sz w:val="20"/>
          <w:szCs w:val="20"/>
        </w:rPr>
        <w:tab/>
        <w:t>R</w:t>
      </w:r>
      <w:r w:rsidR="00F723D9" w:rsidRPr="0030354F">
        <w:rPr>
          <w:rFonts w:ascii="Arial" w:hAnsi="Arial" w:cs="Arial"/>
          <w:b/>
          <w:sz w:val="20"/>
          <w:szCs w:val="20"/>
        </w:rPr>
        <w:t xml:space="preserve">elationship with National Development Plan </w:t>
      </w:r>
      <w:r w:rsidRPr="0030354F">
        <w:rPr>
          <w:rFonts w:ascii="Arial" w:hAnsi="Arial" w:cs="Arial"/>
          <w:b/>
          <w:sz w:val="20"/>
          <w:szCs w:val="20"/>
        </w:rPr>
        <w:t>(NDP)</w:t>
      </w:r>
    </w:p>
    <w:p w:rsidR="005E456A" w:rsidRPr="0030354F" w:rsidRDefault="008E6777" w:rsidP="0030354F">
      <w:pPr>
        <w:spacing w:after="0" w:line="240" w:lineRule="auto"/>
        <w:contextualSpacing/>
        <w:rPr>
          <w:rFonts w:ascii="Arial" w:hAnsi="Arial" w:cs="Arial"/>
          <w:sz w:val="20"/>
          <w:szCs w:val="20"/>
        </w:rPr>
      </w:pPr>
      <w:r w:rsidRPr="0030354F">
        <w:rPr>
          <w:rFonts w:ascii="Arial" w:hAnsi="Arial" w:cs="Arial"/>
          <w:sz w:val="20"/>
          <w:szCs w:val="20"/>
          <w:lang w:val="en-US"/>
        </w:rPr>
        <w:lastRenderedPageBreak/>
        <w:t>The implementation of the National Development Plan (NDP) is one of the key government imperatives under the current administration and is aligned with the Africa Agenda and the global Sustainable Development Goals (SDG). The NDP focuses us on the overall objectives, supported by South Africans, to eradicate poverty and substantially reduce inequality by 2030 through the creation of jobs and accelerating inclusive economic growth.</w:t>
      </w:r>
      <w:r w:rsidRPr="0030354F">
        <w:rPr>
          <w:rFonts w:ascii="Arial" w:hAnsi="Arial" w:cs="Arial"/>
          <w:sz w:val="20"/>
          <w:szCs w:val="20"/>
        </w:rPr>
        <w:t xml:space="preserve"> The Department is directed to implement chapters three (3) and six (6) of the NDP that deal with the economy and employment as well as rural inclusive growth. The NDP is the country’s vision, with a target of creating 9.9 million new jobs </w:t>
      </w:r>
      <w:r w:rsidR="005E456A" w:rsidRPr="0030354F">
        <w:rPr>
          <w:rFonts w:ascii="Arial" w:hAnsi="Arial" w:cs="Arial"/>
          <w:sz w:val="20"/>
          <w:szCs w:val="20"/>
        </w:rPr>
        <w:t xml:space="preserve">from small businesses by 2030. </w:t>
      </w:r>
    </w:p>
    <w:p w:rsidR="005E456A" w:rsidRPr="0030354F" w:rsidRDefault="005E456A" w:rsidP="0030354F">
      <w:pPr>
        <w:spacing w:after="0" w:line="240" w:lineRule="auto"/>
        <w:contextualSpacing/>
        <w:rPr>
          <w:rFonts w:ascii="Arial" w:hAnsi="Arial" w:cs="Arial"/>
          <w:sz w:val="20"/>
          <w:szCs w:val="20"/>
        </w:rPr>
      </w:pPr>
    </w:p>
    <w:p w:rsidR="008E6777" w:rsidRPr="0030354F" w:rsidRDefault="005E456A" w:rsidP="0030354F">
      <w:pPr>
        <w:spacing w:after="0" w:line="240" w:lineRule="auto"/>
        <w:contextualSpacing/>
        <w:rPr>
          <w:rFonts w:ascii="Arial" w:hAnsi="Arial" w:cs="Arial"/>
          <w:sz w:val="20"/>
          <w:szCs w:val="20"/>
        </w:rPr>
      </w:pPr>
      <w:r w:rsidRPr="0030354F">
        <w:rPr>
          <w:rFonts w:ascii="Arial" w:hAnsi="Arial" w:cs="Arial"/>
          <w:b/>
          <w:sz w:val="20"/>
          <w:szCs w:val="20"/>
        </w:rPr>
        <w:t>2.2</w:t>
      </w:r>
      <w:r w:rsidR="008E6777" w:rsidRPr="0030354F">
        <w:rPr>
          <w:rFonts w:ascii="Arial" w:hAnsi="Arial" w:cs="Arial"/>
          <w:b/>
          <w:sz w:val="20"/>
          <w:szCs w:val="20"/>
        </w:rPr>
        <w:tab/>
        <w:t xml:space="preserve">Relationship with the </w:t>
      </w:r>
      <w:r w:rsidR="00DA333A" w:rsidRPr="0030354F">
        <w:rPr>
          <w:rFonts w:ascii="Arial" w:hAnsi="Arial" w:cs="Arial"/>
          <w:b/>
          <w:bCs/>
          <w:sz w:val="20"/>
          <w:szCs w:val="20"/>
        </w:rPr>
        <w:t>Medium Term Strategic Framework (2019 - 2024)</w:t>
      </w:r>
    </w:p>
    <w:p w:rsidR="00DA333A" w:rsidRPr="0030354F" w:rsidRDefault="008E6777" w:rsidP="0030354F">
      <w:pPr>
        <w:spacing w:after="0" w:line="240" w:lineRule="auto"/>
        <w:contextualSpacing/>
        <w:rPr>
          <w:rFonts w:ascii="Arial" w:hAnsi="Arial" w:cs="Arial"/>
          <w:sz w:val="20"/>
          <w:szCs w:val="20"/>
          <w:lang w:val="en-US"/>
        </w:rPr>
      </w:pPr>
      <w:r w:rsidRPr="0030354F">
        <w:rPr>
          <w:rFonts w:ascii="Arial" w:hAnsi="Arial" w:cs="Arial"/>
          <w:sz w:val="20"/>
          <w:szCs w:val="20"/>
        </w:rPr>
        <w:t xml:space="preserve">The period </w:t>
      </w:r>
      <w:r w:rsidR="007F1E66" w:rsidRPr="0030354F">
        <w:rPr>
          <w:rFonts w:ascii="Arial" w:hAnsi="Arial" w:cs="Arial"/>
          <w:sz w:val="20"/>
          <w:szCs w:val="20"/>
        </w:rPr>
        <w:t xml:space="preserve">in progress </w:t>
      </w:r>
      <w:r w:rsidRPr="0030354F">
        <w:rPr>
          <w:rFonts w:ascii="Arial" w:hAnsi="Arial" w:cs="Arial"/>
          <w:sz w:val="20"/>
          <w:szCs w:val="20"/>
        </w:rPr>
        <w:t>marks the</w:t>
      </w:r>
      <w:r w:rsidR="00590BC2" w:rsidRPr="0030354F">
        <w:rPr>
          <w:rFonts w:ascii="Arial" w:hAnsi="Arial" w:cs="Arial"/>
          <w:sz w:val="20"/>
          <w:szCs w:val="20"/>
        </w:rPr>
        <w:t xml:space="preserve"> beginning of the second</w:t>
      </w:r>
      <w:r w:rsidRPr="0030354F">
        <w:rPr>
          <w:rFonts w:ascii="Arial" w:hAnsi="Arial" w:cs="Arial"/>
          <w:sz w:val="20"/>
          <w:szCs w:val="20"/>
        </w:rPr>
        <w:t xml:space="preserve"> Medium </w:t>
      </w:r>
      <w:r w:rsidR="007700B9" w:rsidRPr="0030354F">
        <w:rPr>
          <w:rFonts w:ascii="Arial" w:hAnsi="Arial" w:cs="Arial"/>
          <w:sz w:val="20"/>
          <w:szCs w:val="20"/>
        </w:rPr>
        <w:t xml:space="preserve">Term Strategic Framework </w:t>
      </w:r>
      <w:r w:rsidRPr="0030354F">
        <w:rPr>
          <w:rFonts w:ascii="Arial" w:hAnsi="Arial" w:cs="Arial"/>
          <w:sz w:val="20"/>
          <w:szCs w:val="20"/>
        </w:rPr>
        <w:t>foll</w:t>
      </w:r>
      <w:r w:rsidR="007F1E66" w:rsidRPr="0030354F">
        <w:rPr>
          <w:rFonts w:ascii="Arial" w:hAnsi="Arial" w:cs="Arial"/>
          <w:sz w:val="20"/>
          <w:szCs w:val="20"/>
        </w:rPr>
        <w:t xml:space="preserve">owing the adoption of the NDP. In </w:t>
      </w:r>
      <w:r w:rsidR="00DA333A" w:rsidRPr="0030354F">
        <w:rPr>
          <w:rFonts w:ascii="Arial" w:hAnsi="Arial" w:cs="Arial"/>
          <w:sz w:val="20"/>
          <w:szCs w:val="20"/>
        </w:rPr>
        <w:t>2013, the</w:t>
      </w:r>
      <w:r w:rsidRPr="0030354F">
        <w:rPr>
          <w:rFonts w:ascii="Arial" w:hAnsi="Arial" w:cs="Arial"/>
          <w:sz w:val="20"/>
          <w:szCs w:val="20"/>
        </w:rPr>
        <w:t xml:space="preserve"> Cabinet had </w:t>
      </w:r>
      <w:r w:rsidR="007F1E66" w:rsidRPr="0030354F">
        <w:rPr>
          <w:rFonts w:ascii="Arial" w:hAnsi="Arial" w:cs="Arial"/>
          <w:sz w:val="20"/>
          <w:szCs w:val="20"/>
        </w:rPr>
        <w:t xml:space="preserve">then </w:t>
      </w:r>
      <w:r w:rsidRPr="0030354F">
        <w:rPr>
          <w:rFonts w:ascii="Arial" w:hAnsi="Arial" w:cs="Arial"/>
          <w:sz w:val="20"/>
          <w:szCs w:val="20"/>
        </w:rPr>
        <w:t xml:space="preserve">decided </w:t>
      </w:r>
      <w:r w:rsidR="007F1E66" w:rsidRPr="0030354F">
        <w:rPr>
          <w:rFonts w:ascii="Arial" w:hAnsi="Arial" w:cs="Arial"/>
          <w:sz w:val="20"/>
          <w:szCs w:val="20"/>
        </w:rPr>
        <w:t>that</w:t>
      </w:r>
      <w:r w:rsidRPr="0030354F">
        <w:rPr>
          <w:rFonts w:ascii="Arial" w:hAnsi="Arial" w:cs="Arial"/>
          <w:sz w:val="20"/>
          <w:szCs w:val="20"/>
        </w:rPr>
        <w:t xml:space="preserve"> the 2014 - 2019 MTSF would form the first five-year </w:t>
      </w:r>
      <w:r w:rsidR="007F1E66" w:rsidRPr="0030354F">
        <w:rPr>
          <w:rFonts w:ascii="Arial" w:hAnsi="Arial" w:cs="Arial"/>
          <w:sz w:val="20"/>
          <w:szCs w:val="20"/>
        </w:rPr>
        <w:t xml:space="preserve">implementation phase of the NDP. </w:t>
      </w:r>
      <w:r w:rsidR="00DA333A" w:rsidRPr="0030354F">
        <w:rPr>
          <w:rFonts w:ascii="Arial" w:hAnsi="Arial" w:cs="Arial"/>
          <w:sz w:val="20"/>
          <w:szCs w:val="20"/>
          <w:lang w:val="en-US"/>
        </w:rPr>
        <w:t>With respect to the seven priorit</w:t>
      </w:r>
      <w:r w:rsidR="00475644" w:rsidRPr="0030354F">
        <w:rPr>
          <w:rFonts w:ascii="Arial" w:hAnsi="Arial" w:cs="Arial"/>
          <w:sz w:val="20"/>
          <w:szCs w:val="20"/>
          <w:lang w:val="en-US"/>
        </w:rPr>
        <w:t xml:space="preserve">ies identified in the MTSF, </w:t>
      </w:r>
      <w:r w:rsidR="00DA333A" w:rsidRPr="0030354F">
        <w:rPr>
          <w:rFonts w:ascii="Arial" w:hAnsi="Arial" w:cs="Arial"/>
          <w:sz w:val="20"/>
          <w:szCs w:val="20"/>
          <w:lang w:val="en-US"/>
        </w:rPr>
        <w:t>DSBD obligation is in relation to Priority 2: Economic Transformation and Job Creation and their related sub-outcom</w:t>
      </w:r>
      <w:r w:rsidR="00475644" w:rsidRPr="0030354F">
        <w:rPr>
          <w:rFonts w:ascii="Arial" w:hAnsi="Arial" w:cs="Arial"/>
          <w:sz w:val="20"/>
          <w:szCs w:val="20"/>
          <w:lang w:val="en-US"/>
        </w:rPr>
        <w:t>es and interventions as follows</w:t>
      </w:r>
      <w:r w:rsidR="00DA333A" w:rsidRPr="0030354F">
        <w:rPr>
          <w:rFonts w:ascii="Arial" w:hAnsi="Arial" w:cs="Arial"/>
          <w:sz w:val="20"/>
          <w:szCs w:val="20"/>
          <w:lang w:val="en-US"/>
        </w:rPr>
        <w:t>-</w:t>
      </w:r>
    </w:p>
    <w:p w:rsidR="00DA333A" w:rsidRPr="0030354F" w:rsidRDefault="00DA333A" w:rsidP="0030354F">
      <w:pPr>
        <w:numPr>
          <w:ilvl w:val="0"/>
          <w:numId w:val="11"/>
        </w:numPr>
        <w:spacing w:after="0" w:line="240" w:lineRule="auto"/>
        <w:contextualSpacing/>
        <w:rPr>
          <w:rFonts w:ascii="Arial" w:hAnsi="Arial" w:cs="Arial"/>
          <w:sz w:val="20"/>
          <w:szCs w:val="20"/>
          <w:lang w:val="en-US"/>
        </w:rPr>
      </w:pPr>
      <w:r w:rsidRPr="0030354F">
        <w:rPr>
          <w:rFonts w:ascii="Arial" w:hAnsi="Arial" w:cs="Arial"/>
          <w:sz w:val="20"/>
          <w:szCs w:val="20"/>
          <w:lang w:val="en-US"/>
        </w:rPr>
        <w:t>Creating more jobs;</w:t>
      </w:r>
    </w:p>
    <w:p w:rsidR="00DA333A" w:rsidRPr="0030354F" w:rsidRDefault="00DA333A" w:rsidP="0030354F">
      <w:pPr>
        <w:numPr>
          <w:ilvl w:val="0"/>
          <w:numId w:val="11"/>
        </w:numPr>
        <w:spacing w:after="0" w:line="240" w:lineRule="auto"/>
        <w:contextualSpacing/>
        <w:rPr>
          <w:rFonts w:ascii="Arial" w:hAnsi="Arial" w:cs="Arial"/>
          <w:sz w:val="20"/>
          <w:szCs w:val="20"/>
          <w:lang w:val="en-US"/>
        </w:rPr>
      </w:pPr>
      <w:r w:rsidRPr="0030354F">
        <w:rPr>
          <w:rFonts w:ascii="Arial" w:hAnsi="Arial" w:cs="Arial"/>
          <w:sz w:val="20"/>
          <w:szCs w:val="20"/>
          <w:lang w:val="en-US"/>
        </w:rPr>
        <w:t>Inclusive economic growth;</w:t>
      </w:r>
    </w:p>
    <w:p w:rsidR="00DA333A" w:rsidRPr="0030354F" w:rsidRDefault="00DA333A" w:rsidP="0030354F">
      <w:pPr>
        <w:numPr>
          <w:ilvl w:val="0"/>
          <w:numId w:val="11"/>
        </w:numPr>
        <w:spacing w:after="0" w:line="240" w:lineRule="auto"/>
        <w:contextualSpacing/>
        <w:rPr>
          <w:rFonts w:ascii="Arial" w:hAnsi="Arial" w:cs="Arial"/>
          <w:sz w:val="20"/>
          <w:szCs w:val="20"/>
          <w:lang w:val="en-US"/>
        </w:rPr>
      </w:pPr>
      <w:r w:rsidRPr="0030354F">
        <w:rPr>
          <w:rFonts w:ascii="Arial" w:hAnsi="Arial" w:cs="Arial"/>
          <w:sz w:val="20"/>
          <w:szCs w:val="20"/>
          <w:lang w:val="en-US"/>
        </w:rPr>
        <w:t>Re-industrialisation of the economy emergence of globally competitive sectors;</w:t>
      </w:r>
    </w:p>
    <w:p w:rsidR="00DA333A" w:rsidRPr="0030354F" w:rsidRDefault="00DA333A" w:rsidP="0030354F">
      <w:pPr>
        <w:numPr>
          <w:ilvl w:val="0"/>
          <w:numId w:val="11"/>
        </w:numPr>
        <w:spacing w:after="0" w:line="240" w:lineRule="auto"/>
        <w:contextualSpacing/>
        <w:rPr>
          <w:rFonts w:ascii="Arial" w:hAnsi="Arial" w:cs="Arial"/>
          <w:sz w:val="20"/>
          <w:szCs w:val="20"/>
          <w:lang w:val="en-US"/>
        </w:rPr>
      </w:pPr>
      <w:r w:rsidRPr="0030354F">
        <w:rPr>
          <w:rFonts w:ascii="Arial" w:hAnsi="Arial" w:cs="Arial"/>
          <w:sz w:val="20"/>
          <w:szCs w:val="20"/>
          <w:lang w:val="en-US"/>
        </w:rPr>
        <w:t>Increased access to and uptake of ICT;</w:t>
      </w:r>
    </w:p>
    <w:p w:rsidR="00DA333A" w:rsidRPr="0030354F" w:rsidRDefault="00DA333A" w:rsidP="0030354F">
      <w:pPr>
        <w:numPr>
          <w:ilvl w:val="0"/>
          <w:numId w:val="11"/>
        </w:numPr>
        <w:spacing w:after="0" w:line="240" w:lineRule="auto"/>
        <w:contextualSpacing/>
        <w:rPr>
          <w:rFonts w:ascii="Arial" w:hAnsi="Arial" w:cs="Arial"/>
          <w:sz w:val="20"/>
          <w:szCs w:val="20"/>
          <w:lang w:val="en-US"/>
        </w:rPr>
      </w:pPr>
      <w:r w:rsidRPr="0030354F">
        <w:rPr>
          <w:rFonts w:ascii="Arial" w:hAnsi="Arial" w:cs="Arial"/>
          <w:sz w:val="20"/>
          <w:szCs w:val="20"/>
          <w:lang w:val="en-US"/>
        </w:rPr>
        <w:t>Competitive and accessible markets through reduced share of dominant firms in priority sectors;</w:t>
      </w:r>
    </w:p>
    <w:p w:rsidR="00DA333A" w:rsidRPr="0030354F" w:rsidRDefault="00DA333A" w:rsidP="0030354F">
      <w:pPr>
        <w:numPr>
          <w:ilvl w:val="0"/>
          <w:numId w:val="11"/>
        </w:numPr>
        <w:spacing w:after="0" w:line="240" w:lineRule="auto"/>
        <w:contextualSpacing/>
        <w:rPr>
          <w:rFonts w:ascii="Arial" w:hAnsi="Arial" w:cs="Arial"/>
          <w:sz w:val="20"/>
          <w:szCs w:val="20"/>
          <w:lang w:val="en-US"/>
        </w:rPr>
      </w:pPr>
      <w:r w:rsidRPr="0030354F">
        <w:rPr>
          <w:rFonts w:ascii="Arial" w:hAnsi="Arial" w:cs="Arial"/>
          <w:sz w:val="20"/>
          <w:szCs w:val="20"/>
          <w:lang w:val="en-US"/>
        </w:rPr>
        <w:t>Mainstreaming of Youth, Women, and Persons with Disabilities with minimum 40 percent target for Women, 30 percent for Youth and 7 percent for Persons with Disabilities in the SMMEs and Co-operatives Sector.</w:t>
      </w:r>
    </w:p>
    <w:p w:rsidR="008E6777" w:rsidRPr="0030354F" w:rsidRDefault="008E6777" w:rsidP="0030354F">
      <w:pPr>
        <w:autoSpaceDE w:val="0"/>
        <w:autoSpaceDN w:val="0"/>
        <w:adjustRightInd w:val="0"/>
        <w:spacing w:after="0" w:line="240" w:lineRule="auto"/>
        <w:contextualSpacing/>
        <w:rPr>
          <w:rFonts w:ascii="Arial" w:hAnsi="Arial" w:cs="Arial"/>
          <w:sz w:val="20"/>
          <w:szCs w:val="20"/>
        </w:rPr>
      </w:pPr>
    </w:p>
    <w:p w:rsidR="008E6777" w:rsidRPr="0030354F" w:rsidRDefault="005E456A" w:rsidP="0030354F">
      <w:pPr>
        <w:pStyle w:val="Default"/>
        <w:contextualSpacing/>
        <w:rPr>
          <w:rFonts w:ascii="Arial" w:hAnsi="Arial" w:cs="Arial"/>
          <w:b/>
          <w:color w:val="auto"/>
          <w:sz w:val="20"/>
          <w:szCs w:val="20"/>
        </w:rPr>
      </w:pPr>
      <w:r w:rsidRPr="0030354F">
        <w:rPr>
          <w:rFonts w:ascii="Arial" w:hAnsi="Arial" w:cs="Arial"/>
          <w:b/>
          <w:color w:val="auto"/>
          <w:sz w:val="20"/>
          <w:szCs w:val="20"/>
        </w:rPr>
        <w:t>2.3</w:t>
      </w:r>
      <w:r w:rsidR="008E6777" w:rsidRPr="0030354F">
        <w:rPr>
          <w:rFonts w:ascii="Arial" w:hAnsi="Arial" w:cs="Arial"/>
          <w:b/>
          <w:color w:val="auto"/>
          <w:sz w:val="20"/>
          <w:szCs w:val="20"/>
        </w:rPr>
        <w:tab/>
        <w:t>State of the Nation Address</w:t>
      </w:r>
    </w:p>
    <w:p w:rsidR="00B33975" w:rsidRPr="0030354F" w:rsidRDefault="00B33975"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hAnsi="Arial" w:cs="Arial"/>
          <w:sz w:val="20"/>
          <w:szCs w:val="20"/>
          <w:lang w:val="en-US"/>
        </w:rPr>
        <w:t xml:space="preserve">In this year’s State of the Nation Address (SONA) the President asserted that “the government will embark on extensive measures to unleash the potential of small businesses, micro businesses and informal businesses”. A new - redesigned loan guarantee scheme announced during the address is already being implemented to enable small businesses to bounce back from the pandemic, civil unrest and floods that swept through provinces of KwaZulu Natal and parts of the Eastern Cape. The Bounce-back scheme incorporates the lessons from the previous loan guarantee scheme. The scheme involves Development Finance Institutions (DFIs) and non-bank SME providers in offering finance, expand the types of financing available and adjust eligibility criteria to encourage greater uptake. The President also informed the nation that the review of the Business Act – alongside a broader review of legislations that affects SMMEs – to reduce the regulatory burden on informal businesses is underway. There is a general unanimity that the country is beset by too many regulations that are unduly complicated, costly and difficult to comply with. This prevents companies from growing and creating jobs. </w:t>
      </w:r>
    </w:p>
    <w:p w:rsidR="00B33975" w:rsidRPr="0030354F" w:rsidRDefault="00B33975" w:rsidP="0030354F">
      <w:pPr>
        <w:pStyle w:val="Default"/>
        <w:contextualSpacing/>
        <w:rPr>
          <w:rFonts w:ascii="Arial" w:hAnsi="Arial" w:cs="Arial"/>
          <w:color w:val="auto"/>
          <w:sz w:val="20"/>
          <w:szCs w:val="20"/>
        </w:rPr>
      </w:pPr>
    </w:p>
    <w:p w:rsidR="00D134AA" w:rsidRPr="0030354F" w:rsidRDefault="00D134AA" w:rsidP="0030354F">
      <w:pPr>
        <w:pStyle w:val="Default"/>
        <w:contextualSpacing/>
        <w:rPr>
          <w:rFonts w:ascii="Arial" w:hAnsi="Arial" w:cs="Arial"/>
          <w:b/>
          <w:color w:val="auto"/>
          <w:sz w:val="20"/>
          <w:szCs w:val="20"/>
        </w:rPr>
      </w:pPr>
      <w:r w:rsidRPr="0030354F">
        <w:rPr>
          <w:rFonts w:ascii="Arial" w:hAnsi="Arial" w:cs="Arial"/>
          <w:b/>
          <w:color w:val="auto"/>
          <w:sz w:val="20"/>
          <w:szCs w:val="20"/>
        </w:rPr>
        <w:t>2.4</w:t>
      </w:r>
      <w:r w:rsidRPr="0030354F">
        <w:rPr>
          <w:rFonts w:ascii="Arial" w:hAnsi="Arial" w:cs="Arial"/>
          <w:b/>
          <w:color w:val="auto"/>
          <w:sz w:val="20"/>
          <w:szCs w:val="20"/>
        </w:rPr>
        <w:tab/>
        <w:t>The Economic Reconstruction and Recovery Plan</w:t>
      </w:r>
    </w:p>
    <w:p w:rsidR="00D134AA" w:rsidRPr="0030354F" w:rsidRDefault="00D134AA" w:rsidP="0030354F">
      <w:pPr>
        <w:autoSpaceDE w:val="0"/>
        <w:autoSpaceDN w:val="0"/>
        <w:adjustRightInd w:val="0"/>
        <w:spacing w:after="0" w:line="240" w:lineRule="auto"/>
        <w:contextualSpacing/>
        <w:rPr>
          <w:rFonts w:ascii="Arial" w:hAnsi="Arial" w:cs="Arial"/>
          <w:sz w:val="20"/>
          <w:szCs w:val="20"/>
        </w:rPr>
      </w:pPr>
      <w:r w:rsidRPr="0030354F">
        <w:rPr>
          <w:rStyle w:val="Emphasis"/>
          <w:rFonts w:ascii="Arial" w:hAnsi="Arial" w:cs="Arial"/>
          <w:i w:val="0"/>
          <w:sz w:val="20"/>
          <w:szCs w:val="20"/>
        </w:rPr>
        <w:t>The global economy</w:t>
      </w:r>
      <w:r w:rsidRPr="0030354F">
        <w:rPr>
          <w:rStyle w:val="acopre"/>
          <w:rFonts w:ascii="Arial" w:hAnsi="Arial" w:cs="Arial"/>
          <w:sz w:val="20"/>
          <w:szCs w:val="20"/>
        </w:rPr>
        <w:t xml:space="preserve"> is “on a cliff-hanger,” </w:t>
      </w:r>
      <w:r w:rsidRPr="0030354F">
        <w:rPr>
          <w:rStyle w:val="Emphasis"/>
          <w:rFonts w:ascii="Arial" w:hAnsi="Arial" w:cs="Arial"/>
          <w:i w:val="0"/>
          <w:sz w:val="20"/>
          <w:szCs w:val="20"/>
        </w:rPr>
        <w:t>still lurching</w:t>
      </w:r>
      <w:r w:rsidRPr="0030354F">
        <w:rPr>
          <w:rStyle w:val="acopre"/>
          <w:rFonts w:ascii="Arial" w:hAnsi="Arial" w:cs="Arial"/>
          <w:sz w:val="20"/>
          <w:szCs w:val="20"/>
        </w:rPr>
        <w:t xml:space="preserve"> from the Covid-19 pandemic whose impact will be felt for years to come. South Africa has not been spared. It is in this context that South African government has created a strategic blueprint for economic recovery, the Economic Reconstruction and Recovery Plan (ERRP). </w:t>
      </w:r>
      <w:r w:rsidRPr="0030354F">
        <w:rPr>
          <w:rFonts w:ascii="Arial" w:hAnsi="Arial" w:cs="Arial"/>
          <w:sz w:val="20"/>
          <w:szCs w:val="20"/>
        </w:rPr>
        <w:t xml:space="preserve">Thus, according to the Minister of Small Business Development, “the 2021/22 APP was presented within the context of driving the implementation of the ERRP with a focused view on achieving inclusive growth”. </w:t>
      </w:r>
      <w:r w:rsidRPr="0030354F">
        <w:rPr>
          <w:rStyle w:val="acopre"/>
          <w:rFonts w:ascii="Arial" w:hAnsi="Arial" w:cs="Arial"/>
          <w:sz w:val="20"/>
          <w:szCs w:val="20"/>
        </w:rPr>
        <w:t>The plan has the following five policy objectives -</w:t>
      </w:r>
    </w:p>
    <w:p w:rsidR="00D134AA" w:rsidRPr="0030354F" w:rsidRDefault="00D134AA" w:rsidP="0030354F">
      <w:pPr>
        <w:pStyle w:val="ListParagraph"/>
        <w:numPr>
          <w:ilvl w:val="0"/>
          <w:numId w:val="13"/>
        </w:numPr>
        <w:rPr>
          <w:rFonts w:ascii="Arial" w:hAnsi="Arial" w:cs="Arial"/>
          <w:sz w:val="20"/>
          <w:szCs w:val="20"/>
        </w:rPr>
      </w:pPr>
      <w:r w:rsidRPr="0030354F">
        <w:rPr>
          <w:rFonts w:ascii="Arial" w:eastAsiaTheme="minorEastAsia" w:hAnsi="Arial" w:cs="Arial"/>
          <w:sz w:val="20"/>
          <w:szCs w:val="20"/>
          <w:lang w:val="en-US"/>
        </w:rPr>
        <w:t>To create jobs, primarily through aggressive infrastructure investment and mass employment programmes;</w:t>
      </w:r>
    </w:p>
    <w:p w:rsidR="00D134AA" w:rsidRPr="0030354F" w:rsidRDefault="00D134AA" w:rsidP="0030354F">
      <w:pPr>
        <w:pStyle w:val="ListParagraph"/>
        <w:numPr>
          <w:ilvl w:val="0"/>
          <w:numId w:val="13"/>
        </w:numPr>
        <w:rPr>
          <w:rFonts w:ascii="Arial" w:hAnsi="Arial" w:cs="Arial"/>
          <w:sz w:val="20"/>
          <w:szCs w:val="20"/>
        </w:rPr>
      </w:pPr>
      <w:r w:rsidRPr="0030354F">
        <w:rPr>
          <w:rFonts w:ascii="Arial" w:eastAsiaTheme="minorEastAsia" w:hAnsi="Arial" w:cs="Arial"/>
          <w:sz w:val="20"/>
          <w:szCs w:val="20"/>
          <w:lang w:val="en-US"/>
        </w:rPr>
        <w:t>To re-industrialise our economy, focusing on growing small businesses;</w:t>
      </w:r>
    </w:p>
    <w:p w:rsidR="00D134AA" w:rsidRPr="0030354F" w:rsidRDefault="00D134AA" w:rsidP="0030354F">
      <w:pPr>
        <w:pStyle w:val="ListParagraph"/>
        <w:numPr>
          <w:ilvl w:val="0"/>
          <w:numId w:val="13"/>
        </w:numPr>
        <w:rPr>
          <w:rFonts w:ascii="Arial" w:hAnsi="Arial" w:cs="Arial"/>
          <w:sz w:val="20"/>
          <w:szCs w:val="20"/>
        </w:rPr>
      </w:pPr>
      <w:r w:rsidRPr="0030354F">
        <w:rPr>
          <w:rFonts w:ascii="Arial" w:eastAsiaTheme="minorEastAsia" w:hAnsi="Arial" w:cs="Arial"/>
          <w:sz w:val="20"/>
          <w:szCs w:val="20"/>
          <w:lang w:val="en-US"/>
        </w:rPr>
        <w:t>To accelerate economic reforms to unlock investment and growth;</w:t>
      </w:r>
    </w:p>
    <w:p w:rsidR="00D134AA" w:rsidRPr="0030354F" w:rsidRDefault="00D134AA" w:rsidP="0030354F">
      <w:pPr>
        <w:pStyle w:val="ListParagraph"/>
        <w:numPr>
          <w:ilvl w:val="0"/>
          <w:numId w:val="13"/>
        </w:numPr>
        <w:rPr>
          <w:rFonts w:ascii="Arial" w:hAnsi="Arial" w:cs="Arial"/>
          <w:sz w:val="20"/>
          <w:szCs w:val="20"/>
        </w:rPr>
      </w:pPr>
      <w:r w:rsidRPr="0030354F">
        <w:rPr>
          <w:rFonts w:ascii="Arial" w:eastAsiaTheme="minorEastAsia" w:hAnsi="Arial" w:cs="Arial"/>
          <w:sz w:val="20"/>
          <w:szCs w:val="20"/>
          <w:lang w:val="en-US"/>
        </w:rPr>
        <w:t>To fight crime and corruption; and</w:t>
      </w:r>
    </w:p>
    <w:p w:rsidR="00D134AA" w:rsidRPr="0030354F" w:rsidRDefault="00D134AA" w:rsidP="0030354F">
      <w:pPr>
        <w:pStyle w:val="ListParagraph"/>
        <w:numPr>
          <w:ilvl w:val="0"/>
          <w:numId w:val="13"/>
        </w:numPr>
        <w:rPr>
          <w:rFonts w:ascii="Arial" w:hAnsi="Arial" w:cs="Arial"/>
          <w:sz w:val="20"/>
          <w:szCs w:val="20"/>
        </w:rPr>
      </w:pPr>
      <w:r w:rsidRPr="0030354F">
        <w:rPr>
          <w:rFonts w:ascii="Arial" w:eastAsiaTheme="minorEastAsia" w:hAnsi="Arial" w:cs="Arial"/>
          <w:sz w:val="20"/>
          <w:szCs w:val="20"/>
          <w:lang w:val="en-US"/>
        </w:rPr>
        <w:t>To improve the capability of the State.</w:t>
      </w:r>
    </w:p>
    <w:p w:rsidR="00475644" w:rsidRPr="0030354F" w:rsidRDefault="00475644" w:rsidP="0030354F">
      <w:pPr>
        <w:spacing w:after="0" w:line="240" w:lineRule="auto"/>
        <w:contextualSpacing/>
        <w:rPr>
          <w:rFonts w:ascii="Arial" w:hAnsi="Arial" w:cs="Arial"/>
          <w:b/>
          <w:sz w:val="20"/>
          <w:szCs w:val="20"/>
          <w:lang/>
        </w:rPr>
      </w:pPr>
    </w:p>
    <w:p w:rsidR="003264DC" w:rsidRPr="0030354F" w:rsidRDefault="00D134AA" w:rsidP="0030354F">
      <w:pPr>
        <w:spacing w:after="0" w:line="240" w:lineRule="auto"/>
        <w:contextualSpacing/>
        <w:rPr>
          <w:rFonts w:ascii="Arial" w:hAnsi="Arial" w:cs="Arial"/>
          <w:b/>
          <w:sz w:val="20"/>
          <w:szCs w:val="20"/>
        </w:rPr>
      </w:pPr>
      <w:r w:rsidRPr="0030354F">
        <w:rPr>
          <w:rFonts w:ascii="Arial" w:hAnsi="Arial" w:cs="Arial"/>
          <w:b/>
          <w:sz w:val="20"/>
          <w:szCs w:val="20"/>
          <w:lang/>
        </w:rPr>
        <w:t>2.5</w:t>
      </w:r>
      <w:r w:rsidR="002950A8" w:rsidRPr="0030354F">
        <w:rPr>
          <w:rFonts w:ascii="Arial" w:hAnsi="Arial" w:cs="Arial"/>
          <w:b/>
          <w:sz w:val="20"/>
          <w:szCs w:val="20"/>
          <w:lang/>
        </w:rPr>
        <w:tab/>
      </w:r>
      <w:r w:rsidR="003264DC" w:rsidRPr="0030354F">
        <w:rPr>
          <w:rFonts w:ascii="Arial" w:hAnsi="Arial" w:cs="Arial"/>
          <w:b/>
          <w:sz w:val="20"/>
          <w:szCs w:val="20"/>
        </w:rPr>
        <w:t xml:space="preserve">Summary of the Key Priorities </w:t>
      </w:r>
      <w:r w:rsidR="007D52AE" w:rsidRPr="0030354F">
        <w:rPr>
          <w:rFonts w:ascii="Arial" w:hAnsi="Arial" w:cs="Arial"/>
          <w:b/>
          <w:sz w:val="20"/>
          <w:szCs w:val="20"/>
        </w:rPr>
        <w:t xml:space="preserve">informing </w:t>
      </w:r>
      <w:r w:rsidR="003264DC" w:rsidRPr="0030354F">
        <w:rPr>
          <w:rFonts w:ascii="Arial" w:hAnsi="Arial" w:cs="Arial"/>
          <w:b/>
          <w:sz w:val="20"/>
          <w:szCs w:val="20"/>
        </w:rPr>
        <w:t xml:space="preserve">the 2020-25 Strategic Plan and 2020/21 </w:t>
      </w:r>
      <w:r w:rsidR="003264DC" w:rsidRPr="0030354F">
        <w:rPr>
          <w:rFonts w:ascii="Arial" w:hAnsi="Arial" w:cs="Arial"/>
          <w:b/>
          <w:sz w:val="20"/>
          <w:szCs w:val="20"/>
        </w:rPr>
        <w:tab/>
        <w:t>Annual Performance Plan</w:t>
      </w:r>
    </w:p>
    <w:p w:rsidR="003264DC" w:rsidRPr="0030354F" w:rsidRDefault="00240289" w:rsidP="0030354F">
      <w:pPr>
        <w:spacing w:after="0" w:line="240" w:lineRule="auto"/>
        <w:contextualSpacing/>
        <w:rPr>
          <w:rFonts w:ascii="Arial" w:hAnsi="Arial" w:cs="Arial"/>
          <w:b/>
          <w:sz w:val="20"/>
          <w:szCs w:val="20"/>
        </w:rPr>
      </w:pPr>
      <w:r w:rsidRPr="0030354F">
        <w:rPr>
          <w:rFonts w:ascii="Arial" w:hAnsi="Arial" w:cs="Arial"/>
          <w:sz w:val="20"/>
          <w:szCs w:val="20"/>
        </w:rPr>
        <w:t xml:space="preserve">During May 2020, the Department and entities presented their five-year strategic as well as annual and corporate plans which underlined </w:t>
      </w:r>
      <w:r w:rsidR="003264DC" w:rsidRPr="0030354F">
        <w:rPr>
          <w:rFonts w:ascii="Arial" w:hAnsi="Arial" w:cs="Arial"/>
          <w:sz w:val="20"/>
          <w:szCs w:val="20"/>
        </w:rPr>
        <w:t>key priority</w:t>
      </w:r>
      <w:r w:rsidRPr="0030354F">
        <w:rPr>
          <w:rFonts w:ascii="Arial" w:hAnsi="Arial" w:cs="Arial"/>
          <w:sz w:val="20"/>
          <w:szCs w:val="20"/>
        </w:rPr>
        <w:t xml:space="preserve">/focus areas. The annual performance currently being considered is premised on the commitments </w:t>
      </w:r>
      <w:r w:rsidR="00475644" w:rsidRPr="0030354F">
        <w:rPr>
          <w:rFonts w:ascii="Arial" w:hAnsi="Arial" w:cs="Arial"/>
          <w:sz w:val="20"/>
          <w:szCs w:val="20"/>
        </w:rPr>
        <w:t>contained in</w:t>
      </w:r>
      <w:r w:rsidRPr="0030354F">
        <w:rPr>
          <w:rFonts w:ascii="Arial" w:hAnsi="Arial" w:cs="Arial"/>
          <w:sz w:val="20"/>
          <w:szCs w:val="20"/>
        </w:rPr>
        <w:t xml:space="preserve"> these statutory documents and they</w:t>
      </w:r>
      <w:r w:rsidR="003264DC" w:rsidRPr="0030354F">
        <w:rPr>
          <w:rFonts w:ascii="Arial" w:hAnsi="Arial" w:cs="Arial"/>
          <w:sz w:val="20"/>
          <w:szCs w:val="20"/>
        </w:rPr>
        <w:t xml:space="preserve"> include</w:t>
      </w:r>
      <w:r w:rsidRPr="0030354F">
        <w:rPr>
          <w:rFonts w:ascii="Arial" w:hAnsi="Arial" w:cs="Arial"/>
          <w:sz w:val="20"/>
          <w:szCs w:val="20"/>
        </w:rPr>
        <w:t>d</w:t>
      </w:r>
      <w:r w:rsidR="003264DC" w:rsidRPr="0030354F">
        <w:rPr>
          <w:rFonts w:ascii="Arial" w:hAnsi="Arial" w:cs="Arial"/>
          <w:sz w:val="20"/>
          <w:szCs w:val="20"/>
        </w:rPr>
        <w:t xml:space="preserve"> -:</w:t>
      </w:r>
    </w:p>
    <w:p w:rsidR="003264DC" w:rsidRPr="0030354F" w:rsidRDefault="003264DC" w:rsidP="0030354F">
      <w:pPr>
        <w:pStyle w:val="Default"/>
        <w:numPr>
          <w:ilvl w:val="0"/>
          <w:numId w:val="12"/>
        </w:numPr>
        <w:contextualSpacing/>
        <w:rPr>
          <w:rFonts w:ascii="Arial" w:hAnsi="Arial" w:cs="Arial"/>
          <w:color w:val="auto"/>
          <w:sz w:val="20"/>
          <w:szCs w:val="20"/>
        </w:rPr>
      </w:pPr>
      <w:r w:rsidRPr="0030354F">
        <w:rPr>
          <w:rFonts w:ascii="Arial" w:hAnsi="Arial" w:cs="Arial"/>
          <w:color w:val="auto"/>
          <w:sz w:val="20"/>
          <w:szCs w:val="20"/>
        </w:rPr>
        <w:lastRenderedPageBreak/>
        <w:t>Finalisation and implementation of the Township Entrepreneurship Fund;</w:t>
      </w:r>
    </w:p>
    <w:p w:rsidR="003264DC" w:rsidRPr="0030354F" w:rsidRDefault="003264DC" w:rsidP="0030354F">
      <w:pPr>
        <w:pStyle w:val="Default"/>
        <w:numPr>
          <w:ilvl w:val="0"/>
          <w:numId w:val="12"/>
        </w:numPr>
        <w:contextualSpacing/>
        <w:rPr>
          <w:rFonts w:ascii="Arial" w:hAnsi="Arial" w:cs="Arial"/>
          <w:color w:val="auto"/>
          <w:sz w:val="20"/>
          <w:szCs w:val="20"/>
        </w:rPr>
      </w:pPr>
      <w:r w:rsidRPr="0030354F">
        <w:rPr>
          <w:rFonts w:ascii="Arial" w:hAnsi="Arial" w:cs="Arial"/>
          <w:color w:val="auto"/>
          <w:sz w:val="20"/>
          <w:szCs w:val="20"/>
        </w:rPr>
        <w:t>Establishment of Funds in partnership with the private sector;</w:t>
      </w:r>
    </w:p>
    <w:p w:rsidR="003264DC" w:rsidRPr="0030354F" w:rsidRDefault="003264DC" w:rsidP="0030354F">
      <w:pPr>
        <w:pStyle w:val="Default"/>
        <w:numPr>
          <w:ilvl w:val="0"/>
          <w:numId w:val="12"/>
        </w:numPr>
        <w:contextualSpacing/>
        <w:rPr>
          <w:rFonts w:ascii="Arial" w:hAnsi="Arial" w:cs="Arial"/>
          <w:color w:val="auto"/>
          <w:sz w:val="20"/>
          <w:szCs w:val="20"/>
        </w:rPr>
      </w:pPr>
      <w:r w:rsidRPr="0030354F">
        <w:rPr>
          <w:rFonts w:ascii="Arial" w:hAnsi="Arial" w:cs="Arial"/>
          <w:color w:val="auto"/>
          <w:sz w:val="20"/>
          <w:szCs w:val="20"/>
        </w:rPr>
        <w:t>Review and implement Credit Guarantee Scheme;</w:t>
      </w:r>
    </w:p>
    <w:p w:rsidR="003264DC" w:rsidRPr="0030354F" w:rsidRDefault="003264DC" w:rsidP="0030354F">
      <w:pPr>
        <w:pStyle w:val="Default"/>
        <w:numPr>
          <w:ilvl w:val="0"/>
          <w:numId w:val="12"/>
        </w:numPr>
        <w:contextualSpacing/>
        <w:rPr>
          <w:rFonts w:ascii="Arial" w:hAnsi="Arial" w:cs="Arial"/>
          <w:color w:val="auto"/>
          <w:sz w:val="20"/>
          <w:szCs w:val="20"/>
        </w:rPr>
      </w:pPr>
      <w:r w:rsidRPr="0030354F">
        <w:rPr>
          <w:rFonts w:ascii="Arial" w:hAnsi="Arial" w:cs="Arial"/>
          <w:color w:val="auto"/>
          <w:sz w:val="20"/>
          <w:szCs w:val="20"/>
        </w:rPr>
        <w:t>Finalise and implement the SMME Funding Policy;</w:t>
      </w:r>
    </w:p>
    <w:p w:rsidR="003264DC" w:rsidRPr="0030354F" w:rsidRDefault="003264DC" w:rsidP="0030354F">
      <w:pPr>
        <w:pStyle w:val="Default"/>
        <w:numPr>
          <w:ilvl w:val="0"/>
          <w:numId w:val="12"/>
        </w:numPr>
        <w:contextualSpacing/>
        <w:rPr>
          <w:rFonts w:ascii="Arial" w:hAnsi="Arial" w:cs="Arial"/>
          <w:color w:val="auto"/>
          <w:sz w:val="20"/>
          <w:szCs w:val="20"/>
        </w:rPr>
      </w:pPr>
      <w:r w:rsidRPr="0030354F">
        <w:rPr>
          <w:rFonts w:ascii="Arial" w:hAnsi="Arial" w:cs="Arial"/>
          <w:color w:val="auto"/>
          <w:sz w:val="20"/>
          <w:szCs w:val="20"/>
        </w:rPr>
        <w:t>Finalise amendments to the National Small Enterprise Act to deal mainly with the establishment of the SMME Ombud Office, regulations/licensing of businesses owned by foreign nationals and unfair business to business practices;</w:t>
      </w:r>
    </w:p>
    <w:p w:rsidR="003264DC" w:rsidRPr="0030354F" w:rsidRDefault="003264DC" w:rsidP="0030354F">
      <w:pPr>
        <w:pStyle w:val="Default"/>
        <w:numPr>
          <w:ilvl w:val="0"/>
          <w:numId w:val="12"/>
        </w:numPr>
        <w:contextualSpacing/>
        <w:rPr>
          <w:rFonts w:ascii="Arial" w:hAnsi="Arial" w:cs="Arial"/>
          <w:color w:val="auto"/>
          <w:sz w:val="20"/>
          <w:szCs w:val="20"/>
        </w:rPr>
      </w:pPr>
      <w:r w:rsidRPr="0030354F">
        <w:rPr>
          <w:rFonts w:ascii="Arial" w:hAnsi="Arial" w:cs="Arial"/>
          <w:color w:val="auto"/>
          <w:sz w:val="20"/>
          <w:szCs w:val="20"/>
        </w:rPr>
        <w:t>Accelerate establishment of incubators and digital hubs in the townships and rural areas.</w:t>
      </w:r>
    </w:p>
    <w:p w:rsidR="005E1AF7" w:rsidRPr="0030354F" w:rsidRDefault="002950A8" w:rsidP="0030354F">
      <w:pPr>
        <w:spacing w:after="0" w:line="240" w:lineRule="auto"/>
        <w:contextualSpacing/>
        <w:rPr>
          <w:rFonts w:ascii="Arial" w:hAnsi="Arial" w:cs="Arial"/>
          <w:b/>
          <w:sz w:val="20"/>
          <w:szCs w:val="20"/>
        </w:rPr>
      </w:pPr>
      <w:r w:rsidRPr="0030354F">
        <w:rPr>
          <w:rFonts w:ascii="Arial" w:hAnsi="Arial" w:cs="Arial"/>
          <w:b/>
          <w:sz w:val="20"/>
          <w:szCs w:val="20"/>
        </w:rPr>
        <w:t>3.</w:t>
      </w:r>
      <w:r w:rsidRPr="0030354F">
        <w:rPr>
          <w:rFonts w:ascii="Arial" w:hAnsi="Arial" w:cs="Arial"/>
          <w:b/>
          <w:sz w:val="20"/>
          <w:szCs w:val="20"/>
        </w:rPr>
        <w:tab/>
      </w:r>
      <w:r w:rsidR="005E1AF7" w:rsidRPr="0030354F">
        <w:rPr>
          <w:rFonts w:ascii="Arial" w:hAnsi="Arial" w:cs="Arial"/>
          <w:b/>
          <w:sz w:val="20"/>
          <w:szCs w:val="20"/>
        </w:rPr>
        <w:t>SUMMARY OF PREVIOUS KEY COMMITTEE RECOMMENDATIONS</w:t>
      </w:r>
    </w:p>
    <w:p w:rsidR="006D05B3" w:rsidRPr="0030354F" w:rsidRDefault="006D05B3" w:rsidP="0030354F">
      <w:pPr>
        <w:spacing w:after="0" w:line="240" w:lineRule="auto"/>
        <w:contextualSpacing/>
        <w:rPr>
          <w:rFonts w:ascii="Arial" w:eastAsia="Times New Roman" w:hAnsi="Arial" w:cs="Arial"/>
          <w:b/>
          <w:sz w:val="20"/>
          <w:szCs w:val="20"/>
          <w:lang w:eastAsia="en-GB"/>
        </w:rPr>
      </w:pPr>
      <w:r w:rsidRPr="0030354F">
        <w:rPr>
          <w:rFonts w:ascii="Arial" w:hAnsi="Arial" w:cs="Arial"/>
          <w:sz w:val="20"/>
          <w:szCs w:val="20"/>
        </w:rPr>
        <w:t>During the 20</w:t>
      </w:r>
      <w:r w:rsidR="00814937" w:rsidRPr="0030354F">
        <w:rPr>
          <w:rFonts w:ascii="Arial" w:hAnsi="Arial" w:cs="Arial"/>
          <w:sz w:val="20"/>
          <w:szCs w:val="20"/>
        </w:rPr>
        <w:t>2</w:t>
      </w:r>
      <w:r w:rsidR="00D73FE9" w:rsidRPr="0030354F">
        <w:rPr>
          <w:rFonts w:ascii="Arial" w:hAnsi="Arial" w:cs="Arial"/>
          <w:sz w:val="20"/>
          <w:szCs w:val="20"/>
        </w:rPr>
        <w:t>1</w:t>
      </w:r>
      <w:r w:rsidRPr="0030354F">
        <w:rPr>
          <w:rFonts w:ascii="Arial" w:hAnsi="Arial" w:cs="Arial"/>
          <w:sz w:val="20"/>
          <w:szCs w:val="20"/>
        </w:rPr>
        <w:t xml:space="preserve"> Budgetary Review and Recommendation Report, the Portfolio Committee made the following recommendations</w:t>
      </w:r>
      <w:r w:rsidR="009A0FB0" w:rsidRPr="0030354F">
        <w:rPr>
          <w:rFonts w:ascii="Arial" w:hAnsi="Arial" w:cs="Arial"/>
          <w:sz w:val="20"/>
          <w:szCs w:val="20"/>
        </w:rPr>
        <w:t xml:space="preserve"> to the </w:t>
      </w:r>
      <w:r w:rsidR="00AC781B" w:rsidRPr="0030354F">
        <w:rPr>
          <w:rFonts w:ascii="Arial" w:hAnsi="Arial" w:cs="Arial"/>
          <w:sz w:val="20"/>
          <w:szCs w:val="20"/>
        </w:rPr>
        <w:t>Minister and the Department</w:t>
      </w:r>
      <w:r w:rsidR="00814937" w:rsidRPr="0030354F">
        <w:rPr>
          <w:rFonts w:ascii="Arial" w:hAnsi="Arial" w:cs="Arial"/>
          <w:sz w:val="20"/>
          <w:szCs w:val="20"/>
        </w:rPr>
        <w:t xml:space="preserve"> -:</w:t>
      </w:r>
    </w:p>
    <w:p w:rsidR="005E1AF7" w:rsidRPr="0030354F" w:rsidRDefault="005E1AF7" w:rsidP="0030354F">
      <w:pPr>
        <w:spacing w:after="0" w:line="240" w:lineRule="auto"/>
        <w:contextualSpacing/>
        <w:rPr>
          <w:rFonts w:ascii="Arial" w:hAnsi="Arial" w:cs="Arial"/>
          <w:sz w:val="20"/>
          <w:szCs w:val="20"/>
        </w:rPr>
      </w:pPr>
    </w:p>
    <w:p w:rsidR="00EE0F55" w:rsidRPr="0030354F" w:rsidRDefault="00EE0F55" w:rsidP="0030354F">
      <w:pPr>
        <w:spacing w:after="0" w:line="240" w:lineRule="auto"/>
        <w:contextualSpacing/>
        <w:rPr>
          <w:rFonts w:ascii="Arial" w:hAnsi="Arial" w:cs="Arial"/>
          <w:b/>
          <w:sz w:val="20"/>
          <w:szCs w:val="20"/>
        </w:rPr>
      </w:pPr>
      <w:r w:rsidRPr="0030354F">
        <w:rPr>
          <w:rFonts w:ascii="Arial" w:hAnsi="Arial" w:cs="Arial"/>
          <w:b/>
          <w:sz w:val="20"/>
          <w:szCs w:val="20"/>
        </w:rPr>
        <w:t xml:space="preserve"> Table 1</w:t>
      </w:r>
      <w:r w:rsidR="00D73FE9" w:rsidRPr="0030354F">
        <w:rPr>
          <w:rFonts w:ascii="Arial" w:hAnsi="Arial" w:cs="Arial"/>
          <w:b/>
          <w:sz w:val="20"/>
          <w:szCs w:val="20"/>
        </w:rPr>
        <w:t>: 2021</w:t>
      </w:r>
      <w:r w:rsidR="006F22EA" w:rsidRPr="0030354F">
        <w:rPr>
          <w:rFonts w:ascii="Arial" w:hAnsi="Arial" w:cs="Arial"/>
          <w:b/>
          <w:sz w:val="20"/>
          <w:szCs w:val="20"/>
        </w:rPr>
        <w:t xml:space="preserve"> BRR</w:t>
      </w:r>
      <w:r w:rsidR="00814937" w:rsidRPr="0030354F">
        <w:rPr>
          <w:rFonts w:ascii="Arial" w:hAnsi="Arial" w:cs="Arial"/>
          <w:b/>
          <w:sz w:val="20"/>
          <w:szCs w:val="20"/>
        </w:rPr>
        <w:t>R</w:t>
      </w:r>
      <w:r w:rsidR="006D05B3" w:rsidRPr="0030354F">
        <w:rPr>
          <w:rFonts w:ascii="Arial" w:hAnsi="Arial" w:cs="Arial"/>
          <w:b/>
          <w:sz w:val="20"/>
          <w:szCs w:val="20"/>
        </w:rPr>
        <w:t xml:space="preserve"> Recommendations</w:t>
      </w:r>
    </w:p>
    <w:tbl>
      <w:tblPr>
        <w:tblStyle w:val="TableGrid"/>
        <w:tblW w:w="5000" w:type="pct"/>
        <w:tblLook w:val="04A0"/>
      </w:tblPr>
      <w:tblGrid>
        <w:gridCol w:w="652"/>
        <w:gridCol w:w="4061"/>
        <w:gridCol w:w="4529"/>
      </w:tblGrid>
      <w:tr w:rsidR="00814937" w:rsidRPr="0030354F" w:rsidTr="004A74DC">
        <w:trPr>
          <w:trHeight w:val="197"/>
        </w:trPr>
        <w:tc>
          <w:tcPr>
            <w:tcW w:w="353" w:type="pct"/>
          </w:tcPr>
          <w:p w:rsidR="00814937" w:rsidRPr="0030354F" w:rsidRDefault="0004204A" w:rsidP="0030354F">
            <w:pPr>
              <w:contextualSpacing/>
              <w:rPr>
                <w:rFonts w:ascii="Arial" w:hAnsi="Arial" w:cs="Arial"/>
                <w:b/>
                <w:bCs/>
                <w:sz w:val="20"/>
                <w:szCs w:val="20"/>
              </w:rPr>
            </w:pPr>
            <w:r w:rsidRPr="0030354F">
              <w:rPr>
                <w:rFonts w:ascii="Arial" w:hAnsi="Arial" w:cs="Arial"/>
                <w:sz w:val="20"/>
                <w:szCs w:val="20"/>
              </w:rPr>
              <w:t>3.1</w:t>
            </w:r>
          </w:p>
        </w:tc>
        <w:tc>
          <w:tcPr>
            <w:tcW w:w="2197" w:type="pct"/>
          </w:tcPr>
          <w:p w:rsidR="00814937" w:rsidRPr="0030354F" w:rsidRDefault="008140CE" w:rsidP="0030354F">
            <w:pPr>
              <w:contextualSpacing/>
              <w:rPr>
                <w:rFonts w:ascii="Arial" w:hAnsi="Arial" w:cs="Arial"/>
                <w:b/>
                <w:bCs/>
                <w:sz w:val="20"/>
                <w:szCs w:val="20"/>
              </w:rPr>
            </w:pPr>
            <w:r w:rsidRPr="0030354F">
              <w:rPr>
                <w:rFonts w:ascii="Arial" w:hAnsi="Arial" w:cs="Arial"/>
                <w:sz w:val="20"/>
                <w:szCs w:val="20"/>
              </w:rPr>
              <w:t xml:space="preserve">The Department act swiftly in dealing </w:t>
            </w:r>
            <w:r w:rsidR="00E90973" w:rsidRPr="0030354F">
              <w:rPr>
                <w:rFonts w:ascii="Arial" w:hAnsi="Arial" w:cs="Arial"/>
                <w:sz w:val="20"/>
                <w:szCs w:val="20"/>
              </w:rPr>
              <w:t xml:space="preserve">and implementing Auditor General </w:t>
            </w:r>
            <w:r w:rsidRPr="0030354F">
              <w:rPr>
                <w:rFonts w:ascii="Arial" w:hAnsi="Arial" w:cs="Arial"/>
                <w:sz w:val="20"/>
                <w:szCs w:val="20"/>
              </w:rPr>
              <w:t>recommen</w:t>
            </w:r>
            <w:r w:rsidR="00E90973" w:rsidRPr="0030354F">
              <w:rPr>
                <w:rFonts w:ascii="Arial" w:hAnsi="Arial" w:cs="Arial"/>
                <w:sz w:val="20"/>
                <w:szCs w:val="20"/>
              </w:rPr>
              <w:t xml:space="preserve">dations. </w:t>
            </w:r>
            <w:r w:rsidRPr="0030354F">
              <w:rPr>
                <w:rFonts w:ascii="Arial" w:hAnsi="Arial" w:cs="Arial"/>
                <w:sz w:val="20"/>
                <w:szCs w:val="20"/>
              </w:rPr>
              <w:t>There should</w:t>
            </w:r>
            <w:r w:rsidR="00E90973" w:rsidRPr="0030354F">
              <w:rPr>
                <w:rFonts w:ascii="Arial" w:eastAsia="Times New Roman" w:hAnsi="Arial" w:cs="Arial"/>
                <w:sz w:val="20"/>
                <w:szCs w:val="20"/>
              </w:rPr>
              <w:t xml:space="preserve"> be </w:t>
            </w:r>
            <w:r w:rsidRPr="0030354F">
              <w:rPr>
                <w:rFonts w:ascii="Arial" w:eastAsia="Times New Roman" w:hAnsi="Arial" w:cs="Arial"/>
                <w:sz w:val="20"/>
                <w:szCs w:val="20"/>
              </w:rPr>
              <w:t xml:space="preserve">necessary urgency by management in responding to the AG’s requests relating to addressing risks identified and improving internal controls that will improve </w:t>
            </w:r>
            <w:r w:rsidRPr="0030354F">
              <w:rPr>
                <w:rFonts w:ascii="Arial" w:eastAsia="Times New Roman" w:hAnsi="Arial" w:cs="Arial"/>
                <w:sz w:val="20"/>
                <w:szCs w:val="20"/>
              </w:rPr>
              <w:tab/>
              <w:t>the audit outcomes of b</w:t>
            </w:r>
            <w:r w:rsidR="004A74DC" w:rsidRPr="0030354F">
              <w:rPr>
                <w:rFonts w:ascii="Arial" w:eastAsia="Times New Roman" w:hAnsi="Arial" w:cs="Arial"/>
                <w:sz w:val="20"/>
                <w:szCs w:val="20"/>
              </w:rPr>
              <w:t>oth the Department and entities.</w:t>
            </w:r>
          </w:p>
        </w:tc>
        <w:tc>
          <w:tcPr>
            <w:tcW w:w="2450" w:type="pct"/>
          </w:tcPr>
          <w:p w:rsidR="00814937" w:rsidRPr="0030354F" w:rsidRDefault="004A74DC" w:rsidP="0030354F">
            <w:pPr>
              <w:contextualSpacing/>
              <w:rPr>
                <w:rFonts w:ascii="Arial" w:hAnsi="Arial" w:cs="Arial"/>
                <w:b/>
                <w:bCs/>
                <w:sz w:val="20"/>
                <w:szCs w:val="20"/>
              </w:rPr>
            </w:pPr>
            <w:r w:rsidRPr="0030354F">
              <w:rPr>
                <w:rFonts w:ascii="Arial" w:hAnsi="Arial" w:cs="Arial"/>
                <w:sz w:val="20"/>
                <w:szCs w:val="20"/>
              </w:rPr>
              <w:t>Action plans to address AG audit findings have been developed by the Department and its entities and are being implemented. Progress on implementation is monitored on a quarterly basis.</w:t>
            </w:r>
          </w:p>
        </w:tc>
      </w:tr>
      <w:tr w:rsidR="004A74DC" w:rsidRPr="0030354F" w:rsidTr="004A74DC">
        <w:tc>
          <w:tcPr>
            <w:tcW w:w="353"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3.2</w:t>
            </w:r>
          </w:p>
        </w:tc>
        <w:tc>
          <w:tcPr>
            <w:tcW w:w="2197" w:type="pct"/>
          </w:tcPr>
          <w:p w:rsidR="004A74DC" w:rsidRPr="0030354F" w:rsidRDefault="004A74DC" w:rsidP="0030354F">
            <w:pPr>
              <w:contextualSpacing/>
              <w:rPr>
                <w:rFonts w:ascii="Arial" w:hAnsi="Arial" w:cs="Arial"/>
                <w:b/>
                <w:bCs/>
                <w:sz w:val="20"/>
                <w:szCs w:val="20"/>
              </w:rPr>
            </w:pPr>
            <w:r w:rsidRPr="0030354F">
              <w:rPr>
                <w:rFonts w:ascii="Arial" w:eastAsia="Times New Roman" w:hAnsi="Arial" w:cs="Arial"/>
                <w:sz w:val="20"/>
                <w:szCs w:val="20"/>
              </w:rPr>
              <w:t>There should be regular and timely reviews of performance information by senior management to ensure that valid, accurate and complete reporting is done to minimise reporting errors.</w:t>
            </w:r>
          </w:p>
        </w:tc>
        <w:tc>
          <w:tcPr>
            <w:tcW w:w="2450" w:type="pct"/>
            <w:shd w:val="clear" w:color="auto" w:fill="auto"/>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The Department has an approved Framework on Strategic Planning and Performance Reporting and the Standard Operating Procedures, aligned to the Revised Framework for Strategic Plans and Annual Performance Plans and the Framework for Managing Performance Information, that are implemented through the Strategic Planning and Reporting Cycle Implementation Plan in order to ensure that the processes for planning and reporting are integrated within the Department. Through implementing the Implementation Plan and constant engagements with the Branch Heads and process owners, awareness is created on the importance of reporting validated, accurate and complete performance information.</w:t>
            </w:r>
          </w:p>
          <w:p w:rsidR="004A74DC" w:rsidRPr="0030354F" w:rsidRDefault="004A74DC" w:rsidP="0030354F">
            <w:pPr>
              <w:contextualSpacing/>
              <w:rPr>
                <w:rFonts w:ascii="Arial" w:hAnsi="Arial" w:cs="Arial"/>
                <w:b/>
                <w:bCs/>
                <w:sz w:val="20"/>
                <w:szCs w:val="20"/>
              </w:rPr>
            </w:pPr>
          </w:p>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In addition to the above, the Department conducts mid-year and end year reviews of its performance information and supporting evidence, against the Annual Performance Plan (APP) and the Technical Indicators. This process assists in providing clear communication of the necessary actions that need to be taken in ensuring that the implementation of the APP is on track.  This is also covered in the reviews of performance information that Internal Audit conducts as per the audit plan.</w:t>
            </w:r>
          </w:p>
          <w:p w:rsidR="004A74DC" w:rsidRPr="0030354F" w:rsidRDefault="004A74DC" w:rsidP="0030354F">
            <w:pPr>
              <w:contextualSpacing/>
              <w:rPr>
                <w:rFonts w:ascii="Arial" w:hAnsi="Arial" w:cs="Arial"/>
                <w:b/>
                <w:bCs/>
                <w:sz w:val="20"/>
                <w:szCs w:val="20"/>
              </w:rPr>
            </w:pPr>
          </w:p>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Significant effort is being directed towards ensuring that at branch level regular and timely reviews of performance information are discussed with the aim to reduce reporting errors. The latter is providing some level of assurance and with the intention that this will be a permanent feature at branch meetings.</w:t>
            </w:r>
          </w:p>
        </w:tc>
      </w:tr>
      <w:tr w:rsidR="004A74DC" w:rsidRPr="0030354F" w:rsidTr="004A74DC">
        <w:tc>
          <w:tcPr>
            <w:tcW w:w="353"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3.3</w:t>
            </w:r>
          </w:p>
        </w:tc>
        <w:tc>
          <w:tcPr>
            <w:tcW w:w="2197" w:type="pct"/>
          </w:tcPr>
          <w:p w:rsidR="004A74DC" w:rsidRPr="0030354F" w:rsidRDefault="004A74DC" w:rsidP="0030354F">
            <w:pPr>
              <w:tabs>
                <w:tab w:val="left" w:pos="2581"/>
              </w:tabs>
              <w:contextualSpacing/>
              <w:rPr>
                <w:rFonts w:ascii="Arial" w:hAnsi="Arial" w:cs="Arial"/>
                <w:b/>
                <w:bCs/>
                <w:sz w:val="20"/>
                <w:szCs w:val="20"/>
              </w:rPr>
            </w:pPr>
            <w:r w:rsidRPr="0030354F">
              <w:rPr>
                <w:rFonts w:ascii="Arial" w:hAnsi="Arial" w:cs="Arial"/>
                <w:sz w:val="20"/>
                <w:szCs w:val="20"/>
              </w:rPr>
              <w:t xml:space="preserve">The Department should take appropriate </w:t>
            </w:r>
            <w:r w:rsidRPr="0030354F">
              <w:rPr>
                <w:rFonts w:ascii="Arial" w:hAnsi="Arial" w:cs="Arial"/>
                <w:sz w:val="20"/>
                <w:szCs w:val="20"/>
              </w:rPr>
              <w:lastRenderedPageBreak/>
              <w:t>steps to ensure that Identified deficiencies in internal controls are addressed by management to mitigate against recurrence of the findings with regard to the usefulness and reliability of the reported performance information. Management should also develop an action plan to respond to address the findings raised by the AGSA;</w:t>
            </w:r>
          </w:p>
        </w:tc>
        <w:tc>
          <w:tcPr>
            <w:tcW w:w="2450"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lastRenderedPageBreak/>
              <w:t xml:space="preserve">The Department has already successfully </w:t>
            </w:r>
            <w:r w:rsidRPr="0030354F">
              <w:rPr>
                <w:rFonts w:ascii="Arial" w:hAnsi="Arial" w:cs="Arial"/>
                <w:sz w:val="20"/>
                <w:szCs w:val="20"/>
              </w:rPr>
              <w:lastRenderedPageBreak/>
              <w:t xml:space="preserve">addressed the first part of this observation, which cautions the DSBD against repeat findings with regard to the usefulness and reliability of the reported performance information. The audited 2020/21 performance information report was declared useful and reliable by AGSA. The 2020/21 performance information report did not only manage not to have repeat findings, but it had no findings at all (it was without findings), hence it resulted into clean audit opinion (unqualified opinion without findings).   </w:t>
            </w:r>
          </w:p>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The Enterprise Development branch has put in place controls to ensure that deficiencies in internal controls are addressed by management to mitigate against recurrence of the findings regarding the usefulness and reliability of the reported performance information. This process will improve overtime.</w:t>
            </w:r>
          </w:p>
          <w:p w:rsidR="004A74DC" w:rsidRPr="0030354F" w:rsidRDefault="004A74DC" w:rsidP="0030354F">
            <w:pPr>
              <w:contextualSpacing/>
              <w:rPr>
                <w:rFonts w:ascii="Arial" w:hAnsi="Arial" w:cs="Arial"/>
                <w:b/>
                <w:bCs/>
                <w:sz w:val="20"/>
                <w:szCs w:val="20"/>
              </w:rPr>
            </w:pPr>
          </w:p>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Action plans to address AG audit findings have been developed and are being implemented. Progress on implementation is monitored on a quarterly basis.</w:t>
            </w:r>
          </w:p>
        </w:tc>
      </w:tr>
      <w:tr w:rsidR="004A74DC" w:rsidRPr="0030354F" w:rsidTr="0075461D">
        <w:tc>
          <w:tcPr>
            <w:tcW w:w="353"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lastRenderedPageBreak/>
              <w:t>3.4</w:t>
            </w:r>
          </w:p>
        </w:tc>
        <w:tc>
          <w:tcPr>
            <w:tcW w:w="2197" w:type="pct"/>
          </w:tcPr>
          <w:p w:rsidR="004A74DC" w:rsidRPr="0030354F" w:rsidRDefault="004A74DC" w:rsidP="0030354F">
            <w:pPr>
              <w:contextualSpacing/>
              <w:rPr>
                <w:rFonts w:ascii="Arial" w:hAnsi="Arial" w:cs="Arial"/>
                <w:b/>
                <w:bCs/>
                <w:sz w:val="20"/>
                <w:szCs w:val="20"/>
              </w:rPr>
            </w:pPr>
            <w:r w:rsidRPr="0030354F">
              <w:rPr>
                <w:rFonts w:ascii="Arial" w:eastAsia="Times New Roman" w:hAnsi="Arial" w:cs="Arial"/>
                <w:sz w:val="20"/>
                <w:szCs w:val="20"/>
              </w:rPr>
              <w:t>Non-compliance with key legislation which remains a challenge especially in Supply Chain Management (SCM), which has led to irregular expenditure and fruitless and wasteful expenditure being incurred is addressed;</w:t>
            </w:r>
          </w:p>
        </w:tc>
        <w:tc>
          <w:tcPr>
            <w:tcW w:w="2450" w:type="pct"/>
            <w:shd w:val="clear" w:color="auto" w:fill="auto"/>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 xml:space="preserve">DSBD has largely remained compliant with SCM processes that are guided by the existing SCM Policy that is anchored on a myriad of instruction notes from National Treasury.  </w:t>
            </w:r>
          </w:p>
          <w:p w:rsidR="004A74DC" w:rsidRPr="0030354F" w:rsidRDefault="004A74DC" w:rsidP="0030354F">
            <w:pPr>
              <w:contextualSpacing/>
              <w:rPr>
                <w:rFonts w:ascii="Arial" w:hAnsi="Arial" w:cs="Arial"/>
                <w:b/>
                <w:bCs/>
                <w:sz w:val="20"/>
                <w:szCs w:val="20"/>
              </w:rPr>
            </w:pPr>
          </w:p>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 xml:space="preserve">At times irregular expenditure results out of differing interpretation between implementing officials, AGSA and Office of the Chief Procurement Officers.  None of the investigations have identified loss of state resources as services were duly rendered and deserving of payment. To date, all of DSBD’s irregular expenditure has been investigated, officials sanctioned in line with the Public Service Regulations.  </w:t>
            </w:r>
          </w:p>
          <w:p w:rsidR="004A74DC" w:rsidRPr="0030354F" w:rsidRDefault="004A74DC" w:rsidP="0030354F">
            <w:pPr>
              <w:contextualSpacing/>
              <w:rPr>
                <w:rFonts w:ascii="Arial" w:hAnsi="Arial" w:cs="Arial"/>
                <w:b/>
                <w:bCs/>
                <w:sz w:val="20"/>
                <w:szCs w:val="20"/>
              </w:rPr>
            </w:pPr>
          </w:p>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 xml:space="preserve">Fruitless and wasteful expenditure: where such cases are identified, investigations are undertaken, and the relevant sanctions implemented – such as full recovery of the loss from responsible officials.  </w:t>
            </w:r>
          </w:p>
          <w:p w:rsidR="004A74DC" w:rsidRPr="0030354F" w:rsidRDefault="004A74DC" w:rsidP="0030354F">
            <w:pPr>
              <w:contextualSpacing/>
              <w:rPr>
                <w:rFonts w:ascii="Arial" w:hAnsi="Arial" w:cs="Arial"/>
                <w:b/>
                <w:bCs/>
                <w:sz w:val="20"/>
                <w:szCs w:val="20"/>
              </w:rPr>
            </w:pPr>
          </w:p>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Consequence management to guard against non-compliance is being implemented.</w:t>
            </w:r>
          </w:p>
        </w:tc>
      </w:tr>
      <w:tr w:rsidR="004A74DC" w:rsidRPr="0030354F" w:rsidTr="0075461D">
        <w:tc>
          <w:tcPr>
            <w:tcW w:w="353"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3.5</w:t>
            </w:r>
          </w:p>
        </w:tc>
        <w:tc>
          <w:tcPr>
            <w:tcW w:w="2197" w:type="pct"/>
          </w:tcPr>
          <w:p w:rsidR="004A74DC" w:rsidRPr="0030354F" w:rsidRDefault="004A74DC" w:rsidP="0030354F">
            <w:pPr>
              <w:contextualSpacing/>
              <w:rPr>
                <w:rFonts w:ascii="Arial" w:hAnsi="Arial" w:cs="Arial"/>
                <w:b/>
                <w:bCs/>
                <w:sz w:val="20"/>
                <w:szCs w:val="20"/>
              </w:rPr>
            </w:pPr>
            <w:r w:rsidRPr="0030354F">
              <w:rPr>
                <w:rFonts w:ascii="Arial" w:eastAsia="Times New Roman" w:hAnsi="Arial" w:cs="Arial"/>
                <w:sz w:val="20"/>
                <w:szCs w:val="20"/>
              </w:rPr>
              <w:t xml:space="preserve">Effective </w:t>
            </w:r>
            <w:r w:rsidRPr="0030354F">
              <w:rPr>
                <w:rFonts w:ascii="Arial" w:hAnsi="Arial" w:cs="Arial"/>
                <w:sz w:val="20"/>
                <w:szCs w:val="20"/>
              </w:rPr>
              <w:t xml:space="preserve">monitoring and oversight by the Accounting Officer, Internal Audit and Audit Committee is adhered to. These are critical in ensuring that the audit outcomes in the </w:t>
            </w:r>
            <w:r w:rsidRPr="0030354F">
              <w:rPr>
                <w:rFonts w:ascii="Arial" w:hAnsi="Arial" w:cs="Arial"/>
                <w:sz w:val="20"/>
                <w:szCs w:val="20"/>
              </w:rPr>
              <w:tab/>
              <w:t>performance information environment of the Department is maintained in future years;</w:t>
            </w:r>
          </w:p>
        </w:tc>
        <w:tc>
          <w:tcPr>
            <w:tcW w:w="2450" w:type="pct"/>
            <w:shd w:val="clear" w:color="auto" w:fill="auto"/>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 xml:space="preserve">The Department has an approved Framework on Strategic Planning and Performance Reporting and the Standard Operating Procedures, aligned to the Revised Framework for Strategic Plans and Annual Performance Plans and the Framework for Managing Performance Information, that are implemented through the Strategic Planning and Reporting Cycle Implementation Plan to ensure that the processes for planning and reporting are integrated within the Department. Through implementing the Implementation Plan and </w:t>
            </w:r>
            <w:r w:rsidRPr="0030354F">
              <w:rPr>
                <w:rFonts w:ascii="Arial" w:hAnsi="Arial" w:cs="Arial"/>
                <w:sz w:val="20"/>
                <w:szCs w:val="20"/>
              </w:rPr>
              <w:lastRenderedPageBreak/>
              <w:t>constant engagements with the Branch Heads and process owners, awareness is created on the importance of reporting validated, accurate and complete performance information.</w:t>
            </w:r>
          </w:p>
          <w:p w:rsidR="004A74DC" w:rsidRPr="0030354F" w:rsidRDefault="004A74DC" w:rsidP="0030354F">
            <w:pPr>
              <w:contextualSpacing/>
              <w:rPr>
                <w:rFonts w:ascii="Arial" w:hAnsi="Arial" w:cs="Arial"/>
                <w:b/>
                <w:bCs/>
                <w:sz w:val="20"/>
                <w:szCs w:val="20"/>
              </w:rPr>
            </w:pPr>
          </w:p>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In addition to the above, the DSBD conducts mid-year and end year reviews of its performance information and supporting evidence, against the Annual Performance Plan (APP) and the Technical Indicators. This process assists in providing clear communication of the necessary actions that need to be taken in ensuring that the implementation of the APP is on track.</w:t>
            </w:r>
          </w:p>
          <w:p w:rsidR="004A74DC" w:rsidRPr="0030354F" w:rsidRDefault="004A74DC" w:rsidP="0030354F">
            <w:pPr>
              <w:contextualSpacing/>
              <w:rPr>
                <w:rFonts w:ascii="Arial" w:hAnsi="Arial" w:cs="Arial"/>
                <w:b/>
                <w:bCs/>
                <w:sz w:val="20"/>
                <w:szCs w:val="20"/>
              </w:rPr>
            </w:pPr>
          </w:p>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Internal Audit conducts reviews of performance information as provided for in the audit plan. The Audit and Risk Committee exercises oversight on a quarterly basis.</w:t>
            </w:r>
          </w:p>
        </w:tc>
      </w:tr>
      <w:tr w:rsidR="004A74DC" w:rsidRPr="0030354F" w:rsidTr="0075461D">
        <w:tc>
          <w:tcPr>
            <w:tcW w:w="353"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lastRenderedPageBreak/>
              <w:t>3.6</w:t>
            </w:r>
          </w:p>
        </w:tc>
        <w:tc>
          <w:tcPr>
            <w:tcW w:w="2197"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The vacant posts are filled. The Committee is mindful that filling of vacant posts is reliant on a successful finalisation of the merger of DSBD entities and CBDA. However, this process should not be achieved at the expense of service delivery. Strategic posts have remained vacant for too long and this is affecting the performance of the Department and entities. The process must be fast-tracked and finalized before the end of 31 March 2022;</w:t>
            </w:r>
          </w:p>
        </w:tc>
        <w:tc>
          <w:tcPr>
            <w:tcW w:w="2450" w:type="pct"/>
            <w:shd w:val="clear" w:color="auto" w:fill="auto"/>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The finalisation of the merger of the Department’s agencies does not impact the filling of strategic posts within the Department as they are independent activities and not mutually or directly dependent but may contribute. The Department’s structure is in the stage of obtaining support form National Treasury in terms of budget and affordability and then concurrence from DPSA for implementation. The project plan is pegged at obtaining the go ahead before 31 March 2022.</w:t>
            </w:r>
          </w:p>
        </w:tc>
      </w:tr>
      <w:tr w:rsidR="004A74DC" w:rsidRPr="0030354F" w:rsidTr="004A74DC">
        <w:tc>
          <w:tcPr>
            <w:tcW w:w="353"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3.7</w:t>
            </w:r>
          </w:p>
        </w:tc>
        <w:tc>
          <w:tcPr>
            <w:tcW w:w="2197" w:type="pct"/>
          </w:tcPr>
          <w:p w:rsidR="004A74DC" w:rsidRPr="0030354F" w:rsidRDefault="004A74DC" w:rsidP="0030354F">
            <w:pPr>
              <w:contextualSpacing/>
              <w:rPr>
                <w:rFonts w:ascii="Arial" w:hAnsi="Arial" w:cs="Arial"/>
                <w:sz w:val="20"/>
                <w:szCs w:val="20"/>
              </w:rPr>
            </w:pPr>
            <w:r w:rsidRPr="0030354F">
              <w:rPr>
                <w:rFonts w:ascii="Arial" w:hAnsi="Arial" w:cs="Arial"/>
                <w:sz w:val="20"/>
                <w:szCs w:val="20"/>
              </w:rPr>
              <w:t>The Accounting Officer, EXCO, Management or responsible officials do adhere to their obligation of ensuring that site visits are conducted to all beneficiaries of the Department and Seda programmes in order verify if goods and services are/were actually delivered/received through pre-and post-site visits. Owing to Seda geographic footprint the agency could be utilised for this purpose. While Parliamentary Constituency Offices (PCOs) should also be explored to grow DSBD countrywide footprint;</w:t>
            </w:r>
          </w:p>
        </w:tc>
        <w:tc>
          <w:tcPr>
            <w:tcW w:w="2450"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The Department will build internal capacity to conduct monitoring and evaluation functions to ensure that we are able to track the delivery and impact of the SBD Portfolio’s work throughout the country. Seda will continue to perform pre- and post-investment site visits on its supported beneficiaries and sporadically when so requested by the department.</w:t>
            </w:r>
          </w:p>
        </w:tc>
      </w:tr>
      <w:tr w:rsidR="004A74DC" w:rsidRPr="0030354F" w:rsidTr="0075461D">
        <w:tc>
          <w:tcPr>
            <w:tcW w:w="353"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3.8</w:t>
            </w:r>
          </w:p>
        </w:tc>
        <w:tc>
          <w:tcPr>
            <w:tcW w:w="2197"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 xml:space="preserve">The Department looks at efficient spending of its baseline funds and promptly identify idling reserves in order to avoid future and undesirable virements and </w:t>
            </w:r>
            <w:r w:rsidRPr="0030354F">
              <w:rPr>
                <w:rFonts w:ascii="Arial" w:hAnsi="Arial" w:cs="Arial"/>
                <w:sz w:val="20"/>
                <w:szCs w:val="20"/>
              </w:rPr>
              <w:tab/>
              <w:t xml:space="preserve">suspensions. Poor spending on programmes as well as goods and services which are </w:t>
            </w:r>
            <w:r w:rsidRPr="0030354F">
              <w:rPr>
                <w:rFonts w:ascii="Arial" w:hAnsi="Arial" w:cs="Arial"/>
                <w:sz w:val="20"/>
                <w:szCs w:val="20"/>
              </w:rPr>
              <w:tab/>
              <w:t>usually a manifestation of vacant posts, are typically the basic triggers and motivation behind such virements;</w:t>
            </w:r>
          </w:p>
        </w:tc>
        <w:tc>
          <w:tcPr>
            <w:tcW w:w="2450" w:type="pct"/>
            <w:shd w:val="clear" w:color="auto" w:fill="auto"/>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Financial management does monthly spending reviews and requisite reporting highlighting areas of underperformance and recommends reprioritisation of funds to SMMEs benefitting programmes with National Treasury’s support.</w:t>
            </w:r>
          </w:p>
          <w:p w:rsidR="004A74DC" w:rsidRPr="0030354F" w:rsidRDefault="004A74DC" w:rsidP="0030354F">
            <w:pPr>
              <w:contextualSpacing/>
              <w:rPr>
                <w:rFonts w:ascii="Arial" w:hAnsi="Arial" w:cs="Arial"/>
                <w:b/>
                <w:bCs/>
                <w:sz w:val="20"/>
                <w:szCs w:val="20"/>
              </w:rPr>
            </w:pPr>
          </w:p>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 xml:space="preserve">Underperformance is mainly in COE – due to the structure not being finalised and incentives programmes.  </w:t>
            </w:r>
          </w:p>
          <w:p w:rsidR="004A74DC" w:rsidRPr="0030354F" w:rsidRDefault="004A74DC" w:rsidP="0030354F">
            <w:pPr>
              <w:contextualSpacing/>
              <w:rPr>
                <w:rFonts w:ascii="Arial" w:hAnsi="Arial" w:cs="Arial"/>
                <w:b/>
                <w:bCs/>
                <w:sz w:val="20"/>
                <w:szCs w:val="20"/>
              </w:rPr>
            </w:pPr>
          </w:p>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 xml:space="preserve">Management has instituted various structures to primarily attend to poor programme spending and address emerging risk which are often encountered during the implementation process. This structure constitutes of senior managers who periodically sit to review programme </w:t>
            </w:r>
            <w:r w:rsidRPr="0030354F">
              <w:rPr>
                <w:rFonts w:ascii="Arial" w:hAnsi="Arial" w:cs="Arial"/>
                <w:sz w:val="20"/>
                <w:szCs w:val="20"/>
              </w:rPr>
              <w:lastRenderedPageBreak/>
              <w:t>performance and audit related issues amongst others.</w:t>
            </w:r>
          </w:p>
          <w:p w:rsidR="004A74DC" w:rsidRPr="0030354F" w:rsidRDefault="004A74DC" w:rsidP="0030354F">
            <w:pPr>
              <w:contextualSpacing/>
              <w:rPr>
                <w:rFonts w:ascii="Arial" w:hAnsi="Arial" w:cs="Arial"/>
                <w:b/>
                <w:bCs/>
                <w:sz w:val="20"/>
                <w:szCs w:val="20"/>
              </w:rPr>
            </w:pPr>
          </w:p>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 xml:space="preserve">This is done in full consultation and involvement of all the key programmes of the department. There are no idling reserves to talk about in the Department. Virements are rarely done. Where they are done, they are done on a serious case/basis.  </w:t>
            </w:r>
          </w:p>
        </w:tc>
      </w:tr>
      <w:tr w:rsidR="004A74DC" w:rsidRPr="0030354F" w:rsidTr="0075461D">
        <w:tc>
          <w:tcPr>
            <w:tcW w:w="353"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lastRenderedPageBreak/>
              <w:t>3.9</w:t>
            </w:r>
          </w:p>
        </w:tc>
        <w:tc>
          <w:tcPr>
            <w:tcW w:w="2197"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All outstanding bills e.g. review of the National Small Enterprise Act (1996) are accelerated and tabled to Parliament in line with the strategic plan and successive annual performance plans of the Department before 31 March 2022;</w:t>
            </w:r>
          </w:p>
        </w:tc>
        <w:tc>
          <w:tcPr>
            <w:tcW w:w="2450" w:type="pct"/>
            <w:shd w:val="clear" w:color="auto" w:fill="auto"/>
          </w:tcPr>
          <w:p w:rsidR="004A74DC" w:rsidRPr="0030354F" w:rsidRDefault="004A74DC" w:rsidP="0030354F">
            <w:pPr>
              <w:pStyle w:val="CommentText"/>
              <w:contextualSpacing/>
              <w:rPr>
                <w:rFonts w:ascii="Arial" w:hAnsi="Arial" w:cs="Arial"/>
                <w:b/>
                <w:bCs/>
              </w:rPr>
            </w:pPr>
            <w:r w:rsidRPr="0030354F">
              <w:rPr>
                <w:rFonts w:ascii="Arial" w:hAnsi="Arial" w:cs="Arial"/>
              </w:rPr>
              <w:t>The National Small Enterprise Bill is dependent on the opinion awaited from Treasury on whether the Department requires a completely new legislation or to just amend the existing Act.  This will then determine whether the Department tables the Bill or waits to include in the merger.</w:t>
            </w:r>
          </w:p>
          <w:p w:rsidR="004A74DC" w:rsidRPr="0030354F" w:rsidRDefault="004A74DC" w:rsidP="0030354F">
            <w:pPr>
              <w:contextualSpacing/>
              <w:rPr>
                <w:rFonts w:ascii="Arial" w:hAnsi="Arial" w:cs="Arial"/>
                <w:b/>
                <w:bCs/>
                <w:sz w:val="20"/>
                <w:szCs w:val="20"/>
              </w:rPr>
            </w:pPr>
          </w:p>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The Department is currently engaged in stakeholder consultations on the Businesses Act (1991) targeting various critical stakeholders especially Municipalities, hence the amendment Act is not being submitted to Parliament during the current financial year. The Department intends to table amendments to the Businesses Act during the 2023/24 financial year.</w:t>
            </w:r>
          </w:p>
        </w:tc>
      </w:tr>
      <w:tr w:rsidR="004A74DC" w:rsidRPr="0030354F" w:rsidTr="004A74DC">
        <w:tc>
          <w:tcPr>
            <w:tcW w:w="353"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3.10</w:t>
            </w:r>
          </w:p>
        </w:tc>
        <w:tc>
          <w:tcPr>
            <w:tcW w:w="2197"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The Department position with respect to the review of the Co-operatives Act (as amended), Business Act (1991), soon to be transferred Co-operative Banks Act (2007) is clarified to the Portfolio Committee as these have implications on the programme and budget of the Committee. So are reviews of the Integrated Strategy on the Promotion of Entrepreneurship and Small Enterprises and review of the Integrated Strategy on the Development and Promotion of Co-operatives (2012 - 2022).</w:t>
            </w:r>
          </w:p>
        </w:tc>
        <w:tc>
          <w:tcPr>
            <w:tcW w:w="2450" w:type="pct"/>
          </w:tcPr>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 xml:space="preserve">The reviews of the Integrated Strategy on the Promotion of Entrepreneurship and Small Enterprises (ISPESE) and Co-operatives Development Strategy have been overtaken by the development of the National Integrated Small Enterprise Development Masterplan, which incorporates all the pillars of the Strategies.  </w:t>
            </w:r>
          </w:p>
          <w:p w:rsidR="004A74DC" w:rsidRPr="0030354F" w:rsidRDefault="004A74DC" w:rsidP="0030354F">
            <w:pPr>
              <w:contextualSpacing/>
              <w:rPr>
                <w:rFonts w:ascii="Arial" w:hAnsi="Arial" w:cs="Arial"/>
                <w:b/>
                <w:bCs/>
                <w:sz w:val="20"/>
                <w:szCs w:val="20"/>
              </w:rPr>
            </w:pPr>
          </w:p>
          <w:p w:rsidR="004A74DC" w:rsidRPr="0030354F" w:rsidRDefault="004A74DC" w:rsidP="0030354F">
            <w:pPr>
              <w:contextualSpacing/>
              <w:rPr>
                <w:rFonts w:ascii="Arial" w:hAnsi="Arial" w:cs="Arial"/>
                <w:b/>
                <w:bCs/>
                <w:sz w:val="20"/>
                <w:szCs w:val="20"/>
              </w:rPr>
            </w:pPr>
            <w:r w:rsidRPr="0030354F">
              <w:rPr>
                <w:rFonts w:ascii="Arial" w:hAnsi="Arial" w:cs="Arial"/>
                <w:sz w:val="20"/>
                <w:szCs w:val="20"/>
              </w:rPr>
              <w:t>The Department is currently engaged in stakeholder consultations on the Businesses Act (1991) targeting various critical stakeholders especially Municipalities, hence the amendment Act is not being submitted to Parliament during the current financial year. The Department intends to table amendments to the Businesses Act during the 2023/24 financial year.</w:t>
            </w:r>
          </w:p>
        </w:tc>
      </w:tr>
    </w:tbl>
    <w:p w:rsidR="005E1AF7" w:rsidRPr="0030354F" w:rsidRDefault="0012778A" w:rsidP="0030354F">
      <w:pPr>
        <w:spacing w:after="0" w:line="240" w:lineRule="auto"/>
        <w:contextualSpacing/>
        <w:rPr>
          <w:rFonts w:ascii="Arial" w:eastAsia="Times New Roman" w:hAnsi="Arial" w:cs="Arial"/>
          <w:b/>
          <w:sz w:val="20"/>
          <w:szCs w:val="20"/>
          <w:lang w:eastAsia="en-GB"/>
        </w:rPr>
      </w:pPr>
      <w:r w:rsidRPr="0030354F">
        <w:rPr>
          <w:rFonts w:ascii="Arial" w:eastAsia="Times New Roman" w:hAnsi="Arial" w:cs="Arial"/>
          <w:b/>
          <w:sz w:val="20"/>
          <w:szCs w:val="20"/>
          <w:lang w:eastAsia="en-GB"/>
        </w:rPr>
        <w:t>Source:</w:t>
      </w:r>
      <w:r w:rsidR="00717AE7" w:rsidRPr="0030354F">
        <w:rPr>
          <w:rFonts w:ascii="Arial" w:eastAsia="Times New Roman" w:hAnsi="Arial" w:cs="Arial"/>
          <w:b/>
          <w:sz w:val="20"/>
          <w:szCs w:val="20"/>
          <w:lang w:eastAsia="en-GB"/>
        </w:rPr>
        <w:t xml:space="preserve"> </w:t>
      </w:r>
      <w:r w:rsidR="00814937" w:rsidRPr="0030354F">
        <w:rPr>
          <w:rFonts w:ascii="Arial" w:eastAsia="Times New Roman" w:hAnsi="Arial" w:cs="Arial"/>
          <w:b/>
          <w:sz w:val="20"/>
          <w:szCs w:val="20"/>
          <w:lang w:eastAsia="en-GB"/>
        </w:rPr>
        <w:t>202</w:t>
      </w:r>
      <w:r w:rsidR="00D73FE9" w:rsidRPr="0030354F">
        <w:rPr>
          <w:rFonts w:ascii="Arial" w:eastAsia="Times New Roman" w:hAnsi="Arial" w:cs="Arial"/>
          <w:b/>
          <w:sz w:val="20"/>
          <w:szCs w:val="20"/>
          <w:lang w:eastAsia="en-GB"/>
        </w:rPr>
        <w:t>1</w:t>
      </w:r>
      <w:r w:rsidR="006F22EA" w:rsidRPr="0030354F">
        <w:rPr>
          <w:rFonts w:ascii="Arial" w:eastAsia="Times New Roman" w:hAnsi="Arial" w:cs="Arial"/>
          <w:b/>
          <w:sz w:val="20"/>
          <w:szCs w:val="20"/>
          <w:lang w:eastAsia="en-GB"/>
        </w:rPr>
        <w:t xml:space="preserve"> B</w:t>
      </w:r>
      <w:r w:rsidR="00275D8E" w:rsidRPr="0030354F">
        <w:rPr>
          <w:rFonts w:ascii="Arial" w:eastAsia="Times New Roman" w:hAnsi="Arial" w:cs="Arial"/>
          <w:b/>
          <w:sz w:val="20"/>
          <w:szCs w:val="20"/>
          <w:lang w:eastAsia="en-GB"/>
        </w:rPr>
        <w:t>RRR Re</w:t>
      </w:r>
      <w:r w:rsidR="006D05B3" w:rsidRPr="0030354F">
        <w:rPr>
          <w:rFonts w:ascii="Arial" w:eastAsia="Times New Roman" w:hAnsi="Arial" w:cs="Arial"/>
          <w:b/>
          <w:sz w:val="20"/>
          <w:szCs w:val="20"/>
          <w:lang w:eastAsia="en-GB"/>
        </w:rPr>
        <w:t>port</w:t>
      </w:r>
    </w:p>
    <w:p w:rsidR="00595415" w:rsidRPr="0030354F" w:rsidRDefault="00595415" w:rsidP="0030354F">
      <w:pPr>
        <w:spacing w:after="0" w:line="240" w:lineRule="auto"/>
        <w:contextualSpacing/>
        <w:rPr>
          <w:rFonts w:ascii="Arial" w:hAnsi="Arial" w:cs="Arial"/>
          <w:b/>
          <w:sz w:val="20"/>
          <w:szCs w:val="20"/>
          <w:lang w:val="en-GB"/>
        </w:rPr>
      </w:pPr>
    </w:p>
    <w:p w:rsidR="00ED7B98" w:rsidRPr="0030354F" w:rsidRDefault="00ED7B98" w:rsidP="0030354F">
      <w:pPr>
        <w:spacing w:after="0" w:line="240" w:lineRule="auto"/>
        <w:contextualSpacing/>
        <w:rPr>
          <w:rFonts w:ascii="Arial" w:hAnsi="Arial" w:cs="Arial"/>
          <w:b/>
          <w:sz w:val="20"/>
          <w:szCs w:val="20"/>
          <w:lang w:val="en-GB"/>
        </w:rPr>
      </w:pPr>
      <w:r w:rsidRPr="0030354F">
        <w:rPr>
          <w:rFonts w:ascii="Arial" w:hAnsi="Arial" w:cs="Arial"/>
          <w:b/>
          <w:sz w:val="20"/>
          <w:szCs w:val="20"/>
          <w:lang w:val="en-GB"/>
        </w:rPr>
        <w:t>4.</w:t>
      </w:r>
      <w:r w:rsidRPr="0030354F">
        <w:rPr>
          <w:rFonts w:ascii="Arial" w:hAnsi="Arial" w:cs="Arial"/>
          <w:b/>
          <w:sz w:val="20"/>
          <w:szCs w:val="20"/>
          <w:lang w:val="en-GB"/>
        </w:rPr>
        <w:tab/>
        <w:t xml:space="preserve">OVERVIEW </w:t>
      </w:r>
      <w:r w:rsidR="007D7448" w:rsidRPr="0030354F">
        <w:rPr>
          <w:rFonts w:ascii="Arial" w:hAnsi="Arial" w:cs="Arial"/>
          <w:b/>
          <w:sz w:val="20"/>
          <w:szCs w:val="20"/>
          <w:lang w:val="en-GB"/>
        </w:rPr>
        <w:t>OF FINANCIAL AND NON-FINANCIAL PERFORM</w:t>
      </w:r>
      <w:r w:rsidRPr="0030354F">
        <w:rPr>
          <w:rFonts w:ascii="Arial" w:hAnsi="Arial" w:cs="Arial"/>
          <w:b/>
          <w:sz w:val="20"/>
          <w:szCs w:val="20"/>
          <w:lang w:val="en-GB"/>
        </w:rPr>
        <w:t xml:space="preserve">ANCE </w:t>
      </w:r>
    </w:p>
    <w:p w:rsidR="00ED7B98" w:rsidRPr="0030354F" w:rsidRDefault="00ED7B98" w:rsidP="0030354F">
      <w:pPr>
        <w:spacing w:after="0" w:line="240" w:lineRule="auto"/>
        <w:contextualSpacing/>
        <w:rPr>
          <w:rFonts w:ascii="Arial" w:hAnsi="Arial" w:cs="Arial"/>
          <w:b/>
          <w:sz w:val="20"/>
          <w:szCs w:val="20"/>
        </w:rPr>
      </w:pPr>
    </w:p>
    <w:p w:rsidR="00ED7B98" w:rsidRPr="0030354F" w:rsidRDefault="00ED7B98" w:rsidP="0030354F">
      <w:pPr>
        <w:spacing w:after="0" w:line="240" w:lineRule="auto"/>
        <w:contextualSpacing/>
        <w:rPr>
          <w:rFonts w:ascii="Arial" w:hAnsi="Arial" w:cs="Arial"/>
          <w:b/>
          <w:sz w:val="20"/>
          <w:szCs w:val="20"/>
        </w:rPr>
      </w:pPr>
      <w:r w:rsidRPr="0030354F">
        <w:rPr>
          <w:rFonts w:ascii="Arial" w:hAnsi="Arial" w:cs="Arial"/>
          <w:b/>
          <w:sz w:val="20"/>
          <w:szCs w:val="20"/>
        </w:rPr>
        <w:t>4.1</w:t>
      </w:r>
      <w:r w:rsidRPr="0030354F">
        <w:rPr>
          <w:rFonts w:ascii="Arial" w:hAnsi="Arial" w:cs="Arial"/>
          <w:b/>
          <w:sz w:val="20"/>
          <w:szCs w:val="20"/>
        </w:rPr>
        <w:tab/>
      </w:r>
      <w:r w:rsidR="007D7448" w:rsidRPr="0030354F">
        <w:rPr>
          <w:rFonts w:ascii="Arial" w:hAnsi="Arial" w:cs="Arial"/>
          <w:b/>
          <w:sz w:val="20"/>
          <w:szCs w:val="20"/>
        </w:rPr>
        <w:t xml:space="preserve">Non-financial </w:t>
      </w:r>
      <w:r w:rsidRPr="0030354F">
        <w:rPr>
          <w:rFonts w:ascii="Arial" w:hAnsi="Arial" w:cs="Arial"/>
          <w:b/>
          <w:sz w:val="20"/>
          <w:szCs w:val="20"/>
        </w:rPr>
        <w:t>Performance Summary</w:t>
      </w:r>
    </w:p>
    <w:p w:rsidR="00ED7B98" w:rsidRPr="0030354F" w:rsidRDefault="00ED7B98" w:rsidP="0030354F">
      <w:pPr>
        <w:autoSpaceDE w:val="0"/>
        <w:autoSpaceDN w:val="0"/>
        <w:adjustRightInd w:val="0"/>
        <w:spacing w:after="0" w:line="240" w:lineRule="auto"/>
        <w:contextualSpacing/>
        <w:rPr>
          <w:rFonts w:ascii="Arial" w:hAnsi="Arial" w:cs="Arial"/>
          <w:sz w:val="20"/>
          <w:szCs w:val="20"/>
        </w:rPr>
      </w:pPr>
      <w:r w:rsidRPr="0030354F">
        <w:rPr>
          <w:rFonts w:ascii="Arial" w:eastAsia="Calibri" w:hAnsi="Arial" w:cs="Arial"/>
          <w:kern w:val="24"/>
          <w:sz w:val="20"/>
          <w:szCs w:val="20"/>
          <w:lang w:val="en-GB"/>
        </w:rPr>
        <w:t xml:space="preserve">During the </w:t>
      </w:r>
      <w:r w:rsidR="00C32FB6" w:rsidRPr="0030354F">
        <w:rPr>
          <w:rFonts w:ascii="Arial" w:eastAsia="Calibri" w:hAnsi="Arial" w:cs="Arial"/>
          <w:kern w:val="24"/>
          <w:sz w:val="20"/>
          <w:szCs w:val="20"/>
          <w:lang w:val="en-GB"/>
        </w:rPr>
        <w:t xml:space="preserve">period </w:t>
      </w:r>
      <w:r w:rsidRPr="0030354F">
        <w:rPr>
          <w:rFonts w:ascii="Arial" w:eastAsia="Calibri" w:hAnsi="Arial" w:cs="Arial"/>
          <w:kern w:val="24"/>
          <w:sz w:val="20"/>
          <w:szCs w:val="20"/>
          <w:lang w:val="en-GB"/>
        </w:rPr>
        <w:t>under review the Department had set out to achieve 2</w:t>
      </w:r>
      <w:r w:rsidR="0023751B" w:rsidRPr="0030354F">
        <w:rPr>
          <w:rFonts w:ascii="Arial" w:eastAsia="Calibri" w:hAnsi="Arial" w:cs="Arial"/>
          <w:kern w:val="24"/>
          <w:sz w:val="20"/>
          <w:szCs w:val="20"/>
          <w:lang w:val="en-GB"/>
        </w:rPr>
        <w:t>4</w:t>
      </w:r>
      <w:r w:rsidRPr="0030354F">
        <w:rPr>
          <w:rFonts w:ascii="Arial" w:eastAsia="Calibri" w:hAnsi="Arial" w:cs="Arial"/>
          <w:kern w:val="24"/>
          <w:sz w:val="20"/>
          <w:szCs w:val="20"/>
          <w:lang w:val="en-GB"/>
        </w:rPr>
        <w:t xml:space="preserve"> annual ta</w:t>
      </w:r>
      <w:r w:rsidR="00C32FB6" w:rsidRPr="0030354F">
        <w:rPr>
          <w:rFonts w:ascii="Arial" w:eastAsia="Calibri" w:hAnsi="Arial" w:cs="Arial"/>
          <w:kern w:val="24"/>
          <w:sz w:val="20"/>
          <w:szCs w:val="20"/>
          <w:lang w:val="en-GB"/>
        </w:rPr>
        <w:t>rgets.</w:t>
      </w:r>
      <w:r w:rsidRPr="0030354F">
        <w:rPr>
          <w:rFonts w:ascii="Arial" w:eastAsia="Calibri" w:hAnsi="Arial" w:cs="Arial"/>
          <w:kern w:val="24"/>
          <w:sz w:val="20"/>
          <w:szCs w:val="20"/>
          <w:lang w:val="en-GB"/>
        </w:rPr>
        <w:t xml:space="preserve"> </w:t>
      </w:r>
      <w:r w:rsidR="00A54DED" w:rsidRPr="0030354F">
        <w:rPr>
          <w:rFonts w:ascii="Arial" w:eastAsia="Calibri" w:hAnsi="Arial" w:cs="Arial"/>
          <w:kern w:val="24"/>
          <w:sz w:val="20"/>
          <w:szCs w:val="20"/>
          <w:lang w:val="en-GB"/>
        </w:rPr>
        <w:t>One area of concern flagged by the Committee during its previous BRRR process was the urgency to complete organisational structure and filling of vacant posts particularly at senior management level. The Department reports that the inability to finalise the structure expressively impacted operations and spending in respect of the Cost of Employment budget due to vacancies in critical positions. As a consequent, the Department’s overall performance declined to</w:t>
      </w:r>
      <w:r w:rsidR="00A54DED" w:rsidRPr="0030354F">
        <w:rPr>
          <w:rFonts w:ascii="Arial" w:hAnsi="Arial" w:cs="Arial"/>
          <w:sz w:val="20"/>
          <w:szCs w:val="20"/>
        </w:rPr>
        <w:t xml:space="preserve"> 60 percent of its annual performance targets from a high of 86 percent during the previous year. However, the 60 percent achievement includes only targets that have been 100 percent achieved. It excluding those that may be partially achieved. </w:t>
      </w:r>
      <w:r w:rsidR="009A0FB0" w:rsidRPr="0030354F">
        <w:rPr>
          <w:rFonts w:ascii="Arial" w:eastAsia="Calibri" w:hAnsi="Arial" w:cs="Arial"/>
          <w:kern w:val="24"/>
          <w:sz w:val="20"/>
          <w:szCs w:val="20"/>
          <w:lang w:val="en-GB"/>
        </w:rPr>
        <w:t xml:space="preserve">The </w:t>
      </w:r>
      <w:r w:rsidRPr="0030354F">
        <w:rPr>
          <w:rFonts w:ascii="Arial" w:eastAsia="Calibri" w:hAnsi="Arial" w:cs="Arial"/>
          <w:kern w:val="24"/>
          <w:sz w:val="20"/>
          <w:szCs w:val="20"/>
          <w:lang w:val="en-GB"/>
        </w:rPr>
        <w:t>Department consists of four programmes namely: Administratio</w:t>
      </w:r>
      <w:r w:rsidR="00317EC0" w:rsidRPr="0030354F">
        <w:rPr>
          <w:rFonts w:ascii="Arial" w:eastAsia="Calibri" w:hAnsi="Arial" w:cs="Arial"/>
          <w:kern w:val="24"/>
          <w:sz w:val="20"/>
          <w:szCs w:val="20"/>
          <w:lang w:val="en-GB"/>
        </w:rPr>
        <w:t xml:space="preserve">n, Sector Policy and Research, Integrated Co-operatives </w:t>
      </w:r>
      <w:r w:rsidRPr="0030354F">
        <w:rPr>
          <w:rFonts w:ascii="Arial" w:eastAsia="Calibri" w:hAnsi="Arial" w:cs="Arial"/>
          <w:kern w:val="24"/>
          <w:sz w:val="20"/>
          <w:szCs w:val="20"/>
          <w:lang w:val="en-GB"/>
        </w:rPr>
        <w:t xml:space="preserve">Development and </w:t>
      </w:r>
      <w:r w:rsidR="00317EC0" w:rsidRPr="0030354F">
        <w:rPr>
          <w:rFonts w:ascii="Arial" w:eastAsia="Calibri" w:hAnsi="Arial" w:cs="Arial"/>
          <w:kern w:val="24"/>
          <w:sz w:val="20"/>
          <w:szCs w:val="20"/>
          <w:lang w:val="en-GB"/>
        </w:rPr>
        <w:t xml:space="preserve">Enterprise </w:t>
      </w:r>
      <w:r w:rsidRPr="0030354F">
        <w:rPr>
          <w:rFonts w:ascii="Arial" w:eastAsia="Calibri" w:hAnsi="Arial" w:cs="Arial"/>
          <w:kern w:val="24"/>
          <w:sz w:val="20"/>
          <w:szCs w:val="20"/>
          <w:lang w:val="en-GB"/>
        </w:rPr>
        <w:t xml:space="preserve">Development </w:t>
      </w:r>
      <w:r w:rsidR="00317EC0" w:rsidRPr="0030354F">
        <w:rPr>
          <w:rFonts w:ascii="Arial" w:eastAsia="Calibri" w:hAnsi="Arial" w:cs="Arial"/>
          <w:kern w:val="24"/>
          <w:sz w:val="20"/>
          <w:szCs w:val="20"/>
          <w:lang w:val="en-GB"/>
        </w:rPr>
        <w:t>and Entrepreneurship</w:t>
      </w:r>
      <w:r w:rsidR="00C310FB" w:rsidRPr="0030354F">
        <w:rPr>
          <w:rFonts w:ascii="Arial" w:eastAsia="Calibri" w:hAnsi="Arial" w:cs="Arial"/>
          <w:kern w:val="24"/>
          <w:sz w:val="20"/>
          <w:szCs w:val="20"/>
          <w:lang w:val="en-GB"/>
        </w:rPr>
        <w:t>. Table 2</w:t>
      </w:r>
      <w:r w:rsidRPr="0030354F">
        <w:rPr>
          <w:rFonts w:ascii="Arial" w:eastAsia="Calibri" w:hAnsi="Arial" w:cs="Arial"/>
          <w:kern w:val="24"/>
          <w:sz w:val="20"/>
          <w:szCs w:val="20"/>
          <w:lang w:val="en-GB"/>
        </w:rPr>
        <w:t xml:space="preserve"> below provides summarised information regarding the performance of each of the four programmes of the Department.</w:t>
      </w:r>
      <w:r w:rsidR="009A0FB0" w:rsidRPr="0030354F">
        <w:rPr>
          <w:rFonts w:ascii="Arial" w:eastAsia="Calibri" w:hAnsi="Arial" w:cs="Arial"/>
          <w:kern w:val="24"/>
          <w:sz w:val="20"/>
          <w:szCs w:val="20"/>
          <w:lang w:val="en-GB"/>
        </w:rPr>
        <w:t xml:space="preserve"> </w:t>
      </w:r>
    </w:p>
    <w:p w:rsidR="00ED7B98" w:rsidRPr="0030354F" w:rsidRDefault="00ED7B98" w:rsidP="0030354F">
      <w:pPr>
        <w:spacing w:after="0" w:line="240" w:lineRule="auto"/>
        <w:contextualSpacing/>
        <w:rPr>
          <w:rFonts w:ascii="Arial" w:hAnsi="Arial" w:cs="Arial"/>
          <w:b/>
          <w:sz w:val="20"/>
          <w:szCs w:val="20"/>
        </w:rPr>
      </w:pPr>
    </w:p>
    <w:p w:rsidR="00881DDD" w:rsidRPr="0030354F" w:rsidRDefault="00ED7B98" w:rsidP="0030354F">
      <w:pPr>
        <w:spacing w:after="0" w:line="240" w:lineRule="auto"/>
        <w:contextualSpacing/>
        <w:rPr>
          <w:rFonts w:ascii="Arial" w:eastAsia="Calibri" w:hAnsi="Arial" w:cs="Arial"/>
          <w:b/>
          <w:bCs/>
          <w:color w:val="000000" w:themeColor="text1"/>
          <w:kern w:val="24"/>
          <w:sz w:val="20"/>
          <w:szCs w:val="20"/>
        </w:rPr>
      </w:pPr>
      <w:r w:rsidRPr="0030354F">
        <w:rPr>
          <w:rFonts w:ascii="Arial" w:hAnsi="Arial" w:cs="Arial"/>
          <w:b/>
          <w:sz w:val="20"/>
          <w:szCs w:val="20"/>
        </w:rPr>
        <w:t>Table 2: Performance Summary per Programme</w:t>
      </w:r>
    </w:p>
    <w:tbl>
      <w:tblPr>
        <w:tblW w:w="8990" w:type="dxa"/>
        <w:tblCellMar>
          <w:left w:w="0" w:type="dxa"/>
          <w:right w:w="0" w:type="dxa"/>
        </w:tblCellMar>
        <w:tblLook w:val="06A0"/>
      </w:tblPr>
      <w:tblGrid>
        <w:gridCol w:w="3114"/>
        <w:gridCol w:w="1196"/>
        <w:gridCol w:w="1530"/>
        <w:gridCol w:w="1890"/>
        <w:gridCol w:w="1260"/>
      </w:tblGrid>
      <w:tr w:rsidR="00881DDD" w:rsidRPr="0030354F" w:rsidTr="003F7005">
        <w:trPr>
          <w:trHeight w:val="793"/>
        </w:trPr>
        <w:tc>
          <w:tcPr>
            <w:tcW w:w="3114"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Calibri" w:hAnsi="Arial" w:cs="Arial"/>
                <w:b/>
                <w:bCs/>
                <w:kern w:val="24"/>
                <w:sz w:val="20"/>
                <w:szCs w:val="20"/>
              </w:rPr>
              <w:lastRenderedPageBreak/>
              <w:t>Branch</w:t>
            </w:r>
          </w:p>
        </w:tc>
        <w:tc>
          <w:tcPr>
            <w:tcW w:w="1196"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Calibri" w:hAnsi="Arial" w:cs="Arial"/>
                <w:b/>
                <w:bCs/>
                <w:kern w:val="24"/>
                <w:sz w:val="20"/>
                <w:szCs w:val="20"/>
              </w:rPr>
              <w:t>No. of Output Indicators</w:t>
            </w:r>
          </w:p>
        </w:tc>
        <w:tc>
          <w:tcPr>
            <w:tcW w:w="153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Calibri" w:hAnsi="Arial" w:cs="Arial"/>
                <w:b/>
                <w:bCs/>
                <w:kern w:val="24"/>
                <w:sz w:val="20"/>
                <w:szCs w:val="20"/>
              </w:rPr>
              <w:t>Annual Targets</w:t>
            </w:r>
          </w:p>
        </w:tc>
        <w:tc>
          <w:tcPr>
            <w:tcW w:w="189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Calibri" w:hAnsi="Arial" w:cs="Arial"/>
                <w:b/>
                <w:bCs/>
                <w:kern w:val="24"/>
                <w:sz w:val="20"/>
                <w:szCs w:val="20"/>
              </w:rPr>
              <w:t xml:space="preserve">Achieved </w:t>
            </w:r>
          </w:p>
        </w:tc>
        <w:tc>
          <w:tcPr>
            <w:tcW w:w="126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Calibri" w:hAnsi="Arial" w:cs="Arial"/>
                <w:b/>
                <w:bCs/>
                <w:kern w:val="24"/>
                <w:sz w:val="20"/>
                <w:szCs w:val="20"/>
              </w:rPr>
              <w:t>Not Achieved</w:t>
            </w:r>
          </w:p>
        </w:tc>
      </w:tr>
      <w:tr w:rsidR="00881DDD" w:rsidRPr="0030354F" w:rsidTr="003F7005">
        <w:trPr>
          <w:trHeight w:val="451"/>
        </w:trPr>
        <w:tc>
          <w:tcPr>
            <w:tcW w:w="31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Arial" w:hAnsi="Arial" w:cs="Arial"/>
                <w:b/>
                <w:bCs/>
                <w:smallCaps/>
                <w:kern w:val="24"/>
                <w:sz w:val="20"/>
                <w:szCs w:val="20"/>
              </w:rPr>
              <w:t xml:space="preserve">1. Administration </w:t>
            </w:r>
          </w:p>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Arial" w:hAnsi="Arial" w:cs="Arial"/>
                <w:b/>
                <w:bCs/>
                <w:smallCaps/>
                <w:kern w:val="24"/>
                <w:sz w:val="20"/>
                <w:szCs w:val="20"/>
              </w:rPr>
              <w:t xml:space="preserve">   </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US"/>
              </w:rPr>
              <w:t>8</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US"/>
              </w:rPr>
              <w:t>9</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6</w:t>
            </w:r>
          </w:p>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(66.7%)</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3</w:t>
            </w:r>
          </w:p>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(33.3%)</w:t>
            </w:r>
          </w:p>
        </w:tc>
      </w:tr>
      <w:tr w:rsidR="00881DDD" w:rsidRPr="0030354F" w:rsidTr="003F7005">
        <w:trPr>
          <w:trHeight w:val="775"/>
        </w:trPr>
        <w:tc>
          <w:tcPr>
            <w:tcW w:w="31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Arial" w:hAnsi="Arial" w:cs="Arial"/>
                <w:b/>
                <w:bCs/>
                <w:smallCaps/>
                <w:kern w:val="24"/>
                <w:sz w:val="20"/>
                <w:szCs w:val="20"/>
              </w:rPr>
              <w:t>2. Sector Policy and research</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US"/>
              </w:rPr>
              <w:t>6</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US"/>
              </w:rPr>
              <w:t>6</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4</w:t>
            </w:r>
          </w:p>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(66.7%)</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2</w:t>
            </w:r>
          </w:p>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(33.3%)</w:t>
            </w:r>
          </w:p>
        </w:tc>
      </w:tr>
      <w:tr w:rsidR="00881DDD" w:rsidRPr="0030354F" w:rsidTr="003F7005">
        <w:trPr>
          <w:trHeight w:val="866"/>
        </w:trPr>
        <w:tc>
          <w:tcPr>
            <w:tcW w:w="31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Arial" w:hAnsi="Arial" w:cs="Arial"/>
                <w:b/>
                <w:bCs/>
                <w:smallCaps/>
                <w:kern w:val="24"/>
                <w:sz w:val="20"/>
                <w:szCs w:val="20"/>
              </w:rPr>
              <w:t xml:space="preserve">3. Integrated </w:t>
            </w:r>
          </w:p>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Arial" w:hAnsi="Arial" w:cs="Arial"/>
                <w:b/>
                <w:bCs/>
                <w:smallCaps/>
                <w:kern w:val="24"/>
                <w:sz w:val="20"/>
                <w:szCs w:val="20"/>
              </w:rPr>
              <w:t xml:space="preserve">co-operatives  development </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US"/>
              </w:rPr>
              <w:t>6</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US"/>
              </w:rPr>
              <w:t>6</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3</w:t>
            </w:r>
          </w:p>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(50%)</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3</w:t>
            </w:r>
          </w:p>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( 50%)</w:t>
            </w:r>
          </w:p>
        </w:tc>
      </w:tr>
      <w:tr w:rsidR="00881DDD" w:rsidRPr="0030354F" w:rsidTr="003F7005">
        <w:trPr>
          <w:trHeight w:val="37"/>
        </w:trPr>
        <w:tc>
          <w:tcPr>
            <w:tcW w:w="31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Arial" w:hAnsi="Arial" w:cs="Arial"/>
                <w:b/>
                <w:bCs/>
                <w:smallCaps/>
                <w:kern w:val="24"/>
                <w:sz w:val="20"/>
                <w:szCs w:val="20"/>
              </w:rPr>
              <w:t xml:space="preserve"> 4. Enterprise Development and entrepreneurship </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4</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4</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2</w:t>
            </w:r>
          </w:p>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(50%)</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2</w:t>
            </w:r>
          </w:p>
          <w:p w:rsidR="00881DDD" w:rsidRPr="0030354F" w:rsidRDefault="00881DDD" w:rsidP="0030354F">
            <w:pPr>
              <w:spacing w:after="0" w:line="240" w:lineRule="auto"/>
              <w:contextualSpacing/>
              <w:rPr>
                <w:rFonts w:ascii="Arial" w:eastAsia="Times New Roman" w:hAnsi="Arial" w:cs="Arial"/>
                <w:sz w:val="20"/>
                <w:szCs w:val="20"/>
                <w:lang w:val="en-US"/>
              </w:rPr>
            </w:pPr>
            <w:r w:rsidRPr="0030354F">
              <w:rPr>
                <w:rFonts w:ascii="Arial" w:eastAsia="Times New Roman" w:hAnsi="Arial" w:cs="Arial"/>
                <w:kern w:val="24"/>
                <w:sz w:val="20"/>
                <w:szCs w:val="20"/>
                <w:lang w:val="en-GB"/>
              </w:rPr>
              <w:t>(50%)</w:t>
            </w:r>
          </w:p>
        </w:tc>
      </w:tr>
      <w:tr w:rsidR="00881DDD" w:rsidRPr="0030354F" w:rsidTr="00881DDD">
        <w:trPr>
          <w:trHeight w:val="550"/>
        </w:trPr>
        <w:tc>
          <w:tcPr>
            <w:tcW w:w="311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b/>
                <w:sz w:val="20"/>
                <w:szCs w:val="20"/>
                <w:lang w:val="en-US"/>
              </w:rPr>
            </w:pPr>
            <w:r w:rsidRPr="0030354F">
              <w:rPr>
                <w:rFonts w:ascii="Arial" w:eastAsia="Arial" w:hAnsi="Arial" w:cs="Arial"/>
                <w:b/>
                <w:bCs/>
                <w:smallCaps/>
                <w:kern w:val="24"/>
                <w:sz w:val="20"/>
                <w:szCs w:val="20"/>
              </w:rPr>
              <w:t> </w:t>
            </w:r>
          </w:p>
          <w:p w:rsidR="00881DDD" w:rsidRPr="0030354F" w:rsidRDefault="00881DDD" w:rsidP="0030354F">
            <w:pPr>
              <w:spacing w:after="0" w:line="240" w:lineRule="auto"/>
              <w:contextualSpacing/>
              <w:rPr>
                <w:rFonts w:ascii="Arial" w:eastAsia="Times New Roman" w:hAnsi="Arial" w:cs="Arial"/>
                <w:b/>
                <w:sz w:val="20"/>
                <w:szCs w:val="20"/>
                <w:lang w:val="en-US"/>
              </w:rPr>
            </w:pPr>
            <w:r w:rsidRPr="0030354F">
              <w:rPr>
                <w:rFonts w:ascii="Arial" w:eastAsia="Arial" w:hAnsi="Arial" w:cs="Arial"/>
                <w:b/>
                <w:bCs/>
                <w:smallCaps/>
                <w:kern w:val="24"/>
                <w:sz w:val="20"/>
                <w:szCs w:val="20"/>
              </w:rPr>
              <w:t> Total</w:t>
            </w:r>
          </w:p>
        </w:tc>
        <w:tc>
          <w:tcPr>
            <w:tcW w:w="119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b/>
                <w:sz w:val="20"/>
                <w:szCs w:val="20"/>
                <w:lang w:val="en-US"/>
              </w:rPr>
            </w:pPr>
            <w:r w:rsidRPr="0030354F">
              <w:rPr>
                <w:rFonts w:ascii="Arial" w:eastAsia="Times New Roman" w:hAnsi="Arial" w:cs="Arial"/>
                <w:b/>
                <w:kern w:val="24"/>
                <w:sz w:val="20"/>
                <w:szCs w:val="20"/>
                <w:lang w:val="en-GB"/>
              </w:rPr>
              <w:t>24</w:t>
            </w:r>
          </w:p>
        </w:tc>
        <w:tc>
          <w:tcPr>
            <w:tcW w:w="153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b/>
                <w:sz w:val="20"/>
                <w:szCs w:val="20"/>
                <w:lang w:val="en-US"/>
              </w:rPr>
            </w:pPr>
            <w:r w:rsidRPr="0030354F">
              <w:rPr>
                <w:rFonts w:ascii="Arial" w:eastAsia="Times New Roman" w:hAnsi="Arial" w:cs="Arial"/>
                <w:b/>
                <w:kern w:val="24"/>
                <w:sz w:val="20"/>
                <w:szCs w:val="20"/>
                <w:lang w:val="en-GB"/>
              </w:rPr>
              <w:t>25</w:t>
            </w:r>
          </w:p>
        </w:tc>
        <w:tc>
          <w:tcPr>
            <w:tcW w:w="189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b/>
                <w:sz w:val="20"/>
                <w:szCs w:val="20"/>
                <w:lang w:val="en-US"/>
              </w:rPr>
            </w:pPr>
            <w:r w:rsidRPr="0030354F">
              <w:rPr>
                <w:rFonts w:ascii="Arial" w:eastAsia="Times New Roman" w:hAnsi="Arial" w:cs="Arial"/>
                <w:b/>
                <w:kern w:val="24"/>
                <w:sz w:val="20"/>
                <w:szCs w:val="20"/>
                <w:lang w:val="en-GB"/>
              </w:rPr>
              <w:t>15</w:t>
            </w:r>
          </w:p>
          <w:p w:rsidR="00881DDD" w:rsidRPr="0030354F" w:rsidRDefault="00881DDD" w:rsidP="0030354F">
            <w:pPr>
              <w:spacing w:after="0" w:line="240" w:lineRule="auto"/>
              <w:contextualSpacing/>
              <w:rPr>
                <w:rFonts w:ascii="Arial" w:eastAsia="Times New Roman" w:hAnsi="Arial" w:cs="Arial"/>
                <w:b/>
                <w:sz w:val="20"/>
                <w:szCs w:val="20"/>
                <w:lang w:val="en-US"/>
              </w:rPr>
            </w:pPr>
            <w:r w:rsidRPr="0030354F">
              <w:rPr>
                <w:rFonts w:ascii="Arial" w:eastAsia="Times New Roman" w:hAnsi="Arial" w:cs="Arial"/>
                <w:b/>
                <w:kern w:val="24"/>
                <w:sz w:val="20"/>
                <w:szCs w:val="20"/>
                <w:lang w:val="en-GB"/>
              </w:rPr>
              <w:t>(60%)</w:t>
            </w:r>
          </w:p>
        </w:tc>
        <w:tc>
          <w:tcPr>
            <w:tcW w:w="12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5" w:type="dxa"/>
              <w:left w:w="15" w:type="dxa"/>
              <w:bottom w:w="0" w:type="dxa"/>
              <w:right w:w="15" w:type="dxa"/>
            </w:tcMar>
            <w:hideMark/>
          </w:tcPr>
          <w:p w:rsidR="00881DDD" w:rsidRPr="0030354F" w:rsidRDefault="00881DDD" w:rsidP="0030354F">
            <w:pPr>
              <w:spacing w:after="0" w:line="240" w:lineRule="auto"/>
              <w:contextualSpacing/>
              <w:rPr>
                <w:rFonts w:ascii="Arial" w:eastAsia="Times New Roman" w:hAnsi="Arial" w:cs="Arial"/>
                <w:b/>
                <w:sz w:val="20"/>
                <w:szCs w:val="20"/>
                <w:lang w:val="en-US"/>
              </w:rPr>
            </w:pPr>
            <w:r w:rsidRPr="0030354F">
              <w:rPr>
                <w:rFonts w:ascii="Arial" w:eastAsia="Times New Roman" w:hAnsi="Arial" w:cs="Arial"/>
                <w:b/>
                <w:kern w:val="24"/>
                <w:sz w:val="20"/>
                <w:szCs w:val="20"/>
                <w:lang w:val="en-GB"/>
              </w:rPr>
              <w:t>10</w:t>
            </w:r>
          </w:p>
          <w:p w:rsidR="00881DDD" w:rsidRPr="0030354F" w:rsidRDefault="00881DDD" w:rsidP="0030354F">
            <w:pPr>
              <w:spacing w:after="0" w:line="240" w:lineRule="auto"/>
              <w:contextualSpacing/>
              <w:rPr>
                <w:rFonts w:ascii="Arial" w:eastAsia="Times New Roman" w:hAnsi="Arial" w:cs="Arial"/>
                <w:b/>
                <w:sz w:val="20"/>
                <w:szCs w:val="20"/>
                <w:lang w:val="en-US"/>
              </w:rPr>
            </w:pPr>
            <w:r w:rsidRPr="0030354F">
              <w:rPr>
                <w:rFonts w:ascii="Arial" w:eastAsia="Times New Roman" w:hAnsi="Arial" w:cs="Arial"/>
                <w:b/>
                <w:kern w:val="24"/>
                <w:sz w:val="20"/>
                <w:szCs w:val="20"/>
                <w:lang w:val="en-GB"/>
              </w:rPr>
              <w:t>(40%)</w:t>
            </w:r>
          </w:p>
        </w:tc>
      </w:tr>
    </w:tbl>
    <w:p w:rsidR="00ED7B98" w:rsidRPr="0030354F" w:rsidRDefault="00ED7B98" w:rsidP="0030354F">
      <w:pPr>
        <w:spacing w:after="0" w:line="240" w:lineRule="auto"/>
        <w:contextualSpacing/>
        <w:rPr>
          <w:rFonts w:ascii="Arial" w:hAnsi="Arial" w:cs="Arial"/>
          <w:b/>
          <w:sz w:val="20"/>
          <w:szCs w:val="20"/>
        </w:rPr>
      </w:pPr>
      <w:r w:rsidRPr="0030354F">
        <w:rPr>
          <w:rFonts w:ascii="Arial" w:hAnsi="Arial" w:cs="Arial"/>
          <w:b/>
          <w:sz w:val="20"/>
          <w:szCs w:val="20"/>
        </w:rPr>
        <w:t>Source: DSBD Annual Report (202</w:t>
      </w:r>
      <w:r w:rsidR="00881DDD" w:rsidRPr="0030354F">
        <w:rPr>
          <w:rFonts w:ascii="Arial" w:hAnsi="Arial" w:cs="Arial"/>
          <w:b/>
          <w:sz w:val="20"/>
          <w:szCs w:val="20"/>
        </w:rPr>
        <w:t>1/22</w:t>
      </w:r>
      <w:r w:rsidRPr="0030354F">
        <w:rPr>
          <w:rFonts w:ascii="Arial" w:hAnsi="Arial" w:cs="Arial"/>
          <w:b/>
          <w:sz w:val="20"/>
          <w:szCs w:val="20"/>
        </w:rPr>
        <w:t>)</w:t>
      </w:r>
    </w:p>
    <w:p w:rsidR="00B2383D" w:rsidRPr="0030354F" w:rsidRDefault="00B2383D" w:rsidP="0030354F">
      <w:pPr>
        <w:autoSpaceDE w:val="0"/>
        <w:autoSpaceDN w:val="0"/>
        <w:adjustRightInd w:val="0"/>
        <w:spacing w:after="0" w:line="240" w:lineRule="auto"/>
        <w:contextualSpacing/>
        <w:rPr>
          <w:rFonts w:ascii="Arial" w:hAnsi="Arial" w:cs="Arial"/>
          <w:b/>
          <w:bCs/>
          <w:sz w:val="20"/>
          <w:szCs w:val="20"/>
        </w:rPr>
      </w:pPr>
    </w:p>
    <w:p w:rsidR="00ED7B98" w:rsidRPr="0030354F" w:rsidRDefault="00ED7B98" w:rsidP="0030354F">
      <w:pPr>
        <w:autoSpaceDE w:val="0"/>
        <w:autoSpaceDN w:val="0"/>
        <w:adjustRightInd w:val="0"/>
        <w:spacing w:after="0" w:line="240" w:lineRule="auto"/>
        <w:contextualSpacing/>
        <w:rPr>
          <w:rFonts w:ascii="Arial" w:hAnsi="Arial" w:cs="Arial"/>
          <w:b/>
          <w:bCs/>
          <w:sz w:val="20"/>
          <w:szCs w:val="20"/>
        </w:rPr>
      </w:pPr>
      <w:r w:rsidRPr="0030354F">
        <w:rPr>
          <w:rFonts w:ascii="Arial" w:hAnsi="Arial" w:cs="Arial"/>
          <w:b/>
          <w:bCs/>
          <w:sz w:val="20"/>
          <w:szCs w:val="20"/>
        </w:rPr>
        <w:t>4.1</w:t>
      </w:r>
      <w:r w:rsidR="008E0CD5" w:rsidRPr="0030354F">
        <w:rPr>
          <w:rFonts w:ascii="Arial" w:hAnsi="Arial" w:cs="Arial"/>
          <w:b/>
          <w:bCs/>
          <w:sz w:val="20"/>
          <w:szCs w:val="20"/>
        </w:rPr>
        <w:t>.1</w:t>
      </w:r>
      <w:r w:rsidRPr="0030354F">
        <w:rPr>
          <w:rFonts w:ascii="Arial" w:hAnsi="Arial" w:cs="Arial"/>
          <w:b/>
          <w:bCs/>
          <w:sz w:val="20"/>
          <w:szCs w:val="20"/>
        </w:rPr>
        <w:tab/>
        <w:t>Programme One: Administration</w:t>
      </w:r>
    </w:p>
    <w:p w:rsidR="00CD7683" w:rsidRPr="0030354F" w:rsidRDefault="00ED7B98"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rPr>
        <w:t>The programme is responsible for the provision of strategic leadership, management and support services to the Minister, Director</w:t>
      </w:r>
      <w:r w:rsidR="00C310FB" w:rsidRPr="0030354F">
        <w:rPr>
          <w:rFonts w:ascii="Arial" w:hAnsi="Arial" w:cs="Arial"/>
          <w:sz w:val="20"/>
          <w:szCs w:val="20"/>
        </w:rPr>
        <w:t>-General, the Department and</w:t>
      </w:r>
      <w:r w:rsidRPr="0030354F">
        <w:rPr>
          <w:rFonts w:ascii="Arial" w:hAnsi="Arial" w:cs="Arial"/>
          <w:sz w:val="20"/>
          <w:szCs w:val="20"/>
        </w:rPr>
        <w:t xml:space="preserve"> entities. </w:t>
      </w:r>
      <w:r w:rsidR="00CD7683" w:rsidRPr="0030354F">
        <w:rPr>
          <w:rFonts w:ascii="Arial" w:hAnsi="Arial" w:cs="Arial"/>
          <w:sz w:val="20"/>
          <w:szCs w:val="20"/>
        </w:rPr>
        <w:t>During the year under review, Programme One registered significant achievement on a number of targets. The Department achieved an unqualified audit opinion on the nonfinancial performance information and Annual Financial Statements for the 2020/21 financial year. Public engagements, which were implemented in District Municipalities, formed core of the DSBD and its agencies’ programmes as the Department far exceeded this target by 58 engagements. The Department further developed a base control system to ensure singular applications and incorporate both international and local platforms. These achievements were registered as part of Phase three database – key trade exchange platform integrated and enhanced reporting implemented. Despite the challenges experienced by the Department in achieving at least 50% female SMS representation due to resignations of female SMS members and appointments of male SMS members, the Department managed to overachieve on the target of representation of PWDs. The Department is working towards a recruitment plan that will assist in going back to maintaining at least 50% female SMS representation.</w:t>
      </w:r>
    </w:p>
    <w:p w:rsidR="00CD7683" w:rsidRPr="0030354F" w:rsidRDefault="00CD7683" w:rsidP="0030354F">
      <w:pPr>
        <w:autoSpaceDE w:val="0"/>
        <w:autoSpaceDN w:val="0"/>
        <w:adjustRightInd w:val="0"/>
        <w:spacing w:after="0" w:line="240" w:lineRule="auto"/>
        <w:contextualSpacing/>
        <w:rPr>
          <w:rFonts w:ascii="Arial" w:hAnsi="Arial" w:cs="Arial"/>
          <w:sz w:val="20"/>
          <w:szCs w:val="20"/>
        </w:rPr>
      </w:pPr>
    </w:p>
    <w:p w:rsidR="007D7448" w:rsidRPr="0030354F" w:rsidRDefault="007D7448" w:rsidP="0030354F">
      <w:pPr>
        <w:autoSpaceDE w:val="0"/>
        <w:autoSpaceDN w:val="0"/>
        <w:adjustRightInd w:val="0"/>
        <w:spacing w:after="0" w:line="240" w:lineRule="auto"/>
        <w:contextualSpacing/>
        <w:rPr>
          <w:rFonts w:ascii="Arial" w:hAnsi="Arial" w:cs="Arial"/>
          <w:b/>
          <w:bCs/>
          <w:sz w:val="20"/>
          <w:szCs w:val="20"/>
        </w:rPr>
      </w:pPr>
      <w:r w:rsidRPr="0030354F">
        <w:rPr>
          <w:rFonts w:ascii="Arial" w:hAnsi="Arial" w:cs="Arial"/>
          <w:b/>
          <w:bCs/>
          <w:sz w:val="20"/>
          <w:szCs w:val="20"/>
        </w:rPr>
        <w:t>4.</w:t>
      </w:r>
      <w:r w:rsidR="008E0CD5" w:rsidRPr="0030354F">
        <w:rPr>
          <w:rFonts w:ascii="Arial" w:hAnsi="Arial" w:cs="Arial"/>
          <w:b/>
          <w:bCs/>
          <w:sz w:val="20"/>
          <w:szCs w:val="20"/>
        </w:rPr>
        <w:t>1.2</w:t>
      </w:r>
      <w:r w:rsidRPr="0030354F">
        <w:rPr>
          <w:rFonts w:ascii="Arial" w:hAnsi="Arial" w:cs="Arial"/>
          <w:b/>
          <w:bCs/>
          <w:sz w:val="20"/>
          <w:szCs w:val="20"/>
        </w:rPr>
        <w:tab/>
        <w:t xml:space="preserve">Programme Two: Sector </w:t>
      </w:r>
      <w:r w:rsidR="009904A2" w:rsidRPr="0030354F">
        <w:rPr>
          <w:rFonts w:ascii="Arial" w:hAnsi="Arial" w:cs="Arial"/>
          <w:b/>
          <w:bCs/>
          <w:sz w:val="20"/>
          <w:szCs w:val="20"/>
        </w:rPr>
        <w:t>and Market Development</w:t>
      </w:r>
    </w:p>
    <w:p w:rsidR="00CD7683" w:rsidRPr="0030354F" w:rsidRDefault="009904A2"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lang w:val="en-US"/>
        </w:rPr>
        <w:t xml:space="preserve">The purpose of the programme is to facilitate and increase access to markets for SMMEs through business information, product development support and value chain integration. </w:t>
      </w:r>
      <w:r w:rsidR="00CD7683" w:rsidRPr="0030354F">
        <w:rPr>
          <w:rFonts w:ascii="Arial" w:hAnsi="Arial" w:cs="Arial"/>
          <w:sz w:val="20"/>
          <w:szCs w:val="20"/>
        </w:rPr>
        <w:t>The annual target of 250 products has been overachieved, with the Department introducing a total of 288 products to market for this financial year. Relationships have been established with key private sector partners and the Department continues to monitor the supply and demand side of products and services produced and rendered by SMMEs and Co-operatives. The target of 200 businesses exposed to international markets in the financial year 2021/22 has been overachieved. An annual total of 242 businesses were exposed during the 2021/22 financial year. It should be noted that since the 2020 lockdown, exposing businesses to international market opportunities was an impossible target to meet. The SBD Portfolio commenced with participating in virtual sessions to facilitate exposure to businesses that may not have necessarily qualified due to not being export ready. This initiative, together with the few face-to-face exposure engagements, greatly assisted in achieving this significant milestone of 242.</w:t>
      </w:r>
    </w:p>
    <w:p w:rsidR="00CD7683" w:rsidRPr="0030354F" w:rsidRDefault="00CD7683" w:rsidP="0030354F">
      <w:pPr>
        <w:autoSpaceDE w:val="0"/>
        <w:autoSpaceDN w:val="0"/>
        <w:adjustRightInd w:val="0"/>
        <w:spacing w:after="0" w:line="240" w:lineRule="auto"/>
        <w:contextualSpacing/>
        <w:rPr>
          <w:rFonts w:ascii="Arial" w:hAnsi="Arial" w:cs="Arial"/>
          <w:sz w:val="20"/>
          <w:szCs w:val="20"/>
        </w:rPr>
      </w:pPr>
    </w:p>
    <w:p w:rsidR="006A1CF0" w:rsidRPr="0030354F" w:rsidRDefault="006A1CF0" w:rsidP="0030354F">
      <w:pPr>
        <w:pStyle w:val="ListParagraph"/>
        <w:numPr>
          <w:ilvl w:val="2"/>
          <w:numId w:val="23"/>
        </w:numPr>
        <w:autoSpaceDE w:val="0"/>
        <w:autoSpaceDN w:val="0"/>
        <w:adjustRightInd w:val="0"/>
        <w:rPr>
          <w:rFonts w:ascii="Arial" w:hAnsi="Arial" w:cs="Arial"/>
          <w:b/>
          <w:bCs/>
          <w:sz w:val="20"/>
          <w:szCs w:val="20"/>
        </w:rPr>
      </w:pPr>
      <w:r w:rsidRPr="0030354F">
        <w:rPr>
          <w:rFonts w:ascii="Arial" w:hAnsi="Arial" w:cs="Arial"/>
          <w:b/>
          <w:bCs/>
          <w:sz w:val="20"/>
          <w:szCs w:val="20"/>
        </w:rPr>
        <w:t xml:space="preserve">Programme Three: </w:t>
      </w:r>
      <w:r w:rsidR="009904A2" w:rsidRPr="0030354F">
        <w:rPr>
          <w:rFonts w:ascii="Arial" w:hAnsi="Arial" w:cs="Arial"/>
          <w:b/>
          <w:bCs/>
          <w:sz w:val="20"/>
          <w:szCs w:val="20"/>
        </w:rPr>
        <w:t>Development Finance</w:t>
      </w:r>
    </w:p>
    <w:p w:rsidR="00F74DA3" w:rsidRPr="0030354F" w:rsidRDefault="00B706ED" w:rsidP="0030354F">
      <w:pPr>
        <w:spacing w:after="0" w:line="240" w:lineRule="auto"/>
        <w:contextualSpacing/>
        <w:rPr>
          <w:rFonts w:ascii="Arial" w:hAnsi="Arial" w:cs="Arial"/>
          <w:sz w:val="20"/>
          <w:szCs w:val="20"/>
        </w:rPr>
      </w:pPr>
      <w:r w:rsidRPr="0030354F">
        <w:rPr>
          <w:rFonts w:ascii="Arial" w:hAnsi="Arial" w:cs="Arial"/>
          <w:sz w:val="20"/>
          <w:szCs w:val="20"/>
        </w:rPr>
        <w:t>The</w:t>
      </w:r>
      <w:r w:rsidR="00731416" w:rsidRPr="0030354F">
        <w:rPr>
          <w:rFonts w:ascii="Arial" w:hAnsi="Arial" w:cs="Arial"/>
          <w:sz w:val="20"/>
          <w:szCs w:val="20"/>
        </w:rPr>
        <w:t xml:space="preserve"> aim of the programme is to expand access to finance for SMMEs and Co-operatives through innovative service offerings. During the period under consideration the Department supported 953 Crafters through the Craft Customised Sector Programme against the planned target of 800.  Further to this, significant overachievement was recorded on start-up youth businesses supported financially and non-financially and competitive SMMEs and Co-operatives supported targets that have been overachieved by more than double the target that was set for each. There are inherent challenges in supporting the youth, women-owned, and businesses owned by PWDs such as lack of collateral. The </w:t>
      </w:r>
      <w:r w:rsidR="00731416" w:rsidRPr="0030354F">
        <w:rPr>
          <w:rFonts w:ascii="Arial" w:hAnsi="Arial" w:cs="Arial"/>
          <w:sz w:val="20"/>
          <w:szCs w:val="20"/>
        </w:rPr>
        <w:lastRenderedPageBreak/>
        <w:t xml:space="preserve">support provided under Programme Three toward the start-up youth businesses is one of the initiatives that seeks to curb some of these challenges. </w:t>
      </w:r>
    </w:p>
    <w:p w:rsidR="00F74DA3" w:rsidRPr="0030354F" w:rsidRDefault="00F74DA3" w:rsidP="0030354F">
      <w:pPr>
        <w:spacing w:after="0" w:line="240" w:lineRule="auto"/>
        <w:contextualSpacing/>
        <w:rPr>
          <w:rFonts w:ascii="Arial" w:hAnsi="Arial" w:cs="Arial"/>
          <w:sz w:val="20"/>
          <w:szCs w:val="20"/>
        </w:rPr>
      </w:pPr>
    </w:p>
    <w:p w:rsidR="00B706ED" w:rsidRPr="0030354F" w:rsidRDefault="002E3E94" w:rsidP="0030354F">
      <w:pPr>
        <w:spacing w:after="0" w:line="240" w:lineRule="auto"/>
        <w:contextualSpacing/>
        <w:rPr>
          <w:rFonts w:ascii="Arial" w:hAnsi="Arial" w:cs="Arial"/>
          <w:sz w:val="20"/>
          <w:szCs w:val="20"/>
        </w:rPr>
      </w:pPr>
      <w:r w:rsidRPr="0030354F">
        <w:rPr>
          <w:rFonts w:ascii="Arial" w:hAnsi="Arial" w:cs="Arial"/>
          <w:sz w:val="20"/>
          <w:szCs w:val="20"/>
        </w:rPr>
        <w:t>On areas of underperformance under this programme t</w:t>
      </w:r>
      <w:r w:rsidR="00731416" w:rsidRPr="0030354F">
        <w:rPr>
          <w:rFonts w:ascii="Arial" w:hAnsi="Arial" w:cs="Arial"/>
          <w:sz w:val="20"/>
          <w:szCs w:val="20"/>
        </w:rPr>
        <w:t xml:space="preserve">he Department is </w:t>
      </w:r>
      <w:r w:rsidRPr="0030354F">
        <w:rPr>
          <w:rFonts w:ascii="Arial" w:hAnsi="Arial" w:cs="Arial"/>
          <w:sz w:val="20"/>
          <w:szCs w:val="20"/>
        </w:rPr>
        <w:t>accelerating finalisation of the</w:t>
      </w:r>
      <w:r w:rsidR="00731416" w:rsidRPr="0030354F">
        <w:rPr>
          <w:rFonts w:ascii="Arial" w:hAnsi="Arial" w:cs="Arial"/>
          <w:sz w:val="20"/>
          <w:szCs w:val="20"/>
        </w:rPr>
        <w:t xml:space="preserve"> SMMEs and Co-operatives Fundin</w:t>
      </w:r>
      <w:r w:rsidRPr="0030354F">
        <w:rPr>
          <w:rFonts w:ascii="Arial" w:hAnsi="Arial" w:cs="Arial"/>
          <w:sz w:val="20"/>
          <w:szCs w:val="20"/>
        </w:rPr>
        <w:t xml:space="preserve">g Policy. </w:t>
      </w:r>
      <w:r w:rsidR="00B706ED" w:rsidRPr="0030354F">
        <w:rPr>
          <w:rFonts w:ascii="Arial" w:eastAsiaTheme="minorEastAsia" w:hAnsi="Arial" w:cs="Arial"/>
          <w:kern w:val="24"/>
          <w:sz w:val="20"/>
          <w:szCs w:val="20"/>
        </w:rPr>
        <w:t xml:space="preserve">Also, </w:t>
      </w:r>
      <w:r w:rsidRPr="0030354F">
        <w:rPr>
          <w:rFonts w:ascii="Arial" w:eastAsiaTheme="minorEastAsia" w:hAnsi="Arial" w:cs="Arial"/>
          <w:kern w:val="24"/>
          <w:sz w:val="20"/>
          <w:szCs w:val="20"/>
        </w:rPr>
        <w:t>the</w:t>
      </w:r>
      <w:r w:rsidR="00B706ED" w:rsidRPr="0030354F">
        <w:rPr>
          <w:rFonts w:ascii="Arial" w:eastAsiaTheme="minorEastAsia" w:hAnsi="Arial" w:cs="Arial"/>
          <w:kern w:val="24"/>
          <w:sz w:val="20"/>
          <w:szCs w:val="20"/>
        </w:rPr>
        <w:t xml:space="preserve"> number of Co-operatives supported to the value of R13 million while the target was R89 million points to a policy </w:t>
      </w:r>
      <w:r w:rsidRPr="0030354F">
        <w:rPr>
          <w:rFonts w:ascii="Arial" w:eastAsiaTheme="minorEastAsia" w:hAnsi="Arial" w:cs="Arial"/>
          <w:kern w:val="24"/>
          <w:sz w:val="20"/>
          <w:szCs w:val="20"/>
        </w:rPr>
        <w:t>incongruity</w:t>
      </w:r>
      <w:r w:rsidR="00B706ED" w:rsidRPr="0030354F">
        <w:rPr>
          <w:rFonts w:ascii="Arial" w:eastAsiaTheme="minorEastAsia" w:hAnsi="Arial" w:cs="Arial"/>
          <w:kern w:val="24"/>
          <w:sz w:val="20"/>
          <w:szCs w:val="20"/>
        </w:rPr>
        <w:t xml:space="preserve"> on co-operatives development that requires urgent intervention. </w:t>
      </w:r>
      <w:r w:rsidR="00B706ED" w:rsidRPr="0030354F">
        <w:rPr>
          <w:rFonts w:ascii="Arial" w:hAnsi="Arial" w:cs="Arial"/>
          <w:sz w:val="20"/>
          <w:szCs w:val="20"/>
        </w:rPr>
        <w:t xml:space="preserve">The Committee remains of the view that the phasing out of Co-operatives Incentive Scheme (CIS) in favour of concessional loans, blended financing, </w:t>
      </w:r>
      <w:r w:rsidRPr="0030354F">
        <w:rPr>
          <w:rFonts w:ascii="Arial" w:hAnsi="Arial" w:cs="Arial"/>
          <w:sz w:val="20"/>
          <w:szCs w:val="20"/>
        </w:rPr>
        <w:t xml:space="preserve">income-contingent </w:t>
      </w:r>
      <w:r w:rsidR="00B706ED" w:rsidRPr="0030354F">
        <w:rPr>
          <w:rFonts w:ascii="Arial" w:hAnsi="Arial" w:cs="Arial"/>
          <w:sz w:val="20"/>
          <w:szCs w:val="20"/>
        </w:rPr>
        <w:t>repayments, instalment relief and/or payment holidays to name the few</w:t>
      </w:r>
      <w:r w:rsidRPr="0030354F">
        <w:rPr>
          <w:rFonts w:ascii="Arial" w:hAnsi="Arial" w:cs="Arial"/>
          <w:sz w:val="20"/>
          <w:szCs w:val="20"/>
        </w:rPr>
        <w:t xml:space="preserve"> may have been introduced in good faith but premature</w:t>
      </w:r>
      <w:r w:rsidR="00B706ED" w:rsidRPr="0030354F">
        <w:rPr>
          <w:rFonts w:ascii="Arial" w:hAnsi="Arial" w:cs="Arial"/>
          <w:sz w:val="20"/>
          <w:szCs w:val="20"/>
        </w:rPr>
        <w:t>.</w:t>
      </w:r>
      <w:r w:rsidR="00F74DA3" w:rsidRPr="0030354F">
        <w:rPr>
          <w:rFonts w:ascii="Arial" w:hAnsi="Arial" w:cs="Arial"/>
          <w:sz w:val="20"/>
          <w:szCs w:val="20"/>
        </w:rPr>
        <w:t xml:space="preserve"> Co-operatives are social enterprises which service their members. Members reinvest most, if not all of their surplus into the co-operative. They should not therefore be treated as enterprises for gain.</w:t>
      </w:r>
    </w:p>
    <w:p w:rsidR="00B706ED" w:rsidRPr="0030354F" w:rsidRDefault="00B706ED" w:rsidP="0030354F">
      <w:pPr>
        <w:spacing w:after="0" w:line="240" w:lineRule="auto"/>
        <w:contextualSpacing/>
        <w:rPr>
          <w:rFonts w:ascii="Arial" w:hAnsi="Arial" w:cs="Arial"/>
          <w:sz w:val="20"/>
          <w:szCs w:val="20"/>
        </w:rPr>
      </w:pPr>
    </w:p>
    <w:p w:rsidR="00965F8E" w:rsidRPr="0030354F" w:rsidRDefault="00965F8E" w:rsidP="0030354F">
      <w:pPr>
        <w:autoSpaceDE w:val="0"/>
        <w:autoSpaceDN w:val="0"/>
        <w:adjustRightInd w:val="0"/>
        <w:spacing w:after="0" w:line="240" w:lineRule="auto"/>
        <w:contextualSpacing/>
        <w:rPr>
          <w:rFonts w:ascii="Arial" w:hAnsi="Arial" w:cs="Arial"/>
          <w:b/>
          <w:bCs/>
          <w:sz w:val="20"/>
          <w:szCs w:val="20"/>
        </w:rPr>
      </w:pPr>
      <w:r w:rsidRPr="0030354F">
        <w:rPr>
          <w:rFonts w:ascii="Arial" w:hAnsi="Arial" w:cs="Arial"/>
          <w:b/>
          <w:bCs/>
          <w:sz w:val="20"/>
          <w:szCs w:val="20"/>
        </w:rPr>
        <w:t>4.</w:t>
      </w:r>
      <w:r w:rsidR="008E0CD5" w:rsidRPr="0030354F">
        <w:rPr>
          <w:rFonts w:ascii="Arial" w:hAnsi="Arial" w:cs="Arial"/>
          <w:b/>
          <w:bCs/>
          <w:sz w:val="20"/>
          <w:szCs w:val="20"/>
        </w:rPr>
        <w:t>1.</w:t>
      </w:r>
      <w:r w:rsidRPr="0030354F">
        <w:rPr>
          <w:rFonts w:ascii="Arial" w:hAnsi="Arial" w:cs="Arial"/>
          <w:b/>
          <w:bCs/>
          <w:sz w:val="20"/>
          <w:szCs w:val="20"/>
        </w:rPr>
        <w:t>4</w:t>
      </w:r>
      <w:r w:rsidRPr="0030354F">
        <w:rPr>
          <w:rFonts w:ascii="Arial" w:hAnsi="Arial" w:cs="Arial"/>
          <w:b/>
          <w:bCs/>
          <w:sz w:val="20"/>
          <w:szCs w:val="20"/>
        </w:rPr>
        <w:tab/>
        <w:t xml:space="preserve">Programme Four: </w:t>
      </w:r>
      <w:r w:rsidR="00EB47AE" w:rsidRPr="0030354F">
        <w:rPr>
          <w:rFonts w:ascii="Arial" w:hAnsi="Arial" w:cs="Arial"/>
          <w:b/>
          <w:bCs/>
          <w:sz w:val="20"/>
          <w:szCs w:val="20"/>
        </w:rPr>
        <w:t xml:space="preserve">Enterprise Development </w:t>
      </w:r>
    </w:p>
    <w:p w:rsidR="00B706ED" w:rsidRPr="0030354F" w:rsidRDefault="00B706ED"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rPr>
        <w:t xml:space="preserve">The objective of the programme is to oversee the promotion of an ecosystem that enhances entrepreneurship and the establishment, growth and sustainability of small businesses and Co-operatives as well as coordinating business development support interventions across various spheres of government. One of the key milestone achieved under this programme was the finalisation and submission to the Minister of the </w:t>
      </w:r>
      <w:r w:rsidRPr="0030354F">
        <w:rPr>
          <w:rFonts w:ascii="Arial" w:eastAsiaTheme="minorEastAsia" w:hAnsi="Arial" w:cs="Arial"/>
          <w:kern w:val="24"/>
          <w:sz w:val="20"/>
          <w:szCs w:val="20"/>
        </w:rPr>
        <w:t xml:space="preserve">National Integrated Small Enterprise Development Masterplan for Cabinet approval. However, the Department concedes that some of important pieces of legislations i.e. Business Amendment Bill, National Small Enterprise Amendment Bill </w:t>
      </w:r>
      <w:r w:rsidRPr="0030354F">
        <w:rPr>
          <w:rFonts w:ascii="Arial" w:hAnsi="Arial" w:cs="Arial"/>
          <w:sz w:val="20"/>
          <w:szCs w:val="20"/>
        </w:rPr>
        <w:t xml:space="preserve">which includes the establishment of the Small Enterprise Ombud Service and relooking </w:t>
      </w:r>
      <w:r w:rsidR="00F74DA3" w:rsidRPr="0030354F">
        <w:rPr>
          <w:rFonts w:ascii="Arial" w:hAnsi="Arial" w:cs="Arial"/>
          <w:sz w:val="20"/>
          <w:szCs w:val="20"/>
        </w:rPr>
        <w:t xml:space="preserve">at </w:t>
      </w:r>
      <w:r w:rsidRPr="0030354F">
        <w:rPr>
          <w:rFonts w:ascii="Arial" w:hAnsi="Arial" w:cs="Arial"/>
          <w:sz w:val="20"/>
          <w:szCs w:val="20"/>
        </w:rPr>
        <w:t xml:space="preserve">the definition of SMME </w:t>
      </w:r>
      <w:r w:rsidR="00F74DA3" w:rsidRPr="0030354F">
        <w:rPr>
          <w:rFonts w:ascii="Arial" w:hAnsi="Arial" w:cs="Arial"/>
          <w:sz w:val="20"/>
          <w:szCs w:val="20"/>
        </w:rPr>
        <w:t>were not taken through Parliamentary processes.</w:t>
      </w:r>
      <w:r w:rsidRPr="0030354F">
        <w:rPr>
          <w:rFonts w:ascii="Arial" w:hAnsi="Arial" w:cs="Arial"/>
          <w:sz w:val="20"/>
          <w:szCs w:val="20"/>
        </w:rPr>
        <w:t xml:space="preserve"> </w:t>
      </w:r>
      <w:r w:rsidR="00F74DA3" w:rsidRPr="0030354F">
        <w:rPr>
          <w:rFonts w:ascii="Arial" w:hAnsi="Arial" w:cs="Arial"/>
          <w:sz w:val="20"/>
          <w:szCs w:val="20"/>
        </w:rPr>
        <w:t>It is also not likely that this target will be achieved during the current financial year due to a merger of Sefa, Seda and CBDA into a single entity under one legislation.</w:t>
      </w:r>
    </w:p>
    <w:p w:rsidR="00965F8E" w:rsidRPr="0030354F" w:rsidRDefault="00965F8E" w:rsidP="0030354F">
      <w:pPr>
        <w:autoSpaceDE w:val="0"/>
        <w:autoSpaceDN w:val="0"/>
        <w:adjustRightInd w:val="0"/>
        <w:spacing w:after="0" w:line="240" w:lineRule="auto"/>
        <w:contextualSpacing/>
        <w:rPr>
          <w:rFonts w:ascii="Arial" w:hAnsi="Arial" w:cs="Arial"/>
          <w:sz w:val="20"/>
          <w:szCs w:val="20"/>
        </w:rPr>
      </w:pPr>
    </w:p>
    <w:p w:rsidR="008E0CD5" w:rsidRPr="0030354F" w:rsidRDefault="008E0CD5" w:rsidP="0030354F">
      <w:pPr>
        <w:autoSpaceDE w:val="0"/>
        <w:autoSpaceDN w:val="0"/>
        <w:adjustRightInd w:val="0"/>
        <w:spacing w:after="0" w:line="240" w:lineRule="auto"/>
        <w:contextualSpacing/>
        <w:rPr>
          <w:rFonts w:ascii="Arial" w:hAnsi="Arial" w:cs="Arial"/>
          <w:b/>
          <w:sz w:val="20"/>
          <w:szCs w:val="20"/>
        </w:rPr>
      </w:pPr>
      <w:r w:rsidRPr="0030354F">
        <w:rPr>
          <w:rFonts w:ascii="Arial" w:hAnsi="Arial" w:cs="Arial"/>
          <w:b/>
          <w:sz w:val="20"/>
          <w:szCs w:val="20"/>
        </w:rPr>
        <w:t>4.2</w:t>
      </w:r>
      <w:r w:rsidRPr="0030354F">
        <w:rPr>
          <w:rFonts w:ascii="Arial" w:hAnsi="Arial" w:cs="Arial"/>
          <w:b/>
          <w:sz w:val="20"/>
          <w:szCs w:val="20"/>
        </w:rPr>
        <w:tab/>
        <w:t>Financial Performance Summary</w:t>
      </w:r>
    </w:p>
    <w:p w:rsidR="00512949" w:rsidRPr="0030354F" w:rsidRDefault="00512949"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rPr>
        <w:t xml:space="preserve">As illustrated in table 3 below, as of of 31 March 2022 the annual expenditure by the Department amounted to R2.613 billion against the final appropriation of R2.637 billion, reflecting a financial performance of 99 percent. The variance of R24 million was recorded with programme two contributing the largest portion of the overall underspending - compensation of employees underspent by R11.5 million due to vacancies, transfers contributed R4 million due to delays in the commencement of the Product Markets programme, whilst machinery and equipment underspent by R1 million due to supply chain challenges in the delivery of computer equipment. </w:t>
      </w:r>
      <w:r w:rsidRPr="0030354F">
        <w:rPr>
          <w:rFonts w:ascii="Arial" w:hAnsi="Arial" w:cs="Arial"/>
          <w:bCs/>
          <w:sz w:val="20"/>
          <w:szCs w:val="20"/>
        </w:rPr>
        <w:t xml:space="preserve">Other programmes that somewhat underspent were Development Finance at </w:t>
      </w:r>
      <w:r w:rsidRPr="0030354F">
        <w:rPr>
          <w:rFonts w:ascii="Arial" w:hAnsi="Arial" w:cs="Arial"/>
          <w:sz w:val="20"/>
          <w:szCs w:val="20"/>
        </w:rPr>
        <w:t xml:space="preserve">R2.8 million due to vacant posts amounting to R2.2 million and Customised Craft Sector Programme underspending by R380 thousand. While </w:t>
      </w:r>
      <w:r w:rsidRPr="0030354F">
        <w:rPr>
          <w:rFonts w:ascii="Arial" w:hAnsi="Arial" w:cs="Arial"/>
          <w:bCs/>
          <w:sz w:val="20"/>
          <w:szCs w:val="20"/>
        </w:rPr>
        <w:t>Enterprise Development fell short of exhausting its entire budget by</w:t>
      </w:r>
      <w:r w:rsidRPr="0030354F">
        <w:rPr>
          <w:rFonts w:ascii="Arial" w:hAnsi="Arial" w:cs="Arial"/>
          <w:sz w:val="20"/>
          <w:szCs w:val="20"/>
        </w:rPr>
        <w:t xml:space="preserve"> R2.6 million due to vacant posts. The Department received its maiden clean audit opinion during the 2021-22 financial period, with no material findings or adjustments on either the audit of performance information or the Annual Financial Statements. </w:t>
      </w:r>
    </w:p>
    <w:p w:rsidR="00454B17" w:rsidRPr="0030354F" w:rsidRDefault="00454B17" w:rsidP="0030354F">
      <w:pPr>
        <w:autoSpaceDE w:val="0"/>
        <w:autoSpaceDN w:val="0"/>
        <w:adjustRightInd w:val="0"/>
        <w:spacing w:after="0" w:line="240" w:lineRule="auto"/>
        <w:contextualSpacing/>
        <w:rPr>
          <w:rFonts w:ascii="Arial" w:hAnsi="Arial" w:cs="Arial"/>
          <w:sz w:val="20"/>
          <w:szCs w:val="20"/>
        </w:rPr>
      </w:pPr>
    </w:p>
    <w:p w:rsidR="001C5D9A" w:rsidRPr="0030354F" w:rsidRDefault="00E525B8" w:rsidP="0030354F">
      <w:pPr>
        <w:autoSpaceDE w:val="0"/>
        <w:autoSpaceDN w:val="0"/>
        <w:adjustRightInd w:val="0"/>
        <w:spacing w:after="0" w:line="240" w:lineRule="auto"/>
        <w:contextualSpacing/>
        <w:rPr>
          <w:rFonts w:ascii="Arial" w:hAnsi="Arial" w:cs="Arial"/>
          <w:b/>
          <w:sz w:val="20"/>
          <w:szCs w:val="20"/>
        </w:rPr>
      </w:pPr>
      <w:r w:rsidRPr="0030354F">
        <w:rPr>
          <w:rFonts w:ascii="Arial" w:hAnsi="Arial" w:cs="Arial"/>
          <w:b/>
          <w:sz w:val="20"/>
          <w:szCs w:val="20"/>
        </w:rPr>
        <w:t>Table 3</w:t>
      </w:r>
      <w:r w:rsidR="001C5D9A" w:rsidRPr="0030354F">
        <w:rPr>
          <w:rFonts w:ascii="Arial" w:hAnsi="Arial" w:cs="Arial"/>
          <w:b/>
          <w:sz w:val="20"/>
          <w:szCs w:val="20"/>
        </w:rPr>
        <w:t xml:space="preserve">: Financial Appropriation vs </w:t>
      </w:r>
      <w:r w:rsidR="00512949" w:rsidRPr="0030354F">
        <w:rPr>
          <w:rFonts w:ascii="Arial" w:hAnsi="Arial" w:cs="Arial"/>
          <w:b/>
          <w:sz w:val="20"/>
          <w:szCs w:val="20"/>
        </w:rPr>
        <w:t xml:space="preserve">Actual </w:t>
      </w:r>
      <w:r w:rsidR="001C5D9A" w:rsidRPr="0030354F">
        <w:rPr>
          <w:rFonts w:ascii="Arial" w:hAnsi="Arial" w:cs="Arial"/>
          <w:b/>
          <w:sz w:val="20"/>
          <w:szCs w:val="20"/>
        </w:rPr>
        <w:t>Expenditure</w:t>
      </w:r>
    </w:p>
    <w:tbl>
      <w:tblPr>
        <w:tblStyle w:val="TableGrid"/>
        <w:tblW w:w="9016" w:type="dxa"/>
        <w:tblLayout w:type="fixed"/>
        <w:tblLook w:val="04A0"/>
      </w:tblPr>
      <w:tblGrid>
        <w:gridCol w:w="1745"/>
        <w:gridCol w:w="1760"/>
        <w:gridCol w:w="1710"/>
        <w:gridCol w:w="1530"/>
        <w:gridCol w:w="1170"/>
        <w:gridCol w:w="1101"/>
      </w:tblGrid>
      <w:tr w:rsidR="001C5D9A" w:rsidRPr="0030354F" w:rsidTr="001C5D9A">
        <w:tc>
          <w:tcPr>
            <w:tcW w:w="1745" w:type="dxa"/>
            <w:vMerge w:val="restart"/>
            <w:shd w:val="clear" w:color="auto" w:fill="92D050"/>
          </w:tcPr>
          <w:p w:rsidR="001C5D9A" w:rsidRPr="0030354F" w:rsidRDefault="001C5D9A"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Programme</w:t>
            </w:r>
          </w:p>
        </w:tc>
        <w:tc>
          <w:tcPr>
            <w:tcW w:w="1760" w:type="dxa"/>
            <w:shd w:val="clear" w:color="auto" w:fill="92D050"/>
          </w:tcPr>
          <w:p w:rsidR="001C5D9A" w:rsidRPr="0030354F" w:rsidRDefault="001C5D9A"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Adjusted Appropriation</w:t>
            </w:r>
          </w:p>
        </w:tc>
        <w:tc>
          <w:tcPr>
            <w:tcW w:w="1710" w:type="dxa"/>
            <w:shd w:val="clear" w:color="auto" w:fill="92D050"/>
          </w:tcPr>
          <w:p w:rsidR="001C5D9A" w:rsidRPr="0030354F" w:rsidRDefault="001C5D9A"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Final Appropriation</w:t>
            </w:r>
          </w:p>
        </w:tc>
        <w:tc>
          <w:tcPr>
            <w:tcW w:w="1530" w:type="dxa"/>
            <w:shd w:val="clear" w:color="auto" w:fill="92D050"/>
          </w:tcPr>
          <w:p w:rsidR="001C5D9A" w:rsidRPr="0030354F" w:rsidRDefault="001C5D9A"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Actual Expenditure</w:t>
            </w:r>
          </w:p>
        </w:tc>
        <w:tc>
          <w:tcPr>
            <w:tcW w:w="1170" w:type="dxa"/>
            <w:shd w:val="clear" w:color="auto" w:fill="92D050"/>
          </w:tcPr>
          <w:p w:rsidR="001C5D9A" w:rsidRPr="0030354F" w:rsidRDefault="001C5D9A"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Variance</w:t>
            </w:r>
          </w:p>
        </w:tc>
        <w:tc>
          <w:tcPr>
            <w:tcW w:w="1101" w:type="dxa"/>
            <w:shd w:val="clear" w:color="auto" w:fill="92D050"/>
          </w:tcPr>
          <w:p w:rsidR="001C5D9A" w:rsidRPr="0030354F" w:rsidRDefault="001C5D9A"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Expenditure as a % of Final Appropriation</w:t>
            </w:r>
          </w:p>
        </w:tc>
      </w:tr>
      <w:tr w:rsidR="001C5D9A" w:rsidRPr="0030354F" w:rsidTr="001C5D9A">
        <w:tc>
          <w:tcPr>
            <w:tcW w:w="1745" w:type="dxa"/>
            <w:vMerge/>
            <w:shd w:val="clear" w:color="auto" w:fill="92D050"/>
          </w:tcPr>
          <w:p w:rsidR="001C5D9A" w:rsidRPr="0030354F" w:rsidRDefault="001C5D9A" w:rsidP="0030354F">
            <w:pPr>
              <w:autoSpaceDE w:val="0"/>
              <w:autoSpaceDN w:val="0"/>
              <w:adjustRightInd w:val="0"/>
              <w:contextualSpacing/>
              <w:rPr>
                <w:rFonts w:ascii="Arial" w:hAnsi="Arial" w:cs="Arial"/>
                <w:b/>
                <w:sz w:val="20"/>
                <w:szCs w:val="20"/>
              </w:rPr>
            </w:pPr>
          </w:p>
        </w:tc>
        <w:tc>
          <w:tcPr>
            <w:tcW w:w="1760" w:type="dxa"/>
            <w:shd w:val="clear" w:color="auto" w:fill="92D050"/>
          </w:tcPr>
          <w:p w:rsidR="001C5D9A" w:rsidRPr="0030354F" w:rsidRDefault="001C5D9A"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R’000</w:t>
            </w:r>
          </w:p>
        </w:tc>
        <w:tc>
          <w:tcPr>
            <w:tcW w:w="1710" w:type="dxa"/>
            <w:shd w:val="clear" w:color="auto" w:fill="92D050"/>
          </w:tcPr>
          <w:p w:rsidR="001C5D9A" w:rsidRPr="0030354F" w:rsidRDefault="001C5D9A"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R’000</w:t>
            </w:r>
          </w:p>
        </w:tc>
        <w:tc>
          <w:tcPr>
            <w:tcW w:w="1530" w:type="dxa"/>
            <w:shd w:val="clear" w:color="auto" w:fill="92D050"/>
          </w:tcPr>
          <w:p w:rsidR="001C5D9A" w:rsidRPr="0030354F" w:rsidRDefault="001C5D9A"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R’000</w:t>
            </w:r>
          </w:p>
        </w:tc>
        <w:tc>
          <w:tcPr>
            <w:tcW w:w="1170" w:type="dxa"/>
            <w:shd w:val="clear" w:color="auto" w:fill="92D050"/>
          </w:tcPr>
          <w:p w:rsidR="001C5D9A" w:rsidRPr="0030354F" w:rsidRDefault="001C5D9A"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R’000</w:t>
            </w:r>
          </w:p>
        </w:tc>
        <w:tc>
          <w:tcPr>
            <w:tcW w:w="1101" w:type="dxa"/>
            <w:shd w:val="clear" w:color="auto" w:fill="92D050"/>
          </w:tcPr>
          <w:p w:rsidR="001C5D9A" w:rsidRPr="0030354F" w:rsidRDefault="001C5D9A"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R’000</w:t>
            </w:r>
          </w:p>
        </w:tc>
      </w:tr>
      <w:tr w:rsidR="001C5D9A" w:rsidRPr="0030354F" w:rsidTr="001C5D9A">
        <w:tc>
          <w:tcPr>
            <w:tcW w:w="1745" w:type="dxa"/>
          </w:tcPr>
          <w:p w:rsidR="001C5D9A" w:rsidRPr="0030354F" w:rsidRDefault="001C5D9A" w:rsidP="0030354F">
            <w:pPr>
              <w:autoSpaceDE w:val="0"/>
              <w:autoSpaceDN w:val="0"/>
              <w:adjustRightInd w:val="0"/>
              <w:contextualSpacing/>
              <w:rPr>
                <w:rFonts w:ascii="Arial" w:hAnsi="Arial" w:cs="Arial"/>
                <w:sz w:val="20"/>
                <w:szCs w:val="20"/>
              </w:rPr>
            </w:pPr>
            <w:r w:rsidRPr="0030354F">
              <w:rPr>
                <w:rFonts w:ascii="Arial" w:hAnsi="Arial" w:cs="Arial"/>
                <w:sz w:val="20"/>
                <w:szCs w:val="20"/>
              </w:rPr>
              <w:t>Administration</w:t>
            </w:r>
          </w:p>
        </w:tc>
        <w:tc>
          <w:tcPr>
            <w:tcW w:w="176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103 300</w:t>
            </w:r>
          </w:p>
        </w:tc>
        <w:tc>
          <w:tcPr>
            <w:tcW w:w="171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101 002</w:t>
            </w:r>
          </w:p>
        </w:tc>
        <w:tc>
          <w:tcPr>
            <w:tcW w:w="153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99 194</w:t>
            </w:r>
          </w:p>
        </w:tc>
        <w:tc>
          <w:tcPr>
            <w:tcW w:w="117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1 808</w:t>
            </w:r>
          </w:p>
        </w:tc>
        <w:tc>
          <w:tcPr>
            <w:tcW w:w="1101"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98.2</w:t>
            </w:r>
          </w:p>
        </w:tc>
      </w:tr>
      <w:tr w:rsidR="001C5D9A" w:rsidRPr="0030354F" w:rsidTr="001C5D9A">
        <w:tc>
          <w:tcPr>
            <w:tcW w:w="1745" w:type="dxa"/>
          </w:tcPr>
          <w:p w:rsidR="001C5D9A" w:rsidRPr="0030354F" w:rsidRDefault="000775E8" w:rsidP="0030354F">
            <w:pPr>
              <w:autoSpaceDE w:val="0"/>
              <w:autoSpaceDN w:val="0"/>
              <w:adjustRightInd w:val="0"/>
              <w:contextualSpacing/>
              <w:rPr>
                <w:rFonts w:ascii="Arial" w:hAnsi="Arial" w:cs="Arial"/>
                <w:sz w:val="20"/>
                <w:szCs w:val="20"/>
              </w:rPr>
            </w:pPr>
            <w:r w:rsidRPr="0030354F">
              <w:rPr>
                <w:rFonts w:ascii="Arial" w:hAnsi="Arial" w:cs="Arial"/>
                <w:sz w:val="20"/>
                <w:szCs w:val="20"/>
              </w:rPr>
              <w:t>Sector and Market Development</w:t>
            </w:r>
          </w:p>
        </w:tc>
        <w:tc>
          <w:tcPr>
            <w:tcW w:w="176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138 746</w:t>
            </w:r>
          </w:p>
        </w:tc>
        <w:tc>
          <w:tcPr>
            <w:tcW w:w="171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107 139</w:t>
            </w:r>
          </w:p>
        </w:tc>
        <w:tc>
          <w:tcPr>
            <w:tcW w:w="153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90 431</w:t>
            </w:r>
          </w:p>
        </w:tc>
        <w:tc>
          <w:tcPr>
            <w:tcW w:w="117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16 708</w:t>
            </w:r>
          </w:p>
        </w:tc>
        <w:tc>
          <w:tcPr>
            <w:tcW w:w="1101"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84.4</w:t>
            </w:r>
          </w:p>
        </w:tc>
      </w:tr>
      <w:tr w:rsidR="001C5D9A" w:rsidRPr="0030354F" w:rsidTr="001C5D9A">
        <w:tc>
          <w:tcPr>
            <w:tcW w:w="1745" w:type="dxa"/>
          </w:tcPr>
          <w:p w:rsidR="001C5D9A" w:rsidRPr="0030354F" w:rsidRDefault="000775E8" w:rsidP="0030354F">
            <w:pPr>
              <w:autoSpaceDE w:val="0"/>
              <w:autoSpaceDN w:val="0"/>
              <w:adjustRightInd w:val="0"/>
              <w:contextualSpacing/>
              <w:rPr>
                <w:rFonts w:ascii="Arial" w:hAnsi="Arial" w:cs="Arial"/>
                <w:sz w:val="20"/>
                <w:szCs w:val="20"/>
              </w:rPr>
            </w:pPr>
            <w:r w:rsidRPr="0030354F">
              <w:rPr>
                <w:rFonts w:ascii="Arial" w:hAnsi="Arial" w:cs="Arial"/>
                <w:sz w:val="20"/>
                <w:szCs w:val="20"/>
              </w:rPr>
              <w:t>Development Finance</w:t>
            </w:r>
          </w:p>
        </w:tc>
        <w:tc>
          <w:tcPr>
            <w:tcW w:w="176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1 520 109</w:t>
            </w:r>
          </w:p>
        </w:tc>
        <w:tc>
          <w:tcPr>
            <w:tcW w:w="171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1 554 382</w:t>
            </w:r>
          </w:p>
        </w:tc>
        <w:tc>
          <w:tcPr>
            <w:tcW w:w="153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1 551 625</w:t>
            </w:r>
          </w:p>
        </w:tc>
        <w:tc>
          <w:tcPr>
            <w:tcW w:w="117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2 757</w:t>
            </w:r>
          </w:p>
        </w:tc>
        <w:tc>
          <w:tcPr>
            <w:tcW w:w="1101"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99.8</w:t>
            </w:r>
          </w:p>
        </w:tc>
      </w:tr>
      <w:tr w:rsidR="001C5D9A" w:rsidRPr="0030354F" w:rsidTr="001C5D9A">
        <w:tc>
          <w:tcPr>
            <w:tcW w:w="1745" w:type="dxa"/>
          </w:tcPr>
          <w:p w:rsidR="001C5D9A" w:rsidRPr="0030354F" w:rsidRDefault="000775E8" w:rsidP="0030354F">
            <w:pPr>
              <w:autoSpaceDE w:val="0"/>
              <w:autoSpaceDN w:val="0"/>
              <w:adjustRightInd w:val="0"/>
              <w:contextualSpacing/>
              <w:rPr>
                <w:rFonts w:ascii="Arial" w:hAnsi="Arial" w:cs="Arial"/>
                <w:sz w:val="20"/>
                <w:szCs w:val="20"/>
              </w:rPr>
            </w:pPr>
            <w:r w:rsidRPr="0030354F">
              <w:rPr>
                <w:rFonts w:ascii="Arial" w:hAnsi="Arial" w:cs="Arial"/>
                <w:sz w:val="20"/>
                <w:szCs w:val="20"/>
              </w:rPr>
              <w:t>Enterprise Development</w:t>
            </w:r>
          </w:p>
        </w:tc>
        <w:tc>
          <w:tcPr>
            <w:tcW w:w="176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874 908</w:t>
            </w:r>
          </w:p>
        </w:tc>
        <w:tc>
          <w:tcPr>
            <w:tcW w:w="171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874 540</w:t>
            </w:r>
          </w:p>
        </w:tc>
        <w:tc>
          <w:tcPr>
            <w:tcW w:w="153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871 968</w:t>
            </w:r>
          </w:p>
        </w:tc>
        <w:tc>
          <w:tcPr>
            <w:tcW w:w="1170"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2 572</w:t>
            </w:r>
          </w:p>
        </w:tc>
        <w:tc>
          <w:tcPr>
            <w:tcW w:w="1101" w:type="dxa"/>
          </w:tcPr>
          <w:p w:rsidR="001C5D9A" w:rsidRPr="0030354F" w:rsidRDefault="00454B17" w:rsidP="0030354F">
            <w:pPr>
              <w:autoSpaceDE w:val="0"/>
              <w:autoSpaceDN w:val="0"/>
              <w:adjustRightInd w:val="0"/>
              <w:contextualSpacing/>
              <w:rPr>
                <w:rFonts w:ascii="Arial" w:hAnsi="Arial" w:cs="Arial"/>
                <w:sz w:val="20"/>
                <w:szCs w:val="20"/>
              </w:rPr>
            </w:pPr>
            <w:r w:rsidRPr="0030354F">
              <w:rPr>
                <w:rFonts w:ascii="Arial" w:hAnsi="Arial" w:cs="Arial"/>
                <w:sz w:val="20"/>
                <w:szCs w:val="20"/>
              </w:rPr>
              <w:t>99.7</w:t>
            </w:r>
          </w:p>
        </w:tc>
      </w:tr>
      <w:tr w:rsidR="001C5D9A" w:rsidRPr="0030354F" w:rsidTr="001C5D9A">
        <w:tc>
          <w:tcPr>
            <w:tcW w:w="1745" w:type="dxa"/>
            <w:shd w:val="clear" w:color="auto" w:fill="A6A6A6" w:themeFill="background1" w:themeFillShade="A6"/>
          </w:tcPr>
          <w:p w:rsidR="001C5D9A" w:rsidRPr="0030354F" w:rsidRDefault="0075461D"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TOTAL</w:t>
            </w:r>
          </w:p>
        </w:tc>
        <w:tc>
          <w:tcPr>
            <w:tcW w:w="1760" w:type="dxa"/>
            <w:shd w:val="clear" w:color="auto" w:fill="A6A6A6" w:themeFill="background1" w:themeFillShade="A6"/>
          </w:tcPr>
          <w:p w:rsidR="001C5D9A" w:rsidRPr="0030354F" w:rsidRDefault="00454B17"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2 637 063</w:t>
            </w:r>
          </w:p>
        </w:tc>
        <w:tc>
          <w:tcPr>
            <w:tcW w:w="1710" w:type="dxa"/>
            <w:shd w:val="clear" w:color="auto" w:fill="A6A6A6" w:themeFill="background1" w:themeFillShade="A6"/>
          </w:tcPr>
          <w:p w:rsidR="001C5D9A" w:rsidRPr="0030354F" w:rsidRDefault="00454B17"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2 637 063</w:t>
            </w:r>
          </w:p>
        </w:tc>
        <w:tc>
          <w:tcPr>
            <w:tcW w:w="1530" w:type="dxa"/>
            <w:shd w:val="clear" w:color="auto" w:fill="A6A6A6" w:themeFill="background1" w:themeFillShade="A6"/>
          </w:tcPr>
          <w:p w:rsidR="001C5D9A" w:rsidRPr="0030354F" w:rsidRDefault="00454B17"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2 613 218</w:t>
            </w:r>
          </w:p>
        </w:tc>
        <w:tc>
          <w:tcPr>
            <w:tcW w:w="1170" w:type="dxa"/>
            <w:shd w:val="clear" w:color="auto" w:fill="A6A6A6" w:themeFill="background1" w:themeFillShade="A6"/>
          </w:tcPr>
          <w:p w:rsidR="001C5D9A" w:rsidRPr="0030354F" w:rsidRDefault="00454B17"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23 845</w:t>
            </w:r>
          </w:p>
        </w:tc>
        <w:tc>
          <w:tcPr>
            <w:tcW w:w="1101" w:type="dxa"/>
            <w:shd w:val="clear" w:color="auto" w:fill="A6A6A6" w:themeFill="background1" w:themeFillShade="A6"/>
          </w:tcPr>
          <w:p w:rsidR="00C65CE5" w:rsidRPr="0030354F" w:rsidRDefault="00454B17" w:rsidP="0030354F">
            <w:pPr>
              <w:autoSpaceDE w:val="0"/>
              <w:autoSpaceDN w:val="0"/>
              <w:adjustRightInd w:val="0"/>
              <w:contextualSpacing/>
              <w:rPr>
                <w:rFonts w:ascii="Arial" w:hAnsi="Arial" w:cs="Arial"/>
                <w:b/>
                <w:sz w:val="20"/>
                <w:szCs w:val="20"/>
              </w:rPr>
            </w:pPr>
            <w:r w:rsidRPr="0030354F">
              <w:rPr>
                <w:rFonts w:ascii="Arial" w:hAnsi="Arial" w:cs="Arial"/>
                <w:b/>
                <w:sz w:val="20"/>
                <w:szCs w:val="20"/>
              </w:rPr>
              <w:t>99.1</w:t>
            </w:r>
          </w:p>
        </w:tc>
      </w:tr>
    </w:tbl>
    <w:p w:rsidR="001C5D9A" w:rsidRPr="0030354F" w:rsidRDefault="001C5D9A" w:rsidP="0030354F">
      <w:pPr>
        <w:autoSpaceDE w:val="0"/>
        <w:autoSpaceDN w:val="0"/>
        <w:adjustRightInd w:val="0"/>
        <w:spacing w:after="0" w:line="240" w:lineRule="auto"/>
        <w:contextualSpacing/>
        <w:rPr>
          <w:rFonts w:ascii="Arial" w:hAnsi="Arial" w:cs="Arial"/>
          <w:b/>
          <w:sz w:val="20"/>
          <w:szCs w:val="20"/>
        </w:rPr>
      </w:pPr>
      <w:r w:rsidRPr="0030354F">
        <w:rPr>
          <w:rFonts w:ascii="Arial" w:hAnsi="Arial" w:cs="Arial"/>
          <w:b/>
          <w:sz w:val="20"/>
          <w:szCs w:val="20"/>
        </w:rPr>
        <w:t>Source: 202</w:t>
      </w:r>
      <w:r w:rsidR="00454B17" w:rsidRPr="0030354F">
        <w:rPr>
          <w:rFonts w:ascii="Arial" w:hAnsi="Arial" w:cs="Arial"/>
          <w:b/>
          <w:sz w:val="20"/>
          <w:szCs w:val="20"/>
        </w:rPr>
        <w:t>1/22</w:t>
      </w:r>
      <w:r w:rsidRPr="0030354F">
        <w:rPr>
          <w:rFonts w:ascii="Arial" w:hAnsi="Arial" w:cs="Arial"/>
          <w:b/>
          <w:sz w:val="20"/>
          <w:szCs w:val="20"/>
        </w:rPr>
        <w:t xml:space="preserve"> DSBD Annual Report</w:t>
      </w:r>
    </w:p>
    <w:p w:rsidR="00317EC0" w:rsidRPr="0030354F" w:rsidRDefault="00317EC0" w:rsidP="0030354F">
      <w:pPr>
        <w:spacing w:after="0" w:line="240" w:lineRule="auto"/>
        <w:contextualSpacing/>
        <w:rPr>
          <w:rFonts w:ascii="Arial" w:hAnsi="Arial" w:cs="Arial"/>
          <w:b/>
          <w:sz w:val="20"/>
          <w:szCs w:val="20"/>
        </w:rPr>
      </w:pPr>
    </w:p>
    <w:p w:rsidR="0006451C" w:rsidRPr="0030354F" w:rsidRDefault="0006451C" w:rsidP="0030354F">
      <w:pPr>
        <w:spacing w:after="0" w:line="240" w:lineRule="auto"/>
        <w:contextualSpacing/>
        <w:rPr>
          <w:rFonts w:ascii="Arial" w:hAnsi="Arial" w:cs="Arial"/>
          <w:b/>
          <w:sz w:val="20"/>
          <w:szCs w:val="20"/>
        </w:rPr>
      </w:pPr>
      <w:r w:rsidRPr="0030354F">
        <w:rPr>
          <w:rFonts w:ascii="Arial" w:hAnsi="Arial" w:cs="Arial"/>
          <w:b/>
          <w:sz w:val="20"/>
          <w:szCs w:val="20"/>
        </w:rPr>
        <w:lastRenderedPageBreak/>
        <w:t>4.2.1</w:t>
      </w:r>
      <w:r w:rsidRPr="0030354F">
        <w:rPr>
          <w:rFonts w:ascii="Arial" w:hAnsi="Arial" w:cs="Arial"/>
          <w:b/>
          <w:sz w:val="20"/>
          <w:szCs w:val="20"/>
        </w:rPr>
        <w:tab/>
      </w:r>
      <w:r w:rsidR="00FE2831" w:rsidRPr="0030354F">
        <w:rPr>
          <w:rFonts w:ascii="Arial" w:hAnsi="Arial" w:cs="Arial"/>
          <w:b/>
          <w:sz w:val="20"/>
          <w:szCs w:val="20"/>
        </w:rPr>
        <w:t>Annual expenditure for Programme One</w:t>
      </w:r>
    </w:p>
    <w:p w:rsidR="00471D9B" w:rsidRPr="0030354F" w:rsidRDefault="00471D9B" w:rsidP="0030354F">
      <w:pPr>
        <w:spacing w:after="0" w:line="240" w:lineRule="auto"/>
        <w:contextualSpacing/>
        <w:rPr>
          <w:rFonts w:ascii="Arial" w:hAnsi="Arial" w:cs="Arial"/>
          <w:sz w:val="20"/>
          <w:szCs w:val="20"/>
        </w:rPr>
      </w:pPr>
      <w:r w:rsidRPr="0030354F">
        <w:rPr>
          <w:rFonts w:ascii="Arial" w:hAnsi="Arial" w:cs="Arial"/>
          <w:sz w:val="20"/>
          <w:szCs w:val="20"/>
        </w:rPr>
        <w:t xml:space="preserve">Key milestone </w:t>
      </w:r>
      <w:r w:rsidR="00BD4B87" w:rsidRPr="0030354F">
        <w:rPr>
          <w:rFonts w:ascii="Arial" w:hAnsi="Arial" w:cs="Arial"/>
          <w:sz w:val="20"/>
          <w:szCs w:val="20"/>
        </w:rPr>
        <w:t xml:space="preserve">under </w:t>
      </w:r>
      <w:r w:rsidRPr="0030354F">
        <w:rPr>
          <w:rFonts w:ascii="Arial" w:hAnsi="Arial" w:cs="Arial"/>
          <w:sz w:val="20"/>
          <w:szCs w:val="20"/>
        </w:rPr>
        <w:t xml:space="preserve">programme one during the period under consideration is the attainment of </w:t>
      </w:r>
      <w:r w:rsidR="00BD4B87" w:rsidRPr="0030354F">
        <w:rPr>
          <w:rFonts w:ascii="Arial" w:hAnsi="Arial" w:cs="Arial"/>
          <w:sz w:val="20"/>
          <w:szCs w:val="20"/>
        </w:rPr>
        <w:t>the first</w:t>
      </w:r>
      <w:r w:rsidR="00806B56" w:rsidRPr="0030354F">
        <w:rPr>
          <w:rFonts w:ascii="Arial" w:hAnsi="Arial" w:cs="Arial"/>
          <w:sz w:val="20"/>
          <w:szCs w:val="20"/>
        </w:rPr>
        <w:t xml:space="preserve"> </w:t>
      </w:r>
      <w:r w:rsidRPr="0030354F">
        <w:rPr>
          <w:rFonts w:ascii="Arial" w:hAnsi="Arial" w:cs="Arial"/>
          <w:sz w:val="20"/>
          <w:szCs w:val="20"/>
        </w:rPr>
        <w:t>‘clean audit’. The programme expenditure added up to R99 million or 99 percent against the final appropriation of R101</w:t>
      </w:r>
      <w:r w:rsidR="00BD4B87" w:rsidRPr="0030354F">
        <w:rPr>
          <w:rFonts w:ascii="Arial" w:hAnsi="Arial" w:cs="Arial"/>
          <w:sz w:val="20"/>
          <w:szCs w:val="20"/>
        </w:rPr>
        <w:t xml:space="preserve"> million, resulting in an under-</w:t>
      </w:r>
      <w:r w:rsidRPr="0030354F">
        <w:rPr>
          <w:rFonts w:ascii="Arial" w:hAnsi="Arial" w:cs="Arial"/>
          <w:sz w:val="20"/>
          <w:szCs w:val="20"/>
        </w:rPr>
        <w:t>expenditure of R1.8 million. Goods and Services contributed R1.6 million to the under expenditure due to low expenditure than projected for Operating leases (R471 thousand), Training underspent by R332 thousand as most trainings were attended virtually and others cancelled due to COVID-19, Consultants and Professional Services also contributed by R242 thousand.</w:t>
      </w:r>
    </w:p>
    <w:p w:rsidR="00471D9B" w:rsidRPr="0030354F" w:rsidRDefault="00471D9B" w:rsidP="0030354F">
      <w:pPr>
        <w:pStyle w:val="Default"/>
        <w:contextualSpacing/>
        <w:rPr>
          <w:rFonts w:ascii="Arial" w:hAnsi="Arial" w:cs="Arial"/>
          <w:b/>
          <w:color w:val="auto"/>
          <w:sz w:val="20"/>
          <w:szCs w:val="20"/>
        </w:rPr>
      </w:pPr>
    </w:p>
    <w:p w:rsidR="00FE2831" w:rsidRPr="0030354F" w:rsidRDefault="00FE2831" w:rsidP="0030354F">
      <w:pPr>
        <w:pStyle w:val="Default"/>
        <w:contextualSpacing/>
        <w:rPr>
          <w:rFonts w:ascii="Arial" w:eastAsia="Times New Roman" w:hAnsi="Arial" w:cs="Arial"/>
          <w:b/>
          <w:bCs/>
          <w:color w:val="000000" w:themeColor="text1"/>
          <w:sz w:val="20"/>
          <w:szCs w:val="20"/>
          <w:lang w:eastAsia="en-ZA"/>
        </w:rPr>
      </w:pPr>
      <w:r w:rsidRPr="0030354F">
        <w:rPr>
          <w:rFonts w:ascii="Arial" w:hAnsi="Arial" w:cs="Arial"/>
          <w:b/>
          <w:color w:val="auto"/>
          <w:sz w:val="20"/>
          <w:szCs w:val="20"/>
        </w:rPr>
        <w:t>Table 4: Expenditure Estimates - Programme 1</w:t>
      </w:r>
    </w:p>
    <w:tbl>
      <w:tblPr>
        <w:tblStyle w:val="TableGrid1"/>
        <w:tblW w:w="9350" w:type="dxa"/>
        <w:tblLook w:val="04A0"/>
      </w:tblPr>
      <w:tblGrid>
        <w:gridCol w:w="3247"/>
        <w:gridCol w:w="1873"/>
        <w:gridCol w:w="1980"/>
        <w:gridCol w:w="2250"/>
      </w:tblGrid>
      <w:tr w:rsidR="0031785D" w:rsidRPr="0030354F" w:rsidTr="0031785D">
        <w:trPr>
          <w:trHeight w:val="955"/>
        </w:trPr>
        <w:tc>
          <w:tcPr>
            <w:tcW w:w="3247" w:type="dxa"/>
            <w:shd w:val="clear" w:color="auto" w:fill="92D050"/>
            <w:hideMark/>
          </w:tcPr>
          <w:p w:rsidR="00FE2831" w:rsidRPr="0030354F" w:rsidRDefault="00FE2831" w:rsidP="0030354F">
            <w:pPr>
              <w:contextualSpacing/>
              <w:rPr>
                <w:rFonts w:ascii="Arial" w:eastAsia="Times New Roman" w:hAnsi="Arial" w:cs="Arial"/>
                <w:b/>
                <w:sz w:val="20"/>
                <w:szCs w:val="20"/>
                <w:lang w:eastAsia="en-ZA"/>
              </w:rPr>
            </w:pPr>
            <w:r w:rsidRPr="0030354F">
              <w:rPr>
                <w:rFonts w:ascii="Arial" w:eastAsia="Times New Roman" w:hAnsi="Arial" w:cs="Arial"/>
                <w:b/>
                <w:sz w:val="20"/>
                <w:szCs w:val="20"/>
                <w:lang w:eastAsia="en-ZA"/>
              </w:rPr>
              <w:t>Subprogramme</w:t>
            </w:r>
          </w:p>
        </w:tc>
        <w:tc>
          <w:tcPr>
            <w:tcW w:w="1873" w:type="dxa"/>
            <w:shd w:val="clear" w:color="auto" w:fill="92D050"/>
            <w:hideMark/>
          </w:tcPr>
          <w:p w:rsidR="00FE2831" w:rsidRPr="0030354F" w:rsidRDefault="00FE2831" w:rsidP="0030354F">
            <w:pPr>
              <w:contextualSpacing/>
              <w:rPr>
                <w:rFonts w:ascii="Arial" w:eastAsia="Times New Roman" w:hAnsi="Arial" w:cs="Arial"/>
                <w:b/>
                <w:bCs/>
                <w:color w:val="000000"/>
                <w:sz w:val="20"/>
                <w:szCs w:val="20"/>
                <w:lang w:val="en-US" w:eastAsia="en-ZA"/>
              </w:rPr>
            </w:pPr>
            <w:r w:rsidRPr="0030354F">
              <w:rPr>
                <w:rFonts w:ascii="Arial" w:eastAsia="Times New Roman" w:hAnsi="Arial" w:cs="Arial"/>
                <w:b/>
                <w:bCs/>
                <w:color w:val="000000"/>
                <w:sz w:val="20"/>
                <w:szCs w:val="20"/>
                <w:lang w:eastAsia="en-ZA"/>
              </w:rPr>
              <w:t>Final Appropriation</w:t>
            </w:r>
          </w:p>
          <w:p w:rsidR="00FE2831" w:rsidRPr="0030354F" w:rsidRDefault="00FE2831" w:rsidP="0030354F">
            <w:pPr>
              <w:contextualSpacing/>
              <w:rPr>
                <w:rFonts w:ascii="Arial" w:eastAsia="Times New Roman" w:hAnsi="Arial" w:cs="Arial"/>
                <w:b/>
                <w:sz w:val="20"/>
                <w:szCs w:val="20"/>
                <w:lang w:eastAsia="en-ZA"/>
              </w:rPr>
            </w:pPr>
            <w:r w:rsidRPr="0030354F">
              <w:rPr>
                <w:rFonts w:ascii="Arial" w:eastAsia="Times New Roman" w:hAnsi="Arial" w:cs="Arial"/>
                <w:b/>
                <w:bCs/>
                <w:color w:val="000000"/>
                <w:sz w:val="20"/>
                <w:szCs w:val="20"/>
                <w:lang w:val="en-US" w:eastAsia="en-ZA"/>
              </w:rPr>
              <w:t>R'000</w:t>
            </w:r>
          </w:p>
        </w:tc>
        <w:tc>
          <w:tcPr>
            <w:tcW w:w="1980" w:type="dxa"/>
            <w:shd w:val="clear" w:color="auto" w:fill="92D050"/>
            <w:hideMark/>
          </w:tcPr>
          <w:p w:rsidR="00FE2831" w:rsidRPr="0030354F" w:rsidRDefault="00FE2831" w:rsidP="0030354F">
            <w:pPr>
              <w:contextualSpacing/>
              <w:rPr>
                <w:rFonts w:ascii="Arial" w:eastAsia="Times New Roman" w:hAnsi="Arial" w:cs="Arial"/>
                <w:b/>
                <w:bCs/>
                <w:color w:val="000000"/>
                <w:sz w:val="20"/>
                <w:szCs w:val="20"/>
                <w:lang w:val="en-US" w:eastAsia="en-ZA"/>
              </w:rPr>
            </w:pPr>
            <w:r w:rsidRPr="0030354F">
              <w:rPr>
                <w:rFonts w:ascii="Arial" w:eastAsia="Times New Roman" w:hAnsi="Arial" w:cs="Arial"/>
                <w:b/>
                <w:bCs/>
                <w:color w:val="000000"/>
                <w:sz w:val="20"/>
                <w:szCs w:val="20"/>
                <w:lang w:eastAsia="en-ZA"/>
              </w:rPr>
              <w:t>Actual Expenditure</w:t>
            </w:r>
          </w:p>
          <w:p w:rsidR="00FE2831" w:rsidRPr="0030354F" w:rsidRDefault="00FE2831" w:rsidP="0030354F">
            <w:pPr>
              <w:contextualSpacing/>
              <w:rPr>
                <w:rFonts w:ascii="Arial" w:eastAsia="Times New Roman" w:hAnsi="Arial" w:cs="Arial"/>
                <w:b/>
                <w:sz w:val="20"/>
                <w:szCs w:val="20"/>
                <w:lang w:eastAsia="en-ZA"/>
              </w:rPr>
            </w:pPr>
            <w:r w:rsidRPr="0030354F">
              <w:rPr>
                <w:rFonts w:ascii="Arial" w:eastAsia="Times New Roman" w:hAnsi="Arial" w:cs="Arial"/>
                <w:b/>
                <w:bCs/>
                <w:color w:val="000000"/>
                <w:sz w:val="20"/>
                <w:szCs w:val="20"/>
                <w:lang w:val="en-US" w:eastAsia="en-ZA"/>
              </w:rPr>
              <w:t>R'000</w:t>
            </w:r>
          </w:p>
        </w:tc>
        <w:tc>
          <w:tcPr>
            <w:tcW w:w="2250" w:type="dxa"/>
            <w:shd w:val="clear" w:color="auto" w:fill="92D050"/>
            <w:hideMark/>
          </w:tcPr>
          <w:p w:rsidR="00FE2831" w:rsidRPr="0030354F" w:rsidRDefault="00FE2831" w:rsidP="0030354F">
            <w:pPr>
              <w:contextualSpacing/>
              <w:rPr>
                <w:rFonts w:ascii="Arial" w:eastAsia="Times New Roman" w:hAnsi="Arial" w:cs="Arial"/>
                <w:b/>
                <w:bCs/>
                <w:color w:val="000000"/>
                <w:sz w:val="20"/>
                <w:szCs w:val="20"/>
                <w:lang w:val="en-US" w:eastAsia="en-ZA"/>
              </w:rPr>
            </w:pPr>
            <w:r w:rsidRPr="0030354F">
              <w:rPr>
                <w:rFonts w:ascii="Arial" w:eastAsia="Times New Roman" w:hAnsi="Arial" w:cs="Arial"/>
                <w:b/>
                <w:bCs/>
                <w:color w:val="000000"/>
                <w:sz w:val="20"/>
                <w:szCs w:val="20"/>
                <w:lang w:eastAsia="en-ZA"/>
              </w:rPr>
              <w:t>Over/Under Expenditure</w:t>
            </w:r>
          </w:p>
          <w:p w:rsidR="00FE2831" w:rsidRPr="0030354F" w:rsidRDefault="00FE2831" w:rsidP="0030354F">
            <w:pPr>
              <w:contextualSpacing/>
              <w:rPr>
                <w:rFonts w:ascii="Arial" w:eastAsia="Times New Roman" w:hAnsi="Arial" w:cs="Arial"/>
                <w:b/>
                <w:sz w:val="20"/>
                <w:szCs w:val="20"/>
                <w:lang w:eastAsia="en-ZA"/>
              </w:rPr>
            </w:pPr>
            <w:r w:rsidRPr="0030354F">
              <w:rPr>
                <w:rFonts w:ascii="Arial" w:eastAsia="Times New Roman" w:hAnsi="Arial" w:cs="Arial"/>
                <w:b/>
                <w:bCs/>
                <w:color w:val="000000"/>
                <w:sz w:val="20"/>
                <w:szCs w:val="20"/>
                <w:lang w:val="en-US" w:eastAsia="en-ZA"/>
              </w:rPr>
              <w:t>R'000</w:t>
            </w:r>
          </w:p>
        </w:tc>
      </w:tr>
      <w:tr w:rsidR="0031785D" w:rsidRPr="0030354F" w:rsidTr="0031785D">
        <w:trPr>
          <w:trHeight w:val="145"/>
        </w:trPr>
        <w:tc>
          <w:tcPr>
            <w:tcW w:w="3247" w:type="dxa"/>
            <w:hideMark/>
          </w:tcPr>
          <w:p w:rsidR="00FE2831" w:rsidRPr="0030354F" w:rsidRDefault="00FE2831" w:rsidP="0030354F">
            <w:pPr>
              <w:contextualSpacing/>
              <w:rPr>
                <w:rFonts w:ascii="Arial" w:eastAsia="Times New Roman" w:hAnsi="Arial" w:cs="Arial"/>
                <w:sz w:val="20"/>
                <w:szCs w:val="20"/>
                <w:lang w:eastAsia="en-ZA"/>
              </w:rPr>
            </w:pPr>
            <w:r w:rsidRPr="0030354F">
              <w:rPr>
                <w:rFonts w:ascii="Arial" w:eastAsia="Times New Roman" w:hAnsi="Arial" w:cs="Arial"/>
                <w:color w:val="000000"/>
                <w:sz w:val="20"/>
                <w:szCs w:val="20"/>
                <w:lang w:val="en-US" w:eastAsia="en-ZA"/>
              </w:rPr>
              <w:t>Ministry</w:t>
            </w:r>
          </w:p>
        </w:tc>
        <w:tc>
          <w:tcPr>
            <w:tcW w:w="1873" w:type="dxa"/>
          </w:tcPr>
          <w:p w:rsidR="00FE2831" w:rsidRPr="0030354F" w:rsidRDefault="00F4224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25 584</w:t>
            </w:r>
          </w:p>
        </w:tc>
        <w:tc>
          <w:tcPr>
            <w:tcW w:w="1980" w:type="dxa"/>
          </w:tcPr>
          <w:p w:rsidR="00FE2831" w:rsidRPr="0030354F" w:rsidRDefault="00F4224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25 464</w:t>
            </w:r>
          </w:p>
        </w:tc>
        <w:tc>
          <w:tcPr>
            <w:tcW w:w="2250" w:type="dxa"/>
          </w:tcPr>
          <w:p w:rsidR="00FE2831" w:rsidRPr="0030354F" w:rsidRDefault="00F4224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120</w:t>
            </w:r>
          </w:p>
        </w:tc>
      </w:tr>
      <w:tr w:rsidR="00FE2831" w:rsidRPr="0030354F" w:rsidTr="0031785D">
        <w:trPr>
          <w:trHeight w:val="172"/>
        </w:trPr>
        <w:tc>
          <w:tcPr>
            <w:tcW w:w="3247" w:type="dxa"/>
            <w:hideMark/>
          </w:tcPr>
          <w:p w:rsidR="00FE2831" w:rsidRPr="0030354F" w:rsidRDefault="00FE2831" w:rsidP="0030354F">
            <w:pPr>
              <w:contextualSpacing/>
              <w:rPr>
                <w:rFonts w:ascii="Arial" w:eastAsia="Times New Roman" w:hAnsi="Arial" w:cs="Arial"/>
                <w:sz w:val="20"/>
                <w:szCs w:val="20"/>
                <w:lang w:eastAsia="en-ZA"/>
              </w:rPr>
            </w:pPr>
            <w:r w:rsidRPr="0030354F">
              <w:rPr>
                <w:rFonts w:ascii="Arial" w:eastAsia="Times New Roman" w:hAnsi="Arial" w:cs="Arial"/>
                <w:color w:val="000000"/>
                <w:sz w:val="20"/>
                <w:szCs w:val="20"/>
                <w:lang w:val="en-US" w:eastAsia="en-ZA"/>
              </w:rPr>
              <w:t>Departmental Management</w:t>
            </w:r>
          </w:p>
        </w:tc>
        <w:tc>
          <w:tcPr>
            <w:tcW w:w="1873" w:type="dxa"/>
          </w:tcPr>
          <w:p w:rsidR="00FE2831" w:rsidRPr="0030354F" w:rsidRDefault="00F4224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28 000</w:t>
            </w:r>
          </w:p>
        </w:tc>
        <w:tc>
          <w:tcPr>
            <w:tcW w:w="1980" w:type="dxa"/>
          </w:tcPr>
          <w:p w:rsidR="00FE2831" w:rsidRPr="0030354F" w:rsidRDefault="00F4224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27 817</w:t>
            </w:r>
          </w:p>
        </w:tc>
        <w:tc>
          <w:tcPr>
            <w:tcW w:w="2250" w:type="dxa"/>
          </w:tcPr>
          <w:p w:rsidR="00FE2831" w:rsidRPr="0030354F" w:rsidRDefault="00F4224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183</w:t>
            </w:r>
          </w:p>
        </w:tc>
      </w:tr>
      <w:tr w:rsidR="00FE2831" w:rsidRPr="0030354F" w:rsidTr="0031785D">
        <w:trPr>
          <w:trHeight w:val="190"/>
        </w:trPr>
        <w:tc>
          <w:tcPr>
            <w:tcW w:w="3247" w:type="dxa"/>
            <w:hideMark/>
          </w:tcPr>
          <w:p w:rsidR="00FE2831" w:rsidRPr="0030354F" w:rsidRDefault="00FE2831" w:rsidP="0030354F">
            <w:pPr>
              <w:contextualSpacing/>
              <w:rPr>
                <w:rFonts w:ascii="Arial" w:eastAsia="Times New Roman" w:hAnsi="Arial" w:cs="Arial"/>
                <w:sz w:val="20"/>
                <w:szCs w:val="20"/>
                <w:lang w:eastAsia="en-ZA"/>
              </w:rPr>
            </w:pPr>
            <w:r w:rsidRPr="0030354F">
              <w:rPr>
                <w:rFonts w:ascii="Arial" w:eastAsia="Times New Roman" w:hAnsi="Arial" w:cs="Arial"/>
                <w:color w:val="000000"/>
                <w:sz w:val="20"/>
                <w:szCs w:val="20"/>
                <w:lang w:val="en-US" w:eastAsia="en-ZA"/>
              </w:rPr>
              <w:t>Corporate Services</w:t>
            </w:r>
          </w:p>
        </w:tc>
        <w:tc>
          <w:tcPr>
            <w:tcW w:w="1873" w:type="dxa"/>
          </w:tcPr>
          <w:p w:rsidR="00FE2831" w:rsidRPr="0030354F" w:rsidRDefault="00F4224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29 117</w:t>
            </w:r>
          </w:p>
        </w:tc>
        <w:tc>
          <w:tcPr>
            <w:tcW w:w="1980" w:type="dxa"/>
          </w:tcPr>
          <w:p w:rsidR="00FE2831" w:rsidRPr="0030354F" w:rsidRDefault="00F4224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27 799</w:t>
            </w:r>
          </w:p>
        </w:tc>
        <w:tc>
          <w:tcPr>
            <w:tcW w:w="2250" w:type="dxa"/>
          </w:tcPr>
          <w:p w:rsidR="00FE2831" w:rsidRPr="0030354F" w:rsidRDefault="00F4224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1 318</w:t>
            </w:r>
          </w:p>
        </w:tc>
      </w:tr>
      <w:tr w:rsidR="00FE2831" w:rsidRPr="0030354F" w:rsidTr="0031785D">
        <w:trPr>
          <w:trHeight w:val="100"/>
        </w:trPr>
        <w:tc>
          <w:tcPr>
            <w:tcW w:w="3247" w:type="dxa"/>
            <w:hideMark/>
          </w:tcPr>
          <w:p w:rsidR="00FE2831" w:rsidRPr="0030354F" w:rsidRDefault="00FE2831" w:rsidP="0030354F">
            <w:pPr>
              <w:contextualSpacing/>
              <w:rPr>
                <w:rFonts w:ascii="Arial" w:eastAsia="Times New Roman" w:hAnsi="Arial" w:cs="Arial"/>
                <w:sz w:val="20"/>
                <w:szCs w:val="20"/>
                <w:lang w:eastAsia="en-ZA"/>
              </w:rPr>
            </w:pPr>
            <w:r w:rsidRPr="0030354F">
              <w:rPr>
                <w:rFonts w:ascii="Arial" w:eastAsia="Times New Roman" w:hAnsi="Arial" w:cs="Arial"/>
                <w:color w:val="000000"/>
                <w:sz w:val="20"/>
                <w:szCs w:val="20"/>
                <w:lang w:val="en-US" w:eastAsia="en-ZA"/>
              </w:rPr>
              <w:t>Financial Management</w:t>
            </w:r>
          </w:p>
        </w:tc>
        <w:tc>
          <w:tcPr>
            <w:tcW w:w="1873" w:type="dxa"/>
          </w:tcPr>
          <w:p w:rsidR="00FE2831" w:rsidRPr="0030354F" w:rsidRDefault="00F4224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18 301</w:t>
            </w:r>
          </w:p>
        </w:tc>
        <w:tc>
          <w:tcPr>
            <w:tcW w:w="1980" w:type="dxa"/>
          </w:tcPr>
          <w:p w:rsidR="00FE2831" w:rsidRPr="0030354F" w:rsidRDefault="00F4224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18 114</w:t>
            </w:r>
          </w:p>
        </w:tc>
        <w:tc>
          <w:tcPr>
            <w:tcW w:w="2250" w:type="dxa"/>
          </w:tcPr>
          <w:p w:rsidR="00FE2831" w:rsidRPr="0030354F" w:rsidRDefault="00F4224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187</w:t>
            </w:r>
          </w:p>
        </w:tc>
      </w:tr>
      <w:tr w:rsidR="0031785D" w:rsidRPr="0030354F" w:rsidTr="0031785D">
        <w:trPr>
          <w:trHeight w:val="100"/>
        </w:trPr>
        <w:tc>
          <w:tcPr>
            <w:tcW w:w="3247" w:type="dxa"/>
            <w:shd w:val="clear" w:color="auto" w:fill="BFBFBF" w:themeFill="background1" w:themeFillShade="BF"/>
            <w:hideMark/>
          </w:tcPr>
          <w:p w:rsidR="00FE2831" w:rsidRPr="0030354F" w:rsidRDefault="0075461D" w:rsidP="0030354F">
            <w:pPr>
              <w:contextualSpacing/>
              <w:rPr>
                <w:rFonts w:ascii="Arial" w:eastAsia="Times New Roman" w:hAnsi="Arial" w:cs="Arial"/>
                <w:b/>
                <w:sz w:val="20"/>
                <w:szCs w:val="20"/>
                <w:lang w:eastAsia="en-ZA"/>
              </w:rPr>
            </w:pPr>
            <w:r w:rsidRPr="0030354F">
              <w:rPr>
                <w:rFonts w:ascii="Arial" w:eastAsia="Times New Roman" w:hAnsi="Arial" w:cs="Arial"/>
                <w:b/>
                <w:bCs/>
                <w:color w:val="000000"/>
                <w:sz w:val="20"/>
                <w:szCs w:val="20"/>
                <w:lang w:val="en-US" w:eastAsia="en-ZA"/>
              </w:rPr>
              <w:t>TOTAL</w:t>
            </w:r>
          </w:p>
        </w:tc>
        <w:tc>
          <w:tcPr>
            <w:tcW w:w="1873" w:type="dxa"/>
            <w:shd w:val="clear" w:color="auto" w:fill="BFBFBF" w:themeFill="background1" w:themeFillShade="BF"/>
          </w:tcPr>
          <w:p w:rsidR="00FE2831" w:rsidRPr="0030354F" w:rsidRDefault="00F42247" w:rsidP="0030354F">
            <w:pPr>
              <w:contextualSpacing/>
              <w:rPr>
                <w:rFonts w:ascii="Arial" w:eastAsia="Times New Roman" w:hAnsi="Arial" w:cs="Arial"/>
                <w:b/>
                <w:sz w:val="20"/>
                <w:szCs w:val="20"/>
                <w:lang w:eastAsia="en-ZA"/>
              </w:rPr>
            </w:pPr>
            <w:r w:rsidRPr="0030354F">
              <w:rPr>
                <w:rFonts w:ascii="Arial" w:eastAsia="Times New Roman" w:hAnsi="Arial" w:cs="Arial"/>
                <w:b/>
                <w:sz w:val="20"/>
                <w:szCs w:val="20"/>
                <w:lang w:eastAsia="en-ZA"/>
              </w:rPr>
              <w:t>101 002</w:t>
            </w:r>
          </w:p>
        </w:tc>
        <w:tc>
          <w:tcPr>
            <w:tcW w:w="1980" w:type="dxa"/>
            <w:shd w:val="clear" w:color="auto" w:fill="BFBFBF" w:themeFill="background1" w:themeFillShade="BF"/>
          </w:tcPr>
          <w:p w:rsidR="00FE2831" w:rsidRPr="0030354F" w:rsidRDefault="00F42247" w:rsidP="0030354F">
            <w:pPr>
              <w:contextualSpacing/>
              <w:rPr>
                <w:rFonts w:ascii="Arial" w:eastAsia="Times New Roman" w:hAnsi="Arial" w:cs="Arial"/>
                <w:b/>
                <w:sz w:val="20"/>
                <w:szCs w:val="20"/>
                <w:lang w:eastAsia="en-ZA"/>
              </w:rPr>
            </w:pPr>
            <w:r w:rsidRPr="0030354F">
              <w:rPr>
                <w:rFonts w:ascii="Arial" w:eastAsia="Times New Roman" w:hAnsi="Arial" w:cs="Arial"/>
                <w:b/>
                <w:sz w:val="20"/>
                <w:szCs w:val="20"/>
                <w:lang w:eastAsia="en-ZA"/>
              </w:rPr>
              <w:t>99 194</w:t>
            </w:r>
          </w:p>
        </w:tc>
        <w:tc>
          <w:tcPr>
            <w:tcW w:w="2250" w:type="dxa"/>
            <w:shd w:val="clear" w:color="auto" w:fill="BFBFBF" w:themeFill="background1" w:themeFillShade="BF"/>
          </w:tcPr>
          <w:p w:rsidR="00FE2831" w:rsidRPr="0030354F" w:rsidRDefault="00F42247" w:rsidP="0030354F">
            <w:pPr>
              <w:contextualSpacing/>
              <w:rPr>
                <w:rFonts w:ascii="Arial" w:eastAsia="Times New Roman" w:hAnsi="Arial" w:cs="Arial"/>
                <w:b/>
                <w:sz w:val="20"/>
                <w:szCs w:val="20"/>
                <w:lang w:eastAsia="en-ZA"/>
              </w:rPr>
            </w:pPr>
            <w:r w:rsidRPr="0030354F">
              <w:rPr>
                <w:rFonts w:ascii="Arial" w:eastAsia="Times New Roman" w:hAnsi="Arial" w:cs="Arial"/>
                <w:b/>
                <w:sz w:val="20"/>
                <w:szCs w:val="20"/>
                <w:lang w:eastAsia="en-ZA"/>
              </w:rPr>
              <w:t>1 808</w:t>
            </w:r>
          </w:p>
        </w:tc>
      </w:tr>
    </w:tbl>
    <w:p w:rsidR="00FE2831" w:rsidRPr="0030354F" w:rsidRDefault="00FE2831" w:rsidP="0030354F">
      <w:pPr>
        <w:pStyle w:val="Default"/>
        <w:contextualSpacing/>
        <w:rPr>
          <w:rFonts w:ascii="Arial" w:hAnsi="Arial" w:cs="Arial"/>
          <w:b/>
          <w:color w:val="auto"/>
          <w:sz w:val="20"/>
          <w:szCs w:val="20"/>
        </w:rPr>
      </w:pPr>
      <w:r w:rsidRPr="0030354F">
        <w:rPr>
          <w:rFonts w:ascii="Arial" w:hAnsi="Arial" w:cs="Arial"/>
          <w:b/>
          <w:color w:val="auto"/>
          <w:sz w:val="20"/>
          <w:szCs w:val="20"/>
        </w:rPr>
        <w:t>Source: DSBD Annual Report 202</w:t>
      </w:r>
      <w:r w:rsidR="00471D9B" w:rsidRPr="0030354F">
        <w:rPr>
          <w:rFonts w:ascii="Arial" w:hAnsi="Arial" w:cs="Arial"/>
          <w:b/>
          <w:color w:val="auto"/>
          <w:sz w:val="20"/>
          <w:szCs w:val="20"/>
        </w:rPr>
        <w:t>1/22</w:t>
      </w:r>
    </w:p>
    <w:p w:rsidR="00FE2831" w:rsidRPr="0030354F" w:rsidRDefault="00FE2831" w:rsidP="0030354F">
      <w:pPr>
        <w:pStyle w:val="Default"/>
        <w:contextualSpacing/>
        <w:rPr>
          <w:rFonts w:ascii="Arial" w:hAnsi="Arial" w:cs="Arial"/>
          <w:color w:val="auto"/>
          <w:sz w:val="20"/>
          <w:szCs w:val="20"/>
        </w:rPr>
      </w:pPr>
    </w:p>
    <w:p w:rsidR="0006451C" w:rsidRPr="0030354F" w:rsidRDefault="0006451C" w:rsidP="0030354F">
      <w:pPr>
        <w:spacing w:after="0" w:line="240" w:lineRule="auto"/>
        <w:contextualSpacing/>
        <w:rPr>
          <w:rFonts w:ascii="Arial" w:hAnsi="Arial" w:cs="Arial"/>
          <w:b/>
          <w:sz w:val="20"/>
          <w:szCs w:val="20"/>
          <w:lang w:val="en-US"/>
        </w:rPr>
      </w:pPr>
      <w:r w:rsidRPr="0030354F">
        <w:rPr>
          <w:rFonts w:ascii="Arial" w:hAnsi="Arial" w:cs="Arial"/>
          <w:b/>
          <w:sz w:val="20"/>
          <w:szCs w:val="20"/>
          <w:lang w:val="en-US"/>
        </w:rPr>
        <w:t>4.2.2</w:t>
      </w:r>
      <w:r w:rsidRPr="0030354F">
        <w:rPr>
          <w:rFonts w:ascii="Arial" w:hAnsi="Arial" w:cs="Arial"/>
          <w:b/>
          <w:sz w:val="20"/>
          <w:szCs w:val="20"/>
          <w:lang w:val="en-US"/>
        </w:rPr>
        <w:tab/>
      </w:r>
      <w:r w:rsidR="00BE0388" w:rsidRPr="0030354F">
        <w:rPr>
          <w:rFonts w:ascii="Arial" w:hAnsi="Arial" w:cs="Arial"/>
          <w:b/>
          <w:sz w:val="20"/>
          <w:szCs w:val="20"/>
          <w:lang w:val="en-US"/>
        </w:rPr>
        <w:t>Annua</w:t>
      </w:r>
      <w:r w:rsidRPr="0030354F">
        <w:rPr>
          <w:rFonts w:ascii="Arial" w:hAnsi="Arial" w:cs="Arial"/>
          <w:b/>
          <w:sz w:val="20"/>
          <w:szCs w:val="20"/>
          <w:lang w:val="en-US"/>
        </w:rPr>
        <w:t>l expenditure for Programme Two</w:t>
      </w:r>
    </w:p>
    <w:p w:rsidR="00BE0388" w:rsidRPr="0030354F" w:rsidRDefault="00BD4B87"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hAnsi="Arial" w:cs="Arial"/>
          <w:sz w:val="20"/>
          <w:szCs w:val="20"/>
          <w:lang w:val="en-US"/>
        </w:rPr>
        <w:t xml:space="preserve">Sector and Market Development </w:t>
      </w:r>
      <w:r w:rsidR="00FD70BE" w:rsidRPr="0030354F">
        <w:rPr>
          <w:rFonts w:ascii="Arial" w:hAnsi="Arial" w:cs="Arial"/>
          <w:sz w:val="20"/>
          <w:szCs w:val="20"/>
          <w:lang w:val="en-US"/>
        </w:rPr>
        <w:t xml:space="preserve">– programme two </w:t>
      </w:r>
      <w:r w:rsidR="00FD70BE" w:rsidRPr="0030354F">
        <w:rPr>
          <w:rFonts w:ascii="Arial" w:hAnsi="Arial" w:cs="Arial"/>
          <w:sz w:val="20"/>
          <w:szCs w:val="20"/>
        </w:rPr>
        <w:t>disbursement amounted to R90.4 million (84.4%) against the final appropriation of R107.1 million, resulting in an under expenditure of R16.7 million (15.6%). Compensation of Employees underspent by R11.5 million due to vacancies and Transfers contributed R4 million to the underspending due to delays in the commencement of the Product Markets Programme, whilst machinery and other equipment contributed R1 million due to delays in the delivery of ordered computer equipment.</w:t>
      </w:r>
    </w:p>
    <w:p w:rsidR="00BD4B87" w:rsidRPr="0030354F" w:rsidRDefault="00BD4B87" w:rsidP="0030354F">
      <w:pPr>
        <w:autoSpaceDE w:val="0"/>
        <w:autoSpaceDN w:val="0"/>
        <w:adjustRightInd w:val="0"/>
        <w:spacing w:after="0" w:line="240" w:lineRule="auto"/>
        <w:contextualSpacing/>
        <w:rPr>
          <w:rFonts w:ascii="Arial" w:hAnsi="Arial" w:cs="Arial"/>
          <w:b/>
          <w:sz w:val="20"/>
          <w:szCs w:val="20"/>
        </w:rPr>
      </w:pPr>
    </w:p>
    <w:p w:rsidR="00BE0388" w:rsidRPr="0030354F" w:rsidRDefault="00BE0388" w:rsidP="0030354F">
      <w:pPr>
        <w:autoSpaceDE w:val="0"/>
        <w:autoSpaceDN w:val="0"/>
        <w:adjustRightInd w:val="0"/>
        <w:spacing w:after="0" w:line="240" w:lineRule="auto"/>
        <w:contextualSpacing/>
        <w:rPr>
          <w:rFonts w:ascii="Arial" w:eastAsia="Times New Roman" w:hAnsi="Arial" w:cs="Arial"/>
          <w:b/>
          <w:bCs/>
          <w:color w:val="000000" w:themeColor="text1"/>
          <w:sz w:val="20"/>
          <w:szCs w:val="20"/>
          <w:lang w:eastAsia="en-ZA"/>
        </w:rPr>
      </w:pPr>
      <w:r w:rsidRPr="0030354F">
        <w:rPr>
          <w:rFonts w:ascii="Arial" w:hAnsi="Arial" w:cs="Arial"/>
          <w:b/>
          <w:sz w:val="20"/>
          <w:szCs w:val="20"/>
        </w:rPr>
        <w:t>Table 5: Expenditure Estimates - Programme 2</w:t>
      </w:r>
    </w:p>
    <w:tbl>
      <w:tblPr>
        <w:tblStyle w:val="TableGrid1"/>
        <w:tblW w:w="9350" w:type="dxa"/>
        <w:tblLook w:val="04A0"/>
      </w:tblPr>
      <w:tblGrid>
        <w:gridCol w:w="3247"/>
        <w:gridCol w:w="1873"/>
        <w:gridCol w:w="1980"/>
        <w:gridCol w:w="2250"/>
      </w:tblGrid>
      <w:tr w:rsidR="00BE0388" w:rsidRPr="0030354F" w:rsidTr="00AC781B">
        <w:trPr>
          <w:trHeight w:val="955"/>
        </w:trPr>
        <w:tc>
          <w:tcPr>
            <w:tcW w:w="3247" w:type="dxa"/>
            <w:shd w:val="clear" w:color="auto" w:fill="92D050"/>
            <w:hideMark/>
          </w:tcPr>
          <w:p w:rsidR="00BE0388" w:rsidRPr="0030354F" w:rsidRDefault="00BE0388" w:rsidP="0030354F">
            <w:pPr>
              <w:rPr>
                <w:rFonts w:ascii="Arial" w:hAnsi="Arial" w:cs="Arial"/>
                <w:b/>
                <w:sz w:val="20"/>
                <w:szCs w:val="20"/>
                <w:lang w:eastAsia="en-ZA"/>
              </w:rPr>
            </w:pPr>
            <w:r w:rsidRPr="0030354F">
              <w:rPr>
                <w:rFonts w:ascii="Arial" w:hAnsi="Arial" w:cs="Arial"/>
                <w:b/>
                <w:sz w:val="20"/>
                <w:szCs w:val="20"/>
                <w:lang w:eastAsia="en-ZA"/>
              </w:rPr>
              <w:t>Subprogramme</w:t>
            </w:r>
          </w:p>
        </w:tc>
        <w:tc>
          <w:tcPr>
            <w:tcW w:w="1873" w:type="dxa"/>
            <w:shd w:val="clear" w:color="auto" w:fill="92D050"/>
            <w:hideMark/>
          </w:tcPr>
          <w:p w:rsidR="00BE0388" w:rsidRPr="0030354F" w:rsidRDefault="00BE0388" w:rsidP="0030354F">
            <w:pPr>
              <w:rPr>
                <w:rFonts w:ascii="Arial" w:hAnsi="Arial" w:cs="Arial"/>
                <w:b/>
                <w:bCs/>
                <w:color w:val="000000"/>
                <w:sz w:val="20"/>
                <w:szCs w:val="20"/>
                <w:lang w:val="en-US" w:eastAsia="en-ZA"/>
              </w:rPr>
            </w:pPr>
            <w:r w:rsidRPr="0030354F">
              <w:rPr>
                <w:rFonts w:ascii="Arial" w:hAnsi="Arial" w:cs="Arial"/>
                <w:b/>
                <w:bCs/>
                <w:color w:val="000000"/>
                <w:sz w:val="20"/>
                <w:szCs w:val="20"/>
                <w:lang w:eastAsia="en-ZA"/>
              </w:rPr>
              <w:t>Final Appropriation</w:t>
            </w:r>
          </w:p>
          <w:p w:rsidR="00BE0388" w:rsidRPr="0030354F" w:rsidRDefault="00BE0388" w:rsidP="0030354F">
            <w:pPr>
              <w:rPr>
                <w:rFonts w:ascii="Arial" w:hAnsi="Arial" w:cs="Arial"/>
                <w:b/>
                <w:sz w:val="20"/>
                <w:szCs w:val="20"/>
                <w:lang w:eastAsia="en-ZA"/>
              </w:rPr>
            </w:pPr>
            <w:r w:rsidRPr="0030354F">
              <w:rPr>
                <w:rFonts w:ascii="Arial" w:hAnsi="Arial" w:cs="Arial"/>
                <w:b/>
                <w:bCs/>
                <w:color w:val="000000"/>
                <w:sz w:val="20"/>
                <w:szCs w:val="20"/>
                <w:lang w:val="en-US" w:eastAsia="en-ZA"/>
              </w:rPr>
              <w:t>R'000</w:t>
            </w:r>
          </w:p>
        </w:tc>
        <w:tc>
          <w:tcPr>
            <w:tcW w:w="1980" w:type="dxa"/>
            <w:shd w:val="clear" w:color="auto" w:fill="92D050"/>
            <w:hideMark/>
          </w:tcPr>
          <w:p w:rsidR="00BE0388" w:rsidRPr="0030354F" w:rsidRDefault="00BE0388" w:rsidP="0030354F">
            <w:pPr>
              <w:rPr>
                <w:rFonts w:ascii="Arial" w:hAnsi="Arial" w:cs="Arial"/>
                <w:b/>
                <w:bCs/>
                <w:color w:val="000000"/>
                <w:sz w:val="20"/>
                <w:szCs w:val="20"/>
                <w:lang w:val="en-US" w:eastAsia="en-ZA"/>
              </w:rPr>
            </w:pPr>
            <w:r w:rsidRPr="0030354F">
              <w:rPr>
                <w:rFonts w:ascii="Arial" w:hAnsi="Arial" w:cs="Arial"/>
                <w:b/>
                <w:bCs/>
                <w:color w:val="000000"/>
                <w:sz w:val="20"/>
                <w:szCs w:val="20"/>
                <w:lang w:eastAsia="en-ZA"/>
              </w:rPr>
              <w:t>Actual Expenditure</w:t>
            </w:r>
          </w:p>
          <w:p w:rsidR="00BE0388" w:rsidRPr="0030354F" w:rsidRDefault="00BE0388" w:rsidP="0030354F">
            <w:pPr>
              <w:rPr>
                <w:rFonts w:ascii="Arial" w:hAnsi="Arial" w:cs="Arial"/>
                <w:b/>
                <w:sz w:val="20"/>
                <w:szCs w:val="20"/>
                <w:lang w:eastAsia="en-ZA"/>
              </w:rPr>
            </w:pPr>
            <w:r w:rsidRPr="0030354F">
              <w:rPr>
                <w:rFonts w:ascii="Arial" w:hAnsi="Arial" w:cs="Arial"/>
                <w:b/>
                <w:bCs/>
                <w:color w:val="000000"/>
                <w:sz w:val="20"/>
                <w:szCs w:val="20"/>
                <w:lang w:val="en-US" w:eastAsia="en-ZA"/>
              </w:rPr>
              <w:t>R'000</w:t>
            </w:r>
          </w:p>
        </w:tc>
        <w:tc>
          <w:tcPr>
            <w:tcW w:w="2250" w:type="dxa"/>
            <w:shd w:val="clear" w:color="auto" w:fill="92D050"/>
            <w:hideMark/>
          </w:tcPr>
          <w:p w:rsidR="00BE0388" w:rsidRPr="0030354F" w:rsidRDefault="00BE0388" w:rsidP="0030354F">
            <w:pPr>
              <w:rPr>
                <w:rFonts w:ascii="Arial" w:hAnsi="Arial" w:cs="Arial"/>
                <w:b/>
                <w:bCs/>
                <w:color w:val="000000"/>
                <w:sz w:val="20"/>
                <w:szCs w:val="20"/>
                <w:lang w:val="en-US" w:eastAsia="en-ZA"/>
              </w:rPr>
            </w:pPr>
            <w:r w:rsidRPr="0030354F">
              <w:rPr>
                <w:rFonts w:ascii="Arial" w:hAnsi="Arial" w:cs="Arial"/>
                <w:b/>
                <w:bCs/>
                <w:color w:val="000000"/>
                <w:sz w:val="20"/>
                <w:szCs w:val="20"/>
                <w:lang w:eastAsia="en-ZA"/>
              </w:rPr>
              <w:t>Over/Under Expenditure</w:t>
            </w:r>
          </w:p>
          <w:p w:rsidR="00BE0388" w:rsidRPr="0030354F" w:rsidRDefault="00BE0388" w:rsidP="0030354F">
            <w:pPr>
              <w:rPr>
                <w:rFonts w:ascii="Arial" w:hAnsi="Arial" w:cs="Arial"/>
                <w:b/>
                <w:sz w:val="20"/>
                <w:szCs w:val="20"/>
                <w:lang w:eastAsia="en-ZA"/>
              </w:rPr>
            </w:pPr>
            <w:r w:rsidRPr="0030354F">
              <w:rPr>
                <w:rFonts w:ascii="Arial" w:hAnsi="Arial" w:cs="Arial"/>
                <w:b/>
                <w:bCs/>
                <w:color w:val="000000"/>
                <w:sz w:val="20"/>
                <w:szCs w:val="20"/>
                <w:lang w:val="en-US" w:eastAsia="en-ZA"/>
              </w:rPr>
              <w:t>R'000</w:t>
            </w:r>
          </w:p>
        </w:tc>
      </w:tr>
      <w:tr w:rsidR="00BE0388" w:rsidRPr="0030354F" w:rsidTr="00AC781B">
        <w:trPr>
          <w:trHeight w:val="145"/>
        </w:trPr>
        <w:tc>
          <w:tcPr>
            <w:tcW w:w="3247" w:type="dxa"/>
          </w:tcPr>
          <w:p w:rsidR="00BE0388" w:rsidRPr="0030354F" w:rsidRDefault="00BD4B87" w:rsidP="0030354F">
            <w:pPr>
              <w:rPr>
                <w:rFonts w:ascii="Arial" w:hAnsi="Arial" w:cs="Arial"/>
                <w:sz w:val="20"/>
                <w:szCs w:val="20"/>
                <w:lang w:eastAsia="en-ZA"/>
              </w:rPr>
            </w:pPr>
            <w:r w:rsidRPr="0030354F">
              <w:rPr>
                <w:rFonts w:ascii="Arial" w:hAnsi="Arial" w:cs="Arial"/>
                <w:sz w:val="20"/>
                <w:szCs w:val="20"/>
                <w:lang w:eastAsia="en-ZA"/>
              </w:rPr>
              <w:t>Sector and Market Development Management</w:t>
            </w:r>
          </w:p>
        </w:tc>
        <w:tc>
          <w:tcPr>
            <w:tcW w:w="1873" w:type="dxa"/>
          </w:tcPr>
          <w:p w:rsidR="00BE0388" w:rsidRPr="0030354F" w:rsidRDefault="00BD4B87" w:rsidP="0030354F">
            <w:pPr>
              <w:rPr>
                <w:rFonts w:ascii="Arial" w:hAnsi="Arial" w:cs="Arial"/>
                <w:sz w:val="20"/>
                <w:szCs w:val="20"/>
                <w:lang w:eastAsia="en-ZA"/>
              </w:rPr>
            </w:pPr>
            <w:r w:rsidRPr="0030354F">
              <w:rPr>
                <w:rFonts w:ascii="Arial" w:hAnsi="Arial" w:cs="Arial"/>
                <w:sz w:val="20"/>
                <w:szCs w:val="20"/>
                <w:lang w:eastAsia="en-ZA"/>
              </w:rPr>
              <w:t>1 581</w:t>
            </w:r>
          </w:p>
        </w:tc>
        <w:tc>
          <w:tcPr>
            <w:tcW w:w="1980" w:type="dxa"/>
          </w:tcPr>
          <w:p w:rsidR="00BE0388" w:rsidRPr="0030354F" w:rsidRDefault="00BD4B87" w:rsidP="0030354F">
            <w:pPr>
              <w:rPr>
                <w:rFonts w:ascii="Arial" w:hAnsi="Arial" w:cs="Arial"/>
                <w:sz w:val="20"/>
                <w:szCs w:val="20"/>
                <w:lang w:eastAsia="en-ZA"/>
              </w:rPr>
            </w:pPr>
            <w:r w:rsidRPr="0030354F">
              <w:rPr>
                <w:rFonts w:ascii="Arial" w:hAnsi="Arial" w:cs="Arial"/>
                <w:sz w:val="20"/>
                <w:szCs w:val="20"/>
                <w:lang w:eastAsia="en-ZA"/>
              </w:rPr>
              <w:t>808</w:t>
            </w:r>
          </w:p>
        </w:tc>
        <w:tc>
          <w:tcPr>
            <w:tcW w:w="2250" w:type="dxa"/>
          </w:tcPr>
          <w:p w:rsidR="00BE0388" w:rsidRPr="0030354F" w:rsidRDefault="001B29D7" w:rsidP="0030354F">
            <w:pPr>
              <w:rPr>
                <w:rFonts w:ascii="Arial" w:hAnsi="Arial" w:cs="Arial"/>
                <w:sz w:val="20"/>
                <w:szCs w:val="20"/>
                <w:lang w:eastAsia="en-ZA"/>
              </w:rPr>
            </w:pPr>
            <w:r w:rsidRPr="0030354F">
              <w:rPr>
                <w:rFonts w:ascii="Arial" w:hAnsi="Arial" w:cs="Arial"/>
                <w:sz w:val="20"/>
                <w:szCs w:val="20"/>
                <w:lang w:eastAsia="en-ZA"/>
              </w:rPr>
              <w:t>773</w:t>
            </w:r>
          </w:p>
        </w:tc>
      </w:tr>
      <w:tr w:rsidR="00BE0388" w:rsidRPr="0030354F" w:rsidTr="00AC781B">
        <w:trPr>
          <w:trHeight w:val="172"/>
        </w:trPr>
        <w:tc>
          <w:tcPr>
            <w:tcW w:w="3247" w:type="dxa"/>
          </w:tcPr>
          <w:p w:rsidR="00BE0388" w:rsidRPr="0030354F" w:rsidRDefault="00BD4B87" w:rsidP="0030354F">
            <w:pPr>
              <w:rPr>
                <w:rFonts w:ascii="Arial" w:hAnsi="Arial" w:cs="Arial"/>
                <w:sz w:val="20"/>
                <w:szCs w:val="20"/>
                <w:lang w:eastAsia="en-ZA"/>
              </w:rPr>
            </w:pPr>
            <w:r w:rsidRPr="0030354F">
              <w:rPr>
                <w:rFonts w:ascii="Arial" w:hAnsi="Arial" w:cs="Arial"/>
                <w:sz w:val="20"/>
                <w:szCs w:val="20"/>
                <w:lang w:eastAsia="en-ZA"/>
              </w:rPr>
              <w:t>Business Information and Knowledge Management</w:t>
            </w:r>
          </w:p>
        </w:tc>
        <w:tc>
          <w:tcPr>
            <w:tcW w:w="1873" w:type="dxa"/>
          </w:tcPr>
          <w:p w:rsidR="00BE0388" w:rsidRPr="0030354F" w:rsidRDefault="001B29D7" w:rsidP="0030354F">
            <w:pPr>
              <w:rPr>
                <w:rFonts w:ascii="Arial" w:hAnsi="Arial" w:cs="Arial"/>
                <w:sz w:val="20"/>
                <w:szCs w:val="20"/>
                <w:lang w:eastAsia="en-ZA"/>
              </w:rPr>
            </w:pPr>
            <w:r w:rsidRPr="0030354F">
              <w:rPr>
                <w:rFonts w:ascii="Arial" w:hAnsi="Arial" w:cs="Arial"/>
                <w:sz w:val="20"/>
                <w:szCs w:val="20"/>
                <w:lang w:eastAsia="en-ZA"/>
              </w:rPr>
              <w:t>19 459</w:t>
            </w:r>
          </w:p>
        </w:tc>
        <w:tc>
          <w:tcPr>
            <w:tcW w:w="1980" w:type="dxa"/>
          </w:tcPr>
          <w:p w:rsidR="00BE0388" w:rsidRPr="0030354F" w:rsidRDefault="001B29D7" w:rsidP="0030354F">
            <w:pPr>
              <w:rPr>
                <w:rFonts w:ascii="Arial" w:hAnsi="Arial" w:cs="Arial"/>
                <w:sz w:val="20"/>
                <w:szCs w:val="20"/>
                <w:lang w:eastAsia="en-ZA"/>
              </w:rPr>
            </w:pPr>
            <w:r w:rsidRPr="0030354F">
              <w:rPr>
                <w:rFonts w:ascii="Arial" w:hAnsi="Arial" w:cs="Arial"/>
                <w:sz w:val="20"/>
                <w:szCs w:val="20"/>
                <w:lang w:eastAsia="en-ZA"/>
              </w:rPr>
              <w:t>14 254</w:t>
            </w:r>
          </w:p>
        </w:tc>
        <w:tc>
          <w:tcPr>
            <w:tcW w:w="2250" w:type="dxa"/>
          </w:tcPr>
          <w:p w:rsidR="00BE0388" w:rsidRPr="0030354F" w:rsidRDefault="001B29D7" w:rsidP="0030354F">
            <w:pPr>
              <w:rPr>
                <w:rFonts w:ascii="Arial" w:hAnsi="Arial" w:cs="Arial"/>
                <w:sz w:val="20"/>
                <w:szCs w:val="20"/>
                <w:lang w:eastAsia="en-ZA"/>
              </w:rPr>
            </w:pPr>
            <w:r w:rsidRPr="0030354F">
              <w:rPr>
                <w:rFonts w:ascii="Arial" w:hAnsi="Arial" w:cs="Arial"/>
                <w:sz w:val="20"/>
                <w:szCs w:val="20"/>
                <w:lang w:eastAsia="en-ZA"/>
              </w:rPr>
              <w:t>5 205</w:t>
            </w:r>
          </w:p>
        </w:tc>
      </w:tr>
      <w:tr w:rsidR="00BE0388" w:rsidRPr="0030354F" w:rsidTr="00AC781B">
        <w:trPr>
          <w:trHeight w:val="190"/>
        </w:trPr>
        <w:tc>
          <w:tcPr>
            <w:tcW w:w="3247" w:type="dxa"/>
          </w:tcPr>
          <w:p w:rsidR="00BE0388" w:rsidRPr="0030354F" w:rsidRDefault="00BD4B87" w:rsidP="0030354F">
            <w:pPr>
              <w:rPr>
                <w:rFonts w:ascii="Arial" w:hAnsi="Arial" w:cs="Arial"/>
                <w:sz w:val="20"/>
                <w:szCs w:val="20"/>
                <w:lang w:eastAsia="en-ZA"/>
              </w:rPr>
            </w:pPr>
            <w:r w:rsidRPr="0030354F">
              <w:rPr>
                <w:rFonts w:ascii="Arial" w:hAnsi="Arial" w:cs="Arial"/>
                <w:sz w:val="20"/>
                <w:szCs w:val="20"/>
                <w:lang w:eastAsia="en-ZA"/>
              </w:rPr>
              <w:t>Ease of Doing Business</w:t>
            </w:r>
          </w:p>
        </w:tc>
        <w:tc>
          <w:tcPr>
            <w:tcW w:w="1873" w:type="dxa"/>
          </w:tcPr>
          <w:p w:rsidR="00BE0388" w:rsidRPr="0030354F" w:rsidRDefault="001B29D7" w:rsidP="0030354F">
            <w:pPr>
              <w:rPr>
                <w:rFonts w:ascii="Arial" w:hAnsi="Arial" w:cs="Arial"/>
                <w:sz w:val="20"/>
                <w:szCs w:val="20"/>
                <w:lang w:eastAsia="en-ZA"/>
              </w:rPr>
            </w:pPr>
            <w:r w:rsidRPr="0030354F">
              <w:rPr>
                <w:rFonts w:ascii="Arial" w:hAnsi="Arial" w:cs="Arial"/>
                <w:sz w:val="20"/>
                <w:szCs w:val="20"/>
                <w:lang w:eastAsia="en-ZA"/>
              </w:rPr>
              <w:t>7 961</w:t>
            </w:r>
          </w:p>
        </w:tc>
        <w:tc>
          <w:tcPr>
            <w:tcW w:w="1980" w:type="dxa"/>
          </w:tcPr>
          <w:p w:rsidR="00BE0388" w:rsidRPr="0030354F" w:rsidRDefault="001B29D7" w:rsidP="0030354F">
            <w:pPr>
              <w:rPr>
                <w:rFonts w:ascii="Arial" w:hAnsi="Arial" w:cs="Arial"/>
                <w:sz w:val="20"/>
                <w:szCs w:val="20"/>
                <w:lang w:eastAsia="en-ZA"/>
              </w:rPr>
            </w:pPr>
            <w:r w:rsidRPr="0030354F">
              <w:rPr>
                <w:rFonts w:ascii="Arial" w:hAnsi="Arial" w:cs="Arial"/>
                <w:sz w:val="20"/>
                <w:szCs w:val="20"/>
                <w:lang w:eastAsia="en-ZA"/>
              </w:rPr>
              <w:t>7 564</w:t>
            </w:r>
          </w:p>
        </w:tc>
        <w:tc>
          <w:tcPr>
            <w:tcW w:w="2250" w:type="dxa"/>
          </w:tcPr>
          <w:p w:rsidR="00BE0388" w:rsidRPr="0030354F" w:rsidRDefault="001B29D7" w:rsidP="0030354F">
            <w:pPr>
              <w:rPr>
                <w:rFonts w:ascii="Arial" w:hAnsi="Arial" w:cs="Arial"/>
                <w:sz w:val="20"/>
                <w:szCs w:val="20"/>
                <w:lang w:eastAsia="en-ZA"/>
              </w:rPr>
            </w:pPr>
            <w:r w:rsidRPr="0030354F">
              <w:rPr>
                <w:rFonts w:ascii="Arial" w:hAnsi="Arial" w:cs="Arial"/>
                <w:sz w:val="20"/>
                <w:szCs w:val="20"/>
                <w:lang w:eastAsia="en-ZA"/>
              </w:rPr>
              <w:t>397</w:t>
            </w:r>
          </w:p>
        </w:tc>
      </w:tr>
      <w:tr w:rsidR="00BE0388" w:rsidRPr="0030354F" w:rsidTr="00AC781B">
        <w:trPr>
          <w:trHeight w:val="100"/>
        </w:trPr>
        <w:tc>
          <w:tcPr>
            <w:tcW w:w="3247" w:type="dxa"/>
          </w:tcPr>
          <w:p w:rsidR="00BE0388" w:rsidRPr="0030354F" w:rsidRDefault="00BD4B87" w:rsidP="0030354F">
            <w:pPr>
              <w:rPr>
                <w:rFonts w:ascii="Arial" w:hAnsi="Arial" w:cs="Arial"/>
                <w:sz w:val="20"/>
                <w:szCs w:val="20"/>
                <w:lang w:eastAsia="en-ZA"/>
              </w:rPr>
            </w:pPr>
            <w:r w:rsidRPr="0030354F">
              <w:rPr>
                <w:rFonts w:ascii="Arial" w:hAnsi="Arial" w:cs="Arial"/>
                <w:sz w:val="20"/>
                <w:szCs w:val="20"/>
                <w:lang w:eastAsia="en-ZA"/>
              </w:rPr>
              <w:t>Access to Market Support</w:t>
            </w:r>
          </w:p>
        </w:tc>
        <w:tc>
          <w:tcPr>
            <w:tcW w:w="1873" w:type="dxa"/>
          </w:tcPr>
          <w:p w:rsidR="00BE0388" w:rsidRPr="0030354F" w:rsidRDefault="001B29D7" w:rsidP="0030354F">
            <w:pPr>
              <w:rPr>
                <w:rFonts w:ascii="Arial" w:hAnsi="Arial" w:cs="Arial"/>
                <w:sz w:val="20"/>
                <w:szCs w:val="20"/>
                <w:lang w:eastAsia="en-ZA"/>
              </w:rPr>
            </w:pPr>
            <w:r w:rsidRPr="0030354F">
              <w:rPr>
                <w:rFonts w:ascii="Arial" w:hAnsi="Arial" w:cs="Arial"/>
                <w:sz w:val="20"/>
                <w:szCs w:val="20"/>
                <w:lang w:eastAsia="en-ZA"/>
              </w:rPr>
              <w:t>78 138</w:t>
            </w:r>
          </w:p>
        </w:tc>
        <w:tc>
          <w:tcPr>
            <w:tcW w:w="1980" w:type="dxa"/>
          </w:tcPr>
          <w:p w:rsidR="00BE0388" w:rsidRPr="0030354F" w:rsidRDefault="001B29D7" w:rsidP="0030354F">
            <w:pPr>
              <w:rPr>
                <w:rFonts w:ascii="Arial" w:hAnsi="Arial" w:cs="Arial"/>
                <w:sz w:val="20"/>
                <w:szCs w:val="20"/>
                <w:lang w:eastAsia="en-ZA"/>
              </w:rPr>
            </w:pPr>
            <w:r w:rsidRPr="0030354F">
              <w:rPr>
                <w:rFonts w:ascii="Arial" w:hAnsi="Arial" w:cs="Arial"/>
                <w:sz w:val="20"/>
                <w:szCs w:val="20"/>
                <w:lang w:eastAsia="en-ZA"/>
              </w:rPr>
              <w:t xml:space="preserve">67 805 </w:t>
            </w:r>
          </w:p>
        </w:tc>
        <w:tc>
          <w:tcPr>
            <w:tcW w:w="2250" w:type="dxa"/>
          </w:tcPr>
          <w:p w:rsidR="00BE0388" w:rsidRPr="0030354F" w:rsidRDefault="001B29D7" w:rsidP="0030354F">
            <w:pPr>
              <w:rPr>
                <w:rFonts w:ascii="Arial" w:hAnsi="Arial" w:cs="Arial"/>
                <w:sz w:val="20"/>
                <w:szCs w:val="20"/>
                <w:lang w:eastAsia="en-ZA"/>
              </w:rPr>
            </w:pPr>
            <w:r w:rsidRPr="0030354F">
              <w:rPr>
                <w:rFonts w:ascii="Arial" w:hAnsi="Arial" w:cs="Arial"/>
                <w:sz w:val="20"/>
                <w:szCs w:val="20"/>
                <w:lang w:eastAsia="en-ZA"/>
              </w:rPr>
              <w:t>10 333</w:t>
            </w:r>
          </w:p>
        </w:tc>
      </w:tr>
      <w:tr w:rsidR="00BE0388" w:rsidRPr="0030354F" w:rsidTr="00AC781B">
        <w:trPr>
          <w:trHeight w:val="100"/>
        </w:trPr>
        <w:tc>
          <w:tcPr>
            <w:tcW w:w="3247" w:type="dxa"/>
            <w:shd w:val="clear" w:color="auto" w:fill="BFBFBF" w:themeFill="background1" w:themeFillShade="BF"/>
          </w:tcPr>
          <w:p w:rsidR="00BE0388" w:rsidRPr="0030354F" w:rsidRDefault="0075461D" w:rsidP="0030354F">
            <w:pPr>
              <w:rPr>
                <w:rFonts w:ascii="Arial" w:hAnsi="Arial" w:cs="Arial"/>
                <w:b/>
                <w:sz w:val="20"/>
                <w:szCs w:val="20"/>
                <w:lang w:eastAsia="en-ZA"/>
              </w:rPr>
            </w:pPr>
            <w:r w:rsidRPr="0030354F">
              <w:rPr>
                <w:rFonts w:ascii="Arial" w:hAnsi="Arial" w:cs="Arial"/>
                <w:b/>
                <w:sz w:val="20"/>
                <w:szCs w:val="20"/>
                <w:lang w:val="en-US" w:eastAsia="en-ZA"/>
              </w:rPr>
              <w:t>TOTAL</w:t>
            </w:r>
          </w:p>
        </w:tc>
        <w:tc>
          <w:tcPr>
            <w:tcW w:w="1873" w:type="dxa"/>
            <w:shd w:val="clear" w:color="auto" w:fill="BFBFBF" w:themeFill="background1" w:themeFillShade="BF"/>
          </w:tcPr>
          <w:p w:rsidR="00BE0388" w:rsidRPr="0030354F" w:rsidRDefault="001B29D7" w:rsidP="0030354F">
            <w:pPr>
              <w:rPr>
                <w:rFonts w:ascii="Arial" w:hAnsi="Arial" w:cs="Arial"/>
                <w:b/>
                <w:sz w:val="20"/>
                <w:szCs w:val="20"/>
                <w:lang w:eastAsia="en-ZA"/>
              </w:rPr>
            </w:pPr>
            <w:r w:rsidRPr="0030354F">
              <w:rPr>
                <w:rFonts w:ascii="Arial" w:hAnsi="Arial" w:cs="Arial"/>
                <w:b/>
                <w:sz w:val="20"/>
                <w:szCs w:val="20"/>
                <w:lang w:val="en-US" w:eastAsia="en-ZA"/>
              </w:rPr>
              <w:t>107 139</w:t>
            </w:r>
          </w:p>
        </w:tc>
        <w:tc>
          <w:tcPr>
            <w:tcW w:w="1980" w:type="dxa"/>
            <w:shd w:val="clear" w:color="auto" w:fill="BFBFBF" w:themeFill="background1" w:themeFillShade="BF"/>
          </w:tcPr>
          <w:p w:rsidR="00BE0388" w:rsidRPr="0030354F" w:rsidRDefault="001B29D7" w:rsidP="0030354F">
            <w:pPr>
              <w:rPr>
                <w:rFonts w:ascii="Arial" w:hAnsi="Arial" w:cs="Arial"/>
                <w:b/>
                <w:sz w:val="20"/>
                <w:szCs w:val="20"/>
                <w:lang w:eastAsia="en-ZA"/>
              </w:rPr>
            </w:pPr>
            <w:r w:rsidRPr="0030354F">
              <w:rPr>
                <w:rFonts w:ascii="Arial" w:hAnsi="Arial" w:cs="Arial"/>
                <w:b/>
                <w:sz w:val="20"/>
                <w:szCs w:val="20"/>
                <w:lang w:val="en-US" w:eastAsia="en-ZA"/>
              </w:rPr>
              <w:t>90 431</w:t>
            </w:r>
          </w:p>
        </w:tc>
        <w:tc>
          <w:tcPr>
            <w:tcW w:w="2250" w:type="dxa"/>
            <w:shd w:val="clear" w:color="auto" w:fill="BFBFBF" w:themeFill="background1" w:themeFillShade="BF"/>
          </w:tcPr>
          <w:p w:rsidR="00BE0388" w:rsidRPr="0030354F" w:rsidRDefault="001B29D7" w:rsidP="0030354F">
            <w:pPr>
              <w:rPr>
                <w:rFonts w:ascii="Arial" w:hAnsi="Arial" w:cs="Arial"/>
                <w:b/>
                <w:sz w:val="20"/>
                <w:szCs w:val="20"/>
                <w:lang w:eastAsia="en-ZA"/>
              </w:rPr>
            </w:pPr>
            <w:r w:rsidRPr="0030354F">
              <w:rPr>
                <w:rFonts w:ascii="Arial" w:hAnsi="Arial" w:cs="Arial"/>
                <w:b/>
                <w:sz w:val="20"/>
                <w:szCs w:val="20"/>
                <w:lang w:val="en-US" w:eastAsia="en-ZA"/>
              </w:rPr>
              <w:t>16 708</w:t>
            </w:r>
          </w:p>
        </w:tc>
      </w:tr>
    </w:tbl>
    <w:p w:rsidR="00BE0388" w:rsidRPr="0030354F" w:rsidRDefault="00BE0388" w:rsidP="0030354F">
      <w:pPr>
        <w:autoSpaceDE w:val="0"/>
        <w:autoSpaceDN w:val="0"/>
        <w:adjustRightInd w:val="0"/>
        <w:spacing w:after="0" w:line="240" w:lineRule="auto"/>
        <w:contextualSpacing/>
        <w:rPr>
          <w:rFonts w:ascii="Arial" w:hAnsi="Arial" w:cs="Arial"/>
          <w:b/>
          <w:sz w:val="20"/>
          <w:szCs w:val="20"/>
        </w:rPr>
      </w:pPr>
      <w:r w:rsidRPr="0030354F">
        <w:rPr>
          <w:rFonts w:ascii="Arial" w:hAnsi="Arial" w:cs="Arial"/>
          <w:b/>
          <w:sz w:val="20"/>
          <w:szCs w:val="20"/>
        </w:rPr>
        <w:t>Source: DSBD Annual Report 202</w:t>
      </w:r>
      <w:r w:rsidR="00BD4B87" w:rsidRPr="0030354F">
        <w:rPr>
          <w:rFonts w:ascii="Arial" w:hAnsi="Arial" w:cs="Arial"/>
          <w:b/>
          <w:sz w:val="20"/>
          <w:szCs w:val="20"/>
        </w:rPr>
        <w:t>1/22</w:t>
      </w:r>
    </w:p>
    <w:p w:rsidR="00FE2831" w:rsidRPr="0030354F" w:rsidRDefault="00FE2831" w:rsidP="0030354F">
      <w:pPr>
        <w:spacing w:after="0" w:line="240" w:lineRule="auto"/>
        <w:rPr>
          <w:rFonts w:ascii="Arial" w:hAnsi="Arial" w:cs="Arial"/>
          <w:sz w:val="20"/>
          <w:szCs w:val="20"/>
        </w:rPr>
      </w:pPr>
    </w:p>
    <w:p w:rsidR="0006451C" w:rsidRPr="0030354F" w:rsidRDefault="0006451C" w:rsidP="0030354F">
      <w:pPr>
        <w:spacing w:after="0" w:line="240" w:lineRule="auto"/>
        <w:contextualSpacing/>
        <w:rPr>
          <w:rFonts w:ascii="Arial" w:hAnsi="Arial" w:cs="Arial"/>
          <w:b/>
          <w:sz w:val="20"/>
          <w:szCs w:val="20"/>
        </w:rPr>
      </w:pPr>
      <w:r w:rsidRPr="0030354F">
        <w:rPr>
          <w:rFonts w:ascii="Arial" w:hAnsi="Arial" w:cs="Arial"/>
          <w:b/>
          <w:sz w:val="20"/>
          <w:szCs w:val="20"/>
        </w:rPr>
        <w:t>4.2.3</w:t>
      </w:r>
      <w:r w:rsidRPr="0030354F">
        <w:rPr>
          <w:rFonts w:ascii="Arial" w:hAnsi="Arial" w:cs="Arial"/>
          <w:b/>
          <w:sz w:val="20"/>
          <w:szCs w:val="20"/>
        </w:rPr>
        <w:tab/>
      </w:r>
      <w:r w:rsidR="00BE0388" w:rsidRPr="0030354F">
        <w:rPr>
          <w:rFonts w:ascii="Arial" w:hAnsi="Arial" w:cs="Arial"/>
          <w:b/>
          <w:sz w:val="20"/>
          <w:szCs w:val="20"/>
        </w:rPr>
        <w:t>Annual expenditure for Programme Three</w:t>
      </w:r>
    </w:p>
    <w:p w:rsidR="0075461D" w:rsidRPr="0030354F" w:rsidRDefault="0075461D"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rPr>
        <w:t xml:space="preserve">The </w:t>
      </w:r>
      <w:r w:rsidR="008C232C" w:rsidRPr="0030354F">
        <w:rPr>
          <w:rFonts w:ascii="Arial" w:hAnsi="Arial" w:cs="Arial"/>
          <w:sz w:val="20"/>
          <w:szCs w:val="20"/>
        </w:rPr>
        <w:t xml:space="preserve">Development Finance </w:t>
      </w:r>
      <w:r w:rsidRPr="0030354F">
        <w:rPr>
          <w:rFonts w:ascii="Arial" w:hAnsi="Arial" w:cs="Arial"/>
          <w:sz w:val="20"/>
          <w:szCs w:val="20"/>
        </w:rPr>
        <w:t xml:space="preserve">– programme three </w:t>
      </w:r>
      <w:r w:rsidR="008C232C" w:rsidRPr="0030354F">
        <w:rPr>
          <w:rFonts w:ascii="Arial" w:hAnsi="Arial" w:cs="Arial"/>
          <w:sz w:val="20"/>
          <w:szCs w:val="20"/>
        </w:rPr>
        <w:t>expenditure</w:t>
      </w:r>
      <w:r w:rsidR="00BE0388" w:rsidRPr="0030354F">
        <w:rPr>
          <w:rFonts w:ascii="Arial" w:hAnsi="Arial" w:cs="Arial"/>
          <w:sz w:val="20"/>
          <w:szCs w:val="20"/>
        </w:rPr>
        <w:t xml:space="preserve"> </w:t>
      </w:r>
      <w:r w:rsidRPr="0030354F">
        <w:rPr>
          <w:rFonts w:ascii="Arial" w:hAnsi="Arial" w:cs="Arial"/>
          <w:sz w:val="20"/>
          <w:szCs w:val="20"/>
        </w:rPr>
        <w:t xml:space="preserve">for the period under review amounted to R1.551 billion against the final appropriation of R1.554 billion, resulting in an under expenditure of R2.8 million. Compensation of Employees contributed R2.2 million to the under expenditure due to vacancies. The main cost drivers of expenditure in the Programme are Transfers and Subsidies at R1.528 billion, Compensation of Employees at R21.6 million, and Goods and Services at R1.7 million. The drivers of expenditure on Goods and Services are Travel and Subsistence (R998 thousand), Communication (R282 thousand) and Legal Costs (R206 thousand). The Committee has noted with concern the unfortunate performance – support to co-operatives and lack or absence of a strategy thereof to deal with the matter. </w:t>
      </w:r>
    </w:p>
    <w:p w:rsidR="008C232C" w:rsidRPr="0030354F" w:rsidRDefault="008C232C" w:rsidP="0030354F">
      <w:pPr>
        <w:spacing w:after="0" w:line="240" w:lineRule="auto"/>
        <w:contextualSpacing/>
        <w:rPr>
          <w:rFonts w:ascii="Arial" w:hAnsi="Arial" w:cs="Arial"/>
          <w:sz w:val="20"/>
          <w:szCs w:val="20"/>
        </w:rPr>
      </w:pPr>
    </w:p>
    <w:p w:rsidR="00BE0388" w:rsidRPr="0030354F" w:rsidRDefault="00BE0388" w:rsidP="0030354F">
      <w:pPr>
        <w:spacing w:after="0" w:line="240" w:lineRule="auto"/>
        <w:contextualSpacing/>
        <w:rPr>
          <w:rFonts w:ascii="Arial" w:eastAsia="Times New Roman" w:hAnsi="Arial" w:cs="Arial"/>
          <w:b/>
          <w:bCs/>
          <w:color w:val="000000" w:themeColor="text1"/>
          <w:sz w:val="20"/>
          <w:szCs w:val="20"/>
          <w:lang w:eastAsia="en-ZA"/>
        </w:rPr>
      </w:pPr>
      <w:r w:rsidRPr="0030354F">
        <w:rPr>
          <w:rFonts w:ascii="Arial" w:hAnsi="Arial" w:cs="Arial"/>
          <w:b/>
          <w:sz w:val="20"/>
          <w:szCs w:val="20"/>
        </w:rPr>
        <w:t>Table 6: Exp</w:t>
      </w:r>
      <w:r w:rsidR="00CE4079" w:rsidRPr="0030354F">
        <w:rPr>
          <w:rFonts w:ascii="Arial" w:hAnsi="Arial" w:cs="Arial"/>
          <w:b/>
          <w:sz w:val="20"/>
          <w:szCs w:val="20"/>
        </w:rPr>
        <w:t>enditure Estimates - Programme 3</w:t>
      </w:r>
    </w:p>
    <w:tbl>
      <w:tblPr>
        <w:tblStyle w:val="TableGrid1"/>
        <w:tblW w:w="9350" w:type="dxa"/>
        <w:tblLook w:val="04A0"/>
      </w:tblPr>
      <w:tblGrid>
        <w:gridCol w:w="3247"/>
        <w:gridCol w:w="1873"/>
        <w:gridCol w:w="1980"/>
        <w:gridCol w:w="2250"/>
      </w:tblGrid>
      <w:tr w:rsidR="00BE0388" w:rsidRPr="0030354F" w:rsidTr="00AC781B">
        <w:trPr>
          <w:trHeight w:val="955"/>
        </w:trPr>
        <w:tc>
          <w:tcPr>
            <w:tcW w:w="3247" w:type="dxa"/>
            <w:shd w:val="clear" w:color="auto" w:fill="92D050"/>
            <w:hideMark/>
          </w:tcPr>
          <w:p w:rsidR="00BE0388" w:rsidRPr="0030354F" w:rsidRDefault="00BE0388" w:rsidP="0030354F">
            <w:pPr>
              <w:rPr>
                <w:rFonts w:ascii="Arial" w:hAnsi="Arial" w:cs="Arial"/>
                <w:b/>
                <w:sz w:val="20"/>
                <w:szCs w:val="20"/>
                <w:lang w:eastAsia="en-ZA"/>
              </w:rPr>
            </w:pPr>
            <w:r w:rsidRPr="0030354F">
              <w:rPr>
                <w:rFonts w:ascii="Arial" w:hAnsi="Arial" w:cs="Arial"/>
                <w:b/>
                <w:sz w:val="20"/>
                <w:szCs w:val="20"/>
                <w:lang w:eastAsia="en-ZA"/>
              </w:rPr>
              <w:t>Subprogramme</w:t>
            </w:r>
          </w:p>
        </w:tc>
        <w:tc>
          <w:tcPr>
            <w:tcW w:w="1873" w:type="dxa"/>
            <w:shd w:val="clear" w:color="auto" w:fill="92D050"/>
            <w:hideMark/>
          </w:tcPr>
          <w:p w:rsidR="00BE0388" w:rsidRPr="0030354F" w:rsidRDefault="00BE0388" w:rsidP="0030354F">
            <w:pPr>
              <w:rPr>
                <w:rFonts w:ascii="Arial" w:hAnsi="Arial" w:cs="Arial"/>
                <w:b/>
                <w:bCs/>
                <w:color w:val="000000"/>
                <w:sz w:val="20"/>
                <w:szCs w:val="20"/>
                <w:lang w:val="en-US" w:eastAsia="en-ZA"/>
              </w:rPr>
            </w:pPr>
            <w:r w:rsidRPr="0030354F">
              <w:rPr>
                <w:rFonts w:ascii="Arial" w:hAnsi="Arial" w:cs="Arial"/>
                <w:b/>
                <w:bCs/>
                <w:color w:val="000000"/>
                <w:sz w:val="20"/>
                <w:szCs w:val="20"/>
                <w:lang w:eastAsia="en-ZA"/>
              </w:rPr>
              <w:t>Final Appropriation</w:t>
            </w:r>
          </w:p>
          <w:p w:rsidR="00BE0388" w:rsidRPr="0030354F" w:rsidRDefault="00BE0388" w:rsidP="0030354F">
            <w:pPr>
              <w:rPr>
                <w:rFonts w:ascii="Arial" w:hAnsi="Arial" w:cs="Arial"/>
                <w:b/>
                <w:sz w:val="20"/>
                <w:szCs w:val="20"/>
                <w:lang w:eastAsia="en-ZA"/>
              </w:rPr>
            </w:pPr>
            <w:r w:rsidRPr="0030354F">
              <w:rPr>
                <w:rFonts w:ascii="Arial" w:hAnsi="Arial" w:cs="Arial"/>
                <w:b/>
                <w:bCs/>
                <w:color w:val="000000"/>
                <w:sz w:val="20"/>
                <w:szCs w:val="20"/>
                <w:lang w:val="en-US" w:eastAsia="en-ZA"/>
              </w:rPr>
              <w:t>R'000</w:t>
            </w:r>
          </w:p>
        </w:tc>
        <w:tc>
          <w:tcPr>
            <w:tcW w:w="1980" w:type="dxa"/>
            <w:shd w:val="clear" w:color="auto" w:fill="92D050"/>
            <w:hideMark/>
          </w:tcPr>
          <w:p w:rsidR="00BE0388" w:rsidRPr="0030354F" w:rsidRDefault="00BE0388" w:rsidP="0030354F">
            <w:pPr>
              <w:rPr>
                <w:rFonts w:ascii="Arial" w:hAnsi="Arial" w:cs="Arial"/>
                <w:b/>
                <w:bCs/>
                <w:color w:val="000000"/>
                <w:sz w:val="20"/>
                <w:szCs w:val="20"/>
                <w:lang w:val="en-US" w:eastAsia="en-ZA"/>
              </w:rPr>
            </w:pPr>
            <w:r w:rsidRPr="0030354F">
              <w:rPr>
                <w:rFonts w:ascii="Arial" w:hAnsi="Arial" w:cs="Arial"/>
                <w:b/>
                <w:bCs/>
                <w:color w:val="000000"/>
                <w:sz w:val="20"/>
                <w:szCs w:val="20"/>
                <w:lang w:eastAsia="en-ZA"/>
              </w:rPr>
              <w:t>Actual Expenditure</w:t>
            </w:r>
          </w:p>
          <w:p w:rsidR="00BE0388" w:rsidRPr="0030354F" w:rsidRDefault="00BE0388" w:rsidP="0030354F">
            <w:pPr>
              <w:rPr>
                <w:rFonts w:ascii="Arial" w:hAnsi="Arial" w:cs="Arial"/>
                <w:b/>
                <w:sz w:val="20"/>
                <w:szCs w:val="20"/>
                <w:lang w:eastAsia="en-ZA"/>
              </w:rPr>
            </w:pPr>
            <w:r w:rsidRPr="0030354F">
              <w:rPr>
                <w:rFonts w:ascii="Arial" w:hAnsi="Arial" w:cs="Arial"/>
                <w:b/>
                <w:bCs/>
                <w:color w:val="000000"/>
                <w:sz w:val="20"/>
                <w:szCs w:val="20"/>
                <w:lang w:val="en-US" w:eastAsia="en-ZA"/>
              </w:rPr>
              <w:t>R'000</w:t>
            </w:r>
          </w:p>
        </w:tc>
        <w:tc>
          <w:tcPr>
            <w:tcW w:w="2250" w:type="dxa"/>
            <w:shd w:val="clear" w:color="auto" w:fill="92D050"/>
            <w:hideMark/>
          </w:tcPr>
          <w:p w:rsidR="00BE0388" w:rsidRPr="0030354F" w:rsidRDefault="00BE0388" w:rsidP="0030354F">
            <w:pPr>
              <w:rPr>
                <w:rFonts w:ascii="Arial" w:hAnsi="Arial" w:cs="Arial"/>
                <w:b/>
                <w:bCs/>
                <w:color w:val="000000"/>
                <w:sz w:val="20"/>
                <w:szCs w:val="20"/>
                <w:lang w:val="en-US" w:eastAsia="en-ZA"/>
              </w:rPr>
            </w:pPr>
            <w:r w:rsidRPr="0030354F">
              <w:rPr>
                <w:rFonts w:ascii="Arial" w:hAnsi="Arial" w:cs="Arial"/>
                <w:b/>
                <w:bCs/>
                <w:color w:val="000000"/>
                <w:sz w:val="20"/>
                <w:szCs w:val="20"/>
                <w:lang w:eastAsia="en-ZA"/>
              </w:rPr>
              <w:t>Over/Under Expenditure</w:t>
            </w:r>
          </w:p>
          <w:p w:rsidR="00BE0388" w:rsidRPr="0030354F" w:rsidRDefault="00BE0388" w:rsidP="0030354F">
            <w:pPr>
              <w:rPr>
                <w:rFonts w:ascii="Arial" w:hAnsi="Arial" w:cs="Arial"/>
                <w:b/>
                <w:sz w:val="20"/>
                <w:szCs w:val="20"/>
                <w:lang w:eastAsia="en-ZA"/>
              </w:rPr>
            </w:pPr>
            <w:r w:rsidRPr="0030354F">
              <w:rPr>
                <w:rFonts w:ascii="Arial" w:hAnsi="Arial" w:cs="Arial"/>
                <w:b/>
                <w:bCs/>
                <w:color w:val="000000"/>
                <w:sz w:val="20"/>
                <w:szCs w:val="20"/>
                <w:lang w:val="en-US" w:eastAsia="en-ZA"/>
              </w:rPr>
              <w:t>R'000</w:t>
            </w:r>
          </w:p>
        </w:tc>
      </w:tr>
      <w:tr w:rsidR="00BE0388" w:rsidRPr="0030354F" w:rsidTr="00AC781B">
        <w:trPr>
          <w:trHeight w:val="145"/>
        </w:trPr>
        <w:tc>
          <w:tcPr>
            <w:tcW w:w="3247" w:type="dxa"/>
          </w:tcPr>
          <w:p w:rsidR="00BE0388" w:rsidRPr="0030354F" w:rsidRDefault="008C232C" w:rsidP="0030354F">
            <w:pPr>
              <w:rPr>
                <w:rFonts w:ascii="Arial" w:hAnsi="Arial" w:cs="Arial"/>
                <w:sz w:val="20"/>
                <w:szCs w:val="20"/>
                <w:lang w:eastAsia="en-ZA"/>
              </w:rPr>
            </w:pPr>
            <w:r w:rsidRPr="0030354F">
              <w:rPr>
                <w:rFonts w:ascii="Arial" w:hAnsi="Arial" w:cs="Arial"/>
                <w:sz w:val="20"/>
                <w:szCs w:val="20"/>
                <w:lang w:eastAsia="en-ZA"/>
              </w:rPr>
              <w:lastRenderedPageBreak/>
              <w:t>Development Finance Management</w:t>
            </w:r>
          </w:p>
        </w:tc>
        <w:tc>
          <w:tcPr>
            <w:tcW w:w="1873" w:type="dxa"/>
          </w:tcPr>
          <w:p w:rsidR="00BE0388" w:rsidRPr="0030354F" w:rsidRDefault="008C232C" w:rsidP="0030354F">
            <w:pPr>
              <w:rPr>
                <w:rFonts w:ascii="Arial" w:hAnsi="Arial" w:cs="Arial"/>
                <w:sz w:val="20"/>
                <w:szCs w:val="20"/>
                <w:lang w:eastAsia="en-ZA"/>
              </w:rPr>
            </w:pPr>
            <w:r w:rsidRPr="0030354F">
              <w:rPr>
                <w:rFonts w:ascii="Arial" w:hAnsi="Arial" w:cs="Arial"/>
                <w:sz w:val="20"/>
                <w:szCs w:val="20"/>
                <w:lang w:eastAsia="en-ZA"/>
              </w:rPr>
              <w:t>1 912</w:t>
            </w:r>
          </w:p>
        </w:tc>
        <w:tc>
          <w:tcPr>
            <w:tcW w:w="1980" w:type="dxa"/>
          </w:tcPr>
          <w:p w:rsidR="00BE0388" w:rsidRPr="0030354F" w:rsidRDefault="008C232C" w:rsidP="0030354F">
            <w:pPr>
              <w:rPr>
                <w:rFonts w:ascii="Arial" w:hAnsi="Arial" w:cs="Arial"/>
                <w:sz w:val="20"/>
                <w:szCs w:val="20"/>
                <w:lang w:eastAsia="en-ZA"/>
              </w:rPr>
            </w:pPr>
            <w:r w:rsidRPr="0030354F">
              <w:rPr>
                <w:rFonts w:ascii="Arial" w:hAnsi="Arial" w:cs="Arial"/>
                <w:sz w:val="20"/>
                <w:szCs w:val="20"/>
                <w:lang w:eastAsia="en-ZA"/>
              </w:rPr>
              <w:t>1 270</w:t>
            </w:r>
          </w:p>
        </w:tc>
        <w:tc>
          <w:tcPr>
            <w:tcW w:w="2250" w:type="dxa"/>
          </w:tcPr>
          <w:p w:rsidR="00BE0388" w:rsidRPr="0030354F" w:rsidRDefault="008C232C" w:rsidP="0030354F">
            <w:pPr>
              <w:rPr>
                <w:rFonts w:ascii="Arial" w:hAnsi="Arial" w:cs="Arial"/>
                <w:sz w:val="20"/>
                <w:szCs w:val="20"/>
                <w:lang w:eastAsia="en-ZA"/>
              </w:rPr>
            </w:pPr>
            <w:r w:rsidRPr="0030354F">
              <w:rPr>
                <w:rFonts w:ascii="Arial" w:hAnsi="Arial" w:cs="Arial"/>
                <w:sz w:val="20"/>
                <w:szCs w:val="20"/>
                <w:lang w:eastAsia="en-ZA"/>
              </w:rPr>
              <w:t>642</w:t>
            </w:r>
          </w:p>
        </w:tc>
      </w:tr>
      <w:tr w:rsidR="00BE0388" w:rsidRPr="0030354F" w:rsidTr="00AC781B">
        <w:trPr>
          <w:trHeight w:val="172"/>
        </w:trPr>
        <w:tc>
          <w:tcPr>
            <w:tcW w:w="3247" w:type="dxa"/>
          </w:tcPr>
          <w:p w:rsidR="00BE0388" w:rsidRPr="0030354F" w:rsidRDefault="008C232C" w:rsidP="0030354F">
            <w:pPr>
              <w:rPr>
                <w:rFonts w:ascii="Arial" w:hAnsi="Arial" w:cs="Arial"/>
                <w:sz w:val="20"/>
                <w:szCs w:val="20"/>
                <w:lang w:eastAsia="en-ZA"/>
              </w:rPr>
            </w:pPr>
            <w:r w:rsidRPr="0030354F">
              <w:rPr>
                <w:rFonts w:ascii="Arial" w:hAnsi="Arial" w:cs="Arial"/>
                <w:sz w:val="20"/>
                <w:szCs w:val="20"/>
                <w:lang w:eastAsia="en-ZA"/>
              </w:rPr>
              <w:t>Model Funding Collaboration</w:t>
            </w:r>
          </w:p>
        </w:tc>
        <w:tc>
          <w:tcPr>
            <w:tcW w:w="1873" w:type="dxa"/>
          </w:tcPr>
          <w:p w:rsidR="00BE0388" w:rsidRPr="0030354F" w:rsidRDefault="008C232C" w:rsidP="0030354F">
            <w:pPr>
              <w:rPr>
                <w:rFonts w:ascii="Arial" w:hAnsi="Arial" w:cs="Arial"/>
                <w:sz w:val="20"/>
                <w:szCs w:val="20"/>
                <w:lang w:eastAsia="en-ZA"/>
              </w:rPr>
            </w:pPr>
            <w:r w:rsidRPr="0030354F">
              <w:rPr>
                <w:rFonts w:ascii="Arial" w:hAnsi="Arial" w:cs="Arial"/>
                <w:sz w:val="20"/>
                <w:szCs w:val="20"/>
                <w:lang w:eastAsia="en-ZA"/>
              </w:rPr>
              <w:t>7 057</w:t>
            </w:r>
          </w:p>
        </w:tc>
        <w:tc>
          <w:tcPr>
            <w:tcW w:w="1980" w:type="dxa"/>
          </w:tcPr>
          <w:p w:rsidR="00BE0388" w:rsidRPr="0030354F" w:rsidRDefault="008C232C" w:rsidP="0030354F">
            <w:pPr>
              <w:rPr>
                <w:rFonts w:ascii="Arial" w:hAnsi="Arial" w:cs="Arial"/>
                <w:sz w:val="20"/>
                <w:szCs w:val="20"/>
                <w:lang w:eastAsia="en-ZA"/>
              </w:rPr>
            </w:pPr>
            <w:r w:rsidRPr="0030354F">
              <w:rPr>
                <w:rFonts w:ascii="Arial" w:hAnsi="Arial" w:cs="Arial"/>
                <w:sz w:val="20"/>
                <w:szCs w:val="20"/>
                <w:lang w:eastAsia="en-ZA"/>
              </w:rPr>
              <w:t>6 976</w:t>
            </w:r>
          </w:p>
        </w:tc>
        <w:tc>
          <w:tcPr>
            <w:tcW w:w="2250" w:type="dxa"/>
          </w:tcPr>
          <w:p w:rsidR="00BE0388" w:rsidRPr="0030354F" w:rsidRDefault="008C232C" w:rsidP="0030354F">
            <w:pPr>
              <w:rPr>
                <w:rFonts w:ascii="Arial" w:hAnsi="Arial" w:cs="Arial"/>
                <w:sz w:val="20"/>
                <w:szCs w:val="20"/>
                <w:lang w:eastAsia="en-ZA"/>
              </w:rPr>
            </w:pPr>
            <w:r w:rsidRPr="0030354F">
              <w:rPr>
                <w:rFonts w:ascii="Arial" w:hAnsi="Arial" w:cs="Arial"/>
                <w:sz w:val="20"/>
                <w:szCs w:val="20"/>
                <w:lang w:eastAsia="en-ZA"/>
              </w:rPr>
              <w:t>81</w:t>
            </w:r>
          </w:p>
        </w:tc>
      </w:tr>
      <w:tr w:rsidR="00BE0388" w:rsidRPr="0030354F" w:rsidTr="00AC781B">
        <w:trPr>
          <w:trHeight w:val="190"/>
        </w:trPr>
        <w:tc>
          <w:tcPr>
            <w:tcW w:w="3247" w:type="dxa"/>
          </w:tcPr>
          <w:p w:rsidR="00BE0388" w:rsidRPr="0030354F" w:rsidRDefault="008C232C" w:rsidP="0030354F">
            <w:pPr>
              <w:rPr>
                <w:rFonts w:ascii="Arial" w:hAnsi="Arial" w:cs="Arial"/>
                <w:sz w:val="20"/>
                <w:szCs w:val="20"/>
                <w:lang w:eastAsia="en-ZA"/>
              </w:rPr>
            </w:pPr>
            <w:r w:rsidRPr="0030354F">
              <w:rPr>
                <w:rFonts w:ascii="Arial" w:hAnsi="Arial" w:cs="Arial"/>
                <w:sz w:val="20"/>
                <w:szCs w:val="20"/>
                <w:lang w:eastAsia="en-ZA"/>
              </w:rPr>
              <w:t>Blended Finance</w:t>
            </w:r>
          </w:p>
        </w:tc>
        <w:tc>
          <w:tcPr>
            <w:tcW w:w="1873" w:type="dxa"/>
          </w:tcPr>
          <w:p w:rsidR="00BE0388" w:rsidRPr="0030354F" w:rsidRDefault="008C232C" w:rsidP="0030354F">
            <w:pPr>
              <w:rPr>
                <w:rFonts w:ascii="Arial" w:hAnsi="Arial" w:cs="Arial"/>
                <w:sz w:val="20"/>
                <w:szCs w:val="20"/>
                <w:lang w:eastAsia="en-ZA"/>
              </w:rPr>
            </w:pPr>
            <w:r w:rsidRPr="0030354F">
              <w:rPr>
                <w:rFonts w:ascii="Arial" w:hAnsi="Arial" w:cs="Arial"/>
                <w:sz w:val="20"/>
                <w:szCs w:val="20"/>
                <w:lang w:eastAsia="en-ZA"/>
              </w:rPr>
              <w:t>1 534 086</w:t>
            </w:r>
          </w:p>
        </w:tc>
        <w:tc>
          <w:tcPr>
            <w:tcW w:w="1980" w:type="dxa"/>
          </w:tcPr>
          <w:p w:rsidR="00BE0388" w:rsidRPr="0030354F" w:rsidRDefault="008C232C" w:rsidP="0030354F">
            <w:pPr>
              <w:rPr>
                <w:rFonts w:ascii="Arial" w:hAnsi="Arial" w:cs="Arial"/>
                <w:sz w:val="20"/>
                <w:szCs w:val="20"/>
                <w:lang w:eastAsia="en-ZA"/>
              </w:rPr>
            </w:pPr>
            <w:r w:rsidRPr="0030354F">
              <w:rPr>
                <w:rFonts w:ascii="Arial" w:hAnsi="Arial" w:cs="Arial"/>
                <w:sz w:val="20"/>
                <w:szCs w:val="20"/>
                <w:lang w:eastAsia="en-ZA"/>
              </w:rPr>
              <w:t>1 532 434</w:t>
            </w:r>
          </w:p>
        </w:tc>
        <w:tc>
          <w:tcPr>
            <w:tcW w:w="2250" w:type="dxa"/>
          </w:tcPr>
          <w:p w:rsidR="00BE0388" w:rsidRPr="0030354F" w:rsidRDefault="008C232C" w:rsidP="0030354F">
            <w:pPr>
              <w:rPr>
                <w:rFonts w:ascii="Arial" w:hAnsi="Arial" w:cs="Arial"/>
                <w:sz w:val="20"/>
                <w:szCs w:val="20"/>
                <w:lang w:eastAsia="en-ZA"/>
              </w:rPr>
            </w:pPr>
            <w:r w:rsidRPr="0030354F">
              <w:rPr>
                <w:rFonts w:ascii="Arial" w:hAnsi="Arial" w:cs="Arial"/>
                <w:sz w:val="20"/>
                <w:szCs w:val="20"/>
                <w:lang w:eastAsia="en-ZA"/>
              </w:rPr>
              <w:t>1 652</w:t>
            </w:r>
          </w:p>
        </w:tc>
      </w:tr>
      <w:tr w:rsidR="008C232C" w:rsidRPr="0030354F" w:rsidTr="00AC781B">
        <w:trPr>
          <w:trHeight w:val="190"/>
        </w:trPr>
        <w:tc>
          <w:tcPr>
            <w:tcW w:w="3247" w:type="dxa"/>
          </w:tcPr>
          <w:p w:rsidR="008C232C" w:rsidRPr="0030354F" w:rsidRDefault="008C232C" w:rsidP="0030354F">
            <w:pPr>
              <w:rPr>
                <w:rFonts w:ascii="Arial" w:hAnsi="Arial" w:cs="Arial"/>
                <w:sz w:val="20"/>
                <w:szCs w:val="20"/>
                <w:lang w:eastAsia="en-ZA"/>
              </w:rPr>
            </w:pPr>
            <w:r w:rsidRPr="0030354F">
              <w:rPr>
                <w:rFonts w:ascii="Arial" w:hAnsi="Arial" w:cs="Arial"/>
                <w:sz w:val="20"/>
                <w:szCs w:val="20"/>
                <w:lang w:eastAsia="en-ZA"/>
              </w:rPr>
              <w:t>Business Viability</w:t>
            </w:r>
          </w:p>
        </w:tc>
        <w:tc>
          <w:tcPr>
            <w:tcW w:w="1873" w:type="dxa"/>
          </w:tcPr>
          <w:p w:rsidR="008C232C" w:rsidRPr="0030354F" w:rsidRDefault="008C232C" w:rsidP="0030354F">
            <w:pPr>
              <w:rPr>
                <w:rFonts w:ascii="Arial" w:hAnsi="Arial" w:cs="Arial"/>
                <w:sz w:val="20"/>
                <w:szCs w:val="20"/>
                <w:lang w:eastAsia="en-ZA"/>
              </w:rPr>
            </w:pPr>
            <w:r w:rsidRPr="0030354F">
              <w:rPr>
                <w:rFonts w:ascii="Arial" w:hAnsi="Arial" w:cs="Arial"/>
                <w:sz w:val="20"/>
                <w:szCs w:val="20"/>
                <w:lang w:eastAsia="en-ZA"/>
              </w:rPr>
              <w:t>11 327</w:t>
            </w:r>
          </w:p>
        </w:tc>
        <w:tc>
          <w:tcPr>
            <w:tcW w:w="1980" w:type="dxa"/>
          </w:tcPr>
          <w:p w:rsidR="008C232C" w:rsidRPr="0030354F" w:rsidRDefault="008C232C" w:rsidP="0030354F">
            <w:pPr>
              <w:rPr>
                <w:rFonts w:ascii="Arial" w:hAnsi="Arial" w:cs="Arial"/>
                <w:sz w:val="20"/>
                <w:szCs w:val="20"/>
                <w:lang w:eastAsia="en-ZA"/>
              </w:rPr>
            </w:pPr>
            <w:r w:rsidRPr="0030354F">
              <w:rPr>
                <w:rFonts w:ascii="Arial" w:hAnsi="Arial" w:cs="Arial"/>
                <w:sz w:val="20"/>
                <w:szCs w:val="20"/>
                <w:lang w:eastAsia="en-ZA"/>
              </w:rPr>
              <w:t>10 945</w:t>
            </w:r>
          </w:p>
        </w:tc>
        <w:tc>
          <w:tcPr>
            <w:tcW w:w="2250" w:type="dxa"/>
          </w:tcPr>
          <w:p w:rsidR="008C232C" w:rsidRPr="0030354F" w:rsidRDefault="008C232C" w:rsidP="0030354F">
            <w:pPr>
              <w:rPr>
                <w:rFonts w:ascii="Arial" w:hAnsi="Arial" w:cs="Arial"/>
                <w:sz w:val="20"/>
                <w:szCs w:val="20"/>
                <w:lang w:eastAsia="en-ZA"/>
              </w:rPr>
            </w:pPr>
            <w:r w:rsidRPr="0030354F">
              <w:rPr>
                <w:rFonts w:ascii="Arial" w:hAnsi="Arial" w:cs="Arial"/>
                <w:sz w:val="20"/>
                <w:szCs w:val="20"/>
                <w:lang w:eastAsia="en-ZA"/>
              </w:rPr>
              <w:t>382</w:t>
            </w:r>
          </w:p>
        </w:tc>
      </w:tr>
      <w:tr w:rsidR="00BE0388" w:rsidRPr="0030354F" w:rsidTr="00AC781B">
        <w:trPr>
          <w:trHeight w:val="100"/>
        </w:trPr>
        <w:tc>
          <w:tcPr>
            <w:tcW w:w="3247" w:type="dxa"/>
            <w:shd w:val="clear" w:color="auto" w:fill="BFBFBF" w:themeFill="background1" w:themeFillShade="BF"/>
          </w:tcPr>
          <w:p w:rsidR="00BE0388" w:rsidRPr="0030354F" w:rsidRDefault="008C232C" w:rsidP="0030354F">
            <w:pPr>
              <w:rPr>
                <w:rFonts w:ascii="Arial" w:hAnsi="Arial" w:cs="Arial"/>
                <w:b/>
                <w:sz w:val="20"/>
                <w:szCs w:val="20"/>
                <w:lang w:eastAsia="en-ZA"/>
              </w:rPr>
            </w:pPr>
            <w:r w:rsidRPr="0030354F">
              <w:rPr>
                <w:rFonts w:ascii="Arial" w:hAnsi="Arial" w:cs="Arial"/>
                <w:b/>
                <w:sz w:val="20"/>
                <w:szCs w:val="20"/>
                <w:lang w:eastAsia="en-ZA"/>
              </w:rPr>
              <w:t>T</w:t>
            </w:r>
            <w:r w:rsidR="0075461D" w:rsidRPr="0030354F">
              <w:rPr>
                <w:rFonts w:ascii="Arial" w:hAnsi="Arial" w:cs="Arial"/>
                <w:b/>
                <w:sz w:val="20"/>
                <w:szCs w:val="20"/>
                <w:lang w:eastAsia="en-ZA"/>
              </w:rPr>
              <w:t>OTAL</w:t>
            </w:r>
          </w:p>
        </w:tc>
        <w:tc>
          <w:tcPr>
            <w:tcW w:w="1873" w:type="dxa"/>
            <w:shd w:val="clear" w:color="auto" w:fill="BFBFBF" w:themeFill="background1" w:themeFillShade="BF"/>
          </w:tcPr>
          <w:p w:rsidR="00BE0388" w:rsidRPr="0030354F" w:rsidRDefault="008C232C" w:rsidP="0030354F">
            <w:pPr>
              <w:rPr>
                <w:rFonts w:ascii="Arial" w:hAnsi="Arial" w:cs="Arial"/>
                <w:b/>
                <w:sz w:val="20"/>
                <w:szCs w:val="20"/>
                <w:lang w:eastAsia="en-ZA"/>
              </w:rPr>
            </w:pPr>
            <w:r w:rsidRPr="0030354F">
              <w:rPr>
                <w:rFonts w:ascii="Arial" w:hAnsi="Arial" w:cs="Arial"/>
                <w:b/>
                <w:sz w:val="20"/>
                <w:szCs w:val="20"/>
                <w:lang w:eastAsia="en-ZA"/>
              </w:rPr>
              <w:t>1 554 382</w:t>
            </w:r>
          </w:p>
        </w:tc>
        <w:tc>
          <w:tcPr>
            <w:tcW w:w="1980" w:type="dxa"/>
            <w:shd w:val="clear" w:color="auto" w:fill="BFBFBF" w:themeFill="background1" w:themeFillShade="BF"/>
          </w:tcPr>
          <w:p w:rsidR="00BE0388" w:rsidRPr="0030354F" w:rsidRDefault="008C232C" w:rsidP="0030354F">
            <w:pPr>
              <w:rPr>
                <w:rFonts w:ascii="Arial" w:hAnsi="Arial" w:cs="Arial"/>
                <w:b/>
                <w:sz w:val="20"/>
                <w:szCs w:val="20"/>
                <w:lang w:eastAsia="en-ZA"/>
              </w:rPr>
            </w:pPr>
            <w:r w:rsidRPr="0030354F">
              <w:rPr>
                <w:rFonts w:ascii="Arial" w:hAnsi="Arial" w:cs="Arial"/>
                <w:b/>
                <w:sz w:val="20"/>
                <w:szCs w:val="20"/>
                <w:lang w:eastAsia="en-ZA"/>
              </w:rPr>
              <w:t>1 551 625</w:t>
            </w:r>
          </w:p>
        </w:tc>
        <w:tc>
          <w:tcPr>
            <w:tcW w:w="2250" w:type="dxa"/>
            <w:shd w:val="clear" w:color="auto" w:fill="BFBFBF" w:themeFill="background1" w:themeFillShade="BF"/>
          </w:tcPr>
          <w:p w:rsidR="00BE0388" w:rsidRPr="0030354F" w:rsidRDefault="008C232C" w:rsidP="0030354F">
            <w:pPr>
              <w:rPr>
                <w:rFonts w:ascii="Arial" w:hAnsi="Arial" w:cs="Arial"/>
                <w:b/>
                <w:sz w:val="20"/>
                <w:szCs w:val="20"/>
                <w:lang w:eastAsia="en-ZA"/>
              </w:rPr>
            </w:pPr>
            <w:r w:rsidRPr="0030354F">
              <w:rPr>
                <w:rFonts w:ascii="Arial" w:hAnsi="Arial" w:cs="Arial"/>
                <w:b/>
                <w:sz w:val="20"/>
                <w:szCs w:val="20"/>
                <w:lang w:eastAsia="en-ZA"/>
              </w:rPr>
              <w:t>2 757</w:t>
            </w:r>
          </w:p>
        </w:tc>
      </w:tr>
    </w:tbl>
    <w:p w:rsidR="00BE0388" w:rsidRPr="0030354F" w:rsidRDefault="00BE0388" w:rsidP="0030354F">
      <w:pPr>
        <w:autoSpaceDE w:val="0"/>
        <w:autoSpaceDN w:val="0"/>
        <w:adjustRightInd w:val="0"/>
        <w:spacing w:after="0" w:line="240" w:lineRule="auto"/>
        <w:contextualSpacing/>
        <w:rPr>
          <w:rFonts w:ascii="Arial" w:hAnsi="Arial" w:cs="Arial"/>
          <w:b/>
          <w:sz w:val="20"/>
          <w:szCs w:val="20"/>
        </w:rPr>
      </w:pPr>
      <w:r w:rsidRPr="0030354F">
        <w:rPr>
          <w:rFonts w:ascii="Arial" w:hAnsi="Arial" w:cs="Arial"/>
          <w:b/>
          <w:sz w:val="20"/>
          <w:szCs w:val="20"/>
        </w:rPr>
        <w:t>So</w:t>
      </w:r>
      <w:r w:rsidR="008C232C" w:rsidRPr="0030354F">
        <w:rPr>
          <w:rFonts w:ascii="Arial" w:hAnsi="Arial" w:cs="Arial"/>
          <w:b/>
          <w:sz w:val="20"/>
          <w:szCs w:val="20"/>
        </w:rPr>
        <w:t>urce: DSBD Annual Report 2021/22</w:t>
      </w:r>
    </w:p>
    <w:p w:rsidR="00BE0388" w:rsidRPr="0030354F" w:rsidRDefault="00BE0388" w:rsidP="0030354F">
      <w:pPr>
        <w:spacing w:after="0" w:line="240" w:lineRule="auto"/>
        <w:rPr>
          <w:rFonts w:ascii="Arial" w:hAnsi="Arial" w:cs="Arial"/>
          <w:sz w:val="20"/>
          <w:szCs w:val="20"/>
        </w:rPr>
      </w:pPr>
    </w:p>
    <w:p w:rsidR="0006451C" w:rsidRPr="0030354F" w:rsidRDefault="0006451C" w:rsidP="0030354F">
      <w:pPr>
        <w:spacing w:after="0" w:line="240" w:lineRule="auto"/>
        <w:contextualSpacing/>
        <w:rPr>
          <w:rFonts w:ascii="Arial" w:hAnsi="Arial" w:cs="Arial"/>
          <w:b/>
          <w:sz w:val="20"/>
          <w:szCs w:val="20"/>
        </w:rPr>
      </w:pPr>
      <w:r w:rsidRPr="0030354F">
        <w:rPr>
          <w:rFonts w:ascii="Arial" w:hAnsi="Arial" w:cs="Arial"/>
          <w:b/>
          <w:sz w:val="20"/>
          <w:szCs w:val="20"/>
        </w:rPr>
        <w:t>4.2.4</w:t>
      </w:r>
      <w:r w:rsidRPr="0030354F">
        <w:rPr>
          <w:rFonts w:ascii="Arial" w:hAnsi="Arial" w:cs="Arial"/>
          <w:b/>
          <w:sz w:val="20"/>
          <w:szCs w:val="20"/>
        </w:rPr>
        <w:tab/>
        <w:t>Annual expenditure for Programme Four</w:t>
      </w:r>
    </w:p>
    <w:p w:rsidR="0087488D" w:rsidRPr="0030354F" w:rsidRDefault="0087488D"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rPr>
        <w:t>Expenditure on programme summed up to R872 million against the final appropriation of R875 million, resulting in an under expenditure of R2.6 million. Compensation of Employees contributed R2.5 million to the under expenditure due to vacancies. The main cost drivers for expenditure in the Programme are Transfers and Subsidies at R838.6 million, Compensation of Employees at R27.9 million, as well as Goods and Services at R5.3 million. The drivers of expenditure in Goods and Services are Venues and Facilities (R2.2 million), Travel and Subsistence (R1.9 million), Communication (R355 thousand), Consultants (R288 thousand) and Contractors (R180 thousand).</w:t>
      </w:r>
    </w:p>
    <w:p w:rsidR="0006451C" w:rsidRPr="0030354F" w:rsidRDefault="0006451C" w:rsidP="0030354F">
      <w:pPr>
        <w:spacing w:after="0" w:line="240" w:lineRule="auto"/>
        <w:contextualSpacing/>
        <w:rPr>
          <w:rFonts w:ascii="Arial" w:hAnsi="Arial" w:cs="Arial"/>
          <w:sz w:val="20"/>
          <w:szCs w:val="20"/>
        </w:rPr>
      </w:pPr>
    </w:p>
    <w:p w:rsidR="0075461D" w:rsidRPr="0030354F" w:rsidRDefault="0075461D" w:rsidP="0030354F">
      <w:pPr>
        <w:spacing w:after="0" w:line="240" w:lineRule="auto"/>
        <w:contextualSpacing/>
        <w:rPr>
          <w:rFonts w:ascii="Arial" w:hAnsi="Arial" w:cs="Arial"/>
          <w:sz w:val="20"/>
          <w:szCs w:val="20"/>
        </w:rPr>
      </w:pPr>
    </w:p>
    <w:p w:rsidR="0006451C" w:rsidRPr="0030354F" w:rsidRDefault="0006451C" w:rsidP="0030354F">
      <w:pPr>
        <w:autoSpaceDE w:val="0"/>
        <w:autoSpaceDN w:val="0"/>
        <w:adjustRightInd w:val="0"/>
        <w:spacing w:after="0" w:line="240" w:lineRule="auto"/>
        <w:contextualSpacing/>
        <w:rPr>
          <w:rFonts w:ascii="Arial" w:eastAsia="Times New Roman" w:hAnsi="Arial" w:cs="Arial"/>
          <w:b/>
          <w:bCs/>
          <w:color w:val="000000" w:themeColor="text1"/>
          <w:sz w:val="20"/>
          <w:szCs w:val="20"/>
          <w:lang w:eastAsia="en-ZA"/>
        </w:rPr>
      </w:pPr>
      <w:r w:rsidRPr="0030354F">
        <w:rPr>
          <w:rFonts w:ascii="Arial" w:hAnsi="Arial" w:cs="Arial"/>
          <w:b/>
          <w:sz w:val="20"/>
          <w:szCs w:val="20"/>
        </w:rPr>
        <w:t>Table 7: Expenditure Estimates - Programme 4</w:t>
      </w:r>
    </w:p>
    <w:tbl>
      <w:tblPr>
        <w:tblStyle w:val="TableGrid1"/>
        <w:tblW w:w="9350" w:type="dxa"/>
        <w:tblLook w:val="04A0"/>
      </w:tblPr>
      <w:tblGrid>
        <w:gridCol w:w="3247"/>
        <w:gridCol w:w="1873"/>
        <w:gridCol w:w="1980"/>
        <w:gridCol w:w="2250"/>
      </w:tblGrid>
      <w:tr w:rsidR="0006451C" w:rsidRPr="0030354F" w:rsidTr="00AC781B">
        <w:trPr>
          <w:trHeight w:val="953"/>
        </w:trPr>
        <w:tc>
          <w:tcPr>
            <w:tcW w:w="3247" w:type="dxa"/>
            <w:shd w:val="clear" w:color="auto" w:fill="92D050"/>
            <w:hideMark/>
          </w:tcPr>
          <w:p w:rsidR="0006451C" w:rsidRPr="0030354F" w:rsidRDefault="0006451C" w:rsidP="0030354F">
            <w:pPr>
              <w:contextualSpacing/>
              <w:rPr>
                <w:rFonts w:ascii="Arial" w:hAnsi="Arial" w:cs="Arial"/>
                <w:b/>
                <w:sz w:val="20"/>
                <w:szCs w:val="20"/>
                <w:lang w:eastAsia="en-ZA"/>
              </w:rPr>
            </w:pPr>
            <w:r w:rsidRPr="0030354F">
              <w:rPr>
                <w:rFonts w:ascii="Arial" w:hAnsi="Arial" w:cs="Arial"/>
                <w:b/>
                <w:sz w:val="20"/>
                <w:szCs w:val="20"/>
                <w:lang w:eastAsia="en-ZA"/>
              </w:rPr>
              <w:t>Subprogramme</w:t>
            </w:r>
          </w:p>
        </w:tc>
        <w:tc>
          <w:tcPr>
            <w:tcW w:w="1873" w:type="dxa"/>
            <w:shd w:val="clear" w:color="auto" w:fill="92D050"/>
            <w:hideMark/>
          </w:tcPr>
          <w:p w:rsidR="0006451C" w:rsidRPr="0030354F" w:rsidRDefault="0006451C" w:rsidP="0030354F">
            <w:pPr>
              <w:contextualSpacing/>
              <w:rPr>
                <w:rFonts w:ascii="Arial" w:hAnsi="Arial" w:cs="Arial"/>
                <w:b/>
                <w:bCs/>
                <w:color w:val="000000"/>
                <w:sz w:val="20"/>
                <w:szCs w:val="20"/>
                <w:lang w:val="en-US" w:eastAsia="en-ZA"/>
              </w:rPr>
            </w:pPr>
            <w:r w:rsidRPr="0030354F">
              <w:rPr>
                <w:rFonts w:ascii="Arial" w:hAnsi="Arial" w:cs="Arial"/>
                <w:b/>
                <w:bCs/>
                <w:color w:val="000000"/>
                <w:sz w:val="20"/>
                <w:szCs w:val="20"/>
                <w:lang w:eastAsia="en-ZA"/>
              </w:rPr>
              <w:t>Final Appropriation</w:t>
            </w:r>
          </w:p>
          <w:p w:rsidR="0006451C" w:rsidRPr="0030354F" w:rsidRDefault="0006451C" w:rsidP="0030354F">
            <w:pPr>
              <w:contextualSpacing/>
              <w:rPr>
                <w:rFonts w:ascii="Arial" w:hAnsi="Arial" w:cs="Arial"/>
                <w:b/>
                <w:sz w:val="20"/>
                <w:szCs w:val="20"/>
                <w:lang w:eastAsia="en-ZA"/>
              </w:rPr>
            </w:pPr>
            <w:r w:rsidRPr="0030354F">
              <w:rPr>
                <w:rFonts w:ascii="Arial" w:hAnsi="Arial" w:cs="Arial"/>
                <w:b/>
                <w:bCs/>
                <w:color w:val="000000"/>
                <w:sz w:val="20"/>
                <w:szCs w:val="20"/>
                <w:lang w:val="en-US" w:eastAsia="en-ZA"/>
              </w:rPr>
              <w:t>R'000</w:t>
            </w:r>
          </w:p>
        </w:tc>
        <w:tc>
          <w:tcPr>
            <w:tcW w:w="1980" w:type="dxa"/>
            <w:shd w:val="clear" w:color="auto" w:fill="92D050"/>
            <w:hideMark/>
          </w:tcPr>
          <w:p w:rsidR="0006451C" w:rsidRPr="0030354F" w:rsidRDefault="0006451C" w:rsidP="0030354F">
            <w:pPr>
              <w:contextualSpacing/>
              <w:rPr>
                <w:rFonts w:ascii="Arial" w:hAnsi="Arial" w:cs="Arial"/>
                <w:b/>
                <w:bCs/>
                <w:color w:val="000000"/>
                <w:sz w:val="20"/>
                <w:szCs w:val="20"/>
                <w:lang w:val="en-US" w:eastAsia="en-ZA"/>
              </w:rPr>
            </w:pPr>
            <w:r w:rsidRPr="0030354F">
              <w:rPr>
                <w:rFonts w:ascii="Arial" w:hAnsi="Arial" w:cs="Arial"/>
                <w:b/>
                <w:bCs/>
                <w:color w:val="000000"/>
                <w:sz w:val="20"/>
                <w:szCs w:val="20"/>
                <w:lang w:eastAsia="en-ZA"/>
              </w:rPr>
              <w:t>Actual Expenditure</w:t>
            </w:r>
          </w:p>
          <w:p w:rsidR="0006451C" w:rsidRPr="0030354F" w:rsidRDefault="0006451C" w:rsidP="0030354F">
            <w:pPr>
              <w:contextualSpacing/>
              <w:rPr>
                <w:rFonts w:ascii="Arial" w:hAnsi="Arial" w:cs="Arial"/>
                <w:b/>
                <w:sz w:val="20"/>
                <w:szCs w:val="20"/>
                <w:lang w:eastAsia="en-ZA"/>
              </w:rPr>
            </w:pPr>
            <w:r w:rsidRPr="0030354F">
              <w:rPr>
                <w:rFonts w:ascii="Arial" w:hAnsi="Arial" w:cs="Arial"/>
                <w:b/>
                <w:bCs/>
                <w:color w:val="000000"/>
                <w:sz w:val="20"/>
                <w:szCs w:val="20"/>
                <w:lang w:val="en-US" w:eastAsia="en-ZA"/>
              </w:rPr>
              <w:t>R'000</w:t>
            </w:r>
          </w:p>
        </w:tc>
        <w:tc>
          <w:tcPr>
            <w:tcW w:w="2250" w:type="dxa"/>
            <w:shd w:val="clear" w:color="auto" w:fill="92D050"/>
            <w:hideMark/>
          </w:tcPr>
          <w:p w:rsidR="0006451C" w:rsidRPr="0030354F" w:rsidRDefault="0006451C" w:rsidP="0030354F">
            <w:pPr>
              <w:contextualSpacing/>
              <w:rPr>
                <w:rFonts w:ascii="Arial" w:hAnsi="Arial" w:cs="Arial"/>
                <w:b/>
                <w:bCs/>
                <w:color w:val="000000"/>
                <w:sz w:val="20"/>
                <w:szCs w:val="20"/>
                <w:lang w:val="en-US" w:eastAsia="en-ZA"/>
              </w:rPr>
            </w:pPr>
            <w:r w:rsidRPr="0030354F">
              <w:rPr>
                <w:rFonts w:ascii="Arial" w:hAnsi="Arial" w:cs="Arial"/>
                <w:b/>
                <w:bCs/>
                <w:color w:val="000000"/>
                <w:sz w:val="20"/>
                <w:szCs w:val="20"/>
                <w:lang w:eastAsia="en-ZA"/>
              </w:rPr>
              <w:t>Over/Under Expenditure</w:t>
            </w:r>
          </w:p>
          <w:p w:rsidR="0006451C" w:rsidRPr="0030354F" w:rsidRDefault="0006451C" w:rsidP="0030354F">
            <w:pPr>
              <w:contextualSpacing/>
              <w:rPr>
                <w:rFonts w:ascii="Arial" w:hAnsi="Arial" w:cs="Arial"/>
                <w:b/>
                <w:sz w:val="20"/>
                <w:szCs w:val="20"/>
                <w:lang w:eastAsia="en-ZA"/>
              </w:rPr>
            </w:pPr>
            <w:r w:rsidRPr="0030354F">
              <w:rPr>
                <w:rFonts w:ascii="Arial" w:hAnsi="Arial" w:cs="Arial"/>
                <w:b/>
                <w:bCs/>
                <w:color w:val="000000"/>
                <w:sz w:val="20"/>
                <w:szCs w:val="20"/>
                <w:lang w:val="en-US" w:eastAsia="en-ZA"/>
              </w:rPr>
              <w:t>R'000</w:t>
            </w:r>
          </w:p>
        </w:tc>
      </w:tr>
      <w:tr w:rsidR="0006451C" w:rsidRPr="0030354F" w:rsidTr="00AC781B">
        <w:trPr>
          <w:trHeight w:val="341"/>
        </w:trPr>
        <w:tc>
          <w:tcPr>
            <w:tcW w:w="3247" w:type="dxa"/>
          </w:tcPr>
          <w:p w:rsidR="0006451C" w:rsidRPr="0030354F" w:rsidRDefault="0075461D" w:rsidP="0030354F">
            <w:pPr>
              <w:contextualSpacing/>
              <w:rPr>
                <w:rFonts w:ascii="Arial" w:hAnsi="Arial" w:cs="Arial"/>
                <w:sz w:val="20"/>
                <w:szCs w:val="20"/>
                <w:lang w:eastAsia="en-ZA"/>
              </w:rPr>
            </w:pPr>
            <w:r w:rsidRPr="0030354F">
              <w:rPr>
                <w:rFonts w:ascii="Arial" w:hAnsi="Arial" w:cs="Arial"/>
                <w:sz w:val="20"/>
                <w:szCs w:val="20"/>
                <w:lang w:eastAsia="en-ZA"/>
              </w:rPr>
              <w:t>Enterprise Development Management</w:t>
            </w:r>
          </w:p>
        </w:tc>
        <w:tc>
          <w:tcPr>
            <w:tcW w:w="1873" w:type="dxa"/>
          </w:tcPr>
          <w:p w:rsidR="0006451C" w:rsidRPr="0030354F" w:rsidRDefault="0075461D" w:rsidP="0030354F">
            <w:pPr>
              <w:contextualSpacing/>
              <w:rPr>
                <w:rFonts w:ascii="Arial" w:hAnsi="Arial" w:cs="Arial"/>
                <w:sz w:val="20"/>
                <w:szCs w:val="20"/>
                <w:lang w:eastAsia="en-ZA"/>
              </w:rPr>
            </w:pPr>
            <w:r w:rsidRPr="0030354F">
              <w:rPr>
                <w:rFonts w:ascii="Arial" w:hAnsi="Arial" w:cs="Arial"/>
                <w:sz w:val="20"/>
                <w:szCs w:val="20"/>
                <w:lang w:eastAsia="en-ZA"/>
              </w:rPr>
              <w:t>6 378</w:t>
            </w:r>
          </w:p>
        </w:tc>
        <w:tc>
          <w:tcPr>
            <w:tcW w:w="1980" w:type="dxa"/>
          </w:tcPr>
          <w:p w:rsidR="0006451C" w:rsidRPr="0030354F" w:rsidRDefault="0075461D" w:rsidP="0030354F">
            <w:pPr>
              <w:contextualSpacing/>
              <w:rPr>
                <w:rFonts w:ascii="Arial" w:hAnsi="Arial" w:cs="Arial"/>
                <w:sz w:val="20"/>
                <w:szCs w:val="20"/>
                <w:lang w:eastAsia="en-ZA"/>
              </w:rPr>
            </w:pPr>
            <w:r w:rsidRPr="0030354F">
              <w:rPr>
                <w:rFonts w:ascii="Arial" w:hAnsi="Arial" w:cs="Arial"/>
                <w:sz w:val="20"/>
                <w:szCs w:val="20"/>
                <w:lang w:eastAsia="en-ZA"/>
              </w:rPr>
              <w:t>5 783</w:t>
            </w:r>
          </w:p>
        </w:tc>
        <w:tc>
          <w:tcPr>
            <w:tcW w:w="2250" w:type="dxa"/>
          </w:tcPr>
          <w:p w:rsidR="0006451C" w:rsidRPr="0030354F" w:rsidRDefault="0075461D" w:rsidP="0030354F">
            <w:pPr>
              <w:contextualSpacing/>
              <w:rPr>
                <w:rFonts w:ascii="Arial" w:hAnsi="Arial" w:cs="Arial"/>
                <w:sz w:val="20"/>
                <w:szCs w:val="20"/>
                <w:lang w:eastAsia="en-ZA"/>
              </w:rPr>
            </w:pPr>
            <w:r w:rsidRPr="0030354F">
              <w:rPr>
                <w:rFonts w:ascii="Arial" w:hAnsi="Arial" w:cs="Arial"/>
                <w:sz w:val="20"/>
                <w:szCs w:val="20"/>
                <w:lang w:eastAsia="en-ZA"/>
              </w:rPr>
              <w:t>595</w:t>
            </w:r>
          </w:p>
        </w:tc>
      </w:tr>
      <w:tr w:rsidR="0006451C" w:rsidRPr="0030354F" w:rsidTr="00AC781B">
        <w:trPr>
          <w:trHeight w:val="305"/>
        </w:trPr>
        <w:tc>
          <w:tcPr>
            <w:tcW w:w="3247" w:type="dxa"/>
          </w:tcPr>
          <w:p w:rsidR="0006451C" w:rsidRPr="0030354F" w:rsidRDefault="0075461D" w:rsidP="0030354F">
            <w:pPr>
              <w:contextualSpacing/>
              <w:rPr>
                <w:rFonts w:ascii="Arial" w:hAnsi="Arial" w:cs="Arial"/>
                <w:sz w:val="20"/>
                <w:szCs w:val="20"/>
                <w:lang w:eastAsia="en-ZA"/>
              </w:rPr>
            </w:pPr>
            <w:r w:rsidRPr="0030354F">
              <w:rPr>
                <w:rFonts w:ascii="Arial" w:hAnsi="Arial" w:cs="Arial"/>
                <w:sz w:val="20"/>
                <w:szCs w:val="20"/>
                <w:lang w:eastAsia="en-ZA"/>
              </w:rPr>
              <w:t>Enterprise and Supplier Development</w:t>
            </w:r>
          </w:p>
        </w:tc>
        <w:tc>
          <w:tcPr>
            <w:tcW w:w="1873" w:type="dxa"/>
          </w:tcPr>
          <w:p w:rsidR="0006451C" w:rsidRPr="0030354F" w:rsidRDefault="0075461D" w:rsidP="0030354F">
            <w:pPr>
              <w:contextualSpacing/>
              <w:rPr>
                <w:rFonts w:ascii="Arial" w:hAnsi="Arial" w:cs="Arial"/>
                <w:sz w:val="20"/>
                <w:szCs w:val="20"/>
                <w:lang w:eastAsia="en-ZA"/>
              </w:rPr>
            </w:pPr>
            <w:r w:rsidRPr="0030354F">
              <w:rPr>
                <w:rFonts w:ascii="Arial" w:hAnsi="Arial" w:cs="Arial"/>
                <w:sz w:val="20"/>
                <w:szCs w:val="20"/>
                <w:lang w:eastAsia="en-ZA"/>
              </w:rPr>
              <w:t>857 223</w:t>
            </w:r>
          </w:p>
        </w:tc>
        <w:tc>
          <w:tcPr>
            <w:tcW w:w="1980" w:type="dxa"/>
          </w:tcPr>
          <w:p w:rsidR="0006451C" w:rsidRPr="0030354F" w:rsidRDefault="0075461D" w:rsidP="0030354F">
            <w:pPr>
              <w:contextualSpacing/>
              <w:rPr>
                <w:rFonts w:ascii="Arial" w:hAnsi="Arial" w:cs="Arial"/>
                <w:sz w:val="20"/>
                <w:szCs w:val="20"/>
                <w:lang w:eastAsia="en-ZA"/>
              </w:rPr>
            </w:pPr>
            <w:r w:rsidRPr="0030354F">
              <w:rPr>
                <w:rFonts w:ascii="Arial" w:hAnsi="Arial" w:cs="Arial"/>
                <w:sz w:val="20"/>
                <w:szCs w:val="20"/>
                <w:lang w:eastAsia="en-ZA"/>
              </w:rPr>
              <w:t>856 799</w:t>
            </w:r>
          </w:p>
        </w:tc>
        <w:tc>
          <w:tcPr>
            <w:tcW w:w="2250" w:type="dxa"/>
          </w:tcPr>
          <w:p w:rsidR="0006451C" w:rsidRPr="0030354F" w:rsidRDefault="0087488D" w:rsidP="0030354F">
            <w:pPr>
              <w:contextualSpacing/>
              <w:rPr>
                <w:rFonts w:ascii="Arial" w:hAnsi="Arial" w:cs="Arial"/>
                <w:sz w:val="20"/>
                <w:szCs w:val="20"/>
                <w:lang w:eastAsia="en-ZA"/>
              </w:rPr>
            </w:pPr>
            <w:r w:rsidRPr="0030354F">
              <w:rPr>
                <w:rFonts w:ascii="Arial" w:hAnsi="Arial" w:cs="Arial"/>
                <w:sz w:val="20"/>
                <w:szCs w:val="20"/>
                <w:lang w:eastAsia="en-ZA"/>
              </w:rPr>
              <w:t>424</w:t>
            </w:r>
          </w:p>
        </w:tc>
      </w:tr>
      <w:tr w:rsidR="0006451C" w:rsidRPr="0030354F" w:rsidTr="00AC781B">
        <w:trPr>
          <w:trHeight w:val="190"/>
        </w:trPr>
        <w:tc>
          <w:tcPr>
            <w:tcW w:w="3247" w:type="dxa"/>
          </w:tcPr>
          <w:p w:rsidR="0006451C" w:rsidRPr="0030354F" w:rsidRDefault="0075461D" w:rsidP="0030354F">
            <w:pPr>
              <w:contextualSpacing/>
              <w:rPr>
                <w:rFonts w:ascii="Arial" w:hAnsi="Arial" w:cs="Arial"/>
                <w:sz w:val="20"/>
                <w:szCs w:val="20"/>
                <w:lang w:eastAsia="en-ZA"/>
              </w:rPr>
            </w:pPr>
            <w:r w:rsidRPr="0030354F">
              <w:rPr>
                <w:rFonts w:ascii="Arial" w:hAnsi="Arial" w:cs="Arial"/>
                <w:sz w:val="20"/>
                <w:szCs w:val="20"/>
                <w:lang w:eastAsia="en-ZA"/>
              </w:rPr>
              <w:t xml:space="preserve">SMME </w:t>
            </w:r>
            <w:r w:rsidR="00EA3F37" w:rsidRPr="0030354F">
              <w:rPr>
                <w:rFonts w:ascii="Arial" w:hAnsi="Arial" w:cs="Arial"/>
                <w:sz w:val="20"/>
                <w:szCs w:val="20"/>
                <w:lang w:eastAsia="en-ZA"/>
              </w:rPr>
              <w:t>Competitiveness</w:t>
            </w:r>
          </w:p>
        </w:tc>
        <w:tc>
          <w:tcPr>
            <w:tcW w:w="1873" w:type="dxa"/>
          </w:tcPr>
          <w:p w:rsidR="0006451C" w:rsidRPr="0030354F" w:rsidRDefault="0087488D" w:rsidP="0030354F">
            <w:pPr>
              <w:contextualSpacing/>
              <w:rPr>
                <w:rFonts w:ascii="Arial" w:hAnsi="Arial" w:cs="Arial"/>
                <w:sz w:val="20"/>
                <w:szCs w:val="20"/>
                <w:lang w:eastAsia="en-ZA"/>
              </w:rPr>
            </w:pPr>
            <w:r w:rsidRPr="0030354F">
              <w:rPr>
                <w:rFonts w:ascii="Arial" w:hAnsi="Arial" w:cs="Arial"/>
                <w:sz w:val="20"/>
                <w:szCs w:val="20"/>
                <w:lang w:eastAsia="en-ZA"/>
              </w:rPr>
              <w:t>10 939</w:t>
            </w:r>
          </w:p>
        </w:tc>
        <w:tc>
          <w:tcPr>
            <w:tcW w:w="1980" w:type="dxa"/>
          </w:tcPr>
          <w:p w:rsidR="0006451C" w:rsidRPr="0030354F" w:rsidRDefault="0087488D" w:rsidP="0030354F">
            <w:pPr>
              <w:contextualSpacing/>
              <w:rPr>
                <w:rFonts w:ascii="Arial" w:hAnsi="Arial" w:cs="Arial"/>
                <w:sz w:val="20"/>
                <w:szCs w:val="20"/>
                <w:lang w:eastAsia="en-ZA"/>
              </w:rPr>
            </w:pPr>
            <w:r w:rsidRPr="0030354F">
              <w:rPr>
                <w:rFonts w:ascii="Arial" w:hAnsi="Arial" w:cs="Arial"/>
                <w:sz w:val="20"/>
                <w:szCs w:val="20"/>
                <w:lang w:eastAsia="en-ZA"/>
              </w:rPr>
              <w:t>9 386</w:t>
            </w:r>
          </w:p>
        </w:tc>
        <w:tc>
          <w:tcPr>
            <w:tcW w:w="2250" w:type="dxa"/>
          </w:tcPr>
          <w:p w:rsidR="0006451C" w:rsidRPr="0030354F" w:rsidRDefault="0087488D" w:rsidP="0030354F">
            <w:pPr>
              <w:contextualSpacing/>
              <w:rPr>
                <w:rFonts w:ascii="Arial" w:hAnsi="Arial" w:cs="Arial"/>
                <w:sz w:val="20"/>
                <w:szCs w:val="20"/>
                <w:lang w:eastAsia="en-ZA"/>
              </w:rPr>
            </w:pPr>
            <w:r w:rsidRPr="0030354F">
              <w:rPr>
                <w:rFonts w:ascii="Arial" w:hAnsi="Arial" w:cs="Arial"/>
                <w:sz w:val="20"/>
                <w:szCs w:val="20"/>
                <w:lang w:eastAsia="en-ZA"/>
              </w:rPr>
              <w:t>1 553</w:t>
            </w:r>
          </w:p>
        </w:tc>
      </w:tr>
      <w:tr w:rsidR="0006451C" w:rsidRPr="0030354F" w:rsidTr="00AC781B">
        <w:trPr>
          <w:trHeight w:val="100"/>
        </w:trPr>
        <w:tc>
          <w:tcPr>
            <w:tcW w:w="3247" w:type="dxa"/>
            <w:shd w:val="clear" w:color="auto" w:fill="BFBFBF" w:themeFill="background1" w:themeFillShade="BF"/>
          </w:tcPr>
          <w:p w:rsidR="0006451C" w:rsidRPr="0030354F" w:rsidRDefault="0075461D" w:rsidP="0030354F">
            <w:pPr>
              <w:contextualSpacing/>
              <w:rPr>
                <w:rFonts w:ascii="Arial" w:hAnsi="Arial" w:cs="Arial"/>
                <w:b/>
                <w:sz w:val="20"/>
                <w:szCs w:val="20"/>
                <w:lang w:eastAsia="en-ZA"/>
              </w:rPr>
            </w:pPr>
            <w:r w:rsidRPr="0030354F">
              <w:rPr>
                <w:rFonts w:ascii="Arial" w:hAnsi="Arial" w:cs="Arial"/>
                <w:b/>
                <w:sz w:val="20"/>
                <w:szCs w:val="20"/>
                <w:lang w:eastAsia="en-ZA"/>
              </w:rPr>
              <w:t>TOTAL</w:t>
            </w:r>
          </w:p>
        </w:tc>
        <w:tc>
          <w:tcPr>
            <w:tcW w:w="1873" w:type="dxa"/>
            <w:shd w:val="clear" w:color="auto" w:fill="BFBFBF" w:themeFill="background1" w:themeFillShade="BF"/>
          </w:tcPr>
          <w:p w:rsidR="0006451C" w:rsidRPr="0030354F" w:rsidRDefault="0087488D" w:rsidP="0030354F">
            <w:pPr>
              <w:contextualSpacing/>
              <w:rPr>
                <w:rFonts w:ascii="Arial" w:hAnsi="Arial" w:cs="Arial"/>
                <w:b/>
                <w:sz w:val="20"/>
                <w:szCs w:val="20"/>
                <w:lang w:eastAsia="en-ZA"/>
              </w:rPr>
            </w:pPr>
            <w:r w:rsidRPr="0030354F">
              <w:rPr>
                <w:rFonts w:ascii="Arial" w:hAnsi="Arial" w:cs="Arial"/>
                <w:b/>
                <w:sz w:val="20"/>
                <w:szCs w:val="20"/>
                <w:lang w:eastAsia="en-ZA"/>
              </w:rPr>
              <w:t>874 540</w:t>
            </w:r>
          </w:p>
        </w:tc>
        <w:tc>
          <w:tcPr>
            <w:tcW w:w="1980" w:type="dxa"/>
            <w:shd w:val="clear" w:color="auto" w:fill="BFBFBF" w:themeFill="background1" w:themeFillShade="BF"/>
          </w:tcPr>
          <w:p w:rsidR="0006451C" w:rsidRPr="0030354F" w:rsidRDefault="0087488D" w:rsidP="0030354F">
            <w:pPr>
              <w:contextualSpacing/>
              <w:rPr>
                <w:rFonts w:ascii="Arial" w:hAnsi="Arial" w:cs="Arial"/>
                <w:b/>
                <w:sz w:val="20"/>
                <w:szCs w:val="20"/>
                <w:lang w:eastAsia="en-ZA"/>
              </w:rPr>
            </w:pPr>
            <w:r w:rsidRPr="0030354F">
              <w:rPr>
                <w:rFonts w:ascii="Arial" w:hAnsi="Arial" w:cs="Arial"/>
                <w:b/>
                <w:sz w:val="20"/>
                <w:szCs w:val="20"/>
                <w:lang w:eastAsia="en-ZA"/>
              </w:rPr>
              <w:t>871 968</w:t>
            </w:r>
          </w:p>
        </w:tc>
        <w:tc>
          <w:tcPr>
            <w:tcW w:w="2250" w:type="dxa"/>
            <w:shd w:val="clear" w:color="auto" w:fill="BFBFBF" w:themeFill="background1" w:themeFillShade="BF"/>
          </w:tcPr>
          <w:p w:rsidR="0006451C" w:rsidRPr="0030354F" w:rsidRDefault="0087488D" w:rsidP="0030354F">
            <w:pPr>
              <w:contextualSpacing/>
              <w:rPr>
                <w:rFonts w:ascii="Arial" w:hAnsi="Arial" w:cs="Arial"/>
                <w:b/>
                <w:sz w:val="20"/>
                <w:szCs w:val="20"/>
                <w:lang w:eastAsia="en-ZA"/>
              </w:rPr>
            </w:pPr>
            <w:r w:rsidRPr="0030354F">
              <w:rPr>
                <w:rFonts w:ascii="Arial" w:hAnsi="Arial" w:cs="Arial"/>
                <w:b/>
                <w:sz w:val="20"/>
                <w:szCs w:val="20"/>
                <w:lang w:eastAsia="en-ZA"/>
              </w:rPr>
              <w:t>2 572</w:t>
            </w:r>
          </w:p>
        </w:tc>
      </w:tr>
    </w:tbl>
    <w:p w:rsidR="0006451C" w:rsidRPr="0030354F" w:rsidRDefault="0006451C" w:rsidP="0030354F">
      <w:pPr>
        <w:autoSpaceDE w:val="0"/>
        <w:autoSpaceDN w:val="0"/>
        <w:adjustRightInd w:val="0"/>
        <w:spacing w:after="0" w:line="240" w:lineRule="auto"/>
        <w:contextualSpacing/>
        <w:rPr>
          <w:rFonts w:ascii="Arial" w:hAnsi="Arial" w:cs="Arial"/>
          <w:b/>
          <w:sz w:val="20"/>
          <w:szCs w:val="20"/>
        </w:rPr>
      </w:pPr>
      <w:r w:rsidRPr="0030354F">
        <w:rPr>
          <w:rFonts w:ascii="Arial" w:hAnsi="Arial" w:cs="Arial"/>
          <w:b/>
          <w:sz w:val="20"/>
          <w:szCs w:val="20"/>
        </w:rPr>
        <w:t>Source: DSBD Annual Report 202</w:t>
      </w:r>
      <w:r w:rsidR="0075461D" w:rsidRPr="0030354F">
        <w:rPr>
          <w:rFonts w:ascii="Arial" w:hAnsi="Arial" w:cs="Arial"/>
          <w:b/>
          <w:sz w:val="20"/>
          <w:szCs w:val="20"/>
        </w:rPr>
        <w:t>1/22</w:t>
      </w:r>
    </w:p>
    <w:p w:rsidR="00FE2831" w:rsidRPr="0030354F" w:rsidRDefault="00FE2831" w:rsidP="0030354F">
      <w:pPr>
        <w:autoSpaceDE w:val="0"/>
        <w:autoSpaceDN w:val="0"/>
        <w:adjustRightInd w:val="0"/>
        <w:spacing w:after="0" w:line="240" w:lineRule="auto"/>
        <w:contextualSpacing/>
        <w:rPr>
          <w:rFonts w:ascii="Arial" w:hAnsi="Arial" w:cs="Arial"/>
          <w:sz w:val="20"/>
          <w:szCs w:val="20"/>
        </w:rPr>
      </w:pPr>
    </w:p>
    <w:p w:rsidR="00A00360" w:rsidRPr="0030354F" w:rsidRDefault="00A00360" w:rsidP="0030354F">
      <w:pPr>
        <w:pStyle w:val="ListParagraph"/>
        <w:numPr>
          <w:ilvl w:val="1"/>
          <w:numId w:val="23"/>
        </w:numPr>
        <w:autoSpaceDE w:val="0"/>
        <w:autoSpaceDN w:val="0"/>
        <w:adjustRightInd w:val="0"/>
        <w:rPr>
          <w:rFonts w:ascii="Arial" w:hAnsi="Arial" w:cs="Arial"/>
          <w:b/>
          <w:sz w:val="20"/>
          <w:szCs w:val="20"/>
        </w:rPr>
      </w:pPr>
      <w:r w:rsidRPr="0030354F">
        <w:rPr>
          <w:rFonts w:ascii="Arial" w:hAnsi="Arial" w:cs="Arial"/>
          <w:b/>
          <w:sz w:val="20"/>
          <w:szCs w:val="20"/>
        </w:rPr>
        <w:t>Economic Classification</w:t>
      </w:r>
    </w:p>
    <w:p w:rsidR="00440F87" w:rsidRPr="0030354F" w:rsidRDefault="00EA3F37" w:rsidP="0030354F">
      <w:pPr>
        <w:spacing w:after="0" w:line="240" w:lineRule="auto"/>
        <w:contextualSpacing/>
        <w:rPr>
          <w:rFonts w:ascii="Arial" w:eastAsiaTheme="minorEastAsia" w:hAnsi="Arial" w:cs="Arial"/>
          <w:sz w:val="20"/>
          <w:szCs w:val="20"/>
        </w:rPr>
      </w:pPr>
      <w:r w:rsidRPr="0030354F">
        <w:rPr>
          <w:rFonts w:ascii="Arial" w:eastAsiaTheme="minorEastAsia" w:hAnsi="Arial" w:cs="Arial"/>
          <w:bCs/>
          <w:sz w:val="20"/>
          <w:szCs w:val="20"/>
        </w:rPr>
        <w:t xml:space="preserve">Table 8 – economic classification depicts an outlay of R138 million on the Compensation of Employees </w:t>
      </w:r>
      <w:r w:rsidR="00440F87" w:rsidRPr="0030354F">
        <w:rPr>
          <w:rFonts w:ascii="Arial" w:eastAsiaTheme="minorEastAsia" w:hAnsi="Arial" w:cs="Arial"/>
          <w:sz w:val="20"/>
          <w:szCs w:val="20"/>
        </w:rPr>
        <w:t>against the final appropriation of R155 million</w:t>
      </w:r>
      <w:r w:rsidRPr="0030354F">
        <w:rPr>
          <w:rFonts w:ascii="Arial" w:eastAsiaTheme="minorEastAsia" w:hAnsi="Arial" w:cs="Arial"/>
          <w:sz w:val="20"/>
          <w:szCs w:val="20"/>
        </w:rPr>
        <w:t xml:space="preserve">. There was underspending of </w:t>
      </w:r>
      <w:r w:rsidR="00440F87" w:rsidRPr="0030354F">
        <w:rPr>
          <w:rFonts w:ascii="Arial" w:eastAsiaTheme="minorEastAsia" w:hAnsi="Arial" w:cs="Arial"/>
          <w:sz w:val="20"/>
          <w:szCs w:val="20"/>
        </w:rPr>
        <w:t xml:space="preserve">R16 million </w:t>
      </w:r>
      <w:r w:rsidRPr="0030354F">
        <w:rPr>
          <w:rFonts w:ascii="Arial" w:eastAsiaTheme="minorEastAsia" w:hAnsi="Arial" w:cs="Arial"/>
          <w:sz w:val="20"/>
          <w:szCs w:val="20"/>
        </w:rPr>
        <w:t>owing to vacancies. Expenditure on Goods and Services reached R7</w:t>
      </w:r>
      <w:r w:rsidR="00440F87" w:rsidRPr="0030354F">
        <w:rPr>
          <w:rFonts w:ascii="Arial" w:eastAsiaTheme="minorEastAsia" w:hAnsi="Arial" w:cs="Arial"/>
          <w:sz w:val="20"/>
          <w:szCs w:val="20"/>
        </w:rPr>
        <w:t>4 million against the final appropriation of R76 million, which constitutes an under spending of R1.8 million.  The items contributing to the underspending are mainly Operating leases (R471 thousand) due to lower expenditure than projected; Training and development (R332 thousand) as most training was either cancelled or attended virtually; Travel and subsistence and travel agency fees underperformed by R272 thousand; Consultancy service (R242 thousand) as some services were carried by donor funds; operating and fleet services fees (R248 thousand) jointly and whilst Consumable supplies and stationery jointly contributed R129 thousand.</w:t>
      </w:r>
      <w:r w:rsidRPr="0030354F">
        <w:rPr>
          <w:rFonts w:ascii="Arial" w:eastAsiaTheme="minorEastAsia" w:hAnsi="Arial" w:cs="Arial"/>
          <w:sz w:val="20"/>
          <w:szCs w:val="20"/>
        </w:rPr>
        <w:t xml:space="preserve"> Disbursement on Capital assets was R3 million </w:t>
      </w:r>
      <w:r w:rsidR="00440F87" w:rsidRPr="0030354F">
        <w:rPr>
          <w:rFonts w:ascii="Arial" w:eastAsiaTheme="minorEastAsia" w:hAnsi="Arial" w:cs="Arial"/>
          <w:sz w:val="20"/>
          <w:szCs w:val="20"/>
        </w:rPr>
        <w:t xml:space="preserve">against the final appropriation of R4.5 million </w:t>
      </w:r>
      <w:r w:rsidRPr="0030354F">
        <w:rPr>
          <w:rFonts w:ascii="Arial" w:eastAsiaTheme="minorEastAsia" w:hAnsi="Arial" w:cs="Arial"/>
          <w:sz w:val="20"/>
          <w:szCs w:val="20"/>
        </w:rPr>
        <w:t>while T</w:t>
      </w:r>
      <w:r w:rsidR="00440F87" w:rsidRPr="0030354F">
        <w:rPr>
          <w:rFonts w:ascii="Arial" w:eastAsiaTheme="minorEastAsia" w:hAnsi="Arial" w:cs="Arial"/>
          <w:bCs/>
          <w:sz w:val="20"/>
          <w:szCs w:val="20"/>
        </w:rPr>
        <w:t xml:space="preserve">ransfers and Subsidies </w:t>
      </w:r>
      <w:r w:rsidRPr="0030354F">
        <w:rPr>
          <w:rFonts w:ascii="Arial" w:eastAsiaTheme="minorEastAsia" w:hAnsi="Arial" w:cs="Arial"/>
          <w:bCs/>
          <w:sz w:val="20"/>
          <w:szCs w:val="20"/>
        </w:rPr>
        <w:t>incurred an e</w:t>
      </w:r>
      <w:r w:rsidR="00440F87" w:rsidRPr="0030354F">
        <w:rPr>
          <w:rFonts w:ascii="Arial" w:eastAsiaTheme="minorEastAsia" w:hAnsi="Arial" w:cs="Arial"/>
          <w:sz w:val="20"/>
          <w:szCs w:val="20"/>
        </w:rPr>
        <w:t xml:space="preserve">xpenditure </w:t>
      </w:r>
      <w:r w:rsidRPr="0030354F">
        <w:rPr>
          <w:rFonts w:ascii="Arial" w:eastAsiaTheme="minorEastAsia" w:hAnsi="Arial" w:cs="Arial"/>
          <w:sz w:val="20"/>
          <w:szCs w:val="20"/>
        </w:rPr>
        <w:t>of</w:t>
      </w:r>
      <w:r w:rsidR="00440F87" w:rsidRPr="0030354F">
        <w:rPr>
          <w:rFonts w:ascii="Arial" w:eastAsiaTheme="minorEastAsia" w:hAnsi="Arial" w:cs="Arial"/>
          <w:sz w:val="20"/>
          <w:szCs w:val="20"/>
        </w:rPr>
        <w:t xml:space="preserve"> R2.</w:t>
      </w:r>
      <w:r w:rsidRPr="0030354F">
        <w:rPr>
          <w:rFonts w:ascii="Arial" w:eastAsiaTheme="minorEastAsia" w:hAnsi="Arial" w:cs="Arial"/>
          <w:sz w:val="20"/>
          <w:szCs w:val="20"/>
        </w:rPr>
        <w:t>4 billion.</w:t>
      </w:r>
    </w:p>
    <w:p w:rsidR="00226284" w:rsidRPr="0030354F" w:rsidRDefault="00226284" w:rsidP="0030354F">
      <w:pPr>
        <w:spacing w:after="0" w:line="240" w:lineRule="auto"/>
        <w:contextualSpacing/>
        <w:rPr>
          <w:rFonts w:ascii="Arial" w:hAnsi="Arial" w:cs="Arial"/>
          <w:sz w:val="20"/>
          <w:szCs w:val="20"/>
        </w:rPr>
      </w:pPr>
    </w:p>
    <w:p w:rsidR="00E525B8" w:rsidRPr="0030354F" w:rsidRDefault="00E525B8" w:rsidP="0030354F">
      <w:pPr>
        <w:pStyle w:val="Default"/>
        <w:contextualSpacing/>
        <w:rPr>
          <w:rFonts w:ascii="Arial" w:hAnsi="Arial" w:cs="Arial"/>
          <w:b/>
          <w:color w:val="auto"/>
          <w:sz w:val="20"/>
          <w:szCs w:val="20"/>
        </w:rPr>
      </w:pPr>
      <w:r w:rsidRPr="0030354F">
        <w:rPr>
          <w:rFonts w:ascii="Arial" w:hAnsi="Arial" w:cs="Arial"/>
          <w:b/>
          <w:color w:val="auto"/>
          <w:sz w:val="20"/>
          <w:szCs w:val="20"/>
        </w:rPr>
        <w:t xml:space="preserve">Table </w:t>
      </w:r>
      <w:r w:rsidR="00F743AF" w:rsidRPr="0030354F">
        <w:rPr>
          <w:rFonts w:ascii="Arial" w:hAnsi="Arial" w:cs="Arial"/>
          <w:b/>
          <w:color w:val="auto"/>
          <w:sz w:val="20"/>
          <w:szCs w:val="20"/>
        </w:rPr>
        <w:t>8</w:t>
      </w:r>
      <w:r w:rsidRPr="0030354F">
        <w:rPr>
          <w:rFonts w:ascii="Arial" w:hAnsi="Arial" w:cs="Arial"/>
          <w:b/>
          <w:color w:val="auto"/>
          <w:sz w:val="20"/>
          <w:szCs w:val="20"/>
        </w:rPr>
        <w:t>: Economic Classification</w:t>
      </w:r>
    </w:p>
    <w:tbl>
      <w:tblPr>
        <w:tblStyle w:val="TableGrid1"/>
        <w:tblW w:w="8990" w:type="dxa"/>
        <w:tblLook w:val="0600"/>
      </w:tblPr>
      <w:tblGrid>
        <w:gridCol w:w="2330"/>
        <w:gridCol w:w="2430"/>
        <w:gridCol w:w="1980"/>
        <w:gridCol w:w="2250"/>
      </w:tblGrid>
      <w:tr w:rsidR="00F743AF" w:rsidRPr="0030354F" w:rsidTr="00402F29">
        <w:trPr>
          <w:trHeight w:val="491"/>
        </w:trPr>
        <w:tc>
          <w:tcPr>
            <w:tcW w:w="2330" w:type="dxa"/>
            <w:vMerge w:val="restart"/>
            <w:shd w:val="clear" w:color="auto" w:fill="92D050"/>
            <w:hideMark/>
          </w:tcPr>
          <w:p w:rsidR="00F743AF" w:rsidRPr="0030354F" w:rsidRDefault="00F743AF" w:rsidP="0030354F">
            <w:pPr>
              <w:contextualSpacing/>
              <w:textAlignment w:val="top"/>
              <w:rPr>
                <w:rFonts w:ascii="Arial" w:eastAsia="Times New Roman" w:hAnsi="Arial" w:cs="Arial"/>
                <w:sz w:val="20"/>
                <w:szCs w:val="20"/>
                <w:lang w:eastAsia="en-ZA"/>
              </w:rPr>
            </w:pPr>
            <w:r w:rsidRPr="0030354F">
              <w:rPr>
                <w:rFonts w:ascii="Arial" w:eastAsia="Times New Roman" w:hAnsi="Arial" w:cs="Arial"/>
                <w:b/>
                <w:bCs/>
                <w:kern w:val="24"/>
                <w:sz w:val="20"/>
                <w:szCs w:val="20"/>
                <w:lang w:eastAsia="en-ZA"/>
              </w:rPr>
              <w:t>Economic Classification</w:t>
            </w:r>
          </w:p>
        </w:tc>
        <w:tc>
          <w:tcPr>
            <w:tcW w:w="2430" w:type="dxa"/>
            <w:shd w:val="clear" w:color="auto" w:fill="92D050"/>
            <w:hideMark/>
          </w:tcPr>
          <w:p w:rsidR="00F743AF" w:rsidRPr="0030354F" w:rsidRDefault="00F743AF" w:rsidP="0030354F">
            <w:pPr>
              <w:contextualSpacing/>
              <w:rPr>
                <w:rFonts w:ascii="Arial" w:eastAsia="Times New Roman" w:hAnsi="Arial" w:cs="Arial"/>
                <w:sz w:val="20"/>
                <w:szCs w:val="20"/>
                <w:lang w:eastAsia="en-ZA"/>
              </w:rPr>
            </w:pPr>
            <w:r w:rsidRPr="0030354F">
              <w:rPr>
                <w:rFonts w:ascii="Arial" w:eastAsiaTheme="minorEastAsia" w:hAnsi="Arial" w:cs="Arial"/>
                <w:b/>
                <w:bCs/>
                <w:kern w:val="24"/>
                <w:sz w:val="20"/>
                <w:szCs w:val="20"/>
                <w:lang w:val="en-US" w:eastAsia="en-ZA"/>
              </w:rPr>
              <w:t>Final</w:t>
            </w:r>
            <w:r w:rsidRPr="0030354F">
              <w:rPr>
                <w:rFonts w:ascii="Arial" w:eastAsia="Times New Roman" w:hAnsi="Arial" w:cs="Arial"/>
                <w:kern w:val="24"/>
                <w:sz w:val="20"/>
                <w:szCs w:val="20"/>
                <w:lang w:val="en-US" w:eastAsia="en-ZA"/>
              </w:rPr>
              <w:t xml:space="preserve"> </w:t>
            </w:r>
          </w:p>
          <w:p w:rsidR="00F743AF" w:rsidRPr="0030354F" w:rsidRDefault="00F743AF" w:rsidP="0030354F">
            <w:pPr>
              <w:contextualSpacing/>
              <w:rPr>
                <w:rFonts w:ascii="Arial" w:eastAsia="Times New Roman" w:hAnsi="Arial" w:cs="Arial"/>
                <w:sz w:val="20"/>
                <w:szCs w:val="20"/>
                <w:lang w:eastAsia="en-ZA"/>
              </w:rPr>
            </w:pPr>
            <w:r w:rsidRPr="0030354F">
              <w:rPr>
                <w:rFonts w:ascii="Arial" w:eastAsiaTheme="minorEastAsia" w:hAnsi="Arial" w:cs="Arial"/>
                <w:b/>
                <w:bCs/>
                <w:kern w:val="24"/>
                <w:sz w:val="20"/>
                <w:szCs w:val="20"/>
                <w:lang w:val="en-US" w:eastAsia="en-ZA"/>
              </w:rPr>
              <w:t>Appropriation</w:t>
            </w:r>
          </w:p>
        </w:tc>
        <w:tc>
          <w:tcPr>
            <w:tcW w:w="1980" w:type="dxa"/>
            <w:shd w:val="clear" w:color="auto" w:fill="92D050"/>
            <w:hideMark/>
          </w:tcPr>
          <w:p w:rsidR="00F743AF" w:rsidRPr="0030354F" w:rsidRDefault="00F743AF" w:rsidP="0030354F">
            <w:pPr>
              <w:contextualSpacing/>
              <w:textAlignment w:val="center"/>
              <w:rPr>
                <w:rFonts w:ascii="Arial" w:eastAsia="Times New Roman" w:hAnsi="Arial" w:cs="Arial"/>
                <w:sz w:val="20"/>
                <w:szCs w:val="20"/>
                <w:lang w:eastAsia="en-ZA"/>
              </w:rPr>
            </w:pPr>
            <w:r w:rsidRPr="0030354F">
              <w:rPr>
                <w:rFonts w:ascii="Arial" w:eastAsia="Times New Roman" w:hAnsi="Arial" w:cs="Arial"/>
                <w:b/>
                <w:bCs/>
                <w:kern w:val="24"/>
                <w:sz w:val="20"/>
                <w:szCs w:val="20"/>
                <w:lang w:eastAsia="en-ZA"/>
              </w:rPr>
              <w:t xml:space="preserve">Actual Expenditure </w:t>
            </w:r>
          </w:p>
        </w:tc>
        <w:tc>
          <w:tcPr>
            <w:tcW w:w="2250" w:type="dxa"/>
            <w:shd w:val="clear" w:color="auto" w:fill="92D050"/>
            <w:hideMark/>
          </w:tcPr>
          <w:p w:rsidR="00F743AF" w:rsidRPr="0030354F" w:rsidRDefault="00F743AF" w:rsidP="0030354F">
            <w:pPr>
              <w:contextualSpacing/>
              <w:textAlignment w:val="center"/>
              <w:rPr>
                <w:rFonts w:ascii="Arial" w:eastAsia="Times New Roman" w:hAnsi="Arial" w:cs="Arial"/>
                <w:sz w:val="20"/>
                <w:szCs w:val="20"/>
                <w:lang w:eastAsia="en-ZA"/>
              </w:rPr>
            </w:pPr>
            <w:r w:rsidRPr="0030354F">
              <w:rPr>
                <w:rFonts w:ascii="Arial" w:eastAsia="Times New Roman" w:hAnsi="Arial" w:cs="Arial"/>
                <w:b/>
                <w:bCs/>
                <w:kern w:val="24"/>
                <w:sz w:val="20"/>
                <w:szCs w:val="20"/>
                <w:lang w:eastAsia="en-ZA"/>
              </w:rPr>
              <w:t>(Over)/Under Expenditure</w:t>
            </w:r>
          </w:p>
        </w:tc>
      </w:tr>
      <w:tr w:rsidR="00F743AF" w:rsidRPr="0030354F" w:rsidTr="00402F29">
        <w:trPr>
          <w:trHeight w:val="59"/>
        </w:trPr>
        <w:tc>
          <w:tcPr>
            <w:tcW w:w="2330" w:type="dxa"/>
            <w:vMerge/>
            <w:shd w:val="clear" w:color="auto" w:fill="92D050"/>
            <w:hideMark/>
          </w:tcPr>
          <w:p w:rsidR="00F743AF" w:rsidRPr="0030354F" w:rsidRDefault="00F743AF" w:rsidP="0030354F">
            <w:pPr>
              <w:contextualSpacing/>
              <w:rPr>
                <w:rFonts w:ascii="Arial" w:eastAsia="Times New Roman" w:hAnsi="Arial" w:cs="Arial"/>
                <w:sz w:val="20"/>
                <w:szCs w:val="20"/>
                <w:lang w:eastAsia="en-ZA"/>
              </w:rPr>
            </w:pPr>
          </w:p>
        </w:tc>
        <w:tc>
          <w:tcPr>
            <w:tcW w:w="2430" w:type="dxa"/>
            <w:shd w:val="clear" w:color="auto" w:fill="92D050"/>
            <w:hideMark/>
          </w:tcPr>
          <w:p w:rsidR="00F743AF" w:rsidRPr="0030354F" w:rsidRDefault="00F743AF" w:rsidP="0030354F">
            <w:pPr>
              <w:contextualSpacing/>
              <w:textAlignment w:val="bottom"/>
              <w:rPr>
                <w:rFonts w:ascii="Arial" w:eastAsia="Times New Roman" w:hAnsi="Arial" w:cs="Arial"/>
                <w:sz w:val="20"/>
                <w:szCs w:val="20"/>
                <w:lang w:eastAsia="en-ZA"/>
              </w:rPr>
            </w:pPr>
            <w:r w:rsidRPr="0030354F">
              <w:rPr>
                <w:rFonts w:ascii="Arial" w:eastAsia="Times New Roman" w:hAnsi="Arial" w:cs="Arial"/>
                <w:b/>
                <w:bCs/>
                <w:kern w:val="24"/>
                <w:sz w:val="20"/>
                <w:szCs w:val="20"/>
                <w:lang w:eastAsia="en-ZA"/>
              </w:rPr>
              <w:t>(R’000)</w:t>
            </w:r>
          </w:p>
        </w:tc>
        <w:tc>
          <w:tcPr>
            <w:tcW w:w="1980" w:type="dxa"/>
            <w:shd w:val="clear" w:color="auto" w:fill="92D050"/>
            <w:hideMark/>
          </w:tcPr>
          <w:p w:rsidR="00F743AF" w:rsidRPr="0030354F" w:rsidRDefault="00F743AF" w:rsidP="0030354F">
            <w:pPr>
              <w:contextualSpacing/>
              <w:textAlignment w:val="bottom"/>
              <w:rPr>
                <w:rFonts w:ascii="Arial" w:eastAsia="Times New Roman" w:hAnsi="Arial" w:cs="Arial"/>
                <w:sz w:val="20"/>
                <w:szCs w:val="20"/>
                <w:lang w:eastAsia="en-ZA"/>
              </w:rPr>
            </w:pPr>
            <w:r w:rsidRPr="0030354F">
              <w:rPr>
                <w:rFonts w:ascii="Arial" w:eastAsia="Times New Roman" w:hAnsi="Arial" w:cs="Arial"/>
                <w:b/>
                <w:bCs/>
                <w:kern w:val="24"/>
                <w:sz w:val="20"/>
                <w:szCs w:val="20"/>
                <w:lang w:eastAsia="en-ZA"/>
              </w:rPr>
              <w:t>(R’000) (%)</w:t>
            </w:r>
          </w:p>
        </w:tc>
        <w:tc>
          <w:tcPr>
            <w:tcW w:w="2250" w:type="dxa"/>
            <w:shd w:val="clear" w:color="auto" w:fill="92D050"/>
            <w:hideMark/>
          </w:tcPr>
          <w:p w:rsidR="00F743AF" w:rsidRPr="0030354F" w:rsidRDefault="00F743AF" w:rsidP="0030354F">
            <w:pPr>
              <w:contextualSpacing/>
              <w:textAlignment w:val="bottom"/>
              <w:rPr>
                <w:rFonts w:ascii="Arial" w:eastAsia="Times New Roman" w:hAnsi="Arial" w:cs="Arial"/>
                <w:sz w:val="20"/>
                <w:szCs w:val="20"/>
                <w:lang w:eastAsia="en-ZA"/>
              </w:rPr>
            </w:pPr>
            <w:r w:rsidRPr="0030354F">
              <w:rPr>
                <w:rFonts w:ascii="Arial" w:eastAsiaTheme="minorEastAsia" w:hAnsi="Arial" w:cs="Arial"/>
                <w:b/>
                <w:bCs/>
                <w:kern w:val="24"/>
                <w:sz w:val="20"/>
                <w:szCs w:val="20"/>
                <w:lang w:eastAsia="en-ZA"/>
              </w:rPr>
              <w:t>(R’000)</w:t>
            </w:r>
          </w:p>
        </w:tc>
      </w:tr>
      <w:tr w:rsidR="00F743AF" w:rsidRPr="0030354F" w:rsidTr="00440F87">
        <w:trPr>
          <w:trHeight w:val="239"/>
        </w:trPr>
        <w:tc>
          <w:tcPr>
            <w:tcW w:w="2330" w:type="dxa"/>
          </w:tcPr>
          <w:p w:rsidR="00F743AF" w:rsidRPr="0030354F" w:rsidRDefault="00EA3F37" w:rsidP="0030354F">
            <w:pPr>
              <w:contextualSpacing/>
              <w:textAlignment w:val="center"/>
              <w:rPr>
                <w:rFonts w:ascii="Arial" w:eastAsia="Times New Roman" w:hAnsi="Arial" w:cs="Arial"/>
                <w:sz w:val="20"/>
                <w:szCs w:val="20"/>
                <w:lang w:eastAsia="en-ZA"/>
              </w:rPr>
            </w:pPr>
            <w:r w:rsidRPr="0030354F">
              <w:rPr>
                <w:rFonts w:ascii="Arial" w:eastAsia="Times New Roman" w:hAnsi="Arial" w:cs="Arial"/>
                <w:sz w:val="20"/>
                <w:szCs w:val="20"/>
                <w:lang w:eastAsia="en-ZA"/>
              </w:rPr>
              <w:t>Compensation of Employee</w:t>
            </w:r>
          </w:p>
        </w:tc>
        <w:tc>
          <w:tcPr>
            <w:tcW w:w="2430" w:type="dxa"/>
          </w:tcPr>
          <w:p w:rsidR="00F743AF" w:rsidRPr="0030354F" w:rsidRDefault="00EA3F3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154 762</w:t>
            </w:r>
          </w:p>
        </w:tc>
        <w:tc>
          <w:tcPr>
            <w:tcW w:w="1980" w:type="dxa"/>
          </w:tcPr>
          <w:p w:rsidR="00F743AF" w:rsidRPr="0030354F" w:rsidRDefault="00EA3F3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138 425</w:t>
            </w:r>
          </w:p>
        </w:tc>
        <w:tc>
          <w:tcPr>
            <w:tcW w:w="2250" w:type="dxa"/>
          </w:tcPr>
          <w:p w:rsidR="00F743AF" w:rsidRPr="0030354F" w:rsidRDefault="00EA3F3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16 337</w:t>
            </w:r>
          </w:p>
        </w:tc>
      </w:tr>
      <w:tr w:rsidR="00F743AF" w:rsidRPr="0030354F" w:rsidTr="00440F87">
        <w:trPr>
          <w:trHeight w:val="149"/>
        </w:trPr>
        <w:tc>
          <w:tcPr>
            <w:tcW w:w="2330" w:type="dxa"/>
          </w:tcPr>
          <w:p w:rsidR="00F743AF" w:rsidRPr="0030354F" w:rsidRDefault="00EA3F37" w:rsidP="0030354F">
            <w:pPr>
              <w:contextualSpacing/>
              <w:textAlignment w:val="center"/>
              <w:rPr>
                <w:rFonts w:ascii="Arial" w:eastAsia="Times New Roman" w:hAnsi="Arial" w:cs="Arial"/>
                <w:sz w:val="20"/>
                <w:szCs w:val="20"/>
                <w:lang w:eastAsia="en-ZA"/>
              </w:rPr>
            </w:pPr>
            <w:r w:rsidRPr="0030354F">
              <w:rPr>
                <w:rFonts w:ascii="Arial" w:eastAsia="Times New Roman" w:hAnsi="Arial" w:cs="Arial"/>
                <w:sz w:val="20"/>
                <w:szCs w:val="20"/>
                <w:lang w:eastAsia="en-ZA"/>
              </w:rPr>
              <w:t>Goods and Services</w:t>
            </w:r>
          </w:p>
        </w:tc>
        <w:tc>
          <w:tcPr>
            <w:tcW w:w="2430" w:type="dxa"/>
          </w:tcPr>
          <w:p w:rsidR="00F743AF" w:rsidRPr="0030354F" w:rsidRDefault="00EA3F37" w:rsidP="0030354F">
            <w:pPr>
              <w:contextualSpacing/>
              <w:rPr>
                <w:rFonts w:ascii="Arial" w:eastAsia="Times New Roman" w:hAnsi="Arial" w:cs="Arial"/>
                <w:sz w:val="20"/>
                <w:szCs w:val="20"/>
                <w:lang w:eastAsia="en-ZA"/>
              </w:rPr>
            </w:pPr>
            <w:r w:rsidRPr="0030354F">
              <w:rPr>
                <w:rFonts w:ascii="Arial" w:eastAsia="Times New Roman" w:hAnsi="Arial" w:cs="Arial"/>
                <w:sz w:val="20"/>
                <w:szCs w:val="20"/>
                <w:lang w:eastAsia="en-ZA"/>
              </w:rPr>
              <w:t>75 784</w:t>
            </w:r>
          </w:p>
        </w:tc>
        <w:tc>
          <w:tcPr>
            <w:tcW w:w="1980" w:type="dxa"/>
          </w:tcPr>
          <w:p w:rsidR="00F743AF" w:rsidRPr="0030354F" w:rsidRDefault="00EA3F37" w:rsidP="0030354F">
            <w:pPr>
              <w:contextualSpacing/>
              <w:textAlignment w:val="center"/>
              <w:rPr>
                <w:rFonts w:ascii="Arial" w:eastAsia="Times New Roman" w:hAnsi="Arial" w:cs="Arial"/>
                <w:sz w:val="20"/>
                <w:szCs w:val="20"/>
                <w:lang w:eastAsia="en-ZA"/>
              </w:rPr>
            </w:pPr>
            <w:r w:rsidRPr="0030354F">
              <w:rPr>
                <w:rFonts w:ascii="Arial" w:eastAsia="Times New Roman" w:hAnsi="Arial" w:cs="Arial"/>
                <w:sz w:val="20"/>
                <w:szCs w:val="20"/>
                <w:lang w:eastAsia="en-ZA"/>
              </w:rPr>
              <w:t>73 949</w:t>
            </w:r>
          </w:p>
        </w:tc>
        <w:tc>
          <w:tcPr>
            <w:tcW w:w="2250" w:type="dxa"/>
          </w:tcPr>
          <w:p w:rsidR="00F743AF" w:rsidRPr="0030354F" w:rsidRDefault="00EA3F37" w:rsidP="0030354F">
            <w:pPr>
              <w:contextualSpacing/>
              <w:textAlignment w:val="center"/>
              <w:rPr>
                <w:rFonts w:ascii="Arial" w:eastAsia="Times New Roman" w:hAnsi="Arial" w:cs="Arial"/>
                <w:sz w:val="20"/>
                <w:szCs w:val="20"/>
                <w:lang w:eastAsia="en-ZA"/>
              </w:rPr>
            </w:pPr>
            <w:r w:rsidRPr="0030354F">
              <w:rPr>
                <w:rFonts w:ascii="Arial" w:eastAsia="Times New Roman" w:hAnsi="Arial" w:cs="Arial"/>
                <w:sz w:val="20"/>
                <w:szCs w:val="20"/>
                <w:lang w:eastAsia="en-ZA"/>
              </w:rPr>
              <w:t>1 835</w:t>
            </w:r>
          </w:p>
        </w:tc>
      </w:tr>
      <w:tr w:rsidR="00F743AF" w:rsidRPr="0030354F" w:rsidTr="00440F87">
        <w:trPr>
          <w:trHeight w:val="167"/>
        </w:trPr>
        <w:tc>
          <w:tcPr>
            <w:tcW w:w="2330" w:type="dxa"/>
          </w:tcPr>
          <w:p w:rsidR="00F743AF" w:rsidRPr="0030354F" w:rsidRDefault="00EA3F37" w:rsidP="0030354F">
            <w:pPr>
              <w:contextualSpacing/>
              <w:textAlignment w:val="center"/>
              <w:rPr>
                <w:rFonts w:ascii="Arial" w:eastAsia="Times New Roman" w:hAnsi="Arial" w:cs="Arial"/>
                <w:sz w:val="20"/>
                <w:szCs w:val="20"/>
                <w:lang w:eastAsia="en-ZA"/>
              </w:rPr>
            </w:pPr>
            <w:r w:rsidRPr="0030354F">
              <w:rPr>
                <w:rFonts w:ascii="Arial" w:eastAsia="Times New Roman" w:hAnsi="Arial" w:cs="Arial"/>
                <w:sz w:val="20"/>
                <w:szCs w:val="20"/>
                <w:lang w:eastAsia="en-ZA"/>
              </w:rPr>
              <w:t>Transfers and Subsidies</w:t>
            </w:r>
          </w:p>
        </w:tc>
        <w:tc>
          <w:tcPr>
            <w:tcW w:w="2430" w:type="dxa"/>
          </w:tcPr>
          <w:p w:rsidR="00F743AF" w:rsidRPr="0030354F" w:rsidRDefault="00EA3F37" w:rsidP="0030354F">
            <w:pPr>
              <w:contextualSpacing/>
              <w:textAlignment w:val="center"/>
              <w:rPr>
                <w:rFonts w:ascii="Arial" w:eastAsia="Times New Roman" w:hAnsi="Arial" w:cs="Arial"/>
                <w:sz w:val="20"/>
                <w:szCs w:val="20"/>
                <w:lang w:eastAsia="en-ZA"/>
              </w:rPr>
            </w:pPr>
            <w:r w:rsidRPr="0030354F">
              <w:rPr>
                <w:rFonts w:ascii="Arial" w:eastAsia="Times New Roman" w:hAnsi="Arial" w:cs="Arial"/>
                <w:sz w:val="20"/>
                <w:szCs w:val="20"/>
                <w:lang w:eastAsia="en-ZA"/>
              </w:rPr>
              <w:t>2 402 031</w:t>
            </w:r>
          </w:p>
        </w:tc>
        <w:tc>
          <w:tcPr>
            <w:tcW w:w="1980" w:type="dxa"/>
          </w:tcPr>
          <w:p w:rsidR="00F743AF" w:rsidRPr="0030354F" w:rsidRDefault="00EA3F37" w:rsidP="0030354F">
            <w:pPr>
              <w:contextualSpacing/>
              <w:textAlignment w:val="center"/>
              <w:rPr>
                <w:rFonts w:ascii="Arial" w:eastAsia="Times New Roman" w:hAnsi="Arial" w:cs="Arial"/>
                <w:sz w:val="20"/>
                <w:szCs w:val="20"/>
                <w:lang w:eastAsia="en-ZA"/>
              </w:rPr>
            </w:pPr>
            <w:r w:rsidRPr="0030354F">
              <w:rPr>
                <w:rFonts w:ascii="Arial" w:eastAsia="Times New Roman" w:hAnsi="Arial" w:cs="Arial"/>
                <w:sz w:val="20"/>
                <w:szCs w:val="20"/>
                <w:lang w:eastAsia="en-ZA"/>
              </w:rPr>
              <w:t>2 397 586</w:t>
            </w:r>
          </w:p>
        </w:tc>
        <w:tc>
          <w:tcPr>
            <w:tcW w:w="2250" w:type="dxa"/>
          </w:tcPr>
          <w:p w:rsidR="00F743AF" w:rsidRPr="0030354F" w:rsidRDefault="00EA3F37" w:rsidP="0030354F">
            <w:pPr>
              <w:contextualSpacing/>
              <w:textAlignment w:val="center"/>
              <w:rPr>
                <w:rFonts w:ascii="Arial" w:eastAsia="Times New Roman" w:hAnsi="Arial" w:cs="Arial"/>
                <w:sz w:val="20"/>
                <w:szCs w:val="20"/>
                <w:lang w:eastAsia="en-ZA"/>
              </w:rPr>
            </w:pPr>
            <w:r w:rsidRPr="0030354F">
              <w:rPr>
                <w:rFonts w:ascii="Arial" w:eastAsia="Times New Roman" w:hAnsi="Arial" w:cs="Arial"/>
                <w:sz w:val="20"/>
                <w:szCs w:val="20"/>
                <w:lang w:eastAsia="en-ZA"/>
              </w:rPr>
              <w:t>4 445</w:t>
            </w:r>
          </w:p>
        </w:tc>
      </w:tr>
      <w:tr w:rsidR="00F743AF" w:rsidRPr="0030354F" w:rsidTr="00440F87">
        <w:trPr>
          <w:trHeight w:val="167"/>
        </w:trPr>
        <w:tc>
          <w:tcPr>
            <w:tcW w:w="2330" w:type="dxa"/>
          </w:tcPr>
          <w:p w:rsidR="00F743AF" w:rsidRPr="0030354F" w:rsidRDefault="00EA3F37" w:rsidP="0030354F">
            <w:pPr>
              <w:contextualSpacing/>
              <w:textAlignment w:val="center"/>
              <w:rPr>
                <w:rFonts w:ascii="Arial" w:eastAsia="Times New Roman" w:hAnsi="Arial" w:cs="Arial"/>
                <w:sz w:val="20"/>
                <w:szCs w:val="20"/>
                <w:lang w:eastAsia="en-ZA"/>
              </w:rPr>
            </w:pPr>
            <w:r w:rsidRPr="0030354F">
              <w:rPr>
                <w:rFonts w:ascii="Arial" w:eastAsia="Times New Roman" w:hAnsi="Arial" w:cs="Arial"/>
                <w:sz w:val="20"/>
                <w:szCs w:val="20"/>
                <w:lang w:eastAsia="en-ZA"/>
              </w:rPr>
              <w:t>Capital Assets</w:t>
            </w:r>
          </w:p>
        </w:tc>
        <w:tc>
          <w:tcPr>
            <w:tcW w:w="2430" w:type="dxa"/>
          </w:tcPr>
          <w:p w:rsidR="00F743AF" w:rsidRPr="0030354F" w:rsidRDefault="00EA3F37" w:rsidP="0030354F">
            <w:pPr>
              <w:contextualSpacing/>
              <w:textAlignment w:val="center"/>
              <w:rPr>
                <w:rFonts w:ascii="Arial" w:eastAsia="Times New Roman" w:hAnsi="Arial" w:cs="Arial"/>
                <w:sz w:val="20"/>
                <w:szCs w:val="20"/>
                <w:lang w:eastAsia="en-ZA"/>
              </w:rPr>
            </w:pPr>
            <w:r w:rsidRPr="0030354F">
              <w:rPr>
                <w:rFonts w:ascii="Arial" w:eastAsia="Times New Roman" w:hAnsi="Arial" w:cs="Arial"/>
                <w:sz w:val="20"/>
                <w:szCs w:val="20"/>
                <w:lang w:eastAsia="en-ZA"/>
              </w:rPr>
              <w:t>4 476</w:t>
            </w:r>
          </w:p>
        </w:tc>
        <w:tc>
          <w:tcPr>
            <w:tcW w:w="1980" w:type="dxa"/>
          </w:tcPr>
          <w:p w:rsidR="00F743AF" w:rsidRPr="0030354F" w:rsidRDefault="00EA3F37" w:rsidP="0030354F">
            <w:pPr>
              <w:contextualSpacing/>
              <w:textAlignment w:val="center"/>
              <w:rPr>
                <w:rFonts w:ascii="Arial" w:eastAsia="Times New Roman" w:hAnsi="Arial" w:cs="Arial"/>
                <w:sz w:val="20"/>
                <w:szCs w:val="20"/>
                <w:lang w:eastAsia="en-ZA"/>
              </w:rPr>
            </w:pPr>
            <w:r w:rsidRPr="0030354F">
              <w:rPr>
                <w:rFonts w:ascii="Arial" w:eastAsia="Times New Roman" w:hAnsi="Arial" w:cs="Arial"/>
                <w:sz w:val="20"/>
                <w:szCs w:val="20"/>
                <w:lang w:eastAsia="en-ZA"/>
              </w:rPr>
              <w:t>3 250</w:t>
            </w:r>
          </w:p>
        </w:tc>
        <w:tc>
          <w:tcPr>
            <w:tcW w:w="2250" w:type="dxa"/>
          </w:tcPr>
          <w:p w:rsidR="00F743AF" w:rsidRPr="0030354F" w:rsidRDefault="00EA3F37" w:rsidP="0030354F">
            <w:pPr>
              <w:contextualSpacing/>
              <w:textAlignment w:val="center"/>
              <w:rPr>
                <w:rFonts w:ascii="Arial" w:eastAsia="Times New Roman" w:hAnsi="Arial" w:cs="Arial"/>
                <w:sz w:val="20"/>
                <w:szCs w:val="20"/>
                <w:lang w:eastAsia="en-ZA"/>
              </w:rPr>
            </w:pPr>
            <w:r w:rsidRPr="0030354F">
              <w:rPr>
                <w:rFonts w:ascii="Arial" w:eastAsia="Times New Roman" w:hAnsi="Arial" w:cs="Arial"/>
                <w:sz w:val="20"/>
                <w:szCs w:val="20"/>
                <w:lang w:eastAsia="en-ZA"/>
              </w:rPr>
              <w:t>1 226</w:t>
            </w:r>
          </w:p>
        </w:tc>
      </w:tr>
    </w:tbl>
    <w:p w:rsidR="00E525B8" w:rsidRPr="0030354F" w:rsidRDefault="00E525B8" w:rsidP="0030354F">
      <w:pPr>
        <w:spacing w:after="0" w:line="240" w:lineRule="auto"/>
        <w:contextualSpacing/>
        <w:rPr>
          <w:rFonts w:ascii="Arial" w:hAnsi="Arial" w:cs="Arial"/>
          <w:b/>
          <w:sz w:val="20"/>
          <w:szCs w:val="20"/>
        </w:rPr>
      </w:pPr>
      <w:r w:rsidRPr="0030354F">
        <w:rPr>
          <w:rFonts w:ascii="Arial" w:hAnsi="Arial" w:cs="Arial"/>
          <w:b/>
          <w:sz w:val="20"/>
          <w:szCs w:val="20"/>
        </w:rPr>
        <w:t>Sou</w:t>
      </w:r>
      <w:r w:rsidR="00402F29" w:rsidRPr="0030354F">
        <w:rPr>
          <w:rFonts w:ascii="Arial" w:hAnsi="Arial" w:cs="Arial"/>
          <w:b/>
          <w:sz w:val="20"/>
          <w:szCs w:val="20"/>
        </w:rPr>
        <w:t>rce: DSBD Annual Report (202</w:t>
      </w:r>
      <w:r w:rsidR="00440F87" w:rsidRPr="0030354F">
        <w:rPr>
          <w:rFonts w:ascii="Arial" w:hAnsi="Arial" w:cs="Arial"/>
          <w:b/>
          <w:sz w:val="20"/>
          <w:szCs w:val="20"/>
        </w:rPr>
        <w:t>1/22</w:t>
      </w:r>
      <w:r w:rsidRPr="0030354F">
        <w:rPr>
          <w:rFonts w:ascii="Arial" w:hAnsi="Arial" w:cs="Arial"/>
          <w:b/>
          <w:sz w:val="20"/>
          <w:szCs w:val="20"/>
        </w:rPr>
        <w:t>)</w:t>
      </w:r>
    </w:p>
    <w:p w:rsidR="00241128" w:rsidRPr="0030354F" w:rsidRDefault="00241128" w:rsidP="0030354F">
      <w:pPr>
        <w:spacing w:after="0" w:line="240" w:lineRule="auto"/>
        <w:contextualSpacing/>
        <w:rPr>
          <w:rFonts w:ascii="Arial" w:hAnsi="Arial" w:cs="Arial"/>
          <w:b/>
          <w:sz w:val="20"/>
          <w:szCs w:val="20"/>
          <w:lang w:val="en-GB"/>
        </w:rPr>
      </w:pPr>
    </w:p>
    <w:p w:rsidR="007D4C91" w:rsidRPr="0030354F" w:rsidRDefault="00241128" w:rsidP="0030354F">
      <w:pPr>
        <w:spacing w:after="0" w:line="240" w:lineRule="auto"/>
        <w:contextualSpacing/>
        <w:rPr>
          <w:rFonts w:ascii="Arial" w:eastAsia="Times New Roman" w:hAnsi="Arial" w:cs="Arial"/>
          <w:b/>
          <w:sz w:val="20"/>
          <w:szCs w:val="20"/>
          <w:lang w:val="en-GB" w:eastAsia="en-GB"/>
        </w:rPr>
      </w:pPr>
      <w:r w:rsidRPr="0030354F">
        <w:rPr>
          <w:rFonts w:ascii="Arial" w:eastAsia="Times New Roman" w:hAnsi="Arial" w:cs="Arial"/>
          <w:b/>
          <w:sz w:val="20"/>
          <w:szCs w:val="20"/>
          <w:lang w:val="en-GB" w:eastAsia="en-GB"/>
        </w:rPr>
        <w:t>4.4</w:t>
      </w:r>
      <w:r w:rsidRPr="0030354F">
        <w:rPr>
          <w:rFonts w:ascii="Arial" w:eastAsia="Times New Roman" w:hAnsi="Arial" w:cs="Arial"/>
          <w:b/>
          <w:sz w:val="20"/>
          <w:szCs w:val="20"/>
          <w:lang w:val="en-GB" w:eastAsia="en-GB"/>
        </w:rPr>
        <w:tab/>
        <w:t xml:space="preserve">Report of the </w:t>
      </w:r>
      <w:r w:rsidR="007D4C91" w:rsidRPr="0030354F">
        <w:rPr>
          <w:rFonts w:ascii="Arial" w:eastAsia="Times New Roman" w:hAnsi="Arial" w:cs="Arial"/>
          <w:b/>
          <w:sz w:val="20"/>
          <w:szCs w:val="20"/>
          <w:lang w:val="en-GB" w:eastAsia="en-GB"/>
        </w:rPr>
        <w:t>Auditor-General</w:t>
      </w:r>
    </w:p>
    <w:p w:rsidR="00226284" w:rsidRPr="0030354F" w:rsidRDefault="00226284"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rPr>
        <w:lastRenderedPageBreak/>
        <w:t xml:space="preserve">The report of the Auditor General presented to the Committee on 11 October 2022, it noted that there has been no change in the general audit outcomes of the Portfolio. The Portfolio as whole has performed well. </w:t>
      </w:r>
    </w:p>
    <w:p w:rsidR="00226284" w:rsidRPr="0030354F" w:rsidRDefault="00226284" w:rsidP="0030354F">
      <w:pPr>
        <w:autoSpaceDE w:val="0"/>
        <w:autoSpaceDN w:val="0"/>
        <w:adjustRightInd w:val="0"/>
        <w:spacing w:after="0" w:line="240" w:lineRule="auto"/>
        <w:contextualSpacing/>
        <w:rPr>
          <w:rFonts w:ascii="Arial" w:hAnsi="Arial" w:cs="Arial"/>
          <w:sz w:val="20"/>
          <w:szCs w:val="20"/>
        </w:rPr>
      </w:pPr>
    </w:p>
    <w:p w:rsidR="00226284" w:rsidRPr="0030354F" w:rsidRDefault="00226284" w:rsidP="0030354F">
      <w:pPr>
        <w:autoSpaceDE w:val="0"/>
        <w:autoSpaceDN w:val="0"/>
        <w:adjustRightInd w:val="0"/>
        <w:spacing w:after="0" w:line="240" w:lineRule="auto"/>
        <w:contextualSpacing/>
        <w:rPr>
          <w:rFonts w:ascii="Arial" w:hAnsi="Arial" w:cs="Arial"/>
          <w:b/>
          <w:sz w:val="20"/>
          <w:szCs w:val="20"/>
        </w:rPr>
      </w:pPr>
      <w:r w:rsidRPr="0030354F">
        <w:rPr>
          <w:rFonts w:ascii="Arial" w:hAnsi="Arial" w:cs="Arial"/>
          <w:b/>
          <w:sz w:val="20"/>
          <w:szCs w:val="20"/>
        </w:rPr>
        <w:t>The Department</w:t>
      </w:r>
    </w:p>
    <w:p w:rsidR="00226284" w:rsidRPr="0030354F" w:rsidRDefault="00226284"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rPr>
        <w:t xml:space="preserve">The audit opinion of the Department has positively changed in the current year after being unqualified with findings for six years prior. The current year’s improvement in opinion indicates management’s successful attempts at addressing action plans. The submitted financial and performance information had no material misstatements in them and were considered reliable and accurate. Also, the quality of compliance with legislation improved, with the Department having addressed matters causing non-compliance in their incentives’ guidelines by amending the guidelines pertaining to post site visits and the required timeframe in which they should be conducted. A total of 15 targets out of 25 planned targets were achieved for 2021-22, which represents a 60 percent achievement based on the annual performance report. </w:t>
      </w:r>
    </w:p>
    <w:p w:rsidR="00226284" w:rsidRPr="0030354F" w:rsidRDefault="00226284" w:rsidP="0030354F">
      <w:pPr>
        <w:spacing w:after="0" w:line="240" w:lineRule="auto"/>
        <w:contextualSpacing/>
        <w:rPr>
          <w:rFonts w:ascii="Arial" w:hAnsi="Arial" w:cs="Arial"/>
          <w:sz w:val="20"/>
          <w:szCs w:val="20"/>
        </w:rPr>
      </w:pPr>
    </w:p>
    <w:p w:rsidR="00226284" w:rsidRPr="0030354F" w:rsidRDefault="00226284" w:rsidP="0030354F">
      <w:pPr>
        <w:spacing w:after="0" w:line="240" w:lineRule="auto"/>
        <w:contextualSpacing/>
        <w:rPr>
          <w:rFonts w:ascii="Arial" w:hAnsi="Arial" w:cs="Arial"/>
          <w:b/>
          <w:sz w:val="20"/>
          <w:szCs w:val="20"/>
        </w:rPr>
      </w:pPr>
      <w:r w:rsidRPr="0030354F">
        <w:rPr>
          <w:rFonts w:ascii="Arial" w:hAnsi="Arial" w:cs="Arial"/>
          <w:b/>
          <w:sz w:val="20"/>
          <w:szCs w:val="20"/>
        </w:rPr>
        <w:t>Public Entities</w:t>
      </w:r>
    </w:p>
    <w:p w:rsidR="00226284" w:rsidRPr="0030354F" w:rsidRDefault="00226284"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rPr>
        <w:t>Seda agency maintained its outcome of an unqualified audit with findings on the reporting on predetermined objectives. The audit outcome in respect of the predetermined objectives has regressed to an adverse opinion with findings due to the extent to which the majority of performance indicators were not measurable and reliable. The public entity’s financial statements have been prepared on a going concern basis. No matters or conditions have been identified during the year under review that may cast significant doubt on the entity’s ability to continue as a going concern. While Sefa audit opinion remains unqualified with no material findings, where the quality of the submitted financial and performance information had no material misstatements identified in them and were considered reliable and accurate. Further, there were no instances of material non-compliance with the specific requirements of applicable legislation. The agency continues to maintain its clean audit status since incorporation in 2012.</w:t>
      </w:r>
    </w:p>
    <w:p w:rsidR="00C15AAC" w:rsidRPr="0030354F" w:rsidRDefault="00F35ED7" w:rsidP="0030354F">
      <w:pPr>
        <w:spacing w:after="0" w:line="240" w:lineRule="auto"/>
        <w:contextualSpacing/>
        <w:rPr>
          <w:rFonts w:ascii="Arial" w:hAnsi="Arial" w:cs="Arial"/>
          <w:b/>
          <w:sz w:val="20"/>
          <w:szCs w:val="20"/>
          <w:lang w:val="en-GB"/>
        </w:rPr>
      </w:pPr>
      <w:r w:rsidRPr="0030354F">
        <w:rPr>
          <w:rFonts w:ascii="Arial" w:hAnsi="Arial" w:cs="Arial"/>
          <w:b/>
          <w:sz w:val="20"/>
          <w:szCs w:val="20"/>
          <w:lang w:val="en-GB"/>
        </w:rPr>
        <w:t>5</w:t>
      </w:r>
      <w:r w:rsidR="0036351B" w:rsidRPr="0030354F">
        <w:rPr>
          <w:rFonts w:ascii="Arial" w:hAnsi="Arial" w:cs="Arial"/>
          <w:b/>
          <w:sz w:val="20"/>
          <w:szCs w:val="20"/>
          <w:lang w:val="en-GB"/>
        </w:rPr>
        <w:t>.</w:t>
      </w:r>
      <w:r w:rsidR="0036351B" w:rsidRPr="0030354F">
        <w:rPr>
          <w:rFonts w:ascii="Arial" w:hAnsi="Arial" w:cs="Arial"/>
          <w:b/>
          <w:sz w:val="20"/>
          <w:szCs w:val="20"/>
          <w:lang w:val="en-GB"/>
        </w:rPr>
        <w:tab/>
      </w:r>
      <w:r w:rsidR="00C15AAC" w:rsidRPr="0030354F">
        <w:rPr>
          <w:rFonts w:ascii="Arial" w:hAnsi="Arial" w:cs="Arial"/>
          <w:b/>
          <w:sz w:val="20"/>
          <w:szCs w:val="20"/>
          <w:lang w:val="en-GB"/>
        </w:rPr>
        <w:t>R</w:t>
      </w:r>
      <w:r w:rsidR="006D4756" w:rsidRPr="0030354F">
        <w:rPr>
          <w:rFonts w:ascii="Arial" w:hAnsi="Arial" w:cs="Arial"/>
          <w:b/>
          <w:sz w:val="20"/>
          <w:szCs w:val="20"/>
          <w:lang w:val="en-GB"/>
        </w:rPr>
        <w:t>EVIEW OF THE DEPARTMENTAL ENTITIES</w:t>
      </w:r>
    </w:p>
    <w:p w:rsidR="00E42249" w:rsidRPr="0030354F" w:rsidRDefault="00E42249" w:rsidP="0030354F">
      <w:pPr>
        <w:spacing w:after="0" w:line="240" w:lineRule="auto"/>
        <w:contextualSpacing/>
        <w:rPr>
          <w:rFonts w:ascii="Arial" w:hAnsi="Arial" w:cs="Arial"/>
          <w:b/>
          <w:sz w:val="20"/>
          <w:szCs w:val="20"/>
          <w:lang w:val="en-GB"/>
        </w:rPr>
      </w:pPr>
    </w:p>
    <w:p w:rsidR="0099243D" w:rsidRPr="0030354F" w:rsidRDefault="00F35ED7" w:rsidP="0030354F">
      <w:pPr>
        <w:spacing w:after="0" w:line="240" w:lineRule="auto"/>
        <w:contextualSpacing/>
        <w:rPr>
          <w:rFonts w:ascii="Arial" w:hAnsi="Arial" w:cs="Arial"/>
          <w:b/>
          <w:sz w:val="20"/>
          <w:szCs w:val="20"/>
          <w:lang w:val="en-GB"/>
        </w:rPr>
      </w:pPr>
      <w:r w:rsidRPr="0030354F">
        <w:rPr>
          <w:rFonts w:ascii="Arial" w:hAnsi="Arial" w:cs="Arial"/>
          <w:b/>
          <w:sz w:val="20"/>
          <w:szCs w:val="20"/>
          <w:lang w:val="en-GB"/>
        </w:rPr>
        <w:t>5</w:t>
      </w:r>
      <w:r w:rsidR="0099243D" w:rsidRPr="0030354F">
        <w:rPr>
          <w:rFonts w:ascii="Arial" w:hAnsi="Arial" w:cs="Arial"/>
          <w:b/>
          <w:sz w:val="20"/>
          <w:szCs w:val="20"/>
          <w:lang w:val="en-GB"/>
        </w:rPr>
        <w:t>.1</w:t>
      </w:r>
      <w:r w:rsidR="0099243D" w:rsidRPr="0030354F">
        <w:rPr>
          <w:rFonts w:ascii="Arial" w:hAnsi="Arial" w:cs="Arial"/>
          <w:b/>
          <w:sz w:val="20"/>
          <w:szCs w:val="20"/>
          <w:lang w:val="en-GB"/>
        </w:rPr>
        <w:tab/>
        <w:t>Small Enterprise Development Agency</w:t>
      </w:r>
    </w:p>
    <w:p w:rsidR="00EB2AF3" w:rsidRPr="0030354F" w:rsidRDefault="00D14783"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rPr>
        <w:t xml:space="preserve">Small Enterprise Development Agency is one of the two entities reporting to the Department of Small Business Development with its mandate </w:t>
      </w:r>
      <w:r w:rsidR="006F72A6" w:rsidRPr="0030354F">
        <w:rPr>
          <w:rFonts w:ascii="Arial" w:hAnsi="Arial" w:cs="Arial"/>
          <w:sz w:val="20"/>
          <w:szCs w:val="20"/>
        </w:rPr>
        <w:t>oriented</w:t>
      </w:r>
      <w:r w:rsidRPr="0030354F">
        <w:rPr>
          <w:rFonts w:ascii="Arial" w:hAnsi="Arial" w:cs="Arial"/>
          <w:sz w:val="20"/>
          <w:szCs w:val="20"/>
        </w:rPr>
        <w:t xml:space="preserve"> towards providing nonfinancial support to small enterprises. </w:t>
      </w:r>
      <w:r w:rsidRPr="0030354F">
        <w:rPr>
          <w:rFonts w:ascii="Arial" w:eastAsiaTheme="minorEastAsia" w:hAnsi="Arial" w:cs="Arial"/>
          <w:kern w:val="24"/>
          <w:sz w:val="20"/>
          <w:szCs w:val="20"/>
        </w:rPr>
        <w:t>The agency’s performance information is presented in accordance to the approved Annual Performance Plan 202</w:t>
      </w:r>
      <w:r w:rsidR="00A868B5" w:rsidRPr="0030354F">
        <w:rPr>
          <w:rFonts w:ascii="Arial" w:eastAsiaTheme="minorEastAsia" w:hAnsi="Arial" w:cs="Arial"/>
          <w:kern w:val="24"/>
          <w:sz w:val="20"/>
          <w:szCs w:val="20"/>
        </w:rPr>
        <w:t>1/22</w:t>
      </w:r>
      <w:r w:rsidRPr="0030354F">
        <w:rPr>
          <w:rFonts w:ascii="Arial" w:eastAsiaTheme="minorEastAsia" w:hAnsi="Arial" w:cs="Arial"/>
          <w:kern w:val="24"/>
          <w:sz w:val="20"/>
          <w:szCs w:val="20"/>
        </w:rPr>
        <w:t xml:space="preserve"> wherein it had </w:t>
      </w:r>
      <w:r w:rsidR="00A868B5" w:rsidRPr="0030354F">
        <w:rPr>
          <w:rFonts w:ascii="Arial" w:eastAsiaTheme="minorEastAsia" w:hAnsi="Arial" w:cs="Arial"/>
          <w:kern w:val="24"/>
          <w:sz w:val="20"/>
          <w:szCs w:val="20"/>
        </w:rPr>
        <w:t xml:space="preserve">vowed to accomplish 30 indicators at output level. Of the 30, the agency succeeded in achieving 24 indicators reflecting a performance achievement of 80 percent. However, </w:t>
      </w:r>
      <w:r w:rsidR="00A868B5" w:rsidRPr="0030354F">
        <w:rPr>
          <w:rFonts w:ascii="Arial" w:hAnsi="Arial" w:cs="Arial"/>
          <w:sz w:val="20"/>
          <w:szCs w:val="20"/>
        </w:rPr>
        <w:t xml:space="preserve">the current year audit outcome in respect of the predetermined objectives continued to regress to an adverse opinion with findings due to the extent to which the majority of performance indicators were not measurable and reliable. </w:t>
      </w:r>
    </w:p>
    <w:p w:rsidR="00EB2AF3" w:rsidRPr="0030354F" w:rsidRDefault="00EB2AF3" w:rsidP="0030354F">
      <w:pPr>
        <w:autoSpaceDE w:val="0"/>
        <w:autoSpaceDN w:val="0"/>
        <w:adjustRightInd w:val="0"/>
        <w:spacing w:after="0" w:line="240" w:lineRule="auto"/>
        <w:contextualSpacing/>
        <w:rPr>
          <w:rFonts w:ascii="Arial" w:hAnsi="Arial" w:cs="Arial"/>
          <w:sz w:val="20"/>
          <w:szCs w:val="20"/>
        </w:rPr>
      </w:pPr>
    </w:p>
    <w:p w:rsidR="00B07F90" w:rsidRPr="0030354F" w:rsidRDefault="00EB2AF3"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hAnsi="Arial" w:cs="Arial"/>
          <w:sz w:val="20"/>
          <w:szCs w:val="20"/>
          <w:lang w:val="en-US"/>
        </w:rPr>
        <w:t xml:space="preserve">The Auditor General identified limitations in the management of the performance information, which requires management attention; key weaknesses emanate from various levels of data collection aggregation and validation. </w:t>
      </w:r>
      <w:r w:rsidR="00D14783" w:rsidRPr="0030354F">
        <w:rPr>
          <w:rFonts w:ascii="Arial" w:eastAsia="Calibri" w:hAnsi="Arial" w:cs="Arial"/>
          <w:bCs/>
          <w:spacing w:val="6"/>
          <w:sz w:val="20"/>
          <w:szCs w:val="20"/>
          <w:lang w:eastAsia="en-GB"/>
        </w:rPr>
        <w:t xml:space="preserve">This clearly </w:t>
      </w:r>
      <w:r w:rsidR="00A868B5" w:rsidRPr="0030354F">
        <w:rPr>
          <w:rFonts w:ascii="Arial" w:eastAsia="Calibri" w:hAnsi="Arial" w:cs="Arial"/>
          <w:bCs/>
          <w:spacing w:val="6"/>
          <w:sz w:val="20"/>
          <w:szCs w:val="20"/>
          <w:lang w:eastAsia="en-GB"/>
        </w:rPr>
        <w:t>represents</w:t>
      </w:r>
      <w:r w:rsidR="00D14783" w:rsidRPr="0030354F">
        <w:rPr>
          <w:rFonts w:ascii="Arial" w:eastAsia="Calibri" w:hAnsi="Arial" w:cs="Arial"/>
          <w:bCs/>
          <w:spacing w:val="6"/>
          <w:sz w:val="20"/>
          <w:szCs w:val="20"/>
          <w:lang w:eastAsia="en-GB"/>
        </w:rPr>
        <w:t xml:space="preserve"> a </w:t>
      </w:r>
      <w:r w:rsidR="00A868B5" w:rsidRPr="0030354F">
        <w:rPr>
          <w:rFonts w:ascii="Arial" w:eastAsia="Calibri" w:hAnsi="Arial" w:cs="Arial"/>
          <w:bCs/>
          <w:spacing w:val="6"/>
          <w:sz w:val="20"/>
          <w:szCs w:val="20"/>
          <w:lang w:eastAsia="en-GB"/>
        </w:rPr>
        <w:t xml:space="preserve">sustained </w:t>
      </w:r>
      <w:r w:rsidR="00D14783" w:rsidRPr="0030354F">
        <w:rPr>
          <w:rFonts w:ascii="Arial" w:eastAsia="Calibri" w:hAnsi="Arial" w:cs="Arial"/>
          <w:bCs/>
          <w:spacing w:val="6"/>
          <w:sz w:val="20"/>
          <w:szCs w:val="20"/>
          <w:lang w:eastAsia="en-GB"/>
        </w:rPr>
        <w:t xml:space="preserve">slump in performance which according to the agency’s </w:t>
      </w:r>
      <w:r w:rsidR="006F72A6" w:rsidRPr="0030354F">
        <w:rPr>
          <w:rFonts w:ascii="Arial" w:eastAsia="Calibri" w:hAnsi="Arial" w:cs="Arial"/>
          <w:bCs/>
          <w:spacing w:val="6"/>
          <w:sz w:val="20"/>
          <w:szCs w:val="20"/>
          <w:lang w:eastAsia="en-GB"/>
        </w:rPr>
        <w:t>own analysis is</w:t>
      </w:r>
      <w:r w:rsidR="00D14783" w:rsidRPr="0030354F">
        <w:rPr>
          <w:rFonts w:ascii="Arial" w:eastAsia="Calibri" w:hAnsi="Arial" w:cs="Arial"/>
          <w:bCs/>
          <w:spacing w:val="6"/>
          <w:sz w:val="20"/>
          <w:szCs w:val="20"/>
          <w:lang w:eastAsia="en-GB"/>
        </w:rPr>
        <w:t xml:space="preserve"> attributable to the moratorium to fill vacant posts</w:t>
      </w:r>
      <w:r w:rsidR="006F72A6" w:rsidRPr="0030354F">
        <w:rPr>
          <w:rFonts w:ascii="Arial" w:eastAsia="Calibri" w:hAnsi="Arial" w:cs="Arial"/>
          <w:bCs/>
          <w:spacing w:val="6"/>
          <w:sz w:val="20"/>
          <w:szCs w:val="20"/>
          <w:lang w:eastAsia="en-GB"/>
        </w:rPr>
        <w:t xml:space="preserve"> pending </w:t>
      </w:r>
      <w:r w:rsidR="00A868B5" w:rsidRPr="0030354F">
        <w:rPr>
          <w:rFonts w:ascii="Arial" w:eastAsia="Calibri" w:hAnsi="Arial" w:cs="Arial"/>
          <w:bCs/>
          <w:spacing w:val="6"/>
          <w:sz w:val="20"/>
          <w:szCs w:val="20"/>
          <w:lang w:eastAsia="en-GB"/>
        </w:rPr>
        <w:t>finalis</w:t>
      </w:r>
      <w:r w:rsidR="00D14783" w:rsidRPr="0030354F">
        <w:rPr>
          <w:rFonts w:ascii="Arial" w:eastAsia="Calibri" w:hAnsi="Arial" w:cs="Arial"/>
          <w:bCs/>
          <w:spacing w:val="6"/>
          <w:sz w:val="20"/>
          <w:szCs w:val="20"/>
          <w:lang w:eastAsia="en-GB"/>
        </w:rPr>
        <w:t xml:space="preserve">ation of </w:t>
      </w:r>
      <w:r w:rsidR="006F72A6" w:rsidRPr="0030354F">
        <w:rPr>
          <w:rFonts w:ascii="Arial" w:eastAsia="Calibri" w:hAnsi="Arial" w:cs="Arial"/>
          <w:bCs/>
          <w:spacing w:val="6"/>
          <w:sz w:val="20"/>
          <w:szCs w:val="20"/>
          <w:lang w:eastAsia="en-GB"/>
        </w:rPr>
        <w:t xml:space="preserve">the </w:t>
      </w:r>
      <w:r w:rsidR="00D14783" w:rsidRPr="0030354F">
        <w:rPr>
          <w:rFonts w:ascii="Arial" w:eastAsia="Calibri" w:hAnsi="Arial" w:cs="Arial"/>
          <w:bCs/>
          <w:spacing w:val="6"/>
          <w:sz w:val="20"/>
          <w:szCs w:val="20"/>
          <w:lang w:eastAsia="en-GB"/>
        </w:rPr>
        <w:t>merger.</w:t>
      </w:r>
      <w:r w:rsidR="00B07F90" w:rsidRPr="0030354F">
        <w:rPr>
          <w:rFonts w:ascii="Arial" w:hAnsi="Arial" w:cs="Arial"/>
          <w:sz w:val="20"/>
          <w:szCs w:val="20"/>
        </w:rPr>
        <w:t xml:space="preserve"> </w:t>
      </w:r>
      <w:r w:rsidR="00A868B5" w:rsidRPr="0030354F">
        <w:rPr>
          <w:rFonts w:ascii="Arial" w:hAnsi="Arial" w:cs="Arial"/>
          <w:sz w:val="20"/>
          <w:szCs w:val="20"/>
        </w:rPr>
        <w:t xml:space="preserve">Few performance indices points to an organisation besieged by uncertainty </w:t>
      </w:r>
      <w:r w:rsidRPr="0030354F">
        <w:rPr>
          <w:rFonts w:ascii="Arial" w:hAnsi="Arial" w:cs="Arial"/>
          <w:sz w:val="20"/>
          <w:szCs w:val="20"/>
        </w:rPr>
        <w:t>with high incidents of labour turnover.</w:t>
      </w:r>
      <w:r w:rsidRPr="0030354F">
        <w:rPr>
          <w:rFonts w:ascii="Arial" w:hAnsi="Arial" w:cs="Arial"/>
          <w:sz w:val="20"/>
          <w:szCs w:val="20"/>
          <w:lang w:val="en-US"/>
        </w:rPr>
        <w:t xml:space="preserve"> </w:t>
      </w:r>
      <w:r w:rsidR="00B07F90" w:rsidRPr="0030354F">
        <w:rPr>
          <w:rFonts w:ascii="Arial" w:hAnsi="Arial" w:cs="Arial"/>
          <w:sz w:val="20"/>
          <w:szCs w:val="20"/>
        </w:rPr>
        <w:t>There are three main programmes in the Seda Annual Performance Plan (APP)</w:t>
      </w:r>
      <w:r w:rsidR="00AC0446" w:rsidRPr="0030354F">
        <w:rPr>
          <w:rFonts w:ascii="Arial" w:hAnsi="Arial" w:cs="Arial"/>
          <w:sz w:val="20"/>
          <w:szCs w:val="20"/>
        </w:rPr>
        <w:t xml:space="preserve"> presented to Parliament in </w:t>
      </w:r>
      <w:r w:rsidRPr="0030354F">
        <w:rPr>
          <w:rFonts w:ascii="Arial" w:hAnsi="Arial" w:cs="Arial"/>
          <w:sz w:val="20"/>
          <w:szCs w:val="20"/>
        </w:rPr>
        <w:t>2021,</w:t>
      </w:r>
      <w:r w:rsidR="00B07F90" w:rsidRPr="0030354F">
        <w:rPr>
          <w:rFonts w:ascii="Arial" w:hAnsi="Arial" w:cs="Arial"/>
          <w:sz w:val="20"/>
          <w:szCs w:val="20"/>
        </w:rPr>
        <w:t xml:space="preserve"> namely, Enterprise </w:t>
      </w:r>
      <w:r w:rsidR="00AC0446" w:rsidRPr="0030354F">
        <w:rPr>
          <w:rFonts w:ascii="Arial" w:hAnsi="Arial" w:cs="Arial"/>
          <w:sz w:val="20"/>
          <w:szCs w:val="20"/>
        </w:rPr>
        <w:t>Development Division</w:t>
      </w:r>
      <w:r w:rsidR="00B07F90" w:rsidRPr="0030354F">
        <w:rPr>
          <w:rFonts w:ascii="Arial" w:hAnsi="Arial" w:cs="Arial"/>
          <w:sz w:val="20"/>
          <w:szCs w:val="20"/>
        </w:rPr>
        <w:t xml:space="preserve"> (EDD), Seda Technol</w:t>
      </w:r>
      <w:r w:rsidRPr="0030354F">
        <w:rPr>
          <w:rFonts w:ascii="Arial" w:hAnsi="Arial" w:cs="Arial"/>
          <w:sz w:val="20"/>
          <w:szCs w:val="20"/>
        </w:rPr>
        <w:t>ogy Programme (STP) and</w:t>
      </w:r>
      <w:r w:rsidR="00B07F90" w:rsidRPr="0030354F">
        <w:rPr>
          <w:rFonts w:ascii="Arial" w:hAnsi="Arial" w:cs="Arial"/>
          <w:sz w:val="20"/>
          <w:szCs w:val="20"/>
        </w:rPr>
        <w:t xml:space="preserve"> Administration. The sections below provide detailed support offered under each programme and its contribution to the institutional outcome</w:t>
      </w:r>
      <w:r w:rsidR="000439B6" w:rsidRPr="0030354F">
        <w:rPr>
          <w:rFonts w:ascii="Arial" w:hAnsi="Arial" w:cs="Arial"/>
          <w:sz w:val="20"/>
          <w:szCs w:val="20"/>
        </w:rPr>
        <w:t xml:space="preserve"> -:</w:t>
      </w:r>
      <w:r w:rsidR="00B07F90" w:rsidRPr="0030354F">
        <w:rPr>
          <w:rFonts w:ascii="Arial" w:hAnsi="Arial" w:cs="Arial"/>
          <w:sz w:val="20"/>
          <w:szCs w:val="20"/>
        </w:rPr>
        <w:t xml:space="preserve"> </w:t>
      </w:r>
    </w:p>
    <w:p w:rsidR="00AC0446" w:rsidRPr="0030354F" w:rsidRDefault="00AC0446" w:rsidP="0030354F">
      <w:pPr>
        <w:spacing w:after="0" w:line="240" w:lineRule="auto"/>
        <w:contextualSpacing/>
        <w:rPr>
          <w:rFonts w:ascii="Arial" w:hAnsi="Arial" w:cs="Arial"/>
          <w:sz w:val="20"/>
          <w:szCs w:val="20"/>
        </w:rPr>
      </w:pPr>
    </w:p>
    <w:p w:rsidR="00AC0446" w:rsidRPr="0030354F" w:rsidRDefault="00AC0446" w:rsidP="0030354F">
      <w:pPr>
        <w:spacing w:after="0" w:line="240" w:lineRule="auto"/>
        <w:contextualSpacing/>
        <w:rPr>
          <w:rFonts w:ascii="Arial" w:eastAsia="Arial" w:hAnsi="Arial" w:cs="Arial"/>
          <w:b/>
          <w:kern w:val="24"/>
          <w:sz w:val="20"/>
          <w:szCs w:val="20"/>
          <w:lang w:eastAsia="en-ZA"/>
        </w:rPr>
      </w:pPr>
      <w:r w:rsidRPr="0030354F">
        <w:rPr>
          <w:rFonts w:ascii="Arial" w:hAnsi="Arial" w:cs="Arial"/>
          <w:b/>
          <w:sz w:val="20"/>
          <w:szCs w:val="20"/>
        </w:rPr>
        <w:t>5.1.1</w:t>
      </w:r>
      <w:r w:rsidRPr="0030354F">
        <w:rPr>
          <w:rFonts w:ascii="Arial" w:hAnsi="Arial" w:cs="Arial"/>
          <w:b/>
          <w:sz w:val="20"/>
          <w:szCs w:val="20"/>
        </w:rPr>
        <w:tab/>
        <w:t>Programme One: Enterprise Development Division</w:t>
      </w:r>
    </w:p>
    <w:p w:rsidR="005B78D6" w:rsidRPr="0030354F" w:rsidRDefault="005B78D6"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hAnsi="Arial" w:cs="Arial"/>
          <w:sz w:val="20"/>
          <w:szCs w:val="20"/>
        </w:rPr>
        <w:t>The purpose of programme one is t</w:t>
      </w:r>
      <w:r w:rsidRPr="0030354F">
        <w:rPr>
          <w:rFonts w:ascii="Arial" w:hAnsi="Arial" w:cs="Arial"/>
          <w:sz w:val="20"/>
          <w:szCs w:val="20"/>
          <w:lang w:val="en-US"/>
        </w:rPr>
        <w:t>o support township, rural-based enterprises and informal businesses to ensure that they are competitive and contribute meaningfully to the economy. This includes providing compliance support to aid business formalisation to enable business growth by providing necessary support to ensure that they are competitive.</w:t>
      </w:r>
    </w:p>
    <w:p w:rsidR="005E430E" w:rsidRPr="0030354F" w:rsidRDefault="005E430E" w:rsidP="0030354F">
      <w:pPr>
        <w:spacing w:after="0" w:line="240" w:lineRule="auto"/>
        <w:contextualSpacing/>
        <w:rPr>
          <w:rFonts w:ascii="Arial" w:hAnsi="Arial" w:cs="Arial"/>
          <w:sz w:val="20"/>
          <w:szCs w:val="20"/>
        </w:rPr>
      </w:pPr>
    </w:p>
    <w:p w:rsidR="00AC0446" w:rsidRPr="0030354F" w:rsidRDefault="00AD61D1" w:rsidP="0030354F">
      <w:pPr>
        <w:spacing w:after="0" w:line="240" w:lineRule="auto"/>
        <w:contextualSpacing/>
        <w:rPr>
          <w:rFonts w:ascii="Arial" w:hAnsi="Arial" w:cs="Arial"/>
          <w:sz w:val="20"/>
          <w:szCs w:val="20"/>
        </w:rPr>
      </w:pPr>
      <w:r w:rsidRPr="0030354F">
        <w:rPr>
          <w:rFonts w:ascii="Arial" w:hAnsi="Arial" w:cs="Arial"/>
          <w:b/>
          <w:sz w:val="20"/>
          <w:szCs w:val="20"/>
        </w:rPr>
        <w:t>Table 9</w:t>
      </w:r>
      <w:r w:rsidR="002D5FC1" w:rsidRPr="0030354F">
        <w:rPr>
          <w:rFonts w:ascii="Arial" w:hAnsi="Arial" w:cs="Arial"/>
          <w:b/>
          <w:sz w:val="20"/>
          <w:szCs w:val="20"/>
        </w:rPr>
        <w:t>: Enterprise Development Divison</w:t>
      </w:r>
    </w:p>
    <w:tbl>
      <w:tblPr>
        <w:tblStyle w:val="TableGrid3"/>
        <w:tblW w:w="8995" w:type="dxa"/>
        <w:tblLook w:val="0420"/>
      </w:tblPr>
      <w:tblGrid>
        <w:gridCol w:w="801"/>
        <w:gridCol w:w="5064"/>
        <w:gridCol w:w="1581"/>
        <w:gridCol w:w="1549"/>
      </w:tblGrid>
      <w:tr w:rsidR="005E430E" w:rsidRPr="0030354F" w:rsidTr="005B78D6">
        <w:trPr>
          <w:trHeight w:val="178"/>
        </w:trPr>
        <w:tc>
          <w:tcPr>
            <w:tcW w:w="801" w:type="dxa"/>
            <w:shd w:val="clear" w:color="auto" w:fill="92D050"/>
            <w:hideMark/>
          </w:tcPr>
          <w:p w:rsidR="005E430E" w:rsidRPr="0030354F" w:rsidRDefault="005E430E" w:rsidP="0030354F">
            <w:pPr>
              <w:contextualSpacing/>
              <w:rPr>
                <w:rFonts w:ascii="Arial" w:eastAsia="Times New Roman" w:hAnsi="Arial" w:cs="Arial"/>
                <w:sz w:val="20"/>
                <w:szCs w:val="20"/>
              </w:rPr>
            </w:pPr>
            <w:r w:rsidRPr="0030354F">
              <w:rPr>
                <w:rFonts w:ascii="Arial" w:eastAsia="Arial" w:hAnsi="Arial" w:cs="Arial"/>
                <w:b/>
                <w:bCs/>
                <w:color w:val="000000" w:themeColor="text1"/>
                <w:kern w:val="24"/>
                <w:sz w:val="20"/>
                <w:szCs w:val="20"/>
              </w:rPr>
              <w:t xml:space="preserve">No. </w:t>
            </w:r>
          </w:p>
        </w:tc>
        <w:tc>
          <w:tcPr>
            <w:tcW w:w="5064" w:type="dxa"/>
            <w:shd w:val="clear" w:color="auto" w:fill="92D050"/>
            <w:hideMark/>
          </w:tcPr>
          <w:p w:rsidR="005E430E" w:rsidRPr="0030354F" w:rsidRDefault="005E430E" w:rsidP="0030354F">
            <w:pPr>
              <w:contextualSpacing/>
              <w:rPr>
                <w:rFonts w:ascii="Arial" w:eastAsia="Times New Roman" w:hAnsi="Arial" w:cs="Arial"/>
                <w:sz w:val="20"/>
                <w:szCs w:val="20"/>
              </w:rPr>
            </w:pPr>
            <w:r w:rsidRPr="0030354F">
              <w:rPr>
                <w:rFonts w:ascii="Arial" w:eastAsia="Arial" w:hAnsi="Arial" w:cs="Arial"/>
                <w:b/>
                <w:bCs/>
                <w:color w:val="000000" w:themeColor="text1"/>
                <w:kern w:val="24"/>
                <w:sz w:val="20"/>
                <w:szCs w:val="20"/>
              </w:rPr>
              <w:t xml:space="preserve">Performance Measure </w:t>
            </w:r>
          </w:p>
        </w:tc>
        <w:tc>
          <w:tcPr>
            <w:tcW w:w="1581" w:type="dxa"/>
            <w:shd w:val="clear" w:color="auto" w:fill="92D050"/>
            <w:hideMark/>
          </w:tcPr>
          <w:p w:rsidR="005E430E" w:rsidRPr="0030354F" w:rsidRDefault="005E430E" w:rsidP="0030354F">
            <w:pPr>
              <w:contextualSpacing/>
              <w:rPr>
                <w:rFonts w:ascii="Arial" w:eastAsia="Times New Roman" w:hAnsi="Arial" w:cs="Arial"/>
                <w:sz w:val="20"/>
                <w:szCs w:val="20"/>
              </w:rPr>
            </w:pPr>
            <w:r w:rsidRPr="0030354F">
              <w:rPr>
                <w:rFonts w:ascii="Arial" w:eastAsia="Arial" w:hAnsi="Arial" w:cs="Arial"/>
                <w:b/>
                <w:bCs/>
                <w:color w:val="000000" w:themeColor="text1"/>
                <w:kern w:val="24"/>
                <w:sz w:val="20"/>
                <w:szCs w:val="20"/>
              </w:rPr>
              <w:t xml:space="preserve">Target </w:t>
            </w:r>
          </w:p>
        </w:tc>
        <w:tc>
          <w:tcPr>
            <w:tcW w:w="1549" w:type="dxa"/>
            <w:shd w:val="clear" w:color="auto" w:fill="92D050"/>
            <w:hideMark/>
          </w:tcPr>
          <w:p w:rsidR="005E430E" w:rsidRPr="0030354F" w:rsidRDefault="005E430E" w:rsidP="0030354F">
            <w:pPr>
              <w:contextualSpacing/>
              <w:rPr>
                <w:rFonts w:ascii="Arial" w:eastAsia="Times New Roman" w:hAnsi="Arial" w:cs="Arial"/>
                <w:sz w:val="20"/>
                <w:szCs w:val="20"/>
              </w:rPr>
            </w:pPr>
            <w:r w:rsidRPr="0030354F">
              <w:rPr>
                <w:rFonts w:ascii="Arial" w:eastAsia="Arial" w:hAnsi="Arial" w:cs="Arial"/>
                <w:b/>
                <w:bCs/>
                <w:color w:val="000000" w:themeColor="text1"/>
                <w:kern w:val="24"/>
                <w:sz w:val="20"/>
                <w:szCs w:val="20"/>
              </w:rPr>
              <w:t xml:space="preserve">Achievement </w:t>
            </w:r>
          </w:p>
        </w:tc>
      </w:tr>
      <w:tr w:rsidR="005E430E" w:rsidRPr="0030354F" w:rsidTr="005B78D6">
        <w:trPr>
          <w:trHeight w:val="264"/>
        </w:trPr>
        <w:tc>
          <w:tcPr>
            <w:tcW w:w="801" w:type="dxa"/>
            <w:hideMark/>
          </w:tcPr>
          <w:p w:rsidR="005E430E" w:rsidRPr="0030354F" w:rsidRDefault="005E430E" w:rsidP="0030354F">
            <w:pPr>
              <w:contextualSpacing/>
              <w:rPr>
                <w:rFonts w:ascii="Arial" w:eastAsia="Times New Roman" w:hAnsi="Arial" w:cs="Arial"/>
                <w:sz w:val="20"/>
                <w:szCs w:val="20"/>
              </w:rPr>
            </w:pPr>
            <w:r w:rsidRPr="0030354F">
              <w:rPr>
                <w:rFonts w:ascii="Arial" w:eastAsia="Arial" w:hAnsi="Arial" w:cs="Arial"/>
                <w:color w:val="000000" w:themeColor="text1"/>
                <w:kern w:val="24"/>
                <w:sz w:val="20"/>
                <w:szCs w:val="20"/>
              </w:rPr>
              <w:t>1.</w:t>
            </w:r>
          </w:p>
        </w:tc>
        <w:tc>
          <w:tcPr>
            <w:tcW w:w="5064" w:type="dxa"/>
          </w:tcPr>
          <w:p w:rsidR="005E430E" w:rsidRPr="0030354F" w:rsidRDefault="005B78D6" w:rsidP="0030354F">
            <w:pPr>
              <w:contextualSpacing/>
              <w:rPr>
                <w:rFonts w:ascii="Arial" w:eastAsia="Times New Roman" w:hAnsi="Arial" w:cs="Arial"/>
                <w:sz w:val="20"/>
                <w:szCs w:val="20"/>
              </w:rPr>
            </w:pPr>
            <w:r w:rsidRPr="0030354F">
              <w:rPr>
                <w:rFonts w:ascii="Arial" w:eastAsia="Times New Roman" w:hAnsi="Arial" w:cs="Arial"/>
                <w:sz w:val="20"/>
                <w:szCs w:val="20"/>
              </w:rPr>
              <w:t>Number of SMMEs and Cooperatives reached through entrepreneurship awareness sessions</w:t>
            </w:r>
          </w:p>
        </w:tc>
        <w:tc>
          <w:tcPr>
            <w:tcW w:w="1581" w:type="dxa"/>
          </w:tcPr>
          <w:p w:rsidR="005E430E" w:rsidRPr="0030354F" w:rsidRDefault="005B78D6" w:rsidP="0030354F">
            <w:pPr>
              <w:contextualSpacing/>
              <w:rPr>
                <w:rFonts w:ascii="Arial" w:eastAsia="Times New Roman" w:hAnsi="Arial" w:cs="Arial"/>
                <w:sz w:val="20"/>
                <w:szCs w:val="20"/>
              </w:rPr>
            </w:pPr>
            <w:r w:rsidRPr="0030354F">
              <w:rPr>
                <w:rFonts w:ascii="Arial" w:eastAsia="Times New Roman" w:hAnsi="Arial" w:cs="Arial"/>
                <w:sz w:val="20"/>
                <w:szCs w:val="20"/>
              </w:rPr>
              <w:t>37 104</w:t>
            </w:r>
          </w:p>
        </w:tc>
        <w:tc>
          <w:tcPr>
            <w:tcW w:w="1549" w:type="dxa"/>
          </w:tcPr>
          <w:p w:rsidR="005E430E" w:rsidRPr="0030354F" w:rsidRDefault="005B78D6" w:rsidP="0030354F">
            <w:pPr>
              <w:contextualSpacing/>
              <w:rPr>
                <w:rFonts w:ascii="Arial" w:eastAsia="Times New Roman" w:hAnsi="Arial" w:cs="Arial"/>
                <w:sz w:val="20"/>
                <w:szCs w:val="20"/>
              </w:rPr>
            </w:pPr>
            <w:r w:rsidRPr="0030354F">
              <w:rPr>
                <w:rFonts w:ascii="Arial" w:eastAsia="Times New Roman" w:hAnsi="Arial" w:cs="Arial"/>
                <w:sz w:val="20"/>
                <w:szCs w:val="20"/>
              </w:rPr>
              <w:t>67 029</w:t>
            </w:r>
          </w:p>
        </w:tc>
      </w:tr>
      <w:tr w:rsidR="005E430E" w:rsidRPr="0030354F" w:rsidTr="005B78D6">
        <w:trPr>
          <w:trHeight w:val="298"/>
        </w:trPr>
        <w:tc>
          <w:tcPr>
            <w:tcW w:w="801" w:type="dxa"/>
            <w:hideMark/>
          </w:tcPr>
          <w:p w:rsidR="005E430E" w:rsidRPr="0030354F" w:rsidRDefault="005E430E" w:rsidP="0030354F">
            <w:pPr>
              <w:contextualSpacing/>
              <w:rPr>
                <w:rFonts w:ascii="Arial" w:eastAsia="Times New Roman" w:hAnsi="Arial" w:cs="Arial"/>
                <w:sz w:val="20"/>
                <w:szCs w:val="20"/>
              </w:rPr>
            </w:pPr>
            <w:r w:rsidRPr="0030354F">
              <w:rPr>
                <w:rFonts w:ascii="Arial" w:eastAsia="Arial" w:hAnsi="Arial" w:cs="Arial"/>
                <w:color w:val="000000" w:themeColor="text1"/>
                <w:kern w:val="24"/>
                <w:sz w:val="20"/>
                <w:szCs w:val="20"/>
              </w:rPr>
              <w:t>2.</w:t>
            </w:r>
          </w:p>
        </w:tc>
        <w:tc>
          <w:tcPr>
            <w:tcW w:w="5064" w:type="dxa"/>
          </w:tcPr>
          <w:p w:rsidR="005E430E" w:rsidRPr="0030354F" w:rsidRDefault="005B78D6" w:rsidP="0030354F">
            <w:pPr>
              <w:contextualSpacing/>
              <w:rPr>
                <w:rFonts w:ascii="Arial" w:eastAsia="Times New Roman" w:hAnsi="Arial" w:cs="Arial"/>
                <w:sz w:val="20"/>
                <w:szCs w:val="20"/>
              </w:rPr>
            </w:pPr>
            <w:r w:rsidRPr="0030354F">
              <w:rPr>
                <w:rFonts w:ascii="Arial" w:eastAsia="Times New Roman" w:hAnsi="Arial" w:cs="Arial"/>
                <w:sz w:val="20"/>
                <w:szCs w:val="20"/>
                <w:lang w:val="en-ZA"/>
              </w:rPr>
              <w:t xml:space="preserve">Number of Spaza shops and general dealers </w:t>
            </w:r>
            <w:r w:rsidRPr="0030354F">
              <w:rPr>
                <w:rFonts w:ascii="Arial" w:eastAsia="Times New Roman" w:hAnsi="Arial" w:cs="Arial"/>
                <w:sz w:val="20"/>
                <w:szCs w:val="20"/>
                <w:lang w:val="en-ZA"/>
              </w:rPr>
              <w:lastRenderedPageBreak/>
              <w:t>supported</w:t>
            </w:r>
          </w:p>
        </w:tc>
        <w:tc>
          <w:tcPr>
            <w:tcW w:w="1581" w:type="dxa"/>
          </w:tcPr>
          <w:p w:rsidR="005E430E" w:rsidRPr="0030354F" w:rsidRDefault="005B78D6" w:rsidP="0030354F">
            <w:pPr>
              <w:contextualSpacing/>
              <w:rPr>
                <w:rFonts w:ascii="Arial" w:eastAsia="Times New Roman" w:hAnsi="Arial" w:cs="Arial"/>
                <w:sz w:val="20"/>
                <w:szCs w:val="20"/>
              </w:rPr>
            </w:pPr>
            <w:r w:rsidRPr="0030354F">
              <w:rPr>
                <w:rFonts w:ascii="Arial" w:eastAsia="Times New Roman" w:hAnsi="Arial" w:cs="Arial"/>
                <w:sz w:val="20"/>
                <w:szCs w:val="20"/>
              </w:rPr>
              <w:lastRenderedPageBreak/>
              <w:t>9 276</w:t>
            </w:r>
          </w:p>
        </w:tc>
        <w:tc>
          <w:tcPr>
            <w:tcW w:w="1549" w:type="dxa"/>
          </w:tcPr>
          <w:p w:rsidR="005E430E" w:rsidRPr="0030354F" w:rsidRDefault="005B78D6" w:rsidP="0030354F">
            <w:pPr>
              <w:contextualSpacing/>
              <w:rPr>
                <w:rFonts w:ascii="Arial" w:eastAsia="Times New Roman" w:hAnsi="Arial" w:cs="Arial"/>
                <w:sz w:val="20"/>
                <w:szCs w:val="20"/>
              </w:rPr>
            </w:pPr>
            <w:r w:rsidRPr="0030354F">
              <w:rPr>
                <w:rFonts w:ascii="Arial" w:eastAsia="Times New Roman" w:hAnsi="Arial" w:cs="Arial"/>
                <w:sz w:val="20"/>
                <w:szCs w:val="20"/>
              </w:rPr>
              <w:t>7731</w:t>
            </w:r>
          </w:p>
        </w:tc>
      </w:tr>
      <w:tr w:rsidR="005E430E" w:rsidRPr="0030354F" w:rsidTr="005B78D6">
        <w:trPr>
          <w:trHeight w:val="118"/>
        </w:trPr>
        <w:tc>
          <w:tcPr>
            <w:tcW w:w="801" w:type="dxa"/>
            <w:hideMark/>
          </w:tcPr>
          <w:p w:rsidR="005E430E" w:rsidRPr="0030354F" w:rsidRDefault="005E430E" w:rsidP="0030354F">
            <w:pPr>
              <w:contextualSpacing/>
              <w:rPr>
                <w:rFonts w:ascii="Arial" w:eastAsia="Times New Roman" w:hAnsi="Arial" w:cs="Arial"/>
                <w:sz w:val="20"/>
                <w:szCs w:val="20"/>
              </w:rPr>
            </w:pPr>
            <w:r w:rsidRPr="0030354F">
              <w:rPr>
                <w:rFonts w:ascii="Arial" w:eastAsia="Arial" w:hAnsi="Arial" w:cs="Arial"/>
                <w:color w:val="000000" w:themeColor="text1"/>
                <w:kern w:val="24"/>
                <w:sz w:val="20"/>
                <w:szCs w:val="20"/>
              </w:rPr>
              <w:lastRenderedPageBreak/>
              <w:t>3.</w:t>
            </w:r>
          </w:p>
        </w:tc>
        <w:tc>
          <w:tcPr>
            <w:tcW w:w="5064" w:type="dxa"/>
          </w:tcPr>
          <w:p w:rsidR="005E430E" w:rsidRPr="0030354F" w:rsidRDefault="005B78D6" w:rsidP="0030354F">
            <w:pPr>
              <w:contextualSpacing/>
              <w:rPr>
                <w:rFonts w:ascii="Arial" w:eastAsia="Times New Roman" w:hAnsi="Arial" w:cs="Arial"/>
                <w:sz w:val="20"/>
                <w:szCs w:val="20"/>
              </w:rPr>
            </w:pPr>
            <w:r w:rsidRPr="0030354F">
              <w:rPr>
                <w:rFonts w:ascii="Arial" w:eastAsia="Times New Roman" w:hAnsi="Arial" w:cs="Arial"/>
                <w:sz w:val="20"/>
                <w:szCs w:val="20"/>
                <w:lang w:val="en-ZA"/>
              </w:rPr>
              <w:t>Number of Personal Care businesses supported</w:t>
            </w:r>
          </w:p>
        </w:tc>
        <w:tc>
          <w:tcPr>
            <w:tcW w:w="1581" w:type="dxa"/>
          </w:tcPr>
          <w:p w:rsidR="005E430E" w:rsidRPr="0030354F" w:rsidRDefault="005B78D6" w:rsidP="0030354F">
            <w:pPr>
              <w:contextualSpacing/>
              <w:rPr>
                <w:rFonts w:ascii="Arial" w:eastAsia="Times New Roman" w:hAnsi="Arial" w:cs="Arial"/>
                <w:sz w:val="20"/>
                <w:szCs w:val="20"/>
              </w:rPr>
            </w:pPr>
            <w:r w:rsidRPr="0030354F">
              <w:rPr>
                <w:rFonts w:ascii="Arial" w:eastAsia="Times New Roman" w:hAnsi="Arial" w:cs="Arial"/>
                <w:sz w:val="20"/>
                <w:szCs w:val="20"/>
              </w:rPr>
              <w:t>2 000</w:t>
            </w:r>
          </w:p>
        </w:tc>
        <w:tc>
          <w:tcPr>
            <w:tcW w:w="1549" w:type="dxa"/>
          </w:tcPr>
          <w:p w:rsidR="005E430E" w:rsidRPr="0030354F" w:rsidRDefault="005B78D6" w:rsidP="0030354F">
            <w:pPr>
              <w:contextualSpacing/>
              <w:rPr>
                <w:rFonts w:ascii="Arial" w:eastAsia="Times New Roman" w:hAnsi="Arial" w:cs="Arial"/>
                <w:sz w:val="20"/>
                <w:szCs w:val="20"/>
              </w:rPr>
            </w:pPr>
            <w:r w:rsidRPr="0030354F">
              <w:rPr>
                <w:rFonts w:ascii="Arial" w:eastAsia="Times New Roman" w:hAnsi="Arial" w:cs="Arial"/>
                <w:sz w:val="20"/>
                <w:szCs w:val="20"/>
              </w:rPr>
              <w:t>2 993</w:t>
            </w:r>
          </w:p>
        </w:tc>
      </w:tr>
      <w:tr w:rsidR="005E430E" w:rsidRPr="0030354F" w:rsidTr="005B78D6">
        <w:trPr>
          <w:trHeight w:val="523"/>
        </w:trPr>
        <w:tc>
          <w:tcPr>
            <w:tcW w:w="801" w:type="dxa"/>
            <w:hideMark/>
          </w:tcPr>
          <w:p w:rsidR="005E430E" w:rsidRPr="0030354F" w:rsidRDefault="005E430E" w:rsidP="0030354F">
            <w:pPr>
              <w:contextualSpacing/>
              <w:rPr>
                <w:rFonts w:ascii="Arial" w:eastAsia="Times New Roman" w:hAnsi="Arial" w:cs="Arial"/>
                <w:sz w:val="20"/>
                <w:szCs w:val="20"/>
              </w:rPr>
            </w:pPr>
            <w:r w:rsidRPr="0030354F">
              <w:rPr>
                <w:rFonts w:ascii="Arial" w:eastAsia="Arial" w:hAnsi="Arial" w:cs="Arial"/>
                <w:color w:val="000000" w:themeColor="text1"/>
                <w:kern w:val="24"/>
                <w:sz w:val="20"/>
                <w:szCs w:val="20"/>
              </w:rPr>
              <w:t>4.</w:t>
            </w:r>
          </w:p>
        </w:tc>
        <w:tc>
          <w:tcPr>
            <w:tcW w:w="5064" w:type="dxa"/>
          </w:tcPr>
          <w:p w:rsidR="005E430E" w:rsidRPr="0030354F" w:rsidRDefault="005B78D6" w:rsidP="0030354F">
            <w:pPr>
              <w:contextualSpacing/>
              <w:rPr>
                <w:rFonts w:ascii="Arial" w:eastAsia="Times New Roman" w:hAnsi="Arial" w:cs="Arial"/>
                <w:sz w:val="20"/>
                <w:szCs w:val="20"/>
              </w:rPr>
            </w:pPr>
            <w:r w:rsidRPr="0030354F">
              <w:rPr>
                <w:rFonts w:ascii="Arial" w:eastAsia="Times New Roman" w:hAnsi="Arial" w:cs="Arial"/>
                <w:sz w:val="20"/>
                <w:szCs w:val="20"/>
                <w:lang w:val="en-ZA"/>
              </w:rPr>
              <w:t>Number of Informal and Micro Restaurants and Tshisanyama supported</w:t>
            </w:r>
          </w:p>
        </w:tc>
        <w:tc>
          <w:tcPr>
            <w:tcW w:w="1581" w:type="dxa"/>
          </w:tcPr>
          <w:p w:rsidR="005E430E" w:rsidRPr="0030354F" w:rsidRDefault="005B78D6" w:rsidP="0030354F">
            <w:pPr>
              <w:contextualSpacing/>
              <w:rPr>
                <w:rFonts w:ascii="Arial" w:eastAsia="Times New Roman" w:hAnsi="Arial" w:cs="Arial"/>
                <w:sz w:val="20"/>
                <w:szCs w:val="20"/>
              </w:rPr>
            </w:pPr>
            <w:r w:rsidRPr="0030354F">
              <w:rPr>
                <w:rFonts w:ascii="Arial" w:eastAsia="Times New Roman" w:hAnsi="Arial" w:cs="Arial"/>
                <w:sz w:val="20"/>
                <w:szCs w:val="20"/>
              </w:rPr>
              <w:t>1 500</w:t>
            </w:r>
          </w:p>
        </w:tc>
        <w:tc>
          <w:tcPr>
            <w:tcW w:w="1549" w:type="dxa"/>
          </w:tcPr>
          <w:p w:rsidR="005E430E" w:rsidRPr="0030354F" w:rsidRDefault="005B78D6" w:rsidP="0030354F">
            <w:pPr>
              <w:contextualSpacing/>
              <w:rPr>
                <w:rFonts w:ascii="Arial" w:eastAsia="Times New Roman" w:hAnsi="Arial" w:cs="Arial"/>
                <w:sz w:val="20"/>
                <w:szCs w:val="20"/>
              </w:rPr>
            </w:pPr>
            <w:r w:rsidRPr="0030354F">
              <w:rPr>
                <w:rFonts w:ascii="Arial" w:eastAsia="Times New Roman" w:hAnsi="Arial" w:cs="Arial"/>
                <w:sz w:val="20"/>
                <w:szCs w:val="20"/>
              </w:rPr>
              <w:t>4 523</w:t>
            </w:r>
          </w:p>
        </w:tc>
      </w:tr>
      <w:tr w:rsidR="005E430E" w:rsidRPr="0030354F" w:rsidTr="005B78D6">
        <w:trPr>
          <w:trHeight w:val="109"/>
        </w:trPr>
        <w:tc>
          <w:tcPr>
            <w:tcW w:w="801" w:type="dxa"/>
            <w:hideMark/>
          </w:tcPr>
          <w:p w:rsidR="005E430E" w:rsidRPr="0030354F" w:rsidRDefault="005E430E" w:rsidP="0030354F">
            <w:pPr>
              <w:contextualSpacing/>
              <w:rPr>
                <w:rFonts w:ascii="Arial" w:eastAsia="Times New Roman" w:hAnsi="Arial" w:cs="Arial"/>
                <w:sz w:val="20"/>
                <w:szCs w:val="20"/>
              </w:rPr>
            </w:pPr>
            <w:r w:rsidRPr="0030354F">
              <w:rPr>
                <w:rFonts w:ascii="Arial" w:eastAsia="Arial" w:hAnsi="Arial" w:cs="Arial"/>
                <w:color w:val="000000" w:themeColor="text1"/>
                <w:kern w:val="24"/>
                <w:sz w:val="20"/>
                <w:szCs w:val="20"/>
              </w:rPr>
              <w:t>5.</w:t>
            </w:r>
          </w:p>
        </w:tc>
        <w:tc>
          <w:tcPr>
            <w:tcW w:w="5064" w:type="dxa"/>
          </w:tcPr>
          <w:p w:rsidR="005E430E" w:rsidRPr="0030354F" w:rsidRDefault="005B78D6" w:rsidP="0030354F">
            <w:pPr>
              <w:contextualSpacing/>
              <w:rPr>
                <w:rFonts w:ascii="Arial" w:eastAsia="Times New Roman" w:hAnsi="Arial" w:cs="Arial"/>
                <w:sz w:val="20"/>
                <w:szCs w:val="20"/>
              </w:rPr>
            </w:pPr>
            <w:r w:rsidRPr="0030354F">
              <w:rPr>
                <w:rFonts w:ascii="Arial" w:eastAsia="Times New Roman" w:hAnsi="Arial" w:cs="Arial"/>
                <w:sz w:val="20"/>
                <w:szCs w:val="20"/>
                <w:lang w:val="en-ZA"/>
              </w:rPr>
              <w:t>Number of Fruit and vegetable vendors supported</w:t>
            </w:r>
          </w:p>
        </w:tc>
        <w:tc>
          <w:tcPr>
            <w:tcW w:w="1581" w:type="dxa"/>
          </w:tcPr>
          <w:p w:rsidR="005E430E" w:rsidRPr="0030354F" w:rsidRDefault="005B78D6" w:rsidP="0030354F">
            <w:pPr>
              <w:contextualSpacing/>
              <w:rPr>
                <w:rFonts w:ascii="Arial" w:eastAsia="Times New Roman" w:hAnsi="Arial" w:cs="Arial"/>
                <w:sz w:val="20"/>
                <w:szCs w:val="20"/>
              </w:rPr>
            </w:pPr>
            <w:r w:rsidRPr="0030354F">
              <w:rPr>
                <w:rFonts w:ascii="Arial" w:eastAsia="Times New Roman" w:hAnsi="Arial" w:cs="Arial"/>
                <w:sz w:val="20"/>
                <w:szCs w:val="20"/>
              </w:rPr>
              <w:t>4 638</w:t>
            </w:r>
          </w:p>
        </w:tc>
        <w:tc>
          <w:tcPr>
            <w:tcW w:w="1549" w:type="dxa"/>
          </w:tcPr>
          <w:p w:rsidR="005E430E" w:rsidRPr="0030354F" w:rsidRDefault="005B78D6" w:rsidP="0030354F">
            <w:pPr>
              <w:contextualSpacing/>
              <w:rPr>
                <w:rFonts w:ascii="Arial" w:eastAsia="Times New Roman" w:hAnsi="Arial" w:cs="Arial"/>
                <w:sz w:val="20"/>
                <w:szCs w:val="20"/>
              </w:rPr>
            </w:pPr>
            <w:r w:rsidRPr="0030354F">
              <w:rPr>
                <w:rFonts w:ascii="Arial" w:eastAsia="Times New Roman" w:hAnsi="Arial" w:cs="Arial"/>
                <w:sz w:val="20"/>
                <w:szCs w:val="20"/>
              </w:rPr>
              <w:t>4 832</w:t>
            </w:r>
          </w:p>
        </w:tc>
      </w:tr>
      <w:tr w:rsidR="005E430E" w:rsidRPr="0030354F" w:rsidTr="005B78D6">
        <w:trPr>
          <w:trHeight w:val="75"/>
        </w:trPr>
        <w:tc>
          <w:tcPr>
            <w:tcW w:w="801" w:type="dxa"/>
            <w:hideMark/>
          </w:tcPr>
          <w:p w:rsidR="005E430E" w:rsidRPr="0030354F" w:rsidRDefault="005E430E" w:rsidP="0030354F">
            <w:pPr>
              <w:contextualSpacing/>
              <w:rPr>
                <w:rFonts w:ascii="Arial" w:hAnsi="Arial" w:cs="Arial"/>
                <w:sz w:val="20"/>
                <w:szCs w:val="20"/>
              </w:rPr>
            </w:pPr>
            <w:r w:rsidRPr="0030354F">
              <w:rPr>
                <w:rFonts w:ascii="Arial" w:hAnsi="Arial" w:cs="Arial"/>
                <w:sz w:val="20"/>
                <w:szCs w:val="20"/>
              </w:rPr>
              <w:t>6.</w:t>
            </w:r>
          </w:p>
        </w:tc>
        <w:tc>
          <w:tcPr>
            <w:tcW w:w="5064" w:type="dxa"/>
          </w:tcPr>
          <w:p w:rsidR="005E430E" w:rsidRPr="0030354F" w:rsidRDefault="005B78D6" w:rsidP="0030354F">
            <w:pPr>
              <w:contextualSpacing/>
              <w:rPr>
                <w:rFonts w:ascii="Arial" w:hAnsi="Arial" w:cs="Arial"/>
                <w:sz w:val="20"/>
                <w:szCs w:val="20"/>
              </w:rPr>
            </w:pPr>
            <w:r w:rsidRPr="0030354F">
              <w:rPr>
                <w:rFonts w:ascii="Arial" w:hAnsi="Arial" w:cs="Arial"/>
                <w:sz w:val="20"/>
                <w:szCs w:val="20"/>
                <w:lang w:val="en-ZA"/>
              </w:rPr>
              <w:t>Number of Panel beaters, motor mechanics, auto spares and auto-fitment businesses supported</w:t>
            </w:r>
          </w:p>
        </w:tc>
        <w:tc>
          <w:tcPr>
            <w:tcW w:w="1581" w:type="dxa"/>
          </w:tcPr>
          <w:p w:rsidR="005E430E" w:rsidRPr="0030354F" w:rsidRDefault="005B78D6" w:rsidP="0030354F">
            <w:pPr>
              <w:contextualSpacing/>
              <w:rPr>
                <w:rFonts w:ascii="Arial" w:hAnsi="Arial" w:cs="Arial"/>
                <w:sz w:val="20"/>
                <w:szCs w:val="20"/>
              </w:rPr>
            </w:pPr>
            <w:r w:rsidRPr="0030354F">
              <w:rPr>
                <w:rFonts w:ascii="Arial" w:hAnsi="Arial" w:cs="Arial"/>
                <w:sz w:val="20"/>
                <w:szCs w:val="20"/>
              </w:rPr>
              <w:t>4 638</w:t>
            </w:r>
          </w:p>
        </w:tc>
        <w:tc>
          <w:tcPr>
            <w:tcW w:w="1549" w:type="dxa"/>
          </w:tcPr>
          <w:p w:rsidR="005E430E" w:rsidRPr="0030354F" w:rsidRDefault="005B78D6" w:rsidP="0030354F">
            <w:pPr>
              <w:contextualSpacing/>
              <w:rPr>
                <w:rFonts w:ascii="Arial" w:hAnsi="Arial" w:cs="Arial"/>
                <w:sz w:val="20"/>
                <w:szCs w:val="20"/>
              </w:rPr>
            </w:pPr>
            <w:r w:rsidRPr="0030354F">
              <w:rPr>
                <w:rFonts w:ascii="Arial" w:hAnsi="Arial" w:cs="Arial"/>
                <w:sz w:val="20"/>
                <w:szCs w:val="20"/>
              </w:rPr>
              <w:t>2 806</w:t>
            </w:r>
          </w:p>
        </w:tc>
      </w:tr>
      <w:tr w:rsidR="005E430E" w:rsidRPr="0030354F" w:rsidTr="005B78D6">
        <w:trPr>
          <w:trHeight w:val="33"/>
        </w:trPr>
        <w:tc>
          <w:tcPr>
            <w:tcW w:w="801" w:type="dxa"/>
            <w:hideMark/>
          </w:tcPr>
          <w:p w:rsidR="005E430E" w:rsidRPr="0030354F" w:rsidRDefault="005E430E" w:rsidP="0030354F">
            <w:pPr>
              <w:contextualSpacing/>
              <w:rPr>
                <w:rFonts w:ascii="Arial" w:hAnsi="Arial" w:cs="Arial"/>
                <w:sz w:val="20"/>
                <w:szCs w:val="20"/>
              </w:rPr>
            </w:pPr>
            <w:r w:rsidRPr="0030354F">
              <w:rPr>
                <w:rFonts w:ascii="Arial" w:hAnsi="Arial" w:cs="Arial"/>
                <w:sz w:val="20"/>
                <w:szCs w:val="20"/>
              </w:rPr>
              <w:t>7.</w:t>
            </w:r>
          </w:p>
        </w:tc>
        <w:tc>
          <w:tcPr>
            <w:tcW w:w="5064" w:type="dxa"/>
          </w:tcPr>
          <w:p w:rsidR="005E430E" w:rsidRPr="0030354F" w:rsidRDefault="005B78D6" w:rsidP="0030354F">
            <w:pPr>
              <w:contextualSpacing/>
              <w:rPr>
                <w:rFonts w:ascii="Arial" w:hAnsi="Arial" w:cs="Arial"/>
                <w:sz w:val="20"/>
                <w:szCs w:val="20"/>
              </w:rPr>
            </w:pPr>
            <w:r w:rsidRPr="0030354F">
              <w:rPr>
                <w:rFonts w:ascii="Arial" w:hAnsi="Arial" w:cs="Arial"/>
                <w:sz w:val="20"/>
                <w:szCs w:val="20"/>
                <w:lang w:val="en-ZA"/>
              </w:rPr>
              <w:t>Number of Small scale bakeries and confectionaries supported</w:t>
            </w:r>
          </w:p>
        </w:tc>
        <w:tc>
          <w:tcPr>
            <w:tcW w:w="1581" w:type="dxa"/>
          </w:tcPr>
          <w:p w:rsidR="005E430E" w:rsidRPr="0030354F" w:rsidRDefault="001E5CEE" w:rsidP="0030354F">
            <w:pPr>
              <w:contextualSpacing/>
              <w:rPr>
                <w:rFonts w:ascii="Arial" w:hAnsi="Arial" w:cs="Arial"/>
                <w:sz w:val="20"/>
                <w:szCs w:val="20"/>
              </w:rPr>
            </w:pPr>
            <w:r w:rsidRPr="0030354F">
              <w:rPr>
                <w:rFonts w:ascii="Arial" w:hAnsi="Arial" w:cs="Arial"/>
                <w:sz w:val="20"/>
                <w:szCs w:val="20"/>
              </w:rPr>
              <w:t>2 000</w:t>
            </w:r>
          </w:p>
        </w:tc>
        <w:tc>
          <w:tcPr>
            <w:tcW w:w="1549" w:type="dxa"/>
          </w:tcPr>
          <w:p w:rsidR="005E430E" w:rsidRPr="0030354F" w:rsidRDefault="001E5CEE" w:rsidP="0030354F">
            <w:pPr>
              <w:contextualSpacing/>
              <w:rPr>
                <w:rFonts w:ascii="Arial" w:hAnsi="Arial" w:cs="Arial"/>
                <w:sz w:val="20"/>
                <w:szCs w:val="20"/>
              </w:rPr>
            </w:pPr>
            <w:r w:rsidRPr="0030354F">
              <w:rPr>
                <w:rFonts w:ascii="Arial" w:hAnsi="Arial" w:cs="Arial"/>
                <w:sz w:val="20"/>
                <w:szCs w:val="20"/>
              </w:rPr>
              <w:t>2 843</w:t>
            </w:r>
          </w:p>
        </w:tc>
      </w:tr>
      <w:tr w:rsidR="005E430E" w:rsidRPr="0030354F" w:rsidTr="005B78D6">
        <w:trPr>
          <w:trHeight w:val="33"/>
        </w:trPr>
        <w:tc>
          <w:tcPr>
            <w:tcW w:w="801" w:type="dxa"/>
            <w:hideMark/>
          </w:tcPr>
          <w:p w:rsidR="005E430E" w:rsidRPr="0030354F" w:rsidRDefault="005E430E" w:rsidP="0030354F">
            <w:pPr>
              <w:contextualSpacing/>
              <w:rPr>
                <w:rFonts w:ascii="Arial" w:hAnsi="Arial" w:cs="Arial"/>
                <w:sz w:val="20"/>
                <w:szCs w:val="20"/>
              </w:rPr>
            </w:pPr>
            <w:r w:rsidRPr="0030354F">
              <w:rPr>
                <w:rFonts w:ascii="Arial" w:hAnsi="Arial" w:cs="Arial"/>
                <w:sz w:val="20"/>
                <w:szCs w:val="20"/>
              </w:rPr>
              <w:t>8.</w:t>
            </w:r>
          </w:p>
        </w:tc>
        <w:tc>
          <w:tcPr>
            <w:tcW w:w="5064" w:type="dxa"/>
          </w:tcPr>
          <w:p w:rsidR="005E430E" w:rsidRPr="0030354F" w:rsidRDefault="005B78D6" w:rsidP="0030354F">
            <w:pPr>
              <w:contextualSpacing/>
              <w:rPr>
                <w:rFonts w:ascii="Arial" w:hAnsi="Arial" w:cs="Arial"/>
                <w:sz w:val="20"/>
                <w:szCs w:val="20"/>
              </w:rPr>
            </w:pPr>
            <w:r w:rsidRPr="0030354F">
              <w:rPr>
                <w:rFonts w:ascii="Arial" w:hAnsi="Arial" w:cs="Arial"/>
                <w:sz w:val="20"/>
                <w:szCs w:val="20"/>
                <w:lang w:val="en-ZA"/>
              </w:rPr>
              <w:t>Number of Clothing, leather and textile businesses supported</w:t>
            </w:r>
          </w:p>
        </w:tc>
        <w:tc>
          <w:tcPr>
            <w:tcW w:w="1581" w:type="dxa"/>
          </w:tcPr>
          <w:p w:rsidR="005E430E" w:rsidRPr="0030354F" w:rsidRDefault="001E5CEE" w:rsidP="0030354F">
            <w:pPr>
              <w:contextualSpacing/>
              <w:rPr>
                <w:rFonts w:ascii="Arial" w:hAnsi="Arial" w:cs="Arial"/>
                <w:sz w:val="20"/>
                <w:szCs w:val="20"/>
              </w:rPr>
            </w:pPr>
            <w:r w:rsidRPr="0030354F">
              <w:rPr>
                <w:rFonts w:ascii="Arial" w:hAnsi="Arial" w:cs="Arial"/>
                <w:sz w:val="20"/>
                <w:szCs w:val="20"/>
              </w:rPr>
              <w:t>2 000</w:t>
            </w:r>
          </w:p>
        </w:tc>
        <w:tc>
          <w:tcPr>
            <w:tcW w:w="1549" w:type="dxa"/>
          </w:tcPr>
          <w:p w:rsidR="005E430E" w:rsidRPr="0030354F" w:rsidRDefault="001E5CEE" w:rsidP="0030354F">
            <w:pPr>
              <w:contextualSpacing/>
              <w:rPr>
                <w:rFonts w:ascii="Arial" w:hAnsi="Arial" w:cs="Arial"/>
                <w:sz w:val="20"/>
                <w:szCs w:val="20"/>
              </w:rPr>
            </w:pPr>
            <w:r w:rsidRPr="0030354F">
              <w:rPr>
                <w:rFonts w:ascii="Arial" w:hAnsi="Arial" w:cs="Arial"/>
                <w:sz w:val="20"/>
                <w:szCs w:val="20"/>
              </w:rPr>
              <w:t>3 840</w:t>
            </w:r>
          </w:p>
        </w:tc>
      </w:tr>
      <w:tr w:rsidR="005E430E" w:rsidRPr="0030354F" w:rsidTr="005B78D6">
        <w:trPr>
          <w:trHeight w:val="244"/>
        </w:trPr>
        <w:tc>
          <w:tcPr>
            <w:tcW w:w="801" w:type="dxa"/>
            <w:hideMark/>
          </w:tcPr>
          <w:p w:rsidR="005E430E" w:rsidRPr="0030354F" w:rsidRDefault="005E430E" w:rsidP="0030354F">
            <w:pPr>
              <w:contextualSpacing/>
              <w:rPr>
                <w:rFonts w:ascii="Arial" w:hAnsi="Arial" w:cs="Arial"/>
                <w:sz w:val="20"/>
                <w:szCs w:val="20"/>
              </w:rPr>
            </w:pPr>
            <w:r w:rsidRPr="0030354F">
              <w:rPr>
                <w:rFonts w:ascii="Arial" w:hAnsi="Arial" w:cs="Arial"/>
                <w:sz w:val="20"/>
                <w:szCs w:val="20"/>
              </w:rPr>
              <w:t>9.</w:t>
            </w:r>
          </w:p>
        </w:tc>
        <w:tc>
          <w:tcPr>
            <w:tcW w:w="5064" w:type="dxa"/>
          </w:tcPr>
          <w:p w:rsidR="005E430E" w:rsidRPr="0030354F" w:rsidRDefault="005B78D6" w:rsidP="0030354F">
            <w:pPr>
              <w:contextualSpacing/>
              <w:rPr>
                <w:rFonts w:ascii="Arial" w:hAnsi="Arial" w:cs="Arial"/>
                <w:sz w:val="20"/>
                <w:szCs w:val="20"/>
              </w:rPr>
            </w:pPr>
            <w:r w:rsidRPr="0030354F">
              <w:rPr>
                <w:rFonts w:ascii="Arial" w:hAnsi="Arial" w:cs="Arial"/>
                <w:sz w:val="20"/>
                <w:szCs w:val="20"/>
                <w:lang w:val="en-ZA"/>
              </w:rPr>
              <w:t>Number of Butcheries supported</w:t>
            </w:r>
          </w:p>
        </w:tc>
        <w:tc>
          <w:tcPr>
            <w:tcW w:w="1581" w:type="dxa"/>
          </w:tcPr>
          <w:p w:rsidR="005E430E" w:rsidRPr="0030354F" w:rsidRDefault="001E5CEE" w:rsidP="0030354F">
            <w:pPr>
              <w:contextualSpacing/>
              <w:rPr>
                <w:rFonts w:ascii="Arial" w:hAnsi="Arial" w:cs="Arial"/>
                <w:sz w:val="20"/>
                <w:szCs w:val="20"/>
              </w:rPr>
            </w:pPr>
            <w:r w:rsidRPr="0030354F">
              <w:rPr>
                <w:rFonts w:ascii="Arial" w:hAnsi="Arial" w:cs="Arial"/>
                <w:sz w:val="20"/>
                <w:szCs w:val="20"/>
              </w:rPr>
              <w:t>2 000</w:t>
            </w:r>
          </w:p>
        </w:tc>
        <w:tc>
          <w:tcPr>
            <w:tcW w:w="1549" w:type="dxa"/>
          </w:tcPr>
          <w:p w:rsidR="005E430E" w:rsidRPr="0030354F" w:rsidRDefault="001E5CEE" w:rsidP="0030354F">
            <w:pPr>
              <w:contextualSpacing/>
              <w:rPr>
                <w:rFonts w:ascii="Arial" w:hAnsi="Arial" w:cs="Arial"/>
                <w:sz w:val="20"/>
                <w:szCs w:val="20"/>
              </w:rPr>
            </w:pPr>
            <w:r w:rsidRPr="0030354F">
              <w:rPr>
                <w:rFonts w:ascii="Arial" w:hAnsi="Arial" w:cs="Arial"/>
                <w:sz w:val="20"/>
                <w:szCs w:val="20"/>
              </w:rPr>
              <w:t>1 889</w:t>
            </w:r>
          </w:p>
        </w:tc>
      </w:tr>
      <w:tr w:rsidR="005E430E" w:rsidRPr="0030354F" w:rsidTr="001E5CEE">
        <w:trPr>
          <w:trHeight w:val="287"/>
        </w:trPr>
        <w:tc>
          <w:tcPr>
            <w:tcW w:w="801" w:type="dxa"/>
            <w:hideMark/>
          </w:tcPr>
          <w:p w:rsidR="005E430E" w:rsidRPr="0030354F" w:rsidRDefault="005E430E" w:rsidP="0030354F">
            <w:pPr>
              <w:contextualSpacing/>
              <w:rPr>
                <w:rFonts w:ascii="Arial" w:hAnsi="Arial" w:cs="Arial"/>
                <w:sz w:val="20"/>
                <w:szCs w:val="20"/>
              </w:rPr>
            </w:pPr>
            <w:r w:rsidRPr="0030354F">
              <w:rPr>
                <w:rFonts w:ascii="Arial" w:hAnsi="Arial" w:cs="Arial"/>
                <w:sz w:val="20"/>
                <w:szCs w:val="20"/>
              </w:rPr>
              <w:t>10.</w:t>
            </w:r>
          </w:p>
        </w:tc>
        <w:tc>
          <w:tcPr>
            <w:tcW w:w="5064" w:type="dxa"/>
          </w:tcPr>
          <w:p w:rsidR="005E430E" w:rsidRPr="0030354F" w:rsidRDefault="005B78D6" w:rsidP="0030354F">
            <w:pPr>
              <w:contextualSpacing/>
              <w:rPr>
                <w:rFonts w:ascii="Arial" w:hAnsi="Arial" w:cs="Arial"/>
                <w:sz w:val="20"/>
                <w:szCs w:val="20"/>
              </w:rPr>
            </w:pPr>
            <w:r w:rsidRPr="0030354F">
              <w:rPr>
                <w:rFonts w:ascii="Arial" w:hAnsi="Arial" w:cs="Arial"/>
                <w:sz w:val="20"/>
                <w:szCs w:val="20"/>
              </w:rPr>
              <w:t>Number of jobs created</w:t>
            </w:r>
          </w:p>
        </w:tc>
        <w:tc>
          <w:tcPr>
            <w:tcW w:w="1581" w:type="dxa"/>
          </w:tcPr>
          <w:p w:rsidR="005E430E" w:rsidRPr="0030354F" w:rsidRDefault="001E5CEE" w:rsidP="0030354F">
            <w:pPr>
              <w:contextualSpacing/>
              <w:rPr>
                <w:rFonts w:ascii="Arial" w:hAnsi="Arial" w:cs="Arial"/>
                <w:sz w:val="20"/>
                <w:szCs w:val="20"/>
              </w:rPr>
            </w:pPr>
            <w:r w:rsidRPr="0030354F">
              <w:rPr>
                <w:rFonts w:ascii="Arial" w:hAnsi="Arial" w:cs="Arial"/>
                <w:sz w:val="20"/>
                <w:szCs w:val="20"/>
              </w:rPr>
              <w:t>4 683</w:t>
            </w:r>
          </w:p>
        </w:tc>
        <w:tc>
          <w:tcPr>
            <w:tcW w:w="1549" w:type="dxa"/>
          </w:tcPr>
          <w:p w:rsidR="005E430E" w:rsidRPr="0030354F" w:rsidRDefault="001E5CEE" w:rsidP="0030354F">
            <w:pPr>
              <w:contextualSpacing/>
              <w:rPr>
                <w:rFonts w:ascii="Arial" w:hAnsi="Arial" w:cs="Arial"/>
                <w:sz w:val="20"/>
                <w:szCs w:val="20"/>
              </w:rPr>
            </w:pPr>
            <w:r w:rsidRPr="0030354F">
              <w:rPr>
                <w:rFonts w:ascii="Arial" w:hAnsi="Arial" w:cs="Arial"/>
                <w:sz w:val="20"/>
                <w:szCs w:val="20"/>
              </w:rPr>
              <w:t>5 176</w:t>
            </w:r>
          </w:p>
        </w:tc>
      </w:tr>
    </w:tbl>
    <w:p w:rsidR="00AC0446" w:rsidRPr="0030354F" w:rsidRDefault="005E430E" w:rsidP="0030354F">
      <w:pPr>
        <w:spacing w:after="0" w:line="240" w:lineRule="auto"/>
        <w:contextualSpacing/>
        <w:rPr>
          <w:rFonts w:ascii="Arial" w:hAnsi="Arial" w:cs="Arial"/>
          <w:b/>
          <w:sz w:val="20"/>
          <w:szCs w:val="20"/>
        </w:rPr>
      </w:pPr>
      <w:r w:rsidRPr="0030354F">
        <w:rPr>
          <w:rFonts w:ascii="Arial" w:hAnsi="Arial" w:cs="Arial"/>
          <w:b/>
          <w:sz w:val="20"/>
          <w:szCs w:val="20"/>
        </w:rPr>
        <w:t>Source: Seda Annual Report (202</w:t>
      </w:r>
      <w:r w:rsidR="005B78D6" w:rsidRPr="0030354F">
        <w:rPr>
          <w:rFonts w:ascii="Arial" w:hAnsi="Arial" w:cs="Arial"/>
          <w:b/>
          <w:sz w:val="20"/>
          <w:szCs w:val="20"/>
        </w:rPr>
        <w:t>1/22</w:t>
      </w:r>
      <w:r w:rsidRPr="0030354F">
        <w:rPr>
          <w:rFonts w:ascii="Arial" w:hAnsi="Arial" w:cs="Arial"/>
          <w:b/>
          <w:sz w:val="20"/>
          <w:szCs w:val="20"/>
        </w:rPr>
        <w:t>)</w:t>
      </w:r>
    </w:p>
    <w:p w:rsidR="005E430E" w:rsidRPr="0030354F" w:rsidRDefault="005E430E" w:rsidP="0030354F">
      <w:pPr>
        <w:spacing w:after="0" w:line="240" w:lineRule="auto"/>
        <w:contextualSpacing/>
        <w:rPr>
          <w:rFonts w:ascii="Arial" w:hAnsi="Arial" w:cs="Arial"/>
          <w:sz w:val="20"/>
          <w:szCs w:val="20"/>
        </w:rPr>
      </w:pPr>
    </w:p>
    <w:p w:rsidR="008B5ED7" w:rsidRPr="0030354F" w:rsidRDefault="008B5ED7"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hAnsi="Arial" w:cs="Arial"/>
          <w:sz w:val="20"/>
          <w:szCs w:val="20"/>
          <w:lang w:val="en-US"/>
        </w:rPr>
        <w:t>One of the notable areas of underachievement on programme one was towards support spaza shops and general dealers under Retail Support Programme. Seda reports that “branches were experiencing several challenges with the conversion of informal Spaza shops to formal, as these are mostly owned by foreigners”. There are plans to turnaround this target by improving partnerships with associations to improve the uptake. Also on the scheme to support panel beaters, motor mechanics, auto spares and auto-fitment businesses, the agency plans to increase the capping to R1 million in order to improve uptake.</w:t>
      </w:r>
    </w:p>
    <w:p w:rsidR="00D144AC" w:rsidRPr="0030354F" w:rsidRDefault="00D144AC" w:rsidP="0030354F">
      <w:pPr>
        <w:spacing w:after="0" w:line="240" w:lineRule="auto"/>
        <w:contextualSpacing/>
        <w:rPr>
          <w:rFonts w:ascii="Arial" w:hAnsi="Arial" w:cs="Arial"/>
          <w:sz w:val="20"/>
          <w:szCs w:val="20"/>
        </w:rPr>
      </w:pPr>
    </w:p>
    <w:p w:rsidR="00D144AC" w:rsidRPr="0030354F" w:rsidRDefault="00D144AC" w:rsidP="0030354F">
      <w:pPr>
        <w:spacing w:after="0" w:line="240" w:lineRule="auto"/>
        <w:contextualSpacing/>
        <w:rPr>
          <w:rFonts w:ascii="Arial" w:hAnsi="Arial" w:cs="Arial"/>
          <w:b/>
          <w:sz w:val="20"/>
          <w:szCs w:val="20"/>
        </w:rPr>
      </w:pPr>
      <w:r w:rsidRPr="0030354F">
        <w:rPr>
          <w:rFonts w:ascii="Arial" w:hAnsi="Arial" w:cs="Arial"/>
          <w:b/>
          <w:sz w:val="20"/>
          <w:szCs w:val="20"/>
        </w:rPr>
        <w:t>5.1.2</w:t>
      </w:r>
      <w:r w:rsidRPr="0030354F">
        <w:rPr>
          <w:rFonts w:ascii="Arial" w:hAnsi="Arial" w:cs="Arial"/>
          <w:b/>
          <w:sz w:val="20"/>
          <w:szCs w:val="20"/>
        </w:rPr>
        <w:tab/>
      </w:r>
      <w:r w:rsidR="00AD61D1" w:rsidRPr="0030354F">
        <w:rPr>
          <w:rFonts w:ascii="Arial" w:hAnsi="Arial" w:cs="Arial"/>
          <w:b/>
          <w:sz w:val="20"/>
          <w:szCs w:val="20"/>
        </w:rPr>
        <w:t xml:space="preserve">Programme Two: </w:t>
      </w:r>
      <w:r w:rsidR="008B5ED7" w:rsidRPr="0030354F">
        <w:rPr>
          <w:rFonts w:ascii="Arial" w:hAnsi="Arial" w:cs="Arial"/>
          <w:b/>
          <w:sz w:val="20"/>
          <w:szCs w:val="20"/>
        </w:rPr>
        <w:t>Business Competitiveness and Viability</w:t>
      </w:r>
    </w:p>
    <w:p w:rsidR="003B3A85" w:rsidRPr="0030354F" w:rsidRDefault="003B3A85"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hAnsi="Arial" w:cs="Arial"/>
          <w:sz w:val="20"/>
          <w:szCs w:val="20"/>
          <w:lang w:val="en-US"/>
        </w:rPr>
        <w:t>The purpose of programme two is to support small businesses and Co-operatives by providing them with the necessary support to develop and enhance business production capacity and capabilities. This also includes improving their competitiveness in order to access local and international markets. The programe has 13 indicators and 11 of them were achieved. Key achievements under programme two include 3 087 enterprises supported to be competitive in local markets, 1 933 enterprises exposed to international markets, 3 820 enterprises assisted with quality improvement, 9 839 enterprises supported in the manufacturing sector and 4 692 enterprises supported through sector specific training.</w:t>
      </w:r>
    </w:p>
    <w:p w:rsidR="003B3A85" w:rsidRPr="0030354F" w:rsidRDefault="003B3A85"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hAnsi="Arial" w:cs="Arial"/>
          <w:sz w:val="20"/>
          <w:szCs w:val="20"/>
          <w:lang w:val="en-US"/>
        </w:rPr>
        <w:t xml:space="preserve"> </w:t>
      </w:r>
    </w:p>
    <w:p w:rsidR="00AD61D1" w:rsidRPr="0030354F" w:rsidRDefault="00AD61D1" w:rsidP="0030354F">
      <w:pPr>
        <w:spacing w:after="0" w:line="240" w:lineRule="auto"/>
        <w:contextualSpacing/>
        <w:rPr>
          <w:rFonts w:ascii="Arial" w:hAnsi="Arial" w:cs="Arial"/>
          <w:sz w:val="20"/>
          <w:szCs w:val="20"/>
        </w:rPr>
      </w:pPr>
      <w:r w:rsidRPr="0030354F">
        <w:rPr>
          <w:rFonts w:ascii="Arial" w:hAnsi="Arial" w:cs="Arial"/>
          <w:b/>
          <w:sz w:val="20"/>
          <w:szCs w:val="20"/>
        </w:rPr>
        <w:t xml:space="preserve">Table 10: </w:t>
      </w:r>
      <w:r w:rsidR="008B5ED7" w:rsidRPr="0030354F">
        <w:rPr>
          <w:rFonts w:ascii="Arial" w:hAnsi="Arial" w:cs="Arial"/>
          <w:b/>
          <w:sz w:val="20"/>
          <w:szCs w:val="20"/>
        </w:rPr>
        <w:t>Business Competitiveness and Viability</w:t>
      </w:r>
    </w:p>
    <w:tbl>
      <w:tblPr>
        <w:tblStyle w:val="TableGrid"/>
        <w:tblW w:w="8995" w:type="dxa"/>
        <w:tblLook w:val="0420"/>
      </w:tblPr>
      <w:tblGrid>
        <w:gridCol w:w="679"/>
        <w:gridCol w:w="5166"/>
        <w:gridCol w:w="1530"/>
        <w:gridCol w:w="1620"/>
      </w:tblGrid>
      <w:tr w:rsidR="00AD61D1" w:rsidRPr="0030354F" w:rsidTr="00AD61D1">
        <w:trPr>
          <w:trHeight w:val="350"/>
        </w:trPr>
        <w:tc>
          <w:tcPr>
            <w:tcW w:w="679" w:type="dxa"/>
            <w:shd w:val="clear" w:color="auto" w:fill="92D050"/>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b/>
                <w:bCs/>
                <w:kern w:val="24"/>
                <w:sz w:val="20"/>
                <w:szCs w:val="20"/>
              </w:rPr>
              <w:t>No.</w:t>
            </w:r>
          </w:p>
        </w:tc>
        <w:tc>
          <w:tcPr>
            <w:tcW w:w="5166" w:type="dxa"/>
            <w:shd w:val="clear" w:color="auto" w:fill="92D050"/>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b/>
                <w:bCs/>
                <w:kern w:val="24"/>
                <w:sz w:val="20"/>
                <w:szCs w:val="20"/>
              </w:rPr>
              <w:t xml:space="preserve">Performance Measure </w:t>
            </w:r>
          </w:p>
        </w:tc>
        <w:tc>
          <w:tcPr>
            <w:tcW w:w="1530" w:type="dxa"/>
            <w:shd w:val="clear" w:color="auto" w:fill="92D050"/>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b/>
                <w:bCs/>
                <w:kern w:val="24"/>
                <w:sz w:val="20"/>
                <w:szCs w:val="20"/>
              </w:rPr>
              <w:t xml:space="preserve">Target </w:t>
            </w:r>
          </w:p>
        </w:tc>
        <w:tc>
          <w:tcPr>
            <w:tcW w:w="1620" w:type="dxa"/>
            <w:shd w:val="clear" w:color="auto" w:fill="92D050"/>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b/>
                <w:bCs/>
                <w:kern w:val="24"/>
                <w:sz w:val="20"/>
                <w:szCs w:val="20"/>
              </w:rPr>
              <w:t xml:space="preserve">Achievement </w:t>
            </w:r>
          </w:p>
        </w:tc>
      </w:tr>
      <w:tr w:rsidR="00AD61D1" w:rsidRPr="0030354F" w:rsidTr="008B5ED7">
        <w:trPr>
          <w:trHeight w:val="557"/>
        </w:trPr>
        <w:tc>
          <w:tcPr>
            <w:tcW w:w="679" w:type="dxa"/>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kern w:val="24"/>
                <w:sz w:val="20"/>
                <w:szCs w:val="20"/>
              </w:rPr>
              <w:t>1.</w:t>
            </w:r>
          </w:p>
        </w:tc>
        <w:tc>
          <w:tcPr>
            <w:tcW w:w="5166" w:type="dxa"/>
          </w:tcPr>
          <w:p w:rsidR="00AD61D1" w:rsidRPr="0030354F" w:rsidRDefault="008B5ED7" w:rsidP="0030354F">
            <w:pPr>
              <w:contextualSpacing/>
              <w:rPr>
                <w:rFonts w:ascii="Arial" w:eastAsia="Times New Roman" w:hAnsi="Arial" w:cs="Arial"/>
                <w:sz w:val="20"/>
                <w:szCs w:val="20"/>
              </w:rPr>
            </w:pPr>
            <w:r w:rsidRPr="0030354F">
              <w:rPr>
                <w:rFonts w:ascii="Arial" w:eastAsia="Times New Roman" w:hAnsi="Arial" w:cs="Arial"/>
                <w:sz w:val="20"/>
                <w:szCs w:val="20"/>
              </w:rPr>
              <w:t>Number of SMMEs &amp; Cooperatives supported to be competitive in local markets</w:t>
            </w:r>
          </w:p>
        </w:tc>
        <w:tc>
          <w:tcPr>
            <w:tcW w:w="1530" w:type="dxa"/>
          </w:tcPr>
          <w:p w:rsidR="00AD61D1"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2 500</w:t>
            </w:r>
          </w:p>
        </w:tc>
        <w:tc>
          <w:tcPr>
            <w:tcW w:w="1620" w:type="dxa"/>
          </w:tcPr>
          <w:p w:rsidR="00AD61D1"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3 807</w:t>
            </w:r>
          </w:p>
        </w:tc>
      </w:tr>
      <w:tr w:rsidR="00AD61D1" w:rsidRPr="0030354F" w:rsidTr="008B5ED7">
        <w:trPr>
          <w:trHeight w:val="530"/>
        </w:trPr>
        <w:tc>
          <w:tcPr>
            <w:tcW w:w="679" w:type="dxa"/>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kern w:val="24"/>
                <w:sz w:val="20"/>
                <w:szCs w:val="20"/>
              </w:rPr>
              <w:t>2.</w:t>
            </w:r>
          </w:p>
        </w:tc>
        <w:tc>
          <w:tcPr>
            <w:tcW w:w="5166" w:type="dxa"/>
          </w:tcPr>
          <w:p w:rsidR="00AD61D1" w:rsidRPr="0030354F" w:rsidRDefault="008B5ED7" w:rsidP="0030354F">
            <w:pPr>
              <w:contextualSpacing/>
              <w:rPr>
                <w:rFonts w:ascii="Arial" w:eastAsia="Times New Roman" w:hAnsi="Arial" w:cs="Arial"/>
                <w:sz w:val="20"/>
                <w:szCs w:val="20"/>
                <w:lang w:val="en-US"/>
              </w:rPr>
            </w:pPr>
            <w:r w:rsidRPr="0030354F">
              <w:rPr>
                <w:rFonts w:ascii="Arial" w:eastAsia="Times New Roman" w:hAnsi="Arial" w:cs="Arial"/>
                <w:sz w:val="20"/>
                <w:szCs w:val="20"/>
                <w:lang w:val="en-US"/>
              </w:rPr>
              <w:t>Number of SMMEs and Cooperatives listed to supply</w:t>
            </w:r>
            <w:r w:rsidR="003B3A85" w:rsidRPr="0030354F">
              <w:rPr>
                <w:rFonts w:ascii="Arial" w:eastAsia="Times New Roman" w:hAnsi="Arial" w:cs="Arial"/>
                <w:sz w:val="20"/>
                <w:szCs w:val="20"/>
                <w:lang w:val="en-US"/>
              </w:rPr>
              <w:t xml:space="preserve"> </w:t>
            </w:r>
            <w:r w:rsidRPr="0030354F">
              <w:rPr>
                <w:rFonts w:ascii="Arial" w:eastAsia="Times New Roman" w:hAnsi="Arial" w:cs="Arial"/>
                <w:sz w:val="20"/>
                <w:szCs w:val="20"/>
                <w:lang w:val="en-US"/>
              </w:rPr>
              <w:t>wholesalers and retailers</w:t>
            </w:r>
          </w:p>
        </w:tc>
        <w:tc>
          <w:tcPr>
            <w:tcW w:w="1530" w:type="dxa"/>
          </w:tcPr>
          <w:p w:rsidR="00AD61D1"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1 000</w:t>
            </w:r>
          </w:p>
        </w:tc>
        <w:tc>
          <w:tcPr>
            <w:tcW w:w="1620" w:type="dxa"/>
          </w:tcPr>
          <w:p w:rsidR="00AD61D1"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623</w:t>
            </w:r>
          </w:p>
        </w:tc>
      </w:tr>
      <w:tr w:rsidR="00AD61D1" w:rsidRPr="0030354F" w:rsidTr="008B5ED7">
        <w:trPr>
          <w:trHeight w:val="779"/>
        </w:trPr>
        <w:tc>
          <w:tcPr>
            <w:tcW w:w="679" w:type="dxa"/>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kern w:val="24"/>
                <w:sz w:val="20"/>
                <w:szCs w:val="20"/>
              </w:rPr>
              <w:t>3.</w:t>
            </w:r>
          </w:p>
        </w:tc>
        <w:tc>
          <w:tcPr>
            <w:tcW w:w="5166" w:type="dxa"/>
          </w:tcPr>
          <w:p w:rsidR="008B5ED7" w:rsidRPr="0030354F" w:rsidRDefault="008B5ED7" w:rsidP="0030354F">
            <w:pPr>
              <w:tabs>
                <w:tab w:val="left" w:pos="1716"/>
              </w:tabs>
              <w:contextualSpacing/>
              <w:rPr>
                <w:rFonts w:ascii="Arial" w:hAnsi="Arial" w:cs="Arial"/>
                <w:sz w:val="20"/>
                <w:szCs w:val="20"/>
                <w:lang w:val="en-US"/>
              </w:rPr>
            </w:pPr>
            <w:r w:rsidRPr="0030354F">
              <w:rPr>
                <w:rFonts w:ascii="Arial" w:eastAsia="Times New Roman" w:hAnsi="Arial" w:cs="Arial"/>
                <w:sz w:val="20"/>
                <w:szCs w:val="20"/>
                <w:lang w:val="en-US"/>
              </w:rPr>
              <w:t xml:space="preserve">Number of SMMEs &amp; Cooperatives exposed to </w:t>
            </w:r>
          </w:p>
          <w:p w:rsidR="00AD61D1" w:rsidRPr="0030354F" w:rsidRDefault="008B5ED7" w:rsidP="0030354F">
            <w:pPr>
              <w:tabs>
                <w:tab w:val="left" w:pos="1716"/>
              </w:tabs>
              <w:contextualSpacing/>
              <w:rPr>
                <w:rFonts w:ascii="Arial" w:eastAsia="Times New Roman" w:hAnsi="Arial" w:cs="Arial"/>
                <w:sz w:val="20"/>
                <w:szCs w:val="20"/>
                <w:lang w:val="en-US"/>
              </w:rPr>
            </w:pPr>
            <w:r w:rsidRPr="0030354F">
              <w:rPr>
                <w:rFonts w:ascii="Arial" w:eastAsia="Times New Roman" w:hAnsi="Arial" w:cs="Arial"/>
                <w:sz w:val="20"/>
                <w:szCs w:val="20"/>
                <w:lang w:val="en-US"/>
              </w:rPr>
              <w:t>international markets</w:t>
            </w:r>
          </w:p>
        </w:tc>
        <w:tc>
          <w:tcPr>
            <w:tcW w:w="1530" w:type="dxa"/>
          </w:tcPr>
          <w:p w:rsidR="00AD61D1"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1 000</w:t>
            </w:r>
          </w:p>
        </w:tc>
        <w:tc>
          <w:tcPr>
            <w:tcW w:w="1620" w:type="dxa"/>
          </w:tcPr>
          <w:p w:rsidR="00AD61D1"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1 933</w:t>
            </w:r>
          </w:p>
        </w:tc>
      </w:tr>
      <w:tr w:rsidR="00AD61D1" w:rsidRPr="0030354F" w:rsidTr="008B5ED7">
        <w:trPr>
          <w:trHeight w:val="58"/>
        </w:trPr>
        <w:tc>
          <w:tcPr>
            <w:tcW w:w="679" w:type="dxa"/>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kern w:val="24"/>
                <w:sz w:val="20"/>
                <w:szCs w:val="20"/>
              </w:rPr>
              <w:t>4.</w:t>
            </w:r>
          </w:p>
        </w:tc>
        <w:tc>
          <w:tcPr>
            <w:tcW w:w="5166" w:type="dxa"/>
          </w:tcPr>
          <w:p w:rsidR="008B5ED7" w:rsidRPr="0030354F" w:rsidRDefault="008B5ED7" w:rsidP="0030354F">
            <w:pPr>
              <w:contextualSpacing/>
              <w:rPr>
                <w:rFonts w:ascii="Arial" w:eastAsia="Times New Roman" w:hAnsi="Arial" w:cs="Arial"/>
                <w:sz w:val="20"/>
                <w:szCs w:val="20"/>
                <w:lang w:val="en-US"/>
              </w:rPr>
            </w:pPr>
            <w:r w:rsidRPr="0030354F">
              <w:rPr>
                <w:rFonts w:ascii="Arial" w:eastAsia="Times New Roman" w:hAnsi="Arial" w:cs="Arial"/>
                <w:sz w:val="20"/>
                <w:szCs w:val="20"/>
                <w:lang w:val="en-US"/>
              </w:rPr>
              <w:t>Number of SMMEs &amp; Cooperatives registered on</w:t>
            </w:r>
          </w:p>
          <w:p w:rsidR="00AD61D1" w:rsidRPr="0030354F" w:rsidRDefault="002D5FC1" w:rsidP="0030354F">
            <w:pPr>
              <w:contextualSpacing/>
              <w:rPr>
                <w:rFonts w:ascii="Arial" w:eastAsia="Times New Roman" w:hAnsi="Arial" w:cs="Arial"/>
                <w:sz w:val="20"/>
                <w:szCs w:val="20"/>
                <w:lang w:val="en-US"/>
              </w:rPr>
            </w:pPr>
            <w:r w:rsidRPr="0030354F">
              <w:rPr>
                <w:rFonts w:ascii="Arial" w:eastAsia="Times New Roman" w:hAnsi="Arial" w:cs="Arial"/>
                <w:sz w:val="20"/>
                <w:szCs w:val="20"/>
                <w:lang w:val="en-US"/>
              </w:rPr>
              <w:t>e</w:t>
            </w:r>
            <w:r w:rsidR="008B5ED7" w:rsidRPr="0030354F">
              <w:rPr>
                <w:rFonts w:ascii="Arial" w:eastAsia="Times New Roman" w:hAnsi="Arial" w:cs="Arial"/>
                <w:sz w:val="20"/>
                <w:szCs w:val="20"/>
                <w:lang w:val="en-US"/>
              </w:rPr>
              <w:t>xport platforms</w:t>
            </w:r>
          </w:p>
        </w:tc>
        <w:tc>
          <w:tcPr>
            <w:tcW w:w="1530" w:type="dxa"/>
          </w:tcPr>
          <w:p w:rsidR="00AD61D1"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1 000</w:t>
            </w:r>
          </w:p>
        </w:tc>
        <w:tc>
          <w:tcPr>
            <w:tcW w:w="1620" w:type="dxa"/>
          </w:tcPr>
          <w:p w:rsidR="00AD61D1"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1 170</w:t>
            </w:r>
          </w:p>
        </w:tc>
      </w:tr>
      <w:tr w:rsidR="00AD61D1" w:rsidRPr="0030354F" w:rsidTr="008B5ED7">
        <w:trPr>
          <w:trHeight w:val="773"/>
        </w:trPr>
        <w:tc>
          <w:tcPr>
            <w:tcW w:w="679" w:type="dxa"/>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kern w:val="24"/>
                <w:sz w:val="20"/>
                <w:szCs w:val="20"/>
              </w:rPr>
              <w:t>5.</w:t>
            </w:r>
          </w:p>
        </w:tc>
        <w:tc>
          <w:tcPr>
            <w:tcW w:w="5166" w:type="dxa"/>
          </w:tcPr>
          <w:p w:rsidR="008B5ED7" w:rsidRPr="0030354F" w:rsidRDefault="008B5ED7" w:rsidP="0030354F">
            <w:pPr>
              <w:contextualSpacing/>
              <w:rPr>
                <w:rFonts w:ascii="Arial" w:eastAsia="Times New Roman" w:hAnsi="Arial" w:cs="Arial"/>
                <w:sz w:val="20"/>
                <w:szCs w:val="20"/>
                <w:lang w:val="en-US"/>
              </w:rPr>
            </w:pPr>
            <w:r w:rsidRPr="0030354F">
              <w:rPr>
                <w:rFonts w:ascii="Arial" w:eastAsia="Times New Roman" w:hAnsi="Arial" w:cs="Arial"/>
                <w:sz w:val="20"/>
                <w:szCs w:val="20"/>
                <w:lang w:val="en-US"/>
              </w:rPr>
              <w:t xml:space="preserve">Number of SMMEs and Cooperatives assisted with </w:t>
            </w:r>
          </w:p>
          <w:p w:rsidR="00AD61D1" w:rsidRPr="0030354F" w:rsidRDefault="008B5ED7" w:rsidP="0030354F">
            <w:pPr>
              <w:contextualSpacing/>
              <w:rPr>
                <w:rFonts w:ascii="Arial" w:eastAsia="Times New Roman" w:hAnsi="Arial" w:cs="Arial"/>
                <w:sz w:val="20"/>
                <w:szCs w:val="20"/>
                <w:lang w:val="en-US"/>
              </w:rPr>
            </w:pPr>
            <w:r w:rsidRPr="0030354F">
              <w:rPr>
                <w:rFonts w:ascii="Arial" w:eastAsia="Times New Roman" w:hAnsi="Arial" w:cs="Arial"/>
                <w:sz w:val="20"/>
                <w:szCs w:val="20"/>
                <w:lang w:val="en-US"/>
              </w:rPr>
              <w:t>incubation programme</w:t>
            </w:r>
          </w:p>
        </w:tc>
        <w:tc>
          <w:tcPr>
            <w:tcW w:w="1530" w:type="dxa"/>
          </w:tcPr>
          <w:p w:rsidR="00AD61D1"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3 247</w:t>
            </w:r>
          </w:p>
        </w:tc>
        <w:tc>
          <w:tcPr>
            <w:tcW w:w="1620" w:type="dxa"/>
          </w:tcPr>
          <w:p w:rsidR="00AD61D1"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3 269</w:t>
            </w:r>
          </w:p>
        </w:tc>
      </w:tr>
      <w:tr w:rsidR="00AD61D1" w:rsidRPr="0030354F" w:rsidTr="008B5ED7">
        <w:trPr>
          <w:trHeight w:val="779"/>
        </w:trPr>
        <w:tc>
          <w:tcPr>
            <w:tcW w:w="679" w:type="dxa"/>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kern w:val="24"/>
                <w:sz w:val="20"/>
                <w:szCs w:val="20"/>
              </w:rPr>
              <w:t>6.</w:t>
            </w:r>
          </w:p>
        </w:tc>
        <w:tc>
          <w:tcPr>
            <w:tcW w:w="5166" w:type="dxa"/>
          </w:tcPr>
          <w:p w:rsidR="00AD61D1" w:rsidRPr="0030354F" w:rsidRDefault="008B5ED7" w:rsidP="0030354F">
            <w:pPr>
              <w:contextualSpacing/>
              <w:rPr>
                <w:rFonts w:ascii="Arial" w:eastAsia="Times New Roman" w:hAnsi="Arial" w:cs="Arial"/>
                <w:sz w:val="20"/>
                <w:szCs w:val="20"/>
                <w:lang w:val="en-US"/>
              </w:rPr>
            </w:pPr>
            <w:r w:rsidRPr="0030354F">
              <w:rPr>
                <w:rFonts w:ascii="Arial" w:eastAsia="Times New Roman" w:hAnsi="Arial" w:cs="Arial"/>
                <w:sz w:val="20"/>
                <w:szCs w:val="20"/>
                <w:lang w:val="en-US"/>
              </w:rPr>
              <w:t>Number of SMMEs and Cooperatives assisted with productivity improvement</w:t>
            </w:r>
          </w:p>
        </w:tc>
        <w:tc>
          <w:tcPr>
            <w:tcW w:w="1530" w:type="dxa"/>
          </w:tcPr>
          <w:p w:rsidR="00AD61D1"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2 783</w:t>
            </w:r>
          </w:p>
        </w:tc>
        <w:tc>
          <w:tcPr>
            <w:tcW w:w="1620" w:type="dxa"/>
          </w:tcPr>
          <w:p w:rsidR="00AD61D1"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2 901</w:t>
            </w:r>
          </w:p>
        </w:tc>
      </w:tr>
      <w:tr w:rsidR="00AD61D1" w:rsidRPr="0030354F" w:rsidTr="008B5ED7">
        <w:trPr>
          <w:trHeight w:val="779"/>
        </w:trPr>
        <w:tc>
          <w:tcPr>
            <w:tcW w:w="679" w:type="dxa"/>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kern w:val="24"/>
                <w:sz w:val="20"/>
                <w:szCs w:val="20"/>
              </w:rPr>
              <w:t>7.</w:t>
            </w:r>
          </w:p>
        </w:tc>
        <w:tc>
          <w:tcPr>
            <w:tcW w:w="5166" w:type="dxa"/>
          </w:tcPr>
          <w:p w:rsidR="00AD61D1" w:rsidRPr="0030354F" w:rsidRDefault="003B3A85" w:rsidP="0030354F">
            <w:pPr>
              <w:contextualSpacing/>
              <w:rPr>
                <w:rFonts w:ascii="Arial" w:eastAsia="Times New Roman" w:hAnsi="Arial" w:cs="Arial"/>
                <w:sz w:val="20"/>
                <w:szCs w:val="20"/>
                <w:lang w:val="en-US"/>
              </w:rPr>
            </w:pPr>
            <w:r w:rsidRPr="0030354F">
              <w:rPr>
                <w:rFonts w:ascii="Arial" w:eastAsia="Times New Roman" w:hAnsi="Arial" w:cs="Arial"/>
                <w:sz w:val="20"/>
                <w:szCs w:val="20"/>
                <w:lang w:val="en-US"/>
              </w:rPr>
              <w:t>Number of SMMEs and Cooperatives assisted with quality improvement</w:t>
            </w:r>
          </w:p>
        </w:tc>
        <w:tc>
          <w:tcPr>
            <w:tcW w:w="1530" w:type="dxa"/>
          </w:tcPr>
          <w:p w:rsidR="00AD61D1"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2 783</w:t>
            </w:r>
          </w:p>
        </w:tc>
        <w:tc>
          <w:tcPr>
            <w:tcW w:w="1620" w:type="dxa"/>
          </w:tcPr>
          <w:p w:rsidR="00AD61D1"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3 820</w:t>
            </w:r>
          </w:p>
        </w:tc>
      </w:tr>
      <w:tr w:rsidR="008B5ED7" w:rsidRPr="0030354F" w:rsidTr="008B5ED7">
        <w:trPr>
          <w:trHeight w:val="779"/>
        </w:trPr>
        <w:tc>
          <w:tcPr>
            <w:tcW w:w="679" w:type="dxa"/>
          </w:tcPr>
          <w:p w:rsidR="008B5ED7" w:rsidRPr="0030354F" w:rsidRDefault="008B5ED7" w:rsidP="0030354F">
            <w:pPr>
              <w:contextualSpacing/>
              <w:rPr>
                <w:rFonts w:ascii="Arial" w:eastAsia="Arial" w:hAnsi="Arial" w:cs="Arial"/>
                <w:kern w:val="24"/>
                <w:sz w:val="20"/>
                <w:szCs w:val="20"/>
              </w:rPr>
            </w:pPr>
            <w:r w:rsidRPr="0030354F">
              <w:rPr>
                <w:rFonts w:ascii="Arial" w:eastAsia="Arial" w:hAnsi="Arial" w:cs="Arial"/>
                <w:kern w:val="24"/>
                <w:sz w:val="20"/>
                <w:szCs w:val="20"/>
              </w:rPr>
              <w:lastRenderedPageBreak/>
              <w:t>8.</w:t>
            </w:r>
          </w:p>
        </w:tc>
        <w:tc>
          <w:tcPr>
            <w:tcW w:w="5166" w:type="dxa"/>
          </w:tcPr>
          <w:p w:rsidR="008B5ED7" w:rsidRPr="0030354F" w:rsidRDefault="003B3A85" w:rsidP="0030354F">
            <w:pPr>
              <w:contextualSpacing/>
              <w:rPr>
                <w:rFonts w:ascii="Arial" w:eastAsia="Times New Roman" w:hAnsi="Arial" w:cs="Arial"/>
                <w:sz w:val="20"/>
                <w:szCs w:val="20"/>
                <w:lang w:val="en-US"/>
              </w:rPr>
            </w:pPr>
            <w:r w:rsidRPr="0030354F">
              <w:rPr>
                <w:rFonts w:ascii="Arial" w:eastAsia="Times New Roman" w:hAnsi="Arial" w:cs="Arial"/>
                <w:sz w:val="20"/>
                <w:szCs w:val="20"/>
                <w:lang w:val="en-US"/>
              </w:rPr>
              <w:t>Number of SMMEs &amp; Cooperatives assisted through the ecosystem</w:t>
            </w:r>
          </w:p>
        </w:tc>
        <w:tc>
          <w:tcPr>
            <w:tcW w:w="1530" w:type="dxa"/>
          </w:tcPr>
          <w:p w:rsidR="008B5ED7"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70 000</w:t>
            </w:r>
          </w:p>
        </w:tc>
        <w:tc>
          <w:tcPr>
            <w:tcW w:w="1620" w:type="dxa"/>
          </w:tcPr>
          <w:p w:rsidR="008B5ED7"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52 830</w:t>
            </w:r>
          </w:p>
        </w:tc>
      </w:tr>
      <w:tr w:rsidR="008B5ED7" w:rsidRPr="0030354F" w:rsidTr="008B5ED7">
        <w:trPr>
          <w:trHeight w:val="779"/>
        </w:trPr>
        <w:tc>
          <w:tcPr>
            <w:tcW w:w="679" w:type="dxa"/>
          </w:tcPr>
          <w:p w:rsidR="008B5ED7" w:rsidRPr="0030354F" w:rsidRDefault="008B5ED7" w:rsidP="0030354F">
            <w:pPr>
              <w:contextualSpacing/>
              <w:rPr>
                <w:rFonts w:ascii="Arial" w:eastAsia="Arial" w:hAnsi="Arial" w:cs="Arial"/>
                <w:kern w:val="24"/>
                <w:sz w:val="20"/>
                <w:szCs w:val="20"/>
              </w:rPr>
            </w:pPr>
            <w:r w:rsidRPr="0030354F">
              <w:rPr>
                <w:rFonts w:ascii="Arial" w:eastAsia="Arial" w:hAnsi="Arial" w:cs="Arial"/>
                <w:kern w:val="24"/>
                <w:sz w:val="20"/>
                <w:szCs w:val="20"/>
              </w:rPr>
              <w:t>9.</w:t>
            </w:r>
          </w:p>
        </w:tc>
        <w:tc>
          <w:tcPr>
            <w:tcW w:w="5166" w:type="dxa"/>
          </w:tcPr>
          <w:p w:rsidR="008B5ED7" w:rsidRPr="0030354F" w:rsidRDefault="003B3A85" w:rsidP="0030354F">
            <w:pPr>
              <w:contextualSpacing/>
              <w:rPr>
                <w:rFonts w:ascii="Arial" w:eastAsia="Times New Roman" w:hAnsi="Arial" w:cs="Arial"/>
                <w:sz w:val="20"/>
                <w:szCs w:val="20"/>
                <w:lang w:val="en-US"/>
              </w:rPr>
            </w:pPr>
            <w:r w:rsidRPr="0030354F">
              <w:rPr>
                <w:rFonts w:ascii="Arial" w:eastAsia="Times New Roman" w:hAnsi="Arial" w:cs="Arial"/>
                <w:sz w:val="20"/>
                <w:szCs w:val="20"/>
                <w:lang w:val="en-US"/>
              </w:rPr>
              <w:t>Percentage of Identified Stakeholders Participating in the Ecosystem</w:t>
            </w:r>
          </w:p>
        </w:tc>
        <w:tc>
          <w:tcPr>
            <w:tcW w:w="1530" w:type="dxa"/>
          </w:tcPr>
          <w:p w:rsidR="008B5ED7"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75%</w:t>
            </w:r>
          </w:p>
        </w:tc>
        <w:tc>
          <w:tcPr>
            <w:tcW w:w="1620" w:type="dxa"/>
          </w:tcPr>
          <w:p w:rsidR="008B5ED7"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100%</w:t>
            </w:r>
          </w:p>
        </w:tc>
      </w:tr>
      <w:tr w:rsidR="008B5ED7" w:rsidRPr="0030354F" w:rsidTr="008B5ED7">
        <w:trPr>
          <w:trHeight w:val="779"/>
        </w:trPr>
        <w:tc>
          <w:tcPr>
            <w:tcW w:w="679" w:type="dxa"/>
          </w:tcPr>
          <w:p w:rsidR="008B5ED7" w:rsidRPr="0030354F" w:rsidRDefault="008B5ED7" w:rsidP="0030354F">
            <w:pPr>
              <w:contextualSpacing/>
              <w:rPr>
                <w:rFonts w:ascii="Arial" w:eastAsia="Arial" w:hAnsi="Arial" w:cs="Arial"/>
                <w:kern w:val="24"/>
                <w:sz w:val="20"/>
                <w:szCs w:val="20"/>
              </w:rPr>
            </w:pPr>
            <w:r w:rsidRPr="0030354F">
              <w:rPr>
                <w:rFonts w:ascii="Arial" w:eastAsia="Arial" w:hAnsi="Arial" w:cs="Arial"/>
                <w:kern w:val="24"/>
                <w:sz w:val="20"/>
                <w:szCs w:val="20"/>
              </w:rPr>
              <w:t>10.</w:t>
            </w:r>
          </w:p>
        </w:tc>
        <w:tc>
          <w:tcPr>
            <w:tcW w:w="5166" w:type="dxa"/>
          </w:tcPr>
          <w:p w:rsidR="003B3A85" w:rsidRPr="0030354F" w:rsidRDefault="003B3A85" w:rsidP="0030354F">
            <w:pPr>
              <w:contextualSpacing/>
              <w:rPr>
                <w:rFonts w:ascii="Arial" w:eastAsia="Times New Roman" w:hAnsi="Arial" w:cs="Arial"/>
                <w:sz w:val="20"/>
                <w:szCs w:val="20"/>
                <w:lang w:val="en-US"/>
              </w:rPr>
            </w:pPr>
            <w:r w:rsidRPr="0030354F">
              <w:rPr>
                <w:rFonts w:ascii="Arial" w:eastAsia="Times New Roman" w:hAnsi="Arial" w:cs="Arial"/>
                <w:sz w:val="20"/>
                <w:szCs w:val="20"/>
                <w:lang w:val="en-US"/>
              </w:rPr>
              <w:t xml:space="preserve">Number of SMMEs and Cooperatives whose </w:t>
            </w:r>
          </w:p>
          <w:p w:rsidR="008B5ED7" w:rsidRPr="0030354F" w:rsidRDefault="003B3A85" w:rsidP="0030354F">
            <w:pPr>
              <w:contextualSpacing/>
              <w:rPr>
                <w:rFonts w:ascii="Arial" w:eastAsia="Times New Roman" w:hAnsi="Arial" w:cs="Arial"/>
                <w:sz w:val="20"/>
                <w:szCs w:val="20"/>
                <w:lang w:val="en-US"/>
              </w:rPr>
            </w:pPr>
            <w:r w:rsidRPr="0030354F">
              <w:rPr>
                <w:rFonts w:ascii="Arial" w:eastAsia="Times New Roman" w:hAnsi="Arial" w:cs="Arial"/>
                <w:sz w:val="20"/>
                <w:szCs w:val="20"/>
                <w:lang w:val="en-US"/>
              </w:rPr>
              <w:t>turnover has increased</w:t>
            </w:r>
          </w:p>
        </w:tc>
        <w:tc>
          <w:tcPr>
            <w:tcW w:w="1530" w:type="dxa"/>
          </w:tcPr>
          <w:p w:rsidR="008B5ED7"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2 783</w:t>
            </w:r>
          </w:p>
        </w:tc>
        <w:tc>
          <w:tcPr>
            <w:tcW w:w="1620" w:type="dxa"/>
          </w:tcPr>
          <w:p w:rsidR="008B5ED7"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2 990</w:t>
            </w:r>
          </w:p>
        </w:tc>
      </w:tr>
      <w:tr w:rsidR="008B5ED7" w:rsidRPr="0030354F" w:rsidTr="008B5ED7">
        <w:trPr>
          <w:trHeight w:val="779"/>
        </w:trPr>
        <w:tc>
          <w:tcPr>
            <w:tcW w:w="679" w:type="dxa"/>
          </w:tcPr>
          <w:p w:rsidR="008B5ED7" w:rsidRPr="0030354F" w:rsidRDefault="008B5ED7" w:rsidP="0030354F">
            <w:pPr>
              <w:contextualSpacing/>
              <w:rPr>
                <w:rFonts w:ascii="Arial" w:eastAsia="Arial" w:hAnsi="Arial" w:cs="Arial"/>
                <w:kern w:val="24"/>
                <w:sz w:val="20"/>
                <w:szCs w:val="20"/>
              </w:rPr>
            </w:pPr>
            <w:r w:rsidRPr="0030354F">
              <w:rPr>
                <w:rFonts w:ascii="Arial" w:eastAsia="Arial" w:hAnsi="Arial" w:cs="Arial"/>
                <w:kern w:val="24"/>
                <w:sz w:val="20"/>
                <w:szCs w:val="20"/>
              </w:rPr>
              <w:t>11.</w:t>
            </w:r>
          </w:p>
        </w:tc>
        <w:tc>
          <w:tcPr>
            <w:tcW w:w="5166" w:type="dxa"/>
          </w:tcPr>
          <w:p w:rsidR="008B5ED7" w:rsidRPr="0030354F" w:rsidRDefault="003B3A85" w:rsidP="0030354F">
            <w:pPr>
              <w:contextualSpacing/>
              <w:rPr>
                <w:rFonts w:ascii="Arial" w:eastAsia="Times New Roman" w:hAnsi="Arial" w:cs="Arial"/>
                <w:sz w:val="20"/>
                <w:szCs w:val="20"/>
                <w:lang w:val="en-US"/>
              </w:rPr>
            </w:pPr>
            <w:r w:rsidRPr="0030354F">
              <w:rPr>
                <w:rFonts w:ascii="Arial" w:eastAsia="Times New Roman" w:hAnsi="Arial" w:cs="Arial"/>
                <w:sz w:val="20"/>
                <w:szCs w:val="20"/>
                <w:lang w:val="en-US"/>
              </w:rPr>
              <w:t>Number of SMMEs and Cooperatives supported in the manufacturing Sector</w:t>
            </w:r>
          </w:p>
        </w:tc>
        <w:tc>
          <w:tcPr>
            <w:tcW w:w="1530" w:type="dxa"/>
          </w:tcPr>
          <w:p w:rsidR="008B5ED7"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2 783</w:t>
            </w:r>
          </w:p>
        </w:tc>
        <w:tc>
          <w:tcPr>
            <w:tcW w:w="1620" w:type="dxa"/>
          </w:tcPr>
          <w:p w:rsidR="008B5ED7"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9 839</w:t>
            </w:r>
          </w:p>
        </w:tc>
      </w:tr>
      <w:tr w:rsidR="008B5ED7" w:rsidRPr="0030354F" w:rsidTr="0010213E">
        <w:trPr>
          <w:trHeight w:val="593"/>
        </w:trPr>
        <w:tc>
          <w:tcPr>
            <w:tcW w:w="679" w:type="dxa"/>
          </w:tcPr>
          <w:p w:rsidR="008B5ED7" w:rsidRPr="0030354F" w:rsidRDefault="008B5ED7" w:rsidP="0030354F">
            <w:pPr>
              <w:contextualSpacing/>
              <w:rPr>
                <w:rFonts w:ascii="Arial" w:eastAsia="Arial" w:hAnsi="Arial" w:cs="Arial"/>
                <w:kern w:val="24"/>
                <w:sz w:val="20"/>
                <w:szCs w:val="20"/>
              </w:rPr>
            </w:pPr>
            <w:r w:rsidRPr="0030354F">
              <w:rPr>
                <w:rFonts w:ascii="Arial" w:eastAsia="Arial" w:hAnsi="Arial" w:cs="Arial"/>
                <w:kern w:val="24"/>
                <w:sz w:val="20"/>
                <w:szCs w:val="20"/>
              </w:rPr>
              <w:t>12.</w:t>
            </w:r>
          </w:p>
        </w:tc>
        <w:tc>
          <w:tcPr>
            <w:tcW w:w="5166" w:type="dxa"/>
          </w:tcPr>
          <w:p w:rsidR="008B5ED7" w:rsidRPr="0030354F" w:rsidRDefault="003B3A85" w:rsidP="0030354F">
            <w:pPr>
              <w:contextualSpacing/>
              <w:rPr>
                <w:rFonts w:ascii="Arial" w:eastAsia="Times New Roman" w:hAnsi="Arial" w:cs="Arial"/>
                <w:sz w:val="20"/>
                <w:szCs w:val="20"/>
                <w:lang w:val="en-US"/>
              </w:rPr>
            </w:pPr>
            <w:r w:rsidRPr="0030354F">
              <w:rPr>
                <w:rFonts w:ascii="Arial" w:eastAsia="Times New Roman" w:hAnsi="Arial" w:cs="Arial"/>
                <w:sz w:val="20"/>
                <w:szCs w:val="20"/>
                <w:lang w:val="en-US"/>
              </w:rPr>
              <w:t>Number of SMMEs and Cooperatives supported through Sector specific training</w:t>
            </w:r>
          </w:p>
        </w:tc>
        <w:tc>
          <w:tcPr>
            <w:tcW w:w="1530" w:type="dxa"/>
          </w:tcPr>
          <w:p w:rsidR="008B5ED7"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2 783</w:t>
            </w:r>
          </w:p>
        </w:tc>
        <w:tc>
          <w:tcPr>
            <w:tcW w:w="1620" w:type="dxa"/>
          </w:tcPr>
          <w:p w:rsidR="008B5ED7"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4 692</w:t>
            </w:r>
          </w:p>
        </w:tc>
      </w:tr>
      <w:tr w:rsidR="008B5ED7" w:rsidRPr="0030354F" w:rsidTr="008B5ED7">
        <w:trPr>
          <w:trHeight w:val="779"/>
        </w:trPr>
        <w:tc>
          <w:tcPr>
            <w:tcW w:w="679" w:type="dxa"/>
          </w:tcPr>
          <w:p w:rsidR="008B5ED7" w:rsidRPr="0030354F" w:rsidRDefault="008B5ED7" w:rsidP="0030354F">
            <w:pPr>
              <w:contextualSpacing/>
              <w:rPr>
                <w:rFonts w:ascii="Arial" w:eastAsia="Arial" w:hAnsi="Arial" w:cs="Arial"/>
                <w:kern w:val="24"/>
                <w:sz w:val="20"/>
                <w:szCs w:val="20"/>
              </w:rPr>
            </w:pPr>
            <w:r w:rsidRPr="0030354F">
              <w:rPr>
                <w:rFonts w:ascii="Arial" w:eastAsia="Arial" w:hAnsi="Arial" w:cs="Arial"/>
                <w:kern w:val="24"/>
                <w:sz w:val="20"/>
                <w:szCs w:val="20"/>
              </w:rPr>
              <w:t>13.</w:t>
            </w:r>
          </w:p>
        </w:tc>
        <w:tc>
          <w:tcPr>
            <w:tcW w:w="5166" w:type="dxa"/>
          </w:tcPr>
          <w:p w:rsidR="008B5ED7" w:rsidRPr="0030354F" w:rsidRDefault="003B3A85" w:rsidP="0030354F">
            <w:pPr>
              <w:contextualSpacing/>
              <w:rPr>
                <w:rFonts w:ascii="Arial" w:eastAsia="Times New Roman" w:hAnsi="Arial" w:cs="Arial"/>
                <w:sz w:val="20"/>
                <w:szCs w:val="20"/>
                <w:lang w:val="en-US"/>
              </w:rPr>
            </w:pPr>
            <w:r w:rsidRPr="0030354F">
              <w:rPr>
                <w:rFonts w:ascii="Arial" w:eastAsia="Times New Roman" w:hAnsi="Arial" w:cs="Arial"/>
                <w:sz w:val="20"/>
                <w:szCs w:val="20"/>
                <w:lang w:val="en-US"/>
              </w:rPr>
              <w:t>Number of SMMEs and Cooperatives supported enterprise Coaching</w:t>
            </w:r>
          </w:p>
        </w:tc>
        <w:tc>
          <w:tcPr>
            <w:tcW w:w="1530" w:type="dxa"/>
          </w:tcPr>
          <w:p w:rsidR="008B5ED7"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2 783</w:t>
            </w:r>
          </w:p>
        </w:tc>
        <w:tc>
          <w:tcPr>
            <w:tcW w:w="1620" w:type="dxa"/>
          </w:tcPr>
          <w:p w:rsidR="008B5ED7" w:rsidRPr="0030354F" w:rsidRDefault="003B3A85" w:rsidP="0030354F">
            <w:pPr>
              <w:contextualSpacing/>
              <w:rPr>
                <w:rFonts w:ascii="Arial" w:eastAsia="Times New Roman" w:hAnsi="Arial" w:cs="Arial"/>
                <w:sz w:val="20"/>
                <w:szCs w:val="20"/>
              </w:rPr>
            </w:pPr>
            <w:r w:rsidRPr="0030354F">
              <w:rPr>
                <w:rFonts w:ascii="Arial" w:eastAsia="Times New Roman" w:hAnsi="Arial" w:cs="Arial"/>
                <w:sz w:val="20"/>
                <w:szCs w:val="20"/>
              </w:rPr>
              <w:t>2 794</w:t>
            </w:r>
          </w:p>
        </w:tc>
      </w:tr>
    </w:tbl>
    <w:p w:rsidR="00AD61D1" w:rsidRPr="0030354F" w:rsidRDefault="008B5ED7" w:rsidP="0030354F">
      <w:pPr>
        <w:spacing w:after="0" w:line="240" w:lineRule="auto"/>
        <w:contextualSpacing/>
        <w:rPr>
          <w:rFonts w:ascii="Arial" w:hAnsi="Arial" w:cs="Arial"/>
          <w:b/>
          <w:sz w:val="20"/>
          <w:szCs w:val="20"/>
        </w:rPr>
      </w:pPr>
      <w:r w:rsidRPr="0030354F">
        <w:rPr>
          <w:rFonts w:ascii="Arial" w:hAnsi="Arial" w:cs="Arial"/>
          <w:b/>
          <w:sz w:val="20"/>
          <w:szCs w:val="20"/>
        </w:rPr>
        <w:t>Source: Seda Annual Report (2021/22</w:t>
      </w:r>
      <w:r w:rsidR="00AD61D1" w:rsidRPr="0030354F">
        <w:rPr>
          <w:rFonts w:ascii="Arial" w:hAnsi="Arial" w:cs="Arial"/>
          <w:b/>
          <w:sz w:val="20"/>
          <w:szCs w:val="20"/>
        </w:rPr>
        <w:t>)</w:t>
      </w:r>
    </w:p>
    <w:p w:rsidR="000439B6" w:rsidRPr="0030354F" w:rsidRDefault="000439B6" w:rsidP="0030354F">
      <w:pPr>
        <w:spacing w:after="0" w:line="240" w:lineRule="auto"/>
        <w:contextualSpacing/>
        <w:rPr>
          <w:rFonts w:ascii="Arial" w:hAnsi="Arial" w:cs="Arial"/>
          <w:sz w:val="20"/>
          <w:szCs w:val="20"/>
        </w:rPr>
      </w:pPr>
    </w:p>
    <w:p w:rsidR="003B3A85" w:rsidRPr="0030354F" w:rsidRDefault="003B3A85"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hAnsi="Arial" w:cs="Arial"/>
          <w:sz w:val="20"/>
          <w:szCs w:val="20"/>
          <w:lang w:val="en-US"/>
        </w:rPr>
        <w:t>On access to markets, Seda could not achieve its target of listing 1000 SMMEs and Co-operatives to wholesalers and retailers. According to the agency some of the intended beneficiaries for product listing required additional business development interventions before they could be listed by wholesalers and retailers. There are plans to engage more wholesalers and retailers to establish partnerships to enable supported clients to access their shelf space. Clients who are market-ready will be encouraged to register their products with those identified wholesalers and retailers.</w:t>
      </w:r>
    </w:p>
    <w:p w:rsidR="003B3A85" w:rsidRPr="0030354F" w:rsidRDefault="003B3A85" w:rsidP="0030354F">
      <w:pPr>
        <w:spacing w:after="0" w:line="240" w:lineRule="auto"/>
        <w:contextualSpacing/>
        <w:rPr>
          <w:rFonts w:ascii="Arial" w:hAnsi="Arial" w:cs="Arial"/>
          <w:sz w:val="20"/>
          <w:szCs w:val="20"/>
        </w:rPr>
      </w:pPr>
    </w:p>
    <w:p w:rsidR="00D14783" w:rsidRPr="0030354F" w:rsidRDefault="00AD61D1" w:rsidP="0030354F">
      <w:pPr>
        <w:spacing w:after="0" w:line="240" w:lineRule="auto"/>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5.1.3</w:t>
      </w:r>
      <w:r w:rsidRPr="0030354F">
        <w:rPr>
          <w:rFonts w:ascii="Arial" w:eastAsia="Arial" w:hAnsi="Arial" w:cs="Arial"/>
          <w:b/>
          <w:kern w:val="24"/>
          <w:sz w:val="20"/>
          <w:szCs w:val="20"/>
          <w:lang w:eastAsia="en-ZA"/>
        </w:rPr>
        <w:tab/>
        <w:t>Programme Three: Administration</w:t>
      </w:r>
    </w:p>
    <w:p w:rsidR="002D5FC1" w:rsidRPr="0030354F" w:rsidRDefault="002D5FC1"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hAnsi="Arial" w:cs="Arial"/>
          <w:sz w:val="20"/>
          <w:szCs w:val="20"/>
          <w:lang w:val="en-US"/>
        </w:rPr>
        <w:t>The key objective for programme three is to be responsible for strategic leadership and support to core delivery to ensure successful implementation of the organisation’s strategy. This includes monitoring organisations performance, strategic alignment with the shareholders’ expectations and capacitating the organisation to achieve its set objectives. Important milestones under the programme includes 33 percent of innovative ideas implemented, 67 percent of staff recognized for excellence, 95 percent level of customer satisfaction, 86 percent level of stakeholder satisfaction and 88 percent of Seda funds allocated to core delivery. This achievement reflects the organisational efforts to deliver on the mandate through an agile, innovative, excellent and customer centric organisation.</w:t>
      </w:r>
    </w:p>
    <w:p w:rsidR="00AD61D1" w:rsidRPr="0030354F" w:rsidRDefault="00AD61D1" w:rsidP="0030354F">
      <w:pPr>
        <w:spacing w:after="0" w:line="240" w:lineRule="auto"/>
        <w:contextualSpacing/>
        <w:rPr>
          <w:rFonts w:ascii="Arial" w:eastAsia="Arial" w:hAnsi="Arial" w:cs="Arial"/>
          <w:b/>
          <w:kern w:val="24"/>
          <w:sz w:val="20"/>
          <w:szCs w:val="20"/>
          <w:lang w:eastAsia="en-ZA"/>
        </w:rPr>
      </w:pPr>
    </w:p>
    <w:p w:rsidR="00AD61D1" w:rsidRPr="0030354F" w:rsidRDefault="00AD61D1" w:rsidP="0030354F">
      <w:pPr>
        <w:spacing w:after="0" w:line="240" w:lineRule="auto"/>
        <w:contextualSpacing/>
        <w:rPr>
          <w:rFonts w:ascii="Arial" w:hAnsi="Arial" w:cs="Arial"/>
          <w:sz w:val="20"/>
          <w:szCs w:val="20"/>
        </w:rPr>
      </w:pPr>
      <w:r w:rsidRPr="0030354F">
        <w:rPr>
          <w:rFonts w:ascii="Arial" w:hAnsi="Arial" w:cs="Arial"/>
          <w:b/>
          <w:sz w:val="20"/>
          <w:szCs w:val="20"/>
        </w:rPr>
        <w:t>Table 11: Admin</w:t>
      </w:r>
      <w:r w:rsidR="002D5FC1" w:rsidRPr="0030354F">
        <w:rPr>
          <w:rFonts w:ascii="Arial" w:hAnsi="Arial" w:cs="Arial"/>
          <w:b/>
          <w:sz w:val="20"/>
          <w:szCs w:val="20"/>
        </w:rPr>
        <w:t xml:space="preserve">istration </w:t>
      </w:r>
    </w:p>
    <w:tbl>
      <w:tblPr>
        <w:tblStyle w:val="TableGrid"/>
        <w:tblW w:w="8995" w:type="dxa"/>
        <w:tblLook w:val="0420"/>
      </w:tblPr>
      <w:tblGrid>
        <w:gridCol w:w="638"/>
        <w:gridCol w:w="5225"/>
        <w:gridCol w:w="1577"/>
        <w:gridCol w:w="1555"/>
      </w:tblGrid>
      <w:tr w:rsidR="00AD61D1" w:rsidRPr="0030354F" w:rsidTr="00AD61D1">
        <w:trPr>
          <w:trHeight w:val="143"/>
        </w:trPr>
        <w:tc>
          <w:tcPr>
            <w:tcW w:w="638" w:type="dxa"/>
            <w:shd w:val="clear" w:color="auto" w:fill="92D050"/>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b/>
                <w:bCs/>
                <w:kern w:val="24"/>
                <w:sz w:val="20"/>
                <w:szCs w:val="20"/>
              </w:rPr>
              <w:t>No.</w:t>
            </w:r>
          </w:p>
        </w:tc>
        <w:tc>
          <w:tcPr>
            <w:tcW w:w="5225" w:type="dxa"/>
            <w:shd w:val="clear" w:color="auto" w:fill="92D050"/>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b/>
                <w:bCs/>
                <w:kern w:val="24"/>
                <w:sz w:val="20"/>
                <w:szCs w:val="20"/>
              </w:rPr>
              <w:t xml:space="preserve">Performance Measure </w:t>
            </w:r>
          </w:p>
        </w:tc>
        <w:tc>
          <w:tcPr>
            <w:tcW w:w="1577" w:type="dxa"/>
            <w:shd w:val="clear" w:color="auto" w:fill="92D050"/>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b/>
                <w:bCs/>
                <w:kern w:val="24"/>
                <w:sz w:val="20"/>
                <w:szCs w:val="20"/>
              </w:rPr>
              <w:t xml:space="preserve">Target </w:t>
            </w:r>
          </w:p>
        </w:tc>
        <w:tc>
          <w:tcPr>
            <w:tcW w:w="1555" w:type="dxa"/>
            <w:shd w:val="clear" w:color="auto" w:fill="92D050"/>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b/>
                <w:bCs/>
                <w:kern w:val="24"/>
                <w:sz w:val="20"/>
                <w:szCs w:val="20"/>
              </w:rPr>
              <w:t xml:space="preserve">Achievement </w:t>
            </w:r>
          </w:p>
        </w:tc>
      </w:tr>
      <w:tr w:rsidR="00AD61D1" w:rsidRPr="0030354F" w:rsidTr="0010213E">
        <w:trPr>
          <w:trHeight w:val="260"/>
        </w:trPr>
        <w:tc>
          <w:tcPr>
            <w:tcW w:w="638" w:type="dxa"/>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kern w:val="24"/>
                <w:sz w:val="20"/>
                <w:szCs w:val="20"/>
              </w:rPr>
              <w:t>1.</w:t>
            </w:r>
          </w:p>
        </w:tc>
        <w:tc>
          <w:tcPr>
            <w:tcW w:w="5225" w:type="dxa"/>
          </w:tcPr>
          <w:p w:rsidR="00AD61D1"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Percentage of innovative ideas implemented</w:t>
            </w:r>
          </w:p>
        </w:tc>
        <w:tc>
          <w:tcPr>
            <w:tcW w:w="1577" w:type="dxa"/>
          </w:tcPr>
          <w:p w:rsidR="00AD61D1"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25%</w:t>
            </w:r>
          </w:p>
        </w:tc>
        <w:tc>
          <w:tcPr>
            <w:tcW w:w="1555" w:type="dxa"/>
          </w:tcPr>
          <w:p w:rsidR="00AD61D1"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33%</w:t>
            </w:r>
          </w:p>
        </w:tc>
      </w:tr>
      <w:tr w:rsidR="00AD61D1" w:rsidRPr="0030354F" w:rsidTr="0010213E">
        <w:trPr>
          <w:trHeight w:val="278"/>
        </w:trPr>
        <w:tc>
          <w:tcPr>
            <w:tcW w:w="638" w:type="dxa"/>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kern w:val="24"/>
                <w:sz w:val="20"/>
                <w:szCs w:val="20"/>
              </w:rPr>
              <w:t>2.</w:t>
            </w:r>
          </w:p>
        </w:tc>
        <w:tc>
          <w:tcPr>
            <w:tcW w:w="5225" w:type="dxa"/>
          </w:tcPr>
          <w:p w:rsidR="00AD61D1"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Percentage of staff recognised for excellence</w:t>
            </w:r>
          </w:p>
        </w:tc>
        <w:tc>
          <w:tcPr>
            <w:tcW w:w="1577" w:type="dxa"/>
          </w:tcPr>
          <w:p w:rsidR="00AD61D1"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25%</w:t>
            </w:r>
          </w:p>
        </w:tc>
        <w:tc>
          <w:tcPr>
            <w:tcW w:w="1555" w:type="dxa"/>
          </w:tcPr>
          <w:p w:rsidR="00AD61D1"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67%</w:t>
            </w:r>
          </w:p>
        </w:tc>
      </w:tr>
      <w:tr w:rsidR="00AD61D1" w:rsidRPr="0030354F" w:rsidTr="0010213E">
        <w:trPr>
          <w:trHeight w:val="58"/>
        </w:trPr>
        <w:tc>
          <w:tcPr>
            <w:tcW w:w="638" w:type="dxa"/>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kern w:val="24"/>
                <w:sz w:val="20"/>
                <w:szCs w:val="20"/>
              </w:rPr>
              <w:t>3.</w:t>
            </w:r>
          </w:p>
        </w:tc>
        <w:tc>
          <w:tcPr>
            <w:tcW w:w="5225" w:type="dxa"/>
          </w:tcPr>
          <w:p w:rsidR="00AD61D1"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Percentage of staff satisfaction</w:t>
            </w:r>
          </w:p>
        </w:tc>
        <w:tc>
          <w:tcPr>
            <w:tcW w:w="1577" w:type="dxa"/>
          </w:tcPr>
          <w:p w:rsidR="00AD61D1"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75%</w:t>
            </w:r>
          </w:p>
        </w:tc>
        <w:tc>
          <w:tcPr>
            <w:tcW w:w="1555" w:type="dxa"/>
          </w:tcPr>
          <w:p w:rsidR="00AD61D1"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43%</w:t>
            </w:r>
          </w:p>
        </w:tc>
      </w:tr>
      <w:tr w:rsidR="00AD61D1" w:rsidRPr="0030354F" w:rsidTr="0010213E">
        <w:trPr>
          <w:trHeight w:val="251"/>
        </w:trPr>
        <w:tc>
          <w:tcPr>
            <w:tcW w:w="638" w:type="dxa"/>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kern w:val="24"/>
                <w:sz w:val="20"/>
                <w:szCs w:val="20"/>
              </w:rPr>
              <w:t>4.</w:t>
            </w:r>
          </w:p>
        </w:tc>
        <w:tc>
          <w:tcPr>
            <w:tcW w:w="5225" w:type="dxa"/>
          </w:tcPr>
          <w:p w:rsidR="00AD61D1"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Percentage of customer satisfaction</w:t>
            </w:r>
          </w:p>
        </w:tc>
        <w:tc>
          <w:tcPr>
            <w:tcW w:w="1577" w:type="dxa"/>
          </w:tcPr>
          <w:p w:rsidR="00AD61D1"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80%</w:t>
            </w:r>
          </w:p>
        </w:tc>
        <w:tc>
          <w:tcPr>
            <w:tcW w:w="1555" w:type="dxa"/>
          </w:tcPr>
          <w:p w:rsidR="00AD61D1"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95%</w:t>
            </w:r>
          </w:p>
        </w:tc>
      </w:tr>
      <w:tr w:rsidR="00AD61D1" w:rsidRPr="0030354F" w:rsidTr="0010213E">
        <w:trPr>
          <w:trHeight w:val="89"/>
        </w:trPr>
        <w:tc>
          <w:tcPr>
            <w:tcW w:w="638" w:type="dxa"/>
            <w:hideMark/>
          </w:tcPr>
          <w:p w:rsidR="00AD61D1" w:rsidRPr="0030354F" w:rsidRDefault="00AD61D1" w:rsidP="0030354F">
            <w:pPr>
              <w:contextualSpacing/>
              <w:rPr>
                <w:rFonts w:ascii="Arial" w:eastAsia="Times New Roman" w:hAnsi="Arial" w:cs="Arial"/>
                <w:sz w:val="20"/>
                <w:szCs w:val="20"/>
              </w:rPr>
            </w:pPr>
            <w:r w:rsidRPr="0030354F">
              <w:rPr>
                <w:rFonts w:ascii="Arial" w:eastAsia="Arial" w:hAnsi="Arial" w:cs="Arial"/>
                <w:kern w:val="24"/>
                <w:sz w:val="20"/>
                <w:szCs w:val="20"/>
              </w:rPr>
              <w:t>5.</w:t>
            </w:r>
          </w:p>
        </w:tc>
        <w:tc>
          <w:tcPr>
            <w:tcW w:w="5225" w:type="dxa"/>
          </w:tcPr>
          <w:p w:rsidR="00AD61D1"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Percentage of stakeholder satisfaction</w:t>
            </w:r>
          </w:p>
        </w:tc>
        <w:tc>
          <w:tcPr>
            <w:tcW w:w="1577" w:type="dxa"/>
          </w:tcPr>
          <w:p w:rsidR="00AD61D1"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80%</w:t>
            </w:r>
          </w:p>
        </w:tc>
        <w:tc>
          <w:tcPr>
            <w:tcW w:w="1555" w:type="dxa"/>
          </w:tcPr>
          <w:p w:rsidR="00AD61D1"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86%</w:t>
            </w:r>
          </w:p>
        </w:tc>
      </w:tr>
      <w:tr w:rsidR="003B3A85" w:rsidRPr="0030354F" w:rsidTr="0010213E">
        <w:trPr>
          <w:trHeight w:val="206"/>
        </w:trPr>
        <w:tc>
          <w:tcPr>
            <w:tcW w:w="638" w:type="dxa"/>
          </w:tcPr>
          <w:p w:rsidR="003B3A85" w:rsidRPr="0030354F" w:rsidRDefault="003B3A85" w:rsidP="0030354F">
            <w:pPr>
              <w:contextualSpacing/>
              <w:rPr>
                <w:rFonts w:ascii="Arial" w:eastAsia="Arial" w:hAnsi="Arial" w:cs="Arial"/>
                <w:kern w:val="24"/>
                <w:sz w:val="20"/>
                <w:szCs w:val="20"/>
              </w:rPr>
            </w:pPr>
            <w:r w:rsidRPr="0030354F">
              <w:rPr>
                <w:rFonts w:ascii="Arial" w:eastAsia="Arial" w:hAnsi="Arial" w:cs="Arial"/>
                <w:kern w:val="24"/>
                <w:sz w:val="20"/>
                <w:szCs w:val="20"/>
              </w:rPr>
              <w:t>6.</w:t>
            </w:r>
          </w:p>
        </w:tc>
        <w:tc>
          <w:tcPr>
            <w:tcW w:w="5225" w:type="dxa"/>
          </w:tcPr>
          <w:p w:rsidR="003B3A85"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Percentage of vacancy rate</w:t>
            </w:r>
          </w:p>
        </w:tc>
        <w:tc>
          <w:tcPr>
            <w:tcW w:w="1577" w:type="dxa"/>
          </w:tcPr>
          <w:p w:rsidR="003B3A85"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10%</w:t>
            </w:r>
          </w:p>
        </w:tc>
        <w:tc>
          <w:tcPr>
            <w:tcW w:w="1555" w:type="dxa"/>
          </w:tcPr>
          <w:p w:rsidR="003B3A85"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7%</w:t>
            </w:r>
          </w:p>
        </w:tc>
      </w:tr>
      <w:tr w:rsidR="003B3A85" w:rsidRPr="0030354F" w:rsidTr="0010213E">
        <w:trPr>
          <w:trHeight w:val="143"/>
        </w:trPr>
        <w:tc>
          <w:tcPr>
            <w:tcW w:w="638" w:type="dxa"/>
          </w:tcPr>
          <w:p w:rsidR="003B3A85" w:rsidRPr="0030354F" w:rsidRDefault="003B3A85" w:rsidP="0030354F">
            <w:pPr>
              <w:contextualSpacing/>
              <w:rPr>
                <w:rFonts w:ascii="Arial" w:eastAsia="Arial" w:hAnsi="Arial" w:cs="Arial"/>
                <w:kern w:val="24"/>
                <w:sz w:val="20"/>
                <w:szCs w:val="20"/>
              </w:rPr>
            </w:pPr>
            <w:r w:rsidRPr="0030354F">
              <w:rPr>
                <w:rFonts w:ascii="Arial" w:eastAsia="Arial" w:hAnsi="Arial" w:cs="Arial"/>
                <w:kern w:val="24"/>
                <w:sz w:val="20"/>
                <w:szCs w:val="20"/>
              </w:rPr>
              <w:t>7.</w:t>
            </w:r>
          </w:p>
        </w:tc>
        <w:tc>
          <w:tcPr>
            <w:tcW w:w="5225" w:type="dxa"/>
          </w:tcPr>
          <w:p w:rsidR="003B3A85"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Percentage of funds allocated to core delivery</w:t>
            </w:r>
          </w:p>
        </w:tc>
        <w:tc>
          <w:tcPr>
            <w:tcW w:w="1577" w:type="dxa"/>
          </w:tcPr>
          <w:p w:rsidR="003B3A85"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75%</w:t>
            </w:r>
          </w:p>
        </w:tc>
        <w:tc>
          <w:tcPr>
            <w:tcW w:w="1555" w:type="dxa"/>
          </w:tcPr>
          <w:p w:rsidR="003B3A85" w:rsidRPr="0030354F" w:rsidRDefault="002D5FC1" w:rsidP="0030354F">
            <w:pPr>
              <w:contextualSpacing/>
              <w:rPr>
                <w:rFonts w:ascii="Arial" w:eastAsia="Times New Roman" w:hAnsi="Arial" w:cs="Arial"/>
                <w:sz w:val="20"/>
                <w:szCs w:val="20"/>
              </w:rPr>
            </w:pPr>
            <w:r w:rsidRPr="0030354F">
              <w:rPr>
                <w:rFonts w:ascii="Arial" w:eastAsia="Times New Roman" w:hAnsi="Arial" w:cs="Arial"/>
                <w:sz w:val="20"/>
                <w:szCs w:val="20"/>
              </w:rPr>
              <w:t>88%</w:t>
            </w:r>
          </w:p>
        </w:tc>
      </w:tr>
    </w:tbl>
    <w:p w:rsidR="00AD61D1" w:rsidRPr="0030354F" w:rsidRDefault="00AD61D1" w:rsidP="0030354F">
      <w:pPr>
        <w:spacing w:after="0" w:line="240" w:lineRule="auto"/>
        <w:contextualSpacing/>
        <w:rPr>
          <w:rFonts w:ascii="Arial" w:hAnsi="Arial" w:cs="Arial"/>
          <w:b/>
          <w:sz w:val="20"/>
          <w:szCs w:val="20"/>
        </w:rPr>
      </w:pPr>
      <w:r w:rsidRPr="0030354F">
        <w:rPr>
          <w:rFonts w:ascii="Arial" w:hAnsi="Arial" w:cs="Arial"/>
          <w:b/>
          <w:sz w:val="20"/>
          <w:szCs w:val="20"/>
        </w:rPr>
        <w:t>Source: Seda Annual Report (202</w:t>
      </w:r>
      <w:r w:rsidR="003B3A85" w:rsidRPr="0030354F">
        <w:rPr>
          <w:rFonts w:ascii="Arial" w:hAnsi="Arial" w:cs="Arial"/>
          <w:b/>
          <w:sz w:val="20"/>
          <w:szCs w:val="20"/>
        </w:rPr>
        <w:t>1/22</w:t>
      </w:r>
      <w:r w:rsidRPr="0030354F">
        <w:rPr>
          <w:rFonts w:ascii="Arial" w:hAnsi="Arial" w:cs="Arial"/>
          <w:b/>
          <w:sz w:val="20"/>
          <w:szCs w:val="20"/>
        </w:rPr>
        <w:t>)</w:t>
      </w:r>
    </w:p>
    <w:p w:rsidR="00AD61D1" w:rsidRPr="0030354F" w:rsidRDefault="00AD61D1" w:rsidP="0030354F">
      <w:pPr>
        <w:spacing w:after="0" w:line="240" w:lineRule="auto"/>
        <w:contextualSpacing/>
        <w:rPr>
          <w:rFonts w:ascii="Arial" w:eastAsia="Arial" w:hAnsi="Arial" w:cs="Arial"/>
          <w:kern w:val="24"/>
          <w:sz w:val="20"/>
          <w:szCs w:val="20"/>
          <w:lang w:eastAsia="en-ZA"/>
        </w:rPr>
      </w:pPr>
    </w:p>
    <w:p w:rsidR="0010213E" w:rsidRPr="0030354F" w:rsidRDefault="000E757F"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hAnsi="Arial" w:cs="Arial"/>
          <w:sz w:val="20"/>
          <w:szCs w:val="20"/>
          <w:lang w:val="en-US"/>
        </w:rPr>
        <w:t xml:space="preserve">In the 2021/22 financial year, a permanent moratorium was placed on filling vacant positions – to ensure that the merger process was not compromised. </w:t>
      </w:r>
      <w:r w:rsidR="002D5FC1" w:rsidRPr="0030354F">
        <w:rPr>
          <w:rFonts w:ascii="Arial" w:hAnsi="Arial" w:cs="Arial"/>
          <w:sz w:val="20"/>
          <w:szCs w:val="20"/>
        </w:rPr>
        <w:t xml:space="preserve">During the agency’s appearance before the Committee to present its annual report, Seda did allude to the instability emanating from uncertainty as a result </w:t>
      </w:r>
      <w:r w:rsidR="0010213E" w:rsidRPr="0030354F">
        <w:rPr>
          <w:rFonts w:ascii="Arial" w:hAnsi="Arial" w:cs="Arial"/>
          <w:sz w:val="20"/>
          <w:szCs w:val="20"/>
        </w:rPr>
        <w:t xml:space="preserve">of employees being employed on contractual basis. </w:t>
      </w:r>
      <w:r w:rsidR="0010213E" w:rsidRPr="0030354F">
        <w:rPr>
          <w:rFonts w:ascii="Arial" w:hAnsi="Arial" w:cs="Arial"/>
          <w:sz w:val="20"/>
          <w:szCs w:val="20"/>
          <w:lang w:val="en-US"/>
        </w:rPr>
        <w:t xml:space="preserve">The Committee was informed that majority of employees are dissatisfied with a number of areas which included organisational leadership and management, remuneration and benefits, recognition and resources provision. As a result, Seda is struggling to retain its quality and experienced staff. </w:t>
      </w:r>
    </w:p>
    <w:p w:rsidR="00AD61D1" w:rsidRPr="0030354F" w:rsidRDefault="00073412" w:rsidP="0030354F">
      <w:pPr>
        <w:spacing w:after="0" w:line="240" w:lineRule="auto"/>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5.1.4</w:t>
      </w:r>
      <w:r w:rsidRPr="0030354F">
        <w:rPr>
          <w:rFonts w:ascii="Arial" w:eastAsia="Arial" w:hAnsi="Arial" w:cs="Arial"/>
          <w:b/>
          <w:kern w:val="24"/>
          <w:sz w:val="20"/>
          <w:szCs w:val="20"/>
          <w:lang w:eastAsia="en-ZA"/>
        </w:rPr>
        <w:tab/>
        <w:t>Financial Overview</w:t>
      </w:r>
    </w:p>
    <w:p w:rsidR="000E757F" w:rsidRPr="0030354F" w:rsidRDefault="000E757F"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hAnsi="Arial" w:cs="Arial"/>
          <w:sz w:val="20"/>
          <w:szCs w:val="20"/>
          <w:lang w:val="en-US"/>
        </w:rPr>
        <w:t xml:space="preserve">In the financial year under review, the organisation had </w:t>
      </w:r>
      <w:r w:rsidR="009B7C70" w:rsidRPr="0030354F">
        <w:rPr>
          <w:rFonts w:ascii="Arial" w:hAnsi="Arial" w:cs="Arial"/>
          <w:sz w:val="20"/>
          <w:szCs w:val="20"/>
          <w:lang w:val="en-US"/>
        </w:rPr>
        <w:t xml:space="preserve">a total income of R902 </w:t>
      </w:r>
      <w:r w:rsidRPr="0030354F">
        <w:rPr>
          <w:rFonts w:ascii="Arial" w:hAnsi="Arial" w:cs="Arial"/>
          <w:sz w:val="20"/>
          <w:szCs w:val="20"/>
          <w:lang w:val="en-US"/>
        </w:rPr>
        <w:t xml:space="preserve">million, which represented only a </w:t>
      </w:r>
      <w:r w:rsidR="009B7C70" w:rsidRPr="0030354F">
        <w:rPr>
          <w:rFonts w:ascii="Arial" w:hAnsi="Arial" w:cs="Arial"/>
          <w:sz w:val="20"/>
          <w:szCs w:val="20"/>
          <w:lang w:val="en-US"/>
        </w:rPr>
        <w:t>four (</w:t>
      </w:r>
      <w:r w:rsidRPr="0030354F">
        <w:rPr>
          <w:rFonts w:ascii="Arial" w:hAnsi="Arial" w:cs="Arial"/>
          <w:sz w:val="20"/>
          <w:szCs w:val="20"/>
          <w:lang w:val="en-US"/>
        </w:rPr>
        <w:t>4</w:t>
      </w:r>
      <w:r w:rsidR="009B7C70" w:rsidRPr="0030354F">
        <w:rPr>
          <w:rFonts w:ascii="Arial" w:hAnsi="Arial" w:cs="Arial"/>
          <w:sz w:val="20"/>
          <w:szCs w:val="20"/>
          <w:lang w:val="en-US"/>
        </w:rPr>
        <w:t>)</w:t>
      </w:r>
      <w:r w:rsidRPr="0030354F">
        <w:rPr>
          <w:rFonts w:ascii="Arial" w:hAnsi="Arial" w:cs="Arial"/>
          <w:sz w:val="20"/>
          <w:szCs w:val="20"/>
          <w:lang w:val="en-US"/>
        </w:rPr>
        <w:t xml:space="preserve"> percent increase from the 2020/21 financial year. The percentage growth </w:t>
      </w:r>
      <w:r w:rsidRPr="0030354F">
        <w:rPr>
          <w:rFonts w:ascii="Arial" w:hAnsi="Arial" w:cs="Arial"/>
          <w:sz w:val="20"/>
          <w:szCs w:val="20"/>
          <w:lang w:val="en-US"/>
        </w:rPr>
        <w:lastRenderedPageBreak/>
        <w:t xml:space="preserve">was mainly due to the increase in allocation from the Department of Small Business Development grant and other specific projects. Seda made an application to Treasury to approve the previous year’s surplus and National Treasury approved R294 million. This increased the expenditure budget to R1.190 billion. The actual expenditure for the period under review amounted to R1.185 billion resulting in an underspending of R5.2 million </w:t>
      </w:r>
      <w:r w:rsidR="009B7C70" w:rsidRPr="0030354F">
        <w:rPr>
          <w:rFonts w:ascii="Arial" w:hAnsi="Arial" w:cs="Arial"/>
          <w:sz w:val="20"/>
          <w:szCs w:val="20"/>
          <w:lang w:val="en-US"/>
        </w:rPr>
        <w:t xml:space="preserve">compared to </w:t>
      </w:r>
      <w:r w:rsidRPr="0030354F">
        <w:rPr>
          <w:rFonts w:ascii="Arial" w:hAnsi="Arial" w:cs="Arial"/>
          <w:sz w:val="20"/>
          <w:szCs w:val="20"/>
          <w:lang w:val="en-US"/>
        </w:rPr>
        <w:t>R21</w:t>
      </w:r>
      <w:r w:rsidR="009B7C70" w:rsidRPr="0030354F">
        <w:rPr>
          <w:rFonts w:ascii="Arial" w:hAnsi="Arial" w:cs="Arial"/>
          <w:sz w:val="20"/>
          <w:szCs w:val="20"/>
          <w:lang w:val="en-US"/>
        </w:rPr>
        <w:t>8 million in 2021.</w:t>
      </w:r>
      <w:r w:rsidRPr="0030354F">
        <w:rPr>
          <w:rFonts w:ascii="Arial" w:hAnsi="Arial" w:cs="Arial"/>
          <w:sz w:val="20"/>
          <w:szCs w:val="20"/>
          <w:lang w:val="en-US"/>
        </w:rPr>
        <w:t xml:space="preserve"> Based on the total amount spent, Seda does not have surplus funds to roll over for the first time in more than 5 years. Included in the expenditure of R1.185 billion is an overall spending of R773 million on goods and services during the 2021/22 financial year compared to R400 million in the previous year. </w:t>
      </w:r>
    </w:p>
    <w:p w:rsidR="000E757F" w:rsidRPr="0030354F" w:rsidRDefault="000E757F" w:rsidP="0030354F">
      <w:pPr>
        <w:autoSpaceDE w:val="0"/>
        <w:autoSpaceDN w:val="0"/>
        <w:adjustRightInd w:val="0"/>
        <w:spacing w:after="0" w:line="240" w:lineRule="auto"/>
        <w:contextualSpacing/>
        <w:rPr>
          <w:rFonts w:ascii="Arial" w:hAnsi="Arial" w:cs="Arial"/>
          <w:sz w:val="20"/>
          <w:szCs w:val="20"/>
          <w:lang w:val="en-US"/>
        </w:rPr>
      </w:pPr>
    </w:p>
    <w:p w:rsidR="00073412" w:rsidRPr="0030354F" w:rsidRDefault="001E776F" w:rsidP="0030354F">
      <w:pPr>
        <w:spacing w:after="0" w:line="240" w:lineRule="auto"/>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Table 12: Seda Budget</w:t>
      </w:r>
    </w:p>
    <w:tbl>
      <w:tblPr>
        <w:tblStyle w:val="TableGrid"/>
        <w:tblW w:w="0" w:type="auto"/>
        <w:tblLook w:val="04A0"/>
      </w:tblPr>
      <w:tblGrid>
        <w:gridCol w:w="2254"/>
        <w:gridCol w:w="2254"/>
        <w:gridCol w:w="2254"/>
        <w:gridCol w:w="2254"/>
      </w:tblGrid>
      <w:tr w:rsidR="00073412" w:rsidRPr="0030354F" w:rsidTr="001E776F">
        <w:tc>
          <w:tcPr>
            <w:tcW w:w="9016" w:type="dxa"/>
            <w:gridSpan w:val="4"/>
            <w:shd w:val="clear" w:color="auto" w:fill="92D050"/>
          </w:tcPr>
          <w:p w:rsidR="00073412" w:rsidRPr="0030354F" w:rsidRDefault="001E776F" w:rsidP="0030354F">
            <w:pPr>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Seda Budget 202</w:t>
            </w:r>
            <w:r w:rsidR="00585BC3" w:rsidRPr="0030354F">
              <w:rPr>
                <w:rFonts w:ascii="Arial" w:eastAsia="Arial" w:hAnsi="Arial" w:cs="Arial"/>
                <w:b/>
                <w:kern w:val="24"/>
                <w:sz w:val="20"/>
                <w:szCs w:val="20"/>
                <w:lang w:eastAsia="en-ZA"/>
              </w:rPr>
              <w:t>1/22</w:t>
            </w:r>
          </w:p>
          <w:p w:rsidR="009B7C70" w:rsidRPr="0030354F" w:rsidRDefault="009B7C70" w:rsidP="0030354F">
            <w:pPr>
              <w:contextualSpacing/>
              <w:rPr>
                <w:rFonts w:ascii="Arial" w:eastAsia="Arial" w:hAnsi="Arial" w:cs="Arial"/>
                <w:b/>
                <w:kern w:val="24"/>
                <w:sz w:val="20"/>
                <w:szCs w:val="20"/>
                <w:lang w:eastAsia="en-ZA"/>
              </w:rPr>
            </w:pPr>
          </w:p>
        </w:tc>
      </w:tr>
      <w:tr w:rsidR="00073412" w:rsidRPr="0030354F" w:rsidTr="001E776F">
        <w:tc>
          <w:tcPr>
            <w:tcW w:w="2254" w:type="dxa"/>
            <w:shd w:val="clear" w:color="auto" w:fill="92D050"/>
          </w:tcPr>
          <w:p w:rsidR="00073412" w:rsidRPr="0030354F" w:rsidRDefault="001E776F" w:rsidP="0030354F">
            <w:pPr>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Programme</w:t>
            </w:r>
          </w:p>
        </w:tc>
        <w:tc>
          <w:tcPr>
            <w:tcW w:w="2254" w:type="dxa"/>
            <w:shd w:val="clear" w:color="auto" w:fill="92D050"/>
          </w:tcPr>
          <w:p w:rsidR="00073412" w:rsidRPr="0030354F" w:rsidRDefault="001E776F" w:rsidP="0030354F">
            <w:pPr>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Budget</w:t>
            </w:r>
          </w:p>
          <w:p w:rsidR="001E776F" w:rsidRPr="0030354F" w:rsidRDefault="001E776F" w:rsidP="0030354F">
            <w:pPr>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R’000</w:t>
            </w:r>
          </w:p>
        </w:tc>
        <w:tc>
          <w:tcPr>
            <w:tcW w:w="2254" w:type="dxa"/>
            <w:shd w:val="clear" w:color="auto" w:fill="92D050"/>
          </w:tcPr>
          <w:p w:rsidR="00073412" w:rsidRPr="0030354F" w:rsidRDefault="001E776F" w:rsidP="0030354F">
            <w:pPr>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Actual Expenditure</w:t>
            </w:r>
          </w:p>
          <w:p w:rsidR="001E776F" w:rsidRPr="0030354F" w:rsidRDefault="001E776F" w:rsidP="0030354F">
            <w:pPr>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R’000</w:t>
            </w:r>
          </w:p>
        </w:tc>
        <w:tc>
          <w:tcPr>
            <w:tcW w:w="2254" w:type="dxa"/>
            <w:shd w:val="clear" w:color="auto" w:fill="92D050"/>
          </w:tcPr>
          <w:p w:rsidR="00073412" w:rsidRPr="0030354F" w:rsidRDefault="001E776F" w:rsidP="0030354F">
            <w:pPr>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Over/Under Expenditure</w:t>
            </w:r>
          </w:p>
          <w:p w:rsidR="001E776F" w:rsidRPr="0030354F" w:rsidRDefault="001E776F" w:rsidP="0030354F">
            <w:pPr>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R’000</w:t>
            </w:r>
          </w:p>
        </w:tc>
      </w:tr>
      <w:tr w:rsidR="00073412" w:rsidRPr="0030354F" w:rsidTr="00073412">
        <w:tc>
          <w:tcPr>
            <w:tcW w:w="2254" w:type="dxa"/>
          </w:tcPr>
          <w:p w:rsidR="00073412" w:rsidRPr="0030354F" w:rsidRDefault="00585BC3" w:rsidP="0030354F">
            <w:pPr>
              <w:contextualSpacing/>
              <w:rPr>
                <w:rFonts w:ascii="Arial" w:eastAsia="Arial" w:hAnsi="Arial" w:cs="Arial"/>
                <w:kern w:val="24"/>
                <w:sz w:val="20"/>
                <w:szCs w:val="20"/>
                <w:lang w:eastAsia="en-ZA"/>
              </w:rPr>
            </w:pPr>
            <w:r w:rsidRPr="0030354F">
              <w:rPr>
                <w:rFonts w:ascii="Arial" w:eastAsia="Arial" w:hAnsi="Arial" w:cs="Arial"/>
                <w:kern w:val="24"/>
                <w:sz w:val="20"/>
                <w:szCs w:val="20"/>
                <w:lang w:eastAsia="en-ZA"/>
              </w:rPr>
              <w:t>Programme 1</w:t>
            </w:r>
          </w:p>
        </w:tc>
        <w:tc>
          <w:tcPr>
            <w:tcW w:w="2254" w:type="dxa"/>
          </w:tcPr>
          <w:p w:rsidR="00073412" w:rsidRPr="0030354F" w:rsidRDefault="00585BC3" w:rsidP="0030354F">
            <w:pPr>
              <w:contextualSpacing/>
              <w:rPr>
                <w:rFonts w:ascii="Arial" w:eastAsia="Arial" w:hAnsi="Arial" w:cs="Arial"/>
                <w:kern w:val="24"/>
                <w:sz w:val="20"/>
                <w:szCs w:val="20"/>
                <w:lang w:eastAsia="en-ZA"/>
              </w:rPr>
            </w:pPr>
            <w:r w:rsidRPr="0030354F">
              <w:rPr>
                <w:rFonts w:ascii="Arial" w:eastAsia="Arial" w:hAnsi="Arial" w:cs="Arial"/>
                <w:kern w:val="24"/>
                <w:sz w:val="20"/>
                <w:szCs w:val="20"/>
                <w:lang w:eastAsia="en-ZA"/>
              </w:rPr>
              <w:t>530 758</w:t>
            </w:r>
          </w:p>
        </w:tc>
        <w:tc>
          <w:tcPr>
            <w:tcW w:w="2254" w:type="dxa"/>
          </w:tcPr>
          <w:p w:rsidR="00073412" w:rsidRPr="0030354F" w:rsidRDefault="00585BC3" w:rsidP="0030354F">
            <w:pPr>
              <w:contextualSpacing/>
              <w:rPr>
                <w:rFonts w:ascii="Arial" w:eastAsia="Arial" w:hAnsi="Arial" w:cs="Arial"/>
                <w:kern w:val="24"/>
                <w:sz w:val="20"/>
                <w:szCs w:val="20"/>
                <w:lang w:eastAsia="en-ZA"/>
              </w:rPr>
            </w:pPr>
            <w:r w:rsidRPr="0030354F">
              <w:rPr>
                <w:rFonts w:ascii="Arial" w:eastAsia="Arial" w:hAnsi="Arial" w:cs="Arial"/>
                <w:kern w:val="24"/>
                <w:sz w:val="20"/>
                <w:szCs w:val="20"/>
                <w:lang w:eastAsia="en-ZA"/>
              </w:rPr>
              <w:t>540 884</w:t>
            </w:r>
          </w:p>
        </w:tc>
        <w:tc>
          <w:tcPr>
            <w:tcW w:w="2254" w:type="dxa"/>
          </w:tcPr>
          <w:p w:rsidR="00073412" w:rsidRPr="0030354F" w:rsidRDefault="00585BC3" w:rsidP="0030354F">
            <w:pPr>
              <w:contextualSpacing/>
              <w:rPr>
                <w:rFonts w:ascii="Arial" w:eastAsia="Arial" w:hAnsi="Arial" w:cs="Arial"/>
                <w:kern w:val="24"/>
                <w:sz w:val="20"/>
                <w:szCs w:val="20"/>
                <w:lang w:eastAsia="en-ZA"/>
              </w:rPr>
            </w:pPr>
            <w:r w:rsidRPr="0030354F">
              <w:rPr>
                <w:rFonts w:ascii="Arial" w:eastAsia="Arial" w:hAnsi="Arial" w:cs="Arial"/>
                <w:kern w:val="24"/>
                <w:sz w:val="20"/>
                <w:szCs w:val="20"/>
                <w:lang w:eastAsia="en-ZA"/>
              </w:rPr>
              <w:t>-10 126</w:t>
            </w:r>
          </w:p>
        </w:tc>
      </w:tr>
      <w:tr w:rsidR="00073412" w:rsidRPr="0030354F" w:rsidTr="00073412">
        <w:tc>
          <w:tcPr>
            <w:tcW w:w="2254" w:type="dxa"/>
          </w:tcPr>
          <w:p w:rsidR="00073412" w:rsidRPr="0030354F" w:rsidRDefault="00585BC3" w:rsidP="0030354F">
            <w:pPr>
              <w:contextualSpacing/>
              <w:rPr>
                <w:rFonts w:ascii="Arial" w:eastAsia="Arial" w:hAnsi="Arial" w:cs="Arial"/>
                <w:kern w:val="24"/>
                <w:sz w:val="20"/>
                <w:szCs w:val="20"/>
                <w:lang w:eastAsia="en-ZA"/>
              </w:rPr>
            </w:pPr>
            <w:r w:rsidRPr="0030354F">
              <w:rPr>
                <w:rFonts w:ascii="Arial" w:eastAsia="Arial" w:hAnsi="Arial" w:cs="Arial"/>
                <w:kern w:val="24"/>
                <w:sz w:val="20"/>
                <w:szCs w:val="20"/>
                <w:lang w:eastAsia="en-ZA"/>
              </w:rPr>
              <w:t>Programme 2</w:t>
            </w:r>
          </w:p>
        </w:tc>
        <w:tc>
          <w:tcPr>
            <w:tcW w:w="2254" w:type="dxa"/>
          </w:tcPr>
          <w:p w:rsidR="00073412" w:rsidRPr="0030354F" w:rsidRDefault="00585BC3" w:rsidP="0030354F">
            <w:pPr>
              <w:contextualSpacing/>
              <w:rPr>
                <w:rFonts w:ascii="Arial" w:eastAsia="Arial" w:hAnsi="Arial" w:cs="Arial"/>
                <w:kern w:val="24"/>
                <w:sz w:val="20"/>
                <w:szCs w:val="20"/>
                <w:lang w:eastAsia="en-ZA"/>
              </w:rPr>
            </w:pPr>
            <w:r w:rsidRPr="0030354F">
              <w:rPr>
                <w:rFonts w:ascii="Arial" w:eastAsia="Arial" w:hAnsi="Arial" w:cs="Arial"/>
                <w:kern w:val="24"/>
                <w:sz w:val="20"/>
                <w:szCs w:val="20"/>
                <w:lang w:eastAsia="en-ZA"/>
              </w:rPr>
              <w:t>462 430</w:t>
            </w:r>
          </w:p>
        </w:tc>
        <w:tc>
          <w:tcPr>
            <w:tcW w:w="2254" w:type="dxa"/>
          </w:tcPr>
          <w:p w:rsidR="00073412" w:rsidRPr="0030354F" w:rsidRDefault="00585BC3" w:rsidP="0030354F">
            <w:pPr>
              <w:contextualSpacing/>
              <w:rPr>
                <w:rFonts w:ascii="Arial" w:eastAsia="Arial" w:hAnsi="Arial" w:cs="Arial"/>
                <w:kern w:val="24"/>
                <w:sz w:val="20"/>
                <w:szCs w:val="20"/>
                <w:lang w:eastAsia="en-ZA"/>
              </w:rPr>
            </w:pPr>
            <w:r w:rsidRPr="0030354F">
              <w:rPr>
                <w:rFonts w:ascii="Arial" w:eastAsia="Arial" w:hAnsi="Arial" w:cs="Arial"/>
                <w:kern w:val="24"/>
                <w:sz w:val="20"/>
                <w:szCs w:val="20"/>
                <w:lang w:eastAsia="en-ZA"/>
              </w:rPr>
              <w:t>456 076</w:t>
            </w:r>
          </w:p>
        </w:tc>
        <w:tc>
          <w:tcPr>
            <w:tcW w:w="2254" w:type="dxa"/>
          </w:tcPr>
          <w:p w:rsidR="00073412" w:rsidRPr="0030354F" w:rsidRDefault="00585BC3" w:rsidP="0030354F">
            <w:pPr>
              <w:contextualSpacing/>
              <w:rPr>
                <w:rFonts w:ascii="Arial" w:eastAsia="Arial" w:hAnsi="Arial" w:cs="Arial"/>
                <w:kern w:val="24"/>
                <w:sz w:val="20"/>
                <w:szCs w:val="20"/>
                <w:lang w:eastAsia="en-ZA"/>
              </w:rPr>
            </w:pPr>
            <w:r w:rsidRPr="0030354F">
              <w:rPr>
                <w:rFonts w:ascii="Arial" w:eastAsia="Arial" w:hAnsi="Arial" w:cs="Arial"/>
                <w:kern w:val="24"/>
                <w:sz w:val="20"/>
                <w:szCs w:val="20"/>
                <w:lang w:eastAsia="en-ZA"/>
              </w:rPr>
              <w:t>6 354</w:t>
            </w:r>
          </w:p>
        </w:tc>
      </w:tr>
      <w:tr w:rsidR="00073412" w:rsidRPr="0030354F" w:rsidTr="00073412">
        <w:tc>
          <w:tcPr>
            <w:tcW w:w="2254" w:type="dxa"/>
          </w:tcPr>
          <w:p w:rsidR="00073412" w:rsidRPr="0030354F" w:rsidRDefault="00585BC3" w:rsidP="0030354F">
            <w:pPr>
              <w:contextualSpacing/>
              <w:rPr>
                <w:rFonts w:ascii="Arial" w:eastAsia="Arial" w:hAnsi="Arial" w:cs="Arial"/>
                <w:kern w:val="24"/>
                <w:sz w:val="20"/>
                <w:szCs w:val="20"/>
                <w:lang w:eastAsia="en-ZA"/>
              </w:rPr>
            </w:pPr>
            <w:r w:rsidRPr="0030354F">
              <w:rPr>
                <w:rFonts w:ascii="Arial" w:eastAsia="Arial" w:hAnsi="Arial" w:cs="Arial"/>
                <w:kern w:val="24"/>
                <w:sz w:val="20"/>
                <w:szCs w:val="20"/>
                <w:lang w:eastAsia="en-ZA"/>
              </w:rPr>
              <w:t>Programme 3</w:t>
            </w:r>
          </w:p>
        </w:tc>
        <w:tc>
          <w:tcPr>
            <w:tcW w:w="2254" w:type="dxa"/>
          </w:tcPr>
          <w:p w:rsidR="00073412" w:rsidRPr="0030354F" w:rsidRDefault="00585BC3" w:rsidP="0030354F">
            <w:pPr>
              <w:contextualSpacing/>
              <w:rPr>
                <w:rFonts w:ascii="Arial" w:eastAsia="Arial" w:hAnsi="Arial" w:cs="Arial"/>
                <w:kern w:val="24"/>
                <w:sz w:val="20"/>
                <w:szCs w:val="20"/>
                <w:lang w:eastAsia="en-ZA"/>
              </w:rPr>
            </w:pPr>
            <w:r w:rsidRPr="0030354F">
              <w:rPr>
                <w:rFonts w:ascii="Arial" w:eastAsia="Arial" w:hAnsi="Arial" w:cs="Arial"/>
                <w:kern w:val="24"/>
                <w:sz w:val="20"/>
                <w:szCs w:val="20"/>
                <w:lang w:eastAsia="en-ZA"/>
              </w:rPr>
              <w:t>197 099</w:t>
            </w:r>
          </w:p>
        </w:tc>
        <w:tc>
          <w:tcPr>
            <w:tcW w:w="2254" w:type="dxa"/>
          </w:tcPr>
          <w:p w:rsidR="00073412" w:rsidRPr="0030354F" w:rsidRDefault="00585BC3" w:rsidP="0030354F">
            <w:pPr>
              <w:contextualSpacing/>
              <w:rPr>
                <w:rFonts w:ascii="Arial" w:eastAsia="Arial" w:hAnsi="Arial" w:cs="Arial"/>
                <w:kern w:val="24"/>
                <w:sz w:val="20"/>
                <w:szCs w:val="20"/>
                <w:lang w:eastAsia="en-ZA"/>
              </w:rPr>
            </w:pPr>
            <w:r w:rsidRPr="0030354F">
              <w:rPr>
                <w:rFonts w:ascii="Arial" w:eastAsia="Arial" w:hAnsi="Arial" w:cs="Arial"/>
                <w:kern w:val="24"/>
                <w:sz w:val="20"/>
                <w:szCs w:val="20"/>
                <w:lang w:eastAsia="en-ZA"/>
              </w:rPr>
              <w:t>188 106</w:t>
            </w:r>
          </w:p>
        </w:tc>
        <w:tc>
          <w:tcPr>
            <w:tcW w:w="2254" w:type="dxa"/>
          </w:tcPr>
          <w:p w:rsidR="00073412" w:rsidRPr="0030354F" w:rsidRDefault="00585BC3" w:rsidP="0030354F">
            <w:pPr>
              <w:contextualSpacing/>
              <w:rPr>
                <w:rFonts w:ascii="Arial" w:eastAsia="Arial" w:hAnsi="Arial" w:cs="Arial"/>
                <w:kern w:val="24"/>
                <w:sz w:val="20"/>
                <w:szCs w:val="20"/>
                <w:lang w:eastAsia="en-ZA"/>
              </w:rPr>
            </w:pPr>
            <w:r w:rsidRPr="0030354F">
              <w:rPr>
                <w:rFonts w:ascii="Arial" w:eastAsia="Arial" w:hAnsi="Arial" w:cs="Arial"/>
                <w:kern w:val="24"/>
                <w:sz w:val="20"/>
                <w:szCs w:val="20"/>
                <w:lang w:eastAsia="en-ZA"/>
              </w:rPr>
              <w:t>8 993</w:t>
            </w:r>
          </w:p>
        </w:tc>
      </w:tr>
      <w:tr w:rsidR="00073412" w:rsidRPr="0030354F" w:rsidTr="001E776F">
        <w:tc>
          <w:tcPr>
            <w:tcW w:w="2254" w:type="dxa"/>
            <w:shd w:val="clear" w:color="auto" w:fill="BFBFBF" w:themeFill="background1" w:themeFillShade="BF"/>
          </w:tcPr>
          <w:p w:rsidR="00073412" w:rsidRPr="0030354F" w:rsidRDefault="00585BC3" w:rsidP="0030354F">
            <w:pPr>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TOTAL</w:t>
            </w:r>
          </w:p>
        </w:tc>
        <w:tc>
          <w:tcPr>
            <w:tcW w:w="2254" w:type="dxa"/>
            <w:shd w:val="clear" w:color="auto" w:fill="BFBFBF" w:themeFill="background1" w:themeFillShade="BF"/>
          </w:tcPr>
          <w:p w:rsidR="00073412" w:rsidRPr="0030354F" w:rsidRDefault="00585BC3" w:rsidP="0030354F">
            <w:pPr>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1 190 287</w:t>
            </w:r>
          </w:p>
        </w:tc>
        <w:tc>
          <w:tcPr>
            <w:tcW w:w="2254" w:type="dxa"/>
            <w:shd w:val="clear" w:color="auto" w:fill="BFBFBF" w:themeFill="background1" w:themeFillShade="BF"/>
          </w:tcPr>
          <w:p w:rsidR="00073412" w:rsidRPr="0030354F" w:rsidRDefault="00585BC3" w:rsidP="0030354F">
            <w:pPr>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1 185 067</w:t>
            </w:r>
          </w:p>
        </w:tc>
        <w:tc>
          <w:tcPr>
            <w:tcW w:w="2254" w:type="dxa"/>
            <w:shd w:val="clear" w:color="auto" w:fill="BFBFBF" w:themeFill="background1" w:themeFillShade="BF"/>
          </w:tcPr>
          <w:p w:rsidR="00073412" w:rsidRPr="0030354F" w:rsidRDefault="00585BC3" w:rsidP="0030354F">
            <w:pPr>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5 220</w:t>
            </w:r>
          </w:p>
        </w:tc>
      </w:tr>
    </w:tbl>
    <w:p w:rsidR="00073412" w:rsidRPr="0030354F" w:rsidRDefault="001E776F" w:rsidP="0030354F">
      <w:pPr>
        <w:spacing w:after="0" w:line="240" w:lineRule="auto"/>
        <w:contextualSpacing/>
        <w:rPr>
          <w:rFonts w:ascii="Arial" w:eastAsia="Arial" w:hAnsi="Arial" w:cs="Arial"/>
          <w:b/>
          <w:kern w:val="24"/>
          <w:sz w:val="20"/>
          <w:szCs w:val="20"/>
          <w:lang w:eastAsia="en-ZA"/>
        </w:rPr>
      </w:pPr>
      <w:r w:rsidRPr="0030354F">
        <w:rPr>
          <w:rFonts w:ascii="Arial" w:eastAsia="Arial" w:hAnsi="Arial" w:cs="Arial"/>
          <w:b/>
          <w:kern w:val="24"/>
          <w:sz w:val="20"/>
          <w:szCs w:val="20"/>
          <w:lang w:eastAsia="en-ZA"/>
        </w:rPr>
        <w:t>Source: Seda Annual Report (202</w:t>
      </w:r>
      <w:r w:rsidR="00585BC3" w:rsidRPr="0030354F">
        <w:rPr>
          <w:rFonts w:ascii="Arial" w:eastAsia="Arial" w:hAnsi="Arial" w:cs="Arial"/>
          <w:b/>
          <w:kern w:val="24"/>
          <w:sz w:val="20"/>
          <w:szCs w:val="20"/>
          <w:lang w:eastAsia="en-ZA"/>
        </w:rPr>
        <w:t>1/22</w:t>
      </w:r>
      <w:r w:rsidRPr="0030354F">
        <w:rPr>
          <w:rFonts w:ascii="Arial" w:eastAsia="Arial" w:hAnsi="Arial" w:cs="Arial"/>
          <w:b/>
          <w:kern w:val="24"/>
          <w:sz w:val="20"/>
          <w:szCs w:val="20"/>
          <w:lang w:eastAsia="en-ZA"/>
        </w:rPr>
        <w:t>)</w:t>
      </w:r>
    </w:p>
    <w:p w:rsidR="001E776F" w:rsidRPr="0030354F" w:rsidRDefault="001E776F" w:rsidP="0030354F">
      <w:pPr>
        <w:spacing w:after="0" w:line="240" w:lineRule="auto"/>
        <w:contextualSpacing/>
        <w:rPr>
          <w:rFonts w:ascii="Arial" w:eastAsia="Arial" w:hAnsi="Arial" w:cs="Arial"/>
          <w:kern w:val="24"/>
          <w:sz w:val="20"/>
          <w:szCs w:val="20"/>
          <w:lang w:eastAsia="en-ZA"/>
        </w:rPr>
      </w:pPr>
    </w:p>
    <w:p w:rsidR="00585BC3" w:rsidRPr="0030354F" w:rsidRDefault="00585BC3"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hAnsi="Arial" w:cs="Arial"/>
          <w:sz w:val="20"/>
          <w:szCs w:val="20"/>
          <w:lang w:val="en-US"/>
        </w:rPr>
        <w:t xml:space="preserve">The 93 percent increase in spending as compared to the previous year was due to the approved surplus by the National Treasury and a decrease in spending on general administrative activities such as travelling and face-to-face stakeholder engagement projects, which were impacted by lockdown restrictions due to the Covid-19 pandemic. The financial resource constraints due to budget cut over the </w:t>
      </w:r>
      <w:r w:rsidR="009B7C70" w:rsidRPr="0030354F">
        <w:rPr>
          <w:rFonts w:ascii="Arial" w:hAnsi="Arial" w:cs="Arial"/>
          <w:sz w:val="20"/>
          <w:szCs w:val="20"/>
          <w:lang w:val="en-US"/>
        </w:rPr>
        <w:t>Medium Term Expenditure Framework (MTEF)</w:t>
      </w:r>
      <w:r w:rsidRPr="0030354F">
        <w:rPr>
          <w:rFonts w:ascii="Arial" w:hAnsi="Arial" w:cs="Arial"/>
          <w:sz w:val="20"/>
          <w:szCs w:val="20"/>
          <w:lang w:val="en-US"/>
        </w:rPr>
        <w:t xml:space="preserve"> period had adverse impact on the implementation of some projects. This ultimately impacted some projects with a high propensity to deliver impact whilst they require substantial investments from the organisation. Some of these projects include technology transfer programme which mainly assists manufacturing businesses with the purchase of advanced production equipments.</w:t>
      </w:r>
    </w:p>
    <w:p w:rsidR="00042B4F" w:rsidRPr="0030354F" w:rsidRDefault="00F35ED7" w:rsidP="0030354F">
      <w:pPr>
        <w:spacing w:after="0" w:line="240" w:lineRule="auto"/>
        <w:contextualSpacing/>
        <w:rPr>
          <w:rFonts w:ascii="Arial" w:hAnsi="Arial" w:cs="Arial"/>
          <w:b/>
          <w:sz w:val="20"/>
          <w:szCs w:val="20"/>
          <w:lang w:val="en-GB"/>
        </w:rPr>
      </w:pPr>
      <w:r w:rsidRPr="0030354F">
        <w:rPr>
          <w:rFonts w:ascii="Arial" w:hAnsi="Arial" w:cs="Arial"/>
          <w:b/>
          <w:sz w:val="20"/>
          <w:szCs w:val="20"/>
          <w:lang w:val="en-GB"/>
        </w:rPr>
        <w:t>5</w:t>
      </w:r>
      <w:r w:rsidR="00042B4F" w:rsidRPr="0030354F">
        <w:rPr>
          <w:rFonts w:ascii="Arial" w:hAnsi="Arial" w:cs="Arial"/>
          <w:b/>
          <w:sz w:val="20"/>
          <w:szCs w:val="20"/>
          <w:lang w:val="en-GB"/>
        </w:rPr>
        <w:t>.2</w:t>
      </w:r>
      <w:r w:rsidR="00042B4F" w:rsidRPr="0030354F">
        <w:rPr>
          <w:rFonts w:ascii="Arial" w:hAnsi="Arial" w:cs="Arial"/>
          <w:b/>
          <w:sz w:val="20"/>
          <w:szCs w:val="20"/>
          <w:lang w:val="en-GB"/>
        </w:rPr>
        <w:tab/>
        <w:t>Small Enterprise Finance Agency</w:t>
      </w:r>
    </w:p>
    <w:p w:rsidR="006B547A" w:rsidRPr="0030354F" w:rsidRDefault="00250B53"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rPr>
        <w:t xml:space="preserve">Small Enterprise Finance Agency is an agency of the Department of Small Business Development entrusted with the responsibility to champion access to finance for small enterprises. Sefa’s loan financing programmes primarily focus on black entrepreneurs, women, youth, entrepreneurs with disabilities, enterprises in rural communities and townships, and Military Veterans. </w:t>
      </w:r>
      <w:r w:rsidR="006B547A" w:rsidRPr="0030354F">
        <w:rPr>
          <w:rFonts w:ascii="Arial" w:hAnsi="Arial" w:cs="Arial"/>
          <w:sz w:val="20"/>
          <w:szCs w:val="20"/>
        </w:rPr>
        <w:t xml:space="preserve">Accelerating financial inclusion for SMMEs remains critical in helping the South African economy to develop and grow. During the 2021/22 financial year, </w:t>
      </w:r>
      <w:r w:rsidR="006B547A" w:rsidRPr="0030354F">
        <w:rPr>
          <w:rFonts w:ascii="Arial" w:hAnsi="Arial" w:cs="Arial"/>
          <w:bCs/>
          <w:sz w:val="20"/>
          <w:szCs w:val="20"/>
        </w:rPr>
        <w:t>Sefa strove</w:t>
      </w:r>
      <w:r w:rsidR="006B547A" w:rsidRPr="0030354F">
        <w:rPr>
          <w:rFonts w:ascii="Arial" w:hAnsi="Arial" w:cs="Arial"/>
          <w:b/>
          <w:bCs/>
          <w:sz w:val="20"/>
          <w:szCs w:val="20"/>
        </w:rPr>
        <w:t xml:space="preserve"> </w:t>
      </w:r>
      <w:r w:rsidR="006B547A" w:rsidRPr="0030354F">
        <w:rPr>
          <w:rFonts w:ascii="Arial" w:hAnsi="Arial" w:cs="Arial"/>
          <w:sz w:val="20"/>
          <w:szCs w:val="20"/>
        </w:rPr>
        <w:t xml:space="preserve">to increase diversity in its intermediary base and sought to increase the capacity of black-owned financial institutions that it works </w:t>
      </w:r>
      <w:r w:rsidR="00806B56" w:rsidRPr="0030354F">
        <w:rPr>
          <w:rFonts w:ascii="Arial" w:hAnsi="Arial" w:cs="Arial"/>
          <w:sz w:val="20"/>
          <w:szCs w:val="20"/>
        </w:rPr>
        <w:t>with. In</w:t>
      </w:r>
      <w:r w:rsidR="006B547A" w:rsidRPr="0030354F">
        <w:rPr>
          <w:rFonts w:ascii="Arial" w:hAnsi="Arial" w:cs="Arial"/>
          <w:sz w:val="20"/>
          <w:szCs w:val="20"/>
        </w:rPr>
        <w:t xml:space="preserve"> carrying its mandate, the agency is mindful that access to capital remains one of the primary challenges facing SMMEs and co-operatives. </w:t>
      </w:r>
    </w:p>
    <w:p w:rsidR="006B547A" w:rsidRPr="0030354F" w:rsidRDefault="006B547A" w:rsidP="0030354F">
      <w:pPr>
        <w:autoSpaceDE w:val="0"/>
        <w:autoSpaceDN w:val="0"/>
        <w:adjustRightInd w:val="0"/>
        <w:spacing w:after="0" w:line="240" w:lineRule="auto"/>
        <w:contextualSpacing/>
        <w:rPr>
          <w:rFonts w:ascii="Arial" w:hAnsi="Arial" w:cs="Arial"/>
          <w:sz w:val="20"/>
          <w:szCs w:val="20"/>
        </w:rPr>
      </w:pPr>
    </w:p>
    <w:p w:rsidR="006B547A" w:rsidRPr="0030354F" w:rsidRDefault="006B547A"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rPr>
        <w:t xml:space="preserve">As a result, during the period under review, </w:t>
      </w:r>
      <w:r w:rsidRPr="0030354F">
        <w:rPr>
          <w:rFonts w:ascii="Arial" w:hAnsi="Arial" w:cs="Arial"/>
          <w:bCs/>
          <w:sz w:val="20"/>
          <w:szCs w:val="20"/>
        </w:rPr>
        <w:t>Sefa</w:t>
      </w:r>
      <w:r w:rsidRPr="0030354F">
        <w:rPr>
          <w:rFonts w:ascii="Arial" w:hAnsi="Arial" w:cs="Arial"/>
          <w:b/>
          <w:bCs/>
          <w:sz w:val="20"/>
          <w:szCs w:val="20"/>
        </w:rPr>
        <w:t xml:space="preserve"> </w:t>
      </w:r>
      <w:r w:rsidRPr="0030354F">
        <w:rPr>
          <w:rFonts w:ascii="Arial" w:hAnsi="Arial" w:cs="Arial"/>
          <w:sz w:val="20"/>
          <w:szCs w:val="20"/>
        </w:rPr>
        <w:t>continued to reimagine and modernise its lending processes, so that it can take advantage of new opportunities for financing SMMEs and capture more of the forecast growth. The agency approved loans to the value of R2,4 billion representing 116 percent of the annual target and disbursed R2,3</w:t>
      </w:r>
      <w:r w:rsidR="009B7C70" w:rsidRPr="0030354F">
        <w:rPr>
          <w:rFonts w:ascii="Arial" w:hAnsi="Arial" w:cs="Arial"/>
          <w:sz w:val="20"/>
          <w:szCs w:val="20"/>
        </w:rPr>
        <w:t xml:space="preserve"> </w:t>
      </w:r>
      <w:r w:rsidRPr="0030354F">
        <w:rPr>
          <w:rFonts w:ascii="Arial" w:hAnsi="Arial" w:cs="Arial"/>
          <w:sz w:val="20"/>
          <w:szCs w:val="20"/>
        </w:rPr>
        <w:t>billion into the economy representing 86 percent of the annual disbursement target for the year. The finance supported 76 129 businesses and facilitated 96 589 jobs in the economy. The number of businesses supported represented 40 percent of the target and 46 percent of jobs target.</w:t>
      </w:r>
    </w:p>
    <w:p w:rsidR="00250B53" w:rsidRPr="0030354F" w:rsidRDefault="00250B53" w:rsidP="0030354F">
      <w:pPr>
        <w:spacing w:after="0" w:line="240" w:lineRule="auto"/>
        <w:contextualSpacing/>
        <w:rPr>
          <w:rFonts w:ascii="Arial" w:hAnsi="Arial" w:cs="Arial"/>
          <w:sz w:val="20"/>
          <w:szCs w:val="20"/>
        </w:rPr>
      </w:pPr>
    </w:p>
    <w:p w:rsidR="00771717" w:rsidRPr="0030354F" w:rsidRDefault="008C5912" w:rsidP="0030354F">
      <w:pPr>
        <w:autoSpaceDE w:val="0"/>
        <w:autoSpaceDN w:val="0"/>
        <w:adjustRightInd w:val="0"/>
        <w:spacing w:after="0" w:line="240" w:lineRule="auto"/>
        <w:contextualSpacing/>
        <w:rPr>
          <w:rFonts w:ascii="Arial" w:hAnsi="Arial" w:cs="Arial"/>
          <w:b/>
          <w:bCs/>
          <w:sz w:val="20"/>
          <w:szCs w:val="20"/>
        </w:rPr>
      </w:pPr>
      <w:r w:rsidRPr="0030354F">
        <w:rPr>
          <w:rFonts w:ascii="Arial" w:hAnsi="Arial" w:cs="Arial"/>
          <w:b/>
          <w:bCs/>
          <w:sz w:val="20"/>
          <w:szCs w:val="20"/>
        </w:rPr>
        <w:t>5.2.1</w:t>
      </w:r>
      <w:r w:rsidRPr="0030354F">
        <w:rPr>
          <w:rFonts w:ascii="Arial" w:hAnsi="Arial" w:cs="Arial"/>
          <w:b/>
          <w:bCs/>
          <w:sz w:val="20"/>
          <w:szCs w:val="20"/>
        </w:rPr>
        <w:tab/>
      </w:r>
      <w:r w:rsidR="00806B56" w:rsidRPr="0030354F">
        <w:rPr>
          <w:rFonts w:ascii="Arial" w:hAnsi="Arial" w:cs="Arial"/>
          <w:b/>
          <w:bCs/>
          <w:sz w:val="20"/>
          <w:szCs w:val="20"/>
        </w:rPr>
        <w:t xml:space="preserve">Service </w:t>
      </w:r>
      <w:r w:rsidR="008D0150" w:rsidRPr="0030354F">
        <w:rPr>
          <w:rFonts w:ascii="Arial" w:hAnsi="Arial" w:cs="Arial"/>
          <w:b/>
          <w:bCs/>
          <w:sz w:val="20"/>
          <w:szCs w:val="20"/>
        </w:rPr>
        <w:t xml:space="preserve">Delivery Channels </w:t>
      </w:r>
    </w:p>
    <w:p w:rsidR="00912FCE" w:rsidRPr="0030354F" w:rsidRDefault="00806B56"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bCs/>
          <w:sz w:val="20"/>
          <w:szCs w:val="20"/>
        </w:rPr>
        <w:t>The Sefa l</w:t>
      </w:r>
      <w:r w:rsidRPr="0030354F">
        <w:rPr>
          <w:rFonts w:ascii="Arial" w:hAnsi="Arial" w:cs="Arial"/>
          <w:sz w:val="20"/>
          <w:szCs w:val="20"/>
        </w:rPr>
        <w:t>ending operations comprise of the following channels - Micro Finance Institutions</w:t>
      </w:r>
      <w:r w:rsidR="00E563B4" w:rsidRPr="0030354F">
        <w:rPr>
          <w:rFonts w:ascii="Arial" w:hAnsi="Arial" w:cs="Arial"/>
          <w:sz w:val="20"/>
          <w:szCs w:val="20"/>
        </w:rPr>
        <w:t xml:space="preserve"> (MFIs)</w:t>
      </w:r>
      <w:r w:rsidRPr="0030354F">
        <w:rPr>
          <w:rFonts w:ascii="Arial" w:hAnsi="Arial" w:cs="Arial"/>
          <w:sz w:val="20"/>
          <w:szCs w:val="20"/>
        </w:rPr>
        <w:t>, SM</w:t>
      </w:r>
      <w:r w:rsidR="00E563B4" w:rsidRPr="0030354F">
        <w:rPr>
          <w:rFonts w:ascii="Arial" w:hAnsi="Arial" w:cs="Arial"/>
          <w:sz w:val="20"/>
          <w:szCs w:val="20"/>
        </w:rPr>
        <w:t>M</w:t>
      </w:r>
      <w:r w:rsidRPr="0030354F">
        <w:rPr>
          <w:rFonts w:ascii="Arial" w:hAnsi="Arial" w:cs="Arial"/>
          <w:sz w:val="20"/>
          <w:szCs w:val="20"/>
        </w:rPr>
        <w:t xml:space="preserve">E Wholesale and Retail Financial Intermediaries, Joint Ventures and Khula Credit Guarantee via the commercial banks and trade credit suppliers. </w:t>
      </w:r>
      <w:r w:rsidR="00912FCE" w:rsidRPr="0030354F">
        <w:rPr>
          <w:rFonts w:ascii="Arial" w:hAnsi="Arial" w:cs="Arial"/>
          <w:bCs/>
          <w:sz w:val="20"/>
          <w:szCs w:val="20"/>
        </w:rPr>
        <w:t>Sefa</w:t>
      </w:r>
      <w:r w:rsidR="00912FCE" w:rsidRPr="0030354F">
        <w:rPr>
          <w:rFonts w:ascii="Arial" w:hAnsi="Arial" w:cs="Arial"/>
          <w:b/>
          <w:bCs/>
          <w:sz w:val="20"/>
          <w:szCs w:val="20"/>
        </w:rPr>
        <w:t xml:space="preserve"> </w:t>
      </w:r>
      <w:r w:rsidR="00912FCE" w:rsidRPr="0030354F">
        <w:rPr>
          <w:rFonts w:ascii="Arial" w:hAnsi="Arial" w:cs="Arial"/>
          <w:sz w:val="20"/>
          <w:szCs w:val="20"/>
        </w:rPr>
        <w:t>microfinance distribution channel is made up of Direct Lending and Mi</w:t>
      </w:r>
      <w:r w:rsidR="00E563B4" w:rsidRPr="0030354F">
        <w:rPr>
          <w:rFonts w:ascii="Arial" w:hAnsi="Arial" w:cs="Arial"/>
          <w:sz w:val="20"/>
          <w:szCs w:val="20"/>
        </w:rPr>
        <w:t xml:space="preserve">cro Finance Institutions </w:t>
      </w:r>
      <w:r w:rsidR="00912FCE" w:rsidRPr="0030354F">
        <w:rPr>
          <w:rFonts w:ascii="Arial" w:hAnsi="Arial" w:cs="Arial"/>
          <w:sz w:val="20"/>
          <w:szCs w:val="20"/>
        </w:rPr>
        <w:t xml:space="preserve">accessing wholesale facilities and then lending to informal and micro enterprises in accordance with the National Credit Act. Sefa reported </w:t>
      </w:r>
      <w:r w:rsidR="00E563B4" w:rsidRPr="0030354F">
        <w:rPr>
          <w:rFonts w:ascii="Arial" w:hAnsi="Arial" w:cs="Arial"/>
          <w:sz w:val="20"/>
          <w:szCs w:val="20"/>
        </w:rPr>
        <w:t xml:space="preserve">that </w:t>
      </w:r>
      <w:r w:rsidR="00912FCE" w:rsidRPr="0030354F">
        <w:rPr>
          <w:rFonts w:ascii="Arial" w:hAnsi="Arial" w:cs="Arial"/>
          <w:sz w:val="20"/>
          <w:szCs w:val="20"/>
        </w:rPr>
        <w:t xml:space="preserve">due to Covid-19 pandemic the demand within these MFIs declined significantly. In the 2021/22 financial year, </w:t>
      </w:r>
      <w:r w:rsidR="00912FCE" w:rsidRPr="0030354F">
        <w:rPr>
          <w:rFonts w:ascii="Arial" w:hAnsi="Arial" w:cs="Arial"/>
          <w:bCs/>
          <w:sz w:val="20"/>
          <w:szCs w:val="20"/>
        </w:rPr>
        <w:t xml:space="preserve">Sefa </w:t>
      </w:r>
      <w:r w:rsidR="00912FCE" w:rsidRPr="0030354F">
        <w:rPr>
          <w:rFonts w:ascii="Arial" w:hAnsi="Arial" w:cs="Arial"/>
          <w:sz w:val="20"/>
          <w:szCs w:val="20"/>
        </w:rPr>
        <w:t>supported informal and microenterprises in eight of the nine provinces. Economy is recuperating from turbulent years of the pandemic. The agency managed to grow its loan book to R3.4 bil</w:t>
      </w:r>
      <w:r w:rsidR="00E563B4" w:rsidRPr="0030354F">
        <w:rPr>
          <w:rFonts w:ascii="Arial" w:hAnsi="Arial" w:cs="Arial"/>
          <w:sz w:val="20"/>
          <w:szCs w:val="20"/>
        </w:rPr>
        <w:t xml:space="preserve">lion from R2.5 billion in 2021. </w:t>
      </w:r>
      <w:r w:rsidR="00912FCE" w:rsidRPr="0030354F">
        <w:rPr>
          <w:rFonts w:ascii="Arial" w:hAnsi="Arial" w:cs="Arial"/>
          <w:sz w:val="20"/>
          <w:szCs w:val="20"/>
        </w:rPr>
        <w:t>Th</w:t>
      </w:r>
      <w:r w:rsidR="00E563B4" w:rsidRPr="0030354F">
        <w:rPr>
          <w:rFonts w:ascii="Arial" w:hAnsi="Arial" w:cs="Arial"/>
          <w:sz w:val="20"/>
          <w:szCs w:val="20"/>
        </w:rPr>
        <w:t>is reflects 36 percent growth that is</w:t>
      </w:r>
      <w:r w:rsidR="00912FCE" w:rsidRPr="0030354F">
        <w:rPr>
          <w:rFonts w:ascii="Arial" w:hAnsi="Arial" w:cs="Arial"/>
          <w:sz w:val="20"/>
          <w:szCs w:val="20"/>
        </w:rPr>
        <w:t xml:space="preserve"> mainly driven by Direct Lending at R2 billion from R1.3 billion </w:t>
      </w:r>
      <w:r w:rsidR="00E563B4" w:rsidRPr="0030354F">
        <w:rPr>
          <w:rFonts w:ascii="Arial" w:hAnsi="Arial" w:cs="Arial"/>
          <w:sz w:val="20"/>
          <w:szCs w:val="20"/>
        </w:rPr>
        <w:t xml:space="preserve">in </w:t>
      </w:r>
      <w:r w:rsidR="00912FCE" w:rsidRPr="0030354F">
        <w:rPr>
          <w:rFonts w:ascii="Arial" w:hAnsi="Arial" w:cs="Arial"/>
          <w:sz w:val="20"/>
          <w:szCs w:val="20"/>
        </w:rPr>
        <w:t xml:space="preserve">2020/21 financial year. Whilst the Wholesale Lending book also grew from </w:t>
      </w:r>
      <w:r w:rsidR="00912FCE" w:rsidRPr="0030354F">
        <w:rPr>
          <w:rFonts w:ascii="Arial" w:hAnsi="Arial" w:cs="Arial"/>
          <w:sz w:val="20"/>
          <w:szCs w:val="20"/>
        </w:rPr>
        <w:lastRenderedPageBreak/>
        <w:t xml:space="preserve">R1.2 billin during 2020/21 financial year to R1.4 billion during the period under consideration. Total approvals grew by 32 percent year on year at R2.5 billion </w:t>
      </w:r>
      <w:r w:rsidR="009B7C70" w:rsidRPr="0030354F">
        <w:rPr>
          <w:rFonts w:ascii="Arial" w:hAnsi="Arial" w:cs="Arial"/>
          <w:sz w:val="20"/>
          <w:szCs w:val="20"/>
        </w:rPr>
        <w:t>from 1.9 billion during the previous financial year. W</w:t>
      </w:r>
      <w:r w:rsidR="00912FCE" w:rsidRPr="0030354F">
        <w:rPr>
          <w:rFonts w:ascii="Arial" w:hAnsi="Arial" w:cs="Arial"/>
          <w:sz w:val="20"/>
          <w:szCs w:val="20"/>
        </w:rPr>
        <w:t>hilst total disbursements grew</w:t>
      </w:r>
      <w:r w:rsidR="009B7C70" w:rsidRPr="0030354F">
        <w:rPr>
          <w:rFonts w:ascii="Arial" w:hAnsi="Arial" w:cs="Arial"/>
          <w:sz w:val="20"/>
          <w:szCs w:val="20"/>
        </w:rPr>
        <w:t xml:space="preserve"> by</w:t>
      </w:r>
      <w:r w:rsidR="00912FCE" w:rsidRPr="0030354F">
        <w:rPr>
          <w:rFonts w:ascii="Arial" w:hAnsi="Arial" w:cs="Arial"/>
          <w:sz w:val="20"/>
          <w:szCs w:val="20"/>
        </w:rPr>
        <w:t xml:space="preserve"> 44 percent year on year from R1.6 billion to R2.3 billion. This noteworthy performance was achieved notwithstanding capacity limitations linked to the pending merger.</w:t>
      </w:r>
    </w:p>
    <w:p w:rsidR="009E6EF1" w:rsidRPr="0030354F" w:rsidRDefault="009E6EF1" w:rsidP="0030354F">
      <w:pPr>
        <w:spacing w:after="0" w:line="240" w:lineRule="auto"/>
        <w:contextualSpacing/>
        <w:rPr>
          <w:rFonts w:ascii="Arial" w:hAnsi="Arial" w:cs="Arial"/>
          <w:sz w:val="20"/>
          <w:szCs w:val="20"/>
        </w:rPr>
      </w:pPr>
    </w:p>
    <w:p w:rsidR="008D0150" w:rsidRPr="0030354F" w:rsidRDefault="00912FCE" w:rsidP="0030354F">
      <w:pPr>
        <w:spacing w:after="0" w:line="240" w:lineRule="auto"/>
        <w:contextualSpacing/>
        <w:rPr>
          <w:rFonts w:ascii="Arial" w:hAnsi="Arial" w:cs="Arial"/>
          <w:b/>
          <w:sz w:val="20"/>
          <w:szCs w:val="20"/>
        </w:rPr>
      </w:pPr>
      <w:r w:rsidRPr="0030354F">
        <w:rPr>
          <w:rFonts w:ascii="Arial" w:hAnsi="Arial" w:cs="Arial"/>
          <w:b/>
          <w:sz w:val="20"/>
          <w:szCs w:val="20"/>
        </w:rPr>
        <w:t>5.2.1.1</w:t>
      </w:r>
      <w:r w:rsidRPr="0030354F">
        <w:rPr>
          <w:rFonts w:ascii="Arial" w:hAnsi="Arial" w:cs="Arial"/>
          <w:b/>
          <w:sz w:val="20"/>
          <w:szCs w:val="20"/>
        </w:rPr>
        <w:tab/>
        <w:t>Wholesale Lending</w:t>
      </w:r>
    </w:p>
    <w:p w:rsidR="00806B56" w:rsidRPr="0030354F" w:rsidRDefault="00806B56"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rPr>
        <w:t>As one of Sefa main distribution channels of deploying funding into the economy, the Small and Medium Enterprises (SME) Wholesale Lending Division deploys funding to retail financial intermediaries and specialised funds with the objective of increasing access to finance to SM</w:t>
      </w:r>
      <w:r w:rsidR="00E563B4" w:rsidRPr="0030354F">
        <w:rPr>
          <w:rFonts w:ascii="Arial" w:hAnsi="Arial" w:cs="Arial"/>
          <w:sz w:val="20"/>
          <w:szCs w:val="20"/>
        </w:rPr>
        <w:t>M</w:t>
      </w:r>
      <w:r w:rsidRPr="0030354F">
        <w:rPr>
          <w:rFonts w:ascii="Arial" w:hAnsi="Arial" w:cs="Arial"/>
          <w:sz w:val="20"/>
          <w:szCs w:val="20"/>
        </w:rPr>
        <w:t xml:space="preserve">Es. To supplement this objective, Sefa also enters </w:t>
      </w:r>
      <w:r w:rsidR="00E563B4" w:rsidRPr="0030354F">
        <w:rPr>
          <w:rFonts w:ascii="Arial" w:hAnsi="Arial" w:cs="Arial"/>
          <w:sz w:val="20"/>
          <w:szCs w:val="20"/>
        </w:rPr>
        <w:t xml:space="preserve">into </w:t>
      </w:r>
      <w:r w:rsidRPr="0030354F">
        <w:rPr>
          <w:rFonts w:ascii="Arial" w:hAnsi="Arial" w:cs="Arial"/>
          <w:sz w:val="20"/>
          <w:szCs w:val="20"/>
        </w:rPr>
        <w:t>joint ventures and other strategic partnerships in order to crowd-in financial and business support as well as technical resources of the public and private sector strategic partners. The S</w:t>
      </w:r>
      <w:r w:rsidR="00E563B4" w:rsidRPr="0030354F">
        <w:rPr>
          <w:rFonts w:ascii="Arial" w:hAnsi="Arial" w:cs="Arial"/>
          <w:sz w:val="20"/>
          <w:szCs w:val="20"/>
        </w:rPr>
        <w:t>M</w:t>
      </w:r>
      <w:r w:rsidRPr="0030354F">
        <w:rPr>
          <w:rFonts w:ascii="Arial" w:hAnsi="Arial" w:cs="Arial"/>
          <w:sz w:val="20"/>
          <w:szCs w:val="20"/>
        </w:rPr>
        <w:t>ME Wholesale programme is a significant contributor to Sefa loa</w:t>
      </w:r>
      <w:r w:rsidR="00E563B4" w:rsidRPr="0030354F">
        <w:rPr>
          <w:rFonts w:ascii="Arial" w:hAnsi="Arial" w:cs="Arial"/>
          <w:sz w:val="20"/>
          <w:szCs w:val="20"/>
        </w:rPr>
        <w:t>n book performance, with R361</w:t>
      </w:r>
      <w:r w:rsidRPr="0030354F">
        <w:rPr>
          <w:rFonts w:ascii="Arial" w:hAnsi="Arial" w:cs="Arial"/>
          <w:sz w:val="20"/>
          <w:szCs w:val="20"/>
        </w:rPr>
        <w:t xml:space="preserve"> million ap</w:t>
      </w:r>
      <w:r w:rsidR="00E563B4" w:rsidRPr="0030354F">
        <w:rPr>
          <w:rFonts w:ascii="Arial" w:hAnsi="Arial" w:cs="Arial"/>
          <w:sz w:val="20"/>
          <w:szCs w:val="20"/>
        </w:rPr>
        <w:t xml:space="preserve">proved to 12 new intermediaries during </w:t>
      </w:r>
      <w:r w:rsidRPr="0030354F">
        <w:rPr>
          <w:rFonts w:ascii="Arial" w:hAnsi="Arial" w:cs="Arial"/>
          <w:sz w:val="20"/>
          <w:szCs w:val="20"/>
        </w:rPr>
        <w:t>2021/22 financial year while R5</w:t>
      </w:r>
      <w:r w:rsidR="00E563B4" w:rsidRPr="0030354F">
        <w:rPr>
          <w:rFonts w:ascii="Arial" w:hAnsi="Arial" w:cs="Arial"/>
          <w:sz w:val="20"/>
          <w:szCs w:val="20"/>
        </w:rPr>
        <w:t>70</w:t>
      </w:r>
      <w:r w:rsidRPr="0030354F">
        <w:rPr>
          <w:rFonts w:ascii="Arial" w:hAnsi="Arial" w:cs="Arial"/>
          <w:sz w:val="20"/>
          <w:szCs w:val="20"/>
        </w:rPr>
        <w:t xml:space="preserve"> million was disbursed by intermediaries to SMMEs between A</w:t>
      </w:r>
      <w:r w:rsidR="00E563B4" w:rsidRPr="0030354F">
        <w:rPr>
          <w:rFonts w:ascii="Arial" w:hAnsi="Arial" w:cs="Arial"/>
          <w:sz w:val="20"/>
          <w:szCs w:val="20"/>
        </w:rPr>
        <w:t xml:space="preserve">pril 2021 and March 2022. </w:t>
      </w:r>
    </w:p>
    <w:p w:rsidR="00912FCE" w:rsidRPr="0030354F" w:rsidRDefault="00912FCE" w:rsidP="0030354F">
      <w:pPr>
        <w:spacing w:after="0" w:line="240" w:lineRule="auto"/>
        <w:contextualSpacing/>
        <w:rPr>
          <w:rFonts w:ascii="Arial" w:hAnsi="Arial" w:cs="Arial"/>
          <w:sz w:val="20"/>
          <w:szCs w:val="20"/>
        </w:rPr>
      </w:pPr>
    </w:p>
    <w:p w:rsidR="00806B56" w:rsidRPr="0030354F" w:rsidRDefault="00806B56" w:rsidP="0030354F">
      <w:pPr>
        <w:spacing w:after="0" w:line="240" w:lineRule="auto"/>
        <w:contextualSpacing/>
        <w:rPr>
          <w:rFonts w:ascii="Arial" w:hAnsi="Arial" w:cs="Arial"/>
          <w:b/>
          <w:sz w:val="20"/>
          <w:szCs w:val="20"/>
        </w:rPr>
      </w:pPr>
      <w:r w:rsidRPr="0030354F">
        <w:rPr>
          <w:rFonts w:ascii="Arial" w:hAnsi="Arial" w:cs="Arial"/>
          <w:b/>
          <w:sz w:val="20"/>
          <w:szCs w:val="20"/>
        </w:rPr>
        <w:t>5.2.1.2</w:t>
      </w:r>
      <w:r w:rsidRPr="0030354F">
        <w:rPr>
          <w:rFonts w:ascii="Arial" w:hAnsi="Arial" w:cs="Arial"/>
          <w:b/>
          <w:sz w:val="20"/>
          <w:szCs w:val="20"/>
        </w:rPr>
        <w:tab/>
        <w:t>Micro-Finance Institutions</w:t>
      </w:r>
    </w:p>
    <w:p w:rsidR="00806B56" w:rsidRPr="0030354F" w:rsidRDefault="00806B56"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hAnsi="Arial" w:cs="Arial"/>
          <w:sz w:val="20"/>
          <w:szCs w:val="20"/>
          <w:lang w:val="en-US"/>
        </w:rPr>
        <w:t>In the financial years preceding 2021/22, Sefa ability to implement an effective microfinance strategy w</w:t>
      </w:r>
      <w:r w:rsidR="00E563B4" w:rsidRPr="0030354F">
        <w:rPr>
          <w:rFonts w:ascii="Arial" w:hAnsi="Arial" w:cs="Arial"/>
          <w:sz w:val="20"/>
          <w:szCs w:val="20"/>
          <w:lang w:val="en-US"/>
        </w:rPr>
        <w:t>as</w:t>
      </w:r>
      <w:r w:rsidRPr="0030354F">
        <w:rPr>
          <w:rFonts w:ascii="Arial" w:hAnsi="Arial" w:cs="Arial"/>
          <w:sz w:val="20"/>
          <w:szCs w:val="20"/>
          <w:lang w:val="en-US"/>
        </w:rPr>
        <w:t xml:space="preserve"> significantly hampered by a lack of internal staff capacity in Sefa and the absence of developmental microfinance institutions geared to micro entrepreneurs. </w:t>
      </w:r>
      <w:r w:rsidRPr="0030354F">
        <w:rPr>
          <w:rFonts w:ascii="Arial" w:hAnsi="Arial" w:cs="Arial"/>
          <w:bCs/>
          <w:sz w:val="20"/>
          <w:szCs w:val="20"/>
          <w:lang w:val="en-US"/>
        </w:rPr>
        <w:t>Sefa w</w:t>
      </w:r>
      <w:r w:rsidRPr="0030354F">
        <w:rPr>
          <w:rFonts w:ascii="Arial" w:hAnsi="Arial" w:cs="Arial"/>
          <w:sz w:val="20"/>
          <w:szCs w:val="20"/>
          <w:lang w:val="en-US"/>
        </w:rPr>
        <w:t xml:space="preserve">as still primarily depended on two large microfinance institutions (MFIs), namely Small Enterprises Foundation (SEF) and Phakamani Foundation as retail partners. During this year the relationship with these partners was stabilised and long-term funding agreements were settled and the impact expectations with these partners were set in place. The role of the Microfinance Unit is to facilitate and increase access to finance and reduce the cost of end-user financing to informal and micro enterprises, with targeted rural, peri urban and township areas as a focal point. </w:t>
      </w:r>
    </w:p>
    <w:p w:rsidR="00806B56" w:rsidRPr="0030354F" w:rsidRDefault="00806B56" w:rsidP="0030354F">
      <w:pPr>
        <w:autoSpaceDE w:val="0"/>
        <w:autoSpaceDN w:val="0"/>
        <w:adjustRightInd w:val="0"/>
        <w:spacing w:after="0" w:line="240" w:lineRule="auto"/>
        <w:contextualSpacing/>
        <w:rPr>
          <w:rFonts w:ascii="Arial" w:hAnsi="Arial" w:cs="Arial"/>
          <w:sz w:val="20"/>
          <w:szCs w:val="20"/>
        </w:rPr>
      </w:pPr>
    </w:p>
    <w:p w:rsidR="00806B56" w:rsidRPr="0030354F" w:rsidRDefault="00806B56" w:rsidP="0030354F">
      <w:pPr>
        <w:autoSpaceDE w:val="0"/>
        <w:autoSpaceDN w:val="0"/>
        <w:adjustRightInd w:val="0"/>
        <w:spacing w:after="0" w:line="240" w:lineRule="auto"/>
        <w:contextualSpacing/>
        <w:rPr>
          <w:rFonts w:ascii="Arial" w:hAnsi="Arial" w:cs="Arial"/>
          <w:b/>
          <w:sz w:val="20"/>
          <w:szCs w:val="20"/>
          <w:lang w:val="en-US"/>
        </w:rPr>
      </w:pPr>
      <w:r w:rsidRPr="0030354F">
        <w:rPr>
          <w:rFonts w:ascii="Arial" w:hAnsi="Arial" w:cs="Arial"/>
          <w:b/>
          <w:sz w:val="20"/>
          <w:szCs w:val="20"/>
          <w:lang w:val="en-US"/>
        </w:rPr>
        <w:t>5.2.1.3</w:t>
      </w:r>
      <w:r w:rsidRPr="0030354F">
        <w:rPr>
          <w:rFonts w:ascii="Arial" w:hAnsi="Arial" w:cs="Arial"/>
          <w:b/>
          <w:sz w:val="20"/>
          <w:szCs w:val="20"/>
          <w:lang w:val="en-US"/>
        </w:rPr>
        <w:tab/>
        <w:t>Direct Lending</w:t>
      </w:r>
    </w:p>
    <w:p w:rsidR="00806B56" w:rsidRPr="0030354F" w:rsidRDefault="00806B56"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hAnsi="Arial" w:cs="Arial"/>
          <w:sz w:val="20"/>
          <w:szCs w:val="20"/>
          <w:lang w:val="en-US"/>
        </w:rPr>
        <w:t>Direct Lending compliments the Wholesaling Lending programme and enables Sefa</w:t>
      </w:r>
      <w:r w:rsidRPr="0030354F">
        <w:rPr>
          <w:rFonts w:ascii="Arial" w:hAnsi="Arial" w:cs="Arial"/>
          <w:b/>
          <w:bCs/>
          <w:sz w:val="20"/>
          <w:szCs w:val="20"/>
          <w:lang w:val="en-US"/>
        </w:rPr>
        <w:t xml:space="preserve"> </w:t>
      </w:r>
      <w:r w:rsidRPr="0030354F">
        <w:rPr>
          <w:rFonts w:ascii="Arial" w:hAnsi="Arial" w:cs="Arial"/>
          <w:sz w:val="20"/>
          <w:szCs w:val="20"/>
          <w:lang w:val="en-US"/>
        </w:rPr>
        <w:t>to implement a hybrid lending model in the SMME lending space. The channel targets entrepreneurs that have viable businesses and are not able to secure funding from the open markets. Direct Lending mainly provides debt funding and in certain programmes offers blended financing instruments. The available financing instruments include: asset finance, term loans, revolving credit loans and bridging loans. Direct Lending approvals have grown significantly over the past five years. The approvals grew by 18 percent when compared to the previous financial year. This trend is attributed to various programmes that were introduced in the past two years – such as Township and Rural Entrepreneurship Programme, Small Enterprise Manufacturing Support Programme, Youth Challenge Fund, Debt Relief Scheme, Business Viability Programme and Business Recovery Programme. Direct Lending disbursements have shown a corresponding trend to approvals over the past five years. Direct Lending disbursements grew by 39</w:t>
      </w:r>
      <w:r w:rsidR="00E563B4" w:rsidRPr="0030354F">
        <w:rPr>
          <w:rFonts w:ascii="Arial" w:hAnsi="Arial" w:cs="Arial"/>
          <w:sz w:val="20"/>
          <w:szCs w:val="20"/>
          <w:lang w:val="en-US"/>
        </w:rPr>
        <w:t xml:space="preserve"> percent</w:t>
      </w:r>
      <w:r w:rsidRPr="0030354F">
        <w:rPr>
          <w:rFonts w:ascii="Arial" w:hAnsi="Arial" w:cs="Arial"/>
          <w:sz w:val="20"/>
          <w:szCs w:val="20"/>
          <w:lang w:val="en-US"/>
        </w:rPr>
        <w:t xml:space="preserve"> when compared to the previous financial year. Disbursements are real investment in the economy and contribute towards the development impact outcomes. The high level of disbursements has resulted in a total loan book of R2</w:t>
      </w:r>
      <w:r w:rsidR="00E563B4" w:rsidRPr="0030354F">
        <w:rPr>
          <w:rFonts w:ascii="Arial" w:hAnsi="Arial" w:cs="Arial"/>
          <w:sz w:val="20"/>
          <w:szCs w:val="20"/>
          <w:lang w:val="en-US"/>
        </w:rPr>
        <w:t xml:space="preserve"> </w:t>
      </w:r>
      <w:r w:rsidRPr="0030354F">
        <w:rPr>
          <w:rFonts w:ascii="Arial" w:hAnsi="Arial" w:cs="Arial"/>
          <w:sz w:val="20"/>
          <w:szCs w:val="20"/>
          <w:lang w:val="en-US"/>
        </w:rPr>
        <w:t xml:space="preserve">billion as of 31 March 2022. </w:t>
      </w:r>
    </w:p>
    <w:p w:rsidR="00806B56" w:rsidRPr="0030354F" w:rsidRDefault="00806B56" w:rsidP="0030354F">
      <w:pPr>
        <w:autoSpaceDE w:val="0"/>
        <w:autoSpaceDN w:val="0"/>
        <w:adjustRightInd w:val="0"/>
        <w:spacing w:after="0" w:line="240" w:lineRule="auto"/>
        <w:contextualSpacing/>
        <w:rPr>
          <w:rFonts w:ascii="Arial" w:hAnsi="Arial" w:cs="Arial"/>
          <w:sz w:val="20"/>
          <w:szCs w:val="20"/>
          <w:lang w:val="en-US"/>
        </w:rPr>
      </w:pPr>
    </w:p>
    <w:p w:rsidR="00806B56" w:rsidRPr="0030354F" w:rsidRDefault="00806B56" w:rsidP="0030354F">
      <w:pPr>
        <w:autoSpaceDE w:val="0"/>
        <w:autoSpaceDN w:val="0"/>
        <w:adjustRightInd w:val="0"/>
        <w:spacing w:after="0" w:line="240" w:lineRule="auto"/>
        <w:contextualSpacing/>
        <w:rPr>
          <w:rFonts w:ascii="Arial" w:hAnsi="Arial" w:cs="Arial"/>
          <w:b/>
          <w:sz w:val="20"/>
          <w:szCs w:val="20"/>
          <w:lang w:val="en-US"/>
        </w:rPr>
      </w:pPr>
      <w:r w:rsidRPr="0030354F">
        <w:rPr>
          <w:rFonts w:ascii="Arial" w:hAnsi="Arial" w:cs="Arial"/>
          <w:b/>
          <w:sz w:val="20"/>
          <w:szCs w:val="20"/>
          <w:lang w:val="en-US"/>
        </w:rPr>
        <w:t>5.2</w:t>
      </w:r>
      <w:r w:rsidRPr="0030354F">
        <w:rPr>
          <w:rFonts w:ascii="Arial" w:hAnsi="Arial" w:cs="Arial"/>
          <w:b/>
          <w:sz w:val="20"/>
          <w:szCs w:val="20"/>
          <w:lang w:val="en-US"/>
        </w:rPr>
        <w:tab/>
        <w:t>Financial Performance</w:t>
      </w:r>
    </w:p>
    <w:p w:rsidR="00806B56" w:rsidRPr="0030354F" w:rsidRDefault="00806B56"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eastAsiaTheme="minorEastAsia" w:hAnsi="Arial" w:cs="Arial"/>
          <w:kern w:val="24"/>
          <w:sz w:val="20"/>
          <w:szCs w:val="20"/>
          <w:lang w:val="en-GB"/>
        </w:rPr>
        <w:t xml:space="preserve">Sefa obtained unqualified audit opinion - 10 years running. The agency’s </w:t>
      </w:r>
      <w:r w:rsidRPr="0030354F">
        <w:rPr>
          <w:rFonts w:ascii="Arial" w:eastAsiaTheme="minorEastAsia" w:hAnsi="Arial" w:cs="Arial"/>
          <w:kern w:val="24"/>
          <w:sz w:val="20"/>
          <w:szCs w:val="20"/>
          <w:lang w:val="en-US"/>
        </w:rPr>
        <w:t>financial position is showing signs of improvement at the back of the increased size of the loan book and the increase in cash and cash equivalents.</w:t>
      </w:r>
      <w:r w:rsidRPr="0030354F">
        <w:rPr>
          <w:rFonts w:ascii="Arial" w:hAnsi="Arial" w:cs="Arial"/>
          <w:sz w:val="20"/>
          <w:szCs w:val="20"/>
          <w:lang w:val="en-US"/>
        </w:rPr>
        <w:t xml:space="preserve"> </w:t>
      </w:r>
      <w:r w:rsidRPr="0030354F">
        <w:rPr>
          <w:rFonts w:ascii="Arial" w:eastAsiaTheme="minorEastAsia" w:hAnsi="Arial" w:cs="Arial"/>
          <w:kern w:val="24"/>
          <w:sz w:val="20"/>
          <w:szCs w:val="20"/>
          <w:lang w:val="en-US"/>
        </w:rPr>
        <w:t>The net loans and advances have increased by R640 million to a carrying amount of R1.5 billion at year end.</w:t>
      </w:r>
      <w:r w:rsidRPr="0030354F">
        <w:rPr>
          <w:rFonts w:ascii="Arial" w:hAnsi="Arial" w:cs="Arial"/>
          <w:sz w:val="20"/>
          <w:szCs w:val="20"/>
          <w:lang w:val="en-US"/>
        </w:rPr>
        <w:t xml:space="preserve"> Also, t</w:t>
      </w:r>
      <w:r w:rsidRPr="0030354F">
        <w:rPr>
          <w:rFonts w:ascii="Arial" w:eastAsiaTheme="minorEastAsia" w:hAnsi="Arial" w:cs="Arial"/>
          <w:kern w:val="24"/>
          <w:sz w:val="20"/>
          <w:szCs w:val="20"/>
          <w:lang w:val="en-US"/>
        </w:rPr>
        <w:t xml:space="preserve">he improvement in the cost-to-income ratio showed significant signs of improvement with 43 percent growth in revenue. However, </w:t>
      </w:r>
      <w:r w:rsidRPr="0030354F">
        <w:rPr>
          <w:rFonts w:ascii="Arial" w:hAnsi="Arial" w:cs="Arial"/>
          <w:sz w:val="20"/>
          <w:szCs w:val="20"/>
          <w:lang w:val="en-US"/>
        </w:rPr>
        <w:t xml:space="preserve">the group reported a loss before tax of R172 million from R283 million in 2021. The overall impairments write-off and bad debt provisions on loans and advances have increased by a net amount of R339 million from the previous year due to the growth in the loan portfolio. At year end, the impairment provision </w:t>
      </w:r>
      <w:r w:rsidR="00E563B4" w:rsidRPr="0030354F">
        <w:rPr>
          <w:rFonts w:ascii="Arial" w:hAnsi="Arial" w:cs="Arial"/>
          <w:sz w:val="20"/>
          <w:szCs w:val="20"/>
          <w:lang w:val="en-US"/>
        </w:rPr>
        <w:t>had grown from R800 million in 2021 to R1 billion in 2022.</w:t>
      </w:r>
    </w:p>
    <w:p w:rsidR="00806B56" w:rsidRPr="0030354F" w:rsidRDefault="00806B56" w:rsidP="0030354F">
      <w:pPr>
        <w:autoSpaceDE w:val="0"/>
        <w:autoSpaceDN w:val="0"/>
        <w:adjustRightInd w:val="0"/>
        <w:spacing w:after="0" w:line="240" w:lineRule="auto"/>
        <w:contextualSpacing/>
        <w:rPr>
          <w:rFonts w:ascii="Arial" w:hAnsi="Arial" w:cs="Arial"/>
          <w:sz w:val="20"/>
          <w:szCs w:val="20"/>
          <w:lang w:val="en-US"/>
        </w:rPr>
      </w:pPr>
    </w:p>
    <w:p w:rsidR="009F447C" w:rsidRPr="0030354F" w:rsidRDefault="00F35ED7" w:rsidP="0030354F">
      <w:pPr>
        <w:autoSpaceDE w:val="0"/>
        <w:autoSpaceDN w:val="0"/>
        <w:adjustRightInd w:val="0"/>
        <w:spacing w:after="0" w:line="240" w:lineRule="auto"/>
        <w:contextualSpacing/>
        <w:rPr>
          <w:rFonts w:ascii="Arial" w:hAnsi="Arial" w:cs="Arial"/>
          <w:b/>
          <w:bCs/>
          <w:sz w:val="20"/>
          <w:szCs w:val="20"/>
        </w:rPr>
      </w:pPr>
      <w:r w:rsidRPr="0030354F">
        <w:rPr>
          <w:rFonts w:ascii="Arial" w:hAnsi="Arial" w:cs="Arial"/>
          <w:b/>
          <w:bCs/>
          <w:sz w:val="20"/>
          <w:szCs w:val="20"/>
        </w:rPr>
        <w:t>6</w:t>
      </w:r>
      <w:r w:rsidR="009F447C" w:rsidRPr="0030354F">
        <w:rPr>
          <w:rFonts w:ascii="Arial" w:hAnsi="Arial" w:cs="Arial"/>
          <w:b/>
          <w:bCs/>
          <w:sz w:val="20"/>
          <w:szCs w:val="20"/>
        </w:rPr>
        <w:t xml:space="preserve">. </w:t>
      </w:r>
      <w:r w:rsidR="009F447C" w:rsidRPr="0030354F">
        <w:rPr>
          <w:rFonts w:ascii="Arial" w:hAnsi="Arial" w:cs="Arial"/>
          <w:b/>
          <w:bCs/>
          <w:sz w:val="20"/>
          <w:szCs w:val="20"/>
        </w:rPr>
        <w:tab/>
        <w:t xml:space="preserve">OBSERVATIONS </w:t>
      </w:r>
    </w:p>
    <w:p w:rsidR="009F447C" w:rsidRPr="0030354F" w:rsidRDefault="009F447C"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rPr>
        <w:t>Having reflected on the Department</w:t>
      </w:r>
      <w:r w:rsidR="001953B0" w:rsidRPr="0030354F">
        <w:rPr>
          <w:rFonts w:ascii="Arial" w:hAnsi="Arial" w:cs="Arial"/>
          <w:sz w:val="20"/>
          <w:szCs w:val="20"/>
        </w:rPr>
        <w:t>, Sefa</w:t>
      </w:r>
      <w:r w:rsidR="00823AA3" w:rsidRPr="0030354F">
        <w:rPr>
          <w:rFonts w:ascii="Arial" w:hAnsi="Arial" w:cs="Arial"/>
          <w:sz w:val="20"/>
          <w:szCs w:val="20"/>
        </w:rPr>
        <w:t xml:space="preserve"> </w:t>
      </w:r>
      <w:r w:rsidRPr="0030354F">
        <w:rPr>
          <w:rFonts w:ascii="Arial" w:hAnsi="Arial" w:cs="Arial"/>
          <w:sz w:val="20"/>
          <w:szCs w:val="20"/>
        </w:rPr>
        <w:t xml:space="preserve">and Seda </w:t>
      </w:r>
      <w:r w:rsidR="00823AA3" w:rsidRPr="0030354F">
        <w:rPr>
          <w:rFonts w:ascii="Arial" w:hAnsi="Arial" w:cs="Arial"/>
          <w:sz w:val="20"/>
          <w:szCs w:val="20"/>
        </w:rPr>
        <w:t>annual</w:t>
      </w:r>
      <w:r w:rsidR="00967230" w:rsidRPr="0030354F">
        <w:rPr>
          <w:rFonts w:ascii="Arial" w:hAnsi="Arial" w:cs="Arial"/>
          <w:sz w:val="20"/>
          <w:szCs w:val="20"/>
        </w:rPr>
        <w:t xml:space="preserve"> r</w:t>
      </w:r>
      <w:r w:rsidRPr="0030354F">
        <w:rPr>
          <w:rFonts w:ascii="Arial" w:hAnsi="Arial" w:cs="Arial"/>
          <w:sz w:val="20"/>
          <w:szCs w:val="20"/>
        </w:rPr>
        <w:t>eports for</w:t>
      </w:r>
      <w:r w:rsidR="00474924" w:rsidRPr="0030354F">
        <w:rPr>
          <w:rFonts w:ascii="Arial" w:hAnsi="Arial" w:cs="Arial"/>
          <w:sz w:val="20"/>
          <w:szCs w:val="20"/>
        </w:rPr>
        <w:t xml:space="preserve"> </w:t>
      </w:r>
      <w:r w:rsidRPr="0030354F">
        <w:rPr>
          <w:rFonts w:ascii="Arial" w:hAnsi="Arial" w:cs="Arial"/>
          <w:sz w:val="20"/>
          <w:szCs w:val="20"/>
        </w:rPr>
        <w:t>20</w:t>
      </w:r>
      <w:r w:rsidR="001953B0" w:rsidRPr="0030354F">
        <w:rPr>
          <w:rFonts w:ascii="Arial" w:hAnsi="Arial" w:cs="Arial"/>
          <w:sz w:val="20"/>
          <w:szCs w:val="20"/>
        </w:rPr>
        <w:t>2</w:t>
      </w:r>
      <w:r w:rsidR="008D58F7" w:rsidRPr="0030354F">
        <w:rPr>
          <w:rFonts w:ascii="Arial" w:hAnsi="Arial" w:cs="Arial"/>
          <w:sz w:val="20"/>
          <w:szCs w:val="20"/>
        </w:rPr>
        <w:t>1/22</w:t>
      </w:r>
      <w:r w:rsidR="00967230" w:rsidRPr="0030354F">
        <w:rPr>
          <w:rFonts w:ascii="Arial" w:hAnsi="Arial" w:cs="Arial"/>
          <w:sz w:val="20"/>
          <w:szCs w:val="20"/>
        </w:rPr>
        <w:t xml:space="preserve"> </w:t>
      </w:r>
      <w:r w:rsidR="00474924" w:rsidRPr="0030354F">
        <w:rPr>
          <w:rFonts w:ascii="Arial" w:hAnsi="Arial" w:cs="Arial"/>
          <w:sz w:val="20"/>
          <w:szCs w:val="20"/>
        </w:rPr>
        <w:t xml:space="preserve">financial year, the Portfolio Committee </w:t>
      </w:r>
      <w:r w:rsidR="006A7ACC" w:rsidRPr="0030354F">
        <w:rPr>
          <w:rFonts w:ascii="Arial" w:hAnsi="Arial" w:cs="Arial"/>
          <w:sz w:val="20"/>
          <w:szCs w:val="20"/>
        </w:rPr>
        <w:t>herewith</w:t>
      </w:r>
      <w:r w:rsidR="00474924" w:rsidRPr="0030354F">
        <w:rPr>
          <w:rFonts w:ascii="Arial" w:hAnsi="Arial" w:cs="Arial"/>
          <w:sz w:val="20"/>
          <w:szCs w:val="20"/>
        </w:rPr>
        <w:t xml:space="preserve"> register</w:t>
      </w:r>
      <w:r w:rsidR="00C1141A" w:rsidRPr="0030354F">
        <w:rPr>
          <w:rFonts w:ascii="Arial" w:hAnsi="Arial" w:cs="Arial"/>
          <w:sz w:val="20"/>
          <w:szCs w:val="20"/>
        </w:rPr>
        <w:t>s</w:t>
      </w:r>
      <w:r w:rsidR="00474924" w:rsidRPr="0030354F">
        <w:rPr>
          <w:rFonts w:ascii="Arial" w:hAnsi="Arial" w:cs="Arial"/>
          <w:sz w:val="20"/>
          <w:szCs w:val="20"/>
        </w:rPr>
        <w:t xml:space="preserve"> the following </w:t>
      </w:r>
      <w:r w:rsidRPr="0030354F">
        <w:rPr>
          <w:rFonts w:ascii="Arial" w:hAnsi="Arial" w:cs="Arial"/>
          <w:sz w:val="20"/>
          <w:szCs w:val="20"/>
        </w:rPr>
        <w:t>o</w:t>
      </w:r>
      <w:r w:rsidR="00474924" w:rsidRPr="0030354F">
        <w:rPr>
          <w:rFonts w:ascii="Arial" w:hAnsi="Arial" w:cs="Arial"/>
          <w:sz w:val="20"/>
          <w:szCs w:val="20"/>
        </w:rPr>
        <w:t xml:space="preserve">bservations </w:t>
      </w:r>
      <w:r w:rsidRPr="0030354F">
        <w:rPr>
          <w:rFonts w:ascii="Arial" w:hAnsi="Arial" w:cs="Arial"/>
          <w:sz w:val="20"/>
          <w:szCs w:val="20"/>
        </w:rPr>
        <w:t>for considera</w:t>
      </w:r>
      <w:r w:rsidR="005E1D88" w:rsidRPr="0030354F">
        <w:rPr>
          <w:rFonts w:ascii="Arial" w:hAnsi="Arial" w:cs="Arial"/>
          <w:sz w:val="20"/>
          <w:szCs w:val="20"/>
        </w:rPr>
        <w:t xml:space="preserve">tion by the Department </w:t>
      </w:r>
      <w:r w:rsidRPr="0030354F">
        <w:rPr>
          <w:rFonts w:ascii="Arial" w:hAnsi="Arial" w:cs="Arial"/>
          <w:sz w:val="20"/>
          <w:szCs w:val="20"/>
        </w:rPr>
        <w:t>-</w:t>
      </w:r>
    </w:p>
    <w:p w:rsidR="003B3CB4" w:rsidRPr="0030354F" w:rsidRDefault="00062037" w:rsidP="0030354F">
      <w:pPr>
        <w:spacing w:after="0" w:line="240" w:lineRule="auto"/>
        <w:ind w:left="720" w:hanging="720"/>
        <w:contextualSpacing/>
        <w:rPr>
          <w:rFonts w:ascii="Arial" w:hAnsi="Arial" w:cs="Arial"/>
          <w:sz w:val="20"/>
          <w:szCs w:val="20"/>
        </w:rPr>
      </w:pPr>
      <w:r w:rsidRPr="0030354F">
        <w:rPr>
          <w:rFonts w:ascii="Arial" w:hAnsi="Arial" w:cs="Arial"/>
          <w:sz w:val="20"/>
          <w:szCs w:val="20"/>
        </w:rPr>
        <w:lastRenderedPageBreak/>
        <w:t>6</w:t>
      </w:r>
      <w:r w:rsidR="009F447C" w:rsidRPr="0030354F">
        <w:rPr>
          <w:rFonts w:ascii="Arial" w:hAnsi="Arial" w:cs="Arial"/>
          <w:sz w:val="20"/>
          <w:szCs w:val="20"/>
        </w:rPr>
        <w:t>.1</w:t>
      </w:r>
      <w:r w:rsidR="009F447C" w:rsidRPr="0030354F">
        <w:rPr>
          <w:rFonts w:ascii="Arial" w:hAnsi="Arial" w:cs="Arial"/>
          <w:sz w:val="20"/>
          <w:szCs w:val="20"/>
        </w:rPr>
        <w:tab/>
      </w:r>
      <w:r w:rsidR="006557C8" w:rsidRPr="0030354F">
        <w:rPr>
          <w:rFonts w:ascii="Arial" w:hAnsi="Arial" w:cs="Arial"/>
          <w:sz w:val="20"/>
          <w:szCs w:val="20"/>
        </w:rPr>
        <w:t>The Committee</w:t>
      </w:r>
      <w:r w:rsidR="008F36D1" w:rsidRPr="0030354F">
        <w:rPr>
          <w:rFonts w:ascii="Arial" w:hAnsi="Arial" w:cs="Arial"/>
          <w:sz w:val="20"/>
          <w:szCs w:val="20"/>
        </w:rPr>
        <w:t xml:space="preserve"> welcomes </w:t>
      </w:r>
      <w:r w:rsidR="003B3CB4" w:rsidRPr="0030354F">
        <w:rPr>
          <w:rFonts w:ascii="Arial" w:hAnsi="Arial" w:cs="Arial"/>
          <w:sz w:val="20"/>
          <w:szCs w:val="20"/>
        </w:rPr>
        <w:t>overall performance of the Portfolio. Achieving a clean</w:t>
      </w:r>
      <w:r w:rsidR="008F36D1" w:rsidRPr="0030354F">
        <w:rPr>
          <w:rFonts w:ascii="Arial" w:hAnsi="Arial" w:cs="Arial"/>
          <w:sz w:val="20"/>
          <w:szCs w:val="20"/>
        </w:rPr>
        <w:t xml:space="preserve"> audit opinion was </w:t>
      </w:r>
      <w:r w:rsidR="005B58D4" w:rsidRPr="0030354F">
        <w:rPr>
          <w:rFonts w:ascii="Arial" w:hAnsi="Arial" w:cs="Arial"/>
          <w:sz w:val="20"/>
          <w:szCs w:val="20"/>
        </w:rPr>
        <w:t>certainly</w:t>
      </w:r>
      <w:r w:rsidR="008F36D1" w:rsidRPr="0030354F">
        <w:rPr>
          <w:rFonts w:ascii="Arial" w:hAnsi="Arial" w:cs="Arial"/>
          <w:sz w:val="20"/>
          <w:szCs w:val="20"/>
        </w:rPr>
        <w:t xml:space="preserve"> the highlight</w:t>
      </w:r>
      <w:r w:rsidR="005B58D4" w:rsidRPr="0030354F">
        <w:rPr>
          <w:rFonts w:ascii="Arial" w:hAnsi="Arial" w:cs="Arial"/>
          <w:sz w:val="20"/>
          <w:szCs w:val="20"/>
        </w:rPr>
        <w:t xml:space="preserve"> for the Department. W</w:t>
      </w:r>
      <w:r w:rsidR="00DF3BE2" w:rsidRPr="0030354F">
        <w:rPr>
          <w:rFonts w:ascii="Arial" w:hAnsi="Arial" w:cs="Arial"/>
          <w:sz w:val="20"/>
          <w:szCs w:val="20"/>
        </w:rPr>
        <w:t>hereas</w:t>
      </w:r>
      <w:r w:rsidR="003B3CB4" w:rsidRPr="0030354F">
        <w:rPr>
          <w:rFonts w:ascii="Arial" w:hAnsi="Arial" w:cs="Arial"/>
          <w:sz w:val="20"/>
          <w:szCs w:val="20"/>
        </w:rPr>
        <w:t xml:space="preserve"> Sefa and Seda maintained clean and unqualified audit opinions respectively. Improved spending is evident across the entire Portfolio. </w:t>
      </w:r>
      <w:r w:rsidR="006B215F" w:rsidRPr="0030354F">
        <w:rPr>
          <w:rFonts w:ascii="Arial" w:hAnsi="Arial" w:cs="Arial"/>
          <w:sz w:val="20"/>
          <w:szCs w:val="20"/>
        </w:rPr>
        <w:t>However, there is scope for improvement fr</w:t>
      </w:r>
      <w:r w:rsidR="003B3CB4" w:rsidRPr="0030354F">
        <w:rPr>
          <w:rFonts w:ascii="Arial" w:hAnsi="Arial" w:cs="Arial"/>
          <w:sz w:val="20"/>
          <w:szCs w:val="20"/>
        </w:rPr>
        <w:t>om Seda</w:t>
      </w:r>
      <w:r w:rsidR="008F36D1" w:rsidRPr="0030354F">
        <w:rPr>
          <w:rFonts w:ascii="Arial" w:hAnsi="Arial" w:cs="Arial"/>
          <w:sz w:val="20"/>
          <w:szCs w:val="20"/>
        </w:rPr>
        <w:t>’s</w:t>
      </w:r>
      <w:r w:rsidR="003B3CB4" w:rsidRPr="0030354F">
        <w:rPr>
          <w:rFonts w:ascii="Arial" w:hAnsi="Arial" w:cs="Arial"/>
          <w:sz w:val="20"/>
          <w:szCs w:val="20"/>
        </w:rPr>
        <w:t xml:space="preserve"> audit opinion which has </w:t>
      </w:r>
      <w:r w:rsidR="006B215F" w:rsidRPr="0030354F">
        <w:rPr>
          <w:rFonts w:ascii="Arial" w:hAnsi="Arial" w:cs="Arial"/>
          <w:sz w:val="20"/>
          <w:szCs w:val="20"/>
        </w:rPr>
        <w:t xml:space="preserve">transgressed </w:t>
      </w:r>
      <w:r w:rsidR="008F36D1" w:rsidRPr="0030354F">
        <w:rPr>
          <w:rFonts w:ascii="Arial" w:hAnsi="Arial" w:cs="Arial"/>
          <w:sz w:val="20"/>
          <w:szCs w:val="20"/>
        </w:rPr>
        <w:t>over</w:t>
      </w:r>
      <w:r w:rsidR="006B215F" w:rsidRPr="0030354F">
        <w:rPr>
          <w:rFonts w:ascii="Arial" w:hAnsi="Arial" w:cs="Arial"/>
          <w:sz w:val="20"/>
          <w:szCs w:val="20"/>
        </w:rPr>
        <w:t xml:space="preserve"> th</w:t>
      </w:r>
      <w:r w:rsidR="003B3CB4" w:rsidRPr="0030354F">
        <w:rPr>
          <w:rFonts w:ascii="Arial" w:hAnsi="Arial" w:cs="Arial"/>
          <w:sz w:val="20"/>
          <w:szCs w:val="20"/>
        </w:rPr>
        <w:t>e past two financial years, the Department</w:t>
      </w:r>
      <w:r w:rsidR="006B215F" w:rsidRPr="0030354F">
        <w:rPr>
          <w:rFonts w:ascii="Arial" w:hAnsi="Arial" w:cs="Arial"/>
          <w:sz w:val="20"/>
          <w:szCs w:val="20"/>
        </w:rPr>
        <w:t>s’</w:t>
      </w:r>
      <w:r w:rsidR="003B3CB4" w:rsidRPr="0030354F">
        <w:rPr>
          <w:rFonts w:ascii="Arial" w:hAnsi="Arial" w:cs="Arial"/>
          <w:sz w:val="20"/>
          <w:szCs w:val="20"/>
        </w:rPr>
        <w:t xml:space="preserve"> sliding </w:t>
      </w:r>
      <w:r w:rsidR="0015058A" w:rsidRPr="0030354F">
        <w:rPr>
          <w:rFonts w:ascii="Arial" w:hAnsi="Arial" w:cs="Arial"/>
          <w:sz w:val="20"/>
          <w:szCs w:val="20"/>
        </w:rPr>
        <w:t xml:space="preserve">performance </w:t>
      </w:r>
      <w:r w:rsidR="003B3CB4" w:rsidRPr="0030354F">
        <w:rPr>
          <w:rFonts w:ascii="Arial" w:hAnsi="Arial" w:cs="Arial"/>
          <w:sz w:val="20"/>
          <w:szCs w:val="20"/>
        </w:rPr>
        <w:t xml:space="preserve">to 60 percent achievement of its annual targets from a high of 85 percent during the previous financial year to Sefa’s rising impairments </w:t>
      </w:r>
      <w:r w:rsidR="001B253A" w:rsidRPr="0030354F">
        <w:rPr>
          <w:rFonts w:ascii="Arial" w:hAnsi="Arial" w:cs="Arial"/>
          <w:sz w:val="20"/>
          <w:szCs w:val="20"/>
        </w:rPr>
        <w:t>to R1 billion</w:t>
      </w:r>
      <w:r w:rsidR="006557C8" w:rsidRPr="0030354F">
        <w:rPr>
          <w:rFonts w:ascii="Arial" w:hAnsi="Arial" w:cs="Arial"/>
          <w:sz w:val="20"/>
          <w:szCs w:val="20"/>
        </w:rPr>
        <w:t xml:space="preserve"> from R800 million </w:t>
      </w:r>
      <w:r w:rsidR="00055997" w:rsidRPr="0030354F">
        <w:rPr>
          <w:rFonts w:ascii="Arial" w:hAnsi="Arial" w:cs="Arial"/>
          <w:sz w:val="20"/>
          <w:szCs w:val="20"/>
        </w:rPr>
        <w:t>in 2021</w:t>
      </w:r>
      <w:r w:rsidR="003B3CB4" w:rsidRPr="0030354F">
        <w:rPr>
          <w:rFonts w:ascii="Arial" w:hAnsi="Arial" w:cs="Arial"/>
          <w:sz w:val="20"/>
          <w:szCs w:val="20"/>
        </w:rPr>
        <w:t>.</w:t>
      </w:r>
      <w:r w:rsidR="0015058A" w:rsidRPr="0030354F">
        <w:rPr>
          <w:rFonts w:ascii="Arial" w:hAnsi="Arial" w:cs="Arial"/>
          <w:sz w:val="20"/>
          <w:szCs w:val="20"/>
        </w:rPr>
        <w:t xml:space="preserve"> These require increased scrutiny.</w:t>
      </w:r>
    </w:p>
    <w:p w:rsidR="003B3CB4" w:rsidRPr="0030354F" w:rsidRDefault="003B3CB4" w:rsidP="0030354F">
      <w:pPr>
        <w:spacing w:after="0" w:line="240" w:lineRule="auto"/>
        <w:ind w:left="720" w:hanging="720"/>
        <w:contextualSpacing/>
        <w:rPr>
          <w:rFonts w:ascii="Arial" w:hAnsi="Arial" w:cs="Arial"/>
          <w:sz w:val="20"/>
          <w:szCs w:val="20"/>
        </w:rPr>
      </w:pPr>
      <w:r w:rsidRPr="0030354F">
        <w:rPr>
          <w:rFonts w:ascii="Arial" w:hAnsi="Arial" w:cs="Arial"/>
          <w:sz w:val="20"/>
          <w:szCs w:val="20"/>
        </w:rPr>
        <w:t>6.2</w:t>
      </w:r>
      <w:r w:rsidRPr="0030354F">
        <w:rPr>
          <w:rFonts w:ascii="Arial" w:hAnsi="Arial" w:cs="Arial"/>
          <w:sz w:val="20"/>
          <w:szCs w:val="20"/>
        </w:rPr>
        <w:tab/>
        <w:t xml:space="preserve">The Committee </w:t>
      </w:r>
      <w:r w:rsidR="00055997" w:rsidRPr="0030354F">
        <w:rPr>
          <w:rFonts w:ascii="Arial" w:hAnsi="Arial" w:cs="Arial"/>
          <w:sz w:val="20"/>
          <w:szCs w:val="20"/>
        </w:rPr>
        <w:t>notes tha</w:t>
      </w:r>
      <w:r w:rsidRPr="0030354F">
        <w:rPr>
          <w:rFonts w:ascii="Arial" w:hAnsi="Arial" w:cs="Arial"/>
          <w:sz w:val="20"/>
          <w:szCs w:val="20"/>
        </w:rPr>
        <w:t xml:space="preserve">t the Department </w:t>
      </w:r>
      <w:r w:rsidR="00055997" w:rsidRPr="0030354F">
        <w:rPr>
          <w:rFonts w:ascii="Arial" w:hAnsi="Arial" w:cs="Arial"/>
          <w:sz w:val="20"/>
          <w:szCs w:val="20"/>
        </w:rPr>
        <w:t xml:space="preserve">has been </w:t>
      </w:r>
      <w:r w:rsidRPr="0030354F">
        <w:rPr>
          <w:rFonts w:ascii="Arial" w:hAnsi="Arial" w:cs="Arial"/>
          <w:sz w:val="20"/>
          <w:szCs w:val="20"/>
        </w:rPr>
        <w:t xml:space="preserve">unable to refer the National Small Enterprise </w:t>
      </w:r>
      <w:r w:rsidR="00055997" w:rsidRPr="0030354F">
        <w:rPr>
          <w:rFonts w:ascii="Arial" w:hAnsi="Arial" w:cs="Arial"/>
          <w:sz w:val="20"/>
          <w:szCs w:val="20"/>
        </w:rPr>
        <w:t>Amendment</w:t>
      </w:r>
      <w:r w:rsidR="0015058A" w:rsidRPr="0030354F">
        <w:rPr>
          <w:rFonts w:ascii="Arial" w:hAnsi="Arial" w:cs="Arial"/>
          <w:sz w:val="20"/>
          <w:szCs w:val="20"/>
        </w:rPr>
        <w:t xml:space="preserve"> Bill to </w:t>
      </w:r>
      <w:r w:rsidR="00055997" w:rsidRPr="0030354F">
        <w:rPr>
          <w:rFonts w:ascii="Arial" w:hAnsi="Arial" w:cs="Arial"/>
          <w:sz w:val="20"/>
          <w:szCs w:val="20"/>
        </w:rPr>
        <w:t xml:space="preserve">Parliament as </w:t>
      </w:r>
      <w:r w:rsidRPr="0030354F">
        <w:rPr>
          <w:rFonts w:ascii="Arial" w:hAnsi="Arial" w:cs="Arial"/>
          <w:sz w:val="20"/>
          <w:szCs w:val="20"/>
        </w:rPr>
        <w:t xml:space="preserve">pledged in its </w:t>
      </w:r>
      <w:r w:rsidR="00055997" w:rsidRPr="0030354F">
        <w:rPr>
          <w:rFonts w:ascii="Arial" w:hAnsi="Arial" w:cs="Arial"/>
          <w:sz w:val="20"/>
          <w:szCs w:val="20"/>
        </w:rPr>
        <w:t>consecutive</w:t>
      </w:r>
      <w:r w:rsidRPr="0030354F">
        <w:rPr>
          <w:rFonts w:ascii="Arial" w:hAnsi="Arial" w:cs="Arial"/>
          <w:sz w:val="20"/>
          <w:szCs w:val="20"/>
        </w:rPr>
        <w:t xml:space="preserve"> annual performance plan</w:t>
      </w:r>
      <w:r w:rsidR="00055997" w:rsidRPr="0030354F">
        <w:rPr>
          <w:rFonts w:ascii="Arial" w:hAnsi="Arial" w:cs="Arial"/>
          <w:sz w:val="20"/>
          <w:szCs w:val="20"/>
        </w:rPr>
        <w:t>s</w:t>
      </w:r>
      <w:r w:rsidRPr="0030354F">
        <w:rPr>
          <w:rFonts w:ascii="Arial" w:hAnsi="Arial" w:cs="Arial"/>
          <w:sz w:val="20"/>
          <w:szCs w:val="20"/>
        </w:rPr>
        <w:t xml:space="preserve">. The Department reported that this was due to pending incorporation of the Sefa and CBDA into Seda – and for that reason, Cabinet has approved </w:t>
      </w:r>
      <w:r w:rsidR="006557C8" w:rsidRPr="0030354F">
        <w:rPr>
          <w:rFonts w:ascii="Arial" w:hAnsi="Arial" w:cs="Arial"/>
          <w:sz w:val="20"/>
          <w:szCs w:val="20"/>
        </w:rPr>
        <w:t xml:space="preserve">a </w:t>
      </w:r>
      <w:r w:rsidRPr="0030354F">
        <w:rPr>
          <w:rFonts w:ascii="Arial" w:hAnsi="Arial" w:cs="Arial"/>
          <w:sz w:val="20"/>
          <w:szCs w:val="20"/>
        </w:rPr>
        <w:t xml:space="preserve">20-month extension to </w:t>
      </w:r>
      <w:r w:rsidR="006557C8" w:rsidRPr="0030354F">
        <w:rPr>
          <w:rFonts w:ascii="Arial" w:hAnsi="Arial" w:cs="Arial"/>
          <w:sz w:val="20"/>
          <w:szCs w:val="20"/>
        </w:rPr>
        <w:t xml:space="preserve">give </w:t>
      </w:r>
      <w:r w:rsidRPr="0030354F">
        <w:rPr>
          <w:rFonts w:ascii="Arial" w:hAnsi="Arial" w:cs="Arial"/>
          <w:sz w:val="20"/>
          <w:szCs w:val="20"/>
        </w:rPr>
        <w:t>the Department a leeway to include a chapter on the merger.</w:t>
      </w:r>
    </w:p>
    <w:p w:rsidR="009C3172" w:rsidRPr="0030354F" w:rsidRDefault="003B3CB4" w:rsidP="0030354F">
      <w:pPr>
        <w:spacing w:after="0" w:line="240" w:lineRule="auto"/>
        <w:contextualSpacing/>
        <w:rPr>
          <w:rFonts w:ascii="Arial" w:hAnsi="Arial" w:cs="Arial"/>
          <w:sz w:val="20"/>
          <w:szCs w:val="20"/>
        </w:rPr>
      </w:pPr>
      <w:r w:rsidRPr="0030354F">
        <w:rPr>
          <w:rFonts w:ascii="Arial" w:hAnsi="Arial" w:cs="Arial"/>
          <w:sz w:val="20"/>
          <w:szCs w:val="20"/>
        </w:rPr>
        <w:t>6.3</w:t>
      </w:r>
      <w:r w:rsidRPr="0030354F">
        <w:rPr>
          <w:rFonts w:ascii="Arial" w:hAnsi="Arial" w:cs="Arial"/>
          <w:sz w:val="20"/>
          <w:szCs w:val="20"/>
        </w:rPr>
        <w:tab/>
        <w:t xml:space="preserve">The Committee is </w:t>
      </w:r>
      <w:r w:rsidR="00703669" w:rsidRPr="0030354F">
        <w:rPr>
          <w:rFonts w:ascii="Arial" w:hAnsi="Arial" w:cs="Arial"/>
          <w:sz w:val="20"/>
          <w:szCs w:val="20"/>
        </w:rPr>
        <w:t xml:space="preserve">fully aware </w:t>
      </w:r>
      <w:r w:rsidRPr="0030354F">
        <w:rPr>
          <w:rFonts w:ascii="Arial" w:hAnsi="Arial" w:cs="Arial"/>
          <w:sz w:val="20"/>
          <w:szCs w:val="20"/>
        </w:rPr>
        <w:t xml:space="preserve">that the Department’s attainment of its objectives </w:t>
      </w:r>
      <w:r w:rsidR="001B253A" w:rsidRPr="0030354F">
        <w:rPr>
          <w:rFonts w:ascii="Arial" w:hAnsi="Arial" w:cs="Arial"/>
          <w:sz w:val="20"/>
          <w:szCs w:val="20"/>
        </w:rPr>
        <w:t xml:space="preserve">is </w:t>
      </w:r>
      <w:r w:rsidR="009C3172" w:rsidRPr="0030354F">
        <w:rPr>
          <w:rFonts w:ascii="Arial" w:hAnsi="Arial" w:cs="Arial"/>
          <w:sz w:val="20"/>
          <w:szCs w:val="20"/>
        </w:rPr>
        <w:tab/>
      </w:r>
      <w:r w:rsidR="001B253A" w:rsidRPr="0030354F">
        <w:rPr>
          <w:rFonts w:ascii="Arial" w:hAnsi="Arial" w:cs="Arial"/>
          <w:sz w:val="20"/>
          <w:szCs w:val="20"/>
        </w:rPr>
        <w:t>dependent</w:t>
      </w:r>
      <w:r w:rsidRPr="0030354F">
        <w:rPr>
          <w:rFonts w:ascii="Arial" w:hAnsi="Arial" w:cs="Arial"/>
          <w:sz w:val="20"/>
          <w:szCs w:val="20"/>
        </w:rPr>
        <w:t xml:space="preserve"> on </w:t>
      </w:r>
      <w:r w:rsidR="000C73CB" w:rsidRPr="0030354F">
        <w:rPr>
          <w:rFonts w:ascii="Arial" w:hAnsi="Arial" w:cs="Arial"/>
          <w:sz w:val="20"/>
          <w:szCs w:val="20"/>
        </w:rPr>
        <w:t>a</w:t>
      </w:r>
      <w:r w:rsidRPr="0030354F">
        <w:rPr>
          <w:rFonts w:ascii="Arial" w:hAnsi="Arial" w:cs="Arial"/>
          <w:sz w:val="20"/>
          <w:szCs w:val="20"/>
        </w:rPr>
        <w:t xml:space="preserve"> successful completion of the National Small Enterprise Amendment </w:t>
      </w:r>
      <w:r w:rsidR="009C3172" w:rsidRPr="0030354F">
        <w:rPr>
          <w:rFonts w:ascii="Arial" w:hAnsi="Arial" w:cs="Arial"/>
          <w:sz w:val="20"/>
          <w:szCs w:val="20"/>
        </w:rPr>
        <w:tab/>
      </w:r>
      <w:r w:rsidRPr="0030354F">
        <w:rPr>
          <w:rFonts w:ascii="Arial" w:hAnsi="Arial" w:cs="Arial"/>
          <w:sz w:val="20"/>
          <w:szCs w:val="20"/>
        </w:rPr>
        <w:t xml:space="preserve">Bill. </w:t>
      </w:r>
      <w:r w:rsidR="009C3172" w:rsidRPr="0030354F">
        <w:rPr>
          <w:rFonts w:ascii="Arial" w:hAnsi="Arial" w:cs="Arial"/>
          <w:sz w:val="20"/>
          <w:szCs w:val="20"/>
        </w:rPr>
        <w:t xml:space="preserve">These include but not limited to the merger which must be supported by an act of </w:t>
      </w:r>
      <w:r w:rsidR="009C3172" w:rsidRPr="0030354F">
        <w:rPr>
          <w:rFonts w:ascii="Arial" w:hAnsi="Arial" w:cs="Arial"/>
          <w:sz w:val="20"/>
          <w:szCs w:val="20"/>
        </w:rPr>
        <w:tab/>
        <w:t>Parliament, the creation of statutory entities such as the S</w:t>
      </w:r>
      <w:r w:rsidR="000C73CB" w:rsidRPr="0030354F">
        <w:rPr>
          <w:rFonts w:ascii="Arial" w:hAnsi="Arial" w:cs="Arial"/>
          <w:sz w:val="20"/>
          <w:szCs w:val="20"/>
        </w:rPr>
        <w:t xml:space="preserve">mall Enterprise Ombuds </w:t>
      </w:r>
      <w:r w:rsidR="000C73CB" w:rsidRPr="0030354F">
        <w:rPr>
          <w:rFonts w:ascii="Arial" w:hAnsi="Arial" w:cs="Arial"/>
          <w:sz w:val="20"/>
          <w:szCs w:val="20"/>
        </w:rPr>
        <w:tab/>
        <w:t xml:space="preserve">Office and Small Business </w:t>
      </w:r>
      <w:r w:rsidR="009C3172" w:rsidRPr="0030354F">
        <w:rPr>
          <w:rFonts w:ascii="Arial" w:hAnsi="Arial" w:cs="Arial"/>
          <w:sz w:val="20"/>
          <w:szCs w:val="20"/>
        </w:rPr>
        <w:t>Advisory Council</w:t>
      </w:r>
      <w:r w:rsidR="000C73CB" w:rsidRPr="0030354F">
        <w:rPr>
          <w:rFonts w:ascii="Arial" w:hAnsi="Arial" w:cs="Arial"/>
          <w:sz w:val="20"/>
          <w:szCs w:val="20"/>
        </w:rPr>
        <w:t xml:space="preserve">, and definition of the term ‘small </w:t>
      </w:r>
      <w:r w:rsidR="000C73CB" w:rsidRPr="0030354F">
        <w:rPr>
          <w:rFonts w:ascii="Arial" w:hAnsi="Arial" w:cs="Arial"/>
          <w:sz w:val="20"/>
          <w:szCs w:val="20"/>
        </w:rPr>
        <w:tab/>
        <w:t>enterprise’.</w:t>
      </w:r>
      <w:r w:rsidR="009C3172" w:rsidRPr="0030354F">
        <w:rPr>
          <w:rFonts w:ascii="Arial" w:hAnsi="Arial" w:cs="Arial"/>
          <w:sz w:val="20"/>
          <w:szCs w:val="20"/>
        </w:rPr>
        <w:t xml:space="preserve"> In terms of the estimat</w:t>
      </w:r>
      <w:r w:rsidR="000C73CB" w:rsidRPr="0030354F">
        <w:rPr>
          <w:rFonts w:ascii="Arial" w:hAnsi="Arial" w:cs="Arial"/>
          <w:sz w:val="20"/>
          <w:szCs w:val="20"/>
        </w:rPr>
        <w:t xml:space="preserve">ion or timeline provided by the Department </w:t>
      </w:r>
      <w:r w:rsidR="009C3172" w:rsidRPr="0030354F">
        <w:rPr>
          <w:rFonts w:ascii="Arial" w:hAnsi="Arial" w:cs="Arial"/>
          <w:sz w:val="20"/>
          <w:szCs w:val="20"/>
        </w:rPr>
        <w:t xml:space="preserve">recently, </w:t>
      </w:r>
      <w:r w:rsidR="000C73CB" w:rsidRPr="0030354F">
        <w:rPr>
          <w:rFonts w:ascii="Arial" w:hAnsi="Arial" w:cs="Arial"/>
          <w:sz w:val="20"/>
          <w:szCs w:val="20"/>
        </w:rPr>
        <w:tab/>
      </w:r>
      <w:r w:rsidR="009C3172" w:rsidRPr="0030354F">
        <w:rPr>
          <w:rFonts w:ascii="Arial" w:hAnsi="Arial" w:cs="Arial"/>
          <w:sz w:val="20"/>
          <w:szCs w:val="20"/>
        </w:rPr>
        <w:t xml:space="preserve">it is inferred that the bill </w:t>
      </w:r>
      <w:r w:rsidR="000C73CB" w:rsidRPr="0030354F">
        <w:rPr>
          <w:rFonts w:ascii="Arial" w:hAnsi="Arial" w:cs="Arial"/>
          <w:sz w:val="20"/>
          <w:szCs w:val="20"/>
        </w:rPr>
        <w:t xml:space="preserve">will </w:t>
      </w:r>
      <w:r w:rsidR="009C3172" w:rsidRPr="0030354F">
        <w:rPr>
          <w:rFonts w:ascii="Arial" w:hAnsi="Arial" w:cs="Arial"/>
          <w:sz w:val="20"/>
          <w:szCs w:val="20"/>
        </w:rPr>
        <w:t xml:space="preserve">be </w:t>
      </w:r>
      <w:r w:rsidR="000C73CB" w:rsidRPr="0030354F">
        <w:rPr>
          <w:rFonts w:ascii="Arial" w:hAnsi="Arial" w:cs="Arial"/>
          <w:sz w:val="20"/>
          <w:szCs w:val="20"/>
        </w:rPr>
        <w:t xml:space="preserve">tabled to Parliament </w:t>
      </w:r>
      <w:r w:rsidR="00D53304" w:rsidRPr="0030354F">
        <w:rPr>
          <w:rFonts w:ascii="Arial" w:hAnsi="Arial" w:cs="Arial"/>
          <w:sz w:val="20"/>
          <w:szCs w:val="20"/>
        </w:rPr>
        <w:t xml:space="preserve">on or before </w:t>
      </w:r>
      <w:r w:rsidR="000C73CB" w:rsidRPr="0030354F">
        <w:rPr>
          <w:rFonts w:ascii="Arial" w:hAnsi="Arial" w:cs="Arial"/>
          <w:sz w:val="20"/>
          <w:szCs w:val="20"/>
        </w:rPr>
        <w:t xml:space="preserve">December </w:t>
      </w:r>
      <w:r w:rsidR="009C3172" w:rsidRPr="0030354F">
        <w:rPr>
          <w:rFonts w:ascii="Arial" w:hAnsi="Arial" w:cs="Arial"/>
          <w:sz w:val="20"/>
          <w:szCs w:val="20"/>
        </w:rPr>
        <w:t>2023.</w:t>
      </w:r>
    </w:p>
    <w:p w:rsidR="003B3CB4" w:rsidRPr="0030354F" w:rsidRDefault="003B3CB4" w:rsidP="0030354F">
      <w:pPr>
        <w:spacing w:after="0" w:line="240" w:lineRule="auto"/>
        <w:ind w:left="720" w:hanging="720"/>
        <w:contextualSpacing/>
        <w:rPr>
          <w:rFonts w:ascii="Arial" w:hAnsi="Arial" w:cs="Arial"/>
          <w:sz w:val="20"/>
          <w:szCs w:val="20"/>
        </w:rPr>
      </w:pPr>
      <w:r w:rsidRPr="0030354F">
        <w:rPr>
          <w:rFonts w:ascii="Arial" w:hAnsi="Arial" w:cs="Arial"/>
          <w:sz w:val="20"/>
          <w:szCs w:val="20"/>
        </w:rPr>
        <w:t>6.4</w:t>
      </w:r>
      <w:r w:rsidRPr="0030354F">
        <w:rPr>
          <w:rFonts w:ascii="Arial" w:hAnsi="Arial" w:cs="Arial"/>
          <w:sz w:val="20"/>
          <w:szCs w:val="20"/>
        </w:rPr>
        <w:tab/>
        <w:t xml:space="preserve">The Committee further </w:t>
      </w:r>
      <w:r w:rsidR="0074285B" w:rsidRPr="0030354F">
        <w:rPr>
          <w:rFonts w:ascii="Arial" w:hAnsi="Arial" w:cs="Arial"/>
          <w:sz w:val="20"/>
          <w:szCs w:val="20"/>
        </w:rPr>
        <w:t>notes</w:t>
      </w:r>
      <w:r w:rsidRPr="0030354F">
        <w:rPr>
          <w:rFonts w:ascii="Arial" w:hAnsi="Arial" w:cs="Arial"/>
          <w:sz w:val="20"/>
          <w:szCs w:val="20"/>
        </w:rPr>
        <w:t xml:space="preserve"> that the Business Amendment Bill to replace the Business Act (1991) has still not been </w:t>
      </w:r>
      <w:r w:rsidR="00D53304" w:rsidRPr="0030354F">
        <w:rPr>
          <w:rFonts w:ascii="Arial" w:hAnsi="Arial" w:cs="Arial"/>
          <w:sz w:val="20"/>
          <w:szCs w:val="20"/>
        </w:rPr>
        <w:t>brought before</w:t>
      </w:r>
      <w:r w:rsidRPr="0030354F">
        <w:rPr>
          <w:rFonts w:ascii="Arial" w:hAnsi="Arial" w:cs="Arial"/>
          <w:sz w:val="20"/>
          <w:szCs w:val="20"/>
        </w:rPr>
        <w:t xml:space="preserve"> Parliament notwithstanding numerous assu</w:t>
      </w:r>
      <w:r w:rsidR="00055997" w:rsidRPr="0030354F">
        <w:rPr>
          <w:rFonts w:ascii="Arial" w:hAnsi="Arial" w:cs="Arial"/>
          <w:sz w:val="20"/>
          <w:szCs w:val="20"/>
        </w:rPr>
        <w:t xml:space="preserve">rances by the Department </w:t>
      </w:r>
      <w:r w:rsidR="0015058A" w:rsidRPr="0030354F">
        <w:rPr>
          <w:rFonts w:ascii="Arial" w:hAnsi="Arial" w:cs="Arial"/>
          <w:sz w:val="20"/>
          <w:szCs w:val="20"/>
        </w:rPr>
        <w:t>to table the draft b</w:t>
      </w:r>
      <w:r w:rsidRPr="0030354F">
        <w:rPr>
          <w:rFonts w:ascii="Arial" w:hAnsi="Arial" w:cs="Arial"/>
          <w:sz w:val="20"/>
          <w:szCs w:val="20"/>
        </w:rPr>
        <w:t xml:space="preserve">ill once </w:t>
      </w:r>
      <w:r w:rsidR="00055997" w:rsidRPr="0030354F">
        <w:rPr>
          <w:rFonts w:ascii="Arial" w:hAnsi="Arial" w:cs="Arial"/>
          <w:sz w:val="20"/>
          <w:szCs w:val="20"/>
        </w:rPr>
        <w:t xml:space="preserve">all </w:t>
      </w:r>
      <w:r w:rsidRPr="0030354F">
        <w:rPr>
          <w:rFonts w:ascii="Arial" w:hAnsi="Arial" w:cs="Arial"/>
          <w:sz w:val="20"/>
          <w:szCs w:val="20"/>
        </w:rPr>
        <w:t>exe</w:t>
      </w:r>
      <w:r w:rsidR="00703669" w:rsidRPr="0030354F">
        <w:rPr>
          <w:rFonts w:ascii="Arial" w:hAnsi="Arial" w:cs="Arial"/>
          <w:sz w:val="20"/>
          <w:szCs w:val="20"/>
        </w:rPr>
        <w:t xml:space="preserve">cutive processes are exhausted. </w:t>
      </w:r>
      <w:r w:rsidRPr="0030354F">
        <w:rPr>
          <w:rFonts w:ascii="Arial" w:hAnsi="Arial" w:cs="Arial"/>
          <w:sz w:val="20"/>
          <w:szCs w:val="20"/>
        </w:rPr>
        <w:t xml:space="preserve">The Committee </w:t>
      </w:r>
      <w:r w:rsidR="00DF3BE2" w:rsidRPr="0030354F">
        <w:rPr>
          <w:rFonts w:ascii="Arial" w:hAnsi="Arial" w:cs="Arial"/>
          <w:sz w:val="20"/>
          <w:szCs w:val="20"/>
        </w:rPr>
        <w:t xml:space="preserve">is </w:t>
      </w:r>
      <w:r w:rsidR="00703669" w:rsidRPr="0030354F">
        <w:rPr>
          <w:rFonts w:ascii="Arial" w:hAnsi="Arial" w:cs="Arial"/>
          <w:sz w:val="20"/>
          <w:szCs w:val="20"/>
        </w:rPr>
        <w:t xml:space="preserve">not optimistic </w:t>
      </w:r>
      <w:r w:rsidR="001B253A" w:rsidRPr="0030354F">
        <w:rPr>
          <w:rFonts w:ascii="Arial" w:hAnsi="Arial" w:cs="Arial"/>
          <w:sz w:val="20"/>
          <w:szCs w:val="20"/>
        </w:rPr>
        <w:t>that th</w:t>
      </w:r>
      <w:r w:rsidR="009B7C70" w:rsidRPr="0030354F">
        <w:rPr>
          <w:rFonts w:ascii="Arial" w:hAnsi="Arial" w:cs="Arial"/>
          <w:sz w:val="20"/>
          <w:szCs w:val="20"/>
        </w:rPr>
        <w:t>is</w:t>
      </w:r>
      <w:r w:rsidR="001B253A" w:rsidRPr="0030354F">
        <w:rPr>
          <w:rFonts w:ascii="Arial" w:hAnsi="Arial" w:cs="Arial"/>
          <w:sz w:val="20"/>
          <w:szCs w:val="20"/>
        </w:rPr>
        <w:t xml:space="preserve"> bill </w:t>
      </w:r>
      <w:r w:rsidR="009B7C70" w:rsidRPr="0030354F">
        <w:rPr>
          <w:rFonts w:ascii="Arial" w:hAnsi="Arial" w:cs="Arial"/>
          <w:sz w:val="20"/>
          <w:szCs w:val="20"/>
        </w:rPr>
        <w:t>will soon be finalised</w:t>
      </w:r>
      <w:r w:rsidR="001B253A" w:rsidRPr="0030354F">
        <w:rPr>
          <w:rFonts w:ascii="Arial" w:hAnsi="Arial" w:cs="Arial"/>
          <w:sz w:val="20"/>
          <w:szCs w:val="20"/>
        </w:rPr>
        <w:t xml:space="preserve"> </w:t>
      </w:r>
      <w:r w:rsidR="005B58D4" w:rsidRPr="0030354F">
        <w:rPr>
          <w:rFonts w:ascii="Arial" w:hAnsi="Arial" w:cs="Arial"/>
          <w:sz w:val="20"/>
          <w:szCs w:val="20"/>
        </w:rPr>
        <w:t xml:space="preserve">because in </w:t>
      </w:r>
      <w:r w:rsidR="00055997" w:rsidRPr="0030354F">
        <w:rPr>
          <w:rFonts w:ascii="Arial" w:hAnsi="Arial" w:cs="Arial"/>
          <w:sz w:val="20"/>
          <w:szCs w:val="20"/>
        </w:rPr>
        <w:t>t</w:t>
      </w:r>
      <w:r w:rsidR="005B58D4" w:rsidRPr="0030354F">
        <w:rPr>
          <w:rFonts w:ascii="Arial" w:hAnsi="Arial" w:cs="Arial"/>
          <w:sz w:val="20"/>
          <w:szCs w:val="20"/>
        </w:rPr>
        <w:t>he</w:t>
      </w:r>
      <w:r w:rsidR="00055997" w:rsidRPr="0030354F">
        <w:rPr>
          <w:rFonts w:ascii="Arial" w:hAnsi="Arial" w:cs="Arial"/>
          <w:sz w:val="20"/>
          <w:szCs w:val="20"/>
        </w:rPr>
        <w:t xml:space="preserve"> </w:t>
      </w:r>
      <w:r w:rsidRPr="0030354F">
        <w:rPr>
          <w:rFonts w:ascii="Arial" w:hAnsi="Arial" w:cs="Arial"/>
          <w:sz w:val="20"/>
          <w:szCs w:val="20"/>
        </w:rPr>
        <w:t>annual performance plan</w:t>
      </w:r>
      <w:r w:rsidR="005B58D4" w:rsidRPr="0030354F">
        <w:rPr>
          <w:rFonts w:ascii="Arial" w:hAnsi="Arial" w:cs="Arial"/>
          <w:sz w:val="20"/>
          <w:szCs w:val="20"/>
        </w:rPr>
        <w:t xml:space="preserve"> (2022/23)</w:t>
      </w:r>
      <w:r w:rsidRPr="0030354F">
        <w:rPr>
          <w:rFonts w:ascii="Arial" w:hAnsi="Arial" w:cs="Arial"/>
          <w:sz w:val="20"/>
          <w:szCs w:val="20"/>
        </w:rPr>
        <w:t xml:space="preserve"> </w:t>
      </w:r>
      <w:r w:rsidR="006557C8" w:rsidRPr="0030354F">
        <w:rPr>
          <w:rFonts w:ascii="Arial" w:hAnsi="Arial" w:cs="Arial"/>
          <w:sz w:val="20"/>
          <w:szCs w:val="20"/>
        </w:rPr>
        <w:t xml:space="preserve">presented to Parliament </w:t>
      </w:r>
      <w:r w:rsidR="005B58D4" w:rsidRPr="0030354F">
        <w:rPr>
          <w:rFonts w:ascii="Arial" w:hAnsi="Arial" w:cs="Arial"/>
          <w:sz w:val="20"/>
          <w:szCs w:val="20"/>
        </w:rPr>
        <w:t xml:space="preserve">- </w:t>
      </w:r>
      <w:r w:rsidRPr="0030354F">
        <w:rPr>
          <w:rFonts w:ascii="Arial" w:hAnsi="Arial" w:cs="Arial"/>
          <w:sz w:val="20"/>
          <w:szCs w:val="20"/>
        </w:rPr>
        <w:t xml:space="preserve">it </w:t>
      </w:r>
      <w:r w:rsidR="00055997" w:rsidRPr="0030354F">
        <w:rPr>
          <w:rFonts w:ascii="Arial" w:hAnsi="Arial" w:cs="Arial"/>
          <w:sz w:val="20"/>
          <w:szCs w:val="20"/>
        </w:rPr>
        <w:t>wa</w:t>
      </w:r>
      <w:r w:rsidRPr="0030354F">
        <w:rPr>
          <w:rFonts w:ascii="Arial" w:hAnsi="Arial" w:cs="Arial"/>
          <w:sz w:val="20"/>
          <w:szCs w:val="20"/>
        </w:rPr>
        <w:t>s intimated that the bill m</w:t>
      </w:r>
      <w:r w:rsidR="00703669" w:rsidRPr="0030354F">
        <w:rPr>
          <w:rFonts w:ascii="Arial" w:hAnsi="Arial" w:cs="Arial"/>
          <w:sz w:val="20"/>
          <w:szCs w:val="20"/>
        </w:rPr>
        <w:t xml:space="preserve">ight </w:t>
      </w:r>
      <w:r w:rsidRPr="0030354F">
        <w:rPr>
          <w:rFonts w:ascii="Arial" w:hAnsi="Arial" w:cs="Arial"/>
          <w:sz w:val="20"/>
          <w:szCs w:val="20"/>
        </w:rPr>
        <w:t>only be referred to Parliament in 2025.</w:t>
      </w:r>
    </w:p>
    <w:p w:rsidR="00CC1FBC" w:rsidRPr="0030354F" w:rsidRDefault="00CC1FBC" w:rsidP="0030354F">
      <w:pPr>
        <w:spacing w:after="0" w:line="240" w:lineRule="auto"/>
        <w:ind w:left="720" w:hanging="720"/>
        <w:contextualSpacing/>
        <w:rPr>
          <w:rFonts w:ascii="Arial" w:hAnsi="Arial" w:cs="Arial"/>
          <w:sz w:val="20"/>
          <w:szCs w:val="20"/>
        </w:rPr>
      </w:pPr>
      <w:r w:rsidRPr="0030354F">
        <w:rPr>
          <w:rFonts w:ascii="Arial" w:hAnsi="Arial" w:cs="Arial"/>
          <w:sz w:val="20"/>
          <w:szCs w:val="20"/>
        </w:rPr>
        <w:t>6.5</w:t>
      </w:r>
      <w:r w:rsidRPr="0030354F">
        <w:rPr>
          <w:rFonts w:ascii="Arial" w:hAnsi="Arial" w:cs="Arial"/>
          <w:sz w:val="20"/>
          <w:szCs w:val="20"/>
        </w:rPr>
        <w:tab/>
        <w:t>The Committee has noted the increase in the number of complaints</w:t>
      </w:r>
      <w:r w:rsidR="00A926D5" w:rsidRPr="0030354F">
        <w:rPr>
          <w:rFonts w:ascii="Arial" w:hAnsi="Arial" w:cs="Arial"/>
          <w:sz w:val="20"/>
          <w:szCs w:val="20"/>
        </w:rPr>
        <w:t xml:space="preserve"> of unfair business practice</w:t>
      </w:r>
      <w:r w:rsidRPr="0030354F">
        <w:rPr>
          <w:rFonts w:ascii="Arial" w:hAnsi="Arial" w:cs="Arial"/>
          <w:sz w:val="20"/>
          <w:szCs w:val="20"/>
        </w:rPr>
        <w:t xml:space="preserve"> referred to it </w:t>
      </w:r>
      <w:r w:rsidR="00A926D5" w:rsidRPr="0030354F">
        <w:rPr>
          <w:rFonts w:ascii="Arial" w:hAnsi="Arial" w:cs="Arial"/>
          <w:sz w:val="20"/>
          <w:szCs w:val="20"/>
        </w:rPr>
        <w:t>by t</w:t>
      </w:r>
      <w:r w:rsidRPr="0030354F">
        <w:rPr>
          <w:rFonts w:ascii="Arial" w:hAnsi="Arial" w:cs="Arial"/>
          <w:sz w:val="20"/>
          <w:szCs w:val="20"/>
        </w:rPr>
        <w:t>he sector including the petition currently before it.</w:t>
      </w:r>
      <w:r w:rsidR="00A926D5" w:rsidRPr="0030354F">
        <w:rPr>
          <w:rFonts w:ascii="Arial" w:hAnsi="Arial" w:cs="Arial"/>
          <w:sz w:val="20"/>
          <w:szCs w:val="20"/>
        </w:rPr>
        <w:t xml:space="preserve"> During the fifth Parliament, the Committee conducted intens</w:t>
      </w:r>
      <w:r w:rsidR="000C73CB" w:rsidRPr="0030354F">
        <w:rPr>
          <w:rFonts w:ascii="Arial" w:hAnsi="Arial" w:cs="Arial"/>
          <w:sz w:val="20"/>
          <w:szCs w:val="20"/>
        </w:rPr>
        <w:t>e</w:t>
      </w:r>
      <w:r w:rsidR="00A926D5" w:rsidRPr="0030354F">
        <w:rPr>
          <w:rFonts w:ascii="Arial" w:hAnsi="Arial" w:cs="Arial"/>
          <w:sz w:val="20"/>
          <w:szCs w:val="20"/>
        </w:rPr>
        <w:t xml:space="preserve"> engagement</w:t>
      </w:r>
      <w:r w:rsidR="001B253A" w:rsidRPr="0030354F">
        <w:rPr>
          <w:rFonts w:ascii="Arial" w:hAnsi="Arial" w:cs="Arial"/>
          <w:sz w:val="20"/>
          <w:szCs w:val="20"/>
        </w:rPr>
        <w:t>s</w:t>
      </w:r>
      <w:r w:rsidR="00A926D5" w:rsidRPr="0030354F">
        <w:rPr>
          <w:rFonts w:ascii="Arial" w:hAnsi="Arial" w:cs="Arial"/>
          <w:sz w:val="20"/>
          <w:szCs w:val="20"/>
        </w:rPr>
        <w:t xml:space="preserve"> with the sect</w:t>
      </w:r>
      <w:r w:rsidR="001B253A" w:rsidRPr="0030354F">
        <w:rPr>
          <w:rFonts w:ascii="Arial" w:hAnsi="Arial" w:cs="Arial"/>
          <w:sz w:val="20"/>
          <w:szCs w:val="20"/>
        </w:rPr>
        <w:t xml:space="preserve">or in order to understand </w:t>
      </w:r>
      <w:r w:rsidR="000C73CB" w:rsidRPr="0030354F">
        <w:rPr>
          <w:rFonts w:ascii="Arial" w:hAnsi="Arial" w:cs="Arial"/>
          <w:sz w:val="20"/>
          <w:szCs w:val="20"/>
        </w:rPr>
        <w:t>small business</w:t>
      </w:r>
      <w:r w:rsidR="00A926D5" w:rsidRPr="0030354F">
        <w:rPr>
          <w:rFonts w:ascii="Arial" w:hAnsi="Arial" w:cs="Arial"/>
          <w:sz w:val="20"/>
          <w:szCs w:val="20"/>
        </w:rPr>
        <w:t xml:space="preserve"> concerns </w:t>
      </w:r>
      <w:r w:rsidR="00D53304" w:rsidRPr="0030354F">
        <w:rPr>
          <w:rFonts w:ascii="Arial" w:hAnsi="Arial" w:cs="Arial"/>
          <w:sz w:val="20"/>
          <w:szCs w:val="20"/>
        </w:rPr>
        <w:t>to ascertain</w:t>
      </w:r>
      <w:r w:rsidR="00A926D5" w:rsidRPr="0030354F">
        <w:rPr>
          <w:rFonts w:ascii="Arial" w:hAnsi="Arial" w:cs="Arial"/>
          <w:sz w:val="20"/>
          <w:szCs w:val="20"/>
        </w:rPr>
        <w:t xml:space="preserve"> possible policy, </w:t>
      </w:r>
      <w:r w:rsidR="00D53304" w:rsidRPr="0030354F">
        <w:rPr>
          <w:rFonts w:ascii="Arial" w:hAnsi="Arial" w:cs="Arial"/>
          <w:sz w:val="20"/>
          <w:szCs w:val="20"/>
        </w:rPr>
        <w:t xml:space="preserve">legal and regulatory mechanisms </w:t>
      </w:r>
      <w:r w:rsidR="00A926D5" w:rsidRPr="0030354F">
        <w:rPr>
          <w:rFonts w:ascii="Arial" w:hAnsi="Arial" w:cs="Arial"/>
          <w:sz w:val="20"/>
          <w:szCs w:val="20"/>
        </w:rPr>
        <w:t xml:space="preserve">that Parliament could </w:t>
      </w:r>
      <w:r w:rsidR="000C73CB" w:rsidRPr="0030354F">
        <w:rPr>
          <w:rFonts w:ascii="Arial" w:hAnsi="Arial" w:cs="Arial"/>
          <w:sz w:val="20"/>
          <w:szCs w:val="20"/>
        </w:rPr>
        <w:t>put in place</w:t>
      </w:r>
      <w:r w:rsidR="00A926D5" w:rsidRPr="0030354F">
        <w:rPr>
          <w:rFonts w:ascii="Arial" w:hAnsi="Arial" w:cs="Arial"/>
          <w:sz w:val="20"/>
          <w:szCs w:val="20"/>
        </w:rPr>
        <w:t>. The Committee had then made a recommendation to the Department to establish an Ombuds office</w:t>
      </w:r>
      <w:r w:rsidR="001B253A" w:rsidRPr="0030354F">
        <w:rPr>
          <w:rFonts w:ascii="Arial" w:hAnsi="Arial" w:cs="Arial"/>
          <w:sz w:val="20"/>
          <w:szCs w:val="20"/>
        </w:rPr>
        <w:t xml:space="preserve"> within a period of 24 months</w:t>
      </w:r>
      <w:r w:rsidR="00A926D5" w:rsidRPr="0030354F">
        <w:rPr>
          <w:rFonts w:ascii="Arial" w:hAnsi="Arial" w:cs="Arial"/>
          <w:sz w:val="20"/>
          <w:szCs w:val="20"/>
        </w:rPr>
        <w:t>. It h</w:t>
      </w:r>
      <w:r w:rsidR="001B253A" w:rsidRPr="0030354F">
        <w:rPr>
          <w:rFonts w:ascii="Arial" w:hAnsi="Arial" w:cs="Arial"/>
          <w:sz w:val="20"/>
          <w:szCs w:val="20"/>
        </w:rPr>
        <w:t>as now been five years since that</w:t>
      </w:r>
      <w:r w:rsidR="00A926D5" w:rsidRPr="0030354F">
        <w:rPr>
          <w:rFonts w:ascii="Arial" w:hAnsi="Arial" w:cs="Arial"/>
          <w:sz w:val="20"/>
          <w:szCs w:val="20"/>
        </w:rPr>
        <w:t xml:space="preserve"> recommendation was first made.</w:t>
      </w:r>
    </w:p>
    <w:p w:rsidR="003B3CB4" w:rsidRPr="0030354F" w:rsidRDefault="0074285B" w:rsidP="0030354F">
      <w:pPr>
        <w:spacing w:after="0" w:line="240" w:lineRule="auto"/>
        <w:ind w:left="720" w:hanging="720"/>
        <w:contextualSpacing/>
        <w:rPr>
          <w:rFonts w:ascii="Arial" w:hAnsi="Arial" w:cs="Arial"/>
          <w:sz w:val="20"/>
          <w:szCs w:val="20"/>
        </w:rPr>
      </w:pPr>
      <w:r w:rsidRPr="0030354F">
        <w:rPr>
          <w:rFonts w:ascii="Arial" w:hAnsi="Arial" w:cs="Arial"/>
          <w:sz w:val="20"/>
          <w:szCs w:val="20"/>
        </w:rPr>
        <w:t>6.6</w:t>
      </w:r>
      <w:r w:rsidR="0081798A" w:rsidRPr="0030354F">
        <w:rPr>
          <w:rFonts w:ascii="Arial" w:hAnsi="Arial" w:cs="Arial"/>
          <w:sz w:val="20"/>
          <w:szCs w:val="20"/>
        </w:rPr>
        <w:tab/>
      </w:r>
      <w:r w:rsidR="008558BB" w:rsidRPr="0030354F">
        <w:rPr>
          <w:rFonts w:ascii="Arial" w:hAnsi="Arial" w:cs="Arial"/>
          <w:sz w:val="20"/>
          <w:szCs w:val="20"/>
        </w:rPr>
        <w:t>The</w:t>
      </w:r>
      <w:r w:rsidR="003B3CB4" w:rsidRPr="0030354F">
        <w:rPr>
          <w:rFonts w:ascii="Arial" w:hAnsi="Arial" w:cs="Arial"/>
          <w:sz w:val="20"/>
          <w:szCs w:val="20"/>
        </w:rPr>
        <w:t xml:space="preserve"> Committee </w:t>
      </w:r>
      <w:r w:rsidR="008558BB" w:rsidRPr="0030354F">
        <w:rPr>
          <w:rFonts w:ascii="Arial" w:hAnsi="Arial" w:cs="Arial"/>
          <w:sz w:val="20"/>
          <w:szCs w:val="20"/>
        </w:rPr>
        <w:t>not</w:t>
      </w:r>
      <w:r w:rsidR="005B58D4" w:rsidRPr="0030354F">
        <w:rPr>
          <w:rFonts w:ascii="Arial" w:hAnsi="Arial" w:cs="Arial"/>
          <w:sz w:val="20"/>
          <w:szCs w:val="20"/>
        </w:rPr>
        <w:t>es</w:t>
      </w:r>
      <w:r w:rsidR="0021626B" w:rsidRPr="0030354F">
        <w:rPr>
          <w:rFonts w:ascii="Arial" w:hAnsi="Arial" w:cs="Arial"/>
          <w:sz w:val="20"/>
          <w:szCs w:val="20"/>
        </w:rPr>
        <w:t xml:space="preserve"> </w:t>
      </w:r>
      <w:r w:rsidR="003B3CB4" w:rsidRPr="0030354F">
        <w:rPr>
          <w:rFonts w:ascii="Arial" w:hAnsi="Arial" w:cs="Arial"/>
          <w:sz w:val="20"/>
          <w:szCs w:val="20"/>
        </w:rPr>
        <w:t>the Minister’s acknowledgement that “SMME credit gap in South Africa is in excess of R350 billion, with start-ups and micro businesses being the most underserved”. The Committee welcomes the proposed cocktail of interventions such as de-risking of lending space to SMMEs through credit guarantees, rethinking forms of collateral, and improving credit information systems that currently disadvantage underserved communitie</w:t>
      </w:r>
      <w:r w:rsidR="0021626B" w:rsidRPr="0030354F">
        <w:rPr>
          <w:rFonts w:ascii="Arial" w:hAnsi="Arial" w:cs="Arial"/>
          <w:sz w:val="20"/>
          <w:szCs w:val="20"/>
        </w:rPr>
        <w:t>s</w:t>
      </w:r>
      <w:r w:rsidR="003B3CB4" w:rsidRPr="0030354F">
        <w:rPr>
          <w:rFonts w:ascii="Arial" w:hAnsi="Arial" w:cs="Arial"/>
          <w:sz w:val="20"/>
          <w:szCs w:val="20"/>
        </w:rPr>
        <w:t>.</w:t>
      </w:r>
      <w:r w:rsidR="00055997" w:rsidRPr="0030354F">
        <w:rPr>
          <w:rFonts w:ascii="Arial" w:hAnsi="Arial" w:cs="Arial"/>
          <w:sz w:val="20"/>
          <w:szCs w:val="20"/>
        </w:rPr>
        <w:t xml:space="preserve"> </w:t>
      </w:r>
      <w:r w:rsidR="0015058A" w:rsidRPr="0030354F">
        <w:rPr>
          <w:rFonts w:ascii="Arial" w:hAnsi="Arial" w:cs="Arial"/>
          <w:sz w:val="20"/>
          <w:szCs w:val="20"/>
        </w:rPr>
        <w:t>The Committee is h</w:t>
      </w:r>
      <w:r w:rsidR="007D3741" w:rsidRPr="0030354F">
        <w:rPr>
          <w:rFonts w:ascii="Arial" w:hAnsi="Arial" w:cs="Arial"/>
          <w:sz w:val="20"/>
          <w:szCs w:val="20"/>
        </w:rPr>
        <w:t>opeful that</w:t>
      </w:r>
      <w:r w:rsidR="00055997" w:rsidRPr="0030354F">
        <w:rPr>
          <w:rFonts w:ascii="Arial" w:hAnsi="Arial" w:cs="Arial"/>
          <w:sz w:val="20"/>
          <w:szCs w:val="20"/>
        </w:rPr>
        <w:t xml:space="preserve"> these proposed measures </w:t>
      </w:r>
      <w:r w:rsidR="0081798A" w:rsidRPr="0030354F">
        <w:rPr>
          <w:rFonts w:ascii="Arial" w:hAnsi="Arial" w:cs="Arial"/>
          <w:sz w:val="20"/>
          <w:szCs w:val="20"/>
        </w:rPr>
        <w:t xml:space="preserve">will be </w:t>
      </w:r>
      <w:r w:rsidR="00055997" w:rsidRPr="0030354F">
        <w:rPr>
          <w:rFonts w:ascii="Arial" w:hAnsi="Arial" w:cs="Arial"/>
          <w:sz w:val="20"/>
          <w:szCs w:val="20"/>
        </w:rPr>
        <w:t>contained in the SMME and Co-operatives Funding policy</w:t>
      </w:r>
      <w:r w:rsidR="007D3741" w:rsidRPr="0030354F">
        <w:rPr>
          <w:rFonts w:ascii="Arial" w:hAnsi="Arial" w:cs="Arial"/>
          <w:sz w:val="20"/>
          <w:szCs w:val="20"/>
        </w:rPr>
        <w:t xml:space="preserve"> soon to be finalised by the Department</w:t>
      </w:r>
      <w:r w:rsidR="00055997" w:rsidRPr="0030354F">
        <w:rPr>
          <w:rFonts w:ascii="Arial" w:hAnsi="Arial" w:cs="Arial"/>
          <w:sz w:val="20"/>
          <w:szCs w:val="20"/>
        </w:rPr>
        <w:t>.</w:t>
      </w:r>
    </w:p>
    <w:p w:rsidR="003B3CB4" w:rsidRPr="0030354F" w:rsidRDefault="0074285B" w:rsidP="0030354F">
      <w:pPr>
        <w:spacing w:after="0" w:line="240" w:lineRule="auto"/>
        <w:ind w:left="720" w:hanging="720"/>
        <w:contextualSpacing/>
        <w:rPr>
          <w:rFonts w:ascii="Arial" w:hAnsi="Arial" w:cs="Arial"/>
          <w:sz w:val="20"/>
          <w:szCs w:val="20"/>
        </w:rPr>
      </w:pPr>
      <w:r w:rsidRPr="0030354F">
        <w:rPr>
          <w:rFonts w:ascii="Arial" w:hAnsi="Arial" w:cs="Arial"/>
          <w:sz w:val="20"/>
          <w:szCs w:val="20"/>
        </w:rPr>
        <w:t>6.7</w:t>
      </w:r>
      <w:r w:rsidR="003B3CB4" w:rsidRPr="0030354F">
        <w:rPr>
          <w:rFonts w:ascii="Arial" w:hAnsi="Arial" w:cs="Arial"/>
          <w:sz w:val="20"/>
          <w:szCs w:val="20"/>
        </w:rPr>
        <w:tab/>
      </w:r>
      <w:r w:rsidR="0021626B" w:rsidRPr="0030354F">
        <w:rPr>
          <w:rFonts w:ascii="Arial" w:hAnsi="Arial" w:cs="Arial"/>
          <w:sz w:val="20"/>
          <w:szCs w:val="20"/>
        </w:rPr>
        <w:t>Pursuant to 6.</w:t>
      </w:r>
      <w:r w:rsidR="008558BB" w:rsidRPr="0030354F">
        <w:rPr>
          <w:rFonts w:ascii="Arial" w:hAnsi="Arial" w:cs="Arial"/>
          <w:sz w:val="20"/>
          <w:szCs w:val="20"/>
        </w:rPr>
        <w:t>6</w:t>
      </w:r>
      <w:r w:rsidR="0021626B" w:rsidRPr="0030354F">
        <w:rPr>
          <w:rFonts w:ascii="Arial" w:hAnsi="Arial" w:cs="Arial"/>
          <w:sz w:val="20"/>
          <w:szCs w:val="20"/>
        </w:rPr>
        <w:t xml:space="preserve"> above, t</w:t>
      </w:r>
      <w:r w:rsidR="00703669" w:rsidRPr="0030354F">
        <w:rPr>
          <w:rFonts w:ascii="Arial" w:hAnsi="Arial" w:cs="Arial"/>
          <w:sz w:val="20"/>
          <w:szCs w:val="20"/>
        </w:rPr>
        <w:t xml:space="preserve">he Committee </w:t>
      </w:r>
      <w:r w:rsidR="0081798A" w:rsidRPr="0030354F">
        <w:rPr>
          <w:rFonts w:ascii="Arial" w:hAnsi="Arial" w:cs="Arial"/>
          <w:sz w:val="20"/>
          <w:szCs w:val="20"/>
        </w:rPr>
        <w:t xml:space="preserve">observed with great concern </w:t>
      </w:r>
      <w:r w:rsidR="001642AE" w:rsidRPr="0030354F">
        <w:rPr>
          <w:rFonts w:ascii="Arial" w:hAnsi="Arial" w:cs="Arial"/>
          <w:sz w:val="20"/>
          <w:szCs w:val="20"/>
        </w:rPr>
        <w:t>that</w:t>
      </w:r>
      <w:r w:rsidR="003B3CB4" w:rsidRPr="0030354F">
        <w:rPr>
          <w:rFonts w:ascii="Arial" w:hAnsi="Arial" w:cs="Arial"/>
          <w:sz w:val="20"/>
          <w:szCs w:val="20"/>
        </w:rPr>
        <w:t xml:space="preserve"> not even a single co-operative benefited from Sefa funding during 0</w:t>
      </w:r>
      <w:r w:rsidR="002F457D" w:rsidRPr="0030354F">
        <w:rPr>
          <w:rFonts w:ascii="Arial" w:hAnsi="Arial" w:cs="Arial"/>
          <w:sz w:val="20"/>
          <w:szCs w:val="20"/>
        </w:rPr>
        <w:t xml:space="preserve">1 April 2021 to 31 March 2022. </w:t>
      </w:r>
      <w:r w:rsidR="002F457D" w:rsidRPr="0030354F">
        <w:rPr>
          <w:rFonts w:ascii="Arial" w:eastAsiaTheme="minorEastAsia" w:hAnsi="Arial" w:cs="Arial"/>
          <w:bCs/>
          <w:kern w:val="24"/>
          <w:sz w:val="20"/>
          <w:szCs w:val="20"/>
        </w:rPr>
        <w:t xml:space="preserve">The Committee </w:t>
      </w:r>
      <w:r w:rsidR="001642AE" w:rsidRPr="0030354F">
        <w:rPr>
          <w:rFonts w:ascii="Arial" w:eastAsiaTheme="minorEastAsia" w:hAnsi="Arial" w:cs="Arial"/>
          <w:bCs/>
          <w:kern w:val="24"/>
          <w:sz w:val="20"/>
          <w:szCs w:val="20"/>
        </w:rPr>
        <w:t>rejects</w:t>
      </w:r>
      <w:r w:rsidR="002F457D" w:rsidRPr="0030354F">
        <w:rPr>
          <w:rFonts w:ascii="Arial" w:eastAsiaTheme="minorEastAsia" w:hAnsi="Arial" w:cs="Arial"/>
          <w:bCs/>
          <w:kern w:val="24"/>
          <w:sz w:val="20"/>
          <w:szCs w:val="20"/>
        </w:rPr>
        <w:t xml:space="preserve"> the Department</w:t>
      </w:r>
      <w:r w:rsidR="001642AE" w:rsidRPr="0030354F">
        <w:rPr>
          <w:rFonts w:ascii="Arial" w:eastAsiaTheme="minorEastAsia" w:hAnsi="Arial" w:cs="Arial"/>
          <w:bCs/>
          <w:kern w:val="24"/>
          <w:sz w:val="20"/>
          <w:szCs w:val="20"/>
        </w:rPr>
        <w:t xml:space="preserve">’s </w:t>
      </w:r>
      <w:r w:rsidR="0081798A" w:rsidRPr="0030354F">
        <w:rPr>
          <w:rFonts w:ascii="Arial" w:eastAsiaTheme="minorEastAsia" w:hAnsi="Arial" w:cs="Arial"/>
          <w:bCs/>
          <w:kern w:val="24"/>
          <w:sz w:val="20"/>
          <w:szCs w:val="20"/>
        </w:rPr>
        <w:t xml:space="preserve">assertion </w:t>
      </w:r>
      <w:r w:rsidR="002F457D" w:rsidRPr="0030354F">
        <w:rPr>
          <w:rFonts w:ascii="Arial" w:eastAsiaTheme="minorEastAsia" w:hAnsi="Arial" w:cs="Arial"/>
          <w:bCs/>
          <w:kern w:val="24"/>
          <w:sz w:val="20"/>
          <w:szCs w:val="20"/>
        </w:rPr>
        <w:t xml:space="preserve">that </w:t>
      </w:r>
      <w:r w:rsidR="0081798A" w:rsidRPr="0030354F">
        <w:rPr>
          <w:rFonts w:ascii="Arial" w:eastAsiaTheme="minorEastAsia" w:hAnsi="Arial" w:cs="Arial"/>
          <w:bCs/>
          <w:kern w:val="24"/>
          <w:sz w:val="20"/>
          <w:szCs w:val="20"/>
        </w:rPr>
        <w:t>“</w:t>
      </w:r>
      <w:r w:rsidR="001642AE" w:rsidRPr="0030354F">
        <w:rPr>
          <w:rFonts w:ascii="Arial" w:eastAsiaTheme="minorEastAsia" w:hAnsi="Arial" w:cs="Arial"/>
          <w:bCs/>
          <w:kern w:val="24"/>
          <w:sz w:val="20"/>
          <w:szCs w:val="20"/>
        </w:rPr>
        <w:t xml:space="preserve">Sefa’s </w:t>
      </w:r>
      <w:r w:rsidR="002F457D" w:rsidRPr="0030354F">
        <w:rPr>
          <w:rFonts w:ascii="Arial" w:eastAsiaTheme="minorEastAsia" w:hAnsi="Arial" w:cs="Arial"/>
          <w:bCs/>
          <w:kern w:val="24"/>
          <w:sz w:val="20"/>
          <w:szCs w:val="20"/>
        </w:rPr>
        <w:t>balance sheet is limited and cannot afford to offer 100 percent grants to SMMEs and Co-operatives</w:t>
      </w:r>
      <w:r w:rsidR="001642AE" w:rsidRPr="0030354F">
        <w:rPr>
          <w:rFonts w:ascii="Arial" w:eastAsiaTheme="minorEastAsia" w:hAnsi="Arial" w:cs="Arial"/>
          <w:bCs/>
          <w:kern w:val="24"/>
          <w:sz w:val="20"/>
          <w:szCs w:val="20"/>
        </w:rPr>
        <w:t>”</w:t>
      </w:r>
      <w:r w:rsidR="002F457D" w:rsidRPr="0030354F">
        <w:rPr>
          <w:rFonts w:ascii="Arial" w:eastAsiaTheme="minorEastAsia" w:hAnsi="Arial" w:cs="Arial"/>
          <w:bCs/>
          <w:kern w:val="24"/>
          <w:sz w:val="20"/>
          <w:szCs w:val="20"/>
        </w:rPr>
        <w:t>.</w:t>
      </w:r>
      <w:r w:rsidR="002F457D" w:rsidRPr="0030354F">
        <w:rPr>
          <w:rFonts w:ascii="Arial" w:hAnsi="Arial" w:cs="Arial"/>
          <w:sz w:val="20"/>
          <w:szCs w:val="20"/>
        </w:rPr>
        <w:t xml:space="preserve"> I</w:t>
      </w:r>
      <w:r w:rsidR="001642AE" w:rsidRPr="0030354F">
        <w:rPr>
          <w:rFonts w:ascii="Arial" w:hAnsi="Arial" w:cs="Arial"/>
          <w:sz w:val="20"/>
          <w:szCs w:val="20"/>
        </w:rPr>
        <w:t xml:space="preserve">f </w:t>
      </w:r>
      <w:r w:rsidR="003B3CB4" w:rsidRPr="0030354F">
        <w:rPr>
          <w:rFonts w:ascii="Arial" w:hAnsi="Arial" w:cs="Arial"/>
          <w:sz w:val="20"/>
          <w:szCs w:val="20"/>
        </w:rPr>
        <w:t>t</w:t>
      </w:r>
      <w:r w:rsidR="001642AE" w:rsidRPr="0030354F">
        <w:rPr>
          <w:rFonts w:ascii="Arial" w:hAnsi="Arial" w:cs="Arial"/>
          <w:sz w:val="20"/>
          <w:szCs w:val="20"/>
        </w:rPr>
        <w:t>he Department and Sefa</w:t>
      </w:r>
      <w:r w:rsidR="003B3CB4" w:rsidRPr="0030354F">
        <w:rPr>
          <w:rFonts w:ascii="Arial" w:hAnsi="Arial" w:cs="Arial"/>
          <w:sz w:val="20"/>
          <w:szCs w:val="20"/>
        </w:rPr>
        <w:t xml:space="preserve"> </w:t>
      </w:r>
      <w:r w:rsidR="00377645" w:rsidRPr="0030354F">
        <w:rPr>
          <w:rFonts w:ascii="Arial" w:hAnsi="Arial" w:cs="Arial"/>
          <w:sz w:val="20"/>
          <w:szCs w:val="20"/>
        </w:rPr>
        <w:t>are able to</w:t>
      </w:r>
      <w:r w:rsidR="0081798A" w:rsidRPr="0030354F">
        <w:rPr>
          <w:rFonts w:ascii="Arial" w:hAnsi="Arial" w:cs="Arial"/>
          <w:sz w:val="20"/>
          <w:szCs w:val="20"/>
        </w:rPr>
        <w:t xml:space="preserve"> diagnose the source of the challenge being </w:t>
      </w:r>
      <w:r w:rsidR="003B3CB4" w:rsidRPr="0030354F">
        <w:rPr>
          <w:rFonts w:ascii="Arial" w:hAnsi="Arial" w:cs="Arial"/>
          <w:sz w:val="20"/>
          <w:szCs w:val="20"/>
        </w:rPr>
        <w:t>that “the blended finance system that is used to fund the Co-operatives makes it difficult for many Co-operatives to qualify and have access to the funds available to them - due to the fact that through blended finance, Co-operatives have to have a positive / healthy cred</w:t>
      </w:r>
      <w:r w:rsidR="0081798A" w:rsidRPr="0030354F">
        <w:rPr>
          <w:rFonts w:ascii="Arial" w:hAnsi="Arial" w:cs="Arial"/>
          <w:sz w:val="20"/>
          <w:szCs w:val="20"/>
        </w:rPr>
        <w:t>it score</w:t>
      </w:r>
      <w:r w:rsidR="003B3CB4" w:rsidRPr="0030354F">
        <w:rPr>
          <w:rFonts w:ascii="Arial" w:hAnsi="Arial" w:cs="Arial"/>
          <w:sz w:val="20"/>
          <w:szCs w:val="20"/>
        </w:rPr>
        <w:t>”</w:t>
      </w:r>
      <w:r w:rsidR="001642AE" w:rsidRPr="0030354F">
        <w:rPr>
          <w:rFonts w:ascii="Arial" w:hAnsi="Arial" w:cs="Arial"/>
          <w:sz w:val="20"/>
          <w:szCs w:val="20"/>
        </w:rPr>
        <w:t>, the</w:t>
      </w:r>
      <w:r w:rsidR="00377645" w:rsidRPr="0030354F">
        <w:rPr>
          <w:rFonts w:ascii="Arial" w:hAnsi="Arial" w:cs="Arial"/>
          <w:sz w:val="20"/>
          <w:szCs w:val="20"/>
        </w:rPr>
        <w:t>n the</w:t>
      </w:r>
      <w:r w:rsidR="00703669" w:rsidRPr="0030354F">
        <w:rPr>
          <w:rFonts w:ascii="Arial" w:hAnsi="Arial" w:cs="Arial"/>
          <w:sz w:val="20"/>
          <w:szCs w:val="20"/>
        </w:rPr>
        <w:t xml:space="preserve"> onus is </w:t>
      </w:r>
      <w:r w:rsidR="001642AE" w:rsidRPr="0030354F">
        <w:rPr>
          <w:rFonts w:ascii="Arial" w:hAnsi="Arial" w:cs="Arial"/>
          <w:sz w:val="20"/>
          <w:szCs w:val="20"/>
        </w:rPr>
        <w:t>on</w:t>
      </w:r>
      <w:r w:rsidR="00C70E99" w:rsidRPr="0030354F">
        <w:rPr>
          <w:rFonts w:ascii="Arial" w:hAnsi="Arial" w:cs="Arial"/>
          <w:sz w:val="20"/>
          <w:szCs w:val="20"/>
        </w:rPr>
        <w:t xml:space="preserve"> the </w:t>
      </w:r>
      <w:r w:rsidR="005B58D4" w:rsidRPr="0030354F">
        <w:rPr>
          <w:rFonts w:ascii="Arial" w:hAnsi="Arial" w:cs="Arial"/>
          <w:sz w:val="20"/>
          <w:szCs w:val="20"/>
        </w:rPr>
        <w:t>Department and Sefa</w:t>
      </w:r>
      <w:r w:rsidR="00C70E99" w:rsidRPr="0030354F">
        <w:rPr>
          <w:rFonts w:ascii="Arial" w:hAnsi="Arial" w:cs="Arial"/>
          <w:sz w:val="20"/>
          <w:szCs w:val="20"/>
        </w:rPr>
        <w:t xml:space="preserve"> to devise</w:t>
      </w:r>
      <w:r w:rsidR="001642AE" w:rsidRPr="0030354F">
        <w:rPr>
          <w:rFonts w:ascii="Arial" w:hAnsi="Arial" w:cs="Arial"/>
          <w:sz w:val="20"/>
          <w:szCs w:val="20"/>
        </w:rPr>
        <w:t xml:space="preserve"> </w:t>
      </w:r>
      <w:r w:rsidR="00703669" w:rsidRPr="0030354F">
        <w:rPr>
          <w:rFonts w:ascii="Arial" w:hAnsi="Arial" w:cs="Arial"/>
          <w:sz w:val="20"/>
          <w:szCs w:val="20"/>
        </w:rPr>
        <w:t xml:space="preserve">mechanisms or </w:t>
      </w:r>
      <w:r w:rsidR="005B58D4" w:rsidRPr="0030354F">
        <w:rPr>
          <w:rFonts w:ascii="Arial" w:hAnsi="Arial" w:cs="Arial"/>
          <w:sz w:val="20"/>
          <w:szCs w:val="20"/>
        </w:rPr>
        <w:t xml:space="preserve">mitigating strategy to deal with </w:t>
      </w:r>
      <w:r w:rsidR="00D53304" w:rsidRPr="0030354F">
        <w:rPr>
          <w:rFonts w:ascii="Arial" w:hAnsi="Arial" w:cs="Arial"/>
          <w:sz w:val="20"/>
          <w:szCs w:val="20"/>
        </w:rPr>
        <w:t>imbalance</w:t>
      </w:r>
      <w:r w:rsidR="003B3CB4" w:rsidRPr="0030354F">
        <w:rPr>
          <w:rFonts w:ascii="Arial" w:hAnsi="Arial" w:cs="Arial"/>
          <w:sz w:val="20"/>
          <w:szCs w:val="20"/>
        </w:rPr>
        <w:t xml:space="preserve">. During </w:t>
      </w:r>
      <w:r w:rsidR="007F074C" w:rsidRPr="0030354F">
        <w:rPr>
          <w:rFonts w:ascii="Arial" w:hAnsi="Arial" w:cs="Arial"/>
          <w:sz w:val="20"/>
          <w:szCs w:val="20"/>
        </w:rPr>
        <w:t xml:space="preserve">the Department’s tabling of its </w:t>
      </w:r>
      <w:r w:rsidR="003B3CB4" w:rsidRPr="0030354F">
        <w:rPr>
          <w:rFonts w:ascii="Arial" w:hAnsi="Arial" w:cs="Arial"/>
          <w:sz w:val="20"/>
          <w:szCs w:val="20"/>
        </w:rPr>
        <w:t>annual performance plan</w:t>
      </w:r>
      <w:r w:rsidR="00377645" w:rsidRPr="0030354F">
        <w:rPr>
          <w:rFonts w:ascii="Arial" w:hAnsi="Arial" w:cs="Arial"/>
          <w:sz w:val="20"/>
          <w:szCs w:val="20"/>
        </w:rPr>
        <w:t xml:space="preserve"> (2022/3)</w:t>
      </w:r>
      <w:r w:rsidR="0021626B" w:rsidRPr="0030354F">
        <w:rPr>
          <w:rFonts w:ascii="Arial" w:hAnsi="Arial" w:cs="Arial"/>
          <w:sz w:val="20"/>
          <w:szCs w:val="20"/>
        </w:rPr>
        <w:t>,</w:t>
      </w:r>
      <w:r w:rsidR="003B3CB4" w:rsidRPr="0030354F">
        <w:rPr>
          <w:rFonts w:ascii="Arial" w:hAnsi="Arial" w:cs="Arial"/>
          <w:sz w:val="20"/>
          <w:szCs w:val="20"/>
        </w:rPr>
        <w:t xml:space="preserve"> the Committee expressed its di</w:t>
      </w:r>
      <w:r w:rsidR="007F074C" w:rsidRPr="0030354F">
        <w:rPr>
          <w:rFonts w:ascii="Arial" w:hAnsi="Arial" w:cs="Arial"/>
          <w:sz w:val="20"/>
          <w:szCs w:val="20"/>
        </w:rPr>
        <w:t xml:space="preserve">spleasure and cautioned against </w:t>
      </w:r>
      <w:r w:rsidR="003B3CB4" w:rsidRPr="0030354F">
        <w:rPr>
          <w:rFonts w:ascii="Arial" w:hAnsi="Arial" w:cs="Arial"/>
          <w:sz w:val="20"/>
          <w:szCs w:val="20"/>
        </w:rPr>
        <w:t xml:space="preserve">phasing out </w:t>
      </w:r>
      <w:r w:rsidR="007F074C" w:rsidRPr="0030354F">
        <w:rPr>
          <w:rFonts w:ascii="Arial" w:hAnsi="Arial" w:cs="Arial"/>
          <w:sz w:val="20"/>
          <w:szCs w:val="20"/>
        </w:rPr>
        <w:t xml:space="preserve">of </w:t>
      </w:r>
      <w:r w:rsidR="003B3CB4" w:rsidRPr="0030354F">
        <w:rPr>
          <w:rFonts w:ascii="Arial" w:hAnsi="Arial" w:cs="Arial"/>
          <w:sz w:val="20"/>
          <w:szCs w:val="20"/>
        </w:rPr>
        <w:t>grants and incentives in favour of concessional loans, blended financing, income-contingent repayments, instalment relief and/or payment holidays to name the few. While these interventions are welcome for going-concern enterprises that are able to produce</w:t>
      </w:r>
      <w:r w:rsidR="005B58D4" w:rsidRPr="0030354F">
        <w:rPr>
          <w:rFonts w:ascii="Arial" w:hAnsi="Arial" w:cs="Arial"/>
          <w:sz w:val="20"/>
          <w:szCs w:val="20"/>
        </w:rPr>
        <w:t xml:space="preserve">, among others, </w:t>
      </w:r>
      <w:r w:rsidR="003B3CB4" w:rsidRPr="0030354F">
        <w:rPr>
          <w:rFonts w:ascii="Arial" w:hAnsi="Arial" w:cs="Arial"/>
          <w:sz w:val="20"/>
          <w:szCs w:val="20"/>
        </w:rPr>
        <w:t>management accounts, financial statement</w:t>
      </w:r>
      <w:r w:rsidR="00703669" w:rsidRPr="0030354F">
        <w:rPr>
          <w:rFonts w:ascii="Arial" w:hAnsi="Arial" w:cs="Arial"/>
          <w:sz w:val="20"/>
          <w:szCs w:val="20"/>
        </w:rPr>
        <w:t>s, collateral etc, it was</w:t>
      </w:r>
      <w:r w:rsidR="003B3CB4" w:rsidRPr="0030354F">
        <w:rPr>
          <w:rFonts w:ascii="Arial" w:hAnsi="Arial" w:cs="Arial"/>
          <w:sz w:val="20"/>
          <w:szCs w:val="20"/>
        </w:rPr>
        <w:t xml:space="preserve"> premature for the Department to extend this blanket policy to co-operatives.</w:t>
      </w:r>
    </w:p>
    <w:p w:rsidR="00004A72" w:rsidRPr="0030354F" w:rsidRDefault="00004A72" w:rsidP="0030354F">
      <w:pPr>
        <w:spacing w:after="0" w:line="240" w:lineRule="auto"/>
        <w:ind w:left="720" w:hanging="720"/>
        <w:contextualSpacing/>
        <w:rPr>
          <w:rFonts w:ascii="Arial" w:hAnsi="Arial" w:cs="Arial"/>
          <w:sz w:val="20"/>
          <w:szCs w:val="20"/>
        </w:rPr>
      </w:pPr>
      <w:r w:rsidRPr="0030354F">
        <w:rPr>
          <w:rFonts w:ascii="Arial" w:hAnsi="Arial" w:cs="Arial"/>
          <w:sz w:val="20"/>
          <w:szCs w:val="20"/>
        </w:rPr>
        <w:t>6.8</w:t>
      </w:r>
      <w:r w:rsidRPr="0030354F">
        <w:rPr>
          <w:rFonts w:ascii="Arial" w:hAnsi="Arial" w:cs="Arial"/>
          <w:sz w:val="20"/>
          <w:szCs w:val="20"/>
        </w:rPr>
        <w:tab/>
        <w:t xml:space="preserve">The Committee is noting disjointed </w:t>
      </w:r>
      <w:r w:rsidR="00DB415B" w:rsidRPr="0030354F">
        <w:rPr>
          <w:rFonts w:ascii="Arial" w:hAnsi="Arial" w:cs="Arial"/>
          <w:sz w:val="20"/>
          <w:szCs w:val="20"/>
        </w:rPr>
        <w:t xml:space="preserve">working </w:t>
      </w:r>
      <w:r w:rsidRPr="0030354F">
        <w:rPr>
          <w:rFonts w:ascii="Arial" w:hAnsi="Arial" w:cs="Arial"/>
          <w:sz w:val="20"/>
          <w:szCs w:val="20"/>
        </w:rPr>
        <w:t>relationship between Seda and Sefa in as far as handling of applications for funding are concerned. D</w:t>
      </w:r>
      <w:r w:rsidR="00DB415B" w:rsidRPr="0030354F">
        <w:rPr>
          <w:rFonts w:ascii="Arial" w:hAnsi="Arial" w:cs="Arial"/>
          <w:sz w:val="20"/>
          <w:szCs w:val="20"/>
        </w:rPr>
        <w:t>ifficulty in</w:t>
      </w:r>
      <w:r w:rsidRPr="0030354F">
        <w:rPr>
          <w:rFonts w:ascii="Arial" w:hAnsi="Arial" w:cs="Arial"/>
          <w:sz w:val="20"/>
          <w:szCs w:val="20"/>
        </w:rPr>
        <w:t xml:space="preserve"> achieving seamless</w:t>
      </w:r>
      <w:r w:rsidR="00DB415B" w:rsidRPr="0030354F">
        <w:rPr>
          <w:rFonts w:ascii="Arial" w:hAnsi="Arial" w:cs="Arial"/>
          <w:sz w:val="20"/>
          <w:szCs w:val="20"/>
        </w:rPr>
        <w:t xml:space="preserve"> and collaborative </w:t>
      </w:r>
      <w:r w:rsidR="008558BB" w:rsidRPr="0030354F">
        <w:rPr>
          <w:rFonts w:ascii="Arial" w:hAnsi="Arial" w:cs="Arial"/>
          <w:sz w:val="20"/>
          <w:szCs w:val="20"/>
        </w:rPr>
        <w:t>rapport</w:t>
      </w:r>
      <w:r w:rsidR="00DB415B" w:rsidRPr="0030354F">
        <w:rPr>
          <w:rFonts w:ascii="Arial" w:hAnsi="Arial" w:cs="Arial"/>
          <w:sz w:val="20"/>
          <w:szCs w:val="20"/>
        </w:rPr>
        <w:t xml:space="preserve"> between the two agencies is showing beyond doubt the urgency and necessity to combine the two entities. The Committee further took note of Sefa Chief Executive Officer’s remarks that it </w:t>
      </w:r>
      <w:r w:rsidR="007F074C" w:rsidRPr="0030354F">
        <w:rPr>
          <w:rFonts w:ascii="Arial" w:hAnsi="Arial" w:cs="Arial"/>
          <w:sz w:val="20"/>
          <w:szCs w:val="20"/>
        </w:rPr>
        <w:t>may</w:t>
      </w:r>
      <w:r w:rsidR="008558BB" w:rsidRPr="0030354F">
        <w:rPr>
          <w:rFonts w:ascii="Arial" w:hAnsi="Arial" w:cs="Arial"/>
          <w:sz w:val="20"/>
          <w:szCs w:val="20"/>
        </w:rPr>
        <w:t xml:space="preserve"> not</w:t>
      </w:r>
      <w:r w:rsidR="00DB415B" w:rsidRPr="0030354F">
        <w:rPr>
          <w:rFonts w:ascii="Arial" w:hAnsi="Arial" w:cs="Arial"/>
          <w:sz w:val="20"/>
          <w:szCs w:val="20"/>
        </w:rPr>
        <w:t xml:space="preserve"> </w:t>
      </w:r>
      <w:r w:rsidR="007F074C" w:rsidRPr="0030354F">
        <w:rPr>
          <w:rFonts w:ascii="Arial" w:hAnsi="Arial" w:cs="Arial"/>
          <w:sz w:val="20"/>
          <w:szCs w:val="20"/>
        </w:rPr>
        <w:t xml:space="preserve">be </w:t>
      </w:r>
      <w:r w:rsidR="00DB415B" w:rsidRPr="0030354F">
        <w:rPr>
          <w:rFonts w:ascii="Arial" w:hAnsi="Arial" w:cs="Arial"/>
          <w:sz w:val="20"/>
          <w:szCs w:val="20"/>
        </w:rPr>
        <w:t xml:space="preserve">in the best interest of Sefa to merge with Seda </w:t>
      </w:r>
      <w:r w:rsidR="00DB415B" w:rsidRPr="0030354F">
        <w:rPr>
          <w:rFonts w:ascii="Arial" w:hAnsi="Arial" w:cs="Arial"/>
          <w:sz w:val="20"/>
          <w:szCs w:val="20"/>
        </w:rPr>
        <w:lastRenderedPageBreak/>
        <w:t>and CBDA.</w:t>
      </w:r>
      <w:r w:rsidR="007F074C" w:rsidRPr="0030354F">
        <w:rPr>
          <w:rFonts w:ascii="Arial" w:hAnsi="Arial" w:cs="Arial"/>
          <w:sz w:val="20"/>
          <w:szCs w:val="20"/>
        </w:rPr>
        <w:t xml:space="preserve"> The Committee will follow up to ascertain how best could this merger be accomplished without compromising service delivery.</w:t>
      </w:r>
    </w:p>
    <w:p w:rsidR="001C442E" w:rsidRPr="0030354F" w:rsidRDefault="0021626B" w:rsidP="0030354F">
      <w:pPr>
        <w:spacing w:after="0" w:line="240" w:lineRule="auto"/>
        <w:ind w:left="720" w:hanging="720"/>
        <w:contextualSpacing/>
        <w:rPr>
          <w:rFonts w:ascii="Arial" w:hAnsi="Arial" w:cs="Arial"/>
          <w:sz w:val="20"/>
          <w:szCs w:val="20"/>
        </w:rPr>
      </w:pPr>
      <w:r w:rsidRPr="0030354F">
        <w:rPr>
          <w:rFonts w:ascii="Arial" w:hAnsi="Arial" w:cs="Arial"/>
          <w:sz w:val="20"/>
          <w:szCs w:val="20"/>
        </w:rPr>
        <w:t>6.</w:t>
      </w:r>
      <w:r w:rsidR="00DB415B" w:rsidRPr="0030354F">
        <w:rPr>
          <w:rFonts w:ascii="Arial" w:hAnsi="Arial" w:cs="Arial"/>
          <w:sz w:val="20"/>
          <w:szCs w:val="20"/>
        </w:rPr>
        <w:t>9</w:t>
      </w:r>
      <w:r w:rsidRPr="0030354F">
        <w:rPr>
          <w:rFonts w:ascii="Arial" w:hAnsi="Arial" w:cs="Arial"/>
          <w:sz w:val="20"/>
          <w:szCs w:val="20"/>
        </w:rPr>
        <w:tab/>
        <w:t>I</w:t>
      </w:r>
      <w:r w:rsidR="003B3CB4" w:rsidRPr="0030354F">
        <w:rPr>
          <w:rFonts w:ascii="Arial" w:hAnsi="Arial" w:cs="Arial"/>
          <w:sz w:val="20"/>
          <w:szCs w:val="20"/>
        </w:rPr>
        <w:t xml:space="preserve">n the </w:t>
      </w:r>
      <w:r w:rsidR="001642AE" w:rsidRPr="0030354F">
        <w:rPr>
          <w:rFonts w:ascii="Arial" w:hAnsi="Arial" w:cs="Arial"/>
          <w:sz w:val="20"/>
          <w:szCs w:val="20"/>
        </w:rPr>
        <w:t>previous BRRR</w:t>
      </w:r>
      <w:r w:rsidR="00377645" w:rsidRPr="0030354F">
        <w:rPr>
          <w:rFonts w:ascii="Arial" w:hAnsi="Arial" w:cs="Arial"/>
          <w:sz w:val="20"/>
          <w:szCs w:val="20"/>
        </w:rPr>
        <w:t xml:space="preserve"> (2019)</w:t>
      </w:r>
      <w:r w:rsidR="000E68F1" w:rsidRPr="0030354F">
        <w:rPr>
          <w:rFonts w:ascii="Arial" w:hAnsi="Arial" w:cs="Arial"/>
          <w:sz w:val="20"/>
          <w:szCs w:val="20"/>
        </w:rPr>
        <w:t xml:space="preserve"> and Legacy report</w:t>
      </w:r>
      <w:r w:rsidRPr="0030354F">
        <w:rPr>
          <w:rFonts w:ascii="Arial" w:hAnsi="Arial" w:cs="Arial"/>
          <w:sz w:val="20"/>
          <w:szCs w:val="20"/>
        </w:rPr>
        <w:t>,</w:t>
      </w:r>
      <w:r w:rsidR="003B3CB4" w:rsidRPr="0030354F">
        <w:rPr>
          <w:rFonts w:ascii="Arial" w:hAnsi="Arial" w:cs="Arial"/>
          <w:sz w:val="20"/>
          <w:szCs w:val="20"/>
        </w:rPr>
        <w:t xml:space="preserve"> the Committee</w:t>
      </w:r>
      <w:r w:rsidR="001642AE" w:rsidRPr="0030354F">
        <w:rPr>
          <w:rFonts w:ascii="Arial" w:hAnsi="Arial" w:cs="Arial"/>
          <w:sz w:val="20"/>
          <w:szCs w:val="20"/>
        </w:rPr>
        <w:t xml:space="preserve"> noted that the Department lacks </w:t>
      </w:r>
      <w:r w:rsidR="000829E6" w:rsidRPr="0030354F">
        <w:rPr>
          <w:rFonts w:ascii="Arial" w:hAnsi="Arial" w:cs="Arial"/>
          <w:sz w:val="20"/>
          <w:szCs w:val="20"/>
        </w:rPr>
        <w:t xml:space="preserve">appreciation or </w:t>
      </w:r>
      <w:r w:rsidR="00670583" w:rsidRPr="0030354F">
        <w:rPr>
          <w:rFonts w:ascii="Arial" w:hAnsi="Arial" w:cs="Arial"/>
          <w:sz w:val="20"/>
          <w:szCs w:val="20"/>
        </w:rPr>
        <w:t xml:space="preserve">the </w:t>
      </w:r>
      <w:r w:rsidR="000829E6" w:rsidRPr="0030354F">
        <w:rPr>
          <w:rFonts w:ascii="Arial" w:hAnsi="Arial" w:cs="Arial"/>
          <w:sz w:val="20"/>
          <w:szCs w:val="20"/>
        </w:rPr>
        <w:t xml:space="preserve">role </w:t>
      </w:r>
      <w:r w:rsidR="003B3CB4" w:rsidRPr="0030354F">
        <w:rPr>
          <w:rFonts w:ascii="Arial" w:hAnsi="Arial" w:cs="Arial"/>
          <w:sz w:val="20"/>
          <w:szCs w:val="20"/>
        </w:rPr>
        <w:t xml:space="preserve">Stokvels, Village banks </w:t>
      </w:r>
      <w:r w:rsidR="000829E6" w:rsidRPr="0030354F">
        <w:rPr>
          <w:rFonts w:ascii="Arial" w:hAnsi="Arial" w:cs="Arial"/>
          <w:sz w:val="20"/>
          <w:szCs w:val="20"/>
        </w:rPr>
        <w:t>and</w:t>
      </w:r>
      <w:r w:rsidR="003B3CB4" w:rsidRPr="0030354F">
        <w:rPr>
          <w:rFonts w:ascii="Arial" w:hAnsi="Arial" w:cs="Arial"/>
          <w:sz w:val="20"/>
          <w:szCs w:val="20"/>
        </w:rPr>
        <w:t xml:space="preserve"> Co-operatives Ba</w:t>
      </w:r>
      <w:r w:rsidR="000829E6" w:rsidRPr="0030354F">
        <w:rPr>
          <w:rFonts w:ascii="Arial" w:hAnsi="Arial" w:cs="Arial"/>
          <w:sz w:val="20"/>
          <w:szCs w:val="20"/>
        </w:rPr>
        <w:t>nking Institutions (CBIs)</w:t>
      </w:r>
      <w:r w:rsidR="003B3CB4" w:rsidRPr="0030354F">
        <w:rPr>
          <w:rFonts w:ascii="Arial" w:hAnsi="Arial" w:cs="Arial"/>
          <w:sz w:val="20"/>
          <w:szCs w:val="20"/>
        </w:rPr>
        <w:t xml:space="preserve"> </w:t>
      </w:r>
      <w:r w:rsidR="00377645" w:rsidRPr="0030354F">
        <w:rPr>
          <w:rFonts w:ascii="Arial" w:hAnsi="Arial" w:cs="Arial"/>
          <w:sz w:val="20"/>
          <w:szCs w:val="20"/>
        </w:rPr>
        <w:t xml:space="preserve">play </w:t>
      </w:r>
      <w:r w:rsidR="003B3CB4" w:rsidRPr="0030354F">
        <w:rPr>
          <w:rFonts w:ascii="Arial" w:hAnsi="Arial" w:cs="Arial"/>
          <w:sz w:val="20"/>
          <w:szCs w:val="20"/>
        </w:rPr>
        <w:t xml:space="preserve">in bridging funding gap for </w:t>
      </w:r>
      <w:r w:rsidR="000829E6" w:rsidRPr="0030354F">
        <w:rPr>
          <w:rFonts w:ascii="Arial" w:hAnsi="Arial" w:cs="Arial"/>
          <w:sz w:val="20"/>
          <w:szCs w:val="20"/>
        </w:rPr>
        <w:t xml:space="preserve">informal traders, </w:t>
      </w:r>
      <w:r w:rsidR="003B3CB4" w:rsidRPr="0030354F">
        <w:rPr>
          <w:rFonts w:ascii="Arial" w:hAnsi="Arial" w:cs="Arial"/>
          <w:sz w:val="20"/>
          <w:szCs w:val="20"/>
        </w:rPr>
        <w:t>co-</w:t>
      </w:r>
      <w:r w:rsidR="000829E6" w:rsidRPr="0030354F">
        <w:rPr>
          <w:rFonts w:ascii="Arial" w:hAnsi="Arial" w:cs="Arial"/>
          <w:sz w:val="20"/>
          <w:szCs w:val="20"/>
        </w:rPr>
        <w:t xml:space="preserve">operative enterprises and </w:t>
      </w:r>
      <w:r w:rsidR="001C442E" w:rsidRPr="0030354F">
        <w:rPr>
          <w:rFonts w:ascii="Arial" w:hAnsi="Arial" w:cs="Arial"/>
          <w:sz w:val="20"/>
          <w:szCs w:val="20"/>
        </w:rPr>
        <w:t xml:space="preserve">entities </w:t>
      </w:r>
      <w:r w:rsidR="003B3CB4" w:rsidRPr="0030354F">
        <w:rPr>
          <w:rFonts w:ascii="Arial" w:hAnsi="Arial" w:cs="Arial"/>
          <w:sz w:val="20"/>
          <w:szCs w:val="20"/>
        </w:rPr>
        <w:t>operating in far-flung areas in particular. In its Wholesale Lending facility, Sefa provide</w:t>
      </w:r>
      <w:r w:rsidRPr="0030354F">
        <w:rPr>
          <w:rFonts w:ascii="Arial" w:hAnsi="Arial" w:cs="Arial"/>
          <w:sz w:val="20"/>
          <w:szCs w:val="20"/>
        </w:rPr>
        <w:t>s</w:t>
      </w:r>
      <w:r w:rsidR="003B3CB4" w:rsidRPr="0030354F">
        <w:rPr>
          <w:rFonts w:ascii="Arial" w:hAnsi="Arial" w:cs="Arial"/>
          <w:sz w:val="20"/>
          <w:szCs w:val="20"/>
        </w:rPr>
        <w:t xml:space="preserve"> funding to financial intermediaries </w:t>
      </w:r>
      <w:r w:rsidR="001C442E" w:rsidRPr="0030354F">
        <w:rPr>
          <w:rFonts w:ascii="Arial" w:hAnsi="Arial" w:cs="Arial"/>
          <w:sz w:val="20"/>
          <w:szCs w:val="20"/>
        </w:rPr>
        <w:t xml:space="preserve">only </w:t>
      </w:r>
      <w:r w:rsidR="003B3CB4" w:rsidRPr="0030354F">
        <w:rPr>
          <w:rFonts w:ascii="Arial" w:hAnsi="Arial" w:cs="Arial"/>
          <w:sz w:val="20"/>
          <w:szCs w:val="20"/>
        </w:rPr>
        <w:t xml:space="preserve">regulated by the National Credit Regulator (NCR). </w:t>
      </w:r>
      <w:r w:rsidR="000829E6" w:rsidRPr="0030354F">
        <w:rPr>
          <w:rFonts w:ascii="Arial" w:hAnsi="Arial" w:cs="Arial"/>
          <w:sz w:val="20"/>
          <w:szCs w:val="20"/>
        </w:rPr>
        <w:t>However, t</w:t>
      </w:r>
      <w:r w:rsidR="003B3CB4" w:rsidRPr="0030354F">
        <w:rPr>
          <w:rFonts w:ascii="Arial" w:hAnsi="Arial" w:cs="Arial"/>
          <w:sz w:val="20"/>
          <w:szCs w:val="20"/>
        </w:rPr>
        <w:t xml:space="preserve">he agency has not </w:t>
      </w:r>
      <w:r w:rsidR="000829E6" w:rsidRPr="0030354F">
        <w:rPr>
          <w:rFonts w:ascii="Arial" w:hAnsi="Arial" w:cs="Arial"/>
          <w:sz w:val="20"/>
          <w:szCs w:val="20"/>
        </w:rPr>
        <w:t>investigated</w:t>
      </w:r>
      <w:r w:rsidR="003B3CB4" w:rsidRPr="0030354F">
        <w:rPr>
          <w:rFonts w:ascii="Arial" w:hAnsi="Arial" w:cs="Arial"/>
          <w:sz w:val="20"/>
          <w:szCs w:val="20"/>
        </w:rPr>
        <w:t xml:space="preserve"> nor attempted to bring to the fold the Co-operative Banking Institutions registered, licensed and regulated by the Co-operatives Banks Development Agency, Companies and Intellectual Property Commission, Prudential Authority</w:t>
      </w:r>
      <w:r w:rsidR="001C442E" w:rsidRPr="0030354F">
        <w:rPr>
          <w:rFonts w:ascii="Arial" w:hAnsi="Arial" w:cs="Arial"/>
          <w:sz w:val="20"/>
          <w:szCs w:val="20"/>
        </w:rPr>
        <w:t xml:space="preserve"> and</w:t>
      </w:r>
      <w:r w:rsidR="003B3CB4" w:rsidRPr="0030354F">
        <w:rPr>
          <w:rFonts w:ascii="Arial" w:hAnsi="Arial" w:cs="Arial"/>
          <w:sz w:val="20"/>
          <w:szCs w:val="20"/>
        </w:rPr>
        <w:t xml:space="preserve"> Financial Sector Conduct Authority</w:t>
      </w:r>
      <w:r w:rsidR="001C442E" w:rsidRPr="0030354F">
        <w:rPr>
          <w:rFonts w:ascii="Arial" w:hAnsi="Arial" w:cs="Arial"/>
          <w:sz w:val="20"/>
          <w:szCs w:val="20"/>
        </w:rPr>
        <w:t xml:space="preserve"> (</w:t>
      </w:r>
      <w:r w:rsidR="00670583" w:rsidRPr="0030354F">
        <w:rPr>
          <w:rFonts w:ascii="Arial" w:hAnsi="Arial" w:cs="Arial"/>
          <w:sz w:val="20"/>
          <w:szCs w:val="20"/>
        </w:rPr>
        <w:t xml:space="preserve">agencies of the </w:t>
      </w:r>
      <w:r w:rsidR="001C442E" w:rsidRPr="0030354F">
        <w:rPr>
          <w:rFonts w:ascii="Arial" w:hAnsi="Arial" w:cs="Arial"/>
          <w:sz w:val="20"/>
          <w:szCs w:val="20"/>
        </w:rPr>
        <w:t>South African Reserve Bank)</w:t>
      </w:r>
      <w:r w:rsidR="003B3CB4" w:rsidRPr="0030354F">
        <w:rPr>
          <w:rFonts w:ascii="Arial" w:hAnsi="Arial" w:cs="Arial"/>
          <w:sz w:val="20"/>
          <w:szCs w:val="20"/>
        </w:rPr>
        <w:t xml:space="preserve"> and Financial Intelligence Centre to mention the few</w:t>
      </w:r>
      <w:r w:rsidR="00377645" w:rsidRPr="0030354F">
        <w:rPr>
          <w:rFonts w:ascii="Arial" w:hAnsi="Arial" w:cs="Arial"/>
          <w:sz w:val="20"/>
          <w:szCs w:val="20"/>
        </w:rPr>
        <w:t>. Collective oversight by these agencies implies a</w:t>
      </w:r>
      <w:r w:rsidR="003B3CB4" w:rsidRPr="0030354F">
        <w:rPr>
          <w:rFonts w:ascii="Arial" w:hAnsi="Arial" w:cs="Arial"/>
          <w:sz w:val="20"/>
          <w:szCs w:val="20"/>
        </w:rPr>
        <w:t xml:space="preserve"> much more </w:t>
      </w:r>
      <w:r w:rsidR="00670583" w:rsidRPr="0030354F">
        <w:rPr>
          <w:rFonts w:ascii="Arial" w:hAnsi="Arial" w:cs="Arial"/>
          <w:sz w:val="20"/>
          <w:szCs w:val="20"/>
        </w:rPr>
        <w:t>improved governance and risk-based approach to managing public funds</w:t>
      </w:r>
      <w:r w:rsidR="003B3CB4" w:rsidRPr="0030354F">
        <w:rPr>
          <w:rFonts w:ascii="Arial" w:hAnsi="Arial" w:cs="Arial"/>
          <w:sz w:val="20"/>
          <w:szCs w:val="20"/>
        </w:rPr>
        <w:t>. During the fifth Parliament</w:t>
      </w:r>
      <w:r w:rsidRPr="0030354F">
        <w:rPr>
          <w:rFonts w:ascii="Arial" w:hAnsi="Arial" w:cs="Arial"/>
          <w:sz w:val="20"/>
          <w:szCs w:val="20"/>
        </w:rPr>
        <w:t>,</w:t>
      </w:r>
      <w:r w:rsidR="003B3CB4" w:rsidRPr="0030354F">
        <w:rPr>
          <w:rFonts w:ascii="Arial" w:hAnsi="Arial" w:cs="Arial"/>
          <w:sz w:val="20"/>
          <w:szCs w:val="20"/>
        </w:rPr>
        <w:t xml:space="preserve"> the Committee </w:t>
      </w:r>
      <w:r w:rsidRPr="0030354F">
        <w:rPr>
          <w:rFonts w:ascii="Arial" w:hAnsi="Arial" w:cs="Arial"/>
          <w:sz w:val="20"/>
          <w:szCs w:val="20"/>
        </w:rPr>
        <w:t xml:space="preserve">had </w:t>
      </w:r>
      <w:r w:rsidR="003B3CB4" w:rsidRPr="0030354F">
        <w:rPr>
          <w:rFonts w:ascii="Arial" w:hAnsi="Arial" w:cs="Arial"/>
          <w:sz w:val="20"/>
          <w:szCs w:val="20"/>
        </w:rPr>
        <w:t xml:space="preserve">detected that some of the intermediaries </w:t>
      </w:r>
      <w:r w:rsidR="000829E6" w:rsidRPr="0030354F">
        <w:rPr>
          <w:rFonts w:ascii="Arial" w:hAnsi="Arial" w:cs="Arial"/>
          <w:sz w:val="20"/>
          <w:szCs w:val="20"/>
        </w:rPr>
        <w:t xml:space="preserve">Sefa worked with, either </w:t>
      </w:r>
      <w:r w:rsidR="003B3CB4" w:rsidRPr="0030354F">
        <w:rPr>
          <w:rFonts w:ascii="Arial" w:hAnsi="Arial" w:cs="Arial"/>
          <w:sz w:val="20"/>
          <w:szCs w:val="20"/>
        </w:rPr>
        <w:t xml:space="preserve">went under, </w:t>
      </w:r>
      <w:r w:rsidRPr="0030354F">
        <w:rPr>
          <w:rFonts w:ascii="Arial" w:hAnsi="Arial" w:cs="Arial"/>
          <w:sz w:val="20"/>
          <w:szCs w:val="20"/>
        </w:rPr>
        <w:t xml:space="preserve">applied for voluntary </w:t>
      </w:r>
      <w:r w:rsidR="003B3CB4" w:rsidRPr="0030354F">
        <w:rPr>
          <w:rFonts w:ascii="Arial" w:hAnsi="Arial" w:cs="Arial"/>
          <w:sz w:val="20"/>
          <w:szCs w:val="20"/>
        </w:rPr>
        <w:t>liquidat</w:t>
      </w:r>
      <w:r w:rsidRPr="0030354F">
        <w:rPr>
          <w:rFonts w:ascii="Arial" w:hAnsi="Arial" w:cs="Arial"/>
          <w:sz w:val="20"/>
          <w:szCs w:val="20"/>
        </w:rPr>
        <w:t>ion</w:t>
      </w:r>
      <w:r w:rsidR="003B3CB4" w:rsidRPr="0030354F">
        <w:rPr>
          <w:rFonts w:ascii="Arial" w:hAnsi="Arial" w:cs="Arial"/>
          <w:sz w:val="20"/>
          <w:szCs w:val="20"/>
        </w:rPr>
        <w:t xml:space="preserve"> or their debts </w:t>
      </w:r>
      <w:r w:rsidR="00D53304" w:rsidRPr="0030354F">
        <w:rPr>
          <w:rFonts w:ascii="Arial" w:hAnsi="Arial" w:cs="Arial"/>
          <w:sz w:val="20"/>
          <w:szCs w:val="20"/>
        </w:rPr>
        <w:t xml:space="preserve">were </w:t>
      </w:r>
      <w:r w:rsidR="003B3CB4" w:rsidRPr="0030354F">
        <w:rPr>
          <w:rFonts w:ascii="Arial" w:hAnsi="Arial" w:cs="Arial"/>
          <w:sz w:val="20"/>
          <w:szCs w:val="20"/>
        </w:rPr>
        <w:t>writt</w:t>
      </w:r>
      <w:r w:rsidRPr="0030354F">
        <w:rPr>
          <w:rFonts w:ascii="Arial" w:hAnsi="Arial" w:cs="Arial"/>
          <w:sz w:val="20"/>
          <w:szCs w:val="20"/>
        </w:rPr>
        <w:t>en off while they still owed Sef</w:t>
      </w:r>
      <w:r w:rsidR="003B3CB4" w:rsidRPr="0030354F">
        <w:rPr>
          <w:rFonts w:ascii="Arial" w:hAnsi="Arial" w:cs="Arial"/>
          <w:sz w:val="20"/>
          <w:szCs w:val="20"/>
        </w:rPr>
        <w:t xml:space="preserve">a millions </w:t>
      </w:r>
      <w:r w:rsidR="000829E6" w:rsidRPr="0030354F">
        <w:rPr>
          <w:rFonts w:ascii="Arial" w:hAnsi="Arial" w:cs="Arial"/>
          <w:sz w:val="20"/>
          <w:szCs w:val="20"/>
        </w:rPr>
        <w:t>e.g.</w:t>
      </w:r>
      <w:r w:rsidR="003B3CB4" w:rsidRPr="0030354F">
        <w:rPr>
          <w:rFonts w:ascii="Arial" w:hAnsi="Arial" w:cs="Arial"/>
          <w:sz w:val="20"/>
          <w:szCs w:val="20"/>
        </w:rPr>
        <w:t xml:space="preserve"> Marang Financial Services, Retmil Financia</w:t>
      </w:r>
      <w:r w:rsidR="001C442E" w:rsidRPr="0030354F">
        <w:rPr>
          <w:rFonts w:ascii="Arial" w:hAnsi="Arial" w:cs="Arial"/>
          <w:sz w:val="20"/>
          <w:szCs w:val="20"/>
        </w:rPr>
        <w:t xml:space="preserve">l Services and Super Grand </w:t>
      </w:r>
      <w:r w:rsidR="000829E6" w:rsidRPr="0030354F">
        <w:rPr>
          <w:rFonts w:ascii="Arial" w:hAnsi="Arial" w:cs="Arial"/>
          <w:sz w:val="20"/>
          <w:szCs w:val="20"/>
        </w:rPr>
        <w:t>to mention but the few</w:t>
      </w:r>
      <w:r w:rsidR="001C442E" w:rsidRPr="0030354F">
        <w:rPr>
          <w:rFonts w:ascii="Arial" w:hAnsi="Arial" w:cs="Arial"/>
          <w:sz w:val="20"/>
          <w:szCs w:val="20"/>
        </w:rPr>
        <w:t>.</w:t>
      </w:r>
    </w:p>
    <w:p w:rsidR="001C442E" w:rsidRPr="0030354F" w:rsidRDefault="00DB415B" w:rsidP="0030354F">
      <w:pPr>
        <w:spacing w:after="0" w:line="240" w:lineRule="auto"/>
        <w:ind w:left="720" w:hanging="720"/>
        <w:contextualSpacing/>
        <w:rPr>
          <w:rFonts w:ascii="Arial" w:hAnsi="Arial" w:cs="Arial"/>
          <w:sz w:val="20"/>
          <w:szCs w:val="20"/>
        </w:rPr>
      </w:pPr>
      <w:r w:rsidRPr="0030354F">
        <w:rPr>
          <w:rFonts w:ascii="Arial" w:hAnsi="Arial" w:cs="Arial"/>
          <w:sz w:val="20"/>
          <w:szCs w:val="20"/>
        </w:rPr>
        <w:t>6.10</w:t>
      </w:r>
      <w:r w:rsidR="001C442E" w:rsidRPr="0030354F">
        <w:rPr>
          <w:rFonts w:ascii="Arial" w:hAnsi="Arial" w:cs="Arial"/>
          <w:sz w:val="20"/>
          <w:szCs w:val="20"/>
        </w:rPr>
        <w:tab/>
      </w:r>
      <w:r w:rsidR="003B3CB4" w:rsidRPr="0030354F">
        <w:rPr>
          <w:rFonts w:ascii="Arial" w:hAnsi="Arial" w:cs="Arial"/>
          <w:sz w:val="20"/>
          <w:szCs w:val="20"/>
        </w:rPr>
        <w:t xml:space="preserve">The Committee </w:t>
      </w:r>
      <w:r w:rsidR="00703669" w:rsidRPr="0030354F">
        <w:rPr>
          <w:rFonts w:ascii="Arial" w:hAnsi="Arial" w:cs="Arial"/>
          <w:sz w:val="20"/>
          <w:szCs w:val="20"/>
        </w:rPr>
        <w:t xml:space="preserve">has taken note that when </w:t>
      </w:r>
      <w:r w:rsidR="003B3CB4" w:rsidRPr="0030354F">
        <w:rPr>
          <w:rFonts w:ascii="Arial" w:hAnsi="Arial" w:cs="Arial"/>
          <w:sz w:val="20"/>
          <w:szCs w:val="20"/>
        </w:rPr>
        <w:t>the</w:t>
      </w:r>
      <w:r w:rsidR="00703669" w:rsidRPr="0030354F">
        <w:rPr>
          <w:rFonts w:ascii="Arial" w:hAnsi="Arial" w:cs="Arial"/>
          <w:sz w:val="20"/>
          <w:szCs w:val="20"/>
        </w:rPr>
        <w:t xml:space="preserve"> </w:t>
      </w:r>
      <w:r w:rsidR="003B3CB4" w:rsidRPr="0030354F">
        <w:rPr>
          <w:rFonts w:ascii="Arial" w:hAnsi="Arial" w:cs="Arial"/>
          <w:sz w:val="20"/>
          <w:szCs w:val="20"/>
        </w:rPr>
        <w:t xml:space="preserve">Department and agencies report performance highlights in respect of co-operatives and informal traders tend to club or aggregate </w:t>
      </w:r>
      <w:r w:rsidR="0021626B" w:rsidRPr="0030354F">
        <w:rPr>
          <w:rFonts w:ascii="Arial" w:hAnsi="Arial" w:cs="Arial"/>
          <w:sz w:val="20"/>
          <w:szCs w:val="20"/>
        </w:rPr>
        <w:t>beneficiaries</w:t>
      </w:r>
      <w:r w:rsidR="00D53304" w:rsidRPr="0030354F">
        <w:rPr>
          <w:rFonts w:ascii="Arial" w:hAnsi="Arial" w:cs="Arial"/>
          <w:sz w:val="20"/>
          <w:szCs w:val="20"/>
        </w:rPr>
        <w:t xml:space="preserve"> under one umbrella of SMMEs. Such a </w:t>
      </w:r>
      <w:r w:rsidR="003B3CB4" w:rsidRPr="0030354F">
        <w:rPr>
          <w:rFonts w:ascii="Arial" w:hAnsi="Arial" w:cs="Arial"/>
          <w:sz w:val="20"/>
          <w:szCs w:val="20"/>
        </w:rPr>
        <w:t xml:space="preserve">reporting methodology conceals </w:t>
      </w:r>
      <w:r w:rsidR="002960B1" w:rsidRPr="0030354F">
        <w:rPr>
          <w:rFonts w:ascii="Arial" w:hAnsi="Arial" w:cs="Arial"/>
          <w:sz w:val="20"/>
          <w:szCs w:val="20"/>
        </w:rPr>
        <w:t xml:space="preserve">the narrow and </w:t>
      </w:r>
      <w:r w:rsidR="00D53304" w:rsidRPr="0030354F">
        <w:rPr>
          <w:rFonts w:ascii="Arial" w:hAnsi="Arial" w:cs="Arial"/>
          <w:sz w:val="20"/>
          <w:szCs w:val="20"/>
        </w:rPr>
        <w:t>askew</w:t>
      </w:r>
      <w:r w:rsidR="003B3CB4" w:rsidRPr="0030354F">
        <w:rPr>
          <w:rFonts w:ascii="Arial" w:hAnsi="Arial" w:cs="Arial"/>
          <w:sz w:val="20"/>
          <w:szCs w:val="20"/>
        </w:rPr>
        <w:t xml:space="preserve"> distribu</w:t>
      </w:r>
      <w:r w:rsidR="001F0725" w:rsidRPr="0030354F">
        <w:rPr>
          <w:rFonts w:ascii="Arial" w:hAnsi="Arial" w:cs="Arial"/>
          <w:sz w:val="20"/>
          <w:szCs w:val="20"/>
        </w:rPr>
        <w:t xml:space="preserve">tion of resources amongst SMMEs </w:t>
      </w:r>
      <w:r w:rsidR="003B3CB4" w:rsidRPr="0030354F">
        <w:rPr>
          <w:rFonts w:ascii="Arial" w:hAnsi="Arial" w:cs="Arial"/>
          <w:sz w:val="20"/>
          <w:szCs w:val="20"/>
        </w:rPr>
        <w:t>mostly private businesses registered in terms of the Companies and Close Corporation Act(s), social enterprises registered in terms of the Co-operatives Act and informal traders registered</w:t>
      </w:r>
      <w:r w:rsidR="001C442E" w:rsidRPr="0030354F">
        <w:rPr>
          <w:rFonts w:ascii="Arial" w:hAnsi="Arial" w:cs="Arial"/>
          <w:sz w:val="20"/>
          <w:szCs w:val="20"/>
        </w:rPr>
        <w:t xml:space="preserve"> in terms of </w:t>
      </w:r>
      <w:r w:rsidR="00C70E99" w:rsidRPr="0030354F">
        <w:rPr>
          <w:rFonts w:ascii="Arial" w:hAnsi="Arial" w:cs="Arial"/>
          <w:sz w:val="20"/>
          <w:szCs w:val="20"/>
        </w:rPr>
        <w:t xml:space="preserve">the </w:t>
      </w:r>
      <w:r w:rsidR="001C442E" w:rsidRPr="0030354F">
        <w:rPr>
          <w:rFonts w:ascii="Arial" w:hAnsi="Arial" w:cs="Arial"/>
          <w:sz w:val="20"/>
          <w:szCs w:val="20"/>
        </w:rPr>
        <w:t>Municipal By-laws.</w:t>
      </w:r>
      <w:r w:rsidR="000829E6" w:rsidRPr="0030354F">
        <w:rPr>
          <w:rFonts w:ascii="Arial" w:hAnsi="Arial" w:cs="Arial"/>
          <w:sz w:val="20"/>
          <w:szCs w:val="20"/>
        </w:rPr>
        <w:t xml:space="preserve"> </w:t>
      </w:r>
      <w:r w:rsidR="00670583" w:rsidRPr="0030354F">
        <w:rPr>
          <w:rFonts w:ascii="Arial" w:hAnsi="Arial" w:cs="Arial"/>
          <w:sz w:val="20"/>
          <w:szCs w:val="20"/>
        </w:rPr>
        <w:t xml:space="preserve">Also, </w:t>
      </w:r>
      <w:r w:rsidR="000829E6" w:rsidRPr="0030354F">
        <w:rPr>
          <w:rFonts w:ascii="Arial" w:hAnsi="Arial" w:cs="Arial"/>
          <w:sz w:val="20"/>
          <w:szCs w:val="20"/>
        </w:rPr>
        <w:t>provincial aggregation</w:t>
      </w:r>
      <w:r w:rsidR="00C70E99" w:rsidRPr="0030354F">
        <w:rPr>
          <w:rFonts w:ascii="Arial" w:hAnsi="Arial" w:cs="Arial"/>
          <w:sz w:val="20"/>
          <w:szCs w:val="20"/>
        </w:rPr>
        <w:t xml:space="preserve"> instead of regions</w:t>
      </w:r>
      <w:r w:rsidR="00670583" w:rsidRPr="0030354F">
        <w:rPr>
          <w:rFonts w:ascii="Arial" w:hAnsi="Arial" w:cs="Arial"/>
          <w:sz w:val="20"/>
          <w:szCs w:val="20"/>
        </w:rPr>
        <w:t xml:space="preserve"> or district municipalities does not </w:t>
      </w:r>
      <w:r w:rsidR="00677692" w:rsidRPr="0030354F">
        <w:rPr>
          <w:rFonts w:ascii="Arial" w:hAnsi="Arial" w:cs="Arial"/>
          <w:sz w:val="20"/>
          <w:szCs w:val="20"/>
        </w:rPr>
        <w:t>provide</w:t>
      </w:r>
      <w:r w:rsidR="00670583" w:rsidRPr="0030354F">
        <w:rPr>
          <w:rFonts w:ascii="Arial" w:hAnsi="Arial" w:cs="Arial"/>
          <w:sz w:val="20"/>
          <w:szCs w:val="20"/>
        </w:rPr>
        <w:t xml:space="preserve"> clear </w:t>
      </w:r>
      <w:r w:rsidR="00677692" w:rsidRPr="0030354F">
        <w:rPr>
          <w:rFonts w:ascii="Arial" w:hAnsi="Arial" w:cs="Arial"/>
          <w:sz w:val="20"/>
          <w:szCs w:val="20"/>
        </w:rPr>
        <w:t xml:space="preserve">picture of </w:t>
      </w:r>
      <w:r w:rsidR="00670583" w:rsidRPr="0030354F">
        <w:rPr>
          <w:rFonts w:ascii="Arial" w:hAnsi="Arial" w:cs="Arial"/>
          <w:sz w:val="20"/>
          <w:szCs w:val="20"/>
        </w:rPr>
        <w:t xml:space="preserve">how resources are </w:t>
      </w:r>
      <w:r w:rsidR="008558BB" w:rsidRPr="0030354F">
        <w:rPr>
          <w:rFonts w:ascii="Arial" w:hAnsi="Arial" w:cs="Arial"/>
          <w:sz w:val="20"/>
          <w:szCs w:val="20"/>
        </w:rPr>
        <w:t xml:space="preserve">spread </w:t>
      </w:r>
      <w:r w:rsidR="00677692" w:rsidRPr="0030354F">
        <w:rPr>
          <w:rFonts w:ascii="Arial" w:hAnsi="Arial" w:cs="Arial"/>
          <w:sz w:val="20"/>
          <w:szCs w:val="20"/>
        </w:rPr>
        <w:t>equitably</w:t>
      </w:r>
      <w:r w:rsidR="008558BB" w:rsidRPr="0030354F">
        <w:rPr>
          <w:rFonts w:ascii="Arial" w:hAnsi="Arial" w:cs="Arial"/>
          <w:sz w:val="20"/>
          <w:szCs w:val="20"/>
        </w:rPr>
        <w:t xml:space="preserve"> across the regions</w:t>
      </w:r>
      <w:r w:rsidR="000829E6" w:rsidRPr="0030354F">
        <w:rPr>
          <w:rFonts w:ascii="Arial" w:hAnsi="Arial" w:cs="Arial"/>
          <w:sz w:val="20"/>
          <w:szCs w:val="20"/>
        </w:rPr>
        <w:t>.</w:t>
      </w:r>
    </w:p>
    <w:p w:rsidR="003B3CB4" w:rsidRPr="0030354F" w:rsidRDefault="00DB415B" w:rsidP="0030354F">
      <w:pPr>
        <w:spacing w:after="0" w:line="240" w:lineRule="auto"/>
        <w:ind w:left="720" w:hanging="720"/>
        <w:contextualSpacing/>
        <w:rPr>
          <w:rFonts w:ascii="Arial" w:hAnsi="Arial" w:cs="Arial"/>
          <w:sz w:val="20"/>
          <w:szCs w:val="20"/>
        </w:rPr>
      </w:pPr>
      <w:r w:rsidRPr="0030354F">
        <w:rPr>
          <w:rFonts w:ascii="Arial" w:hAnsi="Arial" w:cs="Arial"/>
          <w:sz w:val="20"/>
          <w:szCs w:val="20"/>
        </w:rPr>
        <w:t>6.11</w:t>
      </w:r>
      <w:r w:rsidR="001C442E" w:rsidRPr="0030354F">
        <w:rPr>
          <w:rFonts w:ascii="Arial" w:hAnsi="Arial" w:cs="Arial"/>
          <w:sz w:val="20"/>
          <w:szCs w:val="20"/>
        </w:rPr>
        <w:t xml:space="preserve"> </w:t>
      </w:r>
      <w:r w:rsidR="001C442E" w:rsidRPr="0030354F">
        <w:rPr>
          <w:rFonts w:ascii="Arial" w:hAnsi="Arial" w:cs="Arial"/>
          <w:sz w:val="20"/>
          <w:szCs w:val="20"/>
        </w:rPr>
        <w:tab/>
      </w:r>
      <w:r w:rsidR="003B3CB4" w:rsidRPr="0030354F">
        <w:rPr>
          <w:rFonts w:ascii="Arial" w:hAnsi="Arial" w:cs="Arial"/>
          <w:sz w:val="20"/>
          <w:szCs w:val="20"/>
        </w:rPr>
        <w:t xml:space="preserve">The Committee </w:t>
      </w:r>
      <w:r w:rsidR="002960B1" w:rsidRPr="0030354F">
        <w:rPr>
          <w:rFonts w:ascii="Arial" w:hAnsi="Arial" w:cs="Arial"/>
          <w:sz w:val="20"/>
          <w:szCs w:val="20"/>
        </w:rPr>
        <w:t xml:space="preserve">has </w:t>
      </w:r>
      <w:r w:rsidR="003B3CB4" w:rsidRPr="0030354F">
        <w:rPr>
          <w:rFonts w:ascii="Arial" w:hAnsi="Arial" w:cs="Arial"/>
          <w:sz w:val="20"/>
          <w:szCs w:val="20"/>
        </w:rPr>
        <w:t>note</w:t>
      </w:r>
      <w:r w:rsidR="002960B1" w:rsidRPr="0030354F">
        <w:rPr>
          <w:rFonts w:ascii="Arial" w:hAnsi="Arial" w:cs="Arial"/>
          <w:sz w:val="20"/>
          <w:szCs w:val="20"/>
        </w:rPr>
        <w:t xml:space="preserve">d that </w:t>
      </w:r>
      <w:r w:rsidR="003B3CB4" w:rsidRPr="0030354F">
        <w:rPr>
          <w:rFonts w:ascii="Arial" w:hAnsi="Arial" w:cs="Arial"/>
          <w:sz w:val="20"/>
          <w:szCs w:val="20"/>
        </w:rPr>
        <w:t xml:space="preserve">not only </w:t>
      </w:r>
      <w:r w:rsidR="00703669" w:rsidRPr="0030354F">
        <w:rPr>
          <w:rFonts w:ascii="Arial" w:hAnsi="Arial" w:cs="Arial"/>
          <w:sz w:val="20"/>
          <w:szCs w:val="20"/>
        </w:rPr>
        <w:t xml:space="preserve">are co-operatives </w:t>
      </w:r>
      <w:r w:rsidR="002960B1" w:rsidRPr="0030354F">
        <w:rPr>
          <w:rFonts w:ascii="Arial" w:hAnsi="Arial" w:cs="Arial"/>
          <w:sz w:val="20"/>
          <w:szCs w:val="20"/>
        </w:rPr>
        <w:t xml:space="preserve">prejudiced from </w:t>
      </w:r>
      <w:r w:rsidR="003B3CB4" w:rsidRPr="0030354F">
        <w:rPr>
          <w:rFonts w:ascii="Arial" w:hAnsi="Arial" w:cs="Arial"/>
          <w:sz w:val="20"/>
          <w:szCs w:val="20"/>
        </w:rPr>
        <w:t>benefiting adequately from the Portfolio programmes</w:t>
      </w:r>
      <w:r w:rsidR="002960B1" w:rsidRPr="0030354F">
        <w:rPr>
          <w:rFonts w:ascii="Arial" w:hAnsi="Arial" w:cs="Arial"/>
          <w:sz w:val="20"/>
          <w:szCs w:val="20"/>
        </w:rPr>
        <w:t>,</w:t>
      </w:r>
      <w:r w:rsidR="00C70E99" w:rsidRPr="0030354F">
        <w:rPr>
          <w:rFonts w:ascii="Arial" w:hAnsi="Arial" w:cs="Arial"/>
          <w:sz w:val="20"/>
          <w:szCs w:val="20"/>
        </w:rPr>
        <w:t xml:space="preserve"> </w:t>
      </w:r>
      <w:r w:rsidR="003B3CB4" w:rsidRPr="0030354F">
        <w:rPr>
          <w:rFonts w:ascii="Arial" w:hAnsi="Arial" w:cs="Arial"/>
          <w:sz w:val="20"/>
          <w:szCs w:val="20"/>
        </w:rPr>
        <w:t>informal traders</w:t>
      </w:r>
      <w:r w:rsidR="00C70E99" w:rsidRPr="0030354F">
        <w:rPr>
          <w:rFonts w:ascii="Arial" w:hAnsi="Arial" w:cs="Arial"/>
          <w:sz w:val="20"/>
          <w:szCs w:val="20"/>
        </w:rPr>
        <w:t xml:space="preserve"> are also casualties</w:t>
      </w:r>
      <w:r w:rsidR="003B3CB4" w:rsidRPr="0030354F">
        <w:rPr>
          <w:rFonts w:ascii="Arial" w:hAnsi="Arial" w:cs="Arial"/>
          <w:sz w:val="20"/>
          <w:szCs w:val="20"/>
        </w:rPr>
        <w:t>. For instance, Seda struggled to meet its projected target on the support to Spaza shops and general dealers</w:t>
      </w:r>
      <w:r w:rsidR="000829E6" w:rsidRPr="0030354F">
        <w:rPr>
          <w:rFonts w:ascii="Arial" w:hAnsi="Arial" w:cs="Arial"/>
          <w:sz w:val="20"/>
          <w:szCs w:val="20"/>
        </w:rPr>
        <w:t>, an area where as a country we are performing dismally</w:t>
      </w:r>
      <w:r w:rsidR="003B3CB4" w:rsidRPr="0030354F">
        <w:rPr>
          <w:rFonts w:ascii="Arial" w:hAnsi="Arial" w:cs="Arial"/>
          <w:sz w:val="20"/>
          <w:szCs w:val="20"/>
        </w:rPr>
        <w:t xml:space="preserve">. The agency attributes this </w:t>
      </w:r>
      <w:r w:rsidR="000829E6" w:rsidRPr="0030354F">
        <w:rPr>
          <w:rFonts w:ascii="Arial" w:hAnsi="Arial" w:cs="Arial"/>
          <w:sz w:val="20"/>
          <w:szCs w:val="20"/>
        </w:rPr>
        <w:t xml:space="preserve">shortcoming </w:t>
      </w:r>
      <w:r w:rsidR="002960B1" w:rsidRPr="0030354F">
        <w:rPr>
          <w:rFonts w:ascii="Arial" w:hAnsi="Arial" w:cs="Arial"/>
          <w:sz w:val="20"/>
          <w:szCs w:val="20"/>
        </w:rPr>
        <w:t>to numerous</w:t>
      </w:r>
      <w:r w:rsidR="003B3CB4" w:rsidRPr="0030354F">
        <w:rPr>
          <w:rFonts w:ascii="Arial" w:hAnsi="Arial" w:cs="Arial"/>
          <w:sz w:val="20"/>
          <w:szCs w:val="20"/>
        </w:rPr>
        <w:t xml:space="preserve"> challenges </w:t>
      </w:r>
      <w:r w:rsidR="002960B1" w:rsidRPr="0030354F">
        <w:rPr>
          <w:rFonts w:ascii="Arial" w:hAnsi="Arial" w:cs="Arial"/>
          <w:sz w:val="20"/>
          <w:szCs w:val="20"/>
        </w:rPr>
        <w:t xml:space="preserve">such as </w:t>
      </w:r>
      <w:r w:rsidR="000829E6" w:rsidRPr="0030354F">
        <w:rPr>
          <w:rFonts w:ascii="Arial" w:hAnsi="Arial" w:cs="Arial"/>
          <w:sz w:val="20"/>
          <w:szCs w:val="20"/>
        </w:rPr>
        <w:t xml:space="preserve">“failure to convert </w:t>
      </w:r>
      <w:r w:rsidR="003B3CB4" w:rsidRPr="0030354F">
        <w:rPr>
          <w:rFonts w:ascii="Arial" w:hAnsi="Arial" w:cs="Arial"/>
          <w:sz w:val="20"/>
          <w:szCs w:val="20"/>
        </w:rPr>
        <w:t>informal Spaza shops to formal</w:t>
      </w:r>
      <w:r w:rsidR="002960B1" w:rsidRPr="0030354F">
        <w:rPr>
          <w:rFonts w:ascii="Arial" w:hAnsi="Arial" w:cs="Arial"/>
          <w:sz w:val="20"/>
          <w:szCs w:val="20"/>
        </w:rPr>
        <w:t xml:space="preserve"> traders </w:t>
      </w:r>
      <w:r w:rsidR="003B3CB4" w:rsidRPr="0030354F">
        <w:rPr>
          <w:rFonts w:ascii="Arial" w:hAnsi="Arial" w:cs="Arial"/>
          <w:sz w:val="20"/>
          <w:szCs w:val="20"/>
        </w:rPr>
        <w:t>as these are mostly owned by foreigners</w:t>
      </w:r>
      <w:r w:rsidR="000829E6" w:rsidRPr="0030354F">
        <w:rPr>
          <w:rFonts w:ascii="Arial" w:hAnsi="Arial" w:cs="Arial"/>
          <w:sz w:val="20"/>
          <w:szCs w:val="20"/>
        </w:rPr>
        <w:t>”</w:t>
      </w:r>
      <w:r w:rsidR="00C70E99" w:rsidRPr="0030354F">
        <w:rPr>
          <w:rFonts w:ascii="Arial" w:hAnsi="Arial" w:cs="Arial"/>
          <w:sz w:val="20"/>
          <w:szCs w:val="20"/>
        </w:rPr>
        <w:t xml:space="preserve"> -</w:t>
      </w:r>
      <w:r w:rsidR="000829E6" w:rsidRPr="0030354F">
        <w:rPr>
          <w:rFonts w:ascii="Arial" w:hAnsi="Arial" w:cs="Arial"/>
          <w:sz w:val="20"/>
          <w:szCs w:val="20"/>
        </w:rPr>
        <w:t xml:space="preserve"> a </w:t>
      </w:r>
      <w:r w:rsidR="00C70E99" w:rsidRPr="0030354F">
        <w:rPr>
          <w:rFonts w:ascii="Arial" w:hAnsi="Arial" w:cs="Arial"/>
          <w:sz w:val="20"/>
          <w:szCs w:val="20"/>
        </w:rPr>
        <w:t>grave</w:t>
      </w:r>
      <w:r w:rsidR="000829E6" w:rsidRPr="0030354F">
        <w:rPr>
          <w:rFonts w:ascii="Arial" w:hAnsi="Arial" w:cs="Arial"/>
          <w:sz w:val="20"/>
          <w:szCs w:val="20"/>
        </w:rPr>
        <w:t xml:space="preserve"> indictment </w:t>
      </w:r>
      <w:r w:rsidR="00C70E99" w:rsidRPr="0030354F">
        <w:rPr>
          <w:rFonts w:ascii="Arial" w:hAnsi="Arial" w:cs="Arial"/>
          <w:sz w:val="20"/>
          <w:szCs w:val="20"/>
        </w:rPr>
        <w:t xml:space="preserve">and demonstration </w:t>
      </w:r>
      <w:r w:rsidR="000829E6" w:rsidRPr="0030354F">
        <w:rPr>
          <w:rFonts w:ascii="Arial" w:hAnsi="Arial" w:cs="Arial"/>
          <w:sz w:val="20"/>
          <w:szCs w:val="20"/>
        </w:rPr>
        <w:t>that our</w:t>
      </w:r>
      <w:r w:rsidR="005E1D88" w:rsidRPr="0030354F">
        <w:rPr>
          <w:rFonts w:ascii="Arial" w:hAnsi="Arial" w:cs="Arial"/>
          <w:sz w:val="20"/>
          <w:szCs w:val="20"/>
        </w:rPr>
        <w:t xml:space="preserve"> policy as a country is not responsive.</w:t>
      </w:r>
      <w:r w:rsidR="00703669" w:rsidRPr="0030354F">
        <w:rPr>
          <w:rFonts w:ascii="Arial" w:hAnsi="Arial" w:cs="Arial"/>
          <w:sz w:val="20"/>
          <w:szCs w:val="20"/>
        </w:rPr>
        <w:t xml:space="preserve"> This development is not only common to spaza shops and general dealers, there is a complete takeover and </w:t>
      </w:r>
      <w:r w:rsidR="006C2B83" w:rsidRPr="0030354F">
        <w:rPr>
          <w:rFonts w:ascii="Arial" w:hAnsi="Arial" w:cs="Arial"/>
          <w:sz w:val="20"/>
          <w:szCs w:val="20"/>
        </w:rPr>
        <w:t xml:space="preserve">deliberate </w:t>
      </w:r>
      <w:r w:rsidR="00703669" w:rsidRPr="0030354F">
        <w:rPr>
          <w:rFonts w:ascii="Arial" w:hAnsi="Arial" w:cs="Arial"/>
          <w:sz w:val="20"/>
          <w:szCs w:val="20"/>
        </w:rPr>
        <w:t xml:space="preserve">displacement of informal traders </w:t>
      </w:r>
      <w:r w:rsidR="006C2B83" w:rsidRPr="0030354F">
        <w:rPr>
          <w:rFonts w:ascii="Arial" w:hAnsi="Arial" w:cs="Arial"/>
          <w:sz w:val="20"/>
          <w:szCs w:val="20"/>
        </w:rPr>
        <w:t>i.e. clothing and retail, saloons and cellphone shops with persons whom ordinarily and in terms of South African laws are not eligible to conduct those types of businesses.</w:t>
      </w:r>
    </w:p>
    <w:p w:rsidR="00805C13" w:rsidRPr="0030354F" w:rsidRDefault="0074285B" w:rsidP="0030354F">
      <w:pPr>
        <w:autoSpaceDE w:val="0"/>
        <w:autoSpaceDN w:val="0"/>
        <w:adjustRightInd w:val="0"/>
        <w:spacing w:after="0" w:line="240" w:lineRule="auto"/>
        <w:contextualSpacing/>
        <w:rPr>
          <w:rFonts w:ascii="Arial" w:hAnsi="Arial" w:cs="Arial"/>
          <w:sz w:val="20"/>
          <w:szCs w:val="20"/>
          <w:lang w:val="en-US"/>
        </w:rPr>
      </w:pPr>
      <w:r w:rsidRPr="0030354F">
        <w:rPr>
          <w:rFonts w:ascii="Arial" w:hAnsi="Arial" w:cs="Arial"/>
          <w:sz w:val="20"/>
          <w:szCs w:val="20"/>
        </w:rPr>
        <w:t>6.1</w:t>
      </w:r>
      <w:r w:rsidR="00DB415B" w:rsidRPr="0030354F">
        <w:rPr>
          <w:rFonts w:ascii="Arial" w:hAnsi="Arial" w:cs="Arial"/>
          <w:sz w:val="20"/>
          <w:szCs w:val="20"/>
        </w:rPr>
        <w:t>2</w:t>
      </w:r>
      <w:r w:rsidR="006557C8" w:rsidRPr="0030354F">
        <w:rPr>
          <w:rFonts w:ascii="Arial" w:hAnsi="Arial" w:cs="Arial"/>
          <w:sz w:val="20"/>
          <w:szCs w:val="20"/>
        </w:rPr>
        <w:tab/>
      </w:r>
      <w:r w:rsidR="00805C13" w:rsidRPr="0030354F">
        <w:rPr>
          <w:rFonts w:ascii="Arial" w:hAnsi="Arial" w:cs="Arial"/>
          <w:sz w:val="20"/>
          <w:szCs w:val="20"/>
          <w:lang w:val="en-US"/>
        </w:rPr>
        <w:t xml:space="preserve">Members of the Committee have over time expressed misgivings at the rate at which </w:t>
      </w:r>
      <w:r w:rsidR="00805C13" w:rsidRPr="0030354F">
        <w:rPr>
          <w:rFonts w:ascii="Arial" w:hAnsi="Arial" w:cs="Arial"/>
          <w:sz w:val="20"/>
          <w:szCs w:val="20"/>
          <w:lang w:val="en-US"/>
        </w:rPr>
        <w:tab/>
        <w:t xml:space="preserve">Committee resolutions and recommendations in general are being executed by the </w:t>
      </w:r>
      <w:r w:rsidR="00805C13" w:rsidRPr="0030354F">
        <w:rPr>
          <w:rFonts w:ascii="Arial" w:hAnsi="Arial" w:cs="Arial"/>
          <w:sz w:val="20"/>
          <w:szCs w:val="20"/>
          <w:lang w:val="en-US"/>
        </w:rPr>
        <w:tab/>
        <w:t xml:space="preserve">Department. For instance, the Committee resolutions in the legacy report carried over </w:t>
      </w:r>
      <w:r w:rsidR="00014D0C" w:rsidRPr="0030354F">
        <w:rPr>
          <w:rFonts w:ascii="Arial" w:hAnsi="Arial" w:cs="Arial"/>
          <w:sz w:val="20"/>
          <w:szCs w:val="20"/>
          <w:lang w:val="en-US"/>
        </w:rPr>
        <w:tab/>
      </w:r>
      <w:r w:rsidR="00805C13" w:rsidRPr="0030354F">
        <w:rPr>
          <w:rFonts w:ascii="Arial" w:hAnsi="Arial" w:cs="Arial"/>
          <w:sz w:val="20"/>
          <w:szCs w:val="20"/>
          <w:lang w:val="en-US"/>
        </w:rPr>
        <w:t>from the fifth Parliament are far from being completed.</w:t>
      </w:r>
      <w:r w:rsidR="00014D0C" w:rsidRPr="0030354F">
        <w:rPr>
          <w:rFonts w:ascii="Arial" w:hAnsi="Arial" w:cs="Arial"/>
          <w:sz w:val="20"/>
          <w:szCs w:val="20"/>
          <w:lang w:val="en-US"/>
        </w:rPr>
        <w:t xml:space="preserve"> </w:t>
      </w:r>
      <w:r w:rsidR="00E303A9" w:rsidRPr="0030354F">
        <w:rPr>
          <w:rFonts w:ascii="Arial" w:hAnsi="Arial" w:cs="Arial"/>
          <w:sz w:val="20"/>
          <w:szCs w:val="20"/>
          <w:lang w:val="en-US"/>
        </w:rPr>
        <w:t>Th</w:t>
      </w:r>
      <w:r w:rsidR="00014D0C" w:rsidRPr="0030354F">
        <w:rPr>
          <w:rFonts w:ascii="Arial" w:hAnsi="Arial" w:cs="Arial"/>
          <w:sz w:val="20"/>
          <w:szCs w:val="20"/>
          <w:lang w:val="en-US"/>
        </w:rPr>
        <w:t xml:space="preserve">e </w:t>
      </w:r>
      <w:r w:rsidR="00E303A9" w:rsidRPr="0030354F">
        <w:rPr>
          <w:rFonts w:ascii="Arial" w:hAnsi="Arial" w:cs="Arial"/>
          <w:sz w:val="20"/>
          <w:szCs w:val="20"/>
          <w:lang w:val="en-US"/>
        </w:rPr>
        <w:t xml:space="preserve">sixth </w:t>
      </w:r>
      <w:r w:rsidR="00805C13" w:rsidRPr="0030354F">
        <w:rPr>
          <w:rFonts w:ascii="Arial" w:hAnsi="Arial" w:cs="Arial"/>
          <w:sz w:val="20"/>
          <w:szCs w:val="20"/>
          <w:lang w:val="en-US"/>
        </w:rPr>
        <w:t xml:space="preserve">administration is </w:t>
      </w:r>
      <w:r w:rsidR="00E303A9" w:rsidRPr="0030354F">
        <w:rPr>
          <w:rFonts w:ascii="Arial" w:hAnsi="Arial" w:cs="Arial"/>
          <w:sz w:val="20"/>
          <w:szCs w:val="20"/>
          <w:lang w:val="en-US"/>
        </w:rPr>
        <w:tab/>
      </w:r>
      <w:r w:rsidR="00805C13" w:rsidRPr="0030354F">
        <w:rPr>
          <w:rFonts w:ascii="Arial" w:hAnsi="Arial" w:cs="Arial"/>
          <w:sz w:val="20"/>
          <w:szCs w:val="20"/>
          <w:lang w:val="en-US"/>
        </w:rPr>
        <w:t xml:space="preserve">effectively left with less </w:t>
      </w:r>
      <w:r w:rsidR="00014D0C" w:rsidRPr="0030354F">
        <w:rPr>
          <w:rFonts w:ascii="Arial" w:hAnsi="Arial" w:cs="Arial"/>
          <w:sz w:val="20"/>
          <w:szCs w:val="20"/>
          <w:lang w:val="en-US"/>
        </w:rPr>
        <w:t xml:space="preserve">than </w:t>
      </w:r>
      <w:r w:rsidR="00805C13" w:rsidRPr="0030354F">
        <w:rPr>
          <w:rFonts w:ascii="Arial" w:hAnsi="Arial" w:cs="Arial"/>
          <w:sz w:val="20"/>
          <w:szCs w:val="20"/>
          <w:lang w:val="en-US"/>
        </w:rPr>
        <w:t xml:space="preserve">18 months to conclude its term. </w:t>
      </w:r>
      <w:r w:rsidR="00E303A9" w:rsidRPr="0030354F">
        <w:rPr>
          <w:rFonts w:ascii="Arial" w:hAnsi="Arial" w:cs="Arial"/>
          <w:sz w:val="20"/>
          <w:szCs w:val="20"/>
          <w:lang w:val="en-US"/>
        </w:rPr>
        <w:t xml:space="preserve">During </w:t>
      </w:r>
      <w:r w:rsidR="00805C13" w:rsidRPr="0030354F">
        <w:rPr>
          <w:rFonts w:ascii="Arial" w:hAnsi="Arial" w:cs="Arial"/>
          <w:sz w:val="20"/>
          <w:szCs w:val="20"/>
          <w:lang w:val="en-US"/>
        </w:rPr>
        <w:t xml:space="preserve">the legacy report </w:t>
      </w:r>
      <w:r w:rsidR="00E303A9" w:rsidRPr="0030354F">
        <w:rPr>
          <w:rFonts w:ascii="Arial" w:hAnsi="Arial" w:cs="Arial"/>
          <w:sz w:val="20"/>
          <w:szCs w:val="20"/>
          <w:lang w:val="en-US"/>
        </w:rPr>
        <w:tab/>
      </w:r>
      <w:r w:rsidR="00805C13" w:rsidRPr="0030354F">
        <w:rPr>
          <w:rFonts w:ascii="Arial" w:hAnsi="Arial" w:cs="Arial"/>
          <w:sz w:val="20"/>
          <w:szCs w:val="20"/>
          <w:lang w:val="en-US"/>
        </w:rPr>
        <w:t xml:space="preserve">deliberations by </w:t>
      </w:r>
      <w:r w:rsidR="00014D0C" w:rsidRPr="0030354F">
        <w:rPr>
          <w:rFonts w:ascii="Arial" w:hAnsi="Arial" w:cs="Arial"/>
          <w:sz w:val="20"/>
          <w:szCs w:val="20"/>
          <w:lang w:val="en-US"/>
        </w:rPr>
        <w:t xml:space="preserve">members of </w:t>
      </w:r>
      <w:r w:rsidR="00E303A9" w:rsidRPr="0030354F">
        <w:rPr>
          <w:rFonts w:ascii="Arial" w:hAnsi="Arial" w:cs="Arial"/>
          <w:sz w:val="20"/>
          <w:szCs w:val="20"/>
          <w:lang w:val="en-US"/>
        </w:rPr>
        <w:t xml:space="preserve">the fifth Parliament, they had </w:t>
      </w:r>
      <w:r w:rsidR="00805C13" w:rsidRPr="0030354F">
        <w:rPr>
          <w:rFonts w:ascii="Arial" w:hAnsi="Arial" w:cs="Arial"/>
          <w:sz w:val="20"/>
          <w:szCs w:val="20"/>
          <w:lang w:val="en-US"/>
        </w:rPr>
        <w:t xml:space="preserve">been confronted with a </w:t>
      </w:r>
      <w:r w:rsidR="00E303A9" w:rsidRPr="0030354F">
        <w:rPr>
          <w:rFonts w:ascii="Arial" w:hAnsi="Arial" w:cs="Arial"/>
          <w:sz w:val="20"/>
          <w:szCs w:val="20"/>
          <w:lang w:val="en-US"/>
        </w:rPr>
        <w:tab/>
      </w:r>
      <w:r w:rsidR="00805C13" w:rsidRPr="0030354F">
        <w:rPr>
          <w:rFonts w:ascii="Arial" w:hAnsi="Arial" w:cs="Arial"/>
          <w:sz w:val="20"/>
          <w:szCs w:val="20"/>
          <w:lang w:val="en-US"/>
        </w:rPr>
        <w:t xml:space="preserve">delicate question of </w:t>
      </w:r>
      <w:r w:rsidR="00014D0C" w:rsidRPr="0030354F">
        <w:rPr>
          <w:rFonts w:ascii="Arial" w:hAnsi="Arial" w:cs="Arial"/>
          <w:sz w:val="20"/>
          <w:szCs w:val="20"/>
          <w:lang w:val="en-US"/>
        </w:rPr>
        <w:t xml:space="preserve">whether the </w:t>
      </w:r>
      <w:r w:rsidR="00E303A9" w:rsidRPr="0030354F">
        <w:rPr>
          <w:rFonts w:ascii="Arial" w:hAnsi="Arial" w:cs="Arial"/>
          <w:sz w:val="20"/>
          <w:szCs w:val="20"/>
          <w:lang w:val="en-US"/>
        </w:rPr>
        <w:t xml:space="preserve">Department should continue to </w:t>
      </w:r>
      <w:r w:rsidR="00805C13" w:rsidRPr="0030354F">
        <w:rPr>
          <w:rFonts w:ascii="Arial" w:hAnsi="Arial" w:cs="Arial"/>
          <w:sz w:val="20"/>
          <w:szCs w:val="20"/>
          <w:lang w:val="en-US"/>
        </w:rPr>
        <w:t xml:space="preserve">exist. The Committee </w:t>
      </w:r>
      <w:r w:rsidR="00E303A9" w:rsidRPr="0030354F">
        <w:rPr>
          <w:rFonts w:ascii="Arial" w:hAnsi="Arial" w:cs="Arial"/>
          <w:sz w:val="20"/>
          <w:szCs w:val="20"/>
          <w:lang w:val="en-US"/>
        </w:rPr>
        <w:tab/>
        <w:t>had then conclude</w:t>
      </w:r>
      <w:r w:rsidR="007F074C" w:rsidRPr="0030354F">
        <w:rPr>
          <w:rFonts w:ascii="Arial" w:hAnsi="Arial" w:cs="Arial"/>
          <w:sz w:val="20"/>
          <w:szCs w:val="20"/>
          <w:lang w:val="en-US"/>
        </w:rPr>
        <w:t>d</w:t>
      </w:r>
      <w:r w:rsidR="00805C13" w:rsidRPr="0030354F">
        <w:rPr>
          <w:rFonts w:ascii="Arial" w:hAnsi="Arial" w:cs="Arial"/>
          <w:sz w:val="20"/>
          <w:szCs w:val="20"/>
          <w:lang w:val="en-US"/>
        </w:rPr>
        <w:t xml:space="preserve"> that “</w:t>
      </w:r>
      <w:r w:rsidR="00014D0C" w:rsidRPr="0030354F">
        <w:rPr>
          <w:rFonts w:ascii="Arial" w:hAnsi="Arial" w:cs="Arial"/>
          <w:sz w:val="20"/>
          <w:szCs w:val="20"/>
          <w:lang w:val="en-US"/>
        </w:rPr>
        <w:t xml:space="preserve">the </w:t>
      </w:r>
      <w:r w:rsidR="00E303A9" w:rsidRPr="0030354F">
        <w:rPr>
          <w:rFonts w:ascii="Arial" w:hAnsi="Arial" w:cs="Arial"/>
          <w:sz w:val="20"/>
          <w:szCs w:val="20"/>
          <w:lang w:val="en-US"/>
        </w:rPr>
        <w:t xml:space="preserve">Department must continue to exist. Empirical </w:t>
      </w:r>
      <w:r w:rsidR="00805C13" w:rsidRPr="0030354F">
        <w:rPr>
          <w:rFonts w:ascii="Arial" w:hAnsi="Arial" w:cs="Arial"/>
          <w:sz w:val="20"/>
          <w:szCs w:val="20"/>
          <w:lang w:val="en-US"/>
        </w:rPr>
        <w:t>eviden</w:t>
      </w:r>
      <w:r w:rsidR="00014D0C" w:rsidRPr="0030354F">
        <w:rPr>
          <w:rFonts w:ascii="Arial" w:hAnsi="Arial" w:cs="Arial"/>
          <w:sz w:val="20"/>
          <w:szCs w:val="20"/>
          <w:lang w:val="en-US"/>
        </w:rPr>
        <w:t xml:space="preserve">ce </w:t>
      </w:r>
      <w:r w:rsidR="00E303A9" w:rsidRPr="0030354F">
        <w:rPr>
          <w:rFonts w:ascii="Arial" w:hAnsi="Arial" w:cs="Arial"/>
          <w:sz w:val="20"/>
          <w:szCs w:val="20"/>
          <w:lang w:val="en-US"/>
        </w:rPr>
        <w:tab/>
        <w:t xml:space="preserve">suggests </w:t>
      </w:r>
      <w:r w:rsidR="00014D0C" w:rsidRPr="0030354F">
        <w:rPr>
          <w:rFonts w:ascii="Arial" w:hAnsi="Arial" w:cs="Arial"/>
          <w:sz w:val="20"/>
          <w:szCs w:val="20"/>
          <w:lang w:val="en-US"/>
        </w:rPr>
        <w:t>that</w:t>
      </w:r>
      <w:r w:rsidR="00E303A9" w:rsidRPr="0030354F">
        <w:rPr>
          <w:rFonts w:ascii="Arial" w:hAnsi="Arial" w:cs="Arial"/>
          <w:sz w:val="20"/>
          <w:szCs w:val="20"/>
          <w:lang w:val="en-US"/>
        </w:rPr>
        <w:t xml:space="preserve"> no economy </w:t>
      </w:r>
      <w:r w:rsidR="00014D0C" w:rsidRPr="0030354F">
        <w:rPr>
          <w:rFonts w:ascii="Arial" w:hAnsi="Arial" w:cs="Arial"/>
          <w:sz w:val="20"/>
          <w:szCs w:val="20"/>
          <w:lang w:val="en-US"/>
        </w:rPr>
        <w:t xml:space="preserve">can </w:t>
      </w:r>
      <w:r w:rsidR="00805C13" w:rsidRPr="0030354F">
        <w:rPr>
          <w:rFonts w:ascii="Arial" w:hAnsi="Arial" w:cs="Arial"/>
          <w:sz w:val="20"/>
          <w:szCs w:val="20"/>
          <w:lang w:val="en-US"/>
        </w:rPr>
        <w:t>e</w:t>
      </w:r>
      <w:r w:rsidR="00E303A9" w:rsidRPr="0030354F">
        <w:rPr>
          <w:rFonts w:ascii="Arial" w:hAnsi="Arial" w:cs="Arial"/>
          <w:sz w:val="20"/>
          <w:szCs w:val="20"/>
          <w:lang w:val="en-US"/>
        </w:rPr>
        <w:t xml:space="preserve">xist without the small enterprise sector. </w:t>
      </w:r>
      <w:r w:rsidR="00805C13" w:rsidRPr="0030354F">
        <w:rPr>
          <w:rFonts w:ascii="Arial" w:hAnsi="Arial" w:cs="Arial"/>
          <w:sz w:val="20"/>
          <w:szCs w:val="20"/>
          <w:lang w:val="en-US"/>
        </w:rPr>
        <w:t>The National</w:t>
      </w:r>
      <w:r w:rsidR="00014D0C" w:rsidRPr="0030354F">
        <w:rPr>
          <w:rFonts w:ascii="Arial" w:hAnsi="Arial" w:cs="Arial"/>
          <w:sz w:val="20"/>
          <w:szCs w:val="20"/>
          <w:lang w:val="en-US"/>
        </w:rPr>
        <w:t xml:space="preserve"> </w:t>
      </w:r>
      <w:r w:rsidR="00E303A9" w:rsidRPr="0030354F">
        <w:rPr>
          <w:rFonts w:ascii="Arial" w:hAnsi="Arial" w:cs="Arial"/>
          <w:sz w:val="20"/>
          <w:szCs w:val="20"/>
          <w:lang w:val="en-US"/>
        </w:rPr>
        <w:tab/>
      </w:r>
      <w:r w:rsidR="00014D0C" w:rsidRPr="0030354F">
        <w:rPr>
          <w:rFonts w:ascii="Arial" w:hAnsi="Arial" w:cs="Arial"/>
          <w:sz w:val="20"/>
          <w:szCs w:val="20"/>
          <w:lang w:val="en-US"/>
        </w:rPr>
        <w:t xml:space="preserve">Development Plan situates more </w:t>
      </w:r>
      <w:r w:rsidR="00E303A9" w:rsidRPr="0030354F">
        <w:rPr>
          <w:rFonts w:ascii="Arial" w:hAnsi="Arial" w:cs="Arial"/>
          <w:sz w:val="20"/>
          <w:szCs w:val="20"/>
          <w:lang w:val="en-US"/>
        </w:rPr>
        <w:t xml:space="preserve">accountability on the sector to </w:t>
      </w:r>
      <w:r w:rsidR="00805C13" w:rsidRPr="0030354F">
        <w:rPr>
          <w:rFonts w:ascii="Arial" w:hAnsi="Arial" w:cs="Arial"/>
          <w:sz w:val="20"/>
          <w:szCs w:val="20"/>
          <w:lang w:val="en-US"/>
        </w:rPr>
        <w:t>create 11 million jobs</w:t>
      </w:r>
      <w:r w:rsidR="00E303A9" w:rsidRPr="0030354F">
        <w:rPr>
          <w:rFonts w:ascii="Arial" w:hAnsi="Arial" w:cs="Arial"/>
          <w:sz w:val="20"/>
          <w:szCs w:val="20"/>
          <w:lang w:val="en-US"/>
        </w:rPr>
        <w:tab/>
      </w:r>
      <w:r w:rsidR="00805C13" w:rsidRPr="0030354F">
        <w:rPr>
          <w:rFonts w:ascii="Arial" w:hAnsi="Arial" w:cs="Arial"/>
          <w:sz w:val="20"/>
          <w:szCs w:val="20"/>
          <w:lang w:val="en-US"/>
        </w:rPr>
        <w:t>whi</w:t>
      </w:r>
      <w:r w:rsidR="00014D0C" w:rsidRPr="0030354F">
        <w:rPr>
          <w:rFonts w:ascii="Arial" w:hAnsi="Arial" w:cs="Arial"/>
          <w:sz w:val="20"/>
          <w:szCs w:val="20"/>
          <w:lang w:val="en-US"/>
        </w:rPr>
        <w:t xml:space="preserve">ch is a further indication that </w:t>
      </w:r>
      <w:r w:rsidR="00805C13" w:rsidRPr="0030354F">
        <w:rPr>
          <w:rFonts w:ascii="Arial" w:hAnsi="Arial" w:cs="Arial"/>
          <w:sz w:val="20"/>
          <w:szCs w:val="20"/>
          <w:lang w:val="en-US"/>
        </w:rPr>
        <w:t>the chall</w:t>
      </w:r>
      <w:r w:rsidR="00E303A9" w:rsidRPr="0030354F">
        <w:rPr>
          <w:rFonts w:ascii="Arial" w:hAnsi="Arial" w:cs="Arial"/>
          <w:sz w:val="20"/>
          <w:szCs w:val="20"/>
          <w:lang w:val="en-US"/>
        </w:rPr>
        <w:t xml:space="preserve">enge of tackling </w:t>
      </w:r>
      <w:r w:rsidR="00805C13" w:rsidRPr="0030354F">
        <w:rPr>
          <w:rFonts w:ascii="Arial" w:hAnsi="Arial" w:cs="Arial"/>
          <w:sz w:val="20"/>
          <w:szCs w:val="20"/>
          <w:lang w:val="en-US"/>
        </w:rPr>
        <w:t xml:space="preserve">unemployment will come </w:t>
      </w:r>
      <w:r w:rsidR="00E303A9" w:rsidRPr="0030354F">
        <w:rPr>
          <w:rFonts w:ascii="Arial" w:hAnsi="Arial" w:cs="Arial"/>
          <w:sz w:val="20"/>
          <w:szCs w:val="20"/>
          <w:lang w:val="en-US"/>
        </w:rPr>
        <w:tab/>
      </w:r>
      <w:r w:rsidR="00014D0C" w:rsidRPr="0030354F">
        <w:rPr>
          <w:rFonts w:ascii="Arial" w:hAnsi="Arial" w:cs="Arial"/>
          <w:sz w:val="20"/>
          <w:szCs w:val="20"/>
          <w:lang w:val="en-US"/>
        </w:rPr>
        <w:t>from a vibrant small enterprise s</w:t>
      </w:r>
      <w:r w:rsidR="00E303A9" w:rsidRPr="0030354F">
        <w:rPr>
          <w:rFonts w:ascii="Arial" w:hAnsi="Arial" w:cs="Arial"/>
          <w:sz w:val="20"/>
          <w:szCs w:val="20"/>
          <w:lang w:val="en-US"/>
        </w:rPr>
        <w:t xml:space="preserve">ector. Based on the Committee experience, </w:t>
      </w:r>
      <w:r w:rsidR="00805C13" w:rsidRPr="0030354F">
        <w:rPr>
          <w:rFonts w:ascii="Arial" w:hAnsi="Arial" w:cs="Arial"/>
          <w:sz w:val="20"/>
          <w:szCs w:val="20"/>
          <w:lang w:val="en-US"/>
        </w:rPr>
        <w:t xml:space="preserve">the </w:t>
      </w:r>
      <w:r w:rsidR="00E303A9" w:rsidRPr="0030354F">
        <w:rPr>
          <w:rFonts w:ascii="Arial" w:hAnsi="Arial" w:cs="Arial"/>
          <w:sz w:val="20"/>
          <w:szCs w:val="20"/>
          <w:lang w:val="en-US"/>
        </w:rPr>
        <w:tab/>
      </w:r>
      <w:r w:rsidR="00805C13" w:rsidRPr="0030354F">
        <w:rPr>
          <w:rFonts w:ascii="Arial" w:hAnsi="Arial" w:cs="Arial"/>
          <w:sz w:val="20"/>
          <w:szCs w:val="20"/>
          <w:lang w:val="en-US"/>
        </w:rPr>
        <w:t>esta</w:t>
      </w:r>
      <w:r w:rsidR="00014D0C" w:rsidRPr="0030354F">
        <w:rPr>
          <w:rFonts w:ascii="Arial" w:hAnsi="Arial" w:cs="Arial"/>
          <w:sz w:val="20"/>
          <w:szCs w:val="20"/>
          <w:lang w:val="en-US"/>
        </w:rPr>
        <w:t xml:space="preserve">blishment of the Department was </w:t>
      </w:r>
      <w:r w:rsidR="00E303A9" w:rsidRPr="0030354F">
        <w:rPr>
          <w:rFonts w:ascii="Arial" w:hAnsi="Arial" w:cs="Arial"/>
          <w:sz w:val="20"/>
          <w:szCs w:val="20"/>
          <w:lang w:val="en-US"/>
        </w:rPr>
        <w:t xml:space="preserve">absolutely necessary, and </w:t>
      </w:r>
      <w:r w:rsidR="00805C13" w:rsidRPr="0030354F">
        <w:rPr>
          <w:rFonts w:ascii="Arial" w:hAnsi="Arial" w:cs="Arial"/>
          <w:sz w:val="20"/>
          <w:szCs w:val="20"/>
          <w:lang w:val="en-US"/>
        </w:rPr>
        <w:t xml:space="preserve">it </w:t>
      </w:r>
      <w:r w:rsidR="00E303A9" w:rsidRPr="0030354F">
        <w:rPr>
          <w:rFonts w:ascii="Arial" w:hAnsi="Arial" w:cs="Arial"/>
          <w:sz w:val="20"/>
          <w:szCs w:val="20"/>
          <w:lang w:val="en-US"/>
        </w:rPr>
        <w:t xml:space="preserve">must </w:t>
      </w:r>
      <w:r w:rsidR="00805C13" w:rsidRPr="0030354F">
        <w:rPr>
          <w:rFonts w:ascii="Arial" w:hAnsi="Arial" w:cs="Arial"/>
          <w:sz w:val="20"/>
          <w:szCs w:val="20"/>
          <w:lang w:val="en-US"/>
        </w:rPr>
        <w:t>therefore remain</w:t>
      </w:r>
      <w:r w:rsidR="00014D0C" w:rsidRPr="0030354F">
        <w:rPr>
          <w:rFonts w:ascii="Arial" w:hAnsi="Arial" w:cs="Arial"/>
          <w:sz w:val="20"/>
          <w:szCs w:val="20"/>
          <w:lang w:val="en-US"/>
        </w:rPr>
        <w:t xml:space="preserve"> </w:t>
      </w:r>
      <w:r w:rsidR="00E303A9" w:rsidRPr="0030354F">
        <w:rPr>
          <w:rFonts w:ascii="Arial" w:hAnsi="Arial" w:cs="Arial"/>
          <w:sz w:val="20"/>
          <w:szCs w:val="20"/>
          <w:lang w:val="en-US"/>
        </w:rPr>
        <w:tab/>
      </w:r>
      <w:r w:rsidR="00014D0C" w:rsidRPr="0030354F">
        <w:rPr>
          <w:rFonts w:ascii="Arial" w:hAnsi="Arial" w:cs="Arial"/>
          <w:sz w:val="20"/>
          <w:szCs w:val="20"/>
          <w:lang w:val="en-US"/>
        </w:rPr>
        <w:t xml:space="preserve">in order to fulfil what it had </w:t>
      </w:r>
      <w:r w:rsidR="00E303A9" w:rsidRPr="0030354F">
        <w:rPr>
          <w:rFonts w:ascii="Arial" w:hAnsi="Arial" w:cs="Arial"/>
          <w:sz w:val="20"/>
          <w:szCs w:val="20"/>
          <w:lang w:val="en-US"/>
        </w:rPr>
        <w:t xml:space="preserve">intended to accomplish”. It is </w:t>
      </w:r>
      <w:r w:rsidR="00805C13" w:rsidRPr="0030354F">
        <w:rPr>
          <w:rFonts w:ascii="Arial" w:hAnsi="Arial" w:cs="Arial"/>
          <w:sz w:val="20"/>
          <w:szCs w:val="20"/>
          <w:lang w:val="en-US"/>
        </w:rPr>
        <w:t xml:space="preserve">therefore not unanticipated </w:t>
      </w:r>
      <w:r w:rsidR="00E303A9" w:rsidRPr="0030354F">
        <w:rPr>
          <w:rFonts w:ascii="Arial" w:hAnsi="Arial" w:cs="Arial"/>
          <w:sz w:val="20"/>
          <w:szCs w:val="20"/>
          <w:lang w:val="en-US"/>
        </w:rPr>
        <w:tab/>
      </w:r>
      <w:r w:rsidR="00805C13" w:rsidRPr="0030354F">
        <w:rPr>
          <w:rFonts w:ascii="Arial" w:hAnsi="Arial" w:cs="Arial"/>
          <w:sz w:val="20"/>
          <w:szCs w:val="20"/>
          <w:lang w:val="en-US"/>
        </w:rPr>
        <w:t xml:space="preserve">that members of </w:t>
      </w:r>
      <w:r w:rsidR="00014D0C" w:rsidRPr="0030354F">
        <w:rPr>
          <w:rFonts w:ascii="Arial" w:hAnsi="Arial" w:cs="Arial"/>
          <w:sz w:val="20"/>
          <w:szCs w:val="20"/>
          <w:lang w:val="en-US"/>
        </w:rPr>
        <w:t xml:space="preserve">the </w:t>
      </w:r>
      <w:r w:rsidR="00805C13" w:rsidRPr="0030354F">
        <w:rPr>
          <w:rFonts w:ascii="Arial" w:hAnsi="Arial" w:cs="Arial"/>
          <w:sz w:val="20"/>
          <w:szCs w:val="20"/>
          <w:lang w:val="en-US"/>
        </w:rPr>
        <w:t xml:space="preserve">Committee during the </w:t>
      </w:r>
      <w:r w:rsidR="00E303A9" w:rsidRPr="0030354F">
        <w:rPr>
          <w:rFonts w:ascii="Arial" w:hAnsi="Arial" w:cs="Arial"/>
          <w:sz w:val="20"/>
          <w:szCs w:val="20"/>
          <w:lang w:val="en-US"/>
        </w:rPr>
        <w:t xml:space="preserve">sixth Parliament, </w:t>
      </w:r>
      <w:r w:rsidR="00805C13" w:rsidRPr="0030354F">
        <w:rPr>
          <w:rFonts w:ascii="Arial" w:hAnsi="Arial" w:cs="Arial"/>
          <w:sz w:val="20"/>
          <w:szCs w:val="20"/>
          <w:lang w:val="en-US"/>
        </w:rPr>
        <w:t xml:space="preserve">considering the degree to </w:t>
      </w:r>
      <w:r w:rsidR="00E303A9" w:rsidRPr="0030354F">
        <w:rPr>
          <w:rFonts w:ascii="Arial" w:hAnsi="Arial" w:cs="Arial"/>
          <w:sz w:val="20"/>
          <w:szCs w:val="20"/>
          <w:lang w:val="en-US"/>
        </w:rPr>
        <w:tab/>
      </w:r>
      <w:r w:rsidR="00014D0C" w:rsidRPr="0030354F">
        <w:rPr>
          <w:rFonts w:ascii="Arial" w:hAnsi="Arial" w:cs="Arial"/>
          <w:sz w:val="20"/>
          <w:szCs w:val="20"/>
          <w:lang w:val="en-US"/>
        </w:rPr>
        <w:t xml:space="preserve">which the Department </w:t>
      </w:r>
      <w:r w:rsidR="00805C13" w:rsidRPr="0030354F">
        <w:rPr>
          <w:rFonts w:ascii="Arial" w:hAnsi="Arial" w:cs="Arial"/>
          <w:sz w:val="20"/>
          <w:szCs w:val="20"/>
          <w:lang w:val="en-US"/>
        </w:rPr>
        <w:t>is falling short of implement</w:t>
      </w:r>
      <w:r w:rsidR="00E303A9" w:rsidRPr="0030354F">
        <w:rPr>
          <w:rFonts w:ascii="Arial" w:hAnsi="Arial" w:cs="Arial"/>
          <w:sz w:val="20"/>
          <w:szCs w:val="20"/>
          <w:lang w:val="en-US"/>
        </w:rPr>
        <w:t xml:space="preserve">ing </w:t>
      </w:r>
      <w:r w:rsidR="00805C13" w:rsidRPr="0030354F">
        <w:rPr>
          <w:rFonts w:ascii="Arial" w:hAnsi="Arial" w:cs="Arial"/>
          <w:sz w:val="20"/>
          <w:szCs w:val="20"/>
          <w:lang w:val="en-US"/>
        </w:rPr>
        <w:t xml:space="preserve">resolutions </w:t>
      </w:r>
      <w:r w:rsidR="00014D0C" w:rsidRPr="0030354F">
        <w:rPr>
          <w:rFonts w:ascii="Arial" w:hAnsi="Arial" w:cs="Arial"/>
          <w:sz w:val="20"/>
          <w:szCs w:val="20"/>
          <w:lang w:val="en-US"/>
        </w:rPr>
        <w:t xml:space="preserve">contained in various </w:t>
      </w:r>
      <w:r w:rsidR="00E303A9" w:rsidRPr="0030354F">
        <w:rPr>
          <w:rFonts w:ascii="Arial" w:hAnsi="Arial" w:cs="Arial"/>
          <w:sz w:val="20"/>
          <w:szCs w:val="20"/>
          <w:lang w:val="en-US"/>
        </w:rPr>
        <w:tab/>
      </w:r>
      <w:r w:rsidR="00014D0C" w:rsidRPr="0030354F">
        <w:rPr>
          <w:rFonts w:ascii="Arial" w:hAnsi="Arial" w:cs="Arial"/>
          <w:sz w:val="20"/>
          <w:szCs w:val="20"/>
          <w:lang w:val="en-US"/>
        </w:rPr>
        <w:t>Committee reports</w:t>
      </w:r>
      <w:r w:rsidR="00805C13" w:rsidRPr="0030354F">
        <w:rPr>
          <w:rFonts w:ascii="Arial" w:hAnsi="Arial" w:cs="Arial"/>
          <w:sz w:val="20"/>
          <w:szCs w:val="20"/>
          <w:lang w:val="en-US"/>
        </w:rPr>
        <w:t xml:space="preserve">, </w:t>
      </w:r>
      <w:r w:rsidR="00014D0C" w:rsidRPr="0030354F">
        <w:rPr>
          <w:rFonts w:ascii="Arial" w:hAnsi="Arial" w:cs="Arial"/>
          <w:sz w:val="20"/>
          <w:szCs w:val="20"/>
          <w:lang w:val="en-US"/>
        </w:rPr>
        <w:t xml:space="preserve">would be </w:t>
      </w:r>
      <w:r w:rsidR="00805C13" w:rsidRPr="0030354F">
        <w:rPr>
          <w:rFonts w:ascii="Arial" w:hAnsi="Arial" w:cs="Arial"/>
          <w:sz w:val="20"/>
          <w:szCs w:val="20"/>
          <w:lang w:val="en-US"/>
        </w:rPr>
        <w:t xml:space="preserve">faced with </w:t>
      </w:r>
      <w:r w:rsidR="00014D0C" w:rsidRPr="0030354F">
        <w:rPr>
          <w:rFonts w:ascii="Arial" w:hAnsi="Arial" w:cs="Arial"/>
          <w:sz w:val="20"/>
          <w:szCs w:val="20"/>
          <w:lang w:val="en-US"/>
        </w:rPr>
        <w:t xml:space="preserve">a </w:t>
      </w:r>
      <w:r w:rsidR="00E303A9" w:rsidRPr="0030354F">
        <w:rPr>
          <w:rFonts w:ascii="Arial" w:hAnsi="Arial" w:cs="Arial"/>
          <w:sz w:val="20"/>
          <w:szCs w:val="20"/>
          <w:lang w:val="en-US"/>
        </w:rPr>
        <w:t xml:space="preserve">similar </w:t>
      </w:r>
      <w:r w:rsidR="00805C13" w:rsidRPr="0030354F">
        <w:rPr>
          <w:rFonts w:ascii="Arial" w:hAnsi="Arial" w:cs="Arial"/>
          <w:sz w:val="20"/>
          <w:szCs w:val="20"/>
          <w:lang w:val="en-US"/>
        </w:rPr>
        <w:t xml:space="preserve">conundrum. </w:t>
      </w:r>
    </w:p>
    <w:p w:rsidR="0074285B" w:rsidRPr="0030354F" w:rsidRDefault="00805C13"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lang w:val="en-US"/>
        </w:rPr>
        <w:t>6.1</w:t>
      </w:r>
      <w:r w:rsidR="00DB415B" w:rsidRPr="0030354F">
        <w:rPr>
          <w:rFonts w:ascii="Arial" w:hAnsi="Arial" w:cs="Arial"/>
          <w:sz w:val="20"/>
          <w:szCs w:val="20"/>
          <w:lang w:val="en-US"/>
        </w:rPr>
        <w:t>3</w:t>
      </w:r>
      <w:r w:rsidRPr="0030354F">
        <w:rPr>
          <w:rFonts w:ascii="Arial" w:hAnsi="Arial" w:cs="Arial"/>
          <w:sz w:val="20"/>
          <w:szCs w:val="20"/>
          <w:lang w:val="en-US"/>
        </w:rPr>
        <w:tab/>
      </w:r>
      <w:r w:rsidR="00CC1FBC" w:rsidRPr="0030354F">
        <w:rPr>
          <w:rFonts w:ascii="Arial" w:hAnsi="Arial" w:cs="Arial"/>
          <w:sz w:val="20"/>
          <w:szCs w:val="20"/>
        </w:rPr>
        <w:t>The Committee has long noted and flagged red tape</w:t>
      </w:r>
      <w:r w:rsidR="007F074C" w:rsidRPr="0030354F">
        <w:rPr>
          <w:rFonts w:ascii="Arial" w:hAnsi="Arial" w:cs="Arial"/>
          <w:sz w:val="20"/>
          <w:szCs w:val="20"/>
        </w:rPr>
        <w:t xml:space="preserve"> as an area of interest </w:t>
      </w:r>
      <w:r w:rsidR="00CC1FBC" w:rsidRPr="0030354F">
        <w:rPr>
          <w:rFonts w:ascii="Arial" w:hAnsi="Arial" w:cs="Arial"/>
          <w:sz w:val="20"/>
          <w:szCs w:val="20"/>
        </w:rPr>
        <w:t xml:space="preserve">as it believes </w:t>
      </w:r>
      <w:r w:rsidR="007F074C" w:rsidRPr="0030354F">
        <w:rPr>
          <w:rFonts w:ascii="Arial" w:hAnsi="Arial" w:cs="Arial"/>
          <w:sz w:val="20"/>
          <w:szCs w:val="20"/>
        </w:rPr>
        <w:tab/>
      </w:r>
      <w:r w:rsidR="001F0725" w:rsidRPr="0030354F">
        <w:rPr>
          <w:rStyle w:val="Emphasis"/>
          <w:rFonts w:ascii="Arial" w:hAnsi="Arial" w:cs="Arial"/>
          <w:bCs/>
          <w:i w:val="0"/>
          <w:iCs w:val="0"/>
          <w:sz w:val="20"/>
          <w:szCs w:val="20"/>
          <w:shd w:val="clear" w:color="auto" w:fill="FFFFFF"/>
        </w:rPr>
        <w:t>it</w:t>
      </w:r>
      <w:r w:rsidR="00CC1FBC" w:rsidRPr="0030354F">
        <w:rPr>
          <w:rFonts w:ascii="Arial" w:hAnsi="Arial" w:cs="Arial"/>
          <w:sz w:val="20"/>
          <w:szCs w:val="20"/>
          <w:shd w:val="clear" w:color="auto" w:fill="FFFFFF"/>
        </w:rPr>
        <w:t xml:space="preserve"> is one of the </w:t>
      </w:r>
      <w:r w:rsidR="007F074C" w:rsidRPr="0030354F">
        <w:rPr>
          <w:rFonts w:ascii="Arial" w:hAnsi="Arial" w:cs="Arial"/>
          <w:sz w:val="20"/>
          <w:szCs w:val="20"/>
          <w:shd w:val="clear" w:color="auto" w:fill="FFFFFF"/>
        </w:rPr>
        <w:t xml:space="preserve">biggest constraints on economic </w:t>
      </w:r>
      <w:r w:rsidR="00CC1FBC" w:rsidRPr="0030354F">
        <w:rPr>
          <w:rFonts w:ascii="Arial" w:hAnsi="Arial" w:cs="Arial"/>
          <w:sz w:val="20"/>
          <w:szCs w:val="20"/>
          <w:shd w:val="clear" w:color="auto" w:fill="FFFFFF"/>
        </w:rPr>
        <w:t>o</w:t>
      </w:r>
      <w:r w:rsidR="001F0725" w:rsidRPr="0030354F">
        <w:rPr>
          <w:rFonts w:ascii="Arial" w:hAnsi="Arial" w:cs="Arial"/>
          <w:sz w:val="20"/>
          <w:szCs w:val="20"/>
          <w:shd w:val="clear" w:color="auto" w:fill="FFFFFF"/>
        </w:rPr>
        <w:t xml:space="preserve">pportunity, business investment </w:t>
      </w:r>
      <w:r w:rsidR="00CC1FBC" w:rsidRPr="0030354F">
        <w:rPr>
          <w:rFonts w:ascii="Arial" w:hAnsi="Arial" w:cs="Arial"/>
          <w:sz w:val="20"/>
          <w:szCs w:val="20"/>
          <w:shd w:val="clear" w:color="auto" w:fill="FFFFFF"/>
        </w:rPr>
        <w:t xml:space="preserve">and </w:t>
      </w:r>
      <w:r w:rsidR="001F0725" w:rsidRPr="0030354F">
        <w:rPr>
          <w:rFonts w:ascii="Arial" w:hAnsi="Arial" w:cs="Arial"/>
          <w:sz w:val="20"/>
          <w:szCs w:val="20"/>
          <w:shd w:val="clear" w:color="auto" w:fill="FFFFFF"/>
        </w:rPr>
        <w:tab/>
      </w:r>
      <w:r w:rsidR="00CC1FBC" w:rsidRPr="0030354F">
        <w:rPr>
          <w:rFonts w:ascii="Arial" w:hAnsi="Arial" w:cs="Arial"/>
          <w:sz w:val="20"/>
          <w:szCs w:val="20"/>
          <w:shd w:val="clear" w:color="auto" w:fill="FFFFFF"/>
        </w:rPr>
        <w:t>job creation. A</w:t>
      </w:r>
      <w:r w:rsidR="00CC1FBC" w:rsidRPr="0030354F">
        <w:rPr>
          <w:rFonts w:ascii="Arial" w:hAnsi="Arial" w:cs="Arial"/>
          <w:sz w:val="20"/>
          <w:szCs w:val="20"/>
        </w:rPr>
        <w:t>t</w:t>
      </w:r>
      <w:r w:rsidR="00DB415B" w:rsidRPr="0030354F">
        <w:rPr>
          <w:rFonts w:ascii="Arial" w:hAnsi="Arial" w:cs="Arial"/>
          <w:sz w:val="20"/>
          <w:szCs w:val="20"/>
        </w:rPr>
        <w:t xml:space="preserve"> the start of its term</w:t>
      </w:r>
      <w:r w:rsidR="007F074C" w:rsidRPr="0030354F">
        <w:rPr>
          <w:rFonts w:ascii="Arial" w:hAnsi="Arial" w:cs="Arial"/>
          <w:sz w:val="20"/>
          <w:szCs w:val="20"/>
        </w:rPr>
        <w:t xml:space="preserve">, the </w:t>
      </w:r>
      <w:r w:rsidR="001F0725" w:rsidRPr="0030354F">
        <w:rPr>
          <w:rFonts w:ascii="Arial" w:hAnsi="Arial" w:cs="Arial"/>
          <w:sz w:val="20"/>
          <w:szCs w:val="20"/>
        </w:rPr>
        <w:t xml:space="preserve">Committee had sought to </w:t>
      </w:r>
      <w:r w:rsidR="00CC1FBC" w:rsidRPr="0030354F">
        <w:rPr>
          <w:rFonts w:ascii="Arial" w:hAnsi="Arial" w:cs="Arial"/>
          <w:sz w:val="20"/>
          <w:szCs w:val="20"/>
        </w:rPr>
        <w:t xml:space="preserve">dissect and </w:t>
      </w:r>
      <w:r w:rsidR="007F074C" w:rsidRPr="0030354F">
        <w:rPr>
          <w:rFonts w:ascii="Arial" w:hAnsi="Arial" w:cs="Arial"/>
          <w:sz w:val="20"/>
          <w:szCs w:val="20"/>
        </w:rPr>
        <w:tab/>
      </w:r>
      <w:r w:rsidR="00CC1FBC" w:rsidRPr="0030354F">
        <w:rPr>
          <w:rFonts w:ascii="Arial" w:hAnsi="Arial" w:cs="Arial"/>
          <w:sz w:val="20"/>
          <w:szCs w:val="20"/>
        </w:rPr>
        <w:t>analyse commo</w:t>
      </w:r>
      <w:r w:rsidR="007F074C" w:rsidRPr="0030354F">
        <w:rPr>
          <w:rFonts w:ascii="Arial" w:hAnsi="Arial" w:cs="Arial"/>
          <w:sz w:val="20"/>
          <w:szCs w:val="20"/>
        </w:rPr>
        <w:t xml:space="preserve">n bottlenecks bedevilling small </w:t>
      </w:r>
      <w:r w:rsidR="00CC1FBC" w:rsidRPr="0030354F">
        <w:rPr>
          <w:rFonts w:ascii="Arial" w:hAnsi="Arial" w:cs="Arial"/>
          <w:sz w:val="20"/>
          <w:szCs w:val="20"/>
        </w:rPr>
        <w:t>ente</w:t>
      </w:r>
      <w:r w:rsidR="001F0725" w:rsidRPr="0030354F">
        <w:rPr>
          <w:rFonts w:ascii="Arial" w:hAnsi="Arial" w:cs="Arial"/>
          <w:sz w:val="20"/>
          <w:szCs w:val="20"/>
        </w:rPr>
        <w:t xml:space="preserve">rprise sector from realising </w:t>
      </w:r>
      <w:r w:rsidR="00CC1FBC" w:rsidRPr="0030354F">
        <w:rPr>
          <w:rFonts w:ascii="Arial" w:hAnsi="Arial" w:cs="Arial"/>
          <w:sz w:val="20"/>
          <w:szCs w:val="20"/>
        </w:rPr>
        <w:t xml:space="preserve">full </w:t>
      </w:r>
      <w:r w:rsidR="007F074C" w:rsidRPr="0030354F">
        <w:rPr>
          <w:rFonts w:ascii="Arial" w:hAnsi="Arial" w:cs="Arial"/>
          <w:sz w:val="20"/>
          <w:szCs w:val="20"/>
        </w:rPr>
        <w:tab/>
      </w:r>
      <w:r w:rsidR="00CC1FBC" w:rsidRPr="0030354F">
        <w:rPr>
          <w:rFonts w:ascii="Arial" w:hAnsi="Arial" w:cs="Arial"/>
          <w:sz w:val="20"/>
          <w:szCs w:val="20"/>
        </w:rPr>
        <w:t>potential. The</w:t>
      </w:r>
      <w:r w:rsidR="007F074C" w:rsidRPr="0030354F">
        <w:rPr>
          <w:rFonts w:ascii="Arial" w:hAnsi="Arial" w:cs="Arial"/>
          <w:sz w:val="20"/>
          <w:szCs w:val="20"/>
        </w:rPr>
        <w:t xml:space="preserve"> Committee had then re-examined </w:t>
      </w:r>
      <w:r w:rsidR="00CC1FBC" w:rsidRPr="0030354F">
        <w:rPr>
          <w:rFonts w:ascii="Arial" w:hAnsi="Arial" w:cs="Arial"/>
          <w:sz w:val="20"/>
          <w:szCs w:val="20"/>
        </w:rPr>
        <w:t xml:space="preserve">all previous government initiatives </w:t>
      </w:r>
      <w:r w:rsidR="007F074C" w:rsidRPr="0030354F">
        <w:rPr>
          <w:rFonts w:ascii="Arial" w:hAnsi="Arial" w:cs="Arial"/>
          <w:sz w:val="20"/>
          <w:szCs w:val="20"/>
        </w:rPr>
        <w:tab/>
      </w:r>
      <w:r w:rsidR="00CC1FBC" w:rsidRPr="0030354F">
        <w:rPr>
          <w:rFonts w:ascii="Arial" w:hAnsi="Arial" w:cs="Arial"/>
          <w:sz w:val="20"/>
          <w:szCs w:val="20"/>
        </w:rPr>
        <w:t xml:space="preserve">aimed at eliminating </w:t>
      </w:r>
      <w:r w:rsidR="007F074C" w:rsidRPr="0030354F">
        <w:rPr>
          <w:rFonts w:ascii="Arial" w:hAnsi="Arial" w:cs="Arial"/>
          <w:sz w:val="20"/>
          <w:szCs w:val="20"/>
        </w:rPr>
        <w:t xml:space="preserve">red tape e.g. Regulatory Impact </w:t>
      </w:r>
      <w:r w:rsidR="00CC1FBC" w:rsidRPr="0030354F">
        <w:rPr>
          <w:rFonts w:ascii="Arial" w:hAnsi="Arial" w:cs="Arial"/>
          <w:sz w:val="20"/>
          <w:szCs w:val="20"/>
        </w:rPr>
        <w:t xml:space="preserve">Assessment, Socio Economic </w:t>
      </w:r>
      <w:r w:rsidR="007F074C" w:rsidRPr="0030354F">
        <w:rPr>
          <w:rFonts w:ascii="Arial" w:hAnsi="Arial" w:cs="Arial"/>
          <w:sz w:val="20"/>
          <w:szCs w:val="20"/>
        </w:rPr>
        <w:tab/>
      </w:r>
      <w:r w:rsidR="00CC1FBC" w:rsidRPr="0030354F">
        <w:rPr>
          <w:rFonts w:ascii="Arial" w:hAnsi="Arial" w:cs="Arial"/>
          <w:sz w:val="20"/>
          <w:szCs w:val="20"/>
        </w:rPr>
        <w:t>Impact Assessment System</w:t>
      </w:r>
      <w:r w:rsidR="00CC1FBC" w:rsidRPr="0030354F">
        <w:rPr>
          <w:rFonts w:ascii="Arial" w:hAnsi="Arial" w:cs="Arial"/>
          <w:bCs/>
          <w:sz w:val="20"/>
          <w:szCs w:val="20"/>
        </w:rPr>
        <w:t>,</w:t>
      </w:r>
      <w:r w:rsidR="00CC1FBC" w:rsidRPr="0030354F">
        <w:rPr>
          <w:rFonts w:ascii="Arial" w:hAnsi="Arial" w:cs="Arial"/>
          <w:b/>
          <w:bCs/>
          <w:sz w:val="20"/>
          <w:szCs w:val="20"/>
        </w:rPr>
        <w:t xml:space="preserve"> </w:t>
      </w:r>
      <w:r w:rsidR="007F074C" w:rsidRPr="0030354F">
        <w:rPr>
          <w:rFonts w:ascii="Arial" w:hAnsi="Arial" w:cs="Arial"/>
          <w:sz w:val="20"/>
          <w:szCs w:val="20"/>
        </w:rPr>
        <w:t xml:space="preserve">Guidelines for Reducing </w:t>
      </w:r>
      <w:r w:rsidR="00CC1FBC" w:rsidRPr="0030354F">
        <w:rPr>
          <w:rFonts w:ascii="Arial" w:hAnsi="Arial" w:cs="Arial"/>
          <w:sz w:val="20"/>
          <w:szCs w:val="20"/>
        </w:rPr>
        <w:t xml:space="preserve">Municipal Red Tape and national </w:t>
      </w:r>
      <w:r w:rsidR="007F074C" w:rsidRPr="0030354F">
        <w:rPr>
          <w:rFonts w:ascii="Arial" w:hAnsi="Arial" w:cs="Arial"/>
          <w:sz w:val="20"/>
          <w:szCs w:val="20"/>
        </w:rPr>
        <w:tab/>
      </w:r>
      <w:r w:rsidR="00CC1FBC" w:rsidRPr="0030354F">
        <w:rPr>
          <w:rFonts w:ascii="Arial" w:hAnsi="Arial" w:cs="Arial"/>
          <w:sz w:val="20"/>
          <w:szCs w:val="20"/>
        </w:rPr>
        <w:t>Red Tape Reduction (“RTR”) strategy</w:t>
      </w:r>
      <w:r w:rsidR="007F074C" w:rsidRPr="0030354F">
        <w:rPr>
          <w:rFonts w:ascii="Arial" w:hAnsi="Arial" w:cs="Arial"/>
          <w:sz w:val="20"/>
          <w:szCs w:val="20"/>
        </w:rPr>
        <w:t xml:space="preserve"> developed by </w:t>
      </w:r>
      <w:r w:rsidR="00CC1FBC" w:rsidRPr="0030354F">
        <w:rPr>
          <w:rFonts w:ascii="Arial" w:hAnsi="Arial" w:cs="Arial"/>
          <w:sz w:val="20"/>
          <w:szCs w:val="20"/>
        </w:rPr>
        <w:t xml:space="preserve">the Department. None of </w:t>
      </w:r>
      <w:r w:rsidR="00CC1FBC" w:rsidRPr="0030354F">
        <w:rPr>
          <w:rFonts w:ascii="Arial" w:hAnsi="Arial" w:cs="Arial"/>
          <w:sz w:val="20"/>
          <w:szCs w:val="20"/>
        </w:rPr>
        <w:lastRenderedPageBreak/>
        <w:t xml:space="preserve">these </w:t>
      </w:r>
      <w:r w:rsidR="007F074C" w:rsidRPr="0030354F">
        <w:rPr>
          <w:rFonts w:ascii="Arial" w:hAnsi="Arial" w:cs="Arial"/>
          <w:sz w:val="20"/>
          <w:szCs w:val="20"/>
        </w:rPr>
        <w:tab/>
      </w:r>
      <w:r w:rsidR="00CC1FBC" w:rsidRPr="0030354F">
        <w:rPr>
          <w:rFonts w:ascii="Arial" w:hAnsi="Arial" w:cs="Arial"/>
          <w:sz w:val="20"/>
          <w:szCs w:val="20"/>
        </w:rPr>
        <w:t>interventions seem to hav</w:t>
      </w:r>
      <w:r w:rsidR="007F074C" w:rsidRPr="0030354F">
        <w:rPr>
          <w:rFonts w:ascii="Arial" w:hAnsi="Arial" w:cs="Arial"/>
          <w:sz w:val="20"/>
          <w:szCs w:val="20"/>
        </w:rPr>
        <w:t>e yielded any positive response</w:t>
      </w:r>
      <w:r w:rsidR="001F0725" w:rsidRPr="0030354F">
        <w:rPr>
          <w:rFonts w:ascii="Arial" w:hAnsi="Arial" w:cs="Arial"/>
          <w:sz w:val="20"/>
          <w:szCs w:val="20"/>
        </w:rPr>
        <w:t>s</w:t>
      </w:r>
      <w:r w:rsidR="007F074C" w:rsidRPr="0030354F">
        <w:rPr>
          <w:rFonts w:ascii="Arial" w:hAnsi="Arial" w:cs="Arial"/>
          <w:sz w:val="20"/>
          <w:szCs w:val="20"/>
        </w:rPr>
        <w:t xml:space="preserve"> </w:t>
      </w:r>
      <w:r w:rsidR="00CC1FBC" w:rsidRPr="0030354F">
        <w:rPr>
          <w:rFonts w:ascii="Arial" w:hAnsi="Arial" w:cs="Arial"/>
          <w:sz w:val="20"/>
          <w:szCs w:val="20"/>
        </w:rPr>
        <w:t xml:space="preserve">considering the rate at which </w:t>
      </w:r>
      <w:r w:rsidR="007F074C" w:rsidRPr="0030354F">
        <w:rPr>
          <w:rFonts w:ascii="Arial" w:hAnsi="Arial" w:cs="Arial"/>
          <w:sz w:val="20"/>
          <w:szCs w:val="20"/>
        </w:rPr>
        <w:tab/>
      </w:r>
      <w:r w:rsidR="00CC1FBC" w:rsidRPr="0030354F">
        <w:rPr>
          <w:rFonts w:ascii="Arial" w:hAnsi="Arial" w:cs="Arial"/>
          <w:sz w:val="20"/>
          <w:szCs w:val="20"/>
        </w:rPr>
        <w:t>small e</w:t>
      </w:r>
      <w:r w:rsidR="007F074C" w:rsidRPr="0030354F">
        <w:rPr>
          <w:rFonts w:ascii="Arial" w:hAnsi="Arial" w:cs="Arial"/>
          <w:sz w:val="20"/>
          <w:szCs w:val="20"/>
        </w:rPr>
        <w:t xml:space="preserve">nterprises are disappearing due </w:t>
      </w:r>
      <w:r w:rsidR="00CC1FBC" w:rsidRPr="0030354F">
        <w:rPr>
          <w:rFonts w:ascii="Arial" w:hAnsi="Arial" w:cs="Arial"/>
          <w:sz w:val="20"/>
          <w:szCs w:val="20"/>
        </w:rPr>
        <w:t xml:space="preserve">to red tape. </w:t>
      </w:r>
    </w:p>
    <w:p w:rsidR="00124F84" w:rsidRPr="0030354F" w:rsidRDefault="00124F84"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rPr>
        <w:t>6.14</w:t>
      </w:r>
      <w:r w:rsidRPr="0030354F">
        <w:rPr>
          <w:rFonts w:ascii="Arial" w:hAnsi="Arial" w:cs="Arial"/>
          <w:sz w:val="20"/>
          <w:szCs w:val="20"/>
        </w:rPr>
        <w:tab/>
        <w:t xml:space="preserve">The Committee welcomes the Department’s approach to District Development Model </w:t>
      </w:r>
      <w:r w:rsidRPr="0030354F">
        <w:rPr>
          <w:rFonts w:ascii="Arial" w:hAnsi="Arial" w:cs="Arial"/>
          <w:sz w:val="20"/>
          <w:szCs w:val="20"/>
        </w:rPr>
        <w:tab/>
        <w:t>(DDM)</w:t>
      </w:r>
      <w:r w:rsidR="009C3172" w:rsidRPr="0030354F">
        <w:rPr>
          <w:rFonts w:ascii="Arial" w:hAnsi="Arial" w:cs="Arial"/>
          <w:sz w:val="20"/>
          <w:szCs w:val="20"/>
        </w:rPr>
        <w:t xml:space="preserve"> and the use of co-locations to expand the Portfolio footprints</w:t>
      </w:r>
      <w:r w:rsidRPr="0030354F">
        <w:rPr>
          <w:rFonts w:ascii="Arial" w:hAnsi="Arial" w:cs="Arial"/>
          <w:sz w:val="20"/>
          <w:szCs w:val="20"/>
        </w:rPr>
        <w:t xml:space="preserve">. It however, </w:t>
      </w:r>
      <w:r w:rsidR="009C3172" w:rsidRPr="0030354F">
        <w:rPr>
          <w:rFonts w:ascii="Arial" w:hAnsi="Arial" w:cs="Arial"/>
          <w:sz w:val="20"/>
          <w:szCs w:val="20"/>
        </w:rPr>
        <w:tab/>
      </w:r>
      <w:r w:rsidRPr="0030354F">
        <w:rPr>
          <w:rFonts w:ascii="Arial" w:hAnsi="Arial" w:cs="Arial"/>
          <w:sz w:val="20"/>
          <w:szCs w:val="20"/>
        </w:rPr>
        <w:t>observes that Parliamentary Constituency Offices</w:t>
      </w:r>
      <w:r w:rsidR="009C3172" w:rsidRPr="0030354F">
        <w:rPr>
          <w:rFonts w:ascii="Arial" w:hAnsi="Arial" w:cs="Arial"/>
          <w:sz w:val="20"/>
          <w:szCs w:val="20"/>
        </w:rPr>
        <w:t xml:space="preserve"> (PCO) with </w:t>
      </w:r>
      <w:r w:rsidRPr="0030354F">
        <w:rPr>
          <w:rFonts w:ascii="Arial" w:hAnsi="Arial" w:cs="Arial"/>
          <w:sz w:val="20"/>
          <w:szCs w:val="20"/>
        </w:rPr>
        <w:t xml:space="preserve">members of Parliament </w:t>
      </w:r>
      <w:r w:rsidR="009C3172" w:rsidRPr="0030354F">
        <w:rPr>
          <w:rFonts w:ascii="Arial" w:hAnsi="Arial" w:cs="Arial"/>
          <w:sz w:val="20"/>
          <w:szCs w:val="20"/>
        </w:rPr>
        <w:tab/>
      </w:r>
      <w:r w:rsidRPr="0030354F">
        <w:rPr>
          <w:rFonts w:ascii="Arial" w:hAnsi="Arial" w:cs="Arial"/>
          <w:sz w:val="20"/>
          <w:szCs w:val="20"/>
        </w:rPr>
        <w:t>in excess of 400, plus pro</w:t>
      </w:r>
      <w:r w:rsidR="009C3172" w:rsidRPr="0030354F">
        <w:rPr>
          <w:rFonts w:ascii="Arial" w:hAnsi="Arial" w:cs="Arial"/>
          <w:sz w:val="20"/>
          <w:szCs w:val="20"/>
        </w:rPr>
        <w:t xml:space="preserve">vincial legislatures, have not </w:t>
      </w:r>
      <w:r w:rsidRPr="0030354F">
        <w:rPr>
          <w:rFonts w:ascii="Arial" w:hAnsi="Arial" w:cs="Arial"/>
          <w:sz w:val="20"/>
          <w:szCs w:val="20"/>
        </w:rPr>
        <w:t xml:space="preserve">been utilised strategically to </w:t>
      </w:r>
      <w:r w:rsidR="009C3172" w:rsidRPr="0030354F">
        <w:rPr>
          <w:rFonts w:ascii="Arial" w:hAnsi="Arial" w:cs="Arial"/>
          <w:sz w:val="20"/>
          <w:szCs w:val="20"/>
        </w:rPr>
        <w:tab/>
      </w:r>
      <w:r w:rsidRPr="0030354F">
        <w:rPr>
          <w:rFonts w:ascii="Arial" w:hAnsi="Arial" w:cs="Arial"/>
          <w:sz w:val="20"/>
          <w:szCs w:val="20"/>
        </w:rPr>
        <w:t>promote government-wide programmes.</w:t>
      </w:r>
    </w:p>
    <w:p w:rsidR="00805C13" w:rsidRPr="0030354F" w:rsidRDefault="00DB415B" w:rsidP="0030354F">
      <w:pPr>
        <w:autoSpaceDE w:val="0"/>
        <w:autoSpaceDN w:val="0"/>
        <w:adjustRightInd w:val="0"/>
        <w:spacing w:after="0" w:line="240" w:lineRule="auto"/>
        <w:contextualSpacing/>
        <w:rPr>
          <w:rFonts w:ascii="Arial" w:hAnsi="Arial" w:cs="Arial"/>
          <w:sz w:val="20"/>
          <w:szCs w:val="20"/>
        </w:rPr>
      </w:pPr>
      <w:r w:rsidRPr="0030354F">
        <w:rPr>
          <w:rFonts w:ascii="Arial" w:hAnsi="Arial" w:cs="Arial"/>
          <w:sz w:val="20"/>
          <w:szCs w:val="20"/>
        </w:rPr>
        <w:t>6.1</w:t>
      </w:r>
      <w:r w:rsidR="00124F84" w:rsidRPr="0030354F">
        <w:rPr>
          <w:rFonts w:ascii="Arial" w:hAnsi="Arial" w:cs="Arial"/>
          <w:sz w:val="20"/>
          <w:szCs w:val="20"/>
        </w:rPr>
        <w:t>5</w:t>
      </w:r>
      <w:r w:rsidR="0074285B" w:rsidRPr="0030354F">
        <w:rPr>
          <w:rFonts w:ascii="Arial" w:hAnsi="Arial" w:cs="Arial"/>
          <w:sz w:val="20"/>
          <w:szCs w:val="20"/>
        </w:rPr>
        <w:tab/>
      </w:r>
      <w:r w:rsidR="00805C13" w:rsidRPr="0030354F">
        <w:rPr>
          <w:rFonts w:ascii="Arial" w:hAnsi="Arial" w:cs="Arial"/>
          <w:sz w:val="20"/>
          <w:szCs w:val="20"/>
          <w:lang w:val="en-US"/>
        </w:rPr>
        <w:t xml:space="preserve">The Committee has noted Seda’s outcome of an unqualified audit with findings on the </w:t>
      </w:r>
      <w:r w:rsidR="00805C13" w:rsidRPr="0030354F">
        <w:rPr>
          <w:rFonts w:ascii="Arial" w:hAnsi="Arial" w:cs="Arial"/>
          <w:sz w:val="20"/>
          <w:szCs w:val="20"/>
          <w:lang w:val="en-US"/>
        </w:rPr>
        <w:tab/>
        <w:t xml:space="preserve">reporting on predetermined objectives. According to the Auditor General the audit </w:t>
      </w:r>
      <w:r w:rsidR="00805C13" w:rsidRPr="0030354F">
        <w:rPr>
          <w:rFonts w:ascii="Arial" w:hAnsi="Arial" w:cs="Arial"/>
          <w:sz w:val="20"/>
          <w:szCs w:val="20"/>
          <w:lang w:val="en-US"/>
        </w:rPr>
        <w:tab/>
        <w:t xml:space="preserve">outcome has regressed to an adverse opinion with findings due to the extent to which </w:t>
      </w:r>
      <w:r w:rsidR="00805C13" w:rsidRPr="0030354F">
        <w:rPr>
          <w:rFonts w:ascii="Arial" w:hAnsi="Arial" w:cs="Arial"/>
          <w:sz w:val="20"/>
          <w:szCs w:val="20"/>
          <w:lang w:val="en-US"/>
        </w:rPr>
        <w:tab/>
        <w:t xml:space="preserve">the majority of performance indicators were not measurable and reliable. </w:t>
      </w:r>
      <w:r w:rsidR="009C3172" w:rsidRPr="0030354F">
        <w:rPr>
          <w:rFonts w:ascii="Arial" w:hAnsi="Arial" w:cs="Arial"/>
          <w:sz w:val="20"/>
          <w:szCs w:val="20"/>
          <w:lang w:val="en-US"/>
        </w:rPr>
        <w:t xml:space="preserve">According to </w:t>
      </w:r>
      <w:r w:rsidR="009C3172" w:rsidRPr="0030354F">
        <w:rPr>
          <w:rFonts w:ascii="Arial" w:hAnsi="Arial" w:cs="Arial"/>
          <w:sz w:val="20"/>
          <w:szCs w:val="20"/>
          <w:lang w:val="en-US"/>
        </w:rPr>
        <w:tab/>
        <w:t xml:space="preserve">the Auditor General, there was no </w:t>
      </w:r>
      <w:r w:rsidR="00805C13" w:rsidRPr="0030354F">
        <w:rPr>
          <w:rFonts w:ascii="Arial" w:hAnsi="Arial" w:cs="Arial"/>
          <w:sz w:val="20"/>
          <w:szCs w:val="20"/>
          <w:lang w:val="en-US"/>
        </w:rPr>
        <w:t>goo</w:t>
      </w:r>
      <w:r w:rsidR="009C3172" w:rsidRPr="0030354F">
        <w:rPr>
          <w:rFonts w:ascii="Arial" w:hAnsi="Arial" w:cs="Arial"/>
          <w:sz w:val="20"/>
          <w:szCs w:val="20"/>
          <w:lang w:val="en-US"/>
        </w:rPr>
        <w:t xml:space="preserve">d planning, in-year performance </w:t>
      </w:r>
      <w:r w:rsidR="00805C13" w:rsidRPr="0030354F">
        <w:rPr>
          <w:rFonts w:ascii="Arial" w:hAnsi="Arial" w:cs="Arial"/>
          <w:sz w:val="20"/>
          <w:szCs w:val="20"/>
          <w:lang w:val="en-US"/>
        </w:rPr>
        <w:t xml:space="preserve">management, </w:t>
      </w:r>
      <w:r w:rsidR="009C3172" w:rsidRPr="0030354F">
        <w:rPr>
          <w:rFonts w:ascii="Arial" w:hAnsi="Arial" w:cs="Arial"/>
          <w:sz w:val="20"/>
          <w:szCs w:val="20"/>
          <w:lang w:val="en-US"/>
        </w:rPr>
        <w:tab/>
      </w:r>
      <w:r w:rsidR="00805C13" w:rsidRPr="0030354F">
        <w:rPr>
          <w:rFonts w:ascii="Arial" w:hAnsi="Arial" w:cs="Arial"/>
          <w:sz w:val="20"/>
          <w:szCs w:val="20"/>
          <w:lang w:val="en-US"/>
        </w:rPr>
        <w:t xml:space="preserve">and </w:t>
      </w:r>
      <w:r w:rsidR="009C3172" w:rsidRPr="0030354F">
        <w:rPr>
          <w:rFonts w:ascii="Arial" w:hAnsi="Arial" w:cs="Arial"/>
          <w:sz w:val="20"/>
          <w:szCs w:val="20"/>
          <w:lang w:val="en-US"/>
        </w:rPr>
        <w:t xml:space="preserve">monitoring and reporting, the </w:t>
      </w:r>
      <w:r w:rsidR="00805C13" w:rsidRPr="0030354F">
        <w:rPr>
          <w:rFonts w:ascii="Arial" w:hAnsi="Arial" w:cs="Arial"/>
          <w:sz w:val="20"/>
          <w:szCs w:val="20"/>
          <w:lang w:val="en-US"/>
        </w:rPr>
        <w:t>managem</w:t>
      </w:r>
      <w:r w:rsidR="009C3172" w:rsidRPr="0030354F">
        <w:rPr>
          <w:rFonts w:ascii="Arial" w:hAnsi="Arial" w:cs="Arial"/>
          <w:sz w:val="20"/>
          <w:szCs w:val="20"/>
          <w:lang w:val="en-US"/>
        </w:rPr>
        <w:t xml:space="preserve">ent did not adequately exercise </w:t>
      </w:r>
      <w:r w:rsidR="00805C13" w:rsidRPr="0030354F">
        <w:rPr>
          <w:rFonts w:ascii="Arial" w:hAnsi="Arial" w:cs="Arial"/>
          <w:sz w:val="20"/>
          <w:szCs w:val="20"/>
          <w:lang w:val="en-US"/>
        </w:rPr>
        <w:t xml:space="preserve">oversight </w:t>
      </w:r>
      <w:r w:rsidR="009C3172" w:rsidRPr="0030354F">
        <w:rPr>
          <w:rFonts w:ascii="Arial" w:hAnsi="Arial" w:cs="Arial"/>
          <w:sz w:val="20"/>
          <w:szCs w:val="20"/>
          <w:lang w:val="en-US"/>
        </w:rPr>
        <w:tab/>
      </w:r>
      <w:r w:rsidR="00805C13" w:rsidRPr="0030354F">
        <w:rPr>
          <w:rFonts w:ascii="Arial" w:hAnsi="Arial" w:cs="Arial"/>
          <w:sz w:val="20"/>
          <w:szCs w:val="20"/>
          <w:lang w:val="en-US"/>
        </w:rPr>
        <w:t xml:space="preserve">responsibility </w:t>
      </w:r>
      <w:r w:rsidR="009C3172" w:rsidRPr="0030354F">
        <w:rPr>
          <w:rFonts w:ascii="Arial" w:hAnsi="Arial" w:cs="Arial"/>
          <w:sz w:val="20"/>
          <w:szCs w:val="20"/>
          <w:lang w:val="en-US"/>
        </w:rPr>
        <w:tab/>
        <w:t xml:space="preserve">regarding </w:t>
      </w:r>
      <w:r w:rsidR="00805C13" w:rsidRPr="0030354F">
        <w:rPr>
          <w:rFonts w:ascii="Arial" w:hAnsi="Arial" w:cs="Arial"/>
          <w:sz w:val="20"/>
          <w:szCs w:val="20"/>
          <w:lang w:val="en-US"/>
        </w:rPr>
        <w:t>performance reporting as well as related internal controls.</w:t>
      </w:r>
    </w:p>
    <w:p w:rsidR="00805C13" w:rsidRPr="0030354F" w:rsidRDefault="00805C13" w:rsidP="0030354F">
      <w:pPr>
        <w:autoSpaceDE w:val="0"/>
        <w:autoSpaceDN w:val="0"/>
        <w:adjustRightInd w:val="0"/>
        <w:spacing w:after="0" w:line="240" w:lineRule="auto"/>
        <w:contextualSpacing/>
        <w:rPr>
          <w:rFonts w:ascii="Arial" w:hAnsi="Arial" w:cs="Arial"/>
          <w:sz w:val="20"/>
          <w:szCs w:val="20"/>
          <w:lang w:val="en-US"/>
        </w:rPr>
      </w:pPr>
    </w:p>
    <w:p w:rsidR="000E68F1" w:rsidRPr="0030354F" w:rsidRDefault="000E68F1" w:rsidP="0030354F">
      <w:pPr>
        <w:autoSpaceDE w:val="0"/>
        <w:autoSpaceDN w:val="0"/>
        <w:adjustRightInd w:val="0"/>
        <w:spacing w:after="0" w:line="240" w:lineRule="auto"/>
        <w:contextualSpacing/>
        <w:rPr>
          <w:rFonts w:ascii="Arial" w:hAnsi="Arial" w:cs="Arial"/>
          <w:sz w:val="20"/>
          <w:szCs w:val="20"/>
          <w:lang w:val="en-US"/>
        </w:rPr>
      </w:pPr>
    </w:p>
    <w:p w:rsidR="00752151" w:rsidRPr="0030354F" w:rsidRDefault="00752151" w:rsidP="0030354F">
      <w:pPr>
        <w:spacing w:after="0" w:line="240" w:lineRule="auto"/>
        <w:contextualSpacing/>
        <w:rPr>
          <w:rFonts w:ascii="Arial" w:hAnsi="Arial" w:cs="Arial"/>
          <w:sz w:val="20"/>
          <w:szCs w:val="20"/>
        </w:rPr>
      </w:pPr>
    </w:p>
    <w:p w:rsidR="009F447C" w:rsidRPr="0030354F" w:rsidRDefault="00062037" w:rsidP="0030354F">
      <w:pPr>
        <w:spacing w:after="0" w:line="240" w:lineRule="auto"/>
        <w:contextualSpacing/>
        <w:rPr>
          <w:rFonts w:ascii="Arial" w:hAnsi="Arial" w:cs="Arial"/>
          <w:sz w:val="20"/>
          <w:szCs w:val="20"/>
        </w:rPr>
      </w:pPr>
      <w:r w:rsidRPr="0030354F">
        <w:rPr>
          <w:rFonts w:ascii="Arial" w:hAnsi="Arial" w:cs="Arial"/>
          <w:b/>
          <w:sz w:val="20"/>
          <w:szCs w:val="20"/>
        </w:rPr>
        <w:t>7</w:t>
      </w:r>
      <w:r w:rsidR="001C0293" w:rsidRPr="0030354F">
        <w:rPr>
          <w:rFonts w:ascii="Arial" w:hAnsi="Arial" w:cs="Arial"/>
          <w:b/>
          <w:sz w:val="20"/>
          <w:szCs w:val="20"/>
        </w:rPr>
        <w:t>.</w:t>
      </w:r>
      <w:r w:rsidR="001C0293" w:rsidRPr="0030354F">
        <w:rPr>
          <w:rFonts w:ascii="Arial" w:hAnsi="Arial" w:cs="Arial"/>
          <w:b/>
          <w:sz w:val="20"/>
          <w:szCs w:val="20"/>
        </w:rPr>
        <w:tab/>
      </w:r>
      <w:r w:rsidR="009F447C" w:rsidRPr="0030354F">
        <w:rPr>
          <w:rFonts w:ascii="Arial" w:hAnsi="Arial" w:cs="Arial"/>
          <w:b/>
          <w:sz w:val="20"/>
          <w:szCs w:val="20"/>
        </w:rPr>
        <w:t>RECOMMENDATIONS</w:t>
      </w:r>
    </w:p>
    <w:p w:rsidR="000D25CE" w:rsidRPr="0030354F" w:rsidRDefault="000D25CE" w:rsidP="0030354F">
      <w:pPr>
        <w:shd w:val="clear" w:color="auto" w:fill="FFFFFF"/>
        <w:spacing w:after="0" w:line="240" w:lineRule="auto"/>
        <w:contextualSpacing/>
        <w:rPr>
          <w:rFonts w:ascii="Arial" w:eastAsia="Times New Roman" w:hAnsi="Arial" w:cs="Arial"/>
          <w:sz w:val="20"/>
          <w:szCs w:val="20"/>
        </w:rPr>
      </w:pPr>
      <w:r w:rsidRPr="0030354F">
        <w:rPr>
          <w:rFonts w:ascii="Arial" w:eastAsia="Times New Roman" w:hAnsi="Arial" w:cs="Arial"/>
          <w:sz w:val="20"/>
          <w:szCs w:val="20"/>
        </w:rPr>
        <w:t>Informed by its deliberations, the Portfolio Committee recommends that the Minister of Small Business Developm</w:t>
      </w:r>
      <w:r w:rsidR="000C6EAB" w:rsidRPr="0030354F">
        <w:rPr>
          <w:rFonts w:ascii="Arial" w:eastAsia="Times New Roman" w:hAnsi="Arial" w:cs="Arial"/>
          <w:sz w:val="20"/>
          <w:szCs w:val="20"/>
        </w:rPr>
        <w:t>ent take steps to</w:t>
      </w:r>
      <w:r w:rsidR="00EE4F32" w:rsidRPr="0030354F">
        <w:rPr>
          <w:rFonts w:ascii="Arial" w:eastAsia="Times New Roman" w:hAnsi="Arial" w:cs="Arial"/>
          <w:sz w:val="20"/>
          <w:szCs w:val="20"/>
        </w:rPr>
        <w:t xml:space="preserve"> implement the following resolutions</w:t>
      </w:r>
      <w:r w:rsidR="000C6EAB" w:rsidRPr="0030354F">
        <w:rPr>
          <w:rFonts w:ascii="Arial" w:eastAsia="Times New Roman" w:hAnsi="Arial" w:cs="Arial"/>
          <w:sz w:val="20"/>
          <w:szCs w:val="20"/>
        </w:rPr>
        <w:t xml:space="preserve"> -</w:t>
      </w:r>
    </w:p>
    <w:p w:rsidR="009A6FCB" w:rsidRPr="0030354F" w:rsidRDefault="00CF18F6" w:rsidP="0030354F">
      <w:pPr>
        <w:spacing w:after="0" w:line="240" w:lineRule="auto"/>
        <w:ind w:left="720" w:hanging="720"/>
        <w:contextualSpacing/>
        <w:rPr>
          <w:rFonts w:ascii="Arial" w:hAnsi="Arial" w:cs="Arial"/>
          <w:sz w:val="20"/>
          <w:szCs w:val="20"/>
        </w:rPr>
      </w:pPr>
      <w:r w:rsidRPr="0030354F">
        <w:rPr>
          <w:rFonts w:ascii="Arial" w:hAnsi="Arial" w:cs="Arial"/>
          <w:sz w:val="20"/>
          <w:szCs w:val="20"/>
        </w:rPr>
        <w:t>7.1</w:t>
      </w:r>
      <w:r w:rsidRPr="0030354F">
        <w:rPr>
          <w:rFonts w:ascii="Arial" w:hAnsi="Arial" w:cs="Arial"/>
          <w:sz w:val="20"/>
          <w:szCs w:val="20"/>
        </w:rPr>
        <w:tab/>
      </w:r>
      <w:r w:rsidR="009A6FCB" w:rsidRPr="0030354F">
        <w:rPr>
          <w:rFonts w:ascii="Arial" w:hAnsi="Arial" w:cs="Arial"/>
          <w:sz w:val="20"/>
          <w:szCs w:val="20"/>
        </w:rPr>
        <w:t>As noted earlier that the National Small Enterprise Amendment bill m</w:t>
      </w:r>
      <w:r w:rsidR="001F0725" w:rsidRPr="0030354F">
        <w:rPr>
          <w:rFonts w:ascii="Arial" w:hAnsi="Arial" w:cs="Arial"/>
          <w:sz w:val="20"/>
          <w:szCs w:val="20"/>
        </w:rPr>
        <w:t>ight</w:t>
      </w:r>
      <w:r w:rsidR="009A6FCB" w:rsidRPr="0030354F">
        <w:rPr>
          <w:rFonts w:ascii="Arial" w:hAnsi="Arial" w:cs="Arial"/>
          <w:sz w:val="20"/>
          <w:szCs w:val="20"/>
        </w:rPr>
        <w:t xml:space="preserve"> only be referred to Parliament in 2023, and </w:t>
      </w:r>
      <w:r w:rsidR="001B07C1" w:rsidRPr="0030354F">
        <w:rPr>
          <w:rFonts w:ascii="Arial" w:hAnsi="Arial" w:cs="Arial"/>
          <w:sz w:val="20"/>
          <w:szCs w:val="20"/>
        </w:rPr>
        <w:t xml:space="preserve">considering </w:t>
      </w:r>
      <w:r w:rsidR="009A6FCB" w:rsidRPr="0030354F">
        <w:rPr>
          <w:rFonts w:ascii="Arial" w:hAnsi="Arial" w:cs="Arial"/>
          <w:sz w:val="20"/>
          <w:szCs w:val="20"/>
        </w:rPr>
        <w:t>the period that has elapsed since this bill has been on the drafting phase, the Commit</w:t>
      </w:r>
      <w:r w:rsidR="00315F5D" w:rsidRPr="0030354F">
        <w:rPr>
          <w:rFonts w:ascii="Arial" w:hAnsi="Arial" w:cs="Arial"/>
          <w:sz w:val="20"/>
          <w:szCs w:val="20"/>
        </w:rPr>
        <w:t>tee is of the view that</w:t>
      </w:r>
      <w:r w:rsidR="009A6FCB" w:rsidRPr="0030354F">
        <w:rPr>
          <w:rFonts w:ascii="Arial" w:hAnsi="Arial" w:cs="Arial"/>
          <w:sz w:val="20"/>
          <w:szCs w:val="20"/>
        </w:rPr>
        <w:t xml:space="preserve"> a staggered approach to the developm</w:t>
      </w:r>
      <w:r w:rsidR="001B07C1" w:rsidRPr="0030354F">
        <w:rPr>
          <w:rFonts w:ascii="Arial" w:hAnsi="Arial" w:cs="Arial"/>
          <w:sz w:val="20"/>
          <w:szCs w:val="20"/>
        </w:rPr>
        <w:t xml:space="preserve">ent </w:t>
      </w:r>
      <w:r w:rsidR="009A6FCB" w:rsidRPr="0030354F">
        <w:rPr>
          <w:rFonts w:ascii="Arial" w:hAnsi="Arial" w:cs="Arial"/>
          <w:sz w:val="20"/>
          <w:szCs w:val="20"/>
        </w:rPr>
        <w:t xml:space="preserve">of the bill should be considered. The precedent </w:t>
      </w:r>
      <w:r w:rsidR="00315F5D" w:rsidRPr="0030354F">
        <w:rPr>
          <w:rFonts w:ascii="Arial" w:hAnsi="Arial" w:cs="Arial"/>
          <w:sz w:val="20"/>
          <w:szCs w:val="20"/>
        </w:rPr>
        <w:t>was</w:t>
      </w:r>
      <w:r w:rsidR="009A6FCB" w:rsidRPr="0030354F">
        <w:rPr>
          <w:rFonts w:ascii="Arial" w:hAnsi="Arial" w:cs="Arial"/>
          <w:sz w:val="20"/>
          <w:szCs w:val="20"/>
        </w:rPr>
        <w:t xml:space="preserve"> set by the Department of Trade and Industry </w:t>
      </w:r>
      <w:r w:rsidR="00315F5D" w:rsidRPr="0030354F">
        <w:rPr>
          <w:rFonts w:ascii="Arial" w:hAnsi="Arial" w:cs="Arial"/>
          <w:sz w:val="20"/>
          <w:szCs w:val="20"/>
        </w:rPr>
        <w:t xml:space="preserve">when it </w:t>
      </w:r>
      <w:r w:rsidR="009A6FCB" w:rsidRPr="0030354F">
        <w:rPr>
          <w:rFonts w:ascii="Arial" w:hAnsi="Arial" w:cs="Arial"/>
          <w:sz w:val="20"/>
          <w:szCs w:val="20"/>
        </w:rPr>
        <w:t>successive</w:t>
      </w:r>
      <w:r w:rsidR="00315F5D" w:rsidRPr="0030354F">
        <w:rPr>
          <w:rFonts w:ascii="Arial" w:hAnsi="Arial" w:cs="Arial"/>
          <w:sz w:val="20"/>
          <w:szCs w:val="20"/>
        </w:rPr>
        <w:t>ly</w:t>
      </w:r>
      <w:r w:rsidR="009A6FCB" w:rsidRPr="0030354F">
        <w:rPr>
          <w:rFonts w:ascii="Arial" w:hAnsi="Arial" w:cs="Arial"/>
          <w:sz w:val="20"/>
          <w:szCs w:val="20"/>
        </w:rPr>
        <w:t xml:space="preserve"> amend</w:t>
      </w:r>
      <w:r w:rsidR="00315F5D" w:rsidRPr="0030354F">
        <w:rPr>
          <w:rFonts w:ascii="Arial" w:hAnsi="Arial" w:cs="Arial"/>
          <w:sz w:val="20"/>
          <w:szCs w:val="20"/>
        </w:rPr>
        <w:t>ed</w:t>
      </w:r>
      <w:r w:rsidR="0017474D" w:rsidRPr="0030354F">
        <w:rPr>
          <w:rFonts w:ascii="Arial" w:hAnsi="Arial" w:cs="Arial"/>
          <w:sz w:val="20"/>
          <w:szCs w:val="20"/>
        </w:rPr>
        <w:t xml:space="preserve"> the </w:t>
      </w:r>
      <w:r w:rsidR="009A6FCB" w:rsidRPr="0030354F">
        <w:rPr>
          <w:rFonts w:ascii="Arial" w:hAnsi="Arial" w:cs="Arial"/>
          <w:sz w:val="20"/>
          <w:szCs w:val="20"/>
        </w:rPr>
        <w:t xml:space="preserve">National Small Business Act (1996) in 2003 and 2004. The </w:t>
      </w:r>
      <w:r w:rsidR="001F0725" w:rsidRPr="0030354F">
        <w:rPr>
          <w:rFonts w:ascii="Arial" w:hAnsi="Arial" w:cs="Arial"/>
          <w:sz w:val="20"/>
          <w:szCs w:val="20"/>
        </w:rPr>
        <w:t xml:space="preserve">Department must endeavour to </w:t>
      </w:r>
      <w:r w:rsidR="001B07C1" w:rsidRPr="0030354F">
        <w:rPr>
          <w:rFonts w:ascii="Arial" w:hAnsi="Arial" w:cs="Arial"/>
          <w:sz w:val="20"/>
          <w:szCs w:val="20"/>
        </w:rPr>
        <w:t>review</w:t>
      </w:r>
      <w:r w:rsidR="001F0725" w:rsidRPr="0030354F">
        <w:rPr>
          <w:rFonts w:ascii="Arial" w:hAnsi="Arial" w:cs="Arial"/>
          <w:sz w:val="20"/>
          <w:szCs w:val="20"/>
        </w:rPr>
        <w:t xml:space="preserve"> its timelines. The </w:t>
      </w:r>
      <w:r w:rsidR="00315F5D" w:rsidRPr="0030354F">
        <w:rPr>
          <w:rFonts w:ascii="Arial" w:hAnsi="Arial" w:cs="Arial"/>
          <w:sz w:val="20"/>
          <w:szCs w:val="20"/>
        </w:rPr>
        <w:t xml:space="preserve">third quarterly report (2022/23) </w:t>
      </w:r>
      <w:r w:rsidR="001F0725" w:rsidRPr="0030354F">
        <w:rPr>
          <w:rFonts w:ascii="Arial" w:hAnsi="Arial" w:cs="Arial"/>
          <w:sz w:val="20"/>
          <w:szCs w:val="20"/>
        </w:rPr>
        <w:t>should</w:t>
      </w:r>
      <w:r w:rsidR="00315F5D" w:rsidRPr="0030354F">
        <w:rPr>
          <w:rFonts w:ascii="Arial" w:hAnsi="Arial" w:cs="Arial"/>
          <w:sz w:val="20"/>
          <w:szCs w:val="20"/>
        </w:rPr>
        <w:t xml:space="preserve"> </w:t>
      </w:r>
      <w:r w:rsidR="001F0725" w:rsidRPr="0030354F">
        <w:rPr>
          <w:rFonts w:ascii="Arial" w:hAnsi="Arial" w:cs="Arial"/>
          <w:sz w:val="20"/>
          <w:szCs w:val="20"/>
        </w:rPr>
        <w:t xml:space="preserve">consist of </w:t>
      </w:r>
      <w:r w:rsidR="009A6FCB" w:rsidRPr="0030354F">
        <w:rPr>
          <w:rFonts w:ascii="Arial" w:hAnsi="Arial" w:cs="Arial"/>
          <w:sz w:val="20"/>
          <w:szCs w:val="20"/>
        </w:rPr>
        <w:t xml:space="preserve">implementation </w:t>
      </w:r>
      <w:r w:rsidR="00315F5D" w:rsidRPr="0030354F">
        <w:rPr>
          <w:rFonts w:ascii="Arial" w:hAnsi="Arial" w:cs="Arial"/>
          <w:sz w:val="20"/>
          <w:szCs w:val="20"/>
        </w:rPr>
        <w:t>framework on how it plan</w:t>
      </w:r>
      <w:r w:rsidR="00A33599" w:rsidRPr="0030354F">
        <w:rPr>
          <w:rFonts w:ascii="Arial" w:hAnsi="Arial" w:cs="Arial"/>
          <w:sz w:val="20"/>
          <w:szCs w:val="20"/>
        </w:rPr>
        <w:t>s</w:t>
      </w:r>
      <w:r w:rsidR="00315F5D" w:rsidRPr="0030354F">
        <w:rPr>
          <w:rFonts w:ascii="Arial" w:hAnsi="Arial" w:cs="Arial"/>
          <w:sz w:val="20"/>
          <w:szCs w:val="20"/>
        </w:rPr>
        <w:t xml:space="preserve"> to </w:t>
      </w:r>
      <w:r w:rsidR="00A33599" w:rsidRPr="0030354F">
        <w:rPr>
          <w:rFonts w:ascii="Arial" w:hAnsi="Arial" w:cs="Arial"/>
          <w:sz w:val="20"/>
          <w:szCs w:val="20"/>
        </w:rPr>
        <w:t>meet these milestones</w:t>
      </w:r>
      <w:r w:rsidR="001F0725" w:rsidRPr="0030354F">
        <w:rPr>
          <w:rFonts w:ascii="Arial" w:hAnsi="Arial" w:cs="Arial"/>
          <w:sz w:val="20"/>
          <w:szCs w:val="20"/>
        </w:rPr>
        <w:t xml:space="preserve"> bit by bit</w:t>
      </w:r>
      <w:r w:rsidR="0017474D" w:rsidRPr="0030354F">
        <w:rPr>
          <w:rFonts w:ascii="Arial" w:hAnsi="Arial" w:cs="Arial"/>
          <w:sz w:val="20"/>
          <w:szCs w:val="20"/>
        </w:rPr>
        <w:t>.</w:t>
      </w:r>
    </w:p>
    <w:p w:rsidR="00CF18F6" w:rsidRPr="0030354F" w:rsidRDefault="009A6FCB" w:rsidP="0030354F">
      <w:pPr>
        <w:spacing w:after="0" w:line="240" w:lineRule="auto"/>
        <w:ind w:left="720" w:hanging="720"/>
        <w:contextualSpacing/>
        <w:rPr>
          <w:rFonts w:ascii="Arial" w:hAnsi="Arial" w:cs="Arial"/>
          <w:sz w:val="20"/>
          <w:szCs w:val="20"/>
        </w:rPr>
      </w:pPr>
      <w:r w:rsidRPr="0030354F">
        <w:rPr>
          <w:rFonts w:ascii="Arial" w:hAnsi="Arial" w:cs="Arial"/>
          <w:sz w:val="20"/>
          <w:szCs w:val="20"/>
        </w:rPr>
        <w:t>7.2</w:t>
      </w:r>
      <w:r w:rsidRPr="0030354F">
        <w:rPr>
          <w:rFonts w:ascii="Arial" w:hAnsi="Arial" w:cs="Arial"/>
          <w:sz w:val="20"/>
          <w:szCs w:val="20"/>
        </w:rPr>
        <w:tab/>
        <w:t xml:space="preserve">The </w:t>
      </w:r>
      <w:r w:rsidR="00CF18F6" w:rsidRPr="0030354F">
        <w:rPr>
          <w:rFonts w:ascii="Arial" w:hAnsi="Arial" w:cs="Arial"/>
          <w:sz w:val="20"/>
          <w:szCs w:val="20"/>
        </w:rPr>
        <w:t xml:space="preserve">Committee </w:t>
      </w:r>
      <w:r w:rsidRPr="0030354F">
        <w:rPr>
          <w:rFonts w:ascii="Arial" w:hAnsi="Arial" w:cs="Arial"/>
          <w:sz w:val="20"/>
          <w:szCs w:val="20"/>
        </w:rPr>
        <w:t xml:space="preserve">is of the view that </w:t>
      </w:r>
      <w:r w:rsidR="00CF18F6" w:rsidRPr="0030354F">
        <w:rPr>
          <w:rFonts w:ascii="Arial" w:hAnsi="Arial" w:cs="Arial"/>
          <w:sz w:val="20"/>
          <w:szCs w:val="20"/>
        </w:rPr>
        <w:t xml:space="preserve">in light of </w:t>
      </w:r>
      <w:r w:rsidRPr="0030354F">
        <w:rPr>
          <w:rFonts w:ascii="Arial" w:hAnsi="Arial" w:cs="Arial"/>
          <w:sz w:val="20"/>
          <w:szCs w:val="20"/>
        </w:rPr>
        <w:t xml:space="preserve">a variety of challenges </w:t>
      </w:r>
      <w:r w:rsidR="005E1D88" w:rsidRPr="0030354F">
        <w:rPr>
          <w:rFonts w:ascii="Arial" w:hAnsi="Arial" w:cs="Arial"/>
          <w:sz w:val="20"/>
          <w:szCs w:val="20"/>
        </w:rPr>
        <w:t xml:space="preserve">besetting </w:t>
      </w:r>
      <w:r w:rsidRPr="0030354F">
        <w:rPr>
          <w:rFonts w:ascii="Arial" w:hAnsi="Arial" w:cs="Arial"/>
          <w:sz w:val="20"/>
          <w:szCs w:val="20"/>
        </w:rPr>
        <w:t>the sector</w:t>
      </w:r>
      <w:r w:rsidR="00143DA5" w:rsidRPr="0030354F">
        <w:rPr>
          <w:rFonts w:ascii="Arial" w:hAnsi="Arial" w:cs="Arial"/>
          <w:sz w:val="20"/>
          <w:szCs w:val="20"/>
        </w:rPr>
        <w:t>,</w:t>
      </w:r>
      <w:r w:rsidR="005E1D88" w:rsidRPr="0030354F">
        <w:rPr>
          <w:rFonts w:ascii="Arial" w:hAnsi="Arial" w:cs="Arial"/>
          <w:sz w:val="20"/>
          <w:szCs w:val="20"/>
        </w:rPr>
        <w:t xml:space="preserve"> and hundreds of complaints </w:t>
      </w:r>
      <w:r w:rsidR="00CF18F6" w:rsidRPr="0030354F">
        <w:rPr>
          <w:rFonts w:ascii="Arial" w:hAnsi="Arial" w:cs="Arial"/>
          <w:sz w:val="20"/>
          <w:szCs w:val="20"/>
        </w:rPr>
        <w:t xml:space="preserve">from </w:t>
      </w:r>
      <w:r w:rsidR="00A33599" w:rsidRPr="0030354F">
        <w:rPr>
          <w:rFonts w:ascii="Arial" w:hAnsi="Arial" w:cs="Arial"/>
          <w:sz w:val="20"/>
          <w:szCs w:val="20"/>
        </w:rPr>
        <w:t>small business</w:t>
      </w:r>
      <w:r w:rsidR="001B07C1" w:rsidRPr="0030354F">
        <w:rPr>
          <w:rFonts w:ascii="Arial" w:hAnsi="Arial" w:cs="Arial"/>
          <w:sz w:val="20"/>
          <w:szCs w:val="20"/>
        </w:rPr>
        <w:t xml:space="preserve"> owners</w:t>
      </w:r>
      <w:r w:rsidR="005E1D88" w:rsidRPr="0030354F">
        <w:rPr>
          <w:rFonts w:ascii="Arial" w:hAnsi="Arial" w:cs="Arial"/>
          <w:sz w:val="20"/>
          <w:szCs w:val="20"/>
        </w:rPr>
        <w:t xml:space="preserve"> b</w:t>
      </w:r>
      <w:r w:rsidRPr="0030354F">
        <w:rPr>
          <w:rFonts w:ascii="Arial" w:hAnsi="Arial" w:cs="Arial"/>
          <w:sz w:val="20"/>
          <w:szCs w:val="20"/>
        </w:rPr>
        <w:t xml:space="preserve">efore the </w:t>
      </w:r>
      <w:r w:rsidR="005E1D88" w:rsidRPr="0030354F">
        <w:rPr>
          <w:rFonts w:ascii="Arial" w:hAnsi="Arial" w:cs="Arial"/>
          <w:sz w:val="20"/>
          <w:szCs w:val="20"/>
        </w:rPr>
        <w:t xml:space="preserve">Committee, a </w:t>
      </w:r>
      <w:r w:rsidR="00CF18F6" w:rsidRPr="0030354F">
        <w:rPr>
          <w:rFonts w:ascii="Arial" w:hAnsi="Arial" w:cs="Arial"/>
          <w:sz w:val="20"/>
          <w:szCs w:val="20"/>
        </w:rPr>
        <w:t>s</w:t>
      </w:r>
      <w:r w:rsidR="005E1D88" w:rsidRPr="0030354F">
        <w:rPr>
          <w:rFonts w:ascii="Arial" w:hAnsi="Arial" w:cs="Arial"/>
          <w:sz w:val="20"/>
          <w:szCs w:val="20"/>
        </w:rPr>
        <w:t xml:space="preserve">egmented approach </w:t>
      </w:r>
      <w:r w:rsidRPr="0030354F">
        <w:rPr>
          <w:rFonts w:ascii="Arial" w:hAnsi="Arial" w:cs="Arial"/>
          <w:sz w:val="20"/>
          <w:szCs w:val="20"/>
        </w:rPr>
        <w:t xml:space="preserve">should </w:t>
      </w:r>
      <w:r w:rsidR="00A33599" w:rsidRPr="0030354F">
        <w:rPr>
          <w:rFonts w:ascii="Arial" w:hAnsi="Arial" w:cs="Arial"/>
          <w:sz w:val="20"/>
          <w:szCs w:val="20"/>
        </w:rPr>
        <w:t xml:space="preserve">indeed </w:t>
      </w:r>
      <w:r w:rsidRPr="0030354F">
        <w:rPr>
          <w:rFonts w:ascii="Arial" w:hAnsi="Arial" w:cs="Arial"/>
          <w:sz w:val="20"/>
          <w:szCs w:val="20"/>
        </w:rPr>
        <w:t xml:space="preserve">be given </w:t>
      </w:r>
      <w:r w:rsidR="002027F3" w:rsidRPr="0030354F">
        <w:rPr>
          <w:rFonts w:ascii="Arial" w:hAnsi="Arial" w:cs="Arial"/>
          <w:sz w:val="20"/>
          <w:szCs w:val="20"/>
        </w:rPr>
        <w:t>primacy</w:t>
      </w:r>
      <w:r w:rsidRPr="0030354F">
        <w:rPr>
          <w:rFonts w:ascii="Arial" w:hAnsi="Arial" w:cs="Arial"/>
          <w:sz w:val="20"/>
          <w:szCs w:val="20"/>
        </w:rPr>
        <w:t xml:space="preserve">. The </w:t>
      </w:r>
      <w:r w:rsidR="005E1D88" w:rsidRPr="0030354F">
        <w:rPr>
          <w:rFonts w:ascii="Arial" w:hAnsi="Arial" w:cs="Arial"/>
          <w:sz w:val="20"/>
          <w:szCs w:val="20"/>
        </w:rPr>
        <w:t>C</w:t>
      </w:r>
      <w:r w:rsidR="00143DA5" w:rsidRPr="0030354F">
        <w:rPr>
          <w:rFonts w:ascii="Arial" w:hAnsi="Arial" w:cs="Arial"/>
          <w:sz w:val="20"/>
          <w:szCs w:val="20"/>
        </w:rPr>
        <w:t xml:space="preserve">ommittee </w:t>
      </w:r>
      <w:r w:rsidR="00AB18A5" w:rsidRPr="0030354F">
        <w:rPr>
          <w:rFonts w:ascii="Arial" w:hAnsi="Arial" w:cs="Arial"/>
          <w:sz w:val="20"/>
          <w:szCs w:val="20"/>
        </w:rPr>
        <w:t>here</w:t>
      </w:r>
      <w:r w:rsidR="001B07C1" w:rsidRPr="0030354F">
        <w:rPr>
          <w:rFonts w:ascii="Arial" w:hAnsi="Arial" w:cs="Arial"/>
          <w:sz w:val="20"/>
          <w:szCs w:val="20"/>
        </w:rPr>
        <w:t>with</w:t>
      </w:r>
      <w:r w:rsidR="00AB18A5" w:rsidRPr="0030354F">
        <w:rPr>
          <w:rFonts w:ascii="Arial" w:hAnsi="Arial" w:cs="Arial"/>
          <w:sz w:val="20"/>
          <w:szCs w:val="20"/>
        </w:rPr>
        <w:t xml:space="preserve"> recommend</w:t>
      </w:r>
      <w:r w:rsidR="002027F3" w:rsidRPr="0030354F">
        <w:rPr>
          <w:rFonts w:ascii="Arial" w:hAnsi="Arial" w:cs="Arial"/>
          <w:sz w:val="20"/>
          <w:szCs w:val="20"/>
        </w:rPr>
        <w:t xml:space="preserve">s </w:t>
      </w:r>
      <w:r w:rsidR="00143DA5" w:rsidRPr="0030354F">
        <w:rPr>
          <w:rFonts w:ascii="Arial" w:hAnsi="Arial" w:cs="Arial"/>
          <w:sz w:val="20"/>
          <w:szCs w:val="20"/>
        </w:rPr>
        <w:t xml:space="preserve">to </w:t>
      </w:r>
      <w:r w:rsidR="002027F3" w:rsidRPr="0030354F">
        <w:rPr>
          <w:rFonts w:ascii="Arial" w:hAnsi="Arial" w:cs="Arial"/>
          <w:sz w:val="20"/>
          <w:szCs w:val="20"/>
        </w:rPr>
        <w:t xml:space="preserve">the </w:t>
      </w:r>
      <w:r w:rsidR="00CF18F6" w:rsidRPr="0030354F">
        <w:rPr>
          <w:rFonts w:ascii="Arial" w:hAnsi="Arial" w:cs="Arial"/>
          <w:sz w:val="20"/>
          <w:szCs w:val="20"/>
        </w:rPr>
        <w:t>Depar</w:t>
      </w:r>
      <w:r w:rsidR="00AB18A5" w:rsidRPr="0030354F">
        <w:rPr>
          <w:rFonts w:ascii="Arial" w:hAnsi="Arial" w:cs="Arial"/>
          <w:sz w:val="20"/>
          <w:szCs w:val="20"/>
        </w:rPr>
        <w:t xml:space="preserve">tment </w:t>
      </w:r>
      <w:r w:rsidRPr="0030354F">
        <w:rPr>
          <w:rFonts w:ascii="Arial" w:hAnsi="Arial" w:cs="Arial"/>
          <w:sz w:val="20"/>
          <w:szCs w:val="20"/>
        </w:rPr>
        <w:t xml:space="preserve">to consider the following </w:t>
      </w:r>
      <w:r w:rsidR="00AB18A5" w:rsidRPr="0030354F">
        <w:rPr>
          <w:rFonts w:ascii="Arial" w:hAnsi="Arial" w:cs="Arial"/>
          <w:sz w:val="20"/>
          <w:szCs w:val="20"/>
        </w:rPr>
        <w:t xml:space="preserve">propositions for implementation on or before 31 March 2023 </w:t>
      </w:r>
      <w:r w:rsidR="00CF18F6" w:rsidRPr="0030354F">
        <w:rPr>
          <w:rFonts w:ascii="Arial" w:hAnsi="Arial" w:cs="Arial"/>
          <w:sz w:val="20"/>
          <w:szCs w:val="20"/>
        </w:rPr>
        <w:t>–</w:t>
      </w:r>
    </w:p>
    <w:p w:rsidR="00CF18F6" w:rsidRPr="0030354F" w:rsidRDefault="00CF18F6" w:rsidP="0030354F">
      <w:pPr>
        <w:numPr>
          <w:ilvl w:val="0"/>
          <w:numId w:val="28"/>
        </w:numPr>
        <w:spacing w:after="0" w:line="240" w:lineRule="auto"/>
        <w:contextualSpacing/>
        <w:rPr>
          <w:rFonts w:ascii="Arial" w:hAnsi="Arial" w:cs="Arial"/>
          <w:sz w:val="20"/>
          <w:szCs w:val="20"/>
          <w:lang w:val="en-US"/>
        </w:rPr>
      </w:pPr>
      <w:r w:rsidRPr="0030354F">
        <w:rPr>
          <w:rFonts w:ascii="Arial" w:hAnsi="Arial" w:cs="Arial"/>
          <w:sz w:val="20"/>
          <w:szCs w:val="20"/>
          <w:lang w:val="en-US"/>
        </w:rPr>
        <w:t xml:space="preserve">The </w:t>
      </w:r>
      <w:r w:rsidRPr="0030354F">
        <w:rPr>
          <w:rFonts w:ascii="Arial" w:hAnsi="Arial" w:cs="Arial"/>
          <w:sz w:val="20"/>
          <w:szCs w:val="20"/>
          <w:shd w:val="clear" w:color="auto" w:fill="FFFFFF"/>
          <w:lang w:val="en-US"/>
        </w:rPr>
        <w:t>Small Enterprise Ombudsman Services Bill announced by the Former Minister Khumbudzo Ntshavheni in July 2020</w:t>
      </w:r>
      <w:r w:rsidR="00143DA5" w:rsidRPr="0030354F">
        <w:rPr>
          <w:rFonts w:ascii="Arial" w:hAnsi="Arial" w:cs="Arial"/>
          <w:sz w:val="20"/>
          <w:szCs w:val="20"/>
          <w:shd w:val="clear" w:color="auto" w:fill="FFFFFF"/>
          <w:lang w:val="en-US"/>
        </w:rPr>
        <w:t xml:space="preserve"> be</w:t>
      </w:r>
      <w:r w:rsidR="00AB18A5" w:rsidRPr="0030354F">
        <w:rPr>
          <w:rFonts w:ascii="Arial" w:hAnsi="Arial" w:cs="Arial"/>
          <w:sz w:val="20"/>
          <w:szCs w:val="20"/>
          <w:shd w:val="clear" w:color="auto" w:fill="FFFFFF"/>
          <w:lang w:val="en-US"/>
        </w:rPr>
        <w:t xml:space="preserve"> referred to Parliament. </w:t>
      </w:r>
      <w:r w:rsidR="00143DA5" w:rsidRPr="0030354F">
        <w:rPr>
          <w:rFonts w:ascii="Arial" w:hAnsi="Arial" w:cs="Arial"/>
          <w:sz w:val="20"/>
          <w:szCs w:val="20"/>
          <w:shd w:val="clear" w:color="auto" w:fill="FFFFFF"/>
          <w:lang w:val="en-US"/>
        </w:rPr>
        <w:t>T</w:t>
      </w:r>
      <w:r w:rsidR="00AB18A5" w:rsidRPr="0030354F">
        <w:rPr>
          <w:rFonts w:ascii="Arial" w:hAnsi="Arial" w:cs="Arial"/>
          <w:sz w:val="20"/>
          <w:szCs w:val="20"/>
          <w:shd w:val="clear" w:color="auto" w:fill="FFFFFF"/>
          <w:lang w:val="en-US"/>
        </w:rPr>
        <w:t xml:space="preserve">he Committee </w:t>
      </w:r>
      <w:r w:rsidR="00143DA5" w:rsidRPr="0030354F">
        <w:rPr>
          <w:rFonts w:ascii="Arial" w:hAnsi="Arial" w:cs="Arial"/>
          <w:sz w:val="20"/>
          <w:szCs w:val="20"/>
          <w:shd w:val="clear" w:color="auto" w:fill="FFFFFF"/>
          <w:lang w:val="en-US"/>
        </w:rPr>
        <w:t>understands that th</w:t>
      </w:r>
      <w:r w:rsidR="00AB18A5" w:rsidRPr="0030354F">
        <w:rPr>
          <w:rFonts w:ascii="Arial" w:hAnsi="Arial" w:cs="Arial"/>
          <w:sz w:val="20"/>
          <w:szCs w:val="20"/>
          <w:shd w:val="clear" w:color="auto" w:fill="FFFFFF"/>
          <w:lang w:val="en-US"/>
        </w:rPr>
        <w:t>e bill had</w:t>
      </w:r>
      <w:r w:rsidR="00EE4F32" w:rsidRPr="0030354F">
        <w:rPr>
          <w:rFonts w:ascii="Arial" w:hAnsi="Arial" w:cs="Arial"/>
          <w:sz w:val="20"/>
          <w:szCs w:val="20"/>
          <w:shd w:val="clear" w:color="auto" w:fill="FFFFFF"/>
          <w:lang w:val="en-US"/>
        </w:rPr>
        <w:t xml:space="preserve"> gone through all legal hurdles;</w:t>
      </w:r>
      <w:r w:rsidR="00AB18A5" w:rsidRPr="0030354F">
        <w:rPr>
          <w:rFonts w:ascii="Arial" w:hAnsi="Arial" w:cs="Arial"/>
          <w:sz w:val="20"/>
          <w:szCs w:val="20"/>
          <w:shd w:val="clear" w:color="auto" w:fill="FFFFFF"/>
          <w:lang w:val="en-US"/>
        </w:rPr>
        <w:t xml:space="preserve"> </w:t>
      </w:r>
    </w:p>
    <w:p w:rsidR="00CF18F6" w:rsidRPr="0030354F" w:rsidRDefault="00872F25" w:rsidP="0030354F">
      <w:pPr>
        <w:numPr>
          <w:ilvl w:val="0"/>
          <w:numId w:val="28"/>
        </w:numPr>
        <w:spacing w:after="0" w:line="240" w:lineRule="auto"/>
        <w:contextualSpacing/>
        <w:rPr>
          <w:rFonts w:ascii="Arial" w:hAnsi="Arial" w:cs="Arial"/>
          <w:sz w:val="20"/>
          <w:szCs w:val="20"/>
          <w:lang w:val="en-US"/>
        </w:rPr>
      </w:pPr>
      <w:r w:rsidRPr="0030354F">
        <w:rPr>
          <w:rFonts w:ascii="Arial" w:hAnsi="Arial" w:cs="Arial"/>
          <w:sz w:val="20"/>
          <w:szCs w:val="20"/>
          <w:shd w:val="clear" w:color="auto" w:fill="FFFFFF"/>
          <w:lang w:val="en-US"/>
        </w:rPr>
        <w:t>T</w:t>
      </w:r>
      <w:r w:rsidR="00CF18F6" w:rsidRPr="0030354F">
        <w:rPr>
          <w:rFonts w:ascii="Arial" w:hAnsi="Arial" w:cs="Arial"/>
          <w:sz w:val="20"/>
          <w:szCs w:val="20"/>
          <w:shd w:val="clear" w:color="auto" w:fill="FFFFFF"/>
          <w:lang w:val="en-US"/>
        </w:rPr>
        <w:t xml:space="preserve">he </w:t>
      </w:r>
      <w:r w:rsidR="00CF18F6" w:rsidRPr="0030354F">
        <w:rPr>
          <w:rFonts w:ascii="Arial" w:hAnsi="Arial" w:cs="Arial"/>
          <w:sz w:val="20"/>
          <w:szCs w:val="20"/>
          <w:lang w:val="en-US"/>
        </w:rPr>
        <w:t>National Small Enterprise Amendment Bill which incorporated a</w:t>
      </w:r>
      <w:r w:rsidR="00143DA5" w:rsidRPr="0030354F">
        <w:rPr>
          <w:rFonts w:ascii="Arial" w:hAnsi="Arial" w:cs="Arial"/>
          <w:sz w:val="20"/>
          <w:szCs w:val="20"/>
          <w:lang w:val="en-US"/>
        </w:rPr>
        <w:t xml:space="preserve"> chapter on the</w:t>
      </w:r>
      <w:r w:rsidR="00CF18F6" w:rsidRPr="0030354F">
        <w:rPr>
          <w:rFonts w:ascii="Arial" w:hAnsi="Arial" w:cs="Arial"/>
          <w:sz w:val="20"/>
          <w:szCs w:val="20"/>
          <w:lang w:val="en-US"/>
        </w:rPr>
        <w:t xml:space="preserve"> </w:t>
      </w:r>
      <w:r w:rsidR="00AB18A5" w:rsidRPr="0030354F">
        <w:rPr>
          <w:rFonts w:ascii="Arial" w:hAnsi="Arial" w:cs="Arial"/>
          <w:sz w:val="20"/>
          <w:szCs w:val="20"/>
          <w:lang w:val="en-US"/>
        </w:rPr>
        <w:t>c</w:t>
      </w:r>
      <w:r w:rsidR="00143DA5" w:rsidRPr="0030354F">
        <w:rPr>
          <w:rFonts w:ascii="Arial" w:hAnsi="Arial" w:cs="Arial"/>
          <w:sz w:val="20"/>
          <w:szCs w:val="20"/>
          <w:lang w:val="en-US"/>
        </w:rPr>
        <w:t>reation of t</w:t>
      </w:r>
      <w:r w:rsidR="00CF18F6" w:rsidRPr="0030354F">
        <w:rPr>
          <w:rFonts w:ascii="Arial" w:hAnsi="Arial" w:cs="Arial"/>
          <w:sz w:val="20"/>
          <w:szCs w:val="20"/>
          <w:lang w:val="en-US"/>
        </w:rPr>
        <w:t>he</w:t>
      </w:r>
      <w:r w:rsidR="00CF18F6" w:rsidRPr="0030354F">
        <w:rPr>
          <w:rFonts w:ascii="Arial" w:eastAsiaTheme="minorEastAsia" w:hAnsi="Arial" w:cs="Arial"/>
          <w:bCs/>
          <w:kern w:val="24"/>
          <w:sz w:val="20"/>
          <w:szCs w:val="20"/>
          <w:lang w:val="en-US"/>
        </w:rPr>
        <w:t xml:space="preserve"> </w:t>
      </w:r>
      <w:r w:rsidR="00143DA5" w:rsidRPr="0030354F">
        <w:rPr>
          <w:rFonts w:ascii="Arial" w:eastAsiaTheme="minorEastAsia" w:hAnsi="Arial" w:cs="Arial"/>
          <w:bCs/>
          <w:kern w:val="24"/>
          <w:sz w:val="20"/>
          <w:szCs w:val="20"/>
          <w:lang w:val="en-US"/>
        </w:rPr>
        <w:t>“</w:t>
      </w:r>
      <w:r w:rsidR="00CF18F6" w:rsidRPr="0030354F">
        <w:rPr>
          <w:rFonts w:ascii="Arial" w:eastAsiaTheme="minorEastAsia" w:hAnsi="Arial" w:cs="Arial"/>
          <w:bCs/>
          <w:kern w:val="24"/>
          <w:sz w:val="20"/>
          <w:szCs w:val="20"/>
          <w:lang w:val="en-US"/>
        </w:rPr>
        <w:t>Small Enterprise Ombud Service</w:t>
      </w:r>
      <w:r w:rsidR="00AB18A5" w:rsidRPr="0030354F">
        <w:rPr>
          <w:rFonts w:ascii="Arial" w:eastAsiaTheme="minorEastAsia" w:hAnsi="Arial" w:cs="Arial"/>
          <w:bCs/>
          <w:kern w:val="24"/>
          <w:sz w:val="20"/>
          <w:szCs w:val="20"/>
          <w:lang w:val="en-US"/>
        </w:rPr>
        <w:t>” is referred to Parliament</w:t>
      </w:r>
      <w:r w:rsidR="001B07C1" w:rsidRPr="0030354F">
        <w:rPr>
          <w:rFonts w:ascii="Arial" w:eastAsiaTheme="minorEastAsia" w:hAnsi="Arial" w:cs="Arial"/>
          <w:bCs/>
          <w:kern w:val="24"/>
          <w:sz w:val="20"/>
          <w:szCs w:val="20"/>
          <w:lang w:val="en-US"/>
        </w:rPr>
        <w:t xml:space="preserve">. </w:t>
      </w:r>
      <w:r w:rsidR="00143DA5" w:rsidRPr="0030354F">
        <w:rPr>
          <w:rFonts w:ascii="Arial" w:hAnsi="Arial" w:cs="Arial"/>
          <w:sz w:val="20"/>
          <w:szCs w:val="20"/>
          <w:lang w:val="en-US"/>
        </w:rPr>
        <w:t xml:space="preserve">The bill had gone through </w:t>
      </w:r>
      <w:r w:rsidR="00EE4F32" w:rsidRPr="0030354F">
        <w:rPr>
          <w:rFonts w:ascii="Arial" w:hAnsi="Arial" w:cs="Arial"/>
          <w:sz w:val="20"/>
          <w:szCs w:val="20"/>
          <w:lang w:val="en-US"/>
        </w:rPr>
        <w:t xml:space="preserve">all </w:t>
      </w:r>
      <w:r w:rsidR="00143DA5" w:rsidRPr="0030354F">
        <w:rPr>
          <w:rFonts w:ascii="Arial" w:hAnsi="Arial" w:cs="Arial"/>
          <w:sz w:val="20"/>
          <w:szCs w:val="20"/>
          <w:lang w:val="en-US"/>
        </w:rPr>
        <w:t>legal scrutiny</w:t>
      </w:r>
      <w:r w:rsidR="00C01616" w:rsidRPr="0030354F">
        <w:rPr>
          <w:rFonts w:ascii="Arial" w:hAnsi="Arial" w:cs="Arial"/>
          <w:sz w:val="20"/>
          <w:szCs w:val="20"/>
          <w:lang w:val="en-US"/>
        </w:rPr>
        <w:t xml:space="preserve"> including obtaining</w:t>
      </w:r>
      <w:r w:rsidR="00A33599" w:rsidRPr="0030354F">
        <w:rPr>
          <w:rFonts w:ascii="Arial" w:hAnsi="Arial" w:cs="Arial"/>
          <w:sz w:val="20"/>
          <w:szCs w:val="20"/>
          <w:lang w:val="en-US"/>
        </w:rPr>
        <w:t xml:space="preserve"> </w:t>
      </w:r>
      <w:r w:rsidR="00C01616" w:rsidRPr="0030354F">
        <w:rPr>
          <w:rFonts w:ascii="Arial" w:hAnsi="Arial" w:cs="Arial"/>
          <w:sz w:val="20"/>
          <w:szCs w:val="20"/>
          <w:lang w:val="en-US"/>
        </w:rPr>
        <w:t>Socio Economic Impact Assessment System (SEIAS)</w:t>
      </w:r>
      <w:r w:rsidR="00143DA5" w:rsidRPr="0030354F">
        <w:rPr>
          <w:rFonts w:ascii="Arial" w:hAnsi="Arial" w:cs="Arial"/>
          <w:sz w:val="20"/>
          <w:szCs w:val="20"/>
          <w:lang w:val="en-US"/>
        </w:rPr>
        <w:t xml:space="preserve"> </w:t>
      </w:r>
      <w:r w:rsidR="00EE4F32" w:rsidRPr="0030354F">
        <w:rPr>
          <w:rFonts w:ascii="Arial" w:hAnsi="Arial" w:cs="Arial"/>
          <w:sz w:val="20"/>
          <w:szCs w:val="20"/>
          <w:lang w:val="en-US"/>
        </w:rPr>
        <w:t xml:space="preserve">certification </w:t>
      </w:r>
      <w:r w:rsidR="00143DA5" w:rsidRPr="0030354F">
        <w:rPr>
          <w:rFonts w:ascii="Arial" w:hAnsi="Arial" w:cs="Arial"/>
          <w:sz w:val="20"/>
          <w:szCs w:val="20"/>
          <w:lang w:val="en-US"/>
        </w:rPr>
        <w:t>and</w:t>
      </w:r>
      <w:r w:rsidR="00143DA5" w:rsidRPr="0030354F">
        <w:rPr>
          <w:rFonts w:ascii="Arial" w:eastAsiaTheme="minorEastAsia" w:hAnsi="Arial" w:cs="Arial"/>
          <w:bCs/>
          <w:kern w:val="24"/>
          <w:sz w:val="20"/>
          <w:szCs w:val="20"/>
          <w:lang w:val="en-US"/>
        </w:rPr>
        <w:t xml:space="preserve"> </w:t>
      </w:r>
      <w:r w:rsidR="00143DA5" w:rsidRPr="0030354F">
        <w:rPr>
          <w:rFonts w:ascii="Arial" w:hAnsi="Arial" w:cs="Arial"/>
          <w:sz w:val="20"/>
          <w:szCs w:val="20"/>
          <w:lang w:val="en-US"/>
        </w:rPr>
        <w:t>gazetted for public comments in December 2020;</w:t>
      </w:r>
    </w:p>
    <w:p w:rsidR="00CF18F6" w:rsidRPr="0030354F" w:rsidRDefault="00CF18F6" w:rsidP="0030354F">
      <w:pPr>
        <w:numPr>
          <w:ilvl w:val="0"/>
          <w:numId w:val="28"/>
        </w:numPr>
        <w:spacing w:after="0" w:line="240" w:lineRule="auto"/>
        <w:contextualSpacing/>
        <w:rPr>
          <w:rFonts w:ascii="Arial" w:hAnsi="Arial" w:cs="Arial"/>
          <w:sz w:val="20"/>
          <w:szCs w:val="20"/>
          <w:lang w:val="en-US"/>
        </w:rPr>
      </w:pPr>
      <w:r w:rsidRPr="0030354F">
        <w:rPr>
          <w:rFonts w:ascii="Arial" w:hAnsi="Arial" w:cs="Arial"/>
          <w:sz w:val="20"/>
          <w:szCs w:val="20"/>
          <w:lang w:val="en-US"/>
        </w:rPr>
        <w:t xml:space="preserve">Alternatively, as per the </w:t>
      </w:r>
      <w:r w:rsidRPr="0030354F">
        <w:rPr>
          <w:rFonts w:ascii="Arial" w:eastAsiaTheme="minorEastAsia" w:hAnsi="Arial" w:cs="Arial"/>
          <w:bCs/>
          <w:kern w:val="24"/>
          <w:sz w:val="20"/>
          <w:szCs w:val="20"/>
          <w:lang w:val="en-US"/>
        </w:rPr>
        <w:t xml:space="preserve">revised business case shared with the Committee at the beginning of </w:t>
      </w:r>
      <w:r w:rsidR="00C01616" w:rsidRPr="0030354F">
        <w:rPr>
          <w:rFonts w:ascii="Arial" w:eastAsiaTheme="minorEastAsia" w:hAnsi="Arial" w:cs="Arial"/>
          <w:bCs/>
          <w:kern w:val="24"/>
          <w:sz w:val="20"/>
          <w:szCs w:val="20"/>
          <w:lang w:val="en-US"/>
        </w:rPr>
        <w:t xml:space="preserve">the </w:t>
      </w:r>
      <w:r w:rsidRPr="0030354F">
        <w:rPr>
          <w:rFonts w:ascii="Arial" w:eastAsiaTheme="minorEastAsia" w:hAnsi="Arial" w:cs="Arial"/>
          <w:bCs/>
          <w:kern w:val="24"/>
          <w:sz w:val="20"/>
          <w:szCs w:val="20"/>
          <w:lang w:val="en-US"/>
        </w:rPr>
        <w:t>financial year 2022/</w:t>
      </w:r>
      <w:r w:rsidR="00EE4F32" w:rsidRPr="0030354F">
        <w:rPr>
          <w:rFonts w:ascii="Arial" w:eastAsiaTheme="minorEastAsia" w:hAnsi="Arial" w:cs="Arial"/>
          <w:bCs/>
          <w:kern w:val="24"/>
          <w:sz w:val="20"/>
          <w:szCs w:val="20"/>
          <w:lang w:val="en-US"/>
        </w:rPr>
        <w:t>2</w:t>
      </w:r>
      <w:r w:rsidRPr="0030354F">
        <w:rPr>
          <w:rFonts w:ascii="Arial" w:eastAsiaTheme="minorEastAsia" w:hAnsi="Arial" w:cs="Arial"/>
          <w:bCs/>
          <w:kern w:val="24"/>
          <w:sz w:val="20"/>
          <w:szCs w:val="20"/>
          <w:lang w:val="en-US"/>
        </w:rPr>
        <w:t xml:space="preserve">3 concerning the establishment of the Office of the Small Enterprise Ombud Service, </w:t>
      </w:r>
      <w:r w:rsidR="00C01616" w:rsidRPr="0030354F">
        <w:rPr>
          <w:rFonts w:ascii="Arial" w:eastAsiaTheme="minorEastAsia" w:hAnsi="Arial" w:cs="Arial"/>
          <w:bCs/>
          <w:kern w:val="24"/>
          <w:sz w:val="20"/>
          <w:szCs w:val="20"/>
          <w:lang w:val="en-US"/>
        </w:rPr>
        <w:t xml:space="preserve">the Department </w:t>
      </w:r>
      <w:r w:rsidR="00EE4F32" w:rsidRPr="0030354F">
        <w:rPr>
          <w:rFonts w:ascii="Arial" w:eastAsiaTheme="minorEastAsia" w:hAnsi="Arial" w:cs="Arial"/>
          <w:bCs/>
          <w:kern w:val="24"/>
          <w:sz w:val="20"/>
          <w:szCs w:val="20"/>
          <w:lang w:val="en-US"/>
        </w:rPr>
        <w:t>should</w:t>
      </w:r>
      <w:r w:rsidR="00872F25" w:rsidRPr="0030354F">
        <w:rPr>
          <w:rFonts w:ascii="Arial" w:eastAsiaTheme="minorEastAsia" w:hAnsi="Arial" w:cs="Arial"/>
          <w:bCs/>
          <w:kern w:val="24"/>
          <w:sz w:val="20"/>
          <w:szCs w:val="20"/>
          <w:lang w:val="en-US"/>
        </w:rPr>
        <w:t xml:space="preserve"> </w:t>
      </w:r>
      <w:r w:rsidR="00C01616" w:rsidRPr="0030354F">
        <w:rPr>
          <w:rFonts w:ascii="Arial" w:eastAsiaTheme="minorEastAsia" w:hAnsi="Arial" w:cs="Arial"/>
          <w:bCs/>
          <w:kern w:val="24"/>
          <w:sz w:val="20"/>
          <w:szCs w:val="20"/>
          <w:lang w:val="en-US"/>
        </w:rPr>
        <w:t xml:space="preserve">go ahead </w:t>
      </w:r>
      <w:r w:rsidRPr="0030354F">
        <w:rPr>
          <w:rFonts w:ascii="Arial" w:eastAsiaTheme="minorEastAsia" w:hAnsi="Arial" w:cs="Arial"/>
          <w:bCs/>
          <w:kern w:val="24"/>
          <w:sz w:val="20"/>
          <w:szCs w:val="20"/>
          <w:lang w:val="en-US"/>
        </w:rPr>
        <w:t>establish the office as a Juristic Person within the Department</w:t>
      </w:r>
      <w:r w:rsidR="00872F25" w:rsidRPr="0030354F">
        <w:rPr>
          <w:rFonts w:ascii="Arial" w:eastAsiaTheme="minorEastAsia" w:hAnsi="Arial" w:cs="Arial"/>
          <w:bCs/>
          <w:kern w:val="24"/>
          <w:sz w:val="20"/>
          <w:szCs w:val="20"/>
          <w:lang w:val="en-US"/>
        </w:rPr>
        <w:t>,</w:t>
      </w:r>
      <w:r w:rsidRPr="0030354F">
        <w:rPr>
          <w:rFonts w:ascii="Arial" w:eastAsiaTheme="minorEastAsia" w:hAnsi="Arial" w:cs="Arial"/>
          <w:bCs/>
          <w:kern w:val="24"/>
          <w:sz w:val="20"/>
          <w:szCs w:val="20"/>
          <w:lang w:val="en-US"/>
        </w:rPr>
        <w:t xml:space="preserve"> and in the medium term as a Public Entity i.e. Schedule 3A. The Committee reserves its right to accept or reject the Department strategic plan and annual performance plan (2023/24) should </w:t>
      </w:r>
      <w:r w:rsidR="00EE4F32" w:rsidRPr="0030354F">
        <w:rPr>
          <w:rFonts w:ascii="Arial" w:eastAsiaTheme="minorEastAsia" w:hAnsi="Arial" w:cs="Arial"/>
          <w:bCs/>
          <w:kern w:val="24"/>
          <w:sz w:val="20"/>
          <w:szCs w:val="20"/>
          <w:lang w:val="en-US"/>
        </w:rPr>
        <w:t>it not</w:t>
      </w:r>
      <w:r w:rsidRPr="0030354F">
        <w:rPr>
          <w:rFonts w:ascii="Arial" w:eastAsiaTheme="minorEastAsia" w:hAnsi="Arial" w:cs="Arial"/>
          <w:bCs/>
          <w:kern w:val="24"/>
          <w:sz w:val="20"/>
          <w:szCs w:val="20"/>
          <w:lang w:val="en-US"/>
        </w:rPr>
        <w:t xml:space="preserve"> </w:t>
      </w:r>
      <w:r w:rsidR="00C01616" w:rsidRPr="0030354F">
        <w:rPr>
          <w:rFonts w:ascii="Arial" w:eastAsiaTheme="minorEastAsia" w:hAnsi="Arial" w:cs="Arial"/>
          <w:bCs/>
          <w:kern w:val="24"/>
          <w:sz w:val="20"/>
          <w:szCs w:val="20"/>
          <w:lang w:val="en-US"/>
        </w:rPr>
        <w:t>comply with any of the directive</w:t>
      </w:r>
      <w:r w:rsidRPr="0030354F">
        <w:rPr>
          <w:rFonts w:ascii="Arial" w:eastAsiaTheme="minorEastAsia" w:hAnsi="Arial" w:cs="Arial"/>
          <w:bCs/>
          <w:kern w:val="24"/>
          <w:sz w:val="20"/>
          <w:szCs w:val="20"/>
          <w:lang w:val="en-US"/>
        </w:rPr>
        <w:t xml:space="preserve"> set forth hereinabove.</w:t>
      </w:r>
    </w:p>
    <w:p w:rsidR="0017474D" w:rsidRPr="0030354F" w:rsidRDefault="0017474D" w:rsidP="0030354F">
      <w:pPr>
        <w:spacing w:after="0" w:line="240" w:lineRule="auto"/>
        <w:contextualSpacing/>
        <w:rPr>
          <w:rFonts w:ascii="Arial" w:hAnsi="Arial" w:cs="Arial"/>
          <w:sz w:val="20"/>
          <w:szCs w:val="20"/>
          <w:lang w:val="en-US"/>
        </w:rPr>
      </w:pPr>
      <w:r w:rsidRPr="0030354F">
        <w:rPr>
          <w:rFonts w:ascii="Arial" w:eastAsiaTheme="minorEastAsia" w:hAnsi="Arial" w:cs="Arial"/>
          <w:bCs/>
          <w:kern w:val="24"/>
          <w:sz w:val="20"/>
          <w:szCs w:val="20"/>
          <w:lang w:val="en-US"/>
        </w:rPr>
        <w:t>7.3</w:t>
      </w:r>
      <w:r w:rsidRPr="0030354F">
        <w:rPr>
          <w:rFonts w:ascii="Arial" w:eastAsiaTheme="minorEastAsia" w:hAnsi="Arial" w:cs="Arial"/>
          <w:bCs/>
          <w:kern w:val="24"/>
          <w:sz w:val="20"/>
          <w:szCs w:val="20"/>
          <w:lang w:val="en-US"/>
        </w:rPr>
        <w:tab/>
        <w:t>In the meantime</w:t>
      </w:r>
      <w:r w:rsidR="005360ED" w:rsidRPr="0030354F">
        <w:rPr>
          <w:rFonts w:ascii="Arial" w:eastAsiaTheme="minorEastAsia" w:hAnsi="Arial" w:cs="Arial"/>
          <w:bCs/>
          <w:kern w:val="24"/>
          <w:sz w:val="20"/>
          <w:szCs w:val="20"/>
          <w:lang w:val="en-US"/>
        </w:rPr>
        <w:t xml:space="preserve"> and </w:t>
      </w:r>
      <w:r w:rsidR="001B07C1" w:rsidRPr="0030354F">
        <w:rPr>
          <w:rFonts w:ascii="Arial" w:eastAsiaTheme="minorEastAsia" w:hAnsi="Arial" w:cs="Arial"/>
          <w:bCs/>
          <w:kern w:val="24"/>
          <w:sz w:val="20"/>
          <w:szCs w:val="20"/>
          <w:lang w:val="en-US"/>
        </w:rPr>
        <w:t xml:space="preserve">in case of further delays by the Department in executing the </w:t>
      </w:r>
      <w:r w:rsidR="001B07C1" w:rsidRPr="0030354F">
        <w:rPr>
          <w:rFonts w:ascii="Arial" w:eastAsiaTheme="minorEastAsia" w:hAnsi="Arial" w:cs="Arial"/>
          <w:bCs/>
          <w:kern w:val="24"/>
          <w:sz w:val="20"/>
          <w:szCs w:val="20"/>
          <w:lang w:val="en-US"/>
        </w:rPr>
        <w:tab/>
        <w:t xml:space="preserve">Committee resolutions, </w:t>
      </w:r>
      <w:r w:rsidRPr="0030354F">
        <w:rPr>
          <w:rFonts w:ascii="Arial" w:eastAsiaTheme="minorEastAsia" w:hAnsi="Arial" w:cs="Arial"/>
          <w:bCs/>
          <w:kern w:val="24"/>
          <w:sz w:val="20"/>
          <w:szCs w:val="20"/>
          <w:lang w:val="en-US"/>
        </w:rPr>
        <w:t xml:space="preserve">the Committee will explore </w:t>
      </w:r>
      <w:r w:rsidR="005360ED" w:rsidRPr="0030354F">
        <w:rPr>
          <w:rFonts w:ascii="Arial" w:eastAsiaTheme="minorEastAsia" w:hAnsi="Arial" w:cs="Arial"/>
          <w:bCs/>
          <w:kern w:val="24"/>
          <w:sz w:val="20"/>
          <w:szCs w:val="20"/>
          <w:lang w:val="en-US"/>
        </w:rPr>
        <w:t xml:space="preserve">a </w:t>
      </w:r>
      <w:r w:rsidR="001B07C1" w:rsidRPr="0030354F">
        <w:rPr>
          <w:rFonts w:ascii="Arial" w:eastAsiaTheme="minorEastAsia" w:hAnsi="Arial" w:cs="Arial"/>
          <w:bCs/>
          <w:kern w:val="24"/>
          <w:sz w:val="20"/>
          <w:szCs w:val="20"/>
          <w:lang w:val="en-US"/>
        </w:rPr>
        <w:t xml:space="preserve">Committee bill </w:t>
      </w:r>
      <w:r w:rsidR="005360ED" w:rsidRPr="0030354F">
        <w:rPr>
          <w:rFonts w:ascii="Arial" w:eastAsiaTheme="minorEastAsia" w:hAnsi="Arial" w:cs="Arial"/>
          <w:bCs/>
          <w:kern w:val="24"/>
          <w:sz w:val="20"/>
          <w:szCs w:val="20"/>
          <w:lang w:val="en-US"/>
        </w:rPr>
        <w:t xml:space="preserve">(Section 75 bill) </w:t>
      </w:r>
      <w:r w:rsidR="001B07C1" w:rsidRPr="0030354F">
        <w:rPr>
          <w:rFonts w:ascii="Arial" w:eastAsiaTheme="minorEastAsia" w:hAnsi="Arial" w:cs="Arial"/>
          <w:bCs/>
          <w:kern w:val="24"/>
          <w:sz w:val="20"/>
          <w:szCs w:val="20"/>
          <w:lang w:val="en-US"/>
        </w:rPr>
        <w:tab/>
      </w:r>
      <w:r w:rsidR="005360ED" w:rsidRPr="0030354F">
        <w:rPr>
          <w:rFonts w:ascii="Arial" w:eastAsiaTheme="minorEastAsia" w:hAnsi="Arial" w:cs="Arial"/>
          <w:bCs/>
          <w:kern w:val="24"/>
          <w:sz w:val="20"/>
          <w:szCs w:val="20"/>
          <w:lang w:val="en-US"/>
        </w:rPr>
        <w:t xml:space="preserve">in order to implement its </w:t>
      </w:r>
      <w:r w:rsidRPr="0030354F">
        <w:rPr>
          <w:rFonts w:ascii="Arial" w:eastAsiaTheme="minorEastAsia" w:hAnsi="Arial" w:cs="Arial"/>
          <w:bCs/>
          <w:kern w:val="24"/>
          <w:sz w:val="20"/>
          <w:szCs w:val="20"/>
          <w:lang w:val="en-US"/>
        </w:rPr>
        <w:t>own resoluti</w:t>
      </w:r>
      <w:r w:rsidR="001B07C1" w:rsidRPr="0030354F">
        <w:rPr>
          <w:rFonts w:ascii="Arial" w:eastAsiaTheme="minorEastAsia" w:hAnsi="Arial" w:cs="Arial"/>
          <w:bCs/>
          <w:kern w:val="24"/>
          <w:sz w:val="20"/>
          <w:szCs w:val="20"/>
          <w:lang w:val="en-US"/>
        </w:rPr>
        <w:t xml:space="preserve">on for the establishment of the </w:t>
      </w:r>
      <w:r w:rsidRPr="0030354F">
        <w:rPr>
          <w:rFonts w:ascii="Arial" w:eastAsiaTheme="minorEastAsia" w:hAnsi="Arial" w:cs="Arial"/>
          <w:bCs/>
          <w:kern w:val="24"/>
          <w:sz w:val="20"/>
          <w:szCs w:val="20"/>
          <w:lang w:val="en-US"/>
        </w:rPr>
        <w:t xml:space="preserve">Small Enterprise </w:t>
      </w:r>
      <w:r w:rsidR="001B07C1" w:rsidRPr="0030354F">
        <w:rPr>
          <w:rFonts w:ascii="Arial" w:eastAsiaTheme="minorEastAsia" w:hAnsi="Arial" w:cs="Arial"/>
          <w:bCs/>
          <w:kern w:val="24"/>
          <w:sz w:val="20"/>
          <w:szCs w:val="20"/>
          <w:lang w:val="en-US"/>
        </w:rPr>
        <w:tab/>
      </w:r>
      <w:r w:rsidRPr="0030354F">
        <w:rPr>
          <w:rFonts w:ascii="Arial" w:eastAsiaTheme="minorEastAsia" w:hAnsi="Arial" w:cs="Arial"/>
          <w:bCs/>
          <w:kern w:val="24"/>
          <w:sz w:val="20"/>
          <w:szCs w:val="20"/>
          <w:lang w:val="en-US"/>
        </w:rPr>
        <w:t>Ombudsman</w:t>
      </w:r>
      <w:r w:rsidR="00306AEF" w:rsidRPr="0030354F">
        <w:rPr>
          <w:rFonts w:ascii="Arial" w:eastAsiaTheme="minorEastAsia" w:hAnsi="Arial" w:cs="Arial"/>
          <w:bCs/>
          <w:kern w:val="24"/>
          <w:sz w:val="20"/>
          <w:szCs w:val="20"/>
          <w:lang w:val="en-US"/>
        </w:rPr>
        <w:t xml:space="preserve">. </w:t>
      </w:r>
      <w:r w:rsidRPr="0030354F">
        <w:rPr>
          <w:rFonts w:ascii="Arial" w:eastAsiaTheme="minorEastAsia" w:hAnsi="Arial" w:cs="Arial"/>
          <w:bCs/>
          <w:kern w:val="24"/>
          <w:sz w:val="20"/>
          <w:szCs w:val="20"/>
          <w:lang w:val="en-US"/>
        </w:rPr>
        <w:t>T</w:t>
      </w:r>
      <w:r w:rsidR="005360ED" w:rsidRPr="0030354F">
        <w:rPr>
          <w:rFonts w:ascii="Arial" w:eastAsiaTheme="minorEastAsia" w:hAnsi="Arial" w:cs="Arial"/>
          <w:bCs/>
          <w:kern w:val="24"/>
          <w:sz w:val="20"/>
          <w:szCs w:val="20"/>
          <w:lang w:val="en-US"/>
        </w:rPr>
        <w:t xml:space="preserve">he </w:t>
      </w:r>
      <w:r w:rsidRPr="0030354F">
        <w:rPr>
          <w:rFonts w:ascii="Arial" w:eastAsiaTheme="minorEastAsia" w:hAnsi="Arial" w:cs="Arial"/>
          <w:bCs/>
          <w:kern w:val="24"/>
          <w:sz w:val="20"/>
          <w:szCs w:val="20"/>
          <w:lang w:val="en-US"/>
        </w:rPr>
        <w:t xml:space="preserve">Committee </w:t>
      </w:r>
      <w:r w:rsidR="00306AEF" w:rsidRPr="0030354F">
        <w:rPr>
          <w:rFonts w:ascii="Arial" w:eastAsiaTheme="minorEastAsia" w:hAnsi="Arial" w:cs="Arial"/>
          <w:bCs/>
          <w:kern w:val="24"/>
          <w:sz w:val="20"/>
          <w:szCs w:val="20"/>
          <w:lang w:val="en-US"/>
        </w:rPr>
        <w:t>is in agreement that t</w:t>
      </w:r>
      <w:r w:rsidR="001B07C1" w:rsidRPr="0030354F">
        <w:rPr>
          <w:rFonts w:ascii="Arial" w:eastAsiaTheme="minorEastAsia" w:hAnsi="Arial" w:cs="Arial"/>
          <w:bCs/>
          <w:kern w:val="24"/>
          <w:sz w:val="20"/>
          <w:szCs w:val="20"/>
          <w:lang w:val="en-US"/>
        </w:rPr>
        <w:t xml:space="preserve">he Small </w:t>
      </w:r>
      <w:r w:rsidR="00306AEF" w:rsidRPr="0030354F">
        <w:rPr>
          <w:rFonts w:ascii="Arial" w:eastAsiaTheme="minorEastAsia" w:hAnsi="Arial" w:cs="Arial"/>
          <w:bCs/>
          <w:kern w:val="24"/>
          <w:sz w:val="20"/>
          <w:szCs w:val="20"/>
          <w:lang w:val="en-US"/>
        </w:rPr>
        <w:t xml:space="preserve">Enterprise Service Ombuds </w:t>
      </w:r>
      <w:r w:rsidR="001B07C1" w:rsidRPr="0030354F">
        <w:rPr>
          <w:rFonts w:ascii="Arial" w:eastAsiaTheme="minorEastAsia" w:hAnsi="Arial" w:cs="Arial"/>
          <w:bCs/>
          <w:kern w:val="24"/>
          <w:sz w:val="20"/>
          <w:szCs w:val="20"/>
          <w:lang w:val="en-US"/>
        </w:rPr>
        <w:tab/>
      </w:r>
      <w:r w:rsidR="00306AEF" w:rsidRPr="0030354F">
        <w:rPr>
          <w:rFonts w:ascii="Arial" w:eastAsiaTheme="minorEastAsia" w:hAnsi="Arial" w:cs="Arial"/>
          <w:bCs/>
          <w:kern w:val="24"/>
          <w:sz w:val="20"/>
          <w:szCs w:val="20"/>
          <w:lang w:val="en-US"/>
        </w:rPr>
        <w:t>bill</w:t>
      </w:r>
      <w:r w:rsidR="005360ED" w:rsidRPr="0030354F">
        <w:rPr>
          <w:rFonts w:ascii="Arial" w:eastAsiaTheme="minorEastAsia" w:hAnsi="Arial" w:cs="Arial"/>
          <w:bCs/>
          <w:kern w:val="24"/>
          <w:sz w:val="20"/>
          <w:szCs w:val="20"/>
          <w:lang w:val="en-US"/>
        </w:rPr>
        <w:t xml:space="preserve">, draft </w:t>
      </w:r>
      <w:r w:rsidR="00315F5D" w:rsidRPr="0030354F">
        <w:rPr>
          <w:rFonts w:ascii="Arial" w:eastAsiaTheme="minorEastAsia" w:hAnsi="Arial" w:cs="Arial"/>
          <w:bCs/>
          <w:kern w:val="24"/>
          <w:sz w:val="20"/>
          <w:szCs w:val="20"/>
          <w:lang w:val="en-US"/>
        </w:rPr>
        <w:t xml:space="preserve">bill </w:t>
      </w:r>
      <w:r w:rsidR="00306AEF" w:rsidRPr="0030354F">
        <w:rPr>
          <w:rFonts w:ascii="Arial" w:eastAsiaTheme="minorEastAsia" w:hAnsi="Arial" w:cs="Arial"/>
          <w:bCs/>
          <w:kern w:val="24"/>
          <w:sz w:val="20"/>
          <w:szCs w:val="20"/>
          <w:lang w:val="en-US"/>
        </w:rPr>
        <w:t>amending th</w:t>
      </w:r>
      <w:r w:rsidR="001B07C1" w:rsidRPr="0030354F">
        <w:rPr>
          <w:rFonts w:ascii="Arial" w:eastAsiaTheme="minorEastAsia" w:hAnsi="Arial" w:cs="Arial"/>
          <w:bCs/>
          <w:kern w:val="24"/>
          <w:sz w:val="20"/>
          <w:szCs w:val="20"/>
          <w:lang w:val="en-US"/>
        </w:rPr>
        <w:t xml:space="preserve">e National Small Enterprise Act </w:t>
      </w:r>
      <w:r w:rsidR="00306AEF" w:rsidRPr="0030354F">
        <w:rPr>
          <w:rFonts w:ascii="Arial" w:eastAsiaTheme="minorEastAsia" w:hAnsi="Arial" w:cs="Arial"/>
          <w:bCs/>
          <w:kern w:val="24"/>
          <w:sz w:val="20"/>
          <w:szCs w:val="20"/>
          <w:lang w:val="en-US"/>
        </w:rPr>
        <w:t xml:space="preserve">(1996) </w:t>
      </w:r>
      <w:r w:rsidR="00315F5D" w:rsidRPr="0030354F">
        <w:rPr>
          <w:rFonts w:ascii="Arial" w:eastAsiaTheme="minorEastAsia" w:hAnsi="Arial" w:cs="Arial"/>
          <w:bCs/>
          <w:kern w:val="24"/>
          <w:sz w:val="20"/>
          <w:szCs w:val="20"/>
          <w:lang w:val="en-US"/>
        </w:rPr>
        <w:t xml:space="preserve">and draft </w:t>
      </w:r>
      <w:r w:rsidR="005360ED" w:rsidRPr="0030354F">
        <w:rPr>
          <w:rFonts w:ascii="Arial" w:eastAsiaTheme="minorEastAsia" w:hAnsi="Arial" w:cs="Arial"/>
          <w:bCs/>
          <w:kern w:val="24"/>
          <w:sz w:val="20"/>
          <w:szCs w:val="20"/>
          <w:lang w:val="en-US"/>
        </w:rPr>
        <w:t xml:space="preserve">Public </w:t>
      </w:r>
      <w:r w:rsidR="001B07C1" w:rsidRPr="0030354F">
        <w:rPr>
          <w:rFonts w:ascii="Arial" w:eastAsiaTheme="minorEastAsia" w:hAnsi="Arial" w:cs="Arial"/>
          <w:bCs/>
          <w:kern w:val="24"/>
          <w:sz w:val="20"/>
          <w:szCs w:val="20"/>
          <w:lang w:val="en-US"/>
        </w:rPr>
        <w:tab/>
      </w:r>
      <w:r w:rsidR="005360ED" w:rsidRPr="0030354F">
        <w:rPr>
          <w:rFonts w:ascii="Arial" w:eastAsiaTheme="minorEastAsia" w:hAnsi="Arial" w:cs="Arial"/>
          <w:bCs/>
          <w:kern w:val="24"/>
          <w:sz w:val="20"/>
          <w:szCs w:val="20"/>
          <w:lang w:val="en-US"/>
        </w:rPr>
        <w:t xml:space="preserve">Procurement bill </w:t>
      </w:r>
      <w:r w:rsidR="00A33599" w:rsidRPr="0030354F">
        <w:rPr>
          <w:rFonts w:ascii="Arial" w:eastAsiaTheme="minorEastAsia" w:hAnsi="Arial" w:cs="Arial"/>
          <w:bCs/>
          <w:kern w:val="24"/>
          <w:sz w:val="20"/>
          <w:szCs w:val="20"/>
          <w:lang w:val="en-US"/>
        </w:rPr>
        <w:t>specifically</w:t>
      </w:r>
      <w:r w:rsidR="005360ED" w:rsidRPr="0030354F">
        <w:rPr>
          <w:rFonts w:ascii="Arial" w:eastAsiaTheme="minorEastAsia" w:hAnsi="Arial" w:cs="Arial"/>
          <w:bCs/>
          <w:kern w:val="24"/>
          <w:sz w:val="20"/>
          <w:szCs w:val="20"/>
          <w:lang w:val="en-US"/>
        </w:rPr>
        <w:t xml:space="preserve"> the s</w:t>
      </w:r>
      <w:r w:rsidR="001B07C1" w:rsidRPr="0030354F">
        <w:rPr>
          <w:rFonts w:ascii="Arial" w:eastAsiaTheme="minorEastAsia" w:hAnsi="Arial" w:cs="Arial"/>
          <w:bCs/>
          <w:kern w:val="24"/>
          <w:sz w:val="20"/>
          <w:szCs w:val="20"/>
          <w:lang w:val="en-US"/>
        </w:rPr>
        <w:t xml:space="preserve">ection that deals with dispute </w:t>
      </w:r>
      <w:r w:rsidR="005360ED" w:rsidRPr="0030354F">
        <w:rPr>
          <w:rFonts w:ascii="Arial" w:eastAsiaTheme="minorEastAsia" w:hAnsi="Arial" w:cs="Arial"/>
          <w:bCs/>
          <w:kern w:val="24"/>
          <w:sz w:val="20"/>
          <w:szCs w:val="20"/>
          <w:lang w:val="en-US"/>
        </w:rPr>
        <w:t xml:space="preserve">resolution </w:t>
      </w:r>
      <w:r w:rsidR="00306AEF" w:rsidRPr="0030354F">
        <w:rPr>
          <w:rFonts w:ascii="Arial" w:eastAsiaTheme="minorEastAsia" w:hAnsi="Arial" w:cs="Arial"/>
          <w:bCs/>
          <w:kern w:val="24"/>
          <w:sz w:val="20"/>
          <w:szCs w:val="20"/>
          <w:lang w:val="en-US"/>
        </w:rPr>
        <w:t xml:space="preserve">should </w:t>
      </w:r>
      <w:r w:rsidR="005360ED" w:rsidRPr="0030354F">
        <w:rPr>
          <w:rFonts w:ascii="Arial" w:eastAsiaTheme="minorEastAsia" w:hAnsi="Arial" w:cs="Arial"/>
          <w:bCs/>
          <w:kern w:val="24"/>
          <w:sz w:val="20"/>
          <w:szCs w:val="20"/>
          <w:lang w:val="en-US"/>
        </w:rPr>
        <w:t xml:space="preserve">be </w:t>
      </w:r>
      <w:r w:rsidR="001B07C1" w:rsidRPr="0030354F">
        <w:rPr>
          <w:rFonts w:ascii="Arial" w:eastAsiaTheme="minorEastAsia" w:hAnsi="Arial" w:cs="Arial"/>
          <w:bCs/>
          <w:kern w:val="24"/>
          <w:sz w:val="20"/>
          <w:szCs w:val="20"/>
          <w:lang w:val="en-US"/>
        </w:rPr>
        <w:tab/>
      </w:r>
      <w:r w:rsidR="005360ED" w:rsidRPr="0030354F">
        <w:rPr>
          <w:rFonts w:ascii="Arial" w:eastAsiaTheme="minorEastAsia" w:hAnsi="Arial" w:cs="Arial"/>
          <w:bCs/>
          <w:kern w:val="24"/>
          <w:sz w:val="20"/>
          <w:szCs w:val="20"/>
          <w:lang w:val="en-US"/>
        </w:rPr>
        <w:t xml:space="preserve">considered key constituents of the </w:t>
      </w:r>
      <w:r w:rsidR="00A33599" w:rsidRPr="0030354F">
        <w:rPr>
          <w:rFonts w:ascii="Arial" w:eastAsiaTheme="minorEastAsia" w:hAnsi="Arial" w:cs="Arial"/>
          <w:bCs/>
          <w:kern w:val="24"/>
          <w:sz w:val="20"/>
          <w:szCs w:val="20"/>
          <w:lang w:val="en-US"/>
        </w:rPr>
        <w:t>planned</w:t>
      </w:r>
      <w:r w:rsidR="005360ED" w:rsidRPr="0030354F">
        <w:rPr>
          <w:rFonts w:ascii="Arial" w:eastAsiaTheme="minorEastAsia" w:hAnsi="Arial" w:cs="Arial"/>
          <w:bCs/>
          <w:kern w:val="24"/>
          <w:sz w:val="20"/>
          <w:szCs w:val="20"/>
          <w:lang w:val="en-US"/>
        </w:rPr>
        <w:t xml:space="preserve"> bill. </w:t>
      </w:r>
    </w:p>
    <w:p w:rsidR="00CF18F6" w:rsidRPr="0030354F" w:rsidRDefault="00315F5D" w:rsidP="0030354F">
      <w:pPr>
        <w:spacing w:after="0" w:line="240" w:lineRule="auto"/>
        <w:contextualSpacing/>
        <w:rPr>
          <w:rFonts w:ascii="Arial" w:hAnsi="Arial" w:cs="Arial"/>
          <w:sz w:val="20"/>
          <w:szCs w:val="20"/>
        </w:rPr>
      </w:pPr>
      <w:r w:rsidRPr="0030354F">
        <w:rPr>
          <w:rFonts w:ascii="Arial" w:hAnsi="Arial" w:cs="Arial"/>
          <w:sz w:val="20"/>
          <w:szCs w:val="20"/>
        </w:rPr>
        <w:t>7.4</w:t>
      </w:r>
      <w:r w:rsidR="00CF18F6" w:rsidRPr="0030354F">
        <w:rPr>
          <w:rFonts w:ascii="Arial" w:hAnsi="Arial" w:cs="Arial"/>
          <w:sz w:val="20"/>
          <w:szCs w:val="20"/>
        </w:rPr>
        <w:tab/>
        <w:t xml:space="preserve">During the course of the financial year (2022/23) the Department revised its own </w:t>
      </w:r>
      <w:r w:rsidR="00CF18F6" w:rsidRPr="0030354F">
        <w:rPr>
          <w:rFonts w:ascii="Arial" w:hAnsi="Arial" w:cs="Arial"/>
          <w:sz w:val="20"/>
          <w:szCs w:val="20"/>
        </w:rPr>
        <w:tab/>
        <w:t>timelines in</w:t>
      </w:r>
      <w:r w:rsidR="00872F25" w:rsidRPr="0030354F">
        <w:rPr>
          <w:rFonts w:ascii="Arial" w:hAnsi="Arial" w:cs="Arial"/>
          <w:sz w:val="20"/>
          <w:szCs w:val="20"/>
        </w:rPr>
        <w:t xml:space="preserve"> as far as the referral of the </w:t>
      </w:r>
      <w:r w:rsidR="00A33599" w:rsidRPr="0030354F">
        <w:rPr>
          <w:rFonts w:ascii="Arial" w:hAnsi="Arial" w:cs="Arial"/>
          <w:sz w:val="20"/>
          <w:szCs w:val="20"/>
        </w:rPr>
        <w:t xml:space="preserve">Business Amendment </w:t>
      </w:r>
      <w:r w:rsidR="00872F25" w:rsidRPr="0030354F">
        <w:rPr>
          <w:rFonts w:ascii="Arial" w:hAnsi="Arial" w:cs="Arial"/>
          <w:sz w:val="20"/>
          <w:szCs w:val="20"/>
        </w:rPr>
        <w:t xml:space="preserve">bill to Parliament is </w:t>
      </w:r>
      <w:r w:rsidR="00A33599" w:rsidRPr="0030354F">
        <w:rPr>
          <w:rFonts w:ascii="Arial" w:hAnsi="Arial" w:cs="Arial"/>
          <w:sz w:val="20"/>
          <w:szCs w:val="20"/>
        </w:rPr>
        <w:tab/>
        <w:t xml:space="preserve">concerned. The project plan </w:t>
      </w:r>
      <w:r w:rsidR="00872F25" w:rsidRPr="0030354F">
        <w:rPr>
          <w:rFonts w:ascii="Arial" w:hAnsi="Arial" w:cs="Arial"/>
          <w:sz w:val="20"/>
          <w:szCs w:val="20"/>
        </w:rPr>
        <w:t xml:space="preserve">was shared with </w:t>
      </w:r>
      <w:r w:rsidR="00C01616" w:rsidRPr="0030354F">
        <w:rPr>
          <w:rFonts w:ascii="Arial" w:hAnsi="Arial" w:cs="Arial"/>
          <w:sz w:val="20"/>
          <w:szCs w:val="20"/>
        </w:rPr>
        <w:t xml:space="preserve">the Committee. It </w:t>
      </w:r>
      <w:r w:rsidR="00CF18F6" w:rsidRPr="0030354F">
        <w:rPr>
          <w:rFonts w:ascii="Arial" w:hAnsi="Arial" w:cs="Arial"/>
          <w:sz w:val="20"/>
          <w:szCs w:val="20"/>
        </w:rPr>
        <w:t xml:space="preserve">is on this basis that the </w:t>
      </w:r>
      <w:r w:rsidR="00A33599" w:rsidRPr="0030354F">
        <w:rPr>
          <w:rFonts w:ascii="Arial" w:hAnsi="Arial" w:cs="Arial"/>
          <w:sz w:val="20"/>
          <w:szCs w:val="20"/>
        </w:rPr>
        <w:tab/>
        <w:t xml:space="preserve">Committee was prevented from pursuing its resolution </w:t>
      </w:r>
      <w:r w:rsidR="0002183C" w:rsidRPr="0030354F">
        <w:rPr>
          <w:rFonts w:ascii="Arial" w:hAnsi="Arial" w:cs="Arial"/>
          <w:sz w:val="20"/>
          <w:szCs w:val="20"/>
        </w:rPr>
        <w:t>to produce a</w:t>
      </w:r>
      <w:r w:rsidR="00CF18F6" w:rsidRPr="0030354F">
        <w:rPr>
          <w:rFonts w:ascii="Arial" w:hAnsi="Arial" w:cs="Arial"/>
          <w:sz w:val="20"/>
          <w:szCs w:val="20"/>
        </w:rPr>
        <w:t xml:space="preserve"> Committee Bill. In </w:t>
      </w:r>
      <w:r w:rsidR="0002183C" w:rsidRPr="0030354F">
        <w:rPr>
          <w:rFonts w:ascii="Arial" w:hAnsi="Arial" w:cs="Arial"/>
          <w:sz w:val="20"/>
          <w:szCs w:val="20"/>
        </w:rPr>
        <w:tab/>
      </w:r>
      <w:r w:rsidR="00CF18F6" w:rsidRPr="0030354F">
        <w:rPr>
          <w:rFonts w:ascii="Arial" w:hAnsi="Arial" w:cs="Arial"/>
          <w:sz w:val="20"/>
          <w:szCs w:val="20"/>
        </w:rPr>
        <w:t>terms of th</w:t>
      </w:r>
      <w:r w:rsidR="00C01616" w:rsidRPr="0030354F">
        <w:rPr>
          <w:rFonts w:ascii="Arial" w:hAnsi="Arial" w:cs="Arial"/>
          <w:sz w:val="20"/>
          <w:szCs w:val="20"/>
        </w:rPr>
        <w:t>e</w:t>
      </w:r>
      <w:r w:rsidR="0002183C" w:rsidRPr="0030354F">
        <w:rPr>
          <w:rFonts w:ascii="Arial" w:hAnsi="Arial" w:cs="Arial"/>
          <w:sz w:val="20"/>
          <w:szCs w:val="20"/>
        </w:rPr>
        <w:t xml:space="preserve"> </w:t>
      </w:r>
      <w:r w:rsidR="00CF18F6" w:rsidRPr="0030354F">
        <w:rPr>
          <w:rFonts w:ascii="Arial" w:hAnsi="Arial" w:cs="Arial"/>
          <w:sz w:val="20"/>
          <w:szCs w:val="20"/>
        </w:rPr>
        <w:t xml:space="preserve">project plan shared </w:t>
      </w:r>
      <w:r w:rsidR="00A33599" w:rsidRPr="0030354F">
        <w:rPr>
          <w:rFonts w:ascii="Arial" w:hAnsi="Arial" w:cs="Arial"/>
          <w:sz w:val="20"/>
          <w:szCs w:val="20"/>
        </w:rPr>
        <w:t xml:space="preserve">and </w:t>
      </w:r>
      <w:r w:rsidR="00C01616" w:rsidRPr="0030354F">
        <w:rPr>
          <w:rFonts w:ascii="Arial" w:hAnsi="Arial" w:cs="Arial"/>
          <w:sz w:val="20"/>
          <w:szCs w:val="20"/>
        </w:rPr>
        <w:t xml:space="preserve">agreed to by </w:t>
      </w:r>
      <w:r w:rsidR="00872F25" w:rsidRPr="0030354F">
        <w:rPr>
          <w:rFonts w:ascii="Arial" w:hAnsi="Arial" w:cs="Arial"/>
          <w:sz w:val="20"/>
          <w:szCs w:val="20"/>
        </w:rPr>
        <w:t xml:space="preserve">the </w:t>
      </w:r>
      <w:r w:rsidR="00CF18F6" w:rsidRPr="0030354F">
        <w:rPr>
          <w:rFonts w:ascii="Arial" w:hAnsi="Arial" w:cs="Arial"/>
          <w:sz w:val="20"/>
          <w:szCs w:val="20"/>
        </w:rPr>
        <w:t>Committee</w:t>
      </w:r>
      <w:r w:rsidR="00C01616" w:rsidRPr="0030354F">
        <w:rPr>
          <w:rFonts w:ascii="Arial" w:hAnsi="Arial" w:cs="Arial"/>
          <w:sz w:val="20"/>
          <w:szCs w:val="20"/>
        </w:rPr>
        <w:t xml:space="preserve">, the </w:t>
      </w:r>
      <w:r w:rsidR="00CF18F6" w:rsidRPr="0030354F">
        <w:rPr>
          <w:rFonts w:ascii="Arial" w:hAnsi="Arial" w:cs="Arial"/>
          <w:sz w:val="20"/>
          <w:szCs w:val="20"/>
        </w:rPr>
        <w:t xml:space="preserve">Department </w:t>
      </w:r>
      <w:r w:rsidR="000E5789" w:rsidRPr="0030354F">
        <w:rPr>
          <w:rFonts w:ascii="Arial" w:hAnsi="Arial" w:cs="Arial"/>
          <w:sz w:val="20"/>
          <w:szCs w:val="20"/>
        </w:rPr>
        <w:t>shall</w:t>
      </w:r>
      <w:r w:rsidR="00CF18F6" w:rsidRPr="0030354F">
        <w:rPr>
          <w:rFonts w:ascii="Arial" w:hAnsi="Arial" w:cs="Arial"/>
          <w:sz w:val="20"/>
          <w:szCs w:val="20"/>
        </w:rPr>
        <w:t xml:space="preserve"> </w:t>
      </w:r>
      <w:r w:rsidR="0002183C" w:rsidRPr="0030354F">
        <w:rPr>
          <w:rFonts w:ascii="Arial" w:hAnsi="Arial" w:cs="Arial"/>
          <w:sz w:val="20"/>
          <w:szCs w:val="20"/>
        </w:rPr>
        <w:tab/>
      </w:r>
      <w:r w:rsidR="00CF18F6" w:rsidRPr="0030354F">
        <w:rPr>
          <w:rFonts w:ascii="Arial" w:hAnsi="Arial" w:cs="Arial"/>
          <w:sz w:val="20"/>
          <w:szCs w:val="20"/>
        </w:rPr>
        <w:t>tabl</w:t>
      </w:r>
      <w:r w:rsidR="000E5789" w:rsidRPr="0030354F">
        <w:rPr>
          <w:rFonts w:ascii="Arial" w:hAnsi="Arial" w:cs="Arial"/>
          <w:sz w:val="20"/>
          <w:szCs w:val="20"/>
        </w:rPr>
        <w:t xml:space="preserve">e the draft </w:t>
      </w:r>
      <w:r w:rsidR="00A33599" w:rsidRPr="0030354F">
        <w:rPr>
          <w:rFonts w:ascii="Arial" w:hAnsi="Arial" w:cs="Arial"/>
          <w:sz w:val="20"/>
          <w:szCs w:val="20"/>
        </w:rPr>
        <w:tab/>
      </w:r>
      <w:r w:rsidR="000E5789" w:rsidRPr="0030354F">
        <w:rPr>
          <w:rFonts w:ascii="Arial" w:hAnsi="Arial" w:cs="Arial"/>
          <w:sz w:val="20"/>
          <w:szCs w:val="20"/>
        </w:rPr>
        <w:t>bill to Parliament o</w:t>
      </w:r>
      <w:r w:rsidR="00A33599" w:rsidRPr="0030354F">
        <w:rPr>
          <w:rFonts w:ascii="Arial" w:hAnsi="Arial" w:cs="Arial"/>
          <w:sz w:val="20"/>
          <w:szCs w:val="20"/>
        </w:rPr>
        <w:t xml:space="preserve">n </w:t>
      </w:r>
      <w:r w:rsidR="000E5789" w:rsidRPr="0030354F">
        <w:rPr>
          <w:rFonts w:ascii="Arial" w:hAnsi="Arial" w:cs="Arial"/>
          <w:sz w:val="20"/>
          <w:szCs w:val="20"/>
        </w:rPr>
        <w:t xml:space="preserve">or before </w:t>
      </w:r>
      <w:r w:rsidR="00872F25" w:rsidRPr="0030354F">
        <w:rPr>
          <w:rFonts w:ascii="Arial" w:hAnsi="Arial" w:cs="Arial"/>
          <w:sz w:val="20"/>
          <w:szCs w:val="20"/>
        </w:rPr>
        <w:t xml:space="preserve">April </w:t>
      </w:r>
      <w:r w:rsidR="000E5789" w:rsidRPr="0030354F">
        <w:rPr>
          <w:rFonts w:ascii="Arial" w:hAnsi="Arial" w:cs="Arial"/>
          <w:sz w:val="20"/>
          <w:szCs w:val="20"/>
        </w:rPr>
        <w:lastRenderedPageBreak/>
        <w:t>2023</w:t>
      </w:r>
      <w:r w:rsidR="00CF18F6" w:rsidRPr="0030354F">
        <w:rPr>
          <w:rFonts w:ascii="Arial" w:hAnsi="Arial" w:cs="Arial"/>
          <w:sz w:val="20"/>
          <w:szCs w:val="20"/>
        </w:rPr>
        <w:t>.</w:t>
      </w:r>
      <w:r w:rsidR="0002183C" w:rsidRPr="0030354F">
        <w:rPr>
          <w:rFonts w:ascii="Arial" w:hAnsi="Arial" w:cs="Arial"/>
          <w:sz w:val="20"/>
          <w:szCs w:val="20"/>
        </w:rPr>
        <w:t xml:space="preserve"> </w:t>
      </w:r>
      <w:r w:rsidR="00EE4F32" w:rsidRPr="0030354F">
        <w:rPr>
          <w:rFonts w:ascii="Arial" w:hAnsi="Arial" w:cs="Arial"/>
          <w:sz w:val="20"/>
          <w:szCs w:val="20"/>
        </w:rPr>
        <w:t>Despite the fact</w:t>
      </w:r>
      <w:r w:rsidR="00CF18F6" w:rsidRPr="0030354F">
        <w:rPr>
          <w:rFonts w:ascii="Arial" w:hAnsi="Arial" w:cs="Arial"/>
          <w:sz w:val="20"/>
          <w:szCs w:val="20"/>
        </w:rPr>
        <w:t xml:space="preserve"> th</w:t>
      </w:r>
      <w:r w:rsidR="00EE4F32" w:rsidRPr="0030354F">
        <w:rPr>
          <w:rFonts w:ascii="Arial" w:hAnsi="Arial" w:cs="Arial"/>
          <w:sz w:val="20"/>
          <w:szCs w:val="20"/>
        </w:rPr>
        <w:t>at th</w:t>
      </w:r>
      <w:r w:rsidR="00CF18F6" w:rsidRPr="0030354F">
        <w:rPr>
          <w:rFonts w:ascii="Arial" w:hAnsi="Arial" w:cs="Arial"/>
          <w:sz w:val="20"/>
          <w:szCs w:val="20"/>
        </w:rPr>
        <w:t xml:space="preserve">e </w:t>
      </w:r>
      <w:r w:rsidR="0002183C" w:rsidRPr="0030354F">
        <w:rPr>
          <w:rFonts w:ascii="Arial" w:hAnsi="Arial" w:cs="Arial"/>
          <w:sz w:val="20"/>
          <w:szCs w:val="20"/>
        </w:rPr>
        <w:tab/>
      </w:r>
      <w:r w:rsidR="00CF18F6" w:rsidRPr="0030354F">
        <w:rPr>
          <w:rFonts w:ascii="Arial" w:hAnsi="Arial" w:cs="Arial"/>
          <w:sz w:val="20"/>
          <w:szCs w:val="20"/>
        </w:rPr>
        <w:t>project p</w:t>
      </w:r>
      <w:r w:rsidR="0002183C" w:rsidRPr="0030354F">
        <w:rPr>
          <w:rFonts w:ascii="Arial" w:hAnsi="Arial" w:cs="Arial"/>
          <w:sz w:val="20"/>
          <w:szCs w:val="20"/>
        </w:rPr>
        <w:t xml:space="preserve">lan is not a </w:t>
      </w:r>
      <w:r w:rsidR="00A33599" w:rsidRPr="0030354F">
        <w:rPr>
          <w:rFonts w:ascii="Arial" w:hAnsi="Arial" w:cs="Arial"/>
          <w:sz w:val="20"/>
          <w:szCs w:val="20"/>
        </w:rPr>
        <w:t xml:space="preserve">statutory document </w:t>
      </w:r>
      <w:r w:rsidR="00C01616" w:rsidRPr="0030354F">
        <w:rPr>
          <w:rFonts w:ascii="Arial" w:hAnsi="Arial" w:cs="Arial"/>
          <w:sz w:val="20"/>
          <w:szCs w:val="20"/>
        </w:rPr>
        <w:t>to h</w:t>
      </w:r>
      <w:r w:rsidR="00EE4F32" w:rsidRPr="0030354F">
        <w:rPr>
          <w:rFonts w:ascii="Arial" w:hAnsi="Arial" w:cs="Arial"/>
          <w:sz w:val="20"/>
          <w:szCs w:val="20"/>
        </w:rPr>
        <w:t xml:space="preserve">old the </w:t>
      </w:r>
      <w:r w:rsidR="00872F25" w:rsidRPr="0030354F">
        <w:rPr>
          <w:rFonts w:ascii="Arial" w:hAnsi="Arial" w:cs="Arial"/>
          <w:sz w:val="20"/>
          <w:szCs w:val="20"/>
        </w:rPr>
        <w:t xml:space="preserve">executive to </w:t>
      </w:r>
      <w:r w:rsidR="00CF18F6" w:rsidRPr="0030354F">
        <w:rPr>
          <w:rFonts w:ascii="Arial" w:hAnsi="Arial" w:cs="Arial"/>
          <w:sz w:val="20"/>
          <w:szCs w:val="20"/>
        </w:rPr>
        <w:t>account, th</w:t>
      </w:r>
      <w:r w:rsidR="000E5789" w:rsidRPr="0030354F">
        <w:rPr>
          <w:rFonts w:ascii="Arial" w:hAnsi="Arial" w:cs="Arial"/>
          <w:sz w:val="20"/>
          <w:szCs w:val="20"/>
        </w:rPr>
        <w:t>e</w:t>
      </w:r>
      <w:r w:rsidR="00A33599" w:rsidRPr="0030354F">
        <w:rPr>
          <w:rFonts w:ascii="Arial" w:hAnsi="Arial" w:cs="Arial"/>
          <w:sz w:val="20"/>
          <w:szCs w:val="20"/>
        </w:rPr>
        <w:t xml:space="preserve"> </w:t>
      </w:r>
      <w:r w:rsidR="00872F25" w:rsidRPr="0030354F">
        <w:rPr>
          <w:rFonts w:ascii="Arial" w:hAnsi="Arial" w:cs="Arial"/>
          <w:sz w:val="20"/>
          <w:szCs w:val="20"/>
        </w:rPr>
        <w:t xml:space="preserve">Committee </w:t>
      </w:r>
      <w:r w:rsidR="0002183C" w:rsidRPr="0030354F">
        <w:rPr>
          <w:rFonts w:ascii="Arial" w:hAnsi="Arial" w:cs="Arial"/>
          <w:sz w:val="20"/>
          <w:szCs w:val="20"/>
        </w:rPr>
        <w:tab/>
      </w:r>
      <w:r w:rsidR="000E5789" w:rsidRPr="0030354F">
        <w:rPr>
          <w:rFonts w:ascii="Arial" w:hAnsi="Arial" w:cs="Arial"/>
          <w:sz w:val="20"/>
          <w:szCs w:val="20"/>
        </w:rPr>
        <w:t xml:space="preserve">will scrutinise </w:t>
      </w:r>
      <w:r w:rsidR="00A33599" w:rsidRPr="0030354F">
        <w:rPr>
          <w:rFonts w:ascii="Arial" w:hAnsi="Arial" w:cs="Arial"/>
          <w:sz w:val="20"/>
          <w:szCs w:val="20"/>
        </w:rPr>
        <w:tab/>
      </w:r>
      <w:r w:rsidR="000E5789" w:rsidRPr="0030354F">
        <w:rPr>
          <w:rFonts w:ascii="Arial" w:hAnsi="Arial" w:cs="Arial"/>
          <w:sz w:val="20"/>
          <w:szCs w:val="20"/>
        </w:rPr>
        <w:t xml:space="preserve">strategic </w:t>
      </w:r>
      <w:r w:rsidR="00A33599" w:rsidRPr="0030354F">
        <w:rPr>
          <w:rFonts w:ascii="Arial" w:hAnsi="Arial" w:cs="Arial"/>
          <w:sz w:val="20"/>
          <w:szCs w:val="20"/>
        </w:rPr>
        <w:t xml:space="preserve">plan and annual </w:t>
      </w:r>
      <w:r w:rsidR="00872F25" w:rsidRPr="0030354F">
        <w:rPr>
          <w:rFonts w:ascii="Arial" w:hAnsi="Arial" w:cs="Arial"/>
          <w:sz w:val="20"/>
          <w:szCs w:val="20"/>
        </w:rPr>
        <w:t xml:space="preserve">performance plan </w:t>
      </w:r>
      <w:r w:rsidR="00CF18F6" w:rsidRPr="0030354F">
        <w:rPr>
          <w:rFonts w:ascii="Arial" w:hAnsi="Arial" w:cs="Arial"/>
          <w:sz w:val="20"/>
          <w:szCs w:val="20"/>
        </w:rPr>
        <w:t xml:space="preserve">(2023/24) </w:t>
      </w:r>
      <w:r w:rsidR="00C01616" w:rsidRPr="0030354F">
        <w:rPr>
          <w:rFonts w:ascii="Arial" w:hAnsi="Arial" w:cs="Arial"/>
          <w:sz w:val="20"/>
          <w:szCs w:val="20"/>
        </w:rPr>
        <w:t xml:space="preserve">to </w:t>
      </w:r>
      <w:r w:rsidR="00CF18F6" w:rsidRPr="0030354F">
        <w:rPr>
          <w:rFonts w:ascii="Arial" w:hAnsi="Arial" w:cs="Arial"/>
          <w:sz w:val="20"/>
          <w:szCs w:val="20"/>
        </w:rPr>
        <w:t xml:space="preserve">ensure </w:t>
      </w:r>
      <w:r w:rsidR="00C01616" w:rsidRPr="0030354F">
        <w:rPr>
          <w:rFonts w:ascii="Arial" w:hAnsi="Arial" w:cs="Arial"/>
          <w:sz w:val="20"/>
          <w:szCs w:val="20"/>
        </w:rPr>
        <w:t xml:space="preserve">that this </w:t>
      </w:r>
      <w:r w:rsidR="0002183C" w:rsidRPr="0030354F">
        <w:rPr>
          <w:rFonts w:ascii="Arial" w:hAnsi="Arial" w:cs="Arial"/>
          <w:sz w:val="20"/>
          <w:szCs w:val="20"/>
        </w:rPr>
        <w:tab/>
      </w:r>
      <w:r w:rsidR="00C01616" w:rsidRPr="0030354F">
        <w:rPr>
          <w:rFonts w:ascii="Arial" w:hAnsi="Arial" w:cs="Arial"/>
          <w:sz w:val="20"/>
          <w:szCs w:val="20"/>
        </w:rPr>
        <w:t xml:space="preserve">target is </w:t>
      </w:r>
      <w:r w:rsidR="0002183C" w:rsidRPr="0030354F">
        <w:rPr>
          <w:rFonts w:ascii="Arial" w:hAnsi="Arial" w:cs="Arial"/>
          <w:sz w:val="20"/>
          <w:szCs w:val="20"/>
        </w:rPr>
        <w:t xml:space="preserve">fully </w:t>
      </w:r>
      <w:r w:rsidR="00C01616" w:rsidRPr="0030354F">
        <w:rPr>
          <w:rFonts w:ascii="Arial" w:hAnsi="Arial" w:cs="Arial"/>
          <w:sz w:val="20"/>
          <w:szCs w:val="20"/>
        </w:rPr>
        <w:t xml:space="preserve">incorporated and </w:t>
      </w:r>
      <w:r w:rsidR="000E5789" w:rsidRPr="0030354F">
        <w:rPr>
          <w:rFonts w:ascii="Arial" w:hAnsi="Arial" w:cs="Arial"/>
          <w:sz w:val="20"/>
          <w:szCs w:val="20"/>
        </w:rPr>
        <w:t>correctly</w:t>
      </w:r>
      <w:r w:rsidR="00A33599" w:rsidRPr="0030354F">
        <w:rPr>
          <w:rFonts w:ascii="Arial" w:hAnsi="Arial" w:cs="Arial"/>
          <w:sz w:val="20"/>
          <w:szCs w:val="20"/>
        </w:rPr>
        <w:t xml:space="preserve"> </w:t>
      </w:r>
      <w:r w:rsidR="00C01616" w:rsidRPr="0030354F">
        <w:rPr>
          <w:rFonts w:ascii="Arial" w:hAnsi="Arial" w:cs="Arial"/>
          <w:sz w:val="20"/>
          <w:szCs w:val="20"/>
        </w:rPr>
        <w:t>reflect</w:t>
      </w:r>
      <w:r w:rsidR="000E5789" w:rsidRPr="0030354F">
        <w:rPr>
          <w:rFonts w:ascii="Arial" w:hAnsi="Arial" w:cs="Arial"/>
          <w:sz w:val="20"/>
          <w:szCs w:val="20"/>
        </w:rPr>
        <w:t>ed</w:t>
      </w:r>
      <w:r w:rsidR="00C01616" w:rsidRPr="0030354F">
        <w:rPr>
          <w:rFonts w:ascii="Arial" w:hAnsi="Arial" w:cs="Arial"/>
          <w:sz w:val="20"/>
          <w:szCs w:val="20"/>
        </w:rPr>
        <w:t xml:space="preserve"> </w:t>
      </w:r>
      <w:r w:rsidR="00872F25" w:rsidRPr="0030354F">
        <w:rPr>
          <w:rFonts w:ascii="Arial" w:hAnsi="Arial" w:cs="Arial"/>
          <w:sz w:val="20"/>
          <w:szCs w:val="20"/>
        </w:rPr>
        <w:t xml:space="preserve">on the </w:t>
      </w:r>
      <w:r w:rsidR="00CF18F6" w:rsidRPr="0030354F">
        <w:rPr>
          <w:rFonts w:ascii="Arial" w:hAnsi="Arial" w:cs="Arial"/>
          <w:sz w:val="20"/>
          <w:szCs w:val="20"/>
        </w:rPr>
        <w:t xml:space="preserve">Department’s plans. </w:t>
      </w:r>
    </w:p>
    <w:p w:rsidR="00CF18F6" w:rsidRPr="0030354F" w:rsidRDefault="00CF18F6" w:rsidP="0030354F">
      <w:pPr>
        <w:spacing w:after="0" w:line="240" w:lineRule="auto"/>
        <w:contextualSpacing/>
        <w:rPr>
          <w:rFonts w:ascii="Arial" w:hAnsi="Arial" w:cs="Arial"/>
          <w:sz w:val="20"/>
          <w:szCs w:val="20"/>
        </w:rPr>
      </w:pPr>
      <w:r w:rsidRPr="0030354F">
        <w:rPr>
          <w:rFonts w:ascii="Arial" w:hAnsi="Arial" w:cs="Arial"/>
          <w:sz w:val="20"/>
          <w:szCs w:val="20"/>
        </w:rPr>
        <w:t>7.</w:t>
      </w:r>
      <w:r w:rsidR="0002183C" w:rsidRPr="0030354F">
        <w:rPr>
          <w:rFonts w:ascii="Arial" w:hAnsi="Arial" w:cs="Arial"/>
          <w:sz w:val="20"/>
          <w:szCs w:val="20"/>
        </w:rPr>
        <w:t>5</w:t>
      </w:r>
      <w:r w:rsidRPr="0030354F">
        <w:rPr>
          <w:rFonts w:ascii="Arial" w:hAnsi="Arial" w:cs="Arial"/>
          <w:sz w:val="20"/>
          <w:szCs w:val="20"/>
        </w:rPr>
        <w:tab/>
        <w:t xml:space="preserve">The SMME and Co-operatives Funding Policy must be accelerated and concluded </w:t>
      </w:r>
      <w:r w:rsidRPr="0030354F">
        <w:rPr>
          <w:rFonts w:ascii="Arial" w:hAnsi="Arial" w:cs="Arial"/>
          <w:sz w:val="20"/>
          <w:szCs w:val="20"/>
        </w:rPr>
        <w:tab/>
        <w:t xml:space="preserve">before 31 March 2023. This target has been on the successive annual performance plans </w:t>
      </w:r>
      <w:r w:rsidRPr="0030354F">
        <w:rPr>
          <w:rFonts w:ascii="Arial" w:hAnsi="Arial" w:cs="Arial"/>
          <w:sz w:val="20"/>
          <w:szCs w:val="20"/>
        </w:rPr>
        <w:tab/>
        <w:t xml:space="preserve">of the Department since </w:t>
      </w:r>
      <w:r w:rsidR="000E5789" w:rsidRPr="0030354F">
        <w:rPr>
          <w:rFonts w:ascii="Arial" w:hAnsi="Arial" w:cs="Arial"/>
          <w:sz w:val="20"/>
          <w:szCs w:val="20"/>
        </w:rPr>
        <w:t xml:space="preserve">the </w:t>
      </w:r>
      <w:r w:rsidRPr="0030354F">
        <w:rPr>
          <w:rFonts w:ascii="Arial" w:hAnsi="Arial" w:cs="Arial"/>
          <w:sz w:val="20"/>
          <w:szCs w:val="20"/>
        </w:rPr>
        <w:t>financial year 2020/21. It will not be in t</w:t>
      </w:r>
      <w:r w:rsidR="00680293" w:rsidRPr="0030354F">
        <w:rPr>
          <w:rFonts w:ascii="Arial" w:hAnsi="Arial" w:cs="Arial"/>
          <w:sz w:val="20"/>
          <w:szCs w:val="20"/>
        </w:rPr>
        <w:t xml:space="preserve">he interest of good </w:t>
      </w:r>
      <w:r w:rsidR="00680293" w:rsidRPr="0030354F">
        <w:rPr>
          <w:rFonts w:ascii="Arial" w:hAnsi="Arial" w:cs="Arial"/>
          <w:sz w:val="20"/>
          <w:szCs w:val="20"/>
        </w:rPr>
        <w:tab/>
        <w:t xml:space="preserve">governance </w:t>
      </w:r>
      <w:r w:rsidRPr="0030354F">
        <w:rPr>
          <w:rFonts w:ascii="Arial" w:hAnsi="Arial" w:cs="Arial"/>
          <w:sz w:val="20"/>
          <w:szCs w:val="20"/>
        </w:rPr>
        <w:t xml:space="preserve">if the Committee accepts or considers the annual performance plan </w:t>
      </w:r>
      <w:r w:rsidRPr="0030354F">
        <w:rPr>
          <w:rFonts w:ascii="Arial" w:hAnsi="Arial" w:cs="Arial"/>
          <w:sz w:val="20"/>
          <w:szCs w:val="20"/>
        </w:rPr>
        <w:tab/>
        <w:t xml:space="preserve">(2023/24) with this target </w:t>
      </w:r>
      <w:r w:rsidR="00EE4F32" w:rsidRPr="0030354F">
        <w:rPr>
          <w:rFonts w:ascii="Arial" w:hAnsi="Arial" w:cs="Arial"/>
          <w:sz w:val="20"/>
          <w:szCs w:val="20"/>
        </w:rPr>
        <w:t xml:space="preserve">still </w:t>
      </w:r>
      <w:r w:rsidR="00680293" w:rsidRPr="0030354F">
        <w:rPr>
          <w:rFonts w:ascii="Arial" w:hAnsi="Arial" w:cs="Arial"/>
          <w:sz w:val="20"/>
          <w:szCs w:val="20"/>
        </w:rPr>
        <w:t xml:space="preserve">incomplete or </w:t>
      </w:r>
      <w:r w:rsidRPr="0030354F">
        <w:rPr>
          <w:rFonts w:ascii="Arial" w:hAnsi="Arial" w:cs="Arial"/>
          <w:sz w:val="20"/>
          <w:szCs w:val="20"/>
        </w:rPr>
        <w:t>pending approval by Cabinet.</w:t>
      </w:r>
    </w:p>
    <w:p w:rsidR="0002183C" w:rsidRPr="0030354F" w:rsidRDefault="0002183C" w:rsidP="0030354F">
      <w:pPr>
        <w:spacing w:after="0" w:line="240" w:lineRule="auto"/>
        <w:contextualSpacing/>
        <w:rPr>
          <w:rFonts w:ascii="Arial" w:hAnsi="Arial" w:cs="Arial"/>
          <w:sz w:val="20"/>
          <w:szCs w:val="20"/>
        </w:rPr>
      </w:pPr>
      <w:r w:rsidRPr="0030354F">
        <w:rPr>
          <w:rFonts w:ascii="Arial" w:hAnsi="Arial" w:cs="Arial"/>
          <w:sz w:val="20"/>
          <w:szCs w:val="20"/>
        </w:rPr>
        <w:t>7.6</w:t>
      </w:r>
      <w:r w:rsidRPr="0030354F">
        <w:rPr>
          <w:rFonts w:ascii="Arial" w:hAnsi="Arial" w:cs="Arial"/>
          <w:sz w:val="20"/>
          <w:szCs w:val="20"/>
        </w:rPr>
        <w:tab/>
        <w:t>C</w:t>
      </w:r>
      <w:r w:rsidR="00CF18F6" w:rsidRPr="0030354F">
        <w:rPr>
          <w:rFonts w:ascii="Arial" w:hAnsi="Arial" w:cs="Arial"/>
          <w:sz w:val="20"/>
          <w:szCs w:val="20"/>
        </w:rPr>
        <w:t xml:space="preserve">o-operatives enterprises are struggling to access financial assistance from Sefa or the </w:t>
      </w:r>
      <w:r w:rsidR="00CF18F6" w:rsidRPr="0030354F">
        <w:rPr>
          <w:rFonts w:ascii="Arial" w:hAnsi="Arial" w:cs="Arial"/>
          <w:sz w:val="20"/>
          <w:szCs w:val="20"/>
        </w:rPr>
        <w:tab/>
        <w:t xml:space="preserve">Department. It is reported in the annual reports that there was no co-operative funded </w:t>
      </w:r>
      <w:r w:rsidR="00CF18F6" w:rsidRPr="0030354F">
        <w:rPr>
          <w:rFonts w:ascii="Arial" w:hAnsi="Arial" w:cs="Arial"/>
          <w:sz w:val="20"/>
          <w:szCs w:val="20"/>
        </w:rPr>
        <w:tab/>
        <w:t>by Sefa</w:t>
      </w:r>
      <w:r w:rsidR="00680293" w:rsidRPr="0030354F">
        <w:rPr>
          <w:rFonts w:ascii="Arial" w:hAnsi="Arial" w:cs="Arial"/>
          <w:sz w:val="20"/>
          <w:szCs w:val="20"/>
        </w:rPr>
        <w:t xml:space="preserve"> in the previous financial year. </w:t>
      </w:r>
      <w:r w:rsidR="00DF3BE2" w:rsidRPr="0030354F">
        <w:rPr>
          <w:rFonts w:ascii="Arial" w:hAnsi="Arial" w:cs="Arial"/>
          <w:sz w:val="20"/>
          <w:szCs w:val="20"/>
        </w:rPr>
        <w:t xml:space="preserve">Whereas the Department fell short of its </w:t>
      </w:r>
      <w:r w:rsidR="00DF3BE2" w:rsidRPr="0030354F">
        <w:rPr>
          <w:rFonts w:ascii="Arial" w:hAnsi="Arial" w:cs="Arial"/>
          <w:sz w:val="20"/>
          <w:szCs w:val="20"/>
        </w:rPr>
        <w:tab/>
        <w:t>expenditure target</w:t>
      </w:r>
      <w:r w:rsidR="00CF18F6" w:rsidRPr="0030354F">
        <w:rPr>
          <w:rFonts w:ascii="Arial" w:hAnsi="Arial" w:cs="Arial"/>
          <w:sz w:val="20"/>
          <w:szCs w:val="20"/>
        </w:rPr>
        <w:t xml:space="preserve"> on co-</w:t>
      </w:r>
      <w:r w:rsidR="00680293" w:rsidRPr="0030354F">
        <w:rPr>
          <w:rFonts w:ascii="Arial" w:hAnsi="Arial" w:cs="Arial"/>
          <w:sz w:val="20"/>
          <w:szCs w:val="20"/>
        </w:rPr>
        <w:t xml:space="preserve">operatives by more than R70 million. The </w:t>
      </w:r>
      <w:r w:rsidR="00CF18F6" w:rsidRPr="0030354F">
        <w:rPr>
          <w:rFonts w:ascii="Arial" w:hAnsi="Arial" w:cs="Arial"/>
          <w:sz w:val="20"/>
          <w:szCs w:val="20"/>
        </w:rPr>
        <w:t>Depart</w:t>
      </w:r>
      <w:r w:rsidR="00CF18F6" w:rsidRPr="0030354F">
        <w:rPr>
          <w:rFonts w:ascii="Arial" w:hAnsi="Arial" w:cs="Arial"/>
          <w:sz w:val="20"/>
          <w:szCs w:val="20"/>
          <w:shd w:val="clear" w:color="auto" w:fill="FFFFFF"/>
        </w:rPr>
        <w:t xml:space="preserve">ment's </w:t>
      </w:r>
      <w:r w:rsidR="00DF3BE2" w:rsidRPr="0030354F">
        <w:rPr>
          <w:rFonts w:ascii="Arial" w:hAnsi="Arial" w:cs="Arial"/>
          <w:sz w:val="20"/>
          <w:szCs w:val="20"/>
          <w:shd w:val="clear" w:color="auto" w:fill="FFFFFF"/>
        </w:rPr>
        <w:tab/>
      </w:r>
      <w:r w:rsidR="00CF18F6" w:rsidRPr="0030354F">
        <w:rPr>
          <w:rFonts w:ascii="Arial" w:hAnsi="Arial" w:cs="Arial"/>
          <w:sz w:val="20"/>
          <w:szCs w:val="20"/>
          <w:shd w:val="clear" w:color="auto" w:fill="FFFFFF"/>
        </w:rPr>
        <w:t>c</w:t>
      </w:r>
      <w:r w:rsidR="00DF3BE2" w:rsidRPr="0030354F">
        <w:rPr>
          <w:rFonts w:ascii="Arial" w:hAnsi="Arial" w:cs="Arial"/>
          <w:sz w:val="20"/>
          <w:szCs w:val="20"/>
          <w:shd w:val="clear" w:color="auto" w:fill="FFFFFF"/>
        </w:rPr>
        <w:t xml:space="preserve">atalytic and supportive role in </w:t>
      </w:r>
      <w:r w:rsidR="00CF18F6" w:rsidRPr="0030354F">
        <w:rPr>
          <w:rFonts w:ascii="Arial" w:hAnsi="Arial" w:cs="Arial"/>
          <w:sz w:val="20"/>
          <w:szCs w:val="20"/>
          <w:shd w:val="clear" w:color="auto" w:fill="FFFFFF"/>
        </w:rPr>
        <w:t>the development of </w:t>
      </w:r>
      <w:r w:rsidR="00680293" w:rsidRPr="0030354F">
        <w:rPr>
          <w:rFonts w:ascii="Arial" w:hAnsi="Arial" w:cs="Arial"/>
          <w:bCs/>
          <w:iCs/>
          <w:sz w:val="20"/>
          <w:szCs w:val="20"/>
          <w:shd w:val="clear" w:color="auto" w:fill="FFFFFF"/>
        </w:rPr>
        <w:t xml:space="preserve">co-operatives is </w:t>
      </w:r>
      <w:r w:rsidR="00CF18F6" w:rsidRPr="0030354F">
        <w:rPr>
          <w:rFonts w:ascii="Arial" w:hAnsi="Arial" w:cs="Arial"/>
          <w:bCs/>
          <w:iCs/>
          <w:sz w:val="20"/>
          <w:szCs w:val="20"/>
          <w:shd w:val="clear" w:color="auto" w:fill="FFFFFF"/>
        </w:rPr>
        <w:t>invisible</w:t>
      </w:r>
      <w:r w:rsidR="00CF18F6" w:rsidRPr="0030354F">
        <w:rPr>
          <w:rFonts w:ascii="Arial" w:hAnsi="Arial" w:cs="Arial"/>
          <w:bCs/>
          <w:i/>
          <w:iCs/>
          <w:sz w:val="20"/>
          <w:szCs w:val="20"/>
          <w:shd w:val="clear" w:color="auto" w:fill="FFFFFF"/>
        </w:rPr>
        <w:t>.</w:t>
      </w:r>
      <w:r w:rsidR="00CF18F6" w:rsidRPr="0030354F">
        <w:rPr>
          <w:rFonts w:ascii="Arial" w:hAnsi="Arial" w:cs="Arial"/>
          <w:sz w:val="20"/>
          <w:szCs w:val="20"/>
        </w:rPr>
        <w:t xml:space="preserve"> The </w:t>
      </w:r>
      <w:r w:rsidR="00DF3BE2" w:rsidRPr="0030354F">
        <w:rPr>
          <w:rFonts w:ascii="Arial" w:hAnsi="Arial" w:cs="Arial"/>
          <w:sz w:val="20"/>
          <w:szCs w:val="20"/>
        </w:rPr>
        <w:tab/>
      </w:r>
      <w:r w:rsidR="00CF18F6" w:rsidRPr="0030354F">
        <w:rPr>
          <w:rFonts w:ascii="Arial" w:hAnsi="Arial" w:cs="Arial"/>
          <w:sz w:val="20"/>
          <w:szCs w:val="20"/>
        </w:rPr>
        <w:t xml:space="preserve">Committee would like to reiterate its </w:t>
      </w:r>
      <w:r w:rsidR="00DF3BE2" w:rsidRPr="0030354F">
        <w:rPr>
          <w:rFonts w:ascii="Arial" w:hAnsi="Arial" w:cs="Arial"/>
          <w:sz w:val="20"/>
          <w:szCs w:val="20"/>
        </w:rPr>
        <w:tab/>
        <w:t xml:space="preserve">previous recommendation to the </w:t>
      </w:r>
      <w:r w:rsidR="00680293" w:rsidRPr="0030354F">
        <w:rPr>
          <w:rFonts w:ascii="Arial" w:hAnsi="Arial" w:cs="Arial"/>
          <w:sz w:val="20"/>
          <w:szCs w:val="20"/>
        </w:rPr>
        <w:t xml:space="preserve">Department to </w:t>
      </w:r>
      <w:r w:rsidR="00DF3BE2" w:rsidRPr="0030354F">
        <w:rPr>
          <w:rFonts w:ascii="Arial" w:hAnsi="Arial" w:cs="Arial"/>
          <w:sz w:val="20"/>
          <w:szCs w:val="20"/>
        </w:rPr>
        <w:tab/>
      </w:r>
      <w:r w:rsidR="00680293" w:rsidRPr="0030354F">
        <w:rPr>
          <w:rFonts w:ascii="Arial" w:hAnsi="Arial" w:cs="Arial"/>
          <w:sz w:val="20"/>
          <w:szCs w:val="20"/>
        </w:rPr>
        <w:t xml:space="preserve">reinvent the </w:t>
      </w:r>
      <w:r w:rsidR="00DF3BE2" w:rsidRPr="0030354F">
        <w:rPr>
          <w:rFonts w:ascii="Arial" w:hAnsi="Arial" w:cs="Arial"/>
          <w:sz w:val="20"/>
          <w:szCs w:val="20"/>
        </w:rPr>
        <w:t xml:space="preserve">Co-operatives </w:t>
      </w:r>
      <w:r w:rsidR="00CF18F6" w:rsidRPr="0030354F">
        <w:rPr>
          <w:rFonts w:ascii="Arial" w:hAnsi="Arial" w:cs="Arial"/>
          <w:sz w:val="20"/>
          <w:szCs w:val="20"/>
        </w:rPr>
        <w:t>Devel</w:t>
      </w:r>
      <w:r w:rsidR="00680293" w:rsidRPr="0030354F">
        <w:rPr>
          <w:rFonts w:ascii="Arial" w:hAnsi="Arial" w:cs="Arial"/>
          <w:sz w:val="20"/>
          <w:szCs w:val="20"/>
        </w:rPr>
        <w:t xml:space="preserve">opment Support Programme (CDSP) </w:t>
      </w:r>
      <w:r w:rsidR="00CF18F6" w:rsidRPr="0030354F">
        <w:rPr>
          <w:rFonts w:ascii="Arial" w:hAnsi="Arial" w:cs="Arial"/>
          <w:sz w:val="20"/>
          <w:szCs w:val="20"/>
        </w:rPr>
        <w:t xml:space="preserve">to include </w:t>
      </w:r>
      <w:r w:rsidR="00DF3BE2" w:rsidRPr="0030354F">
        <w:rPr>
          <w:rFonts w:ascii="Arial" w:hAnsi="Arial" w:cs="Arial"/>
          <w:sz w:val="20"/>
          <w:szCs w:val="20"/>
        </w:rPr>
        <w:tab/>
      </w:r>
      <w:r w:rsidR="00CF18F6" w:rsidRPr="0030354F">
        <w:rPr>
          <w:rFonts w:ascii="Arial" w:hAnsi="Arial" w:cs="Arial"/>
          <w:sz w:val="20"/>
          <w:szCs w:val="20"/>
        </w:rPr>
        <w:t xml:space="preserve">performance linked incentive </w:t>
      </w:r>
      <w:r w:rsidR="00680293" w:rsidRPr="0030354F">
        <w:rPr>
          <w:rFonts w:ascii="Arial" w:hAnsi="Arial" w:cs="Arial"/>
          <w:sz w:val="20"/>
          <w:szCs w:val="20"/>
        </w:rPr>
        <w:tab/>
      </w:r>
      <w:r w:rsidR="00CF18F6" w:rsidRPr="0030354F">
        <w:rPr>
          <w:rFonts w:ascii="Arial" w:hAnsi="Arial" w:cs="Arial"/>
          <w:sz w:val="20"/>
          <w:szCs w:val="20"/>
        </w:rPr>
        <w:t>scheme f</w:t>
      </w:r>
      <w:r w:rsidR="00680293" w:rsidRPr="0030354F">
        <w:rPr>
          <w:rFonts w:ascii="Arial" w:hAnsi="Arial" w:cs="Arial"/>
          <w:sz w:val="20"/>
          <w:szCs w:val="20"/>
        </w:rPr>
        <w:t xml:space="preserve">or co-operatives. </w:t>
      </w:r>
    </w:p>
    <w:p w:rsidR="00CF18F6" w:rsidRPr="0030354F" w:rsidRDefault="0002183C" w:rsidP="0030354F">
      <w:pPr>
        <w:spacing w:after="0" w:line="240" w:lineRule="auto"/>
        <w:contextualSpacing/>
        <w:rPr>
          <w:rFonts w:ascii="Arial" w:hAnsi="Arial" w:cs="Arial"/>
          <w:sz w:val="20"/>
          <w:szCs w:val="20"/>
        </w:rPr>
      </w:pPr>
      <w:r w:rsidRPr="0030354F">
        <w:rPr>
          <w:rFonts w:ascii="Arial" w:hAnsi="Arial" w:cs="Arial"/>
          <w:sz w:val="20"/>
          <w:szCs w:val="20"/>
        </w:rPr>
        <w:t>7.7</w:t>
      </w:r>
      <w:r w:rsidRPr="0030354F">
        <w:rPr>
          <w:rFonts w:ascii="Arial" w:hAnsi="Arial" w:cs="Arial"/>
          <w:sz w:val="20"/>
          <w:szCs w:val="20"/>
        </w:rPr>
        <w:tab/>
        <w:t xml:space="preserve">The </w:t>
      </w:r>
      <w:r w:rsidR="00DF3BE2" w:rsidRPr="0030354F">
        <w:rPr>
          <w:rFonts w:ascii="Arial" w:hAnsi="Arial" w:cs="Arial"/>
          <w:sz w:val="20"/>
          <w:szCs w:val="20"/>
        </w:rPr>
        <w:t xml:space="preserve">Department </w:t>
      </w:r>
      <w:r w:rsidRPr="0030354F">
        <w:rPr>
          <w:rFonts w:ascii="Arial" w:hAnsi="Arial" w:cs="Arial"/>
          <w:sz w:val="20"/>
          <w:szCs w:val="20"/>
        </w:rPr>
        <w:t>should develop a turnaround plan</w:t>
      </w:r>
      <w:r w:rsidR="00DF3BE2" w:rsidRPr="0030354F">
        <w:rPr>
          <w:rFonts w:ascii="Arial" w:hAnsi="Arial" w:cs="Arial"/>
          <w:sz w:val="20"/>
          <w:szCs w:val="20"/>
        </w:rPr>
        <w:t xml:space="preserve"> </w:t>
      </w:r>
      <w:r w:rsidRPr="0030354F">
        <w:rPr>
          <w:rFonts w:ascii="Arial" w:hAnsi="Arial" w:cs="Arial"/>
          <w:sz w:val="20"/>
          <w:szCs w:val="20"/>
        </w:rPr>
        <w:t xml:space="preserve">on co-operatives. The plan must </w:t>
      </w:r>
      <w:r w:rsidRPr="0030354F">
        <w:rPr>
          <w:rFonts w:ascii="Arial" w:hAnsi="Arial" w:cs="Arial"/>
          <w:sz w:val="20"/>
          <w:szCs w:val="20"/>
        </w:rPr>
        <w:tab/>
        <w:t xml:space="preserve">be incorporated into the third quarterly report (2022/23) for consideration </w:t>
      </w:r>
      <w:r w:rsidR="00DF3BE2" w:rsidRPr="0030354F">
        <w:rPr>
          <w:rFonts w:ascii="Arial" w:hAnsi="Arial" w:cs="Arial"/>
          <w:sz w:val="20"/>
          <w:szCs w:val="20"/>
        </w:rPr>
        <w:t xml:space="preserve">and </w:t>
      </w:r>
      <w:r w:rsidRPr="0030354F">
        <w:rPr>
          <w:rFonts w:ascii="Arial" w:hAnsi="Arial" w:cs="Arial"/>
          <w:sz w:val="20"/>
          <w:szCs w:val="20"/>
        </w:rPr>
        <w:tab/>
      </w:r>
      <w:r w:rsidR="00CF18F6" w:rsidRPr="0030354F">
        <w:rPr>
          <w:rFonts w:ascii="Arial" w:hAnsi="Arial" w:cs="Arial"/>
          <w:sz w:val="20"/>
          <w:szCs w:val="20"/>
        </w:rPr>
        <w:t>discussion</w:t>
      </w:r>
      <w:r w:rsidR="00680293" w:rsidRPr="0030354F">
        <w:rPr>
          <w:rFonts w:ascii="Arial" w:hAnsi="Arial" w:cs="Arial"/>
          <w:sz w:val="20"/>
          <w:szCs w:val="20"/>
        </w:rPr>
        <w:t xml:space="preserve"> </w:t>
      </w:r>
      <w:r w:rsidR="00CF18F6" w:rsidRPr="0030354F">
        <w:rPr>
          <w:rFonts w:ascii="Arial" w:hAnsi="Arial" w:cs="Arial"/>
          <w:sz w:val="20"/>
          <w:szCs w:val="20"/>
        </w:rPr>
        <w:t>with</w:t>
      </w:r>
      <w:r w:rsidR="00680293" w:rsidRPr="0030354F">
        <w:rPr>
          <w:rFonts w:ascii="Arial" w:hAnsi="Arial" w:cs="Arial"/>
          <w:sz w:val="20"/>
          <w:szCs w:val="20"/>
        </w:rPr>
        <w:t xml:space="preserve"> </w:t>
      </w:r>
      <w:r w:rsidRPr="0030354F">
        <w:rPr>
          <w:rFonts w:ascii="Arial" w:hAnsi="Arial" w:cs="Arial"/>
          <w:sz w:val="20"/>
          <w:szCs w:val="20"/>
        </w:rPr>
        <w:t xml:space="preserve">the </w:t>
      </w:r>
      <w:r w:rsidR="00CF18F6" w:rsidRPr="0030354F">
        <w:rPr>
          <w:rFonts w:ascii="Arial" w:hAnsi="Arial" w:cs="Arial"/>
          <w:sz w:val="20"/>
          <w:szCs w:val="20"/>
        </w:rPr>
        <w:t>Comm</w:t>
      </w:r>
      <w:r w:rsidR="00DF3BE2" w:rsidRPr="0030354F">
        <w:rPr>
          <w:rFonts w:ascii="Arial" w:hAnsi="Arial" w:cs="Arial"/>
          <w:sz w:val="20"/>
          <w:szCs w:val="20"/>
        </w:rPr>
        <w:t>ittee</w:t>
      </w:r>
      <w:r w:rsidR="00CF18F6" w:rsidRPr="0030354F">
        <w:rPr>
          <w:rFonts w:ascii="Arial" w:hAnsi="Arial" w:cs="Arial"/>
          <w:sz w:val="20"/>
          <w:szCs w:val="20"/>
        </w:rPr>
        <w:t>.</w:t>
      </w:r>
    </w:p>
    <w:p w:rsidR="00CF18F6" w:rsidRPr="0030354F" w:rsidRDefault="0002183C" w:rsidP="0030354F">
      <w:pPr>
        <w:spacing w:after="0" w:line="240" w:lineRule="auto"/>
        <w:contextualSpacing/>
        <w:rPr>
          <w:rFonts w:ascii="Arial" w:hAnsi="Arial" w:cs="Arial"/>
          <w:sz w:val="20"/>
          <w:szCs w:val="20"/>
        </w:rPr>
      </w:pPr>
      <w:r w:rsidRPr="0030354F">
        <w:rPr>
          <w:rFonts w:ascii="Arial" w:hAnsi="Arial" w:cs="Arial"/>
          <w:sz w:val="20"/>
          <w:szCs w:val="20"/>
        </w:rPr>
        <w:t>7.8</w:t>
      </w:r>
      <w:r w:rsidR="00CF18F6" w:rsidRPr="0030354F">
        <w:rPr>
          <w:rFonts w:ascii="Arial" w:hAnsi="Arial" w:cs="Arial"/>
          <w:sz w:val="20"/>
          <w:szCs w:val="20"/>
        </w:rPr>
        <w:tab/>
      </w:r>
      <w:r w:rsidR="008E413B" w:rsidRPr="0030354F">
        <w:rPr>
          <w:rFonts w:ascii="Arial" w:hAnsi="Arial" w:cs="Arial"/>
          <w:sz w:val="20"/>
          <w:szCs w:val="20"/>
        </w:rPr>
        <w:t xml:space="preserve">As stated before </w:t>
      </w:r>
      <w:r w:rsidR="00CF18F6" w:rsidRPr="0030354F">
        <w:rPr>
          <w:rFonts w:ascii="Arial" w:hAnsi="Arial" w:cs="Arial"/>
          <w:sz w:val="20"/>
          <w:szCs w:val="20"/>
        </w:rPr>
        <w:t>the utilisation of financia</w:t>
      </w:r>
      <w:r w:rsidR="008E413B" w:rsidRPr="0030354F">
        <w:rPr>
          <w:rFonts w:ascii="Arial" w:hAnsi="Arial" w:cs="Arial"/>
          <w:sz w:val="20"/>
          <w:szCs w:val="20"/>
        </w:rPr>
        <w:t xml:space="preserve">l intermediaries </w:t>
      </w:r>
      <w:r w:rsidR="00CF18F6" w:rsidRPr="0030354F">
        <w:rPr>
          <w:rFonts w:ascii="Arial" w:hAnsi="Arial" w:cs="Arial"/>
          <w:sz w:val="20"/>
          <w:szCs w:val="20"/>
        </w:rPr>
        <w:t xml:space="preserve">by Sefa was raised sharply </w:t>
      </w:r>
      <w:r w:rsidR="008E413B" w:rsidRPr="0030354F">
        <w:rPr>
          <w:rFonts w:ascii="Arial" w:hAnsi="Arial" w:cs="Arial"/>
          <w:sz w:val="20"/>
          <w:szCs w:val="20"/>
        </w:rPr>
        <w:tab/>
        <w:t xml:space="preserve">by members of the </w:t>
      </w:r>
      <w:r w:rsidR="00CF18F6" w:rsidRPr="0030354F">
        <w:rPr>
          <w:rFonts w:ascii="Arial" w:hAnsi="Arial" w:cs="Arial"/>
          <w:sz w:val="20"/>
          <w:szCs w:val="20"/>
        </w:rPr>
        <w:t xml:space="preserve">Committee and flagged by the Financial and Fiscal Commission </w:t>
      </w:r>
      <w:r w:rsidR="008E413B" w:rsidRPr="0030354F">
        <w:rPr>
          <w:rFonts w:ascii="Arial" w:hAnsi="Arial" w:cs="Arial"/>
          <w:sz w:val="20"/>
          <w:szCs w:val="20"/>
        </w:rPr>
        <w:tab/>
        <w:t xml:space="preserve">(FFC) in 2019 as increasing </w:t>
      </w:r>
      <w:r w:rsidR="00CF18F6" w:rsidRPr="0030354F">
        <w:rPr>
          <w:rFonts w:ascii="Arial" w:hAnsi="Arial" w:cs="Arial"/>
          <w:sz w:val="20"/>
          <w:szCs w:val="20"/>
        </w:rPr>
        <w:t xml:space="preserve">the cost of capital for struggling small enterprises. The </w:t>
      </w:r>
      <w:r w:rsidR="008E413B" w:rsidRPr="0030354F">
        <w:rPr>
          <w:rFonts w:ascii="Arial" w:hAnsi="Arial" w:cs="Arial"/>
          <w:sz w:val="20"/>
          <w:szCs w:val="20"/>
        </w:rPr>
        <w:tab/>
        <w:t xml:space="preserve">Portfolio Committee </w:t>
      </w:r>
      <w:r w:rsidR="00CF18F6" w:rsidRPr="0030354F">
        <w:rPr>
          <w:rFonts w:ascii="Arial" w:hAnsi="Arial" w:cs="Arial"/>
          <w:sz w:val="20"/>
          <w:szCs w:val="20"/>
        </w:rPr>
        <w:t xml:space="preserve">recommendation is that Sefa should consider insourcing all its </w:t>
      </w:r>
      <w:r w:rsidR="008E413B" w:rsidRPr="0030354F">
        <w:rPr>
          <w:rFonts w:ascii="Arial" w:hAnsi="Arial" w:cs="Arial"/>
          <w:sz w:val="20"/>
          <w:szCs w:val="20"/>
        </w:rPr>
        <w:tab/>
        <w:t xml:space="preserve">lending activities, </w:t>
      </w:r>
      <w:r w:rsidR="00CF18F6" w:rsidRPr="0030354F">
        <w:rPr>
          <w:rFonts w:ascii="Arial" w:hAnsi="Arial" w:cs="Arial"/>
          <w:sz w:val="20"/>
          <w:szCs w:val="20"/>
        </w:rPr>
        <w:t>alternatively</w:t>
      </w:r>
      <w:r w:rsidR="008E413B" w:rsidRPr="0030354F">
        <w:rPr>
          <w:rFonts w:ascii="Arial" w:hAnsi="Arial" w:cs="Arial"/>
          <w:sz w:val="20"/>
          <w:szCs w:val="20"/>
        </w:rPr>
        <w:t xml:space="preserve">, consider giving priority </w:t>
      </w:r>
      <w:r w:rsidR="00CF18F6" w:rsidRPr="0030354F">
        <w:rPr>
          <w:rFonts w:ascii="Arial" w:hAnsi="Arial" w:cs="Arial"/>
          <w:sz w:val="20"/>
          <w:szCs w:val="20"/>
        </w:rPr>
        <w:t xml:space="preserve">to </w:t>
      </w:r>
      <w:r w:rsidR="008E413B" w:rsidRPr="0030354F">
        <w:rPr>
          <w:rFonts w:ascii="Arial" w:hAnsi="Arial" w:cs="Arial"/>
          <w:sz w:val="20"/>
          <w:szCs w:val="20"/>
        </w:rPr>
        <w:t xml:space="preserve">financial </w:t>
      </w:r>
      <w:r w:rsidR="00CF18F6" w:rsidRPr="0030354F">
        <w:rPr>
          <w:rFonts w:ascii="Arial" w:hAnsi="Arial" w:cs="Arial"/>
          <w:sz w:val="20"/>
          <w:szCs w:val="20"/>
        </w:rPr>
        <w:t xml:space="preserve">institutions </w:t>
      </w:r>
      <w:r w:rsidR="008E413B" w:rsidRPr="0030354F">
        <w:rPr>
          <w:rFonts w:ascii="Arial" w:hAnsi="Arial" w:cs="Arial"/>
          <w:sz w:val="20"/>
          <w:szCs w:val="20"/>
        </w:rPr>
        <w:tab/>
        <w:t xml:space="preserve">registered, licensed and regulated </w:t>
      </w:r>
      <w:r w:rsidR="00CF18F6" w:rsidRPr="0030354F">
        <w:rPr>
          <w:rFonts w:ascii="Arial" w:hAnsi="Arial" w:cs="Arial"/>
          <w:sz w:val="20"/>
          <w:szCs w:val="20"/>
        </w:rPr>
        <w:t>by</w:t>
      </w:r>
      <w:r w:rsidR="008E413B" w:rsidRPr="0030354F">
        <w:rPr>
          <w:rFonts w:ascii="Arial" w:hAnsi="Arial" w:cs="Arial"/>
          <w:sz w:val="20"/>
          <w:szCs w:val="20"/>
        </w:rPr>
        <w:t xml:space="preserve"> reputable agencies of the state e.g.</w:t>
      </w:r>
      <w:r w:rsidR="00CF18F6" w:rsidRPr="0030354F">
        <w:rPr>
          <w:rFonts w:ascii="Arial" w:hAnsi="Arial" w:cs="Arial"/>
          <w:sz w:val="20"/>
          <w:szCs w:val="20"/>
        </w:rPr>
        <w:t xml:space="preserve"> Prudential </w:t>
      </w:r>
      <w:r w:rsidR="008E413B" w:rsidRPr="0030354F">
        <w:rPr>
          <w:rFonts w:ascii="Arial" w:hAnsi="Arial" w:cs="Arial"/>
          <w:sz w:val="20"/>
          <w:szCs w:val="20"/>
        </w:rPr>
        <w:tab/>
        <w:t xml:space="preserve">Authority, Financial Sector </w:t>
      </w:r>
      <w:r w:rsidR="00CF18F6" w:rsidRPr="0030354F">
        <w:rPr>
          <w:rFonts w:ascii="Arial" w:hAnsi="Arial" w:cs="Arial"/>
          <w:sz w:val="20"/>
          <w:szCs w:val="20"/>
        </w:rPr>
        <w:t xml:space="preserve">Conduct Authority, </w:t>
      </w:r>
      <w:r w:rsidR="00680293" w:rsidRPr="0030354F">
        <w:rPr>
          <w:rFonts w:ascii="Arial" w:hAnsi="Arial" w:cs="Arial"/>
          <w:sz w:val="20"/>
          <w:szCs w:val="20"/>
        </w:rPr>
        <w:t xml:space="preserve">Financial Intelligence </w:t>
      </w:r>
      <w:r w:rsidR="00CF18F6" w:rsidRPr="0030354F">
        <w:rPr>
          <w:rFonts w:ascii="Arial" w:hAnsi="Arial" w:cs="Arial"/>
          <w:sz w:val="20"/>
          <w:szCs w:val="20"/>
        </w:rPr>
        <w:t xml:space="preserve">Centre and </w:t>
      </w:r>
      <w:r w:rsidR="008E413B" w:rsidRPr="0030354F">
        <w:rPr>
          <w:rFonts w:ascii="Arial" w:hAnsi="Arial" w:cs="Arial"/>
          <w:sz w:val="20"/>
          <w:szCs w:val="20"/>
        </w:rPr>
        <w:tab/>
        <w:t xml:space="preserve">National Credit Regulator. </w:t>
      </w:r>
      <w:r w:rsidR="00680293" w:rsidRPr="0030354F">
        <w:rPr>
          <w:rFonts w:ascii="Arial" w:hAnsi="Arial" w:cs="Arial"/>
          <w:sz w:val="20"/>
          <w:szCs w:val="20"/>
        </w:rPr>
        <w:t xml:space="preserve">As the </w:t>
      </w:r>
      <w:r w:rsidR="00CF18F6" w:rsidRPr="0030354F">
        <w:rPr>
          <w:rFonts w:ascii="Arial" w:hAnsi="Arial" w:cs="Arial"/>
          <w:sz w:val="20"/>
          <w:szCs w:val="20"/>
        </w:rPr>
        <w:t>Co-operatives Banks Development Agency</w:t>
      </w:r>
      <w:r w:rsidR="00680293" w:rsidRPr="0030354F">
        <w:rPr>
          <w:rFonts w:ascii="Arial" w:hAnsi="Arial" w:cs="Arial"/>
          <w:sz w:val="20"/>
          <w:szCs w:val="20"/>
        </w:rPr>
        <w:t xml:space="preserve"> prepar</w:t>
      </w:r>
      <w:r w:rsidR="008E413B" w:rsidRPr="0030354F">
        <w:rPr>
          <w:rFonts w:ascii="Arial" w:hAnsi="Arial" w:cs="Arial"/>
          <w:sz w:val="20"/>
          <w:szCs w:val="20"/>
        </w:rPr>
        <w:t>es</w:t>
      </w:r>
      <w:r w:rsidR="00680293" w:rsidRPr="0030354F">
        <w:rPr>
          <w:rFonts w:ascii="Arial" w:hAnsi="Arial" w:cs="Arial"/>
          <w:sz w:val="20"/>
          <w:szCs w:val="20"/>
        </w:rPr>
        <w:t xml:space="preserve"> </w:t>
      </w:r>
      <w:r w:rsidR="008E413B" w:rsidRPr="0030354F">
        <w:rPr>
          <w:rFonts w:ascii="Arial" w:hAnsi="Arial" w:cs="Arial"/>
          <w:sz w:val="20"/>
          <w:szCs w:val="20"/>
        </w:rPr>
        <w:tab/>
      </w:r>
      <w:r w:rsidR="00CF18F6" w:rsidRPr="0030354F">
        <w:rPr>
          <w:rFonts w:ascii="Arial" w:hAnsi="Arial" w:cs="Arial"/>
          <w:sz w:val="20"/>
          <w:szCs w:val="20"/>
        </w:rPr>
        <w:t>to join</w:t>
      </w:r>
      <w:r w:rsidR="00680293" w:rsidRPr="0030354F">
        <w:rPr>
          <w:rFonts w:ascii="Arial" w:hAnsi="Arial" w:cs="Arial"/>
          <w:sz w:val="20"/>
          <w:szCs w:val="20"/>
        </w:rPr>
        <w:t xml:space="preserve"> </w:t>
      </w:r>
      <w:r w:rsidR="008E413B" w:rsidRPr="0030354F">
        <w:rPr>
          <w:rFonts w:ascii="Arial" w:hAnsi="Arial" w:cs="Arial"/>
          <w:sz w:val="20"/>
          <w:szCs w:val="20"/>
        </w:rPr>
        <w:t xml:space="preserve">the </w:t>
      </w:r>
      <w:r w:rsidR="00680293" w:rsidRPr="0030354F">
        <w:rPr>
          <w:rFonts w:ascii="Arial" w:hAnsi="Arial" w:cs="Arial"/>
          <w:sz w:val="20"/>
          <w:szCs w:val="20"/>
        </w:rPr>
        <w:t xml:space="preserve">Department, from </w:t>
      </w:r>
      <w:r w:rsidR="00CF18F6" w:rsidRPr="0030354F">
        <w:rPr>
          <w:rFonts w:ascii="Arial" w:hAnsi="Arial" w:cs="Arial"/>
          <w:sz w:val="20"/>
          <w:szCs w:val="20"/>
        </w:rPr>
        <w:t xml:space="preserve">the policy point of view, it is important for the Department </w:t>
      </w:r>
      <w:r w:rsidR="008E413B" w:rsidRPr="0030354F">
        <w:rPr>
          <w:rFonts w:ascii="Arial" w:hAnsi="Arial" w:cs="Arial"/>
          <w:sz w:val="20"/>
          <w:szCs w:val="20"/>
        </w:rPr>
        <w:tab/>
        <w:t xml:space="preserve">to </w:t>
      </w:r>
      <w:r w:rsidR="00680293" w:rsidRPr="0030354F">
        <w:rPr>
          <w:rFonts w:ascii="Arial" w:hAnsi="Arial" w:cs="Arial"/>
          <w:sz w:val="20"/>
          <w:szCs w:val="20"/>
        </w:rPr>
        <w:t xml:space="preserve">proactively envisage </w:t>
      </w:r>
      <w:r w:rsidR="00CF18F6" w:rsidRPr="0030354F">
        <w:rPr>
          <w:rFonts w:ascii="Arial" w:hAnsi="Arial" w:cs="Arial"/>
          <w:sz w:val="20"/>
          <w:szCs w:val="20"/>
        </w:rPr>
        <w:t xml:space="preserve">potential role of Co-operatives Banking Institutions in </w:t>
      </w:r>
      <w:r w:rsidR="008E413B" w:rsidRPr="0030354F">
        <w:rPr>
          <w:rFonts w:ascii="Arial" w:hAnsi="Arial" w:cs="Arial"/>
          <w:sz w:val="20"/>
          <w:szCs w:val="20"/>
        </w:rPr>
        <w:tab/>
        <w:t xml:space="preserve">distribution </w:t>
      </w:r>
      <w:r w:rsidR="00680293" w:rsidRPr="0030354F">
        <w:rPr>
          <w:rFonts w:ascii="Arial" w:hAnsi="Arial" w:cs="Arial"/>
          <w:sz w:val="20"/>
          <w:szCs w:val="20"/>
        </w:rPr>
        <w:t xml:space="preserve">or channelling of resources to </w:t>
      </w:r>
      <w:r w:rsidR="00CF18F6" w:rsidRPr="0030354F">
        <w:rPr>
          <w:rFonts w:ascii="Arial" w:hAnsi="Arial" w:cs="Arial"/>
          <w:sz w:val="20"/>
          <w:szCs w:val="20"/>
        </w:rPr>
        <w:t>SMME</w:t>
      </w:r>
      <w:r w:rsidR="00680293" w:rsidRPr="0030354F">
        <w:rPr>
          <w:rFonts w:ascii="Arial" w:hAnsi="Arial" w:cs="Arial"/>
          <w:sz w:val="20"/>
          <w:szCs w:val="20"/>
        </w:rPr>
        <w:t>s</w:t>
      </w:r>
      <w:r w:rsidR="00CF18F6" w:rsidRPr="0030354F">
        <w:rPr>
          <w:rFonts w:ascii="Arial" w:hAnsi="Arial" w:cs="Arial"/>
          <w:sz w:val="20"/>
          <w:szCs w:val="20"/>
        </w:rPr>
        <w:t xml:space="preserve"> and Co-operatives</w:t>
      </w:r>
      <w:r w:rsidR="00680293" w:rsidRPr="0030354F">
        <w:rPr>
          <w:rFonts w:ascii="Arial" w:hAnsi="Arial" w:cs="Arial"/>
          <w:sz w:val="20"/>
          <w:szCs w:val="20"/>
        </w:rPr>
        <w:t>.</w:t>
      </w:r>
    </w:p>
    <w:p w:rsidR="00CF18F6" w:rsidRPr="0030354F" w:rsidRDefault="008E413B" w:rsidP="0030354F">
      <w:pPr>
        <w:spacing w:after="0" w:line="240" w:lineRule="auto"/>
        <w:contextualSpacing/>
        <w:rPr>
          <w:rFonts w:ascii="Arial" w:hAnsi="Arial" w:cs="Arial"/>
          <w:sz w:val="20"/>
          <w:szCs w:val="20"/>
        </w:rPr>
      </w:pPr>
      <w:r w:rsidRPr="0030354F">
        <w:rPr>
          <w:rFonts w:ascii="Arial" w:hAnsi="Arial" w:cs="Arial"/>
          <w:sz w:val="20"/>
          <w:szCs w:val="20"/>
        </w:rPr>
        <w:t>7.9</w:t>
      </w:r>
      <w:r w:rsidRPr="0030354F">
        <w:rPr>
          <w:rFonts w:ascii="Arial" w:hAnsi="Arial" w:cs="Arial"/>
          <w:sz w:val="20"/>
          <w:szCs w:val="20"/>
        </w:rPr>
        <w:tab/>
        <w:t xml:space="preserve">The </w:t>
      </w:r>
      <w:r w:rsidR="00CF18F6" w:rsidRPr="0030354F">
        <w:rPr>
          <w:rFonts w:ascii="Arial" w:hAnsi="Arial" w:cs="Arial"/>
          <w:sz w:val="20"/>
          <w:szCs w:val="20"/>
        </w:rPr>
        <w:t>skew</w:t>
      </w:r>
      <w:r w:rsidRPr="0030354F">
        <w:rPr>
          <w:rFonts w:ascii="Arial" w:hAnsi="Arial" w:cs="Arial"/>
          <w:sz w:val="20"/>
          <w:szCs w:val="20"/>
        </w:rPr>
        <w:t>n</w:t>
      </w:r>
      <w:r w:rsidR="00CF18F6" w:rsidRPr="0030354F">
        <w:rPr>
          <w:rFonts w:ascii="Arial" w:hAnsi="Arial" w:cs="Arial"/>
          <w:sz w:val="20"/>
          <w:szCs w:val="20"/>
        </w:rPr>
        <w:t>ess in the distribution of funds and resourc</w:t>
      </w:r>
      <w:r w:rsidRPr="0030354F">
        <w:rPr>
          <w:rFonts w:ascii="Arial" w:hAnsi="Arial" w:cs="Arial"/>
          <w:sz w:val="20"/>
          <w:szCs w:val="20"/>
        </w:rPr>
        <w:t xml:space="preserve">es as observed in all </w:t>
      </w:r>
      <w:r w:rsidR="00CF18F6" w:rsidRPr="0030354F">
        <w:rPr>
          <w:rFonts w:ascii="Arial" w:hAnsi="Arial" w:cs="Arial"/>
          <w:sz w:val="20"/>
          <w:szCs w:val="20"/>
        </w:rPr>
        <w:t xml:space="preserve">annual reports </w:t>
      </w:r>
      <w:r w:rsidRPr="0030354F">
        <w:rPr>
          <w:rFonts w:ascii="Arial" w:hAnsi="Arial" w:cs="Arial"/>
          <w:sz w:val="20"/>
          <w:szCs w:val="20"/>
        </w:rPr>
        <w:tab/>
      </w:r>
      <w:r w:rsidR="00CF18F6" w:rsidRPr="0030354F">
        <w:rPr>
          <w:rFonts w:ascii="Arial" w:hAnsi="Arial" w:cs="Arial"/>
          <w:sz w:val="20"/>
          <w:szCs w:val="20"/>
        </w:rPr>
        <w:t xml:space="preserve">in favour of Gauteng, KwaZulu Natal and Western Cape </w:t>
      </w:r>
      <w:r w:rsidR="00680293" w:rsidRPr="0030354F">
        <w:rPr>
          <w:rFonts w:ascii="Arial" w:hAnsi="Arial" w:cs="Arial"/>
          <w:sz w:val="20"/>
          <w:szCs w:val="20"/>
        </w:rPr>
        <w:t>(</w:t>
      </w:r>
      <w:r w:rsidRPr="0030354F">
        <w:rPr>
          <w:rFonts w:ascii="Arial" w:hAnsi="Arial" w:cs="Arial"/>
          <w:sz w:val="20"/>
          <w:szCs w:val="20"/>
        </w:rPr>
        <w:t xml:space="preserve">provinces with </w:t>
      </w:r>
      <w:r w:rsidR="00680293" w:rsidRPr="0030354F">
        <w:rPr>
          <w:rFonts w:ascii="Arial" w:hAnsi="Arial" w:cs="Arial"/>
          <w:sz w:val="20"/>
          <w:szCs w:val="20"/>
        </w:rPr>
        <w:t xml:space="preserve">big metros) </w:t>
      </w:r>
      <w:r w:rsidR="00CF18F6" w:rsidRPr="0030354F">
        <w:rPr>
          <w:rFonts w:ascii="Arial" w:hAnsi="Arial" w:cs="Arial"/>
          <w:sz w:val="20"/>
          <w:szCs w:val="20"/>
        </w:rPr>
        <w:t xml:space="preserve">at </w:t>
      </w:r>
      <w:r w:rsidR="00680293" w:rsidRPr="0030354F">
        <w:rPr>
          <w:rFonts w:ascii="Arial" w:hAnsi="Arial" w:cs="Arial"/>
          <w:sz w:val="20"/>
          <w:szCs w:val="20"/>
        </w:rPr>
        <w:tab/>
      </w:r>
      <w:r w:rsidR="00CF18F6" w:rsidRPr="0030354F">
        <w:rPr>
          <w:rFonts w:ascii="Arial" w:hAnsi="Arial" w:cs="Arial"/>
          <w:sz w:val="20"/>
          <w:szCs w:val="20"/>
        </w:rPr>
        <w:t>the ex</w:t>
      </w:r>
      <w:r w:rsidR="00680293" w:rsidRPr="0030354F">
        <w:rPr>
          <w:rFonts w:ascii="Arial" w:hAnsi="Arial" w:cs="Arial"/>
          <w:sz w:val="20"/>
          <w:szCs w:val="20"/>
        </w:rPr>
        <w:t xml:space="preserve">clusion </w:t>
      </w:r>
      <w:r w:rsidR="00CF18F6" w:rsidRPr="0030354F">
        <w:rPr>
          <w:rFonts w:ascii="Arial" w:hAnsi="Arial" w:cs="Arial"/>
          <w:sz w:val="20"/>
          <w:szCs w:val="20"/>
        </w:rPr>
        <w:t xml:space="preserve">of other struggling </w:t>
      </w:r>
      <w:r w:rsidR="00680293" w:rsidRPr="0030354F">
        <w:rPr>
          <w:rFonts w:ascii="Arial" w:hAnsi="Arial" w:cs="Arial"/>
          <w:sz w:val="20"/>
          <w:szCs w:val="20"/>
        </w:rPr>
        <w:t xml:space="preserve">regions and/or </w:t>
      </w:r>
      <w:r w:rsidR="00CF18F6" w:rsidRPr="0030354F">
        <w:rPr>
          <w:rFonts w:ascii="Arial" w:hAnsi="Arial" w:cs="Arial"/>
          <w:sz w:val="20"/>
          <w:szCs w:val="20"/>
        </w:rPr>
        <w:t xml:space="preserve">provinces like Northern Cape, Eastern </w:t>
      </w:r>
      <w:r w:rsidR="00680293" w:rsidRPr="0030354F">
        <w:rPr>
          <w:rFonts w:ascii="Arial" w:hAnsi="Arial" w:cs="Arial"/>
          <w:sz w:val="20"/>
          <w:szCs w:val="20"/>
        </w:rPr>
        <w:tab/>
        <w:t xml:space="preserve">Cape, Free State, </w:t>
      </w:r>
      <w:r w:rsidR="00CF18F6" w:rsidRPr="0030354F">
        <w:rPr>
          <w:rFonts w:ascii="Arial" w:hAnsi="Arial" w:cs="Arial"/>
          <w:sz w:val="20"/>
          <w:szCs w:val="20"/>
        </w:rPr>
        <w:t xml:space="preserve">Mpumalanga and North West requires urgent intervention. Historical </w:t>
      </w:r>
      <w:r w:rsidR="00680293" w:rsidRPr="0030354F">
        <w:rPr>
          <w:rFonts w:ascii="Arial" w:hAnsi="Arial" w:cs="Arial"/>
          <w:sz w:val="20"/>
          <w:szCs w:val="20"/>
        </w:rPr>
        <w:tab/>
        <w:t xml:space="preserve">inequities exist between provinces as </w:t>
      </w:r>
      <w:r w:rsidR="002027F3" w:rsidRPr="0030354F">
        <w:rPr>
          <w:rFonts w:ascii="Arial" w:hAnsi="Arial" w:cs="Arial"/>
          <w:sz w:val="20"/>
          <w:szCs w:val="20"/>
        </w:rPr>
        <w:t xml:space="preserve">well as among </w:t>
      </w:r>
      <w:r w:rsidR="00CF18F6" w:rsidRPr="0030354F">
        <w:rPr>
          <w:rFonts w:ascii="Arial" w:hAnsi="Arial" w:cs="Arial"/>
          <w:sz w:val="20"/>
          <w:szCs w:val="20"/>
        </w:rPr>
        <w:t xml:space="preserve">districts within each province. </w:t>
      </w:r>
      <w:r w:rsidR="00680293" w:rsidRPr="0030354F">
        <w:rPr>
          <w:rFonts w:ascii="Arial" w:hAnsi="Arial" w:cs="Arial"/>
          <w:sz w:val="20"/>
          <w:szCs w:val="20"/>
        </w:rPr>
        <w:tab/>
        <w:t xml:space="preserve">Remedial </w:t>
      </w:r>
      <w:r w:rsidR="00CF18F6" w:rsidRPr="0030354F">
        <w:rPr>
          <w:rFonts w:ascii="Arial" w:hAnsi="Arial" w:cs="Arial"/>
          <w:sz w:val="20"/>
          <w:szCs w:val="20"/>
        </w:rPr>
        <w:t>measures</w:t>
      </w:r>
      <w:r w:rsidR="002027F3" w:rsidRPr="0030354F">
        <w:rPr>
          <w:rFonts w:ascii="Arial" w:hAnsi="Arial" w:cs="Arial"/>
          <w:sz w:val="20"/>
          <w:szCs w:val="20"/>
        </w:rPr>
        <w:t xml:space="preserve"> should </w:t>
      </w:r>
      <w:r w:rsidR="00CF18F6" w:rsidRPr="0030354F">
        <w:rPr>
          <w:rFonts w:ascii="Arial" w:hAnsi="Arial" w:cs="Arial"/>
          <w:sz w:val="20"/>
          <w:szCs w:val="20"/>
        </w:rPr>
        <w:t xml:space="preserve">include, amongst others, equitable allocation of resources </w:t>
      </w:r>
      <w:r w:rsidR="002027F3" w:rsidRPr="0030354F">
        <w:rPr>
          <w:rFonts w:ascii="Arial" w:hAnsi="Arial" w:cs="Arial"/>
          <w:sz w:val="20"/>
          <w:szCs w:val="20"/>
        </w:rPr>
        <w:tab/>
        <w:t xml:space="preserve">per </w:t>
      </w:r>
      <w:r w:rsidR="006A7ACC" w:rsidRPr="0030354F">
        <w:rPr>
          <w:rFonts w:ascii="Arial" w:hAnsi="Arial" w:cs="Arial"/>
          <w:sz w:val="20"/>
          <w:szCs w:val="20"/>
        </w:rPr>
        <w:t xml:space="preserve">provinces </w:t>
      </w:r>
      <w:r w:rsidR="00CF18F6" w:rsidRPr="0030354F">
        <w:rPr>
          <w:rFonts w:ascii="Arial" w:hAnsi="Arial" w:cs="Arial"/>
          <w:sz w:val="20"/>
          <w:szCs w:val="20"/>
        </w:rPr>
        <w:t>and districts</w:t>
      </w:r>
      <w:r w:rsidR="002027F3" w:rsidRPr="0030354F">
        <w:rPr>
          <w:rFonts w:ascii="Arial" w:hAnsi="Arial" w:cs="Arial"/>
          <w:sz w:val="20"/>
          <w:szCs w:val="20"/>
        </w:rPr>
        <w:t>. Such distribution should</w:t>
      </w:r>
      <w:r w:rsidR="00680293" w:rsidRPr="0030354F">
        <w:rPr>
          <w:rFonts w:ascii="Arial" w:hAnsi="Arial" w:cs="Arial"/>
          <w:sz w:val="20"/>
          <w:szCs w:val="20"/>
        </w:rPr>
        <w:t xml:space="preserve"> be reported on the </w:t>
      </w:r>
      <w:r w:rsidR="002027F3" w:rsidRPr="0030354F">
        <w:rPr>
          <w:rFonts w:ascii="Arial" w:hAnsi="Arial" w:cs="Arial"/>
          <w:sz w:val="20"/>
          <w:szCs w:val="20"/>
        </w:rPr>
        <w:t xml:space="preserve">quarterly </w:t>
      </w:r>
      <w:r w:rsidR="00CF18F6" w:rsidRPr="0030354F">
        <w:rPr>
          <w:rFonts w:ascii="Arial" w:hAnsi="Arial" w:cs="Arial"/>
          <w:sz w:val="20"/>
          <w:szCs w:val="20"/>
        </w:rPr>
        <w:t>and</w:t>
      </w:r>
      <w:r w:rsidR="002027F3" w:rsidRPr="0030354F">
        <w:rPr>
          <w:rFonts w:ascii="Arial" w:hAnsi="Arial" w:cs="Arial"/>
          <w:sz w:val="20"/>
          <w:szCs w:val="20"/>
        </w:rPr>
        <w:t xml:space="preserve"> </w:t>
      </w:r>
      <w:r w:rsidR="006A7ACC" w:rsidRPr="0030354F">
        <w:rPr>
          <w:rFonts w:ascii="Arial" w:hAnsi="Arial" w:cs="Arial"/>
          <w:sz w:val="20"/>
          <w:szCs w:val="20"/>
        </w:rPr>
        <w:tab/>
        <w:t xml:space="preserve">annual </w:t>
      </w:r>
      <w:r w:rsidR="002027F3" w:rsidRPr="0030354F">
        <w:rPr>
          <w:rFonts w:ascii="Arial" w:hAnsi="Arial" w:cs="Arial"/>
          <w:sz w:val="20"/>
          <w:szCs w:val="20"/>
        </w:rPr>
        <w:t>r</w:t>
      </w:r>
      <w:r w:rsidR="00CF18F6" w:rsidRPr="0030354F">
        <w:rPr>
          <w:rFonts w:ascii="Arial" w:hAnsi="Arial" w:cs="Arial"/>
          <w:sz w:val="20"/>
          <w:szCs w:val="20"/>
        </w:rPr>
        <w:t>eports</w:t>
      </w:r>
      <w:r w:rsidR="002027F3" w:rsidRPr="0030354F">
        <w:rPr>
          <w:rFonts w:ascii="Arial" w:hAnsi="Arial" w:cs="Arial"/>
          <w:sz w:val="20"/>
          <w:szCs w:val="20"/>
        </w:rPr>
        <w:t xml:space="preserve"> of the </w:t>
      </w:r>
      <w:r w:rsidRPr="0030354F">
        <w:rPr>
          <w:rFonts w:ascii="Arial" w:hAnsi="Arial" w:cs="Arial"/>
          <w:sz w:val="20"/>
          <w:szCs w:val="20"/>
        </w:rPr>
        <w:t>Department and agencies</w:t>
      </w:r>
      <w:r w:rsidR="00CF18F6" w:rsidRPr="0030354F">
        <w:rPr>
          <w:rFonts w:ascii="Arial" w:hAnsi="Arial" w:cs="Arial"/>
          <w:sz w:val="20"/>
          <w:szCs w:val="20"/>
        </w:rPr>
        <w:t xml:space="preserve">. </w:t>
      </w:r>
    </w:p>
    <w:p w:rsidR="00CF18F6" w:rsidRPr="0030354F" w:rsidRDefault="008E413B" w:rsidP="0030354F">
      <w:pPr>
        <w:spacing w:after="0" w:line="240" w:lineRule="auto"/>
        <w:contextualSpacing/>
        <w:rPr>
          <w:rFonts w:ascii="Arial" w:eastAsiaTheme="minorEastAsia" w:hAnsi="Arial" w:cs="Arial"/>
          <w:bCs/>
          <w:kern w:val="24"/>
          <w:sz w:val="20"/>
          <w:szCs w:val="20"/>
        </w:rPr>
      </w:pPr>
      <w:r w:rsidRPr="0030354F">
        <w:rPr>
          <w:rFonts w:ascii="Arial" w:hAnsi="Arial" w:cs="Arial"/>
          <w:sz w:val="20"/>
          <w:szCs w:val="20"/>
        </w:rPr>
        <w:t>7.10</w:t>
      </w:r>
      <w:r w:rsidR="00CF18F6" w:rsidRPr="0030354F">
        <w:rPr>
          <w:rFonts w:ascii="Arial" w:hAnsi="Arial" w:cs="Arial"/>
          <w:sz w:val="20"/>
          <w:szCs w:val="20"/>
        </w:rPr>
        <w:tab/>
      </w:r>
      <w:r w:rsidR="00CF18F6" w:rsidRPr="0030354F">
        <w:rPr>
          <w:rFonts w:ascii="Arial" w:eastAsiaTheme="minorEastAsia" w:hAnsi="Arial" w:cs="Arial"/>
          <w:bCs/>
          <w:kern w:val="24"/>
          <w:sz w:val="20"/>
          <w:szCs w:val="20"/>
        </w:rPr>
        <w:t>The Committee is calling on Seda and Sefa to</w:t>
      </w:r>
      <w:r w:rsidR="00DF3BE2" w:rsidRPr="0030354F">
        <w:rPr>
          <w:rFonts w:ascii="Arial" w:eastAsiaTheme="minorEastAsia" w:hAnsi="Arial" w:cs="Arial"/>
          <w:bCs/>
          <w:kern w:val="24"/>
          <w:sz w:val="20"/>
          <w:szCs w:val="20"/>
        </w:rPr>
        <w:t xml:space="preserve"> re-examine the degree to which </w:t>
      </w:r>
      <w:r w:rsidR="00CF18F6" w:rsidRPr="0030354F">
        <w:rPr>
          <w:rFonts w:ascii="Arial" w:eastAsiaTheme="minorEastAsia" w:hAnsi="Arial" w:cs="Arial"/>
          <w:bCs/>
          <w:kern w:val="24"/>
          <w:sz w:val="20"/>
          <w:szCs w:val="20"/>
        </w:rPr>
        <w:t>the</w:t>
      </w:r>
      <w:r w:rsidR="00680293" w:rsidRPr="0030354F">
        <w:rPr>
          <w:rFonts w:ascii="Arial" w:eastAsiaTheme="minorEastAsia" w:hAnsi="Arial" w:cs="Arial"/>
          <w:bCs/>
          <w:kern w:val="24"/>
          <w:sz w:val="20"/>
          <w:szCs w:val="20"/>
        </w:rPr>
        <w:t>ir</w:t>
      </w:r>
      <w:r w:rsidR="00CF18F6" w:rsidRPr="0030354F">
        <w:rPr>
          <w:rFonts w:ascii="Arial" w:eastAsiaTheme="minorEastAsia" w:hAnsi="Arial" w:cs="Arial"/>
          <w:bCs/>
          <w:kern w:val="24"/>
          <w:sz w:val="20"/>
          <w:szCs w:val="20"/>
        </w:rPr>
        <w:t xml:space="preserve"> </w:t>
      </w:r>
      <w:r w:rsidR="00CF18F6" w:rsidRPr="0030354F">
        <w:rPr>
          <w:rFonts w:ascii="Arial" w:eastAsiaTheme="minorEastAsia" w:hAnsi="Arial" w:cs="Arial"/>
          <w:bCs/>
          <w:kern w:val="24"/>
          <w:sz w:val="20"/>
          <w:szCs w:val="20"/>
        </w:rPr>
        <w:tab/>
        <w:t xml:space="preserve">services are integrated and interdependent. The Committee does not concur with the </w:t>
      </w:r>
      <w:r w:rsidR="00CF18F6" w:rsidRPr="0030354F">
        <w:rPr>
          <w:rFonts w:ascii="Arial" w:eastAsiaTheme="minorEastAsia" w:hAnsi="Arial" w:cs="Arial"/>
          <w:bCs/>
          <w:kern w:val="24"/>
          <w:sz w:val="20"/>
          <w:szCs w:val="20"/>
        </w:rPr>
        <w:tab/>
        <w:t xml:space="preserve">notion that funding applications and business plans developed by Seda maybe declined </w:t>
      </w:r>
      <w:r w:rsidR="00CF18F6" w:rsidRPr="0030354F">
        <w:rPr>
          <w:rFonts w:ascii="Arial" w:eastAsiaTheme="minorEastAsia" w:hAnsi="Arial" w:cs="Arial"/>
          <w:bCs/>
          <w:kern w:val="24"/>
          <w:sz w:val="20"/>
          <w:szCs w:val="20"/>
        </w:rPr>
        <w:tab/>
      </w:r>
      <w:r w:rsidR="00981D23" w:rsidRPr="0030354F">
        <w:rPr>
          <w:rFonts w:ascii="Arial" w:eastAsiaTheme="minorEastAsia" w:hAnsi="Arial" w:cs="Arial"/>
          <w:bCs/>
          <w:kern w:val="24"/>
          <w:sz w:val="20"/>
          <w:szCs w:val="20"/>
        </w:rPr>
        <w:t xml:space="preserve">willy-nilly and </w:t>
      </w:r>
      <w:r w:rsidR="00CF18F6" w:rsidRPr="0030354F">
        <w:rPr>
          <w:rFonts w:ascii="Arial" w:eastAsiaTheme="minorEastAsia" w:hAnsi="Arial" w:cs="Arial"/>
          <w:bCs/>
          <w:kern w:val="24"/>
          <w:sz w:val="20"/>
          <w:szCs w:val="20"/>
        </w:rPr>
        <w:t>without recourse or corrective measures</w:t>
      </w:r>
      <w:r w:rsidR="00680293" w:rsidRPr="0030354F">
        <w:rPr>
          <w:rFonts w:ascii="Arial" w:eastAsiaTheme="minorEastAsia" w:hAnsi="Arial" w:cs="Arial"/>
          <w:bCs/>
          <w:kern w:val="24"/>
          <w:sz w:val="20"/>
          <w:szCs w:val="20"/>
        </w:rPr>
        <w:t xml:space="preserve"> by Sefa</w:t>
      </w:r>
      <w:r w:rsidR="00CF18F6" w:rsidRPr="0030354F">
        <w:rPr>
          <w:rFonts w:ascii="Arial" w:eastAsiaTheme="minorEastAsia" w:hAnsi="Arial" w:cs="Arial"/>
          <w:bCs/>
          <w:kern w:val="24"/>
          <w:sz w:val="20"/>
          <w:szCs w:val="20"/>
        </w:rPr>
        <w:t>.</w:t>
      </w:r>
      <w:r w:rsidR="00680293" w:rsidRPr="0030354F">
        <w:rPr>
          <w:rFonts w:ascii="Arial" w:eastAsiaTheme="minorEastAsia" w:hAnsi="Arial" w:cs="Arial"/>
          <w:bCs/>
          <w:kern w:val="24"/>
          <w:sz w:val="20"/>
          <w:szCs w:val="20"/>
        </w:rPr>
        <w:t xml:space="preserve"> In future, all Seda and </w:t>
      </w:r>
      <w:r w:rsidR="00981D23" w:rsidRPr="0030354F">
        <w:rPr>
          <w:rFonts w:ascii="Arial" w:eastAsiaTheme="minorEastAsia" w:hAnsi="Arial" w:cs="Arial"/>
          <w:bCs/>
          <w:kern w:val="24"/>
          <w:sz w:val="20"/>
          <w:szCs w:val="20"/>
        </w:rPr>
        <w:tab/>
      </w:r>
      <w:r w:rsidR="00680293" w:rsidRPr="0030354F">
        <w:rPr>
          <w:rFonts w:ascii="Arial" w:eastAsiaTheme="minorEastAsia" w:hAnsi="Arial" w:cs="Arial"/>
          <w:bCs/>
          <w:kern w:val="24"/>
          <w:sz w:val="20"/>
          <w:szCs w:val="20"/>
        </w:rPr>
        <w:t xml:space="preserve">Sefa quarterly </w:t>
      </w:r>
      <w:r w:rsidR="00F90088" w:rsidRPr="0030354F">
        <w:rPr>
          <w:rFonts w:ascii="Arial" w:eastAsiaTheme="minorEastAsia" w:hAnsi="Arial" w:cs="Arial"/>
          <w:bCs/>
          <w:kern w:val="24"/>
          <w:sz w:val="20"/>
          <w:szCs w:val="20"/>
        </w:rPr>
        <w:tab/>
      </w:r>
      <w:r w:rsidR="00680293" w:rsidRPr="0030354F">
        <w:rPr>
          <w:rFonts w:ascii="Arial" w:eastAsiaTheme="minorEastAsia" w:hAnsi="Arial" w:cs="Arial"/>
          <w:bCs/>
          <w:kern w:val="24"/>
          <w:sz w:val="20"/>
          <w:szCs w:val="20"/>
        </w:rPr>
        <w:t>report</w:t>
      </w:r>
      <w:r w:rsidR="00F90088" w:rsidRPr="0030354F">
        <w:rPr>
          <w:rFonts w:ascii="Arial" w:eastAsiaTheme="minorEastAsia" w:hAnsi="Arial" w:cs="Arial"/>
          <w:bCs/>
          <w:kern w:val="24"/>
          <w:sz w:val="20"/>
          <w:szCs w:val="20"/>
        </w:rPr>
        <w:t>s</w:t>
      </w:r>
      <w:r w:rsidR="00680293" w:rsidRPr="0030354F">
        <w:rPr>
          <w:rFonts w:ascii="Arial" w:eastAsiaTheme="minorEastAsia" w:hAnsi="Arial" w:cs="Arial"/>
          <w:bCs/>
          <w:kern w:val="24"/>
          <w:sz w:val="20"/>
          <w:szCs w:val="20"/>
        </w:rPr>
        <w:t xml:space="preserve"> must incorporate a column </w:t>
      </w:r>
      <w:r w:rsidR="00F90088" w:rsidRPr="0030354F">
        <w:rPr>
          <w:rFonts w:ascii="Arial" w:eastAsiaTheme="minorEastAsia" w:hAnsi="Arial" w:cs="Arial"/>
          <w:bCs/>
          <w:kern w:val="24"/>
          <w:sz w:val="20"/>
          <w:szCs w:val="20"/>
        </w:rPr>
        <w:t xml:space="preserve">– </w:t>
      </w:r>
      <w:r w:rsidR="00981D23" w:rsidRPr="0030354F">
        <w:rPr>
          <w:rFonts w:ascii="Arial" w:eastAsiaTheme="minorEastAsia" w:hAnsi="Arial" w:cs="Arial"/>
          <w:bCs/>
          <w:kern w:val="24"/>
          <w:sz w:val="20"/>
          <w:szCs w:val="20"/>
        </w:rPr>
        <w:t xml:space="preserve">re: </w:t>
      </w:r>
      <w:r w:rsidR="00F90088" w:rsidRPr="0030354F">
        <w:rPr>
          <w:rFonts w:ascii="Arial" w:eastAsiaTheme="minorEastAsia" w:hAnsi="Arial" w:cs="Arial"/>
          <w:bCs/>
          <w:kern w:val="24"/>
          <w:sz w:val="20"/>
          <w:szCs w:val="20"/>
        </w:rPr>
        <w:t xml:space="preserve">status of all </w:t>
      </w:r>
      <w:r w:rsidR="00680293" w:rsidRPr="0030354F">
        <w:rPr>
          <w:rFonts w:ascii="Arial" w:eastAsiaTheme="minorEastAsia" w:hAnsi="Arial" w:cs="Arial"/>
          <w:bCs/>
          <w:kern w:val="24"/>
          <w:sz w:val="20"/>
          <w:szCs w:val="20"/>
        </w:rPr>
        <w:t xml:space="preserve">applications </w:t>
      </w:r>
      <w:r w:rsidR="00981D23" w:rsidRPr="0030354F">
        <w:rPr>
          <w:rFonts w:ascii="Arial" w:eastAsiaTheme="minorEastAsia" w:hAnsi="Arial" w:cs="Arial"/>
          <w:bCs/>
          <w:kern w:val="24"/>
          <w:sz w:val="20"/>
          <w:szCs w:val="20"/>
        </w:rPr>
        <w:tab/>
      </w:r>
      <w:r w:rsidR="00F90088" w:rsidRPr="0030354F">
        <w:rPr>
          <w:rFonts w:ascii="Arial" w:eastAsiaTheme="minorEastAsia" w:hAnsi="Arial" w:cs="Arial"/>
          <w:bCs/>
          <w:kern w:val="24"/>
          <w:sz w:val="20"/>
          <w:szCs w:val="20"/>
        </w:rPr>
        <w:t>submitted</w:t>
      </w:r>
      <w:r w:rsidR="00981D23" w:rsidRPr="0030354F">
        <w:rPr>
          <w:rFonts w:ascii="Arial" w:eastAsiaTheme="minorEastAsia" w:hAnsi="Arial" w:cs="Arial"/>
          <w:bCs/>
          <w:kern w:val="24"/>
          <w:sz w:val="20"/>
          <w:szCs w:val="20"/>
        </w:rPr>
        <w:t xml:space="preserve"> and received </w:t>
      </w:r>
      <w:r w:rsidR="00F90088" w:rsidRPr="0030354F">
        <w:rPr>
          <w:rFonts w:ascii="Arial" w:eastAsiaTheme="minorEastAsia" w:hAnsi="Arial" w:cs="Arial"/>
          <w:bCs/>
          <w:kern w:val="24"/>
          <w:sz w:val="20"/>
          <w:szCs w:val="20"/>
        </w:rPr>
        <w:t>by both agencies respectively.</w:t>
      </w:r>
    </w:p>
    <w:p w:rsidR="00CF18F6" w:rsidRPr="0030354F" w:rsidRDefault="00981D23" w:rsidP="0030354F">
      <w:pPr>
        <w:spacing w:after="0" w:line="240" w:lineRule="auto"/>
        <w:contextualSpacing/>
        <w:rPr>
          <w:rFonts w:ascii="Arial" w:hAnsi="Arial" w:cs="Arial"/>
          <w:sz w:val="20"/>
          <w:szCs w:val="20"/>
        </w:rPr>
      </w:pPr>
      <w:r w:rsidRPr="0030354F">
        <w:rPr>
          <w:rFonts w:ascii="Arial" w:eastAsiaTheme="minorEastAsia" w:hAnsi="Arial" w:cs="Arial"/>
          <w:bCs/>
          <w:kern w:val="24"/>
          <w:sz w:val="20"/>
          <w:szCs w:val="20"/>
        </w:rPr>
        <w:t>7.11</w:t>
      </w:r>
      <w:r w:rsidR="00CF18F6" w:rsidRPr="0030354F">
        <w:rPr>
          <w:rFonts w:ascii="Arial" w:eastAsiaTheme="minorEastAsia" w:hAnsi="Arial" w:cs="Arial"/>
          <w:bCs/>
          <w:kern w:val="24"/>
          <w:sz w:val="20"/>
          <w:szCs w:val="20"/>
        </w:rPr>
        <w:tab/>
      </w:r>
      <w:r w:rsidR="00CF18F6" w:rsidRPr="0030354F">
        <w:rPr>
          <w:rFonts w:ascii="Arial" w:hAnsi="Arial" w:cs="Arial"/>
          <w:sz w:val="20"/>
          <w:szCs w:val="20"/>
        </w:rPr>
        <w:t>There are areas</w:t>
      </w:r>
      <w:r w:rsidR="000C6EAB" w:rsidRPr="0030354F">
        <w:rPr>
          <w:rFonts w:ascii="Arial" w:hAnsi="Arial" w:cs="Arial"/>
          <w:sz w:val="20"/>
          <w:szCs w:val="20"/>
        </w:rPr>
        <w:t xml:space="preserve"> of underspending </w:t>
      </w:r>
      <w:r w:rsidRPr="0030354F">
        <w:rPr>
          <w:rFonts w:ascii="Arial" w:hAnsi="Arial" w:cs="Arial"/>
          <w:sz w:val="20"/>
          <w:szCs w:val="20"/>
        </w:rPr>
        <w:t xml:space="preserve">in the Department occasioned by </w:t>
      </w:r>
      <w:r w:rsidR="000C6EAB" w:rsidRPr="0030354F">
        <w:rPr>
          <w:rFonts w:ascii="Arial" w:hAnsi="Arial" w:cs="Arial"/>
          <w:sz w:val="20"/>
          <w:szCs w:val="20"/>
        </w:rPr>
        <w:t>vacant posts</w:t>
      </w:r>
      <w:r w:rsidR="00CF18F6" w:rsidRPr="0030354F">
        <w:rPr>
          <w:rFonts w:ascii="Arial" w:hAnsi="Arial" w:cs="Arial"/>
          <w:sz w:val="20"/>
          <w:szCs w:val="20"/>
        </w:rPr>
        <w:t xml:space="preserve"> i.e. </w:t>
      </w:r>
      <w:r w:rsidRPr="0030354F">
        <w:rPr>
          <w:rFonts w:ascii="Arial" w:hAnsi="Arial" w:cs="Arial"/>
          <w:sz w:val="20"/>
          <w:szCs w:val="20"/>
        </w:rPr>
        <w:tab/>
        <w:t xml:space="preserve">compensation of </w:t>
      </w:r>
      <w:r w:rsidR="00CF18F6" w:rsidRPr="0030354F">
        <w:rPr>
          <w:rFonts w:ascii="Arial" w:hAnsi="Arial" w:cs="Arial"/>
          <w:sz w:val="20"/>
          <w:szCs w:val="20"/>
        </w:rPr>
        <w:t xml:space="preserve">employees, goods and services as well as </w:t>
      </w:r>
      <w:r w:rsidR="000C6EAB" w:rsidRPr="0030354F">
        <w:rPr>
          <w:rFonts w:ascii="Arial" w:hAnsi="Arial" w:cs="Arial"/>
          <w:sz w:val="20"/>
          <w:szCs w:val="20"/>
        </w:rPr>
        <w:t xml:space="preserve">capital </w:t>
      </w:r>
      <w:r w:rsidR="00CF18F6" w:rsidRPr="0030354F">
        <w:rPr>
          <w:rFonts w:ascii="Arial" w:hAnsi="Arial" w:cs="Arial"/>
          <w:sz w:val="20"/>
          <w:szCs w:val="20"/>
        </w:rPr>
        <w:t>assets</w:t>
      </w:r>
      <w:r w:rsidRPr="0030354F">
        <w:rPr>
          <w:rFonts w:ascii="Arial" w:hAnsi="Arial" w:cs="Arial"/>
          <w:sz w:val="20"/>
          <w:szCs w:val="20"/>
        </w:rPr>
        <w:t xml:space="preserve">. </w:t>
      </w:r>
      <w:r w:rsidR="000C6EAB" w:rsidRPr="0030354F">
        <w:rPr>
          <w:rFonts w:ascii="Arial" w:hAnsi="Arial" w:cs="Arial"/>
          <w:sz w:val="20"/>
          <w:szCs w:val="20"/>
        </w:rPr>
        <w:t xml:space="preserve">The </w:t>
      </w:r>
      <w:r w:rsidRPr="0030354F">
        <w:rPr>
          <w:rFonts w:ascii="Arial" w:hAnsi="Arial" w:cs="Arial"/>
          <w:sz w:val="20"/>
          <w:szCs w:val="20"/>
        </w:rPr>
        <w:tab/>
      </w:r>
      <w:r w:rsidR="000C6EAB" w:rsidRPr="0030354F">
        <w:rPr>
          <w:rFonts w:ascii="Arial" w:hAnsi="Arial" w:cs="Arial"/>
          <w:sz w:val="20"/>
          <w:szCs w:val="20"/>
        </w:rPr>
        <w:t>Depar</w:t>
      </w:r>
      <w:r w:rsidR="00F90088" w:rsidRPr="0030354F">
        <w:rPr>
          <w:rFonts w:ascii="Arial" w:hAnsi="Arial" w:cs="Arial"/>
          <w:sz w:val="20"/>
          <w:szCs w:val="20"/>
        </w:rPr>
        <w:t xml:space="preserve">tment of Public </w:t>
      </w:r>
      <w:r w:rsidR="00F90088" w:rsidRPr="0030354F">
        <w:rPr>
          <w:rFonts w:ascii="Arial" w:hAnsi="Arial" w:cs="Arial"/>
          <w:sz w:val="20"/>
          <w:szCs w:val="20"/>
        </w:rPr>
        <w:tab/>
        <w:t xml:space="preserve">Service and Administration has approved DSBD </w:t>
      </w:r>
      <w:r w:rsidR="00DF3BE2" w:rsidRPr="0030354F">
        <w:rPr>
          <w:rFonts w:ascii="Arial" w:hAnsi="Arial" w:cs="Arial"/>
          <w:sz w:val="20"/>
          <w:szCs w:val="20"/>
        </w:rPr>
        <w:t xml:space="preserve">organisational </w:t>
      </w:r>
      <w:r w:rsidRPr="0030354F">
        <w:rPr>
          <w:rFonts w:ascii="Arial" w:hAnsi="Arial" w:cs="Arial"/>
          <w:sz w:val="20"/>
          <w:szCs w:val="20"/>
        </w:rPr>
        <w:tab/>
      </w:r>
      <w:r w:rsidR="00CF18F6" w:rsidRPr="0030354F">
        <w:rPr>
          <w:rFonts w:ascii="Arial" w:hAnsi="Arial" w:cs="Arial"/>
          <w:sz w:val="20"/>
          <w:szCs w:val="20"/>
        </w:rPr>
        <w:t>str</w:t>
      </w:r>
      <w:r w:rsidR="000C6EAB" w:rsidRPr="0030354F">
        <w:rPr>
          <w:rFonts w:ascii="Arial" w:hAnsi="Arial" w:cs="Arial"/>
          <w:sz w:val="20"/>
          <w:szCs w:val="20"/>
        </w:rPr>
        <w:t>ucture</w:t>
      </w:r>
      <w:r w:rsidR="00DF3BE2" w:rsidRPr="0030354F">
        <w:rPr>
          <w:rFonts w:ascii="Arial" w:hAnsi="Arial" w:cs="Arial"/>
          <w:sz w:val="20"/>
          <w:szCs w:val="20"/>
        </w:rPr>
        <w:t xml:space="preserve">. </w:t>
      </w:r>
      <w:r w:rsidR="00F90088" w:rsidRPr="0030354F">
        <w:rPr>
          <w:rFonts w:ascii="Arial" w:hAnsi="Arial" w:cs="Arial"/>
          <w:sz w:val="20"/>
          <w:szCs w:val="20"/>
        </w:rPr>
        <w:t>The</w:t>
      </w:r>
      <w:r w:rsidRPr="0030354F">
        <w:rPr>
          <w:rFonts w:ascii="Arial" w:hAnsi="Arial" w:cs="Arial"/>
          <w:sz w:val="20"/>
          <w:szCs w:val="20"/>
        </w:rPr>
        <w:t xml:space="preserve"> </w:t>
      </w:r>
      <w:r w:rsidR="000C6EAB" w:rsidRPr="0030354F">
        <w:rPr>
          <w:rFonts w:ascii="Arial" w:hAnsi="Arial" w:cs="Arial"/>
          <w:sz w:val="20"/>
          <w:szCs w:val="20"/>
        </w:rPr>
        <w:t xml:space="preserve">Committee is calling on the </w:t>
      </w:r>
      <w:r w:rsidR="00CF18F6" w:rsidRPr="0030354F">
        <w:rPr>
          <w:rFonts w:ascii="Arial" w:hAnsi="Arial" w:cs="Arial"/>
          <w:sz w:val="20"/>
          <w:szCs w:val="20"/>
        </w:rPr>
        <w:t xml:space="preserve">Department to act swiftly in filling vacant </w:t>
      </w:r>
      <w:r w:rsidRPr="0030354F">
        <w:rPr>
          <w:rFonts w:ascii="Arial" w:hAnsi="Arial" w:cs="Arial"/>
          <w:sz w:val="20"/>
          <w:szCs w:val="20"/>
        </w:rPr>
        <w:tab/>
        <w:t xml:space="preserve">posts particularly </w:t>
      </w:r>
      <w:r w:rsidR="000C6EAB" w:rsidRPr="0030354F">
        <w:rPr>
          <w:rFonts w:ascii="Arial" w:hAnsi="Arial" w:cs="Arial"/>
          <w:sz w:val="20"/>
          <w:szCs w:val="20"/>
        </w:rPr>
        <w:t xml:space="preserve">at senior </w:t>
      </w:r>
      <w:r w:rsidR="00CF18F6" w:rsidRPr="0030354F">
        <w:rPr>
          <w:rFonts w:ascii="Arial" w:hAnsi="Arial" w:cs="Arial"/>
          <w:sz w:val="20"/>
          <w:szCs w:val="20"/>
        </w:rPr>
        <w:t xml:space="preserve">management level. The Committee will track progress </w:t>
      </w:r>
      <w:r w:rsidRPr="0030354F">
        <w:rPr>
          <w:rFonts w:ascii="Arial" w:hAnsi="Arial" w:cs="Arial"/>
          <w:sz w:val="20"/>
          <w:szCs w:val="20"/>
        </w:rPr>
        <w:tab/>
        <w:t xml:space="preserve">through monitoring </w:t>
      </w:r>
      <w:r w:rsidR="00CF18F6" w:rsidRPr="0030354F">
        <w:rPr>
          <w:rFonts w:ascii="Arial" w:hAnsi="Arial" w:cs="Arial"/>
          <w:sz w:val="20"/>
          <w:szCs w:val="20"/>
        </w:rPr>
        <w:t>quar</w:t>
      </w:r>
      <w:r w:rsidR="000C6EAB" w:rsidRPr="0030354F">
        <w:rPr>
          <w:rFonts w:ascii="Arial" w:hAnsi="Arial" w:cs="Arial"/>
          <w:sz w:val="20"/>
          <w:szCs w:val="20"/>
        </w:rPr>
        <w:t xml:space="preserve">terly </w:t>
      </w:r>
      <w:r w:rsidR="00CF18F6" w:rsidRPr="0030354F">
        <w:rPr>
          <w:rFonts w:ascii="Arial" w:hAnsi="Arial" w:cs="Arial"/>
          <w:sz w:val="20"/>
          <w:szCs w:val="20"/>
        </w:rPr>
        <w:t>reports of the Department.</w:t>
      </w:r>
    </w:p>
    <w:p w:rsidR="00B026E2" w:rsidRPr="0030354F" w:rsidRDefault="00981D23" w:rsidP="0030354F">
      <w:pPr>
        <w:spacing w:after="0" w:line="240" w:lineRule="auto"/>
        <w:contextualSpacing/>
        <w:rPr>
          <w:rFonts w:ascii="Arial" w:hAnsi="Arial" w:cs="Arial"/>
          <w:sz w:val="20"/>
          <w:szCs w:val="20"/>
        </w:rPr>
      </w:pPr>
      <w:r w:rsidRPr="0030354F">
        <w:rPr>
          <w:rFonts w:ascii="Arial" w:hAnsi="Arial" w:cs="Arial"/>
          <w:sz w:val="20"/>
          <w:szCs w:val="20"/>
        </w:rPr>
        <w:t>7.12</w:t>
      </w:r>
      <w:r w:rsidR="00F90088" w:rsidRPr="0030354F">
        <w:rPr>
          <w:rFonts w:ascii="Arial" w:hAnsi="Arial" w:cs="Arial"/>
          <w:sz w:val="20"/>
          <w:szCs w:val="20"/>
        </w:rPr>
        <w:tab/>
        <w:t xml:space="preserve">A high </w:t>
      </w:r>
      <w:r w:rsidRPr="0030354F">
        <w:rPr>
          <w:rFonts w:ascii="Arial" w:hAnsi="Arial" w:cs="Arial"/>
          <w:sz w:val="20"/>
          <w:szCs w:val="20"/>
        </w:rPr>
        <w:t xml:space="preserve">staff </w:t>
      </w:r>
      <w:r w:rsidR="00F90088" w:rsidRPr="0030354F">
        <w:rPr>
          <w:rFonts w:ascii="Arial" w:hAnsi="Arial" w:cs="Arial"/>
          <w:sz w:val="20"/>
          <w:szCs w:val="20"/>
        </w:rPr>
        <w:t>turnover at Seda and Sefa is posing a risk to service delivery</w:t>
      </w:r>
      <w:r w:rsidR="00037C1A" w:rsidRPr="0030354F">
        <w:rPr>
          <w:rFonts w:ascii="Arial" w:hAnsi="Arial" w:cs="Arial"/>
          <w:sz w:val="20"/>
          <w:szCs w:val="20"/>
        </w:rPr>
        <w:t xml:space="preserve"> </w:t>
      </w:r>
      <w:r w:rsidR="00037C1A" w:rsidRPr="0030354F">
        <w:rPr>
          <w:rFonts w:ascii="Arial" w:hAnsi="Arial" w:cs="Arial"/>
          <w:sz w:val="20"/>
          <w:szCs w:val="20"/>
        </w:rPr>
        <w:tab/>
        <w:t>environment</w:t>
      </w:r>
      <w:r w:rsidR="00B026E2" w:rsidRPr="0030354F">
        <w:rPr>
          <w:rFonts w:ascii="Arial" w:hAnsi="Arial" w:cs="Arial"/>
          <w:sz w:val="20"/>
          <w:szCs w:val="20"/>
        </w:rPr>
        <w:t xml:space="preserve">. </w:t>
      </w:r>
      <w:r w:rsidRPr="0030354F">
        <w:rPr>
          <w:rFonts w:ascii="Arial" w:hAnsi="Arial" w:cs="Arial"/>
          <w:sz w:val="20"/>
          <w:szCs w:val="20"/>
        </w:rPr>
        <w:t xml:space="preserve">The Committee is of the viewpoint that 20-month extension </w:t>
      </w:r>
      <w:r w:rsidR="00B026E2" w:rsidRPr="0030354F">
        <w:rPr>
          <w:rFonts w:ascii="Arial" w:hAnsi="Arial" w:cs="Arial"/>
          <w:sz w:val="20"/>
          <w:szCs w:val="20"/>
        </w:rPr>
        <w:t xml:space="preserve">granted by </w:t>
      </w:r>
      <w:r w:rsidR="00B026E2" w:rsidRPr="0030354F">
        <w:rPr>
          <w:rFonts w:ascii="Arial" w:hAnsi="Arial" w:cs="Arial"/>
          <w:sz w:val="20"/>
          <w:szCs w:val="20"/>
        </w:rPr>
        <w:tab/>
      </w:r>
      <w:r w:rsidRPr="0030354F">
        <w:rPr>
          <w:rFonts w:ascii="Arial" w:hAnsi="Arial" w:cs="Arial"/>
          <w:sz w:val="20"/>
          <w:szCs w:val="20"/>
        </w:rPr>
        <w:t xml:space="preserve">Cabinet </w:t>
      </w:r>
      <w:r w:rsidR="00B026E2" w:rsidRPr="0030354F">
        <w:rPr>
          <w:rFonts w:ascii="Arial" w:hAnsi="Arial" w:cs="Arial"/>
          <w:sz w:val="20"/>
          <w:szCs w:val="20"/>
        </w:rPr>
        <w:t>was i</w:t>
      </w:r>
      <w:r w:rsidRPr="0030354F">
        <w:rPr>
          <w:rFonts w:ascii="Arial" w:hAnsi="Arial" w:cs="Arial"/>
          <w:sz w:val="20"/>
          <w:szCs w:val="20"/>
        </w:rPr>
        <w:t>ndicative</w:t>
      </w:r>
      <w:r w:rsidR="00B026E2" w:rsidRPr="0030354F">
        <w:rPr>
          <w:rFonts w:ascii="Arial" w:hAnsi="Arial" w:cs="Arial"/>
          <w:sz w:val="20"/>
          <w:szCs w:val="20"/>
        </w:rPr>
        <w:t xml:space="preserve"> and not cast in stone.</w:t>
      </w:r>
      <w:r w:rsidRPr="0030354F">
        <w:rPr>
          <w:rFonts w:ascii="Arial" w:hAnsi="Arial" w:cs="Arial"/>
          <w:sz w:val="20"/>
          <w:szCs w:val="20"/>
        </w:rPr>
        <w:t xml:space="preserve"> T</w:t>
      </w:r>
      <w:r w:rsidR="00B026E2" w:rsidRPr="0030354F">
        <w:rPr>
          <w:rFonts w:ascii="Arial" w:hAnsi="Arial" w:cs="Arial"/>
          <w:sz w:val="20"/>
          <w:szCs w:val="20"/>
        </w:rPr>
        <w:t xml:space="preserve">here is a </w:t>
      </w:r>
      <w:r w:rsidRPr="0030354F">
        <w:rPr>
          <w:rFonts w:ascii="Arial" w:hAnsi="Arial" w:cs="Arial"/>
          <w:sz w:val="20"/>
          <w:szCs w:val="20"/>
        </w:rPr>
        <w:t xml:space="preserve">lot that can be </w:t>
      </w:r>
      <w:r w:rsidR="00B026E2" w:rsidRPr="0030354F">
        <w:rPr>
          <w:rFonts w:ascii="Arial" w:hAnsi="Arial" w:cs="Arial"/>
          <w:sz w:val="20"/>
          <w:szCs w:val="20"/>
        </w:rPr>
        <w:t>achieved</w:t>
      </w:r>
      <w:r w:rsidRPr="0030354F">
        <w:rPr>
          <w:rFonts w:ascii="Arial" w:hAnsi="Arial" w:cs="Arial"/>
          <w:sz w:val="20"/>
          <w:szCs w:val="20"/>
        </w:rPr>
        <w:t xml:space="preserve"> within </w:t>
      </w:r>
      <w:r w:rsidR="00B026E2" w:rsidRPr="0030354F">
        <w:rPr>
          <w:rFonts w:ascii="Arial" w:hAnsi="Arial" w:cs="Arial"/>
          <w:sz w:val="20"/>
          <w:szCs w:val="20"/>
        </w:rPr>
        <w:tab/>
        <w:t xml:space="preserve">a reasonable </w:t>
      </w:r>
      <w:r w:rsidRPr="0030354F">
        <w:rPr>
          <w:rFonts w:ascii="Arial" w:hAnsi="Arial" w:cs="Arial"/>
          <w:sz w:val="20"/>
          <w:szCs w:val="20"/>
        </w:rPr>
        <w:t>period of time to ensure that entities</w:t>
      </w:r>
      <w:r w:rsidR="00B026E2" w:rsidRPr="0030354F">
        <w:rPr>
          <w:rFonts w:ascii="Arial" w:hAnsi="Arial" w:cs="Arial"/>
          <w:sz w:val="20"/>
          <w:szCs w:val="20"/>
        </w:rPr>
        <w:t xml:space="preserve"> are stabilised. The Committee wishes </w:t>
      </w:r>
      <w:r w:rsidR="00B026E2" w:rsidRPr="0030354F">
        <w:rPr>
          <w:rFonts w:ascii="Arial" w:hAnsi="Arial" w:cs="Arial"/>
          <w:sz w:val="20"/>
          <w:szCs w:val="20"/>
        </w:rPr>
        <w:tab/>
        <w:t xml:space="preserve">to invite the Department and entities to conduct an analysis and develop a mitigating </w:t>
      </w:r>
      <w:r w:rsidR="00B026E2" w:rsidRPr="0030354F">
        <w:rPr>
          <w:rFonts w:ascii="Arial" w:hAnsi="Arial" w:cs="Arial"/>
          <w:sz w:val="20"/>
          <w:szCs w:val="20"/>
        </w:rPr>
        <w:tab/>
        <w:t xml:space="preserve">strategy for consideration by the Committee before 31 January 2023. </w:t>
      </w:r>
    </w:p>
    <w:p w:rsidR="00B026E2" w:rsidRPr="0030354F" w:rsidRDefault="00B026E2" w:rsidP="0030354F">
      <w:pPr>
        <w:spacing w:after="0" w:line="240" w:lineRule="auto"/>
        <w:contextualSpacing/>
        <w:rPr>
          <w:rFonts w:ascii="Arial" w:eastAsia="Calibri" w:hAnsi="Arial" w:cs="Arial"/>
          <w:sz w:val="20"/>
          <w:szCs w:val="20"/>
          <w:lang w:eastAsia="en-ZA"/>
        </w:rPr>
      </w:pPr>
      <w:r w:rsidRPr="0030354F">
        <w:rPr>
          <w:rFonts w:ascii="Arial" w:hAnsi="Arial" w:cs="Arial"/>
          <w:sz w:val="20"/>
          <w:szCs w:val="20"/>
        </w:rPr>
        <w:t>7.13</w:t>
      </w:r>
      <w:r w:rsidRPr="0030354F">
        <w:rPr>
          <w:rFonts w:ascii="Arial" w:hAnsi="Arial" w:cs="Arial"/>
          <w:sz w:val="20"/>
          <w:szCs w:val="20"/>
        </w:rPr>
        <w:tab/>
        <w:t xml:space="preserve">The Committee is on record and wishes to reiterate its initial recommendation when the </w:t>
      </w:r>
      <w:r w:rsidRPr="0030354F">
        <w:rPr>
          <w:rFonts w:ascii="Arial" w:hAnsi="Arial" w:cs="Arial"/>
          <w:sz w:val="20"/>
          <w:szCs w:val="20"/>
        </w:rPr>
        <w:tab/>
        <w:t xml:space="preserve">merger was first introduced that </w:t>
      </w:r>
      <w:r w:rsidRPr="0030354F">
        <w:rPr>
          <w:rFonts w:ascii="Arial" w:eastAsia="Calibri" w:hAnsi="Arial" w:cs="Arial"/>
          <w:sz w:val="20"/>
          <w:szCs w:val="20"/>
          <w:lang w:eastAsia="en-ZA"/>
        </w:rPr>
        <w:t xml:space="preserve">consolidation of the three agencies, should if possible, </w:t>
      </w:r>
      <w:r w:rsidRPr="0030354F">
        <w:rPr>
          <w:rFonts w:ascii="Arial" w:eastAsia="Calibri" w:hAnsi="Arial" w:cs="Arial"/>
          <w:sz w:val="20"/>
          <w:szCs w:val="20"/>
          <w:lang w:eastAsia="en-ZA"/>
        </w:rPr>
        <w:tab/>
        <w:t xml:space="preserve">be assumed separately from regular operations of the entities as all three of them are </w:t>
      </w:r>
      <w:r w:rsidRPr="0030354F">
        <w:rPr>
          <w:rFonts w:ascii="Arial" w:eastAsia="Calibri" w:hAnsi="Arial" w:cs="Arial"/>
          <w:sz w:val="20"/>
          <w:szCs w:val="20"/>
          <w:lang w:eastAsia="en-ZA"/>
        </w:rPr>
        <w:tab/>
        <w:t>governed by different legislations that may</w:t>
      </w:r>
      <w:r w:rsidR="003E47A7" w:rsidRPr="0030354F">
        <w:rPr>
          <w:rFonts w:ascii="Arial" w:eastAsia="Calibri" w:hAnsi="Arial" w:cs="Arial"/>
          <w:sz w:val="20"/>
          <w:szCs w:val="20"/>
          <w:lang w:eastAsia="en-ZA"/>
        </w:rPr>
        <w:t xml:space="preserve"> take longer to process. The </w:t>
      </w:r>
      <w:r w:rsidRPr="0030354F">
        <w:rPr>
          <w:rFonts w:ascii="Arial" w:eastAsia="Calibri" w:hAnsi="Arial" w:cs="Arial"/>
          <w:sz w:val="20"/>
          <w:szCs w:val="20"/>
          <w:lang w:eastAsia="en-ZA"/>
        </w:rPr>
        <w:t xml:space="preserve">Minister </w:t>
      </w:r>
      <w:r w:rsidR="003E47A7" w:rsidRPr="0030354F">
        <w:rPr>
          <w:rFonts w:ascii="Arial" w:eastAsia="Calibri" w:hAnsi="Arial" w:cs="Arial"/>
          <w:sz w:val="20"/>
          <w:szCs w:val="20"/>
          <w:lang w:eastAsia="en-ZA"/>
        </w:rPr>
        <w:t xml:space="preserve">should </w:t>
      </w:r>
      <w:r w:rsidR="003E47A7" w:rsidRPr="0030354F">
        <w:rPr>
          <w:rFonts w:ascii="Arial" w:eastAsia="Calibri" w:hAnsi="Arial" w:cs="Arial"/>
          <w:sz w:val="20"/>
          <w:szCs w:val="20"/>
          <w:lang w:eastAsia="en-ZA"/>
        </w:rPr>
        <w:tab/>
        <w:t xml:space="preserve">ensure that </w:t>
      </w:r>
      <w:r w:rsidRPr="0030354F">
        <w:rPr>
          <w:rFonts w:ascii="Arial" w:eastAsia="Calibri" w:hAnsi="Arial" w:cs="Arial"/>
          <w:sz w:val="20"/>
          <w:szCs w:val="20"/>
          <w:lang w:eastAsia="en-ZA"/>
        </w:rPr>
        <w:t xml:space="preserve">proper </w:t>
      </w:r>
      <w:r w:rsidRPr="0030354F">
        <w:rPr>
          <w:rFonts w:ascii="Arial" w:eastAsia="Calibri" w:hAnsi="Arial" w:cs="Arial"/>
          <w:sz w:val="20"/>
          <w:szCs w:val="20"/>
          <w:lang w:eastAsia="en-ZA"/>
        </w:rPr>
        <w:lastRenderedPageBreak/>
        <w:t xml:space="preserve">coordination between the entities </w:t>
      </w:r>
      <w:r w:rsidR="003E47A7" w:rsidRPr="0030354F">
        <w:rPr>
          <w:rFonts w:ascii="Arial" w:eastAsia="Calibri" w:hAnsi="Arial" w:cs="Arial"/>
          <w:sz w:val="20"/>
          <w:szCs w:val="20"/>
          <w:lang w:eastAsia="en-ZA"/>
        </w:rPr>
        <w:t xml:space="preserve">and National Treasury </w:t>
      </w:r>
      <w:r w:rsidRPr="0030354F">
        <w:rPr>
          <w:rFonts w:ascii="Arial" w:eastAsia="Calibri" w:hAnsi="Arial" w:cs="Arial"/>
          <w:sz w:val="20"/>
          <w:szCs w:val="20"/>
          <w:lang w:eastAsia="en-ZA"/>
        </w:rPr>
        <w:t xml:space="preserve">is monitored </w:t>
      </w:r>
      <w:r w:rsidRPr="0030354F">
        <w:rPr>
          <w:rFonts w:ascii="Arial" w:eastAsia="Calibri" w:hAnsi="Arial" w:cs="Arial"/>
          <w:sz w:val="20"/>
          <w:szCs w:val="20"/>
          <w:lang w:eastAsia="en-ZA"/>
        </w:rPr>
        <w:tab/>
        <w:t>to</w:t>
      </w:r>
      <w:r w:rsidR="003E47A7" w:rsidRPr="0030354F">
        <w:rPr>
          <w:rFonts w:ascii="Arial" w:eastAsia="Calibri" w:hAnsi="Arial" w:cs="Arial"/>
          <w:sz w:val="20"/>
          <w:szCs w:val="20"/>
          <w:lang w:eastAsia="en-ZA"/>
        </w:rPr>
        <w:t xml:space="preserve"> guarantee that the </w:t>
      </w:r>
      <w:r w:rsidRPr="0030354F">
        <w:rPr>
          <w:rFonts w:ascii="Arial" w:eastAsia="Calibri" w:hAnsi="Arial" w:cs="Arial"/>
          <w:sz w:val="20"/>
          <w:szCs w:val="20"/>
          <w:lang w:eastAsia="en-ZA"/>
        </w:rPr>
        <w:t xml:space="preserve">mandate of the Portfolio </w:t>
      </w:r>
      <w:r w:rsidR="003E47A7" w:rsidRPr="0030354F">
        <w:rPr>
          <w:rFonts w:ascii="Arial" w:eastAsia="Calibri" w:hAnsi="Arial" w:cs="Arial"/>
          <w:sz w:val="20"/>
          <w:szCs w:val="20"/>
          <w:lang w:eastAsia="en-ZA"/>
        </w:rPr>
        <w:t>is achieved.</w:t>
      </w:r>
    </w:p>
    <w:p w:rsidR="00CF18F6" w:rsidRPr="0030354F" w:rsidRDefault="003E47A7" w:rsidP="0030354F">
      <w:pPr>
        <w:spacing w:after="0" w:line="240" w:lineRule="auto"/>
        <w:contextualSpacing/>
        <w:rPr>
          <w:rFonts w:ascii="Arial" w:eastAsiaTheme="minorEastAsia" w:hAnsi="Arial" w:cs="Arial"/>
          <w:bCs/>
          <w:kern w:val="24"/>
          <w:sz w:val="20"/>
          <w:szCs w:val="20"/>
        </w:rPr>
      </w:pPr>
      <w:r w:rsidRPr="0030354F">
        <w:rPr>
          <w:rFonts w:ascii="Arial" w:eastAsiaTheme="minorEastAsia" w:hAnsi="Arial" w:cs="Arial"/>
          <w:bCs/>
          <w:kern w:val="24"/>
          <w:sz w:val="20"/>
          <w:szCs w:val="20"/>
        </w:rPr>
        <w:t>7.14</w:t>
      </w:r>
      <w:r w:rsidR="00CF18F6" w:rsidRPr="0030354F">
        <w:rPr>
          <w:rFonts w:ascii="Arial" w:eastAsiaTheme="minorEastAsia" w:hAnsi="Arial" w:cs="Arial"/>
          <w:bCs/>
          <w:kern w:val="24"/>
          <w:sz w:val="20"/>
          <w:szCs w:val="20"/>
        </w:rPr>
        <w:tab/>
      </w:r>
      <w:r w:rsidR="00CF18F6" w:rsidRPr="0030354F">
        <w:rPr>
          <w:rFonts w:ascii="Arial" w:hAnsi="Arial" w:cs="Arial"/>
          <w:sz w:val="20"/>
          <w:szCs w:val="20"/>
        </w:rPr>
        <w:t>The Portfolio Committee noted Auditor General remarks with respect to absence of</w:t>
      </w:r>
      <w:r w:rsidR="00CF18F6" w:rsidRPr="0030354F">
        <w:rPr>
          <w:rFonts w:ascii="Arial" w:hAnsi="Arial" w:cs="Arial"/>
          <w:sz w:val="20"/>
          <w:szCs w:val="20"/>
          <w:lang w:val="en-US"/>
        </w:rPr>
        <w:t xml:space="preserve"> </w:t>
      </w:r>
      <w:r w:rsidR="00CF18F6" w:rsidRPr="0030354F">
        <w:rPr>
          <w:rFonts w:ascii="Arial" w:hAnsi="Arial" w:cs="Arial"/>
          <w:sz w:val="20"/>
          <w:szCs w:val="20"/>
          <w:lang w:val="en-US"/>
        </w:rPr>
        <w:tab/>
        <w:t>goo</w:t>
      </w:r>
      <w:r w:rsidR="00CF18F6" w:rsidRPr="0030354F">
        <w:rPr>
          <w:rFonts w:ascii="Arial" w:hAnsi="Arial" w:cs="Arial"/>
          <w:sz w:val="20"/>
          <w:szCs w:val="20"/>
        </w:rPr>
        <w:t xml:space="preserve">d planning, </w:t>
      </w:r>
      <w:r w:rsidR="000C6EAB" w:rsidRPr="0030354F">
        <w:rPr>
          <w:rFonts w:ascii="Arial" w:hAnsi="Arial" w:cs="Arial"/>
          <w:sz w:val="20"/>
          <w:szCs w:val="20"/>
        </w:rPr>
        <w:t xml:space="preserve">in-year performance management, </w:t>
      </w:r>
      <w:r w:rsidR="00CF18F6" w:rsidRPr="0030354F">
        <w:rPr>
          <w:rFonts w:ascii="Arial" w:hAnsi="Arial" w:cs="Arial"/>
          <w:sz w:val="20"/>
          <w:szCs w:val="20"/>
          <w:lang w:val="en-US"/>
        </w:rPr>
        <w:t>m</w:t>
      </w:r>
      <w:r w:rsidR="000C6EAB" w:rsidRPr="0030354F">
        <w:rPr>
          <w:rFonts w:ascii="Arial" w:hAnsi="Arial" w:cs="Arial"/>
          <w:sz w:val="20"/>
          <w:szCs w:val="20"/>
          <w:lang w:val="en-US"/>
        </w:rPr>
        <w:t xml:space="preserve">onitoring and </w:t>
      </w:r>
      <w:r w:rsidR="00CF18F6" w:rsidRPr="0030354F">
        <w:rPr>
          <w:rFonts w:ascii="Arial" w:hAnsi="Arial" w:cs="Arial"/>
          <w:sz w:val="20"/>
          <w:szCs w:val="20"/>
          <w:lang w:val="en-US"/>
        </w:rPr>
        <w:t>reporting</w:t>
      </w:r>
      <w:r w:rsidR="000C6EAB" w:rsidRPr="0030354F">
        <w:rPr>
          <w:rFonts w:ascii="Arial" w:hAnsi="Arial" w:cs="Arial"/>
          <w:sz w:val="20"/>
          <w:szCs w:val="20"/>
        </w:rPr>
        <w:t xml:space="preserve">. </w:t>
      </w:r>
      <w:r w:rsidR="00CF18F6" w:rsidRPr="0030354F">
        <w:rPr>
          <w:rFonts w:ascii="Arial" w:hAnsi="Arial" w:cs="Arial"/>
          <w:sz w:val="20"/>
          <w:szCs w:val="20"/>
        </w:rPr>
        <w:t xml:space="preserve"> </w:t>
      </w:r>
      <w:r w:rsidR="000C6EAB" w:rsidRPr="0030354F">
        <w:rPr>
          <w:rFonts w:ascii="Arial" w:hAnsi="Arial" w:cs="Arial"/>
          <w:sz w:val="20"/>
          <w:szCs w:val="20"/>
        </w:rPr>
        <w:tab/>
      </w:r>
      <w:r w:rsidR="00CF18F6" w:rsidRPr="0030354F">
        <w:rPr>
          <w:rFonts w:ascii="Arial" w:hAnsi="Arial" w:cs="Arial"/>
          <w:sz w:val="20"/>
          <w:szCs w:val="20"/>
        </w:rPr>
        <w:t xml:space="preserve">Committee is </w:t>
      </w:r>
      <w:r w:rsidR="00CF18F6" w:rsidRPr="0030354F">
        <w:rPr>
          <w:rFonts w:ascii="Arial" w:hAnsi="Arial" w:cs="Arial"/>
          <w:sz w:val="20"/>
          <w:szCs w:val="20"/>
        </w:rPr>
        <w:tab/>
        <w:t xml:space="preserve">calling on the Seda to act speedily in dealing and implementing AG </w:t>
      </w:r>
      <w:r w:rsidR="000C6EAB" w:rsidRPr="0030354F">
        <w:rPr>
          <w:rFonts w:ascii="Arial" w:hAnsi="Arial" w:cs="Arial"/>
          <w:sz w:val="20"/>
          <w:szCs w:val="20"/>
        </w:rPr>
        <w:tab/>
      </w:r>
      <w:r w:rsidR="00CF18F6" w:rsidRPr="0030354F">
        <w:rPr>
          <w:rFonts w:ascii="Arial" w:hAnsi="Arial" w:cs="Arial"/>
          <w:sz w:val="20"/>
          <w:szCs w:val="20"/>
        </w:rPr>
        <w:t>rec</w:t>
      </w:r>
      <w:r w:rsidR="00FD62FF" w:rsidRPr="0030354F">
        <w:rPr>
          <w:rFonts w:ascii="Arial" w:hAnsi="Arial" w:cs="Arial"/>
          <w:sz w:val="20"/>
          <w:szCs w:val="20"/>
        </w:rPr>
        <w:t xml:space="preserve">ommendations. In </w:t>
      </w:r>
      <w:r w:rsidR="00FD62FF" w:rsidRPr="0030354F">
        <w:rPr>
          <w:rFonts w:ascii="Arial" w:hAnsi="Arial" w:cs="Arial"/>
          <w:sz w:val="20"/>
          <w:szCs w:val="20"/>
        </w:rPr>
        <w:tab/>
        <w:t xml:space="preserve">line with AG recommendation </w:t>
      </w:r>
      <w:r w:rsidR="00CF18F6" w:rsidRPr="0030354F">
        <w:rPr>
          <w:rFonts w:ascii="Arial" w:hAnsi="Arial" w:cs="Arial"/>
          <w:sz w:val="20"/>
          <w:szCs w:val="20"/>
        </w:rPr>
        <w:t>to the Com</w:t>
      </w:r>
      <w:r w:rsidR="00FD62FF" w:rsidRPr="0030354F">
        <w:rPr>
          <w:rFonts w:ascii="Arial" w:hAnsi="Arial" w:cs="Arial"/>
          <w:sz w:val="20"/>
          <w:szCs w:val="20"/>
        </w:rPr>
        <w:t xml:space="preserve">mittee, </w:t>
      </w:r>
      <w:r w:rsidR="00CF18F6" w:rsidRPr="0030354F">
        <w:rPr>
          <w:rFonts w:ascii="Arial" w:hAnsi="Arial" w:cs="Arial"/>
          <w:sz w:val="20"/>
          <w:szCs w:val="20"/>
        </w:rPr>
        <w:t xml:space="preserve">the </w:t>
      </w:r>
      <w:r w:rsidR="00FD62FF" w:rsidRPr="0030354F">
        <w:rPr>
          <w:rFonts w:ascii="Arial" w:hAnsi="Arial" w:cs="Arial"/>
          <w:sz w:val="20"/>
          <w:szCs w:val="20"/>
        </w:rPr>
        <w:tab/>
        <w:t xml:space="preserve">Committee will </w:t>
      </w:r>
      <w:r w:rsidR="000C6EAB" w:rsidRPr="0030354F">
        <w:rPr>
          <w:rFonts w:ascii="Arial" w:hAnsi="Arial" w:cs="Arial"/>
          <w:sz w:val="20"/>
          <w:szCs w:val="20"/>
        </w:rPr>
        <w:t xml:space="preserve">ensure that all </w:t>
      </w:r>
      <w:r w:rsidR="00CF18F6" w:rsidRPr="0030354F">
        <w:rPr>
          <w:rFonts w:ascii="Arial" w:hAnsi="Arial" w:cs="Arial"/>
          <w:sz w:val="20"/>
          <w:szCs w:val="20"/>
        </w:rPr>
        <w:t xml:space="preserve">Seda quarterly reports provide feedback on the </w:t>
      </w:r>
      <w:r w:rsidR="000C6EAB" w:rsidRPr="0030354F">
        <w:rPr>
          <w:rFonts w:ascii="Arial" w:hAnsi="Arial" w:cs="Arial"/>
          <w:sz w:val="20"/>
          <w:szCs w:val="20"/>
        </w:rPr>
        <w:tab/>
      </w:r>
      <w:r w:rsidR="00CF18F6" w:rsidRPr="0030354F">
        <w:rPr>
          <w:rFonts w:ascii="Arial" w:hAnsi="Arial" w:cs="Arial"/>
          <w:sz w:val="20"/>
          <w:szCs w:val="20"/>
        </w:rPr>
        <w:t xml:space="preserve">implementation and </w:t>
      </w:r>
      <w:r w:rsidR="000C6EAB" w:rsidRPr="0030354F">
        <w:rPr>
          <w:rFonts w:ascii="Arial" w:hAnsi="Arial" w:cs="Arial"/>
          <w:sz w:val="20"/>
          <w:szCs w:val="20"/>
        </w:rPr>
        <w:t xml:space="preserve">progress of action </w:t>
      </w:r>
      <w:r w:rsidR="00CF18F6" w:rsidRPr="0030354F">
        <w:rPr>
          <w:rFonts w:ascii="Arial" w:hAnsi="Arial" w:cs="Arial"/>
          <w:sz w:val="20"/>
          <w:szCs w:val="20"/>
        </w:rPr>
        <w:t xml:space="preserve">plans to ensure improvement in the audit </w:t>
      </w:r>
      <w:r w:rsidR="000C6EAB" w:rsidRPr="0030354F">
        <w:rPr>
          <w:rFonts w:ascii="Arial" w:hAnsi="Arial" w:cs="Arial"/>
          <w:sz w:val="20"/>
          <w:szCs w:val="20"/>
        </w:rPr>
        <w:tab/>
      </w:r>
      <w:r w:rsidR="00CF18F6" w:rsidRPr="0030354F">
        <w:rPr>
          <w:rFonts w:ascii="Arial" w:hAnsi="Arial" w:cs="Arial"/>
          <w:sz w:val="20"/>
          <w:szCs w:val="20"/>
        </w:rPr>
        <w:t>outcomes of the agency.</w:t>
      </w:r>
    </w:p>
    <w:p w:rsidR="003E47A7" w:rsidRPr="0030354F" w:rsidRDefault="003E47A7" w:rsidP="0030354F">
      <w:pPr>
        <w:spacing w:after="0" w:line="240" w:lineRule="auto"/>
        <w:contextualSpacing/>
        <w:rPr>
          <w:rFonts w:ascii="Arial" w:eastAsia="Calibri" w:hAnsi="Arial" w:cs="Arial"/>
          <w:sz w:val="20"/>
          <w:szCs w:val="20"/>
          <w:lang w:eastAsia="en-ZA"/>
        </w:rPr>
      </w:pPr>
      <w:r w:rsidRPr="0030354F">
        <w:rPr>
          <w:rFonts w:ascii="Arial" w:hAnsi="Arial" w:cs="Arial"/>
          <w:sz w:val="20"/>
          <w:szCs w:val="20"/>
        </w:rPr>
        <w:t>7.15</w:t>
      </w:r>
      <w:r w:rsidRPr="0030354F">
        <w:rPr>
          <w:rFonts w:ascii="Arial" w:hAnsi="Arial" w:cs="Arial"/>
          <w:sz w:val="20"/>
          <w:szCs w:val="20"/>
        </w:rPr>
        <w:tab/>
        <w:t xml:space="preserve">In spite of numerous </w:t>
      </w:r>
      <w:r w:rsidR="00FD62FF" w:rsidRPr="0030354F">
        <w:rPr>
          <w:rFonts w:ascii="Arial" w:hAnsi="Arial" w:cs="Arial"/>
          <w:sz w:val="20"/>
          <w:szCs w:val="20"/>
        </w:rPr>
        <w:t xml:space="preserve">road shows, </w:t>
      </w:r>
      <w:r w:rsidRPr="0030354F">
        <w:rPr>
          <w:rFonts w:ascii="Arial" w:hAnsi="Arial" w:cs="Arial"/>
          <w:sz w:val="20"/>
          <w:szCs w:val="20"/>
        </w:rPr>
        <w:t xml:space="preserve">marketing and awareness campaigns, </w:t>
      </w:r>
      <w:r w:rsidR="001B07C1" w:rsidRPr="0030354F">
        <w:rPr>
          <w:rFonts w:ascii="Arial" w:hAnsi="Arial" w:cs="Arial"/>
          <w:sz w:val="20"/>
          <w:szCs w:val="20"/>
        </w:rPr>
        <w:t xml:space="preserve">as well as </w:t>
      </w:r>
      <w:r w:rsidR="001B07C1" w:rsidRPr="0030354F">
        <w:rPr>
          <w:rFonts w:ascii="Arial" w:hAnsi="Arial" w:cs="Arial"/>
          <w:sz w:val="20"/>
          <w:szCs w:val="20"/>
        </w:rPr>
        <w:tab/>
        <w:t xml:space="preserve">expansion </w:t>
      </w:r>
      <w:r w:rsidRPr="0030354F">
        <w:rPr>
          <w:rFonts w:ascii="Arial" w:hAnsi="Arial" w:cs="Arial"/>
          <w:sz w:val="20"/>
          <w:szCs w:val="20"/>
        </w:rPr>
        <w:t xml:space="preserve">of co-locations to remote and underprivileged regions, </w:t>
      </w:r>
      <w:r w:rsidR="00FD62FF" w:rsidRPr="0030354F">
        <w:rPr>
          <w:rFonts w:ascii="Arial" w:hAnsi="Arial" w:cs="Arial"/>
          <w:sz w:val="20"/>
          <w:szCs w:val="20"/>
        </w:rPr>
        <w:t xml:space="preserve">remonstration and </w:t>
      </w:r>
      <w:r w:rsidR="001B07C1" w:rsidRPr="0030354F">
        <w:rPr>
          <w:rFonts w:ascii="Arial" w:hAnsi="Arial" w:cs="Arial"/>
          <w:sz w:val="20"/>
          <w:szCs w:val="20"/>
        </w:rPr>
        <w:tab/>
        <w:t xml:space="preserve">grumbling on </w:t>
      </w:r>
      <w:r w:rsidR="00FD62FF" w:rsidRPr="0030354F">
        <w:rPr>
          <w:rFonts w:ascii="Arial" w:hAnsi="Arial" w:cs="Arial"/>
          <w:sz w:val="20"/>
          <w:szCs w:val="20"/>
        </w:rPr>
        <w:t xml:space="preserve">the ground </w:t>
      </w:r>
      <w:r w:rsidRPr="0030354F">
        <w:rPr>
          <w:rFonts w:ascii="Arial" w:hAnsi="Arial" w:cs="Arial"/>
          <w:sz w:val="20"/>
          <w:szCs w:val="20"/>
        </w:rPr>
        <w:t xml:space="preserve">have </w:t>
      </w:r>
      <w:r w:rsidR="00FD62FF" w:rsidRPr="0030354F">
        <w:rPr>
          <w:rFonts w:ascii="Arial" w:hAnsi="Arial" w:cs="Arial"/>
          <w:sz w:val="20"/>
          <w:szCs w:val="20"/>
        </w:rPr>
        <w:t xml:space="preserve">not abated. </w:t>
      </w:r>
      <w:r w:rsidRPr="0030354F">
        <w:rPr>
          <w:rFonts w:ascii="Arial" w:hAnsi="Arial" w:cs="Arial"/>
          <w:sz w:val="20"/>
          <w:szCs w:val="20"/>
        </w:rPr>
        <w:t>T</w:t>
      </w:r>
      <w:r w:rsidR="00FD62FF" w:rsidRPr="0030354F">
        <w:rPr>
          <w:rFonts w:ascii="Arial" w:hAnsi="Arial" w:cs="Arial"/>
          <w:sz w:val="20"/>
          <w:szCs w:val="20"/>
        </w:rPr>
        <w:t xml:space="preserve">he </w:t>
      </w:r>
      <w:r w:rsidRPr="0030354F">
        <w:rPr>
          <w:rFonts w:ascii="Arial" w:hAnsi="Arial" w:cs="Arial"/>
          <w:sz w:val="20"/>
          <w:szCs w:val="20"/>
        </w:rPr>
        <w:t xml:space="preserve">Department should monitor the extent </w:t>
      </w:r>
      <w:r w:rsidR="001B07C1" w:rsidRPr="0030354F">
        <w:rPr>
          <w:rFonts w:ascii="Arial" w:hAnsi="Arial" w:cs="Arial"/>
          <w:sz w:val="20"/>
          <w:szCs w:val="20"/>
        </w:rPr>
        <w:tab/>
        <w:t xml:space="preserve">to which annual </w:t>
      </w:r>
      <w:r w:rsidR="00FD62FF" w:rsidRPr="0030354F">
        <w:rPr>
          <w:rFonts w:ascii="Arial" w:hAnsi="Arial" w:cs="Arial"/>
          <w:sz w:val="20"/>
          <w:szCs w:val="20"/>
        </w:rPr>
        <w:t xml:space="preserve">performance </w:t>
      </w:r>
      <w:r w:rsidRPr="0030354F">
        <w:rPr>
          <w:rFonts w:ascii="Arial" w:hAnsi="Arial" w:cs="Arial"/>
          <w:sz w:val="20"/>
          <w:szCs w:val="20"/>
        </w:rPr>
        <w:t>plans</w:t>
      </w:r>
      <w:r w:rsidR="00FD62FF" w:rsidRPr="0030354F">
        <w:rPr>
          <w:rFonts w:ascii="Arial" w:hAnsi="Arial" w:cs="Arial"/>
          <w:sz w:val="20"/>
          <w:szCs w:val="20"/>
        </w:rPr>
        <w:t xml:space="preserve"> and </w:t>
      </w:r>
      <w:r w:rsidRPr="0030354F">
        <w:rPr>
          <w:rFonts w:ascii="Arial" w:hAnsi="Arial" w:cs="Arial"/>
          <w:sz w:val="20"/>
          <w:szCs w:val="20"/>
        </w:rPr>
        <w:t xml:space="preserve">quarterly reports </w:t>
      </w:r>
      <w:r w:rsidR="00FD62FF" w:rsidRPr="0030354F">
        <w:rPr>
          <w:rFonts w:ascii="Arial" w:hAnsi="Arial" w:cs="Arial"/>
          <w:sz w:val="20"/>
          <w:szCs w:val="20"/>
        </w:rPr>
        <w:t xml:space="preserve">incorporate </w:t>
      </w:r>
      <w:r w:rsidRPr="0030354F">
        <w:rPr>
          <w:rFonts w:ascii="Arial" w:hAnsi="Arial" w:cs="Arial"/>
          <w:sz w:val="20"/>
          <w:szCs w:val="20"/>
        </w:rPr>
        <w:t>output</w:t>
      </w:r>
      <w:r w:rsidR="00FD62FF" w:rsidRPr="0030354F">
        <w:rPr>
          <w:rFonts w:ascii="Arial" w:hAnsi="Arial" w:cs="Arial"/>
          <w:sz w:val="20"/>
          <w:szCs w:val="20"/>
        </w:rPr>
        <w:t xml:space="preserve"> indicators </w:t>
      </w:r>
      <w:r w:rsidR="001B07C1" w:rsidRPr="0030354F">
        <w:rPr>
          <w:rFonts w:ascii="Arial" w:hAnsi="Arial" w:cs="Arial"/>
          <w:sz w:val="20"/>
          <w:szCs w:val="20"/>
        </w:rPr>
        <w:tab/>
        <w:t xml:space="preserve">that </w:t>
      </w:r>
      <w:r w:rsidR="00FD62FF" w:rsidRPr="0030354F">
        <w:rPr>
          <w:rFonts w:ascii="Arial" w:hAnsi="Arial" w:cs="Arial"/>
          <w:sz w:val="20"/>
          <w:szCs w:val="20"/>
        </w:rPr>
        <w:t xml:space="preserve">involves working with </w:t>
      </w:r>
      <w:r w:rsidR="001B07C1" w:rsidRPr="0030354F">
        <w:rPr>
          <w:rFonts w:ascii="Arial" w:hAnsi="Arial" w:cs="Arial"/>
          <w:sz w:val="20"/>
          <w:szCs w:val="20"/>
        </w:rPr>
        <w:t xml:space="preserve">Parliamentary Constituency </w:t>
      </w:r>
      <w:r w:rsidRPr="0030354F">
        <w:rPr>
          <w:rFonts w:ascii="Arial" w:hAnsi="Arial" w:cs="Arial"/>
          <w:sz w:val="20"/>
          <w:szCs w:val="20"/>
        </w:rPr>
        <w:t xml:space="preserve">Offices. This could be </w:t>
      </w:r>
      <w:r w:rsidR="001B07C1" w:rsidRPr="0030354F">
        <w:rPr>
          <w:rFonts w:ascii="Arial" w:hAnsi="Arial" w:cs="Arial"/>
          <w:sz w:val="20"/>
          <w:szCs w:val="20"/>
        </w:rPr>
        <w:tab/>
        <w:t xml:space="preserve">facilitated or </w:t>
      </w:r>
      <w:r w:rsidR="00FD62FF" w:rsidRPr="0030354F">
        <w:rPr>
          <w:rFonts w:ascii="Arial" w:hAnsi="Arial" w:cs="Arial"/>
          <w:sz w:val="20"/>
          <w:szCs w:val="20"/>
        </w:rPr>
        <w:t xml:space="preserve">achieved through the </w:t>
      </w:r>
      <w:r w:rsidRPr="0030354F">
        <w:rPr>
          <w:rFonts w:ascii="Arial" w:hAnsi="Arial" w:cs="Arial"/>
          <w:sz w:val="20"/>
          <w:szCs w:val="20"/>
        </w:rPr>
        <w:t xml:space="preserve">District Development Municipal Champions. </w:t>
      </w:r>
      <w:r w:rsidRPr="0030354F">
        <w:rPr>
          <w:rFonts w:ascii="Arial" w:eastAsia="Calibri" w:hAnsi="Arial" w:cs="Arial"/>
          <w:sz w:val="20"/>
          <w:szCs w:val="20"/>
          <w:lang w:eastAsia="en-ZA"/>
        </w:rPr>
        <w:t xml:space="preserve">The </w:t>
      </w:r>
      <w:r w:rsidR="001B07C1" w:rsidRPr="0030354F">
        <w:rPr>
          <w:rFonts w:ascii="Arial" w:eastAsia="Calibri" w:hAnsi="Arial" w:cs="Arial"/>
          <w:sz w:val="20"/>
          <w:szCs w:val="20"/>
          <w:lang w:eastAsia="en-ZA"/>
        </w:rPr>
        <w:tab/>
        <w:t xml:space="preserve">Committee will </w:t>
      </w:r>
      <w:r w:rsidR="00FD62FF" w:rsidRPr="0030354F">
        <w:rPr>
          <w:rFonts w:ascii="Arial" w:eastAsia="Calibri" w:hAnsi="Arial" w:cs="Arial"/>
          <w:sz w:val="20"/>
          <w:szCs w:val="20"/>
          <w:lang w:eastAsia="en-ZA"/>
        </w:rPr>
        <w:t xml:space="preserve">monitor this </w:t>
      </w:r>
      <w:r w:rsidRPr="0030354F">
        <w:rPr>
          <w:rFonts w:ascii="Arial" w:eastAsia="Calibri" w:hAnsi="Arial" w:cs="Arial"/>
          <w:sz w:val="20"/>
          <w:szCs w:val="20"/>
          <w:lang w:eastAsia="en-ZA"/>
        </w:rPr>
        <w:t>adaptation during quarterly reports presentations.</w:t>
      </w:r>
    </w:p>
    <w:p w:rsidR="000D25CE" w:rsidRPr="0030354F" w:rsidRDefault="000D25CE" w:rsidP="0030354F">
      <w:pPr>
        <w:spacing w:after="0" w:line="240" w:lineRule="auto"/>
        <w:contextualSpacing/>
        <w:rPr>
          <w:rFonts w:ascii="Arial" w:eastAsia="Times New Roman" w:hAnsi="Arial" w:cs="Arial"/>
          <w:sz w:val="20"/>
          <w:szCs w:val="20"/>
        </w:rPr>
      </w:pPr>
    </w:p>
    <w:p w:rsidR="000D25CE" w:rsidRPr="0030354F" w:rsidRDefault="000D25CE" w:rsidP="0030354F">
      <w:pPr>
        <w:shd w:val="clear" w:color="auto" w:fill="FFFFFF"/>
        <w:spacing w:after="0" w:line="240" w:lineRule="auto"/>
        <w:contextualSpacing/>
        <w:rPr>
          <w:rFonts w:ascii="Arial" w:eastAsia="Times New Roman" w:hAnsi="Arial" w:cs="Arial"/>
          <w:sz w:val="20"/>
          <w:szCs w:val="20"/>
        </w:rPr>
      </w:pPr>
      <w:r w:rsidRPr="0030354F">
        <w:rPr>
          <w:rFonts w:ascii="Arial" w:eastAsia="Times New Roman" w:hAnsi="Arial" w:cs="Arial"/>
          <w:iCs/>
          <w:sz w:val="20"/>
          <w:szCs w:val="20"/>
        </w:rPr>
        <w:t>Unless otherwise indicated, responses to the above recommendations should be submitted to the National Assembly not later than three months after the adoption of this report by the National Assembly.</w:t>
      </w:r>
    </w:p>
    <w:p w:rsidR="000D25CE" w:rsidRPr="0030354F" w:rsidRDefault="000D25CE" w:rsidP="0030354F">
      <w:pPr>
        <w:shd w:val="clear" w:color="auto" w:fill="FFFFFF"/>
        <w:spacing w:after="0" w:line="240" w:lineRule="auto"/>
        <w:contextualSpacing/>
        <w:rPr>
          <w:rFonts w:ascii="Arial" w:eastAsia="Times New Roman" w:hAnsi="Arial" w:cs="Arial"/>
          <w:sz w:val="20"/>
          <w:szCs w:val="20"/>
        </w:rPr>
      </w:pPr>
      <w:r w:rsidRPr="0030354F">
        <w:rPr>
          <w:rFonts w:ascii="Arial" w:eastAsia="Times New Roman" w:hAnsi="Arial" w:cs="Arial"/>
          <w:sz w:val="20"/>
          <w:szCs w:val="20"/>
        </w:rPr>
        <w:t> </w:t>
      </w:r>
    </w:p>
    <w:p w:rsidR="000D25CE" w:rsidRPr="0030354F" w:rsidRDefault="000D25CE" w:rsidP="0030354F">
      <w:pPr>
        <w:shd w:val="clear" w:color="auto" w:fill="FFFFFF"/>
        <w:spacing w:after="0" w:line="240" w:lineRule="auto"/>
        <w:contextualSpacing/>
        <w:rPr>
          <w:rFonts w:ascii="Arial" w:eastAsia="Times New Roman" w:hAnsi="Arial" w:cs="Arial"/>
          <w:sz w:val="20"/>
          <w:szCs w:val="20"/>
        </w:rPr>
      </w:pPr>
      <w:r w:rsidRPr="0030354F">
        <w:rPr>
          <w:rFonts w:ascii="Arial" w:eastAsia="Times New Roman" w:hAnsi="Arial" w:cs="Arial"/>
          <w:sz w:val="20"/>
          <w:szCs w:val="20"/>
        </w:rPr>
        <w:t> </w:t>
      </w:r>
    </w:p>
    <w:p w:rsidR="000D25CE" w:rsidRPr="0030354F" w:rsidRDefault="000D25CE" w:rsidP="0030354F">
      <w:pPr>
        <w:shd w:val="clear" w:color="auto" w:fill="FFFFFF"/>
        <w:spacing w:after="0" w:line="240" w:lineRule="auto"/>
        <w:contextualSpacing/>
        <w:rPr>
          <w:rFonts w:ascii="Arial" w:eastAsia="Times New Roman" w:hAnsi="Arial" w:cs="Arial"/>
          <w:sz w:val="20"/>
          <w:szCs w:val="20"/>
        </w:rPr>
      </w:pPr>
      <w:r w:rsidRPr="0030354F">
        <w:rPr>
          <w:rFonts w:ascii="Arial" w:eastAsia="Times New Roman" w:hAnsi="Arial" w:cs="Arial"/>
          <w:sz w:val="20"/>
          <w:szCs w:val="20"/>
        </w:rPr>
        <w:t>Report to be considered.</w:t>
      </w:r>
    </w:p>
    <w:p w:rsidR="000D25CE" w:rsidRPr="0030354F" w:rsidRDefault="000D25CE" w:rsidP="0030354F">
      <w:pPr>
        <w:spacing w:after="0" w:line="240" w:lineRule="auto"/>
        <w:contextualSpacing/>
        <w:rPr>
          <w:rFonts w:ascii="Arial" w:hAnsi="Arial" w:cs="Arial"/>
          <w:b/>
          <w:sz w:val="20"/>
          <w:szCs w:val="20"/>
        </w:rPr>
      </w:pPr>
    </w:p>
    <w:sectPr w:rsidR="000D25CE" w:rsidRPr="0030354F" w:rsidSect="00BE4C2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8B6" w:rsidRDefault="005D78B6" w:rsidP="00F06936">
      <w:pPr>
        <w:spacing w:after="0" w:line="240" w:lineRule="auto"/>
      </w:pPr>
      <w:r>
        <w:separator/>
      </w:r>
    </w:p>
  </w:endnote>
  <w:endnote w:type="continuationSeparator" w:id="0">
    <w:p w:rsidR="005D78B6" w:rsidRDefault="005D78B6" w:rsidP="00F06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605494"/>
      <w:docPartObj>
        <w:docPartGallery w:val="Page Numbers (Bottom of Page)"/>
        <w:docPartUnique/>
      </w:docPartObj>
    </w:sdtPr>
    <w:sdtEndPr>
      <w:rPr>
        <w:rFonts w:ascii="Calibri" w:hAnsi="Calibri"/>
        <w:noProof/>
        <w:sz w:val="16"/>
        <w:szCs w:val="16"/>
      </w:rPr>
    </w:sdtEndPr>
    <w:sdtContent>
      <w:p w:rsidR="000C73CB" w:rsidRPr="006E6E86" w:rsidRDefault="00BE4C2E" w:rsidP="003710BC">
        <w:pPr>
          <w:pStyle w:val="Footer"/>
          <w:jc w:val="center"/>
          <w:rPr>
            <w:rFonts w:ascii="Calibri" w:hAnsi="Calibri"/>
            <w:sz w:val="16"/>
            <w:szCs w:val="16"/>
          </w:rPr>
        </w:pPr>
        <w:r w:rsidRPr="006E6E86">
          <w:rPr>
            <w:rFonts w:ascii="Calibri" w:hAnsi="Calibri"/>
            <w:sz w:val="16"/>
            <w:szCs w:val="16"/>
          </w:rPr>
          <w:fldChar w:fldCharType="begin"/>
        </w:r>
        <w:r w:rsidR="000C73CB" w:rsidRPr="006E6E86">
          <w:rPr>
            <w:rFonts w:ascii="Calibri" w:hAnsi="Calibri"/>
            <w:sz w:val="16"/>
            <w:szCs w:val="16"/>
          </w:rPr>
          <w:instrText xml:space="preserve"> PAGE   \* MERGEFORMAT </w:instrText>
        </w:r>
        <w:r w:rsidRPr="006E6E86">
          <w:rPr>
            <w:rFonts w:ascii="Calibri" w:hAnsi="Calibri"/>
            <w:sz w:val="16"/>
            <w:szCs w:val="16"/>
          </w:rPr>
          <w:fldChar w:fldCharType="separate"/>
        </w:r>
        <w:r w:rsidR="0030354F">
          <w:rPr>
            <w:rFonts w:ascii="Calibri" w:hAnsi="Calibri"/>
            <w:noProof/>
            <w:sz w:val="16"/>
            <w:szCs w:val="16"/>
          </w:rPr>
          <w:t>1</w:t>
        </w:r>
        <w:r w:rsidRPr="006E6E86">
          <w:rPr>
            <w:rFonts w:ascii="Calibri" w:hAnsi="Calibri"/>
            <w:noProof/>
            <w:sz w:val="16"/>
            <w:szCs w:val="16"/>
          </w:rPr>
          <w:fldChar w:fldCharType="end"/>
        </w:r>
      </w:p>
    </w:sdtContent>
  </w:sdt>
  <w:p w:rsidR="000C73CB" w:rsidRDefault="000C7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8B6" w:rsidRDefault="005D78B6" w:rsidP="00F06936">
      <w:pPr>
        <w:spacing w:after="0" w:line="240" w:lineRule="auto"/>
      </w:pPr>
      <w:r>
        <w:separator/>
      </w:r>
    </w:p>
  </w:footnote>
  <w:footnote w:type="continuationSeparator" w:id="0">
    <w:p w:rsidR="005D78B6" w:rsidRDefault="005D78B6" w:rsidP="00F06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8CD"/>
    <w:multiLevelType w:val="hybridMultilevel"/>
    <w:tmpl w:val="D30AC0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0A3311"/>
    <w:multiLevelType w:val="hybridMultilevel"/>
    <w:tmpl w:val="A4ACC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90370"/>
    <w:multiLevelType w:val="hybridMultilevel"/>
    <w:tmpl w:val="3294BEF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9D8167B"/>
    <w:multiLevelType w:val="hybridMultilevel"/>
    <w:tmpl w:val="60F63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42E6E"/>
    <w:multiLevelType w:val="hybridMultilevel"/>
    <w:tmpl w:val="F634A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5653AD3"/>
    <w:multiLevelType w:val="hybridMultilevel"/>
    <w:tmpl w:val="C0168A86"/>
    <w:lvl w:ilvl="0" w:tplc="C13A780E">
      <w:start w:val="1"/>
      <w:numFmt w:val="bullet"/>
      <w:lvlText w:val=""/>
      <w:lvlJc w:val="left"/>
      <w:pPr>
        <w:tabs>
          <w:tab w:val="num" w:pos="720"/>
        </w:tabs>
        <w:ind w:left="720" w:hanging="360"/>
      </w:pPr>
      <w:rPr>
        <w:rFonts w:ascii="Wingdings" w:hAnsi="Wingdings" w:hint="default"/>
      </w:rPr>
    </w:lvl>
    <w:lvl w:ilvl="1" w:tplc="28360C4E" w:tentative="1">
      <w:start w:val="1"/>
      <w:numFmt w:val="bullet"/>
      <w:lvlText w:val=""/>
      <w:lvlJc w:val="left"/>
      <w:pPr>
        <w:tabs>
          <w:tab w:val="num" w:pos="1440"/>
        </w:tabs>
        <w:ind w:left="1440" w:hanging="360"/>
      </w:pPr>
      <w:rPr>
        <w:rFonts w:ascii="Wingdings" w:hAnsi="Wingdings" w:hint="default"/>
      </w:rPr>
    </w:lvl>
    <w:lvl w:ilvl="2" w:tplc="7FE0204A" w:tentative="1">
      <w:start w:val="1"/>
      <w:numFmt w:val="bullet"/>
      <w:lvlText w:val=""/>
      <w:lvlJc w:val="left"/>
      <w:pPr>
        <w:tabs>
          <w:tab w:val="num" w:pos="2160"/>
        </w:tabs>
        <w:ind w:left="2160" w:hanging="360"/>
      </w:pPr>
      <w:rPr>
        <w:rFonts w:ascii="Wingdings" w:hAnsi="Wingdings" w:hint="default"/>
      </w:rPr>
    </w:lvl>
    <w:lvl w:ilvl="3" w:tplc="2A5EA746" w:tentative="1">
      <w:start w:val="1"/>
      <w:numFmt w:val="bullet"/>
      <w:lvlText w:val=""/>
      <w:lvlJc w:val="left"/>
      <w:pPr>
        <w:tabs>
          <w:tab w:val="num" w:pos="2880"/>
        </w:tabs>
        <w:ind w:left="2880" w:hanging="360"/>
      </w:pPr>
      <w:rPr>
        <w:rFonts w:ascii="Wingdings" w:hAnsi="Wingdings" w:hint="default"/>
      </w:rPr>
    </w:lvl>
    <w:lvl w:ilvl="4" w:tplc="C0B21906" w:tentative="1">
      <w:start w:val="1"/>
      <w:numFmt w:val="bullet"/>
      <w:lvlText w:val=""/>
      <w:lvlJc w:val="left"/>
      <w:pPr>
        <w:tabs>
          <w:tab w:val="num" w:pos="3600"/>
        </w:tabs>
        <w:ind w:left="3600" w:hanging="360"/>
      </w:pPr>
      <w:rPr>
        <w:rFonts w:ascii="Wingdings" w:hAnsi="Wingdings" w:hint="default"/>
      </w:rPr>
    </w:lvl>
    <w:lvl w:ilvl="5" w:tplc="79E24988" w:tentative="1">
      <w:start w:val="1"/>
      <w:numFmt w:val="bullet"/>
      <w:lvlText w:val=""/>
      <w:lvlJc w:val="left"/>
      <w:pPr>
        <w:tabs>
          <w:tab w:val="num" w:pos="4320"/>
        </w:tabs>
        <w:ind w:left="4320" w:hanging="360"/>
      </w:pPr>
      <w:rPr>
        <w:rFonts w:ascii="Wingdings" w:hAnsi="Wingdings" w:hint="default"/>
      </w:rPr>
    </w:lvl>
    <w:lvl w:ilvl="6" w:tplc="389AF924" w:tentative="1">
      <w:start w:val="1"/>
      <w:numFmt w:val="bullet"/>
      <w:lvlText w:val=""/>
      <w:lvlJc w:val="left"/>
      <w:pPr>
        <w:tabs>
          <w:tab w:val="num" w:pos="5040"/>
        </w:tabs>
        <w:ind w:left="5040" w:hanging="360"/>
      </w:pPr>
      <w:rPr>
        <w:rFonts w:ascii="Wingdings" w:hAnsi="Wingdings" w:hint="default"/>
      </w:rPr>
    </w:lvl>
    <w:lvl w:ilvl="7" w:tplc="8AE04610" w:tentative="1">
      <w:start w:val="1"/>
      <w:numFmt w:val="bullet"/>
      <w:lvlText w:val=""/>
      <w:lvlJc w:val="left"/>
      <w:pPr>
        <w:tabs>
          <w:tab w:val="num" w:pos="5760"/>
        </w:tabs>
        <w:ind w:left="5760" w:hanging="360"/>
      </w:pPr>
      <w:rPr>
        <w:rFonts w:ascii="Wingdings" w:hAnsi="Wingdings" w:hint="default"/>
      </w:rPr>
    </w:lvl>
    <w:lvl w:ilvl="8" w:tplc="62061EA2" w:tentative="1">
      <w:start w:val="1"/>
      <w:numFmt w:val="bullet"/>
      <w:lvlText w:val=""/>
      <w:lvlJc w:val="left"/>
      <w:pPr>
        <w:tabs>
          <w:tab w:val="num" w:pos="6480"/>
        </w:tabs>
        <w:ind w:left="6480" w:hanging="360"/>
      </w:pPr>
      <w:rPr>
        <w:rFonts w:ascii="Wingdings" w:hAnsi="Wingdings" w:hint="default"/>
      </w:rPr>
    </w:lvl>
  </w:abstractNum>
  <w:abstractNum w:abstractNumId="6">
    <w:nsid w:val="26C17681"/>
    <w:multiLevelType w:val="hybridMultilevel"/>
    <w:tmpl w:val="F5D8DFD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B767633"/>
    <w:multiLevelType w:val="hybridMultilevel"/>
    <w:tmpl w:val="C47C43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85FCD"/>
    <w:multiLevelType w:val="hybridMultilevel"/>
    <w:tmpl w:val="F2B6C7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424FD"/>
    <w:multiLevelType w:val="hybridMultilevel"/>
    <w:tmpl w:val="8CF2AF86"/>
    <w:lvl w:ilvl="0" w:tplc="1974F398">
      <w:start w:val="1"/>
      <w:numFmt w:val="bullet"/>
      <w:lvlText w:val=""/>
      <w:lvlJc w:val="left"/>
      <w:pPr>
        <w:tabs>
          <w:tab w:val="num" w:pos="720"/>
        </w:tabs>
        <w:ind w:left="720" w:hanging="360"/>
      </w:pPr>
      <w:rPr>
        <w:rFonts w:ascii="Wingdings" w:hAnsi="Wingdings" w:hint="default"/>
      </w:rPr>
    </w:lvl>
    <w:lvl w:ilvl="1" w:tplc="AE08DA3A" w:tentative="1">
      <w:start w:val="1"/>
      <w:numFmt w:val="bullet"/>
      <w:lvlText w:val=""/>
      <w:lvlJc w:val="left"/>
      <w:pPr>
        <w:tabs>
          <w:tab w:val="num" w:pos="1440"/>
        </w:tabs>
        <w:ind w:left="1440" w:hanging="360"/>
      </w:pPr>
      <w:rPr>
        <w:rFonts w:ascii="Wingdings" w:hAnsi="Wingdings" w:hint="default"/>
      </w:rPr>
    </w:lvl>
    <w:lvl w:ilvl="2" w:tplc="6CAA0DA0" w:tentative="1">
      <w:start w:val="1"/>
      <w:numFmt w:val="bullet"/>
      <w:lvlText w:val=""/>
      <w:lvlJc w:val="left"/>
      <w:pPr>
        <w:tabs>
          <w:tab w:val="num" w:pos="2160"/>
        </w:tabs>
        <w:ind w:left="2160" w:hanging="360"/>
      </w:pPr>
      <w:rPr>
        <w:rFonts w:ascii="Wingdings" w:hAnsi="Wingdings" w:hint="default"/>
      </w:rPr>
    </w:lvl>
    <w:lvl w:ilvl="3" w:tplc="10D63BE6" w:tentative="1">
      <w:start w:val="1"/>
      <w:numFmt w:val="bullet"/>
      <w:lvlText w:val=""/>
      <w:lvlJc w:val="left"/>
      <w:pPr>
        <w:tabs>
          <w:tab w:val="num" w:pos="2880"/>
        </w:tabs>
        <w:ind w:left="2880" w:hanging="360"/>
      </w:pPr>
      <w:rPr>
        <w:rFonts w:ascii="Wingdings" w:hAnsi="Wingdings" w:hint="default"/>
      </w:rPr>
    </w:lvl>
    <w:lvl w:ilvl="4" w:tplc="7360CEB8" w:tentative="1">
      <w:start w:val="1"/>
      <w:numFmt w:val="bullet"/>
      <w:lvlText w:val=""/>
      <w:lvlJc w:val="left"/>
      <w:pPr>
        <w:tabs>
          <w:tab w:val="num" w:pos="3600"/>
        </w:tabs>
        <w:ind w:left="3600" w:hanging="360"/>
      </w:pPr>
      <w:rPr>
        <w:rFonts w:ascii="Wingdings" w:hAnsi="Wingdings" w:hint="default"/>
      </w:rPr>
    </w:lvl>
    <w:lvl w:ilvl="5" w:tplc="0E145548" w:tentative="1">
      <w:start w:val="1"/>
      <w:numFmt w:val="bullet"/>
      <w:lvlText w:val=""/>
      <w:lvlJc w:val="left"/>
      <w:pPr>
        <w:tabs>
          <w:tab w:val="num" w:pos="4320"/>
        </w:tabs>
        <w:ind w:left="4320" w:hanging="360"/>
      </w:pPr>
      <w:rPr>
        <w:rFonts w:ascii="Wingdings" w:hAnsi="Wingdings" w:hint="default"/>
      </w:rPr>
    </w:lvl>
    <w:lvl w:ilvl="6" w:tplc="195E9F94" w:tentative="1">
      <w:start w:val="1"/>
      <w:numFmt w:val="bullet"/>
      <w:lvlText w:val=""/>
      <w:lvlJc w:val="left"/>
      <w:pPr>
        <w:tabs>
          <w:tab w:val="num" w:pos="5040"/>
        </w:tabs>
        <w:ind w:left="5040" w:hanging="360"/>
      </w:pPr>
      <w:rPr>
        <w:rFonts w:ascii="Wingdings" w:hAnsi="Wingdings" w:hint="default"/>
      </w:rPr>
    </w:lvl>
    <w:lvl w:ilvl="7" w:tplc="98F6C2CC" w:tentative="1">
      <w:start w:val="1"/>
      <w:numFmt w:val="bullet"/>
      <w:lvlText w:val=""/>
      <w:lvlJc w:val="left"/>
      <w:pPr>
        <w:tabs>
          <w:tab w:val="num" w:pos="5760"/>
        </w:tabs>
        <w:ind w:left="5760" w:hanging="360"/>
      </w:pPr>
      <w:rPr>
        <w:rFonts w:ascii="Wingdings" w:hAnsi="Wingdings" w:hint="default"/>
      </w:rPr>
    </w:lvl>
    <w:lvl w:ilvl="8" w:tplc="BE52E35C" w:tentative="1">
      <w:start w:val="1"/>
      <w:numFmt w:val="bullet"/>
      <w:lvlText w:val=""/>
      <w:lvlJc w:val="left"/>
      <w:pPr>
        <w:tabs>
          <w:tab w:val="num" w:pos="6480"/>
        </w:tabs>
        <w:ind w:left="6480" w:hanging="360"/>
      </w:pPr>
      <w:rPr>
        <w:rFonts w:ascii="Wingdings" w:hAnsi="Wingdings" w:hint="default"/>
      </w:rPr>
    </w:lvl>
  </w:abstractNum>
  <w:abstractNum w:abstractNumId="10">
    <w:nsid w:val="36F501CF"/>
    <w:multiLevelType w:val="hybridMultilevel"/>
    <w:tmpl w:val="1BB67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B61F4"/>
    <w:multiLevelType w:val="multilevel"/>
    <w:tmpl w:val="20EC619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44690A"/>
    <w:multiLevelType w:val="multilevel"/>
    <w:tmpl w:val="CCBE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79068B"/>
    <w:multiLevelType w:val="hybridMultilevel"/>
    <w:tmpl w:val="6D908B52"/>
    <w:lvl w:ilvl="0" w:tplc="42A2A4F8">
      <w:start w:val="8"/>
      <w:numFmt w:val="bullet"/>
      <w:lvlText w:val="-"/>
      <w:lvlJc w:val="left"/>
      <w:pPr>
        <w:ind w:left="316" w:hanging="360"/>
      </w:pPr>
      <w:rPr>
        <w:rFonts w:ascii="Arial" w:eastAsiaTheme="minorHAnsi" w:hAnsi="Arial" w:cs="Arial" w:hint="default"/>
      </w:rPr>
    </w:lvl>
    <w:lvl w:ilvl="1" w:tplc="1C090003" w:tentative="1">
      <w:start w:val="1"/>
      <w:numFmt w:val="bullet"/>
      <w:lvlText w:val="o"/>
      <w:lvlJc w:val="left"/>
      <w:pPr>
        <w:ind w:left="1036" w:hanging="360"/>
      </w:pPr>
      <w:rPr>
        <w:rFonts w:ascii="Courier New" w:hAnsi="Courier New" w:cs="Courier New" w:hint="default"/>
      </w:rPr>
    </w:lvl>
    <w:lvl w:ilvl="2" w:tplc="1C090005" w:tentative="1">
      <w:start w:val="1"/>
      <w:numFmt w:val="bullet"/>
      <w:lvlText w:val=""/>
      <w:lvlJc w:val="left"/>
      <w:pPr>
        <w:ind w:left="1756" w:hanging="360"/>
      </w:pPr>
      <w:rPr>
        <w:rFonts w:ascii="Wingdings" w:hAnsi="Wingdings" w:hint="default"/>
      </w:rPr>
    </w:lvl>
    <w:lvl w:ilvl="3" w:tplc="1C090001" w:tentative="1">
      <w:start w:val="1"/>
      <w:numFmt w:val="bullet"/>
      <w:lvlText w:val=""/>
      <w:lvlJc w:val="left"/>
      <w:pPr>
        <w:ind w:left="2476" w:hanging="360"/>
      </w:pPr>
      <w:rPr>
        <w:rFonts w:ascii="Symbol" w:hAnsi="Symbol" w:hint="default"/>
      </w:rPr>
    </w:lvl>
    <w:lvl w:ilvl="4" w:tplc="1C090003" w:tentative="1">
      <w:start w:val="1"/>
      <w:numFmt w:val="bullet"/>
      <w:lvlText w:val="o"/>
      <w:lvlJc w:val="left"/>
      <w:pPr>
        <w:ind w:left="3196" w:hanging="360"/>
      </w:pPr>
      <w:rPr>
        <w:rFonts w:ascii="Courier New" w:hAnsi="Courier New" w:cs="Courier New" w:hint="default"/>
      </w:rPr>
    </w:lvl>
    <w:lvl w:ilvl="5" w:tplc="1C090005" w:tentative="1">
      <w:start w:val="1"/>
      <w:numFmt w:val="bullet"/>
      <w:lvlText w:val=""/>
      <w:lvlJc w:val="left"/>
      <w:pPr>
        <w:ind w:left="3916" w:hanging="360"/>
      </w:pPr>
      <w:rPr>
        <w:rFonts w:ascii="Wingdings" w:hAnsi="Wingdings" w:hint="default"/>
      </w:rPr>
    </w:lvl>
    <w:lvl w:ilvl="6" w:tplc="1C090001" w:tentative="1">
      <w:start w:val="1"/>
      <w:numFmt w:val="bullet"/>
      <w:lvlText w:val=""/>
      <w:lvlJc w:val="left"/>
      <w:pPr>
        <w:ind w:left="4636" w:hanging="360"/>
      </w:pPr>
      <w:rPr>
        <w:rFonts w:ascii="Symbol" w:hAnsi="Symbol" w:hint="default"/>
      </w:rPr>
    </w:lvl>
    <w:lvl w:ilvl="7" w:tplc="1C090003" w:tentative="1">
      <w:start w:val="1"/>
      <w:numFmt w:val="bullet"/>
      <w:lvlText w:val="o"/>
      <w:lvlJc w:val="left"/>
      <w:pPr>
        <w:ind w:left="5356" w:hanging="360"/>
      </w:pPr>
      <w:rPr>
        <w:rFonts w:ascii="Courier New" w:hAnsi="Courier New" w:cs="Courier New" w:hint="default"/>
      </w:rPr>
    </w:lvl>
    <w:lvl w:ilvl="8" w:tplc="1C090005" w:tentative="1">
      <w:start w:val="1"/>
      <w:numFmt w:val="bullet"/>
      <w:lvlText w:val=""/>
      <w:lvlJc w:val="left"/>
      <w:pPr>
        <w:ind w:left="6076" w:hanging="360"/>
      </w:pPr>
      <w:rPr>
        <w:rFonts w:ascii="Wingdings" w:hAnsi="Wingdings" w:hint="default"/>
      </w:rPr>
    </w:lvl>
  </w:abstractNum>
  <w:abstractNum w:abstractNumId="14">
    <w:nsid w:val="46E33D8B"/>
    <w:multiLevelType w:val="hybridMultilevel"/>
    <w:tmpl w:val="816C9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E2873"/>
    <w:multiLevelType w:val="hybridMultilevel"/>
    <w:tmpl w:val="126613B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0E35398"/>
    <w:multiLevelType w:val="hybridMultilevel"/>
    <w:tmpl w:val="670E13D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C96382B"/>
    <w:multiLevelType w:val="multilevel"/>
    <w:tmpl w:val="2766D49E"/>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5E826C87"/>
    <w:multiLevelType w:val="multilevel"/>
    <w:tmpl w:val="7B8A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C76D9C"/>
    <w:multiLevelType w:val="hybridMultilevel"/>
    <w:tmpl w:val="91DA0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BC5C2B"/>
    <w:multiLevelType w:val="multilevel"/>
    <w:tmpl w:val="39DAE098"/>
    <w:lvl w:ilvl="0">
      <w:start w:val="6"/>
      <w:numFmt w:val="decimal"/>
      <w:lvlText w:val="%1"/>
      <w:lvlJc w:val="left"/>
      <w:pPr>
        <w:ind w:left="360" w:hanging="360"/>
      </w:pPr>
      <w:rPr>
        <w:rFonts w:ascii="Times New Roman" w:hAnsi="Times New Roman" w:cs="Times New Roman" w:hint="default"/>
        <w:sz w:val="24"/>
      </w:rPr>
    </w:lvl>
    <w:lvl w:ilvl="1">
      <w:start w:val="6"/>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1">
    <w:nsid w:val="6E707CAF"/>
    <w:multiLevelType w:val="hybridMultilevel"/>
    <w:tmpl w:val="4470E54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FF7173A"/>
    <w:multiLevelType w:val="multilevel"/>
    <w:tmpl w:val="DDDA82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01F3582"/>
    <w:multiLevelType w:val="multilevel"/>
    <w:tmpl w:val="0868C21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AE154A"/>
    <w:multiLevelType w:val="hybridMultilevel"/>
    <w:tmpl w:val="B37AFF0E"/>
    <w:lvl w:ilvl="0" w:tplc="04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8897A90"/>
    <w:multiLevelType w:val="hybridMultilevel"/>
    <w:tmpl w:val="83C828F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8DA1104"/>
    <w:multiLevelType w:val="hybridMultilevel"/>
    <w:tmpl w:val="E7544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C31C0"/>
    <w:multiLevelType w:val="hybridMultilevel"/>
    <w:tmpl w:val="AC6E755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
  </w:num>
  <w:num w:numId="4">
    <w:abstractNumId w:val="16"/>
  </w:num>
  <w:num w:numId="5">
    <w:abstractNumId w:val="15"/>
  </w:num>
  <w:num w:numId="6">
    <w:abstractNumId w:val="18"/>
  </w:num>
  <w:num w:numId="7">
    <w:abstractNumId w:val="13"/>
  </w:num>
  <w:num w:numId="8">
    <w:abstractNumId w:val="6"/>
  </w:num>
  <w:num w:numId="9">
    <w:abstractNumId w:val="12"/>
  </w:num>
  <w:num w:numId="10">
    <w:abstractNumId w:val="8"/>
  </w:num>
  <w:num w:numId="11">
    <w:abstractNumId w:val="1"/>
  </w:num>
  <w:num w:numId="12">
    <w:abstractNumId w:val="24"/>
  </w:num>
  <w:num w:numId="13">
    <w:abstractNumId w:val="21"/>
  </w:num>
  <w:num w:numId="14">
    <w:abstractNumId w:val="9"/>
  </w:num>
  <w:num w:numId="15">
    <w:abstractNumId w:val="25"/>
  </w:num>
  <w:num w:numId="16">
    <w:abstractNumId w:val="27"/>
  </w:num>
  <w:num w:numId="17">
    <w:abstractNumId w:val="19"/>
  </w:num>
  <w:num w:numId="18">
    <w:abstractNumId w:val="4"/>
  </w:num>
  <w:num w:numId="19">
    <w:abstractNumId w:val="7"/>
  </w:num>
  <w:num w:numId="20">
    <w:abstractNumId w:val="20"/>
  </w:num>
  <w:num w:numId="21">
    <w:abstractNumId w:val="11"/>
  </w:num>
  <w:num w:numId="22">
    <w:abstractNumId w:val="5"/>
  </w:num>
  <w:num w:numId="23">
    <w:abstractNumId w:val="17"/>
  </w:num>
  <w:num w:numId="24">
    <w:abstractNumId w:val="14"/>
  </w:num>
  <w:num w:numId="25">
    <w:abstractNumId w:val="3"/>
  </w:num>
  <w:num w:numId="26">
    <w:abstractNumId w:val="10"/>
  </w:num>
  <w:num w:numId="27">
    <w:abstractNumId w:val="26"/>
  </w:num>
  <w:num w:numId="2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rsids>
    <w:rsidRoot w:val="00C15AAC"/>
    <w:rsid w:val="00002322"/>
    <w:rsid w:val="00003493"/>
    <w:rsid w:val="00003FA4"/>
    <w:rsid w:val="0000475C"/>
    <w:rsid w:val="00004A72"/>
    <w:rsid w:val="00005F7F"/>
    <w:rsid w:val="00006518"/>
    <w:rsid w:val="000132A0"/>
    <w:rsid w:val="000132EB"/>
    <w:rsid w:val="00013F17"/>
    <w:rsid w:val="00014D0C"/>
    <w:rsid w:val="00020AAC"/>
    <w:rsid w:val="0002183C"/>
    <w:rsid w:val="000232A6"/>
    <w:rsid w:val="00025159"/>
    <w:rsid w:val="00030B3F"/>
    <w:rsid w:val="00031C81"/>
    <w:rsid w:val="000329EA"/>
    <w:rsid w:val="00034335"/>
    <w:rsid w:val="00034A53"/>
    <w:rsid w:val="00037C1A"/>
    <w:rsid w:val="00041E4E"/>
    <w:rsid w:val="0004204A"/>
    <w:rsid w:val="00042B4F"/>
    <w:rsid w:val="000439B6"/>
    <w:rsid w:val="00047A01"/>
    <w:rsid w:val="000526E9"/>
    <w:rsid w:val="000551CD"/>
    <w:rsid w:val="00055765"/>
    <w:rsid w:val="00055997"/>
    <w:rsid w:val="00062037"/>
    <w:rsid w:val="00064270"/>
    <w:rsid w:val="0006451C"/>
    <w:rsid w:val="00067FF0"/>
    <w:rsid w:val="00070D0A"/>
    <w:rsid w:val="00071985"/>
    <w:rsid w:val="0007321B"/>
    <w:rsid w:val="00073412"/>
    <w:rsid w:val="00073BFC"/>
    <w:rsid w:val="00074795"/>
    <w:rsid w:val="00077139"/>
    <w:rsid w:val="000775E8"/>
    <w:rsid w:val="000829E6"/>
    <w:rsid w:val="00084721"/>
    <w:rsid w:val="00085131"/>
    <w:rsid w:val="000902AF"/>
    <w:rsid w:val="0009039D"/>
    <w:rsid w:val="00092EA2"/>
    <w:rsid w:val="00093DDA"/>
    <w:rsid w:val="0009750E"/>
    <w:rsid w:val="000A2CDB"/>
    <w:rsid w:val="000A4937"/>
    <w:rsid w:val="000A4D8C"/>
    <w:rsid w:val="000B036F"/>
    <w:rsid w:val="000B0E1D"/>
    <w:rsid w:val="000B69FF"/>
    <w:rsid w:val="000C2D9C"/>
    <w:rsid w:val="000C6EAB"/>
    <w:rsid w:val="000C73CB"/>
    <w:rsid w:val="000D06D5"/>
    <w:rsid w:val="000D25CE"/>
    <w:rsid w:val="000E29AC"/>
    <w:rsid w:val="000E469F"/>
    <w:rsid w:val="000E5789"/>
    <w:rsid w:val="000E68F1"/>
    <w:rsid w:val="000E757F"/>
    <w:rsid w:val="000F0359"/>
    <w:rsid w:val="000F0ABF"/>
    <w:rsid w:val="000F246B"/>
    <w:rsid w:val="000F2875"/>
    <w:rsid w:val="000F452A"/>
    <w:rsid w:val="000F4885"/>
    <w:rsid w:val="000F6538"/>
    <w:rsid w:val="000F6D11"/>
    <w:rsid w:val="000F7860"/>
    <w:rsid w:val="0010213E"/>
    <w:rsid w:val="00105257"/>
    <w:rsid w:val="0010668C"/>
    <w:rsid w:val="00112184"/>
    <w:rsid w:val="00115E0F"/>
    <w:rsid w:val="00117173"/>
    <w:rsid w:val="001215A3"/>
    <w:rsid w:val="00122FB8"/>
    <w:rsid w:val="00123CD1"/>
    <w:rsid w:val="001248C8"/>
    <w:rsid w:val="00124A3F"/>
    <w:rsid w:val="00124F84"/>
    <w:rsid w:val="00126268"/>
    <w:rsid w:val="0012778A"/>
    <w:rsid w:val="00131165"/>
    <w:rsid w:val="001342A3"/>
    <w:rsid w:val="001348CC"/>
    <w:rsid w:val="00135F0F"/>
    <w:rsid w:val="00135F3F"/>
    <w:rsid w:val="00142954"/>
    <w:rsid w:val="00143DA5"/>
    <w:rsid w:val="0015058A"/>
    <w:rsid w:val="001522B3"/>
    <w:rsid w:val="00160225"/>
    <w:rsid w:val="00163F27"/>
    <w:rsid w:val="001642AE"/>
    <w:rsid w:val="0017474D"/>
    <w:rsid w:val="00177BFE"/>
    <w:rsid w:val="00180C6F"/>
    <w:rsid w:val="0018179B"/>
    <w:rsid w:val="001849F9"/>
    <w:rsid w:val="00184A19"/>
    <w:rsid w:val="00184B47"/>
    <w:rsid w:val="00186280"/>
    <w:rsid w:val="0019067F"/>
    <w:rsid w:val="00193BE0"/>
    <w:rsid w:val="001953B0"/>
    <w:rsid w:val="001953C5"/>
    <w:rsid w:val="001A1629"/>
    <w:rsid w:val="001A21AB"/>
    <w:rsid w:val="001A36E9"/>
    <w:rsid w:val="001B07C1"/>
    <w:rsid w:val="001B253A"/>
    <w:rsid w:val="001B29D7"/>
    <w:rsid w:val="001B40D3"/>
    <w:rsid w:val="001B5128"/>
    <w:rsid w:val="001B56AF"/>
    <w:rsid w:val="001B5724"/>
    <w:rsid w:val="001B58B9"/>
    <w:rsid w:val="001B68CA"/>
    <w:rsid w:val="001B6B6E"/>
    <w:rsid w:val="001C0293"/>
    <w:rsid w:val="001C0AE7"/>
    <w:rsid w:val="001C1615"/>
    <w:rsid w:val="001C17C1"/>
    <w:rsid w:val="001C2480"/>
    <w:rsid w:val="001C2D19"/>
    <w:rsid w:val="001C3B33"/>
    <w:rsid w:val="001C442E"/>
    <w:rsid w:val="001C5D9A"/>
    <w:rsid w:val="001C5F7F"/>
    <w:rsid w:val="001C6AA7"/>
    <w:rsid w:val="001D0508"/>
    <w:rsid w:val="001D2B83"/>
    <w:rsid w:val="001D6B82"/>
    <w:rsid w:val="001E0F5B"/>
    <w:rsid w:val="001E27A9"/>
    <w:rsid w:val="001E4BE0"/>
    <w:rsid w:val="001E5CEE"/>
    <w:rsid w:val="001E776F"/>
    <w:rsid w:val="001F0725"/>
    <w:rsid w:val="001F455F"/>
    <w:rsid w:val="001F45E2"/>
    <w:rsid w:val="002011D4"/>
    <w:rsid w:val="002027F3"/>
    <w:rsid w:val="0020330A"/>
    <w:rsid w:val="00203B22"/>
    <w:rsid w:val="0020506B"/>
    <w:rsid w:val="002076A1"/>
    <w:rsid w:val="00207886"/>
    <w:rsid w:val="00210E3C"/>
    <w:rsid w:val="0021171F"/>
    <w:rsid w:val="0021455B"/>
    <w:rsid w:val="00214888"/>
    <w:rsid w:val="0021626B"/>
    <w:rsid w:val="00216FDF"/>
    <w:rsid w:val="0021744B"/>
    <w:rsid w:val="002205B2"/>
    <w:rsid w:val="00221CBA"/>
    <w:rsid w:val="00222DB3"/>
    <w:rsid w:val="0022372B"/>
    <w:rsid w:val="00223C69"/>
    <w:rsid w:val="002243A7"/>
    <w:rsid w:val="00226284"/>
    <w:rsid w:val="00230511"/>
    <w:rsid w:val="00230C47"/>
    <w:rsid w:val="00234D13"/>
    <w:rsid w:val="0023589B"/>
    <w:rsid w:val="0023751B"/>
    <w:rsid w:val="00240289"/>
    <w:rsid w:val="00240A83"/>
    <w:rsid w:val="00241128"/>
    <w:rsid w:val="00243AF8"/>
    <w:rsid w:val="002509AA"/>
    <w:rsid w:val="00250B53"/>
    <w:rsid w:val="002613A7"/>
    <w:rsid w:val="0026153E"/>
    <w:rsid w:val="0026566F"/>
    <w:rsid w:val="002659D2"/>
    <w:rsid w:val="002661D2"/>
    <w:rsid w:val="00272B28"/>
    <w:rsid w:val="00275D8E"/>
    <w:rsid w:val="00286515"/>
    <w:rsid w:val="00292B93"/>
    <w:rsid w:val="002950A8"/>
    <w:rsid w:val="002960B1"/>
    <w:rsid w:val="00297585"/>
    <w:rsid w:val="002A3B4D"/>
    <w:rsid w:val="002B55AB"/>
    <w:rsid w:val="002B5655"/>
    <w:rsid w:val="002B7DE6"/>
    <w:rsid w:val="002D4252"/>
    <w:rsid w:val="002D4AE8"/>
    <w:rsid w:val="002D5FC1"/>
    <w:rsid w:val="002D7520"/>
    <w:rsid w:val="002E3ABD"/>
    <w:rsid w:val="002E3E94"/>
    <w:rsid w:val="002F06AD"/>
    <w:rsid w:val="002F099C"/>
    <w:rsid w:val="002F1D80"/>
    <w:rsid w:val="002F457D"/>
    <w:rsid w:val="003015A9"/>
    <w:rsid w:val="0030170C"/>
    <w:rsid w:val="00301BA8"/>
    <w:rsid w:val="00303219"/>
    <w:rsid w:val="0030354F"/>
    <w:rsid w:val="00306AEF"/>
    <w:rsid w:val="00306B63"/>
    <w:rsid w:val="00310296"/>
    <w:rsid w:val="003109D0"/>
    <w:rsid w:val="00310FEA"/>
    <w:rsid w:val="0031154C"/>
    <w:rsid w:val="00315F5D"/>
    <w:rsid w:val="003176F8"/>
    <w:rsid w:val="0031785D"/>
    <w:rsid w:val="00317EC0"/>
    <w:rsid w:val="003211BD"/>
    <w:rsid w:val="00323EFA"/>
    <w:rsid w:val="00324401"/>
    <w:rsid w:val="003264DC"/>
    <w:rsid w:val="003268DB"/>
    <w:rsid w:val="00326C16"/>
    <w:rsid w:val="0032753D"/>
    <w:rsid w:val="00330880"/>
    <w:rsid w:val="003310C4"/>
    <w:rsid w:val="00331C0A"/>
    <w:rsid w:val="00334694"/>
    <w:rsid w:val="003352B5"/>
    <w:rsid w:val="003400B7"/>
    <w:rsid w:val="00341B69"/>
    <w:rsid w:val="003503A1"/>
    <w:rsid w:val="00350E36"/>
    <w:rsid w:val="00356CCC"/>
    <w:rsid w:val="00360044"/>
    <w:rsid w:val="0036351B"/>
    <w:rsid w:val="003710BC"/>
    <w:rsid w:val="0037204B"/>
    <w:rsid w:val="003739C8"/>
    <w:rsid w:val="00374202"/>
    <w:rsid w:val="00374C05"/>
    <w:rsid w:val="00377645"/>
    <w:rsid w:val="0038421A"/>
    <w:rsid w:val="00390FD3"/>
    <w:rsid w:val="003938B1"/>
    <w:rsid w:val="003A4ACB"/>
    <w:rsid w:val="003A78C8"/>
    <w:rsid w:val="003B0D1B"/>
    <w:rsid w:val="003B3A85"/>
    <w:rsid w:val="003B3CB4"/>
    <w:rsid w:val="003B714B"/>
    <w:rsid w:val="003B751A"/>
    <w:rsid w:val="003B7560"/>
    <w:rsid w:val="003C2B23"/>
    <w:rsid w:val="003C6015"/>
    <w:rsid w:val="003D00B4"/>
    <w:rsid w:val="003D5315"/>
    <w:rsid w:val="003D7708"/>
    <w:rsid w:val="003D7DA5"/>
    <w:rsid w:val="003E47A7"/>
    <w:rsid w:val="003E75C8"/>
    <w:rsid w:val="003E762C"/>
    <w:rsid w:val="003F2130"/>
    <w:rsid w:val="003F2886"/>
    <w:rsid w:val="003F7005"/>
    <w:rsid w:val="00400625"/>
    <w:rsid w:val="00400BAA"/>
    <w:rsid w:val="00401921"/>
    <w:rsid w:val="00402F29"/>
    <w:rsid w:val="00412603"/>
    <w:rsid w:val="0041426D"/>
    <w:rsid w:val="004156A9"/>
    <w:rsid w:val="00415C19"/>
    <w:rsid w:val="00421009"/>
    <w:rsid w:val="00423301"/>
    <w:rsid w:val="00426747"/>
    <w:rsid w:val="004279B8"/>
    <w:rsid w:val="004322C3"/>
    <w:rsid w:val="00435334"/>
    <w:rsid w:val="00440F87"/>
    <w:rsid w:val="004440D2"/>
    <w:rsid w:val="00444C99"/>
    <w:rsid w:val="0044632B"/>
    <w:rsid w:val="00446846"/>
    <w:rsid w:val="0045284A"/>
    <w:rsid w:val="004543E0"/>
    <w:rsid w:val="00454B17"/>
    <w:rsid w:val="00456B04"/>
    <w:rsid w:val="004605A1"/>
    <w:rsid w:val="00460CE9"/>
    <w:rsid w:val="00464B30"/>
    <w:rsid w:val="0046713C"/>
    <w:rsid w:val="00470093"/>
    <w:rsid w:val="00471D9B"/>
    <w:rsid w:val="00474914"/>
    <w:rsid w:val="00474924"/>
    <w:rsid w:val="00475644"/>
    <w:rsid w:val="00476CAD"/>
    <w:rsid w:val="00486A6F"/>
    <w:rsid w:val="00487CBA"/>
    <w:rsid w:val="00493219"/>
    <w:rsid w:val="00494EEE"/>
    <w:rsid w:val="00495278"/>
    <w:rsid w:val="00495A3C"/>
    <w:rsid w:val="00495D1B"/>
    <w:rsid w:val="004A1FB9"/>
    <w:rsid w:val="004A3DE0"/>
    <w:rsid w:val="004A5085"/>
    <w:rsid w:val="004A5E3A"/>
    <w:rsid w:val="004A74DC"/>
    <w:rsid w:val="004B3BEC"/>
    <w:rsid w:val="004B3DCC"/>
    <w:rsid w:val="004B43DB"/>
    <w:rsid w:val="004B466A"/>
    <w:rsid w:val="004C4D35"/>
    <w:rsid w:val="004D128B"/>
    <w:rsid w:val="004D5D2E"/>
    <w:rsid w:val="004D646D"/>
    <w:rsid w:val="004E2B88"/>
    <w:rsid w:val="004E4068"/>
    <w:rsid w:val="004E5315"/>
    <w:rsid w:val="004E5A44"/>
    <w:rsid w:val="004E6253"/>
    <w:rsid w:val="004E71A0"/>
    <w:rsid w:val="004F00B9"/>
    <w:rsid w:val="004F290B"/>
    <w:rsid w:val="0050124B"/>
    <w:rsid w:val="005020C3"/>
    <w:rsid w:val="00506FF7"/>
    <w:rsid w:val="00511EAA"/>
    <w:rsid w:val="00512949"/>
    <w:rsid w:val="005209C2"/>
    <w:rsid w:val="005313EC"/>
    <w:rsid w:val="00531FFD"/>
    <w:rsid w:val="00533155"/>
    <w:rsid w:val="0053566C"/>
    <w:rsid w:val="005360ED"/>
    <w:rsid w:val="00541459"/>
    <w:rsid w:val="00544AE5"/>
    <w:rsid w:val="00545380"/>
    <w:rsid w:val="00547640"/>
    <w:rsid w:val="005504AE"/>
    <w:rsid w:val="00550B8E"/>
    <w:rsid w:val="00551196"/>
    <w:rsid w:val="0055469A"/>
    <w:rsid w:val="005567D2"/>
    <w:rsid w:val="00560172"/>
    <w:rsid w:val="0057116E"/>
    <w:rsid w:val="005727CD"/>
    <w:rsid w:val="005744B8"/>
    <w:rsid w:val="00576511"/>
    <w:rsid w:val="005766AD"/>
    <w:rsid w:val="00576799"/>
    <w:rsid w:val="00580D4E"/>
    <w:rsid w:val="00581A80"/>
    <w:rsid w:val="0058220C"/>
    <w:rsid w:val="0058241F"/>
    <w:rsid w:val="005843DA"/>
    <w:rsid w:val="00585752"/>
    <w:rsid w:val="00585BC3"/>
    <w:rsid w:val="00590BC2"/>
    <w:rsid w:val="005924B0"/>
    <w:rsid w:val="00595415"/>
    <w:rsid w:val="005955F3"/>
    <w:rsid w:val="005A60C1"/>
    <w:rsid w:val="005B3496"/>
    <w:rsid w:val="005B46E3"/>
    <w:rsid w:val="005B58D4"/>
    <w:rsid w:val="005B7846"/>
    <w:rsid w:val="005B78D6"/>
    <w:rsid w:val="005B7A81"/>
    <w:rsid w:val="005C1249"/>
    <w:rsid w:val="005C3AAA"/>
    <w:rsid w:val="005C40CF"/>
    <w:rsid w:val="005C5535"/>
    <w:rsid w:val="005C62F7"/>
    <w:rsid w:val="005D3820"/>
    <w:rsid w:val="005D408D"/>
    <w:rsid w:val="005D6551"/>
    <w:rsid w:val="005D78B6"/>
    <w:rsid w:val="005E1AF7"/>
    <w:rsid w:val="005E1D88"/>
    <w:rsid w:val="005E2EFF"/>
    <w:rsid w:val="005E430E"/>
    <w:rsid w:val="005E456A"/>
    <w:rsid w:val="005E698F"/>
    <w:rsid w:val="005E7ADC"/>
    <w:rsid w:val="005F5953"/>
    <w:rsid w:val="005F5A3D"/>
    <w:rsid w:val="005F5E27"/>
    <w:rsid w:val="005F6C13"/>
    <w:rsid w:val="00600150"/>
    <w:rsid w:val="00601B54"/>
    <w:rsid w:val="006039EA"/>
    <w:rsid w:val="006041C0"/>
    <w:rsid w:val="00604B4E"/>
    <w:rsid w:val="00605C48"/>
    <w:rsid w:val="00605D74"/>
    <w:rsid w:val="00605E4E"/>
    <w:rsid w:val="006061A5"/>
    <w:rsid w:val="00607343"/>
    <w:rsid w:val="00617226"/>
    <w:rsid w:val="00617BF0"/>
    <w:rsid w:val="00623785"/>
    <w:rsid w:val="0062509F"/>
    <w:rsid w:val="00634812"/>
    <w:rsid w:val="00636022"/>
    <w:rsid w:val="006410CE"/>
    <w:rsid w:val="006557C8"/>
    <w:rsid w:val="00662112"/>
    <w:rsid w:val="006627C7"/>
    <w:rsid w:val="00662ECE"/>
    <w:rsid w:val="0066727B"/>
    <w:rsid w:val="00670583"/>
    <w:rsid w:val="00670AB5"/>
    <w:rsid w:val="00671954"/>
    <w:rsid w:val="00671D4D"/>
    <w:rsid w:val="00677692"/>
    <w:rsid w:val="00680293"/>
    <w:rsid w:val="006844BA"/>
    <w:rsid w:val="006921C7"/>
    <w:rsid w:val="00693903"/>
    <w:rsid w:val="0069593C"/>
    <w:rsid w:val="006A01D1"/>
    <w:rsid w:val="006A1CF0"/>
    <w:rsid w:val="006A2ACB"/>
    <w:rsid w:val="006A41AF"/>
    <w:rsid w:val="006A5F0F"/>
    <w:rsid w:val="006A7297"/>
    <w:rsid w:val="006A764B"/>
    <w:rsid w:val="006A7ACC"/>
    <w:rsid w:val="006A7FBF"/>
    <w:rsid w:val="006B215F"/>
    <w:rsid w:val="006B28BA"/>
    <w:rsid w:val="006B547A"/>
    <w:rsid w:val="006B6316"/>
    <w:rsid w:val="006B6558"/>
    <w:rsid w:val="006C16B6"/>
    <w:rsid w:val="006C2B83"/>
    <w:rsid w:val="006C6718"/>
    <w:rsid w:val="006C7594"/>
    <w:rsid w:val="006D05B3"/>
    <w:rsid w:val="006D1D17"/>
    <w:rsid w:val="006D2628"/>
    <w:rsid w:val="006D4756"/>
    <w:rsid w:val="006D7E2E"/>
    <w:rsid w:val="006E3194"/>
    <w:rsid w:val="006E6E86"/>
    <w:rsid w:val="006F22EA"/>
    <w:rsid w:val="006F285C"/>
    <w:rsid w:val="006F5850"/>
    <w:rsid w:val="006F72A6"/>
    <w:rsid w:val="006F7BF0"/>
    <w:rsid w:val="00703669"/>
    <w:rsid w:val="007051AA"/>
    <w:rsid w:val="007123AE"/>
    <w:rsid w:val="00713CAD"/>
    <w:rsid w:val="00715722"/>
    <w:rsid w:val="00715C7C"/>
    <w:rsid w:val="00717AE7"/>
    <w:rsid w:val="00723C4B"/>
    <w:rsid w:val="007248D9"/>
    <w:rsid w:val="00726B87"/>
    <w:rsid w:val="00726FA3"/>
    <w:rsid w:val="00730977"/>
    <w:rsid w:val="00731416"/>
    <w:rsid w:val="007322C0"/>
    <w:rsid w:val="00732AEA"/>
    <w:rsid w:val="0073337E"/>
    <w:rsid w:val="00735360"/>
    <w:rsid w:val="0074285B"/>
    <w:rsid w:val="0074538B"/>
    <w:rsid w:val="00745E62"/>
    <w:rsid w:val="007474E7"/>
    <w:rsid w:val="00752151"/>
    <w:rsid w:val="0075461D"/>
    <w:rsid w:val="00757585"/>
    <w:rsid w:val="00757A2D"/>
    <w:rsid w:val="00762816"/>
    <w:rsid w:val="007638ED"/>
    <w:rsid w:val="00765501"/>
    <w:rsid w:val="0076670C"/>
    <w:rsid w:val="007678B8"/>
    <w:rsid w:val="007700B9"/>
    <w:rsid w:val="007708FB"/>
    <w:rsid w:val="00771717"/>
    <w:rsid w:val="00775569"/>
    <w:rsid w:val="00781C6A"/>
    <w:rsid w:val="0078365D"/>
    <w:rsid w:val="00784B1F"/>
    <w:rsid w:val="00785188"/>
    <w:rsid w:val="00793BF7"/>
    <w:rsid w:val="00796110"/>
    <w:rsid w:val="00796128"/>
    <w:rsid w:val="00797449"/>
    <w:rsid w:val="00797565"/>
    <w:rsid w:val="007979BF"/>
    <w:rsid w:val="007A35F3"/>
    <w:rsid w:val="007A4DF1"/>
    <w:rsid w:val="007A6F60"/>
    <w:rsid w:val="007A725D"/>
    <w:rsid w:val="007A7266"/>
    <w:rsid w:val="007A7293"/>
    <w:rsid w:val="007B0A5B"/>
    <w:rsid w:val="007B1925"/>
    <w:rsid w:val="007B1E69"/>
    <w:rsid w:val="007B2395"/>
    <w:rsid w:val="007B2567"/>
    <w:rsid w:val="007B6926"/>
    <w:rsid w:val="007B6ADC"/>
    <w:rsid w:val="007B7683"/>
    <w:rsid w:val="007B7797"/>
    <w:rsid w:val="007C1057"/>
    <w:rsid w:val="007C3193"/>
    <w:rsid w:val="007D3741"/>
    <w:rsid w:val="007D4C91"/>
    <w:rsid w:val="007D52AE"/>
    <w:rsid w:val="007D7448"/>
    <w:rsid w:val="007E0BCB"/>
    <w:rsid w:val="007E3BE9"/>
    <w:rsid w:val="007E4468"/>
    <w:rsid w:val="007E61DE"/>
    <w:rsid w:val="007F074C"/>
    <w:rsid w:val="007F1E66"/>
    <w:rsid w:val="007F6C83"/>
    <w:rsid w:val="008027D4"/>
    <w:rsid w:val="008041C5"/>
    <w:rsid w:val="00804914"/>
    <w:rsid w:val="00805C13"/>
    <w:rsid w:val="00806B56"/>
    <w:rsid w:val="008140CE"/>
    <w:rsid w:val="00814937"/>
    <w:rsid w:val="0081729B"/>
    <w:rsid w:val="0081798A"/>
    <w:rsid w:val="00822FFC"/>
    <w:rsid w:val="00823AA3"/>
    <w:rsid w:val="00824440"/>
    <w:rsid w:val="008262D9"/>
    <w:rsid w:val="008263E0"/>
    <w:rsid w:val="008338D2"/>
    <w:rsid w:val="00834298"/>
    <w:rsid w:val="00835189"/>
    <w:rsid w:val="00845F67"/>
    <w:rsid w:val="0084730D"/>
    <w:rsid w:val="008474FD"/>
    <w:rsid w:val="0084756F"/>
    <w:rsid w:val="00847EFB"/>
    <w:rsid w:val="00850929"/>
    <w:rsid w:val="00851889"/>
    <w:rsid w:val="008526F2"/>
    <w:rsid w:val="008558BB"/>
    <w:rsid w:val="00861A99"/>
    <w:rsid w:val="00863729"/>
    <w:rsid w:val="0087152A"/>
    <w:rsid w:val="00872C08"/>
    <w:rsid w:val="00872F25"/>
    <w:rsid w:val="0087488D"/>
    <w:rsid w:val="00881A78"/>
    <w:rsid w:val="00881DDD"/>
    <w:rsid w:val="00882F26"/>
    <w:rsid w:val="008832D2"/>
    <w:rsid w:val="0088556B"/>
    <w:rsid w:val="008868B3"/>
    <w:rsid w:val="0089514A"/>
    <w:rsid w:val="00895653"/>
    <w:rsid w:val="008976E6"/>
    <w:rsid w:val="00897EB4"/>
    <w:rsid w:val="008A0838"/>
    <w:rsid w:val="008A2079"/>
    <w:rsid w:val="008A6003"/>
    <w:rsid w:val="008A6236"/>
    <w:rsid w:val="008B0332"/>
    <w:rsid w:val="008B5ED7"/>
    <w:rsid w:val="008B6BC2"/>
    <w:rsid w:val="008B72DB"/>
    <w:rsid w:val="008C232C"/>
    <w:rsid w:val="008C4A44"/>
    <w:rsid w:val="008C5912"/>
    <w:rsid w:val="008D0150"/>
    <w:rsid w:val="008D3CBA"/>
    <w:rsid w:val="008D58F7"/>
    <w:rsid w:val="008D619D"/>
    <w:rsid w:val="008D75E2"/>
    <w:rsid w:val="008E0CD5"/>
    <w:rsid w:val="008E413B"/>
    <w:rsid w:val="008E4684"/>
    <w:rsid w:val="008E6777"/>
    <w:rsid w:val="008E6804"/>
    <w:rsid w:val="008F36D1"/>
    <w:rsid w:val="008F6B5C"/>
    <w:rsid w:val="009014A6"/>
    <w:rsid w:val="00902ACF"/>
    <w:rsid w:val="009030E9"/>
    <w:rsid w:val="009075B7"/>
    <w:rsid w:val="00911D69"/>
    <w:rsid w:val="00912BF0"/>
    <w:rsid w:val="00912FCE"/>
    <w:rsid w:val="00916639"/>
    <w:rsid w:val="00922412"/>
    <w:rsid w:val="00925853"/>
    <w:rsid w:val="00926F48"/>
    <w:rsid w:val="00930E7A"/>
    <w:rsid w:val="009325E6"/>
    <w:rsid w:val="00934950"/>
    <w:rsid w:val="00940092"/>
    <w:rsid w:val="009424F3"/>
    <w:rsid w:val="00943ADB"/>
    <w:rsid w:val="00956823"/>
    <w:rsid w:val="009568FB"/>
    <w:rsid w:val="00957A6D"/>
    <w:rsid w:val="0096075F"/>
    <w:rsid w:val="00962F4A"/>
    <w:rsid w:val="00965F8E"/>
    <w:rsid w:val="00967230"/>
    <w:rsid w:val="0097102A"/>
    <w:rsid w:val="0097615A"/>
    <w:rsid w:val="00980066"/>
    <w:rsid w:val="00981D23"/>
    <w:rsid w:val="0098337E"/>
    <w:rsid w:val="009836FF"/>
    <w:rsid w:val="00987F76"/>
    <w:rsid w:val="009900AC"/>
    <w:rsid w:val="009904A2"/>
    <w:rsid w:val="0099243D"/>
    <w:rsid w:val="0099716B"/>
    <w:rsid w:val="00997E7F"/>
    <w:rsid w:val="009A0825"/>
    <w:rsid w:val="009A0FB0"/>
    <w:rsid w:val="009A1B2D"/>
    <w:rsid w:val="009A451D"/>
    <w:rsid w:val="009A64BE"/>
    <w:rsid w:val="009A6FCB"/>
    <w:rsid w:val="009B5DD4"/>
    <w:rsid w:val="009B7C70"/>
    <w:rsid w:val="009C3172"/>
    <w:rsid w:val="009C5B8C"/>
    <w:rsid w:val="009C5BE0"/>
    <w:rsid w:val="009C779C"/>
    <w:rsid w:val="009D3CDF"/>
    <w:rsid w:val="009D45E3"/>
    <w:rsid w:val="009D56D0"/>
    <w:rsid w:val="009E1B31"/>
    <w:rsid w:val="009E21AB"/>
    <w:rsid w:val="009E6EF1"/>
    <w:rsid w:val="009F064D"/>
    <w:rsid w:val="009F1453"/>
    <w:rsid w:val="009F320D"/>
    <w:rsid w:val="009F33B1"/>
    <w:rsid w:val="009F4289"/>
    <w:rsid w:val="009F447C"/>
    <w:rsid w:val="009F5346"/>
    <w:rsid w:val="00A00360"/>
    <w:rsid w:val="00A01CCB"/>
    <w:rsid w:val="00A0255A"/>
    <w:rsid w:val="00A04F73"/>
    <w:rsid w:val="00A0590E"/>
    <w:rsid w:val="00A20E80"/>
    <w:rsid w:val="00A2377C"/>
    <w:rsid w:val="00A3038E"/>
    <w:rsid w:val="00A3268B"/>
    <w:rsid w:val="00A33246"/>
    <w:rsid w:val="00A33599"/>
    <w:rsid w:val="00A4216E"/>
    <w:rsid w:val="00A43E8E"/>
    <w:rsid w:val="00A513E9"/>
    <w:rsid w:val="00A53B4F"/>
    <w:rsid w:val="00A54DED"/>
    <w:rsid w:val="00A60482"/>
    <w:rsid w:val="00A61D1B"/>
    <w:rsid w:val="00A63A30"/>
    <w:rsid w:val="00A65657"/>
    <w:rsid w:val="00A671DB"/>
    <w:rsid w:val="00A70DD0"/>
    <w:rsid w:val="00A720EF"/>
    <w:rsid w:val="00A741FD"/>
    <w:rsid w:val="00A7520B"/>
    <w:rsid w:val="00A84365"/>
    <w:rsid w:val="00A868B5"/>
    <w:rsid w:val="00A87060"/>
    <w:rsid w:val="00A926D5"/>
    <w:rsid w:val="00A93137"/>
    <w:rsid w:val="00A9429C"/>
    <w:rsid w:val="00AA4169"/>
    <w:rsid w:val="00AB0100"/>
    <w:rsid w:val="00AB18A5"/>
    <w:rsid w:val="00AB5147"/>
    <w:rsid w:val="00AB6837"/>
    <w:rsid w:val="00AB7853"/>
    <w:rsid w:val="00AC0446"/>
    <w:rsid w:val="00AC4D54"/>
    <w:rsid w:val="00AC781B"/>
    <w:rsid w:val="00AD2E90"/>
    <w:rsid w:val="00AD61D1"/>
    <w:rsid w:val="00AE1C08"/>
    <w:rsid w:val="00AE1C0A"/>
    <w:rsid w:val="00AF1A94"/>
    <w:rsid w:val="00AF42B4"/>
    <w:rsid w:val="00B0209E"/>
    <w:rsid w:val="00B026E2"/>
    <w:rsid w:val="00B04507"/>
    <w:rsid w:val="00B07F8A"/>
    <w:rsid w:val="00B07F90"/>
    <w:rsid w:val="00B14DBB"/>
    <w:rsid w:val="00B2383D"/>
    <w:rsid w:val="00B25DA4"/>
    <w:rsid w:val="00B32D58"/>
    <w:rsid w:val="00B33975"/>
    <w:rsid w:val="00B36C11"/>
    <w:rsid w:val="00B36ED7"/>
    <w:rsid w:val="00B429F3"/>
    <w:rsid w:val="00B50610"/>
    <w:rsid w:val="00B518A2"/>
    <w:rsid w:val="00B60C02"/>
    <w:rsid w:val="00B60E16"/>
    <w:rsid w:val="00B63997"/>
    <w:rsid w:val="00B67F3C"/>
    <w:rsid w:val="00B706ED"/>
    <w:rsid w:val="00B76D2B"/>
    <w:rsid w:val="00B81604"/>
    <w:rsid w:val="00B83FE9"/>
    <w:rsid w:val="00B86F57"/>
    <w:rsid w:val="00B92FE8"/>
    <w:rsid w:val="00B96902"/>
    <w:rsid w:val="00BA004D"/>
    <w:rsid w:val="00BB2343"/>
    <w:rsid w:val="00BB31B4"/>
    <w:rsid w:val="00BB648E"/>
    <w:rsid w:val="00BC6284"/>
    <w:rsid w:val="00BD3B48"/>
    <w:rsid w:val="00BD4B87"/>
    <w:rsid w:val="00BD5895"/>
    <w:rsid w:val="00BE0388"/>
    <w:rsid w:val="00BE3727"/>
    <w:rsid w:val="00BE4C2E"/>
    <w:rsid w:val="00BF4DFD"/>
    <w:rsid w:val="00C01616"/>
    <w:rsid w:val="00C02ABA"/>
    <w:rsid w:val="00C03114"/>
    <w:rsid w:val="00C06D73"/>
    <w:rsid w:val="00C1141A"/>
    <w:rsid w:val="00C1211A"/>
    <w:rsid w:val="00C141C3"/>
    <w:rsid w:val="00C15AAC"/>
    <w:rsid w:val="00C21388"/>
    <w:rsid w:val="00C24C33"/>
    <w:rsid w:val="00C25105"/>
    <w:rsid w:val="00C25B0A"/>
    <w:rsid w:val="00C267FF"/>
    <w:rsid w:val="00C26F22"/>
    <w:rsid w:val="00C310FB"/>
    <w:rsid w:val="00C32B7E"/>
    <w:rsid w:val="00C32FB6"/>
    <w:rsid w:val="00C33CC1"/>
    <w:rsid w:val="00C341AB"/>
    <w:rsid w:val="00C34471"/>
    <w:rsid w:val="00C35AB9"/>
    <w:rsid w:val="00C410D8"/>
    <w:rsid w:val="00C44CCC"/>
    <w:rsid w:val="00C462F3"/>
    <w:rsid w:val="00C51A97"/>
    <w:rsid w:val="00C521C6"/>
    <w:rsid w:val="00C531F4"/>
    <w:rsid w:val="00C53BD4"/>
    <w:rsid w:val="00C561C5"/>
    <w:rsid w:val="00C5678E"/>
    <w:rsid w:val="00C62E7C"/>
    <w:rsid w:val="00C634D1"/>
    <w:rsid w:val="00C65CE5"/>
    <w:rsid w:val="00C70E99"/>
    <w:rsid w:val="00C71591"/>
    <w:rsid w:val="00C724E9"/>
    <w:rsid w:val="00C73995"/>
    <w:rsid w:val="00C77E54"/>
    <w:rsid w:val="00C804B8"/>
    <w:rsid w:val="00C80864"/>
    <w:rsid w:val="00C8117C"/>
    <w:rsid w:val="00C82B93"/>
    <w:rsid w:val="00C90613"/>
    <w:rsid w:val="00C92956"/>
    <w:rsid w:val="00C92EB4"/>
    <w:rsid w:val="00C9571F"/>
    <w:rsid w:val="00C95A0D"/>
    <w:rsid w:val="00C96FC9"/>
    <w:rsid w:val="00CA4A90"/>
    <w:rsid w:val="00CA75E8"/>
    <w:rsid w:val="00CB1D4E"/>
    <w:rsid w:val="00CB43CF"/>
    <w:rsid w:val="00CB5857"/>
    <w:rsid w:val="00CB74C8"/>
    <w:rsid w:val="00CB7B18"/>
    <w:rsid w:val="00CC05B4"/>
    <w:rsid w:val="00CC1FBC"/>
    <w:rsid w:val="00CC2C74"/>
    <w:rsid w:val="00CD048D"/>
    <w:rsid w:val="00CD379B"/>
    <w:rsid w:val="00CD5C33"/>
    <w:rsid w:val="00CD5D59"/>
    <w:rsid w:val="00CD7683"/>
    <w:rsid w:val="00CE1414"/>
    <w:rsid w:val="00CE38D8"/>
    <w:rsid w:val="00CE4079"/>
    <w:rsid w:val="00CE4255"/>
    <w:rsid w:val="00CF18F6"/>
    <w:rsid w:val="00CF1DDB"/>
    <w:rsid w:val="00CF23DC"/>
    <w:rsid w:val="00CF4109"/>
    <w:rsid w:val="00CF47E0"/>
    <w:rsid w:val="00CF7774"/>
    <w:rsid w:val="00D0083E"/>
    <w:rsid w:val="00D0368B"/>
    <w:rsid w:val="00D03842"/>
    <w:rsid w:val="00D04ED7"/>
    <w:rsid w:val="00D06AE8"/>
    <w:rsid w:val="00D06DA8"/>
    <w:rsid w:val="00D06FB7"/>
    <w:rsid w:val="00D109D4"/>
    <w:rsid w:val="00D11E5F"/>
    <w:rsid w:val="00D134AA"/>
    <w:rsid w:val="00D144AC"/>
    <w:rsid w:val="00D14783"/>
    <w:rsid w:val="00D16F75"/>
    <w:rsid w:val="00D23052"/>
    <w:rsid w:val="00D26003"/>
    <w:rsid w:val="00D32817"/>
    <w:rsid w:val="00D33DD9"/>
    <w:rsid w:val="00D35132"/>
    <w:rsid w:val="00D4261C"/>
    <w:rsid w:val="00D474B5"/>
    <w:rsid w:val="00D501E1"/>
    <w:rsid w:val="00D53304"/>
    <w:rsid w:val="00D5683F"/>
    <w:rsid w:val="00D56CC5"/>
    <w:rsid w:val="00D615C4"/>
    <w:rsid w:val="00D640BE"/>
    <w:rsid w:val="00D66901"/>
    <w:rsid w:val="00D6781A"/>
    <w:rsid w:val="00D73FE9"/>
    <w:rsid w:val="00D7515C"/>
    <w:rsid w:val="00D77E52"/>
    <w:rsid w:val="00D86E76"/>
    <w:rsid w:val="00D9315F"/>
    <w:rsid w:val="00D96E63"/>
    <w:rsid w:val="00D974CC"/>
    <w:rsid w:val="00DA0B64"/>
    <w:rsid w:val="00DA333A"/>
    <w:rsid w:val="00DB415B"/>
    <w:rsid w:val="00DB77B8"/>
    <w:rsid w:val="00DC0709"/>
    <w:rsid w:val="00DC07CB"/>
    <w:rsid w:val="00DC1386"/>
    <w:rsid w:val="00DC48AB"/>
    <w:rsid w:val="00DD4D54"/>
    <w:rsid w:val="00DE00D0"/>
    <w:rsid w:val="00DE2285"/>
    <w:rsid w:val="00DE35F8"/>
    <w:rsid w:val="00DE519B"/>
    <w:rsid w:val="00DE7BD1"/>
    <w:rsid w:val="00DF0F54"/>
    <w:rsid w:val="00DF3BE2"/>
    <w:rsid w:val="00DF4461"/>
    <w:rsid w:val="00E00E3F"/>
    <w:rsid w:val="00E02A77"/>
    <w:rsid w:val="00E03350"/>
    <w:rsid w:val="00E040D7"/>
    <w:rsid w:val="00E048D3"/>
    <w:rsid w:val="00E12EEA"/>
    <w:rsid w:val="00E14B42"/>
    <w:rsid w:val="00E21BD7"/>
    <w:rsid w:val="00E22318"/>
    <w:rsid w:val="00E2562D"/>
    <w:rsid w:val="00E27613"/>
    <w:rsid w:val="00E303A9"/>
    <w:rsid w:val="00E33A18"/>
    <w:rsid w:val="00E35A60"/>
    <w:rsid w:val="00E41BE2"/>
    <w:rsid w:val="00E42249"/>
    <w:rsid w:val="00E44765"/>
    <w:rsid w:val="00E450C1"/>
    <w:rsid w:val="00E525B8"/>
    <w:rsid w:val="00E563B4"/>
    <w:rsid w:val="00E56EED"/>
    <w:rsid w:val="00E574E0"/>
    <w:rsid w:val="00E625C8"/>
    <w:rsid w:val="00E65F4D"/>
    <w:rsid w:val="00E67CE6"/>
    <w:rsid w:val="00E7092C"/>
    <w:rsid w:val="00E729BD"/>
    <w:rsid w:val="00E733C8"/>
    <w:rsid w:val="00E74A79"/>
    <w:rsid w:val="00E81C97"/>
    <w:rsid w:val="00E84473"/>
    <w:rsid w:val="00E853A8"/>
    <w:rsid w:val="00E85CCA"/>
    <w:rsid w:val="00E90973"/>
    <w:rsid w:val="00E95627"/>
    <w:rsid w:val="00E97F1F"/>
    <w:rsid w:val="00EA06E1"/>
    <w:rsid w:val="00EA10DD"/>
    <w:rsid w:val="00EA2B59"/>
    <w:rsid w:val="00EA3F29"/>
    <w:rsid w:val="00EA3F37"/>
    <w:rsid w:val="00EA7214"/>
    <w:rsid w:val="00EB1999"/>
    <w:rsid w:val="00EB2AF3"/>
    <w:rsid w:val="00EB2C3F"/>
    <w:rsid w:val="00EB47AE"/>
    <w:rsid w:val="00EB56F8"/>
    <w:rsid w:val="00EC3A7C"/>
    <w:rsid w:val="00ED37CB"/>
    <w:rsid w:val="00ED38EC"/>
    <w:rsid w:val="00ED7B98"/>
    <w:rsid w:val="00EE0F55"/>
    <w:rsid w:val="00EE2A67"/>
    <w:rsid w:val="00EE2EFE"/>
    <w:rsid w:val="00EE4F32"/>
    <w:rsid w:val="00EE6659"/>
    <w:rsid w:val="00EE71D5"/>
    <w:rsid w:val="00EE7708"/>
    <w:rsid w:val="00EE7B65"/>
    <w:rsid w:val="00EF0397"/>
    <w:rsid w:val="00EF12A3"/>
    <w:rsid w:val="00EF314C"/>
    <w:rsid w:val="00EF67CF"/>
    <w:rsid w:val="00F04241"/>
    <w:rsid w:val="00F06936"/>
    <w:rsid w:val="00F115C6"/>
    <w:rsid w:val="00F12B57"/>
    <w:rsid w:val="00F14654"/>
    <w:rsid w:val="00F15B9C"/>
    <w:rsid w:val="00F17B87"/>
    <w:rsid w:val="00F21E75"/>
    <w:rsid w:val="00F22A24"/>
    <w:rsid w:val="00F23ECE"/>
    <w:rsid w:val="00F279E3"/>
    <w:rsid w:val="00F33DF7"/>
    <w:rsid w:val="00F3410A"/>
    <w:rsid w:val="00F34F69"/>
    <w:rsid w:val="00F35ED7"/>
    <w:rsid w:val="00F36B16"/>
    <w:rsid w:val="00F37088"/>
    <w:rsid w:val="00F404F2"/>
    <w:rsid w:val="00F42247"/>
    <w:rsid w:val="00F5272F"/>
    <w:rsid w:val="00F527C4"/>
    <w:rsid w:val="00F52865"/>
    <w:rsid w:val="00F605D9"/>
    <w:rsid w:val="00F624AE"/>
    <w:rsid w:val="00F62516"/>
    <w:rsid w:val="00F703E6"/>
    <w:rsid w:val="00F713A2"/>
    <w:rsid w:val="00F723D9"/>
    <w:rsid w:val="00F739E1"/>
    <w:rsid w:val="00F743AF"/>
    <w:rsid w:val="00F74B8A"/>
    <w:rsid w:val="00F74DA3"/>
    <w:rsid w:val="00F84103"/>
    <w:rsid w:val="00F90088"/>
    <w:rsid w:val="00F90BBC"/>
    <w:rsid w:val="00F91E5A"/>
    <w:rsid w:val="00F93CCB"/>
    <w:rsid w:val="00FA038F"/>
    <w:rsid w:val="00FA0EC7"/>
    <w:rsid w:val="00FA1660"/>
    <w:rsid w:val="00FA18D6"/>
    <w:rsid w:val="00FA2138"/>
    <w:rsid w:val="00FA4A95"/>
    <w:rsid w:val="00FA6712"/>
    <w:rsid w:val="00FA6C73"/>
    <w:rsid w:val="00FB3373"/>
    <w:rsid w:val="00FB65D4"/>
    <w:rsid w:val="00FB66C9"/>
    <w:rsid w:val="00FC29C7"/>
    <w:rsid w:val="00FC2BDF"/>
    <w:rsid w:val="00FD054A"/>
    <w:rsid w:val="00FD62FF"/>
    <w:rsid w:val="00FD70BE"/>
    <w:rsid w:val="00FE22B9"/>
    <w:rsid w:val="00FE2831"/>
    <w:rsid w:val="00FE4729"/>
    <w:rsid w:val="00FE578F"/>
    <w:rsid w:val="00FE5E23"/>
    <w:rsid w:val="00FF087D"/>
    <w:rsid w:val="00FF1823"/>
    <w:rsid w:val="00FF1985"/>
    <w:rsid w:val="00FF2F18"/>
    <w:rsid w:val="00FF3F82"/>
    <w:rsid w:val="00FF44CA"/>
    <w:rsid w:val="00FF5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5AA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15AAC"/>
    <w:rPr>
      <w:rFonts w:ascii="Times New Roman" w:eastAsia="Times New Roman" w:hAnsi="Times New Roman" w:cs="Times New Roman"/>
      <w:sz w:val="24"/>
      <w:szCs w:val="24"/>
      <w:lang w:eastAsia="en-GB"/>
    </w:rPr>
  </w:style>
  <w:style w:type="paragraph" w:styleId="ListParagraph">
    <w:name w:val="List Paragraph"/>
    <w:aliases w:val="List Paragraph 1,Bullets,Table of contents numbered,footer text,List - Bullet Points,List Paragraph1,Indent Paragraph,Chapter Numbering"/>
    <w:basedOn w:val="Normal"/>
    <w:link w:val="ListParagraphChar"/>
    <w:uiPriority w:val="34"/>
    <w:qFormat/>
    <w:rsid w:val="00C15AAC"/>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C15AA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15AA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15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AC"/>
    <w:rPr>
      <w:rFonts w:ascii="Segoe UI" w:hAnsi="Segoe UI" w:cs="Segoe UI"/>
      <w:sz w:val="18"/>
      <w:szCs w:val="18"/>
    </w:rPr>
  </w:style>
  <w:style w:type="paragraph" w:styleId="Header">
    <w:name w:val="header"/>
    <w:basedOn w:val="Normal"/>
    <w:link w:val="HeaderChar"/>
    <w:rsid w:val="00C15AAC"/>
    <w:pPr>
      <w:tabs>
        <w:tab w:val="center" w:pos="4320"/>
        <w:tab w:val="right" w:pos="8640"/>
      </w:tabs>
      <w:spacing w:after="0" w:line="240" w:lineRule="auto"/>
    </w:pPr>
    <w:rPr>
      <w:rFonts w:ascii="Times New Roman" w:eastAsia="Times New Roman" w:hAnsi="Times New Roman" w:cs="Times New Roman"/>
      <w:b/>
      <w:szCs w:val="20"/>
      <w:lang w:val="en-GB"/>
    </w:rPr>
  </w:style>
  <w:style w:type="character" w:customStyle="1" w:styleId="HeaderChar">
    <w:name w:val="Header Char"/>
    <w:basedOn w:val="DefaultParagraphFont"/>
    <w:link w:val="Header"/>
    <w:rsid w:val="00C15AAC"/>
    <w:rPr>
      <w:rFonts w:ascii="Times New Roman" w:eastAsia="Times New Roman" w:hAnsi="Times New Roman" w:cs="Times New Roman"/>
      <w:b/>
      <w:szCs w:val="20"/>
      <w:lang w:val="en-GB"/>
    </w:rPr>
  </w:style>
  <w:style w:type="character" w:styleId="CommentReference">
    <w:name w:val="annotation reference"/>
    <w:basedOn w:val="DefaultParagraphFont"/>
    <w:uiPriority w:val="99"/>
    <w:semiHidden/>
    <w:unhideWhenUsed/>
    <w:rsid w:val="00C15AAC"/>
    <w:rPr>
      <w:sz w:val="16"/>
      <w:szCs w:val="16"/>
    </w:rPr>
  </w:style>
  <w:style w:type="paragraph" w:styleId="CommentText">
    <w:name w:val="annotation text"/>
    <w:basedOn w:val="Normal"/>
    <w:link w:val="CommentTextChar"/>
    <w:uiPriority w:val="99"/>
    <w:unhideWhenUsed/>
    <w:rsid w:val="00C15AAC"/>
    <w:pPr>
      <w:spacing w:line="240" w:lineRule="auto"/>
    </w:pPr>
    <w:rPr>
      <w:sz w:val="20"/>
      <w:szCs w:val="20"/>
    </w:rPr>
  </w:style>
  <w:style w:type="character" w:customStyle="1" w:styleId="CommentTextChar">
    <w:name w:val="Comment Text Char"/>
    <w:basedOn w:val="DefaultParagraphFont"/>
    <w:link w:val="CommentText"/>
    <w:uiPriority w:val="99"/>
    <w:rsid w:val="00C15AAC"/>
    <w:rPr>
      <w:sz w:val="20"/>
      <w:szCs w:val="20"/>
    </w:rPr>
  </w:style>
  <w:style w:type="paragraph" w:styleId="CommentSubject">
    <w:name w:val="annotation subject"/>
    <w:basedOn w:val="CommentText"/>
    <w:next w:val="CommentText"/>
    <w:link w:val="CommentSubjectChar"/>
    <w:uiPriority w:val="99"/>
    <w:semiHidden/>
    <w:unhideWhenUsed/>
    <w:rsid w:val="00C15AAC"/>
    <w:rPr>
      <w:b/>
      <w:bCs/>
    </w:rPr>
  </w:style>
  <w:style w:type="character" w:customStyle="1" w:styleId="CommentSubjectChar">
    <w:name w:val="Comment Subject Char"/>
    <w:basedOn w:val="CommentTextChar"/>
    <w:link w:val="CommentSubject"/>
    <w:uiPriority w:val="99"/>
    <w:semiHidden/>
    <w:rsid w:val="00C15AAC"/>
    <w:rPr>
      <w:b/>
      <w:bCs/>
      <w:sz w:val="20"/>
      <w:szCs w:val="20"/>
    </w:rPr>
  </w:style>
  <w:style w:type="character" w:customStyle="1" w:styleId="st">
    <w:name w:val="st"/>
    <w:basedOn w:val="DefaultParagraphFont"/>
    <w:rsid w:val="00122FB8"/>
  </w:style>
  <w:style w:type="character" w:styleId="Emphasis">
    <w:name w:val="Emphasis"/>
    <w:basedOn w:val="DefaultParagraphFont"/>
    <w:uiPriority w:val="20"/>
    <w:qFormat/>
    <w:rsid w:val="00122FB8"/>
    <w:rPr>
      <w:i/>
      <w:iCs/>
    </w:rPr>
  </w:style>
  <w:style w:type="character" w:customStyle="1" w:styleId="ListParagraphChar">
    <w:name w:val="List Paragraph Char"/>
    <w:aliases w:val="List Paragraph 1 Char,Bullets Char,Table of contents numbered Char,footer text Char,List - Bullet Points Char,List Paragraph1 Char,Indent Paragraph Char,Chapter Numbering Char"/>
    <w:link w:val="ListParagraph"/>
    <w:uiPriority w:val="34"/>
    <w:locked/>
    <w:rsid w:val="001C3B33"/>
    <w:rPr>
      <w:rFonts w:ascii="Times New Roman" w:eastAsia="Times New Roman" w:hAnsi="Times New Roman" w:cs="Times New Roman"/>
      <w:sz w:val="24"/>
      <w:szCs w:val="24"/>
      <w:lang w:eastAsia="en-GB"/>
    </w:rPr>
  </w:style>
  <w:style w:type="table" w:styleId="TableGrid">
    <w:name w:val="Table Grid"/>
    <w:basedOn w:val="TableNormal"/>
    <w:uiPriority w:val="39"/>
    <w:rsid w:val="001C3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B40D3"/>
    <w:rPr>
      <w:b/>
      <w:bCs/>
    </w:rPr>
  </w:style>
  <w:style w:type="character" w:styleId="Hyperlink">
    <w:name w:val="Hyperlink"/>
    <w:basedOn w:val="DefaultParagraphFont"/>
    <w:uiPriority w:val="99"/>
    <w:semiHidden/>
    <w:unhideWhenUsed/>
    <w:rsid w:val="00B67F3C"/>
    <w:rPr>
      <w:rFonts w:ascii="Arial" w:hAnsi="Arial" w:cs="Arial" w:hint="default"/>
      <w:strike w:val="0"/>
      <w:dstrike w:val="0"/>
      <w:color w:val="333333"/>
      <w:u w:val="none"/>
      <w:effect w:val="none"/>
    </w:rPr>
  </w:style>
  <w:style w:type="paragraph" w:styleId="Revision">
    <w:name w:val="Revision"/>
    <w:hidden/>
    <w:uiPriority w:val="99"/>
    <w:semiHidden/>
    <w:rsid w:val="00E729BD"/>
    <w:pPr>
      <w:spacing w:after="0" w:line="240" w:lineRule="auto"/>
    </w:pPr>
  </w:style>
  <w:style w:type="character" w:customStyle="1" w:styleId="acopre">
    <w:name w:val="acopre"/>
    <w:basedOn w:val="DefaultParagraphFont"/>
    <w:rsid w:val="00BE3727"/>
  </w:style>
  <w:style w:type="table" w:customStyle="1" w:styleId="TableGrid1">
    <w:name w:val="Table Grid1"/>
    <w:basedOn w:val="TableNormal"/>
    <w:next w:val="TableGrid"/>
    <w:uiPriority w:val="39"/>
    <w:rsid w:val="00C46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F4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E430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991963">
      <w:bodyDiv w:val="1"/>
      <w:marLeft w:val="0"/>
      <w:marRight w:val="0"/>
      <w:marTop w:val="0"/>
      <w:marBottom w:val="0"/>
      <w:divBdr>
        <w:top w:val="none" w:sz="0" w:space="0" w:color="auto"/>
        <w:left w:val="none" w:sz="0" w:space="0" w:color="auto"/>
        <w:bottom w:val="none" w:sz="0" w:space="0" w:color="auto"/>
        <w:right w:val="none" w:sz="0" w:space="0" w:color="auto"/>
      </w:divBdr>
      <w:divsChild>
        <w:div w:id="155609839">
          <w:marLeft w:val="446"/>
          <w:marRight w:val="0"/>
          <w:marTop w:val="0"/>
          <w:marBottom w:val="0"/>
          <w:divBdr>
            <w:top w:val="none" w:sz="0" w:space="0" w:color="auto"/>
            <w:left w:val="none" w:sz="0" w:space="0" w:color="auto"/>
            <w:bottom w:val="none" w:sz="0" w:space="0" w:color="auto"/>
            <w:right w:val="none" w:sz="0" w:space="0" w:color="auto"/>
          </w:divBdr>
        </w:div>
        <w:div w:id="682517131">
          <w:marLeft w:val="446"/>
          <w:marRight w:val="0"/>
          <w:marTop w:val="0"/>
          <w:marBottom w:val="0"/>
          <w:divBdr>
            <w:top w:val="none" w:sz="0" w:space="0" w:color="auto"/>
            <w:left w:val="none" w:sz="0" w:space="0" w:color="auto"/>
            <w:bottom w:val="none" w:sz="0" w:space="0" w:color="auto"/>
            <w:right w:val="none" w:sz="0" w:space="0" w:color="auto"/>
          </w:divBdr>
        </w:div>
        <w:div w:id="843520375">
          <w:marLeft w:val="446"/>
          <w:marRight w:val="0"/>
          <w:marTop w:val="0"/>
          <w:marBottom w:val="0"/>
          <w:divBdr>
            <w:top w:val="none" w:sz="0" w:space="0" w:color="auto"/>
            <w:left w:val="none" w:sz="0" w:space="0" w:color="auto"/>
            <w:bottom w:val="none" w:sz="0" w:space="0" w:color="auto"/>
            <w:right w:val="none" w:sz="0" w:space="0" w:color="auto"/>
          </w:divBdr>
        </w:div>
        <w:div w:id="1026904015">
          <w:marLeft w:val="1166"/>
          <w:marRight w:val="0"/>
          <w:marTop w:val="0"/>
          <w:marBottom w:val="0"/>
          <w:divBdr>
            <w:top w:val="none" w:sz="0" w:space="0" w:color="auto"/>
            <w:left w:val="none" w:sz="0" w:space="0" w:color="auto"/>
            <w:bottom w:val="none" w:sz="0" w:space="0" w:color="auto"/>
            <w:right w:val="none" w:sz="0" w:space="0" w:color="auto"/>
          </w:divBdr>
        </w:div>
        <w:div w:id="1036731879">
          <w:marLeft w:val="1166"/>
          <w:marRight w:val="0"/>
          <w:marTop w:val="0"/>
          <w:marBottom w:val="0"/>
          <w:divBdr>
            <w:top w:val="none" w:sz="0" w:space="0" w:color="auto"/>
            <w:left w:val="none" w:sz="0" w:space="0" w:color="auto"/>
            <w:bottom w:val="none" w:sz="0" w:space="0" w:color="auto"/>
            <w:right w:val="none" w:sz="0" w:space="0" w:color="auto"/>
          </w:divBdr>
        </w:div>
        <w:div w:id="1468935607">
          <w:marLeft w:val="1166"/>
          <w:marRight w:val="0"/>
          <w:marTop w:val="0"/>
          <w:marBottom w:val="0"/>
          <w:divBdr>
            <w:top w:val="none" w:sz="0" w:space="0" w:color="auto"/>
            <w:left w:val="none" w:sz="0" w:space="0" w:color="auto"/>
            <w:bottom w:val="none" w:sz="0" w:space="0" w:color="auto"/>
            <w:right w:val="none" w:sz="0" w:space="0" w:color="auto"/>
          </w:divBdr>
        </w:div>
        <w:div w:id="1814634373">
          <w:marLeft w:val="446"/>
          <w:marRight w:val="0"/>
          <w:marTop w:val="0"/>
          <w:marBottom w:val="0"/>
          <w:divBdr>
            <w:top w:val="none" w:sz="0" w:space="0" w:color="auto"/>
            <w:left w:val="none" w:sz="0" w:space="0" w:color="auto"/>
            <w:bottom w:val="none" w:sz="0" w:space="0" w:color="auto"/>
            <w:right w:val="none" w:sz="0" w:space="0" w:color="auto"/>
          </w:divBdr>
        </w:div>
      </w:divsChild>
    </w:div>
    <w:div w:id="33778054">
      <w:bodyDiv w:val="1"/>
      <w:marLeft w:val="0"/>
      <w:marRight w:val="0"/>
      <w:marTop w:val="0"/>
      <w:marBottom w:val="0"/>
      <w:divBdr>
        <w:top w:val="none" w:sz="0" w:space="0" w:color="auto"/>
        <w:left w:val="none" w:sz="0" w:space="0" w:color="auto"/>
        <w:bottom w:val="none" w:sz="0" w:space="0" w:color="auto"/>
        <w:right w:val="none" w:sz="0" w:space="0" w:color="auto"/>
      </w:divBdr>
    </w:div>
    <w:div w:id="83578051">
      <w:bodyDiv w:val="1"/>
      <w:marLeft w:val="0"/>
      <w:marRight w:val="0"/>
      <w:marTop w:val="0"/>
      <w:marBottom w:val="0"/>
      <w:divBdr>
        <w:top w:val="none" w:sz="0" w:space="0" w:color="auto"/>
        <w:left w:val="none" w:sz="0" w:space="0" w:color="auto"/>
        <w:bottom w:val="none" w:sz="0" w:space="0" w:color="auto"/>
        <w:right w:val="none" w:sz="0" w:space="0" w:color="auto"/>
      </w:divBdr>
    </w:div>
    <w:div w:id="172038291">
      <w:bodyDiv w:val="1"/>
      <w:marLeft w:val="0"/>
      <w:marRight w:val="0"/>
      <w:marTop w:val="0"/>
      <w:marBottom w:val="0"/>
      <w:divBdr>
        <w:top w:val="none" w:sz="0" w:space="0" w:color="auto"/>
        <w:left w:val="none" w:sz="0" w:space="0" w:color="auto"/>
        <w:bottom w:val="none" w:sz="0" w:space="0" w:color="auto"/>
        <w:right w:val="none" w:sz="0" w:space="0" w:color="auto"/>
      </w:divBdr>
    </w:div>
    <w:div w:id="179129477">
      <w:bodyDiv w:val="1"/>
      <w:marLeft w:val="0"/>
      <w:marRight w:val="0"/>
      <w:marTop w:val="0"/>
      <w:marBottom w:val="0"/>
      <w:divBdr>
        <w:top w:val="none" w:sz="0" w:space="0" w:color="auto"/>
        <w:left w:val="none" w:sz="0" w:space="0" w:color="auto"/>
        <w:bottom w:val="none" w:sz="0" w:space="0" w:color="auto"/>
        <w:right w:val="none" w:sz="0" w:space="0" w:color="auto"/>
      </w:divBdr>
    </w:div>
    <w:div w:id="188379322">
      <w:bodyDiv w:val="1"/>
      <w:marLeft w:val="0"/>
      <w:marRight w:val="0"/>
      <w:marTop w:val="0"/>
      <w:marBottom w:val="0"/>
      <w:divBdr>
        <w:top w:val="none" w:sz="0" w:space="0" w:color="auto"/>
        <w:left w:val="none" w:sz="0" w:space="0" w:color="auto"/>
        <w:bottom w:val="none" w:sz="0" w:space="0" w:color="auto"/>
        <w:right w:val="none" w:sz="0" w:space="0" w:color="auto"/>
      </w:divBdr>
    </w:div>
    <w:div w:id="192501768">
      <w:bodyDiv w:val="1"/>
      <w:marLeft w:val="0"/>
      <w:marRight w:val="0"/>
      <w:marTop w:val="0"/>
      <w:marBottom w:val="0"/>
      <w:divBdr>
        <w:top w:val="none" w:sz="0" w:space="0" w:color="auto"/>
        <w:left w:val="none" w:sz="0" w:space="0" w:color="auto"/>
        <w:bottom w:val="none" w:sz="0" w:space="0" w:color="auto"/>
        <w:right w:val="none" w:sz="0" w:space="0" w:color="auto"/>
      </w:divBdr>
    </w:div>
    <w:div w:id="209070832">
      <w:bodyDiv w:val="1"/>
      <w:marLeft w:val="0"/>
      <w:marRight w:val="0"/>
      <w:marTop w:val="0"/>
      <w:marBottom w:val="0"/>
      <w:divBdr>
        <w:top w:val="none" w:sz="0" w:space="0" w:color="auto"/>
        <w:left w:val="none" w:sz="0" w:space="0" w:color="auto"/>
        <w:bottom w:val="none" w:sz="0" w:space="0" w:color="auto"/>
        <w:right w:val="none" w:sz="0" w:space="0" w:color="auto"/>
      </w:divBdr>
    </w:div>
    <w:div w:id="209849272">
      <w:bodyDiv w:val="1"/>
      <w:marLeft w:val="0"/>
      <w:marRight w:val="0"/>
      <w:marTop w:val="0"/>
      <w:marBottom w:val="0"/>
      <w:divBdr>
        <w:top w:val="none" w:sz="0" w:space="0" w:color="auto"/>
        <w:left w:val="none" w:sz="0" w:space="0" w:color="auto"/>
        <w:bottom w:val="none" w:sz="0" w:space="0" w:color="auto"/>
        <w:right w:val="none" w:sz="0" w:space="0" w:color="auto"/>
      </w:divBdr>
    </w:div>
    <w:div w:id="226918006">
      <w:bodyDiv w:val="1"/>
      <w:marLeft w:val="0"/>
      <w:marRight w:val="0"/>
      <w:marTop w:val="0"/>
      <w:marBottom w:val="0"/>
      <w:divBdr>
        <w:top w:val="none" w:sz="0" w:space="0" w:color="auto"/>
        <w:left w:val="none" w:sz="0" w:space="0" w:color="auto"/>
        <w:bottom w:val="none" w:sz="0" w:space="0" w:color="auto"/>
        <w:right w:val="none" w:sz="0" w:space="0" w:color="auto"/>
      </w:divBdr>
    </w:div>
    <w:div w:id="234164610">
      <w:bodyDiv w:val="1"/>
      <w:marLeft w:val="0"/>
      <w:marRight w:val="0"/>
      <w:marTop w:val="0"/>
      <w:marBottom w:val="0"/>
      <w:divBdr>
        <w:top w:val="none" w:sz="0" w:space="0" w:color="auto"/>
        <w:left w:val="none" w:sz="0" w:space="0" w:color="auto"/>
        <w:bottom w:val="none" w:sz="0" w:space="0" w:color="auto"/>
        <w:right w:val="none" w:sz="0" w:space="0" w:color="auto"/>
      </w:divBdr>
      <w:divsChild>
        <w:div w:id="407464370">
          <w:marLeft w:val="1166"/>
          <w:marRight w:val="0"/>
          <w:marTop w:val="86"/>
          <w:marBottom w:val="0"/>
          <w:divBdr>
            <w:top w:val="none" w:sz="0" w:space="0" w:color="auto"/>
            <w:left w:val="none" w:sz="0" w:space="0" w:color="auto"/>
            <w:bottom w:val="none" w:sz="0" w:space="0" w:color="auto"/>
            <w:right w:val="none" w:sz="0" w:space="0" w:color="auto"/>
          </w:divBdr>
        </w:div>
        <w:div w:id="662778011">
          <w:marLeft w:val="547"/>
          <w:marRight w:val="0"/>
          <w:marTop w:val="0"/>
          <w:marBottom w:val="120"/>
          <w:divBdr>
            <w:top w:val="none" w:sz="0" w:space="0" w:color="auto"/>
            <w:left w:val="none" w:sz="0" w:space="0" w:color="auto"/>
            <w:bottom w:val="none" w:sz="0" w:space="0" w:color="auto"/>
            <w:right w:val="none" w:sz="0" w:space="0" w:color="auto"/>
          </w:divBdr>
        </w:div>
        <w:div w:id="1063913634">
          <w:marLeft w:val="1166"/>
          <w:marRight w:val="0"/>
          <w:marTop w:val="86"/>
          <w:marBottom w:val="0"/>
          <w:divBdr>
            <w:top w:val="none" w:sz="0" w:space="0" w:color="auto"/>
            <w:left w:val="none" w:sz="0" w:space="0" w:color="auto"/>
            <w:bottom w:val="none" w:sz="0" w:space="0" w:color="auto"/>
            <w:right w:val="none" w:sz="0" w:space="0" w:color="auto"/>
          </w:divBdr>
        </w:div>
        <w:div w:id="1263030182">
          <w:marLeft w:val="1166"/>
          <w:marRight w:val="0"/>
          <w:marTop w:val="86"/>
          <w:marBottom w:val="0"/>
          <w:divBdr>
            <w:top w:val="none" w:sz="0" w:space="0" w:color="auto"/>
            <w:left w:val="none" w:sz="0" w:space="0" w:color="auto"/>
            <w:bottom w:val="none" w:sz="0" w:space="0" w:color="auto"/>
            <w:right w:val="none" w:sz="0" w:space="0" w:color="auto"/>
          </w:divBdr>
        </w:div>
        <w:div w:id="1364936796">
          <w:marLeft w:val="547"/>
          <w:marRight w:val="0"/>
          <w:marTop w:val="0"/>
          <w:marBottom w:val="120"/>
          <w:divBdr>
            <w:top w:val="none" w:sz="0" w:space="0" w:color="auto"/>
            <w:left w:val="none" w:sz="0" w:space="0" w:color="auto"/>
            <w:bottom w:val="none" w:sz="0" w:space="0" w:color="auto"/>
            <w:right w:val="none" w:sz="0" w:space="0" w:color="auto"/>
          </w:divBdr>
        </w:div>
        <w:div w:id="1735160021">
          <w:marLeft w:val="1166"/>
          <w:marRight w:val="0"/>
          <w:marTop w:val="0"/>
          <w:marBottom w:val="120"/>
          <w:divBdr>
            <w:top w:val="none" w:sz="0" w:space="0" w:color="auto"/>
            <w:left w:val="none" w:sz="0" w:space="0" w:color="auto"/>
            <w:bottom w:val="none" w:sz="0" w:space="0" w:color="auto"/>
            <w:right w:val="none" w:sz="0" w:space="0" w:color="auto"/>
          </w:divBdr>
        </w:div>
        <w:div w:id="1951812465">
          <w:marLeft w:val="547"/>
          <w:marRight w:val="0"/>
          <w:marTop w:val="0"/>
          <w:marBottom w:val="120"/>
          <w:divBdr>
            <w:top w:val="none" w:sz="0" w:space="0" w:color="auto"/>
            <w:left w:val="none" w:sz="0" w:space="0" w:color="auto"/>
            <w:bottom w:val="none" w:sz="0" w:space="0" w:color="auto"/>
            <w:right w:val="none" w:sz="0" w:space="0" w:color="auto"/>
          </w:divBdr>
        </w:div>
      </w:divsChild>
    </w:div>
    <w:div w:id="286861810">
      <w:bodyDiv w:val="1"/>
      <w:marLeft w:val="0"/>
      <w:marRight w:val="0"/>
      <w:marTop w:val="0"/>
      <w:marBottom w:val="0"/>
      <w:divBdr>
        <w:top w:val="none" w:sz="0" w:space="0" w:color="auto"/>
        <w:left w:val="none" w:sz="0" w:space="0" w:color="auto"/>
        <w:bottom w:val="none" w:sz="0" w:space="0" w:color="auto"/>
        <w:right w:val="none" w:sz="0" w:space="0" w:color="auto"/>
      </w:divBdr>
    </w:div>
    <w:div w:id="288511152">
      <w:bodyDiv w:val="1"/>
      <w:marLeft w:val="0"/>
      <w:marRight w:val="0"/>
      <w:marTop w:val="0"/>
      <w:marBottom w:val="0"/>
      <w:divBdr>
        <w:top w:val="none" w:sz="0" w:space="0" w:color="auto"/>
        <w:left w:val="none" w:sz="0" w:space="0" w:color="auto"/>
        <w:bottom w:val="none" w:sz="0" w:space="0" w:color="auto"/>
        <w:right w:val="none" w:sz="0" w:space="0" w:color="auto"/>
      </w:divBdr>
    </w:div>
    <w:div w:id="293100625">
      <w:bodyDiv w:val="1"/>
      <w:marLeft w:val="0"/>
      <w:marRight w:val="0"/>
      <w:marTop w:val="0"/>
      <w:marBottom w:val="0"/>
      <w:divBdr>
        <w:top w:val="none" w:sz="0" w:space="0" w:color="auto"/>
        <w:left w:val="none" w:sz="0" w:space="0" w:color="auto"/>
        <w:bottom w:val="none" w:sz="0" w:space="0" w:color="auto"/>
        <w:right w:val="none" w:sz="0" w:space="0" w:color="auto"/>
      </w:divBdr>
    </w:div>
    <w:div w:id="316034419">
      <w:bodyDiv w:val="1"/>
      <w:marLeft w:val="0"/>
      <w:marRight w:val="0"/>
      <w:marTop w:val="0"/>
      <w:marBottom w:val="0"/>
      <w:divBdr>
        <w:top w:val="none" w:sz="0" w:space="0" w:color="auto"/>
        <w:left w:val="none" w:sz="0" w:space="0" w:color="auto"/>
        <w:bottom w:val="none" w:sz="0" w:space="0" w:color="auto"/>
        <w:right w:val="none" w:sz="0" w:space="0" w:color="auto"/>
      </w:divBdr>
    </w:div>
    <w:div w:id="371227206">
      <w:bodyDiv w:val="1"/>
      <w:marLeft w:val="0"/>
      <w:marRight w:val="0"/>
      <w:marTop w:val="0"/>
      <w:marBottom w:val="0"/>
      <w:divBdr>
        <w:top w:val="none" w:sz="0" w:space="0" w:color="auto"/>
        <w:left w:val="none" w:sz="0" w:space="0" w:color="auto"/>
        <w:bottom w:val="none" w:sz="0" w:space="0" w:color="auto"/>
        <w:right w:val="none" w:sz="0" w:space="0" w:color="auto"/>
      </w:divBdr>
    </w:div>
    <w:div w:id="392697500">
      <w:bodyDiv w:val="1"/>
      <w:marLeft w:val="0"/>
      <w:marRight w:val="0"/>
      <w:marTop w:val="0"/>
      <w:marBottom w:val="0"/>
      <w:divBdr>
        <w:top w:val="none" w:sz="0" w:space="0" w:color="auto"/>
        <w:left w:val="none" w:sz="0" w:space="0" w:color="auto"/>
        <w:bottom w:val="none" w:sz="0" w:space="0" w:color="auto"/>
        <w:right w:val="none" w:sz="0" w:space="0" w:color="auto"/>
      </w:divBdr>
    </w:div>
    <w:div w:id="448668265">
      <w:bodyDiv w:val="1"/>
      <w:marLeft w:val="0"/>
      <w:marRight w:val="0"/>
      <w:marTop w:val="0"/>
      <w:marBottom w:val="0"/>
      <w:divBdr>
        <w:top w:val="none" w:sz="0" w:space="0" w:color="auto"/>
        <w:left w:val="none" w:sz="0" w:space="0" w:color="auto"/>
        <w:bottom w:val="none" w:sz="0" w:space="0" w:color="auto"/>
        <w:right w:val="none" w:sz="0" w:space="0" w:color="auto"/>
      </w:divBdr>
    </w:div>
    <w:div w:id="451754351">
      <w:bodyDiv w:val="1"/>
      <w:marLeft w:val="0"/>
      <w:marRight w:val="0"/>
      <w:marTop w:val="0"/>
      <w:marBottom w:val="0"/>
      <w:divBdr>
        <w:top w:val="none" w:sz="0" w:space="0" w:color="auto"/>
        <w:left w:val="none" w:sz="0" w:space="0" w:color="auto"/>
        <w:bottom w:val="none" w:sz="0" w:space="0" w:color="auto"/>
        <w:right w:val="none" w:sz="0" w:space="0" w:color="auto"/>
      </w:divBdr>
      <w:divsChild>
        <w:div w:id="1369453659">
          <w:marLeft w:val="446"/>
          <w:marRight w:val="0"/>
          <w:marTop w:val="0"/>
          <w:marBottom w:val="0"/>
          <w:divBdr>
            <w:top w:val="none" w:sz="0" w:space="0" w:color="auto"/>
            <w:left w:val="none" w:sz="0" w:space="0" w:color="auto"/>
            <w:bottom w:val="none" w:sz="0" w:space="0" w:color="auto"/>
            <w:right w:val="none" w:sz="0" w:space="0" w:color="auto"/>
          </w:divBdr>
        </w:div>
      </w:divsChild>
    </w:div>
    <w:div w:id="471679150">
      <w:bodyDiv w:val="1"/>
      <w:marLeft w:val="0"/>
      <w:marRight w:val="0"/>
      <w:marTop w:val="0"/>
      <w:marBottom w:val="0"/>
      <w:divBdr>
        <w:top w:val="none" w:sz="0" w:space="0" w:color="auto"/>
        <w:left w:val="none" w:sz="0" w:space="0" w:color="auto"/>
        <w:bottom w:val="none" w:sz="0" w:space="0" w:color="auto"/>
        <w:right w:val="none" w:sz="0" w:space="0" w:color="auto"/>
      </w:divBdr>
    </w:div>
    <w:div w:id="520239115">
      <w:bodyDiv w:val="1"/>
      <w:marLeft w:val="0"/>
      <w:marRight w:val="0"/>
      <w:marTop w:val="0"/>
      <w:marBottom w:val="0"/>
      <w:divBdr>
        <w:top w:val="none" w:sz="0" w:space="0" w:color="auto"/>
        <w:left w:val="none" w:sz="0" w:space="0" w:color="auto"/>
        <w:bottom w:val="none" w:sz="0" w:space="0" w:color="auto"/>
        <w:right w:val="none" w:sz="0" w:space="0" w:color="auto"/>
      </w:divBdr>
    </w:div>
    <w:div w:id="542133057">
      <w:bodyDiv w:val="1"/>
      <w:marLeft w:val="0"/>
      <w:marRight w:val="0"/>
      <w:marTop w:val="0"/>
      <w:marBottom w:val="0"/>
      <w:divBdr>
        <w:top w:val="none" w:sz="0" w:space="0" w:color="auto"/>
        <w:left w:val="none" w:sz="0" w:space="0" w:color="auto"/>
        <w:bottom w:val="none" w:sz="0" w:space="0" w:color="auto"/>
        <w:right w:val="none" w:sz="0" w:space="0" w:color="auto"/>
      </w:divBdr>
    </w:div>
    <w:div w:id="575746345">
      <w:bodyDiv w:val="1"/>
      <w:marLeft w:val="0"/>
      <w:marRight w:val="0"/>
      <w:marTop w:val="0"/>
      <w:marBottom w:val="0"/>
      <w:divBdr>
        <w:top w:val="none" w:sz="0" w:space="0" w:color="auto"/>
        <w:left w:val="none" w:sz="0" w:space="0" w:color="auto"/>
        <w:bottom w:val="none" w:sz="0" w:space="0" w:color="auto"/>
        <w:right w:val="none" w:sz="0" w:space="0" w:color="auto"/>
      </w:divBdr>
    </w:div>
    <w:div w:id="632099923">
      <w:bodyDiv w:val="1"/>
      <w:marLeft w:val="0"/>
      <w:marRight w:val="0"/>
      <w:marTop w:val="0"/>
      <w:marBottom w:val="0"/>
      <w:divBdr>
        <w:top w:val="none" w:sz="0" w:space="0" w:color="auto"/>
        <w:left w:val="none" w:sz="0" w:space="0" w:color="auto"/>
        <w:bottom w:val="none" w:sz="0" w:space="0" w:color="auto"/>
        <w:right w:val="none" w:sz="0" w:space="0" w:color="auto"/>
      </w:divBdr>
      <w:divsChild>
        <w:div w:id="737438583">
          <w:marLeft w:val="547"/>
          <w:marRight w:val="0"/>
          <w:marTop w:val="96"/>
          <w:marBottom w:val="0"/>
          <w:divBdr>
            <w:top w:val="none" w:sz="0" w:space="0" w:color="auto"/>
            <w:left w:val="none" w:sz="0" w:space="0" w:color="auto"/>
            <w:bottom w:val="none" w:sz="0" w:space="0" w:color="auto"/>
            <w:right w:val="none" w:sz="0" w:space="0" w:color="auto"/>
          </w:divBdr>
        </w:div>
        <w:div w:id="783117504">
          <w:marLeft w:val="547"/>
          <w:marRight w:val="0"/>
          <w:marTop w:val="96"/>
          <w:marBottom w:val="0"/>
          <w:divBdr>
            <w:top w:val="none" w:sz="0" w:space="0" w:color="auto"/>
            <w:left w:val="none" w:sz="0" w:space="0" w:color="auto"/>
            <w:bottom w:val="none" w:sz="0" w:space="0" w:color="auto"/>
            <w:right w:val="none" w:sz="0" w:space="0" w:color="auto"/>
          </w:divBdr>
        </w:div>
        <w:div w:id="1184633021">
          <w:marLeft w:val="547"/>
          <w:marRight w:val="0"/>
          <w:marTop w:val="96"/>
          <w:marBottom w:val="0"/>
          <w:divBdr>
            <w:top w:val="none" w:sz="0" w:space="0" w:color="auto"/>
            <w:left w:val="none" w:sz="0" w:space="0" w:color="auto"/>
            <w:bottom w:val="none" w:sz="0" w:space="0" w:color="auto"/>
            <w:right w:val="none" w:sz="0" w:space="0" w:color="auto"/>
          </w:divBdr>
        </w:div>
        <w:div w:id="1582567920">
          <w:marLeft w:val="547"/>
          <w:marRight w:val="0"/>
          <w:marTop w:val="96"/>
          <w:marBottom w:val="0"/>
          <w:divBdr>
            <w:top w:val="none" w:sz="0" w:space="0" w:color="auto"/>
            <w:left w:val="none" w:sz="0" w:space="0" w:color="auto"/>
            <w:bottom w:val="none" w:sz="0" w:space="0" w:color="auto"/>
            <w:right w:val="none" w:sz="0" w:space="0" w:color="auto"/>
          </w:divBdr>
        </w:div>
        <w:div w:id="1655597832">
          <w:marLeft w:val="547"/>
          <w:marRight w:val="0"/>
          <w:marTop w:val="96"/>
          <w:marBottom w:val="0"/>
          <w:divBdr>
            <w:top w:val="none" w:sz="0" w:space="0" w:color="auto"/>
            <w:left w:val="none" w:sz="0" w:space="0" w:color="auto"/>
            <w:bottom w:val="none" w:sz="0" w:space="0" w:color="auto"/>
            <w:right w:val="none" w:sz="0" w:space="0" w:color="auto"/>
          </w:divBdr>
        </w:div>
        <w:div w:id="1913268507">
          <w:marLeft w:val="547"/>
          <w:marRight w:val="0"/>
          <w:marTop w:val="96"/>
          <w:marBottom w:val="0"/>
          <w:divBdr>
            <w:top w:val="none" w:sz="0" w:space="0" w:color="auto"/>
            <w:left w:val="none" w:sz="0" w:space="0" w:color="auto"/>
            <w:bottom w:val="none" w:sz="0" w:space="0" w:color="auto"/>
            <w:right w:val="none" w:sz="0" w:space="0" w:color="auto"/>
          </w:divBdr>
        </w:div>
      </w:divsChild>
    </w:div>
    <w:div w:id="632637227">
      <w:bodyDiv w:val="1"/>
      <w:marLeft w:val="0"/>
      <w:marRight w:val="0"/>
      <w:marTop w:val="0"/>
      <w:marBottom w:val="0"/>
      <w:divBdr>
        <w:top w:val="none" w:sz="0" w:space="0" w:color="auto"/>
        <w:left w:val="none" w:sz="0" w:space="0" w:color="auto"/>
        <w:bottom w:val="none" w:sz="0" w:space="0" w:color="auto"/>
        <w:right w:val="none" w:sz="0" w:space="0" w:color="auto"/>
      </w:divBdr>
    </w:div>
    <w:div w:id="644547447">
      <w:bodyDiv w:val="1"/>
      <w:marLeft w:val="0"/>
      <w:marRight w:val="0"/>
      <w:marTop w:val="0"/>
      <w:marBottom w:val="0"/>
      <w:divBdr>
        <w:top w:val="none" w:sz="0" w:space="0" w:color="auto"/>
        <w:left w:val="none" w:sz="0" w:space="0" w:color="auto"/>
        <w:bottom w:val="none" w:sz="0" w:space="0" w:color="auto"/>
        <w:right w:val="none" w:sz="0" w:space="0" w:color="auto"/>
      </w:divBdr>
    </w:div>
    <w:div w:id="675378451">
      <w:bodyDiv w:val="1"/>
      <w:marLeft w:val="0"/>
      <w:marRight w:val="0"/>
      <w:marTop w:val="0"/>
      <w:marBottom w:val="0"/>
      <w:divBdr>
        <w:top w:val="none" w:sz="0" w:space="0" w:color="auto"/>
        <w:left w:val="none" w:sz="0" w:space="0" w:color="auto"/>
        <w:bottom w:val="none" w:sz="0" w:space="0" w:color="auto"/>
        <w:right w:val="none" w:sz="0" w:space="0" w:color="auto"/>
      </w:divBdr>
    </w:div>
    <w:div w:id="698509719">
      <w:bodyDiv w:val="1"/>
      <w:marLeft w:val="0"/>
      <w:marRight w:val="0"/>
      <w:marTop w:val="0"/>
      <w:marBottom w:val="0"/>
      <w:divBdr>
        <w:top w:val="none" w:sz="0" w:space="0" w:color="auto"/>
        <w:left w:val="none" w:sz="0" w:space="0" w:color="auto"/>
        <w:bottom w:val="none" w:sz="0" w:space="0" w:color="auto"/>
        <w:right w:val="none" w:sz="0" w:space="0" w:color="auto"/>
      </w:divBdr>
    </w:div>
    <w:div w:id="708189976">
      <w:bodyDiv w:val="1"/>
      <w:marLeft w:val="0"/>
      <w:marRight w:val="0"/>
      <w:marTop w:val="0"/>
      <w:marBottom w:val="0"/>
      <w:divBdr>
        <w:top w:val="none" w:sz="0" w:space="0" w:color="auto"/>
        <w:left w:val="none" w:sz="0" w:space="0" w:color="auto"/>
        <w:bottom w:val="none" w:sz="0" w:space="0" w:color="auto"/>
        <w:right w:val="none" w:sz="0" w:space="0" w:color="auto"/>
      </w:divBdr>
    </w:div>
    <w:div w:id="727339559">
      <w:bodyDiv w:val="1"/>
      <w:marLeft w:val="0"/>
      <w:marRight w:val="0"/>
      <w:marTop w:val="0"/>
      <w:marBottom w:val="0"/>
      <w:divBdr>
        <w:top w:val="none" w:sz="0" w:space="0" w:color="auto"/>
        <w:left w:val="none" w:sz="0" w:space="0" w:color="auto"/>
        <w:bottom w:val="none" w:sz="0" w:space="0" w:color="auto"/>
        <w:right w:val="none" w:sz="0" w:space="0" w:color="auto"/>
      </w:divBdr>
    </w:div>
    <w:div w:id="730079276">
      <w:bodyDiv w:val="1"/>
      <w:marLeft w:val="0"/>
      <w:marRight w:val="0"/>
      <w:marTop w:val="0"/>
      <w:marBottom w:val="0"/>
      <w:divBdr>
        <w:top w:val="none" w:sz="0" w:space="0" w:color="auto"/>
        <w:left w:val="none" w:sz="0" w:space="0" w:color="auto"/>
        <w:bottom w:val="none" w:sz="0" w:space="0" w:color="auto"/>
        <w:right w:val="none" w:sz="0" w:space="0" w:color="auto"/>
      </w:divBdr>
      <w:divsChild>
        <w:div w:id="417483760">
          <w:marLeft w:val="547"/>
          <w:marRight w:val="0"/>
          <w:marTop w:val="86"/>
          <w:marBottom w:val="0"/>
          <w:divBdr>
            <w:top w:val="none" w:sz="0" w:space="0" w:color="auto"/>
            <w:left w:val="none" w:sz="0" w:space="0" w:color="auto"/>
            <w:bottom w:val="none" w:sz="0" w:space="0" w:color="auto"/>
            <w:right w:val="none" w:sz="0" w:space="0" w:color="auto"/>
          </w:divBdr>
        </w:div>
        <w:div w:id="485122529">
          <w:marLeft w:val="547"/>
          <w:marRight w:val="0"/>
          <w:marTop w:val="86"/>
          <w:marBottom w:val="0"/>
          <w:divBdr>
            <w:top w:val="none" w:sz="0" w:space="0" w:color="auto"/>
            <w:left w:val="none" w:sz="0" w:space="0" w:color="auto"/>
            <w:bottom w:val="none" w:sz="0" w:space="0" w:color="auto"/>
            <w:right w:val="none" w:sz="0" w:space="0" w:color="auto"/>
          </w:divBdr>
        </w:div>
        <w:div w:id="1387756630">
          <w:marLeft w:val="547"/>
          <w:marRight w:val="0"/>
          <w:marTop w:val="86"/>
          <w:marBottom w:val="0"/>
          <w:divBdr>
            <w:top w:val="none" w:sz="0" w:space="0" w:color="auto"/>
            <w:left w:val="none" w:sz="0" w:space="0" w:color="auto"/>
            <w:bottom w:val="none" w:sz="0" w:space="0" w:color="auto"/>
            <w:right w:val="none" w:sz="0" w:space="0" w:color="auto"/>
          </w:divBdr>
        </w:div>
      </w:divsChild>
    </w:div>
    <w:div w:id="740982238">
      <w:bodyDiv w:val="1"/>
      <w:marLeft w:val="0"/>
      <w:marRight w:val="0"/>
      <w:marTop w:val="0"/>
      <w:marBottom w:val="0"/>
      <w:divBdr>
        <w:top w:val="none" w:sz="0" w:space="0" w:color="auto"/>
        <w:left w:val="none" w:sz="0" w:space="0" w:color="auto"/>
        <w:bottom w:val="none" w:sz="0" w:space="0" w:color="auto"/>
        <w:right w:val="none" w:sz="0" w:space="0" w:color="auto"/>
      </w:divBdr>
    </w:div>
    <w:div w:id="746922178">
      <w:bodyDiv w:val="1"/>
      <w:marLeft w:val="0"/>
      <w:marRight w:val="0"/>
      <w:marTop w:val="0"/>
      <w:marBottom w:val="0"/>
      <w:divBdr>
        <w:top w:val="none" w:sz="0" w:space="0" w:color="auto"/>
        <w:left w:val="none" w:sz="0" w:space="0" w:color="auto"/>
        <w:bottom w:val="none" w:sz="0" w:space="0" w:color="auto"/>
        <w:right w:val="none" w:sz="0" w:space="0" w:color="auto"/>
      </w:divBdr>
      <w:divsChild>
        <w:div w:id="374743127">
          <w:marLeft w:val="1267"/>
          <w:marRight w:val="0"/>
          <w:marTop w:val="0"/>
          <w:marBottom w:val="0"/>
          <w:divBdr>
            <w:top w:val="none" w:sz="0" w:space="0" w:color="auto"/>
            <w:left w:val="none" w:sz="0" w:space="0" w:color="auto"/>
            <w:bottom w:val="none" w:sz="0" w:space="0" w:color="auto"/>
            <w:right w:val="none" w:sz="0" w:space="0" w:color="auto"/>
          </w:divBdr>
        </w:div>
        <w:div w:id="469906366">
          <w:marLeft w:val="1267"/>
          <w:marRight w:val="0"/>
          <w:marTop w:val="0"/>
          <w:marBottom w:val="0"/>
          <w:divBdr>
            <w:top w:val="none" w:sz="0" w:space="0" w:color="auto"/>
            <w:left w:val="none" w:sz="0" w:space="0" w:color="auto"/>
            <w:bottom w:val="none" w:sz="0" w:space="0" w:color="auto"/>
            <w:right w:val="none" w:sz="0" w:space="0" w:color="auto"/>
          </w:divBdr>
        </w:div>
        <w:div w:id="905187423">
          <w:marLeft w:val="547"/>
          <w:marRight w:val="0"/>
          <w:marTop w:val="0"/>
          <w:marBottom w:val="0"/>
          <w:divBdr>
            <w:top w:val="none" w:sz="0" w:space="0" w:color="auto"/>
            <w:left w:val="none" w:sz="0" w:space="0" w:color="auto"/>
            <w:bottom w:val="none" w:sz="0" w:space="0" w:color="auto"/>
            <w:right w:val="none" w:sz="0" w:space="0" w:color="auto"/>
          </w:divBdr>
        </w:div>
        <w:div w:id="1263076302">
          <w:marLeft w:val="1267"/>
          <w:marRight w:val="0"/>
          <w:marTop w:val="0"/>
          <w:marBottom w:val="0"/>
          <w:divBdr>
            <w:top w:val="none" w:sz="0" w:space="0" w:color="auto"/>
            <w:left w:val="none" w:sz="0" w:space="0" w:color="auto"/>
            <w:bottom w:val="none" w:sz="0" w:space="0" w:color="auto"/>
            <w:right w:val="none" w:sz="0" w:space="0" w:color="auto"/>
          </w:divBdr>
        </w:div>
        <w:div w:id="1933465612">
          <w:marLeft w:val="1267"/>
          <w:marRight w:val="0"/>
          <w:marTop w:val="0"/>
          <w:marBottom w:val="0"/>
          <w:divBdr>
            <w:top w:val="none" w:sz="0" w:space="0" w:color="auto"/>
            <w:left w:val="none" w:sz="0" w:space="0" w:color="auto"/>
            <w:bottom w:val="none" w:sz="0" w:space="0" w:color="auto"/>
            <w:right w:val="none" w:sz="0" w:space="0" w:color="auto"/>
          </w:divBdr>
        </w:div>
        <w:div w:id="1980263812">
          <w:marLeft w:val="1267"/>
          <w:marRight w:val="0"/>
          <w:marTop w:val="0"/>
          <w:marBottom w:val="0"/>
          <w:divBdr>
            <w:top w:val="none" w:sz="0" w:space="0" w:color="auto"/>
            <w:left w:val="none" w:sz="0" w:space="0" w:color="auto"/>
            <w:bottom w:val="none" w:sz="0" w:space="0" w:color="auto"/>
            <w:right w:val="none" w:sz="0" w:space="0" w:color="auto"/>
          </w:divBdr>
        </w:div>
      </w:divsChild>
    </w:div>
    <w:div w:id="767583443">
      <w:bodyDiv w:val="1"/>
      <w:marLeft w:val="0"/>
      <w:marRight w:val="0"/>
      <w:marTop w:val="0"/>
      <w:marBottom w:val="0"/>
      <w:divBdr>
        <w:top w:val="none" w:sz="0" w:space="0" w:color="auto"/>
        <w:left w:val="none" w:sz="0" w:space="0" w:color="auto"/>
        <w:bottom w:val="none" w:sz="0" w:space="0" w:color="auto"/>
        <w:right w:val="none" w:sz="0" w:space="0" w:color="auto"/>
      </w:divBdr>
    </w:div>
    <w:div w:id="793251226">
      <w:bodyDiv w:val="1"/>
      <w:marLeft w:val="0"/>
      <w:marRight w:val="0"/>
      <w:marTop w:val="0"/>
      <w:marBottom w:val="0"/>
      <w:divBdr>
        <w:top w:val="none" w:sz="0" w:space="0" w:color="auto"/>
        <w:left w:val="none" w:sz="0" w:space="0" w:color="auto"/>
        <w:bottom w:val="none" w:sz="0" w:space="0" w:color="auto"/>
        <w:right w:val="none" w:sz="0" w:space="0" w:color="auto"/>
      </w:divBdr>
    </w:div>
    <w:div w:id="799080955">
      <w:bodyDiv w:val="1"/>
      <w:marLeft w:val="0"/>
      <w:marRight w:val="0"/>
      <w:marTop w:val="0"/>
      <w:marBottom w:val="0"/>
      <w:divBdr>
        <w:top w:val="none" w:sz="0" w:space="0" w:color="auto"/>
        <w:left w:val="none" w:sz="0" w:space="0" w:color="auto"/>
        <w:bottom w:val="none" w:sz="0" w:space="0" w:color="auto"/>
        <w:right w:val="none" w:sz="0" w:space="0" w:color="auto"/>
      </w:divBdr>
      <w:divsChild>
        <w:div w:id="382026764">
          <w:marLeft w:val="547"/>
          <w:marRight w:val="0"/>
          <w:marTop w:val="86"/>
          <w:marBottom w:val="0"/>
          <w:divBdr>
            <w:top w:val="none" w:sz="0" w:space="0" w:color="auto"/>
            <w:left w:val="none" w:sz="0" w:space="0" w:color="auto"/>
            <w:bottom w:val="none" w:sz="0" w:space="0" w:color="auto"/>
            <w:right w:val="none" w:sz="0" w:space="0" w:color="auto"/>
          </w:divBdr>
        </w:div>
        <w:div w:id="385225939">
          <w:marLeft w:val="547"/>
          <w:marRight w:val="0"/>
          <w:marTop w:val="86"/>
          <w:marBottom w:val="0"/>
          <w:divBdr>
            <w:top w:val="none" w:sz="0" w:space="0" w:color="auto"/>
            <w:left w:val="none" w:sz="0" w:space="0" w:color="auto"/>
            <w:bottom w:val="none" w:sz="0" w:space="0" w:color="auto"/>
            <w:right w:val="none" w:sz="0" w:space="0" w:color="auto"/>
          </w:divBdr>
        </w:div>
        <w:div w:id="1070539071">
          <w:marLeft w:val="547"/>
          <w:marRight w:val="0"/>
          <w:marTop w:val="86"/>
          <w:marBottom w:val="0"/>
          <w:divBdr>
            <w:top w:val="none" w:sz="0" w:space="0" w:color="auto"/>
            <w:left w:val="none" w:sz="0" w:space="0" w:color="auto"/>
            <w:bottom w:val="none" w:sz="0" w:space="0" w:color="auto"/>
            <w:right w:val="none" w:sz="0" w:space="0" w:color="auto"/>
          </w:divBdr>
        </w:div>
      </w:divsChild>
    </w:div>
    <w:div w:id="806824890">
      <w:bodyDiv w:val="1"/>
      <w:marLeft w:val="0"/>
      <w:marRight w:val="0"/>
      <w:marTop w:val="0"/>
      <w:marBottom w:val="0"/>
      <w:divBdr>
        <w:top w:val="none" w:sz="0" w:space="0" w:color="auto"/>
        <w:left w:val="none" w:sz="0" w:space="0" w:color="auto"/>
        <w:bottom w:val="none" w:sz="0" w:space="0" w:color="auto"/>
        <w:right w:val="none" w:sz="0" w:space="0" w:color="auto"/>
      </w:divBdr>
    </w:div>
    <w:div w:id="837699117">
      <w:bodyDiv w:val="1"/>
      <w:marLeft w:val="0"/>
      <w:marRight w:val="0"/>
      <w:marTop w:val="0"/>
      <w:marBottom w:val="0"/>
      <w:divBdr>
        <w:top w:val="none" w:sz="0" w:space="0" w:color="auto"/>
        <w:left w:val="none" w:sz="0" w:space="0" w:color="auto"/>
        <w:bottom w:val="none" w:sz="0" w:space="0" w:color="auto"/>
        <w:right w:val="none" w:sz="0" w:space="0" w:color="auto"/>
      </w:divBdr>
    </w:div>
    <w:div w:id="838346124">
      <w:bodyDiv w:val="1"/>
      <w:marLeft w:val="0"/>
      <w:marRight w:val="0"/>
      <w:marTop w:val="0"/>
      <w:marBottom w:val="0"/>
      <w:divBdr>
        <w:top w:val="none" w:sz="0" w:space="0" w:color="auto"/>
        <w:left w:val="none" w:sz="0" w:space="0" w:color="auto"/>
        <w:bottom w:val="none" w:sz="0" w:space="0" w:color="auto"/>
        <w:right w:val="none" w:sz="0" w:space="0" w:color="auto"/>
      </w:divBdr>
    </w:div>
    <w:div w:id="870337432">
      <w:bodyDiv w:val="1"/>
      <w:marLeft w:val="0"/>
      <w:marRight w:val="0"/>
      <w:marTop w:val="0"/>
      <w:marBottom w:val="0"/>
      <w:divBdr>
        <w:top w:val="none" w:sz="0" w:space="0" w:color="auto"/>
        <w:left w:val="none" w:sz="0" w:space="0" w:color="auto"/>
        <w:bottom w:val="none" w:sz="0" w:space="0" w:color="auto"/>
        <w:right w:val="none" w:sz="0" w:space="0" w:color="auto"/>
      </w:divBdr>
    </w:div>
    <w:div w:id="875239595">
      <w:bodyDiv w:val="1"/>
      <w:marLeft w:val="0"/>
      <w:marRight w:val="0"/>
      <w:marTop w:val="0"/>
      <w:marBottom w:val="0"/>
      <w:divBdr>
        <w:top w:val="none" w:sz="0" w:space="0" w:color="auto"/>
        <w:left w:val="none" w:sz="0" w:space="0" w:color="auto"/>
        <w:bottom w:val="none" w:sz="0" w:space="0" w:color="auto"/>
        <w:right w:val="none" w:sz="0" w:space="0" w:color="auto"/>
      </w:divBdr>
    </w:div>
    <w:div w:id="897857193">
      <w:bodyDiv w:val="1"/>
      <w:marLeft w:val="0"/>
      <w:marRight w:val="0"/>
      <w:marTop w:val="0"/>
      <w:marBottom w:val="0"/>
      <w:divBdr>
        <w:top w:val="none" w:sz="0" w:space="0" w:color="auto"/>
        <w:left w:val="none" w:sz="0" w:space="0" w:color="auto"/>
        <w:bottom w:val="none" w:sz="0" w:space="0" w:color="auto"/>
        <w:right w:val="none" w:sz="0" w:space="0" w:color="auto"/>
      </w:divBdr>
      <w:divsChild>
        <w:div w:id="57554999">
          <w:marLeft w:val="547"/>
          <w:marRight w:val="0"/>
          <w:marTop w:val="77"/>
          <w:marBottom w:val="160"/>
          <w:divBdr>
            <w:top w:val="none" w:sz="0" w:space="0" w:color="auto"/>
            <w:left w:val="none" w:sz="0" w:space="0" w:color="auto"/>
            <w:bottom w:val="none" w:sz="0" w:space="0" w:color="auto"/>
            <w:right w:val="none" w:sz="0" w:space="0" w:color="auto"/>
          </w:divBdr>
        </w:div>
        <w:div w:id="146896585">
          <w:marLeft w:val="547"/>
          <w:marRight w:val="0"/>
          <w:marTop w:val="77"/>
          <w:marBottom w:val="160"/>
          <w:divBdr>
            <w:top w:val="none" w:sz="0" w:space="0" w:color="auto"/>
            <w:left w:val="none" w:sz="0" w:space="0" w:color="auto"/>
            <w:bottom w:val="none" w:sz="0" w:space="0" w:color="auto"/>
            <w:right w:val="none" w:sz="0" w:space="0" w:color="auto"/>
          </w:divBdr>
        </w:div>
        <w:div w:id="409736319">
          <w:marLeft w:val="446"/>
          <w:marRight w:val="0"/>
          <w:marTop w:val="200"/>
          <w:marBottom w:val="0"/>
          <w:divBdr>
            <w:top w:val="none" w:sz="0" w:space="0" w:color="auto"/>
            <w:left w:val="none" w:sz="0" w:space="0" w:color="auto"/>
            <w:bottom w:val="none" w:sz="0" w:space="0" w:color="auto"/>
            <w:right w:val="none" w:sz="0" w:space="0" w:color="auto"/>
          </w:divBdr>
        </w:div>
        <w:div w:id="1373115926">
          <w:marLeft w:val="547"/>
          <w:marRight w:val="0"/>
          <w:marTop w:val="200"/>
          <w:marBottom w:val="0"/>
          <w:divBdr>
            <w:top w:val="none" w:sz="0" w:space="0" w:color="auto"/>
            <w:left w:val="none" w:sz="0" w:space="0" w:color="auto"/>
            <w:bottom w:val="none" w:sz="0" w:space="0" w:color="auto"/>
            <w:right w:val="none" w:sz="0" w:space="0" w:color="auto"/>
          </w:divBdr>
        </w:div>
        <w:div w:id="1434403501">
          <w:marLeft w:val="547"/>
          <w:marRight w:val="0"/>
          <w:marTop w:val="77"/>
          <w:marBottom w:val="160"/>
          <w:divBdr>
            <w:top w:val="none" w:sz="0" w:space="0" w:color="auto"/>
            <w:left w:val="none" w:sz="0" w:space="0" w:color="auto"/>
            <w:bottom w:val="none" w:sz="0" w:space="0" w:color="auto"/>
            <w:right w:val="none" w:sz="0" w:space="0" w:color="auto"/>
          </w:divBdr>
        </w:div>
        <w:div w:id="1474058656">
          <w:marLeft w:val="547"/>
          <w:marRight w:val="0"/>
          <w:marTop w:val="77"/>
          <w:marBottom w:val="160"/>
          <w:divBdr>
            <w:top w:val="none" w:sz="0" w:space="0" w:color="auto"/>
            <w:left w:val="none" w:sz="0" w:space="0" w:color="auto"/>
            <w:bottom w:val="none" w:sz="0" w:space="0" w:color="auto"/>
            <w:right w:val="none" w:sz="0" w:space="0" w:color="auto"/>
          </w:divBdr>
        </w:div>
        <w:div w:id="1612936888">
          <w:marLeft w:val="547"/>
          <w:marRight w:val="0"/>
          <w:marTop w:val="77"/>
          <w:marBottom w:val="160"/>
          <w:divBdr>
            <w:top w:val="none" w:sz="0" w:space="0" w:color="auto"/>
            <w:left w:val="none" w:sz="0" w:space="0" w:color="auto"/>
            <w:bottom w:val="none" w:sz="0" w:space="0" w:color="auto"/>
            <w:right w:val="none" w:sz="0" w:space="0" w:color="auto"/>
          </w:divBdr>
        </w:div>
        <w:div w:id="1852064436">
          <w:marLeft w:val="547"/>
          <w:marRight w:val="0"/>
          <w:marTop w:val="200"/>
          <w:marBottom w:val="0"/>
          <w:divBdr>
            <w:top w:val="none" w:sz="0" w:space="0" w:color="auto"/>
            <w:left w:val="none" w:sz="0" w:space="0" w:color="auto"/>
            <w:bottom w:val="none" w:sz="0" w:space="0" w:color="auto"/>
            <w:right w:val="none" w:sz="0" w:space="0" w:color="auto"/>
          </w:divBdr>
        </w:div>
        <w:div w:id="2077391813">
          <w:marLeft w:val="1166"/>
          <w:marRight w:val="0"/>
          <w:marTop w:val="62"/>
          <w:marBottom w:val="160"/>
          <w:divBdr>
            <w:top w:val="none" w:sz="0" w:space="0" w:color="auto"/>
            <w:left w:val="none" w:sz="0" w:space="0" w:color="auto"/>
            <w:bottom w:val="none" w:sz="0" w:space="0" w:color="auto"/>
            <w:right w:val="none" w:sz="0" w:space="0" w:color="auto"/>
          </w:divBdr>
        </w:div>
        <w:div w:id="2142570700">
          <w:marLeft w:val="1166"/>
          <w:marRight w:val="0"/>
          <w:marTop w:val="200"/>
          <w:marBottom w:val="0"/>
          <w:divBdr>
            <w:top w:val="none" w:sz="0" w:space="0" w:color="auto"/>
            <w:left w:val="none" w:sz="0" w:space="0" w:color="auto"/>
            <w:bottom w:val="none" w:sz="0" w:space="0" w:color="auto"/>
            <w:right w:val="none" w:sz="0" w:space="0" w:color="auto"/>
          </w:divBdr>
        </w:div>
      </w:divsChild>
    </w:div>
    <w:div w:id="933055561">
      <w:bodyDiv w:val="1"/>
      <w:marLeft w:val="0"/>
      <w:marRight w:val="0"/>
      <w:marTop w:val="0"/>
      <w:marBottom w:val="0"/>
      <w:divBdr>
        <w:top w:val="none" w:sz="0" w:space="0" w:color="auto"/>
        <w:left w:val="none" w:sz="0" w:space="0" w:color="auto"/>
        <w:bottom w:val="none" w:sz="0" w:space="0" w:color="auto"/>
        <w:right w:val="none" w:sz="0" w:space="0" w:color="auto"/>
      </w:divBdr>
    </w:div>
    <w:div w:id="934896765">
      <w:bodyDiv w:val="1"/>
      <w:marLeft w:val="0"/>
      <w:marRight w:val="0"/>
      <w:marTop w:val="0"/>
      <w:marBottom w:val="0"/>
      <w:divBdr>
        <w:top w:val="none" w:sz="0" w:space="0" w:color="auto"/>
        <w:left w:val="none" w:sz="0" w:space="0" w:color="auto"/>
        <w:bottom w:val="none" w:sz="0" w:space="0" w:color="auto"/>
        <w:right w:val="none" w:sz="0" w:space="0" w:color="auto"/>
      </w:divBdr>
      <w:divsChild>
        <w:div w:id="232084076">
          <w:marLeft w:val="547"/>
          <w:marRight w:val="0"/>
          <w:marTop w:val="0"/>
          <w:marBottom w:val="0"/>
          <w:divBdr>
            <w:top w:val="none" w:sz="0" w:space="0" w:color="auto"/>
            <w:left w:val="none" w:sz="0" w:space="0" w:color="auto"/>
            <w:bottom w:val="none" w:sz="0" w:space="0" w:color="auto"/>
            <w:right w:val="none" w:sz="0" w:space="0" w:color="auto"/>
          </w:divBdr>
        </w:div>
        <w:div w:id="911354775">
          <w:marLeft w:val="547"/>
          <w:marRight w:val="0"/>
          <w:marTop w:val="0"/>
          <w:marBottom w:val="0"/>
          <w:divBdr>
            <w:top w:val="none" w:sz="0" w:space="0" w:color="auto"/>
            <w:left w:val="none" w:sz="0" w:space="0" w:color="auto"/>
            <w:bottom w:val="none" w:sz="0" w:space="0" w:color="auto"/>
            <w:right w:val="none" w:sz="0" w:space="0" w:color="auto"/>
          </w:divBdr>
        </w:div>
        <w:div w:id="1436553640">
          <w:marLeft w:val="547"/>
          <w:marRight w:val="0"/>
          <w:marTop w:val="0"/>
          <w:marBottom w:val="0"/>
          <w:divBdr>
            <w:top w:val="none" w:sz="0" w:space="0" w:color="auto"/>
            <w:left w:val="none" w:sz="0" w:space="0" w:color="auto"/>
            <w:bottom w:val="none" w:sz="0" w:space="0" w:color="auto"/>
            <w:right w:val="none" w:sz="0" w:space="0" w:color="auto"/>
          </w:divBdr>
        </w:div>
        <w:div w:id="1456096035">
          <w:marLeft w:val="547"/>
          <w:marRight w:val="0"/>
          <w:marTop w:val="0"/>
          <w:marBottom w:val="0"/>
          <w:divBdr>
            <w:top w:val="none" w:sz="0" w:space="0" w:color="auto"/>
            <w:left w:val="none" w:sz="0" w:space="0" w:color="auto"/>
            <w:bottom w:val="none" w:sz="0" w:space="0" w:color="auto"/>
            <w:right w:val="none" w:sz="0" w:space="0" w:color="auto"/>
          </w:divBdr>
        </w:div>
        <w:div w:id="1484420951">
          <w:marLeft w:val="547"/>
          <w:marRight w:val="0"/>
          <w:marTop w:val="0"/>
          <w:marBottom w:val="0"/>
          <w:divBdr>
            <w:top w:val="none" w:sz="0" w:space="0" w:color="auto"/>
            <w:left w:val="none" w:sz="0" w:space="0" w:color="auto"/>
            <w:bottom w:val="none" w:sz="0" w:space="0" w:color="auto"/>
            <w:right w:val="none" w:sz="0" w:space="0" w:color="auto"/>
          </w:divBdr>
        </w:div>
        <w:div w:id="1930307021">
          <w:marLeft w:val="547"/>
          <w:marRight w:val="0"/>
          <w:marTop w:val="0"/>
          <w:marBottom w:val="0"/>
          <w:divBdr>
            <w:top w:val="none" w:sz="0" w:space="0" w:color="auto"/>
            <w:left w:val="none" w:sz="0" w:space="0" w:color="auto"/>
            <w:bottom w:val="none" w:sz="0" w:space="0" w:color="auto"/>
            <w:right w:val="none" w:sz="0" w:space="0" w:color="auto"/>
          </w:divBdr>
        </w:div>
        <w:div w:id="1979873413">
          <w:marLeft w:val="547"/>
          <w:marRight w:val="0"/>
          <w:marTop w:val="0"/>
          <w:marBottom w:val="0"/>
          <w:divBdr>
            <w:top w:val="none" w:sz="0" w:space="0" w:color="auto"/>
            <w:left w:val="none" w:sz="0" w:space="0" w:color="auto"/>
            <w:bottom w:val="none" w:sz="0" w:space="0" w:color="auto"/>
            <w:right w:val="none" w:sz="0" w:space="0" w:color="auto"/>
          </w:divBdr>
        </w:div>
      </w:divsChild>
    </w:div>
    <w:div w:id="953904369">
      <w:bodyDiv w:val="1"/>
      <w:marLeft w:val="0"/>
      <w:marRight w:val="0"/>
      <w:marTop w:val="0"/>
      <w:marBottom w:val="0"/>
      <w:divBdr>
        <w:top w:val="none" w:sz="0" w:space="0" w:color="auto"/>
        <w:left w:val="none" w:sz="0" w:space="0" w:color="auto"/>
        <w:bottom w:val="none" w:sz="0" w:space="0" w:color="auto"/>
        <w:right w:val="none" w:sz="0" w:space="0" w:color="auto"/>
      </w:divBdr>
      <w:divsChild>
        <w:div w:id="560211839">
          <w:marLeft w:val="1267"/>
          <w:marRight w:val="0"/>
          <w:marTop w:val="0"/>
          <w:marBottom w:val="0"/>
          <w:divBdr>
            <w:top w:val="none" w:sz="0" w:space="0" w:color="auto"/>
            <w:left w:val="none" w:sz="0" w:space="0" w:color="auto"/>
            <w:bottom w:val="none" w:sz="0" w:space="0" w:color="auto"/>
            <w:right w:val="none" w:sz="0" w:space="0" w:color="auto"/>
          </w:divBdr>
        </w:div>
        <w:div w:id="673459573">
          <w:marLeft w:val="1267"/>
          <w:marRight w:val="0"/>
          <w:marTop w:val="0"/>
          <w:marBottom w:val="0"/>
          <w:divBdr>
            <w:top w:val="none" w:sz="0" w:space="0" w:color="auto"/>
            <w:left w:val="none" w:sz="0" w:space="0" w:color="auto"/>
            <w:bottom w:val="none" w:sz="0" w:space="0" w:color="auto"/>
            <w:right w:val="none" w:sz="0" w:space="0" w:color="auto"/>
          </w:divBdr>
        </w:div>
        <w:div w:id="711542725">
          <w:marLeft w:val="1267"/>
          <w:marRight w:val="0"/>
          <w:marTop w:val="0"/>
          <w:marBottom w:val="0"/>
          <w:divBdr>
            <w:top w:val="none" w:sz="0" w:space="0" w:color="auto"/>
            <w:left w:val="none" w:sz="0" w:space="0" w:color="auto"/>
            <w:bottom w:val="none" w:sz="0" w:space="0" w:color="auto"/>
            <w:right w:val="none" w:sz="0" w:space="0" w:color="auto"/>
          </w:divBdr>
        </w:div>
        <w:div w:id="1139805260">
          <w:marLeft w:val="547"/>
          <w:marRight w:val="0"/>
          <w:marTop w:val="0"/>
          <w:marBottom w:val="0"/>
          <w:divBdr>
            <w:top w:val="none" w:sz="0" w:space="0" w:color="auto"/>
            <w:left w:val="none" w:sz="0" w:space="0" w:color="auto"/>
            <w:bottom w:val="none" w:sz="0" w:space="0" w:color="auto"/>
            <w:right w:val="none" w:sz="0" w:space="0" w:color="auto"/>
          </w:divBdr>
        </w:div>
        <w:div w:id="1170608332">
          <w:marLeft w:val="1267"/>
          <w:marRight w:val="0"/>
          <w:marTop w:val="0"/>
          <w:marBottom w:val="0"/>
          <w:divBdr>
            <w:top w:val="none" w:sz="0" w:space="0" w:color="auto"/>
            <w:left w:val="none" w:sz="0" w:space="0" w:color="auto"/>
            <w:bottom w:val="none" w:sz="0" w:space="0" w:color="auto"/>
            <w:right w:val="none" w:sz="0" w:space="0" w:color="auto"/>
          </w:divBdr>
        </w:div>
        <w:div w:id="1624725181">
          <w:marLeft w:val="1267"/>
          <w:marRight w:val="0"/>
          <w:marTop w:val="0"/>
          <w:marBottom w:val="0"/>
          <w:divBdr>
            <w:top w:val="none" w:sz="0" w:space="0" w:color="auto"/>
            <w:left w:val="none" w:sz="0" w:space="0" w:color="auto"/>
            <w:bottom w:val="none" w:sz="0" w:space="0" w:color="auto"/>
            <w:right w:val="none" w:sz="0" w:space="0" w:color="auto"/>
          </w:divBdr>
        </w:div>
      </w:divsChild>
    </w:div>
    <w:div w:id="966399489">
      <w:bodyDiv w:val="1"/>
      <w:marLeft w:val="0"/>
      <w:marRight w:val="0"/>
      <w:marTop w:val="0"/>
      <w:marBottom w:val="0"/>
      <w:divBdr>
        <w:top w:val="none" w:sz="0" w:space="0" w:color="auto"/>
        <w:left w:val="none" w:sz="0" w:space="0" w:color="auto"/>
        <w:bottom w:val="none" w:sz="0" w:space="0" w:color="auto"/>
        <w:right w:val="none" w:sz="0" w:space="0" w:color="auto"/>
      </w:divBdr>
      <w:divsChild>
        <w:div w:id="411706842">
          <w:marLeft w:val="446"/>
          <w:marRight w:val="0"/>
          <w:marTop w:val="0"/>
          <w:marBottom w:val="0"/>
          <w:divBdr>
            <w:top w:val="none" w:sz="0" w:space="0" w:color="auto"/>
            <w:left w:val="none" w:sz="0" w:space="0" w:color="auto"/>
            <w:bottom w:val="none" w:sz="0" w:space="0" w:color="auto"/>
            <w:right w:val="none" w:sz="0" w:space="0" w:color="auto"/>
          </w:divBdr>
        </w:div>
      </w:divsChild>
    </w:div>
    <w:div w:id="975378694">
      <w:bodyDiv w:val="1"/>
      <w:marLeft w:val="0"/>
      <w:marRight w:val="0"/>
      <w:marTop w:val="0"/>
      <w:marBottom w:val="0"/>
      <w:divBdr>
        <w:top w:val="none" w:sz="0" w:space="0" w:color="auto"/>
        <w:left w:val="none" w:sz="0" w:space="0" w:color="auto"/>
        <w:bottom w:val="none" w:sz="0" w:space="0" w:color="auto"/>
        <w:right w:val="none" w:sz="0" w:space="0" w:color="auto"/>
      </w:divBdr>
    </w:div>
    <w:div w:id="1006593575">
      <w:bodyDiv w:val="1"/>
      <w:marLeft w:val="0"/>
      <w:marRight w:val="0"/>
      <w:marTop w:val="0"/>
      <w:marBottom w:val="0"/>
      <w:divBdr>
        <w:top w:val="none" w:sz="0" w:space="0" w:color="auto"/>
        <w:left w:val="none" w:sz="0" w:space="0" w:color="auto"/>
        <w:bottom w:val="none" w:sz="0" w:space="0" w:color="auto"/>
        <w:right w:val="none" w:sz="0" w:space="0" w:color="auto"/>
      </w:divBdr>
      <w:divsChild>
        <w:div w:id="1184128995">
          <w:marLeft w:val="547"/>
          <w:marRight w:val="0"/>
          <w:marTop w:val="0"/>
          <w:marBottom w:val="0"/>
          <w:divBdr>
            <w:top w:val="none" w:sz="0" w:space="0" w:color="auto"/>
            <w:left w:val="none" w:sz="0" w:space="0" w:color="auto"/>
            <w:bottom w:val="none" w:sz="0" w:space="0" w:color="auto"/>
            <w:right w:val="none" w:sz="0" w:space="0" w:color="auto"/>
          </w:divBdr>
        </w:div>
      </w:divsChild>
    </w:div>
    <w:div w:id="1036278614">
      <w:bodyDiv w:val="1"/>
      <w:marLeft w:val="0"/>
      <w:marRight w:val="0"/>
      <w:marTop w:val="0"/>
      <w:marBottom w:val="0"/>
      <w:divBdr>
        <w:top w:val="none" w:sz="0" w:space="0" w:color="auto"/>
        <w:left w:val="none" w:sz="0" w:space="0" w:color="auto"/>
        <w:bottom w:val="none" w:sz="0" w:space="0" w:color="auto"/>
        <w:right w:val="none" w:sz="0" w:space="0" w:color="auto"/>
      </w:divBdr>
    </w:div>
    <w:div w:id="1094010308">
      <w:bodyDiv w:val="1"/>
      <w:marLeft w:val="0"/>
      <w:marRight w:val="0"/>
      <w:marTop w:val="0"/>
      <w:marBottom w:val="0"/>
      <w:divBdr>
        <w:top w:val="none" w:sz="0" w:space="0" w:color="auto"/>
        <w:left w:val="none" w:sz="0" w:space="0" w:color="auto"/>
        <w:bottom w:val="none" w:sz="0" w:space="0" w:color="auto"/>
        <w:right w:val="none" w:sz="0" w:space="0" w:color="auto"/>
      </w:divBdr>
    </w:div>
    <w:div w:id="1153058134">
      <w:bodyDiv w:val="1"/>
      <w:marLeft w:val="0"/>
      <w:marRight w:val="0"/>
      <w:marTop w:val="0"/>
      <w:marBottom w:val="0"/>
      <w:divBdr>
        <w:top w:val="none" w:sz="0" w:space="0" w:color="auto"/>
        <w:left w:val="none" w:sz="0" w:space="0" w:color="auto"/>
        <w:bottom w:val="none" w:sz="0" w:space="0" w:color="auto"/>
        <w:right w:val="none" w:sz="0" w:space="0" w:color="auto"/>
      </w:divBdr>
    </w:div>
    <w:div w:id="1154639409">
      <w:bodyDiv w:val="1"/>
      <w:marLeft w:val="0"/>
      <w:marRight w:val="0"/>
      <w:marTop w:val="0"/>
      <w:marBottom w:val="0"/>
      <w:divBdr>
        <w:top w:val="none" w:sz="0" w:space="0" w:color="auto"/>
        <w:left w:val="none" w:sz="0" w:space="0" w:color="auto"/>
        <w:bottom w:val="none" w:sz="0" w:space="0" w:color="auto"/>
        <w:right w:val="none" w:sz="0" w:space="0" w:color="auto"/>
      </w:divBdr>
      <w:divsChild>
        <w:div w:id="237446451">
          <w:marLeft w:val="446"/>
          <w:marRight w:val="0"/>
          <w:marTop w:val="0"/>
          <w:marBottom w:val="0"/>
          <w:divBdr>
            <w:top w:val="none" w:sz="0" w:space="0" w:color="auto"/>
            <w:left w:val="none" w:sz="0" w:space="0" w:color="auto"/>
            <w:bottom w:val="none" w:sz="0" w:space="0" w:color="auto"/>
            <w:right w:val="none" w:sz="0" w:space="0" w:color="auto"/>
          </w:divBdr>
        </w:div>
        <w:div w:id="293367654">
          <w:marLeft w:val="446"/>
          <w:marRight w:val="0"/>
          <w:marTop w:val="0"/>
          <w:marBottom w:val="0"/>
          <w:divBdr>
            <w:top w:val="none" w:sz="0" w:space="0" w:color="auto"/>
            <w:left w:val="none" w:sz="0" w:space="0" w:color="auto"/>
            <w:bottom w:val="none" w:sz="0" w:space="0" w:color="auto"/>
            <w:right w:val="none" w:sz="0" w:space="0" w:color="auto"/>
          </w:divBdr>
        </w:div>
        <w:div w:id="1795295932">
          <w:marLeft w:val="446"/>
          <w:marRight w:val="0"/>
          <w:marTop w:val="0"/>
          <w:marBottom w:val="0"/>
          <w:divBdr>
            <w:top w:val="none" w:sz="0" w:space="0" w:color="auto"/>
            <w:left w:val="none" w:sz="0" w:space="0" w:color="auto"/>
            <w:bottom w:val="none" w:sz="0" w:space="0" w:color="auto"/>
            <w:right w:val="none" w:sz="0" w:space="0" w:color="auto"/>
          </w:divBdr>
        </w:div>
        <w:div w:id="1957836015">
          <w:marLeft w:val="446"/>
          <w:marRight w:val="0"/>
          <w:marTop w:val="0"/>
          <w:marBottom w:val="0"/>
          <w:divBdr>
            <w:top w:val="none" w:sz="0" w:space="0" w:color="auto"/>
            <w:left w:val="none" w:sz="0" w:space="0" w:color="auto"/>
            <w:bottom w:val="none" w:sz="0" w:space="0" w:color="auto"/>
            <w:right w:val="none" w:sz="0" w:space="0" w:color="auto"/>
          </w:divBdr>
        </w:div>
      </w:divsChild>
    </w:div>
    <w:div w:id="1188564108">
      <w:bodyDiv w:val="1"/>
      <w:marLeft w:val="0"/>
      <w:marRight w:val="0"/>
      <w:marTop w:val="0"/>
      <w:marBottom w:val="0"/>
      <w:divBdr>
        <w:top w:val="none" w:sz="0" w:space="0" w:color="auto"/>
        <w:left w:val="none" w:sz="0" w:space="0" w:color="auto"/>
        <w:bottom w:val="none" w:sz="0" w:space="0" w:color="auto"/>
        <w:right w:val="none" w:sz="0" w:space="0" w:color="auto"/>
      </w:divBdr>
      <w:divsChild>
        <w:div w:id="1046952172">
          <w:marLeft w:val="547"/>
          <w:marRight w:val="0"/>
          <w:marTop w:val="0"/>
          <w:marBottom w:val="0"/>
          <w:divBdr>
            <w:top w:val="none" w:sz="0" w:space="0" w:color="auto"/>
            <w:left w:val="none" w:sz="0" w:space="0" w:color="auto"/>
            <w:bottom w:val="none" w:sz="0" w:space="0" w:color="auto"/>
            <w:right w:val="none" w:sz="0" w:space="0" w:color="auto"/>
          </w:divBdr>
        </w:div>
        <w:div w:id="1423796300">
          <w:marLeft w:val="547"/>
          <w:marRight w:val="0"/>
          <w:marTop w:val="0"/>
          <w:marBottom w:val="0"/>
          <w:divBdr>
            <w:top w:val="none" w:sz="0" w:space="0" w:color="auto"/>
            <w:left w:val="none" w:sz="0" w:space="0" w:color="auto"/>
            <w:bottom w:val="none" w:sz="0" w:space="0" w:color="auto"/>
            <w:right w:val="none" w:sz="0" w:space="0" w:color="auto"/>
          </w:divBdr>
        </w:div>
        <w:div w:id="1447625035">
          <w:marLeft w:val="547"/>
          <w:marRight w:val="0"/>
          <w:marTop w:val="0"/>
          <w:marBottom w:val="0"/>
          <w:divBdr>
            <w:top w:val="none" w:sz="0" w:space="0" w:color="auto"/>
            <w:left w:val="none" w:sz="0" w:space="0" w:color="auto"/>
            <w:bottom w:val="none" w:sz="0" w:space="0" w:color="auto"/>
            <w:right w:val="none" w:sz="0" w:space="0" w:color="auto"/>
          </w:divBdr>
        </w:div>
        <w:div w:id="2104062820">
          <w:marLeft w:val="547"/>
          <w:marRight w:val="0"/>
          <w:marTop w:val="0"/>
          <w:marBottom w:val="0"/>
          <w:divBdr>
            <w:top w:val="none" w:sz="0" w:space="0" w:color="auto"/>
            <w:left w:val="none" w:sz="0" w:space="0" w:color="auto"/>
            <w:bottom w:val="none" w:sz="0" w:space="0" w:color="auto"/>
            <w:right w:val="none" w:sz="0" w:space="0" w:color="auto"/>
          </w:divBdr>
        </w:div>
      </w:divsChild>
    </w:div>
    <w:div w:id="1190529498">
      <w:bodyDiv w:val="1"/>
      <w:marLeft w:val="0"/>
      <w:marRight w:val="0"/>
      <w:marTop w:val="0"/>
      <w:marBottom w:val="0"/>
      <w:divBdr>
        <w:top w:val="none" w:sz="0" w:space="0" w:color="auto"/>
        <w:left w:val="none" w:sz="0" w:space="0" w:color="auto"/>
        <w:bottom w:val="none" w:sz="0" w:space="0" w:color="auto"/>
        <w:right w:val="none" w:sz="0" w:space="0" w:color="auto"/>
      </w:divBdr>
    </w:div>
    <w:div w:id="1225868950">
      <w:bodyDiv w:val="1"/>
      <w:marLeft w:val="0"/>
      <w:marRight w:val="0"/>
      <w:marTop w:val="0"/>
      <w:marBottom w:val="0"/>
      <w:divBdr>
        <w:top w:val="none" w:sz="0" w:space="0" w:color="auto"/>
        <w:left w:val="none" w:sz="0" w:space="0" w:color="auto"/>
        <w:bottom w:val="none" w:sz="0" w:space="0" w:color="auto"/>
        <w:right w:val="none" w:sz="0" w:space="0" w:color="auto"/>
      </w:divBdr>
    </w:div>
    <w:div w:id="1238438355">
      <w:bodyDiv w:val="1"/>
      <w:marLeft w:val="0"/>
      <w:marRight w:val="0"/>
      <w:marTop w:val="0"/>
      <w:marBottom w:val="0"/>
      <w:divBdr>
        <w:top w:val="none" w:sz="0" w:space="0" w:color="auto"/>
        <w:left w:val="none" w:sz="0" w:space="0" w:color="auto"/>
        <w:bottom w:val="none" w:sz="0" w:space="0" w:color="auto"/>
        <w:right w:val="none" w:sz="0" w:space="0" w:color="auto"/>
      </w:divBdr>
    </w:div>
    <w:div w:id="1254164834">
      <w:bodyDiv w:val="1"/>
      <w:marLeft w:val="0"/>
      <w:marRight w:val="0"/>
      <w:marTop w:val="0"/>
      <w:marBottom w:val="0"/>
      <w:divBdr>
        <w:top w:val="none" w:sz="0" w:space="0" w:color="auto"/>
        <w:left w:val="none" w:sz="0" w:space="0" w:color="auto"/>
        <w:bottom w:val="none" w:sz="0" w:space="0" w:color="auto"/>
        <w:right w:val="none" w:sz="0" w:space="0" w:color="auto"/>
      </w:divBdr>
    </w:div>
    <w:div w:id="1269191838">
      <w:bodyDiv w:val="1"/>
      <w:marLeft w:val="0"/>
      <w:marRight w:val="0"/>
      <w:marTop w:val="0"/>
      <w:marBottom w:val="0"/>
      <w:divBdr>
        <w:top w:val="none" w:sz="0" w:space="0" w:color="auto"/>
        <w:left w:val="none" w:sz="0" w:space="0" w:color="auto"/>
        <w:bottom w:val="none" w:sz="0" w:space="0" w:color="auto"/>
        <w:right w:val="none" w:sz="0" w:space="0" w:color="auto"/>
      </w:divBdr>
    </w:div>
    <w:div w:id="1323268444">
      <w:bodyDiv w:val="1"/>
      <w:marLeft w:val="0"/>
      <w:marRight w:val="0"/>
      <w:marTop w:val="0"/>
      <w:marBottom w:val="0"/>
      <w:divBdr>
        <w:top w:val="none" w:sz="0" w:space="0" w:color="auto"/>
        <w:left w:val="none" w:sz="0" w:space="0" w:color="auto"/>
        <w:bottom w:val="none" w:sz="0" w:space="0" w:color="auto"/>
        <w:right w:val="none" w:sz="0" w:space="0" w:color="auto"/>
      </w:divBdr>
      <w:divsChild>
        <w:div w:id="220799675">
          <w:marLeft w:val="547"/>
          <w:marRight w:val="0"/>
          <w:marTop w:val="0"/>
          <w:marBottom w:val="0"/>
          <w:divBdr>
            <w:top w:val="none" w:sz="0" w:space="0" w:color="auto"/>
            <w:left w:val="none" w:sz="0" w:space="0" w:color="auto"/>
            <w:bottom w:val="none" w:sz="0" w:space="0" w:color="auto"/>
            <w:right w:val="none" w:sz="0" w:space="0" w:color="auto"/>
          </w:divBdr>
        </w:div>
        <w:div w:id="229538092">
          <w:marLeft w:val="547"/>
          <w:marRight w:val="0"/>
          <w:marTop w:val="0"/>
          <w:marBottom w:val="0"/>
          <w:divBdr>
            <w:top w:val="none" w:sz="0" w:space="0" w:color="auto"/>
            <w:left w:val="none" w:sz="0" w:space="0" w:color="auto"/>
            <w:bottom w:val="none" w:sz="0" w:space="0" w:color="auto"/>
            <w:right w:val="none" w:sz="0" w:space="0" w:color="auto"/>
          </w:divBdr>
        </w:div>
        <w:div w:id="506866883">
          <w:marLeft w:val="547"/>
          <w:marRight w:val="0"/>
          <w:marTop w:val="0"/>
          <w:marBottom w:val="0"/>
          <w:divBdr>
            <w:top w:val="none" w:sz="0" w:space="0" w:color="auto"/>
            <w:left w:val="none" w:sz="0" w:space="0" w:color="auto"/>
            <w:bottom w:val="none" w:sz="0" w:space="0" w:color="auto"/>
            <w:right w:val="none" w:sz="0" w:space="0" w:color="auto"/>
          </w:divBdr>
        </w:div>
        <w:div w:id="1318917887">
          <w:marLeft w:val="547"/>
          <w:marRight w:val="0"/>
          <w:marTop w:val="0"/>
          <w:marBottom w:val="0"/>
          <w:divBdr>
            <w:top w:val="none" w:sz="0" w:space="0" w:color="auto"/>
            <w:left w:val="none" w:sz="0" w:space="0" w:color="auto"/>
            <w:bottom w:val="none" w:sz="0" w:space="0" w:color="auto"/>
            <w:right w:val="none" w:sz="0" w:space="0" w:color="auto"/>
          </w:divBdr>
        </w:div>
      </w:divsChild>
    </w:div>
    <w:div w:id="1332291471">
      <w:bodyDiv w:val="1"/>
      <w:marLeft w:val="0"/>
      <w:marRight w:val="0"/>
      <w:marTop w:val="0"/>
      <w:marBottom w:val="0"/>
      <w:divBdr>
        <w:top w:val="none" w:sz="0" w:space="0" w:color="auto"/>
        <w:left w:val="none" w:sz="0" w:space="0" w:color="auto"/>
        <w:bottom w:val="none" w:sz="0" w:space="0" w:color="auto"/>
        <w:right w:val="none" w:sz="0" w:space="0" w:color="auto"/>
      </w:divBdr>
    </w:div>
    <w:div w:id="1355038380">
      <w:bodyDiv w:val="1"/>
      <w:marLeft w:val="0"/>
      <w:marRight w:val="0"/>
      <w:marTop w:val="0"/>
      <w:marBottom w:val="0"/>
      <w:divBdr>
        <w:top w:val="none" w:sz="0" w:space="0" w:color="auto"/>
        <w:left w:val="none" w:sz="0" w:space="0" w:color="auto"/>
        <w:bottom w:val="none" w:sz="0" w:space="0" w:color="auto"/>
        <w:right w:val="none" w:sz="0" w:space="0" w:color="auto"/>
      </w:divBdr>
      <w:divsChild>
        <w:div w:id="13193240">
          <w:marLeft w:val="1166"/>
          <w:marRight w:val="0"/>
          <w:marTop w:val="58"/>
          <w:marBottom w:val="160"/>
          <w:divBdr>
            <w:top w:val="none" w:sz="0" w:space="0" w:color="auto"/>
            <w:left w:val="none" w:sz="0" w:space="0" w:color="auto"/>
            <w:bottom w:val="none" w:sz="0" w:space="0" w:color="auto"/>
            <w:right w:val="none" w:sz="0" w:space="0" w:color="auto"/>
          </w:divBdr>
        </w:div>
        <w:div w:id="347997238">
          <w:marLeft w:val="547"/>
          <w:marRight w:val="0"/>
          <w:marTop w:val="200"/>
          <w:marBottom w:val="0"/>
          <w:divBdr>
            <w:top w:val="none" w:sz="0" w:space="0" w:color="auto"/>
            <w:left w:val="none" w:sz="0" w:space="0" w:color="auto"/>
            <w:bottom w:val="none" w:sz="0" w:space="0" w:color="auto"/>
            <w:right w:val="none" w:sz="0" w:space="0" w:color="auto"/>
          </w:divBdr>
        </w:div>
        <w:div w:id="746998045">
          <w:marLeft w:val="1080"/>
          <w:marRight w:val="0"/>
          <w:marTop w:val="200"/>
          <w:marBottom w:val="0"/>
          <w:divBdr>
            <w:top w:val="none" w:sz="0" w:space="0" w:color="auto"/>
            <w:left w:val="none" w:sz="0" w:space="0" w:color="auto"/>
            <w:bottom w:val="none" w:sz="0" w:space="0" w:color="auto"/>
            <w:right w:val="none" w:sz="0" w:space="0" w:color="auto"/>
          </w:divBdr>
        </w:div>
        <w:div w:id="882401007">
          <w:marLeft w:val="547"/>
          <w:marRight w:val="0"/>
          <w:marTop w:val="200"/>
          <w:marBottom w:val="0"/>
          <w:divBdr>
            <w:top w:val="none" w:sz="0" w:space="0" w:color="auto"/>
            <w:left w:val="none" w:sz="0" w:space="0" w:color="auto"/>
            <w:bottom w:val="none" w:sz="0" w:space="0" w:color="auto"/>
            <w:right w:val="none" w:sz="0" w:space="0" w:color="auto"/>
          </w:divBdr>
        </w:div>
        <w:div w:id="954823939">
          <w:marLeft w:val="1166"/>
          <w:marRight w:val="0"/>
          <w:marTop w:val="200"/>
          <w:marBottom w:val="0"/>
          <w:divBdr>
            <w:top w:val="none" w:sz="0" w:space="0" w:color="auto"/>
            <w:left w:val="none" w:sz="0" w:space="0" w:color="auto"/>
            <w:bottom w:val="none" w:sz="0" w:space="0" w:color="auto"/>
            <w:right w:val="none" w:sz="0" w:space="0" w:color="auto"/>
          </w:divBdr>
        </w:div>
        <w:div w:id="983003654">
          <w:marLeft w:val="1080"/>
          <w:marRight w:val="0"/>
          <w:marTop w:val="200"/>
          <w:marBottom w:val="0"/>
          <w:divBdr>
            <w:top w:val="none" w:sz="0" w:space="0" w:color="auto"/>
            <w:left w:val="none" w:sz="0" w:space="0" w:color="auto"/>
            <w:bottom w:val="none" w:sz="0" w:space="0" w:color="auto"/>
            <w:right w:val="none" w:sz="0" w:space="0" w:color="auto"/>
          </w:divBdr>
        </w:div>
        <w:div w:id="1167096582">
          <w:marLeft w:val="547"/>
          <w:marRight w:val="0"/>
          <w:marTop w:val="67"/>
          <w:marBottom w:val="160"/>
          <w:divBdr>
            <w:top w:val="none" w:sz="0" w:space="0" w:color="auto"/>
            <w:left w:val="none" w:sz="0" w:space="0" w:color="auto"/>
            <w:bottom w:val="none" w:sz="0" w:space="0" w:color="auto"/>
            <w:right w:val="none" w:sz="0" w:space="0" w:color="auto"/>
          </w:divBdr>
        </w:div>
        <w:div w:id="1290015448">
          <w:marLeft w:val="1166"/>
          <w:marRight w:val="0"/>
          <w:marTop w:val="58"/>
          <w:marBottom w:val="160"/>
          <w:divBdr>
            <w:top w:val="none" w:sz="0" w:space="0" w:color="auto"/>
            <w:left w:val="none" w:sz="0" w:space="0" w:color="auto"/>
            <w:bottom w:val="none" w:sz="0" w:space="0" w:color="auto"/>
            <w:right w:val="none" w:sz="0" w:space="0" w:color="auto"/>
          </w:divBdr>
        </w:div>
        <w:div w:id="1321890256">
          <w:marLeft w:val="547"/>
          <w:marRight w:val="0"/>
          <w:marTop w:val="200"/>
          <w:marBottom w:val="0"/>
          <w:divBdr>
            <w:top w:val="none" w:sz="0" w:space="0" w:color="auto"/>
            <w:left w:val="none" w:sz="0" w:space="0" w:color="auto"/>
            <w:bottom w:val="none" w:sz="0" w:space="0" w:color="auto"/>
            <w:right w:val="none" w:sz="0" w:space="0" w:color="auto"/>
          </w:divBdr>
        </w:div>
        <w:div w:id="1569532695">
          <w:marLeft w:val="547"/>
          <w:marRight w:val="0"/>
          <w:marTop w:val="200"/>
          <w:marBottom w:val="0"/>
          <w:divBdr>
            <w:top w:val="none" w:sz="0" w:space="0" w:color="auto"/>
            <w:left w:val="none" w:sz="0" w:space="0" w:color="auto"/>
            <w:bottom w:val="none" w:sz="0" w:space="0" w:color="auto"/>
            <w:right w:val="none" w:sz="0" w:space="0" w:color="auto"/>
          </w:divBdr>
        </w:div>
        <w:div w:id="1935938782">
          <w:marLeft w:val="1166"/>
          <w:marRight w:val="0"/>
          <w:marTop w:val="58"/>
          <w:marBottom w:val="160"/>
          <w:divBdr>
            <w:top w:val="none" w:sz="0" w:space="0" w:color="auto"/>
            <w:left w:val="none" w:sz="0" w:space="0" w:color="auto"/>
            <w:bottom w:val="none" w:sz="0" w:space="0" w:color="auto"/>
            <w:right w:val="none" w:sz="0" w:space="0" w:color="auto"/>
          </w:divBdr>
        </w:div>
        <w:div w:id="1992557477">
          <w:marLeft w:val="547"/>
          <w:marRight w:val="0"/>
          <w:marTop w:val="67"/>
          <w:marBottom w:val="160"/>
          <w:divBdr>
            <w:top w:val="none" w:sz="0" w:space="0" w:color="auto"/>
            <w:left w:val="none" w:sz="0" w:space="0" w:color="auto"/>
            <w:bottom w:val="none" w:sz="0" w:space="0" w:color="auto"/>
            <w:right w:val="none" w:sz="0" w:space="0" w:color="auto"/>
          </w:divBdr>
        </w:div>
      </w:divsChild>
    </w:div>
    <w:div w:id="1396929111">
      <w:bodyDiv w:val="1"/>
      <w:marLeft w:val="0"/>
      <w:marRight w:val="0"/>
      <w:marTop w:val="0"/>
      <w:marBottom w:val="0"/>
      <w:divBdr>
        <w:top w:val="none" w:sz="0" w:space="0" w:color="auto"/>
        <w:left w:val="none" w:sz="0" w:space="0" w:color="auto"/>
        <w:bottom w:val="none" w:sz="0" w:space="0" w:color="auto"/>
        <w:right w:val="none" w:sz="0" w:space="0" w:color="auto"/>
      </w:divBdr>
    </w:div>
    <w:div w:id="1432316530">
      <w:bodyDiv w:val="1"/>
      <w:marLeft w:val="0"/>
      <w:marRight w:val="0"/>
      <w:marTop w:val="0"/>
      <w:marBottom w:val="0"/>
      <w:divBdr>
        <w:top w:val="none" w:sz="0" w:space="0" w:color="auto"/>
        <w:left w:val="none" w:sz="0" w:space="0" w:color="auto"/>
        <w:bottom w:val="none" w:sz="0" w:space="0" w:color="auto"/>
        <w:right w:val="none" w:sz="0" w:space="0" w:color="auto"/>
      </w:divBdr>
    </w:div>
    <w:div w:id="1438016193">
      <w:bodyDiv w:val="1"/>
      <w:marLeft w:val="0"/>
      <w:marRight w:val="0"/>
      <w:marTop w:val="0"/>
      <w:marBottom w:val="0"/>
      <w:divBdr>
        <w:top w:val="none" w:sz="0" w:space="0" w:color="auto"/>
        <w:left w:val="none" w:sz="0" w:space="0" w:color="auto"/>
        <w:bottom w:val="none" w:sz="0" w:space="0" w:color="auto"/>
        <w:right w:val="none" w:sz="0" w:space="0" w:color="auto"/>
      </w:divBdr>
    </w:div>
    <w:div w:id="1461414091">
      <w:bodyDiv w:val="1"/>
      <w:marLeft w:val="0"/>
      <w:marRight w:val="0"/>
      <w:marTop w:val="0"/>
      <w:marBottom w:val="0"/>
      <w:divBdr>
        <w:top w:val="none" w:sz="0" w:space="0" w:color="auto"/>
        <w:left w:val="none" w:sz="0" w:space="0" w:color="auto"/>
        <w:bottom w:val="none" w:sz="0" w:space="0" w:color="auto"/>
        <w:right w:val="none" w:sz="0" w:space="0" w:color="auto"/>
      </w:divBdr>
    </w:div>
    <w:div w:id="1478689210">
      <w:bodyDiv w:val="1"/>
      <w:marLeft w:val="0"/>
      <w:marRight w:val="0"/>
      <w:marTop w:val="0"/>
      <w:marBottom w:val="0"/>
      <w:divBdr>
        <w:top w:val="none" w:sz="0" w:space="0" w:color="auto"/>
        <w:left w:val="none" w:sz="0" w:space="0" w:color="auto"/>
        <w:bottom w:val="none" w:sz="0" w:space="0" w:color="auto"/>
        <w:right w:val="none" w:sz="0" w:space="0" w:color="auto"/>
      </w:divBdr>
      <w:divsChild>
        <w:div w:id="207493286">
          <w:marLeft w:val="547"/>
          <w:marRight w:val="0"/>
          <w:marTop w:val="0"/>
          <w:marBottom w:val="0"/>
          <w:divBdr>
            <w:top w:val="none" w:sz="0" w:space="0" w:color="auto"/>
            <w:left w:val="none" w:sz="0" w:space="0" w:color="auto"/>
            <w:bottom w:val="none" w:sz="0" w:space="0" w:color="auto"/>
            <w:right w:val="none" w:sz="0" w:space="0" w:color="auto"/>
          </w:divBdr>
        </w:div>
        <w:div w:id="1384597838">
          <w:marLeft w:val="547"/>
          <w:marRight w:val="0"/>
          <w:marTop w:val="0"/>
          <w:marBottom w:val="0"/>
          <w:divBdr>
            <w:top w:val="none" w:sz="0" w:space="0" w:color="auto"/>
            <w:left w:val="none" w:sz="0" w:space="0" w:color="auto"/>
            <w:bottom w:val="none" w:sz="0" w:space="0" w:color="auto"/>
            <w:right w:val="none" w:sz="0" w:space="0" w:color="auto"/>
          </w:divBdr>
        </w:div>
        <w:div w:id="1738748093">
          <w:marLeft w:val="547"/>
          <w:marRight w:val="0"/>
          <w:marTop w:val="0"/>
          <w:marBottom w:val="0"/>
          <w:divBdr>
            <w:top w:val="none" w:sz="0" w:space="0" w:color="auto"/>
            <w:left w:val="none" w:sz="0" w:space="0" w:color="auto"/>
            <w:bottom w:val="none" w:sz="0" w:space="0" w:color="auto"/>
            <w:right w:val="none" w:sz="0" w:space="0" w:color="auto"/>
          </w:divBdr>
        </w:div>
        <w:div w:id="1832483781">
          <w:marLeft w:val="547"/>
          <w:marRight w:val="0"/>
          <w:marTop w:val="0"/>
          <w:marBottom w:val="0"/>
          <w:divBdr>
            <w:top w:val="none" w:sz="0" w:space="0" w:color="auto"/>
            <w:left w:val="none" w:sz="0" w:space="0" w:color="auto"/>
            <w:bottom w:val="none" w:sz="0" w:space="0" w:color="auto"/>
            <w:right w:val="none" w:sz="0" w:space="0" w:color="auto"/>
          </w:divBdr>
        </w:div>
      </w:divsChild>
    </w:div>
    <w:div w:id="1478840608">
      <w:bodyDiv w:val="1"/>
      <w:marLeft w:val="0"/>
      <w:marRight w:val="0"/>
      <w:marTop w:val="0"/>
      <w:marBottom w:val="0"/>
      <w:divBdr>
        <w:top w:val="none" w:sz="0" w:space="0" w:color="auto"/>
        <w:left w:val="none" w:sz="0" w:space="0" w:color="auto"/>
        <w:bottom w:val="none" w:sz="0" w:space="0" w:color="auto"/>
        <w:right w:val="none" w:sz="0" w:space="0" w:color="auto"/>
      </w:divBdr>
      <w:divsChild>
        <w:div w:id="171727967">
          <w:marLeft w:val="1166"/>
          <w:marRight w:val="0"/>
          <w:marTop w:val="0"/>
          <w:marBottom w:val="120"/>
          <w:divBdr>
            <w:top w:val="none" w:sz="0" w:space="0" w:color="auto"/>
            <w:left w:val="none" w:sz="0" w:space="0" w:color="auto"/>
            <w:bottom w:val="none" w:sz="0" w:space="0" w:color="auto"/>
            <w:right w:val="none" w:sz="0" w:space="0" w:color="auto"/>
          </w:divBdr>
        </w:div>
        <w:div w:id="274289718">
          <w:marLeft w:val="547"/>
          <w:marRight w:val="0"/>
          <w:marTop w:val="0"/>
          <w:marBottom w:val="120"/>
          <w:divBdr>
            <w:top w:val="none" w:sz="0" w:space="0" w:color="auto"/>
            <w:left w:val="none" w:sz="0" w:space="0" w:color="auto"/>
            <w:bottom w:val="none" w:sz="0" w:space="0" w:color="auto"/>
            <w:right w:val="none" w:sz="0" w:space="0" w:color="auto"/>
          </w:divBdr>
        </w:div>
        <w:div w:id="388503224">
          <w:marLeft w:val="1800"/>
          <w:marRight w:val="0"/>
          <w:marTop w:val="53"/>
          <w:marBottom w:val="0"/>
          <w:divBdr>
            <w:top w:val="none" w:sz="0" w:space="0" w:color="auto"/>
            <w:left w:val="none" w:sz="0" w:space="0" w:color="auto"/>
            <w:bottom w:val="none" w:sz="0" w:space="0" w:color="auto"/>
            <w:right w:val="none" w:sz="0" w:space="0" w:color="auto"/>
          </w:divBdr>
        </w:div>
        <w:div w:id="855845741">
          <w:marLeft w:val="1166"/>
          <w:marRight w:val="0"/>
          <w:marTop w:val="72"/>
          <w:marBottom w:val="0"/>
          <w:divBdr>
            <w:top w:val="none" w:sz="0" w:space="0" w:color="auto"/>
            <w:left w:val="none" w:sz="0" w:space="0" w:color="auto"/>
            <w:bottom w:val="none" w:sz="0" w:space="0" w:color="auto"/>
            <w:right w:val="none" w:sz="0" w:space="0" w:color="auto"/>
          </w:divBdr>
        </w:div>
        <w:div w:id="977689729">
          <w:marLeft w:val="547"/>
          <w:marRight w:val="0"/>
          <w:marTop w:val="0"/>
          <w:marBottom w:val="120"/>
          <w:divBdr>
            <w:top w:val="none" w:sz="0" w:space="0" w:color="auto"/>
            <w:left w:val="none" w:sz="0" w:space="0" w:color="auto"/>
            <w:bottom w:val="none" w:sz="0" w:space="0" w:color="auto"/>
            <w:right w:val="none" w:sz="0" w:space="0" w:color="auto"/>
          </w:divBdr>
        </w:div>
        <w:div w:id="1174105650">
          <w:marLeft w:val="1800"/>
          <w:marRight w:val="0"/>
          <w:marTop w:val="53"/>
          <w:marBottom w:val="0"/>
          <w:divBdr>
            <w:top w:val="none" w:sz="0" w:space="0" w:color="auto"/>
            <w:left w:val="none" w:sz="0" w:space="0" w:color="auto"/>
            <w:bottom w:val="none" w:sz="0" w:space="0" w:color="auto"/>
            <w:right w:val="none" w:sz="0" w:space="0" w:color="auto"/>
          </w:divBdr>
        </w:div>
        <w:div w:id="1651909204">
          <w:marLeft w:val="1800"/>
          <w:marRight w:val="0"/>
          <w:marTop w:val="53"/>
          <w:marBottom w:val="0"/>
          <w:divBdr>
            <w:top w:val="none" w:sz="0" w:space="0" w:color="auto"/>
            <w:left w:val="none" w:sz="0" w:space="0" w:color="auto"/>
            <w:bottom w:val="none" w:sz="0" w:space="0" w:color="auto"/>
            <w:right w:val="none" w:sz="0" w:space="0" w:color="auto"/>
          </w:divBdr>
        </w:div>
        <w:div w:id="1777214605">
          <w:marLeft w:val="1166"/>
          <w:marRight w:val="0"/>
          <w:marTop w:val="72"/>
          <w:marBottom w:val="0"/>
          <w:divBdr>
            <w:top w:val="none" w:sz="0" w:space="0" w:color="auto"/>
            <w:left w:val="none" w:sz="0" w:space="0" w:color="auto"/>
            <w:bottom w:val="none" w:sz="0" w:space="0" w:color="auto"/>
            <w:right w:val="none" w:sz="0" w:space="0" w:color="auto"/>
          </w:divBdr>
        </w:div>
        <w:div w:id="2140759614">
          <w:marLeft w:val="1166"/>
          <w:marRight w:val="0"/>
          <w:marTop w:val="72"/>
          <w:marBottom w:val="0"/>
          <w:divBdr>
            <w:top w:val="none" w:sz="0" w:space="0" w:color="auto"/>
            <w:left w:val="none" w:sz="0" w:space="0" w:color="auto"/>
            <w:bottom w:val="none" w:sz="0" w:space="0" w:color="auto"/>
            <w:right w:val="none" w:sz="0" w:space="0" w:color="auto"/>
          </w:divBdr>
        </w:div>
      </w:divsChild>
    </w:div>
    <w:div w:id="1502697293">
      <w:bodyDiv w:val="1"/>
      <w:marLeft w:val="0"/>
      <w:marRight w:val="0"/>
      <w:marTop w:val="0"/>
      <w:marBottom w:val="0"/>
      <w:divBdr>
        <w:top w:val="none" w:sz="0" w:space="0" w:color="auto"/>
        <w:left w:val="none" w:sz="0" w:space="0" w:color="auto"/>
        <w:bottom w:val="none" w:sz="0" w:space="0" w:color="auto"/>
        <w:right w:val="none" w:sz="0" w:space="0" w:color="auto"/>
      </w:divBdr>
      <w:divsChild>
        <w:div w:id="342173641">
          <w:marLeft w:val="446"/>
          <w:marRight w:val="0"/>
          <w:marTop w:val="0"/>
          <w:marBottom w:val="0"/>
          <w:divBdr>
            <w:top w:val="none" w:sz="0" w:space="0" w:color="auto"/>
            <w:left w:val="none" w:sz="0" w:space="0" w:color="auto"/>
            <w:bottom w:val="none" w:sz="0" w:space="0" w:color="auto"/>
            <w:right w:val="none" w:sz="0" w:space="0" w:color="auto"/>
          </w:divBdr>
        </w:div>
        <w:div w:id="483352805">
          <w:marLeft w:val="446"/>
          <w:marRight w:val="0"/>
          <w:marTop w:val="0"/>
          <w:marBottom w:val="0"/>
          <w:divBdr>
            <w:top w:val="none" w:sz="0" w:space="0" w:color="auto"/>
            <w:left w:val="none" w:sz="0" w:space="0" w:color="auto"/>
            <w:bottom w:val="none" w:sz="0" w:space="0" w:color="auto"/>
            <w:right w:val="none" w:sz="0" w:space="0" w:color="auto"/>
          </w:divBdr>
        </w:div>
        <w:div w:id="805047541">
          <w:marLeft w:val="446"/>
          <w:marRight w:val="0"/>
          <w:marTop w:val="0"/>
          <w:marBottom w:val="0"/>
          <w:divBdr>
            <w:top w:val="none" w:sz="0" w:space="0" w:color="auto"/>
            <w:left w:val="none" w:sz="0" w:space="0" w:color="auto"/>
            <w:bottom w:val="none" w:sz="0" w:space="0" w:color="auto"/>
            <w:right w:val="none" w:sz="0" w:space="0" w:color="auto"/>
          </w:divBdr>
        </w:div>
        <w:div w:id="1670283185">
          <w:marLeft w:val="1166"/>
          <w:marRight w:val="0"/>
          <w:marTop w:val="0"/>
          <w:marBottom w:val="0"/>
          <w:divBdr>
            <w:top w:val="none" w:sz="0" w:space="0" w:color="auto"/>
            <w:left w:val="none" w:sz="0" w:space="0" w:color="auto"/>
            <w:bottom w:val="none" w:sz="0" w:space="0" w:color="auto"/>
            <w:right w:val="none" w:sz="0" w:space="0" w:color="auto"/>
          </w:divBdr>
        </w:div>
        <w:div w:id="2027516648">
          <w:marLeft w:val="446"/>
          <w:marRight w:val="0"/>
          <w:marTop w:val="0"/>
          <w:marBottom w:val="0"/>
          <w:divBdr>
            <w:top w:val="none" w:sz="0" w:space="0" w:color="auto"/>
            <w:left w:val="none" w:sz="0" w:space="0" w:color="auto"/>
            <w:bottom w:val="none" w:sz="0" w:space="0" w:color="auto"/>
            <w:right w:val="none" w:sz="0" w:space="0" w:color="auto"/>
          </w:divBdr>
        </w:div>
      </w:divsChild>
    </w:div>
    <w:div w:id="1506549554">
      <w:bodyDiv w:val="1"/>
      <w:marLeft w:val="0"/>
      <w:marRight w:val="0"/>
      <w:marTop w:val="0"/>
      <w:marBottom w:val="0"/>
      <w:divBdr>
        <w:top w:val="none" w:sz="0" w:space="0" w:color="auto"/>
        <w:left w:val="none" w:sz="0" w:space="0" w:color="auto"/>
        <w:bottom w:val="none" w:sz="0" w:space="0" w:color="auto"/>
        <w:right w:val="none" w:sz="0" w:space="0" w:color="auto"/>
      </w:divBdr>
    </w:div>
    <w:div w:id="1526363706">
      <w:bodyDiv w:val="1"/>
      <w:marLeft w:val="0"/>
      <w:marRight w:val="0"/>
      <w:marTop w:val="0"/>
      <w:marBottom w:val="0"/>
      <w:divBdr>
        <w:top w:val="none" w:sz="0" w:space="0" w:color="auto"/>
        <w:left w:val="none" w:sz="0" w:space="0" w:color="auto"/>
        <w:bottom w:val="none" w:sz="0" w:space="0" w:color="auto"/>
        <w:right w:val="none" w:sz="0" w:space="0" w:color="auto"/>
      </w:divBdr>
    </w:div>
    <w:div w:id="1527057308">
      <w:bodyDiv w:val="1"/>
      <w:marLeft w:val="0"/>
      <w:marRight w:val="0"/>
      <w:marTop w:val="0"/>
      <w:marBottom w:val="0"/>
      <w:divBdr>
        <w:top w:val="none" w:sz="0" w:space="0" w:color="auto"/>
        <w:left w:val="none" w:sz="0" w:space="0" w:color="auto"/>
        <w:bottom w:val="none" w:sz="0" w:space="0" w:color="auto"/>
        <w:right w:val="none" w:sz="0" w:space="0" w:color="auto"/>
      </w:divBdr>
    </w:div>
    <w:div w:id="1572042649">
      <w:bodyDiv w:val="1"/>
      <w:marLeft w:val="0"/>
      <w:marRight w:val="0"/>
      <w:marTop w:val="0"/>
      <w:marBottom w:val="0"/>
      <w:divBdr>
        <w:top w:val="none" w:sz="0" w:space="0" w:color="auto"/>
        <w:left w:val="none" w:sz="0" w:space="0" w:color="auto"/>
        <w:bottom w:val="none" w:sz="0" w:space="0" w:color="auto"/>
        <w:right w:val="none" w:sz="0" w:space="0" w:color="auto"/>
      </w:divBdr>
      <w:divsChild>
        <w:div w:id="65954107">
          <w:marLeft w:val="446"/>
          <w:marRight w:val="0"/>
          <w:marTop w:val="0"/>
          <w:marBottom w:val="0"/>
          <w:divBdr>
            <w:top w:val="none" w:sz="0" w:space="0" w:color="auto"/>
            <w:left w:val="none" w:sz="0" w:space="0" w:color="auto"/>
            <w:bottom w:val="none" w:sz="0" w:space="0" w:color="auto"/>
            <w:right w:val="none" w:sz="0" w:space="0" w:color="auto"/>
          </w:divBdr>
        </w:div>
        <w:div w:id="513571294">
          <w:marLeft w:val="446"/>
          <w:marRight w:val="0"/>
          <w:marTop w:val="0"/>
          <w:marBottom w:val="0"/>
          <w:divBdr>
            <w:top w:val="none" w:sz="0" w:space="0" w:color="auto"/>
            <w:left w:val="none" w:sz="0" w:space="0" w:color="auto"/>
            <w:bottom w:val="none" w:sz="0" w:space="0" w:color="auto"/>
            <w:right w:val="none" w:sz="0" w:space="0" w:color="auto"/>
          </w:divBdr>
        </w:div>
        <w:div w:id="1128861575">
          <w:marLeft w:val="446"/>
          <w:marRight w:val="0"/>
          <w:marTop w:val="0"/>
          <w:marBottom w:val="0"/>
          <w:divBdr>
            <w:top w:val="none" w:sz="0" w:space="0" w:color="auto"/>
            <w:left w:val="none" w:sz="0" w:space="0" w:color="auto"/>
            <w:bottom w:val="none" w:sz="0" w:space="0" w:color="auto"/>
            <w:right w:val="none" w:sz="0" w:space="0" w:color="auto"/>
          </w:divBdr>
        </w:div>
        <w:div w:id="1137070701">
          <w:marLeft w:val="446"/>
          <w:marRight w:val="0"/>
          <w:marTop w:val="0"/>
          <w:marBottom w:val="0"/>
          <w:divBdr>
            <w:top w:val="none" w:sz="0" w:space="0" w:color="auto"/>
            <w:left w:val="none" w:sz="0" w:space="0" w:color="auto"/>
            <w:bottom w:val="none" w:sz="0" w:space="0" w:color="auto"/>
            <w:right w:val="none" w:sz="0" w:space="0" w:color="auto"/>
          </w:divBdr>
        </w:div>
        <w:div w:id="1802307224">
          <w:marLeft w:val="446"/>
          <w:marRight w:val="0"/>
          <w:marTop w:val="0"/>
          <w:marBottom w:val="0"/>
          <w:divBdr>
            <w:top w:val="none" w:sz="0" w:space="0" w:color="auto"/>
            <w:left w:val="none" w:sz="0" w:space="0" w:color="auto"/>
            <w:bottom w:val="none" w:sz="0" w:space="0" w:color="auto"/>
            <w:right w:val="none" w:sz="0" w:space="0" w:color="auto"/>
          </w:divBdr>
        </w:div>
      </w:divsChild>
    </w:div>
    <w:div w:id="1576083517">
      <w:bodyDiv w:val="1"/>
      <w:marLeft w:val="0"/>
      <w:marRight w:val="0"/>
      <w:marTop w:val="0"/>
      <w:marBottom w:val="0"/>
      <w:divBdr>
        <w:top w:val="none" w:sz="0" w:space="0" w:color="auto"/>
        <w:left w:val="none" w:sz="0" w:space="0" w:color="auto"/>
        <w:bottom w:val="none" w:sz="0" w:space="0" w:color="auto"/>
        <w:right w:val="none" w:sz="0" w:space="0" w:color="auto"/>
      </w:divBdr>
    </w:div>
    <w:div w:id="1581990100">
      <w:bodyDiv w:val="1"/>
      <w:marLeft w:val="0"/>
      <w:marRight w:val="0"/>
      <w:marTop w:val="0"/>
      <w:marBottom w:val="0"/>
      <w:divBdr>
        <w:top w:val="none" w:sz="0" w:space="0" w:color="auto"/>
        <w:left w:val="none" w:sz="0" w:space="0" w:color="auto"/>
        <w:bottom w:val="none" w:sz="0" w:space="0" w:color="auto"/>
        <w:right w:val="none" w:sz="0" w:space="0" w:color="auto"/>
      </w:divBdr>
    </w:div>
    <w:div w:id="1587425339">
      <w:bodyDiv w:val="1"/>
      <w:marLeft w:val="0"/>
      <w:marRight w:val="0"/>
      <w:marTop w:val="0"/>
      <w:marBottom w:val="0"/>
      <w:divBdr>
        <w:top w:val="none" w:sz="0" w:space="0" w:color="auto"/>
        <w:left w:val="none" w:sz="0" w:space="0" w:color="auto"/>
        <w:bottom w:val="none" w:sz="0" w:space="0" w:color="auto"/>
        <w:right w:val="none" w:sz="0" w:space="0" w:color="auto"/>
      </w:divBdr>
    </w:div>
    <w:div w:id="1606620017">
      <w:bodyDiv w:val="1"/>
      <w:marLeft w:val="0"/>
      <w:marRight w:val="0"/>
      <w:marTop w:val="0"/>
      <w:marBottom w:val="0"/>
      <w:divBdr>
        <w:top w:val="none" w:sz="0" w:space="0" w:color="auto"/>
        <w:left w:val="none" w:sz="0" w:space="0" w:color="auto"/>
        <w:bottom w:val="none" w:sz="0" w:space="0" w:color="auto"/>
        <w:right w:val="none" w:sz="0" w:space="0" w:color="auto"/>
      </w:divBdr>
    </w:div>
    <w:div w:id="1618947163">
      <w:bodyDiv w:val="1"/>
      <w:marLeft w:val="0"/>
      <w:marRight w:val="0"/>
      <w:marTop w:val="0"/>
      <w:marBottom w:val="0"/>
      <w:divBdr>
        <w:top w:val="none" w:sz="0" w:space="0" w:color="auto"/>
        <w:left w:val="none" w:sz="0" w:space="0" w:color="auto"/>
        <w:bottom w:val="none" w:sz="0" w:space="0" w:color="auto"/>
        <w:right w:val="none" w:sz="0" w:space="0" w:color="auto"/>
      </w:divBdr>
    </w:div>
    <w:div w:id="1619336878">
      <w:bodyDiv w:val="1"/>
      <w:marLeft w:val="0"/>
      <w:marRight w:val="0"/>
      <w:marTop w:val="0"/>
      <w:marBottom w:val="0"/>
      <w:divBdr>
        <w:top w:val="none" w:sz="0" w:space="0" w:color="auto"/>
        <w:left w:val="none" w:sz="0" w:space="0" w:color="auto"/>
        <w:bottom w:val="none" w:sz="0" w:space="0" w:color="auto"/>
        <w:right w:val="none" w:sz="0" w:space="0" w:color="auto"/>
      </w:divBdr>
    </w:div>
    <w:div w:id="1668094810">
      <w:bodyDiv w:val="1"/>
      <w:marLeft w:val="0"/>
      <w:marRight w:val="0"/>
      <w:marTop w:val="0"/>
      <w:marBottom w:val="0"/>
      <w:divBdr>
        <w:top w:val="none" w:sz="0" w:space="0" w:color="auto"/>
        <w:left w:val="none" w:sz="0" w:space="0" w:color="auto"/>
        <w:bottom w:val="none" w:sz="0" w:space="0" w:color="auto"/>
        <w:right w:val="none" w:sz="0" w:space="0" w:color="auto"/>
      </w:divBdr>
      <w:divsChild>
        <w:div w:id="205871821">
          <w:marLeft w:val="446"/>
          <w:marRight w:val="0"/>
          <w:marTop w:val="0"/>
          <w:marBottom w:val="0"/>
          <w:divBdr>
            <w:top w:val="none" w:sz="0" w:space="0" w:color="auto"/>
            <w:left w:val="none" w:sz="0" w:space="0" w:color="auto"/>
            <w:bottom w:val="none" w:sz="0" w:space="0" w:color="auto"/>
            <w:right w:val="none" w:sz="0" w:space="0" w:color="auto"/>
          </w:divBdr>
        </w:div>
        <w:div w:id="296763669">
          <w:marLeft w:val="446"/>
          <w:marRight w:val="0"/>
          <w:marTop w:val="0"/>
          <w:marBottom w:val="0"/>
          <w:divBdr>
            <w:top w:val="none" w:sz="0" w:space="0" w:color="auto"/>
            <w:left w:val="none" w:sz="0" w:space="0" w:color="auto"/>
            <w:bottom w:val="none" w:sz="0" w:space="0" w:color="auto"/>
            <w:right w:val="none" w:sz="0" w:space="0" w:color="auto"/>
          </w:divBdr>
        </w:div>
        <w:div w:id="445008366">
          <w:marLeft w:val="446"/>
          <w:marRight w:val="0"/>
          <w:marTop w:val="0"/>
          <w:marBottom w:val="0"/>
          <w:divBdr>
            <w:top w:val="none" w:sz="0" w:space="0" w:color="auto"/>
            <w:left w:val="none" w:sz="0" w:space="0" w:color="auto"/>
            <w:bottom w:val="none" w:sz="0" w:space="0" w:color="auto"/>
            <w:right w:val="none" w:sz="0" w:space="0" w:color="auto"/>
          </w:divBdr>
        </w:div>
        <w:div w:id="1059591912">
          <w:marLeft w:val="446"/>
          <w:marRight w:val="0"/>
          <w:marTop w:val="0"/>
          <w:marBottom w:val="0"/>
          <w:divBdr>
            <w:top w:val="none" w:sz="0" w:space="0" w:color="auto"/>
            <w:left w:val="none" w:sz="0" w:space="0" w:color="auto"/>
            <w:bottom w:val="none" w:sz="0" w:space="0" w:color="auto"/>
            <w:right w:val="none" w:sz="0" w:space="0" w:color="auto"/>
          </w:divBdr>
        </w:div>
        <w:div w:id="1263806709">
          <w:marLeft w:val="446"/>
          <w:marRight w:val="0"/>
          <w:marTop w:val="0"/>
          <w:marBottom w:val="0"/>
          <w:divBdr>
            <w:top w:val="none" w:sz="0" w:space="0" w:color="auto"/>
            <w:left w:val="none" w:sz="0" w:space="0" w:color="auto"/>
            <w:bottom w:val="none" w:sz="0" w:space="0" w:color="auto"/>
            <w:right w:val="none" w:sz="0" w:space="0" w:color="auto"/>
          </w:divBdr>
        </w:div>
        <w:div w:id="1318337618">
          <w:marLeft w:val="446"/>
          <w:marRight w:val="0"/>
          <w:marTop w:val="0"/>
          <w:marBottom w:val="0"/>
          <w:divBdr>
            <w:top w:val="none" w:sz="0" w:space="0" w:color="auto"/>
            <w:left w:val="none" w:sz="0" w:space="0" w:color="auto"/>
            <w:bottom w:val="none" w:sz="0" w:space="0" w:color="auto"/>
            <w:right w:val="none" w:sz="0" w:space="0" w:color="auto"/>
          </w:divBdr>
        </w:div>
        <w:div w:id="1578050424">
          <w:marLeft w:val="446"/>
          <w:marRight w:val="0"/>
          <w:marTop w:val="0"/>
          <w:marBottom w:val="0"/>
          <w:divBdr>
            <w:top w:val="none" w:sz="0" w:space="0" w:color="auto"/>
            <w:left w:val="none" w:sz="0" w:space="0" w:color="auto"/>
            <w:bottom w:val="none" w:sz="0" w:space="0" w:color="auto"/>
            <w:right w:val="none" w:sz="0" w:space="0" w:color="auto"/>
          </w:divBdr>
        </w:div>
        <w:div w:id="1601180159">
          <w:marLeft w:val="446"/>
          <w:marRight w:val="0"/>
          <w:marTop w:val="0"/>
          <w:marBottom w:val="0"/>
          <w:divBdr>
            <w:top w:val="none" w:sz="0" w:space="0" w:color="auto"/>
            <w:left w:val="none" w:sz="0" w:space="0" w:color="auto"/>
            <w:bottom w:val="none" w:sz="0" w:space="0" w:color="auto"/>
            <w:right w:val="none" w:sz="0" w:space="0" w:color="auto"/>
          </w:divBdr>
        </w:div>
      </w:divsChild>
    </w:div>
    <w:div w:id="1669365294">
      <w:bodyDiv w:val="1"/>
      <w:marLeft w:val="0"/>
      <w:marRight w:val="0"/>
      <w:marTop w:val="0"/>
      <w:marBottom w:val="0"/>
      <w:divBdr>
        <w:top w:val="none" w:sz="0" w:space="0" w:color="auto"/>
        <w:left w:val="none" w:sz="0" w:space="0" w:color="auto"/>
        <w:bottom w:val="none" w:sz="0" w:space="0" w:color="auto"/>
        <w:right w:val="none" w:sz="0" w:space="0" w:color="auto"/>
      </w:divBdr>
      <w:divsChild>
        <w:div w:id="525872287">
          <w:marLeft w:val="0"/>
          <w:marRight w:val="0"/>
          <w:marTop w:val="0"/>
          <w:marBottom w:val="160"/>
          <w:divBdr>
            <w:top w:val="none" w:sz="0" w:space="0" w:color="auto"/>
            <w:left w:val="none" w:sz="0" w:space="0" w:color="auto"/>
            <w:bottom w:val="none" w:sz="0" w:space="0" w:color="auto"/>
            <w:right w:val="none" w:sz="0" w:space="0" w:color="auto"/>
          </w:divBdr>
        </w:div>
        <w:div w:id="1703355831">
          <w:marLeft w:val="0"/>
          <w:marRight w:val="0"/>
          <w:marTop w:val="0"/>
          <w:marBottom w:val="160"/>
          <w:divBdr>
            <w:top w:val="none" w:sz="0" w:space="0" w:color="auto"/>
            <w:left w:val="none" w:sz="0" w:space="0" w:color="auto"/>
            <w:bottom w:val="none" w:sz="0" w:space="0" w:color="auto"/>
            <w:right w:val="none" w:sz="0" w:space="0" w:color="auto"/>
          </w:divBdr>
        </w:div>
        <w:div w:id="1845582290">
          <w:marLeft w:val="0"/>
          <w:marRight w:val="0"/>
          <w:marTop w:val="0"/>
          <w:marBottom w:val="160"/>
          <w:divBdr>
            <w:top w:val="none" w:sz="0" w:space="0" w:color="auto"/>
            <w:left w:val="none" w:sz="0" w:space="0" w:color="auto"/>
            <w:bottom w:val="none" w:sz="0" w:space="0" w:color="auto"/>
            <w:right w:val="none" w:sz="0" w:space="0" w:color="auto"/>
          </w:divBdr>
        </w:div>
      </w:divsChild>
    </w:div>
    <w:div w:id="1705132325">
      <w:bodyDiv w:val="1"/>
      <w:marLeft w:val="0"/>
      <w:marRight w:val="0"/>
      <w:marTop w:val="0"/>
      <w:marBottom w:val="0"/>
      <w:divBdr>
        <w:top w:val="none" w:sz="0" w:space="0" w:color="auto"/>
        <w:left w:val="none" w:sz="0" w:space="0" w:color="auto"/>
        <w:bottom w:val="none" w:sz="0" w:space="0" w:color="auto"/>
        <w:right w:val="none" w:sz="0" w:space="0" w:color="auto"/>
      </w:divBdr>
    </w:div>
    <w:div w:id="1717196797">
      <w:bodyDiv w:val="1"/>
      <w:marLeft w:val="0"/>
      <w:marRight w:val="0"/>
      <w:marTop w:val="0"/>
      <w:marBottom w:val="0"/>
      <w:divBdr>
        <w:top w:val="none" w:sz="0" w:space="0" w:color="auto"/>
        <w:left w:val="none" w:sz="0" w:space="0" w:color="auto"/>
        <w:bottom w:val="none" w:sz="0" w:space="0" w:color="auto"/>
        <w:right w:val="none" w:sz="0" w:space="0" w:color="auto"/>
      </w:divBdr>
    </w:div>
    <w:div w:id="1723364094">
      <w:bodyDiv w:val="1"/>
      <w:marLeft w:val="0"/>
      <w:marRight w:val="0"/>
      <w:marTop w:val="0"/>
      <w:marBottom w:val="0"/>
      <w:divBdr>
        <w:top w:val="none" w:sz="0" w:space="0" w:color="auto"/>
        <w:left w:val="none" w:sz="0" w:space="0" w:color="auto"/>
        <w:bottom w:val="none" w:sz="0" w:space="0" w:color="auto"/>
        <w:right w:val="none" w:sz="0" w:space="0" w:color="auto"/>
      </w:divBdr>
    </w:div>
    <w:div w:id="1735397290">
      <w:bodyDiv w:val="1"/>
      <w:marLeft w:val="0"/>
      <w:marRight w:val="0"/>
      <w:marTop w:val="0"/>
      <w:marBottom w:val="0"/>
      <w:divBdr>
        <w:top w:val="none" w:sz="0" w:space="0" w:color="auto"/>
        <w:left w:val="none" w:sz="0" w:space="0" w:color="auto"/>
        <w:bottom w:val="none" w:sz="0" w:space="0" w:color="auto"/>
        <w:right w:val="none" w:sz="0" w:space="0" w:color="auto"/>
      </w:divBdr>
    </w:div>
    <w:div w:id="1745687565">
      <w:bodyDiv w:val="1"/>
      <w:marLeft w:val="0"/>
      <w:marRight w:val="0"/>
      <w:marTop w:val="0"/>
      <w:marBottom w:val="0"/>
      <w:divBdr>
        <w:top w:val="none" w:sz="0" w:space="0" w:color="auto"/>
        <w:left w:val="none" w:sz="0" w:space="0" w:color="auto"/>
        <w:bottom w:val="none" w:sz="0" w:space="0" w:color="auto"/>
        <w:right w:val="none" w:sz="0" w:space="0" w:color="auto"/>
      </w:divBdr>
    </w:div>
    <w:div w:id="1753312007">
      <w:bodyDiv w:val="1"/>
      <w:marLeft w:val="0"/>
      <w:marRight w:val="0"/>
      <w:marTop w:val="0"/>
      <w:marBottom w:val="0"/>
      <w:divBdr>
        <w:top w:val="none" w:sz="0" w:space="0" w:color="auto"/>
        <w:left w:val="none" w:sz="0" w:space="0" w:color="auto"/>
        <w:bottom w:val="none" w:sz="0" w:space="0" w:color="auto"/>
        <w:right w:val="none" w:sz="0" w:space="0" w:color="auto"/>
      </w:divBdr>
      <w:divsChild>
        <w:div w:id="318653751">
          <w:marLeft w:val="547"/>
          <w:marRight w:val="0"/>
          <w:marTop w:val="0"/>
          <w:marBottom w:val="0"/>
          <w:divBdr>
            <w:top w:val="none" w:sz="0" w:space="0" w:color="auto"/>
            <w:left w:val="none" w:sz="0" w:space="0" w:color="auto"/>
            <w:bottom w:val="none" w:sz="0" w:space="0" w:color="auto"/>
            <w:right w:val="none" w:sz="0" w:space="0" w:color="auto"/>
          </w:divBdr>
        </w:div>
      </w:divsChild>
    </w:div>
    <w:div w:id="1765833712">
      <w:bodyDiv w:val="1"/>
      <w:marLeft w:val="0"/>
      <w:marRight w:val="0"/>
      <w:marTop w:val="0"/>
      <w:marBottom w:val="0"/>
      <w:divBdr>
        <w:top w:val="none" w:sz="0" w:space="0" w:color="auto"/>
        <w:left w:val="none" w:sz="0" w:space="0" w:color="auto"/>
        <w:bottom w:val="none" w:sz="0" w:space="0" w:color="auto"/>
        <w:right w:val="none" w:sz="0" w:space="0" w:color="auto"/>
      </w:divBdr>
    </w:div>
    <w:div w:id="1774326811">
      <w:bodyDiv w:val="1"/>
      <w:marLeft w:val="0"/>
      <w:marRight w:val="0"/>
      <w:marTop w:val="0"/>
      <w:marBottom w:val="0"/>
      <w:divBdr>
        <w:top w:val="none" w:sz="0" w:space="0" w:color="auto"/>
        <w:left w:val="none" w:sz="0" w:space="0" w:color="auto"/>
        <w:bottom w:val="none" w:sz="0" w:space="0" w:color="auto"/>
        <w:right w:val="none" w:sz="0" w:space="0" w:color="auto"/>
      </w:divBdr>
    </w:div>
    <w:div w:id="1805657793">
      <w:bodyDiv w:val="1"/>
      <w:marLeft w:val="0"/>
      <w:marRight w:val="0"/>
      <w:marTop w:val="0"/>
      <w:marBottom w:val="0"/>
      <w:divBdr>
        <w:top w:val="none" w:sz="0" w:space="0" w:color="auto"/>
        <w:left w:val="none" w:sz="0" w:space="0" w:color="auto"/>
        <w:bottom w:val="none" w:sz="0" w:space="0" w:color="auto"/>
        <w:right w:val="none" w:sz="0" w:space="0" w:color="auto"/>
      </w:divBdr>
    </w:div>
    <w:div w:id="1815105099">
      <w:bodyDiv w:val="1"/>
      <w:marLeft w:val="0"/>
      <w:marRight w:val="0"/>
      <w:marTop w:val="0"/>
      <w:marBottom w:val="0"/>
      <w:divBdr>
        <w:top w:val="none" w:sz="0" w:space="0" w:color="auto"/>
        <w:left w:val="none" w:sz="0" w:space="0" w:color="auto"/>
        <w:bottom w:val="none" w:sz="0" w:space="0" w:color="auto"/>
        <w:right w:val="none" w:sz="0" w:space="0" w:color="auto"/>
      </w:divBdr>
    </w:div>
    <w:div w:id="1852646495">
      <w:bodyDiv w:val="1"/>
      <w:marLeft w:val="0"/>
      <w:marRight w:val="0"/>
      <w:marTop w:val="0"/>
      <w:marBottom w:val="0"/>
      <w:divBdr>
        <w:top w:val="none" w:sz="0" w:space="0" w:color="auto"/>
        <w:left w:val="none" w:sz="0" w:space="0" w:color="auto"/>
        <w:bottom w:val="none" w:sz="0" w:space="0" w:color="auto"/>
        <w:right w:val="none" w:sz="0" w:space="0" w:color="auto"/>
      </w:divBdr>
    </w:div>
    <w:div w:id="1864636747">
      <w:bodyDiv w:val="1"/>
      <w:marLeft w:val="0"/>
      <w:marRight w:val="0"/>
      <w:marTop w:val="0"/>
      <w:marBottom w:val="0"/>
      <w:divBdr>
        <w:top w:val="none" w:sz="0" w:space="0" w:color="auto"/>
        <w:left w:val="none" w:sz="0" w:space="0" w:color="auto"/>
        <w:bottom w:val="none" w:sz="0" w:space="0" w:color="auto"/>
        <w:right w:val="none" w:sz="0" w:space="0" w:color="auto"/>
      </w:divBdr>
    </w:div>
    <w:div w:id="1888292801">
      <w:bodyDiv w:val="1"/>
      <w:marLeft w:val="0"/>
      <w:marRight w:val="0"/>
      <w:marTop w:val="0"/>
      <w:marBottom w:val="0"/>
      <w:divBdr>
        <w:top w:val="none" w:sz="0" w:space="0" w:color="auto"/>
        <w:left w:val="none" w:sz="0" w:space="0" w:color="auto"/>
        <w:bottom w:val="none" w:sz="0" w:space="0" w:color="auto"/>
        <w:right w:val="none" w:sz="0" w:space="0" w:color="auto"/>
      </w:divBdr>
    </w:div>
    <w:div w:id="1943805913">
      <w:bodyDiv w:val="1"/>
      <w:marLeft w:val="0"/>
      <w:marRight w:val="0"/>
      <w:marTop w:val="0"/>
      <w:marBottom w:val="0"/>
      <w:divBdr>
        <w:top w:val="none" w:sz="0" w:space="0" w:color="auto"/>
        <w:left w:val="none" w:sz="0" w:space="0" w:color="auto"/>
        <w:bottom w:val="none" w:sz="0" w:space="0" w:color="auto"/>
        <w:right w:val="none" w:sz="0" w:space="0" w:color="auto"/>
      </w:divBdr>
    </w:div>
    <w:div w:id="1986230536">
      <w:bodyDiv w:val="1"/>
      <w:marLeft w:val="0"/>
      <w:marRight w:val="0"/>
      <w:marTop w:val="0"/>
      <w:marBottom w:val="0"/>
      <w:divBdr>
        <w:top w:val="none" w:sz="0" w:space="0" w:color="auto"/>
        <w:left w:val="none" w:sz="0" w:space="0" w:color="auto"/>
        <w:bottom w:val="none" w:sz="0" w:space="0" w:color="auto"/>
        <w:right w:val="none" w:sz="0" w:space="0" w:color="auto"/>
      </w:divBdr>
    </w:div>
    <w:div w:id="1987976790">
      <w:bodyDiv w:val="1"/>
      <w:marLeft w:val="0"/>
      <w:marRight w:val="0"/>
      <w:marTop w:val="0"/>
      <w:marBottom w:val="0"/>
      <w:divBdr>
        <w:top w:val="none" w:sz="0" w:space="0" w:color="auto"/>
        <w:left w:val="none" w:sz="0" w:space="0" w:color="auto"/>
        <w:bottom w:val="none" w:sz="0" w:space="0" w:color="auto"/>
        <w:right w:val="none" w:sz="0" w:space="0" w:color="auto"/>
      </w:divBdr>
    </w:div>
    <w:div w:id="1999842386">
      <w:bodyDiv w:val="1"/>
      <w:marLeft w:val="0"/>
      <w:marRight w:val="0"/>
      <w:marTop w:val="0"/>
      <w:marBottom w:val="0"/>
      <w:divBdr>
        <w:top w:val="none" w:sz="0" w:space="0" w:color="auto"/>
        <w:left w:val="none" w:sz="0" w:space="0" w:color="auto"/>
        <w:bottom w:val="none" w:sz="0" w:space="0" w:color="auto"/>
        <w:right w:val="none" w:sz="0" w:space="0" w:color="auto"/>
      </w:divBdr>
      <w:divsChild>
        <w:div w:id="1117717969">
          <w:marLeft w:val="547"/>
          <w:marRight w:val="0"/>
          <w:marTop w:val="77"/>
          <w:marBottom w:val="0"/>
          <w:divBdr>
            <w:top w:val="none" w:sz="0" w:space="0" w:color="auto"/>
            <w:left w:val="none" w:sz="0" w:space="0" w:color="auto"/>
            <w:bottom w:val="none" w:sz="0" w:space="0" w:color="auto"/>
            <w:right w:val="none" w:sz="0" w:space="0" w:color="auto"/>
          </w:divBdr>
        </w:div>
        <w:div w:id="1610314269">
          <w:marLeft w:val="547"/>
          <w:marRight w:val="0"/>
          <w:marTop w:val="77"/>
          <w:marBottom w:val="0"/>
          <w:divBdr>
            <w:top w:val="none" w:sz="0" w:space="0" w:color="auto"/>
            <w:left w:val="none" w:sz="0" w:space="0" w:color="auto"/>
            <w:bottom w:val="none" w:sz="0" w:space="0" w:color="auto"/>
            <w:right w:val="none" w:sz="0" w:space="0" w:color="auto"/>
          </w:divBdr>
        </w:div>
        <w:div w:id="1642734500">
          <w:marLeft w:val="547"/>
          <w:marRight w:val="0"/>
          <w:marTop w:val="77"/>
          <w:marBottom w:val="0"/>
          <w:divBdr>
            <w:top w:val="none" w:sz="0" w:space="0" w:color="auto"/>
            <w:left w:val="none" w:sz="0" w:space="0" w:color="auto"/>
            <w:bottom w:val="none" w:sz="0" w:space="0" w:color="auto"/>
            <w:right w:val="none" w:sz="0" w:space="0" w:color="auto"/>
          </w:divBdr>
        </w:div>
        <w:div w:id="1875650933">
          <w:marLeft w:val="547"/>
          <w:marRight w:val="0"/>
          <w:marTop w:val="77"/>
          <w:marBottom w:val="0"/>
          <w:divBdr>
            <w:top w:val="none" w:sz="0" w:space="0" w:color="auto"/>
            <w:left w:val="none" w:sz="0" w:space="0" w:color="auto"/>
            <w:bottom w:val="none" w:sz="0" w:space="0" w:color="auto"/>
            <w:right w:val="none" w:sz="0" w:space="0" w:color="auto"/>
          </w:divBdr>
        </w:div>
      </w:divsChild>
    </w:div>
    <w:div w:id="2035156011">
      <w:bodyDiv w:val="1"/>
      <w:marLeft w:val="0"/>
      <w:marRight w:val="0"/>
      <w:marTop w:val="0"/>
      <w:marBottom w:val="0"/>
      <w:divBdr>
        <w:top w:val="none" w:sz="0" w:space="0" w:color="auto"/>
        <w:left w:val="none" w:sz="0" w:space="0" w:color="auto"/>
        <w:bottom w:val="none" w:sz="0" w:space="0" w:color="auto"/>
        <w:right w:val="none" w:sz="0" w:space="0" w:color="auto"/>
      </w:divBdr>
    </w:div>
    <w:div w:id="2035838234">
      <w:bodyDiv w:val="1"/>
      <w:marLeft w:val="0"/>
      <w:marRight w:val="0"/>
      <w:marTop w:val="0"/>
      <w:marBottom w:val="0"/>
      <w:divBdr>
        <w:top w:val="none" w:sz="0" w:space="0" w:color="auto"/>
        <w:left w:val="none" w:sz="0" w:space="0" w:color="auto"/>
        <w:bottom w:val="none" w:sz="0" w:space="0" w:color="auto"/>
        <w:right w:val="none" w:sz="0" w:space="0" w:color="auto"/>
      </w:divBdr>
    </w:div>
    <w:div w:id="2043166170">
      <w:bodyDiv w:val="1"/>
      <w:marLeft w:val="0"/>
      <w:marRight w:val="0"/>
      <w:marTop w:val="0"/>
      <w:marBottom w:val="0"/>
      <w:divBdr>
        <w:top w:val="none" w:sz="0" w:space="0" w:color="auto"/>
        <w:left w:val="none" w:sz="0" w:space="0" w:color="auto"/>
        <w:bottom w:val="none" w:sz="0" w:space="0" w:color="auto"/>
        <w:right w:val="none" w:sz="0" w:space="0" w:color="auto"/>
      </w:divBdr>
      <w:divsChild>
        <w:div w:id="290215352">
          <w:marLeft w:val="547"/>
          <w:marRight w:val="0"/>
          <w:marTop w:val="0"/>
          <w:marBottom w:val="120"/>
          <w:divBdr>
            <w:top w:val="none" w:sz="0" w:space="0" w:color="auto"/>
            <w:left w:val="none" w:sz="0" w:space="0" w:color="auto"/>
            <w:bottom w:val="none" w:sz="0" w:space="0" w:color="auto"/>
            <w:right w:val="none" w:sz="0" w:space="0" w:color="auto"/>
          </w:divBdr>
        </w:div>
        <w:div w:id="1319840224">
          <w:marLeft w:val="1166"/>
          <w:marRight w:val="0"/>
          <w:marTop w:val="77"/>
          <w:marBottom w:val="0"/>
          <w:divBdr>
            <w:top w:val="none" w:sz="0" w:space="0" w:color="auto"/>
            <w:left w:val="none" w:sz="0" w:space="0" w:color="auto"/>
            <w:bottom w:val="none" w:sz="0" w:space="0" w:color="auto"/>
            <w:right w:val="none" w:sz="0" w:space="0" w:color="auto"/>
          </w:divBdr>
        </w:div>
        <w:div w:id="1464348365">
          <w:marLeft w:val="1166"/>
          <w:marRight w:val="0"/>
          <w:marTop w:val="0"/>
          <w:marBottom w:val="120"/>
          <w:divBdr>
            <w:top w:val="none" w:sz="0" w:space="0" w:color="auto"/>
            <w:left w:val="none" w:sz="0" w:space="0" w:color="auto"/>
            <w:bottom w:val="none" w:sz="0" w:space="0" w:color="auto"/>
            <w:right w:val="none" w:sz="0" w:space="0" w:color="auto"/>
          </w:divBdr>
        </w:div>
        <w:div w:id="1780418521">
          <w:marLeft w:val="1166"/>
          <w:marRight w:val="0"/>
          <w:marTop w:val="77"/>
          <w:marBottom w:val="0"/>
          <w:divBdr>
            <w:top w:val="none" w:sz="0" w:space="0" w:color="auto"/>
            <w:left w:val="none" w:sz="0" w:space="0" w:color="auto"/>
            <w:bottom w:val="none" w:sz="0" w:space="0" w:color="auto"/>
            <w:right w:val="none" w:sz="0" w:space="0" w:color="auto"/>
          </w:divBdr>
        </w:div>
        <w:div w:id="1816869242">
          <w:marLeft w:val="547"/>
          <w:marRight w:val="0"/>
          <w:marTop w:val="0"/>
          <w:marBottom w:val="120"/>
          <w:divBdr>
            <w:top w:val="none" w:sz="0" w:space="0" w:color="auto"/>
            <w:left w:val="none" w:sz="0" w:space="0" w:color="auto"/>
            <w:bottom w:val="none" w:sz="0" w:space="0" w:color="auto"/>
            <w:right w:val="none" w:sz="0" w:space="0" w:color="auto"/>
          </w:divBdr>
        </w:div>
        <w:div w:id="1914899418">
          <w:marLeft w:val="1166"/>
          <w:marRight w:val="0"/>
          <w:marTop w:val="77"/>
          <w:marBottom w:val="0"/>
          <w:divBdr>
            <w:top w:val="none" w:sz="0" w:space="0" w:color="auto"/>
            <w:left w:val="none" w:sz="0" w:space="0" w:color="auto"/>
            <w:bottom w:val="none" w:sz="0" w:space="0" w:color="auto"/>
            <w:right w:val="none" w:sz="0" w:space="0" w:color="auto"/>
          </w:divBdr>
        </w:div>
        <w:div w:id="2099674277">
          <w:marLeft w:val="547"/>
          <w:marRight w:val="0"/>
          <w:marTop w:val="0"/>
          <w:marBottom w:val="120"/>
          <w:divBdr>
            <w:top w:val="none" w:sz="0" w:space="0" w:color="auto"/>
            <w:left w:val="none" w:sz="0" w:space="0" w:color="auto"/>
            <w:bottom w:val="none" w:sz="0" w:space="0" w:color="auto"/>
            <w:right w:val="none" w:sz="0" w:space="0" w:color="auto"/>
          </w:divBdr>
        </w:div>
      </w:divsChild>
    </w:div>
    <w:div w:id="2051374894">
      <w:bodyDiv w:val="1"/>
      <w:marLeft w:val="0"/>
      <w:marRight w:val="0"/>
      <w:marTop w:val="0"/>
      <w:marBottom w:val="0"/>
      <w:divBdr>
        <w:top w:val="none" w:sz="0" w:space="0" w:color="auto"/>
        <w:left w:val="none" w:sz="0" w:space="0" w:color="auto"/>
        <w:bottom w:val="none" w:sz="0" w:space="0" w:color="auto"/>
        <w:right w:val="none" w:sz="0" w:space="0" w:color="auto"/>
      </w:divBdr>
      <w:divsChild>
        <w:div w:id="1994217495">
          <w:marLeft w:val="446"/>
          <w:marRight w:val="0"/>
          <w:marTop w:val="0"/>
          <w:marBottom w:val="0"/>
          <w:divBdr>
            <w:top w:val="none" w:sz="0" w:space="0" w:color="auto"/>
            <w:left w:val="none" w:sz="0" w:space="0" w:color="auto"/>
            <w:bottom w:val="none" w:sz="0" w:space="0" w:color="auto"/>
            <w:right w:val="none" w:sz="0" w:space="0" w:color="auto"/>
          </w:divBdr>
        </w:div>
        <w:div w:id="2109882508">
          <w:marLeft w:val="446"/>
          <w:marRight w:val="0"/>
          <w:marTop w:val="0"/>
          <w:marBottom w:val="0"/>
          <w:divBdr>
            <w:top w:val="none" w:sz="0" w:space="0" w:color="auto"/>
            <w:left w:val="none" w:sz="0" w:space="0" w:color="auto"/>
            <w:bottom w:val="none" w:sz="0" w:space="0" w:color="auto"/>
            <w:right w:val="none" w:sz="0" w:space="0" w:color="auto"/>
          </w:divBdr>
        </w:div>
      </w:divsChild>
    </w:div>
    <w:div w:id="2092314830">
      <w:bodyDiv w:val="1"/>
      <w:marLeft w:val="0"/>
      <w:marRight w:val="0"/>
      <w:marTop w:val="0"/>
      <w:marBottom w:val="0"/>
      <w:divBdr>
        <w:top w:val="none" w:sz="0" w:space="0" w:color="auto"/>
        <w:left w:val="none" w:sz="0" w:space="0" w:color="auto"/>
        <w:bottom w:val="none" w:sz="0" w:space="0" w:color="auto"/>
        <w:right w:val="none" w:sz="0" w:space="0" w:color="auto"/>
      </w:divBdr>
      <w:divsChild>
        <w:div w:id="1275944180">
          <w:marLeft w:val="446"/>
          <w:marRight w:val="0"/>
          <w:marTop w:val="0"/>
          <w:marBottom w:val="0"/>
          <w:divBdr>
            <w:top w:val="none" w:sz="0" w:space="0" w:color="auto"/>
            <w:left w:val="none" w:sz="0" w:space="0" w:color="auto"/>
            <w:bottom w:val="none" w:sz="0" w:space="0" w:color="auto"/>
            <w:right w:val="none" w:sz="0" w:space="0" w:color="auto"/>
          </w:divBdr>
        </w:div>
        <w:div w:id="1667443708">
          <w:marLeft w:val="446"/>
          <w:marRight w:val="0"/>
          <w:marTop w:val="0"/>
          <w:marBottom w:val="0"/>
          <w:divBdr>
            <w:top w:val="none" w:sz="0" w:space="0" w:color="auto"/>
            <w:left w:val="none" w:sz="0" w:space="0" w:color="auto"/>
            <w:bottom w:val="none" w:sz="0" w:space="0" w:color="auto"/>
            <w:right w:val="none" w:sz="0" w:space="0" w:color="auto"/>
          </w:divBdr>
        </w:div>
        <w:div w:id="1931544887">
          <w:marLeft w:val="446"/>
          <w:marRight w:val="0"/>
          <w:marTop w:val="0"/>
          <w:marBottom w:val="0"/>
          <w:divBdr>
            <w:top w:val="none" w:sz="0" w:space="0" w:color="auto"/>
            <w:left w:val="none" w:sz="0" w:space="0" w:color="auto"/>
            <w:bottom w:val="none" w:sz="0" w:space="0" w:color="auto"/>
            <w:right w:val="none" w:sz="0" w:space="0" w:color="auto"/>
          </w:divBdr>
        </w:div>
      </w:divsChild>
    </w:div>
    <w:div w:id="2141801357">
      <w:bodyDiv w:val="1"/>
      <w:marLeft w:val="0"/>
      <w:marRight w:val="0"/>
      <w:marTop w:val="0"/>
      <w:marBottom w:val="0"/>
      <w:divBdr>
        <w:top w:val="none" w:sz="0" w:space="0" w:color="auto"/>
        <w:left w:val="none" w:sz="0" w:space="0" w:color="auto"/>
        <w:bottom w:val="none" w:sz="0" w:space="0" w:color="auto"/>
        <w:right w:val="none" w:sz="0" w:space="0" w:color="auto"/>
      </w:divBdr>
    </w:div>
    <w:div w:id="2146270373">
      <w:bodyDiv w:val="1"/>
      <w:marLeft w:val="0"/>
      <w:marRight w:val="0"/>
      <w:marTop w:val="0"/>
      <w:marBottom w:val="0"/>
      <w:divBdr>
        <w:top w:val="none" w:sz="0" w:space="0" w:color="auto"/>
        <w:left w:val="none" w:sz="0" w:space="0" w:color="auto"/>
        <w:bottom w:val="none" w:sz="0" w:space="0" w:color="auto"/>
        <w:right w:val="none" w:sz="0" w:space="0" w:color="auto"/>
      </w:divBdr>
      <w:divsChild>
        <w:div w:id="101001682">
          <w:marLeft w:val="547"/>
          <w:marRight w:val="0"/>
          <w:marTop w:val="0"/>
          <w:marBottom w:val="0"/>
          <w:divBdr>
            <w:top w:val="none" w:sz="0" w:space="0" w:color="auto"/>
            <w:left w:val="none" w:sz="0" w:space="0" w:color="auto"/>
            <w:bottom w:val="none" w:sz="0" w:space="0" w:color="auto"/>
            <w:right w:val="none" w:sz="0" w:space="0" w:color="auto"/>
          </w:divBdr>
        </w:div>
        <w:div w:id="7362496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12ABA-4717-45A1-AFAF-5C4106AB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11977</Words>
  <Characters>68269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80086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Gumede</dc:creator>
  <cp:lastModifiedBy>User</cp:lastModifiedBy>
  <cp:revision>2</cp:revision>
  <cp:lastPrinted>2019-10-16T07:09:00Z</cp:lastPrinted>
  <dcterms:created xsi:type="dcterms:W3CDTF">2022-10-25T16:11:00Z</dcterms:created>
  <dcterms:modified xsi:type="dcterms:W3CDTF">2022-10-25T16:11:00Z</dcterms:modified>
</cp:coreProperties>
</file>