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65" w:rsidRPr="00B34510" w:rsidRDefault="00AD7E87" w:rsidP="000B3F65">
      <w:pPr>
        <w:pStyle w:val="Heading1"/>
        <w:keepLines/>
        <w:numPr>
          <w:ilvl w:val="0"/>
          <w:numId w:val="1"/>
        </w:numPr>
        <w:pBdr>
          <w:top w:val="single" w:sz="6" w:space="6" w:color="808080"/>
          <w:bottom w:val="single" w:sz="6" w:space="6" w:color="808080"/>
        </w:pBdr>
        <w:tabs>
          <w:tab w:val="left" w:pos="2268"/>
          <w:tab w:val="left" w:pos="3544"/>
        </w:tabs>
        <w:spacing w:after="240" w:line="240" w:lineRule="atLeast"/>
        <w:ind w:left="709" w:right="45" w:hanging="709"/>
        <w:jc w:val="center"/>
        <w:rPr>
          <w:rFonts w:ascii="Arial" w:hAnsi="Arial" w:cs="Arial"/>
          <w:lang w:val="en-GB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Pr="00B34510">
        <w:rPr>
          <w:rFonts w:ascii="Arial" w:hAnsi="Arial" w:cs="Arial"/>
        </w:rPr>
        <w:t>ELECTORAL COMMISSION</w:t>
      </w:r>
    </w:p>
    <w:tbl>
      <w:tblPr>
        <w:tblStyle w:val="LightList-Accent21"/>
        <w:tblW w:w="982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600" w:firstRow="0" w:lastRow="0" w:firstColumn="0" w:lastColumn="0" w:noHBand="1" w:noVBand="1"/>
      </w:tblPr>
      <w:tblGrid>
        <w:gridCol w:w="2406"/>
        <w:gridCol w:w="7422"/>
      </w:tblGrid>
      <w:tr w:rsidR="00B34510" w:rsidRPr="00B34510" w:rsidTr="00B579C7">
        <w:tc>
          <w:tcPr>
            <w:tcW w:w="1224" w:type="pct"/>
            <w:tcBorders>
              <w:bottom w:val="single" w:sz="4" w:space="0" w:color="FFFFFF" w:themeColor="background1"/>
            </w:tcBorders>
            <w:shd w:val="clear" w:color="auto" w:fill="D5DCE4" w:themeFill="text2" w:themeFillTint="33"/>
            <w:noWrap/>
            <w:vAlign w:val="center"/>
            <w:hideMark/>
          </w:tcPr>
          <w:p w:rsidR="00AF2F63" w:rsidRPr="00B34510" w:rsidRDefault="00AF2F63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Role Title / Function</w:t>
            </w:r>
          </w:p>
        </w:tc>
        <w:tc>
          <w:tcPr>
            <w:tcW w:w="3776" w:type="pct"/>
            <w:shd w:val="clear" w:color="auto" w:fill="auto"/>
            <w:hideMark/>
          </w:tcPr>
          <w:p w:rsidR="00AF2F63" w:rsidRPr="00B34510" w:rsidRDefault="00FE1A28" w:rsidP="00FE1A28">
            <w:pPr>
              <w:jc w:val="both"/>
              <w:rPr>
                <w:rFonts w:ascii="Century Gothic" w:hAnsi="Century Gothic"/>
                <w:color w:val="auto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Part</w:t>
            </w:r>
            <w:r w:rsidR="00E73946">
              <w:rPr>
                <w:rFonts w:ascii="Century Gothic" w:hAnsi="Century Gothic"/>
                <w:color w:val="auto"/>
                <w:sz w:val="18"/>
                <w:szCs w:val="18"/>
              </w:rPr>
              <w:t xml:space="preserve">-Time </w:t>
            </w:r>
            <w:r w:rsidR="006B775F">
              <w:rPr>
                <w:rFonts w:ascii="Century Gothic" w:hAnsi="Century Gothic"/>
                <w:color w:val="auto"/>
                <w:sz w:val="18"/>
                <w:szCs w:val="18"/>
              </w:rPr>
              <w:t>Commissioner</w:t>
            </w:r>
          </w:p>
        </w:tc>
      </w:tr>
      <w:tr w:rsidR="00B34510" w:rsidRPr="00B34510" w:rsidTr="00B579C7">
        <w:tc>
          <w:tcPr>
            <w:tcW w:w="12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5DCE4" w:themeFill="text2" w:themeFillTint="33"/>
            <w:noWrap/>
            <w:vAlign w:val="center"/>
            <w:hideMark/>
          </w:tcPr>
          <w:p w:rsidR="00AF2F63" w:rsidRPr="00B34510" w:rsidRDefault="00AF2F63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Date Reviewed</w:t>
            </w:r>
          </w:p>
        </w:tc>
        <w:tc>
          <w:tcPr>
            <w:tcW w:w="3776" w:type="pct"/>
            <w:shd w:val="clear" w:color="auto" w:fill="auto"/>
            <w:vAlign w:val="center"/>
            <w:hideMark/>
          </w:tcPr>
          <w:p w:rsidR="00AF2F63" w:rsidRPr="00B34510" w:rsidRDefault="004F70BA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March  2022</w:t>
            </w:r>
          </w:p>
        </w:tc>
      </w:tr>
      <w:tr w:rsidR="00B34510" w:rsidRPr="00B34510" w:rsidTr="00B579C7">
        <w:tc>
          <w:tcPr>
            <w:tcW w:w="1224" w:type="pct"/>
            <w:tcBorders>
              <w:top w:val="single" w:sz="4" w:space="0" w:color="FFFFFF" w:themeColor="background1"/>
            </w:tcBorders>
            <w:shd w:val="clear" w:color="auto" w:fill="D5DCE4" w:themeFill="text2" w:themeFillTint="33"/>
            <w:noWrap/>
            <w:vAlign w:val="center"/>
            <w:hideMark/>
          </w:tcPr>
          <w:p w:rsidR="00AF2F63" w:rsidRPr="00B34510" w:rsidRDefault="00AF2F63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3776" w:type="pct"/>
            <w:shd w:val="clear" w:color="auto" w:fill="auto"/>
            <w:vAlign w:val="center"/>
            <w:hideMark/>
          </w:tcPr>
          <w:p w:rsidR="00AF2F63" w:rsidRPr="00B34510" w:rsidRDefault="00AF2F63" w:rsidP="00B579C7">
            <w:pPr>
              <w:jc w:val="both"/>
              <w:rPr>
                <w:rFonts w:ascii="Century Gothic" w:hAnsi="Century Gothic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color w:val="auto"/>
                <w:sz w:val="18"/>
                <w:szCs w:val="18"/>
              </w:rPr>
              <w:t xml:space="preserve">Pretoria </w:t>
            </w:r>
          </w:p>
        </w:tc>
      </w:tr>
    </w:tbl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GB"/>
        </w:rPr>
      </w:pPr>
    </w:p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GB"/>
        </w:rPr>
      </w:pPr>
    </w:p>
    <w:tbl>
      <w:tblPr>
        <w:tblStyle w:val="TableGrid1"/>
        <w:tblW w:w="977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B34510" w:rsidRPr="00B34510" w:rsidTr="0008266F">
        <w:tc>
          <w:tcPr>
            <w:tcW w:w="9776" w:type="dxa"/>
            <w:shd w:val="clear" w:color="auto" w:fill="D5DCE4" w:themeFill="text2" w:themeFillTint="33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  <w:lang w:val="en-US"/>
              </w:rPr>
              <w:t>Overall Purpose of the Role</w:t>
            </w:r>
          </w:p>
        </w:tc>
      </w:tr>
      <w:tr w:rsidR="00AF2F63" w:rsidRPr="00B34510" w:rsidTr="0008266F">
        <w:tc>
          <w:tcPr>
            <w:tcW w:w="9776" w:type="dxa"/>
            <w:vAlign w:val="center"/>
          </w:tcPr>
          <w:p w:rsidR="006B775F" w:rsidRPr="006B775F" w:rsidRDefault="00AF2F63" w:rsidP="006B775F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To manage the national, provincial and municipal elections,</w:t>
            </w:r>
            <w:r w:rsidR="009B342D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and </w:t>
            </w: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ensure that those elections are free and fair</w:t>
            </w:r>
            <w:r w:rsidR="006B775F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;</w:t>
            </w:r>
          </w:p>
          <w:p w:rsidR="006B775F" w:rsidRDefault="006B775F" w:rsidP="006B775F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To </w:t>
            </w:r>
            <w:r w:rsidR="00AF2F63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declare the results within a prescribed period as provided for in section 190 of the Constitution Act of 1996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;</w:t>
            </w:r>
            <w:r w:rsidR="009B342D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</w:t>
            </w:r>
          </w:p>
          <w:p w:rsidR="006B775F" w:rsidRDefault="00774402" w:rsidP="00774402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To </w:t>
            </w:r>
            <w:r w:rsidR="00555BA1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strengthen constitutional </w:t>
            </w:r>
            <w:r w:rsidR="00483FB1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democracy and promote democratic electoral processes</w:t>
            </w:r>
            <w:r w:rsidR="006B775F">
              <w:rPr>
                <w:rFonts w:ascii="Century Gothic" w:hAnsi="Century Gothic" w:cstheme="minorHAnsi"/>
                <w:bCs/>
                <w:sz w:val="18"/>
                <w:szCs w:val="18"/>
              </w:rPr>
              <w:t>;</w:t>
            </w:r>
            <w:r w:rsidR="009B342D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</w:t>
            </w:r>
          </w:p>
          <w:p w:rsidR="006B775F" w:rsidRDefault="009B342D" w:rsidP="00774402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T</w:t>
            </w:r>
            <w:r w:rsidR="00483FB1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o 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ensure the 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establish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ment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and maint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enance of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robust governance systems </w:t>
            </w: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of the </w:t>
            </w:r>
            <w:r w:rsid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Electoral </w:t>
            </w: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Commission 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in </w:t>
            </w: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its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national, </w:t>
            </w: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(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9</w:t>
            </w: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)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provincial and </w:t>
            </w: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(257) r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egional offices; </w:t>
            </w:r>
          </w:p>
          <w:p w:rsidR="006B775F" w:rsidRDefault="006B775F" w:rsidP="00774402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T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o 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ensure that the Commission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’s employees (</w:t>
            </w:r>
            <w:r w:rsidR="000A47D5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around 1000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) and contract staff (</w:t>
            </w:r>
            <w:r w:rsidR="009B342D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which vary between 800-2400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excluding staff for the 23,000 voting stations during registration and voting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) 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receive appropriate direction and guidance in relation to legislati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ve obligations pertaining to electoral operations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and best practice. </w:t>
            </w:r>
          </w:p>
          <w:p w:rsidR="006B775F" w:rsidRDefault="006B775F" w:rsidP="00774402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T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o oversee and direct the electoral operations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(including 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outreach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and communication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s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)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; </w:t>
            </w:r>
          </w:p>
          <w:p w:rsidR="006B775F" w:rsidRDefault="006B775F" w:rsidP="00774402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To e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nsure implementation of the political party funding legislation; </w:t>
            </w:r>
          </w:p>
          <w:p w:rsidR="006B775F" w:rsidRDefault="006B775F" w:rsidP="00774402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T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o undertake research in electoral matter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s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; </w:t>
            </w:r>
          </w:p>
          <w:p w:rsidR="006B775F" w:rsidRDefault="006B775F" w:rsidP="00774402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T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o ensure the adoption of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policies, approve business decisions</w:t>
            </w:r>
            <w:r w:rsidR="0046220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against </w:t>
            </w:r>
            <w:r w:rsidR="0046220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the annual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budget of the</w:t>
            </w:r>
            <w:r w:rsidR="0046220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Electoral Commission </w:t>
            </w:r>
            <w:r w:rsidR="0046220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(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which 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ranges between 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R2-4 billion rand</w:t>
            </w:r>
            <w:r w:rsidR="0046220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)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; 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and </w:t>
            </w:r>
          </w:p>
          <w:p w:rsidR="00774402" w:rsidRPr="006B775F" w:rsidRDefault="006B775F" w:rsidP="00B579C7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T</w:t>
            </w:r>
            <w:r w:rsidR="0046220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o 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evaluate organisational performance in ensuring good governance</w:t>
            </w:r>
            <w:r w:rsidR="0046220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and on-going improvement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. </w:t>
            </w:r>
          </w:p>
        </w:tc>
      </w:tr>
    </w:tbl>
    <w:p w:rsidR="00AF2F63" w:rsidRPr="00B34510" w:rsidRDefault="00AF2F63" w:rsidP="00AF2F63">
      <w:pPr>
        <w:jc w:val="both"/>
        <w:rPr>
          <w:rFonts w:ascii="Century Gothic" w:hAnsi="Century Gothic"/>
          <w:b/>
          <w:sz w:val="18"/>
          <w:szCs w:val="18"/>
          <w:lang w:val="en-GB"/>
        </w:rPr>
      </w:pPr>
    </w:p>
    <w:p w:rsidR="00AF2F63" w:rsidRPr="00B34510" w:rsidRDefault="00AF2F63" w:rsidP="00AF2F63">
      <w:pPr>
        <w:rPr>
          <w:rFonts w:ascii="Century Gothic" w:hAnsi="Century Gothic"/>
          <w:sz w:val="18"/>
          <w:szCs w:val="18"/>
          <w:lang w:val="en-GB"/>
        </w:rPr>
      </w:pPr>
    </w:p>
    <w:tbl>
      <w:tblPr>
        <w:tblStyle w:val="LightList-Accent2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408"/>
        <w:gridCol w:w="7420"/>
      </w:tblGrid>
      <w:tr w:rsidR="00B34510" w:rsidRPr="00B34510" w:rsidTr="00B579C7">
        <w:tc>
          <w:tcPr>
            <w:tcW w:w="1225" w:type="pct"/>
            <w:shd w:val="clear" w:color="auto" w:fill="D5DCE4" w:themeFill="text2" w:themeFillTint="33"/>
            <w:noWrap/>
            <w:vAlign w:val="center"/>
            <w:hideMark/>
          </w:tcPr>
          <w:p w:rsidR="00AF2F63" w:rsidRPr="00B34510" w:rsidRDefault="00AF2F63" w:rsidP="00BB1965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 xml:space="preserve">Structure of </w:t>
            </w:r>
            <w:r w:rsidR="00BB1965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Entity</w:t>
            </w:r>
          </w:p>
        </w:tc>
        <w:tc>
          <w:tcPr>
            <w:tcW w:w="3775" w:type="pct"/>
          </w:tcPr>
          <w:p w:rsidR="00AF2F63" w:rsidRPr="00B34510" w:rsidRDefault="00AF2F63" w:rsidP="00B579C7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color w:val="auto"/>
                <w:sz w:val="18"/>
                <w:szCs w:val="18"/>
              </w:rPr>
              <w:t>Independent Constitutional Institution</w:t>
            </w:r>
          </w:p>
        </w:tc>
      </w:tr>
      <w:tr w:rsidR="00B34510" w:rsidRPr="00B34510" w:rsidTr="00B579C7">
        <w:tc>
          <w:tcPr>
            <w:tcW w:w="1225" w:type="pct"/>
            <w:shd w:val="clear" w:color="auto" w:fill="D5DCE4" w:themeFill="text2" w:themeFillTint="33"/>
            <w:noWrap/>
            <w:vAlign w:val="center"/>
            <w:hideMark/>
          </w:tcPr>
          <w:p w:rsidR="00AF2F63" w:rsidRPr="00B34510" w:rsidRDefault="00AF2F63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3775" w:type="pct"/>
          </w:tcPr>
          <w:p w:rsidR="00AF2F63" w:rsidRPr="00B34510" w:rsidRDefault="00AF2F63" w:rsidP="00B74FEC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 Electoral Commission (IEC)</w:t>
            </w:r>
          </w:p>
        </w:tc>
      </w:tr>
      <w:tr w:rsidR="00B34510" w:rsidRPr="00B34510" w:rsidTr="00B579C7">
        <w:tc>
          <w:tcPr>
            <w:tcW w:w="1225" w:type="pct"/>
            <w:shd w:val="clear" w:color="auto" w:fill="D5DCE4" w:themeFill="text2" w:themeFillTint="33"/>
            <w:noWrap/>
            <w:vAlign w:val="center"/>
            <w:hideMark/>
          </w:tcPr>
          <w:p w:rsidR="00AF2F63" w:rsidRPr="00B34510" w:rsidRDefault="00AF2F63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Position being Evaluated</w:t>
            </w:r>
          </w:p>
        </w:tc>
        <w:tc>
          <w:tcPr>
            <w:tcW w:w="3775" w:type="pct"/>
          </w:tcPr>
          <w:p w:rsidR="00AF2F63" w:rsidRPr="00B34510" w:rsidRDefault="006F5592" w:rsidP="006F5592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auto"/>
                <w:sz w:val="18"/>
                <w:szCs w:val="18"/>
              </w:rPr>
              <w:t>Commissioner of the Electoral Commission</w:t>
            </w:r>
          </w:p>
        </w:tc>
      </w:tr>
      <w:tr w:rsidR="00B34510" w:rsidRPr="00B34510" w:rsidTr="00B579C7">
        <w:tc>
          <w:tcPr>
            <w:tcW w:w="1225" w:type="pct"/>
            <w:shd w:val="clear" w:color="auto" w:fill="D5DCE4" w:themeFill="text2" w:themeFillTint="33"/>
            <w:noWrap/>
            <w:vAlign w:val="center"/>
            <w:hideMark/>
          </w:tcPr>
          <w:p w:rsidR="00AF2F63" w:rsidRPr="00B34510" w:rsidRDefault="00AF2F63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 xml:space="preserve">Upward Reporting </w:t>
            </w:r>
          </w:p>
        </w:tc>
        <w:tc>
          <w:tcPr>
            <w:tcW w:w="3775" w:type="pct"/>
          </w:tcPr>
          <w:p w:rsidR="00AF2F63" w:rsidRPr="00B34510" w:rsidRDefault="00AF2F63" w:rsidP="00B579C7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National Parliament </w:t>
            </w:r>
          </w:p>
        </w:tc>
      </w:tr>
      <w:tr w:rsidR="00B34510" w:rsidRPr="00B34510" w:rsidTr="00B579C7">
        <w:tc>
          <w:tcPr>
            <w:tcW w:w="1225" w:type="pct"/>
            <w:shd w:val="clear" w:color="auto" w:fill="D5DCE4" w:themeFill="text2" w:themeFillTint="33"/>
            <w:noWrap/>
            <w:vAlign w:val="center"/>
          </w:tcPr>
          <w:p w:rsidR="00AF2F63" w:rsidRPr="00B34510" w:rsidRDefault="00AF2F63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Downward Reporting</w:t>
            </w:r>
          </w:p>
        </w:tc>
        <w:tc>
          <w:tcPr>
            <w:tcW w:w="3775" w:type="pct"/>
          </w:tcPr>
          <w:p w:rsidR="00AF2F63" w:rsidRPr="00B34510" w:rsidRDefault="00AF2F63" w:rsidP="00B579C7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color w:val="auto"/>
                <w:sz w:val="18"/>
                <w:szCs w:val="18"/>
              </w:rPr>
              <w:t>Commission and Critical Stakeholders</w:t>
            </w:r>
          </w:p>
        </w:tc>
      </w:tr>
    </w:tbl>
    <w:p w:rsidR="00AF2F63" w:rsidRPr="00B34510" w:rsidRDefault="00AF2F63" w:rsidP="00AF2F63">
      <w:pPr>
        <w:rPr>
          <w:rFonts w:ascii="Century Gothic" w:hAnsi="Century Gothic"/>
          <w:sz w:val="18"/>
          <w:szCs w:val="18"/>
          <w:lang w:val="en-GB"/>
        </w:rPr>
      </w:pPr>
    </w:p>
    <w:tbl>
      <w:tblPr>
        <w:tblStyle w:val="TableGrid"/>
        <w:tblW w:w="982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828"/>
      </w:tblGrid>
      <w:tr w:rsidR="00B34510" w:rsidRPr="00B34510" w:rsidTr="00B579C7">
        <w:trPr>
          <w:trHeight w:val="204"/>
        </w:trPr>
        <w:tc>
          <w:tcPr>
            <w:tcW w:w="9828" w:type="dxa"/>
            <w:shd w:val="clear" w:color="auto" w:fill="D5DCE4" w:themeFill="text2" w:themeFillTint="33"/>
          </w:tcPr>
          <w:p w:rsidR="00AF2F63" w:rsidRPr="00B34510" w:rsidRDefault="00AF2F63" w:rsidP="00B579C7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iCs/>
                <w:sz w:val="18"/>
                <w:szCs w:val="18"/>
                <w:lang w:val="en-GB"/>
              </w:rPr>
              <w:t xml:space="preserve">What are the key relationships to the position </w:t>
            </w:r>
          </w:p>
        </w:tc>
      </w:tr>
      <w:tr w:rsidR="00B34510" w:rsidRPr="00B34510" w:rsidTr="00B579C7">
        <w:trPr>
          <w:trHeight w:val="219"/>
        </w:trPr>
        <w:tc>
          <w:tcPr>
            <w:tcW w:w="9828" w:type="dxa"/>
          </w:tcPr>
          <w:p w:rsidR="00AF2F63" w:rsidRPr="00B34510" w:rsidRDefault="00AF2F63" w:rsidP="00B579C7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 xml:space="preserve">External: </w:t>
            </w:r>
          </w:p>
          <w:p w:rsidR="00AF2F63" w:rsidRPr="00B34510" w:rsidRDefault="00AF2F63" w:rsidP="00B579C7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AF2F63" w:rsidRPr="00B34510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National Parliament</w:t>
            </w:r>
          </w:p>
          <w:p w:rsidR="0036622E" w:rsidRDefault="0036622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Provincial Legislatures</w:t>
            </w:r>
          </w:p>
          <w:p w:rsidR="0046220E" w:rsidRPr="00B34510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Municipalities</w:t>
            </w:r>
          </w:p>
          <w:p w:rsidR="00AF2F63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President</w:t>
            </w:r>
          </w:p>
          <w:p w:rsidR="0046220E" w:rsidRPr="00B34510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Premiers</w:t>
            </w:r>
          </w:p>
          <w:p w:rsidR="00AF2F63" w:rsidRPr="00B34510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Minister of Finance</w:t>
            </w:r>
          </w:p>
          <w:p w:rsidR="00AF2F63" w:rsidRPr="00B34510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Minister of Home Affairs</w:t>
            </w:r>
          </w:p>
          <w:p w:rsidR="005B3873" w:rsidRDefault="005B387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Minister of Cooperative Governance and Traditional Affairs</w:t>
            </w:r>
          </w:p>
          <w:p w:rsidR="0046220E" w:rsidRPr="00B34510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Minister of International Relations and Cooperation</w:t>
            </w:r>
          </w:p>
          <w:p w:rsidR="005B3873" w:rsidRPr="00B34510" w:rsidRDefault="005B387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>House of Traditional leaders</w:t>
            </w:r>
          </w:p>
          <w:p w:rsidR="005B3873" w:rsidRDefault="005B387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Inter</w:t>
            </w:r>
            <w:r w:rsidR="00791FF4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ministerial Committees on Elections</w:t>
            </w:r>
          </w:p>
          <w:p w:rsidR="00791FF4" w:rsidRPr="00F10AA1" w:rsidRDefault="00791FF4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791FF4">
              <w:rPr>
                <w:rFonts w:ascii="Century Gothic" w:hAnsi="Century Gothic"/>
                <w:color w:val="252525"/>
                <w:sz w:val="18"/>
                <w:szCs w:val="18"/>
                <w:shd w:val="clear" w:color="auto" w:fill="F8F8F8"/>
              </w:rPr>
              <w:t>National Joint Operational and Intelligence Structure</w:t>
            </w:r>
            <w:r w:rsidR="00483FB1">
              <w:rPr>
                <w:rFonts w:ascii="Century Gothic" w:hAnsi="Century Gothic"/>
                <w:color w:val="252525"/>
                <w:sz w:val="18"/>
                <w:szCs w:val="18"/>
                <w:shd w:val="clear" w:color="auto" w:fill="F8F8F8"/>
              </w:rPr>
              <w:t>s</w:t>
            </w:r>
            <w:r w:rsidRPr="00791FF4">
              <w:rPr>
                <w:rFonts w:ascii="Century Gothic" w:hAnsi="Century Gothic"/>
                <w:color w:val="252525"/>
                <w:sz w:val="18"/>
                <w:szCs w:val="18"/>
                <w:shd w:val="clear" w:color="auto" w:fill="F8F8F8"/>
              </w:rPr>
              <w:t xml:space="preserve"> (NATJOINTS)</w:t>
            </w:r>
          </w:p>
          <w:p w:rsidR="00F10AA1" w:rsidRPr="00791FF4" w:rsidRDefault="00F10AA1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252525"/>
                <w:sz w:val="18"/>
                <w:szCs w:val="18"/>
                <w:shd w:val="clear" w:color="auto" w:fill="F8F8F8"/>
              </w:rPr>
              <w:t>South Africa Local Government Association</w:t>
            </w:r>
          </w:p>
          <w:p w:rsidR="005B3873" w:rsidRPr="00791FF4" w:rsidRDefault="005B387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791FF4">
              <w:rPr>
                <w:rFonts w:ascii="Century Gothic" w:hAnsi="Century Gothic"/>
                <w:sz w:val="18"/>
                <w:szCs w:val="18"/>
                <w:lang w:val="en-US"/>
              </w:rPr>
              <w:t>International Stakeholders</w:t>
            </w:r>
          </w:p>
          <w:p w:rsidR="00AF2F63" w:rsidRPr="00B34510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Public and private institutions</w:t>
            </w:r>
          </w:p>
          <w:p w:rsidR="00AF2F63" w:rsidRPr="00B34510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State owned entities</w:t>
            </w:r>
          </w:p>
          <w:p w:rsidR="00AF2F63" w:rsidRPr="00B34510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Civil Society</w:t>
            </w:r>
            <w:r w:rsidR="00791FF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organisations</w:t>
            </w:r>
          </w:p>
          <w:p w:rsidR="00AF2F63" w:rsidRPr="00B34510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 xml:space="preserve">People </w:t>
            </w:r>
            <w:r w:rsidR="00AD20FE">
              <w:rPr>
                <w:rFonts w:ascii="Century Gothic" w:hAnsi="Century Gothic"/>
                <w:sz w:val="18"/>
                <w:szCs w:val="18"/>
                <w:lang w:val="en-US"/>
              </w:rPr>
              <w:t>in</w:t>
            </w: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South Africa</w:t>
            </w:r>
            <w:r w:rsidR="00AD20F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South African citizens throughout the world</w:t>
            </w:r>
          </w:p>
          <w:p w:rsidR="00AF2F63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Political Parties</w:t>
            </w:r>
          </w:p>
          <w:p w:rsidR="00791FF4" w:rsidRDefault="00791FF4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Candidates and elected representatives including independents</w:t>
            </w:r>
          </w:p>
          <w:p w:rsidR="0046220E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Electoral Court and other structures of the judiciary</w:t>
            </w:r>
          </w:p>
          <w:p w:rsidR="0046220E" w:rsidRDefault="006F5592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Media (</w:t>
            </w:r>
            <w:r w:rsidR="0046220E">
              <w:rPr>
                <w:rFonts w:ascii="Century Gothic" w:hAnsi="Century Gothic"/>
                <w:sz w:val="18"/>
                <w:szCs w:val="18"/>
                <w:lang w:val="en-US"/>
              </w:rPr>
              <w:t>Public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, private, traditional and new) </w:t>
            </w:r>
          </w:p>
          <w:p w:rsidR="0046220E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Municipal Demarcation Board</w:t>
            </w:r>
          </w:p>
          <w:p w:rsidR="0046220E" w:rsidRPr="006F5592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F559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Independent Communications Authority of South Africa</w:t>
            </w:r>
          </w:p>
          <w:p w:rsidR="0046220E" w:rsidRPr="006F5592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F559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Information Regulator</w:t>
            </w:r>
          </w:p>
          <w:p w:rsidR="0046220E" w:rsidRPr="00B34510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Other institutions supporting democracy</w:t>
            </w:r>
          </w:p>
        </w:tc>
      </w:tr>
      <w:tr w:rsidR="00AF2F63" w:rsidRPr="00B34510" w:rsidTr="00B579C7">
        <w:trPr>
          <w:trHeight w:val="219"/>
        </w:trPr>
        <w:tc>
          <w:tcPr>
            <w:tcW w:w="9828" w:type="dxa"/>
          </w:tcPr>
          <w:p w:rsidR="00AF2F63" w:rsidRPr="00B34510" w:rsidRDefault="00AF2F63" w:rsidP="00B579C7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>Internal:</w:t>
            </w:r>
          </w:p>
          <w:p w:rsidR="00AF2F63" w:rsidRPr="00B34510" w:rsidRDefault="00AF2F63" w:rsidP="00B579C7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AF2F63" w:rsidRPr="00B34510" w:rsidRDefault="00AF2F63" w:rsidP="00B579C7">
            <w:pPr>
              <w:ind w:left="720" w:hanging="414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•</w:t>
            </w: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ab/>
              <w:t>Commission</w:t>
            </w:r>
            <w:r w:rsidR="00F10AA1">
              <w:rPr>
                <w:rFonts w:ascii="Century Gothic" w:hAnsi="Century Gothic"/>
                <w:sz w:val="18"/>
                <w:szCs w:val="18"/>
                <w:lang w:val="en-US"/>
              </w:rPr>
              <w:t>ers</w:t>
            </w:r>
          </w:p>
          <w:p w:rsidR="00791FF4" w:rsidRPr="00B34510" w:rsidRDefault="00AF2F63" w:rsidP="00791FF4">
            <w:pPr>
              <w:ind w:left="720" w:hanging="414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•</w:t>
            </w: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ab/>
              <w:t>All employees</w:t>
            </w:r>
          </w:p>
          <w:p w:rsidR="00791FF4" w:rsidRDefault="00791FF4" w:rsidP="00791FF4">
            <w:pPr>
              <w:ind w:left="720" w:hanging="414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•</w:t>
            </w: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Contracted</w:t>
            </w: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employees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including expansion staff during elections</w:t>
            </w:r>
          </w:p>
          <w:p w:rsidR="00791FF4" w:rsidRPr="00B34510" w:rsidRDefault="00791FF4" w:rsidP="00B579C7">
            <w:pPr>
              <w:ind w:left="720" w:hanging="414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tbl>
      <w:tblPr>
        <w:tblStyle w:val="TableGrid1"/>
        <w:tblW w:w="982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828"/>
      </w:tblGrid>
      <w:tr w:rsidR="00B34510" w:rsidRPr="00B34510" w:rsidTr="00B579C7">
        <w:trPr>
          <w:trHeight w:val="204"/>
        </w:trPr>
        <w:tc>
          <w:tcPr>
            <w:tcW w:w="9828" w:type="dxa"/>
            <w:shd w:val="clear" w:color="auto" w:fill="D5DCE4" w:themeFill="text2" w:themeFillTint="33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  <w:lang w:val="en-US"/>
              </w:rPr>
              <w:t>Qualifications / Experience / Knowledge</w:t>
            </w:r>
          </w:p>
        </w:tc>
      </w:tr>
      <w:tr w:rsidR="00B34510" w:rsidRPr="00B34510" w:rsidTr="00B579C7">
        <w:trPr>
          <w:trHeight w:val="219"/>
        </w:trPr>
        <w:tc>
          <w:tcPr>
            <w:tcW w:w="9828" w:type="dxa"/>
          </w:tcPr>
          <w:p w:rsidR="00AF2F63" w:rsidRPr="00B34510" w:rsidRDefault="006F5592" w:rsidP="006F559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 per </w:t>
            </w:r>
            <w:r w:rsidR="00791FF4">
              <w:rPr>
                <w:rFonts w:ascii="Century Gothic" w:hAnsi="Century Gothic"/>
                <w:sz w:val="18"/>
                <w:szCs w:val="18"/>
              </w:rPr>
              <w:t>Chapter 9 of the Constitution</w:t>
            </w:r>
            <w:r>
              <w:rPr>
                <w:rFonts w:ascii="Century Gothic" w:hAnsi="Century Gothic"/>
                <w:sz w:val="18"/>
                <w:szCs w:val="18"/>
              </w:rPr>
              <w:t>, c</w:t>
            </w:r>
            <w:r w:rsidR="00791FF4">
              <w:rPr>
                <w:rFonts w:ascii="Century Gothic" w:hAnsi="Century Gothic"/>
                <w:sz w:val="18"/>
                <w:szCs w:val="18"/>
              </w:rPr>
              <w:t>ommissioners must be independent and must a</w:t>
            </w:r>
            <w:r w:rsidR="00F10AA1">
              <w:rPr>
                <w:rFonts w:ascii="Century Gothic" w:hAnsi="Century Gothic"/>
                <w:sz w:val="18"/>
                <w:szCs w:val="18"/>
              </w:rPr>
              <w:t>ct without fear, favour or prej</w:t>
            </w:r>
            <w:r w:rsidR="00791FF4">
              <w:rPr>
                <w:rFonts w:ascii="Century Gothic" w:hAnsi="Century Gothic"/>
                <w:sz w:val="18"/>
                <w:szCs w:val="18"/>
              </w:rPr>
              <w:t>u</w:t>
            </w:r>
            <w:r w:rsidR="00F10AA1">
              <w:rPr>
                <w:rFonts w:ascii="Century Gothic" w:hAnsi="Century Gothic"/>
                <w:sz w:val="18"/>
                <w:szCs w:val="18"/>
              </w:rPr>
              <w:t>d</w:t>
            </w:r>
            <w:r w:rsidR="00791FF4">
              <w:rPr>
                <w:rFonts w:ascii="Century Gothic" w:hAnsi="Century Gothic"/>
                <w:sz w:val="18"/>
                <w:szCs w:val="18"/>
              </w:rPr>
              <w:t>ice</w:t>
            </w:r>
            <w:r w:rsidR="00012C24">
              <w:rPr>
                <w:rFonts w:ascii="Century Gothic" w:hAnsi="Century Gothic"/>
                <w:sz w:val="18"/>
                <w:szCs w:val="18"/>
              </w:rPr>
              <w:t xml:space="preserve">. Given the nature of the responsibilities, account could be taken of the following: </w:t>
            </w:r>
            <w:r w:rsidR="00791FF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B34510" w:rsidRPr="00B34510" w:rsidTr="00B579C7">
        <w:trPr>
          <w:trHeight w:val="219"/>
        </w:trPr>
        <w:tc>
          <w:tcPr>
            <w:tcW w:w="9828" w:type="dxa"/>
          </w:tcPr>
          <w:p w:rsidR="00012C24" w:rsidRDefault="00F10AA1" w:rsidP="00AF2F63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Tertiary </w:t>
            </w:r>
            <w:r w:rsidR="00BD7F4A">
              <w:rPr>
                <w:rFonts w:ascii="Century Gothic" w:hAnsi="Century Gothic"/>
                <w:sz w:val="18"/>
                <w:szCs w:val="18"/>
              </w:rPr>
              <w:t xml:space="preserve">and/or post-graduate </w:t>
            </w:r>
            <w:r>
              <w:rPr>
                <w:rFonts w:ascii="Century Gothic" w:hAnsi="Century Gothic"/>
                <w:sz w:val="18"/>
                <w:szCs w:val="18"/>
              </w:rPr>
              <w:t>qualification</w:t>
            </w:r>
            <w:r w:rsidR="006F5592">
              <w:rPr>
                <w:rFonts w:ascii="Century Gothic" w:hAnsi="Century Gothic"/>
                <w:sz w:val="18"/>
                <w:szCs w:val="18"/>
              </w:rPr>
              <w:t xml:space="preserve"> is</w:t>
            </w:r>
            <w:r w:rsidR="00BD7F4A">
              <w:rPr>
                <w:rFonts w:ascii="Century Gothic" w:hAnsi="Century Gothic"/>
                <w:sz w:val="18"/>
                <w:szCs w:val="18"/>
              </w:rPr>
              <w:t>/are</w:t>
            </w:r>
            <w:r w:rsidR="006F5592">
              <w:rPr>
                <w:rFonts w:ascii="Century Gothic" w:hAnsi="Century Gothic"/>
                <w:sz w:val="18"/>
                <w:szCs w:val="18"/>
              </w:rPr>
              <w:t xml:space="preserve"> an added advantage;</w:t>
            </w:r>
            <w:r w:rsidR="00012C24" w:rsidRPr="00B3451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10AA1" w:rsidRDefault="00BD7F4A" w:rsidP="00AF2F63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Demonstrable u</w:t>
            </w:r>
            <w:r w:rsidR="00F10AA1">
              <w:rPr>
                <w:rFonts w:ascii="Century Gothic" w:hAnsi="Century Gothic"/>
                <w:sz w:val="18"/>
                <w:szCs w:val="18"/>
              </w:rPr>
              <w:t>nderstanding of the framework of constitutional democracy in South Africa</w:t>
            </w:r>
            <w:r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AF2F63" w:rsidRPr="00B34510" w:rsidRDefault="00BD7F4A" w:rsidP="00AF2F63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Demonstrable </w:t>
            </w:r>
            <w:r w:rsidR="00AF2F63" w:rsidRPr="00B34510">
              <w:rPr>
                <w:rFonts w:ascii="Century Gothic" w:hAnsi="Century Gothic"/>
                <w:sz w:val="18"/>
                <w:szCs w:val="18"/>
              </w:rPr>
              <w:t xml:space="preserve">knowledge of the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elections </w:t>
            </w:r>
            <w:r w:rsidR="00AF2F63" w:rsidRPr="00B34510">
              <w:rPr>
                <w:rFonts w:ascii="Century Gothic" w:hAnsi="Century Gothic"/>
                <w:sz w:val="18"/>
                <w:szCs w:val="18"/>
              </w:rPr>
              <w:t>sector</w:t>
            </w:r>
            <w:r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AF2F63" w:rsidRPr="00B34510" w:rsidRDefault="00AF2F63" w:rsidP="00AF2F63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34510">
              <w:rPr>
                <w:rFonts w:ascii="Century Gothic" w:hAnsi="Century Gothic"/>
                <w:sz w:val="18"/>
                <w:szCs w:val="18"/>
              </w:rPr>
              <w:t xml:space="preserve">Understanding of the broad representation of </w:t>
            </w:r>
            <w:r w:rsidR="00F10AA1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Pr="00B34510">
              <w:rPr>
                <w:rFonts w:ascii="Century Gothic" w:hAnsi="Century Gothic"/>
                <w:sz w:val="18"/>
                <w:szCs w:val="18"/>
              </w:rPr>
              <w:t>South African Community</w:t>
            </w:r>
            <w:r w:rsidR="00BD7F4A">
              <w:rPr>
                <w:rFonts w:ascii="Century Gothic" w:hAnsi="Century Gothic"/>
                <w:sz w:val="18"/>
                <w:szCs w:val="18"/>
              </w:rPr>
              <w:t>;</w:t>
            </w:r>
            <w:r w:rsidRPr="00B3451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F2F63" w:rsidRDefault="00AF2F63" w:rsidP="00AF2F63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34510">
              <w:rPr>
                <w:rFonts w:ascii="Century Gothic" w:hAnsi="Century Gothic"/>
                <w:sz w:val="18"/>
                <w:szCs w:val="18"/>
              </w:rPr>
              <w:t xml:space="preserve">Ability to </w:t>
            </w:r>
            <w:r w:rsidR="00402480">
              <w:rPr>
                <w:rFonts w:ascii="Century Gothic" w:hAnsi="Century Gothic"/>
                <w:sz w:val="18"/>
                <w:szCs w:val="18"/>
              </w:rPr>
              <w:t xml:space="preserve">use </w:t>
            </w:r>
            <w:r w:rsidRPr="00B34510">
              <w:rPr>
                <w:rFonts w:ascii="Century Gothic" w:hAnsi="Century Gothic"/>
                <w:sz w:val="18"/>
                <w:szCs w:val="18"/>
              </w:rPr>
              <w:t>quality research</w:t>
            </w:r>
            <w:r w:rsidR="00402480">
              <w:rPr>
                <w:rFonts w:ascii="Century Gothic" w:hAnsi="Century Gothic"/>
                <w:sz w:val="18"/>
                <w:szCs w:val="18"/>
              </w:rPr>
              <w:t xml:space="preserve"> to inform policy development</w:t>
            </w:r>
            <w:r w:rsidR="00BD7F4A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012C24" w:rsidRPr="00B34510" w:rsidRDefault="00012C24" w:rsidP="00AF2F63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Ability to establish and maintain cooperation between different parties</w:t>
            </w:r>
            <w:r w:rsidR="00BD7F4A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AF2F63" w:rsidRPr="00B34510" w:rsidRDefault="00AF2F63" w:rsidP="00AF2F63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34510">
              <w:rPr>
                <w:rFonts w:ascii="Century Gothic" w:hAnsi="Century Gothic"/>
                <w:sz w:val="18"/>
                <w:szCs w:val="18"/>
              </w:rPr>
              <w:t>Experience in written analytical papers and reports</w:t>
            </w:r>
            <w:r w:rsidR="00BD7F4A">
              <w:rPr>
                <w:rFonts w:ascii="Century Gothic" w:hAnsi="Century Gothic"/>
                <w:sz w:val="18"/>
                <w:szCs w:val="18"/>
              </w:rPr>
              <w:t>; and</w:t>
            </w:r>
          </w:p>
          <w:p w:rsidR="00AF2F63" w:rsidRPr="00BD7F4A" w:rsidRDefault="00AF2F63" w:rsidP="00B579C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34510">
              <w:rPr>
                <w:rFonts w:ascii="Century Gothic" w:hAnsi="Century Gothic"/>
                <w:sz w:val="18"/>
                <w:szCs w:val="18"/>
              </w:rPr>
              <w:t xml:space="preserve">Senior Management </w:t>
            </w:r>
            <w:r w:rsidR="00900691" w:rsidRPr="00B34510">
              <w:rPr>
                <w:rFonts w:ascii="Century Gothic" w:hAnsi="Century Gothic"/>
                <w:sz w:val="18"/>
                <w:szCs w:val="18"/>
              </w:rPr>
              <w:t xml:space="preserve">or Executive </w:t>
            </w:r>
            <w:r w:rsidR="00402480">
              <w:rPr>
                <w:rFonts w:ascii="Century Gothic" w:hAnsi="Century Gothic"/>
                <w:sz w:val="18"/>
                <w:szCs w:val="18"/>
              </w:rPr>
              <w:t>experience</w:t>
            </w:r>
            <w:r w:rsidR="00BD7F4A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B34510" w:rsidRPr="00B34510" w:rsidTr="00B579C7">
        <w:tc>
          <w:tcPr>
            <w:tcW w:w="5000" w:type="pct"/>
            <w:shd w:val="clear" w:color="auto" w:fill="D5DCE4" w:themeFill="text2" w:themeFillTint="33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br w:type="page"/>
              <w:t>Skills</w:t>
            </w:r>
          </w:p>
        </w:tc>
      </w:tr>
      <w:tr w:rsidR="00B34510" w:rsidRPr="00B34510" w:rsidTr="00B579C7">
        <w:tc>
          <w:tcPr>
            <w:tcW w:w="5000" w:type="pct"/>
          </w:tcPr>
          <w:p w:rsidR="00AF2F63" w:rsidRPr="00B34510" w:rsidRDefault="007879BD" w:rsidP="00B579C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  <w:lang w:val="en-US"/>
              </w:rPr>
              <w:t>Directing Others</w:t>
            </w:r>
          </w:p>
        </w:tc>
      </w:tr>
      <w:tr w:rsidR="00B34510" w:rsidRPr="00B34510" w:rsidTr="00B579C7">
        <w:tc>
          <w:tcPr>
            <w:tcW w:w="5000" w:type="pct"/>
          </w:tcPr>
          <w:p w:rsidR="00AF2F63" w:rsidRPr="00B34510" w:rsidRDefault="007879BD" w:rsidP="00B579C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Strategic Thinking</w:t>
            </w:r>
            <w:r w:rsidR="00AF2F63" w:rsidRPr="00B3451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B34510" w:rsidRPr="00B34510" w:rsidTr="00B579C7">
        <w:tc>
          <w:tcPr>
            <w:tcW w:w="5000" w:type="pct"/>
          </w:tcPr>
          <w:p w:rsidR="00AF2F63" w:rsidRPr="00B34510" w:rsidRDefault="007879BD" w:rsidP="00B579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Impact and Influence</w:t>
            </w:r>
          </w:p>
        </w:tc>
      </w:tr>
      <w:tr w:rsidR="00B34510" w:rsidRPr="00B34510" w:rsidTr="00B579C7">
        <w:tc>
          <w:tcPr>
            <w:tcW w:w="5000" w:type="pct"/>
          </w:tcPr>
          <w:p w:rsidR="00AF2F63" w:rsidRPr="00B34510" w:rsidRDefault="007879BD" w:rsidP="00B579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Quality Focus</w:t>
            </w:r>
          </w:p>
        </w:tc>
      </w:tr>
      <w:tr w:rsidR="00B34510" w:rsidRPr="00B34510" w:rsidTr="00B579C7">
        <w:tc>
          <w:tcPr>
            <w:tcW w:w="5000" w:type="pct"/>
          </w:tcPr>
          <w:p w:rsidR="00AF2F63" w:rsidRPr="00B34510" w:rsidRDefault="007879BD" w:rsidP="00B579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Results Driven</w:t>
            </w:r>
            <w:r w:rsidR="00AF2F63" w:rsidRPr="00B3451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B34510" w:rsidRPr="00B34510" w:rsidTr="00B579C7">
        <w:tc>
          <w:tcPr>
            <w:tcW w:w="5000" w:type="pct"/>
          </w:tcPr>
          <w:p w:rsidR="00AF2F63" w:rsidRPr="00B34510" w:rsidRDefault="007879BD" w:rsidP="00B579C7">
            <w:p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Logical Reasoning</w:t>
            </w:r>
          </w:p>
        </w:tc>
      </w:tr>
      <w:tr w:rsidR="00B34510" w:rsidRPr="00B34510" w:rsidTr="00B579C7">
        <w:trPr>
          <w:trHeight w:val="47"/>
        </w:trPr>
        <w:tc>
          <w:tcPr>
            <w:tcW w:w="5000" w:type="pct"/>
          </w:tcPr>
          <w:p w:rsidR="00AF2F63" w:rsidRPr="00B34510" w:rsidRDefault="007879BD" w:rsidP="00B579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  <w:lang w:val="en-US"/>
              </w:rPr>
              <w:t>Systematic Thinking</w:t>
            </w:r>
          </w:p>
        </w:tc>
      </w:tr>
      <w:tr w:rsidR="00012C24" w:rsidRPr="00B34510" w:rsidTr="00B579C7">
        <w:trPr>
          <w:trHeight w:val="47"/>
        </w:trPr>
        <w:tc>
          <w:tcPr>
            <w:tcW w:w="5000" w:type="pct"/>
          </w:tcPr>
          <w:p w:rsidR="00012C24" w:rsidRPr="00B34510" w:rsidRDefault="00012C24" w:rsidP="00B579C7">
            <w:p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Mediation</w:t>
            </w:r>
          </w:p>
        </w:tc>
      </w:tr>
      <w:tr w:rsidR="0027452E" w:rsidRPr="00B34510" w:rsidTr="00B579C7">
        <w:trPr>
          <w:trHeight w:val="47"/>
        </w:trPr>
        <w:tc>
          <w:tcPr>
            <w:tcW w:w="5000" w:type="pct"/>
          </w:tcPr>
          <w:p w:rsidR="0027452E" w:rsidRPr="00B34510" w:rsidRDefault="0027452E" w:rsidP="00B579C7">
            <w:p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  <w:lang w:val="en-US"/>
              </w:rPr>
              <w:t>Programme and Project Management</w:t>
            </w:r>
          </w:p>
        </w:tc>
      </w:tr>
    </w:tbl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tbl>
      <w:tblPr>
        <w:tblStyle w:val="TableGrid1"/>
        <w:tblW w:w="5421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75"/>
      </w:tblGrid>
      <w:tr w:rsidR="00B34510" w:rsidRPr="00B34510" w:rsidTr="0067699E">
        <w:tc>
          <w:tcPr>
            <w:tcW w:w="5000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B34510">
              <w:rPr>
                <w:rFonts w:ascii="Century Gothic" w:hAnsi="Century Gothic"/>
                <w:sz w:val="18"/>
                <w:szCs w:val="18"/>
              </w:rPr>
              <w:lastRenderedPageBreak/>
              <w:br w:type="page"/>
            </w:r>
            <w:r w:rsidRPr="00B34510">
              <w:rPr>
                <w:rFonts w:ascii="Century Gothic" w:hAnsi="Century Gothic" w:cs="Calibri"/>
                <w:sz w:val="18"/>
                <w:szCs w:val="18"/>
              </w:rPr>
              <w:t>Attributes</w:t>
            </w:r>
          </w:p>
        </w:tc>
      </w:tr>
      <w:tr w:rsidR="00B34510" w:rsidRPr="00B34510" w:rsidTr="0067699E">
        <w:tc>
          <w:tcPr>
            <w:tcW w:w="5000" w:type="pct"/>
          </w:tcPr>
          <w:p w:rsidR="00AF2F63" w:rsidRPr="00B34510" w:rsidRDefault="00AF2F63" w:rsidP="00B579C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eastAsiaTheme="minorHAnsi" w:hAnsi="Century Gothic" w:cs="Arial"/>
                <w:sz w:val="18"/>
                <w:szCs w:val="18"/>
              </w:rPr>
              <w:t xml:space="preserve">Independence and </w:t>
            </w:r>
            <w:r w:rsidRPr="00B34510">
              <w:rPr>
                <w:rFonts w:ascii="Century Gothic" w:hAnsi="Century Gothic" w:cs="Arial"/>
                <w:sz w:val="18"/>
                <w:szCs w:val="18"/>
              </w:rPr>
              <w:t>Impartiality</w:t>
            </w:r>
          </w:p>
        </w:tc>
      </w:tr>
      <w:tr w:rsidR="00B34510" w:rsidRPr="00B34510" w:rsidTr="0067699E">
        <w:tc>
          <w:tcPr>
            <w:tcW w:w="5000" w:type="pct"/>
          </w:tcPr>
          <w:p w:rsidR="00AF2F63" w:rsidRPr="00B34510" w:rsidRDefault="00AF2F63" w:rsidP="00B579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Fit and proper person</w:t>
            </w:r>
          </w:p>
        </w:tc>
      </w:tr>
      <w:tr w:rsidR="00B34510" w:rsidRPr="00B34510" w:rsidTr="0067699E">
        <w:tc>
          <w:tcPr>
            <w:tcW w:w="5000" w:type="pct"/>
          </w:tcPr>
          <w:p w:rsidR="00AF2F63" w:rsidRPr="00B34510" w:rsidRDefault="00AF2F63" w:rsidP="00B579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Strategic leadership</w:t>
            </w:r>
          </w:p>
        </w:tc>
      </w:tr>
      <w:tr w:rsidR="00B34510" w:rsidRPr="00B34510" w:rsidTr="0067699E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</w:rPr>
              <w:t>Accountability</w:t>
            </w:r>
          </w:p>
        </w:tc>
      </w:tr>
      <w:tr w:rsidR="00B34510" w:rsidRPr="00B34510" w:rsidTr="0067699E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63" w:rsidRPr="00B34510" w:rsidRDefault="00BD7F4A" w:rsidP="00BD7F4A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Commitment to South Africa</w:t>
            </w:r>
            <w:r w:rsidR="00AF2F63" w:rsidRPr="00B34510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</w:p>
        </w:tc>
      </w:tr>
      <w:tr w:rsidR="00B34510" w:rsidRPr="00B34510" w:rsidTr="0067699E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</w:rPr>
              <w:t>Transparency</w:t>
            </w:r>
          </w:p>
        </w:tc>
      </w:tr>
      <w:tr w:rsidR="00AF2F63" w:rsidRPr="00B34510" w:rsidTr="0067699E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</w:rPr>
              <w:t>Integrity</w:t>
            </w:r>
            <w:r w:rsidRPr="00B34510">
              <w:rPr>
                <w:rFonts w:ascii="Century Gothic" w:hAnsi="Century Gothic" w:cs="Calibri"/>
                <w:sz w:val="18"/>
                <w:szCs w:val="18"/>
              </w:rPr>
              <w:tab/>
            </w:r>
          </w:p>
        </w:tc>
      </w:tr>
    </w:tbl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tbl>
      <w:tblPr>
        <w:tblStyle w:val="TableGrid1"/>
        <w:tblW w:w="5484" w:type="pct"/>
        <w:tblInd w:w="-11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76"/>
        <w:gridCol w:w="6297"/>
        <w:gridCol w:w="1416"/>
      </w:tblGrid>
      <w:tr w:rsidR="00B34510" w:rsidRPr="00B34510" w:rsidTr="0067699E">
        <w:trPr>
          <w:tblHeader/>
        </w:trPr>
        <w:tc>
          <w:tcPr>
            <w:tcW w:w="1100" w:type="pct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</w:rPr>
              <w:t>KPA / Main Outputs and Responsibilities for this Position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</w:rPr>
              <w:t>Detailed Description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D5DCE4" w:themeFill="text2" w:themeFillTint="33"/>
          </w:tcPr>
          <w:p w:rsidR="00AF2F63" w:rsidRPr="00B34510" w:rsidRDefault="00AF2F63" w:rsidP="00B579C7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</w:rPr>
              <w:t>Weighting / Time Spent</w:t>
            </w:r>
          </w:p>
        </w:tc>
      </w:tr>
      <w:tr w:rsidR="00B34510" w:rsidRPr="00B34510" w:rsidTr="003B7F09">
        <w:tc>
          <w:tcPr>
            <w:tcW w:w="1100" w:type="pct"/>
          </w:tcPr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Legislative mandate</w:t>
            </w:r>
          </w:p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F2F63" w:rsidRPr="00B34510" w:rsidRDefault="00AF2F63" w:rsidP="00B579C7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84" w:type="pct"/>
          </w:tcPr>
          <w:p w:rsidR="00AF2F63" w:rsidRPr="00B34510" w:rsidRDefault="00AD7E87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Manage 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>the national, provincial and municipal elections</w:t>
            </w:r>
            <w:r w:rsidR="00BD7F4A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AF2F63" w:rsidRPr="00B34510" w:rsidRDefault="00AD7E87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Ensure 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that </w:t>
            </w:r>
            <w:r w:rsidR="00BD7F4A">
              <w:rPr>
                <w:rFonts w:ascii="Century Gothic" w:hAnsi="Century Gothic" w:cstheme="minorHAnsi"/>
                <w:sz w:val="18"/>
                <w:szCs w:val="20"/>
              </w:rPr>
              <w:t xml:space="preserve">these 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>election</w:t>
            </w:r>
            <w:r w:rsidR="00BD7F4A">
              <w:rPr>
                <w:rFonts w:ascii="Century Gothic" w:hAnsi="Century Gothic" w:cstheme="minorHAnsi"/>
                <w:sz w:val="18"/>
                <w:szCs w:val="20"/>
              </w:rPr>
              <w:t xml:space="preserve">s are 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>free and fair</w:t>
            </w:r>
            <w:r w:rsidR="00BD7F4A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AF2F63" w:rsidRPr="00B34510" w:rsidRDefault="00AD7E87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Declare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the results of elections for national, provincial and municipal legislative bodies within seven days after such elections</w:t>
            </w:r>
            <w:r w:rsidR="00BD7F4A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483FB1" w:rsidRPr="00483FB1" w:rsidRDefault="001E54A9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Appoint appropriate public administrations in any sphere </w:t>
            </w:r>
            <w:r w:rsidR="00734712" w:rsidRPr="00B34510">
              <w:rPr>
                <w:rFonts w:ascii="Century Gothic" w:hAnsi="Century Gothic" w:cstheme="minorHAnsi"/>
                <w:sz w:val="18"/>
                <w:szCs w:val="20"/>
              </w:rPr>
              <w:t>of government to conduct elections when necessary</w:t>
            </w:r>
            <w:r w:rsidR="00BD7F4A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483FB1" w:rsidRPr="00483FB1" w:rsidRDefault="00483FB1" w:rsidP="00483FB1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Ensure the implementation of the Political Party Funding Act</w:t>
            </w:r>
            <w:r w:rsidR="00BD7F4A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1E54A9" w:rsidRPr="00B34510" w:rsidRDefault="00483FB1" w:rsidP="00483FB1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Review related legislation and make proposals to Parliament where necessary</w:t>
            </w:r>
            <w:r w:rsidR="00734712" w:rsidRPr="00B34510">
              <w:rPr>
                <w:rFonts w:ascii="Century Gothic" w:hAnsi="Century Gothic" w:cstheme="minorHAnsi"/>
                <w:sz w:val="18"/>
                <w:szCs w:val="20"/>
              </w:rPr>
              <w:t>.</w:t>
            </w:r>
          </w:p>
        </w:tc>
        <w:tc>
          <w:tcPr>
            <w:tcW w:w="716" w:type="pct"/>
          </w:tcPr>
          <w:p w:rsidR="00AF2F63" w:rsidRPr="00B34510" w:rsidRDefault="00AF2F63" w:rsidP="00B579C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34510" w:rsidRPr="00B34510" w:rsidTr="0067699E">
        <w:tc>
          <w:tcPr>
            <w:tcW w:w="1100" w:type="pct"/>
          </w:tcPr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 xml:space="preserve">Executive Direction </w:t>
            </w:r>
          </w:p>
          <w:p w:rsidR="00AF2F63" w:rsidRPr="00B34510" w:rsidRDefault="00AF2F63" w:rsidP="00B579C7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84" w:type="pct"/>
          </w:tcPr>
          <w:p w:rsidR="00EE3C67" w:rsidRDefault="00BD7F4A" w:rsidP="00B74FEC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A</w:t>
            </w:r>
            <w:r w:rsidR="00B74FEC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ct </w:t>
            </w:r>
            <w:r w:rsidR="001F1C29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as the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>c</w:t>
            </w:r>
            <w:r w:rsidR="001F1C29" w:rsidRPr="00B34510">
              <w:rPr>
                <w:rFonts w:ascii="Century Gothic" w:hAnsi="Century Gothic" w:cstheme="minorHAnsi"/>
                <w:sz w:val="18"/>
                <w:szCs w:val="20"/>
              </w:rPr>
              <w:t>hairperson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 or </w:t>
            </w:r>
            <w:r>
              <w:rPr>
                <w:rFonts w:ascii="Century Gothic" w:hAnsi="Century Gothic" w:cstheme="minorHAnsi"/>
                <w:sz w:val="18"/>
                <w:szCs w:val="20"/>
              </w:rPr>
              <w:br/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>vice c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>hairperson if so designated as per s8(1)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 of the Electoral Commission Act (51 of 1996);</w:t>
            </w:r>
          </w:p>
          <w:p w:rsidR="001F1C29" w:rsidRPr="00B34510" w:rsidRDefault="001F1C29" w:rsidP="00B74FEC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Act as chairperson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whenever the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>designated c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hairperson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/vice chairperson are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absent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; </w:t>
            </w:r>
          </w:p>
          <w:p w:rsidR="001F1C29" w:rsidRPr="00B34510" w:rsidRDefault="001F1C29" w:rsidP="001F1C29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Chair subcommittees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of the Commission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that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are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established to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process matters for the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consideration of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the Commission; </w:t>
            </w:r>
          </w:p>
          <w:p w:rsidR="00AF2F63" w:rsidRPr="00B34510" w:rsidRDefault="00AF2F63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Decide as a collective with other Commissioners on matters that </w:t>
            </w:r>
            <w:r w:rsidR="001918B4" w:rsidRPr="00B34510">
              <w:rPr>
                <w:rFonts w:ascii="Century Gothic" w:hAnsi="Century Gothic" w:cstheme="minorHAnsi"/>
                <w:sz w:val="18"/>
                <w:szCs w:val="20"/>
              </w:rPr>
              <w:t>relate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to the staffing and establishment of the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>E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lectoral Commission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 in accordance with s11 </w:t>
            </w:r>
            <w:r w:rsidR="00C0532D">
              <w:rPr>
                <w:rFonts w:ascii="Century Gothic" w:hAnsi="Century Gothic" w:cstheme="minorHAnsi"/>
                <w:sz w:val="18"/>
                <w:szCs w:val="20"/>
              </w:rPr>
              <w:t>of the Electoral Commission Act (51 of 1996)</w:t>
            </w:r>
          </w:p>
          <w:p w:rsidR="00C0532D" w:rsidRPr="00B34510" w:rsidRDefault="00C0532D" w:rsidP="00C0532D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Collectively a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>pprove the annual performance plan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 xml:space="preserve"> and determine the budget and necessary resources to enable the performance of its duties and obligations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 in accordance with s11 of the Electoral Commission Act (51 of 1996);</w:t>
            </w:r>
          </w:p>
          <w:p w:rsidR="00AF2F63" w:rsidRPr="00B34510" w:rsidRDefault="00AF2F63" w:rsidP="0003429C">
            <w:pPr>
              <w:pStyle w:val="ListParagraph"/>
              <w:spacing w:after="200" w:line="360" w:lineRule="auto"/>
              <w:ind w:left="360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</w:p>
          <w:p w:rsidR="0003429C" w:rsidRPr="00B34510" w:rsidRDefault="00DD7C41" w:rsidP="0003429C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lastRenderedPageBreak/>
              <w:t>Collectively a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>pprove strategic plan</w:t>
            </w:r>
            <w:r w:rsidR="000A47D5">
              <w:rPr>
                <w:rFonts w:ascii="Century Gothic" w:hAnsi="Century Gothic" w:cstheme="minorHAnsi"/>
                <w:sz w:val="18"/>
                <w:szCs w:val="20"/>
              </w:rPr>
              <w:t>s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 xml:space="preserve"> and risk frameworks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in alignment with the a given a 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>MTEF period</w:t>
            </w:r>
            <w:r w:rsidR="0003429C">
              <w:rPr>
                <w:rFonts w:ascii="Century Gothic" w:hAnsi="Century Gothic" w:cstheme="minorHAnsi"/>
                <w:sz w:val="18"/>
                <w:szCs w:val="20"/>
              </w:rPr>
              <w:t xml:space="preserve"> in accordance with s11 of the Electoral Commission Act (51 of 1996)</w:t>
            </w:r>
          </w:p>
          <w:p w:rsidR="0003429C" w:rsidRDefault="00DD7C41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 xml:space="preserve">Collectively 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>decide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  <w:r w:rsidR="0003429C">
              <w:rPr>
                <w:rFonts w:ascii="Century Gothic" w:hAnsi="Century Gothic" w:cstheme="minorHAnsi"/>
                <w:sz w:val="18"/>
                <w:szCs w:val="20"/>
              </w:rPr>
              <w:t xml:space="preserve">and approve 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>the necessary policies</w:t>
            </w:r>
            <w:r w:rsidR="0003429C">
              <w:rPr>
                <w:rFonts w:ascii="Century Gothic" w:hAnsi="Century Gothic" w:cstheme="minorHAnsi"/>
                <w:sz w:val="18"/>
                <w:szCs w:val="20"/>
              </w:rPr>
              <w:t xml:space="preserve"> of the Electoral Commission;</w:t>
            </w:r>
          </w:p>
          <w:p w:rsidR="00AF2F63" w:rsidRPr="00B34510" w:rsidRDefault="0003429C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 xml:space="preserve">Collectively 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>approve the delegations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 framework</w:t>
            </w:r>
            <w:r w:rsidR="000A47D5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  <w:r w:rsidR="00DD7C41">
              <w:rPr>
                <w:rFonts w:ascii="Century Gothic" w:hAnsi="Century Gothic" w:cstheme="minorHAnsi"/>
                <w:sz w:val="18"/>
                <w:szCs w:val="20"/>
              </w:rPr>
              <w:t xml:space="preserve"> of the Electoral Commission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03429C" w:rsidRDefault="00555BA1" w:rsidP="00555BA1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555BA1">
              <w:rPr>
                <w:rFonts w:ascii="Century Gothic" w:hAnsi="Century Gothic" w:cstheme="minorHAnsi"/>
                <w:sz w:val="18"/>
                <w:szCs w:val="20"/>
              </w:rPr>
              <w:t>Promote on-going</w:t>
            </w:r>
            <w:r w:rsidR="00AF2F63" w:rsidRPr="00555BA1">
              <w:rPr>
                <w:rFonts w:ascii="Century Gothic" w:hAnsi="Century Gothic" w:cstheme="minorHAnsi"/>
                <w:sz w:val="18"/>
                <w:szCs w:val="20"/>
              </w:rPr>
              <w:t xml:space="preserve"> service delivery improvement</w:t>
            </w:r>
            <w:r w:rsidR="0003429C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03429C" w:rsidRDefault="00555BA1" w:rsidP="00555BA1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Appoint a suitably qualified and experienced person as the Chief Electoral Officer;</w:t>
            </w:r>
          </w:p>
          <w:p w:rsidR="0003429C" w:rsidRDefault="0003429C" w:rsidP="00555BA1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E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>ngage with and approve</w:t>
            </w:r>
            <w:r w:rsidR="00AF2F63" w:rsidRPr="00555BA1">
              <w:rPr>
                <w:rFonts w:ascii="Century Gothic" w:hAnsi="Century Gothic" w:cstheme="minorHAnsi"/>
                <w:sz w:val="18"/>
                <w:szCs w:val="20"/>
              </w:rPr>
              <w:t xml:space="preserve"> human resource plan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 xml:space="preserve">s and appointments in line with policies of the 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Electoral 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>Commission</w:t>
            </w:r>
            <w:r w:rsidR="00693AFD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AF2F63" w:rsidRPr="00555BA1" w:rsidRDefault="0003429C" w:rsidP="00555BA1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D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 xml:space="preserve">etermine the conditions of service, remuneration, allowances and benefits of the staff of the </w:t>
            </w:r>
            <w:r w:rsidR="00693AFD">
              <w:rPr>
                <w:rFonts w:ascii="Century Gothic" w:hAnsi="Century Gothic" w:cstheme="minorHAnsi"/>
                <w:sz w:val="18"/>
                <w:szCs w:val="20"/>
              </w:rPr>
              <w:t xml:space="preserve">Electoral 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>Commission</w:t>
            </w:r>
            <w:r w:rsidR="00693AFD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AF2F63" w:rsidRPr="00B34510" w:rsidRDefault="00AD7E87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Evaluate the 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performance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of the </w:t>
            </w:r>
            <w:r w:rsidR="00693AFD">
              <w:rPr>
                <w:rFonts w:ascii="Century Gothic" w:hAnsi="Century Gothic" w:cstheme="minorHAnsi"/>
                <w:sz w:val="18"/>
                <w:szCs w:val="20"/>
              </w:rPr>
              <w:t xml:space="preserve">Electoral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Commission 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>against the strategic plan</w:t>
            </w:r>
            <w:r w:rsidR="00483FB1">
              <w:rPr>
                <w:rFonts w:ascii="Century Gothic" w:hAnsi="Century Gothic" w:cstheme="minorHAnsi"/>
                <w:sz w:val="18"/>
                <w:szCs w:val="20"/>
              </w:rPr>
              <w:t xml:space="preserve"> and budget</w:t>
            </w:r>
            <w:r w:rsidR="00693AFD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36622E" w:rsidRPr="00B34510" w:rsidRDefault="0036622E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Evaluate the performance of the Chief Electoral Officer against the CEO’s contract</w:t>
            </w:r>
            <w:r w:rsidR="003305A4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483FB1" w:rsidRPr="001C5ED2" w:rsidRDefault="001918B4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Adjudicate </w:t>
            </w:r>
            <w:r w:rsidR="003305A4">
              <w:rPr>
                <w:rFonts w:ascii="Century Gothic" w:hAnsi="Century Gothic" w:cstheme="minorHAnsi"/>
                <w:sz w:val="18"/>
                <w:szCs w:val="20"/>
              </w:rPr>
              <w:t xml:space="preserve">appeals against the decisions of the Chief Electoral Officer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which may arise from the organisation, </w:t>
            </w:r>
            <w:r w:rsidR="003305A4">
              <w:rPr>
                <w:rFonts w:ascii="Century Gothic" w:hAnsi="Century Gothic" w:cstheme="minorHAnsi"/>
                <w:sz w:val="18"/>
                <w:szCs w:val="20"/>
              </w:rPr>
              <w:t xml:space="preserve">the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administration or conducting of elections and which are of an administrative nature</w:t>
            </w:r>
            <w:r w:rsidR="003305A4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1C5ED2" w:rsidRPr="00483FB1" w:rsidRDefault="001C5ED2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</w:pPr>
            <w:r>
              <w:rPr>
                <w:rFonts w:ascii="Century Gothic" w:hAnsi="Century Gothic" w:cstheme="minorHAnsi"/>
                <w:sz w:val="18"/>
                <w:szCs w:val="20"/>
              </w:rPr>
              <w:t>If necessary, publish a report on the likelihood or otherwise that the Commission will be able to ensure that any pending election will be free and fair</w:t>
            </w:r>
            <w:r w:rsidR="00177778">
              <w:rPr>
                <w:rFonts w:ascii="Century Gothic" w:hAnsi="Century Gothic" w:cstheme="minorHAnsi"/>
                <w:sz w:val="18"/>
                <w:szCs w:val="20"/>
              </w:rPr>
              <w:t xml:space="preserve"> as per s14(4) of the Electoral Commission Act;</w:t>
            </w:r>
          </w:p>
          <w:p w:rsidR="001918B4" w:rsidRPr="00B34510" w:rsidRDefault="00483FB1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</w:pPr>
            <w:r>
              <w:rPr>
                <w:rFonts w:ascii="Century Gothic" w:hAnsi="Century Gothic" w:cstheme="minorHAnsi"/>
                <w:sz w:val="18"/>
                <w:szCs w:val="20"/>
              </w:rPr>
              <w:t>Approve the cancellation of any registered political party</w:t>
            </w:r>
            <w:r w:rsidR="00C45D1B" w:rsidRPr="00B34510">
              <w:rPr>
                <w:rFonts w:ascii="Century Gothic" w:hAnsi="Century Gothic" w:cstheme="minorHAnsi"/>
                <w:sz w:val="18"/>
                <w:szCs w:val="20"/>
              </w:rPr>
              <w:t>.</w:t>
            </w:r>
          </w:p>
        </w:tc>
        <w:tc>
          <w:tcPr>
            <w:tcW w:w="716" w:type="pct"/>
          </w:tcPr>
          <w:p w:rsidR="00AF2F63" w:rsidRPr="00B34510" w:rsidRDefault="00AF2F63" w:rsidP="00B579C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34510" w:rsidRPr="00B34510" w:rsidTr="0067699E">
        <w:tc>
          <w:tcPr>
            <w:tcW w:w="1100" w:type="pct"/>
          </w:tcPr>
          <w:p w:rsidR="00734712" w:rsidRPr="00B34510" w:rsidRDefault="00734712" w:rsidP="00B579C7">
            <w:pPr>
              <w:spacing w:line="276" w:lineRule="auto"/>
              <w:ind w:left="306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lastRenderedPageBreak/>
              <w:t>Meetings of Commission</w:t>
            </w:r>
          </w:p>
        </w:tc>
        <w:tc>
          <w:tcPr>
            <w:tcW w:w="3184" w:type="pct"/>
          </w:tcPr>
          <w:p w:rsidR="001C76FB" w:rsidRDefault="001C76FB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Comply with the provisions of s11 of the Electoral Commission Act (51 of 1996)</w:t>
            </w:r>
          </w:p>
          <w:p w:rsidR="00734712" w:rsidRPr="00B34510" w:rsidRDefault="00734712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Consider the reports of Members of the Commission and the Commission Committees</w:t>
            </w:r>
          </w:p>
          <w:p w:rsidR="00734712" w:rsidRPr="00B34510" w:rsidRDefault="000A62D4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Consider t</w:t>
            </w:r>
            <w:r w:rsidR="00734712" w:rsidRPr="00B34510">
              <w:rPr>
                <w:rFonts w:ascii="Century Gothic" w:hAnsi="Century Gothic" w:cstheme="minorHAnsi"/>
                <w:sz w:val="18"/>
                <w:szCs w:val="20"/>
              </w:rPr>
              <w:t>he reports of the Chief Electoral Officer on pertinent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 matters that affect the organis</w:t>
            </w:r>
            <w:r w:rsidR="00734712" w:rsidRPr="00B34510">
              <w:rPr>
                <w:rFonts w:ascii="Century Gothic" w:hAnsi="Century Gothic" w:cstheme="minorHAnsi"/>
                <w:sz w:val="18"/>
                <w:szCs w:val="20"/>
              </w:rPr>
              <w:t>ation and approve and/or endorse the CEO’s approach to these matters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734712" w:rsidRPr="001C76FB" w:rsidRDefault="00762EE6" w:rsidP="001C5ED2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Ratify decisions of the Commission that were taken via round robin</w:t>
            </w:r>
            <w:r w:rsidR="000A62D4">
              <w:rPr>
                <w:rFonts w:ascii="Century Gothic" w:hAnsi="Century Gothic" w:cstheme="minorHAnsi"/>
                <w:sz w:val="18"/>
                <w:szCs w:val="20"/>
              </w:rPr>
              <w:t>.</w:t>
            </w:r>
          </w:p>
        </w:tc>
        <w:tc>
          <w:tcPr>
            <w:tcW w:w="716" w:type="pct"/>
          </w:tcPr>
          <w:p w:rsidR="00734712" w:rsidRPr="00B34510" w:rsidRDefault="00734712" w:rsidP="00B579C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34510" w:rsidRPr="00B34510" w:rsidTr="0067699E">
        <w:tc>
          <w:tcPr>
            <w:tcW w:w="1100" w:type="pct"/>
          </w:tcPr>
          <w:p w:rsidR="00206052" w:rsidRPr="00B34510" w:rsidRDefault="00BF720B" w:rsidP="00DC146D">
            <w:pPr>
              <w:spacing w:line="276" w:lineRule="auto"/>
              <w:ind w:left="306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lastRenderedPageBreak/>
              <w:t>Administration</w:t>
            </w:r>
            <w:r w:rsidR="00206052" w:rsidRPr="00B34510">
              <w:rPr>
                <w:rFonts w:ascii="Century Gothic" w:hAnsi="Century Gothic" w:cs="Arial"/>
                <w:sz w:val="18"/>
                <w:szCs w:val="18"/>
              </w:rPr>
              <w:t xml:space="preserve"> of  electoral processes</w:t>
            </w:r>
          </w:p>
        </w:tc>
        <w:tc>
          <w:tcPr>
            <w:tcW w:w="3184" w:type="pct"/>
          </w:tcPr>
          <w:p w:rsidR="00206052" w:rsidRPr="00B34510" w:rsidRDefault="00BF720B" w:rsidP="00206052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Compile</w:t>
            </w:r>
            <w:r w:rsidR="00206052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and maintain a register of </w:t>
            </w:r>
            <w:r w:rsidR="006D7063">
              <w:rPr>
                <w:rFonts w:ascii="Century Gothic" w:hAnsi="Century Gothic" w:cstheme="minorHAnsi"/>
                <w:sz w:val="18"/>
                <w:szCs w:val="20"/>
              </w:rPr>
              <w:t xml:space="preserve">political </w:t>
            </w:r>
            <w:r w:rsidR="00206052" w:rsidRPr="00B34510">
              <w:rPr>
                <w:rFonts w:ascii="Century Gothic" w:hAnsi="Century Gothic" w:cstheme="minorHAnsi"/>
                <w:sz w:val="18"/>
                <w:szCs w:val="20"/>
              </w:rPr>
              <w:t>parties</w:t>
            </w:r>
            <w:r w:rsidR="006D7063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BF720B" w:rsidRPr="00B34510" w:rsidRDefault="00BF720B" w:rsidP="00BF720B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Compile and maintain </w:t>
            </w:r>
            <w:r w:rsidR="006D7063">
              <w:rPr>
                <w:rFonts w:ascii="Century Gothic" w:hAnsi="Century Gothic" w:cstheme="minorHAnsi"/>
                <w:sz w:val="18"/>
                <w:szCs w:val="20"/>
              </w:rPr>
              <w:t xml:space="preserve">a national, common </w:t>
            </w:r>
            <w:r w:rsidR="00D8357A" w:rsidRPr="00B34510">
              <w:rPr>
                <w:rFonts w:ascii="Century Gothic" w:hAnsi="Century Gothic" w:cstheme="minorHAnsi"/>
                <w:sz w:val="18"/>
                <w:szCs w:val="20"/>
              </w:rPr>
              <w:t>voters’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roll by means of a system of registering of eligible voters by utilising available data and information furnished by voters, as prescribed</w:t>
            </w:r>
            <w:r w:rsidR="006D7063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206052" w:rsidRPr="00B34510" w:rsidRDefault="00206052" w:rsidP="00206052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Develop and promote the development of electoral expertise and technology in all spheres of government</w:t>
            </w:r>
            <w:r w:rsidR="006D7063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206052" w:rsidRPr="00B34510" w:rsidRDefault="00206052" w:rsidP="00206052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Appoint appropriate public administrations in any sphere of government to conduct elections when necessary</w:t>
            </w:r>
            <w:r w:rsidR="006D7063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206052" w:rsidRPr="00B34510" w:rsidRDefault="00206052" w:rsidP="00013C50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Continuously review electoral legislation and proposed electoral legislation, </w:t>
            </w:r>
            <w:r w:rsidR="00013C50" w:rsidRPr="00B34510">
              <w:rPr>
                <w:rFonts w:ascii="Century Gothic" w:hAnsi="Century Gothic" w:cstheme="minorHAnsi"/>
                <w:sz w:val="18"/>
                <w:szCs w:val="20"/>
              </w:rPr>
              <w:t>and make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recommendations in connection therewith</w:t>
            </w:r>
            <w:r w:rsidR="00C45D1B" w:rsidRPr="00B34510">
              <w:rPr>
                <w:rFonts w:ascii="Century Gothic" w:hAnsi="Century Gothic" w:cstheme="minorHAnsi"/>
                <w:sz w:val="18"/>
                <w:szCs w:val="20"/>
              </w:rPr>
              <w:t>.</w:t>
            </w:r>
          </w:p>
        </w:tc>
        <w:tc>
          <w:tcPr>
            <w:tcW w:w="716" w:type="pct"/>
          </w:tcPr>
          <w:p w:rsidR="00206052" w:rsidRPr="00B34510" w:rsidRDefault="00206052" w:rsidP="00B579C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34510" w:rsidRPr="00B34510" w:rsidTr="0067699E">
        <w:tc>
          <w:tcPr>
            <w:tcW w:w="1100" w:type="pct"/>
          </w:tcPr>
          <w:p w:rsidR="00206052" w:rsidRPr="00B34510" w:rsidRDefault="0051034A" w:rsidP="00B579C7">
            <w:pPr>
              <w:spacing w:line="276" w:lineRule="auto"/>
              <w:ind w:left="306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 xml:space="preserve">Financial </w:t>
            </w:r>
            <w:r w:rsidR="00837087" w:rsidRPr="00B34510">
              <w:rPr>
                <w:rFonts w:ascii="Century Gothic" w:hAnsi="Century Gothic" w:cs="Arial"/>
                <w:sz w:val="18"/>
                <w:szCs w:val="18"/>
              </w:rPr>
              <w:t xml:space="preserve">&amp; Auditing </w:t>
            </w:r>
            <w:r w:rsidRPr="00B34510">
              <w:rPr>
                <w:rFonts w:ascii="Century Gothic" w:hAnsi="Century Gothic" w:cs="Arial"/>
                <w:sz w:val="18"/>
                <w:szCs w:val="18"/>
              </w:rPr>
              <w:t>Management</w:t>
            </w:r>
          </w:p>
        </w:tc>
        <w:tc>
          <w:tcPr>
            <w:tcW w:w="3184" w:type="pct"/>
          </w:tcPr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Seek 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>National Assembly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approval for adoption of the budget vote</w:t>
            </w:r>
            <w:r w:rsidR="00E943BE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Review and approve the budget of the Electoral Commission</w:t>
            </w:r>
            <w:r w:rsidR="00E943BE">
              <w:rPr>
                <w:rFonts w:ascii="Century Gothic" w:hAnsi="Century Gothic" w:cstheme="minorHAnsi"/>
                <w:sz w:val="18"/>
                <w:szCs w:val="20"/>
              </w:rPr>
              <w:t>;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</w:p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Perform statutory functions within limits of voted funds [Sec 63(1) of the PFMA]</w:t>
            </w:r>
            <w:r w:rsidR="00732E67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Consider reports on under-collection of revenue, short-falls of budgeted revenue and over-spending of the Vote or Main Division [Sec 39(2)(b) of the PFMA]</w:t>
            </w:r>
            <w:r w:rsidR="00732E67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Consider reports of non-compliance with the PFMA [Sec 40(5)] and in respect of 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>vira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ment [Sec 43(3)]</w:t>
            </w:r>
            <w:r w:rsidR="00732E67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Deal with financial misconduct proceedings against the Accounting Officer</w:t>
            </w:r>
            <w:r w:rsidR="00732E67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Timeously table of annual reports in Parliament [Sec 65(1)(a)] on the performance of the functions, findings in respect of financial misconduct [Sec 65(1)(b)]</w:t>
            </w:r>
          </w:p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Ensure the integrity of the </w:t>
            </w:r>
            <w:r w:rsidR="00732E67">
              <w:rPr>
                <w:rFonts w:ascii="Century Gothic" w:hAnsi="Century Gothic" w:cstheme="minorHAnsi"/>
                <w:sz w:val="18"/>
                <w:szCs w:val="20"/>
              </w:rPr>
              <w:t xml:space="preserve">Electoral Commission’s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accounting and financial reporting systems, including independent audit</w:t>
            </w:r>
          </w:p>
          <w:p w:rsidR="00206052" w:rsidRPr="00B34510" w:rsidRDefault="0051034A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Ensure that appropriate systems for monitoring risks are in place and compliant with the law</w:t>
            </w:r>
            <w:r w:rsidR="00732E67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B008B6" w:rsidRPr="00B34510" w:rsidRDefault="00837087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Ensure that the financial records are audited by the Auditor- General.</w:t>
            </w:r>
            <w:r w:rsidR="003B7F09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716" w:type="pct"/>
          </w:tcPr>
          <w:p w:rsidR="00206052" w:rsidRPr="00B34510" w:rsidRDefault="00206052" w:rsidP="00B579C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34510" w:rsidRPr="00B34510" w:rsidTr="0067699E">
        <w:tc>
          <w:tcPr>
            <w:tcW w:w="1100" w:type="pct"/>
          </w:tcPr>
          <w:p w:rsidR="00F33A94" w:rsidRPr="00B34510" w:rsidRDefault="00F33A94" w:rsidP="00B579C7">
            <w:pPr>
              <w:spacing w:line="276" w:lineRule="auto"/>
              <w:ind w:left="306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Stakeholder Engagement</w:t>
            </w:r>
          </w:p>
        </w:tc>
        <w:tc>
          <w:tcPr>
            <w:tcW w:w="3184" w:type="pct"/>
          </w:tcPr>
          <w:p w:rsidR="00D8357A" w:rsidRDefault="00D8357A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Promote voter education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D8357A" w:rsidRPr="00B34510" w:rsidRDefault="00D8357A" w:rsidP="00D8357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Promote knowledge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of sound and democratic electoral processes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D8357A" w:rsidRPr="00B34510" w:rsidRDefault="00D8357A" w:rsidP="0067699E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Promote conditions conducive to free and fair elections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BF720B" w:rsidRPr="00B34510" w:rsidRDefault="00BF720B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lastRenderedPageBreak/>
              <w:t xml:space="preserve">Establish and maintain liaison and co-operation with 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 xml:space="preserve">political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parties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D8357A" w:rsidRPr="00B34510" w:rsidRDefault="00D8357A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Undertake and promote research into electoral matters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BF720B" w:rsidRPr="00B34510" w:rsidRDefault="003E4D4A" w:rsidP="0067699E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Develop and promote the development of electoral expertise and 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 xml:space="preserve">related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technology in all spheres of government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F33A94" w:rsidRPr="00B34510" w:rsidRDefault="00BF720B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Ensure international and regional co-operation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3E4D4A" w:rsidRPr="00B34510" w:rsidRDefault="003E4D4A" w:rsidP="003E4D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Advance and promote electoral processes through diverse platforms to sustain visibility across the electoral cycle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3E4D4A" w:rsidRPr="00B34510" w:rsidRDefault="003E4D4A" w:rsidP="003E4D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Provide consultative and cooperative liaison platforms between the Electoral Commission, political parties and other key stakeholders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3E4D4A" w:rsidRPr="00B34510" w:rsidRDefault="001B1451" w:rsidP="003E4D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 xml:space="preserve">Participate actively </w:t>
            </w:r>
            <w:r w:rsidR="003E4D4A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in external 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>structures</w:t>
            </w:r>
            <w:r w:rsidR="003E4D4A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and projects as requested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 xml:space="preserve"> and approved for the promotion of constitutional democracy and de</w:t>
            </w:r>
            <w:r w:rsidR="009B342D">
              <w:rPr>
                <w:rFonts w:ascii="Century Gothic" w:hAnsi="Century Gothic" w:cstheme="minorHAnsi"/>
                <w:sz w:val="18"/>
                <w:szCs w:val="20"/>
              </w:rPr>
              <w:t xml:space="preserve">mocratic 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>electoral processes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3E4D4A" w:rsidRPr="00B34510" w:rsidRDefault="003E4D4A" w:rsidP="0067699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Promote co-operation with and between persons, institutions, governments and administrations for the achievement of its objects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BF720B" w:rsidRPr="001B1451" w:rsidRDefault="00C20AC7" w:rsidP="001B1451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Act as a figurehead or spokesperson</w:t>
            </w:r>
            <w:r w:rsidR="009B342D">
              <w:rPr>
                <w:rFonts w:ascii="Century Gothic" w:hAnsi="Century Gothic" w:cstheme="minorHAnsi"/>
                <w:sz w:val="18"/>
                <w:szCs w:val="20"/>
              </w:rPr>
              <w:t xml:space="preserve"> for the Commission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, where required</w:t>
            </w:r>
            <w:r w:rsidR="00C45D1B" w:rsidRPr="00B34510">
              <w:rPr>
                <w:rFonts w:ascii="Century Gothic" w:hAnsi="Century Gothic" w:cstheme="minorHAnsi"/>
                <w:sz w:val="18"/>
                <w:szCs w:val="20"/>
              </w:rPr>
              <w:t>.</w:t>
            </w:r>
          </w:p>
        </w:tc>
        <w:tc>
          <w:tcPr>
            <w:tcW w:w="716" w:type="pct"/>
          </w:tcPr>
          <w:p w:rsidR="00F33A94" w:rsidRPr="00B34510" w:rsidRDefault="00F33A94" w:rsidP="00B579C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34510" w:rsidRPr="00B34510" w:rsidTr="0067699E">
        <w:tc>
          <w:tcPr>
            <w:tcW w:w="1100" w:type="pct"/>
          </w:tcPr>
          <w:p w:rsidR="00AF2F63" w:rsidRPr="00B34510" w:rsidRDefault="003B7F09" w:rsidP="00B579C7">
            <w:pPr>
              <w:spacing w:line="276" w:lineRule="auto"/>
              <w:ind w:left="306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lastRenderedPageBreak/>
              <w:t>Reporting</w:t>
            </w:r>
          </w:p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84" w:type="pct"/>
          </w:tcPr>
          <w:p w:rsidR="003B7F09" w:rsidRPr="00B34510" w:rsidRDefault="003B7F09" w:rsidP="0067699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Annually, as soon as possible after the end of each financial year, submit to the National Assembly an audited report of all money received from other sources as contemplated in section 13</w:t>
            </w:r>
            <w:r w:rsidR="009B342D">
              <w:rPr>
                <w:rFonts w:ascii="Century Gothic" w:hAnsi="Century Gothic" w:cstheme="minorHAnsi"/>
                <w:sz w:val="18"/>
                <w:szCs w:val="20"/>
              </w:rPr>
              <w:t xml:space="preserve"> of the Electoral Commission Act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, as well as the audited statement on income and expenditure</w:t>
            </w:r>
            <w:r w:rsidR="00F443D8">
              <w:rPr>
                <w:rFonts w:ascii="Century Gothic" w:hAnsi="Century Gothic" w:cstheme="minorHAnsi"/>
                <w:sz w:val="18"/>
                <w:szCs w:val="20"/>
              </w:rPr>
              <w:t>;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</w:p>
          <w:p w:rsidR="0036622E" w:rsidRPr="00B34510" w:rsidRDefault="003B7F09" w:rsidP="0067699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Submit a report in regard to the functions, activities and affairs of the Commission in respect of such financial year</w:t>
            </w:r>
            <w:r w:rsidR="00F443D8">
              <w:rPr>
                <w:rFonts w:ascii="Century Gothic" w:hAnsi="Century Gothic" w:cstheme="minorHAnsi"/>
                <w:sz w:val="18"/>
                <w:szCs w:val="20"/>
              </w:rPr>
              <w:t>; and</w:t>
            </w:r>
          </w:p>
          <w:p w:rsidR="00AF2F63" w:rsidRPr="00F443D8" w:rsidRDefault="0036622E" w:rsidP="00F443D8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Table </w:t>
            </w:r>
            <w:r w:rsidR="0073476F" w:rsidRPr="00B34510">
              <w:rPr>
                <w:rFonts w:ascii="Century Gothic" w:hAnsi="Century Gothic" w:cstheme="minorHAnsi"/>
                <w:sz w:val="18"/>
                <w:szCs w:val="20"/>
              </w:rPr>
              <w:t>in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Parliament reports for each National, Provincial and General Municipal Election.</w:t>
            </w:r>
          </w:p>
        </w:tc>
        <w:tc>
          <w:tcPr>
            <w:tcW w:w="716" w:type="pct"/>
          </w:tcPr>
          <w:p w:rsidR="00AF2F63" w:rsidRPr="00B34510" w:rsidRDefault="00AF2F63" w:rsidP="00B579C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AF2F63" w:rsidRPr="00C04829" w:rsidRDefault="00AF2F63" w:rsidP="00AF2F63">
      <w:pPr>
        <w:spacing w:line="276" w:lineRule="auto"/>
        <w:jc w:val="both"/>
        <w:rPr>
          <w:rFonts w:ascii="Century Gothic" w:hAnsi="Century Gothic"/>
          <w:sz w:val="18"/>
          <w:szCs w:val="18"/>
          <w:lang w:val="en-US"/>
        </w:rPr>
      </w:pPr>
    </w:p>
    <w:p w:rsidR="00AF2F63" w:rsidRPr="00C04829" w:rsidRDefault="00AF2F63" w:rsidP="00AF2F63">
      <w:pPr>
        <w:spacing w:line="276" w:lineRule="auto"/>
        <w:jc w:val="both"/>
        <w:rPr>
          <w:rFonts w:ascii="Century Gothic" w:hAnsi="Century Gothic"/>
          <w:sz w:val="18"/>
          <w:szCs w:val="18"/>
          <w:lang w:val="en-US"/>
        </w:rPr>
      </w:pPr>
    </w:p>
    <w:p w:rsidR="00AF2F63" w:rsidRPr="00C04829" w:rsidRDefault="00AF2F63" w:rsidP="00AF2F63">
      <w:pPr>
        <w:spacing w:line="276" w:lineRule="auto"/>
        <w:jc w:val="both"/>
        <w:rPr>
          <w:rFonts w:ascii="Century Gothic" w:hAnsi="Century Gothic"/>
          <w:sz w:val="18"/>
          <w:szCs w:val="18"/>
          <w:lang w:val="en-US"/>
        </w:rPr>
      </w:pPr>
      <w:r w:rsidRPr="00C04829">
        <w:rPr>
          <w:rFonts w:ascii="Century Gothic" w:hAnsi="Century Gothic"/>
          <w:sz w:val="18"/>
          <w:szCs w:val="18"/>
          <w:lang w:val="en-US"/>
        </w:rPr>
        <w:t>Approved By</w:t>
      </w:r>
    </w:p>
    <w:tbl>
      <w:tblPr>
        <w:tblStyle w:val="TableGrid1"/>
        <w:tblW w:w="10065" w:type="dxa"/>
        <w:tblInd w:w="-14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45"/>
        <w:gridCol w:w="2700"/>
        <w:gridCol w:w="1980"/>
        <w:gridCol w:w="2340"/>
      </w:tblGrid>
      <w:tr w:rsidR="00AF2F63" w:rsidRPr="00C04829" w:rsidTr="0067699E">
        <w:tc>
          <w:tcPr>
            <w:tcW w:w="3045" w:type="dxa"/>
            <w:tcBorders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C04829">
              <w:rPr>
                <w:rFonts w:ascii="Century Gothic" w:hAnsi="Century Gothic" w:cs="Calibri"/>
                <w:sz w:val="18"/>
                <w:szCs w:val="18"/>
                <w:lang w:val="en-US"/>
              </w:rPr>
              <w:t>Name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C04829">
              <w:rPr>
                <w:rFonts w:ascii="Century Gothic" w:hAnsi="Century Gothic" w:cs="Calibri"/>
                <w:sz w:val="18"/>
                <w:szCs w:val="18"/>
                <w:lang w:val="en-US"/>
              </w:rPr>
              <w:t>Designation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C04829">
              <w:rPr>
                <w:rFonts w:ascii="Century Gothic" w:hAnsi="Century Gothic" w:cs="Calibri"/>
                <w:sz w:val="18"/>
                <w:szCs w:val="18"/>
                <w:lang w:val="en-US"/>
              </w:rPr>
              <w:t>Approved</w:t>
            </w:r>
          </w:p>
        </w:tc>
        <w:tc>
          <w:tcPr>
            <w:tcW w:w="2340" w:type="dxa"/>
            <w:tcBorders>
              <w:left w:val="single" w:sz="4" w:space="0" w:color="FFFFFF" w:themeColor="background1"/>
              <w:right w:val="single" w:sz="4" w:space="0" w:color="5B9BD5" w:themeColor="accent1"/>
            </w:tcBorders>
            <w:shd w:val="clear" w:color="auto" w:fill="D5DCE4" w:themeFill="text2" w:themeFillTint="33"/>
          </w:tcPr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C04829">
              <w:rPr>
                <w:rFonts w:ascii="Century Gothic" w:hAnsi="Century Gothic" w:cs="Calibri"/>
                <w:sz w:val="18"/>
                <w:szCs w:val="18"/>
                <w:lang w:val="en-US"/>
              </w:rPr>
              <w:t>Date Approved</w:t>
            </w:r>
          </w:p>
        </w:tc>
      </w:tr>
      <w:tr w:rsidR="00AF2F63" w:rsidRPr="00C04829" w:rsidTr="0067699E">
        <w:trPr>
          <w:trHeight w:val="793"/>
        </w:trPr>
        <w:tc>
          <w:tcPr>
            <w:tcW w:w="3045" w:type="dxa"/>
          </w:tcPr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bCs/>
                <w:sz w:val="18"/>
                <w:szCs w:val="18"/>
                <w:lang w:val="en-US"/>
              </w:rPr>
            </w:pPr>
          </w:p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</w:tcPr>
          <w:p w:rsidR="00AF2F63" w:rsidRPr="00C04829" w:rsidRDefault="00600E9A" w:rsidP="00600E9A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Appointing Authority / Delegated person</w:t>
            </w:r>
          </w:p>
        </w:tc>
        <w:tc>
          <w:tcPr>
            <w:tcW w:w="1980" w:type="dxa"/>
          </w:tcPr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</w:tcPr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</w:tbl>
    <w:p w:rsidR="00AF2F63" w:rsidRPr="00E9651C" w:rsidRDefault="00AF2F63" w:rsidP="000B3F65">
      <w:pPr>
        <w:keepNext/>
        <w:keepLines/>
        <w:spacing w:before="40"/>
        <w:ind w:left="360"/>
        <w:outlineLvl w:val="1"/>
        <w:rPr>
          <w:rFonts w:ascii="Century Gothic" w:hAnsi="Century Gothic"/>
          <w:b/>
          <w:szCs w:val="26"/>
          <w:lang w:val="en-GB"/>
        </w:rPr>
      </w:pPr>
    </w:p>
    <w:sectPr w:rsidR="00AF2F63" w:rsidRPr="00E9651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30" w:rsidRDefault="00624130" w:rsidP="00BD7F4A">
      <w:r>
        <w:separator/>
      </w:r>
    </w:p>
  </w:endnote>
  <w:endnote w:type="continuationSeparator" w:id="0">
    <w:p w:rsidR="00624130" w:rsidRDefault="00624130" w:rsidP="00BD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1256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D7F4A" w:rsidRDefault="00BD7F4A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06C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06C2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D7F4A" w:rsidRDefault="00BD7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30" w:rsidRDefault="00624130" w:rsidP="00BD7F4A">
      <w:r>
        <w:separator/>
      </w:r>
    </w:p>
  </w:footnote>
  <w:footnote w:type="continuationSeparator" w:id="0">
    <w:p w:rsidR="00624130" w:rsidRDefault="00624130" w:rsidP="00BD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8D4"/>
    <w:multiLevelType w:val="hybridMultilevel"/>
    <w:tmpl w:val="514E6F8E"/>
    <w:lvl w:ilvl="0" w:tplc="1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12BD0978"/>
    <w:multiLevelType w:val="hybridMultilevel"/>
    <w:tmpl w:val="D55CC896"/>
    <w:lvl w:ilvl="0" w:tplc="1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46E4AB4"/>
    <w:multiLevelType w:val="hybridMultilevel"/>
    <w:tmpl w:val="5B9C05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0A61"/>
    <w:multiLevelType w:val="hybridMultilevel"/>
    <w:tmpl w:val="77A8CCC4"/>
    <w:lvl w:ilvl="0" w:tplc="1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 w15:restartNumberingAfterBreak="0">
    <w:nsid w:val="28CB3968"/>
    <w:multiLevelType w:val="multilevel"/>
    <w:tmpl w:val="712656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853A92"/>
    <w:multiLevelType w:val="multilevel"/>
    <w:tmpl w:val="7DB4D5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EE6F6B"/>
    <w:multiLevelType w:val="hybridMultilevel"/>
    <w:tmpl w:val="643E1B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E5B44"/>
    <w:multiLevelType w:val="hybridMultilevel"/>
    <w:tmpl w:val="FC5CEB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33EBE"/>
    <w:multiLevelType w:val="hybridMultilevel"/>
    <w:tmpl w:val="9D58A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C0AEE"/>
    <w:multiLevelType w:val="hybridMultilevel"/>
    <w:tmpl w:val="209C73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44C36"/>
    <w:multiLevelType w:val="multilevel"/>
    <w:tmpl w:val="FC0E4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5A02652"/>
    <w:multiLevelType w:val="hybridMultilevel"/>
    <w:tmpl w:val="A1A493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121A4"/>
    <w:multiLevelType w:val="hybridMultilevel"/>
    <w:tmpl w:val="901CFA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E1637"/>
    <w:multiLevelType w:val="hybridMultilevel"/>
    <w:tmpl w:val="DEE82B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B04BC"/>
    <w:multiLevelType w:val="hybridMultilevel"/>
    <w:tmpl w:val="9E827E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6394A"/>
    <w:multiLevelType w:val="hybridMultilevel"/>
    <w:tmpl w:val="0F7A0E9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57003"/>
    <w:multiLevelType w:val="hybridMultilevel"/>
    <w:tmpl w:val="C5500AC0"/>
    <w:lvl w:ilvl="0" w:tplc="AADC38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1136F"/>
    <w:multiLevelType w:val="hybridMultilevel"/>
    <w:tmpl w:val="A1222D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43436"/>
    <w:multiLevelType w:val="hybridMultilevel"/>
    <w:tmpl w:val="5CDCBC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0"/>
  </w:num>
  <w:num w:numId="5">
    <w:abstractNumId w:val="9"/>
  </w:num>
  <w:num w:numId="6">
    <w:abstractNumId w:val="16"/>
  </w:num>
  <w:num w:numId="7">
    <w:abstractNumId w:val="3"/>
  </w:num>
  <w:num w:numId="8">
    <w:abstractNumId w:val="0"/>
  </w:num>
  <w:num w:numId="9">
    <w:abstractNumId w:val="7"/>
  </w:num>
  <w:num w:numId="10">
    <w:abstractNumId w:val="15"/>
  </w:num>
  <w:num w:numId="11">
    <w:abstractNumId w:val="1"/>
  </w:num>
  <w:num w:numId="12">
    <w:abstractNumId w:val="4"/>
  </w:num>
  <w:num w:numId="13">
    <w:abstractNumId w:val="18"/>
  </w:num>
  <w:num w:numId="14">
    <w:abstractNumId w:val="12"/>
  </w:num>
  <w:num w:numId="15">
    <w:abstractNumId w:val="11"/>
  </w:num>
  <w:num w:numId="16">
    <w:abstractNumId w:val="8"/>
  </w:num>
  <w:num w:numId="17">
    <w:abstractNumId w:val="6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65"/>
    <w:rsid w:val="00012C24"/>
    <w:rsid w:val="00013C50"/>
    <w:rsid w:val="0003429C"/>
    <w:rsid w:val="00055EB9"/>
    <w:rsid w:val="00055EFC"/>
    <w:rsid w:val="0008266F"/>
    <w:rsid w:val="000A47D5"/>
    <w:rsid w:val="000A62D4"/>
    <w:rsid w:val="000B3F65"/>
    <w:rsid w:val="000F3615"/>
    <w:rsid w:val="000F63CD"/>
    <w:rsid w:val="00102FEE"/>
    <w:rsid w:val="00133A1C"/>
    <w:rsid w:val="00134050"/>
    <w:rsid w:val="00146D8E"/>
    <w:rsid w:val="00164D0F"/>
    <w:rsid w:val="00177778"/>
    <w:rsid w:val="001918B4"/>
    <w:rsid w:val="001A320D"/>
    <w:rsid w:val="001B1451"/>
    <w:rsid w:val="001C0C88"/>
    <w:rsid w:val="001C5ED2"/>
    <w:rsid w:val="001C76FB"/>
    <w:rsid w:val="001D3D79"/>
    <w:rsid w:val="001E54A9"/>
    <w:rsid w:val="001F1C29"/>
    <w:rsid w:val="00206052"/>
    <w:rsid w:val="002121AE"/>
    <w:rsid w:val="00214B74"/>
    <w:rsid w:val="00227B23"/>
    <w:rsid w:val="00231D4C"/>
    <w:rsid w:val="00243AA2"/>
    <w:rsid w:val="0027452E"/>
    <w:rsid w:val="00281284"/>
    <w:rsid w:val="002B3C96"/>
    <w:rsid w:val="002E3431"/>
    <w:rsid w:val="002F69E1"/>
    <w:rsid w:val="00300095"/>
    <w:rsid w:val="00303A5B"/>
    <w:rsid w:val="003305A4"/>
    <w:rsid w:val="0036622E"/>
    <w:rsid w:val="00371C8B"/>
    <w:rsid w:val="0039279C"/>
    <w:rsid w:val="0039716F"/>
    <w:rsid w:val="003B4FAC"/>
    <w:rsid w:val="003B7F09"/>
    <w:rsid w:val="003D5E89"/>
    <w:rsid w:val="003E4D4A"/>
    <w:rsid w:val="00402480"/>
    <w:rsid w:val="004052A1"/>
    <w:rsid w:val="0043783F"/>
    <w:rsid w:val="0046220E"/>
    <w:rsid w:val="0048086B"/>
    <w:rsid w:val="00483FB1"/>
    <w:rsid w:val="00493790"/>
    <w:rsid w:val="004B5E12"/>
    <w:rsid w:val="004F70BA"/>
    <w:rsid w:val="0051034A"/>
    <w:rsid w:val="005249F2"/>
    <w:rsid w:val="00527FEA"/>
    <w:rsid w:val="00555BA1"/>
    <w:rsid w:val="00593B60"/>
    <w:rsid w:val="005B3873"/>
    <w:rsid w:val="005D2FCA"/>
    <w:rsid w:val="005F29B7"/>
    <w:rsid w:val="0060038F"/>
    <w:rsid w:val="00600E9A"/>
    <w:rsid w:val="00606C22"/>
    <w:rsid w:val="006224A4"/>
    <w:rsid w:val="00624130"/>
    <w:rsid w:val="0067699E"/>
    <w:rsid w:val="006846CC"/>
    <w:rsid w:val="00693AFD"/>
    <w:rsid w:val="006B3AB6"/>
    <w:rsid w:val="006B4B7B"/>
    <w:rsid w:val="006B775F"/>
    <w:rsid w:val="006D69D2"/>
    <w:rsid w:val="006D7063"/>
    <w:rsid w:val="006F5592"/>
    <w:rsid w:val="00732E67"/>
    <w:rsid w:val="00734712"/>
    <w:rsid w:val="0073476F"/>
    <w:rsid w:val="00762EE6"/>
    <w:rsid w:val="00765FA5"/>
    <w:rsid w:val="00774402"/>
    <w:rsid w:val="007879BD"/>
    <w:rsid w:val="00791FF4"/>
    <w:rsid w:val="007D2E0A"/>
    <w:rsid w:val="007D4D61"/>
    <w:rsid w:val="00802337"/>
    <w:rsid w:val="00833190"/>
    <w:rsid w:val="00837087"/>
    <w:rsid w:val="0084449A"/>
    <w:rsid w:val="00846E40"/>
    <w:rsid w:val="008B1DA7"/>
    <w:rsid w:val="00900691"/>
    <w:rsid w:val="00903173"/>
    <w:rsid w:val="00911FAB"/>
    <w:rsid w:val="009424EC"/>
    <w:rsid w:val="009B342D"/>
    <w:rsid w:val="009B4776"/>
    <w:rsid w:val="009C3906"/>
    <w:rsid w:val="00A02DB8"/>
    <w:rsid w:val="00AC13D4"/>
    <w:rsid w:val="00AD20FE"/>
    <w:rsid w:val="00AD7E87"/>
    <w:rsid w:val="00AF2F63"/>
    <w:rsid w:val="00B008B6"/>
    <w:rsid w:val="00B1675F"/>
    <w:rsid w:val="00B34510"/>
    <w:rsid w:val="00B74FEC"/>
    <w:rsid w:val="00B830D7"/>
    <w:rsid w:val="00BB1965"/>
    <w:rsid w:val="00BD7F4A"/>
    <w:rsid w:val="00BF720B"/>
    <w:rsid w:val="00C0532D"/>
    <w:rsid w:val="00C20AC7"/>
    <w:rsid w:val="00C42FCB"/>
    <w:rsid w:val="00C45D1B"/>
    <w:rsid w:val="00D301AA"/>
    <w:rsid w:val="00D6736A"/>
    <w:rsid w:val="00D758A6"/>
    <w:rsid w:val="00D8357A"/>
    <w:rsid w:val="00DC146D"/>
    <w:rsid w:val="00DD7C41"/>
    <w:rsid w:val="00E300D0"/>
    <w:rsid w:val="00E4418A"/>
    <w:rsid w:val="00E54067"/>
    <w:rsid w:val="00E73946"/>
    <w:rsid w:val="00E943BE"/>
    <w:rsid w:val="00EE0C23"/>
    <w:rsid w:val="00EE3C67"/>
    <w:rsid w:val="00EE485C"/>
    <w:rsid w:val="00F10AA1"/>
    <w:rsid w:val="00F14986"/>
    <w:rsid w:val="00F20F1E"/>
    <w:rsid w:val="00F3071A"/>
    <w:rsid w:val="00F33A94"/>
    <w:rsid w:val="00F40288"/>
    <w:rsid w:val="00F4045B"/>
    <w:rsid w:val="00F443D8"/>
    <w:rsid w:val="00F76752"/>
    <w:rsid w:val="00FA1D22"/>
    <w:rsid w:val="00FB33A2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71DF5-BE2D-44E9-B028-8C5D1F7B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F65"/>
    <w:pPr>
      <w:keepNext/>
      <w:outlineLvl w:val="0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F65"/>
    <w:rPr>
      <w:rFonts w:ascii="Garamond" w:eastAsia="Times New Roman" w:hAnsi="Garamond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B3F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21">
    <w:name w:val="Light List - Accent 21"/>
    <w:basedOn w:val="TableNormal"/>
    <w:next w:val="LightList-Accent2"/>
    <w:uiPriority w:val="61"/>
    <w:rsid w:val="000B3F65"/>
    <w:pPr>
      <w:spacing w:after="0" w:line="240" w:lineRule="auto"/>
    </w:pPr>
    <w:rPr>
      <w:rFonts w:ascii="Arial" w:eastAsia="Times" w:hAnsi="Arial" w:cs="Times New Roman"/>
      <w:color w:val="565656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565656"/>
        <w:left w:val="single" w:sz="4" w:space="0" w:color="565656"/>
        <w:bottom w:val="single" w:sz="4" w:space="0" w:color="565656"/>
        <w:right w:val="single" w:sz="4" w:space="0" w:color="565656"/>
        <w:insideH w:val="single" w:sz="4" w:space="0" w:color="565656"/>
        <w:insideV w:val="single" w:sz="4" w:space="0" w:color="565656"/>
      </w:tblBorders>
      <w:tblCellMar>
        <w:top w:w="57" w:type="dxa"/>
        <w:bottom w:w="57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5656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71E"/>
          <w:left w:val="single" w:sz="8" w:space="0" w:color="CB171E"/>
          <w:bottom w:val="single" w:sz="8" w:space="0" w:color="CB171E"/>
          <w:right w:val="single" w:sz="8" w:space="0" w:color="CB17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71E"/>
          <w:left w:val="single" w:sz="8" w:space="0" w:color="CB171E"/>
          <w:bottom w:val="single" w:sz="8" w:space="0" w:color="CB171E"/>
          <w:right w:val="single" w:sz="8" w:space="0" w:color="CB171E"/>
        </w:tcBorders>
      </w:tcPr>
    </w:tblStylePr>
    <w:tblStylePr w:type="band1Horz">
      <w:tblPr/>
      <w:tcPr>
        <w:tcBorders>
          <w:top w:val="single" w:sz="8" w:space="0" w:color="CB171E"/>
          <w:left w:val="single" w:sz="8" w:space="0" w:color="CB171E"/>
          <w:bottom w:val="single" w:sz="8" w:space="0" w:color="CB171E"/>
          <w:right w:val="single" w:sz="8" w:space="0" w:color="CB171E"/>
        </w:tcBorders>
      </w:tcPr>
    </w:tblStylePr>
  </w:style>
  <w:style w:type="table" w:styleId="TableGrid">
    <w:name w:val="Table Grid"/>
    <w:basedOn w:val="TableNormal"/>
    <w:uiPriority w:val="59"/>
    <w:rsid w:val="000B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semiHidden/>
    <w:unhideWhenUsed/>
    <w:rsid w:val="000B3F6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6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C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E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444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1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F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F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Dikeledi Ranthako</dc:creator>
  <cp:keywords/>
  <dc:description/>
  <cp:lastModifiedBy>Nomaindia Xauka</cp:lastModifiedBy>
  <cp:revision>2</cp:revision>
  <dcterms:created xsi:type="dcterms:W3CDTF">2022-06-03T08:57:00Z</dcterms:created>
  <dcterms:modified xsi:type="dcterms:W3CDTF">2022-06-03T08:57:00Z</dcterms:modified>
</cp:coreProperties>
</file>