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E6" w:rsidRPr="00156CB3" w:rsidRDefault="00156CB3" w:rsidP="00156CB3">
      <w:pPr>
        <w:spacing w:after="0" w:line="240" w:lineRule="auto"/>
        <w:outlineLvl w:val="0"/>
        <w:rPr>
          <w:rFonts w:ascii="Arial" w:eastAsia="Times New Roman" w:hAnsi="Arial" w:cs="Arial"/>
          <w:b/>
          <w:bCs/>
          <w:kern w:val="36"/>
          <w:sz w:val="20"/>
          <w:szCs w:val="20"/>
          <w:lang w:eastAsia="en-ZA"/>
        </w:rPr>
      </w:pPr>
      <w:r w:rsidRPr="00156CB3">
        <w:rPr>
          <w:rFonts w:ascii="Arial" w:eastAsia="Times New Roman" w:hAnsi="Arial" w:cs="Arial"/>
          <w:b/>
          <w:bCs/>
          <w:kern w:val="36"/>
          <w:sz w:val="20"/>
          <w:szCs w:val="20"/>
          <w:lang w:eastAsia="en-ZA"/>
        </w:rPr>
        <w:t>Budgetary Review</w:t>
      </w:r>
      <w:r>
        <w:rPr>
          <w:rFonts w:ascii="Arial" w:eastAsia="Times New Roman" w:hAnsi="Arial" w:cs="Arial"/>
          <w:b/>
          <w:bCs/>
          <w:kern w:val="36"/>
          <w:sz w:val="20"/>
          <w:szCs w:val="20"/>
          <w:lang w:eastAsia="en-ZA"/>
        </w:rPr>
        <w:t xml:space="preserve"> and Recommendation Report (BRRR) of t</w:t>
      </w:r>
      <w:r w:rsidRPr="00156CB3">
        <w:rPr>
          <w:rFonts w:ascii="Arial" w:eastAsia="Times New Roman" w:hAnsi="Arial" w:cs="Arial"/>
          <w:b/>
          <w:bCs/>
          <w:kern w:val="36"/>
          <w:sz w:val="20"/>
          <w:szCs w:val="20"/>
          <w:lang w:eastAsia="en-ZA"/>
        </w:rPr>
        <w:t>he Portfolio Commit</w:t>
      </w:r>
      <w:r>
        <w:rPr>
          <w:rFonts w:ascii="Arial" w:eastAsia="Times New Roman" w:hAnsi="Arial" w:cs="Arial"/>
          <w:b/>
          <w:bCs/>
          <w:kern w:val="36"/>
          <w:sz w:val="20"/>
          <w:szCs w:val="20"/>
          <w:lang w:eastAsia="en-ZA"/>
        </w:rPr>
        <w:t>tee on Water and Sanitation on t</w:t>
      </w:r>
      <w:r w:rsidRPr="00156CB3">
        <w:rPr>
          <w:rFonts w:ascii="Arial" w:eastAsia="Times New Roman" w:hAnsi="Arial" w:cs="Arial"/>
          <w:b/>
          <w:bCs/>
          <w:kern w:val="36"/>
          <w:sz w:val="20"/>
          <w:szCs w:val="20"/>
          <w:lang w:eastAsia="en-ZA"/>
        </w:rPr>
        <w:t>he Annual Reports and Financial Statements of the</w:t>
      </w:r>
      <w:r>
        <w:rPr>
          <w:rFonts w:ascii="Arial" w:eastAsia="Times New Roman" w:hAnsi="Arial" w:cs="Arial"/>
          <w:b/>
          <w:bCs/>
          <w:kern w:val="36"/>
          <w:sz w:val="20"/>
          <w:szCs w:val="20"/>
          <w:lang w:eastAsia="en-ZA"/>
        </w:rPr>
        <w:t xml:space="preserve"> Department o</w:t>
      </w:r>
      <w:r w:rsidRPr="00156CB3">
        <w:rPr>
          <w:rFonts w:ascii="Arial" w:eastAsia="Times New Roman" w:hAnsi="Arial" w:cs="Arial"/>
          <w:b/>
          <w:bCs/>
          <w:kern w:val="36"/>
          <w:sz w:val="20"/>
          <w:szCs w:val="20"/>
          <w:lang w:eastAsia="en-ZA"/>
        </w:rPr>
        <w:t>f Water and Sanitation and</w:t>
      </w:r>
      <w:r>
        <w:rPr>
          <w:rFonts w:ascii="Arial" w:eastAsia="Times New Roman" w:hAnsi="Arial" w:cs="Arial"/>
          <w:b/>
          <w:bCs/>
          <w:kern w:val="36"/>
          <w:sz w:val="20"/>
          <w:szCs w:val="20"/>
          <w:lang w:eastAsia="en-ZA"/>
        </w:rPr>
        <w:t xml:space="preserve"> it</w:t>
      </w:r>
      <w:r w:rsidRPr="00156CB3">
        <w:rPr>
          <w:rFonts w:ascii="Arial" w:eastAsia="Times New Roman" w:hAnsi="Arial" w:cs="Arial"/>
          <w:b/>
          <w:bCs/>
          <w:kern w:val="36"/>
          <w:sz w:val="20"/>
          <w:szCs w:val="20"/>
          <w:lang w:eastAsia="en-ZA"/>
        </w:rPr>
        <w:t>s Entities for the 2021/22 Financial Year, Dated 18 October 2022</w:t>
      </w:r>
    </w:p>
    <w:p w:rsidR="00122BE6" w:rsidRPr="00156CB3" w:rsidRDefault="00122BE6" w:rsidP="00156CB3">
      <w:pPr>
        <w:spacing w:after="0" w:line="240" w:lineRule="auto"/>
        <w:outlineLvl w:val="0"/>
        <w:rPr>
          <w:rFonts w:ascii="Arial" w:eastAsia="Times New Roman" w:hAnsi="Arial" w:cs="Arial"/>
          <w:b/>
          <w:bCs/>
          <w:kern w:val="36"/>
          <w:sz w:val="20"/>
          <w:szCs w:val="20"/>
          <w:lang w:eastAsia="en-ZA"/>
        </w:rPr>
      </w:pPr>
    </w:p>
    <w:p w:rsidR="00122BE6" w:rsidRPr="00156CB3" w:rsidRDefault="00122BE6" w:rsidP="00156CB3">
      <w:pPr>
        <w:spacing w:after="0" w:line="240" w:lineRule="auto"/>
        <w:rPr>
          <w:rFonts w:ascii="Arial" w:eastAsia="Times New Roman" w:hAnsi="Arial" w:cs="Arial"/>
          <w:bCs/>
          <w:kern w:val="36"/>
          <w:sz w:val="20"/>
          <w:szCs w:val="20"/>
          <w:lang w:eastAsia="en-ZA"/>
        </w:rPr>
      </w:pPr>
      <w:r w:rsidRPr="00156CB3">
        <w:rPr>
          <w:rFonts w:ascii="Arial" w:eastAsia="Times New Roman" w:hAnsi="Arial" w:cs="Arial"/>
          <w:bCs/>
          <w:kern w:val="36"/>
          <w:sz w:val="20"/>
          <w:szCs w:val="20"/>
          <w:lang w:eastAsia="en-ZA"/>
        </w:rPr>
        <w:t>The Portfolio Committee on Water and Sanitation (hereinafter the Portfolio Committee), having considered briefings by the Auditor General of South Africa and  the Department of Plannin</w:t>
      </w:r>
      <w:r w:rsidR="000C46FF" w:rsidRPr="00156CB3">
        <w:rPr>
          <w:rFonts w:ascii="Arial" w:eastAsia="Times New Roman" w:hAnsi="Arial" w:cs="Arial"/>
          <w:bCs/>
          <w:kern w:val="36"/>
          <w:sz w:val="20"/>
          <w:szCs w:val="20"/>
          <w:lang w:eastAsia="en-ZA"/>
        </w:rPr>
        <w:t>g, Monitoring and Evaluation on</w:t>
      </w:r>
      <w:r w:rsidRPr="00156CB3">
        <w:rPr>
          <w:rFonts w:ascii="Arial" w:eastAsia="Times New Roman" w:hAnsi="Arial" w:cs="Arial"/>
          <w:bCs/>
          <w:kern w:val="36"/>
          <w:sz w:val="20"/>
          <w:szCs w:val="20"/>
          <w:lang w:eastAsia="en-ZA"/>
        </w:rPr>
        <w:t xml:space="preserve"> 11 October 2022, the Department of Water and Sanitation (hereinafter the Department) on the 11 October 2022 and its entities, namely: the Trans-Caledon Tunnel Authority (TCTA)  and the Water Research Commission (WRC) and the Catchment Management Agencies on 13 October 2022 for the 2021/22 financial year, reports as follows:</w:t>
      </w:r>
    </w:p>
    <w:p w:rsidR="005C1F00" w:rsidRPr="00156CB3" w:rsidRDefault="005C1F00" w:rsidP="00156CB3">
      <w:pPr>
        <w:spacing w:after="0" w:line="240" w:lineRule="auto"/>
        <w:rPr>
          <w:rFonts w:ascii="Arial" w:eastAsia="Times New Roman" w:hAnsi="Arial" w:cs="Arial"/>
          <w:bCs/>
          <w:kern w:val="36"/>
          <w:sz w:val="20"/>
          <w:szCs w:val="20"/>
          <w:lang w:eastAsia="en-ZA"/>
        </w:rPr>
      </w:pPr>
    </w:p>
    <w:p w:rsidR="00122BE6" w:rsidRPr="00156CB3" w:rsidRDefault="00C07194" w:rsidP="00156CB3">
      <w:pPr>
        <w:shd w:val="clear" w:color="auto" w:fill="D9D9D9" w:themeFill="background1" w:themeFillShade="D9"/>
        <w:spacing w:after="0" w:line="240" w:lineRule="auto"/>
        <w:outlineLvl w:val="0"/>
        <w:rPr>
          <w:rFonts w:ascii="Arial" w:eastAsia="Times New Roman" w:hAnsi="Arial" w:cs="Arial"/>
          <w:b/>
          <w:bCs/>
          <w:kern w:val="36"/>
          <w:sz w:val="20"/>
          <w:szCs w:val="20"/>
          <w:lang w:eastAsia="en-ZA"/>
        </w:rPr>
      </w:pPr>
      <w:r w:rsidRPr="00156CB3">
        <w:rPr>
          <w:rFonts w:ascii="Arial" w:eastAsia="Times New Roman" w:hAnsi="Arial" w:cs="Arial"/>
          <w:b/>
          <w:bCs/>
          <w:kern w:val="36"/>
          <w:sz w:val="20"/>
          <w:szCs w:val="20"/>
          <w:lang w:eastAsia="en-ZA"/>
        </w:rPr>
        <w:t>1</w:t>
      </w:r>
      <w:r w:rsidR="00122BE6" w:rsidRPr="00156CB3">
        <w:rPr>
          <w:rFonts w:ascii="Arial" w:eastAsia="Times New Roman" w:hAnsi="Arial" w:cs="Arial"/>
          <w:b/>
          <w:bCs/>
          <w:kern w:val="36"/>
          <w:sz w:val="20"/>
          <w:szCs w:val="20"/>
          <w:lang w:eastAsia="en-ZA"/>
        </w:rPr>
        <w:t>.</w:t>
      </w:r>
      <w:r w:rsidR="00122BE6" w:rsidRPr="00156CB3">
        <w:rPr>
          <w:rFonts w:ascii="Arial" w:eastAsia="Times New Roman" w:hAnsi="Arial" w:cs="Arial"/>
          <w:b/>
          <w:bCs/>
          <w:kern w:val="36"/>
          <w:sz w:val="20"/>
          <w:szCs w:val="20"/>
          <w:lang w:eastAsia="en-ZA"/>
        </w:rPr>
        <w:tab/>
        <w:t>INTRODUCTION</w:t>
      </w:r>
    </w:p>
    <w:p w:rsidR="00122BE6" w:rsidRPr="00156CB3" w:rsidRDefault="00122BE6" w:rsidP="00156CB3">
      <w:pPr>
        <w:spacing w:after="0" w:line="240" w:lineRule="auto"/>
        <w:outlineLvl w:val="0"/>
        <w:rPr>
          <w:rFonts w:ascii="Arial" w:eastAsia="Times New Roman" w:hAnsi="Arial" w:cs="Arial"/>
          <w:b/>
          <w:bCs/>
          <w:kern w:val="36"/>
          <w:sz w:val="20"/>
          <w:szCs w:val="20"/>
          <w:lang w:eastAsia="en-ZA"/>
        </w:rPr>
      </w:pPr>
    </w:p>
    <w:p w:rsidR="00122BE6" w:rsidRPr="00156CB3" w:rsidRDefault="00C07194" w:rsidP="00156CB3">
      <w:pPr>
        <w:spacing w:after="0" w:line="240" w:lineRule="auto"/>
        <w:outlineLvl w:val="0"/>
        <w:rPr>
          <w:rFonts w:ascii="Arial" w:eastAsia="Times New Roman" w:hAnsi="Arial" w:cs="Arial"/>
          <w:b/>
          <w:bCs/>
          <w:kern w:val="36"/>
          <w:sz w:val="20"/>
          <w:szCs w:val="20"/>
          <w:lang w:eastAsia="en-ZA"/>
        </w:rPr>
      </w:pPr>
      <w:r w:rsidRPr="00156CB3">
        <w:rPr>
          <w:rFonts w:ascii="Arial" w:eastAsia="Times New Roman" w:hAnsi="Arial" w:cs="Arial"/>
          <w:b/>
          <w:bCs/>
          <w:kern w:val="36"/>
          <w:sz w:val="20"/>
          <w:szCs w:val="20"/>
          <w:lang w:eastAsia="en-ZA"/>
        </w:rPr>
        <w:t>1</w:t>
      </w:r>
      <w:r w:rsidR="00122BE6" w:rsidRPr="00156CB3">
        <w:rPr>
          <w:rFonts w:ascii="Arial" w:eastAsia="Times New Roman" w:hAnsi="Arial" w:cs="Arial"/>
          <w:b/>
          <w:bCs/>
          <w:kern w:val="36"/>
          <w:sz w:val="20"/>
          <w:szCs w:val="20"/>
          <w:lang w:eastAsia="en-ZA"/>
        </w:rPr>
        <w:t>.1</w:t>
      </w:r>
      <w:r w:rsidR="00122BE6" w:rsidRPr="00156CB3">
        <w:rPr>
          <w:rFonts w:ascii="Arial" w:eastAsia="Times New Roman" w:hAnsi="Arial" w:cs="Arial"/>
          <w:b/>
          <w:bCs/>
          <w:kern w:val="36"/>
          <w:sz w:val="20"/>
          <w:szCs w:val="20"/>
          <w:lang w:eastAsia="en-ZA"/>
        </w:rPr>
        <w:tab/>
        <w:t>Mandate of the Portfolio</w:t>
      </w:r>
      <w:r w:rsidR="005039F0" w:rsidRPr="00156CB3">
        <w:rPr>
          <w:rFonts w:ascii="Arial" w:eastAsia="Times New Roman" w:hAnsi="Arial" w:cs="Arial"/>
          <w:b/>
          <w:bCs/>
          <w:kern w:val="36"/>
          <w:sz w:val="20"/>
          <w:szCs w:val="20"/>
          <w:lang w:eastAsia="en-ZA"/>
        </w:rPr>
        <w:t xml:space="preserve"> Committee on</w:t>
      </w:r>
      <w:r w:rsidR="00122BE6" w:rsidRPr="00156CB3">
        <w:rPr>
          <w:rFonts w:ascii="Arial" w:eastAsia="Times New Roman" w:hAnsi="Arial" w:cs="Arial"/>
          <w:b/>
          <w:bCs/>
          <w:kern w:val="36"/>
          <w:sz w:val="20"/>
          <w:szCs w:val="20"/>
          <w:lang w:eastAsia="en-ZA"/>
        </w:rPr>
        <w:t xml:space="preserve"> Water and Sanitation</w:t>
      </w:r>
    </w:p>
    <w:p w:rsidR="00122BE6" w:rsidRPr="00156CB3" w:rsidRDefault="00122BE6" w:rsidP="00156CB3">
      <w:pPr>
        <w:spacing w:after="0" w:line="240" w:lineRule="auto"/>
        <w:rPr>
          <w:rFonts w:ascii="Arial" w:hAnsi="Arial" w:cs="Arial"/>
          <w:sz w:val="20"/>
          <w:szCs w:val="20"/>
        </w:rPr>
      </w:pPr>
    </w:p>
    <w:p w:rsidR="00122BE6" w:rsidRPr="00156CB3" w:rsidRDefault="00122BE6" w:rsidP="00156CB3">
      <w:pPr>
        <w:spacing w:after="0" w:line="240" w:lineRule="auto"/>
        <w:rPr>
          <w:rFonts w:ascii="Arial" w:hAnsi="Arial" w:cs="Arial"/>
          <w:sz w:val="20"/>
          <w:szCs w:val="20"/>
        </w:rPr>
      </w:pPr>
      <w:r w:rsidRPr="00156CB3">
        <w:rPr>
          <w:rFonts w:ascii="Arial" w:hAnsi="Arial" w:cs="Arial"/>
          <w:sz w:val="20"/>
          <w:szCs w:val="20"/>
        </w:rPr>
        <w:t>The Constitution of the Republic of South Africa, 1996</w:t>
      </w:r>
      <w:r w:rsidR="00FA54FD" w:rsidRPr="00156CB3">
        <w:rPr>
          <w:rFonts w:ascii="Arial" w:hAnsi="Arial" w:cs="Arial"/>
          <w:sz w:val="20"/>
          <w:szCs w:val="20"/>
        </w:rPr>
        <w:t>,</w:t>
      </w:r>
      <w:r w:rsidRPr="00156CB3">
        <w:rPr>
          <w:rFonts w:ascii="Arial" w:hAnsi="Arial" w:cs="Arial"/>
          <w:sz w:val="20"/>
          <w:szCs w:val="20"/>
        </w:rPr>
        <w:t xml:space="preserve"> empowers the National Assembly, through its Portfolio Committees, to ensure that execut</w:t>
      </w:r>
      <w:r w:rsidR="00C54827" w:rsidRPr="00156CB3">
        <w:rPr>
          <w:rFonts w:ascii="Arial" w:hAnsi="Arial" w:cs="Arial"/>
          <w:sz w:val="20"/>
          <w:szCs w:val="20"/>
        </w:rPr>
        <w:t>ive organs of the state to</w:t>
      </w:r>
      <w:r w:rsidRPr="00156CB3">
        <w:rPr>
          <w:rFonts w:ascii="Arial" w:hAnsi="Arial" w:cs="Arial"/>
          <w:sz w:val="20"/>
          <w:szCs w:val="20"/>
        </w:rPr>
        <w:t xml:space="preserve"> </w:t>
      </w:r>
      <w:r w:rsidR="00C54827" w:rsidRPr="00156CB3">
        <w:rPr>
          <w:rFonts w:ascii="Arial" w:hAnsi="Arial" w:cs="Arial"/>
          <w:sz w:val="20"/>
          <w:szCs w:val="20"/>
        </w:rPr>
        <w:t xml:space="preserve">the </w:t>
      </w:r>
      <w:r w:rsidRPr="00156CB3">
        <w:rPr>
          <w:rFonts w:ascii="Arial" w:hAnsi="Arial" w:cs="Arial"/>
          <w:sz w:val="20"/>
          <w:szCs w:val="20"/>
        </w:rPr>
        <w:t>national sphere of government are accountable to it.  It further empowers the National Assembly to maintain oversight of the national executive within a particular sector, which is water and sanitation</w:t>
      </w:r>
      <w:r w:rsidR="00A24B74" w:rsidRPr="00156CB3">
        <w:rPr>
          <w:rFonts w:ascii="Arial" w:hAnsi="Arial" w:cs="Arial"/>
          <w:sz w:val="20"/>
          <w:szCs w:val="20"/>
        </w:rPr>
        <w:t xml:space="preserve">. </w:t>
      </w:r>
      <w:r w:rsidRPr="00156CB3">
        <w:rPr>
          <w:rFonts w:ascii="Arial" w:hAnsi="Arial" w:cs="Arial"/>
          <w:sz w:val="20"/>
          <w:szCs w:val="20"/>
        </w:rPr>
        <w:t xml:space="preserve">Parliament's mission governs the work of the Portfolio Committee and vision, the rules of Parliament and constitutional obligations as they refer to the protection of the environment, specifically water resources, through the entire water value chain. </w:t>
      </w:r>
    </w:p>
    <w:p w:rsidR="00122BE6" w:rsidRPr="00156CB3" w:rsidRDefault="00122BE6" w:rsidP="00156CB3">
      <w:pPr>
        <w:spacing w:after="0" w:line="240" w:lineRule="auto"/>
        <w:rPr>
          <w:rFonts w:ascii="Arial" w:hAnsi="Arial" w:cs="Arial"/>
          <w:sz w:val="20"/>
          <w:szCs w:val="20"/>
        </w:rPr>
      </w:pPr>
    </w:p>
    <w:p w:rsidR="00122BE6" w:rsidRPr="00156CB3" w:rsidRDefault="00122BE6" w:rsidP="00156CB3">
      <w:pPr>
        <w:spacing w:after="0" w:line="240" w:lineRule="auto"/>
        <w:rPr>
          <w:rFonts w:ascii="Arial" w:hAnsi="Arial" w:cs="Arial"/>
          <w:sz w:val="20"/>
          <w:szCs w:val="20"/>
        </w:rPr>
      </w:pPr>
      <w:r w:rsidRPr="00156CB3">
        <w:rPr>
          <w:rFonts w:ascii="Arial" w:hAnsi="Arial" w:cs="Arial"/>
          <w:sz w:val="20"/>
          <w:szCs w:val="20"/>
        </w:rPr>
        <w:t xml:space="preserve">The Portfolio Committee's mandate is premised on the five constitutional mandates of Parliament: processing legislation, conducting oversight, ensuring public participation, processing international agreements and facilitating cooperative governance within the Intergovernmental Relations Framework. </w:t>
      </w:r>
    </w:p>
    <w:p w:rsidR="00122BE6" w:rsidRPr="00156CB3" w:rsidRDefault="00122BE6" w:rsidP="00156CB3">
      <w:pPr>
        <w:spacing w:after="0" w:line="240" w:lineRule="auto"/>
        <w:outlineLvl w:val="0"/>
        <w:rPr>
          <w:rFonts w:ascii="Arial" w:eastAsia="Times New Roman" w:hAnsi="Arial" w:cs="Arial"/>
          <w:bCs/>
          <w:kern w:val="36"/>
          <w:sz w:val="20"/>
          <w:szCs w:val="20"/>
          <w:lang w:eastAsia="en-ZA"/>
        </w:rPr>
      </w:pPr>
    </w:p>
    <w:p w:rsidR="00AE613E" w:rsidRPr="00156CB3" w:rsidRDefault="00AE613E" w:rsidP="00156CB3">
      <w:pPr>
        <w:spacing w:after="0" w:line="240" w:lineRule="auto"/>
        <w:outlineLvl w:val="0"/>
        <w:rPr>
          <w:rFonts w:ascii="Arial" w:eastAsia="Times New Roman" w:hAnsi="Arial" w:cs="Arial"/>
          <w:bCs/>
          <w:kern w:val="36"/>
          <w:sz w:val="20"/>
          <w:szCs w:val="20"/>
          <w:lang w:eastAsia="en-ZA"/>
        </w:rPr>
      </w:pPr>
    </w:p>
    <w:p w:rsidR="00AE613E" w:rsidRPr="00156CB3" w:rsidRDefault="00AE613E" w:rsidP="00156CB3">
      <w:pPr>
        <w:spacing w:after="0" w:line="240" w:lineRule="auto"/>
        <w:outlineLvl w:val="0"/>
        <w:rPr>
          <w:rFonts w:ascii="Arial" w:eastAsia="Times New Roman" w:hAnsi="Arial" w:cs="Arial"/>
          <w:bCs/>
          <w:kern w:val="36"/>
          <w:sz w:val="20"/>
          <w:szCs w:val="20"/>
          <w:lang w:eastAsia="en-ZA"/>
        </w:rPr>
      </w:pPr>
    </w:p>
    <w:p w:rsidR="00AE613E" w:rsidRPr="00156CB3" w:rsidRDefault="00AE613E" w:rsidP="00156CB3">
      <w:pPr>
        <w:spacing w:after="0" w:line="240" w:lineRule="auto"/>
        <w:outlineLvl w:val="0"/>
        <w:rPr>
          <w:rFonts w:ascii="Arial" w:eastAsia="Times New Roman" w:hAnsi="Arial" w:cs="Arial"/>
          <w:bCs/>
          <w:kern w:val="36"/>
          <w:sz w:val="20"/>
          <w:szCs w:val="20"/>
          <w:lang w:eastAsia="en-ZA"/>
        </w:rPr>
      </w:pPr>
    </w:p>
    <w:p w:rsidR="00122BE6" w:rsidRPr="00156CB3" w:rsidRDefault="00122BE6" w:rsidP="00156CB3">
      <w:pPr>
        <w:spacing w:after="0" w:line="240" w:lineRule="auto"/>
        <w:outlineLvl w:val="0"/>
        <w:rPr>
          <w:rFonts w:ascii="Arial" w:eastAsia="Times New Roman" w:hAnsi="Arial" w:cs="Arial"/>
          <w:b/>
          <w:bCs/>
          <w:kern w:val="36"/>
          <w:sz w:val="20"/>
          <w:szCs w:val="20"/>
          <w:lang w:eastAsia="en-ZA"/>
        </w:rPr>
      </w:pPr>
      <w:r w:rsidRPr="00156CB3">
        <w:rPr>
          <w:rFonts w:ascii="Arial" w:eastAsia="Times New Roman" w:hAnsi="Arial" w:cs="Arial"/>
          <w:b/>
          <w:bCs/>
          <w:kern w:val="36"/>
          <w:sz w:val="20"/>
          <w:szCs w:val="20"/>
          <w:lang w:eastAsia="en-ZA"/>
        </w:rPr>
        <w:t>1.2</w:t>
      </w:r>
      <w:r w:rsidRPr="00156CB3">
        <w:rPr>
          <w:rFonts w:ascii="Arial" w:eastAsia="Times New Roman" w:hAnsi="Arial" w:cs="Arial"/>
          <w:b/>
          <w:bCs/>
          <w:kern w:val="36"/>
          <w:sz w:val="20"/>
          <w:szCs w:val="20"/>
          <w:lang w:eastAsia="en-ZA"/>
        </w:rPr>
        <w:tab/>
        <w:t>Purpose of the Budgetary Review and Recommendation Report</w:t>
      </w:r>
    </w:p>
    <w:p w:rsidR="00122BE6" w:rsidRPr="00156CB3" w:rsidRDefault="00122BE6" w:rsidP="00156CB3">
      <w:pPr>
        <w:spacing w:after="0" w:line="240" w:lineRule="auto"/>
        <w:rPr>
          <w:rFonts w:ascii="Arial" w:eastAsia="Times New Roman" w:hAnsi="Arial" w:cs="Arial"/>
          <w:sz w:val="20"/>
          <w:szCs w:val="20"/>
          <w:lang w:eastAsia="en-ZA"/>
        </w:rPr>
      </w:pPr>
    </w:p>
    <w:p w:rsidR="00122BE6" w:rsidRPr="00156CB3" w:rsidRDefault="00122BE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Money Bills Amendment Procedure and Related Matters Act (No. 9 of 2009) (the Money Bills Act) sets out the process that allows Parliament</w:t>
      </w:r>
      <w:r w:rsidR="00A24B74"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thr</w:t>
      </w:r>
      <w:r w:rsidR="00F118B3" w:rsidRPr="00156CB3">
        <w:rPr>
          <w:rFonts w:ascii="Arial" w:eastAsia="Times New Roman" w:hAnsi="Arial" w:cs="Arial"/>
          <w:sz w:val="20"/>
          <w:szCs w:val="20"/>
          <w:lang w:eastAsia="en-ZA"/>
        </w:rPr>
        <w:t>ough</w:t>
      </w:r>
      <w:r w:rsidRPr="00156CB3">
        <w:rPr>
          <w:rFonts w:ascii="Arial" w:eastAsia="Times New Roman" w:hAnsi="Arial" w:cs="Arial"/>
          <w:sz w:val="20"/>
          <w:szCs w:val="20"/>
          <w:lang w:eastAsia="en-ZA"/>
        </w:rPr>
        <w:t xml:space="preserve"> its committees</w:t>
      </w:r>
      <w:r w:rsidR="00A24B74"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to make recommendations to the Minister of Finance to amend the budget</w:t>
      </w:r>
      <w:r w:rsidR="00F118B3" w:rsidRPr="00156CB3">
        <w:rPr>
          <w:rFonts w:ascii="Arial" w:eastAsia="Times New Roman" w:hAnsi="Arial" w:cs="Arial"/>
          <w:sz w:val="20"/>
          <w:szCs w:val="20"/>
          <w:lang w:eastAsia="en-ZA"/>
        </w:rPr>
        <w:t xml:space="preserve"> of</w:t>
      </w:r>
      <w:r w:rsidRPr="00156CB3">
        <w:rPr>
          <w:rFonts w:ascii="Arial" w:eastAsia="Times New Roman" w:hAnsi="Arial" w:cs="Arial"/>
          <w:sz w:val="20"/>
          <w:szCs w:val="20"/>
          <w:lang w:eastAsia="en-ZA"/>
        </w:rPr>
        <w:t xml:space="preserve"> a national Department. In October of each year, portfolio committees must compile the Budgetary Review and Recommendation Reports (BRRRs) that assess service delivery performance given the available resources, evaluate the effective and efficient use and forward allocation of resources, and make recommendations on </w:t>
      </w:r>
      <w:r w:rsidR="00EC2BC9"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 xml:space="preserve">forward use of resources.  </w:t>
      </w:r>
    </w:p>
    <w:p w:rsidR="00957C90" w:rsidRPr="00156CB3" w:rsidRDefault="00957C90" w:rsidP="00156CB3">
      <w:pPr>
        <w:spacing w:after="0" w:line="240" w:lineRule="auto"/>
        <w:rPr>
          <w:rFonts w:ascii="Arial" w:eastAsia="Times New Roman" w:hAnsi="Arial" w:cs="Arial"/>
          <w:sz w:val="20"/>
          <w:szCs w:val="20"/>
          <w:lang w:eastAsia="en-ZA"/>
        </w:rPr>
      </w:pPr>
    </w:p>
    <w:p w:rsidR="005E6660" w:rsidRPr="00156CB3" w:rsidRDefault="00B62F9B" w:rsidP="00156CB3">
      <w:pPr>
        <w:shd w:val="clear" w:color="auto" w:fill="D9D9D9" w:themeFill="background1" w:themeFillShade="D9"/>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2.</w:t>
      </w:r>
      <w:r w:rsidR="005E6660" w:rsidRPr="00156CB3">
        <w:rPr>
          <w:rFonts w:ascii="Arial" w:eastAsia="Times New Roman" w:hAnsi="Arial" w:cs="Arial"/>
          <w:b/>
          <w:sz w:val="20"/>
          <w:szCs w:val="20"/>
          <w:lang w:eastAsia="en-ZA"/>
        </w:rPr>
        <w:tab/>
        <w:t>Mandate, Legislation and National Imperatives</w:t>
      </w:r>
      <w:r w:rsidR="00885C34" w:rsidRPr="00156CB3">
        <w:rPr>
          <w:rFonts w:ascii="Arial" w:eastAsia="Times New Roman" w:hAnsi="Arial" w:cs="Arial"/>
          <w:b/>
          <w:sz w:val="20"/>
          <w:szCs w:val="20"/>
          <w:lang w:eastAsia="en-ZA"/>
        </w:rPr>
        <w:t xml:space="preserve"> underpinning the work of the </w:t>
      </w:r>
      <w:r w:rsidR="00885C34" w:rsidRPr="00156CB3">
        <w:rPr>
          <w:rFonts w:ascii="Arial" w:eastAsia="Times New Roman" w:hAnsi="Arial" w:cs="Arial"/>
          <w:b/>
          <w:sz w:val="20"/>
          <w:szCs w:val="20"/>
          <w:lang w:eastAsia="en-ZA"/>
        </w:rPr>
        <w:tab/>
        <w:t xml:space="preserve">Department </w:t>
      </w:r>
    </w:p>
    <w:p w:rsidR="005E6660" w:rsidRPr="00156CB3" w:rsidRDefault="005E6660" w:rsidP="00156CB3">
      <w:pPr>
        <w:spacing w:after="0" w:line="240" w:lineRule="auto"/>
        <w:rPr>
          <w:rFonts w:ascii="Arial" w:eastAsia="Times New Roman" w:hAnsi="Arial" w:cs="Arial"/>
          <w:sz w:val="20"/>
          <w:szCs w:val="20"/>
          <w:lang w:eastAsia="en-ZA"/>
        </w:rPr>
      </w:pPr>
    </w:p>
    <w:p w:rsidR="005E6660" w:rsidRPr="00156CB3" w:rsidRDefault="005E666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For the 2021/22 financial year, the Department of Water and Sanitation undertook many activ</w:t>
      </w:r>
      <w:r w:rsidR="00A24B74" w:rsidRPr="00156CB3">
        <w:rPr>
          <w:rFonts w:ascii="Arial" w:eastAsia="Times New Roman" w:hAnsi="Arial" w:cs="Arial"/>
          <w:sz w:val="20"/>
          <w:szCs w:val="20"/>
          <w:lang w:eastAsia="en-ZA"/>
        </w:rPr>
        <w:t>ities to deliver on its mandate</w:t>
      </w:r>
      <w:r w:rsidRPr="00156CB3">
        <w:rPr>
          <w:rFonts w:ascii="Arial" w:eastAsia="Times New Roman" w:hAnsi="Arial" w:cs="Arial"/>
          <w:sz w:val="20"/>
          <w:szCs w:val="20"/>
          <w:lang w:eastAsia="en-ZA"/>
        </w:rPr>
        <w:t xml:space="preserve"> and legislative obligations of ensuring water security for basic needs and economic development and ensuring delivery of water and sanitation services for all South Africans.  Legislative compliance guiding the work of the Department include</w:t>
      </w:r>
      <w:r w:rsidR="00F118B3" w:rsidRPr="00156CB3">
        <w:rPr>
          <w:rFonts w:ascii="Arial" w:eastAsia="Times New Roman" w:hAnsi="Arial" w:cs="Arial"/>
          <w:sz w:val="20"/>
          <w:szCs w:val="20"/>
          <w:lang w:eastAsia="en-ZA"/>
        </w:rPr>
        <w:t>s</w:t>
      </w:r>
      <w:r w:rsidRPr="00156CB3">
        <w:rPr>
          <w:rFonts w:ascii="Arial" w:eastAsia="Times New Roman" w:hAnsi="Arial" w:cs="Arial"/>
          <w:sz w:val="20"/>
          <w:szCs w:val="20"/>
          <w:lang w:eastAsia="en-ZA"/>
        </w:rPr>
        <w:t xml:space="preserve"> the National Water Act, Water Services Act, Water Research Commission</w:t>
      </w:r>
      <w:r w:rsidR="00F118B3"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and the Constitution enshrined in the Bill of Rights, sections 10, 24 (a), 27(1)(b) and section 27(2)</w:t>
      </w:r>
      <w:r w:rsidRPr="00156CB3">
        <w:rPr>
          <w:rStyle w:val="FootnoteReference"/>
          <w:rFonts w:ascii="Arial" w:eastAsia="Times New Roman" w:hAnsi="Arial" w:cs="Arial"/>
          <w:sz w:val="20"/>
          <w:szCs w:val="20"/>
          <w:lang w:eastAsia="en-ZA"/>
        </w:rPr>
        <w:footnoteReference w:id="1"/>
      </w:r>
      <w:r w:rsidRPr="00156CB3">
        <w:rPr>
          <w:rFonts w:ascii="Arial" w:eastAsia="Times New Roman" w:hAnsi="Arial" w:cs="Arial"/>
          <w:sz w:val="20"/>
          <w:szCs w:val="20"/>
          <w:lang w:eastAsia="en-ZA"/>
        </w:rPr>
        <w:t>.</w:t>
      </w:r>
      <w:r w:rsidR="00F118B3" w:rsidRPr="00156CB3">
        <w:rPr>
          <w:rFonts w:ascii="Arial" w:hAnsi="Arial" w:cs="Arial"/>
          <w:sz w:val="20"/>
          <w:szCs w:val="20"/>
        </w:rPr>
        <w:t xml:space="preserve"> </w:t>
      </w:r>
      <w:r w:rsidR="00F118B3" w:rsidRPr="00156CB3">
        <w:rPr>
          <w:rFonts w:ascii="Arial" w:eastAsia="Times New Roman" w:hAnsi="Arial" w:cs="Arial"/>
          <w:sz w:val="20"/>
          <w:szCs w:val="20"/>
          <w:lang w:eastAsia="en-ZA"/>
        </w:rPr>
        <w:t>The Public Finance Management Act and National Treasury Regulations define compliance and adherence to financial prescripts</w:t>
      </w:r>
      <w:r w:rsidR="00CA3D71" w:rsidRPr="00156CB3">
        <w:rPr>
          <w:rFonts w:ascii="Arial" w:eastAsia="Times New Roman" w:hAnsi="Arial" w:cs="Arial"/>
          <w:sz w:val="20"/>
          <w:szCs w:val="20"/>
          <w:lang w:eastAsia="en-ZA"/>
        </w:rPr>
        <w:t>.</w:t>
      </w:r>
    </w:p>
    <w:p w:rsidR="005E6660" w:rsidRPr="00156CB3" w:rsidRDefault="005E6660" w:rsidP="00156CB3">
      <w:pPr>
        <w:spacing w:after="0" w:line="240" w:lineRule="auto"/>
        <w:rPr>
          <w:rFonts w:ascii="Arial" w:eastAsia="Times New Roman" w:hAnsi="Arial" w:cs="Arial"/>
          <w:sz w:val="20"/>
          <w:szCs w:val="20"/>
          <w:lang w:eastAsia="en-ZA"/>
        </w:rPr>
      </w:pPr>
    </w:p>
    <w:p w:rsidR="005E6660" w:rsidRPr="00156CB3" w:rsidRDefault="005E666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w:t>
      </w:r>
      <w:r w:rsidR="00F118B3" w:rsidRPr="00156CB3">
        <w:rPr>
          <w:rFonts w:ascii="Arial" w:hAnsi="Arial" w:cs="Arial"/>
          <w:sz w:val="20"/>
          <w:szCs w:val="20"/>
        </w:rPr>
        <w:t xml:space="preserve"> </w:t>
      </w:r>
      <w:r w:rsidR="00F118B3" w:rsidRPr="00156CB3">
        <w:rPr>
          <w:rFonts w:ascii="Arial" w:eastAsia="Times New Roman" w:hAnsi="Arial" w:cs="Arial"/>
          <w:sz w:val="20"/>
          <w:szCs w:val="20"/>
          <w:lang w:eastAsia="en-ZA"/>
        </w:rPr>
        <w:t>country's National Development Plan and the Medium-Term Strategic Framework determine the Department's activities</w:t>
      </w:r>
      <w:r w:rsidRPr="00156CB3">
        <w:rPr>
          <w:rFonts w:ascii="Arial" w:eastAsia="Times New Roman" w:hAnsi="Arial" w:cs="Arial"/>
          <w:sz w:val="20"/>
          <w:szCs w:val="20"/>
          <w:lang w:eastAsia="en-ZA"/>
        </w:rPr>
        <w:t>. The National Water and Sanitation Master Plan, launched in November 2019, forms the bedrock of the water and sanitation developmental agenda in line with the African Union's Vision 2063 and the United Nations Sustainable Development Go</w:t>
      </w:r>
      <w:r w:rsidR="00F118B3" w:rsidRPr="00156CB3">
        <w:rPr>
          <w:rFonts w:ascii="Arial" w:eastAsia="Times New Roman" w:hAnsi="Arial" w:cs="Arial"/>
          <w:sz w:val="20"/>
          <w:szCs w:val="20"/>
          <w:lang w:eastAsia="en-ZA"/>
        </w:rPr>
        <w:t>als, Goal Number 6, impacting</w:t>
      </w:r>
      <w:r w:rsidRPr="00156CB3">
        <w:rPr>
          <w:rFonts w:ascii="Arial" w:eastAsia="Times New Roman" w:hAnsi="Arial" w:cs="Arial"/>
          <w:sz w:val="20"/>
          <w:szCs w:val="20"/>
          <w:lang w:eastAsia="en-ZA"/>
        </w:rPr>
        <w:t xml:space="preserve"> the delivery of water and sanitation.</w:t>
      </w:r>
    </w:p>
    <w:p w:rsidR="00122BE6" w:rsidRPr="00156CB3" w:rsidRDefault="00122BE6" w:rsidP="00156CB3">
      <w:pPr>
        <w:spacing w:after="0" w:line="240" w:lineRule="auto"/>
        <w:rPr>
          <w:rFonts w:ascii="Arial" w:eastAsia="Times New Roman" w:hAnsi="Arial" w:cs="Arial"/>
          <w:sz w:val="20"/>
          <w:szCs w:val="20"/>
          <w:lang w:eastAsia="en-ZA"/>
        </w:rPr>
      </w:pPr>
    </w:p>
    <w:p w:rsidR="00AE613E" w:rsidRPr="00156CB3" w:rsidRDefault="00AE613E" w:rsidP="00156CB3">
      <w:pPr>
        <w:spacing w:after="0" w:line="240" w:lineRule="auto"/>
        <w:rPr>
          <w:rFonts w:ascii="Arial" w:eastAsia="Times New Roman" w:hAnsi="Arial" w:cs="Arial"/>
          <w:sz w:val="20"/>
          <w:szCs w:val="20"/>
          <w:lang w:eastAsia="en-ZA"/>
        </w:rPr>
      </w:pPr>
    </w:p>
    <w:p w:rsidR="00AE613E" w:rsidRPr="00156CB3" w:rsidRDefault="00AE613E" w:rsidP="00156CB3">
      <w:pPr>
        <w:spacing w:after="0" w:line="240" w:lineRule="auto"/>
        <w:rPr>
          <w:rFonts w:ascii="Arial" w:eastAsia="Times New Roman" w:hAnsi="Arial" w:cs="Arial"/>
          <w:sz w:val="20"/>
          <w:szCs w:val="20"/>
          <w:lang w:eastAsia="en-ZA"/>
        </w:rPr>
      </w:pPr>
    </w:p>
    <w:p w:rsidR="00122BE6" w:rsidRPr="00156CB3" w:rsidRDefault="00122BE6"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2.</w:t>
      </w:r>
      <w:r w:rsidR="00B62F9B" w:rsidRPr="00156CB3">
        <w:rPr>
          <w:rFonts w:ascii="Arial" w:eastAsia="Times New Roman" w:hAnsi="Arial" w:cs="Arial"/>
          <w:b/>
          <w:sz w:val="20"/>
          <w:szCs w:val="20"/>
          <w:lang w:eastAsia="en-ZA"/>
        </w:rPr>
        <w:t>1</w:t>
      </w:r>
      <w:r w:rsidR="00B62F9B" w:rsidRPr="00156CB3">
        <w:rPr>
          <w:rFonts w:ascii="Arial" w:eastAsia="Times New Roman" w:hAnsi="Arial" w:cs="Arial"/>
          <w:b/>
          <w:sz w:val="20"/>
          <w:szCs w:val="20"/>
          <w:lang w:eastAsia="en-ZA"/>
        </w:rPr>
        <w:tab/>
      </w:r>
      <w:r w:rsidR="00957C90" w:rsidRPr="00156CB3">
        <w:rPr>
          <w:rFonts w:ascii="Arial" w:eastAsia="Times New Roman" w:hAnsi="Arial" w:cs="Arial"/>
          <w:b/>
          <w:sz w:val="20"/>
          <w:szCs w:val="20"/>
          <w:lang w:eastAsia="en-ZA"/>
        </w:rPr>
        <w:t xml:space="preserve">Overview of the work of the Department of Water and Sanitation in the 2021/22 </w:t>
      </w:r>
      <w:r w:rsidR="00AE613E" w:rsidRPr="00156CB3">
        <w:rPr>
          <w:rFonts w:ascii="Arial" w:eastAsia="Times New Roman" w:hAnsi="Arial" w:cs="Arial"/>
          <w:b/>
          <w:sz w:val="20"/>
          <w:szCs w:val="20"/>
          <w:lang w:eastAsia="en-ZA"/>
        </w:rPr>
        <w:tab/>
        <w:t xml:space="preserve">Financial </w:t>
      </w:r>
      <w:r w:rsidR="00957C90" w:rsidRPr="00156CB3">
        <w:rPr>
          <w:rFonts w:ascii="Arial" w:eastAsia="Times New Roman" w:hAnsi="Arial" w:cs="Arial"/>
          <w:b/>
          <w:sz w:val="20"/>
          <w:szCs w:val="20"/>
          <w:lang w:eastAsia="en-ZA"/>
        </w:rPr>
        <w:t>Year</w:t>
      </w:r>
    </w:p>
    <w:p w:rsidR="00885C34" w:rsidRPr="00156CB3" w:rsidRDefault="00885C34" w:rsidP="00156CB3">
      <w:pPr>
        <w:spacing w:after="0" w:line="240" w:lineRule="auto"/>
        <w:rPr>
          <w:rFonts w:ascii="Arial" w:eastAsia="Times New Roman" w:hAnsi="Arial" w:cs="Arial"/>
          <w:sz w:val="20"/>
          <w:szCs w:val="20"/>
          <w:lang w:eastAsia="en-ZA"/>
        </w:rPr>
      </w:pPr>
    </w:p>
    <w:p w:rsidR="007154FE" w:rsidRPr="00156CB3" w:rsidRDefault="00885C34" w:rsidP="00156CB3">
      <w:pPr>
        <w:spacing w:after="0" w:line="240" w:lineRule="auto"/>
        <w:rPr>
          <w:rFonts w:ascii="Arial" w:hAnsi="Arial" w:cs="Arial"/>
          <w:sz w:val="20"/>
          <w:szCs w:val="20"/>
        </w:rPr>
      </w:pPr>
      <w:r w:rsidRPr="00156CB3">
        <w:rPr>
          <w:rFonts w:ascii="Arial" w:eastAsia="Times New Roman" w:hAnsi="Arial" w:cs="Arial"/>
          <w:sz w:val="20"/>
          <w:szCs w:val="20"/>
          <w:lang w:eastAsia="en-ZA"/>
        </w:rPr>
        <w:t xml:space="preserve">The Foreword by the Minister, Statements by the Deputy-Ministers and Report of the Accounting Officer captured in the Annual Report 21/22 Year – Vote 41: Department of Water and Sanitation </w:t>
      </w:r>
      <w:r w:rsidR="007154FE" w:rsidRPr="00156CB3">
        <w:rPr>
          <w:rFonts w:ascii="Arial" w:eastAsia="Times New Roman" w:hAnsi="Arial" w:cs="Arial"/>
          <w:sz w:val="20"/>
          <w:szCs w:val="20"/>
          <w:lang w:eastAsia="en-ZA"/>
        </w:rPr>
        <w:t xml:space="preserve">captures the </w:t>
      </w:r>
      <w:r w:rsidR="007154FE" w:rsidRPr="00156CB3">
        <w:rPr>
          <w:rFonts w:ascii="Arial" w:hAnsi="Arial" w:cs="Arial"/>
          <w:sz w:val="20"/>
          <w:szCs w:val="20"/>
        </w:rPr>
        <w:t xml:space="preserve">centrality of water resources management and water services provision in South Africa within a complex and challenging </w:t>
      </w:r>
      <w:r w:rsidR="00725A0F" w:rsidRPr="00156CB3">
        <w:rPr>
          <w:rFonts w:ascii="Arial" w:hAnsi="Arial" w:cs="Arial"/>
          <w:sz w:val="20"/>
          <w:szCs w:val="20"/>
        </w:rPr>
        <w:t xml:space="preserve">water scarce </w:t>
      </w:r>
      <w:r w:rsidR="007154FE" w:rsidRPr="00156CB3">
        <w:rPr>
          <w:rFonts w:ascii="Arial" w:hAnsi="Arial" w:cs="Arial"/>
          <w:sz w:val="20"/>
          <w:szCs w:val="20"/>
        </w:rPr>
        <w:t xml:space="preserve">semi-arid country.  Low rainfall, </w:t>
      </w:r>
      <w:r w:rsidR="00725A0F" w:rsidRPr="00156CB3">
        <w:rPr>
          <w:rFonts w:ascii="Arial" w:hAnsi="Arial" w:cs="Arial"/>
          <w:sz w:val="20"/>
          <w:szCs w:val="20"/>
        </w:rPr>
        <w:t xml:space="preserve">low </w:t>
      </w:r>
      <w:r w:rsidR="007154FE" w:rsidRPr="00156CB3">
        <w:rPr>
          <w:rFonts w:ascii="Arial" w:hAnsi="Arial" w:cs="Arial"/>
          <w:sz w:val="20"/>
          <w:szCs w:val="20"/>
        </w:rPr>
        <w:t xml:space="preserve">dam levels, limited underground aquifers, water scarcity and significant water transfers from neighbouring countries have resulted in the Department of Water and Sanitation (the Department) working to resolve tough trade-offs of demand and supply between agriculture, key industrial activities such as mining and power generation, increased population, and impacts of climatic variations such as drought and climate change. </w:t>
      </w:r>
    </w:p>
    <w:p w:rsidR="007154FE" w:rsidRPr="00156CB3" w:rsidRDefault="007154FE" w:rsidP="00156CB3">
      <w:pPr>
        <w:spacing w:after="0" w:line="240" w:lineRule="auto"/>
        <w:rPr>
          <w:rFonts w:ascii="Arial" w:hAnsi="Arial" w:cs="Arial"/>
          <w:sz w:val="20"/>
          <w:szCs w:val="20"/>
        </w:rPr>
      </w:pPr>
    </w:p>
    <w:p w:rsidR="004A1B59" w:rsidRPr="00156CB3" w:rsidRDefault="007154FE" w:rsidP="00156CB3">
      <w:pPr>
        <w:spacing w:after="0" w:line="240" w:lineRule="auto"/>
        <w:rPr>
          <w:rFonts w:ascii="Arial" w:hAnsi="Arial" w:cs="Arial"/>
          <w:sz w:val="20"/>
          <w:szCs w:val="20"/>
        </w:rPr>
      </w:pPr>
      <w:r w:rsidRPr="00156CB3">
        <w:rPr>
          <w:rFonts w:ascii="Arial" w:hAnsi="Arial" w:cs="Arial"/>
          <w:sz w:val="20"/>
          <w:szCs w:val="20"/>
        </w:rPr>
        <w:t xml:space="preserve">An important consideration for the Department in the year under review centred on </w:t>
      </w:r>
      <w:r w:rsidR="00725A0F" w:rsidRPr="00156CB3">
        <w:rPr>
          <w:rFonts w:ascii="Arial" w:hAnsi="Arial" w:cs="Arial"/>
          <w:sz w:val="20"/>
          <w:szCs w:val="20"/>
        </w:rPr>
        <w:t>the provision, management, operations and maintenance of bulk water and sanitation infrastructure</w:t>
      </w:r>
      <w:r w:rsidR="005039F0" w:rsidRPr="00156CB3">
        <w:rPr>
          <w:rFonts w:ascii="Arial" w:hAnsi="Arial" w:cs="Arial"/>
          <w:sz w:val="20"/>
          <w:szCs w:val="20"/>
        </w:rPr>
        <w:t xml:space="preserve"> and water </w:t>
      </w:r>
      <w:r w:rsidR="00A24B74" w:rsidRPr="00156CB3">
        <w:rPr>
          <w:rFonts w:ascii="Arial" w:hAnsi="Arial" w:cs="Arial"/>
          <w:sz w:val="20"/>
          <w:szCs w:val="20"/>
        </w:rPr>
        <w:t xml:space="preserve">service </w:t>
      </w:r>
      <w:r w:rsidR="005039F0" w:rsidRPr="00156CB3">
        <w:rPr>
          <w:rFonts w:ascii="Arial" w:hAnsi="Arial" w:cs="Arial"/>
          <w:sz w:val="20"/>
          <w:szCs w:val="20"/>
        </w:rPr>
        <w:t>provision</w:t>
      </w:r>
      <w:r w:rsidR="00725A0F" w:rsidRPr="00156CB3">
        <w:rPr>
          <w:rFonts w:ascii="Arial" w:hAnsi="Arial" w:cs="Arial"/>
          <w:sz w:val="20"/>
          <w:szCs w:val="20"/>
        </w:rPr>
        <w:t xml:space="preserve"> within concurrent competencies between national and local government institutions.  </w:t>
      </w:r>
      <w:r w:rsidR="00CA3D71" w:rsidRPr="00156CB3">
        <w:rPr>
          <w:rFonts w:ascii="Arial" w:hAnsi="Arial" w:cs="Arial"/>
          <w:sz w:val="20"/>
          <w:szCs w:val="20"/>
        </w:rPr>
        <w:t>The roles and responsibilities of institutions at different spheres of government within the entire water value chain raise some complexities in the water sector in that the reporting structure is challenging and requires more cooperation between different spheres.</w:t>
      </w:r>
    </w:p>
    <w:p w:rsidR="00685304" w:rsidRPr="00156CB3" w:rsidRDefault="00685304" w:rsidP="00156CB3">
      <w:pPr>
        <w:spacing w:after="0" w:line="240" w:lineRule="auto"/>
        <w:rPr>
          <w:rFonts w:ascii="Arial" w:eastAsia="Times New Roman" w:hAnsi="Arial" w:cs="Arial"/>
          <w:sz w:val="20"/>
          <w:szCs w:val="20"/>
          <w:lang w:eastAsia="en-ZA"/>
        </w:rPr>
      </w:pPr>
    </w:p>
    <w:p w:rsidR="007154FE" w:rsidRPr="00156CB3" w:rsidRDefault="007154FE" w:rsidP="00156CB3">
      <w:pPr>
        <w:spacing w:after="0" w:line="240" w:lineRule="auto"/>
        <w:rPr>
          <w:rFonts w:ascii="Arial" w:hAnsi="Arial" w:cs="Arial"/>
          <w:sz w:val="20"/>
          <w:szCs w:val="20"/>
        </w:rPr>
      </w:pPr>
      <w:r w:rsidRPr="00156CB3">
        <w:rPr>
          <w:rFonts w:ascii="Arial" w:hAnsi="Arial" w:cs="Arial"/>
          <w:sz w:val="20"/>
          <w:szCs w:val="20"/>
        </w:rPr>
        <w:t>Managing challenges and finding a blend of solutions requires strong institutional structures, with systematic programmes and plans that have both the financial and non-financial capabilities to evaluate achievements and non-achievements across the water value chain. Institutional structures to support the work of the Department in attaining its mandate and legislative obligations include the Trans-Caledon Tunnel Authority, the Water Research Commission, Water Boards and Catchment Management Agencies.  The Department delineated three programmes, Administration, Water Resources Management</w:t>
      </w:r>
      <w:r w:rsidR="00A24B74" w:rsidRPr="00156CB3">
        <w:rPr>
          <w:rFonts w:ascii="Arial" w:hAnsi="Arial" w:cs="Arial"/>
          <w:sz w:val="20"/>
          <w:szCs w:val="20"/>
        </w:rPr>
        <w:t>,</w:t>
      </w:r>
      <w:r w:rsidRPr="00156CB3">
        <w:rPr>
          <w:rFonts w:ascii="Arial" w:hAnsi="Arial" w:cs="Arial"/>
          <w:sz w:val="20"/>
          <w:szCs w:val="20"/>
        </w:rPr>
        <w:t xml:space="preserve"> and Water Services Management</w:t>
      </w:r>
      <w:r w:rsidR="00A24B74" w:rsidRPr="00156CB3">
        <w:rPr>
          <w:rFonts w:ascii="Arial" w:hAnsi="Arial" w:cs="Arial"/>
          <w:sz w:val="20"/>
          <w:szCs w:val="20"/>
        </w:rPr>
        <w:t>,</w:t>
      </w:r>
      <w:r w:rsidRPr="00156CB3">
        <w:rPr>
          <w:rFonts w:ascii="Arial" w:hAnsi="Arial" w:cs="Arial"/>
          <w:sz w:val="20"/>
          <w:szCs w:val="20"/>
        </w:rPr>
        <w:t xml:space="preserve"> </w:t>
      </w:r>
      <w:r w:rsidR="000476A7" w:rsidRPr="00156CB3">
        <w:rPr>
          <w:rFonts w:ascii="Arial" w:hAnsi="Arial" w:cs="Arial"/>
          <w:sz w:val="20"/>
          <w:szCs w:val="20"/>
        </w:rPr>
        <w:t xml:space="preserve">to </w:t>
      </w:r>
      <w:r w:rsidRPr="00156CB3">
        <w:rPr>
          <w:rFonts w:ascii="Arial" w:hAnsi="Arial" w:cs="Arial"/>
          <w:sz w:val="20"/>
          <w:szCs w:val="20"/>
        </w:rPr>
        <w:t>underpin its work.</w:t>
      </w:r>
    </w:p>
    <w:p w:rsidR="00122BE6" w:rsidRPr="00156CB3" w:rsidRDefault="00122BE6" w:rsidP="00156CB3">
      <w:pPr>
        <w:spacing w:after="0" w:line="240" w:lineRule="auto"/>
        <w:rPr>
          <w:rFonts w:ascii="Arial" w:eastAsia="Times New Roman" w:hAnsi="Arial" w:cs="Arial"/>
          <w:sz w:val="20"/>
          <w:szCs w:val="20"/>
          <w:lang w:eastAsia="en-ZA"/>
        </w:rPr>
      </w:pPr>
    </w:p>
    <w:p w:rsidR="00B62F9B" w:rsidRPr="00156CB3" w:rsidRDefault="00725A0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In</w:t>
      </w:r>
      <w:r w:rsidR="00CB2A50" w:rsidRPr="00156CB3">
        <w:rPr>
          <w:rFonts w:ascii="Arial" w:eastAsia="Times New Roman" w:hAnsi="Arial" w:cs="Arial"/>
          <w:sz w:val="20"/>
          <w:szCs w:val="20"/>
          <w:lang w:eastAsia="en-ZA"/>
        </w:rPr>
        <w:t xml:space="preserve"> summary, </w:t>
      </w:r>
      <w:r w:rsidR="002E0C6C" w:rsidRPr="00156CB3">
        <w:rPr>
          <w:rFonts w:ascii="Arial" w:eastAsia="Times New Roman" w:hAnsi="Arial" w:cs="Arial"/>
          <w:sz w:val="20"/>
          <w:szCs w:val="20"/>
          <w:lang w:eastAsia="en-ZA"/>
        </w:rPr>
        <w:t xml:space="preserve">although the </w:t>
      </w:r>
      <w:r w:rsidR="00CB2A50" w:rsidRPr="00156CB3">
        <w:rPr>
          <w:rFonts w:ascii="Arial" w:eastAsia="Times New Roman" w:hAnsi="Arial" w:cs="Arial"/>
          <w:sz w:val="20"/>
          <w:szCs w:val="20"/>
          <w:lang w:eastAsia="en-ZA"/>
        </w:rPr>
        <w:t>Department of Water and Sanitation</w:t>
      </w:r>
      <w:r w:rsidR="002E0C6C" w:rsidRPr="00156CB3">
        <w:rPr>
          <w:rFonts w:ascii="Arial" w:eastAsia="Times New Roman" w:hAnsi="Arial" w:cs="Arial"/>
          <w:sz w:val="20"/>
          <w:szCs w:val="20"/>
          <w:lang w:eastAsia="en-ZA"/>
        </w:rPr>
        <w:t xml:space="preserve"> received an unqualified audit outcome, it</w:t>
      </w:r>
      <w:r w:rsidR="00CB2A50"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encountered several challenges in</w:t>
      </w:r>
      <w:r w:rsidR="00A24B74" w:rsidRPr="00156CB3">
        <w:rPr>
          <w:rFonts w:ascii="Arial" w:eastAsia="Times New Roman" w:hAnsi="Arial" w:cs="Arial"/>
          <w:sz w:val="20"/>
          <w:szCs w:val="20"/>
          <w:lang w:eastAsia="en-ZA"/>
        </w:rPr>
        <w:t xml:space="preserve"> </w:t>
      </w:r>
      <w:r w:rsidR="002E0C6C" w:rsidRPr="00156CB3">
        <w:rPr>
          <w:rFonts w:ascii="Arial" w:eastAsia="Times New Roman" w:hAnsi="Arial" w:cs="Arial"/>
          <w:sz w:val="20"/>
          <w:szCs w:val="20"/>
          <w:lang w:eastAsia="en-ZA"/>
        </w:rPr>
        <w:t xml:space="preserve">financial management, such as awaiting approval for condonations, </w:t>
      </w:r>
      <w:r w:rsidRPr="00156CB3">
        <w:rPr>
          <w:rFonts w:ascii="Arial" w:eastAsia="Times New Roman" w:hAnsi="Arial" w:cs="Arial"/>
          <w:sz w:val="20"/>
          <w:szCs w:val="20"/>
          <w:lang w:eastAsia="en-ZA"/>
        </w:rPr>
        <w:t>irregular e</w:t>
      </w:r>
      <w:r w:rsidR="002E0C6C" w:rsidRPr="00156CB3">
        <w:rPr>
          <w:rFonts w:ascii="Arial" w:eastAsia="Times New Roman" w:hAnsi="Arial" w:cs="Arial"/>
          <w:sz w:val="20"/>
          <w:szCs w:val="20"/>
          <w:lang w:eastAsia="en-ZA"/>
        </w:rPr>
        <w:t>xpenditure</w:t>
      </w:r>
      <w:r w:rsidR="008674EA" w:rsidRPr="00156CB3">
        <w:rPr>
          <w:rFonts w:ascii="Arial" w:eastAsia="Times New Roman" w:hAnsi="Arial" w:cs="Arial"/>
          <w:sz w:val="20"/>
          <w:szCs w:val="20"/>
          <w:lang w:eastAsia="en-ZA"/>
        </w:rPr>
        <w:t xml:space="preserve"> (Main Account – R9.3 billion and Water Trading Entity – R8.1 billion)</w:t>
      </w:r>
      <w:r w:rsidR="002E0C6C" w:rsidRPr="00156CB3">
        <w:rPr>
          <w:rFonts w:ascii="Arial" w:eastAsia="Times New Roman" w:hAnsi="Arial" w:cs="Arial"/>
          <w:sz w:val="20"/>
          <w:szCs w:val="20"/>
          <w:lang w:eastAsia="en-ZA"/>
        </w:rPr>
        <w:t>, and under-expenditure</w:t>
      </w:r>
      <w:r w:rsidR="008674EA" w:rsidRPr="00156CB3">
        <w:rPr>
          <w:rFonts w:ascii="Arial" w:eastAsia="Times New Roman" w:hAnsi="Arial" w:cs="Arial"/>
          <w:sz w:val="20"/>
          <w:szCs w:val="20"/>
          <w:lang w:eastAsia="en-ZA"/>
        </w:rPr>
        <w:t xml:space="preserve"> (R2.5 billion)</w:t>
      </w:r>
      <w:r w:rsidR="002E0C6C" w:rsidRPr="00156CB3">
        <w:rPr>
          <w:rFonts w:ascii="Arial" w:eastAsia="Times New Roman" w:hAnsi="Arial" w:cs="Arial"/>
          <w:sz w:val="20"/>
          <w:szCs w:val="20"/>
          <w:lang w:eastAsia="en-ZA"/>
        </w:rPr>
        <w:t>. The main reasons for the under-expend</w:t>
      </w:r>
      <w:r w:rsidR="00243F6A" w:rsidRPr="00156CB3">
        <w:rPr>
          <w:rFonts w:ascii="Arial" w:eastAsia="Times New Roman" w:hAnsi="Arial" w:cs="Arial"/>
          <w:sz w:val="20"/>
          <w:szCs w:val="20"/>
          <w:lang w:eastAsia="en-ZA"/>
        </w:rPr>
        <w:t xml:space="preserve">iture related to </w:t>
      </w:r>
      <w:r w:rsidR="002E0C6C" w:rsidRPr="00156CB3">
        <w:rPr>
          <w:rFonts w:ascii="Arial" w:eastAsia="Times New Roman" w:hAnsi="Arial" w:cs="Arial"/>
          <w:sz w:val="20"/>
          <w:szCs w:val="20"/>
          <w:lang w:eastAsia="en-ZA"/>
        </w:rPr>
        <w:t>infrastructure procurement</w:t>
      </w:r>
      <w:r w:rsidR="00A24B74" w:rsidRPr="00156CB3">
        <w:rPr>
          <w:rFonts w:ascii="Arial" w:eastAsia="Times New Roman" w:hAnsi="Arial" w:cs="Arial"/>
          <w:sz w:val="20"/>
          <w:szCs w:val="20"/>
          <w:lang w:eastAsia="en-ZA"/>
        </w:rPr>
        <w:t>,</w:t>
      </w:r>
      <w:r w:rsidR="002E0C6C" w:rsidRPr="00156CB3">
        <w:rPr>
          <w:rFonts w:ascii="Arial" w:eastAsia="Times New Roman" w:hAnsi="Arial" w:cs="Arial"/>
          <w:sz w:val="20"/>
          <w:szCs w:val="20"/>
          <w:lang w:eastAsia="en-ZA"/>
        </w:rPr>
        <w:t xml:space="preserve"> whereby similar processes for procuring Goods and </w:t>
      </w:r>
      <w:r w:rsidR="00A24B74" w:rsidRPr="00156CB3">
        <w:rPr>
          <w:rFonts w:ascii="Arial" w:eastAsia="Times New Roman" w:hAnsi="Arial" w:cs="Arial"/>
          <w:sz w:val="20"/>
          <w:szCs w:val="20"/>
          <w:lang w:eastAsia="en-ZA"/>
        </w:rPr>
        <w:t>Services were used within the infrastructure and construction units and deemed inappropriate.</w:t>
      </w:r>
    </w:p>
    <w:p w:rsidR="00DF33AF" w:rsidRPr="00156CB3" w:rsidRDefault="00DF33AF" w:rsidP="00156CB3">
      <w:pPr>
        <w:spacing w:after="0" w:line="240" w:lineRule="auto"/>
        <w:rPr>
          <w:rFonts w:ascii="Arial" w:eastAsia="Times New Roman" w:hAnsi="Arial" w:cs="Arial"/>
          <w:sz w:val="20"/>
          <w:szCs w:val="20"/>
          <w:lang w:eastAsia="en-ZA"/>
        </w:rPr>
      </w:pPr>
    </w:p>
    <w:p w:rsidR="00DF33AF" w:rsidRPr="00156CB3" w:rsidRDefault="00DE2421"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Portfolio Committee </w:t>
      </w:r>
      <w:r w:rsidR="00DF33AF" w:rsidRPr="00156CB3">
        <w:rPr>
          <w:rFonts w:ascii="Arial" w:eastAsia="Times New Roman" w:hAnsi="Arial" w:cs="Arial"/>
          <w:sz w:val="20"/>
          <w:szCs w:val="20"/>
          <w:lang w:eastAsia="en-ZA"/>
        </w:rPr>
        <w:t>commend</w:t>
      </w:r>
      <w:r w:rsidRPr="00156CB3">
        <w:rPr>
          <w:rFonts w:ascii="Arial" w:eastAsia="Times New Roman" w:hAnsi="Arial" w:cs="Arial"/>
          <w:sz w:val="20"/>
          <w:szCs w:val="20"/>
          <w:lang w:eastAsia="en-ZA"/>
        </w:rPr>
        <w:t>s</w:t>
      </w:r>
      <w:r w:rsidR="00DF33AF" w:rsidRPr="00156CB3">
        <w:rPr>
          <w:rFonts w:ascii="Arial" w:eastAsia="Times New Roman" w:hAnsi="Arial" w:cs="Arial"/>
          <w:sz w:val="20"/>
          <w:szCs w:val="20"/>
          <w:lang w:eastAsia="en-ZA"/>
        </w:rPr>
        <w:t xml:space="preserve"> the Department of Water and Sanitati</w:t>
      </w:r>
      <w:r w:rsidR="00A24B74" w:rsidRPr="00156CB3">
        <w:rPr>
          <w:rFonts w:ascii="Arial" w:eastAsia="Times New Roman" w:hAnsi="Arial" w:cs="Arial"/>
          <w:sz w:val="20"/>
          <w:szCs w:val="20"/>
          <w:lang w:eastAsia="en-ZA"/>
        </w:rPr>
        <w:t>on</w:t>
      </w:r>
      <w:r w:rsidR="00EE55C0" w:rsidRPr="00156CB3">
        <w:rPr>
          <w:rFonts w:ascii="Arial" w:eastAsia="Times New Roman" w:hAnsi="Arial" w:cs="Arial"/>
          <w:sz w:val="20"/>
          <w:szCs w:val="20"/>
          <w:lang w:eastAsia="en-ZA"/>
        </w:rPr>
        <w:t xml:space="preserve"> on attaining several </w:t>
      </w:r>
      <w:r w:rsidRPr="00156CB3">
        <w:rPr>
          <w:rFonts w:ascii="Arial" w:eastAsia="Times New Roman" w:hAnsi="Arial" w:cs="Arial"/>
          <w:sz w:val="20"/>
          <w:szCs w:val="20"/>
          <w:lang w:eastAsia="en-ZA"/>
        </w:rPr>
        <w:t>achievements</w:t>
      </w:r>
      <w:r w:rsidR="00A24B74" w:rsidRPr="00156CB3">
        <w:rPr>
          <w:rFonts w:ascii="Arial" w:eastAsia="Times New Roman" w:hAnsi="Arial" w:cs="Arial"/>
          <w:sz w:val="20"/>
          <w:szCs w:val="20"/>
          <w:lang w:eastAsia="en-ZA"/>
        </w:rPr>
        <w:t xml:space="preserve"> under its new administration. F</w:t>
      </w:r>
      <w:r w:rsidR="00DF33AF" w:rsidRPr="00156CB3">
        <w:rPr>
          <w:rFonts w:ascii="Arial" w:eastAsia="Times New Roman" w:hAnsi="Arial" w:cs="Arial"/>
          <w:sz w:val="20"/>
          <w:szCs w:val="20"/>
          <w:lang w:eastAsia="en-ZA"/>
        </w:rPr>
        <w:t>or the 2021/22 financial year</w:t>
      </w:r>
      <w:r w:rsidR="00A24B74" w:rsidRPr="00156CB3">
        <w:rPr>
          <w:rFonts w:ascii="Arial" w:hAnsi="Arial" w:cs="Arial"/>
          <w:sz w:val="20"/>
          <w:szCs w:val="20"/>
        </w:rPr>
        <w:t xml:space="preserve">, </w:t>
      </w:r>
      <w:r w:rsidR="00A24B74" w:rsidRPr="00156CB3">
        <w:rPr>
          <w:rFonts w:ascii="Arial" w:eastAsia="Times New Roman" w:hAnsi="Arial" w:cs="Arial"/>
          <w:sz w:val="20"/>
          <w:szCs w:val="20"/>
          <w:lang w:eastAsia="en-ZA"/>
        </w:rPr>
        <w:t>the department was transparent on the historical challenges</w:t>
      </w:r>
      <w:r w:rsidR="008674EA" w:rsidRPr="00156CB3">
        <w:rPr>
          <w:rFonts w:ascii="Arial" w:eastAsia="Times New Roman" w:hAnsi="Arial" w:cs="Arial"/>
          <w:sz w:val="20"/>
          <w:szCs w:val="20"/>
          <w:lang w:eastAsia="en-ZA"/>
        </w:rPr>
        <w:t xml:space="preserve"> of irregular expenditure</w:t>
      </w:r>
      <w:r w:rsidR="00A24B74" w:rsidRPr="00156CB3">
        <w:rPr>
          <w:rFonts w:ascii="Arial" w:eastAsia="Times New Roman" w:hAnsi="Arial" w:cs="Arial"/>
          <w:sz w:val="20"/>
          <w:szCs w:val="20"/>
          <w:lang w:eastAsia="en-ZA"/>
        </w:rPr>
        <w:t xml:space="preserve"> inherited from the previous administration through its quarterly reporting sessions to the Portfolio Committee. It provided</w:t>
      </w:r>
      <w:r w:rsidR="00DF33AF" w:rsidRPr="00156CB3">
        <w:rPr>
          <w:rFonts w:ascii="Arial" w:eastAsia="Times New Roman" w:hAnsi="Arial" w:cs="Arial"/>
          <w:sz w:val="20"/>
          <w:szCs w:val="20"/>
          <w:lang w:eastAsia="en-ZA"/>
        </w:rPr>
        <w:t xml:space="preserve"> measures to rectify </w:t>
      </w:r>
      <w:r w:rsidR="00A24B74" w:rsidRPr="00156CB3">
        <w:rPr>
          <w:rFonts w:ascii="Arial" w:eastAsia="Times New Roman" w:hAnsi="Arial" w:cs="Arial"/>
          <w:sz w:val="20"/>
          <w:szCs w:val="20"/>
          <w:lang w:eastAsia="en-ZA"/>
        </w:rPr>
        <w:t>and</w:t>
      </w:r>
      <w:r w:rsidR="00DF33AF" w:rsidRPr="00156CB3">
        <w:rPr>
          <w:rFonts w:ascii="Arial" w:eastAsia="Times New Roman" w:hAnsi="Arial" w:cs="Arial"/>
          <w:sz w:val="20"/>
          <w:szCs w:val="20"/>
          <w:lang w:eastAsia="en-ZA"/>
        </w:rPr>
        <w:t xml:space="preserve"> mitigate future transgressions. The current challenges faced in respect of irregular expenditure, debt collection and critical work that needed to be done to ensure due process followed in the finalisation of cases, improving debt collection strategies and reducing debtors’ days were the standing agenda items as part of the quarterly briefings by the Department.</w:t>
      </w:r>
    </w:p>
    <w:p w:rsidR="00C01A5A" w:rsidRPr="00156CB3" w:rsidRDefault="00C01A5A" w:rsidP="00156CB3">
      <w:pPr>
        <w:spacing w:after="0" w:line="240" w:lineRule="auto"/>
        <w:rPr>
          <w:rFonts w:ascii="Arial" w:eastAsia="Times New Roman" w:hAnsi="Arial" w:cs="Arial"/>
          <w:sz w:val="20"/>
          <w:szCs w:val="20"/>
          <w:lang w:eastAsia="en-ZA"/>
        </w:rPr>
      </w:pPr>
    </w:p>
    <w:p w:rsidR="00C01A5A" w:rsidRPr="00156CB3" w:rsidRDefault="00E375B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However, the</w:t>
      </w:r>
      <w:r w:rsidR="00C01A5A" w:rsidRPr="00156CB3">
        <w:rPr>
          <w:rFonts w:ascii="Arial" w:eastAsia="Times New Roman" w:hAnsi="Arial" w:cs="Arial"/>
          <w:sz w:val="20"/>
          <w:szCs w:val="20"/>
          <w:lang w:eastAsia="en-ZA"/>
        </w:rPr>
        <w:t xml:space="preserve"> Director-General stressed that the Department has developed and is currently implementing a turnaround and Financial Recovery Plan to address the following: timeous submission of annual financial statements to the Auditor-General South Africa and National Treasury as per the requirements of the Public Finance Management Act, timely submission of the Annual Report to Parliament, enhanced performance and consequence management systems, strategic leadership, institutional stabilisation, capacity and training, sustainable service delivery, infrastructure maintenance and development, improved financial management systems and implementation of new organisational structure.</w:t>
      </w:r>
    </w:p>
    <w:p w:rsidR="00AE613E" w:rsidRPr="00156CB3" w:rsidRDefault="00AE613E" w:rsidP="00156CB3">
      <w:pPr>
        <w:spacing w:after="0" w:line="240" w:lineRule="auto"/>
        <w:rPr>
          <w:rFonts w:ascii="Arial" w:eastAsia="Times New Roman" w:hAnsi="Arial" w:cs="Arial"/>
          <w:sz w:val="20"/>
          <w:szCs w:val="20"/>
          <w:lang w:eastAsia="en-ZA"/>
        </w:rPr>
      </w:pPr>
    </w:p>
    <w:p w:rsidR="00B62F9B" w:rsidRPr="00156CB3" w:rsidRDefault="00B62F9B" w:rsidP="00156CB3">
      <w:pPr>
        <w:shd w:val="clear" w:color="auto" w:fill="D9D9D9" w:themeFill="background1" w:themeFillShade="D9"/>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3.</w:t>
      </w:r>
      <w:r w:rsidRPr="00156CB3">
        <w:rPr>
          <w:rFonts w:ascii="Arial" w:eastAsia="Times New Roman" w:hAnsi="Arial" w:cs="Arial"/>
          <w:b/>
          <w:sz w:val="20"/>
          <w:szCs w:val="20"/>
          <w:lang w:eastAsia="en-ZA"/>
        </w:rPr>
        <w:tab/>
      </w:r>
      <w:r w:rsidR="00E375B0" w:rsidRPr="00156CB3">
        <w:rPr>
          <w:rFonts w:ascii="Arial" w:eastAsia="Times New Roman" w:hAnsi="Arial" w:cs="Arial"/>
          <w:b/>
          <w:sz w:val="20"/>
          <w:szCs w:val="20"/>
          <w:lang w:eastAsia="en-ZA"/>
        </w:rPr>
        <w:t xml:space="preserve">Audit and evaluation of the work of the Department of Water and Sanitation </w:t>
      </w:r>
      <w:r w:rsidR="00E375B0" w:rsidRPr="00156CB3">
        <w:rPr>
          <w:rFonts w:ascii="Arial" w:eastAsia="Times New Roman" w:hAnsi="Arial" w:cs="Arial"/>
          <w:b/>
          <w:sz w:val="20"/>
          <w:szCs w:val="20"/>
          <w:lang w:eastAsia="en-ZA"/>
        </w:rPr>
        <w:tab/>
        <w:t xml:space="preserve">by the Auditor-General South Africa and the Department of Planning, Monitoring </w:t>
      </w:r>
      <w:r w:rsidR="00E375B0" w:rsidRPr="00156CB3">
        <w:rPr>
          <w:rFonts w:ascii="Arial" w:eastAsia="Times New Roman" w:hAnsi="Arial" w:cs="Arial"/>
          <w:b/>
          <w:sz w:val="20"/>
          <w:szCs w:val="20"/>
          <w:lang w:eastAsia="en-ZA"/>
        </w:rPr>
        <w:tab/>
        <w:t>and Evaluation</w:t>
      </w:r>
    </w:p>
    <w:p w:rsidR="00B62F9B" w:rsidRPr="00156CB3" w:rsidRDefault="00B62F9B" w:rsidP="00156CB3">
      <w:pPr>
        <w:spacing w:after="0" w:line="240" w:lineRule="auto"/>
        <w:rPr>
          <w:rFonts w:ascii="Arial" w:eastAsia="Times New Roman" w:hAnsi="Arial" w:cs="Arial"/>
          <w:sz w:val="20"/>
          <w:szCs w:val="20"/>
          <w:lang w:eastAsia="en-ZA"/>
        </w:rPr>
      </w:pPr>
    </w:p>
    <w:p w:rsidR="00166917" w:rsidRPr="00156CB3" w:rsidRDefault="0069010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sz w:val="20"/>
          <w:szCs w:val="20"/>
          <w:lang w:eastAsia="en-ZA"/>
        </w:rPr>
        <w:lastRenderedPageBreak/>
        <w:t xml:space="preserve"> </w:t>
      </w:r>
      <w:r w:rsidR="00B62F9B" w:rsidRPr="00156CB3">
        <w:rPr>
          <w:rFonts w:ascii="Arial" w:eastAsia="Times New Roman" w:hAnsi="Arial" w:cs="Arial"/>
          <w:b/>
          <w:sz w:val="20"/>
          <w:szCs w:val="20"/>
          <w:lang w:eastAsia="en-ZA"/>
        </w:rPr>
        <w:t>3.1</w:t>
      </w:r>
      <w:r w:rsidR="00B62F9B" w:rsidRPr="00156CB3">
        <w:rPr>
          <w:rFonts w:ascii="Arial" w:eastAsia="Times New Roman" w:hAnsi="Arial" w:cs="Arial"/>
          <w:b/>
          <w:sz w:val="20"/>
          <w:szCs w:val="20"/>
          <w:lang w:eastAsia="en-ZA"/>
        </w:rPr>
        <w:tab/>
      </w:r>
      <w:r w:rsidR="00E375B0" w:rsidRPr="00156CB3">
        <w:rPr>
          <w:rFonts w:ascii="Arial" w:eastAsia="Times New Roman" w:hAnsi="Arial" w:cs="Arial"/>
          <w:b/>
          <w:sz w:val="20"/>
          <w:szCs w:val="20"/>
          <w:lang w:eastAsia="en-ZA"/>
        </w:rPr>
        <w:t>Auditor-General South Africa</w:t>
      </w:r>
    </w:p>
    <w:p w:rsidR="00E375B0" w:rsidRPr="00156CB3" w:rsidRDefault="00E375B0" w:rsidP="00156CB3">
      <w:pPr>
        <w:spacing w:after="0" w:line="240" w:lineRule="auto"/>
        <w:rPr>
          <w:rFonts w:ascii="Arial" w:eastAsia="Times New Roman" w:hAnsi="Arial" w:cs="Arial"/>
          <w:b/>
          <w:sz w:val="20"/>
          <w:szCs w:val="20"/>
          <w:lang w:eastAsia="en-ZA"/>
        </w:rPr>
      </w:pPr>
    </w:p>
    <w:p w:rsidR="00ED12D3" w:rsidRPr="00156CB3" w:rsidRDefault="005039F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mission and vision of the Auditor-General South Africa </w:t>
      </w:r>
      <w:r w:rsidR="00A36B2B" w:rsidRPr="00156CB3">
        <w:rPr>
          <w:rFonts w:ascii="Arial" w:eastAsia="Times New Roman" w:hAnsi="Arial" w:cs="Arial"/>
          <w:sz w:val="20"/>
          <w:szCs w:val="20"/>
          <w:lang w:eastAsia="en-ZA"/>
        </w:rPr>
        <w:t xml:space="preserve">are </w:t>
      </w:r>
      <w:r w:rsidRPr="00156CB3">
        <w:rPr>
          <w:rFonts w:ascii="Arial" w:eastAsia="Times New Roman" w:hAnsi="Arial" w:cs="Arial"/>
          <w:sz w:val="20"/>
          <w:szCs w:val="20"/>
          <w:lang w:eastAsia="en-ZA"/>
        </w:rPr>
        <w:t xml:space="preserve">derived </w:t>
      </w:r>
      <w:r w:rsidR="00A36B2B" w:rsidRPr="00156CB3">
        <w:rPr>
          <w:rFonts w:ascii="Arial" w:eastAsia="Times New Roman" w:hAnsi="Arial" w:cs="Arial"/>
          <w:sz w:val="20"/>
          <w:szCs w:val="20"/>
          <w:lang w:eastAsia="en-ZA"/>
        </w:rPr>
        <w:t>from</w:t>
      </w:r>
      <w:r w:rsidRPr="00156CB3">
        <w:rPr>
          <w:rFonts w:ascii="Arial" w:eastAsia="Times New Roman" w:hAnsi="Arial" w:cs="Arial"/>
          <w:sz w:val="20"/>
          <w:szCs w:val="20"/>
          <w:lang w:eastAsia="en-ZA"/>
        </w:rPr>
        <w:t xml:space="preserve"> the constitutional mandate</w:t>
      </w:r>
      <w:r w:rsidR="00EE10C8" w:rsidRPr="00156CB3">
        <w:rPr>
          <w:rFonts w:ascii="Arial" w:eastAsia="Times New Roman" w:hAnsi="Arial" w:cs="Arial"/>
          <w:sz w:val="20"/>
          <w:szCs w:val="20"/>
          <w:lang w:eastAsia="en-ZA"/>
        </w:rPr>
        <w:t xml:space="preserve">, which </w:t>
      </w:r>
      <w:r w:rsidRPr="00156CB3">
        <w:rPr>
          <w:rFonts w:ascii="Arial" w:eastAsia="Times New Roman" w:hAnsi="Arial" w:cs="Arial"/>
          <w:sz w:val="20"/>
          <w:szCs w:val="20"/>
          <w:lang w:eastAsia="en-ZA"/>
        </w:rPr>
        <w:t xml:space="preserve">views the institution as the supreme audit institution of South Africa. The institution was established </w:t>
      </w:r>
      <w:r w:rsidR="00A36B2B" w:rsidRPr="00156CB3">
        <w:rPr>
          <w:rFonts w:ascii="Arial" w:eastAsia="Times New Roman" w:hAnsi="Arial" w:cs="Arial"/>
          <w:sz w:val="20"/>
          <w:szCs w:val="20"/>
          <w:lang w:eastAsia="en-ZA"/>
        </w:rPr>
        <w:t>by</w:t>
      </w:r>
      <w:r w:rsidRPr="00156CB3">
        <w:rPr>
          <w:rFonts w:ascii="Arial" w:eastAsia="Times New Roman" w:hAnsi="Arial" w:cs="Arial"/>
          <w:sz w:val="20"/>
          <w:szCs w:val="20"/>
          <w:lang w:eastAsia="en-ZA"/>
        </w:rPr>
        <w:t xml:space="preserve"> section 188 of the Constitution of the Republic of South Africa</w:t>
      </w:r>
      <w:r w:rsidR="00EE10C8" w:rsidRPr="00156CB3">
        <w:rPr>
          <w:rFonts w:ascii="Arial" w:eastAsia="Times New Roman" w:hAnsi="Arial" w:cs="Arial"/>
          <w:sz w:val="20"/>
          <w:szCs w:val="20"/>
          <w:lang w:eastAsia="en-ZA"/>
        </w:rPr>
        <w:t>. The foundation of its work</w:t>
      </w:r>
      <w:r w:rsidRPr="00156CB3">
        <w:rPr>
          <w:rFonts w:ascii="Arial" w:eastAsia="Times New Roman" w:hAnsi="Arial" w:cs="Arial"/>
          <w:sz w:val="20"/>
          <w:szCs w:val="20"/>
          <w:lang w:eastAsia="en-ZA"/>
        </w:rPr>
        <w:t xml:space="preserve"> </w:t>
      </w:r>
      <w:r w:rsidR="00A36B2B" w:rsidRPr="00156CB3">
        <w:rPr>
          <w:rFonts w:ascii="Arial" w:eastAsia="Times New Roman" w:hAnsi="Arial" w:cs="Arial"/>
          <w:sz w:val="20"/>
          <w:szCs w:val="20"/>
          <w:lang w:eastAsia="en-ZA"/>
        </w:rPr>
        <w:t xml:space="preserve">is </w:t>
      </w:r>
      <w:r w:rsidRPr="00156CB3">
        <w:rPr>
          <w:rFonts w:ascii="Arial" w:eastAsia="Times New Roman" w:hAnsi="Arial" w:cs="Arial"/>
          <w:sz w:val="20"/>
          <w:szCs w:val="20"/>
          <w:lang w:eastAsia="en-ZA"/>
        </w:rPr>
        <w:t xml:space="preserve">to strengthen the country’s democracy </w:t>
      </w:r>
      <w:r w:rsidR="00EE10C8" w:rsidRPr="00156CB3">
        <w:rPr>
          <w:rFonts w:ascii="Arial" w:eastAsia="Times New Roman" w:hAnsi="Arial" w:cs="Arial"/>
          <w:sz w:val="20"/>
          <w:szCs w:val="20"/>
          <w:lang w:eastAsia="en-ZA"/>
        </w:rPr>
        <w:t>by</w:t>
      </w:r>
      <w:r w:rsidRPr="00156CB3">
        <w:rPr>
          <w:rFonts w:ascii="Arial" w:eastAsia="Times New Roman" w:hAnsi="Arial" w:cs="Arial"/>
          <w:sz w:val="20"/>
          <w:szCs w:val="20"/>
          <w:lang w:eastAsia="en-ZA"/>
        </w:rPr>
        <w:t xml:space="preserve"> overseeing and </w:t>
      </w:r>
      <w:r w:rsidR="00EE10C8" w:rsidRPr="00156CB3">
        <w:rPr>
          <w:rFonts w:ascii="Arial" w:eastAsia="Times New Roman" w:hAnsi="Arial" w:cs="Arial"/>
          <w:sz w:val="20"/>
          <w:szCs w:val="20"/>
          <w:lang w:eastAsia="en-ZA"/>
        </w:rPr>
        <w:t xml:space="preserve">holding the Executive </w:t>
      </w:r>
      <w:r w:rsidRPr="00156CB3">
        <w:rPr>
          <w:rFonts w:ascii="Arial" w:eastAsia="Times New Roman" w:hAnsi="Arial" w:cs="Arial"/>
          <w:sz w:val="20"/>
          <w:szCs w:val="20"/>
          <w:lang w:eastAsia="en-ZA"/>
        </w:rPr>
        <w:t>accounta</w:t>
      </w:r>
      <w:r w:rsidR="00EE10C8" w:rsidRPr="00156CB3">
        <w:rPr>
          <w:rFonts w:ascii="Arial" w:eastAsia="Times New Roman" w:hAnsi="Arial" w:cs="Arial"/>
          <w:sz w:val="20"/>
          <w:szCs w:val="20"/>
          <w:lang w:eastAsia="en-ZA"/>
        </w:rPr>
        <w:t>ble by</w:t>
      </w:r>
      <w:r w:rsidRPr="00156CB3">
        <w:rPr>
          <w:rFonts w:ascii="Arial" w:eastAsia="Times New Roman" w:hAnsi="Arial" w:cs="Arial"/>
          <w:sz w:val="20"/>
          <w:szCs w:val="20"/>
          <w:lang w:eastAsia="en-ZA"/>
        </w:rPr>
        <w:t xml:space="preserve"> auditing</w:t>
      </w:r>
      <w:r w:rsidR="00EE10C8" w:rsidRPr="00156CB3">
        <w:rPr>
          <w:rFonts w:ascii="Arial" w:eastAsia="Times New Roman" w:hAnsi="Arial" w:cs="Arial"/>
          <w:sz w:val="20"/>
          <w:szCs w:val="20"/>
          <w:lang w:eastAsia="en-ZA"/>
        </w:rPr>
        <w:t xml:space="preserve">, reporting, </w:t>
      </w:r>
      <w:r w:rsidR="00A36B2B" w:rsidRPr="00156CB3">
        <w:rPr>
          <w:rFonts w:ascii="Arial" w:eastAsia="Times New Roman" w:hAnsi="Arial" w:cs="Arial"/>
          <w:sz w:val="20"/>
          <w:szCs w:val="20"/>
          <w:lang w:eastAsia="en-ZA"/>
        </w:rPr>
        <w:t xml:space="preserve">and </w:t>
      </w:r>
      <w:r w:rsidR="00EE10C8" w:rsidRPr="00156CB3">
        <w:rPr>
          <w:rFonts w:ascii="Arial" w:eastAsia="Times New Roman" w:hAnsi="Arial" w:cs="Arial"/>
          <w:sz w:val="20"/>
          <w:szCs w:val="20"/>
          <w:lang w:eastAsia="en-ZA"/>
        </w:rPr>
        <w:t xml:space="preserve">ensuring good governance and accounting in the financial management to ensure public resources are being used for the benefit of the country’s citizens. </w:t>
      </w:r>
    </w:p>
    <w:p w:rsidR="00EE10C8" w:rsidRPr="00156CB3" w:rsidRDefault="00EE10C8" w:rsidP="00156CB3">
      <w:pPr>
        <w:spacing w:after="0" w:line="240" w:lineRule="auto"/>
        <w:rPr>
          <w:rFonts w:ascii="Arial" w:eastAsia="Times New Roman" w:hAnsi="Arial" w:cs="Arial"/>
          <w:sz w:val="20"/>
          <w:szCs w:val="20"/>
          <w:lang w:eastAsia="en-ZA"/>
        </w:rPr>
      </w:pPr>
    </w:p>
    <w:p w:rsidR="00EE10C8" w:rsidRPr="00156CB3" w:rsidRDefault="00A36B2B"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importance of water resources management and water provision in a developmental country cannot be overemphasised within the water sector</w:t>
      </w:r>
      <w:r w:rsidR="00EE10C8" w:rsidRPr="00156CB3">
        <w:rPr>
          <w:rFonts w:ascii="Arial" w:eastAsia="Times New Roman" w:hAnsi="Arial" w:cs="Arial"/>
          <w:sz w:val="20"/>
          <w:szCs w:val="20"/>
          <w:lang w:eastAsia="en-ZA"/>
        </w:rPr>
        <w:t xml:space="preserve">.  Compliance </w:t>
      </w:r>
      <w:r w:rsidRPr="00156CB3">
        <w:rPr>
          <w:rFonts w:ascii="Arial" w:eastAsia="Times New Roman" w:hAnsi="Arial" w:cs="Arial"/>
          <w:sz w:val="20"/>
          <w:szCs w:val="20"/>
          <w:lang w:eastAsia="en-ZA"/>
        </w:rPr>
        <w:t>with</w:t>
      </w:r>
      <w:r w:rsidR="00EE10C8" w:rsidRPr="00156CB3">
        <w:rPr>
          <w:rFonts w:ascii="Arial" w:eastAsia="Times New Roman" w:hAnsi="Arial" w:cs="Arial"/>
          <w:sz w:val="20"/>
          <w:szCs w:val="20"/>
          <w:lang w:eastAsia="en-ZA"/>
        </w:rPr>
        <w:t xml:space="preserve"> the prescripts of the Constitution and ensuring attainment of Goal 6 of the Sustainable Development Goals, </w:t>
      </w:r>
      <w:r w:rsidR="004A1B59" w:rsidRPr="00156CB3">
        <w:rPr>
          <w:rFonts w:ascii="Arial" w:eastAsia="Times New Roman" w:hAnsi="Arial" w:cs="Arial"/>
          <w:sz w:val="20"/>
          <w:szCs w:val="20"/>
          <w:lang w:eastAsia="en-ZA"/>
        </w:rPr>
        <w:t xml:space="preserve">in </w:t>
      </w:r>
      <w:r w:rsidRPr="00156CB3">
        <w:rPr>
          <w:rFonts w:ascii="Arial" w:eastAsia="Times New Roman" w:hAnsi="Arial" w:cs="Arial"/>
          <w:sz w:val="20"/>
          <w:szCs w:val="20"/>
          <w:lang w:eastAsia="en-ZA"/>
        </w:rPr>
        <w:t>providing</w:t>
      </w:r>
      <w:r w:rsidR="004A1B59" w:rsidRPr="00156CB3">
        <w:rPr>
          <w:rFonts w:ascii="Arial" w:eastAsia="Times New Roman" w:hAnsi="Arial" w:cs="Arial"/>
          <w:sz w:val="20"/>
          <w:szCs w:val="20"/>
          <w:lang w:eastAsia="en-ZA"/>
        </w:rPr>
        <w:t xml:space="preserve"> citizens’ access to basic services such as water and sanitation, with the state taking reasonable measures to attain this is a fundamental prerequisite across the entire water value chain in South Africa.</w:t>
      </w:r>
    </w:p>
    <w:p w:rsidR="004A1B59" w:rsidRPr="00156CB3" w:rsidRDefault="004A1B59" w:rsidP="00156CB3">
      <w:pPr>
        <w:spacing w:after="0" w:line="240" w:lineRule="auto"/>
        <w:rPr>
          <w:rFonts w:ascii="Arial" w:eastAsia="Times New Roman" w:hAnsi="Arial" w:cs="Arial"/>
          <w:sz w:val="20"/>
          <w:szCs w:val="20"/>
          <w:lang w:eastAsia="en-ZA"/>
        </w:rPr>
      </w:pPr>
    </w:p>
    <w:p w:rsidR="000E669B" w:rsidRPr="00156CB3" w:rsidRDefault="003A5BB5"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audit outcomes of the four (4) entities, the Main Account and Water Trading Entity of the Department of Water and Sanitation, Trans-Caledon Tunnel Authority, and Water Research Commission between 2017/18 and 2021/22</w:t>
      </w:r>
      <w:r w:rsidR="00A36B2B"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show an incremental improvement.  The 2017/18 audit produced two qualified audits with findings for the Department of Water and Sanitation and the Water Trading Entity, one unqualified audit with findings for the Trans-Caledon Tunnel Authority and a clean audit for the Water Research Commission. In the 2021/22 financial year, three entities, the Water Trading Entity, the Department of Water and Sanitation</w:t>
      </w:r>
      <w:r w:rsidR="00CB1BE9"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t>
      </w:r>
      <w:r w:rsidR="00CB1BE9" w:rsidRPr="00156CB3">
        <w:rPr>
          <w:rFonts w:ascii="Arial" w:eastAsia="Times New Roman" w:hAnsi="Arial" w:cs="Arial"/>
          <w:sz w:val="20"/>
          <w:szCs w:val="20"/>
          <w:lang w:eastAsia="en-ZA"/>
        </w:rPr>
        <w:t xml:space="preserve">and the </w:t>
      </w:r>
      <w:r w:rsidRPr="00156CB3">
        <w:rPr>
          <w:rFonts w:ascii="Arial" w:eastAsia="Times New Roman" w:hAnsi="Arial" w:cs="Arial"/>
          <w:sz w:val="20"/>
          <w:szCs w:val="20"/>
          <w:lang w:eastAsia="en-ZA"/>
        </w:rPr>
        <w:t>Trans-Caledon Tunnel Authority</w:t>
      </w:r>
      <w:r w:rsidR="00A36B2B" w:rsidRPr="00156CB3">
        <w:rPr>
          <w:rFonts w:ascii="Arial" w:eastAsia="Times New Roman" w:hAnsi="Arial" w:cs="Arial"/>
          <w:sz w:val="20"/>
          <w:szCs w:val="20"/>
          <w:lang w:eastAsia="en-ZA"/>
        </w:rPr>
        <w:t>,</w:t>
      </w:r>
      <w:r w:rsidR="00CB1BE9" w:rsidRPr="00156CB3">
        <w:rPr>
          <w:rFonts w:ascii="Arial" w:eastAsia="Times New Roman" w:hAnsi="Arial" w:cs="Arial"/>
          <w:sz w:val="20"/>
          <w:szCs w:val="20"/>
          <w:lang w:eastAsia="en-ZA"/>
        </w:rPr>
        <w:t xml:space="preserve"> received an unqualified audit with findings and a clean audit for the Water Research Commission.</w:t>
      </w:r>
    </w:p>
    <w:p w:rsidR="00141572" w:rsidRPr="00156CB3" w:rsidRDefault="00141572" w:rsidP="00156CB3">
      <w:pPr>
        <w:spacing w:after="0" w:line="240" w:lineRule="auto"/>
        <w:rPr>
          <w:rFonts w:ascii="Arial" w:eastAsia="Times New Roman" w:hAnsi="Arial" w:cs="Arial"/>
          <w:sz w:val="20"/>
          <w:szCs w:val="20"/>
          <w:lang w:eastAsia="en-ZA"/>
        </w:rPr>
      </w:pPr>
    </w:p>
    <w:p w:rsidR="00C50D51" w:rsidRPr="00156CB3" w:rsidRDefault="00CB1BE9"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w:t>
      </w:r>
      <w:r w:rsidR="00391533" w:rsidRPr="00156CB3">
        <w:rPr>
          <w:rFonts w:ascii="Arial" w:eastAsia="Times New Roman" w:hAnsi="Arial" w:cs="Arial"/>
          <w:sz w:val="20"/>
          <w:szCs w:val="20"/>
          <w:lang w:eastAsia="en-ZA"/>
        </w:rPr>
        <w:t xml:space="preserve">overall </w:t>
      </w:r>
      <w:r w:rsidR="00A36B2B" w:rsidRPr="00156CB3">
        <w:rPr>
          <w:rFonts w:ascii="Arial" w:eastAsia="Times New Roman" w:hAnsi="Arial" w:cs="Arial"/>
          <w:sz w:val="20"/>
          <w:szCs w:val="20"/>
          <w:lang w:eastAsia="en-ZA"/>
        </w:rPr>
        <w:t>significant</w:t>
      </w:r>
      <w:r w:rsidRPr="00156CB3">
        <w:rPr>
          <w:rFonts w:ascii="Arial" w:eastAsia="Times New Roman" w:hAnsi="Arial" w:cs="Arial"/>
          <w:sz w:val="20"/>
          <w:szCs w:val="20"/>
          <w:lang w:eastAsia="en-ZA"/>
        </w:rPr>
        <w:t xml:space="preserve"> findings</w:t>
      </w:r>
      <w:r w:rsidR="00391533" w:rsidRPr="00156CB3">
        <w:rPr>
          <w:rFonts w:ascii="Arial" w:eastAsia="Times New Roman" w:hAnsi="Arial" w:cs="Arial"/>
          <w:sz w:val="20"/>
          <w:szCs w:val="20"/>
          <w:lang w:eastAsia="en-ZA"/>
        </w:rPr>
        <w:t xml:space="preserve"> and outcomes</w:t>
      </w:r>
      <w:r w:rsidRPr="00156CB3">
        <w:rPr>
          <w:rFonts w:ascii="Arial" w:eastAsia="Times New Roman" w:hAnsi="Arial" w:cs="Arial"/>
          <w:sz w:val="20"/>
          <w:szCs w:val="20"/>
          <w:lang w:eastAsia="en-ZA"/>
        </w:rPr>
        <w:t xml:space="preserve"> of the Water Trading Entity, the Department and TCTA related to issues of compliance with legislation</w:t>
      </w:r>
      <w:r w:rsidR="008B07E0" w:rsidRPr="00156CB3">
        <w:rPr>
          <w:rFonts w:ascii="Arial" w:eastAsia="Times New Roman" w:hAnsi="Arial" w:cs="Arial"/>
          <w:sz w:val="20"/>
          <w:szCs w:val="20"/>
          <w:lang w:eastAsia="en-ZA"/>
        </w:rPr>
        <w:t>, irregular expenditure, the non-attainment of predetermined targets in the annual performance plan and actual achievements,</w:t>
      </w:r>
      <w:r w:rsidRPr="00156CB3">
        <w:rPr>
          <w:rFonts w:ascii="Arial" w:eastAsia="Times New Roman" w:hAnsi="Arial" w:cs="Arial"/>
          <w:sz w:val="20"/>
          <w:szCs w:val="20"/>
          <w:lang w:eastAsia="en-ZA"/>
        </w:rPr>
        <w:t xml:space="preserve"> </w:t>
      </w:r>
      <w:r w:rsidR="008B07E0" w:rsidRPr="00156CB3">
        <w:rPr>
          <w:rFonts w:ascii="Arial" w:eastAsia="Times New Roman" w:hAnsi="Arial" w:cs="Arial"/>
          <w:sz w:val="20"/>
          <w:szCs w:val="20"/>
          <w:lang w:eastAsia="en-ZA"/>
        </w:rPr>
        <w:t>sp</w:t>
      </w:r>
      <w:r w:rsidRPr="00156CB3">
        <w:rPr>
          <w:rFonts w:ascii="Arial" w:eastAsia="Times New Roman" w:hAnsi="Arial" w:cs="Arial"/>
          <w:sz w:val="20"/>
          <w:szCs w:val="20"/>
          <w:lang w:eastAsia="en-ZA"/>
        </w:rPr>
        <w:t xml:space="preserve">ecifically in the areas of maintenance of infrastructure and non-compliance to updating the asset management plan as required by the Government Asset Management Act of 2018. </w:t>
      </w:r>
    </w:p>
    <w:p w:rsidR="00027479" w:rsidRPr="00156CB3" w:rsidRDefault="00027479" w:rsidP="00156CB3">
      <w:pPr>
        <w:spacing w:after="0" w:line="240" w:lineRule="auto"/>
        <w:rPr>
          <w:rFonts w:ascii="Arial" w:eastAsia="Times New Roman" w:hAnsi="Arial" w:cs="Arial"/>
          <w:sz w:val="20"/>
          <w:szCs w:val="20"/>
          <w:lang w:eastAsia="en-ZA"/>
        </w:rPr>
      </w:pPr>
    </w:p>
    <w:p w:rsidR="00391533" w:rsidRPr="00156CB3" w:rsidRDefault="008B07E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resultant impact of not optimally maintaining infrastructure </w:t>
      </w:r>
      <w:r w:rsidR="00A36B2B" w:rsidRPr="00156CB3">
        <w:rPr>
          <w:rFonts w:ascii="Arial" w:eastAsia="Times New Roman" w:hAnsi="Arial" w:cs="Arial"/>
          <w:sz w:val="20"/>
          <w:szCs w:val="20"/>
          <w:lang w:eastAsia="en-ZA"/>
        </w:rPr>
        <w:t>systematically</w:t>
      </w:r>
      <w:r w:rsidRPr="00156CB3">
        <w:rPr>
          <w:rFonts w:ascii="Arial" w:eastAsia="Times New Roman" w:hAnsi="Arial" w:cs="Arial"/>
          <w:sz w:val="20"/>
          <w:szCs w:val="20"/>
          <w:lang w:eastAsia="en-ZA"/>
        </w:rPr>
        <w:t xml:space="preserve"> could shorten the lifespan and increase </w:t>
      </w:r>
      <w:r w:rsidR="00A36B2B" w:rsidRPr="00156CB3">
        <w:rPr>
          <w:rFonts w:ascii="Arial" w:eastAsia="Times New Roman" w:hAnsi="Arial" w:cs="Arial"/>
          <w:sz w:val="20"/>
          <w:szCs w:val="20"/>
          <w:lang w:eastAsia="en-ZA"/>
        </w:rPr>
        <w:t>new infrastructure costs</w:t>
      </w:r>
      <w:r w:rsidRPr="00156CB3">
        <w:rPr>
          <w:rFonts w:ascii="Arial" w:eastAsia="Times New Roman" w:hAnsi="Arial" w:cs="Arial"/>
          <w:sz w:val="20"/>
          <w:szCs w:val="20"/>
          <w:lang w:eastAsia="en-ZA"/>
        </w:rPr>
        <w:t xml:space="preserve">. In this regard, the Auditor-General recommended that the Department relooks at the asset management plan to ensure infrastructure assets are </w:t>
      </w:r>
      <w:r w:rsidR="00A36B2B" w:rsidRPr="00156CB3">
        <w:rPr>
          <w:rFonts w:ascii="Arial" w:eastAsia="Times New Roman" w:hAnsi="Arial" w:cs="Arial"/>
          <w:sz w:val="20"/>
          <w:szCs w:val="20"/>
          <w:lang w:eastAsia="en-ZA"/>
        </w:rPr>
        <w:t>appropriate</w:t>
      </w:r>
      <w:r w:rsidRPr="00156CB3">
        <w:rPr>
          <w:rFonts w:ascii="Arial" w:eastAsia="Times New Roman" w:hAnsi="Arial" w:cs="Arial"/>
          <w:sz w:val="20"/>
          <w:szCs w:val="20"/>
          <w:lang w:eastAsia="en-ZA"/>
        </w:rPr>
        <w:t xml:space="preserve"> management with an indication of the financial resourcing of the plan, which must be monitored and tracked.</w:t>
      </w:r>
      <w:r w:rsidR="00C01A5A" w:rsidRPr="00156CB3">
        <w:rPr>
          <w:rFonts w:ascii="Arial" w:eastAsia="Times New Roman" w:hAnsi="Arial" w:cs="Arial"/>
          <w:sz w:val="20"/>
          <w:szCs w:val="20"/>
          <w:lang w:eastAsia="en-ZA"/>
        </w:rPr>
        <w:t xml:space="preserve"> </w:t>
      </w:r>
      <w:r w:rsidR="00391533" w:rsidRPr="00156CB3">
        <w:rPr>
          <w:rFonts w:ascii="Arial" w:eastAsia="Times New Roman" w:hAnsi="Arial" w:cs="Arial"/>
          <w:sz w:val="20"/>
          <w:szCs w:val="20"/>
          <w:lang w:eastAsia="en-ZA"/>
        </w:rPr>
        <w:t>An overview of the audit outcomes for the Main Account, the Water Trading Entity, the Trans-Caledon Tunnel Authority and the Water Research Commission reflected the following:</w:t>
      </w:r>
    </w:p>
    <w:p w:rsidR="00391533" w:rsidRPr="00156CB3" w:rsidRDefault="00391533" w:rsidP="00156CB3">
      <w:pPr>
        <w:pStyle w:val="ListParagraph"/>
        <w:numPr>
          <w:ilvl w:val="0"/>
          <w:numId w:val="7"/>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Main Account</w:t>
      </w:r>
    </w:p>
    <w:p w:rsidR="00391533" w:rsidRPr="00156CB3" w:rsidRDefault="00391533" w:rsidP="00156CB3">
      <w:pPr>
        <w:spacing w:after="0" w:line="240" w:lineRule="auto"/>
        <w:rPr>
          <w:rFonts w:ascii="Arial" w:eastAsia="Times New Roman" w:hAnsi="Arial" w:cs="Arial"/>
          <w:b/>
          <w:sz w:val="20"/>
          <w:szCs w:val="20"/>
          <w:lang w:eastAsia="en-ZA"/>
        </w:rPr>
      </w:pPr>
    </w:p>
    <w:p w:rsidR="00391533" w:rsidRPr="00156CB3" w:rsidRDefault="00391533"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Department was qualified on training and development costs and the related payables</w:t>
      </w:r>
      <w:r w:rsidR="00224BF5" w:rsidRPr="00156CB3">
        <w:rPr>
          <w:rFonts w:ascii="Arial" w:eastAsia="Times New Roman" w:hAnsi="Arial" w:cs="Arial"/>
          <w:sz w:val="20"/>
          <w:szCs w:val="20"/>
          <w:lang w:eastAsia="en-ZA"/>
        </w:rPr>
        <w:t xml:space="preserve"> for the 2020/21 financial year. I</w:t>
      </w:r>
      <w:r w:rsidRPr="00156CB3">
        <w:rPr>
          <w:rFonts w:ascii="Arial" w:eastAsia="Times New Roman" w:hAnsi="Arial" w:cs="Arial"/>
          <w:sz w:val="20"/>
          <w:szCs w:val="20"/>
          <w:lang w:eastAsia="en-ZA"/>
        </w:rPr>
        <w:t>t did not adequately</w:t>
      </w:r>
      <w:r w:rsidR="00224BF5" w:rsidRPr="00156CB3">
        <w:rPr>
          <w:rFonts w:ascii="Arial" w:eastAsia="Times New Roman" w:hAnsi="Arial" w:cs="Arial"/>
          <w:sz w:val="20"/>
          <w:szCs w:val="20"/>
          <w:lang w:eastAsia="en-ZA"/>
        </w:rPr>
        <w:t xml:space="preserve"> reconcile the invoices</w:t>
      </w:r>
      <w:r w:rsidRPr="00156CB3">
        <w:rPr>
          <w:rFonts w:ascii="Arial" w:eastAsia="Times New Roman" w:hAnsi="Arial" w:cs="Arial"/>
          <w:sz w:val="20"/>
          <w:szCs w:val="20"/>
          <w:lang w:eastAsia="en-ZA"/>
        </w:rPr>
        <w:t xml:space="preserve"> from a supplier by the implementing agent with supporting evidence of learners trained in the War on Leaks Programme.  In the 2021/22 financial year, the department cleared this qualification by reconciling the invoices received from the supplier.  Through </w:t>
      </w:r>
      <w:r w:rsidR="00356BB6" w:rsidRPr="00156CB3">
        <w:rPr>
          <w:rFonts w:ascii="Arial" w:eastAsia="Times New Roman" w:hAnsi="Arial" w:cs="Arial"/>
          <w:sz w:val="20"/>
          <w:szCs w:val="20"/>
          <w:lang w:eastAsia="en-ZA"/>
        </w:rPr>
        <w:t>this process, management identified a possible overpayment with the department and the implementing agent currently engaging t</w:t>
      </w:r>
      <w:r w:rsidR="00DE2421" w:rsidRPr="00156CB3">
        <w:rPr>
          <w:rFonts w:ascii="Arial" w:eastAsia="Times New Roman" w:hAnsi="Arial" w:cs="Arial"/>
          <w:sz w:val="20"/>
          <w:szCs w:val="20"/>
          <w:lang w:eastAsia="en-ZA"/>
        </w:rPr>
        <w:t>he supplier to recoup monies.</w:t>
      </w:r>
    </w:p>
    <w:p w:rsidR="00356BB6" w:rsidRPr="00156CB3" w:rsidRDefault="00356BB6" w:rsidP="00156CB3">
      <w:pPr>
        <w:spacing w:after="0" w:line="240" w:lineRule="auto"/>
        <w:rPr>
          <w:rFonts w:ascii="Arial" w:eastAsia="Times New Roman" w:hAnsi="Arial" w:cs="Arial"/>
          <w:sz w:val="20"/>
          <w:szCs w:val="20"/>
          <w:lang w:eastAsia="en-ZA"/>
        </w:rPr>
      </w:pPr>
    </w:p>
    <w:p w:rsidR="00356BB6" w:rsidRPr="00156CB3" w:rsidRDefault="00356BB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Material corrections to the financial statement continue to be reported as a material non-compliance matter with internal controls that need to be strengthened to prevent material errors in the accounting system for various disclosure i</w:t>
      </w:r>
      <w:r w:rsidR="00224BF5" w:rsidRPr="00156CB3">
        <w:rPr>
          <w:rFonts w:ascii="Arial" w:eastAsia="Times New Roman" w:hAnsi="Arial" w:cs="Arial"/>
          <w:sz w:val="20"/>
          <w:szCs w:val="20"/>
          <w:lang w:eastAsia="en-ZA"/>
        </w:rPr>
        <w:t>tems.  In addition,</w:t>
      </w:r>
      <w:r w:rsidRPr="00156CB3">
        <w:rPr>
          <w:rFonts w:ascii="Arial" w:eastAsia="Times New Roman" w:hAnsi="Arial" w:cs="Arial"/>
          <w:sz w:val="20"/>
          <w:szCs w:val="20"/>
          <w:lang w:eastAsia="en-ZA"/>
        </w:rPr>
        <w:t xml:space="preserve"> non-compliance with supply-chain management legislation resulted in material irregularities in expenditure for the year under review.  Delays in</w:t>
      </w:r>
      <w:r w:rsidR="00224BF5" w:rsidRPr="00156CB3">
        <w:rPr>
          <w:rFonts w:ascii="Arial" w:eastAsia="Times New Roman" w:hAnsi="Arial" w:cs="Arial"/>
          <w:sz w:val="20"/>
          <w:szCs w:val="20"/>
          <w:lang w:eastAsia="en-ZA"/>
        </w:rPr>
        <w:t xml:space="preserve"> the investigation </w:t>
      </w:r>
      <w:r w:rsidRPr="00156CB3">
        <w:rPr>
          <w:rFonts w:ascii="Arial" w:eastAsia="Times New Roman" w:hAnsi="Arial" w:cs="Arial"/>
          <w:sz w:val="20"/>
          <w:szCs w:val="20"/>
          <w:lang w:eastAsia="en-ZA"/>
        </w:rPr>
        <w:t xml:space="preserve">of irregular expenditure and allegations against officials resulted in delays in </w:t>
      </w:r>
      <w:r w:rsidR="00DE2421" w:rsidRPr="00156CB3">
        <w:rPr>
          <w:rFonts w:ascii="Arial" w:eastAsia="Times New Roman" w:hAnsi="Arial" w:cs="Arial"/>
          <w:sz w:val="20"/>
          <w:szCs w:val="20"/>
          <w:lang w:eastAsia="en-ZA"/>
        </w:rPr>
        <w:t xml:space="preserve">implementing </w:t>
      </w:r>
      <w:r w:rsidRPr="00156CB3">
        <w:rPr>
          <w:rFonts w:ascii="Arial" w:eastAsia="Times New Roman" w:hAnsi="Arial" w:cs="Arial"/>
          <w:sz w:val="20"/>
          <w:szCs w:val="20"/>
          <w:lang w:eastAsia="en-ZA"/>
        </w:rPr>
        <w:t>consequence management.</w:t>
      </w:r>
    </w:p>
    <w:p w:rsidR="00251B26" w:rsidRPr="00156CB3" w:rsidRDefault="00251B26" w:rsidP="00156CB3">
      <w:pPr>
        <w:spacing w:after="0" w:line="240" w:lineRule="auto"/>
        <w:rPr>
          <w:rFonts w:ascii="Arial" w:eastAsia="Times New Roman" w:hAnsi="Arial" w:cs="Arial"/>
          <w:sz w:val="20"/>
          <w:szCs w:val="20"/>
          <w:lang w:eastAsia="en-ZA"/>
        </w:rPr>
      </w:pPr>
    </w:p>
    <w:p w:rsidR="00BB16C6" w:rsidRPr="00156CB3" w:rsidRDefault="00251B2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During the year under review, the department incurred irregular </w:t>
      </w:r>
      <w:r w:rsidR="005A0193" w:rsidRPr="00156CB3">
        <w:rPr>
          <w:rFonts w:ascii="Arial" w:eastAsia="Times New Roman" w:hAnsi="Arial" w:cs="Arial"/>
          <w:sz w:val="20"/>
          <w:szCs w:val="20"/>
          <w:lang w:eastAsia="en-ZA"/>
        </w:rPr>
        <w:t>expendi</w:t>
      </w:r>
      <w:r w:rsidR="008674EA" w:rsidRPr="00156CB3">
        <w:rPr>
          <w:rFonts w:ascii="Arial" w:eastAsia="Times New Roman" w:hAnsi="Arial" w:cs="Arial"/>
          <w:sz w:val="20"/>
          <w:szCs w:val="20"/>
          <w:lang w:eastAsia="en-ZA"/>
        </w:rPr>
        <w:t xml:space="preserve">ture amounting to R9.3 billion on the Main Account. </w:t>
      </w:r>
      <w:r w:rsidR="00BB16C6" w:rsidRPr="00156CB3">
        <w:rPr>
          <w:rFonts w:ascii="Arial" w:eastAsia="Times New Roman" w:hAnsi="Arial" w:cs="Arial"/>
          <w:sz w:val="20"/>
          <w:szCs w:val="20"/>
          <w:lang w:eastAsia="en-ZA"/>
        </w:rPr>
        <w:t>On consequence management, the material non-compliance issues related to ongoing investigations, sanctions/recommendations not implemented for completed forensic investigations and failure to properly deal with allegations reported in the prior year.</w:t>
      </w:r>
    </w:p>
    <w:p w:rsidR="00356BB6" w:rsidRPr="00156CB3" w:rsidRDefault="00356BB6" w:rsidP="00156CB3">
      <w:pPr>
        <w:spacing w:after="0" w:line="240" w:lineRule="auto"/>
        <w:rPr>
          <w:rFonts w:ascii="Arial" w:eastAsia="Times New Roman" w:hAnsi="Arial" w:cs="Arial"/>
          <w:sz w:val="20"/>
          <w:szCs w:val="20"/>
          <w:lang w:eastAsia="en-ZA"/>
        </w:rPr>
      </w:pPr>
    </w:p>
    <w:p w:rsidR="00356BB6" w:rsidRPr="00156CB3" w:rsidRDefault="009937BB" w:rsidP="00156CB3">
      <w:pPr>
        <w:pStyle w:val="ListParagraph"/>
        <w:numPr>
          <w:ilvl w:val="0"/>
          <w:numId w:val="7"/>
        </w:numPr>
        <w:spacing w:after="0" w:line="240" w:lineRule="auto"/>
        <w:rPr>
          <w:rFonts w:ascii="Arial" w:eastAsia="Times New Roman" w:hAnsi="Arial" w:cs="Arial"/>
          <w:sz w:val="20"/>
          <w:szCs w:val="20"/>
          <w:lang w:eastAsia="en-ZA"/>
        </w:rPr>
      </w:pPr>
      <w:r w:rsidRPr="00156CB3">
        <w:rPr>
          <w:rFonts w:ascii="Arial" w:eastAsia="Times New Roman" w:hAnsi="Arial" w:cs="Arial"/>
          <w:b/>
          <w:sz w:val="20"/>
          <w:szCs w:val="20"/>
          <w:lang w:eastAsia="en-ZA"/>
        </w:rPr>
        <w:t>Water Trading Entity</w:t>
      </w:r>
    </w:p>
    <w:p w:rsidR="009937BB" w:rsidRPr="00156CB3" w:rsidRDefault="009937BB" w:rsidP="00156CB3">
      <w:pPr>
        <w:spacing w:after="0" w:line="240" w:lineRule="auto"/>
        <w:rPr>
          <w:rFonts w:ascii="Arial" w:eastAsia="Times New Roman" w:hAnsi="Arial" w:cs="Arial"/>
          <w:sz w:val="20"/>
          <w:szCs w:val="20"/>
          <w:lang w:eastAsia="en-ZA"/>
        </w:rPr>
      </w:pPr>
    </w:p>
    <w:p w:rsidR="009937BB" w:rsidRPr="00156CB3" w:rsidRDefault="00523D3D"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lastRenderedPageBreak/>
        <w:t xml:space="preserve">The Water Trading Entity received an unqualified </w:t>
      </w:r>
      <w:r w:rsidR="00EC2BC9" w:rsidRPr="00156CB3">
        <w:rPr>
          <w:rFonts w:ascii="Arial" w:eastAsia="Times New Roman" w:hAnsi="Arial" w:cs="Arial"/>
          <w:sz w:val="20"/>
          <w:szCs w:val="20"/>
          <w:lang w:eastAsia="en-ZA"/>
        </w:rPr>
        <w:t>audit outcome with findings in</w:t>
      </w:r>
      <w:r w:rsidRPr="00156CB3">
        <w:rPr>
          <w:rFonts w:ascii="Arial" w:eastAsia="Times New Roman" w:hAnsi="Arial" w:cs="Arial"/>
          <w:sz w:val="20"/>
          <w:szCs w:val="20"/>
          <w:lang w:eastAsia="en-ZA"/>
        </w:rPr>
        <w:t xml:space="preserve"> compliance with legislation due to the lack of improvements in the overall control environment and ineffective monitoring of audit action plans.  Controls around compliance with laws and regulations should be strengthened. Reviews of the financial statements s</w:t>
      </w:r>
      <w:r w:rsidR="00224BF5" w:rsidRPr="00156CB3">
        <w:rPr>
          <w:rFonts w:ascii="Arial" w:eastAsia="Times New Roman" w:hAnsi="Arial" w:cs="Arial"/>
          <w:sz w:val="20"/>
          <w:szCs w:val="20"/>
          <w:lang w:eastAsia="en-ZA"/>
        </w:rPr>
        <w:t>hould be enhanced to ensure</w:t>
      </w:r>
      <w:r w:rsidRPr="00156CB3">
        <w:rPr>
          <w:rFonts w:ascii="Arial" w:eastAsia="Times New Roman" w:hAnsi="Arial" w:cs="Arial"/>
          <w:sz w:val="20"/>
          <w:szCs w:val="20"/>
          <w:lang w:eastAsia="en-ZA"/>
        </w:rPr>
        <w:t xml:space="preserve"> they are free from material misstatements</w:t>
      </w:r>
      <w:r w:rsidR="00224BF5"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t>
      </w:r>
      <w:r w:rsidR="00224BF5" w:rsidRPr="00156CB3">
        <w:rPr>
          <w:rFonts w:ascii="Arial" w:eastAsia="Times New Roman" w:hAnsi="Arial" w:cs="Arial"/>
          <w:sz w:val="20"/>
          <w:szCs w:val="20"/>
          <w:lang w:eastAsia="en-ZA"/>
        </w:rPr>
        <w:t>T</w:t>
      </w:r>
      <w:r w:rsidRPr="00156CB3">
        <w:rPr>
          <w:rFonts w:ascii="Arial" w:eastAsia="Times New Roman" w:hAnsi="Arial" w:cs="Arial"/>
          <w:sz w:val="20"/>
          <w:szCs w:val="20"/>
          <w:lang w:eastAsia="en-ZA"/>
        </w:rPr>
        <w:t xml:space="preserve">he </w:t>
      </w:r>
      <w:r w:rsidR="00224BF5" w:rsidRPr="00156CB3">
        <w:rPr>
          <w:rFonts w:ascii="Arial" w:eastAsia="Times New Roman" w:hAnsi="Arial" w:cs="Arial"/>
          <w:sz w:val="20"/>
          <w:szCs w:val="20"/>
          <w:lang w:eastAsia="en-ZA"/>
        </w:rPr>
        <w:t>accounting officer ensures</w:t>
      </w:r>
      <w:r w:rsidRPr="00156CB3">
        <w:rPr>
          <w:rFonts w:ascii="Arial" w:eastAsia="Times New Roman" w:hAnsi="Arial" w:cs="Arial"/>
          <w:sz w:val="20"/>
          <w:szCs w:val="20"/>
          <w:lang w:eastAsia="en-ZA"/>
        </w:rPr>
        <w:t xml:space="preserve"> </w:t>
      </w:r>
      <w:r w:rsidR="00224BF5" w:rsidRPr="00156CB3">
        <w:rPr>
          <w:rFonts w:ascii="Arial" w:eastAsia="Times New Roman" w:hAnsi="Arial" w:cs="Arial"/>
          <w:sz w:val="20"/>
          <w:szCs w:val="20"/>
          <w:lang w:eastAsia="en-ZA"/>
        </w:rPr>
        <w:t xml:space="preserve">that </w:t>
      </w:r>
      <w:r w:rsidRPr="00156CB3">
        <w:rPr>
          <w:rFonts w:ascii="Arial" w:eastAsia="Times New Roman" w:hAnsi="Arial" w:cs="Arial"/>
          <w:sz w:val="20"/>
          <w:szCs w:val="20"/>
          <w:lang w:eastAsia="en-ZA"/>
        </w:rPr>
        <w:t xml:space="preserve">documentation supporting the </w:t>
      </w:r>
      <w:r w:rsidR="00E4680F" w:rsidRPr="00156CB3">
        <w:rPr>
          <w:rFonts w:ascii="Arial" w:eastAsia="Times New Roman" w:hAnsi="Arial" w:cs="Arial"/>
          <w:sz w:val="20"/>
          <w:szCs w:val="20"/>
          <w:lang w:eastAsia="en-ZA"/>
        </w:rPr>
        <w:t>Lesotho Highlands Water Project is re</w:t>
      </w:r>
      <w:r w:rsidR="00224BF5" w:rsidRPr="00156CB3">
        <w:rPr>
          <w:rFonts w:ascii="Arial" w:eastAsia="Times New Roman" w:hAnsi="Arial" w:cs="Arial"/>
          <w:sz w:val="20"/>
          <w:szCs w:val="20"/>
          <w:lang w:eastAsia="en-ZA"/>
        </w:rPr>
        <w:t>ctified.</w:t>
      </w:r>
    </w:p>
    <w:p w:rsidR="00251B26" w:rsidRPr="00156CB3" w:rsidRDefault="00251B26" w:rsidP="00156CB3">
      <w:pPr>
        <w:spacing w:after="0" w:line="240" w:lineRule="auto"/>
        <w:rPr>
          <w:rFonts w:ascii="Arial" w:eastAsia="Times New Roman" w:hAnsi="Arial" w:cs="Arial"/>
          <w:sz w:val="20"/>
          <w:szCs w:val="20"/>
          <w:lang w:eastAsia="en-ZA"/>
        </w:rPr>
      </w:pPr>
    </w:p>
    <w:p w:rsidR="00AF3BCF" w:rsidRPr="00156CB3" w:rsidRDefault="00251B2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entity incurred irregular </w:t>
      </w:r>
      <w:r w:rsidR="008674EA" w:rsidRPr="00156CB3">
        <w:rPr>
          <w:rFonts w:ascii="Arial" w:eastAsia="Times New Roman" w:hAnsi="Arial" w:cs="Arial"/>
          <w:sz w:val="20"/>
          <w:szCs w:val="20"/>
          <w:lang w:eastAsia="en-ZA"/>
        </w:rPr>
        <w:t>expenditure amounting to R8.1 billion.</w:t>
      </w:r>
      <w:r w:rsidR="005A0193" w:rsidRPr="00156CB3">
        <w:rPr>
          <w:rFonts w:ascii="Arial" w:eastAsia="Times New Roman" w:hAnsi="Arial" w:cs="Arial"/>
          <w:sz w:val="20"/>
          <w:szCs w:val="20"/>
          <w:lang w:eastAsia="en-ZA"/>
        </w:rPr>
        <w:t xml:space="preserve"> </w:t>
      </w:r>
      <w:r w:rsidR="00BB16C6" w:rsidRPr="00156CB3">
        <w:rPr>
          <w:rFonts w:ascii="Arial" w:eastAsia="Times New Roman" w:hAnsi="Arial" w:cs="Arial"/>
          <w:sz w:val="20"/>
          <w:szCs w:val="20"/>
          <w:lang w:eastAsia="en-ZA"/>
        </w:rPr>
        <w:t>On consequence management, the material non-compliance issues related to ongoing investigations, sanctions/recommendation not implemented for completed forensic investigations and failure to properly deal with allegations reported in the prior year.</w:t>
      </w:r>
    </w:p>
    <w:p w:rsidR="00AF3BCF" w:rsidRPr="00156CB3" w:rsidRDefault="00AF3BCF" w:rsidP="00156CB3">
      <w:pPr>
        <w:spacing w:after="0" w:line="240" w:lineRule="auto"/>
        <w:rPr>
          <w:rFonts w:ascii="Arial" w:eastAsia="Times New Roman" w:hAnsi="Arial" w:cs="Arial"/>
          <w:b/>
          <w:sz w:val="20"/>
          <w:szCs w:val="20"/>
          <w:lang w:eastAsia="en-ZA"/>
        </w:rPr>
      </w:pPr>
    </w:p>
    <w:p w:rsidR="00AF3BCF" w:rsidRPr="00156CB3" w:rsidRDefault="00AF3BCF" w:rsidP="00156CB3">
      <w:pPr>
        <w:pStyle w:val="ListParagraph"/>
        <w:numPr>
          <w:ilvl w:val="1"/>
          <w:numId w:val="7"/>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Performance audit on the Department of Water and Sanitation</w:t>
      </w:r>
    </w:p>
    <w:p w:rsidR="00AF3BCF" w:rsidRPr="00156CB3" w:rsidRDefault="00AF3BCF" w:rsidP="00156CB3">
      <w:pPr>
        <w:spacing w:after="0" w:line="240" w:lineRule="auto"/>
        <w:rPr>
          <w:rFonts w:ascii="Arial" w:eastAsia="Times New Roman" w:hAnsi="Arial" w:cs="Arial"/>
          <w:sz w:val="20"/>
          <w:szCs w:val="20"/>
          <w:lang w:eastAsia="en-ZA"/>
        </w:rPr>
      </w:pPr>
    </w:p>
    <w:p w:rsidR="00AF3BCF" w:rsidRPr="00156CB3" w:rsidRDefault="00AF3BC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An assessment of </w:t>
      </w:r>
      <w:r w:rsidRPr="00156CB3">
        <w:rPr>
          <w:rFonts w:ascii="Arial" w:eastAsia="Times New Roman" w:hAnsi="Arial" w:cs="Arial"/>
          <w:b/>
          <w:sz w:val="20"/>
          <w:szCs w:val="20"/>
          <w:lang w:eastAsia="en-ZA"/>
        </w:rPr>
        <w:t>Programme 3 – Water Services Management</w:t>
      </w:r>
      <w:r w:rsidRPr="00156CB3">
        <w:rPr>
          <w:rFonts w:ascii="Arial" w:eastAsia="Times New Roman" w:hAnsi="Arial" w:cs="Arial"/>
          <w:sz w:val="20"/>
          <w:szCs w:val="20"/>
          <w:lang w:eastAsia="en-ZA"/>
        </w:rPr>
        <w:t xml:space="preserve"> showed that the department set targets greater than those required by the Medium-Term Strategic Framework for the number of bulk water supply projects implemented but fell short of the target by 61 per cent.  The Department also did not achieve the set targets for the number of dam rehabilitation projects and new dams constructed.  The root causes for the non-achievement of these indicators relate to inadequate project management, inadequate supervision of contractors resulting in the late identification of poor performance of contractors and protracted supply chain management processes.</w:t>
      </w:r>
    </w:p>
    <w:p w:rsidR="00AF3BCF" w:rsidRPr="00156CB3" w:rsidRDefault="00AF3BCF" w:rsidP="00156CB3">
      <w:pPr>
        <w:spacing w:after="0" w:line="240" w:lineRule="auto"/>
        <w:rPr>
          <w:rFonts w:ascii="Arial" w:eastAsia="Times New Roman" w:hAnsi="Arial" w:cs="Arial"/>
          <w:sz w:val="20"/>
          <w:szCs w:val="20"/>
          <w:lang w:eastAsia="en-ZA"/>
        </w:rPr>
      </w:pPr>
    </w:p>
    <w:p w:rsidR="00AF3BCF" w:rsidRPr="00156CB3" w:rsidRDefault="00AF3BC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For the number of bucket sanitation systems eradicated in formal areas, the department set the target of 23 019 over two (2) years (2019/20 and 2020/21)</w:t>
      </w:r>
      <w:r w:rsidR="00224BF5"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which is above the targets set by the Medium-Term Strategic Framework.  The department achieved only 6 per cent of the set target. Of concern was that the department did not set any targets for the programme for the 2021/22 financial year. One key indicator in the MTSF not included in the annual performance plan was </w:t>
      </w:r>
      <w:r w:rsidR="00224BF5" w:rsidRPr="00156CB3">
        <w:rPr>
          <w:rFonts w:ascii="Arial" w:eastAsia="Times New Roman" w:hAnsi="Arial" w:cs="Arial"/>
          <w:sz w:val="20"/>
          <w:szCs w:val="20"/>
          <w:lang w:eastAsia="en-ZA"/>
        </w:rPr>
        <w:t xml:space="preserve">eradicating </w:t>
      </w:r>
      <w:r w:rsidRPr="00156CB3">
        <w:rPr>
          <w:rFonts w:ascii="Arial" w:eastAsia="Times New Roman" w:hAnsi="Arial" w:cs="Arial"/>
          <w:sz w:val="20"/>
          <w:szCs w:val="20"/>
          <w:lang w:eastAsia="en-ZA"/>
        </w:rPr>
        <w:t>the bucket sanitation system.  In the year under review, the department allocated R292.6 million from the Regional Bulk Infrastructur</w:t>
      </w:r>
      <w:r w:rsidR="00224BF5" w:rsidRPr="00156CB3">
        <w:rPr>
          <w:rFonts w:ascii="Arial" w:eastAsia="Times New Roman" w:hAnsi="Arial" w:cs="Arial"/>
          <w:sz w:val="20"/>
          <w:szCs w:val="20"/>
          <w:lang w:eastAsia="en-ZA"/>
        </w:rPr>
        <w:t>e Grant (RBIG)</w:t>
      </w:r>
      <w:r w:rsidRPr="00156CB3">
        <w:rPr>
          <w:rFonts w:ascii="Arial" w:eastAsia="Times New Roman" w:hAnsi="Arial" w:cs="Arial"/>
          <w:sz w:val="20"/>
          <w:szCs w:val="20"/>
          <w:lang w:eastAsia="en-ZA"/>
        </w:rPr>
        <w:t xml:space="preserve"> in Free State and Northern Cape, but only R48.9 million was spent.  </w:t>
      </w:r>
    </w:p>
    <w:p w:rsidR="00AF3BCF" w:rsidRPr="00156CB3" w:rsidRDefault="00AF3BCF" w:rsidP="00156CB3">
      <w:pPr>
        <w:spacing w:after="0" w:line="240" w:lineRule="auto"/>
        <w:rPr>
          <w:rFonts w:ascii="Arial" w:eastAsia="Times New Roman" w:hAnsi="Arial" w:cs="Arial"/>
          <w:sz w:val="20"/>
          <w:szCs w:val="20"/>
          <w:lang w:eastAsia="en-ZA"/>
        </w:rPr>
      </w:pPr>
    </w:p>
    <w:p w:rsidR="00391533" w:rsidRPr="00156CB3" w:rsidRDefault="00391533" w:rsidP="00156CB3">
      <w:pPr>
        <w:pStyle w:val="ListParagraph"/>
        <w:numPr>
          <w:ilvl w:val="0"/>
          <w:numId w:val="7"/>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Trans-Caledon Tunnel Authority</w:t>
      </w:r>
    </w:p>
    <w:p w:rsidR="00E4680F" w:rsidRPr="00156CB3" w:rsidRDefault="00DA112E"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 </w:t>
      </w:r>
    </w:p>
    <w:p w:rsidR="00E4680F" w:rsidRPr="00156CB3" w:rsidRDefault="00DA112E"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Trans-Caledon Tunnel Authority received an unqualified audit outcome with findings on compliance.  Controls on compliance with laws and regulations should be strengthened, audit action plans should be effectively monitored to prevent repeat findings</w:t>
      </w:r>
      <w:r w:rsidR="00DE2421"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and financial statements should be appropriately reviewed to ensure they are free from mat</w:t>
      </w:r>
      <w:r w:rsidR="00DE2421" w:rsidRPr="00156CB3">
        <w:rPr>
          <w:rFonts w:ascii="Arial" w:eastAsia="Times New Roman" w:hAnsi="Arial" w:cs="Arial"/>
          <w:sz w:val="20"/>
          <w:szCs w:val="20"/>
          <w:lang w:eastAsia="en-ZA"/>
        </w:rPr>
        <w:t>erial misstatements before</w:t>
      </w:r>
      <w:r w:rsidRPr="00156CB3">
        <w:rPr>
          <w:rFonts w:ascii="Arial" w:eastAsia="Times New Roman" w:hAnsi="Arial" w:cs="Arial"/>
          <w:sz w:val="20"/>
          <w:szCs w:val="20"/>
          <w:lang w:eastAsia="en-ZA"/>
        </w:rPr>
        <w:t xml:space="preserve"> </w:t>
      </w:r>
      <w:r w:rsidR="00DE2421" w:rsidRPr="00156CB3">
        <w:rPr>
          <w:rFonts w:ascii="Arial" w:eastAsia="Times New Roman" w:hAnsi="Arial" w:cs="Arial"/>
          <w:sz w:val="20"/>
          <w:szCs w:val="20"/>
          <w:lang w:eastAsia="en-ZA"/>
        </w:rPr>
        <w:t xml:space="preserve">audit </w:t>
      </w:r>
      <w:r w:rsidRPr="00156CB3">
        <w:rPr>
          <w:rFonts w:ascii="Arial" w:eastAsia="Times New Roman" w:hAnsi="Arial" w:cs="Arial"/>
          <w:sz w:val="20"/>
          <w:szCs w:val="20"/>
          <w:lang w:eastAsia="en-ZA"/>
        </w:rPr>
        <w:t>submission</w:t>
      </w:r>
      <w:r w:rsidR="00DE2421" w:rsidRPr="00156CB3">
        <w:rPr>
          <w:rFonts w:ascii="Arial" w:eastAsia="Times New Roman" w:hAnsi="Arial" w:cs="Arial"/>
          <w:sz w:val="20"/>
          <w:szCs w:val="20"/>
          <w:lang w:eastAsia="en-ZA"/>
        </w:rPr>
        <w:t>s.</w:t>
      </w:r>
      <w:r w:rsidRPr="00156CB3">
        <w:rPr>
          <w:rFonts w:ascii="Arial" w:eastAsia="Times New Roman" w:hAnsi="Arial" w:cs="Arial"/>
          <w:sz w:val="20"/>
          <w:szCs w:val="20"/>
          <w:lang w:eastAsia="en-ZA"/>
        </w:rPr>
        <w:t xml:space="preserve"> </w:t>
      </w:r>
    </w:p>
    <w:p w:rsidR="001D1925" w:rsidRPr="00156CB3" w:rsidRDefault="001D1925" w:rsidP="00156CB3">
      <w:pPr>
        <w:spacing w:after="0" w:line="240" w:lineRule="auto"/>
        <w:rPr>
          <w:rFonts w:ascii="Arial" w:eastAsia="Times New Roman" w:hAnsi="Arial" w:cs="Arial"/>
          <w:sz w:val="20"/>
          <w:szCs w:val="20"/>
          <w:lang w:eastAsia="en-ZA"/>
        </w:rPr>
      </w:pPr>
    </w:p>
    <w:p w:rsidR="00685304" w:rsidRPr="00156CB3" w:rsidRDefault="00BB16C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entity incurred irregular expenditure amounting to R32.9 million, an increase of 94 per cent compared to the prior year. Fruitless and wasteful expenditure amounting to R194 million.</w:t>
      </w:r>
      <w:r w:rsidR="00C01A5A" w:rsidRPr="00156CB3">
        <w:rPr>
          <w:rFonts w:ascii="Arial" w:eastAsia="Times New Roman" w:hAnsi="Arial" w:cs="Arial"/>
          <w:sz w:val="20"/>
          <w:szCs w:val="20"/>
          <w:lang w:eastAsia="en-ZA"/>
        </w:rPr>
        <w:t xml:space="preserve"> </w:t>
      </w:r>
      <w:r w:rsidR="00685304" w:rsidRPr="00156CB3">
        <w:rPr>
          <w:rFonts w:ascii="Arial" w:eastAsia="Times New Roman" w:hAnsi="Arial" w:cs="Arial"/>
          <w:sz w:val="20"/>
          <w:szCs w:val="20"/>
          <w:lang w:eastAsia="en-ZA"/>
        </w:rPr>
        <w:t>On consequence management, the material non-compliance issues related to ongoing investigations, sanctions/recommendations not implemented for completed forensic investigations and failure to properly deal with allegations reported in the prior year.</w:t>
      </w:r>
    </w:p>
    <w:p w:rsidR="00AE613E" w:rsidRPr="00156CB3" w:rsidRDefault="00AE613E" w:rsidP="00156CB3">
      <w:pPr>
        <w:spacing w:after="0" w:line="240" w:lineRule="auto"/>
        <w:rPr>
          <w:rFonts w:ascii="Arial" w:eastAsia="Times New Roman" w:hAnsi="Arial" w:cs="Arial"/>
          <w:sz w:val="20"/>
          <w:szCs w:val="20"/>
          <w:lang w:eastAsia="en-ZA"/>
        </w:rPr>
      </w:pPr>
    </w:p>
    <w:p w:rsidR="00AF3BCF" w:rsidRPr="00156CB3" w:rsidRDefault="00AF3BCF" w:rsidP="00156CB3">
      <w:pPr>
        <w:pStyle w:val="ListParagraph"/>
        <w:numPr>
          <w:ilvl w:val="1"/>
          <w:numId w:val="7"/>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Performance audit on the Trans-Caledon Tunnel Authority</w:t>
      </w:r>
    </w:p>
    <w:p w:rsidR="00AF3BCF" w:rsidRPr="00156CB3" w:rsidRDefault="00AF3BCF" w:rsidP="00156CB3">
      <w:pPr>
        <w:spacing w:after="0" w:line="240" w:lineRule="auto"/>
        <w:rPr>
          <w:rFonts w:ascii="Arial" w:eastAsia="Times New Roman" w:hAnsi="Arial" w:cs="Arial"/>
          <w:b/>
          <w:sz w:val="20"/>
          <w:szCs w:val="20"/>
          <w:lang w:eastAsia="en-ZA"/>
        </w:rPr>
      </w:pPr>
    </w:p>
    <w:p w:rsidR="00AF3BCF" w:rsidRPr="00156CB3" w:rsidRDefault="00AF3BC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On Objective 2</w:t>
      </w:r>
      <w:r w:rsidR="00192170"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t>
      </w:r>
      <w:r w:rsidR="00192170" w:rsidRPr="00156CB3">
        <w:rPr>
          <w:rFonts w:ascii="Arial" w:eastAsia="Times New Roman" w:hAnsi="Arial" w:cs="Arial"/>
          <w:sz w:val="20"/>
          <w:szCs w:val="20"/>
          <w:lang w:eastAsia="en-ZA"/>
        </w:rPr>
        <w:t>O</w:t>
      </w:r>
      <w:r w:rsidRPr="00156CB3">
        <w:rPr>
          <w:rFonts w:ascii="Arial" w:eastAsia="Times New Roman" w:hAnsi="Arial" w:cs="Arial"/>
          <w:sz w:val="20"/>
          <w:szCs w:val="20"/>
          <w:lang w:eastAsia="en-ZA"/>
        </w:rPr>
        <w:t>perate and maintain designated projects to meet departmental requirements/specifications, two targets were not achieved</w:t>
      </w:r>
      <w:r w:rsidR="00224BF5" w:rsidRPr="00156CB3">
        <w:rPr>
          <w:rFonts w:ascii="Arial" w:eastAsia="Times New Roman" w:hAnsi="Arial" w:cs="Arial"/>
          <w:sz w:val="20"/>
          <w:szCs w:val="20"/>
          <w:lang w:eastAsia="en-ZA"/>
        </w:rPr>
        <w:t>, resulting</w:t>
      </w:r>
      <w:r w:rsidRPr="00156CB3">
        <w:rPr>
          <w:rFonts w:ascii="Arial" w:eastAsia="Times New Roman" w:hAnsi="Arial" w:cs="Arial"/>
          <w:sz w:val="20"/>
          <w:szCs w:val="20"/>
          <w:lang w:eastAsia="en-ZA"/>
        </w:rPr>
        <w:t xml:space="preserve"> in 28.5 per cent non-achievement.  These relate to the tender documents to prepare for </w:t>
      </w:r>
      <w:r w:rsidR="00224BF5"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tunnel outage of Phase 2 of the Lesotho Highlands Water Project</w:t>
      </w:r>
      <w:r w:rsidR="00224BF5"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which was to be finalised in the 2021/22 financial year.  Another area highlighted </w:t>
      </w:r>
      <w:r w:rsidR="00224BF5" w:rsidRPr="00156CB3">
        <w:rPr>
          <w:rFonts w:ascii="Arial" w:eastAsia="Times New Roman" w:hAnsi="Arial" w:cs="Arial"/>
          <w:sz w:val="20"/>
          <w:szCs w:val="20"/>
          <w:lang w:eastAsia="en-ZA"/>
        </w:rPr>
        <w:t xml:space="preserve">is </w:t>
      </w:r>
      <w:r w:rsidRPr="00156CB3">
        <w:rPr>
          <w:rFonts w:ascii="Arial" w:eastAsia="Times New Roman" w:hAnsi="Arial" w:cs="Arial"/>
          <w:sz w:val="20"/>
          <w:szCs w:val="20"/>
          <w:lang w:eastAsia="en-ZA"/>
        </w:rPr>
        <w:t xml:space="preserve">related to the operation and maintenance of acid mine drainage by TCTA in the eastern, central and western basins.  Due to </w:t>
      </w:r>
      <w:r w:rsidR="00224BF5"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failure of motor pumps, no operations took place in the eastern basin from 2 February 2022.</w:t>
      </w:r>
    </w:p>
    <w:p w:rsidR="00685304" w:rsidRPr="00156CB3" w:rsidRDefault="00685304" w:rsidP="00156CB3">
      <w:pPr>
        <w:spacing w:after="0" w:line="240" w:lineRule="auto"/>
        <w:rPr>
          <w:rFonts w:ascii="Arial" w:eastAsia="Times New Roman" w:hAnsi="Arial" w:cs="Arial"/>
          <w:b/>
          <w:sz w:val="20"/>
          <w:szCs w:val="20"/>
          <w:lang w:eastAsia="en-ZA"/>
        </w:rPr>
      </w:pPr>
    </w:p>
    <w:p w:rsidR="00391533" w:rsidRPr="00156CB3" w:rsidRDefault="00391533" w:rsidP="00156CB3">
      <w:pPr>
        <w:pStyle w:val="ListParagraph"/>
        <w:numPr>
          <w:ilvl w:val="0"/>
          <w:numId w:val="7"/>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Water Research Commission</w:t>
      </w:r>
    </w:p>
    <w:p w:rsidR="008B07E0" w:rsidRPr="00156CB3" w:rsidRDefault="008B07E0" w:rsidP="00156CB3">
      <w:pPr>
        <w:spacing w:after="0" w:line="240" w:lineRule="auto"/>
        <w:rPr>
          <w:rFonts w:ascii="Arial" w:eastAsia="Times New Roman" w:hAnsi="Arial" w:cs="Arial"/>
          <w:sz w:val="20"/>
          <w:szCs w:val="20"/>
          <w:lang w:eastAsia="en-ZA"/>
        </w:rPr>
      </w:pPr>
    </w:p>
    <w:p w:rsidR="00BB16C6" w:rsidRPr="00156CB3" w:rsidRDefault="00413735"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Water Research Commission remained unqualified with no findings on compliance.  The Auditor-General noted </w:t>
      </w:r>
      <w:r w:rsidR="00224BF5" w:rsidRPr="00156CB3">
        <w:rPr>
          <w:rFonts w:ascii="Arial" w:eastAsia="Times New Roman" w:hAnsi="Arial" w:cs="Arial"/>
          <w:sz w:val="20"/>
          <w:szCs w:val="20"/>
          <w:lang w:eastAsia="en-ZA"/>
        </w:rPr>
        <w:t xml:space="preserve">a </w:t>
      </w:r>
      <w:r w:rsidRPr="00156CB3">
        <w:rPr>
          <w:rFonts w:ascii="Arial" w:eastAsia="Times New Roman" w:hAnsi="Arial" w:cs="Arial"/>
          <w:sz w:val="20"/>
          <w:szCs w:val="20"/>
          <w:lang w:eastAsia="en-ZA"/>
        </w:rPr>
        <w:t xml:space="preserve">strong internal control environment over the recording and reporting of financial and </w:t>
      </w:r>
      <w:r w:rsidR="00E06966" w:rsidRPr="00156CB3">
        <w:rPr>
          <w:rFonts w:ascii="Arial" w:eastAsia="Times New Roman" w:hAnsi="Arial" w:cs="Arial"/>
          <w:sz w:val="20"/>
          <w:szCs w:val="20"/>
          <w:lang w:eastAsia="en-ZA"/>
        </w:rPr>
        <w:t>performance information</w:t>
      </w:r>
      <w:r w:rsidRPr="00156CB3">
        <w:rPr>
          <w:rFonts w:ascii="Arial" w:eastAsia="Times New Roman" w:hAnsi="Arial" w:cs="Arial"/>
          <w:sz w:val="20"/>
          <w:szCs w:val="20"/>
          <w:lang w:eastAsia="en-ZA"/>
        </w:rPr>
        <w:t xml:space="preserve"> </w:t>
      </w:r>
      <w:r w:rsidR="00224BF5" w:rsidRPr="00156CB3">
        <w:rPr>
          <w:rFonts w:ascii="Arial" w:eastAsia="Times New Roman" w:hAnsi="Arial" w:cs="Arial"/>
          <w:sz w:val="20"/>
          <w:szCs w:val="20"/>
          <w:lang w:eastAsia="en-ZA"/>
        </w:rPr>
        <w:t>and</w:t>
      </w:r>
      <w:r w:rsidR="00E06966"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 xml:space="preserve">disciplined adherence to applicable legislation that assisted </w:t>
      </w:r>
      <w:r w:rsidR="00E06966" w:rsidRPr="00156CB3">
        <w:rPr>
          <w:rFonts w:ascii="Arial" w:eastAsia="Times New Roman" w:hAnsi="Arial" w:cs="Arial"/>
          <w:sz w:val="20"/>
          <w:szCs w:val="20"/>
          <w:lang w:eastAsia="en-ZA"/>
        </w:rPr>
        <w:t>the entity in</w:t>
      </w:r>
      <w:r w:rsidRPr="00156CB3">
        <w:rPr>
          <w:rFonts w:ascii="Arial" w:eastAsia="Times New Roman" w:hAnsi="Arial" w:cs="Arial"/>
          <w:sz w:val="20"/>
          <w:szCs w:val="20"/>
          <w:lang w:eastAsia="en-ZA"/>
        </w:rPr>
        <w:t xml:space="preserve"> achieving a clean audit.</w:t>
      </w:r>
      <w:r w:rsidR="00C01A5A" w:rsidRPr="00156CB3">
        <w:rPr>
          <w:rFonts w:ascii="Arial" w:eastAsia="Times New Roman" w:hAnsi="Arial" w:cs="Arial"/>
          <w:sz w:val="20"/>
          <w:szCs w:val="20"/>
          <w:lang w:eastAsia="en-ZA"/>
        </w:rPr>
        <w:t xml:space="preserve"> </w:t>
      </w:r>
      <w:r w:rsidR="00BB16C6" w:rsidRPr="00156CB3">
        <w:rPr>
          <w:rFonts w:ascii="Arial" w:eastAsia="Times New Roman" w:hAnsi="Arial" w:cs="Arial"/>
          <w:sz w:val="20"/>
          <w:szCs w:val="20"/>
          <w:lang w:eastAsia="en-ZA"/>
        </w:rPr>
        <w:t xml:space="preserve">The entity incurred irregular expenditure of R12.2 million, an increase of 100 </w:t>
      </w:r>
      <w:r w:rsidR="00BB16C6" w:rsidRPr="00156CB3">
        <w:rPr>
          <w:rFonts w:ascii="Arial" w:eastAsia="Times New Roman" w:hAnsi="Arial" w:cs="Arial"/>
          <w:sz w:val="20"/>
          <w:szCs w:val="20"/>
          <w:lang w:eastAsia="en-ZA"/>
        </w:rPr>
        <w:lastRenderedPageBreak/>
        <w:t xml:space="preserve">per cent compared to the prior year. This </w:t>
      </w:r>
      <w:r w:rsidR="00E06966" w:rsidRPr="00156CB3">
        <w:rPr>
          <w:rFonts w:ascii="Arial" w:eastAsia="Times New Roman" w:hAnsi="Arial" w:cs="Arial"/>
          <w:sz w:val="20"/>
          <w:szCs w:val="20"/>
          <w:lang w:eastAsia="en-ZA"/>
        </w:rPr>
        <w:t xml:space="preserve">is </w:t>
      </w:r>
      <w:r w:rsidR="00BB16C6" w:rsidRPr="00156CB3">
        <w:rPr>
          <w:rFonts w:ascii="Arial" w:eastAsia="Times New Roman" w:hAnsi="Arial" w:cs="Arial"/>
          <w:sz w:val="20"/>
          <w:szCs w:val="20"/>
          <w:lang w:eastAsia="en-ZA"/>
        </w:rPr>
        <w:t>related to performance bonuses</w:t>
      </w:r>
      <w:r w:rsidR="00EC2BC9" w:rsidRPr="00156CB3">
        <w:rPr>
          <w:rFonts w:ascii="Arial" w:eastAsia="Times New Roman" w:hAnsi="Arial" w:cs="Arial"/>
          <w:sz w:val="20"/>
          <w:szCs w:val="20"/>
          <w:lang w:eastAsia="en-ZA"/>
        </w:rPr>
        <w:t xml:space="preserve"> </w:t>
      </w:r>
      <w:r w:rsidR="00BB16C6" w:rsidRPr="00156CB3">
        <w:rPr>
          <w:rFonts w:ascii="Arial" w:eastAsia="Times New Roman" w:hAnsi="Arial" w:cs="Arial"/>
          <w:sz w:val="20"/>
          <w:szCs w:val="20"/>
          <w:lang w:eastAsia="en-ZA"/>
        </w:rPr>
        <w:t xml:space="preserve">and salary increases </w:t>
      </w:r>
      <w:r w:rsidR="00E724DB" w:rsidRPr="00156CB3">
        <w:rPr>
          <w:rFonts w:ascii="Arial" w:eastAsia="Times New Roman" w:hAnsi="Arial" w:cs="Arial"/>
          <w:sz w:val="20"/>
          <w:szCs w:val="20"/>
          <w:lang w:eastAsia="en-ZA"/>
        </w:rPr>
        <w:t xml:space="preserve">not approved by </w:t>
      </w:r>
      <w:r w:rsidR="00BB16C6" w:rsidRPr="00156CB3">
        <w:rPr>
          <w:rFonts w:ascii="Arial" w:eastAsia="Times New Roman" w:hAnsi="Arial" w:cs="Arial"/>
          <w:sz w:val="20"/>
          <w:szCs w:val="20"/>
          <w:lang w:eastAsia="en-ZA"/>
        </w:rPr>
        <w:t>delegations of authority as required by s56 of the PFMA.</w:t>
      </w:r>
    </w:p>
    <w:p w:rsidR="00751B42" w:rsidRPr="00156CB3" w:rsidRDefault="00751B42" w:rsidP="00156CB3">
      <w:pPr>
        <w:spacing w:after="0" w:line="240" w:lineRule="auto"/>
        <w:rPr>
          <w:rFonts w:ascii="Arial" w:eastAsia="Times New Roman" w:hAnsi="Arial" w:cs="Arial"/>
          <w:sz w:val="20"/>
          <w:szCs w:val="20"/>
          <w:lang w:eastAsia="en-ZA"/>
        </w:rPr>
      </w:pPr>
    </w:p>
    <w:p w:rsidR="00DF568F" w:rsidRPr="00156CB3" w:rsidRDefault="00DF568F"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3.1.3</w:t>
      </w:r>
      <w:r w:rsidRPr="00156CB3">
        <w:rPr>
          <w:rFonts w:ascii="Arial" w:eastAsia="Times New Roman" w:hAnsi="Arial" w:cs="Arial"/>
          <w:b/>
          <w:sz w:val="20"/>
          <w:szCs w:val="20"/>
          <w:lang w:eastAsia="en-ZA"/>
        </w:rPr>
        <w:tab/>
      </w:r>
      <w:r w:rsidR="008A65FB" w:rsidRPr="00156CB3">
        <w:rPr>
          <w:rFonts w:ascii="Arial" w:eastAsia="Times New Roman" w:hAnsi="Arial" w:cs="Arial"/>
          <w:b/>
          <w:sz w:val="20"/>
          <w:szCs w:val="20"/>
          <w:lang w:eastAsia="en-ZA"/>
        </w:rPr>
        <w:t xml:space="preserve">Critical service delivery on assessing </w:t>
      </w:r>
      <w:r w:rsidR="00E06966" w:rsidRPr="00156CB3">
        <w:rPr>
          <w:rFonts w:ascii="Arial" w:eastAsia="Times New Roman" w:hAnsi="Arial" w:cs="Arial"/>
          <w:b/>
          <w:sz w:val="20"/>
          <w:szCs w:val="20"/>
          <w:lang w:eastAsia="en-ZA"/>
        </w:rPr>
        <w:t xml:space="preserve">the </w:t>
      </w:r>
      <w:r w:rsidR="008A65FB" w:rsidRPr="00156CB3">
        <w:rPr>
          <w:rFonts w:ascii="Arial" w:eastAsia="Times New Roman" w:hAnsi="Arial" w:cs="Arial"/>
          <w:b/>
          <w:sz w:val="20"/>
          <w:szCs w:val="20"/>
          <w:lang w:eastAsia="en-ZA"/>
        </w:rPr>
        <w:t xml:space="preserve">management of infrastructure, water </w:t>
      </w:r>
      <w:r w:rsidR="00AE613E" w:rsidRPr="00156CB3">
        <w:rPr>
          <w:rFonts w:ascii="Arial" w:eastAsia="Times New Roman" w:hAnsi="Arial" w:cs="Arial"/>
          <w:b/>
          <w:sz w:val="20"/>
          <w:szCs w:val="20"/>
          <w:lang w:eastAsia="en-ZA"/>
        </w:rPr>
        <w:tab/>
        <w:t xml:space="preserve">quality and </w:t>
      </w:r>
      <w:r w:rsidR="008A65FB" w:rsidRPr="00156CB3">
        <w:rPr>
          <w:rFonts w:ascii="Arial" w:eastAsia="Times New Roman" w:hAnsi="Arial" w:cs="Arial"/>
          <w:b/>
          <w:sz w:val="20"/>
          <w:szCs w:val="20"/>
          <w:lang w:eastAsia="en-ZA"/>
        </w:rPr>
        <w:t>water losses</w:t>
      </w:r>
    </w:p>
    <w:p w:rsidR="00DF568F" w:rsidRPr="00156CB3" w:rsidRDefault="00DF568F" w:rsidP="00156CB3">
      <w:pPr>
        <w:spacing w:after="0" w:line="240" w:lineRule="auto"/>
        <w:rPr>
          <w:rFonts w:ascii="Arial" w:eastAsia="Times New Roman" w:hAnsi="Arial" w:cs="Arial"/>
          <w:b/>
          <w:sz w:val="20"/>
          <w:szCs w:val="20"/>
          <w:lang w:eastAsia="en-ZA"/>
        </w:rPr>
      </w:pPr>
    </w:p>
    <w:p w:rsidR="008A65FB" w:rsidRPr="00156CB3" w:rsidRDefault="00DF568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For the water sector in the 2021/22 financial year, the Auditor-General identified specific focus areas in the water space, such as management and maintenance of critical infrastructure, water quality and water losses.  This approach was intended to analyse the extent and impact of achievements and challenges found within the focus areas, which either enhance or limit critical service delivery of wa</w:t>
      </w:r>
      <w:r w:rsidR="008A65FB" w:rsidRPr="00156CB3">
        <w:rPr>
          <w:rFonts w:ascii="Arial" w:eastAsia="Times New Roman" w:hAnsi="Arial" w:cs="Arial"/>
          <w:sz w:val="20"/>
          <w:szCs w:val="20"/>
          <w:lang w:eastAsia="en-ZA"/>
        </w:rPr>
        <w:t xml:space="preserve">ter and sanitation to citizens. </w:t>
      </w:r>
    </w:p>
    <w:p w:rsidR="001D1925" w:rsidRPr="00156CB3" w:rsidRDefault="00AF3BC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On </w:t>
      </w:r>
      <w:r w:rsidR="00E724DB" w:rsidRPr="00156CB3">
        <w:rPr>
          <w:rFonts w:ascii="Arial" w:eastAsia="Times New Roman" w:hAnsi="Arial" w:cs="Arial"/>
          <w:b/>
          <w:sz w:val="20"/>
          <w:szCs w:val="20"/>
          <w:lang w:eastAsia="en-ZA"/>
        </w:rPr>
        <w:t>infrastructure management</w:t>
      </w:r>
      <w:r w:rsidRPr="00156CB3">
        <w:rPr>
          <w:rFonts w:ascii="Arial" w:eastAsia="Times New Roman" w:hAnsi="Arial" w:cs="Arial"/>
          <w:b/>
          <w:sz w:val="20"/>
          <w:szCs w:val="20"/>
          <w:lang w:eastAsia="en-ZA"/>
        </w:rPr>
        <w:t>,</w:t>
      </w:r>
      <w:r w:rsidRPr="00156CB3">
        <w:rPr>
          <w:rFonts w:ascii="Arial" w:eastAsia="Times New Roman" w:hAnsi="Arial" w:cs="Arial"/>
          <w:sz w:val="20"/>
          <w:szCs w:val="20"/>
          <w:lang w:eastAsia="en-ZA"/>
        </w:rPr>
        <w:t xml:space="preserve"> the Auditor-General found that between 2015 to 2022, a marginal decrease of 4 per cent in backlogs of access to </w:t>
      </w:r>
      <w:r w:rsidR="00DE2421" w:rsidRPr="00156CB3">
        <w:rPr>
          <w:rFonts w:ascii="Arial" w:eastAsia="Times New Roman" w:hAnsi="Arial" w:cs="Arial"/>
          <w:sz w:val="20"/>
          <w:szCs w:val="20"/>
          <w:lang w:eastAsia="en-ZA"/>
        </w:rPr>
        <w:t>basic water supply was attained. Other weaknesses relayed to</w:t>
      </w:r>
      <w:r w:rsidRPr="00156CB3">
        <w:rPr>
          <w:rFonts w:ascii="Arial" w:eastAsia="Times New Roman" w:hAnsi="Arial" w:cs="Arial"/>
          <w:sz w:val="20"/>
          <w:szCs w:val="20"/>
          <w:lang w:eastAsia="en-ZA"/>
        </w:rPr>
        <w:t xml:space="preserve"> </w:t>
      </w:r>
      <w:r w:rsidR="00DE2421" w:rsidRPr="00156CB3">
        <w:rPr>
          <w:rFonts w:ascii="Arial" w:eastAsia="Times New Roman" w:hAnsi="Arial" w:cs="Arial"/>
          <w:sz w:val="20"/>
          <w:szCs w:val="20"/>
          <w:lang w:eastAsia="en-ZA"/>
        </w:rPr>
        <w:t>d</w:t>
      </w:r>
      <w:r w:rsidR="002D20F1" w:rsidRPr="00156CB3">
        <w:rPr>
          <w:rFonts w:ascii="Arial" w:eastAsia="Times New Roman" w:hAnsi="Arial" w:cs="Arial"/>
          <w:sz w:val="20"/>
          <w:szCs w:val="20"/>
          <w:lang w:eastAsia="en-ZA"/>
        </w:rPr>
        <w:t>elays in the comple</w:t>
      </w:r>
      <w:r w:rsidRPr="00156CB3">
        <w:rPr>
          <w:rFonts w:ascii="Arial" w:eastAsia="Times New Roman" w:hAnsi="Arial" w:cs="Arial"/>
          <w:sz w:val="20"/>
          <w:szCs w:val="20"/>
          <w:lang w:eastAsia="en-ZA"/>
        </w:rPr>
        <w:t xml:space="preserve">tion of infrastructure projects, </w:t>
      </w:r>
      <w:r w:rsidR="00DE2421" w:rsidRPr="00156CB3">
        <w:rPr>
          <w:rFonts w:ascii="Arial" w:eastAsia="Times New Roman" w:hAnsi="Arial" w:cs="Arial"/>
          <w:sz w:val="20"/>
          <w:szCs w:val="20"/>
          <w:lang w:eastAsia="en-ZA"/>
        </w:rPr>
        <w:t>m</w:t>
      </w:r>
      <w:r w:rsidRPr="00156CB3">
        <w:rPr>
          <w:rFonts w:ascii="Arial" w:eastAsia="Times New Roman" w:hAnsi="Arial" w:cs="Arial"/>
          <w:sz w:val="20"/>
          <w:szCs w:val="20"/>
          <w:lang w:eastAsia="en-ZA"/>
        </w:rPr>
        <w:t>aintenance of infrastructure, n</w:t>
      </w:r>
      <w:r w:rsidR="002D20F1" w:rsidRPr="00156CB3">
        <w:rPr>
          <w:rFonts w:ascii="Arial" w:eastAsia="Times New Roman" w:hAnsi="Arial" w:cs="Arial"/>
          <w:sz w:val="20"/>
          <w:szCs w:val="20"/>
          <w:lang w:eastAsia="en-ZA"/>
        </w:rPr>
        <w:t xml:space="preserve">o updating of the asset management plan since 2018 in contravention of the Government </w:t>
      </w:r>
      <w:r w:rsidRPr="00156CB3">
        <w:rPr>
          <w:rFonts w:ascii="Arial" w:eastAsia="Times New Roman" w:hAnsi="Arial" w:cs="Arial"/>
          <w:sz w:val="20"/>
          <w:szCs w:val="20"/>
          <w:lang w:eastAsia="en-ZA"/>
        </w:rPr>
        <w:t>Immovable Asset Management Act</w:t>
      </w:r>
      <w:r w:rsidR="00DE2421" w:rsidRPr="00156CB3">
        <w:rPr>
          <w:rFonts w:ascii="Arial" w:eastAsia="Times New Roman" w:hAnsi="Arial" w:cs="Arial"/>
          <w:sz w:val="20"/>
          <w:szCs w:val="20"/>
          <w:lang w:eastAsia="en-ZA"/>
        </w:rPr>
        <w:t xml:space="preserve"> of 2007</w:t>
      </w:r>
      <w:r w:rsidRPr="00156CB3">
        <w:rPr>
          <w:rFonts w:ascii="Arial" w:eastAsia="Times New Roman" w:hAnsi="Arial" w:cs="Arial"/>
          <w:sz w:val="20"/>
          <w:szCs w:val="20"/>
          <w:lang w:eastAsia="en-ZA"/>
        </w:rPr>
        <w:t>, and n</w:t>
      </w:r>
      <w:r w:rsidR="002D20F1" w:rsidRPr="00156CB3">
        <w:rPr>
          <w:rFonts w:ascii="Arial" w:eastAsia="Times New Roman" w:hAnsi="Arial" w:cs="Arial"/>
          <w:sz w:val="20"/>
          <w:szCs w:val="20"/>
          <w:lang w:eastAsia="en-ZA"/>
        </w:rPr>
        <w:t>o indicator</w:t>
      </w:r>
      <w:r w:rsidRPr="00156CB3">
        <w:rPr>
          <w:rFonts w:ascii="Arial" w:eastAsia="Times New Roman" w:hAnsi="Arial" w:cs="Arial"/>
          <w:sz w:val="20"/>
          <w:szCs w:val="20"/>
          <w:lang w:eastAsia="en-ZA"/>
        </w:rPr>
        <w:t xml:space="preserve"> identified</w:t>
      </w:r>
      <w:r w:rsidR="002D20F1" w:rsidRPr="00156CB3">
        <w:rPr>
          <w:rFonts w:ascii="Arial" w:eastAsia="Times New Roman" w:hAnsi="Arial" w:cs="Arial"/>
          <w:sz w:val="20"/>
          <w:szCs w:val="20"/>
          <w:lang w:eastAsia="en-ZA"/>
        </w:rPr>
        <w:t xml:space="preserve"> to measure the progress made to correct backlogs in maintenanc</w:t>
      </w:r>
      <w:r w:rsidR="00B715CA" w:rsidRPr="00156CB3">
        <w:rPr>
          <w:rFonts w:ascii="Arial" w:eastAsia="Times New Roman" w:hAnsi="Arial" w:cs="Arial"/>
          <w:sz w:val="20"/>
          <w:szCs w:val="20"/>
          <w:lang w:eastAsia="en-ZA"/>
        </w:rPr>
        <w:t xml:space="preserve">e. </w:t>
      </w:r>
      <w:r w:rsidR="00E06966" w:rsidRPr="00156CB3">
        <w:rPr>
          <w:rFonts w:ascii="Arial" w:eastAsia="Times New Roman" w:hAnsi="Arial" w:cs="Arial"/>
          <w:sz w:val="20"/>
          <w:szCs w:val="20"/>
          <w:lang w:eastAsia="en-ZA"/>
        </w:rPr>
        <w:t>The findings o</w:t>
      </w:r>
      <w:r w:rsidRPr="00156CB3">
        <w:rPr>
          <w:rFonts w:ascii="Arial" w:eastAsia="Times New Roman" w:hAnsi="Arial" w:cs="Arial"/>
          <w:sz w:val="20"/>
          <w:szCs w:val="20"/>
          <w:lang w:eastAsia="en-ZA"/>
        </w:rPr>
        <w:t xml:space="preserve">n </w:t>
      </w:r>
      <w:r w:rsidRPr="00156CB3">
        <w:rPr>
          <w:rFonts w:ascii="Arial" w:eastAsia="Times New Roman" w:hAnsi="Arial" w:cs="Arial"/>
          <w:b/>
          <w:sz w:val="20"/>
          <w:szCs w:val="20"/>
          <w:lang w:eastAsia="en-ZA"/>
        </w:rPr>
        <w:t>water quality</w:t>
      </w:r>
      <w:r w:rsidRPr="00156CB3">
        <w:rPr>
          <w:rFonts w:ascii="Arial" w:eastAsia="Times New Roman" w:hAnsi="Arial" w:cs="Arial"/>
          <w:sz w:val="20"/>
          <w:szCs w:val="20"/>
          <w:lang w:eastAsia="en-ZA"/>
        </w:rPr>
        <w:t xml:space="preserve"> revealed that although the department developed a water services improvement plan to assist water services authorities</w:t>
      </w:r>
      <w:r w:rsidR="001D1925" w:rsidRPr="00156CB3">
        <w:rPr>
          <w:rFonts w:ascii="Arial" w:eastAsia="Times New Roman" w:hAnsi="Arial" w:cs="Arial"/>
          <w:sz w:val="20"/>
          <w:szCs w:val="20"/>
          <w:lang w:eastAsia="en-ZA"/>
        </w:rPr>
        <w:t>, the p</w:t>
      </w:r>
      <w:r w:rsidR="00E06966" w:rsidRPr="00156CB3">
        <w:rPr>
          <w:rFonts w:ascii="Arial" w:eastAsia="Times New Roman" w:hAnsi="Arial" w:cs="Arial"/>
          <w:sz w:val="20"/>
          <w:szCs w:val="20"/>
          <w:lang w:eastAsia="en-ZA"/>
        </w:rPr>
        <w:t>lan did not address the</w:t>
      </w:r>
      <w:r w:rsidR="001D1925" w:rsidRPr="00156CB3">
        <w:rPr>
          <w:rFonts w:ascii="Arial" w:eastAsia="Times New Roman" w:hAnsi="Arial" w:cs="Arial"/>
          <w:sz w:val="20"/>
          <w:szCs w:val="20"/>
          <w:lang w:eastAsia="en-ZA"/>
        </w:rPr>
        <w:t xml:space="preserve"> root causes identified in the Blue and Green Drop reports.</w:t>
      </w:r>
      <w:r w:rsidR="00B715CA" w:rsidRPr="00156CB3">
        <w:rPr>
          <w:rFonts w:ascii="Arial" w:eastAsia="Times New Roman" w:hAnsi="Arial" w:cs="Arial"/>
          <w:sz w:val="20"/>
          <w:szCs w:val="20"/>
          <w:lang w:eastAsia="en-ZA"/>
        </w:rPr>
        <w:t xml:space="preserve"> </w:t>
      </w:r>
      <w:r w:rsidR="00E724DB" w:rsidRPr="00156CB3">
        <w:rPr>
          <w:rFonts w:ascii="Arial" w:eastAsia="Times New Roman" w:hAnsi="Arial" w:cs="Arial"/>
          <w:sz w:val="20"/>
          <w:szCs w:val="20"/>
          <w:lang w:eastAsia="en-ZA"/>
        </w:rPr>
        <w:t>W</w:t>
      </w:r>
      <w:r w:rsidR="001D1925" w:rsidRPr="00156CB3">
        <w:rPr>
          <w:rFonts w:ascii="Arial" w:eastAsia="Times New Roman" w:hAnsi="Arial" w:cs="Arial"/>
          <w:sz w:val="20"/>
          <w:szCs w:val="20"/>
          <w:lang w:eastAsia="en-ZA"/>
        </w:rPr>
        <w:t xml:space="preserve">ater monitoring reports by the department revealed significant avoidable </w:t>
      </w:r>
      <w:r w:rsidR="001D1925" w:rsidRPr="00156CB3">
        <w:rPr>
          <w:rFonts w:ascii="Arial" w:eastAsia="Times New Roman" w:hAnsi="Arial" w:cs="Arial"/>
          <w:b/>
          <w:sz w:val="20"/>
          <w:szCs w:val="20"/>
          <w:lang w:eastAsia="en-ZA"/>
        </w:rPr>
        <w:t>water losses</w:t>
      </w:r>
      <w:r w:rsidR="001D1925" w:rsidRPr="00156CB3">
        <w:rPr>
          <w:rFonts w:ascii="Arial" w:eastAsia="Times New Roman" w:hAnsi="Arial" w:cs="Arial"/>
          <w:sz w:val="20"/>
          <w:szCs w:val="20"/>
          <w:lang w:eastAsia="en-ZA"/>
        </w:rPr>
        <w:t xml:space="preserve"> within</w:t>
      </w:r>
      <w:r w:rsidR="00E724DB" w:rsidRPr="00156CB3">
        <w:rPr>
          <w:rFonts w:ascii="Arial" w:eastAsia="Times New Roman" w:hAnsi="Arial" w:cs="Arial"/>
          <w:sz w:val="20"/>
          <w:szCs w:val="20"/>
          <w:lang w:eastAsia="en-ZA"/>
        </w:rPr>
        <w:t xml:space="preserve"> the</w:t>
      </w:r>
      <w:r w:rsidR="001D1925" w:rsidRPr="00156CB3">
        <w:rPr>
          <w:rFonts w:ascii="Arial" w:eastAsia="Times New Roman" w:hAnsi="Arial" w:cs="Arial"/>
          <w:sz w:val="20"/>
          <w:szCs w:val="20"/>
          <w:lang w:eastAsia="en-ZA"/>
        </w:rPr>
        <w:t xml:space="preserve"> jurisdictions of water services authorities</w:t>
      </w:r>
      <w:r w:rsidR="00E724DB" w:rsidRPr="00156CB3">
        <w:rPr>
          <w:rFonts w:ascii="Arial" w:eastAsia="Times New Roman" w:hAnsi="Arial" w:cs="Arial"/>
          <w:sz w:val="20"/>
          <w:szCs w:val="20"/>
          <w:lang w:eastAsia="en-ZA"/>
        </w:rPr>
        <w:t>.</w:t>
      </w:r>
    </w:p>
    <w:p w:rsidR="009D3B07" w:rsidRPr="00156CB3" w:rsidRDefault="009D3B07" w:rsidP="00156CB3">
      <w:pPr>
        <w:spacing w:after="0" w:line="240" w:lineRule="auto"/>
        <w:rPr>
          <w:rFonts w:ascii="Arial" w:eastAsia="Times New Roman" w:hAnsi="Arial" w:cs="Arial"/>
          <w:b/>
          <w:sz w:val="20"/>
          <w:szCs w:val="20"/>
          <w:lang w:eastAsia="en-ZA"/>
        </w:rPr>
      </w:pPr>
    </w:p>
    <w:p w:rsidR="00B62F9B" w:rsidRPr="00156CB3" w:rsidRDefault="00B62F9B" w:rsidP="00156CB3">
      <w:pPr>
        <w:shd w:val="clear" w:color="auto" w:fill="D9D9D9" w:themeFill="background1" w:themeFillShade="D9"/>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3.2 </w:t>
      </w:r>
      <w:r w:rsidRPr="00156CB3">
        <w:rPr>
          <w:rFonts w:ascii="Arial" w:eastAsia="Times New Roman" w:hAnsi="Arial" w:cs="Arial"/>
          <w:b/>
          <w:sz w:val="20"/>
          <w:szCs w:val="20"/>
          <w:lang w:eastAsia="en-ZA"/>
        </w:rPr>
        <w:tab/>
      </w:r>
      <w:r w:rsidR="00E375B0" w:rsidRPr="00156CB3">
        <w:rPr>
          <w:rFonts w:ascii="Arial" w:eastAsia="Times New Roman" w:hAnsi="Arial" w:cs="Arial"/>
          <w:b/>
          <w:sz w:val="20"/>
          <w:szCs w:val="20"/>
          <w:lang w:eastAsia="en-ZA"/>
        </w:rPr>
        <w:t>Department of Planning, Monitoring and Evaluation</w:t>
      </w:r>
    </w:p>
    <w:p w:rsidR="00B62F9B" w:rsidRPr="00156CB3" w:rsidRDefault="00B62F9B" w:rsidP="00156CB3">
      <w:pPr>
        <w:spacing w:after="0" w:line="240" w:lineRule="auto"/>
        <w:rPr>
          <w:rFonts w:ascii="Arial" w:eastAsia="Times New Roman" w:hAnsi="Arial" w:cs="Arial"/>
          <w:b/>
          <w:sz w:val="20"/>
          <w:szCs w:val="20"/>
          <w:lang w:eastAsia="en-ZA"/>
        </w:rPr>
      </w:pPr>
    </w:p>
    <w:p w:rsidR="00381BA0" w:rsidRPr="00156CB3" w:rsidRDefault="001D1925"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Department of Planning, Monitoring and Evaluation, </w:t>
      </w:r>
      <w:r w:rsidR="00381BA0" w:rsidRPr="00156CB3">
        <w:rPr>
          <w:rFonts w:ascii="Arial" w:eastAsia="Times New Roman" w:hAnsi="Arial" w:cs="Arial"/>
          <w:sz w:val="20"/>
          <w:szCs w:val="20"/>
          <w:lang w:eastAsia="en-ZA"/>
        </w:rPr>
        <w:t>located its monitoring and evaluation of the work of the Department of Water and Sanitation and its Entities within the high-level objectives underpinning the National Development Plan and the outcomes approach highlighted in the Medium-Term Strategic Framework, 2019 – 2024.</w:t>
      </w:r>
      <w:r w:rsidR="00DA48D0" w:rsidRPr="00156CB3">
        <w:rPr>
          <w:rFonts w:ascii="Arial" w:eastAsia="Times New Roman" w:hAnsi="Arial" w:cs="Arial"/>
          <w:sz w:val="20"/>
          <w:szCs w:val="20"/>
          <w:lang w:eastAsia="en-ZA"/>
        </w:rPr>
        <w:t xml:space="preserve"> </w:t>
      </w:r>
      <w:r w:rsidR="00381BA0" w:rsidRPr="00156CB3">
        <w:rPr>
          <w:rFonts w:ascii="Arial" w:eastAsia="Times New Roman" w:hAnsi="Arial" w:cs="Arial"/>
          <w:sz w:val="20"/>
          <w:szCs w:val="20"/>
          <w:lang w:eastAsia="en-ZA"/>
        </w:rPr>
        <w:t>The National Development Plan envisages a South Africa that recognises the importance of secure and equitable access to water and sanitation as catalysts for socio</w:t>
      </w:r>
      <w:r w:rsidR="00DA48D0" w:rsidRPr="00156CB3">
        <w:rPr>
          <w:rFonts w:ascii="Arial" w:eastAsia="Times New Roman" w:hAnsi="Arial" w:cs="Arial"/>
          <w:sz w:val="20"/>
          <w:szCs w:val="20"/>
          <w:lang w:eastAsia="en-ZA"/>
        </w:rPr>
        <w:t>-</w:t>
      </w:r>
      <w:r w:rsidR="00381BA0" w:rsidRPr="00156CB3">
        <w:rPr>
          <w:rFonts w:ascii="Arial" w:eastAsia="Times New Roman" w:hAnsi="Arial" w:cs="Arial"/>
          <w:sz w:val="20"/>
          <w:szCs w:val="20"/>
          <w:lang w:eastAsia="en-ZA"/>
        </w:rPr>
        <w:t>economic development</w:t>
      </w:r>
      <w:r w:rsidR="00DA48D0" w:rsidRPr="00156CB3">
        <w:rPr>
          <w:rFonts w:ascii="Arial" w:eastAsia="Times New Roman" w:hAnsi="Arial" w:cs="Arial"/>
          <w:sz w:val="20"/>
          <w:szCs w:val="20"/>
          <w:lang w:eastAsia="en-ZA"/>
        </w:rPr>
        <w:t xml:space="preserve">, which requires the prioritisation of investments in basic water and sanitation infrastructure.  </w:t>
      </w:r>
    </w:p>
    <w:p w:rsidR="00424AE7" w:rsidRPr="00156CB3" w:rsidRDefault="00424AE7" w:rsidP="00156CB3">
      <w:pPr>
        <w:spacing w:after="0" w:line="240" w:lineRule="auto"/>
        <w:rPr>
          <w:rFonts w:ascii="Arial" w:eastAsia="Times New Roman" w:hAnsi="Arial" w:cs="Arial"/>
          <w:sz w:val="20"/>
          <w:szCs w:val="20"/>
          <w:lang w:eastAsia="en-ZA"/>
        </w:rPr>
      </w:pPr>
    </w:p>
    <w:p w:rsidR="0057316D" w:rsidRPr="00156CB3" w:rsidRDefault="0057316D" w:rsidP="00156CB3">
      <w:pPr>
        <w:pStyle w:val="ListParagraph"/>
        <w:numPr>
          <w:ilvl w:val="0"/>
          <w:numId w:val="22"/>
        </w:numPr>
        <w:spacing w:after="0" w:line="240" w:lineRule="auto"/>
        <w:rPr>
          <w:rFonts w:ascii="Arial" w:eastAsia="Times New Roman" w:hAnsi="Arial" w:cs="Arial"/>
          <w:sz w:val="20"/>
          <w:szCs w:val="20"/>
          <w:lang w:eastAsia="en-ZA"/>
        </w:rPr>
      </w:pPr>
      <w:r w:rsidRPr="00156CB3">
        <w:rPr>
          <w:rFonts w:ascii="Arial" w:eastAsia="Times New Roman" w:hAnsi="Arial" w:cs="Arial"/>
          <w:b/>
          <w:sz w:val="20"/>
          <w:szCs w:val="20"/>
          <w:lang w:eastAsia="en-ZA"/>
        </w:rPr>
        <w:t>Performance of identified outcome indicators</w:t>
      </w:r>
    </w:p>
    <w:p w:rsidR="0057316D" w:rsidRPr="00156CB3" w:rsidRDefault="0057316D" w:rsidP="00156CB3">
      <w:pPr>
        <w:spacing w:after="0" w:line="240" w:lineRule="auto"/>
        <w:rPr>
          <w:rFonts w:ascii="Arial" w:eastAsia="Times New Roman" w:hAnsi="Arial" w:cs="Arial"/>
          <w:sz w:val="20"/>
          <w:szCs w:val="20"/>
          <w:lang w:eastAsia="en-ZA"/>
        </w:rPr>
      </w:pPr>
    </w:p>
    <w:p w:rsidR="00DA48D0" w:rsidRPr="00156CB3" w:rsidRDefault="00DA48D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Based on the performance of the six (6) Outcome Indicators, the Department fulfilled its obligations in the following areas:</w:t>
      </w:r>
    </w:p>
    <w:p w:rsidR="00DA48D0" w:rsidRPr="00156CB3" w:rsidRDefault="00DA48D0" w:rsidP="00156CB3">
      <w:pPr>
        <w:spacing w:after="0" w:line="240" w:lineRule="auto"/>
        <w:rPr>
          <w:rFonts w:ascii="Arial" w:eastAsia="Times New Roman" w:hAnsi="Arial" w:cs="Arial"/>
          <w:sz w:val="20"/>
          <w:szCs w:val="20"/>
          <w:lang w:eastAsia="en-ZA"/>
        </w:rPr>
      </w:pPr>
    </w:p>
    <w:p w:rsidR="00DA48D0" w:rsidRPr="00156CB3" w:rsidRDefault="00DA48D0" w:rsidP="00156CB3">
      <w:pPr>
        <w:pStyle w:val="ListParagraph"/>
        <w:numPr>
          <w:ilvl w:val="0"/>
          <w:numId w:val="13"/>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Outcome 1: the protection and restoration of ecological infrastructure</w:t>
      </w:r>
      <w:r w:rsidR="00E724DB"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which has ensured the implementation of interventions to protect water resources and ensure pollution control and rehabilitation.</w:t>
      </w:r>
    </w:p>
    <w:p w:rsidR="00DA48D0" w:rsidRPr="00156CB3" w:rsidRDefault="00DA48D0" w:rsidP="00156CB3">
      <w:pPr>
        <w:pStyle w:val="ListParagraph"/>
        <w:numPr>
          <w:ilvl w:val="0"/>
          <w:numId w:val="13"/>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Outcome 4: water and sanitation services are managed effectively </w:t>
      </w:r>
      <w:r w:rsidR="00566949" w:rsidRPr="00156CB3">
        <w:rPr>
          <w:rFonts w:ascii="Arial" w:eastAsia="Times New Roman" w:hAnsi="Arial" w:cs="Arial"/>
          <w:sz w:val="20"/>
          <w:szCs w:val="20"/>
          <w:lang w:eastAsia="en-ZA"/>
        </w:rPr>
        <w:t xml:space="preserve">by developing strategies and support for water and sanitation services institutions and developing </w:t>
      </w:r>
      <w:r w:rsidRPr="00156CB3">
        <w:rPr>
          <w:rFonts w:ascii="Arial" w:eastAsia="Times New Roman" w:hAnsi="Arial" w:cs="Arial"/>
          <w:sz w:val="20"/>
          <w:szCs w:val="20"/>
          <w:lang w:eastAsia="en-ZA"/>
        </w:rPr>
        <w:t>new infrastructure.</w:t>
      </w:r>
    </w:p>
    <w:p w:rsidR="0057316D" w:rsidRPr="00156CB3" w:rsidRDefault="00DA48D0" w:rsidP="00156CB3">
      <w:pPr>
        <w:pStyle w:val="ListParagraph"/>
        <w:numPr>
          <w:ilvl w:val="0"/>
          <w:numId w:val="13"/>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Outcome 5: the enhanced regulation of the water and sanitation sector.</w:t>
      </w:r>
    </w:p>
    <w:p w:rsidR="004A0B87" w:rsidRPr="00156CB3" w:rsidRDefault="004A0B87" w:rsidP="00156CB3">
      <w:pPr>
        <w:pStyle w:val="ListParagraph"/>
        <w:numPr>
          <w:ilvl w:val="0"/>
          <w:numId w:val="24"/>
        </w:numPr>
        <w:spacing w:after="0" w:line="240" w:lineRule="auto"/>
        <w:rPr>
          <w:rFonts w:ascii="Arial" w:eastAsia="Times New Roman" w:hAnsi="Arial" w:cs="Arial"/>
          <w:sz w:val="20"/>
          <w:szCs w:val="20"/>
          <w:lang w:eastAsia="en-ZA"/>
        </w:rPr>
      </w:pPr>
      <w:r w:rsidRPr="00156CB3">
        <w:rPr>
          <w:rFonts w:ascii="Arial" w:eastAsia="Times New Roman" w:hAnsi="Arial" w:cs="Arial"/>
          <w:b/>
          <w:sz w:val="20"/>
          <w:szCs w:val="20"/>
          <w:lang w:eastAsia="en-ZA"/>
        </w:rPr>
        <w:t>Performance against outcomes in the Medium-Term Strategic Framework</w:t>
      </w:r>
    </w:p>
    <w:p w:rsidR="004A0B87" w:rsidRPr="00156CB3" w:rsidRDefault="004A0B87" w:rsidP="00156CB3">
      <w:pPr>
        <w:spacing w:after="0" w:line="240" w:lineRule="auto"/>
        <w:rPr>
          <w:rFonts w:ascii="Arial" w:eastAsia="Times New Roman" w:hAnsi="Arial" w:cs="Arial"/>
          <w:sz w:val="20"/>
          <w:szCs w:val="20"/>
          <w:lang w:eastAsia="en-ZA"/>
        </w:rPr>
      </w:pPr>
    </w:p>
    <w:p w:rsidR="00263C86" w:rsidRPr="00156CB3" w:rsidRDefault="00DA48D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performance against the 2019/2024</w:t>
      </w:r>
      <w:r w:rsidR="00F73108" w:rsidRPr="00156CB3">
        <w:rPr>
          <w:rFonts w:ascii="Arial" w:eastAsia="Times New Roman" w:hAnsi="Arial" w:cs="Arial"/>
          <w:sz w:val="20"/>
          <w:szCs w:val="20"/>
          <w:lang w:eastAsia="en-ZA"/>
        </w:rPr>
        <w:t xml:space="preserve"> Outcomes highlighted in the</w:t>
      </w:r>
      <w:r w:rsidRPr="00156CB3">
        <w:rPr>
          <w:rFonts w:ascii="Arial" w:eastAsia="Times New Roman" w:hAnsi="Arial" w:cs="Arial"/>
          <w:sz w:val="20"/>
          <w:szCs w:val="20"/>
          <w:lang w:eastAsia="en-ZA"/>
        </w:rPr>
        <w:t xml:space="preserve"> Medium-Term Expenditure Framework for the period 1 April 2021 to 31 March 2022</w:t>
      </w:r>
      <w:r w:rsidR="00E724DB" w:rsidRPr="00156CB3">
        <w:rPr>
          <w:rFonts w:ascii="Arial" w:eastAsia="Times New Roman" w:hAnsi="Arial" w:cs="Arial"/>
          <w:sz w:val="20"/>
          <w:szCs w:val="20"/>
          <w:lang w:eastAsia="en-ZA"/>
        </w:rPr>
        <w:t>;</w:t>
      </w:r>
      <w:r w:rsidR="00F73108" w:rsidRPr="00156CB3">
        <w:rPr>
          <w:rFonts w:ascii="Arial" w:eastAsia="Times New Roman" w:hAnsi="Arial" w:cs="Arial"/>
          <w:sz w:val="20"/>
          <w:szCs w:val="20"/>
          <w:lang w:eastAsia="en-ZA"/>
        </w:rPr>
        <w:t xml:space="preserve"> the following findings were captured a</w:t>
      </w:r>
      <w:r w:rsidR="00263C86" w:rsidRPr="00156CB3">
        <w:rPr>
          <w:rFonts w:ascii="Arial" w:eastAsia="Times New Roman" w:hAnsi="Arial" w:cs="Arial"/>
          <w:sz w:val="20"/>
          <w:szCs w:val="20"/>
          <w:lang w:eastAsia="en-ZA"/>
        </w:rPr>
        <w:t>nd reflected</w:t>
      </w:r>
      <w:r w:rsidR="00EE55C0" w:rsidRPr="00156CB3">
        <w:rPr>
          <w:rFonts w:ascii="Arial" w:eastAsia="Times New Roman" w:hAnsi="Arial" w:cs="Arial"/>
          <w:sz w:val="20"/>
          <w:szCs w:val="20"/>
          <w:lang w:eastAsia="en-ZA"/>
        </w:rPr>
        <w:t xml:space="preserve">. </w:t>
      </w:r>
      <w:r w:rsidR="00263C86" w:rsidRPr="00156CB3">
        <w:rPr>
          <w:rFonts w:ascii="Arial" w:eastAsia="Times New Roman" w:hAnsi="Arial" w:cs="Arial"/>
          <w:sz w:val="20"/>
          <w:szCs w:val="20"/>
          <w:lang w:eastAsia="en-ZA"/>
        </w:rPr>
        <w:t>In respect of Access to improved basic services, the following</w:t>
      </w:r>
      <w:r w:rsidR="002A5FA1" w:rsidRPr="00156CB3">
        <w:rPr>
          <w:rFonts w:ascii="Arial" w:eastAsia="Times New Roman" w:hAnsi="Arial" w:cs="Arial"/>
          <w:sz w:val="20"/>
          <w:szCs w:val="20"/>
          <w:lang w:eastAsia="en-ZA"/>
        </w:rPr>
        <w:t xml:space="preserve"> was highlighted</w:t>
      </w:r>
      <w:r w:rsidR="009D4054" w:rsidRPr="00156CB3">
        <w:rPr>
          <w:rFonts w:ascii="Arial" w:eastAsia="Times New Roman" w:hAnsi="Arial" w:cs="Arial"/>
          <w:sz w:val="20"/>
          <w:szCs w:val="20"/>
          <w:lang w:eastAsia="en-ZA"/>
        </w:rPr>
        <w:t xml:space="preserve"> in Table 1 below</w:t>
      </w:r>
      <w:r w:rsidR="002A5FA1" w:rsidRPr="00156CB3">
        <w:rPr>
          <w:rFonts w:ascii="Arial" w:eastAsia="Times New Roman" w:hAnsi="Arial" w:cs="Arial"/>
          <w:sz w:val="20"/>
          <w:szCs w:val="20"/>
          <w:lang w:eastAsia="en-ZA"/>
        </w:rPr>
        <w:t>:</w:t>
      </w:r>
    </w:p>
    <w:p w:rsidR="00027479" w:rsidRPr="00156CB3" w:rsidRDefault="00027479" w:rsidP="00156CB3">
      <w:pPr>
        <w:spacing w:after="0" w:line="240" w:lineRule="auto"/>
        <w:rPr>
          <w:rFonts w:ascii="Arial" w:eastAsia="Times New Roman" w:hAnsi="Arial" w:cs="Arial"/>
          <w:sz w:val="20"/>
          <w:szCs w:val="20"/>
          <w:lang w:eastAsia="en-ZA"/>
        </w:rPr>
      </w:pPr>
    </w:p>
    <w:tbl>
      <w:tblPr>
        <w:tblStyle w:val="TableGrid"/>
        <w:tblW w:w="0" w:type="auto"/>
        <w:tblLook w:val="04A0"/>
      </w:tblPr>
      <w:tblGrid>
        <w:gridCol w:w="3028"/>
        <w:gridCol w:w="3422"/>
        <w:gridCol w:w="2792"/>
      </w:tblGrid>
      <w:tr w:rsidR="00EE55C0" w:rsidRPr="00156CB3" w:rsidTr="009D4054">
        <w:tc>
          <w:tcPr>
            <w:tcW w:w="0" w:type="auto"/>
          </w:tcPr>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100% of Water Services Authorities receive acceptable scores on fun</w:t>
            </w:r>
            <w:r w:rsidR="00EE55C0" w:rsidRPr="00156CB3">
              <w:rPr>
                <w:rFonts w:ascii="Arial" w:eastAsia="Times New Roman" w:hAnsi="Arial" w:cs="Arial"/>
                <w:sz w:val="20"/>
                <w:szCs w:val="20"/>
                <w:lang w:eastAsia="en-ZA"/>
              </w:rPr>
              <w:t>ctional assessment in the Municipal Strategic Self-Assessment (MuSSA).</w:t>
            </w:r>
          </w:p>
          <w:p w:rsidR="009D4054" w:rsidRPr="00156CB3" w:rsidRDefault="009D4054" w:rsidP="00156CB3">
            <w:pPr>
              <w:rPr>
                <w:rFonts w:ascii="Arial" w:eastAsia="Times New Roman" w:hAnsi="Arial" w:cs="Arial"/>
                <w:sz w:val="20"/>
                <w:szCs w:val="20"/>
                <w:lang w:eastAsia="en-ZA"/>
              </w:rPr>
            </w:pPr>
          </w:p>
          <w:p w:rsidR="009D4054" w:rsidRPr="00156CB3" w:rsidRDefault="009D4054" w:rsidP="00156CB3">
            <w:pPr>
              <w:rPr>
                <w:rFonts w:ascii="Arial" w:eastAsia="Times New Roman" w:hAnsi="Arial" w:cs="Arial"/>
                <w:sz w:val="20"/>
                <w:szCs w:val="20"/>
                <w:lang w:eastAsia="en-ZA"/>
              </w:rPr>
            </w:pPr>
          </w:p>
        </w:tc>
        <w:tc>
          <w:tcPr>
            <w:tcW w:w="0" w:type="auto"/>
          </w:tcPr>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100% assessed.</w:t>
            </w:r>
          </w:p>
          <w:p w:rsidR="009D4054" w:rsidRPr="00156CB3" w:rsidRDefault="009D4054" w:rsidP="00156CB3">
            <w:pPr>
              <w:rPr>
                <w:rFonts w:ascii="Arial" w:eastAsia="Times New Roman" w:hAnsi="Arial" w:cs="Arial"/>
                <w:sz w:val="20"/>
                <w:szCs w:val="20"/>
                <w:lang w:eastAsia="en-ZA"/>
              </w:rPr>
            </w:pPr>
          </w:p>
          <w:p w:rsidR="009D4054" w:rsidRPr="00156CB3" w:rsidRDefault="009D4054" w:rsidP="00156CB3">
            <w:pPr>
              <w:rPr>
                <w:rFonts w:ascii="Arial" w:eastAsia="Times New Roman" w:hAnsi="Arial" w:cs="Arial"/>
                <w:sz w:val="20"/>
                <w:szCs w:val="20"/>
                <w:lang w:eastAsia="en-ZA"/>
              </w:rPr>
            </w:pPr>
          </w:p>
          <w:p w:rsidR="009D4054" w:rsidRPr="00156CB3" w:rsidRDefault="009D4054" w:rsidP="00156CB3">
            <w:pPr>
              <w:rPr>
                <w:rFonts w:ascii="Arial" w:eastAsia="Times New Roman" w:hAnsi="Arial" w:cs="Arial"/>
                <w:sz w:val="20"/>
                <w:szCs w:val="20"/>
                <w:lang w:eastAsia="en-ZA"/>
              </w:rPr>
            </w:pPr>
          </w:p>
          <w:p w:rsidR="00EE55C0" w:rsidRPr="00156CB3" w:rsidRDefault="00EE55C0" w:rsidP="00156CB3">
            <w:pPr>
              <w:rPr>
                <w:rFonts w:ascii="Arial" w:eastAsia="Times New Roman" w:hAnsi="Arial" w:cs="Arial"/>
                <w:sz w:val="20"/>
                <w:szCs w:val="20"/>
                <w:lang w:eastAsia="en-ZA"/>
              </w:rPr>
            </w:pPr>
          </w:p>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100% of five-year Municipal Priority Action Plans (MPAP) developed and implemented annually in the WSAs in priority districts</w:t>
            </w:r>
          </w:p>
        </w:tc>
        <w:tc>
          <w:tcPr>
            <w:tcW w:w="0" w:type="auto"/>
          </w:tcPr>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76% (109 of the 144) municipalities completed their functional assessments.</w:t>
            </w:r>
          </w:p>
          <w:p w:rsidR="009D4054" w:rsidRPr="00156CB3" w:rsidRDefault="009D4054" w:rsidP="00156CB3">
            <w:pPr>
              <w:rPr>
                <w:rFonts w:ascii="Arial" w:eastAsia="Times New Roman" w:hAnsi="Arial" w:cs="Arial"/>
                <w:sz w:val="20"/>
                <w:szCs w:val="20"/>
                <w:lang w:eastAsia="en-ZA"/>
              </w:rPr>
            </w:pPr>
          </w:p>
          <w:p w:rsidR="00E87CF3" w:rsidRPr="00156CB3" w:rsidRDefault="00E87CF3" w:rsidP="00156CB3">
            <w:pPr>
              <w:rPr>
                <w:rFonts w:ascii="Arial" w:eastAsia="Times New Roman" w:hAnsi="Arial" w:cs="Arial"/>
                <w:sz w:val="20"/>
                <w:szCs w:val="20"/>
                <w:lang w:eastAsia="en-ZA"/>
              </w:rPr>
            </w:pPr>
          </w:p>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18% of the MPAPs developed. 98 are required to develop the plan based on the MuSSA report.</w:t>
            </w:r>
          </w:p>
        </w:tc>
      </w:tr>
      <w:tr w:rsidR="00EE55C0" w:rsidRPr="00156CB3" w:rsidTr="009D4054">
        <w:tc>
          <w:tcPr>
            <w:tcW w:w="0" w:type="auto"/>
          </w:tcPr>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lastRenderedPageBreak/>
              <w:t>90% access to adequate sanitation and hygiene.</w:t>
            </w:r>
          </w:p>
        </w:tc>
        <w:tc>
          <w:tcPr>
            <w:tcW w:w="0" w:type="auto"/>
          </w:tcPr>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Sanitation Situational Analysis Report – 2 implementation reports per annum on National Sanitation Integrated Plan.</w:t>
            </w:r>
          </w:p>
        </w:tc>
        <w:tc>
          <w:tcPr>
            <w:tcW w:w="0" w:type="auto"/>
          </w:tcPr>
          <w:p w:rsidR="009D4054" w:rsidRPr="00156CB3" w:rsidRDefault="009D4054"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The draft National Sanitation Integration Plan was developed, but no implementation plans were submitted.</w:t>
            </w:r>
          </w:p>
        </w:tc>
      </w:tr>
      <w:tr w:rsidR="00EE55C0" w:rsidRPr="00156CB3" w:rsidTr="009D4054">
        <w:tc>
          <w:tcPr>
            <w:tcW w:w="0" w:type="auto"/>
          </w:tcPr>
          <w:p w:rsidR="009D4054" w:rsidRPr="00156CB3" w:rsidRDefault="00350FB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2B7EB4" w:rsidRPr="00156CB3">
              <w:rPr>
                <w:rFonts w:ascii="Arial" w:eastAsia="Times New Roman" w:hAnsi="Arial" w:cs="Arial"/>
                <w:sz w:val="20"/>
                <w:szCs w:val="20"/>
                <w:lang w:eastAsia="en-ZA"/>
              </w:rPr>
              <w:t>1</w:t>
            </w:r>
            <w:r w:rsidR="006C7370" w:rsidRPr="00156CB3">
              <w:rPr>
                <w:rFonts w:ascii="Arial" w:eastAsia="Times New Roman" w:hAnsi="Arial" w:cs="Arial"/>
                <w:sz w:val="20"/>
                <w:szCs w:val="20"/>
                <w:lang w:eastAsia="en-ZA"/>
              </w:rPr>
              <w:t>00% of wastewater treatment wor</w:t>
            </w:r>
            <w:r w:rsidR="000476A7" w:rsidRPr="00156CB3">
              <w:rPr>
                <w:rFonts w:ascii="Arial" w:eastAsia="Times New Roman" w:hAnsi="Arial" w:cs="Arial"/>
                <w:sz w:val="20"/>
                <w:szCs w:val="20"/>
                <w:lang w:eastAsia="en-ZA"/>
              </w:rPr>
              <w:t>ks are</w:t>
            </w:r>
            <w:r w:rsidR="006C7370" w:rsidRPr="00156CB3">
              <w:rPr>
                <w:rFonts w:ascii="Arial" w:eastAsia="Times New Roman" w:hAnsi="Arial" w:cs="Arial"/>
                <w:sz w:val="20"/>
                <w:szCs w:val="20"/>
                <w:lang w:eastAsia="en-ZA"/>
              </w:rPr>
              <w:t xml:space="preserve"> operational and functional.</w:t>
            </w: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p>
          <w:p w:rsidR="00EE55C0" w:rsidRPr="00156CB3" w:rsidRDefault="00EE55C0"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Amended Regulatory Framework on Water Ownership and Governance</w:t>
            </w:r>
          </w:p>
        </w:tc>
        <w:tc>
          <w:tcPr>
            <w:tcW w:w="0" w:type="auto"/>
          </w:tcPr>
          <w:p w:rsidR="006C7370" w:rsidRPr="00156CB3" w:rsidRDefault="006C737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56 bulk water supply and sanitation projects completed.</w:t>
            </w:r>
          </w:p>
          <w:p w:rsidR="006C7370" w:rsidRPr="00156CB3" w:rsidRDefault="006C7370" w:rsidP="00156CB3">
            <w:pPr>
              <w:rPr>
                <w:rFonts w:ascii="Arial" w:eastAsia="Times New Roman" w:hAnsi="Arial" w:cs="Arial"/>
                <w:sz w:val="20"/>
                <w:szCs w:val="20"/>
                <w:lang w:eastAsia="en-ZA"/>
              </w:rPr>
            </w:pPr>
          </w:p>
          <w:p w:rsidR="006C7370" w:rsidRPr="00156CB3" w:rsidRDefault="006C737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963 wastewater treatment works assessed for Green Drop Regulatory requirements compliance alternating every 2 years with the Blue Drop Assessments.</w:t>
            </w:r>
          </w:p>
          <w:p w:rsidR="006C7370" w:rsidRPr="00156CB3" w:rsidRDefault="006C737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260 non-compliant wastewater systems monitored.</w:t>
            </w:r>
          </w:p>
          <w:p w:rsidR="00B715CA" w:rsidRPr="00156CB3" w:rsidRDefault="00B715CA" w:rsidP="00156CB3">
            <w:pPr>
              <w:rPr>
                <w:rFonts w:ascii="Arial" w:eastAsia="Times New Roman" w:hAnsi="Arial" w:cs="Arial"/>
                <w:sz w:val="20"/>
                <w:szCs w:val="20"/>
                <w:lang w:eastAsia="en-ZA"/>
              </w:rPr>
            </w:pPr>
          </w:p>
          <w:p w:rsidR="00B715CA" w:rsidRPr="00156CB3" w:rsidRDefault="00B715CA"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Draft National Water Amendment Bill submitted to Cabinet for approval for public consultation.</w:t>
            </w:r>
          </w:p>
          <w:p w:rsidR="00B715CA" w:rsidRPr="00156CB3" w:rsidRDefault="00B715CA" w:rsidP="00156CB3">
            <w:pPr>
              <w:rPr>
                <w:rFonts w:ascii="Arial" w:eastAsia="Times New Roman" w:hAnsi="Arial" w:cs="Arial"/>
                <w:sz w:val="20"/>
                <w:szCs w:val="20"/>
                <w:lang w:eastAsia="en-ZA"/>
              </w:rPr>
            </w:pPr>
          </w:p>
        </w:tc>
        <w:tc>
          <w:tcPr>
            <w:tcW w:w="0" w:type="auto"/>
          </w:tcPr>
          <w:p w:rsidR="009D4054" w:rsidRPr="00156CB3" w:rsidRDefault="006C737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16 completed.</w:t>
            </w:r>
          </w:p>
          <w:p w:rsidR="006C7370" w:rsidRPr="00156CB3" w:rsidRDefault="006C7370" w:rsidP="00156CB3">
            <w:pPr>
              <w:rPr>
                <w:rFonts w:ascii="Arial" w:eastAsia="Times New Roman" w:hAnsi="Arial" w:cs="Arial"/>
                <w:sz w:val="20"/>
                <w:szCs w:val="20"/>
                <w:lang w:eastAsia="en-ZA"/>
              </w:rPr>
            </w:pPr>
          </w:p>
          <w:p w:rsidR="006C7370" w:rsidRPr="00156CB3" w:rsidRDefault="006C7370" w:rsidP="00156CB3">
            <w:pPr>
              <w:rPr>
                <w:rFonts w:ascii="Arial" w:eastAsia="Times New Roman" w:hAnsi="Arial" w:cs="Arial"/>
                <w:sz w:val="20"/>
                <w:szCs w:val="20"/>
                <w:lang w:eastAsia="en-ZA"/>
              </w:rPr>
            </w:pPr>
          </w:p>
          <w:p w:rsidR="006C7370" w:rsidRPr="00156CB3" w:rsidRDefault="006C737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995 wastewater treatment works assessed.</w:t>
            </w:r>
          </w:p>
          <w:p w:rsidR="006C7370" w:rsidRPr="00156CB3" w:rsidRDefault="006C7370" w:rsidP="00156CB3">
            <w:pPr>
              <w:rPr>
                <w:rFonts w:ascii="Arial" w:eastAsia="Times New Roman" w:hAnsi="Arial" w:cs="Arial"/>
                <w:sz w:val="20"/>
                <w:szCs w:val="20"/>
                <w:lang w:eastAsia="en-ZA"/>
              </w:rPr>
            </w:pPr>
          </w:p>
          <w:p w:rsidR="006C7370" w:rsidRPr="00156CB3" w:rsidRDefault="006C7370" w:rsidP="00156CB3">
            <w:pPr>
              <w:rPr>
                <w:rFonts w:ascii="Arial" w:eastAsia="Times New Roman" w:hAnsi="Arial" w:cs="Arial"/>
                <w:sz w:val="20"/>
                <w:szCs w:val="20"/>
                <w:lang w:eastAsia="en-ZA"/>
              </w:rPr>
            </w:pPr>
          </w:p>
          <w:p w:rsidR="006C7370" w:rsidRPr="00156CB3" w:rsidRDefault="006C7370"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460 wastewater systems monitored.</w:t>
            </w:r>
          </w:p>
          <w:p w:rsidR="00B715CA" w:rsidRPr="00156CB3" w:rsidRDefault="00B715CA" w:rsidP="00156CB3">
            <w:pPr>
              <w:rPr>
                <w:rFonts w:ascii="Arial" w:eastAsia="Times New Roman" w:hAnsi="Arial" w:cs="Arial"/>
                <w:sz w:val="20"/>
                <w:szCs w:val="20"/>
                <w:lang w:eastAsia="en-ZA"/>
              </w:rPr>
            </w:pPr>
          </w:p>
          <w:p w:rsidR="00EE55C0" w:rsidRPr="00156CB3" w:rsidRDefault="00EE55C0" w:rsidP="00156CB3">
            <w:pPr>
              <w:rPr>
                <w:rFonts w:ascii="Arial" w:eastAsia="Times New Roman" w:hAnsi="Arial" w:cs="Arial"/>
                <w:sz w:val="20"/>
                <w:szCs w:val="20"/>
                <w:lang w:eastAsia="en-ZA"/>
              </w:rPr>
            </w:pPr>
          </w:p>
          <w:p w:rsidR="006C7370" w:rsidRPr="00156CB3" w:rsidRDefault="00B715CA"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National Water Amendment Bill submitted to the Office of the State Law Advisor for preliminary certification.</w:t>
            </w:r>
          </w:p>
        </w:tc>
      </w:tr>
    </w:tbl>
    <w:p w:rsidR="00424AE7" w:rsidRPr="00156CB3" w:rsidRDefault="00424AE7" w:rsidP="00156CB3">
      <w:pPr>
        <w:spacing w:after="0" w:line="240" w:lineRule="auto"/>
        <w:rPr>
          <w:rFonts w:ascii="Arial" w:eastAsia="Times New Roman" w:hAnsi="Arial" w:cs="Arial"/>
          <w:b/>
          <w:sz w:val="20"/>
          <w:szCs w:val="20"/>
          <w:lang w:eastAsia="en-ZA"/>
        </w:rPr>
      </w:pPr>
    </w:p>
    <w:p w:rsidR="00AE613E" w:rsidRPr="00156CB3" w:rsidRDefault="00AE613E" w:rsidP="00156CB3">
      <w:pPr>
        <w:spacing w:after="0" w:line="240" w:lineRule="auto"/>
        <w:rPr>
          <w:rFonts w:ascii="Arial" w:eastAsia="Times New Roman" w:hAnsi="Arial" w:cs="Arial"/>
          <w:b/>
          <w:sz w:val="20"/>
          <w:szCs w:val="20"/>
          <w:lang w:eastAsia="en-ZA"/>
        </w:rPr>
      </w:pPr>
    </w:p>
    <w:p w:rsidR="00AE613E" w:rsidRPr="00156CB3" w:rsidRDefault="00AE613E" w:rsidP="00156CB3">
      <w:pPr>
        <w:spacing w:after="0" w:line="240" w:lineRule="auto"/>
        <w:rPr>
          <w:rFonts w:ascii="Arial" w:eastAsia="Times New Roman" w:hAnsi="Arial" w:cs="Arial"/>
          <w:b/>
          <w:sz w:val="20"/>
          <w:szCs w:val="20"/>
          <w:lang w:eastAsia="en-ZA"/>
        </w:rPr>
      </w:pPr>
    </w:p>
    <w:p w:rsidR="004A0B87" w:rsidRPr="00156CB3" w:rsidRDefault="004A0B87" w:rsidP="00156CB3">
      <w:pPr>
        <w:pStyle w:val="ListParagraph"/>
        <w:numPr>
          <w:ilvl w:val="0"/>
          <w:numId w:val="24"/>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Achievements and constraints in the water and sanitation sector</w:t>
      </w:r>
    </w:p>
    <w:p w:rsidR="004A0B87" w:rsidRPr="00156CB3" w:rsidRDefault="004A0B87" w:rsidP="00156CB3">
      <w:pPr>
        <w:spacing w:after="0" w:line="240" w:lineRule="auto"/>
        <w:rPr>
          <w:rFonts w:ascii="Arial" w:eastAsia="Times New Roman" w:hAnsi="Arial" w:cs="Arial"/>
          <w:sz w:val="20"/>
          <w:szCs w:val="20"/>
          <w:lang w:eastAsia="en-ZA"/>
        </w:rPr>
      </w:pPr>
    </w:p>
    <w:p w:rsidR="002A5FA1" w:rsidRPr="00156CB3" w:rsidRDefault="000476A7"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critical</w:t>
      </w:r>
      <w:r w:rsidR="002A5FA1" w:rsidRPr="00156CB3">
        <w:rPr>
          <w:rFonts w:ascii="Arial" w:eastAsia="Times New Roman" w:hAnsi="Arial" w:cs="Arial"/>
          <w:sz w:val="20"/>
          <w:szCs w:val="20"/>
          <w:lang w:eastAsia="en-ZA"/>
        </w:rPr>
        <w:t xml:space="preserve"> achievements noted by the Department of Planning, Monitoring and Evaluation related to the use of the Infrastructure Fund to </w:t>
      </w:r>
      <w:r w:rsidR="00350FB0" w:rsidRPr="00156CB3">
        <w:rPr>
          <w:rFonts w:ascii="Arial" w:eastAsia="Times New Roman" w:hAnsi="Arial" w:cs="Arial"/>
          <w:sz w:val="20"/>
          <w:szCs w:val="20"/>
          <w:lang w:eastAsia="en-ZA"/>
        </w:rPr>
        <w:t>improve the work of Programme 3</w:t>
      </w:r>
      <w:r w:rsidR="002A5FA1" w:rsidRPr="00156CB3">
        <w:rPr>
          <w:rFonts w:ascii="Arial" w:eastAsia="Times New Roman" w:hAnsi="Arial" w:cs="Arial"/>
          <w:sz w:val="20"/>
          <w:szCs w:val="20"/>
          <w:lang w:eastAsia="en-ZA"/>
        </w:rPr>
        <w:t xml:space="preserve"> and the relaunch of the Green and Blue Drop reports. </w:t>
      </w:r>
      <w:r w:rsidR="0057316D" w:rsidRPr="00156CB3">
        <w:rPr>
          <w:rFonts w:ascii="Arial" w:eastAsia="Times New Roman" w:hAnsi="Arial" w:cs="Arial"/>
          <w:sz w:val="20"/>
          <w:szCs w:val="20"/>
          <w:lang w:eastAsia="en-ZA"/>
        </w:rPr>
        <w:t>Although water and sanitation infrastructure development by the Department of Water and Sanitation was commended, DPME maintained that infrastructure dilapidation</w:t>
      </w:r>
      <w:r w:rsidR="00350FB0" w:rsidRPr="00156CB3">
        <w:rPr>
          <w:rFonts w:ascii="Arial" w:eastAsia="Times New Roman" w:hAnsi="Arial" w:cs="Arial"/>
          <w:sz w:val="20"/>
          <w:szCs w:val="20"/>
          <w:lang w:eastAsia="en-ZA"/>
        </w:rPr>
        <w:t>,</w:t>
      </w:r>
      <w:r w:rsidR="0057316D" w:rsidRPr="00156CB3">
        <w:rPr>
          <w:rFonts w:ascii="Arial" w:eastAsia="Times New Roman" w:hAnsi="Arial" w:cs="Arial"/>
          <w:sz w:val="20"/>
          <w:szCs w:val="20"/>
          <w:lang w:eastAsia="en-ZA"/>
        </w:rPr>
        <w:t xml:space="preserve"> as seen in the recent floods in Kwazulu-Natal, should be used as a basis for improving preventative maintenance and refurbishment of critical bulk water and sanitation infrastructure in the country.</w:t>
      </w:r>
    </w:p>
    <w:p w:rsidR="0057316D" w:rsidRPr="00156CB3" w:rsidRDefault="0057316D" w:rsidP="00156CB3">
      <w:pPr>
        <w:spacing w:after="0" w:line="240" w:lineRule="auto"/>
        <w:rPr>
          <w:rFonts w:ascii="Arial" w:eastAsia="Times New Roman" w:hAnsi="Arial" w:cs="Arial"/>
          <w:sz w:val="20"/>
          <w:szCs w:val="20"/>
          <w:lang w:eastAsia="en-ZA"/>
        </w:rPr>
      </w:pPr>
    </w:p>
    <w:p w:rsidR="0057316D" w:rsidRPr="00156CB3" w:rsidRDefault="00350FB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One of the significant</w:t>
      </w:r>
      <w:r w:rsidR="0057316D" w:rsidRPr="00156CB3">
        <w:rPr>
          <w:rFonts w:ascii="Arial" w:eastAsia="Times New Roman" w:hAnsi="Arial" w:cs="Arial"/>
          <w:sz w:val="20"/>
          <w:szCs w:val="20"/>
          <w:lang w:eastAsia="en-ZA"/>
        </w:rPr>
        <w:t xml:space="preserve"> constraints in the water and sanitation in South Africa, according to the DPME, relate</w:t>
      </w:r>
      <w:r w:rsidRPr="00156CB3">
        <w:rPr>
          <w:rFonts w:ascii="Arial" w:eastAsia="Times New Roman" w:hAnsi="Arial" w:cs="Arial"/>
          <w:sz w:val="20"/>
          <w:szCs w:val="20"/>
          <w:lang w:eastAsia="en-ZA"/>
        </w:rPr>
        <w:t>s</w:t>
      </w:r>
      <w:r w:rsidR="0057316D" w:rsidRPr="00156CB3">
        <w:rPr>
          <w:rFonts w:ascii="Arial" w:eastAsia="Times New Roman" w:hAnsi="Arial" w:cs="Arial"/>
          <w:sz w:val="20"/>
          <w:szCs w:val="20"/>
          <w:lang w:eastAsia="en-ZA"/>
        </w:rPr>
        <w:t xml:space="preserve"> to the dysfunctionality of water boards with weak governance, municipal debt, and inefficiencies in financial management</w:t>
      </w:r>
      <w:r w:rsidRPr="00156CB3">
        <w:rPr>
          <w:rFonts w:ascii="Arial" w:eastAsia="Times New Roman" w:hAnsi="Arial" w:cs="Arial"/>
          <w:sz w:val="20"/>
          <w:szCs w:val="20"/>
          <w:lang w:eastAsia="en-ZA"/>
        </w:rPr>
        <w:t>,</w:t>
      </w:r>
      <w:r w:rsidR="0057316D" w:rsidRPr="00156CB3">
        <w:rPr>
          <w:rFonts w:ascii="Arial" w:eastAsia="Times New Roman" w:hAnsi="Arial" w:cs="Arial"/>
          <w:sz w:val="20"/>
          <w:szCs w:val="20"/>
          <w:lang w:eastAsia="en-ZA"/>
        </w:rPr>
        <w:t xml:space="preserve"> which result in ineffective operations and poor maintenance of water quality infrastructure.</w:t>
      </w:r>
    </w:p>
    <w:p w:rsidR="00027479" w:rsidRPr="00156CB3" w:rsidRDefault="00027479" w:rsidP="00156CB3">
      <w:pPr>
        <w:spacing w:after="0" w:line="240" w:lineRule="auto"/>
        <w:rPr>
          <w:rFonts w:ascii="Arial" w:eastAsia="Times New Roman" w:hAnsi="Arial" w:cs="Arial"/>
          <w:b/>
          <w:sz w:val="20"/>
          <w:szCs w:val="20"/>
          <w:lang w:eastAsia="en-ZA"/>
        </w:rPr>
      </w:pPr>
    </w:p>
    <w:p w:rsidR="00B62F9B" w:rsidRPr="00156CB3" w:rsidRDefault="00B62F9B" w:rsidP="00156CB3">
      <w:pPr>
        <w:shd w:val="clear" w:color="auto" w:fill="D9D9D9" w:themeFill="background1" w:themeFillShade="D9"/>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4.</w:t>
      </w:r>
      <w:r w:rsidRPr="00156CB3">
        <w:rPr>
          <w:rFonts w:ascii="Arial" w:eastAsia="Times New Roman" w:hAnsi="Arial" w:cs="Arial"/>
          <w:b/>
          <w:sz w:val="20"/>
          <w:szCs w:val="20"/>
          <w:lang w:eastAsia="en-ZA"/>
        </w:rPr>
        <w:tab/>
      </w:r>
      <w:r w:rsidR="00E375B0" w:rsidRPr="00156CB3">
        <w:rPr>
          <w:rFonts w:ascii="Arial" w:eastAsia="Times New Roman" w:hAnsi="Arial" w:cs="Arial"/>
          <w:b/>
          <w:sz w:val="20"/>
          <w:szCs w:val="20"/>
          <w:lang w:eastAsia="en-ZA"/>
        </w:rPr>
        <w:t>Overview of the work of the Department of Water and Sanitation</w:t>
      </w:r>
      <w:r w:rsidRPr="00156CB3">
        <w:rPr>
          <w:rFonts w:ascii="Arial" w:eastAsia="Times New Roman" w:hAnsi="Arial" w:cs="Arial"/>
          <w:b/>
          <w:sz w:val="20"/>
          <w:szCs w:val="20"/>
          <w:lang w:eastAsia="en-ZA"/>
        </w:rPr>
        <w:t xml:space="preserve"> </w:t>
      </w:r>
    </w:p>
    <w:p w:rsidR="00166917" w:rsidRPr="00156CB3" w:rsidRDefault="00166917" w:rsidP="00156CB3">
      <w:pPr>
        <w:spacing w:after="0" w:line="240" w:lineRule="auto"/>
        <w:rPr>
          <w:rFonts w:ascii="Arial" w:eastAsia="Times New Roman" w:hAnsi="Arial" w:cs="Arial"/>
          <w:b/>
          <w:sz w:val="20"/>
          <w:szCs w:val="20"/>
          <w:lang w:eastAsia="en-ZA"/>
        </w:rPr>
      </w:pPr>
    </w:p>
    <w:p w:rsidR="00AF2EA8" w:rsidRPr="00156CB3" w:rsidRDefault="0016691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4.1</w:t>
      </w:r>
      <w:r w:rsidRPr="00156CB3">
        <w:rPr>
          <w:rFonts w:ascii="Arial" w:eastAsia="Times New Roman" w:hAnsi="Arial" w:cs="Arial"/>
          <w:b/>
          <w:sz w:val="20"/>
          <w:szCs w:val="20"/>
          <w:lang w:eastAsia="en-ZA"/>
        </w:rPr>
        <w:tab/>
      </w:r>
      <w:r w:rsidR="008A65FB" w:rsidRPr="00156CB3">
        <w:rPr>
          <w:rFonts w:ascii="Arial" w:eastAsia="Times New Roman" w:hAnsi="Arial" w:cs="Arial"/>
          <w:b/>
          <w:sz w:val="20"/>
          <w:szCs w:val="20"/>
          <w:lang w:eastAsia="en-ZA"/>
        </w:rPr>
        <w:t xml:space="preserve">Financial and non-financial performance of the Department (Main Account and </w:t>
      </w:r>
      <w:r w:rsidR="00AE613E" w:rsidRPr="00156CB3">
        <w:rPr>
          <w:rFonts w:ascii="Arial" w:eastAsia="Times New Roman" w:hAnsi="Arial" w:cs="Arial"/>
          <w:b/>
          <w:sz w:val="20"/>
          <w:szCs w:val="20"/>
          <w:lang w:eastAsia="en-ZA"/>
        </w:rPr>
        <w:tab/>
      </w:r>
      <w:r w:rsidR="008A65FB" w:rsidRPr="00156CB3">
        <w:rPr>
          <w:rFonts w:ascii="Arial" w:eastAsia="Times New Roman" w:hAnsi="Arial" w:cs="Arial"/>
          <w:b/>
          <w:sz w:val="20"/>
          <w:szCs w:val="20"/>
          <w:lang w:eastAsia="en-ZA"/>
        </w:rPr>
        <w:t xml:space="preserve">Water </w:t>
      </w:r>
      <w:r w:rsidR="008A65FB" w:rsidRPr="00156CB3">
        <w:rPr>
          <w:rFonts w:ascii="Arial" w:eastAsia="Times New Roman" w:hAnsi="Arial" w:cs="Arial"/>
          <w:b/>
          <w:sz w:val="20"/>
          <w:szCs w:val="20"/>
          <w:lang w:eastAsia="en-ZA"/>
        </w:rPr>
        <w:tab/>
        <w:t xml:space="preserve">Trading Entity) </w:t>
      </w:r>
    </w:p>
    <w:p w:rsidR="008A65FB" w:rsidRPr="00156CB3" w:rsidRDefault="008A65FB" w:rsidP="00156CB3">
      <w:pPr>
        <w:spacing w:after="0" w:line="240" w:lineRule="auto"/>
        <w:rPr>
          <w:rFonts w:ascii="Arial" w:eastAsia="Times New Roman" w:hAnsi="Arial" w:cs="Arial"/>
          <w:b/>
          <w:sz w:val="20"/>
          <w:szCs w:val="20"/>
          <w:lang w:eastAsia="en-ZA"/>
        </w:rPr>
      </w:pPr>
    </w:p>
    <w:p w:rsidR="000E67E6" w:rsidRPr="00156CB3" w:rsidRDefault="000E67E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A high-level summary of the financial and non-financial performance of the Department of Water and Sanitation for the</w:t>
      </w:r>
      <w:r w:rsidR="008A65FB" w:rsidRPr="00156CB3">
        <w:rPr>
          <w:rFonts w:ascii="Arial" w:eastAsia="Times New Roman" w:hAnsi="Arial" w:cs="Arial"/>
          <w:sz w:val="20"/>
          <w:szCs w:val="20"/>
          <w:lang w:eastAsia="en-ZA"/>
        </w:rPr>
        <w:t xml:space="preserve"> year under review in Table 1 </w:t>
      </w:r>
      <w:r w:rsidRPr="00156CB3">
        <w:rPr>
          <w:rFonts w:ascii="Arial" w:eastAsia="Times New Roman" w:hAnsi="Arial" w:cs="Arial"/>
          <w:sz w:val="20"/>
          <w:szCs w:val="20"/>
          <w:lang w:eastAsia="en-ZA"/>
        </w:rPr>
        <w:t xml:space="preserve">below reflects that the final appropriation amounted to R17.7 billion, with Administration allocated R1.9 billion, Water Resource Management – R3.6 billion, Water Services Management – R12.1 billion.  </w:t>
      </w:r>
    </w:p>
    <w:p w:rsidR="000E67E6" w:rsidRPr="00156CB3" w:rsidRDefault="000E67E6" w:rsidP="00156CB3">
      <w:pPr>
        <w:spacing w:after="0" w:line="240" w:lineRule="auto"/>
        <w:rPr>
          <w:rFonts w:ascii="Arial" w:eastAsia="Times New Roman" w:hAnsi="Arial" w:cs="Arial"/>
          <w:sz w:val="20"/>
          <w:szCs w:val="20"/>
          <w:lang w:eastAsia="en-ZA"/>
        </w:rPr>
      </w:pPr>
    </w:p>
    <w:p w:rsidR="000E67E6" w:rsidRPr="00156CB3" w:rsidRDefault="006015D1"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actual expenditure for each of the Programmes – Administration with R1.7 billion, Water Resource Management with R3.4 billion, and Water Services Management at R9.9 billion.</w:t>
      </w:r>
      <w:r w:rsidR="00B3159F" w:rsidRPr="00156CB3">
        <w:rPr>
          <w:rFonts w:ascii="Arial" w:eastAsia="Times New Roman" w:hAnsi="Arial" w:cs="Arial"/>
          <w:sz w:val="20"/>
          <w:szCs w:val="20"/>
          <w:lang w:eastAsia="en-ZA"/>
        </w:rPr>
        <w:t xml:space="preserve">  This translates to a percentage spend of 88, 97, 82 of the three programmes with a total of 89 per cent.</w:t>
      </w:r>
      <w:r w:rsidR="00797B37" w:rsidRPr="00156CB3">
        <w:rPr>
          <w:rFonts w:ascii="Arial" w:eastAsia="Times New Roman" w:hAnsi="Arial" w:cs="Arial"/>
          <w:sz w:val="20"/>
          <w:szCs w:val="20"/>
          <w:lang w:eastAsia="en-ZA"/>
        </w:rPr>
        <w:t xml:space="preserve"> The department underspent the budget by R2.5 million</w:t>
      </w:r>
      <w:r w:rsidR="00350FB0" w:rsidRPr="00156CB3">
        <w:rPr>
          <w:rFonts w:ascii="Arial" w:eastAsia="Times New Roman" w:hAnsi="Arial" w:cs="Arial"/>
          <w:sz w:val="20"/>
          <w:szCs w:val="20"/>
          <w:lang w:eastAsia="en-ZA"/>
        </w:rPr>
        <w:t>, which includes</w:t>
      </w:r>
      <w:r w:rsidR="00EC2BC9" w:rsidRPr="00156CB3">
        <w:rPr>
          <w:rFonts w:ascii="Arial" w:eastAsia="Times New Roman" w:hAnsi="Arial" w:cs="Arial"/>
          <w:sz w:val="20"/>
          <w:szCs w:val="20"/>
          <w:lang w:eastAsia="en-ZA"/>
        </w:rPr>
        <w:t xml:space="preserve"> R244 million for Programme 1, R117 for</w:t>
      </w:r>
      <w:r w:rsidR="00797B37" w:rsidRPr="00156CB3">
        <w:rPr>
          <w:rFonts w:ascii="Arial" w:eastAsia="Times New Roman" w:hAnsi="Arial" w:cs="Arial"/>
          <w:sz w:val="20"/>
          <w:szCs w:val="20"/>
          <w:lang w:eastAsia="en-ZA"/>
        </w:rPr>
        <w:t xml:space="preserve"> Programme 2 </w:t>
      </w:r>
      <w:r w:rsidR="00EC2BC9" w:rsidRPr="00156CB3">
        <w:rPr>
          <w:rFonts w:ascii="Arial" w:eastAsia="Times New Roman" w:hAnsi="Arial" w:cs="Arial"/>
          <w:sz w:val="20"/>
          <w:szCs w:val="20"/>
          <w:lang w:eastAsia="en-ZA"/>
        </w:rPr>
        <w:t>and R2.1 million for</w:t>
      </w:r>
      <w:r w:rsidR="00350FB0" w:rsidRPr="00156CB3">
        <w:rPr>
          <w:rFonts w:ascii="Arial" w:eastAsia="Times New Roman" w:hAnsi="Arial" w:cs="Arial"/>
          <w:sz w:val="20"/>
          <w:szCs w:val="20"/>
          <w:lang w:eastAsia="en-ZA"/>
        </w:rPr>
        <w:t xml:space="preserve"> Programme 3.</w:t>
      </w:r>
    </w:p>
    <w:p w:rsidR="0063673F" w:rsidRPr="00156CB3" w:rsidRDefault="0063673F" w:rsidP="00156CB3">
      <w:pPr>
        <w:spacing w:after="0" w:line="240" w:lineRule="auto"/>
        <w:rPr>
          <w:rFonts w:ascii="Arial" w:eastAsia="Times New Roman" w:hAnsi="Arial" w:cs="Arial"/>
          <w:sz w:val="20"/>
          <w:szCs w:val="20"/>
          <w:lang w:eastAsia="en-ZA"/>
        </w:rPr>
      </w:pPr>
    </w:p>
    <w:p w:rsidR="0063673F" w:rsidRPr="00156CB3" w:rsidRDefault="0063673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Department requested to roll over the qualifying 2021/22 unspent funds of R381 million to the 2022/23 financial year.  This would allow for the completion of various identifiable, committed, contracted and accrued projects and activities which began in the previous financial year under the Water Resources Management programme.</w:t>
      </w:r>
    </w:p>
    <w:p w:rsidR="001D1925" w:rsidRPr="00156CB3" w:rsidRDefault="001D1925" w:rsidP="00156CB3">
      <w:pPr>
        <w:spacing w:after="0" w:line="240" w:lineRule="auto"/>
        <w:rPr>
          <w:rFonts w:ascii="Arial" w:eastAsia="Times New Roman" w:hAnsi="Arial" w:cs="Arial"/>
          <w:sz w:val="20"/>
          <w:szCs w:val="20"/>
          <w:lang w:eastAsia="en-ZA"/>
        </w:rPr>
      </w:pPr>
    </w:p>
    <w:p w:rsidR="000E67E6" w:rsidRPr="00156CB3" w:rsidRDefault="000E67E6"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Table 1: Expenditure trends and targets attained for the 2021/22 financial year</w:t>
      </w:r>
    </w:p>
    <w:tbl>
      <w:tblPr>
        <w:tblStyle w:val="TableGrid"/>
        <w:tblW w:w="11057" w:type="dxa"/>
        <w:tblInd w:w="-856" w:type="dxa"/>
        <w:tblLayout w:type="fixed"/>
        <w:tblLook w:val="04A0"/>
      </w:tblPr>
      <w:tblGrid>
        <w:gridCol w:w="1277"/>
        <w:gridCol w:w="1275"/>
        <w:gridCol w:w="1134"/>
        <w:gridCol w:w="993"/>
        <w:gridCol w:w="992"/>
        <w:gridCol w:w="1134"/>
        <w:gridCol w:w="992"/>
        <w:gridCol w:w="1276"/>
        <w:gridCol w:w="1077"/>
        <w:gridCol w:w="907"/>
      </w:tblGrid>
      <w:tr w:rsidR="00800F17" w:rsidRPr="00156CB3" w:rsidTr="00800F17">
        <w:tc>
          <w:tcPr>
            <w:tcW w:w="1277"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lastRenderedPageBreak/>
              <w:t>Programme</w:t>
            </w:r>
          </w:p>
        </w:tc>
        <w:tc>
          <w:tcPr>
            <w:tcW w:w="1275"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Final appropriation</w:t>
            </w:r>
          </w:p>
        </w:tc>
        <w:tc>
          <w:tcPr>
            <w:tcW w:w="1134"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Actual expenditure</w:t>
            </w:r>
          </w:p>
        </w:tc>
        <w:tc>
          <w:tcPr>
            <w:tcW w:w="993"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Employee </w:t>
            </w:r>
          </w:p>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cost</w:t>
            </w:r>
          </w:p>
        </w:tc>
        <w:tc>
          <w:tcPr>
            <w:tcW w:w="992"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Goods and services</w:t>
            </w:r>
          </w:p>
        </w:tc>
        <w:tc>
          <w:tcPr>
            <w:tcW w:w="1134"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Transfer</w:t>
            </w:r>
            <w:r w:rsidR="006015D1" w:rsidRPr="00156CB3">
              <w:rPr>
                <w:rFonts w:ascii="Arial" w:eastAsia="Times New Roman" w:hAnsi="Arial" w:cs="Arial"/>
                <w:b/>
                <w:sz w:val="20"/>
                <w:szCs w:val="20"/>
                <w:lang w:eastAsia="en-ZA"/>
              </w:rPr>
              <w:t>s</w:t>
            </w:r>
          </w:p>
        </w:tc>
        <w:tc>
          <w:tcPr>
            <w:tcW w:w="992"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Capital assets</w:t>
            </w:r>
          </w:p>
        </w:tc>
        <w:tc>
          <w:tcPr>
            <w:tcW w:w="1276"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Total appropriation percentage</w:t>
            </w:r>
          </w:p>
        </w:tc>
        <w:tc>
          <w:tcPr>
            <w:tcW w:w="1077" w:type="dxa"/>
          </w:tcPr>
          <w:p w:rsidR="001E728D" w:rsidRPr="00156CB3" w:rsidRDefault="001E728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 expend</w:t>
            </w:r>
            <w:r w:rsidR="00DA419F" w:rsidRPr="00156CB3">
              <w:rPr>
                <w:rFonts w:ascii="Arial" w:eastAsia="Times New Roman" w:hAnsi="Arial" w:cs="Arial"/>
                <w:b/>
                <w:sz w:val="20"/>
                <w:szCs w:val="20"/>
                <w:lang w:eastAsia="en-ZA"/>
              </w:rPr>
              <w:t>iture</w:t>
            </w:r>
          </w:p>
        </w:tc>
        <w:tc>
          <w:tcPr>
            <w:tcW w:w="907" w:type="dxa"/>
          </w:tcPr>
          <w:p w:rsidR="006015D1" w:rsidRPr="00156CB3" w:rsidRDefault="00044FF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Achieved </w:t>
            </w:r>
          </w:p>
          <w:p w:rsidR="001E728D" w:rsidRPr="00156CB3" w:rsidRDefault="00044FFD"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t</w:t>
            </w:r>
            <w:r w:rsidR="00DA419F" w:rsidRPr="00156CB3">
              <w:rPr>
                <w:rFonts w:ascii="Arial" w:eastAsia="Times New Roman" w:hAnsi="Arial" w:cs="Arial"/>
                <w:b/>
                <w:sz w:val="20"/>
                <w:szCs w:val="20"/>
                <w:lang w:eastAsia="en-ZA"/>
              </w:rPr>
              <w:t>argets</w:t>
            </w:r>
          </w:p>
        </w:tc>
      </w:tr>
      <w:tr w:rsidR="00800F17" w:rsidRPr="00156CB3" w:rsidTr="00800F17">
        <w:tc>
          <w:tcPr>
            <w:tcW w:w="1277"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Administration</w:t>
            </w:r>
          </w:p>
        </w:tc>
        <w:tc>
          <w:tcPr>
            <w:tcW w:w="1275"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1 960 017</w:t>
            </w:r>
          </w:p>
        </w:tc>
        <w:tc>
          <w:tcPr>
            <w:tcW w:w="1134"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1 716 499</w:t>
            </w:r>
          </w:p>
        </w:tc>
        <w:tc>
          <w:tcPr>
            <w:tcW w:w="993"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791 547</w:t>
            </w:r>
          </w:p>
        </w:tc>
        <w:tc>
          <w:tcPr>
            <w:tcW w:w="992"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AE613E" w:rsidRPr="00156CB3">
              <w:rPr>
                <w:rFonts w:ascii="Arial" w:eastAsia="Times New Roman" w:hAnsi="Arial" w:cs="Arial"/>
                <w:sz w:val="20"/>
                <w:szCs w:val="20"/>
                <w:lang w:eastAsia="en-ZA"/>
              </w:rPr>
              <w:t xml:space="preserve"> </w:t>
            </w:r>
            <w:r w:rsidR="006015D1"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822 099</w:t>
            </w:r>
          </w:p>
        </w:tc>
        <w:tc>
          <w:tcPr>
            <w:tcW w:w="1134" w:type="dxa"/>
          </w:tcPr>
          <w:p w:rsidR="001E728D" w:rsidRPr="00156CB3" w:rsidRDefault="00800F17"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6015D1" w:rsidRPr="00156CB3">
              <w:rPr>
                <w:rFonts w:ascii="Arial" w:eastAsia="Times New Roman" w:hAnsi="Arial" w:cs="Arial"/>
                <w:sz w:val="20"/>
                <w:szCs w:val="20"/>
                <w:lang w:eastAsia="en-ZA"/>
              </w:rPr>
              <w:t>31 734</w:t>
            </w:r>
          </w:p>
        </w:tc>
        <w:tc>
          <w:tcPr>
            <w:tcW w:w="992" w:type="dxa"/>
          </w:tcPr>
          <w:p w:rsidR="001E728D" w:rsidRPr="00156CB3" w:rsidRDefault="00800F17"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6015D1" w:rsidRPr="00156CB3">
              <w:rPr>
                <w:rFonts w:ascii="Arial" w:eastAsia="Times New Roman" w:hAnsi="Arial" w:cs="Arial"/>
                <w:sz w:val="20"/>
                <w:szCs w:val="20"/>
                <w:lang w:eastAsia="en-ZA"/>
              </w:rPr>
              <w:t>61 068</w:t>
            </w:r>
          </w:p>
        </w:tc>
        <w:tc>
          <w:tcPr>
            <w:tcW w:w="1276"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11%</w:t>
            </w:r>
          </w:p>
        </w:tc>
        <w:tc>
          <w:tcPr>
            <w:tcW w:w="1077"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88%</w:t>
            </w:r>
          </w:p>
        </w:tc>
        <w:tc>
          <w:tcPr>
            <w:tcW w:w="907"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67%</w:t>
            </w:r>
          </w:p>
        </w:tc>
      </w:tr>
      <w:tr w:rsidR="00800F17" w:rsidRPr="00156CB3" w:rsidTr="00800F17">
        <w:tc>
          <w:tcPr>
            <w:tcW w:w="1277" w:type="dxa"/>
          </w:tcPr>
          <w:p w:rsidR="00800F17" w:rsidRPr="00156CB3" w:rsidRDefault="00800F17" w:rsidP="00156CB3">
            <w:pPr>
              <w:rPr>
                <w:rFonts w:ascii="Arial" w:eastAsia="Times New Roman" w:hAnsi="Arial" w:cs="Arial"/>
                <w:sz w:val="20"/>
                <w:szCs w:val="20"/>
                <w:lang w:eastAsia="en-ZA"/>
              </w:rPr>
            </w:pPr>
          </w:p>
        </w:tc>
        <w:tc>
          <w:tcPr>
            <w:tcW w:w="1275" w:type="dxa"/>
          </w:tcPr>
          <w:p w:rsidR="00800F17" w:rsidRPr="00156CB3" w:rsidRDefault="00800F17" w:rsidP="00156CB3">
            <w:pPr>
              <w:rPr>
                <w:rFonts w:ascii="Arial" w:eastAsia="Times New Roman" w:hAnsi="Arial" w:cs="Arial"/>
                <w:sz w:val="20"/>
                <w:szCs w:val="20"/>
                <w:lang w:eastAsia="en-ZA"/>
              </w:rPr>
            </w:pPr>
          </w:p>
        </w:tc>
        <w:tc>
          <w:tcPr>
            <w:tcW w:w="1134" w:type="dxa"/>
          </w:tcPr>
          <w:p w:rsidR="00800F17" w:rsidRPr="00156CB3" w:rsidRDefault="00800F17" w:rsidP="00156CB3">
            <w:pPr>
              <w:rPr>
                <w:rFonts w:ascii="Arial" w:eastAsia="Times New Roman" w:hAnsi="Arial" w:cs="Arial"/>
                <w:sz w:val="20"/>
                <w:szCs w:val="20"/>
                <w:lang w:eastAsia="en-ZA"/>
              </w:rPr>
            </w:pPr>
          </w:p>
        </w:tc>
        <w:tc>
          <w:tcPr>
            <w:tcW w:w="993" w:type="dxa"/>
          </w:tcPr>
          <w:p w:rsidR="00800F17" w:rsidRPr="00156CB3" w:rsidRDefault="00800F17" w:rsidP="00156CB3">
            <w:pPr>
              <w:rPr>
                <w:rFonts w:ascii="Arial" w:eastAsia="Times New Roman" w:hAnsi="Arial" w:cs="Arial"/>
                <w:sz w:val="20"/>
                <w:szCs w:val="20"/>
                <w:lang w:eastAsia="en-ZA"/>
              </w:rPr>
            </w:pPr>
          </w:p>
        </w:tc>
        <w:tc>
          <w:tcPr>
            <w:tcW w:w="992" w:type="dxa"/>
          </w:tcPr>
          <w:p w:rsidR="00800F17" w:rsidRPr="00156CB3" w:rsidRDefault="00800F17" w:rsidP="00156CB3">
            <w:pPr>
              <w:rPr>
                <w:rFonts w:ascii="Arial" w:eastAsia="Times New Roman" w:hAnsi="Arial" w:cs="Arial"/>
                <w:sz w:val="20"/>
                <w:szCs w:val="20"/>
                <w:lang w:eastAsia="en-ZA"/>
              </w:rPr>
            </w:pPr>
          </w:p>
        </w:tc>
        <w:tc>
          <w:tcPr>
            <w:tcW w:w="1134" w:type="dxa"/>
          </w:tcPr>
          <w:p w:rsidR="00800F17" w:rsidRPr="00156CB3" w:rsidRDefault="00800F17" w:rsidP="00156CB3">
            <w:pPr>
              <w:rPr>
                <w:rFonts w:ascii="Arial" w:eastAsia="Times New Roman" w:hAnsi="Arial" w:cs="Arial"/>
                <w:sz w:val="20"/>
                <w:szCs w:val="20"/>
                <w:lang w:eastAsia="en-ZA"/>
              </w:rPr>
            </w:pPr>
          </w:p>
        </w:tc>
        <w:tc>
          <w:tcPr>
            <w:tcW w:w="992" w:type="dxa"/>
          </w:tcPr>
          <w:p w:rsidR="00800F17" w:rsidRPr="00156CB3" w:rsidRDefault="00800F17" w:rsidP="00156CB3">
            <w:pPr>
              <w:rPr>
                <w:rFonts w:ascii="Arial" w:eastAsia="Times New Roman" w:hAnsi="Arial" w:cs="Arial"/>
                <w:sz w:val="20"/>
                <w:szCs w:val="20"/>
                <w:lang w:eastAsia="en-ZA"/>
              </w:rPr>
            </w:pPr>
          </w:p>
        </w:tc>
        <w:tc>
          <w:tcPr>
            <w:tcW w:w="1276" w:type="dxa"/>
          </w:tcPr>
          <w:p w:rsidR="00800F17" w:rsidRPr="00156CB3" w:rsidRDefault="00800F17" w:rsidP="00156CB3">
            <w:pPr>
              <w:rPr>
                <w:rFonts w:ascii="Arial" w:eastAsia="Times New Roman" w:hAnsi="Arial" w:cs="Arial"/>
                <w:sz w:val="20"/>
                <w:szCs w:val="20"/>
                <w:lang w:eastAsia="en-ZA"/>
              </w:rPr>
            </w:pPr>
          </w:p>
        </w:tc>
        <w:tc>
          <w:tcPr>
            <w:tcW w:w="1077" w:type="dxa"/>
          </w:tcPr>
          <w:p w:rsidR="00800F17" w:rsidRPr="00156CB3" w:rsidRDefault="00800F17" w:rsidP="00156CB3">
            <w:pPr>
              <w:rPr>
                <w:rFonts w:ascii="Arial" w:eastAsia="Times New Roman" w:hAnsi="Arial" w:cs="Arial"/>
                <w:sz w:val="20"/>
                <w:szCs w:val="20"/>
                <w:lang w:eastAsia="en-ZA"/>
              </w:rPr>
            </w:pPr>
          </w:p>
        </w:tc>
        <w:tc>
          <w:tcPr>
            <w:tcW w:w="907" w:type="dxa"/>
          </w:tcPr>
          <w:p w:rsidR="00800F17" w:rsidRPr="00156CB3" w:rsidRDefault="00800F17" w:rsidP="00156CB3">
            <w:pPr>
              <w:rPr>
                <w:rFonts w:ascii="Arial" w:eastAsia="Times New Roman" w:hAnsi="Arial" w:cs="Arial"/>
                <w:sz w:val="20"/>
                <w:szCs w:val="20"/>
                <w:lang w:eastAsia="en-ZA"/>
              </w:rPr>
            </w:pPr>
          </w:p>
        </w:tc>
      </w:tr>
      <w:tr w:rsidR="00800F17" w:rsidRPr="00156CB3" w:rsidTr="00800F17">
        <w:tc>
          <w:tcPr>
            <w:tcW w:w="1277"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Water Resources Management</w:t>
            </w:r>
          </w:p>
        </w:tc>
        <w:tc>
          <w:tcPr>
            <w:tcW w:w="1275"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3 616 600</w:t>
            </w:r>
          </w:p>
        </w:tc>
        <w:tc>
          <w:tcPr>
            <w:tcW w:w="1134"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3 499 861</w:t>
            </w:r>
          </w:p>
        </w:tc>
        <w:tc>
          <w:tcPr>
            <w:tcW w:w="993"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611 665</w:t>
            </w:r>
          </w:p>
        </w:tc>
        <w:tc>
          <w:tcPr>
            <w:tcW w:w="992" w:type="dxa"/>
          </w:tcPr>
          <w:p w:rsidR="001E728D" w:rsidRPr="00156CB3" w:rsidRDefault="00AE613E"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6015D1" w:rsidRPr="00156CB3">
              <w:rPr>
                <w:rFonts w:ascii="Arial" w:eastAsia="Times New Roman" w:hAnsi="Arial" w:cs="Arial"/>
                <w:sz w:val="20"/>
                <w:szCs w:val="20"/>
                <w:lang w:eastAsia="en-ZA"/>
              </w:rPr>
              <w:t>214 021</w:t>
            </w:r>
          </w:p>
        </w:tc>
        <w:tc>
          <w:tcPr>
            <w:tcW w:w="1134"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2 619 330</w:t>
            </w:r>
          </w:p>
        </w:tc>
        <w:tc>
          <w:tcPr>
            <w:tcW w:w="992" w:type="dxa"/>
          </w:tcPr>
          <w:p w:rsidR="001E728D" w:rsidRPr="00156CB3" w:rsidRDefault="00800F17"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6015D1" w:rsidRPr="00156CB3">
              <w:rPr>
                <w:rFonts w:ascii="Arial" w:eastAsia="Times New Roman" w:hAnsi="Arial" w:cs="Arial"/>
                <w:sz w:val="20"/>
                <w:szCs w:val="20"/>
                <w:lang w:eastAsia="en-ZA"/>
              </w:rPr>
              <w:t>54 733</w:t>
            </w:r>
          </w:p>
        </w:tc>
        <w:tc>
          <w:tcPr>
            <w:tcW w:w="1276"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20%</w:t>
            </w:r>
          </w:p>
        </w:tc>
        <w:tc>
          <w:tcPr>
            <w:tcW w:w="1077"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97%</w:t>
            </w:r>
          </w:p>
        </w:tc>
        <w:tc>
          <w:tcPr>
            <w:tcW w:w="907"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59%</w:t>
            </w:r>
          </w:p>
        </w:tc>
      </w:tr>
      <w:tr w:rsidR="00800F17" w:rsidRPr="00156CB3" w:rsidTr="00800F17">
        <w:tc>
          <w:tcPr>
            <w:tcW w:w="1277"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Water Services Management</w:t>
            </w:r>
          </w:p>
        </w:tc>
        <w:tc>
          <w:tcPr>
            <w:tcW w:w="1275"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12 158 440</w:t>
            </w:r>
          </w:p>
        </w:tc>
        <w:tc>
          <w:tcPr>
            <w:tcW w:w="1134"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9 987 154</w:t>
            </w:r>
          </w:p>
        </w:tc>
        <w:tc>
          <w:tcPr>
            <w:tcW w:w="993" w:type="dxa"/>
          </w:tcPr>
          <w:p w:rsidR="001E728D" w:rsidRPr="00156CB3" w:rsidRDefault="00DA419F"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339 024</w:t>
            </w:r>
          </w:p>
        </w:tc>
        <w:tc>
          <w:tcPr>
            <w:tcW w:w="992" w:type="dxa"/>
          </w:tcPr>
          <w:p w:rsidR="001E728D" w:rsidRPr="00156CB3" w:rsidRDefault="00AE613E"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   </w:t>
            </w:r>
            <w:r w:rsidR="006015D1" w:rsidRPr="00156CB3">
              <w:rPr>
                <w:rFonts w:ascii="Arial" w:eastAsia="Times New Roman" w:hAnsi="Arial" w:cs="Arial"/>
                <w:sz w:val="20"/>
                <w:szCs w:val="20"/>
                <w:lang w:eastAsia="en-ZA"/>
              </w:rPr>
              <w:t xml:space="preserve"> 427 038</w:t>
            </w:r>
          </w:p>
        </w:tc>
        <w:tc>
          <w:tcPr>
            <w:tcW w:w="1134"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6 763 247</w:t>
            </w:r>
          </w:p>
        </w:tc>
        <w:tc>
          <w:tcPr>
            <w:tcW w:w="992"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2 457 609</w:t>
            </w:r>
          </w:p>
        </w:tc>
        <w:tc>
          <w:tcPr>
            <w:tcW w:w="1276"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69%</w:t>
            </w:r>
          </w:p>
        </w:tc>
        <w:tc>
          <w:tcPr>
            <w:tcW w:w="1077"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82%</w:t>
            </w:r>
          </w:p>
        </w:tc>
        <w:tc>
          <w:tcPr>
            <w:tcW w:w="907" w:type="dxa"/>
          </w:tcPr>
          <w:p w:rsidR="001E728D" w:rsidRPr="00156CB3" w:rsidRDefault="006015D1" w:rsidP="00156CB3">
            <w:pPr>
              <w:rPr>
                <w:rFonts w:ascii="Arial" w:eastAsia="Times New Roman" w:hAnsi="Arial" w:cs="Arial"/>
                <w:sz w:val="20"/>
                <w:szCs w:val="20"/>
                <w:lang w:eastAsia="en-ZA"/>
              </w:rPr>
            </w:pPr>
            <w:r w:rsidRPr="00156CB3">
              <w:rPr>
                <w:rFonts w:ascii="Arial" w:eastAsia="Times New Roman" w:hAnsi="Arial" w:cs="Arial"/>
                <w:sz w:val="20"/>
                <w:szCs w:val="20"/>
                <w:lang w:eastAsia="en-ZA"/>
              </w:rPr>
              <w:t>71%</w:t>
            </w:r>
          </w:p>
        </w:tc>
      </w:tr>
      <w:tr w:rsidR="00800F17" w:rsidRPr="00156CB3" w:rsidTr="00800F17">
        <w:tc>
          <w:tcPr>
            <w:tcW w:w="1277" w:type="dxa"/>
          </w:tcPr>
          <w:p w:rsidR="001E728D" w:rsidRPr="00156CB3" w:rsidRDefault="00DA419F"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Total </w:t>
            </w:r>
          </w:p>
        </w:tc>
        <w:tc>
          <w:tcPr>
            <w:tcW w:w="1275" w:type="dxa"/>
          </w:tcPr>
          <w:p w:rsidR="001E728D" w:rsidRPr="00156CB3" w:rsidRDefault="00DA419F"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17 735 057</w:t>
            </w:r>
          </w:p>
        </w:tc>
        <w:tc>
          <w:tcPr>
            <w:tcW w:w="1134" w:type="dxa"/>
          </w:tcPr>
          <w:p w:rsidR="001E728D" w:rsidRPr="00156CB3" w:rsidRDefault="00DA419F"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15 203 514</w:t>
            </w:r>
          </w:p>
        </w:tc>
        <w:tc>
          <w:tcPr>
            <w:tcW w:w="993" w:type="dxa"/>
          </w:tcPr>
          <w:p w:rsidR="001E728D" w:rsidRPr="00156CB3" w:rsidRDefault="00DA419F"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1 742 236</w:t>
            </w:r>
          </w:p>
        </w:tc>
        <w:tc>
          <w:tcPr>
            <w:tcW w:w="992" w:type="dxa"/>
          </w:tcPr>
          <w:p w:rsidR="001E728D" w:rsidRPr="00156CB3" w:rsidRDefault="00AE613E"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 </w:t>
            </w:r>
            <w:r w:rsidR="006015D1" w:rsidRPr="00156CB3">
              <w:rPr>
                <w:rFonts w:ascii="Arial" w:eastAsia="Times New Roman" w:hAnsi="Arial" w:cs="Arial"/>
                <w:b/>
                <w:sz w:val="20"/>
                <w:szCs w:val="20"/>
                <w:lang w:eastAsia="en-ZA"/>
              </w:rPr>
              <w:t>1 473 158</w:t>
            </w:r>
          </w:p>
        </w:tc>
        <w:tc>
          <w:tcPr>
            <w:tcW w:w="1134" w:type="dxa"/>
          </w:tcPr>
          <w:p w:rsidR="001E728D" w:rsidRPr="00156CB3" w:rsidRDefault="006015D1"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9 414 311</w:t>
            </w:r>
          </w:p>
        </w:tc>
        <w:tc>
          <w:tcPr>
            <w:tcW w:w="992" w:type="dxa"/>
          </w:tcPr>
          <w:p w:rsidR="001E728D" w:rsidRPr="00156CB3" w:rsidRDefault="006015D1"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 xml:space="preserve"> 2 573 410</w:t>
            </w:r>
          </w:p>
        </w:tc>
        <w:tc>
          <w:tcPr>
            <w:tcW w:w="1276" w:type="dxa"/>
          </w:tcPr>
          <w:p w:rsidR="001E728D" w:rsidRPr="00156CB3" w:rsidRDefault="006015D1"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100%</w:t>
            </w:r>
          </w:p>
        </w:tc>
        <w:tc>
          <w:tcPr>
            <w:tcW w:w="1077" w:type="dxa"/>
          </w:tcPr>
          <w:p w:rsidR="001E728D" w:rsidRPr="00156CB3" w:rsidRDefault="006015D1"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89%</w:t>
            </w:r>
          </w:p>
        </w:tc>
        <w:tc>
          <w:tcPr>
            <w:tcW w:w="907" w:type="dxa"/>
          </w:tcPr>
          <w:p w:rsidR="001E728D" w:rsidRPr="00156CB3" w:rsidRDefault="006015D1" w:rsidP="00156CB3">
            <w:pPr>
              <w:rPr>
                <w:rFonts w:ascii="Arial" w:eastAsia="Times New Roman" w:hAnsi="Arial" w:cs="Arial"/>
                <w:b/>
                <w:sz w:val="20"/>
                <w:szCs w:val="20"/>
                <w:lang w:eastAsia="en-ZA"/>
              </w:rPr>
            </w:pPr>
            <w:r w:rsidRPr="00156CB3">
              <w:rPr>
                <w:rFonts w:ascii="Arial" w:eastAsia="Times New Roman" w:hAnsi="Arial" w:cs="Arial"/>
                <w:b/>
                <w:sz w:val="20"/>
                <w:szCs w:val="20"/>
                <w:lang w:eastAsia="en-ZA"/>
              </w:rPr>
              <w:t>66%</w:t>
            </w:r>
          </w:p>
        </w:tc>
      </w:tr>
    </w:tbl>
    <w:p w:rsidR="000E67E6" w:rsidRPr="00156CB3" w:rsidRDefault="006015D1"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Source: Presentation by the Auditor-General, 11 October 2022</w:t>
      </w:r>
    </w:p>
    <w:p w:rsidR="000E67E6" w:rsidRPr="00156CB3" w:rsidRDefault="000E67E6" w:rsidP="00156CB3">
      <w:pPr>
        <w:spacing w:after="0" w:line="240" w:lineRule="auto"/>
        <w:rPr>
          <w:rFonts w:ascii="Arial" w:eastAsia="Times New Roman" w:hAnsi="Arial" w:cs="Arial"/>
          <w:b/>
          <w:sz w:val="20"/>
          <w:szCs w:val="20"/>
          <w:lang w:eastAsia="en-ZA"/>
        </w:rPr>
      </w:pPr>
    </w:p>
    <w:p w:rsidR="001D1925" w:rsidRPr="00156CB3" w:rsidRDefault="001D1925"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As mentioned earlier, irregular expenditure and debt owed by municipalities </w:t>
      </w:r>
      <w:r w:rsidR="003A464A" w:rsidRPr="00156CB3">
        <w:rPr>
          <w:rFonts w:ascii="Arial" w:eastAsia="Times New Roman" w:hAnsi="Arial" w:cs="Arial"/>
          <w:sz w:val="20"/>
          <w:szCs w:val="20"/>
          <w:lang w:eastAsia="en-ZA"/>
        </w:rPr>
        <w:t>formed the basis of engagements and report-back sessions to the Portfolio Committee during the quarterly reporting sessions of the financial and non-financial performance of the Dep</w:t>
      </w:r>
      <w:r w:rsidR="00F118B3" w:rsidRPr="00156CB3">
        <w:rPr>
          <w:rFonts w:ascii="Arial" w:eastAsia="Times New Roman" w:hAnsi="Arial" w:cs="Arial"/>
          <w:sz w:val="20"/>
          <w:szCs w:val="20"/>
          <w:lang w:eastAsia="en-ZA"/>
        </w:rPr>
        <w:t>ar</w:t>
      </w:r>
      <w:r w:rsidR="00350FB0" w:rsidRPr="00156CB3">
        <w:rPr>
          <w:rFonts w:ascii="Arial" w:eastAsia="Times New Roman" w:hAnsi="Arial" w:cs="Arial"/>
          <w:sz w:val="20"/>
          <w:szCs w:val="20"/>
          <w:lang w:eastAsia="en-ZA"/>
        </w:rPr>
        <w:t xml:space="preserve">tment. </w:t>
      </w:r>
      <w:r w:rsidR="00F118B3" w:rsidRPr="00156CB3">
        <w:rPr>
          <w:rFonts w:ascii="Arial" w:eastAsia="Times New Roman" w:hAnsi="Arial" w:cs="Arial"/>
          <w:sz w:val="20"/>
          <w:szCs w:val="20"/>
          <w:lang w:eastAsia="en-ZA"/>
        </w:rPr>
        <w:t xml:space="preserve">The tracking and monitoring of progress on </w:t>
      </w:r>
      <w:r w:rsidR="000C3102" w:rsidRPr="00156CB3">
        <w:rPr>
          <w:rFonts w:ascii="Arial" w:eastAsia="Times New Roman" w:hAnsi="Arial" w:cs="Arial"/>
          <w:sz w:val="20"/>
          <w:szCs w:val="20"/>
          <w:lang w:eastAsia="en-ZA"/>
        </w:rPr>
        <w:t xml:space="preserve">the </w:t>
      </w:r>
      <w:r w:rsidR="00F118B3" w:rsidRPr="00156CB3">
        <w:rPr>
          <w:rFonts w:ascii="Arial" w:eastAsia="Times New Roman" w:hAnsi="Arial" w:cs="Arial"/>
          <w:sz w:val="20"/>
          <w:szCs w:val="20"/>
          <w:lang w:eastAsia="en-ZA"/>
        </w:rPr>
        <w:t xml:space="preserve">finalisation of matters related to irregular expenditure and debt collection within the Main Account, Water Trading Entity and Trans-Caledon Tunnel Authority is an important oversight objective of the Portfolio Committee.  </w:t>
      </w:r>
      <w:r w:rsidR="00EC2BC9" w:rsidRPr="00156CB3">
        <w:rPr>
          <w:rFonts w:ascii="Arial" w:eastAsia="Times New Roman" w:hAnsi="Arial" w:cs="Arial"/>
          <w:sz w:val="20"/>
          <w:szCs w:val="20"/>
          <w:lang w:eastAsia="en-ZA"/>
        </w:rPr>
        <w:t>I</w:t>
      </w:r>
      <w:r w:rsidR="007D72A2" w:rsidRPr="00156CB3">
        <w:rPr>
          <w:rFonts w:ascii="Arial" w:eastAsia="Times New Roman" w:hAnsi="Arial" w:cs="Arial"/>
          <w:sz w:val="20"/>
          <w:szCs w:val="20"/>
          <w:lang w:eastAsia="en-ZA"/>
        </w:rPr>
        <w:t xml:space="preserve">rregular expenditure of </w:t>
      </w:r>
      <w:r w:rsidR="00637BA8" w:rsidRPr="00156CB3">
        <w:rPr>
          <w:rFonts w:ascii="Arial" w:eastAsia="Times New Roman" w:hAnsi="Arial" w:cs="Arial"/>
          <w:sz w:val="20"/>
          <w:szCs w:val="20"/>
          <w:lang w:eastAsia="en-ZA"/>
        </w:rPr>
        <w:t>R9.3 billion</w:t>
      </w:r>
      <w:r w:rsidR="005A0193" w:rsidRPr="00156CB3">
        <w:rPr>
          <w:rFonts w:ascii="Arial" w:eastAsia="Times New Roman" w:hAnsi="Arial" w:cs="Arial"/>
          <w:sz w:val="20"/>
          <w:szCs w:val="20"/>
          <w:lang w:eastAsia="en-ZA"/>
        </w:rPr>
        <w:t xml:space="preserve"> on the Main </w:t>
      </w:r>
      <w:r w:rsidR="00637BA8" w:rsidRPr="00156CB3">
        <w:rPr>
          <w:rFonts w:ascii="Arial" w:eastAsia="Times New Roman" w:hAnsi="Arial" w:cs="Arial"/>
          <w:sz w:val="20"/>
          <w:szCs w:val="20"/>
          <w:lang w:eastAsia="en-ZA"/>
        </w:rPr>
        <w:t>Account and R8.1 billion</w:t>
      </w:r>
      <w:r w:rsidR="00143271" w:rsidRPr="00156CB3">
        <w:rPr>
          <w:rFonts w:ascii="Arial" w:eastAsia="Times New Roman" w:hAnsi="Arial" w:cs="Arial"/>
          <w:sz w:val="20"/>
          <w:szCs w:val="20"/>
          <w:lang w:eastAsia="en-ZA"/>
        </w:rPr>
        <w:t xml:space="preserve"> on the Water Trading Entity</w:t>
      </w:r>
      <w:r w:rsidR="00192170" w:rsidRPr="00156CB3">
        <w:rPr>
          <w:rFonts w:ascii="Arial" w:eastAsia="Times New Roman" w:hAnsi="Arial" w:cs="Arial"/>
          <w:sz w:val="20"/>
          <w:szCs w:val="20"/>
          <w:lang w:eastAsia="en-ZA"/>
        </w:rPr>
        <w:t>,</w:t>
      </w:r>
      <w:r w:rsidR="00143271" w:rsidRPr="00156CB3">
        <w:rPr>
          <w:rFonts w:ascii="Arial" w:eastAsia="Times New Roman" w:hAnsi="Arial" w:cs="Arial"/>
          <w:sz w:val="20"/>
          <w:szCs w:val="20"/>
          <w:lang w:eastAsia="en-ZA"/>
        </w:rPr>
        <w:t xml:space="preserve"> with under-expenditure amounting to approximately R2</w:t>
      </w:r>
      <w:r w:rsidR="00637BA8" w:rsidRPr="00156CB3">
        <w:rPr>
          <w:rFonts w:ascii="Arial" w:eastAsia="Times New Roman" w:hAnsi="Arial" w:cs="Arial"/>
          <w:sz w:val="20"/>
          <w:szCs w:val="20"/>
          <w:lang w:eastAsia="en-ZA"/>
        </w:rPr>
        <w:t>.5</w:t>
      </w:r>
      <w:r w:rsidR="00143271" w:rsidRPr="00156CB3">
        <w:rPr>
          <w:rFonts w:ascii="Arial" w:eastAsia="Times New Roman" w:hAnsi="Arial" w:cs="Arial"/>
          <w:sz w:val="20"/>
          <w:szCs w:val="20"/>
          <w:lang w:eastAsia="en-ZA"/>
        </w:rPr>
        <w:t xml:space="preserve"> billion in the financial year under review.</w:t>
      </w:r>
    </w:p>
    <w:p w:rsidR="001D1925" w:rsidRPr="00156CB3" w:rsidRDefault="001D1925" w:rsidP="00156CB3">
      <w:pPr>
        <w:spacing w:after="0" w:line="240" w:lineRule="auto"/>
        <w:rPr>
          <w:rFonts w:ascii="Arial" w:eastAsia="Times New Roman" w:hAnsi="Arial" w:cs="Arial"/>
          <w:sz w:val="20"/>
          <w:szCs w:val="20"/>
          <w:lang w:eastAsia="en-ZA"/>
        </w:rPr>
      </w:pPr>
    </w:p>
    <w:p w:rsidR="000E67E6" w:rsidRPr="00156CB3" w:rsidRDefault="00797B37"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In terms of achievements of annual targets as reported in the Annual Performance Report (all indicators) for the year under review, the Department of Water and Sanitation achieved 66 per cent</w:t>
      </w:r>
      <w:r w:rsidR="00192170"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with 34 per cent not achieved, the TCTA achieved 75 per cent, with 25 per cent not achieved and a 100 per cent achievement of the Water Research Commission.</w:t>
      </w:r>
    </w:p>
    <w:p w:rsidR="00797B37" w:rsidRPr="00156CB3" w:rsidRDefault="00797B37" w:rsidP="00156CB3">
      <w:pPr>
        <w:spacing w:after="0" w:line="240" w:lineRule="auto"/>
        <w:rPr>
          <w:rFonts w:ascii="Arial" w:eastAsia="Times New Roman" w:hAnsi="Arial" w:cs="Arial"/>
          <w:sz w:val="20"/>
          <w:szCs w:val="20"/>
          <w:lang w:eastAsia="en-ZA"/>
        </w:rPr>
      </w:pPr>
    </w:p>
    <w:p w:rsidR="00166917" w:rsidRPr="00156CB3" w:rsidRDefault="0016691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4.1.1</w:t>
      </w:r>
      <w:r w:rsidRPr="00156CB3">
        <w:rPr>
          <w:rFonts w:ascii="Arial" w:eastAsia="Times New Roman" w:hAnsi="Arial" w:cs="Arial"/>
          <w:b/>
          <w:sz w:val="20"/>
          <w:szCs w:val="20"/>
          <w:lang w:eastAsia="en-ZA"/>
        </w:rPr>
        <w:tab/>
        <w:t>MAIN ACCOUNT</w:t>
      </w:r>
    </w:p>
    <w:p w:rsidR="00797B37" w:rsidRPr="00156CB3" w:rsidRDefault="00797B37" w:rsidP="00156CB3">
      <w:pPr>
        <w:spacing w:after="0" w:line="240" w:lineRule="auto"/>
        <w:rPr>
          <w:rFonts w:ascii="Arial" w:eastAsia="Times New Roman" w:hAnsi="Arial" w:cs="Arial"/>
          <w:b/>
          <w:sz w:val="20"/>
          <w:szCs w:val="20"/>
          <w:lang w:eastAsia="en-ZA"/>
        </w:rPr>
      </w:pPr>
    </w:p>
    <w:p w:rsidR="00C731BD" w:rsidRPr="00156CB3" w:rsidRDefault="00C731BD"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Department spent R15.2 billion of its final appropriation of R17.7 billion for the year under review. </w:t>
      </w:r>
      <w:r w:rsidRPr="00156CB3">
        <w:rPr>
          <w:rFonts w:ascii="Arial" w:eastAsia="Times New Roman" w:hAnsi="Arial" w:cs="Arial"/>
          <w:b/>
          <w:sz w:val="20"/>
          <w:szCs w:val="20"/>
          <w:lang w:eastAsia="en-ZA"/>
        </w:rPr>
        <w:t>Programme 1: Administration</w:t>
      </w:r>
      <w:r w:rsidRPr="00156CB3">
        <w:rPr>
          <w:rFonts w:ascii="Arial" w:eastAsia="Times New Roman" w:hAnsi="Arial" w:cs="Arial"/>
          <w:sz w:val="20"/>
          <w:szCs w:val="20"/>
          <w:lang w:eastAsia="en-ZA"/>
        </w:rPr>
        <w:t xml:space="preserve"> underspent an amount of R243.5 million or 12 per cent, which was mainly due under:</w:t>
      </w:r>
    </w:p>
    <w:p w:rsidR="00C731BD" w:rsidRPr="00156CB3" w:rsidRDefault="00C731BD" w:rsidP="00156CB3">
      <w:pPr>
        <w:spacing w:after="0" w:line="240" w:lineRule="auto"/>
        <w:rPr>
          <w:rFonts w:ascii="Arial" w:eastAsia="Times New Roman" w:hAnsi="Arial" w:cs="Arial"/>
          <w:sz w:val="20"/>
          <w:szCs w:val="20"/>
          <w:lang w:eastAsia="en-ZA"/>
        </w:rPr>
      </w:pPr>
    </w:p>
    <w:p w:rsidR="00C731BD" w:rsidRPr="00156CB3" w:rsidRDefault="00C731BD" w:rsidP="00156CB3">
      <w:pPr>
        <w:pStyle w:val="ListParagraph"/>
        <w:numPr>
          <w:ilvl w:val="0"/>
          <w:numId w:val="10"/>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Compensation of employees: the reduced rate of filling vacancies remains within the medium-term expenditure framework budget limits, and</w:t>
      </w:r>
      <w:r w:rsidR="00192170"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filling</w:t>
      </w:r>
      <w:r w:rsidR="00192170"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funded critical posts is being expedited.  The accelerated recruitment plan and organisational structure alignment initiatives are being implemented</w:t>
      </w:r>
      <w:r w:rsidR="00192170" w:rsidRPr="00156CB3">
        <w:rPr>
          <w:rFonts w:ascii="Arial" w:eastAsia="Times New Roman" w:hAnsi="Arial" w:cs="Arial"/>
          <w:sz w:val="20"/>
          <w:szCs w:val="20"/>
          <w:lang w:eastAsia="en-ZA"/>
        </w:rPr>
        <w:t>.</w:t>
      </w:r>
    </w:p>
    <w:p w:rsidR="00C731BD" w:rsidRPr="00156CB3" w:rsidRDefault="00C731BD" w:rsidP="00156CB3">
      <w:pPr>
        <w:pStyle w:val="ListParagraph"/>
        <w:numPr>
          <w:ilvl w:val="0"/>
          <w:numId w:val="10"/>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Goods and Services: the savings realised on amounts budgeted for accommodation, consultants (projects), information technology</w:t>
      </w:r>
      <w:r w:rsidR="00DD5B56"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related services and reduced international travelling due to government</w:t>
      </w:r>
      <w:r w:rsidR="00DD5B56"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enforced COVID-19 lockdown restrictions.</w:t>
      </w:r>
    </w:p>
    <w:p w:rsidR="00DD5B56" w:rsidRPr="00156CB3" w:rsidRDefault="00DD5B56" w:rsidP="00156CB3">
      <w:pPr>
        <w:spacing w:after="0" w:line="240" w:lineRule="auto"/>
        <w:rPr>
          <w:rFonts w:ascii="Arial" w:eastAsia="Times New Roman" w:hAnsi="Arial" w:cs="Arial"/>
          <w:sz w:val="20"/>
          <w:szCs w:val="20"/>
          <w:lang w:eastAsia="en-ZA"/>
        </w:rPr>
      </w:pPr>
    </w:p>
    <w:p w:rsidR="00DD5B56" w:rsidRPr="00156CB3" w:rsidRDefault="00DD5B5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performance information related to Programme 1: Administration reflected an a</w:t>
      </w:r>
      <w:r w:rsidR="00350FB0" w:rsidRPr="00156CB3">
        <w:rPr>
          <w:rFonts w:ascii="Arial" w:eastAsia="Times New Roman" w:hAnsi="Arial" w:cs="Arial"/>
          <w:sz w:val="20"/>
          <w:szCs w:val="20"/>
          <w:lang w:eastAsia="en-ZA"/>
        </w:rPr>
        <w:t>chievement of 67 per cent of</w:t>
      </w:r>
      <w:r w:rsidRPr="00156CB3">
        <w:rPr>
          <w:rFonts w:ascii="Arial" w:eastAsia="Times New Roman" w:hAnsi="Arial" w:cs="Arial"/>
          <w:sz w:val="20"/>
          <w:szCs w:val="20"/>
          <w:lang w:eastAsia="en-ZA"/>
        </w:rPr>
        <w:t xml:space="preserve"> planned targets, with an overachievement on filling of vacancy posts for engineers and scientists by filling 854 vacancies.  O</w:t>
      </w:r>
      <w:r w:rsidR="00350FB0" w:rsidRPr="00156CB3">
        <w:rPr>
          <w:rFonts w:ascii="Arial" w:eastAsia="Times New Roman" w:hAnsi="Arial" w:cs="Arial"/>
          <w:sz w:val="20"/>
          <w:szCs w:val="20"/>
          <w:lang w:eastAsia="en-ZA"/>
        </w:rPr>
        <w:t>ther targets that were achieved included</w:t>
      </w:r>
      <w:r w:rsidRPr="00156CB3">
        <w:rPr>
          <w:rFonts w:ascii="Arial" w:eastAsia="Times New Roman" w:hAnsi="Arial" w:cs="Arial"/>
          <w:sz w:val="20"/>
          <w:szCs w:val="20"/>
          <w:lang w:eastAsia="en-ZA"/>
        </w:rPr>
        <w:t xml:space="preserve">: 91 safety and security assessments for facilities and installations conducted, 99 </w:t>
      </w:r>
      <w:r w:rsidR="00350FB0" w:rsidRPr="00156CB3">
        <w:rPr>
          <w:rFonts w:ascii="Arial" w:eastAsia="Times New Roman" w:hAnsi="Arial" w:cs="Arial"/>
          <w:sz w:val="20"/>
          <w:szCs w:val="20"/>
          <w:lang w:eastAsia="en-ZA"/>
        </w:rPr>
        <w:t>i</w:t>
      </w:r>
      <w:r w:rsidRPr="00156CB3">
        <w:rPr>
          <w:rFonts w:ascii="Arial" w:eastAsia="Times New Roman" w:hAnsi="Arial" w:cs="Arial"/>
          <w:sz w:val="20"/>
          <w:szCs w:val="20"/>
          <w:lang w:eastAsia="en-ZA"/>
        </w:rPr>
        <w:t>nformation technology systems, implementation of 93 per cent of the financia</w:t>
      </w:r>
      <w:r w:rsidR="00350FB0" w:rsidRPr="00156CB3">
        <w:rPr>
          <w:rFonts w:ascii="Arial" w:eastAsia="Times New Roman" w:hAnsi="Arial" w:cs="Arial"/>
          <w:sz w:val="20"/>
          <w:szCs w:val="20"/>
          <w:lang w:eastAsia="en-ZA"/>
        </w:rPr>
        <w:t>l recovery plan and reduced</w:t>
      </w:r>
      <w:r w:rsidRPr="00156CB3">
        <w:rPr>
          <w:rFonts w:ascii="Arial" w:eastAsia="Times New Roman" w:hAnsi="Arial" w:cs="Arial"/>
          <w:sz w:val="20"/>
          <w:szCs w:val="20"/>
          <w:lang w:eastAsia="en-ZA"/>
        </w:rPr>
        <w:t xml:space="preserve"> debtors’ days to 105 days.  Tar</w:t>
      </w:r>
      <w:r w:rsidR="00350FB0" w:rsidRPr="00156CB3">
        <w:rPr>
          <w:rFonts w:ascii="Arial" w:eastAsia="Times New Roman" w:hAnsi="Arial" w:cs="Arial"/>
          <w:sz w:val="20"/>
          <w:szCs w:val="20"/>
          <w:lang w:eastAsia="en-ZA"/>
        </w:rPr>
        <w:t xml:space="preserve">gets on SMME procurement was </w:t>
      </w:r>
      <w:r w:rsidRPr="00156CB3">
        <w:rPr>
          <w:rFonts w:ascii="Arial" w:eastAsia="Times New Roman" w:hAnsi="Arial" w:cs="Arial"/>
          <w:sz w:val="20"/>
          <w:szCs w:val="20"/>
          <w:lang w:eastAsia="en-ZA"/>
        </w:rPr>
        <w:t>26 per cent on qualifying small enterprises</w:t>
      </w:r>
      <w:r w:rsidR="00514CB3" w:rsidRPr="00156CB3">
        <w:rPr>
          <w:rFonts w:ascii="Arial" w:eastAsia="Times New Roman" w:hAnsi="Arial" w:cs="Arial"/>
          <w:sz w:val="20"/>
          <w:szCs w:val="20"/>
          <w:lang w:eastAsia="en-ZA"/>
        </w:rPr>
        <w:t xml:space="preserve"> and 27 targeted procurement spent on exempted micro enterprises.</w:t>
      </w:r>
    </w:p>
    <w:p w:rsidR="00DE7E6F" w:rsidRPr="00156CB3" w:rsidRDefault="00DE7E6F" w:rsidP="00156CB3">
      <w:pPr>
        <w:spacing w:after="0" w:line="240" w:lineRule="auto"/>
        <w:rPr>
          <w:rFonts w:ascii="Arial" w:eastAsia="Times New Roman" w:hAnsi="Arial" w:cs="Arial"/>
          <w:sz w:val="20"/>
          <w:szCs w:val="20"/>
          <w:lang w:eastAsia="en-ZA"/>
        </w:rPr>
      </w:pPr>
    </w:p>
    <w:p w:rsidR="00957C90" w:rsidRPr="00156CB3" w:rsidRDefault="00DD5B5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On Programme 2: Water</w:t>
      </w:r>
      <w:r w:rsidR="00FF68DC" w:rsidRPr="00156CB3">
        <w:rPr>
          <w:rFonts w:ascii="Arial" w:eastAsia="Times New Roman" w:hAnsi="Arial" w:cs="Arial"/>
          <w:sz w:val="20"/>
          <w:szCs w:val="20"/>
          <w:lang w:eastAsia="en-ZA"/>
        </w:rPr>
        <w:t xml:space="preserve"> Resource</w:t>
      </w:r>
      <w:r w:rsidRPr="00156CB3">
        <w:rPr>
          <w:rFonts w:ascii="Arial" w:eastAsia="Times New Roman" w:hAnsi="Arial" w:cs="Arial"/>
          <w:sz w:val="20"/>
          <w:szCs w:val="20"/>
          <w:lang w:eastAsia="en-ZA"/>
        </w:rPr>
        <w:t xml:space="preserve"> Management, the Department un</w:t>
      </w:r>
      <w:r w:rsidR="00350FB0" w:rsidRPr="00156CB3">
        <w:rPr>
          <w:rFonts w:ascii="Arial" w:eastAsia="Times New Roman" w:hAnsi="Arial" w:cs="Arial"/>
          <w:sz w:val="20"/>
          <w:szCs w:val="20"/>
          <w:lang w:eastAsia="en-ZA"/>
        </w:rPr>
        <w:t xml:space="preserve">derspent R116.7 million primarily </w:t>
      </w:r>
      <w:r w:rsidRPr="00156CB3">
        <w:rPr>
          <w:rFonts w:ascii="Arial" w:eastAsia="Times New Roman" w:hAnsi="Arial" w:cs="Arial"/>
          <w:sz w:val="20"/>
          <w:szCs w:val="20"/>
          <w:lang w:eastAsia="en-ZA"/>
        </w:rPr>
        <w:t>due to the following:</w:t>
      </w:r>
    </w:p>
    <w:p w:rsidR="00DD5B56" w:rsidRPr="00156CB3" w:rsidRDefault="00DD5B56" w:rsidP="00156CB3">
      <w:pPr>
        <w:spacing w:after="0" w:line="240" w:lineRule="auto"/>
        <w:rPr>
          <w:rFonts w:ascii="Arial" w:eastAsia="Times New Roman" w:hAnsi="Arial" w:cs="Arial"/>
          <w:sz w:val="20"/>
          <w:szCs w:val="20"/>
          <w:lang w:eastAsia="en-ZA"/>
        </w:rPr>
      </w:pPr>
    </w:p>
    <w:p w:rsidR="00DD5B56" w:rsidRPr="00156CB3" w:rsidRDefault="001066A3" w:rsidP="00156CB3">
      <w:pPr>
        <w:pStyle w:val="ListParagraph"/>
        <w:numPr>
          <w:ilvl w:val="0"/>
          <w:numId w:val="11"/>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lastRenderedPageBreak/>
        <w:t xml:space="preserve">Compensation of employees: the reduced rate of filling vacancies to remain within the medium-term expenditure framework budget limits, </w:t>
      </w:r>
      <w:r w:rsidR="00350FB0" w:rsidRPr="00156CB3">
        <w:rPr>
          <w:rFonts w:ascii="Arial" w:eastAsia="Times New Roman" w:hAnsi="Arial" w:cs="Arial"/>
          <w:sz w:val="20"/>
          <w:szCs w:val="20"/>
          <w:lang w:eastAsia="en-ZA"/>
        </w:rPr>
        <w:t xml:space="preserve">and </w:t>
      </w:r>
      <w:r w:rsidR="0008136D"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filling</w:t>
      </w:r>
      <w:r w:rsidR="00350FB0" w:rsidRPr="00156CB3">
        <w:rPr>
          <w:rFonts w:ascii="Arial" w:eastAsia="Times New Roman" w:hAnsi="Arial" w:cs="Arial"/>
          <w:sz w:val="20"/>
          <w:szCs w:val="20"/>
          <w:lang w:eastAsia="en-ZA"/>
        </w:rPr>
        <w:t xml:space="preserve"> of</w:t>
      </w:r>
      <w:r w:rsidRPr="00156CB3">
        <w:rPr>
          <w:rFonts w:ascii="Arial" w:eastAsia="Times New Roman" w:hAnsi="Arial" w:cs="Arial"/>
          <w:sz w:val="20"/>
          <w:szCs w:val="20"/>
          <w:lang w:eastAsia="en-ZA"/>
        </w:rPr>
        <w:t xml:space="preserve"> al</w:t>
      </w:r>
      <w:r w:rsidR="00350FB0" w:rsidRPr="00156CB3">
        <w:rPr>
          <w:rFonts w:ascii="Arial" w:eastAsia="Times New Roman" w:hAnsi="Arial" w:cs="Arial"/>
          <w:sz w:val="20"/>
          <w:szCs w:val="20"/>
          <w:lang w:eastAsia="en-ZA"/>
        </w:rPr>
        <w:t>l funded critical posts</w:t>
      </w:r>
      <w:r w:rsidRPr="00156CB3">
        <w:rPr>
          <w:rFonts w:ascii="Arial" w:eastAsia="Times New Roman" w:hAnsi="Arial" w:cs="Arial"/>
          <w:sz w:val="20"/>
          <w:szCs w:val="20"/>
          <w:lang w:eastAsia="en-ZA"/>
        </w:rPr>
        <w:t xml:space="preserve"> expedited.  </w:t>
      </w:r>
    </w:p>
    <w:p w:rsidR="001066A3" w:rsidRPr="00156CB3" w:rsidRDefault="001066A3" w:rsidP="00156CB3">
      <w:pPr>
        <w:pStyle w:val="ListParagraph"/>
        <w:numPr>
          <w:ilvl w:val="0"/>
          <w:numId w:val="11"/>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Goods and services: there are various planned projects/activities, namely, the appointment of </w:t>
      </w:r>
      <w:r w:rsidR="00AB3BEC" w:rsidRPr="00156CB3">
        <w:rPr>
          <w:rFonts w:ascii="Arial" w:eastAsia="Times New Roman" w:hAnsi="Arial" w:cs="Arial"/>
          <w:sz w:val="20"/>
          <w:szCs w:val="20"/>
          <w:lang w:eastAsia="en-ZA"/>
        </w:rPr>
        <w:t xml:space="preserve">a </w:t>
      </w:r>
      <w:r w:rsidRPr="00156CB3">
        <w:rPr>
          <w:rFonts w:ascii="Arial" w:eastAsia="Times New Roman" w:hAnsi="Arial" w:cs="Arial"/>
          <w:sz w:val="20"/>
          <w:szCs w:val="20"/>
          <w:lang w:eastAsia="en-ZA"/>
        </w:rPr>
        <w:t xml:space="preserve">Professional Service Provider to design a National Digitised Water and Sanitation Monitoring System, </w:t>
      </w:r>
      <w:r w:rsidR="00FA54FD"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appointment of a PSP for the national water balance perspectives for South Africa</w:t>
      </w:r>
      <w:r w:rsidR="00FF68DC" w:rsidRPr="00156CB3">
        <w:rPr>
          <w:rFonts w:ascii="Arial" w:eastAsia="Times New Roman" w:hAnsi="Arial" w:cs="Arial"/>
          <w:sz w:val="20"/>
          <w:szCs w:val="20"/>
          <w:lang w:eastAsia="en-ZA"/>
        </w:rPr>
        <w:t xml:space="preserve">, </w:t>
      </w:r>
      <w:r w:rsidR="00FA54FD" w:rsidRPr="00156CB3">
        <w:rPr>
          <w:rFonts w:ascii="Arial" w:eastAsia="Times New Roman" w:hAnsi="Arial" w:cs="Arial"/>
          <w:sz w:val="20"/>
          <w:szCs w:val="20"/>
          <w:lang w:eastAsia="en-ZA"/>
        </w:rPr>
        <w:t xml:space="preserve">the </w:t>
      </w:r>
      <w:r w:rsidR="00FF68DC" w:rsidRPr="00156CB3">
        <w:rPr>
          <w:rFonts w:ascii="Arial" w:eastAsia="Times New Roman" w:hAnsi="Arial" w:cs="Arial"/>
          <w:sz w:val="20"/>
          <w:szCs w:val="20"/>
          <w:lang w:eastAsia="en-ZA"/>
        </w:rPr>
        <w:t>development of the National Water Resource Strategy and term contract for the development of the disaster management level two (2) plan, which are at various procurement stages.</w:t>
      </w:r>
    </w:p>
    <w:p w:rsidR="00FF68DC" w:rsidRPr="00156CB3" w:rsidRDefault="00FF68DC" w:rsidP="00156CB3">
      <w:pPr>
        <w:pStyle w:val="ListParagraph"/>
        <w:numPr>
          <w:ilvl w:val="0"/>
          <w:numId w:val="11"/>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Payments of capital assets: the under-spending is mainly attributable to </w:t>
      </w:r>
      <w:r w:rsidR="00FA54FD" w:rsidRPr="00156CB3">
        <w:rPr>
          <w:rFonts w:ascii="Arial" w:eastAsia="Times New Roman" w:hAnsi="Arial" w:cs="Arial"/>
          <w:sz w:val="20"/>
          <w:szCs w:val="20"/>
          <w:lang w:eastAsia="en-ZA"/>
        </w:rPr>
        <w:t xml:space="preserve">delayed spending on </w:t>
      </w:r>
      <w:r w:rsidRPr="00156CB3">
        <w:rPr>
          <w:rFonts w:ascii="Arial" w:eastAsia="Times New Roman" w:hAnsi="Arial" w:cs="Arial"/>
          <w:sz w:val="20"/>
          <w:szCs w:val="20"/>
          <w:lang w:eastAsia="en-ZA"/>
        </w:rPr>
        <w:t>office furniture, equipment and desktops/laptops</w:t>
      </w:r>
      <w:r w:rsidR="00FA54FD"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at various procurement stages.</w:t>
      </w:r>
    </w:p>
    <w:p w:rsidR="00FF68DC" w:rsidRPr="00156CB3" w:rsidRDefault="00FF68DC" w:rsidP="00156CB3">
      <w:pPr>
        <w:spacing w:after="0" w:line="240" w:lineRule="auto"/>
        <w:rPr>
          <w:rFonts w:ascii="Arial" w:eastAsia="Times New Roman" w:hAnsi="Arial" w:cs="Arial"/>
          <w:sz w:val="20"/>
          <w:szCs w:val="20"/>
          <w:lang w:eastAsia="en-ZA"/>
        </w:rPr>
      </w:pPr>
    </w:p>
    <w:p w:rsidR="00192170" w:rsidRPr="00156CB3" w:rsidRDefault="00FF68DC" w:rsidP="00156CB3">
      <w:pPr>
        <w:autoSpaceDE w:val="0"/>
        <w:autoSpaceDN w:val="0"/>
        <w:adjustRightInd w:val="0"/>
        <w:spacing w:after="0" w:line="240" w:lineRule="auto"/>
        <w:rPr>
          <w:rFonts w:ascii="Arial" w:hAnsi="Arial" w:cs="Arial"/>
          <w:sz w:val="20"/>
          <w:szCs w:val="20"/>
        </w:rPr>
      </w:pPr>
      <w:r w:rsidRPr="00156CB3">
        <w:rPr>
          <w:rFonts w:ascii="Arial" w:eastAsia="Times New Roman" w:hAnsi="Arial" w:cs="Arial"/>
          <w:sz w:val="20"/>
          <w:szCs w:val="20"/>
          <w:lang w:eastAsia="en-ZA"/>
        </w:rPr>
        <w:t>The performance information related to Programme 2: Water Resource Man</w:t>
      </w:r>
      <w:r w:rsidR="00FA54FD" w:rsidRPr="00156CB3">
        <w:rPr>
          <w:rFonts w:ascii="Arial" w:eastAsia="Times New Roman" w:hAnsi="Arial" w:cs="Arial"/>
          <w:sz w:val="20"/>
          <w:szCs w:val="20"/>
          <w:lang w:eastAsia="en-ZA"/>
        </w:rPr>
        <w:t>agement reflected:</w:t>
      </w:r>
      <w:r w:rsidRPr="00156CB3">
        <w:rPr>
          <w:rFonts w:ascii="Arial" w:eastAsia="Times New Roman" w:hAnsi="Arial" w:cs="Arial"/>
          <w:sz w:val="20"/>
          <w:szCs w:val="20"/>
          <w:lang w:eastAsia="en-ZA"/>
        </w:rPr>
        <w:t xml:space="preserve"> </w:t>
      </w:r>
      <w:r w:rsidR="00555727" w:rsidRPr="00156CB3">
        <w:rPr>
          <w:rFonts w:ascii="Arial" w:eastAsia="Times New Roman" w:hAnsi="Arial" w:cs="Arial"/>
          <w:sz w:val="20"/>
          <w:szCs w:val="20"/>
          <w:lang w:eastAsia="en-ZA"/>
        </w:rPr>
        <w:t xml:space="preserve">An </w:t>
      </w:r>
      <w:r w:rsidRPr="00156CB3">
        <w:rPr>
          <w:rFonts w:ascii="Arial" w:eastAsia="Times New Roman" w:hAnsi="Arial" w:cs="Arial"/>
          <w:sz w:val="20"/>
          <w:szCs w:val="20"/>
          <w:lang w:eastAsia="en-ZA"/>
        </w:rPr>
        <w:t xml:space="preserve">achievement of 63 per cent of its planned target.  The key achievements incorporate the update of the National Water and Sanitation Master Plan, climate change risk and vulnerability assessment completed for Phongola-Mzimkhulu, Berg-Olifants and Breede-Gouritz water management </w:t>
      </w:r>
      <w:r w:rsidR="00C24294" w:rsidRPr="00156CB3">
        <w:rPr>
          <w:rFonts w:ascii="Arial" w:eastAsia="Times New Roman" w:hAnsi="Arial" w:cs="Arial"/>
          <w:sz w:val="20"/>
          <w:szCs w:val="20"/>
          <w:lang w:eastAsia="en-ZA"/>
        </w:rPr>
        <w:t xml:space="preserve">areas, implementation plan for the Thukela water resources classes and resources quality objectives, the completion of the Conceptual Framework for the Sanitation Integrated Plan, Annual Performance Plans and </w:t>
      </w:r>
      <w:r w:rsidR="00555727" w:rsidRPr="00156CB3">
        <w:rPr>
          <w:rFonts w:ascii="Arial" w:eastAsia="Times New Roman" w:hAnsi="Arial" w:cs="Arial"/>
          <w:sz w:val="20"/>
          <w:szCs w:val="20"/>
          <w:lang w:eastAsia="en-ZA"/>
        </w:rPr>
        <w:t>q</w:t>
      </w:r>
      <w:r w:rsidR="00C24294" w:rsidRPr="00156CB3">
        <w:rPr>
          <w:rFonts w:ascii="Arial" w:eastAsia="Times New Roman" w:hAnsi="Arial" w:cs="Arial"/>
          <w:sz w:val="20"/>
          <w:szCs w:val="20"/>
          <w:lang w:eastAsia="en-ZA"/>
        </w:rPr>
        <w:t>uarterly</w:t>
      </w:r>
      <w:r w:rsidRPr="00156CB3">
        <w:rPr>
          <w:rFonts w:ascii="Arial" w:hAnsi="Arial" w:cs="Arial"/>
          <w:sz w:val="20"/>
          <w:szCs w:val="20"/>
        </w:rPr>
        <w:t xml:space="preserve"> reports for 2 CMAs, TCTA and WRC evaluated and Draft Bill for</w:t>
      </w:r>
      <w:r w:rsidR="00C24294" w:rsidRPr="00156CB3">
        <w:rPr>
          <w:rFonts w:ascii="Arial" w:eastAsia="Times New Roman" w:hAnsi="Arial" w:cs="Arial"/>
          <w:sz w:val="20"/>
          <w:szCs w:val="20"/>
          <w:lang w:eastAsia="en-ZA"/>
        </w:rPr>
        <w:t xml:space="preserve"> </w:t>
      </w:r>
      <w:r w:rsidRPr="00156CB3">
        <w:rPr>
          <w:rFonts w:ascii="Arial" w:hAnsi="Arial" w:cs="Arial"/>
          <w:sz w:val="20"/>
          <w:szCs w:val="20"/>
        </w:rPr>
        <w:t xml:space="preserve">establishing National Water Resources Infrastructure Agency developed. </w:t>
      </w:r>
    </w:p>
    <w:p w:rsidR="00192170" w:rsidRPr="00156CB3" w:rsidRDefault="00192170" w:rsidP="00156CB3">
      <w:pPr>
        <w:autoSpaceDE w:val="0"/>
        <w:autoSpaceDN w:val="0"/>
        <w:adjustRightInd w:val="0"/>
        <w:spacing w:after="0" w:line="240" w:lineRule="auto"/>
        <w:rPr>
          <w:rFonts w:ascii="Arial" w:hAnsi="Arial" w:cs="Arial"/>
          <w:sz w:val="20"/>
          <w:szCs w:val="20"/>
        </w:rPr>
      </w:pPr>
    </w:p>
    <w:p w:rsidR="00FF68DC" w:rsidRPr="00156CB3" w:rsidRDefault="00FF68DC" w:rsidP="00156CB3">
      <w:pPr>
        <w:autoSpaceDE w:val="0"/>
        <w:autoSpaceDN w:val="0"/>
        <w:adjustRightInd w:val="0"/>
        <w:spacing w:after="0" w:line="240" w:lineRule="auto"/>
        <w:rPr>
          <w:rFonts w:ascii="Arial" w:hAnsi="Arial" w:cs="Arial"/>
          <w:sz w:val="20"/>
          <w:szCs w:val="20"/>
        </w:rPr>
      </w:pPr>
      <w:r w:rsidRPr="00156CB3">
        <w:rPr>
          <w:rFonts w:ascii="Arial" w:hAnsi="Arial" w:cs="Arial"/>
          <w:sz w:val="20"/>
          <w:szCs w:val="20"/>
        </w:rPr>
        <w:t>These are some of the</w:t>
      </w:r>
      <w:r w:rsidR="00C24294" w:rsidRPr="00156CB3">
        <w:rPr>
          <w:rFonts w:ascii="Arial" w:hAnsi="Arial" w:cs="Arial"/>
          <w:sz w:val="20"/>
          <w:szCs w:val="20"/>
        </w:rPr>
        <w:t xml:space="preserve"> </w:t>
      </w:r>
      <w:r w:rsidRPr="00156CB3">
        <w:rPr>
          <w:rFonts w:ascii="Arial" w:hAnsi="Arial" w:cs="Arial"/>
          <w:sz w:val="20"/>
          <w:szCs w:val="20"/>
        </w:rPr>
        <w:t>major targets that were met for this programme.</w:t>
      </w:r>
      <w:r w:rsidR="00C24294" w:rsidRPr="00156CB3">
        <w:rPr>
          <w:rFonts w:ascii="Arial" w:hAnsi="Arial" w:cs="Arial"/>
          <w:sz w:val="20"/>
          <w:szCs w:val="20"/>
        </w:rPr>
        <w:t xml:space="preserve"> The Department failed to achieve the following: the draft regulations for water allocation, the development of the independent economic regulator and </w:t>
      </w:r>
      <w:r w:rsidR="00FA54FD" w:rsidRPr="00156CB3">
        <w:rPr>
          <w:rFonts w:ascii="Arial" w:hAnsi="Arial" w:cs="Arial"/>
          <w:sz w:val="20"/>
          <w:szCs w:val="20"/>
        </w:rPr>
        <w:t xml:space="preserve">the </w:t>
      </w:r>
      <w:r w:rsidR="00C24294" w:rsidRPr="00156CB3">
        <w:rPr>
          <w:rFonts w:ascii="Arial" w:hAnsi="Arial" w:cs="Arial"/>
          <w:sz w:val="20"/>
          <w:szCs w:val="20"/>
        </w:rPr>
        <w:t>regulated time for finalisation of water use authorisations.</w:t>
      </w:r>
    </w:p>
    <w:p w:rsidR="008A65FB" w:rsidRPr="00156CB3" w:rsidRDefault="008A65FB" w:rsidP="00156CB3">
      <w:pPr>
        <w:spacing w:after="0" w:line="240" w:lineRule="auto"/>
        <w:rPr>
          <w:rFonts w:ascii="Arial" w:eastAsia="Times New Roman" w:hAnsi="Arial" w:cs="Arial"/>
          <w:sz w:val="20"/>
          <w:szCs w:val="20"/>
          <w:lang w:eastAsia="en-ZA"/>
        </w:rPr>
      </w:pPr>
    </w:p>
    <w:p w:rsidR="00555727" w:rsidRPr="00156CB3" w:rsidRDefault="00555727"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On Programme 3: Water Services Management, the Department u</w:t>
      </w:r>
      <w:r w:rsidR="00FA54FD" w:rsidRPr="00156CB3">
        <w:rPr>
          <w:rFonts w:ascii="Arial" w:eastAsia="Times New Roman" w:hAnsi="Arial" w:cs="Arial"/>
          <w:sz w:val="20"/>
          <w:szCs w:val="20"/>
          <w:lang w:eastAsia="en-ZA"/>
        </w:rPr>
        <w:t>nderspent R2.171 billion mainly</w:t>
      </w:r>
      <w:r w:rsidRPr="00156CB3">
        <w:rPr>
          <w:rFonts w:ascii="Arial" w:eastAsia="Times New Roman" w:hAnsi="Arial" w:cs="Arial"/>
          <w:sz w:val="20"/>
          <w:szCs w:val="20"/>
          <w:lang w:eastAsia="en-ZA"/>
        </w:rPr>
        <w:t xml:space="preserve"> due to the following:</w:t>
      </w:r>
    </w:p>
    <w:p w:rsidR="00555727" w:rsidRPr="00156CB3" w:rsidRDefault="00555727" w:rsidP="00156CB3">
      <w:pPr>
        <w:spacing w:after="0" w:line="240" w:lineRule="auto"/>
        <w:rPr>
          <w:rFonts w:ascii="Arial" w:eastAsia="Times New Roman" w:hAnsi="Arial" w:cs="Arial"/>
          <w:sz w:val="20"/>
          <w:szCs w:val="20"/>
          <w:lang w:eastAsia="en-ZA"/>
        </w:rPr>
      </w:pPr>
    </w:p>
    <w:p w:rsidR="00555727" w:rsidRPr="00156CB3" w:rsidRDefault="00555727" w:rsidP="00156CB3">
      <w:pPr>
        <w:pStyle w:val="ListParagraph"/>
        <w:numPr>
          <w:ilvl w:val="0"/>
          <w:numId w:val="11"/>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Compensation of employees: the reduced rate of filling vacancies to remain within the medium-term expenditure framework budget limits, </w:t>
      </w:r>
      <w:r w:rsidR="00FA54FD" w:rsidRPr="00156CB3">
        <w:rPr>
          <w:rFonts w:ascii="Arial" w:eastAsia="Times New Roman" w:hAnsi="Arial" w:cs="Arial"/>
          <w:sz w:val="20"/>
          <w:szCs w:val="20"/>
          <w:lang w:eastAsia="en-ZA"/>
        </w:rPr>
        <w:t>fi</w:t>
      </w:r>
      <w:r w:rsidRPr="00156CB3">
        <w:rPr>
          <w:rFonts w:ascii="Arial" w:eastAsia="Times New Roman" w:hAnsi="Arial" w:cs="Arial"/>
          <w:sz w:val="20"/>
          <w:szCs w:val="20"/>
          <w:lang w:eastAsia="en-ZA"/>
        </w:rPr>
        <w:t xml:space="preserve">lling all funded critical posts is being expedited.  </w:t>
      </w:r>
    </w:p>
    <w:p w:rsidR="00555727" w:rsidRPr="00156CB3" w:rsidRDefault="00555727" w:rsidP="00156CB3">
      <w:pPr>
        <w:pStyle w:val="ListParagraph"/>
        <w:numPr>
          <w:ilvl w:val="0"/>
          <w:numId w:val="11"/>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Goods and services: the integrated Vaal River System pollution remediation intervention project has not proceeded as quickly as intended (operational expenditure related to labour, purification, security, transportation and management of bio-solids, operations and maintenance of infrastructure and consumables) in Emfuleni Local Municipality.  The project is currently being accelerated.  The department has approached the National Treasury requesting </w:t>
      </w:r>
      <w:r w:rsidR="00FA54FD" w:rsidRPr="00156CB3">
        <w:rPr>
          <w:rFonts w:ascii="Arial" w:eastAsia="Times New Roman" w:hAnsi="Arial" w:cs="Arial"/>
          <w:sz w:val="20"/>
          <w:szCs w:val="20"/>
          <w:lang w:eastAsia="en-ZA"/>
        </w:rPr>
        <w:t xml:space="preserve">an </w:t>
      </w:r>
      <w:r w:rsidRPr="00156CB3">
        <w:rPr>
          <w:rFonts w:ascii="Arial" w:eastAsia="Times New Roman" w:hAnsi="Arial" w:cs="Arial"/>
          <w:sz w:val="20"/>
          <w:szCs w:val="20"/>
          <w:lang w:eastAsia="en-ZA"/>
        </w:rPr>
        <w:t xml:space="preserve">R104.5 million unspent budget to </w:t>
      </w:r>
      <w:r w:rsidR="00FA54FD" w:rsidRPr="00156CB3">
        <w:rPr>
          <w:rFonts w:ascii="Arial" w:eastAsia="Times New Roman" w:hAnsi="Arial" w:cs="Arial"/>
          <w:sz w:val="20"/>
          <w:szCs w:val="20"/>
          <w:lang w:eastAsia="en-ZA"/>
        </w:rPr>
        <w:t xml:space="preserve">be </w:t>
      </w:r>
      <w:r w:rsidRPr="00156CB3">
        <w:rPr>
          <w:rFonts w:ascii="Arial" w:eastAsia="Times New Roman" w:hAnsi="Arial" w:cs="Arial"/>
          <w:sz w:val="20"/>
          <w:szCs w:val="20"/>
          <w:lang w:eastAsia="en-ZA"/>
        </w:rPr>
        <w:t>rolled over to the 2022/23 financial year.</w:t>
      </w:r>
    </w:p>
    <w:p w:rsidR="00555727" w:rsidRPr="00156CB3" w:rsidRDefault="00555727" w:rsidP="00156CB3">
      <w:pPr>
        <w:pStyle w:val="ListParagraph"/>
        <w:numPr>
          <w:ilvl w:val="0"/>
          <w:numId w:val="11"/>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Payments of capital assets: the under-spending is mainly attributable to the unresolved disputed invoices, community-related challenges and contractual disputes, outstanding work certification and verification at year-end.</w:t>
      </w:r>
    </w:p>
    <w:p w:rsidR="00555727" w:rsidRPr="00156CB3" w:rsidRDefault="00555727" w:rsidP="00156CB3">
      <w:pPr>
        <w:spacing w:after="0" w:line="240" w:lineRule="auto"/>
        <w:rPr>
          <w:rFonts w:ascii="Arial" w:eastAsia="Times New Roman" w:hAnsi="Arial" w:cs="Arial"/>
          <w:sz w:val="20"/>
          <w:szCs w:val="20"/>
          <w:lang w:eastAsia="en-ZA"/>
        </w:rPr>
      </w:pPr>
    </w:p>
    <w:p w:rsidR="00E61A32" w:rsidRPr="00156CB3" w:rsidRDefault="00555727" w:rsidP="00156CB3">
      <w:pPr>
        <w:autoSpaceDE w:val="0"/>
        <w:autoSpaceDN w:val="0"/>
        <w:adjustRightInd w:val="0"/>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performance information related to Programme 3: </w:t>
      </w:r>
      <w:r w:rsidR="00B4345F" w:rsidRPr="00156CB3">
        <w:rPr>
          <w:rFonts w:ascii="Arial" w:eastAsia="Times New Roman" w:hAnsi="Arial" w:cs="Arial"/>
          <w:sz w:val="20"/>
          <w:szCs w:val="20"/>
          <w:lang w:eastAsia="en-ZA"/>
        </w:rPr>
        <w:t>Water Services Management sh</w:t>
      </w:r>
      <w:r w:rsidR="0008136D" w:rsidRPr="00156CB3">
        <w:rPr>
          <w:rFonts w:ascii="Arial" w:eastAsia="Times New Roman" w:hAnsi="Arial" w:cs="Arial"/>
          <w:sz w:val="20"/>
          <w:szCs w:val="20"/>
          <w:lang w:eastAsia="en-ZA"/>
        </w:rPr>
        <w:t>ow that the programme achieved</w:t>
      </w:r>
      <w:r w:rsidR="00B4345F" w:rsidRPr="00156CB3">
        <w:rPr>
          <w:rFonts w:ascii="Arial" w:eastAsia="Times New Roman" w:hAnsi="Arial" w:cs="Arial"/>
          <w:sz w:val="20"/>
          <w:szCs w:val="20"/>
          <w:lang w:eastAsia="en-ZA"/>
        </w:rPr>
        <w:t xml:space="preserve"> 72 per cent </w:t>
      </w:r>
      <w:r w:rsidR="0008136D" w:rsidRPr="00156CB3">
        <w:rPr>
          <w:rFonts w:ascii="Arial" w:eastAsia="Times New Roman" w:hAnsi="Arial" w:cs="Arial"/>
          <w:sz w:val="20"/>
          <w:szCs w:val="20"/>
          <w:lang w:eastAsia="en-ZA"/>
        </w:rPr>
        <w:t xml:space="preserve">of its </w:t>
      </w:r>
      <w:r w:rsidR="00B4345F" w:rsidRPr="00156CB3">
        <w:rPr>
          <w:rFonts w:ascii="Arial" w:eastAsia="Times New Roman" w:hAnsi="Arial" w:cs="Arial"/>
          <w:sz w:val="20"/>
          <w:szCs w:val="20"/>
          <w:lang w:eastAsia="en-ZA"/>
        </w:rPr>
        <w:t>planned targets.  The department managed to collect water balances for 8 large water supply systems; conducted the National Report on Municipal Strategic Self Assessments (MuSSA) within the Water Services Authorities, metros and secondary cities, developed the National Municipal Integrated Priority Action Plan report, developed the Draft National Sanitation Integrated Plan and the Draft National Faecal Sludge Management Strategy for on-site sanitat</w:t>
      </w:r>
      <w:r w:rsidR="00142324" w:rsidRPr="00156CB3">
        <w:rPr>
          <w:rFonts w:ascii="Arial" w:eastAsia="Times New Roman" w:hAnsi="Arial" w:cs="Arial"/>
          <w:sz w:val="20"/>
          <w:szCs w:val="20"/>
          <w:lang w:eastAsia="en-ZA"/>
        </w:rPr>
        <w:t>ion. In addition, the department developed</w:t>
      </w:r>
      <w:r w:rsidR="00E61A32" w:rsidRPr="00156CB3">
        <w:rPr>
          <w:rFonts w:ascii="Arial" w:eastAsia="Times New Roman" w:hAnsi="Arial" w:cs="Arial"/>
          <w:sz w:val="20"/>
          <w:szCs w:val="20"/>
          <w:lang w:eastAsia="en-ZA"/>
        </w:rPr>
        <w:t xml:space="preserve"> the 2022/23 bulk water tariffs, evaluated and monitored 459 water supply systems for compliance against the regulatory requirements, evaluated shareholder compacts/business plans for 9 (nine) water boards</w:t>
      </w:r>
      <w:r w:rsidR="0008136D" w:rsidRPr="00156CB3">
        <w:rPr>
          <w:rFonts w:ascii="Arial" w:eastAsia="Times New Roman" w:hAnsi="Arial" w:cs="Arial"/>
          <w:sz w:val="20"/>
          <w:szCs w:val="20"/>
          <w:lang w:eastAsia="en-ZA"/>
        </w:rPr>
        <w:t>,</w:t>
      </w:r>
      <w:r w:rsidR="00E61A32" w:rsidRPr="00156CB3">
        <w:rPr>
          <w:rFonts w:ascii="Arial" w:eastAsia="Times New Roman" w:hAnsi="Arial" w:cs="Arial"/>
          <w:sz w:val="20"/>
          <w:szCs w:val="20"/>
          <w:lang w:eastAsia="en-ZA"/>
        </w:rPr>
        <w:t xml:space="preserve"> draft</w:t>
      </w:r>
      <w:r w:rsidR="0008136D" w:rsidRPr="00156CB3">
        <w:rPr>
          <w:rFonts w:ascii="Arial" w:eastAsia="Times New Roman" w:hAnsi="Arial" w:cs="Arial"/>
          <w:sz w:val="20"/>
          <w:szCs w:val="20"/>
          <w:lang w:eastAsia="en-ZA"/>
        </w:rPr>
        <w:t>ed</w:t>
      </w:r>
      <w:r w:rsidR="00E61A32" w:rsidRPr="00156CB3">
        <w:rPr>
          <w:rFonts w:ascii="Arial" w:eastAsia="Times New Roman" w:hAnsi="Arial" w:cs="Arial"/>
          <w:sz w:val="20"/>
          <w:szCs w:val="20"/>
          <w:lang w:eastAsia="en-ZA"/>
        </w:rPr>
        <w:t xml:space="preserve"> due diligence reports for two (2) regional water utilities (Magalies and Amatola), 831 jobs created through RBIG projects.  The programme failed to meet the target</w:t>
      </w:r>
      <w:r w:rsidR="0008136D" w:rsidRPr="00156CB3">
        <w:rPr>
          <w:rFonts w:ascii="Arial" w:eastAsia="Times New Roman" w:hAnsi="Arial" w:cs="Arial"/>
          <w:sz w:val="20"/>
          <w:szCs w:val="20"/>
          <w:lang w:eastAsia="en-ZA"/>
        </w:rPr>
        <w:t xml:space="preserve"> of developing</w:t>
      </w:r>
      <w:r w:rsidR="00E61A32" w:rsidRPr="00156CB3">
        <w:rPr>
          <w:rFonts w:ascii="Arial" w:eastAsia="Times New Roman" w:hAnsi="Arial" w:cs="Arial"/>
          <w:sz w:val="20"/>
          <w:szCs w:val="20"/>
          <w:lang w:eastAsia="en-ZA"/>
        </w:rPr>
        <w:t xml:space="preserve"> the Draft Water Services Amendment Bill and </w:t>
      </w:r>
      <w:r w:rsidR="0008136D" w:rsidRPr="00156CB3">
        <w:rPr>
          <w:rFonts w:ascii="Arial" w:eastAsia="Times New Roman" w:hAnsi="Arial" w:cs="Arial"/>
          <w:sz w:val="20"/>
          <w:szCs w:val="20"/>
          <w:lang w:eastAsia="en-ZA"/>
        </w:rPr>
        <w:t>finalising</w:t>
      </w:r>
      <w:r w:rsidR="00E61A32" w:rsidRPr="00156CB3">
        <w:rPr>
          <w:rFonts w:ascii="Arial" w:eastAsia="Times New Roman" w:hAnsi="Arial" w:cs="Arial"/>
          <w:sz w:val="20"/>
          <w:szCs w:val="20"/>
          <w:lang w:eastAsia="en-ZA"/>
        </w:rPr>
        <w:t xml:space="preserve"> </w:t>
      </w:r>
      <w:r w:rsidR="0008136D" w:rsidRPr="00156CB3">
        <w:rPr>
          <w:rFonts w:ascii="Arial" w:eastAsia="Times New Roman" w:hAnsi="Arial" w:cs="Arial"/>
          <w:sz w:val="20"/>
          <w:szCs w:val="20"/>
          <w:lang w:eastAsia="en-ZA"/>
        </w:rPr>
        <w:t>the</w:t>
      </w:r>
      <w:r w:rsidR="00E61A32" w:rsidRPr="00156CB3">
        <w:rPr>
          <w:rFonts w:ascii="Arial" w:eastAsia="Times New Roman" w:hAnsi="Arial" w:cs="Arial"/>
          <w:sz w:val="20"/>
          <w:szCs w:val="20"/>
          <w:lang w:eastAsia="en-ZA"/>
        </w:rPr>
        <w:t xml:space="preserve"> Water Conservat</w:t>
      </w:r>
      <w:r w:rsidR="0008136D" w:rsidRPr="00156CB3">
        <w:rPr>
          <w:rFonts w:ascii="Arial" w:eastAsia="Times New Roman" w:hAnsi="Arial" w:cs="Arial"/>
          <w:sz w:val="20"/>
          <w:szCs w:val="20"/>
          <w:lang w:eastAsia="en-ZA"/>
        </w:rPr>
        <w:t>ion and Water Demand Strategies Frameworks.</w:t>
      </w:r>
    </w:p>
    <w:p w:rsidR="00797B37" w:rsidRPr="00156CB3" w:rsidRDefault="00797B37" w:rsidP="00156CB3">
      <w:pPr>
        <w:spacing w:after="0" w:line="240" w:lineRule="auto"/>
        <w:rPr>
          <w:rFonts w:ascii="Arial" w:eastAsia="Times New Roman" w:hAnsi="Arial" w:cs="Arial"/>
          <w:b/>
          <w:sz w:val="20"/>
          <w:szCs w:val="20"/>
          <w:lang w:eastAsia="en-ZA"/>
        </w:rPr>
      </w:pPr>
    </w:p>
    <w:p w:rsidR="00166917" w:rsidRPr="00156CB3" w:rsidRDefault="0016691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4.1.2</w:t>
      </w:r>
      <w:r w:rsidRPr="00156CB3">
        <w:rPr>
          <w:rFonts w:ascii="Arial" w:eastAsia="Times New Roman" w:hAnsi="Arial" w:cs="Arial"/>
          <w:b/>
          <w:sz w:val="20"/>
          <w:szCs w:val="20"/>
          <w:lang w:eastAsia="en-ZA"/>
        </w:rPr>
        <w:tab/>
        <w:t>WATER TRADING ENTITY</w:t>
      </w:r>
      <w:r w:rsidR="0008136D" w:rsidRPr="00156CB3">
        <w:rPr>
          <w:rFonts w:ascii="Arial" w:eastAsia="Times New Roman" w:hAnsi="Arial" w:cs="Arial"/>
          <w:b/>
          <w:sz w:val="20"/>
          <w:szCs w:val="20"/>
          <w:lang w:eastAsia="en-ZA"/>
        </w:rPr>
        <w:t xml:space="preserve"> (WTE)</w:t>
      </w:r>
    </w:p>
    <w:p w:rsidR="00166917" w:rsidRPr="00156CB3" w:rsidRDefault="00166917" w:rsidP="00156CB3">
      <w:pPr>
        <w:spacing w:after="0" w:line="240" w:lineRule="auto"/>
        <w:rPr>
          <w:rFonts w:ascii="Arial" w:eastAsia="Times New Roman" w:hAnsi="Arial" w:cs="Arial"/>
          <w:b/>
          <w:sz w:val="20"/>
          <w:szCs w:val="20"/>
          <w:lang w:eastAsia="en-ZA"/>
        </w:rPr>
      </w:pPr>
    </w:p>
    <w:p w:rsidR="00E61A32" w:rsidRPr="00156CB3" w:rsidRDefault="00E61A32"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Water Trading Entity is</w:t>
      </w:r>
      <w:r w:rsidR="0008136D" w:rsidRPr="00156CB3">
        <w:rPr>
          <w:rFonts w:ascii="Arial" w:eastAsia="Times New Roman" w:hAnsi="Arial" w:cs="Arial"/>
          <w:sz w:val="20"/>
          <w:szCs w:val="20"/>
          <w:lang w:eastAsia="en-ZA"/>
        </w:rPr>
        <w:t xml:space="preserve"> divided into </w:t>
      </w:r>
      <w:r w:rsidRPr="00156CB3">
        <w:rPr>
          <w:rFonts w:ascii="Arial" w:eastAsia="Times New Roman" w:hAnsi="Arial" w:cs="Arial"/>
          <w:sz w:val="20"/>
          <w:szCs w:val="20"/>
          <w:lang w:eastAsia="en-ZA"/>
        </w:rPr>
        <w:t>the Water Resources Management Unit and the Infrastructure Branch.  The Water Resources Management Unit deals with water resource management functions, primarily</w:t>
      </w:r>
      <w:r w:rsidR="0008136D" w:rsidRPr="00156CB3">
        <w:rPr>
          <w:rFonts w:ascii="Arial" w:eastAsia="Times New Roman" w:hAnsi="Arial" w:cs="Arial"/>
          <w:sz w:val="20"/>
          <w:szCs w:val="20"/>
          <w:lang w:eastAsia="en-ZA"/>
        </w:rPr>
        <w:t xml:space="preserve"> to address</w:t>
      </w:r>
      <w:r w:rsidRPr="00156CB3">
        <w:rPr>
          <w:rFonts w:ascii="Arial" w:eastAsia="Times New Roman" w:hAnsi="Arial" w:cs="Arial"/>
          <w:sz w:val="20"/>
          <w:szCs w:val="20"/>
          <w:lang w:eastAsia="en-ZA"/>
        </w:rPr>
        <w:t xml:space="preserve"> the use, conservation, and allocation of water resources in a manner that is sustainable and equitable for the benefit of the people that reside in the relevant management areas.  </w:t>
      </w:r>
      <w:r w:rsidR="00E132E6" w:rsidRPr="00156CB3">
        <w:rPr>
          <w:rFonts w:ascii="Arial" w:eastAsia="Times New Roman" w:hAnsi="Arial" w:cs="Arial"/>
          <w:sz w:val="20"/>
          <w:szCs w:val="20"/>
          <w:lang w:eastAsia="en-ZA"/>
        </w:rPr>
        <w:t>The Infrastructure Branch deals with the development of new infrastructure as well as operations and maintenance of existing infrastructure with operations under integrated systems and bulk water schemes.</w:t>
      </w:r>
    </w:p>
    <w:p w:rsidR="00E132E6" w:rsidRPr="00156CB3" w:rsidRDefault="00E132E6" w:rsidP="00156CB3">
      <w:pPr>
        <w:spacing w:after="0" w:line="240" w:lineRule="auto"/>
        <w:rPr>
          <w:rFonts w:ascii="Arial" w:eastAsia="Times New Roman" w:hAnsi="Arial" w:cs="Arial"/>
          <w:sz w:val="20"/>
          <w:szCs w:val="20"/>
          <w:lang w:eastAsia="en-ZA"/>
        </w:rPr>
      </w:pPr>
    </w:p>
    <w:p w:rsidR="00E132E6" w:rsidRPr="00156CB3" w:rsidRDefault="00E132E6"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4.1.2.1</w:t>
      </w:r>
      <w:r w:rsidRPr="00156CB3">
        <w:rPr>
          <w:rFonts w:ascii="Arial" w:eastAsia="Times New Roman" w:hAnsi="Arial" w:cs="Arial"/>
          <w:b/>
          <w:sz w:val="20"/>
          <w:szCs w:val="20"/>
          <w:lang w:eastAsia="en-ZA"/>
        </w:rPr>
        <w:tab/>
        <w:t>Operational expenditure</w:t>
      </w:r>
    </w:p>
    <w:p w:rsidR="00E132E6" w:rsidRPr="00156CB3" w:rsidRDefault="00E132E6" w:rsidP="00156CB3">
      <w:pPr>
        <w:spacing w:after="0" w:line="240" w:lineRule="auto"/>
        <w:rPr>
          <w:rFonts w:ascii="Arial" w:eastAsia="Times New Roman" w:hAnsi="Arial" w:cs="Arial"/>
          <w:sz w:val="20"/>
          <w:szCs w:val="20"/>
          <w:lang w:eastAsia="en-ZA"/>
        </w:rPr>
      </w:pPr>
    </w:p>
    <w:p w:rsidR="00E132E6" w:rsidRPr="00156CB3" w:rsidRDefault="00ED534D"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As shown in Figure 1</w:t>
      </w:r>
      <w:r w:rsidR="00E132E6" w:rsidRPr="00156CB3">
        <w:rPr>
          <w:rFonts w:ascii="Arial" w:eastAsia="Times New Roman" w:hAnsi="Arial" w:cs="Arial"/>
          <w:sz w:val="20"/>
          <w:szCs w:val="20"/>
          <w:lang w:eastAsia="en-ZA"/>
        </w:rPr>
        <w:t xml:space="preserve"> below, </w:t>
      </w:r>
      <w:r w:rsidR="0008136D" w:rsidRPr="00156CB3">
        <w:rPr>
          <w:rFonts w:ascii="Arial" w:eastAsia="Times New Roman" w:hAnsi="Arial" w:cs="Arial"/>
          <w:sz w:val="20"/>
          <w:szCs w:val="20"/>
          <w:lang w:eastAsia="en-ZA"/>
        </w:rPr>
        <w:t xml:space="preserve">the </w:t>
      </w:r>
      <w:r w:rsidR="00E132E6" w:rsidRPr="00156CB3">
        <w:rPr>
          <w:rFonts w:ascii="Arial" w:eastAsia="Times New Roman" w:hAnsi="Arial" w:cs="Arial"/>
          <w:sz w:val="20"/>
          <w:szCs w:val="20"/>
          <w:lang w:eastAsia="en-ZA"/>
        </w:rPr>
        <w:t>financial statement of performance of the Water Trading Entity reflects an operating surplus of R7.2 billion for the period ended 31 March 2022. The operating surplus increased from R5.2 billion in the 2020/21 financial year to R7.2 billion in the 2021/22 financial year.  The expenditure reflects a reduction of R670 million when compared to the prior year.</w:t>
      </w:r>
    </w:p>
    <w:p w:rsidR="00E132E6" w:rsidRPr="00156CB3" w:rsidRDefault="00E132E6" w:rsidP="00156CB3">
      <w:pPr>
        <w:spacing w:after="0" w:line="240" w:lineRule="auto"/>
        <w:rPr>
          <w:rFonts w:ascii="Arial" w:eastAsia="Times New Roman" w:hAnsi="Arial" w:cs="Arial"/>
          <w:sz w:val="20"/>
          <w:szCs w:val="20"/>
          <w:lang w:eastAsia="en-ZA"/>
        </w:rPr>
      </w:pPr>
    </w:p>
    <w:p w:rsidR="00957C90" w:rsidRPr="00156CB3" w:rsidRDefault="00957C90"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noProof/>
          <w:sz w:val="20"/>
          <w:szCs w:val="20"/>
          <w:bdr w:val="single" w:sz="4" w:space="0" w:color="auto"/>
          <w:lang w:val="en-US"/>
        </w:rPr>
        <w:drawing>
          <wp:inline distT="0" distB="0" distL="0" distR="0">
            <wp:extent cx="5727700" cy="1600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352" cy="1609881"/>
                    </a:xfrm>
                    <a:prstGeom prst="rect">
                      <a:avLst/>
                    </a:prstGeom>
                    <a:ln>
                      <a:noFill/>
                    </a:ln>
                    <a:effectLst>
                      <a:softEdge rad="112500"/>
                    </a:effectLst>
                  </pic:spPr>
                </pic:pic>
              </a:graphicData>
            </a:graphic>
          </wp:inline>
        </w:drawing>
      </w:r>
    </w:p>
    <w:p w:rsidR="00E132E6" w:rsidRPr="00156CB3" w:rsidRDefault="00E132E6"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As reflected in Figure 1 above, the total expenditure decreased by 9 per cent during the period under review. </w:t>
      </w:r>
      <w:r w:rsidR="0040044F" w:rsidRPr="00156CB3">
        <w:rPr>
          <w:rFonts w:ascii="Arial" w:eastAsia="Times New Roman" w:hAnsi="Arial" w:cs="Arial"/>
          <w:sz w:val="20"/>
          <w:szCs w:val="20"/>
          <w:lang w:eastAsia="en-ZA"/>
        </w:rPr>
        <w:t xml:space="preserve"> This amounts to R10.4 billion in the 2021/22 financial year compared to R9.7 billion in the 2021/22 financial year, which is attributed to the reversal impairment of assets under construction amounting to R530 million.  </w:t>
      </w:r>
    </w:p>
    <w:p w:rsidR="00ED72CA" w:rsidRPr="00156CB3" w:rsidRDefault="00ED72CA" w:rsidP="00156CB3">
      <w:pPr>
        <w:spacing w:after="0" w:line="240" w:lineRule="auto"/>
        <w:rPr>
          <w:rFonts w:ascii="Arial" w:eastAsia="Times New Roman" w:hAnsi="Arial" w:cs="Arial"/>
          <w:sz w:val="20"/>
          <w:szCs w:val="20"/>
          <w:lang w:eastAsia="en-ZA"/>
        </w:rPr>
      </w:pPr>
    </w:p>
    <w:p w:rsidR="00E132E6" w:rsidRPr="00156CB3" w:rsidRDefault="0040044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Other important considerations in </w:t>
      </w:r>
      <w:r w:rsidR="0008136D"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operational performance of the Water Trading Entity comprise the following:</w:t>
      </w:r>
    </w:p>
    <w:p w:rsidR="0040044F" w:rsidRPr="00156CB3" w:rsidRDefault="0040044F" w:rsidP="00156CB3">
      <w:pPr>
        <w:spacing w:after="0" w:line="240" w:lineRule="auto"/>
        <w:rPr>
          <w:rFonts w:ascii="Arial" w:eastAsia="Times New Roman" w:hAnsi="Arial" w:cs="Arial"/>
          <w:sz w:val="20"/>
          <w:szCs w:val="20"/>
          <w:lang w:eastAsia="en-ZA"/>
        </w:rPr>
      </w:pPr>
    </w:p>
    <w:p w:rsidR="0040044F" w:rsidRPr="00156CB3" w:rsidRDefault="0040044F" w:rsidP="00156CB3">
      <w:pPr>
        <w:pStyle w:val="ListParagraph"/>
        <w:numPr>
          <w:ilvl w:val="0"/>
          <w:numId w:val="12"/>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operating expenditure for the 2021/22 financial year amounted to R3.9 billion.  Employee costs decreased by 5 per cent</w:t>
      </w:r>
      <w:r w:rsidR="0008136D"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with depreciation, amortisation and impairment decreasing by 62 per cent from R2.2 billion in the 2020/21 financial year to R1.3 billion in the 2021/22 financial year.</w:t>
      </w:r>
    </w:p>
    <w:p w:rsidR="0040044F" w:rsidRPr="00156CB3" w:rsidRDefault="0040044F" w:rsidP="00156CB3">
      <w:pPr>
        <w:pStyle w:val="ListParagraph"/>
        <w:numPr>
          <w:ilvl w:val="0"/>
          <w:numId w:val="12"/>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Liquidity status: the current ratio of the entity has increased from 3:75:1 in the 2020/21 fi</w:t>
      </w:r>
      <w:r w:rsidR="0008136D" w:rsidRPr="00156CB3">
        <w:rPr>
          <w:rFonts w:ascii="Arial" w:eastAsia="Times New Roman" w:hAnsi="Arial" w:cs="Arial"/>
          <w:sz w:val="20"/>
          <w:szCs w:val="20"/>
          <w:lang w:eastAsia="en-ZA"/>
        </w:rPr>
        <w:t>nancial year</w:t>
      </w:r>
      <w:r w:rsidRPr="00156CB3">
        <w:rPr>
          <w:rFonts w:ascii="Arial" w:eastAsia="Times New Roman" w:hAnsi="Arial" w:cs="Arial"/>
          <w:sz w:val="20"/>
          <w:szCs w:val="20"/>
          <w:lang w:eastAsia="en-ZA"/>
        </w:rPr>
        <w:t xml:space="preserve"> to 5:19:1 in the 2021/22 financial year, which indicates that the entity has sufficient liquid assets to meet its short-term financial obligations.</w:t>
      </w:r>
    </w:p>
    <w:p w:rsidR="0040044F" w:rsidRPr="00156CB3" w:rsidRDefault="0040044F" w:rsidP="00156CB3">
      <w:pPr>
        <w:pStyle w:val="ListParagraph"/>
        <w:numPr>
          <w:ilvl w:val="0"/>
          <w:numId w:val="12"/>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entity has a positive cash flow amounting to R6.7 billion</w:t>
      </w:r>
      <w:r w:rsidR="0008136D"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attributed to increased augmentation allocation and revenue collection.</w:t>
      </w:r>
    </w:p>
    <w:p w:rsidR="00957C90" w:rsidRPr="00156CB3" w:rsidRDefault="00E132E6" w:rsidP="00156CB3">
      <w:pPr>
        <w:pStyle w:val="ListParagraph"/>
        <w:numPr>
          <w:ilvl w:val="0"/>
          <w:numId w:val="12"/>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revenue for the Water Trading Entity for the year under review reflected an increase of 8.7 per cent of</w:t>
      </w:r>
      <w:r w:rsidR="0008136D" w:rsidRPr="00156CB3">
        <w:rPr>
          <w:rFonts w:ascii="Arial" w:eastAsia="Times New Roman" w:hAnsi="Arial" w:cs="Arial"/>
          <w:sz w:val="20"/>
          <w:szCs w:val="20"/>
          <w:lang w:eastAsia="en-ZA"/>
        </w:rPr>
        <w:t xml:space="preserve"> the revenue from water sales</w:t>
      </w:r>
      <w:r w:rsidRPr="00156CB3">
        <w:rPr>
          <w:rFonts w:ascii="Arial" w:eastAsia="Times New Roman" w:hAnsi="Arial" w:cs="Arial"/>
          <w:sz w:val="20"/>
          <w:szCs w:val="20"/>
          <w:lang w:eastAsia="en-ZA"/>
        </w:rPr>
        <w:t xml:space="preserve"> compared to the prior year</w:t>
      </w:r>
      <w:r w:rsidR="0008136D" w:rsidRPr="00156CB3">
        <w:rPr>
          <w:rFonts w:ascii="Arial" w:eastAsia="Times New Roman" w:hAnsi="Arial" w:cs="Arial"/>
          <w:sz w:val="20"/>
          <w:szCs w:val="20"/>
          <w:lang w:eastAsia="en-ZA"/>
        </w:rPr>
        <w:t xml:space="preserve"> due to improved project allocation</w:t>
      </w:r>
      <w:r w:rsidRPr="00156CB3">
        <w:rPr>
          <w:rFonts w:ascii="Arial" w:eastAsia="Times New Roman" w:hAnsi="Arial" w:cs="Arial"/>
          <w:sz w:val="20"/>
          <w:szCs w:val="20"/>
          <w:lang w:eastAsia="en-ZA"/>
        </w:rPr>
        <w:t xml:space="preserve">.  </w:t>
      </w:r>
      <w:r w:rsidR="008704E7" w:rsidRPr="00156CB3">
        <w:rPr>
          <w:rFonts w:ascii="Arial" w:eastAsia="Times New Roman" w:hAnsi="Arial" w:cs="Arial"/>
          <w:sz w:val="20"/>
          <w:szCs w:val="20"/>
          <w:lang w:eastAsia="en-ZA"/>
        </w:rPr>
        <w:t>The augmentation allocation during this period amounted to R2.063 billion</w:t>
      </w:r>
      <w:r w:rsidR="0008136D" w:rsidRPr="00156CB3">
        <w:rPr>
          <w:rFonts w:ascii="Arial" w:eastAsia="Times New Roman" w:hAnsi="Arial" w:cs="Arial"/>
          <w:sz w:val="20"/>
          <w:szCs w:val="20"/>
          <w:lang w:eastAsia="en-ZA"/>
        </w:rPr>
        <w:t>,</w:t>
      </w:r>
      <w:r w:rsidR="008704E7" w:rsidRPr="00156CB3">
        <w:rPr>
          <w:rFonts w:ascii="Arial" w:eastAsia="Times New Roman" w:hAnsi="Arial" w:cs="Arial"/>
          <w:sz w:val="20"/>
          <w:szCs w:val="20"/>
          <w:lang w:eastAsia="en-ZA"/>
        </w:rPr>
        <w:t xml:space="preserve"> and other revenue amounted to R1.3 billion.</w:t>
      </w:r>
    </w:p>
    <w:p w:rsidR="008704E7" w:rsidRPr="00156CB3" w:rsidRDefault="008704E7" w:rsidP="00156CB3">
      <w:pPr>
        <w:pStyle w:val="ListParagraph"/>
        <w:numPr>
          <w:ilvl w:val="0"/>
          <w:numId w:val="12"/>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By the end of the financial year under review, the cash and cash equivalent reflected a favourable balance of R2.1 billion.  The entity has</w:t>
      </w:r>
      <w:r w:rsidR="0008136D" w:rsidRPr="00156CB3">
        <w:rPr>
          <w:rFonts w:ascii="Arial" w:eastAsia="Times New Roman" w:hAnsi="Arial" w:cs="Arial"/>
          <w:sz w:val="20"/>
          <w:szCs w:val="20"/>
          <w:lang w:eastAsia="en-ZA"/>
        </w:rPr>
        <w:t xml:space="preserve"> implemented</w:t>
      </w:r>
      <w:r w:rsidRPr="00156CB3">
        <w:rPr>
          <w:rFonts w:ascii="Arial" w:eastAsia="Times New Roman" w:hAnsi="Arial" w:cs="Arial"/>
          <w:sz w:val="20"/>
          <w:szCs w:val="20"/>
          <w:lang w:eastAsia="en-ZA"/>
        </w:rPr>
        <w:t xml:space="preserve"> measures to follow up on the recoverable debts and implement cash flow management strategies</w:t>
      </w:r>
      <w:r w:rsidR="0008136D" w:rsidRPr="00156CB3">
        <w:rPr>
          <w:rFonts w:ascii="Arial" w:eastAsia="Times New Roman" w:hAnsi="Arial" w:cs="Arial"/>
          <w:sz w:val="20"/>
          <w:szCs w:val="20"/>
          <w:lang w:eastAsia="en-ZA"/>
        </w:rPr>
        <w:t xml:space="preserve"> while</w:t>
      </w:r>
      <w:r w:rsidRPr="00156CB3">
        <w:rPr>
          <w:rFonts w:ascii="Arial" w:eastAsia="Times New Roman" w:hAnsi="Arial" w:cs="Arial"/>
          <w:sz w:val="20"/>
          <w:szCs w:val="20"/>
          <w:lang w:eastAsia="en-ZA"/>
        </w:rPr>
        <w:t xml:space="preserve"> complying with the 30-day payment period as prescribed in the Public Finance Management Act.  </w:t>
      </w:r>
    </w:p>
    <w:p w:rsidR="008704E7" w:rsidRPr="00156CB3" w:rsidRDefault="008704E7" w:rsidP="00156CB3">
      <w:pPr>
        <w:pStyle w:val="ListParagraph"/>
        <w:numPr>
          <w:ilvl w:val="0"/>
          <w:numId w:val="12"/>
        </w:num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debtors’ day analysis shows less improvement from 247 days in 2020/21 to 308 days in 2021/22 due to non-payment by various municipalities.  Steps have been taken to recover the outstanding debt.  The debtor’s collection days indicate that the entity has cash tied on the outstanding accounts.</w:t>
      </w:r>
    </w:p>
    <w:p w:rsidR="008704E7" w:rsidRPr="00156CB3" w:rsidRDefault="008704E7" w:rsidP="00156CB3">
      <w:pPr>
        <w:spacing w:after="0" w:line="240" w:lineRule="auto"/>
        <w:rPr>
          <w:rFonts w:ascii="Arial" w:eastAsia="Times New Roman" w:hAnsi="Arial" w:cs="Arial"/>
          <w:b/>
          <w:sz w:val="20"/>
          <w:szCs w:val="20"/>
          <w:lang w:eastAsia="en-ZA"/>
        </w:rPr>
      </w:pPr>
    </w:p>
    <w:p w:rsidR="00ED72CA" w:rsidRPr="00156CB3" w:rsidRDefault="00ED72CA" w:rsidP="00156CB3">
      <w:pPr>
        <w:spacing w:after="0" w:line="240" w:lineRule="auto"/>
        <w:rPr>
          <w:rFonts w:ascii="Arial" w:eastAsia="Times New Roman" w:hAnsi="Arial" w:cs="Arial"/>
          <w:b/>
          <w:sz w:val="20"/>
          <w:szCs w:val="20"/>
          <w:lang w:eastAsia="en-ZA"/>
        </w:rPr>
      </w:pPr>
    </w:p>
    <w:p w:rsidR="00ED72CA" w:rsidRPr="00156CB3" w:rsidRDefault="00ED72CA" w:rsidP="00156CB3">
      <w:pPr>
        <w:spacing w:after="0" w:line="240" w:lineRule="auto"/>
        <w:rPr>
          <w:rFonts w:ascii="Arial" w:eastAsia="Times New Roman" w:hAnsi="Arial" w:cs="Arial"/>
          <w:b/>
          <w:sz w:val="20"/>
          <w:szCs w:val="20"/>
          <w:lang w:eastAsia="en-ZA"/>
        </w:rPr>
      </w:pPr>
    </w:p>
    <w:p w:rsidR="00166917" w:rsidRPr="00156CB3" w:rsidRDefault="00166917" w:rsidP="00156CB3">
      <w:pPr>
        <w:shd w:val="clear" w:color="auto" w:fill="D9D9D9" w:themeFill="background1" w:themeFillShade="D9"/>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5.</w:t>
      </w:r>
      <w:r w:rsidRPr="00156CB3">
        <w:rPr>
          <w:rFonts w:ascii="Arial" w:eastAsia="Times New Roman" w:hAnsi="Arial" w:cs="Arial"/>
          <w:b/>
          <w:sz w:val="20"/>
          <w:szCs w:val="20"/>
          <w:lang w:eastAsia="en-ZA"/>
        </w:rPr>
        <w:tab/>
        <w:t xml:space="preserve">OVERVIEW OF THE WORK OF SUPPORTING ENTITIES WITHIN THE </w:t>
      </w:r>
      <w:r w:rsidRPr="00156CB3">
        <w:rPr>
          <w:rFonts w:ascii="Arial" w:eastAsia="Times New Roman" w:hAnsi="Arial" w:cs="Arial"/>
          <w:b/>
          <w:sz w:val="20"/>
          <w:szCs w:val="20"/>
          <w:lang w:eastAsia="en-ZA"/>
        </w:rPr>
        <w:tab/>
        <w:t>DEPARTMENT OF WATER AND SANITATION</w:t>
      </w:r>
    </w:p>
    <w:p w:rsidR="00166917" w:rsidRPr="00156CB3" w:rsidRDefault="00166917" w:rsidP="00156CB3">
      <w:pPr>
        <w:spacing w:after="0" w:line="240" w:lineRule="auto"/>
        <w:rPr>
          <w:rFonts w:ascii="Arial" w:eastAsia="Times New Roman" w:hAnsi="Arial" w:cs="Arial"/>
          <w:b/>
          <w:sz w:val="20"/>
          <w:szCs w:val="20"/>
          <w:lang w:eastAsia="en-ZA"/>
        </w:rPr>
      </w:pPr>
    </w:p>
    <w:p w:rsidR="00166917" w:rsidRPr="00156CB3" w:rsidRDefault="0016691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5.1</w:t>
      </w:r>
      <w:r w:rsidRPr="00156CB3">
        <w:rPr>
          <w:rFonts w:ascii="Arial" w:eastAsia="Times New Roman" w:hAnsi="Arial" w:cs="Arial"/>
          <w:b/>
          <w:sz w:val="20"/>
          <w:szCs w:val="20"/>
          <w:lang w:eastAsia="en-ZA"/>
        </w:rPr>
        <w:tab/>
      </w:r>
      <w:r w:rsidR="00ED534D" w:rsidRPr="00156CB3">
        <w:rPr>
          <w:rFonts w:ascii="Arial" w:eastAsia="Times New Roman" w:hAnsi="Arial" w:cs="Arial"/>
          <w:b/>
          <w:sz w:val="20"/>
          <w:szCs w:val="20"/>
          <w:lang w:eastAsia="en-ZA"/>
        </w:rPr>
        <w:t>Trans-Caledon Tunnel Authority</w:t>
      </w:r>
    </w:p>
    <w:p w:rsidR="0032634A" w:rsidRPr="00156CB3" w:rsidRDefault="0032634A" w:rsidP="00156CB3">
      <w:pPr>
        <w:spacing w:after="0" w:line="240" w:lineRule="auto"/>
        <w:rPr>
          <w:rFonts w:ascii="Arial" w:eastAsia="Times New Roman" w:hAnsi="Arial" w:cs="Arial"/>
          <w:sz w:val="20"/>
          <w:szCs w:val="20"/>
          <w:lang w:eastAsia="en-ZA"/>
        </w:rPr>
      </w:pPr>
    </w:p>
    <w:p w:rsidR="006A38B0" w:rsidRPr="00156CB3" w:rsidRDefault="00D32051"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Trans-Caledon Tunnel Authority (TCTA) was established in 1986 to finance and build the Delivery Tunnel North of the Lesotho Highlands Water Project. In 1994, a directive was received to fulfil the financial obligations of the Government of South Africa, in terms of the Treaty on the Lesotho Highlands Water Project, on the water transfer components in Lesoth</w:t>
      </w:r>
      <w:r w:rsidR="000C2BCA" w:rsidRPr="00156CB3">
        <w:rPr>
          <w:rFonts w:ascii="Arial" w:eastAsia="Times New Roman" w:hAnsi="Arial" w:cs="Arial"/>
          <w:sz w:val="20"/>
          <w:szCs w:val="20"/>
          <w:lang w:eastAsia="en-ZA"/>
        </w:rPr>
        <w:t>o.</w:t>
      </w:r>
    </w:p>
    <w:p w:rsidR="000C2BCA" w:rsidRPr="00156CB3" w:rsidRDefault="000C2BCA" w:rsidP="00156CB3">
      <w:pPr>
        <w:spacing w:after="0" w:line="240" w:lineRule="auto"/>
        <w:rPr>
          <w:rFonts w:ascii="Arial" w:eastAsia="Times New Roman" w:hAnsi="Arial" w:cs="Arial"/>
          <w:sz w:val="20"/>
          <w:szCs w:val="20"/>
          <w:lang w:eastAsia="en-ZA"/>
        </w:rPr>
      </w:pPr>
    </w:p>
    <w:p w:rsidR="00064057" w:rsidRPr="00156CB3" w:rsidRDefault="006A38B0"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lastRenderedPageBreak/>
        <w:t xml:space="preserve">Trans-Caledon Tunnel Authority received an unqualified audit outcome with findings </w:t>
      </w:r>
      <w:r w:rsidR="00495C67" w:rsidRPr="00156CB3">
        <w:rPr>
          <w:rFonts w:ascii="Arial" w:eastAsia="Times New Roman" w:hAnsi="Arial" w:cs="Arial"/>
          <w:sz w:val="20"/>
          <w:szCs w:val="20"/>
          <w:lang w:eastAsia="en-ZA"/>
        </w:rPr>
        <w:t xml:space="preserve">for the 2021/22 financial year. The findings related to irregular expenditure of R839 million for the year under review, </w:t>
      </w:r>
      <w:r w:rsidR="00064057" w:rsidRPr="00156CB3">
        <w:rPr>
          <w:rFonts w:ascii="Arial" w:eastAsia="Times New Roman" w:hAnsi="Arial" w:cs="Arial"/>
          <w:sz w:val="20"/>
          <w:szCs w:val="20"/>
          <w:lang w:eastAsia="en-ZA"/>
        </w:rPr>
        <w:t xml:space="preserve">and </w:t>
      </w:r>
      <w:r w:rsidR="00495C67" w:rsidRPr="00156CB3">
        <w:rPr>
          <w:rFonts w:ascii="Arial" w:eastAsia="Times New Roman" w:hAnsi="Arial" w:cs="Arial"/>
          <w:sz w:val="20"/>
          <w:szCs w:val="20"/>
          <w:lang w:eastAsia="en-ZA"/>
        </w:rPr>
        <w:t xml:space="preserve">fruitless and wasteful expenditure </w:t>
      </w:r>
      <w:r w:rsidR="00064057" w:rsidRPr="00156CB3">
        <w:rPr>
          <w:rFonts w:ascii="Arial" w:eastAsia="Times New Roman" w:hAnsi="Arial" w:cs="Arial"/>
          <w:sz w:val="20"/>
          <w:szCs w:val="20"/>
          <w:lang w:eastAsia="en-ZA"/>
        </w:rPr>
        <w:t>of R194.8 thousand.</w:t>
      </w:r>
    </w:p>
    <w:p w:rsidR="00064057" w:rsidRPr="00156CB3" w:rsidRDefault="00064057"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For the year under review, TCTA devised three (3) broad pre-determined objectives, as follows: Outcome 1: implement capital projects in accordance with the timelines agreed with DWS, Outcome 2: operate and maintain designated projects to meet DWS requirements and Outcome 3: raise funding for implementation of infrastructure and manage debt within the approved borrowing time.  Seventy-seven (77) per cent of the predetermined objectives were achieved.  </w:t>
      </w:r>
    </w:p>
    <w:p w:rsidR="00166917" w:rsidRPr="00156CB3" w:rsidRDefault="00166917" w:rsidP="00156CB3">
      <w:pPr>
        <w:spacing w:after="0" w:line="240" w:lineRule="auto"/>
        <w:rPr>
          <w:rFonts w:ascii="Arial" w:eastAsia="Times New Roman" w:hAnsi="Arial" w:cs="Arial"/>
          <w:b/>
          <w:sz w:val="20"/>
          <w:szCs w:val="20"/>
          <w:lang w:eastAsia="en-ZA"/>
        </w:rPr>
      </w:pPr>
    </w:p>
    <w:p w:rsidR="00166917" w:rsidRPr="00156CB3" w:rsidRDefault="00ED534D"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5.2</w:t>
      </w:r>
      <w:r w:rsidRPr="00156CB3">
        <w:rPr>
          <w:rFonts w:ascii="Arial" w:eastAsia="Times New Roman" w:hAnsi="Arial" w:cs="Arial"/>
          <w:b/>
          <w:sz w:val="20"/>
          <w:szCs w:val="20"/>
          <w:lang w:eastAsia="en-ZA"/>
        </w:rPr>
        <w:tab/>
        <w:t>Water Research Commission</w:t>
      </w:r>
      <w:r w:rsidR="002875FF" w:rsidRPr="00156CB3">
        <w:rPr>
          <w:rFonts w:ascii="Arial" w:eastAsia="Times New Roman" w:hAnsi="Arial" w:cs="Arial"/>
          <w:b/>
          <w:sz w:val="20"/>
          <w:szCs w:val="20"/>
          <w:lang w:eastAsia="en-ZA"/>
        </w:rPr>
        <w:t xml:space="preserve"> (WRC)</w:t>
      </w:r>
    </w:p>
    <w:p w:rsidR="002875FF" w:rsidRPr="00156CB3" w:rsidRDefault="002875FF" w:rsidP="00156CB3">
      <w:pPr>
        <w:spacing w:after="0" w:line="240" w:lineRule="auto"/>
        <w:rPr>
          <w:rFonts w:ascii="Arial" w:eastAsia="Times New Roman" w:hAnsi="Arial" w:cs="Arial"/>
          <w:b/>
          <w:sz w:val="20"/>
          <w:szCs w:val="20"/>
          <w:lang w:eastAsia="en-ZA"/>
        </w:rPr>
      </w:pPr>
    </w:p>
    <w:p w:rsidR="002875FF" w:rsidRPr="00156CB3" w:rsidRDefault="00A665F8"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Water Research Commission operates and accounts for its activities in accordance with the Public Finance Management Act and is listed as a schedule 3A public entity. The primary function of the WRC is to promote </w:t>
      </w:r>
      <w:r w:rsidR="00DE7E6F" w:rsidRPr="00156CB3">
        <w:rPr>
          <w:rFonts w:ascii="Arial" w:eastAsia="Times New Roman" w:hAnsi="Arial" w:cs="Arial"/>
          <w:sz w:val="20"/>
          <w:szCs w:val="20"/>
          <w:lang w:eastAsia="en-ZA"/>
        </w:rPr>
        <w:t xml:space="preserve">coordination, cooperation and </w:t>
      </w:r>
      <w:r w:rsidRPr="00156CB3">
        <w:rPr>
          <w:rFonts w:ascii="Arial" w:eastAsia="Times New Roman" w:hAnsi="Arial" w:cs="Arial"/>
          <w:sz w:val="20"/>
          <w:szCs w:val="20"/>
          <w:lang w:eastAsia="en-ZA"/>
        </w:rPr>
        <w:t xml:space="preserve">communication </w:t>
      </w:r>
      <w:r w:rsidR="000476A7" w:rsidRPr="00156CB3">
        <w:rPr>
          <w:rFonts w:ascii="Arial" w:eastAsia="Times New Roman" w:hAnsi="Arial" w:cs="Arial"/>
          <w:sz w:val="20"/>
          <w:szCs w:val="20"/>
          <w:lang w:eastAsia="en-ZA"/>
        </w:rPr>
        <w:t>in</w:t>
      </w:r>
      <w:r w:rsidRPr="00156CB3">
        <w:rPr>
          <w:rFonts w:ascii="Arial" w:eastAsia="Times New Roman" w:hAnsi="Arial" w:cs="Arial"/>
          <w:sz w:val="20"/>
          <w:szCs w:val="20"/>
          <w:lang w:eastAsia="en-ZA"/>
        </w:rPr>
        <w:t xml:space="preserve"> water research and development, establish water research needs and </w:t>
      </w:r>
      <w:r w:rsidR="00DE7E6F" w:rsidRPr="00156CB3">
        <w:rPr>
          <w:rFonts w:ascii="Arial" w:eastAsia="Times New Roman" w:hAnsi="Arial" w:cs="Arial"/>
          <w:sz w:val="20"/>
          <w:szCs w:val="20"/>
          <w:lang w:eastAsia="en-ZA"/>
        </w:rPr>
        <w:t>priorities, promot</w:t>
      </w:r>
      <w:r w:rsidR="000476A7" w:rsidRPr="00156CB3">
        <w:rPr>
          <w:rFonts w:ascii="Arial" w:eastAsia="Times New Roman" w:hAnsi="Arial" w:cs="Arial"/>
          <w:sz w:val="20"/>
          <w:szCs w:val="20"/>
          <w:lang w:eastAsia="en-ZA"/>
        </w:rPr>
        <w:t>e</w:t>
      </w:r>
      <w:r w:rsidR="00DE7E6F" w:rsidRPr="00156CB3">
        <w:rPr>
          <w:rFonts w:ascii="Arial" w:eastAsia="Times New Roman" w:hAnsi="Arial" w:cs="Arial"/>
          <w:sz w:val="20"/>
          <w:szCs w:val="20"/>
          <w:lang w:eastAsia="en-ZA"/>
        </w:rPr>
        <w:t xml:space="preserve"> the effective transfer of information and technology, and enhance knowledge and capacity building within the water sector.</w:t>
      </w:r>
    </w:p>
    <w:p w:rsidR="00B2735F" w:rsidRPr="00156CB3" w:rsidRDefault="00B2735F" w:rsidP="00156CB3">
      <w:pPr>
        <w:spacing w:after="0" w:line="240" w:lineRule="auto"/>
        <w:rPr>
          <w:rFonts w:ascii="Arial" w:eastAsia="Times New Roman" w:hAnsi="Arial" w:cs="Arial"/>
          <w:sz w:val="20"/>
          <w:szCs w:val="20"/>
          <w:lang w:eastAsia="en-ZA"/>
        </w:rPr>
      </w:pPr>
    </w:p>
    <w:p w:rsidR="001B2189" w:rsidRPr="00156CB3" w:rsidRDefault="00DE7E6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WRC had a total income (in</w:t>
      </w:r>
      <w:r w:rsidR="00B2735F" w:rsidRPr="00156CB3">
        <w:rPr>
          <w:rFonts w:ascii="Arial" w:eastAsia="Times New Roman" w:hAnsi="Arial" w:cs="Arial"/>
          <w:sz w:val="20"/>
          <w:szCs w:val="20"/>
          <w:lang w:eastAsia="en-ZA"/>
        </w:rPr>
        <w:t>cluding levy and leverage</w:t>
      </w:r>
      <w:r w:rsidRPr="00156CB3">
        <w:rPr>
          <w:rFonts w:ascii="Arial" w:eastAsia="Times New Roman" w:hAnsi="Arial" w:cs="Arial"/>
          <w:sz w:val="20"/>
          <w:szCs w:val="20"/>
          <w:lang w:eastAsia="en-ZA"/>
        </w:rPr>
        <w:t>) of R417.4 million during 2021/22. Levies made up 67 per cent of the WRC’s income</w:t>
      </w:r>
      <w:r w:rsidR="001B2189" w:rsidRPr="00156CB3">
        <w:rPr>
          <w:rFonts w:ascii="Arial" w:eastAsia="Times New Roman" w:hAnsi="Arial" w:cs="Arial"/>
          <w:sz w:val="20"/>
          <w:szCs w:val="20"/>
          <w:lang w:eastAsia="en-ZA"/>
        </w:rPr>
        <w:t xml:space="preserve">.  The WRC achieved an unqualified audit in 2021/22. </w:t>
      </w:r>
    </w:p>
    <w:p w:rsidR="001B2189" w:rsidRPr="00156CB3" w:rsidRDefault="001B2189" w:rsidP="00156CB3">
      <w:pPr>
        <w:spacing w:after="0" w:line="240" w:lineRule="auto"/>
        <w:rPr>
          <w:rFonts w:ascii="Arial" w:eastAsia="Times New Roman" w:hAnsi="Arial" w:cs="Arial"/>
          <w:sz w:val="20"/>
          <w:szCs w:val="20"/>
          <w:lang w:eastAsia="en-ZA"/>
        </w:rPr>
      </w:pPr>
    </w:p>
    <w:p w:rsidR="00DE7E6F" w:rsidRPr="00156CB3" w:rsidRDefault="001B2189"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Several performance highlights for 2021/22 included the conclusion of </w:t>
      </w:r>
      <w:r w:rsidR="00B2735F" w:rsidRPr="00156CB3">
        <w:rPr>
          <w:rFonts w:ascii="Arial" w:eastAsia="Times New Roman" w:hAnsi="Arial" w:cs="Arial"/>
          <w:sz w:val="20"/>
          <w:szCs w:val="20"/>
          <w:lang w:eastAsia="en-ZA"/>
        </w:rPr>
        <w:t>several</w:t>
      </w:r>
      <w:r w:rsidRPr="00156CB3">
        <w:rPr>
          <w:rFonts w:ascii="Arial" w:eastAsia="Times New Roman" w:hAnsi="Arial" w:cs="Arial"/>
          <w:sz w:val="20"/>
          <w:szCs w:val="20"/>
          <w:lang w:eastAsia="en-ZA"/>
        </w:rPr>
        <w:t xml:space="preserve"> research projects</w:t>
      </w:r>
      <w:r w:rsidR="000476A7"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t>
      </w:r>
      <w:r w:rsidR="00B2735F" w:rsidRPr="00156CB3">
        <w:rPr>
          <w:rFonts w:ascii="Arial" w:eastAsia="Times New Roman" w:hAnsi="Arial" w:cs="Arial"/>
          <w:sz w:val="20"/>
          <w:szCs w:val="20"/>
          <w:lang w:eastAsia="en-ZA"/>
        </w:rPr>
        <w:t>such as t</w:t>
      </w:r>
      <w:r w:rsidRPr="00156CB3">
        <w:rPr>
          <w:rFonts w:ascii="Arial" w:eastAsia="Times New Roman" w:hAnsi="Arial" w:cs="Arial"/>
          <w:sz w:val="20"/>
          <w:szCs w:val="20"/>
          <w:lang w:eastAsia="en-ZA"/>
        </w:rPr>
        <w:t xml:space="preserve">he launch of a micro-hydropower </w:t>
      </w:r>
      <w:r w:rsidR="00B2735F" w:rsidRPr="00156CB3">
        <w:rPr>
          <w:rFonts w:ascii="Arial" w:eastAsia="Times New Roman" w:hAnsi="Arial" w:cs="Arial"/>
          <w:sz w:val="20"/>
          <w:szCs w:val="20"/>
          <w:lang w:eastAsia="en-ZA"/>
        </w:rPr>
        <w:t xml:space="preserve">to </w:t>
      </w:r>
      <w:r w:rsidRPr="00156CB3">
        <w:rPr>
          <w:rFonts w:ascii="Arial" w:eastAsia="Times New Roman" w:hAnsi="Arial" w:cs="Arial"/>
          <w:sz w:val="20"/>
          <w:szCs w:val="20"/>
          <w:lang w:eastAsia="en-ZA"/>
        </w:rPr>
        <w:t>provide electricity for the rural community of Kwa-Madiba in the Oliver Tambo District Municipality.  In terms of targets achieved, 110 Research and Development Innovation projects</w:t>
      </w:r>
      <w:r w:rsidR="00B2735F" w:rsidRPr="00156CB3">
        <w:rPr>
          <w:rFonts w:ascii="Arial" w:eastAsia="Times New Roman" w:hAnsi="Arial" w:cs="Arial"/>
          <w:sz w:val="20"/>
          <w:szCs w:val="20"/>
          <w:lang w:eastAsia="en-ZA"/>
        </w:rPr>
        <w:t xml:space="preserve"> were</w:t>
      </w:r>
      <w:r w:rsidRPr="00156CB3">
        <w:rPr>
          <w:rFonts w:ascii="Arial" w:eastAsia="Times New Roman" w:hAnsi="Arial" w:cs="Arial"/>
          <w:sz w:val="20"/>
          <w:szCs w:val="20"/>
          <w:lang w:eastAsia="en-ZA"/>
        </w:rPr>
        <w:t xml:space="preserve"> initiated</w:t>
      </w:r>
      <w:r w:rsidR="000476A7" w:rsidRPr="00156CB3">
        <w:rPr>
          <w:rFonts w:ascii="Arial" w:eastAsia="Times New Roman" w:hAnsi="Arial" w:cs="Arial"/>
          <w:sz w:val="20"/>
          <w:szCs w:val="20"/>
          <w:lang w:eastAsia="en-ZA"/>
        </w:rPr>
        <w:t>,</w:t>
      </w:r>
      <w:r w:rsidRPr="00156CB3">
        <w:rPr>
          <w:rFonts w:ascii="Arial" w:eastAsia="Times New Roman" w:hAnsi="Arial" w:cs="Arial"/>
          <w:sz w:val="20"/>
          <w:szCs w:val="20"/>
          <w:lang w:eastAsia="en-ZA"/>
        </w:rPr>
        <w:t xml:space="preserve"> with 113 finalised in the year under review.</w:t>
      </w:r>
    </w:p>
    <w:p w:rsidR="00D95EDC" w:rsidRPr="00156CB3" w:rsidRDefault="00D95EDC" w:rsidP="00156CB3">
      <w:pPr>
        <w:spacing w:after="0" w:line="240" w:lineRule="auto"/>
        <w:rPr>
          <w:rFonts w:ascii="Arial" w:eastAsia="Times New Roman" w:hAnsi="Arial" w:cs="Arial"/>
          <w:b/>
          <w:sz w:val="20"/>
          <w:szCs w:val="20"/>
          <w:lang w:eastAsia="en-ZA"/>
        </w:rPr>
      </w:pPr>
    </w:p>
    <w:p w:rsidR="00166917" w:rsidRPr="00156CB3" w:rsidRDefault="0016691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5</w:t>
      </w:r>
      <w:r w:rsidR="00ED534D" w:rsidRPr="00156CB3">
        <w:rPr>
          <w:rFonts w:ascii="Arial" w:eastAsia="Times New Roman" w:hAnsi="Arial" w:cs="Arial"/>
          <w:b/>
          <w:sz w:val="20"/>
          <w:szCs w:val="20"/>
          <w:lang w:eastAsia="en-ZA"/>
        </w:rPr>
        <w:t>.3</w:t>
      </w:r>
      <w:r w:rsidR="00ED534D" w:rsidRPr="00156CB3">
        <w:rPr>
          <w:rFonts w:ascii="Arial" w:eastAsia="Times New Roman" w:hAnsi="Arial" w:cs="Arial"/>
          <w:b/>
          <w:sz w:val="20"/>
          <w:szCs w:val="20"/>
          <w:lang w:eastAsia="en-ZA"/>
        </w:rPr>
        <w:tab/>
        <w:t>Catchment Management Agencies</w:t>
      </w:r>
      <w:r w:rsidR="00DE7E6F" w:rsidRPr="00156CB3">
        <w:rPr>
          <w:rFonts w:ascii="Arial" w:eastAsia="Times New Roman" w:hAnsi="Arial" w:cs="Arial"/>
          <w:b/>
          <w:sz w:val="20"/>
          <w:szCs w:val="20"/>
          <w:lang w:eastAsia="en-ZA"/>
        </w:rPr>
        <w:t xml:space="preserve"> (CMAs)</w:t>
      </w:r>
    </w:p>
    <w:p w:rsidR="00166917" w:rsidRPr="00156CB3" w:rsidRDefault="00166917" w:rsidP="00156CB3">
      <w:pPr>
        <w:spacing w:after="0" w:line="240" w:lineRule="auto"/>
        <w:rPr>
          <w:rFonts w:ascii="Arial" w:eastAsia="Times New Roman" w:hAnsi="Arial" w:cs="Arial"/>
          <w:b/>
          <w:sz w:val="20"/>
          <w:szCs w:val="20"/>
          <w:lang w:eastAsia="en-ZA"/>
        </w:rPr>
      </w:pPr>
    </w:p>
    <w:p w:rsidR="00DE7E6F" w:rsidRPr="00156CB3" w:rsidRDefault="00DE7E6F"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Catchment management agencies are established in terms of section 80 of the National Water Act and are responsible for managing water resources within the defined catchment areas.  The CMAs ensure water resource management at a regional or catchment level with the involvement of the local communities.</w:t>
      </w:r>
    </w:p>
    <w:p w:rsidR="00DE7E6F" w:rsidRPr="00156CB3" w:rsidRDefault="00DE7E6F" w:rsidP="00156CB3">
      <w:pPr>
        <w:spacing w:after="0" w:line="240" w:lineRule="auto"/>
        <w:rPr>
          <w:rFonts w:ascii="Arial" w:eastAsia="Times New Roman" w:hAnsi="Arial" w:cs="Arial"/>
          <w:b/>
          <w:sz w:val="20"/>
          <w:szCs w:val="20"/>
          <w:lang w:eastAsia="en-ZA"/>
        </w:rPr>
      </w:pPr>
    </w:p>
    <w:p w:rsidR="00166917" w:rsidRPr="00156CB3" w:rsidRDefault="00ED534D"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5.3.1</w:t>
      </w:r>
      <w:r w:rsidRPr="00156CB3">
        <w:rPr>
          <w:rFonts w:ascii="Arial" w:eastAsia="Times New Roman" w:hAnsi="Arial" w:cs="Arial"/>
          <w:b/>
          <w:sz w:val="20"/>
          <w:szCs w:val="20"/>
          <w:lang w:eastAsia="en-ZA"/>
        </w:rPr>
        <w:tab/>
        <w:t>Breede-Gouritz</w:t>
      </w:r>
      <w:r w:rsidR="0039068F" w:rsidRPr="00156CB3">
        <w:rPr>
          <w:rFonts w:ascii="Arial" w:eastAsia="Times New Roman" w:hAnsi="Arial" w:cs="Arial"/>
          <w:b/>
          <w:sz w:val="20"/>
          <w:szCs w:val="20"/>
          <w:lang w:eastAsia="en-ZA"/>
        </w:rPr>
        <w:t xml:space="preserve"> Catchment Management Agency</w:t>
      </w:r>
    </w:p>
    <w:p w:rsidR="00192170" w:rsidRPr="00156CB3" w:rsidRDefault="00192170" w:rsidP="00156CB3">
      <w:pPr>
        <w:spacing w:after="0" w:line="240" w:lineRule="auto"/>
        <w:rPr>
          <w:rFonts w:ascii="Arial" w:eastAsia="Times New Roman" w:hAnsi="Arial" w:cs="Arial"/>
          <w:b/>
          <w:sz w:val="20"/>
          <w:szCs w:val="20"/>
          <w:lang w:eastAsia="en-ZA"/>
        </w:rPr>
      </w:pPr>
    </w:p>
    <w:p w:rsidR="00754F8E" w:rsidRPr="00156CB3" w:rsidRDefault="00754F8E"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Breede-Gouritz Catchment Management Agency manages water resources in the</w:t>
      </w:r>
      <w:r w:rsidR="0039068F" w:rsidRPr="00156CB3">
        <w:rPr>
          <w:rFonts w:ascii="Arial" w:eastAsia="Times New Roman" w:hAnsi="Arial" w:cs="Arial"/>
          <w:sz w:val="20"/>
          <w:szCs w:val="20"/>
          <w:lang w:eastAsia="en-ZA"/>
        </w:rPr>
        <w:t xml:space="preserve"> diverse climatic</w:t>
      </w:r>
      <w:r w:rsidRPr="00156CB3">
        <w:rPr>
          <w:rFonts w:ascii="Arial" w:eastAsia="Times New Roman" w:hAnsi="Arial" w:cs="Arial"/>
          <w:sz w:val="20"/>
          <w:szCs w:val="20"/>
          <w:lang w:eastAsia="en-ZA"/>
        </w:rPr>
        <w:t xml:space="preserve"> area of the Breede-Gouritz Water Management Area.  The strategic objectives of Breede-Gouritz for the year under review included water resource planning, water use management, institutional and stakeholder relations, water allocation reform, water resource protection, strategic support</w:t>
      </w:r>
      <w:r w:rsidR="00185A28" w:rsidRPr="00156CB3">
        <w:rPr>
          <w:rFonts w:ascii="Arial" w:eastAsia="Times New Roman" w:hAnsi="Arial" w:cs="Arial"/>
          <w:sz w:val="20"/>
          <w:szCs w:val="20"/>
          <w:lang w:eastAsia="en-ZA"/>
        </w:rPr>
        <w:t>, and</w:t>
      </w:r>
      <w:r w:rsidRPr="00156CB3">
        <w:rPr>
          <w:rFonts w:ascii="Arial" w:eastAsia="Times New Roman" w:hAnsi="Arial" w:cs="Arial"/>
          <w:sz w:val="20"/>
          <w:szCs w:val="20"/>
          <w:lang w:eastAsia="en-ZA"/>
        </w:rPr>
        <w:t xml:space="preserve"> management and governance.</w:t>
      </w:r>
    </w:p>
    <w:p w:rsidR="00754F8E" w:rsidRPr="00156CB3" w:rsidRDefault="00754F8E" w:rsidP="00156CB3">
      <w:pPr>
        <w:spacing w:after="0" w:line="240" w:lineRule="auto"/>
        <w:rPr>
          <w:rFonts w:ascii="Arial" w:eastAsia="Times New Roman" w:hAnsi="Arial" w:cs="Arial"/>
          <w:sz w:val="20"/>
          <w:szCs w:val="20"/>
          <w:lang w:eastAsia="en-ZA"/>
        </w:rPr>
      </w:pPr>
    </w:p>
    <w:p w:rsidR="00754F8E" w:rsidRPr="00156CB3" w:rsidRDefault="00754F8E"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achievements for the financial year under review included efficiency in water use application processing within the regulated timeframe, which supports the social and economic benefit of their stakeholders, implementing the river rehabilitation projects, removal of alien vegetation in the river riparian areas, installation of rainwater storage tanks at various communities to provide localised catchments.</w:t>
      </w:r>
    </w:p>
    <w:p w:rsidR="00754F8E" w:rsidRPr="00156CB3" w:rsidRDefault="00754F8E" w:rsidP="00156CB3">
      <w:pPr>
        <w:spacing w:after="0" w:line="240" w:lineRule="auto"/>
        <w:rPr>
          <w:rFonts w:ascii="Arial" w:eastAsia="Times New Roman" w:hAnsi="Arial" w:cs="Arial"/>
          <w:sz w:val="20"/>
          <w:szCs w:val="20"/>
          <w:lang w:eastAsia="en-ZA"/>
        </w:rPr>
      </w:pPr>
    </w:p>
    <w:p w:rsidR="0039068F" w:rsidRPr="00156CB3" w:rsidRDefault="00754F8E"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total operating expenditure for the agency increased from R70.836 million to R78.501 million in the financial year under review.  The increase is attributed to the increase in operational expenses</w:t>
      </w:r>
      <w:r w:rsidR="00185A28" w:rsidRPr="00156CB3">
        <w:rPr>
          <w:rFonts w:ascii="Arial" w:eastAsia="Times New Roman" w:hAnsi="Arial" w:cs="Arial"/>
          <w:sz w:val="20"/>
          <w:szCs w:val="20"/>
          <w:lang w:eastAsia="en-ZA"/>
        </w:rPr>
        <w:t xml:space="preserve"> and employee-</w:t>
      </w:r>
      <w:r w:rsidRPr="00156CB3">
        <w:rPr>
          <w:rFonts w:ascii="Arial" w:eastAsia="Times New Roman" w:hAnsi="Arial" w:cs="Arial"/>
          <w:sz w:val="20"/>
          <w:szCs w:val="20"/>
          <w:lang w:eastAsia="en-ZA"/>
        </w:rPr>
        <w:t>related costs.</w:t>
      </w:r>
      <w:r w:rsidR="00185A28" w:rsidRPr="00156CB3">
        <w:rPr>
          <w:rFonts w:ascii="Arial" w:eastAsia="Times New Roman" w:hAnsi="Arial" w:cs="Arial"/>
          <w:sz w:val="20"/>
          <w:szCs w:val="20"/>
          <w:lang w:eastAsia="en-ZA"/>
        </w:rPr>
        <w:t xml:space="preserve"> The augmentation allocation from the Department of Water and Sanitation amounted to R40.6 million, an increase of R1.9 million compared to the prior year.  </w:t>
      </w:r>
    </w:p>
    <w:p w:rsidR="0039068F" w:rsidRPr="00156CB3" w:rsidRDefault="0039068F" w:rsidP="00156CB3">
      <w:pPr>
        <w:spacing w:after="0" w:line="240" w:lineRule="auto"/>
        <w:rPr>
          <w:rFonts w:ascii="Arial" w:eastAsia="Times New Roman" w:hAnsi="Arial" w:cs="Arial"/>
          <w:sz w:val="20"/>
          <w:szCs w:val="20"/>
          <w:lang w:eastAsia="en-ZA"/>
        </w:rPr>
      </w:pPr>
    </w:p>
    <w:p w:rsidR="00754F8E" w:rsidRPr="00156CB3" w:rsidRDefault="00185A28"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revenue from </w:t>
      </w:r>
      <w:r w:rsidR="007E729A"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 xml:space="preserve">catchment management charge reflects an increase of 9 per cent (49.02 million) compared to the prior year (45.032 million), which is attributed to increasing the catchment management charges and the agency ensuring efficiency in its billing.  The debtors’ collection days reflect an increase of 424 days in 2021/22 compared to </w:t>
      </w:r>
      <w:r w:rsidR="0039068F" w:rsidRPr="00156CB3">
        <w:rPr>
          <w:rFonts w:ascii="Arial" w:eastAsia="Times New Roman" w:hAnsi="Arial" w:cs="Arial"/>
          <w:sz w:val="20"/>
          <w:szCs w:val="20"/>
          <w:lang w:eastAsia="en-ZA"/>
        </w:rPr>
        <w:t>390 in the previous year.</w:t>
      </w:r>
      <w:r w:rsidRPr="00156CB3">
        <w:rPr>
          <w:rFonts w:ascii="Arial" w:eastAsia="Times New Roman" w:hAnsi="Arial" w:cs="Arial"/>
          <w:sz w:val="20"/>
          <w:szCs w:val="20"/>
          <w:lang w:eastAsia="en-ZA"/>
        </w:rPr>
        <w:t xml:space="preserve">  The increase in </w:t>
      </w:r>
      <w:r w:rsidR="0039068F"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number of days is due to the decrease in collecting revenue from significant customers who owe the agency</w:t>
      </w:r>
      <w:r w:rsidR="0039068F" w:rsidRPr="00156CB3">
        <w:rPr>
          <w:rFonts w:ascii="Arial" w:eastAsia="Times New Roman" w:hAnsi="Arial" w:cs="Arial"/>
          <w:sz w:val="20"/>
          <w:szCs w:val="20"/>
          <w:lang w:eastAsia="en-ZA"/>
        </w:rPr>
        <w:t>.</w:t>
      </w:r>
    </w:p>
    <w:p w:rsidR="00185A28" w:rsidRPr="00156CB3" w:rsidRDefault="00185A28" w:rsidP="00156CB3">
      <w:pPr>
        <w:spacing w:after="0" w:line="240" w:lineRule="auto"/>
        <w:rPr>
          <w:rFonts w:ascii="Arial" w:eastAsia="Times New Roman" w:hAnsi="Arial" w:cs="Arial"/>
          <w:sz w:val="20"/>
          <w:szCs w:val="20"/>
          <w:lang w:eastAsia="en-ZA"/>
        </w:rPr>
      </w:pPr>
    </w:p>
    <w:p w:rsidR="00185A28" w:rsidRPr="00156CB3" w:rsidRDefault="00185A28"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agency received a qualified audit opinion with findings.  The basis of qualification related to the agency’s failure to prove the existence of water users and uncorrected material misstatements.</w:t>
      </w:r>
    </w:p>
    <w:p w:rsidR="00166917" w:rsidRPr="00156CB3" w:rsidRDefault="00166917" w:rsidP="00156CB3">
      <w:pPr>
        <w:spacing w:after="0" w:line="240" w:lineRule="auto"/>
        <w:rPr>
          <w:rFonts w:ascii="Arial" w:eastAsia="Times New Roman" w:hAnsi="Arial" w:cs="Arial"/>
          <w:b/>
          <w:sz w:val="20"/>
          <w:szCs w:val="20"/>
          <w:lang w:eastAsia="en-ZA"/>
        </w:rPr>
      </w:pPr>
    </w:p>
    <w:p w:rsidR="00166917" w:rsidRPr="00156CB3" w:rsidRDefault="00ED534D"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5.3.2</w:t>
      </w:r>
      <w:r w:rsidRPr="00156CB3">
        <w:rPr>
          <w:rFonts w:ascii="Arial" w:eastAsia="Times New Roman" w:hAnsi="Arial" w:cs="Arial"/>
          <w:b/>
          <w:sz w:val="20"/>
          <w:szCs w:val="20"/>
          <w:lang w:eastAsia="en-ZA"/>
        </w:rPr>
        <w:tab/>
      </w:r>
      <w:r w:rsidR="004668ED" w:rsidRPr="00156CB3">
        <w:rPr>
          <w:rFonts w:ascii="Arial" w:eastAsia="Times New Roman" w:hAnsi="Arial" w:cs="Arial"/>
          <w:b/>
          <w:sz w:val="20"/>
          <w:szCs w:val="20"/>
          <w:lang w:eastAsia="en-ZA"/>
        </w:rPr>
        <w:t>Inkomati</w:t>
      </w:r>
      <w:r w:rsidRPr="00156CB3">
        <w:rPr>
          <w:rFonts w:ascii="Arial" w:eastAsia="Times New Roman" w:hAnsi="Arial" w:cs="Arial"/>
          <w:b/>
          <w:sz w:val="20"/>
          <w:szCs w:val="20"/>
          <w:lang w:eastAsia="en-ZA"/>
        </w:rPr>
        <w:t>-Usuthu</w:t>
      </w:r>
      <w:r w:rsidR="00E80C9F" w:rsidRPr="00156CB3">
        <w:rPr>
          <w:rFonts w:ascii="Arial" w:eastAsia="Times New Roman" w:hAnsi="Arial" w:cs="Arial"/>
          <w:b/>
          <w:sz w:val="20"/>
          <w:szCs w:val="20"/>
          <w:lang w:eastAsia="en-ZA"/>
        </w:rPr>
        <w:t xml:space="preserve"> Catchment Management Agency</w:t>
      </w:r>
    </w:p>
    <w:p w:rsidR="00E80C9F" w:rsidRPr="00156CB3" w:rsidRDefault="00E80C9F" w:rsidP="00156CB3">
      <w:pPr>
        <w:spacing w:after="0" w:line="240" w:lineRule="auto"/>
        <w:rPr>
          <w:rFonts w:ascii="Arial" w:eastAsia="Times New Roman" w:hAnsi="Arial" w:cs="Arial"/>
          <w:b/>
          <w:sz w:val="20"/>
          <w:szCs w:val="20"/>
          <w:lang w:eastAsia="en-ZA"/>
        </w:rPr>
      </w:pPr>
    </w:p>
    <w:p w:rsidR="00E80C9F" w:rsidRPr="00156CB3" w:rsidRDefault="007863C9" w:rsidP="00156CB3">
      <w:pPr>
        <w:spacing w:after="0" w:line="240" w:lineRule="auto"/>
        <w:rPr>
          <w:rFonts w:ascii="Arial" w:eastAsia="Times New Roman" w:hAnsi="Arial" w:cs="Arial"/>
          <w:sz w:val="20"/>
          <w:szCs w:val="20"/>
          <w:lang w:eastAsia="en-ZA"/>
        </w:rPr>
      </w:pPr>
      <w:r w:rsidRPr="00156CB3">
        <w:rPr>
          <w:rFonts w:ascii="Arial" w:hAnsi="Arial" w:cs="Arial"/>
          <w:sz w:val="20"/>
          <w:szCs w:val="20"/>
        </w:rPr>
        <w:t>The Inkomati-Usuthu Catchment Management Agency (BGCMA) is a water management institution in the Inkomati-Usuthu Water Management Area (WMA) in Mpumalanga Province.</w:t>
      </w:r>
      <w:r w:rsidRPr="00156CB3">
        <w:rPr>
          <w:rFonts w:ascii="Arial" w:eastAsia="Times New Roman" w:hAnsi="Arial" w:cs="Arial"/>
          <w:sz w:val="20"/>
          <w:szCs w:val="20"/>
          <w:lang w:eastAsia="en-ZA"/>
        </w:rPr>
        <w:t xml:space="preserve"> </w:t>
      </w:r>
      <w:r w:rsidR="007E729A" w:rsidRPr="00156CB3">
        <w:rPr>
          <w:rFonts w:ascii="Arial" w:eastAsia="Times New Roman" w:hAnsi="Arial" w:cs="Arial"/>
          <w:sz w:val="20"/>
          <w:szCs w:val="20"/>
          <w:lang w:eastAsia="en-ZA"/>
        </w:rPr>
        <w:t>I</w:t>
      </w:r>
      <w:r w:rsidR="00E80C9F" w:rsidRPr="00156CB3">
        <w:rPr>
          <w:rFonts w:ascii="Arial" w:eastAsia="Times New Roman" w:hAnsi="Arial" w:cs="Arial"/>
          <w:sz w:val="20"/>
          <w:szCs w:val="20"/>
          <w:lang w:eastAsia="en-ZA"/>
        </w:rPr>
        <w:t xml:space="preserve">n the year under review, </w:t>
      </w:r>
      <w:r w:rsidR="007E729A" w:rsidRPr="00156CB3">
        <w:rPr>
          <w:rFonts w:ascii="Arial" w:eastAsia="Times New Roman" w:hAnsi="Arial" w:cs="Arial"/>
          <w:sz w:val="20"/>
          <w:szCs w:val="20"/>
          <w:lang w:eastAsia="en-ZA"/>
        </w:rPr>
        <w:t xml:space="preserve">the Agency </w:t>
      </w:r>
      <w:r w:rsidR="00E80C9F" w:rsidRPr="00156CB3">
        <w:rPr>
          <w:rFonts w:ascii="Arial" w:eastAsia="Times New Roman" w:hAnsi="Arial" w:cs="Arial"/>
          <w:sz w:val="20"/>
          <w:szCs w:val="20"/>
          <w:lang w:eastAsia="en-ZA"/>
        </w:rPr>
        <w:t>achieved 89 per cent of its predetermined performance outcomes</w:t>
      </w:r>
      <w:r w:rsidR="007E729A" w:rsidRPr="00156CB3">
        <w:rPr>
          <w:rFonts w:ascii="Arial" w:eastAsia="Times New Roman" w:hAnsi="Arial" w:cs="Arial"/>
          <w:sz w:val="20"/>
          <w:szCs w:val="20"/>
          <w:lang w:eastAsia="en-ZA"/>
        </w:rPr>
        <w:t>,</w:t>
      </w:r>
      <w:r w:rsidR="00E80C9F" w:rsidRPr="00156CB3">
        <w:rPr>
          <w:rFonts w:ascii="Arial" w:eastAsia="Times New Roman" w:hAnsi="Arial" w:cs="Arial"/>
          <w:sz w:val="20"/>
          <w:szCs w:val="20"/>
          <w:lang w:eastAsia="en-ZA"/>
        </w:rPr>
        <w:t xml:space="preserve"> with 66 per cent overachieved, 22 per cent achieved and 11 per cent not achieved.</w:t>
      </w:r>
    </w:p>
    <w:p w:rsidR="00E80C9F" w:rsidRPr="00156CB3" w:rsidRDefault="00E80C9F" w:rsidP="00156CB3">
      <w:pPr>
        <w:spacing w:after="0" w:line="240" w:lineRule="auto"/>
        <w:rPr>
          <w:rFonts w:ascii="Arial" w:eastAsia="Times New Roman" w:hAnsi="Arial" w:cs="Arial"/>
          <w:sz w:val="20"/>
          <w:szCs w:val="20"/>
          <w:lang w:eastAsia="en-ZA"/>
        </w:rPr>
      </w:pPr>
    </w:p>
    <w:p w:rsidR="007E729A" w:rsidRPr="00156CB3" w:rsidRDefault="007E729A"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a</w:t>
      </w:r>
      <w:r w:rsidR="00E80C9F" w:rsidRPr="00156CB3">
        <w:rPr>
          <w:rFonts w:ascii="Arial" w:eastAsia="Times New Roman" w:hAnsi="Arial" w:cs="Arial"/>
          <w:sz w:val="20"/>
          <w:szCs w:val="20"/>
          <w:lang w:eastAsia="en-ZA"/>
        </w:rPr>
        <w:t xml:space="preserve">gency attained financial results which defined its operations as a going concern, with a solvent balance sheet with a net surplus of R4.9 million.  </w:t>
      </w:r>
      <w:r w:rsidRPr="00156CB3">
        <w:rPr>
          <w:rFonts w:ascii="Arial" w:eastAsia="Times New Roman" w:hAnsi="Arial" w:cs="Arial"/>
          <w:sz w:val="20"/>
          <w:szCs w:val="20"/>
          <w:lang w:eastAsia="en-ZA"/>
        </w:rPr>
        <w:t>I</w:t>
      </w:r>
      <w:r w:rsidR="00E80C9F" w:rsidRPr="00156CB3">
        <w:rPr>
          <w:rFonts w:ascii="Arial" w:eastAsia="Times New Roman" w:hAnsi="Arial" w:cs="Arial"/>
          <w:sz w:val="20"/>
          <w:szCs w:val="20"/>
          <w:lang w:eastAsia="en-ZA"/>
        </w:rPr>
        <w:t>n the financial year</w:t>
      </w:r>
      <w:r w:rsidRPr="00156CB3">
        <w:rPr>
          <w:rFonts w:ascii="Arial" w:eastAsia="Times New Roman" w:hAnsi="Arial" w:cs="Arial"/>
          <w:sz w:val="20"/>
          <w:szCs w:val="20"/>
          <w:lang w:eastAsia="en-ZA"/>
        </w:rPr>
        <w:t>,</w:t>
      </w:r>
      <w:r w:rsidR="00E80C9F"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 xml:space="preserve">the agency </w:t>
      </w:r>
      <w:r w:rsidR="00E80C9F" w:rsidRPr="00156CB3">
        <w:rPr>
          <w:rFonts w:ascii="Arial" w:eastAsia="Times New Roman" w:hAnsi="Arial" w:cs="Arial"/>
          <w:sz w:val="20"/>
          <w:szCs w:val="20"/>
          <w:lang w:eastAsia="en-ZA"/>
        </w:rPr>
        <w:t>managed its working capital</w:t>
      </w:r>
      <w:r w:rsidRPr="00156CB3">
        <w:rPr>
          <w:rFonts w:ascii="Arial" w:eastAsia="Times New Roman" w:hAnsi="Arial" w:cs="Arial"/>
          <w:sz w:val="20"/>
          <w:szCs w:val="20"/>
          <w:lang w:eastAsia="en-ZA"/>
        </w:rPr>
        <w:t>,</w:t>
      </w:r>
      <w:r w:rsidR="00E80C9F"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which safeguarded its ability to meet its short-and long-term liabilities.  In relation to financial performance against financial sustainability, the agency successfully implemented responsive cost containment strategies while improving already defined revenue streams.  Consequently, these initiatives aided a 16 per cent increase in revenue and market related 8 per cent in overall expenditure.</w:t>
      </w:r>
      <w:r w:rsidR="00AC363E"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The agency obtained an unqualified audit opinion.</w:t>
      </w:r>
    </w:p>
    <w:p w:rsidR="007E729A" w:rsidRPr="00156CB3" w:rsidRDefault="007E729A" w:rsidP="00156CB3">
      <w:pPr>
        <w:spacing w:after="0" w:line="240" w:lineRule="auto"/>
        <w:rPr>
          <w:rFonts w:ascii="Arial" w:eastAsia="Times New Roman" w:hAnsi="Arial" w:cs="Arial"/>
          <w:sz w:val="20"/>
          <w:szCs w:val="20"/>
          <w:lang w:eastAsia="en-ZA"/>
        </w:rPr>
      </w:pPr>
    </w:p>
    <w:p w:rsidR="007E729A" w:rsidRPr="00156CB3" w:rsidRDefault="007E729A"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challenges identified by the agency relate to low debt recovery levels, funding constraints due to non-paying and slow-paying users, limitations of the pricing strategy, which limit full cost recovery of costs, pollution of resources and non-finalisation of the verification and validation process due to ongoing litigation.</w:t>
      </w:r>
    </w:p>
    <w:p w:rsidR="00A132E8" w:rsidRPr="00156CB3" w:rsidRDefault="00A132E8" w:rsidP="00156CB3">
      <w:pPr>
        <w:spacing w:after="0" w:line="240" w:lineRule="auto"/>
        <w:rPr>
          <w:rFonts w:ascii="Arial" w:eastAsia="Times New Roman" w:hAnsi="Arial" w:cs="Arial"/>
          <w:b/>
          <w:sz w:val="20"/>
          <w:szCs w:val="20"/>
          <w:lang w:eastAsia="en-ZA"/>
        </w:rPr>
      </w:pPr>
    </w:p>
    <w:p w:rsidR="00ED72CA" w:rsidRPr="00156CB3" w:rsidRDefault="00ED72CA" w:rsidP="00156CB3">
      <w:pPr>
        <w:spacing w:after="0" w:line="240" w:lineRule="auto"/>
        <w:rPr>
          <w:rFonts w:ascii="Arial" w:eastAsia="Times New Roman" w:hAnsi="Arial" w:cs="Arial"/>
          <w:b/>
          <w:sz w:val="20"/>
          <w:szCs w:val="20"/>
          <w:lang w:eastAsia="en-ZA"/>
        </w:rPr>
      </w:pPr>
    </w:p>
    <w:p w:rsidR="00ED72CA" w:rsidRPr="00156CB3" w:rsidRDefault="00ED72CA" w:rsidP="00156CB3">
      <w:pPr>
        <w:spacing w:after="0" w:line="240" w:lineRule="auto"/>
        <w:rPr>
          <w:rFonts w:ascii="Arial" w:eastAsia="Times New Roman" w:hAnsi="Arial" w:cs="Arial"/>
          <w:b/>
          <w:sz w:val="20"/>
          <w:szCs w:val="20"/>
          <w:lang w:eastAsia="en-ZA"/>
        </w:rPr>
      </w:pPr>
    </w:p>
    <w:p w:rsidR="00166917" w:rsidRPr="00156CB3" w:rsidRDefault="00166917"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6.</w:t>
      </w:r>
      <w:r w:rsidRPr="00156CB3">
        <w:rPr>
          <w:rFonts w:ascii="Arial" w:eastAsia="Times New Roman" w:hAnsi="Arial" w:cs="Arial"/>
          <w:b/>
          <w:sz w:val="20"/>
          <w:szCs w:val="20"/>
          <w:lang w:eastAsia="en-ZA"/>
        </w:rPr>
        <w:tab/>
        <w:t>OBSERVATIONS</w:t>
      </w:r>
      <w:r w:rsidR="00143271" w:rsidRPr="00156CB3">
        <w:rPr>
          <w:rFonts w:ascii="Arial" w:eastAsia="Times New Roman" w:hAnsi="Arial" w:cs="Arial"/>
          <w:b/>
          <w:sz w:val="20"/>
          <w:szCs w:val="20"/>
          <w:lang w:eastAsia="en-ZA"/>
        </w:rPr>
        <w:t xml:space="preserve"> </w:t>
      </w:r>
      <w:r w:rsidRPr="00156CB3">
        <w:rPr>
          <w:rFonts w:ascii="Arial" w:eastAsia="Times New Roman" w:hAnsi="Arial" w:cs="Arial"/>
          <w:b/>
          <w:sz w:val="20"/>
          <w:szCs w:val="20"/>
          <w:lang w:eastAsia="en-ZA"/>
        </w:rPr>
        <w:t>AND RECOMMENDATIONS</w:t>
      </w:r>
    </w:p>
    <w:p w:rsidR="00166917" w:rsidRPr="00156CB3" w:rsidRDefault="00166917" w:rsidP="00156CB3">
      <w:pPr>
        <w:spacing w:after="0" w:line="240" w:lineRule="auto"/>
        <w:rPr>
          <w:rFonts w:ascii="Arial" w:eastAsia="Times New Roman" w:hAnsi="Arial" w:cs="Arial"/>
          <w:b/>
          <w:sz w:val="20"/>
          <w:szCs w:val="20"/>
          <w:lang w:eastAsia="en-ZA"/>
        </w:rPr>
      </w:pPr>
    </w:p>
    <w:p w:rsidR="001B2189" w:rsidRPr="00156CB3" w:rsidRDefault="001B2189"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following observations with concomitant recommendations were devised by Members of the Portfolio Committee in response to deliberations </w:t>
      </w:r>
      <w:r w:rsidR="0067656E" w:rsidRPr="00156CB3">
        <w:rPr>
          <w:rFonts w:ascii="Arial" w:eastAsia="Times New Roman" w:hAnsi="Arial" w:cs="Arial"/>
          <w:sz w:val="20"/>
          <w:szCs w:val="20"/>
          <w:lang w:eastAsia="en-ZA"/>
        </w:rPr>
        <w:t>of presentations:</w:t>
      </w:r>
    </w:p>
    <w:p w:rsidR="0067656E" w:rsidRPr="00156CB3" w:rsidRDefault="0067656E" w:rsidP="00156CB3">
      <w:pPr>
        <w:spacing w:after="0" w:line="240" w:lineRule="auto"/>
        <w:rPr>
          <w:rFonts w:ascii="Arial" w:eastAsia="Times New Roman" w:hAnsi="Arial" w:cs="Arial"/>
          <w:sz w:val="20"/>
          <w:szCs w:val="20"/>
          <w:lang w:eastAsia="en-ZA"/>
        </w:rPr>
      </w:pPr>
    </w:p>
    <w:p w:rsidR="0067656E" w:rsidRPr="00156CB3" w:rsidRDefault="0067656E"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6.1</w:t>
      </w:r>
      <w:r w:rsidRPr="00156CB3">
        <w:rPr>
          <w:rFonts w:ascii="Arial" w:eastAsia="Times New Roman" w:hAnsi="Arial" w:cs="Arial"/>
          <w:b/>
          <w:sz w:val="20"/>
          <w:szCs w:val="20"/>
          <w:lang w:eastAsia="en-ZA"/>
        </w:rPr>
        <w:tab/>
        <w:t>Irregular expenditure and under-expenditure</w:t>
      </w:r>
    </w:p>
    <w:p w:rsidR="00143271" w:rsidRPr="00156CB3" w:rsidRDefault="00143271" w:rsidP="00156CB3">
      <w:pPr>
        <w:spacing w:after="0" w:line="240" w:lineRule="auto"/>
        <w:rPr>
          <w:rFonts w:ascii="Arial" w:eastAsia="Times New Roman" w:hAnsi="Arial" w:cs="Arial"/>
          <w:b/>
          <w:sz w:val="20"/>
          <w:szCs w:val="20"/>
          <w:lang w:eastAsia="en-ZA"/>
        </w:rPr>
      </w:pPr>
    </w:p>
    <w:p w:rsidR="00B25750" w:rsidRPr="00156CB3" w:rsidRDefault="00143271"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The tracking and monitoring of progress on </w:t>
      </w:r>
      <w:r w:rsidR="00B2735F" w:rsidRPr="00156CB3">
        <w:rPr>
          <w:rFonts w:ascii="Arial" w:eastAsia="Times New Roman" w:hAnsi="Arial" w:cs="Arial"/>
          <w:sz w:val="20"/>
          <w:szCs w:val="20"/>
          <w:lang w:eastAsia="en-ZA"/>
        </w:rPr>
        <w:t xml:space="preserve">the </w:t>
      </w:r>
      <w:r w:rsidRPr="00156CB3">
        <w:rPr>
          <w:rFonts w:ascii="Arial" w:eastAsia="Times New Roman" w:hAnsi="Arial" w:cs="Arial"/>
          <w:sz w:val="20"/>
          <w:szCs w:val="20"/>
          <w:lang w:eastAsia="en-ZA"/>
        </w:rPr>
        <w:t>finalisation of matters related to irregular expenditure and debt collection within the Main Account, Water Trading Entity and Trans-Caledon Tunnel Authority</w:t>
      </w:r>
      <w:r w:rsidR="009C1EC4" w:rsidRPr="00156CB3">
        <w:rPr>
          <w:rFonts w:ascii="Arial" w:eastAsia="Times New Roman" w:hAnsi="Arial" w:cs="Arial"/>
          <w:sz w:val="20"/>
          <w:szCs w:val="20"/>
          <w:lang w:eastAsia="en-ZA"/>
        </w:rPr>
        <w:t xml:space="preserve"> (TCTA)</w:t>
      </w:r>
      <w:r w:rsidRPr="00156CB3">
        <w:rPr>
          <w:rFonts w:ascii="Arial" w:eastAsia="Times New Roman" w:hAnsi="Arial" w:cs="Arial"/>
          <w:sz w:val="20"/>
          <w:szCs w:val="20"/>
          <w:lang w:eastAsia="en-ZA"/>
        </w:rPr>
        <w:t xml:space="preserve"> is an important oversight objective of the Portfolio Committee.  </w:t>
      </w:r>
    </w:p>
    <w:p w:rsidR="00B25750" w:rsidRPr="00156CB3" w:rsidRDefault="00B25750" w:rsidP="00156CB3">
      <w:pPr>
        <w:spacing w:after="0" w:line="240" w:lineRule="auto"/>
        <w:rPr>
          <w:rFonts w:ascii="Arial" w:eastAsia="Times New Roman" w:hAnsi="Arial" w:cs="Arial"/>
          <w:sz w:val="20"/>
          <w:szCs w:val="20"/>
          <w:lang w:eastAsia="en-ZA"/>
        </w:rPr>
      </w:pPr>
    </w:p>
    <w:p w:rsidR="00143271" w:rsidRPr="00156CB3" w:rsidRDefault="00143271"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While the </w:t>
      </w:r>
      <w:r w:rsidR="00B570DA" w:rsidRPr="00156CB3">
        <w:rPr>
          <w:rFonts w:ascii="Arial" w:eastAsia="Times New Roman" w:hAnsi="Arial" w:cs="Arial"/>
          <w:sz w:val="20"/>
          <w:szCs w:val="20"/>
          <w:lang w:eastAsia="en-ZA"/>
        </w:rPr>
        <w:t xml:space="preserve">Members of the </w:t>
      </w:r>
      <w:r w:rsidRPr="00156CB3">
        <w:rPr>
          <w:rFonts w:ascii="Arial" w:eastAsia="Times New Roman" w:hAnsi="Arial" w:cs="Arial"/>
          <w:sz w:val="20"/>
          <w:szCs w:val="20"/>
          <w:lang w:eastAsia="en-ZA"/>
        </w:rPr>
        <w:t>Portfolio Committee welcomed the improved progress in the audit outcomes of the Main A</w:t>
      </w:r>
      <w:r w:rsidR="00B2735F" w:rsidRPr="00156CB3">
        <w:rPr>
          <w:rFonts w:ascii="Arial" w:eastAsia="Times New Roman" w:hAnsi="Arial" w:cs="Arial"/>
          <w:sz w:val="20"/>
          <w:szCs w:val="20"/>
          <w:lang w:eastAsia="en-ZA"/>
        </w:rPr>
        <w:t>ccount and Water Trading Entity</w:t>
      </w:r>
      <w:r w:rsidRPr="00156CB3">
        <w:rPr>
          <w:rFonts w:ascii="Arial" w:eastAsia="Times New Roman" w:hAnsi="Arial" w:cs="Arial"/>
          <w:sz w:val="20"/>
          <w:szCs w:val="20"/>
          <w:lang w:eastAsia="en-ZA"/>
        </w:rPr>
        <w:t xml:space="preserve"> and TCTA, the irregular expenditure</w:t>
      </w:r>
      <w:r w:rsidR="00637BA8" w:rsidRPr="00156CB3">
        <w:rPr>
          <w:rFonts w:ascii="Arial" w:eastAsia="Times New Roman" w:hAnsi="Arial" w:cs="Arial"/>
          <w:sz w:val="20"/>
          <w:szCs w:val="20"/>
          <w:lang w:eastAsia="en-ZA"/>
        </w:rPr>
        <w:t xml:space="preserve"> of R9.3 billion on the Main Account and R8.1 billi</w:t>
      </w:r>
      <w:r w:rsidR="00584D0E" w:rsidRPr="00156CB3">
        <w:rPr>
          <w:rFonts w:ascii="Arial" w:eastAsia="Times New Roman" w:hAnsi="Arial" w:cs="Arial"/>
          <w:sz w:val="20"/>
          <w:szCs w:val="20"/>
          <w:lang w:eastAsia="en-ZA"/>
        </w:rPr>
        <w:t xml:space="preserve">on on the Water Trading Entity, was viewed as a concern. </w:t>
      </w:r>
      <w:r w:rsidR="006C28D6" w:rsidRPr="00156CB3">
        <w:rPr>
          <w:rFonts w:ascii="Arial" w:eastAsia="Times New Roman" w:hAnsi="Arial" w:cs="Arial"/>
          <w:sz w:val="20"/>
          <w:szCs w:val="20"/>
          <w:lang w:eastAsia="en-ZA"/>
        </w:rPr>
        <w:t>Furthermore, the</w:t>
      </w:r>
      <w:r w:rsidR="00637BA8" w:rsidRPr="00156CB3">
        <w:rPr>
          <w:rFonts w:ascii="Arial" w:eastAsia="Times New Roman" w:hAnsi="Arial" w:cs="Arial"/>
          <w:sz w:val="20"/>
          <w:szCs w:val="20"/>
          <w:lang w:eastAsia="en-ZA"/>
        </w:rPr>
        <w:t xml:space="preserve"> R2.5 billion</w:t>
      </w:r>
      <w:r w:rsidRPr="00156CB3">
        <w:rPr>
          <w:rFonts w:ascii="Arial" w:eastAsia="Times New Roman" w:hAnsi="Arial" w:cs="Arial"/>
          <w:sz w:val="20"/>
          <w:szCs w:val="20"/>
          <w:lang w:eastAsia="en-ZA"/>
        </w:rPr>
        <w:t xml:space="preserve"> </w:t>
      </w:r>
      <w:r w:rsidR="00637BA8" w:rsidRPr="00156CB3">
        <w:rPr>
          <w:rFonts w:ascii="Arial" w:eastAsia="Times New Roman" w:hAnsi="Arial" w:cs="Arial"/>
          <w:sz w:val="20"/>
          <w:szCs w:val="20"/>
          <w:lang w:eastAsia="en-ZA"/>
        </w:rPr>
        <w:t xml:space="preserve">in </w:t>
      </w:r>
      <w:r w:rsidRPr="00156CB3">
        <w:rPr>
          <w:rFonts w:ascii="Arial" w:eastAsia="Times New Roman" w:hAnsi="Arial" w:cs="Arial"/>
          <w:sz w:val="20"/>
          <w:szCs w:val="20"/>
          <w:lang w:eastAsia="en-ZA"/>
        </w:rPr>
        <w:t>under-expenditure across the</w:t>
      </w:r>
      <w:r w:rsidR="008E20AC" w:rsidRPr="00156CB3">
        <w:rPr>
          <w:rFonts w:ascii="Arial" w:eastAsia="Times New Roman" w:hAnsi="Arial" w:cs="Arial"/>
          <w:sz w:val="20"/>
          <w:szCs w:val="20"/>
          <w:lang w:eastAsia="en-ZA"/>
        </w:rPr>
        <w:t xml:space="preserve"> department’s programmes negate</w:t>
      </w:r>
      <w:r w:rsidRPr="00156CB3">
        <w:rPr>
          <w:rFonts w:ascii="Arial" w:eastAsia="Times New Roman" w:hAnsi="Arial" w:cs="Arial"/>
          <w:sz w:val="20"/>
          <w:szCs w:val="20"/>
          <w:lang w:eastAsia="en-ZA"/>
        </w:rPr>
        <w:t xml:space="preserve"> departmental attempts to improve good governance and improved financial management.</w:t>
      </w:r>
      <w:r w:rsidR="00637BA8" w:rsidRPr="00156CB3">
        <w:rPr>
          <w:rFonts w:ascii="Arial" w:eastAsia="Times New Roman" w:hAnsi="Arial" w:cs="Arial"/>
          <w:sz w:val="20"/>
          <w:szCs w:val="20"/>
          <w:lang w:eastAsia="en-ZA"/>
        </w:rPr>
        <w:t xml:space="preserve"> The under-expenditure has a direct link to </w:t>
      </w:r>
      <w:r w:rsidR="009C67F6" w:rsidRPr="00156CB3">
        <w:rPr>
          <w:rFonts w:ascii="Arial" w:eastAsia="Times New Roman" w:hAnsi="Arial" w:cs="Arial"/>
          <w:sz w:val="20"/>
          <w:szCs w:val="20"/>
          <w:lang w:eastAsia="en-ZA"/>
        </w:rPr>
        <w:t xml:space="preserve">the </w:t>
      </w:r>
      <w:r w:rsidR="00637BA8" w:rsidRPr="00156CB3">
        <w:rPr>
          <w:rFonts w:ascii="Arial" w:eastAsia="Times New Roman" w:hAnsi="Arial" w:cs="Arial"/>
          <w:sz w:val="20"/>
          <w:szCs w:val="20"/>
          <w:lang w:eastAsia="en-ZA"/>
        </w:rPr>
        <w:t>non</w:t>
      </w:r>
      <w:r w:rsidR="006C28D6" w:rsidRPr="00156CB3">
        <w:rPr>
          <w:rFonts w:ascii="Arial" w:eastAsia="Times New Roman" w:hAnsi="Arial" w:cs="Arial"/>
          <w:sz w:val="20"/>
          <w:szCs w:val="20"/>
          <w:lang w:eastAsia="en-ZA"/>
        </w:rPr>
        <w:t xml:space="preserve">-completion of critical </w:t>
      </w:r>
      <w:r w:rsidR="00637BA8" w:rsidRPr="00156CB3">
        <w:rPr>
          <w:rFonts w:ascii="Arial" w:eastAsia="Times New Roman" w:hAnsi="Arial" w:cs="Arial"/>
          <w:sz w:val="20"/>
          <w:szCs w:val="20"/>
          <w:lang w:eastAsia="en-ZA"/>
        </w:rPr>
        <w:t>bulk infrastructure projects to ensure access to water and sanitation services.</w:t>
      </w:r>
    </w:p>
    <w:p w:rsidR="00424AE7" w:rsidRPr="00156CB3" w:rsidRDefault="00424AE7" w:rsidP="00156CB3">
      <w:pPr>
        <w:spacing w:after="0" w:line="240" w:lineRule="auto"/>
        <w:rPr>
          <w:rFonts w:ascii="Arial" w:eastAsia="Times New Roman" w:hAnsi="Arial" w:cs="Arial"/>
          <w:sz w:val="20"/>
          <w:szCs w:val="20"/>
          <w:lang w:eastAsia="en-ZA"/>
        </w:rPr>
      </w:pPr>
    </w:p>
    <w:p w:rsidR="00424AE7" w:rsidRPr="00156CB3" w:rsidRDefault="00424AE7" w:rsidP="00156CB3">
      <w:pPr>
        <w:spacing w:after="0" w:line="240" w:lineRule="auto"/>
        <w:rPr>
          <w:rFonts w:ascii="Arial" w:eastAsia="Times New Roman" w:hAnsi="Arial" w:cs="Arial"/>
          <w:b/>
          <w:i/>
          <w:sz w:val="20"/>
          <w:szCs w:val="20"/>
          <w:lang w:eastAsia="en-ZA"/>
        </w:rPr>
      </w:pPr>
      <w:r w:rsidRPr="00156CB3">
        <w:rPr>
          <w:rFonts w:ascii="Arial" w:eastAsia="Times New Roman" w:hAnsi="Arial" w:cs="Arial"/>
          <w:b/>
          <w:i/>
          <w:sz w:val="20"/>
          <w:szCs w:val="20"/>
          <w:lang w:eastAsia="en-ZA"/>
        </w:rPr>
        <w:t>6.1.1</w:t>
      </w:r>
      <w:r w:rsidR="00C51245" w:rsidRPr="00156CB3">
        <w:rPr>
          <w:rFonts w:ascii="Arial" w:eastAsia="Times New Roman" w:hAnsi="Arial" w:cs="Arial"/>
          <w:b/>
          <w:i/>
          <w:sz w:val="20"/>
          <w:szCs w:val="20"/>
          <w:lang w:eastAsia="en-ZA"/>
        </w:rPr>
        <w:tab/>
        <w:t xml:space="preserve">The Department and TCTA </w:t>
      </w:r>
      <w:r w:rsidR="009F04B7" w:rsidRPr="00156CB3">
        <w:rPr>
          <w:rFonts w:ascii="Arial" w:eastAsia="Times New Roman" w:hAnsi="Arial" w:cs="Arial"/>
          <w:b/>
          <w:i/>
          <w:sz w:val="20"/>
          <w:szCs w:val="20"/>
          <w:lang w:eastAsia="en-ZA"/>
        </w:rPr>
        <w:t xml:space="preserve">should </w:t>
      </w:r>
      <w:r w:rsidR="00C51245" w:rsidRPr="00156CB3">
        <w:rPr>
          <w:rFonts w:ascii="Arial" w:eastAsia="Times New Roman" w:hAnsi="Arial" w:cs="Arial"/>
          <w:b/>
          <w:i/>
          <w:sz w:val="20"/>
          <w:szCs w:val="20"/>
          <w:lang w:eastAsia="en-ZA"/>
        </w:rPr>
        <w:t xml:space="preserve">provide a progress report with concrete </w:t>
      </w:r>
      <w:r w:rsidR="00ED72CA" w:rsidRPr="00156CB3">
        <w:rPr>
          <w:rFonts w:ascii="Arial" w:eastAsia="Times New Roman" w:hAnsi="Arial" w:cs="Arial"/>
          <w:b/>
          <w:i/>
          <w:sz w:val="20"/>
          <w:szCs w:val="20"/>
          <w:lang w:eastAsia="en-ZA"/>
        </w:rPr>
        <w:tab/>
      </w:r>
      <w:r w:rsidR="00C51245" w:rsidRPr="00156CB3">
        <w:rPr>
          <w:rFonts w:ascii="Arial" w:eastAsia="Times New Roman" w:hAnsi="Arial" w:cs="Arial"/>
          <w:b/>
          <w:i/>
          <w:sz w:val="20"/>
          <w:szCs w:val="20"/>
          <w:lang w:eastAsia="en-ZA"/>
        </w:rPr>
        <w:t>timeframes on</w:t>
      </w:r>
      <w:r w:rsidR="005216B4" w:rsidRPr="00156CB3">
        <w:rPr>
          <w:rFonts w:ascii="Arial" w:eastAsia="Times New Roman" w:hAnsi="Arial" w:cs="Arial"/>
          <w:b/>
          <w:i/>
          <w:sz w:val="20"/>
          <w:szCs w:val="20"/>
          <w:lang w:eastAsia="en-ZA"/>
        </w:rPr>
        <w:t xml:space="preserve"> </w:t>
      </w:r>
      <w:r w:rsidR="00C51245" w:rsidRPr="00156CB3">
        <w:rPr>
          <w:rFonts w:ascii="Arial" w:eastAsia="Times New Roman" w:hAnsi="Arial" w:cs="Arial"/>
          <w:b/>
          <w:i/>
          <w:sz w:val="20"/>
          <w:szCs w:val="20"/>
          <w:lang w:eastAsia="en-ZA"/>
        </w:rPr>
        <w:t>action plans to address the above matters.</w:t>
      </w:r>
    </w:p>
    <w:p w:rsidR="000648FB" w:rsidRPr="00156CB3" w:rsidRDefault="000648FB" w:rsidP="00156CB3">
      <w:pPr>
        <w:spacing w:after="0" w:line="240" w:lineRule="auto"/>
        <w:rPr>
          <w:rFonts w:ascii="Arial" w:eastAsia="Times New Roman" w:hAnsi="Arial" w:cs="Arial"/>
          <w:b/>
          <w:sz w:val="20"/>
          <w:szCs w:val="20"/>
          <w:lang w:eastAsia="en-ZA"/>
        </w:rPr>
      </w:pPr>
    </w:p>
    <w:p w:rsidR="0067656E" w:rsidRPr="00156CB3" w:rsidRDefault="000648FB"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6.2</w:t>
      </w:r>
      <w:r w:rsidR="0067656E" w:rsidRPr="00156CB3">
        <w:rPr>
          <w:rFonts w:ascii="Arial" w:eastAsia="Times New Roman" w:hAnsi="Arial" w:cs="Arial"/>
          <w:b/>
          <w:sz w:val="20"/>
          <w:szCs w:val="20"/>
          <w:lang w:eastAsia="en-ZA"/>
        </w:rPr>
        <w:tab/>
        <w:t>Bulk infrastructure development</w:t>
      </w:r>
    </w:p>
    <w:p w:rsidR="00D62610" w:rsidRPr="00156CB3" w:rsidRDefault="00D62610" w:rsidP="00156CB3">
      <w:pPr>
        <w:spacing w:after="0" w:line="240" w:lineRule="auto"/>
        <w:rPr>
          <w:rFonts w:ascii="Arial" w:eastAsia="Calibri" w:hAnsi="Arial" w:cs="Arial"/>
          <w:b/>
          <w:sz w:val="20"/>
          <w:szCs w:val="20"/>
          <w:lang w:eastAsia="en-ZA"/>
        </w:rPr>
      </w:pPr>
    </w:p>
    <w:p w:rsidR="00D62610" w:rsidRPr="00156CB3" w:rsidRDefault="000648FB" w:rsidP="00156CB3">
      <w:pPr>
        <w:spacing w:after="0" w:line="240" w:lineRule="auto"/>
        <w:rPr>
          <w:rFonts w:ascii="Arial" w:eastAsia="Calibri" w:hAnsi="Arial" w:cs="Arial"/>
          <w:sz w:val="20"/>
          <w:szCs w:val="20"/>
          <w:lang w:eastAsia="en-ZA"/>
        </w:rPr>
      </w:pPr>
      <w:r w:rsidRPr="00156CB3">
        <w:rPr>
          <w:rFonts w:ascii="Arial" w:eastAsia="Calibri" w:hAnsi="Arial" w:cs="Arial"/>
          <w:sz w:val="20"/>
          <w:szCs w:val="20"/>
          <w:lang w:eastAsia="en-ZA"/>
        </w:rPr>
        <w:t>The</w:t>
      </w:r>
      <w:r w:rsidR="00424AE7" w:rsidRPr="00156CB3">
        <w:rPr>
          <w:rFonts w:ascii="Arial" w:eastAsia="Calibri" w:hAnsi="Arial" w:cs="Arial"/>
          <w:sz w:val="20"/>
          <w:szCs w:val="20"/>
          <w:lang w:eastAsia="en-ZA"/>
        </w:rPr>
        <w:t xml:space="preserve"> under-spending of the Regional Bulk Infrastructure Grant</w:t>
      </w:r>
      <w:r w:rsidR="00637BA8" w:rsidRPr="00156CB3">
        <w:rPr>
          <w:rFonts w:ascii="Arial" w:eastAsia="Calibri" w:hAnsi="Arial" w:cs="Arial"/>
          <w:sz w:val="20"/>
          <w:szCs w:val="20"/>
          <w:lang w:eastAsia="en-ZA"/>
        </w:rPr>
        <w:t xml:space="preserve"> and Water Services Infrastructure Grant</w:t>
      </w:r>
      <w:r w:rsidRPr="00156CB3">
        <w:rPr>
          <w:rFonts w:ascii="Arial" w:eastAsia="Calibri" w:hAnsi="Arial" w:cs="Arial"/>
          <w:sz w:val="20"/>
          <w:szCs w:val="20"/>
          <w:lang w:eastAsia="en-ZA"/>
        </w:rPr>
        <w:t xml:space="preserve"> was noted as a serious concern by the </w:t>
      </w:r>
      <w:r w:rsidR="00B570DA" w:rsidRPr="00156CB3">
        <w:rPr>
          <w:rFonts w:ascii="Arial" w:eastAsia="Calibri" w:hAnsi="Arial" w:cs="Arial"/>
          <w:sz w:val="20"/>
          <w:szCs w:val="20"/>
          <w:lang w:eastAsia="en-ZA"/>
        </w:rPr>
        <w:t xml:space="preserve">Members of the </w:t>
      </w:r>
      <w:r w:rsidRPr="00156CB3">
        <w:rPr>
          <w:rFonts w:ascii="Arial" w:eastAsia="Calibri" w:hAnsi="Arial" w:cs="Arial"/>
          <w:sz w:val="20"/>
          <w:szCs w:val="20"/>
          <w:lang w:eastAsia="en-ZA"/>
        </w:rPr>
        <w:t>Portfolio Committee</w:t>
      </w:r>
      <w:r w:rsidR="00424AE7" w:rsidRPr="00156CB3">
        <w:rPr>
          <w:rFonts w:ascii="Arial" w:eastAsia="Calibri" w:hAnsi="Arial" w:cs="Arial"/>
          <w:sz w:val="20"/>
          <w:szCs w:val="20"/>
          <w:lang w:eastAsia="en-ZA"/>
        </w:rPr>
        <w:t xml:space="preserve">. The importance of addressing </w:t>
      </w:r>
      <w:r w:rsidR="00B2735F" w:rsidRPr="00156CB3">
        <w:rPr>
          <w:rFonts w:ascii="Arial" w:eastAsia="Calibri" w:hAnsi="Arial" w:cs="Arial"/>
          <w:sz w:val="20"/>
          <w:szCs w:val="20"/>
          <w:lang w:eastAsia="en-ZA"/>
        </w:rPr>
        <w:t xml:space="preserve">the </w:t>
      </w:r>
      <w:r w:rsidR="00424AE7" w:rsidRPr="00156CB3">
        <w:rPr>
          <w:rFonts w:ascii="Arial" w:eastAsia="Calibri" w:hAnsi="Arial" w:cs="Arial"/>
          <w:sz w:val="20"/>
          <w:szCs w:val="20"/>
          <w:lang w:eastAsia="en-ZA"/>
        </w:rPr>
        <w:t>construction, maintenance and operations of bulk water and sanitation</w:t>
      </w:r>
      <w:r w:rsidR="00B2735F" w:rsidRPr="00156CB3">
        <w:rPr>
          <w:rFonts w:ascii="Arial" w:eastAsia="Calibri" w:hAnsi="Arial" w:cs="Arial"/>
          <w:sz w:val="20"/>
          <w:szCs w:val="20"/>
          <w:lang w:eastAsia="en-ZA"/>
        </w:rPr>
        <w:t xml:space="preserve"> infrastructure at</w:t>
      </w:r>
      <w:r w:rsidR="00424AE7" w:rsidRPr="00156CB3">
        <w:rPr>
          <w:rFonts w:ascii="Arial" w:eastAsia="Calibri" w:hAnsi="Arial" w:cs="Arial"/>
          <w:sz w:val="20"/>
          <w:szCs w:val="20"/>
          <w:lang w:eastAsia="en-ZA"/>
        </w:rPr>
        <w:t xml:space="preserve"> the national and local spheres of government was emphasised. </w:t>
      </w:r>
      <w:r w:rsidR="00D62610" w:rsidRPr="00156CB3">
        <w:rPr>
          <w:rFonts w:ascii="Arial" w:eastAsia="Calibri" w:hAnsi="Arial" w:cs="Arial"/>
          <w:sz w:val="20"/>
          <w:szCs w:val="20"/>
          <w:lang w:eastAsia="en-ZA"/>
        </w:rPr>
        <w:t xml:space="preserve"> Members of the Portfolio Committee maintained that it was important for the Department to monitor the ongoing contractual disputes, lapsing of contracts, which impacted the progress of projects and delays in the commencement of construction activities </w:t>
      </w:r>
      <w:r w:rsidR="00B2735F" w:rsidRPr="00156CB3">
        <w:rPr>
          <w:rFonts w:ascii="Arial" w:eastAsia="Calibri" w:hAnsi="Arial" w:cs="Arial"/>
          <w:sz w:val="20"/>
          <w:szCs w:val="20"/>
          <w:lang w:eastAsia="en-ZA"/>
        </w:rPr>
        <w:t xml:space="preserve">that </w:t>
      </w:r>
      <w:r w:rsidR="00D62610" w:rsidRPr="00156CB3">
        <w:rPr>
          <w:rFonts w:ascii="Arial" w:eastAsia="Calibri" w:hAnsi="Arial" w:cs="Arial"/>
          <w:sz w:val="20"/>
          <w:szCs w:val="20"/>
          <w:lang w:eastAsia="en-ZA"/>
        </w:rPr>
        <w:t>need to be seriousl</w:t>
      </w:r>
      <w:r w:rsidR="00025DDD" w:rsidRPr="00156CB3">
        <w:rPr>
          <w:rFonts w:ascii="Arial" w:eastAsia="Calibri" w:hAnsi="Arial" w:cs="Arial"/>
          <w:sz w:val="20"/>
          <w:szCs w:val="20"/>
          <w:lang w:eastAsia="en-ZA"/>
        </w:rPr>
        <w:t>y addressed.  This is</w:t>
      </w:r>
      <w:r w:rsidR="00D62610" w:rsidRPr="00156CB3">
        <w:rPr>
          <w:rFonts w:ascii="Arial" w:eastAsia="Calibri" w:hAnsi="Arial" w:cs="Arial"/>
          <w:sz w:val="20"/>
          <w:szCs w:val="20"/>
          <w:lang w:eastAsia="en-ZA"/>
        </w:rPr>
        <w:t xml:space="preserve"> r</w:t>
      </w:r>
      <w:r w:rsidR="00025DDD" w:rsidRPr="00156CB3">
        <w:rPr>
          <w:rFonts w:ascii="Arial" w:eastAsia="Calibri" w:hAnsi="Arial" w:cs="Arial"/>
          <w:sz w:val="20"/>
          <w:szCs w:val="20"/>
          <w:lang w:eastAsia="en-ZA"/>
        </w:rPr>
        <w:t>elated to delays on the Vaal River System Remediation Programme, uMzimvubu</w:t>
      </w:r>
      <w:r w:rsidR="00D62610" w:rsidRPr="00156CB3">
        <w:rPr>
          <w:rFonts w:ascii="Arial" w:eastAsia="Calibri" w:hAnsi="Arial" w:cs="Arial"/>
          <w:sz w:val="20"/>
          <w:szCs w:val="20"/>
          <w:lang w:eastAsia="en-ZA"/>
        </w:rPr>
        <w:t xml:space="preserve"> Dam, and other major wastewater and water project</w:t>
      </w:r>
      <w:r w:rsidR="00B2735F" w:rsidRPr="00156CB3">
        <w:rPr>
          <w:rFonts w:ascii="Arial" w:eastAsia="Calibri" w:hAnsi="Arial" w:cs="Arial"/>
          <w:sz w:val="20"/>
          <w:szCs w:val="20"/>
          <w:lang w:eastAsia="en-ZA"/>
        </w:rPr>
        <w:t>s.</w:t>
      </w:r>
      <w:r w:rsidR="00D62610" w:rsidRPr="00156CB3">
        <w:rPr>
          <w:rFonts w:ascii="Arial" w:eastAsia="Calibri" w:hAnsi="Arial" w:cs="Arial"/>
          <w:sz w:val="20"/>
          <w:szCs w:val="20"/>
          <w:lang w:eastAsia="en-ZA"/>
        </w:rPr>
        <w:t xml:space="preserve"> </w:t>
      </w:r>
    </w:p>
    <w:p w:rsidR="00B2735F" w:rsidRPr="00156CB3" w:rsidRDefault="00B2735F" w:rsidP="00156CB3">
      <w:pPr>
        <w:spacing w:after="0" w:line="240" w:lineRule="auto"/>
        <w:rPr>
          <w:rFonts w:ascii="Arial" w:eastAsia="Calibri" w:hAnsi="Arial" w:cs="Arial"/>
          <w:b/>
          <w:i/>
          <w:sz w:val="20"/>
          <w:szCs w:val="20"/>
          <w:lang w:eastAsia="en-ZA"/>
        </w:rPr>
      </w:pPr>
      <w:r w:rsidRPr="00156CB3">
        <w:rPr>
          <w:rFonts w:ascii="Arial" w:eastAsia="Calibri" w:hAnsi="Arial" w:cs="Arial"/>
          <w:b/>
          <w:i/>
          <w:sz w:val="20"/>
          <w:szCs w:val="20"/>
          <w:lang w:eastAsia="en-ZA"/>
        </w:rPr>
        <w:t>6.1.1</w:t>
      </w:r>
      <w:r w:rsidRPr="00156CB3">
        <w:rPr>
          <w:rFonts w:ascii="Arial" w:eastAsia="Calibri" w:hAnsi="Arial" w:cs="Arial"/>
          <w:b/>
          <w:i/>
          <w:sz w:val="20"/>
          <w:szCs w:val="20"/>
          <w:lang w:eastAsia="en-ZA"/>
        </w:rPr>
        <w:tab/>
      </w:r>
      <w:r w:rsidR="00086F62" w:rsidRPr="00156CB3">
        <w:rPr>
          <w:rFonts w:ascii="Arial" w:eastAsia="Calibri" w:hAnsi="Arial" w:cs="Arial"/>
          <w:b/>
          <w:i/>
          <w:sz w:val="20"/>
          <w:szCs w:val="20"/>
          <w:lang w:eastAsia="en-ZA"/>
        </w:rPr>
        <w:t>T</w:t>
      </w:r>
      <w:r w:rsidRPr="00156CB3">
        <w:rPr>
          <w:rFonts w:ascii="Arial" w:eastAsia="Calibri" w:hAnsi="Arial" w:cs="Arial"/>
          <w:b/>
          <w:i/>
          <w:sz w:val="20"/>
          <w:szCs w:val="20"/>
          <w:lang w:eastAsia="en-ZA"/>
        </w:rPr>
        <w:t>he Department should</w:t>
      </w:r>
      <w:r w:rsidR="00086F62" w:rsidRPr="00156CB3">
        <w:rPr>
          <w:rFonts w:ascii="Arial" w:eastAsia="Calibri" w:hAnsi="Arial" w:cs="Arial"/>
          <w:b/>
          <w:i/>
          <w:sz w:val="20"/>
          <w:szCs w:val="20"/>
          <w:lang w:eastAsia="en-ZA"/>
        </w:rPr>
        <w:t xml:space="preserve"> provide the timeframes of the </w:t>
      </w:r>
      <w:r w:rsidRPr="00156CB3">
        <w:rPr>
          <w:rFonts w:ascii="Arial" w:eastAsia="Calibri" w:hAnsi="Arial" w:cs="Arial"/>
          <w:b/>
          <w:i/>
          <w:sz w:val="20"/>
          <w:szCs w:val="20"/>
          <w:lang w:eastAsia="en-ZA"/>
        </w:rPr>
        <w:t xml:space="preserve">recovery plan to facilitate </w:t>
      </w:r>
      <w:r w:rsidR="00ED72CA" w:rsidRPr="00156CB3">
        <w:rPr>
          <w:rFonts w:ascii="Arial" w:eastAsia="Calibri" w:hAnsi="Arial" w:cs="Arial"/>
          <w:b/>
          <w:i/>
          <w:sz w:val="20"/>
          <w:szCs w:val="20"/>
          <w:lang w:eastAsia="en-ZA"/>
        </w:rPr>
        <w:tab/>
      </w:r>
      <w:r w:rsidRPr="00156CB3">
        <w:rPr>
          <w:rFonts w:ascii="Arial" w:eastAsia="Calibri" w:hAnsi="Arial" w:cs="Arial"/>
          <w:b/>
          <w:i/>
          <w:sz w:val="20"/>
          <w:szCs w:val="20"/>
          <w:lang w:eastAsia="en-ZA"/>
        </w:rPr>
        <w:t>progress on incomp</w:t>
      </w:r>
      <w:r w:rsidR="009C1EC4" w:rsidRPr="00156CB3">
        <w:rPr>
          <w:rFonts w:ascii="Arial" w:eastAsia="Calibri" w:hAnsi="Arial" w:cs="Arial"/>
          <w:b/>
          <w:i/>
          <w:sz w:val="20"/>
          <w:szCs w:val="20"/>
          <w:lang w:eastAsia="en-ZA"/>
        </w:rPr>
        <w:t>lete projects</w:t>
      </w:r>
      <w:r w:rsidRPr="00156CB3">
        <w:rPr>
          <w:rFonts w:ascii="Arial" w:eastAsia="Calibri" w:hAnsi="Arial" w:cs="Arial"/>
          <w:b/>
          <w:i/>
          <w:sz w:val="20"/>
          <w:szCs w:val="20"/>
          <w:lang w:eastAsia="en-ZA"/>
        </w:rPr>
        <w:t>.</w:t>
      </w:r>
    </w:p>
    <w:p w:rsidR="00A665F8" w:rsidRPr="00156CB3" w:rsidRDefault="00A665F8" w:rsidP="00156CB3">
      <w:pPr>
        <w:spacing w:after="0" w:line="240" w:lineRule="auto"/>
        <w:rPr>
          <w:rFonts w:ascii="Arial" w:eastAsia="Calibri" w:hAnsi="Arial" w:cs="Arial"/>
          <w:sz w:val="20"/>
          <w:szCs w:val="20"/>
          <w:lang w:eastAsia="en-ZA"/>
        </w:rPr>
      </w:pPr>
    </w:p>
    <w:p w:rsidR="000648FB" w:rsidRPr="00156CB3" w:rsidRDefault="000648FB" w:rsidP="00156CB3">
      <w:pPr>
        <w:suppressAutoHyphens/>
        <w:autoSpaceDN w:val="0"/>
        <w:spacing w:after="0" w:line="240" w:lineRule="auto"/>
        <w:textAlignment w:val="baseline"/>
        <w:rPr>
          <w:rFonts w:ascii="Arial" w:eastAsia="Calibri" w:hAnsi="Arial" w:cs="Arial"/>
          <w:sz w:val="20"/>
          <w:szCs w:val="20"/>
          <w:lang w:eastAsia="en-ZA"/>
        </w:rPr>
      </w:pPr>
      <w:r w:rsidRPr="00156CB3">
        <w:rPr>
          <w:rFonts w:ascii="Arial" w:eastAsia="Times New Roman" w:hAnsi="Arial" w:cs="Arial"/>
          <w:b/>
          <w:color w:val="000000"/>
          <w:spacing w:val="6"/>
          <w:sz w:val="20"/>
          <w:szCs w:val="20"/>
          <w:lang w:val="en-GB" w:eastAsia="en-GB"/>
        </w:rPr>
        <w:t>6.3</w:t>
      </w:r>
      <w:r w:rsidR="00A665F8" w:rsidRPr="00156CB3">
        <w:rPr>
          <w:rFonts w:ascii="Arial" w:eastAsia="Times New Roman" w:hAnsi="Arial" w:cs="Arial"/>
          <w:b/>
          <w:color w:val="000000"/>
          <w:spacing w:val="6"/>
          <w:sz w:val="20"/>
          <w:szCs w:val="20"/>
          <w:lang w:val="en-GB" w:eastAsia="en-GB"/>
        </w:rPr>
        <w:tab/>
      </w:r>
      <w:r w:rsidR="00A665F8" w:rsidRPr="00156CB3">
        <w:rPr>
          <w:rFonts w:ascii="Arial" w:eastAsia="Calibri" w:hAnsi="Arial" w:cs="Arial"/>
          <w:b/>
          <w:sz w:val="20"/>
          <w:szCs w:val="20"/>
          <w:lang w:eastAsia="en-ZA"/>
        </w:rPr>
        <w:t>Condo</w:t>
      </w:r>
      <w:r w:rsidR="009C1EC4" w:rsidRPr="00156CB3">
        <w:rPr>
          <w:rFonts w:ascii="Arial" w:eastAsia="Calibri" w:hAnsi="Arial" w:cs="Arial"/>
          <w:b/>
          <w:sz w:val="20"/>
          <w:szCs w:val="20"/>
          <w:lang w:eastAsia="en-ZA"/>
        </w:rPr>
        <w:t>nation of irregular expenditure</w:t>
      </w:r>
      <w:r w:rsidR="00B25750" w:rsidRPr="00156CB3">
        <w:rPr>
          <w:rFonts w:ascii="Arial" w:eastAsia="Calibri" w:hAnsi="Arial" w:cs="Arial"/>
          <w:b/>
          <w:sz w:val="20"/>
          <w:szCs w:val="20"/>
          <w:lang w:eastAsia="en-ZA"/>
        </w:rPr>
        <w:t xml:space="preserve"> and finalisation </w:t>
      </w:r>
      <w:r w:rsidR="00ED72CA" w:rsidRPr="00156CB3">
        <w:rPr>
          <w:rFonts w:ascii="Arial" w:eastAsia="Calibri" w:hAnsi="Arial" w:cs="Arial"/>
          <w:b/>
          <w:sz w:val="20"/>
          <w:szCs w:val="20"/>
          <w:lang w:eastAsia="en-ZA"/>
        </w:rPr>
        <w:t xml:space="preserve">of investigations on </w:t>
      </w:r>
      <w:r w:rsidR="00ED72CA" w:rsidRPr="00156CB3">
        <w:rPr>
          <w:rFonts w:ascii="Arial" w:eastAsia="Calibri" w:hAnsi="Arial" w:cs="Arial"/>
          <w:b/>
          <w:sz w:val="20"/>
          <w:szCs w:val="20"/>
          <w:lang w:eastAsia="en-ZA"/>
        </w:rPr>
        <w:tab/>
        <w:t xml:space="preserve">irregular </w:t>
      </w:r>
      <w:r w:rsidR="00B25750" w:rsidRPr="00156CB3">
        <w:rPr>
          <w:rFonts w:ascii="Arial" w:eastAsia="Calibri" w:hAnsi="Arial" w:cs="Arial"/>
          <w:b/>
          <w:sz w:val="20"/>
          <w:szCs w:val="20"/>
          <w:lang w:eastAsia="en-ZA"/>
        </w:rPr>
        <w:t>expenditure</w:t>
      </w:r>
    </w:p>
    <w:p w:rsidR="009C1EC4" w:rsidRPr="00156CB3" w:rsidRDefault="009C1EC4" w:rsidP="00156CB3">
      <w:pPr>
        <w:spacing w:after="0" w:line="240" w:lineRule="auto"/>
        <w:rPr>
          <w:rFonts w:ascii="Arial" w:eastAsia="Calibri" w:hAnsi="Arial" w:cs="Arial"/>
          <w:sz w:val="20"/>
          <w:szCs w:val="20"/>
          <w:lang w:eastAsia="en-ZA"/>
        </w:rPr>
      </w:pPr>
    </w:p>
    <w:p w:rsidR="00A665F8" w:rsidRPr="00156CB3" w:rsidRDefault="000648FB" w:rsidP="00156CB3">
      <w:pPr>
        <w:spacing w:after="0" w:line="240" w:lineRule="auto"/>
        <w:rPr>
          <w:rFonts w:ascii="Arial" w:eastAsia="Calibri" w:hAnsi="Arial" w:cs="Arial"/>
          <w:sz w:val="20"/>
          <w:szCs w:val="20"/>
          <w:lang w:eastAsia="en-ZA"/>
        </w:rPr>
      </w:pPr>
      <w:r w:rsidRPr="00156CB3">
        <w:rPr>
          <w:rFonts w:ascii="Arial" w:eastAsia="Calibri" w:hAnsi="Arial" w:cs="Arial"/>
          <w:sz w:val="20"/>
          <w:szCs w:val="20"/>
          <w:lang w:eastAsia="en-ZA"/>
        </w:rPr>
        <w:t xml:space="preserve">Although the </w:t>
      </w:r>
      <w:r w:rsidR="00B570DA" w:rsidRPr="00156CB3">
        <w:rPr>
          <w:rFonts w:ascii="Arial" w:eastAsia="Calibri" w:hAnsi="Arial" w:cs="Arial"/>
          <w:sz w:val="20"/>
          <w:szCs w:val="20"/>
          <w:lang w:eastAsia="en-ZA"/>
        </w:rPr>
        <w:t xml:space="preserve">Members of the </w:t>
      </w:r>
      <w:r w:rsidRPr="00156CB3">
        <w:rPr>
          <w:rFonts w:ascii="Arial" w:eastAsia="Calibri" w:hAnsi="Arial" w:cs="Arial"/>
          <w:sz w:val="20"/>
          <w:szCs w:val="20"/>
          <w:lang w:eastAsia="en-ZA"/>
        </w:rPr>
        <w:t>Portfolio Committee accepted the responses of the Department in respect of the condonation of irregular expenditure</w:t>
      </w:r>
      <w:r w:rsidR="00B2735F" w:rsidRPr="00156CB3">
        <w:rPr>
          <w:rFonts w:ascii="Arial" w:eastAsia="Calibri" w:hAnsi="Arial" w:cs="Arial"/>
          <w:sz w:val="20"/>
          <w:szCs w:val="20"/>
          <w:lang w:eastAsia="en-ZA"/>
        </w:rPr>
        <w:t>,</w:t>
      </w:r>
      <w:r w:rsidRPr="00156CB3">
        <w:rPr>
          <w:rFonts w:ascii="Arial" w:eastAsia="Calibri" w:hAnsi="Arial" w:cs="Arial"/>
          <w:sz w:val="20"/>
          <w:szCs w:val="20"/>
          <w:lang w:eastAsia="en-ZA"/>
        </w:rPr>
        <w:t xml:space="preserve"> such as recouping funds and instigating disciplinary measures, including charges of fraud and corruption by transgressing officials, Members maintained </w:t>
      </w:r>
      <w:r w:rsidR="009F04B7" w:rsidRPr="00156CB3">
        <w:rPr>
          <w:rFonts w:ascii="Arial" w:eastAsia="Calibri" w:hAnsi="Arial" w:cs="Arial"/>
          <w:sz w:val="20"/>
          <w:szCs w:val="20"/>
          <w:lang w:eastAsia="en-ZA"/>
        </w:rPr>
        <w:t xml:space="preserve">this long-standing matter </w:t>
      </w:r>
      <w:r w:rsidRPr="00156CB3">
        <w:rPr>
          <w:rFonts w:ascii="Arial" w:eastAsia="Calibri" w:hAnsi="Arial" w:cs="Arial"/>
          <w:sz w:val="20"/>
          <w:szCs w:val="20"/>
          <w:lang w:eastAsia="en-ZA"/>
        </w:rPr>
        <w:t>be resolved.</w:t>
      </w:r>
    </w:p>
    <w:p w:rsidR="00C51245" w:rsidRPr="00156CB3" w:rsidRDefault="00C51245" w:rsidP="00156CB3">
      <w:pPr>
        <w:spacing w:after="0" w:line="240" w:lineRule="auto"/>
        <w:rPr>
          <w:rFonts w:ascii="Arial" w:eastAsia="Calibri" w:hAnsi="Arial" w:cs="Arial"/>
          <w:i/>
          <w:sz w:val="20"/>
          <w:szCs w:val="20"/>
          <w:lang w:eastAsia="en-ZA"/>
        </w:rPr>
      </w:pPr>
    </w:p>
    <w:p w:rsidR="000648FB" w:rsidRPr="00156CB3" w:rsidRDefault="000648FB" w:rsidP="00156CB3">
      <w:pPr>
        <w:spacing w:after="0" w:line="240" w:lineRule="auto"/>
        <w:rPr>
          <w:rFonts w:ascii="Arial" w:eastAsia="Calibri" w:hAnsi="Arial" w:cs="Arial"/>
          <w:b/>
          <w:i/>
          <w:sz w:val="20"/>
          <w:szCs w:val="20"/>
          <w:lang w:eastAsia="en-ZA"/>
        </w:rPr>
      </w:pPr>
      <w:r w:rsidRPr="00156CB3">
        <w:rPr>
          <w:rFonts w:ascii="Arial" w:eastAsia="Calibri" w:hAnsi="Arial" w:cs="Arial"/>
          <w:b/>
          <w:i/>
          <w:sz w:val="20"/>
          <w:szCs w:val="20"/>
          <w:lang w:eastAsia="en-ZA"/>
        </w:rPr>
        <w:t>6.3.1</w:t>
      </w:r>
      <w:r w:rsidR="00A665F8" w:rsidRPr="00156CB3">
        <w:rPr>
          <w:rFonts w:ascii="Arial" w:eastAsia="Calibri" w:hAnsi="Arial" w:cs="Arial"/>
          <w:b/>
          <w:i/>
          <w:sz w:val="20"/>
          <w:szCs w:val="20"/>
          <w:lang w:eastAsia="en-ZA"/>
        </w:rPr>
        <w:t xml:space="preserve"> </w:t>
      </w:r>
      <w:r w:rsidRPr="00156CB3">
        <w:rPr>
          <w:rFonts w:ascii="Arial" w:eastAsia="Calibri" w:hAnsi="Arial" w:cs="Arial"/>
          <w:b/>
          <w:i/>
          <w:sz w:val="20"/>
          <w:szCs w:val="20"/>
          <w:lang w:eastAsia="en-ZA"/>
        </w:rPr>
        <w:tab/>
      </w:r>
      <w:r w:rsidR="00A665F8" w:rsidRPr="00156CB3">
        <w:rPr>
          <w:rFonts w:ascii="Arial" w:eastAsia="Calibri" w:hAnsi="Arial" w:cs="Arial"/>
          <w:b/>
          <w:i/>
          <w:sz w:val="20"/>
          <w:szCs w:val="20"/>
          <w:lang w:eastAsia="en-ZA"/>
        </w:rPr>
        <w:t xml:space="preserve">The Department should, on a quarterly basis, provide a progress report on recouping </w:t>
      </w:r>
      <w:r w:rsidR="00ED72CA" w:rsidRPr="00156CB3">
        <w:rPr>
          <w:rFonts w:ascii="Arial" w:eastAsia="Calibri" w:hAnsi="Arial" w:cs="Arial"/>
          <w:b/>
          <w:i/>
          <w:sz w:val="20"/>
          <w:szCs w:val="20"/>
          <w:lang w:eastAsia="en-ZA"/>
        </w:rPr>
        <w:tab/>
      </w:r>
      <w:r w:rsidR="00A665F8" w:rsidRPr="00156CB3">
        <w:rPr>
          <w:rFonts w:ascii="Arial" w:eastAsia="Calibri" w:hAnsi="Arial" w:cs="Arial"/>
          <w:b/>
          <w:i/>
          <w:sz w:val="20"/>
          <w:szCs w:val="20"/>
          <w:lang w:eastAsia="en-ZA"/>
        </w:rPr>
        <w:t xml:space="preserve">funds </w:t>
      </w:r>
      <w:r w:rsidR="00B2735F" w:rsidRPr="00156CB3">
        <w:rPr>
          <w:rFonts w:ascii="Arial" w:eastAsia="Calibri" w:hAnsi="Arial" w:cs="Arial"/>
          <w:b/>
          <w:i/>
          <w:sz w:val="20"/>
          <w:szCs w:val="20"/>
          <w:lang w:eastAsia="en-ZA"/>
        </w:rPr>
        <w:tab/>
      </w:r>
      <w:r w:rsidR="00A665F8" w:rsidRPr="00156CB3">
        <w:rPr>
          <w:rFonts w:ascii="Arial" w:eastAsia="Calibri" w:hAnsi="Arial" w:cs="Arial"/>
          <w:b/>
          <w:i/>
          <w:sz w:val="20"/>
          <w:szCs w:val="20"/>
          <w:lang w:eastAsia="en-ZA"/>
        </w:rPr>
        <w:t xml:space="preserve">and work on finalising the disciplinary cases, with information on National </w:t>
      </w:r>
      <w:r w:rsidR="00ED72CA" w:rsidRPr="00156CB3">
        <w:rPr>
          <w:rFonts w:ascii="Arial" w:eastAsia="Calibri" w:hAnsi="Arial" w:cs="Arial"/>
          <w:b/>
          <w:i/>
          <w:sz w:val="20"/>
          <w:szCs w:val="20"/>
          <w:lang w:eastAsia="en-ZA"/>
        </w:rPr>
        <w:tab/>
      </w:r>
      <w:r w:rsidR="00A665F8" w:rsidRPr="00156CB3">
        <w:rPr>
          <w:rFonts w:ascii="Arial" w:eastAsia="Calibri" w:hAnsi="Arial" w:cs="Arial"/>
          <w:b/>
          <w:i/>
          <w:sz w:val="20"/>
          <w:szCs w:val="20"/>
          <w:lang w:eastAsia="en-ZA"/>
        </w:rPr>
        <w:t>Treasury’s processes</w:t>
      </w:r>
      <w:r w:rsidR="00B2735F" w:rsidRPr="00156CB3">
        <w:rPr>
          <w:rFonts w:ascii="Arial" w:eastAsia="Calibri" w:hAnsi="Arial" w:cs="Arial"/>
          <w:b/>
          <w:i/>
          <w:sz w:val="20"/>
          <w:szCs w:val="20"/>
          <w:lang w:eastAsia="en-ZA"/>
        </w:rPr>
        <w:t>.</w:t>
      </w:r>
    </w:p>
    <w:p w:rsidR="00962532" w:rsidRPr="00156CB3" w:rsidRDefault="00962532" w:rsidP="00156CB3">
      <w:pPr>
        <w:spacing w:after="0" w:line="240" w:lineRule="auto"/>
        <w:rPr>
          <w:rFonts w:ascii="Arial" w:eastAsia="Calibri" w:hAnsi="Arial" w:cs="Arial"/>
          <w:i/>
          <w:sz w:val="20"/>
          <w:szCs w:val="20"/>
          <w:lang w:eastAsia="en-ZA"/>
        </w:rPr>
      </w:pPr>
    </w:p>
    <w:p w:rsidR="00962532" w:rsidRPr="00156CB3" w:rsidRDefault="00962532" w:rsidP="00156CB3">
      <w:pPr>
        <w:spacing w:after="0" w:line="240" w:lineRule="auto"/>
        <w:rPr>
          <w:rFonts w:ascii="Arial" w:eastAsia="Calibri" w:hAnsi="Arial" w:cs="Arial"/>
          <w:b/>
          <w:sz w:val="20"/>
          <w:szCs w:val="20"/>
          <w:lang w:eastAsia="en-ZA"/>
        </w:rPr>
      </w:pPr>
      <w:r w:rsidRPr="00156CB3">
        <w:rPr>
          <w:rFonts w:ascii="Arial" w:eastAsia="Calibri" w:hAnsi="Arial" w:cs="Arial"/>
          <w:b/>
          <w:sz w:val="20"/>
          <w:szCs w:val="20"/>
          <w:lang w:eastAsia="en-ZA"/>
        </w:rPr>
        <w:t>6.4</w:t>
      </w:r>
      <w:r w:rsidRPr="00156CB3">
        <w:rPr>
          <w:rFonts w:ascii="Arial" w:eastAsia="Calibri" w:hAnsi="Arial" w:cs="Arial"/>
          <w:b/>
          <w:sz w:val="20"/>
          <w:szCs w:val="20"/>
          <w:lang w:eastAsia="en-ZA"/>
        </w:rPr>
        <w:tab/>
        <w:t>Weaknesses in procurement policies and supply chain management systems</w:t>
      </w:r>
      <w:r w:rsidR="00B25750" w:rsidRPr="00156CB3">
        <w:rPr>
          <w:rFonts w:ascii="Arial" w:eastAsia="Calibri" w:hAnsi="Arial" w:cs="Arial"/>
          <w:b/>
          <w:sz w:val="20"/>
          <w:szCs w:val="20"/>
          <w:lang w:eastAsia="en-ZA"/>
        </w:rPr>
        <w:t xml:space="preserve"> and </w:t>
      </w:r>
      <w:r w:rsidR="00ED72CA" w:rsidRPr="00156CB3">
        <w:rPr>
          <w:rFonts w:ascii="Arial" w:eastAsia="Calibri" w:hAnsi="Arial" w:cs="Arial"/>
          <w:b/>
          <w:sz w:val="20"/>
          <w:szCs w:val="20"/>
          <w:lang w:eastAsia="en-ZA"/>
        </w:rPr>
        <w:tab/>
        <w:t>non-</w:t>
      </w:r>
      <w:r w:rsidR="00B25750" w:rsidRPr="00156CB3">
        <w:rPr>
          <w:rFonts w:ascii="Arial" w:eastAsia="Calibri" w:hAnsi="Arial" w:cs="Arial"/>
          <w:b/>
          <w:sz w:val="20"/>
          <w:szCs w:val="20"/>
          <w:lang w:eastAsia="en-ZA"/>
        </w:rPr>
        <w:t>adherence to policy</w:t>
      </w:r>
    </w:p>
    <w:p w:rsidR="00962532" w:rsidRPr="00156CB3" w:rsidRDefault="00962532" w:rsidP="00156CB3">
      <w:pPr>
        <w:spacing w:after="0" w:line="240" w:lineRule="auto"/>
        <w:rPr>
          <w:rFonts w:ascii="Arial" w:eastAsia="Calibri" w:hAnsi="Arial" w:cs="Arial"/>
          <w:b/>
          <w:sz w:val="20"/>
          <w:szCs w:val="20"/>
          <w:lang w:eastAsia="en-ZA"/>
        </w:rPr>
      </w:pPr>
    </w:p>
    <w:p w:rsidR="00962532" w:rsidRPr="00156CB3" w:rsidRDefault="00962532" w:rsidP="00156CB3">
      <w:pPr>
        <w:spacing w:after="0" w:line="240" w:lineRule="auto"/>
        <w:rPr>
          <w:rFonts w:ascii="Arial" w:eastAsia="Calibri" w:hAnsi="Arial" w:cs="Arial"/>
          <w:sz w:val="20"/>
          <w:szCs w:val="20"/>
          <w:lang w:eastAsia="en-ZA"/>
        </w:rPr>
      </w:pPr>
      <w:r w:rsidRPr="00156CB3">
        <w:rPr>
          <w:rFonts w:ascii="Arial" w:eastAsia="Calibri" w:hAnsi="Arial" w:cs="Arial"/>
          <w:sz w:val="20"/>
          <w:szCs w:val="20"/>
          <w:lang w:eastAsia="en-ZA"/>
        </w:rPr>
        <w:t>The Portfolio Committee welcomed the assurance by the Department that it is implementing a procurement strategy anchored on a financial recovery plan. The plan aims to improve the overall financial environment</w:t>
      </w:r>
      <w:r w:rsidR="005216B4" w:rsidRPr="00156CB3">
        <w:rPr>
          <w:rFonts w:ascii="Arial" w:eastAsia="Calibri" w:hAnsi="Arial" w:cs="Arial"/>
          <w:sz w:val="20"/>
          <w:szCs w:val="20"/>
          <w:lang w:eastAsia="en-ZA"/>
        </w:rPr>
        <w:t>,</w:t>
      </w:r>
      <w:r w:rsidRPr="00156CB3">
        <w:rPr>
          <w:rFonts w:ascii="Arial" w:eastAsia="Calibri" w:hAnsi="Arial" w:cs="Arial"/>
          <w:sz w:val="20"/>
          <w:szCs w:val="20"/>
          <w:lang w:eastAsia="en-ZA"/>
        </w:rPr>
        <w:t xml:space="preserve"> including improving the audit opinion within the po</w:t>
      </w:r>
      <w:r w:rsidR="000C3102" w:rsidRPr="00156CB3">
        <w:rPr>
          <w:rFonts w:ascii="Arial" w:eastAsia="Calibri" w:hAnsi="Arial" w:cs="Arial"/>
          <w:sz w:val="20"/>
          <w:szCs w:val="20"/>
          <w:lang w:eastAsia="en-ZA"/>
        </w:rPr>
        <w:t>rtfolio.</w:t>
      </w:r>
      <w:r w:rsidRPr="00156CB3">
        <w:rPr>
          <w:rFonts w:ascii="Arial" w:eastAsia="Calibri" w:hAnsi="Arial" w:cs="Arial"/>
          <w:sz w:val="20"/>
          <w:szCs w:val="20"/>
          <w:lang w:eastAsia="en-ZA"/>
        </w:rPr>
        <w:t xml:space="preserve"> The plan also includes </w:t>
      </w:r>
      <w:r w:rsidR="000C3102" w:rsidRPr="00156CB3">
        <w:rPr>
          <w:rFonts w:ascii="Arial" w:eastAsia="Calibri" w:hAnsi="Arial" w:cs="Arial"/>
          <w:sz w:val="20"/>
          <w:szCs w:val="20"/>
          <w:lang w:eastAsia="en-ZA"/>
        </w:rPr>
        <w:t>implementing</w:t>
      </w:r>
      <w:r w:rsidRPr="00156CB3">
        <w:rPr>
          <w:rFonts w:ascii="Arial" w:eastAsia="Calibri" w:hAnsi="Arial" w:cs="Arial"/>
          <w:sz w:val="20"/>
          <w:szCs w:val="20"/>
          <w:lang w:eastAsia="en-ZA"/>
        </w:rPr>
        <w:t xml:space="preserve"> the Infrastructure Procurement Strategy to improve procurement within the department a</w:t>
      </w:r>
      <w:r w:rsidR="000C3102" w:rsidRPr="00156CB3">
        <w:rPr>
          <w:rFonts w:ascii="Arial" w:eastAsia="Calibri" w:hAnsi="Arial" w:cs="Arial"/>
          <w:sz w:val="20"/>
          <w:szCs w:val="20"/>
          <w:lang w:eastAsia="en-ZA"/>
        </w:rPr>
        <w:t xml:space="preserve">nd its implementing agents </w:t>
      </w:r>
      <w:r w:rsidRPr="00156CB3">
        <w:rPr>
          <w:rFonts w:ascii="Arial" w:eastAsia="Calibri" w:hAnsi="Arial" w:cs="Arial"/>
          <w:sz w:val="20"/>
          <w:szCs w:val="20"/>
          <w:lang w:eastAsia="en-ZA"/>
        </w:rPr>
        <w:t>to fast-</w:t>
      </w:r>
      <w:r w:rsidR="000C3102" w:rsidRPr="00156CB3">
        <w:rPr>
          <w:rFonts w:ascii="Arial" w:eastAsia="Calibri" w:hAnsi="Arial" w:cs="Arial"/>
          <w:sz w:val="20"/>
          <w:szCs w:val="20"/>
          <w:lang w:eastAsia="en-ZA"/>
        </w:rPr>
        <w:t xml:space="preserve">track implementation at </w:t>
      </w:r>
      <w:r w:rsidR="009C67F6" w:rsidRPr="00156CB3">
        <w:rPr>
          <w:rFonts w:ascii="Arial" w:eastAsia="Calibri" w:hAnsi="Arial" w:cs="Arial"/>
          <w:sz w:val="20"/>
          <w:szCs w:val="20"/>
          <w:lang w:eastAsia="en-ZA"/>
        </w:rPr>
        <w:t xml:space="preserve">the project </w:t>
      </w:r>
      <w:r w:rsidRPr="00156CB3">
        <w:rPr>
          <w:rFonts w:ascii="Arial" w:eastAsia="Calibri" w:hAnsi="Arial" w:cs="Arial"/>
          <w:sz w:val="20"/>
          <w:szCs w:val="20"/>
          <w:lang w:eastAsia="en-ZA"/>
        </w:rPr>
        <w:t xml:space="preserve">level and increase efficiency. </w:t>
      </w:r>
    </w:p>
    <w:p w:rsidR="00B25750" w:rsidRPr="00156CB3" w:rsidRDefault="00B25750" w:rsidP="00156CB3">
      <w:pPr>
        <w:spacing w:after="0" w:line="240" w:lineRule="auto"/>
        <w:rPr>
          <w:rFonts w:ascii="Arial" w:eastAsia="Calibri" w:hAnsi="Arial" w:cs="Arial"/>
          <w:sz w:val="20"/>
          <w:szCs w:val="20"/>
          <w:lang w:eastAsia="en-ZA"/>
        </w:rPr>
      </w:pPr>
    </w:p>
    <w:p w:rsidR="00B25750" w:rsidRPr="00156CB3" w:rsidRDefault="00B25750" w:rsidP="00156CB3">
      <w:pPr>
        <w:spacing w:after="0" w:line="240" w:lineRule="auto"/>
        <w:rPr>
          <w:rFonts w:ascii="Arial" w:eastAsia="Calibri" w:hAnsi="Arial" w:cs="Arial"/>
          <w:sz w:val="20"/>
          <w:szCs w:val="20"/>
          <w:lang w:eastAsia="en-ZA"/>
        </w:rPr>
      </w:pPr>
      <w:r w:rsidRPr="00156CB3">
        <w:rPr>
          <w:rFonts w:ascii="Arial" w:eastAsia="Calibri" w:hAnsi="Arial" w:cs="Arial"/>
          <w:sz w:val="20"/>
          <w:szCs w:val="20"/>
          <w:lang w:eastAsia="en-ZA"/>
        </w:rPr>
        <w:t xml:space="preserve">However, concerns were raised on the department’s non-adherence to its policy in respect of bid evaluation not undertaken in accordance with the advertised evaluation criteria, and change of scope of work after </w:t>
      </w:r>
      <w:r w:rsidR="006C28D6" w:rsidRPr="00156CB3">
        <w:rPr>
          <w:rFonts w:ascii="Arial" w:eastAsia="Calibri" w:hAnsi="Arial" w:cs="Arial"/>
          <w:sz w:val="20"/>
          <w:szCs w:val="20"/>
          <w:lang w:eastAsia="en-ZA"/>
        </w:rPr>
        <w:t xml:space="preserve">the </w:t>
      </w:r>
      <w:r w:rsidRPr="00156CB3">
        <w:rPr>
          <w:rFonts w:ascii="Arial" w:eastAsia="Calibri" w:hAnsi="Arial" w:cs="Arial"/>
          <w:sz w:val="20"/>
          <w:szCs w:val="20"/>
          <w:lang w:eastAsia="en-ZA"/>
        </w:rPr>
        <w:t xml:space="preserve">bid </w:t>
      </w:r>
      <w:r w:rsidR="006C28D6" w:rsidRPr="00156CB3">
        <w:rPr>
          <w:rFonts w:ascii="Arial" w:eastAsia="Calibri" w:hAnsi="Arial" w:cs="Arial"/>
          <w:sz w:val="20"/>
          <w:szCs w:val="20"/>
          <w:lang w:eastAsia="en-ZA"/>
        </w:rPr>
        <w:t xml:space="preserve">was </w:t>
      </w:r>
      <w:r w:rsidRPr="00156CB3">
        <w:rPr>
          <w:rFonts w:ascii="Arial" w:eastAsia="Calibri" w:hAnsi="Arial" w:cs="Arial"/>
          <w:sz w:val="20"/>
          <w:szCs w:val="20"/>
          <w:lang w:eastAsia="en-ZA"/>
        </w:rPr>
        <w:t xml:space="preserve">awarded without approval by the delegated official. </w:t>
      </w:r>
    </w:p>
    <w:p w:rsidR="00962532" w:rsidRPr="00156CB3" w:rsidRDefault="00962532" w:rsidP="00156CB3">
      <w:pPr>
        <w:spacing w:after="0" w:line="240" w:lineRule="auto"/>
        <w:rPr>
          <w:rFonts w:ascii="Arial" w:eastAsia="Calibri" w:hAnsi="Arial" w:cs="Arial"/>
          <w:sz w:val="20"/>
          <w:szCs w:val="20"/>
          <w:lang w:eastAsia="en-ZA"/>
        </w:rPr>
      </w:pPr>
    </w:p>
    <w:p w:rsidR="00962532" w:rsidRPr="00156CB3" w:rsidRDefault="00C51245" w:rsidP="00156CB3">
      <w:pPr>
        <w:spacing w:after="0" w:line="240" w:lineRule="auto"/>
        <w:rPr>
          <w:rFonts w:ascii="Arial" w:eastAsia="Calibri" w:hAnsi="Arial" w:cs="Arial"/>
          <w:b/>
          <w:i/>
          <w:sz w:val="20"/>
          <w:szCs w:val="20"/>
          <w:lang w:eastAsia="en-ZA"/>
        </w:rPr>
      </w:pPr>
      <w:r w:rsidRPr="00156CB3">
        <w:rPr>
          <w:rFonts w:ascii="Arial" w:eastAsia="Calibri" w:hAnsi="Arial" w:cs="Arial"/>
          <w:b/>
          <w:i/>
          <w:sz w:val="20"/>
          <w:szCs w:val="20"/>
          <w:lang w:eastAsia="en-ZA"/>
        </w:rPr>
        <w:t>6.4.1</w:t>
      </w:r>
      <w:r w:rsidRPr="00156CB3">
        <w:rPr>
          <w:rFonts w:ascii="Arial" w:eastAsia="Calibri" w:hAnsi="Arial" w:cs="Arial"/>
          <w:b/>
          <w:i/>
          <w:sz w:val="20"/>
          <w:szCs w:val="20"/>
          <w:lang w:eastAsia="en-ZA"/>
        </w:rPr>
        <w:tab/>
        <w:t xml:space="preserve">The Department should </w:t>
      </w:r>
      <w:r w:rsidR="00AB3BEC" w:rsidRPr="00156CB3">
        <w:rPr>
          <w:rFonts w:ascii="Arial" w:eastAsia="Calibri" w:hAnsi="Arial" w:cs="Arial"/>
          <w:b/>
          <w:i/>
          <w:sz w:val="20"/>
          <w:szCs w:val="20"/>
          <w:lang w:eastAsia="en-ZA"/>
        </w:rPr>
        <w:t>brief</w:t>
      </w:r>
      <w:r w:rsidRPr="00156CB3">
        <w:rPr>
          <w:rFonts w:ascii="Arial" w:eastAsia="Calibri" w:hAnsi="Arial" w:cs="Arial"/>
          <w:b/>
          <w:i/>
          <w:sz w:val="20"/>
          <w:szCs w:val="20"/>
          <w:lang w:eastAsia="en-ZA"/>
        </w:rPr>
        <w:t xml:space="preserve"> the Portfolio Committee on implementing its </w:t>
      </w:r>
      <w:r w:rsidRPr="00156CB3">
        <w:rPr>
          <w:rFonts w:ascii="Arial" w:eastAsia="Calibri" w:hAnsi="Arial" w:cs="Arial"/>
          <w:b/>
          <w:i/>
          <w:sz w:val="20"/>
          <w:szCs w:val="20"/>
          <w:lang w:eastAsia="en-ZA"/>
        </w:rPr>
        <w:tab/>
        <w:t>procurement strategy plan</w:t>
      </w:r>
      <w:r w:rsidR="005216B4" w:rsidRPr="00156CB3">
        <w:rPr>
          <w:rFonts w:ascii="Arial" w:eastAsia="Calibri" w:hAnsi="Arial" w:cs="Arial"/>
          <w:b/>
          <w:i/>
          <w:sz w:val="20"/>
          <w:szCs w:val="20"/>
          <w:lang w:eastAsia="en-ZA"/>
        </w:rPr>
        <w:t>s</w:t>
      </w:r>
      <w:r w:rsidR="00B25750" w:rsidRPr="00156CB3">
        <w:rPr>
          <w:rFonts w:ascii="Arial" w:eastAsia="Calibri" w:hAnsi="Arial" w:cs="Arial"/>
          <w:b/>
          <w:i/>
          <w:sz w:val="20"/>
          <w:szCs w:val="20"/>
          <w:lang w:eastAsia="en-ZA"/>
        </w:rPr>
        <w:t xml:space="preserve"> and strengthen its adherence to policy so that</w:t>
      </w:r>
      <w:r w:rsidRPr="00156CB3">
        <w:rPr>
          <w:rFonts w:ascii="Arial" w:eastAsia="Calibri" w:hAnsi="Arial" w:cs="Arial"/>
          <w:b/>
          <w:i/>
          <w:sz w:val="20"/>
          <w:szCs w:val="20"/>
          <w:lang w:eastAsia="en-ZA"/>
        </w:rPr>
        <w:t xml:space="preserve"> Members </w:t>
      </w:r>
      <w:r w:rsidR="00ED72CA" w:rsidRPr="00156CB3">
        <w:rPr>
          <w:rFonts w:ascii="Arial" w:eastAsia="Calibri" w:hAnsi="Arial" w:cs="Arial"/>
          <w:b/>
          <w:i/>
          <w:sz w:val="20"/>
          <w:szCs w:val="20"/>
          <w:lang w:eastAsia="en-ZA"/>
        </w:rPr>
        <w:tab/>
        <w:t xml:space="preserve">can </w:t>
      </w:r>
      <w:r w:rsidR="00B25750" w:rsidRPr="00156CB3">
        <w:rPr>
          <w:rFonts w:ascii="Arial" w:eastAsia="Calibri" w:hAnsi="Arial" w:cs="Arial"/>
          <w:b/>
          <w:i/>
          <w:sz w:val="20"/>
          <w:szCs w:val="20"/>
          <w:lang w:eastAsia="en-ZA"/>
        </w:rPr>
        <w:t>effectively</w:t>
      </w:r>
      <w:r w:rsidRPr="00156CB3">
        <w:rPr>
          <w:rFonts w:ascii="Arial" w:eastAsia="Calibri" w:hAnsi="Arial" w:cs="Arial"/>
          <w:b/>
          <w:i/>
          <w:sz w:val="20"/>
          <w:szCs w:val="20"/>
          <w:lang w:eastAsia="en-ZA"/>
        </w:rPr>
        <w:t xml:space="preserve"> tra</w:t>
      </w:r>
      <w:r w:rsidR="005216B4" w:rsidRPr="00156CB3">
        <w:rPr>
          <w:rFonts w:ascii="Arial" w:eastAsia="Calibri" w:hAnsi="Arial" w:cs="Arial"/>
          <w:b/>
          <w:i/>
          <w:sz w:val="20"/>
          <w:szCs w:val="20"/>
          <w:lang w:eastAsia="en-ZA"/>
        </w:rPr>
        <w:t xml:space="preserve">ck progress on work undertaken </w:t>
      </w:r>
      <w:r w:rsidRPr="00156CB3">
        <w:rPr>
          <w:rFonts w:ascii="Arial" w:eastAsia="Calibri" w:hAnsi="Arial" w:cs="Arial"/>
          <w:b/>
          <w:i/>
          <w:sz w:val="20"/>
          <w:szCs w:val="20"/>
          <w:lang w:eastAsia="en-ZA"/>
        </w:rPr>
        <w:t xml:space="preserve">to </w:t>
      </w:r>
      <w:r w:rsidR="00B25750" w:rsidRPr="00156CB3">
        <w:rPr>
          <w:rFonts w:ascii="Arial" w:eastAsia="Calibri" w:hAnsi="Arial" w:cs="Arial"/>
          <w:b/>
          <w:i/>
          <w:sz w:val="20"/>
          <w:szCs w:val="20"/>
          <w:lang w:eastAsia="en-ZA"/>
        </w:rPr>
        <w:t>strengthen</w:t>
      </w:r>
      <w:r w:rsidRPr="00156CB3">
        <w:rPr>
          <w:rFonts w:ascii="Arial" w:eastAsia="Calibri" w:hAnsi="Arial" w:cs="Arial"/>
          <w:b/>
          <w:i/>
          <w:sz w:val="20"/>
          <w:szCs w:val="20"/>
          <w:lang w:eastAsia="en-ZA"/>
        </w:rPr>
        <w:t xml:space="preserve"> its financial recovery </w:t>
      </w:r>
      <w:r w:rsidR="00ED72CA" w:rsidRPr="00156CB3">
        <w:rPr>
          <w:rFonts w:ascii="Arial" w:eastAsia="Calibri" w:hAnsi="Arial" w:cs="Arial"/>
          <w:b/>
          <w:i/>
          <w:sz w:val="20"/>
          <w:szCs w:val="20"/>
          <w:lang w:eastAsia="en-ZA"/>
        </w:rPr>
        <w:tab/>
      </w:r>
      <w:r w:rsidRPr="00156CB3">
        <w:rPr>
          <w:rFonts w:ascii="Arial" w:eastAsia="Calibri" w:hAnsi="Arial" w:cs="Arial"/>
          <w:b/>
          <w:i/>
          <w:sz w:val="20"/>
          <w:szCs w:val="20"/>
          <w:lang w:eastAsia="en-ZA"/>
        </w:rPr>
        <w:t>plan.</w:t>
      </w:r>
    </w:p>
    <w:p w:rsidR="00637BA8" w:rsidRPr="00156CB3" w:rsidRDefault="00637BA8" w:rsidP="00156CB3">
      <w:pPr>
        <w:spacing w:after="0" w:line="240" w:lineRule="auto"/>
        <w:rPr>
          <w:rFonts w:ascii="Arial" w:eastAsia="Calibri" w:hAnsi="Arial" w:cs="Arial"/>
          <w:b/>
          <w:sz w:val="20"/>
          <w:szCs w:val="20"/>
          <w:lang w:eastAsia="en-ZA"/>
        </w:rPr>
      </w:pPr>
    </w:p>
    <w:p w:rsidR="000648FB" w:rsidRPr="00156CB3" w:rsidRDefault="00FA54FD" w:rsidP="00156CB3">
      <w:p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6.5</w:t>
      </w:r>
      <w:r w:rsidR="000C3102" w:rsidRPr="00156CB3">
        <w:rPr>
          <w:rFonts w:ascii="Arial" w:eastAsia="Times New Roman" w:hAnsi="Arial" w:cs="Arial"/>
          <w:b/>
          <w:sz w:val="20"/>
          <w:szCs w:val="20"/>
          <w:lang w:eastAsia="en-ZA"/>
        </w:rPr>
        <w:tab/>
        <w:t xml:space="preserve">Key </w:t>
      </w:r>
      <w:r w:rsidR="000648FB" w:rsidRPr="00156CB3">
        <w:rPr>
          <w:rFonts w:ascii="Arial" w:eastAsia="Times New Roman" w:hAnsi="Arial" w:cs="Arial"/>
          <w:b/>
          <w:sz w:val="20"/>
          <w:szCs w:val="20"/>
          <w:lang w:eastAsia="en-ZA"/>
        </w:rPr>
        <w:t>recommendations</w:t>
      </w:r>
      <w:r w:rsidR="00192170" w:rsidRPr="00156CB3">
        <w:rPr>
          <w:rFonts w:ascii="Arial" w:eastAsia="Times New Roman" w:hAnsi="Arial" w:cs="Arial"/>
          <w:b/>
          <w:sz w:val="20"/>
          <w:szCs w:val="20"/>
          <w:lang w:eastAsia="en-ZA"/>
        </w:rPr>
        <w:t xml:space="preserve"> </w:t>
      </w:r>
      <w:r w:rsidR="000648FB" w:rsidRPr="00156CB3">
        <w:rPr>
          <w:rFonts w:ascii="Arial" w:eastAsia="Times New Roman" w:hAnsi="Arial" w:cs="Arial"/>
          <w:b/>
          <w:sz w:val="20"/>
          <w:szCs w:val="20"/>
          <w:lang w:eastAsia="en-ZA"/>
        </w:rPr>
        <w:t>highlighted by the Auditor-General</w:t>
      </w:r>
      <w:r w:rsidR="00027479" w:rsidRPr="00156CB3">
        <w:rPr>
          <w:rFonts w:ascii="Arial" w:eastAsia="Times New Roman" w:hAnsi="Arial" w:cs="Arial"/>
          <w:b/>
          <w:sz w:val="20"/>
          <w:szCs w:val="20"/>
          <w:lang w:eastAsia="en-ZA"/>
        </w:rPr>
        <w:t xml:space="preserve"> and the Department of </w:t>
      </w:r>
      <w:r w:rsidR="00027479" w:rsidRPr="00156CB3">
        <w:rPr>
          <w:rFonts w:ascii="Arial" w:eastAsia="Times New Roman" w:hAnsi="Arial" w:cs="Arial"/>
          <w:b/>
          <w:sz w:val="20"/>
          <w:szCs w:val="20"/>
          <w:lang w:eastAsia="en-ZA"/>
        </w:rPr>
        <w:tab/>
        <w:t>Planning, Monitoring and Evaluation</w:t>
      </w:r>
    </w:p>
    <w:p w:rsidR="000648FB" w:rsidRPr="00156CB3" w:rsidRDefault="000648FB" w:rsidP="00156CB3">
      <w:pPr>
        <w:spacing w:after="0" w:line="240" w:lineRule="auto"/>
        <w:rPr>
          <w:rFonts w:ascii="Arial" w:eastAsia="Times New Roman" w:hAnsi="Arial" w:cs="Arial"/>
          <w:b/>
          <w:sz w:val="20"/>
          <w:szCs w:val="20"/>
          <w:lang w:eastAsia="en-ZA"/>
        </w:rPr>
      </w:pPr>
    </w:p>
    <w:p w:rsidR="000648FB" w:rsidRPr="00156CB3" w:rsidRDefault="000648FB"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Members of the Portfolio Committee noted</w:t>
      </w:r>
      <w:r w:rsidR="008E20AC" w:rsidRPr="00156CB3">
        <w:rPr>
          <w:rFonts w:ascii="Arial" w:eastAsia="Times New Roman" w:hAnsi="Arial" w:cs="Arial"/>
          <w:sz w:val="20"/>
          <w:szCs w:val="20"/>
          <w:lang w:eastAsia="en-ZA"/>
        </w:rPr>
        <w:t xml:space="preserve"> </w:t>
      </w:r>
      <w:r w:rsidRPr="00156CB3">
        <w:rPr>
          <w:rFonts w:ascii="Arial" w:eastAsia="Times New Roman" w:hAnsi="Arial" w:cs="Arial"/>
          <w:sz w:val="20"/>
          <w:szCs w:val="20"/>
          <w:lang w:eastAsia="en-ZA"/>
        </w:rPr>
        <w:t>the</w:t>
      </w:r>
      <w:r w:rsidR="008E20AC" w:rsidRPr="00156CB3">
        <w:rPr>
          <w:rFonts w:ascii="Arial" w:eastAsia="Times New Roman" w:hAnsi="Arial" w:cs="Arial"/>
          <w:sz w:val="20"/>
          <w:szCs w:val="20"/>
          <w:lang w:eastAsia="en-ZA"/>
        </w:rPr>
        <w:t xml:space="preserve"> following</w:t>
      </w:r>
      <w:r w:rsidRPr="00156CB3">
        <w:rPr>
          <w:rFonts w:ascii="Arial" w:eastAsia="Times New Roman" w:hAnsi="Arial" w:cs="Arial"/>
          <w:sz w:val="20"/>
          <w:szCs w:val="20"/>
          <w:lang w:eastAsia="en-ZA"/>
        </w:rPr>
        <w:t xml:space="preserve"> key recommendations to the accounting officers by the Auditor-General</w:t>
      </w:r>
      <w:r w:rsidR="00027479" w:rsidRPr="00156CB3">
        <w:rPr>
          <w:rFonts w:ascii="Arial" w:eastAsia="Times New Roman" w:hAnsi="Arial" w:cs="Arial"/>
          <w:sz w:val="20"/>
          <w:szCs w:val="20"/>
          <w:lang w:eastAsia="en-ZA"/>
        </w:rPr>
        <w:t xml:space="preserve"> and the Department of Plan</w:t>
      </w:r>
      <w:r w:rsidR="000C3102" w:rsidRPr="00156CB3">
        <w:rPr>
          <w:rFonts w:ascii="Arial" w:eastAsia="Times New Roman" w:hAnsi="Arial" w:cs="Arial"/>
          <w:sz w:val="20"/>
          <w:szCs w:val="20"/>
          <w:lang w:eastAsia="en-ZA"/>
        </w:rPr>
        <w:t>ning, Monitoring and Evaluation. They stressed the importance of the Department addressing</w:t>
      </w:r>
      <w:r w:rsidR="008E20AC" w:rsidRPr="00156CB3">
        <w:rPr>
          <w:rFonts w:ascii="Arial" w:eastAsia="Times New Roman" w:hAnsi="Arial" w:cs="Arial"/>
          <w:sz w:val="20"/>
          <w:szCs w:val="20"/>
          <w:lang w:eastAsia="en-ZA"/>
        </w:rPr>
        <w:t xml:space="preserve"> these matters:</w:t>
      </w:r>
    </w:p>
    <w:p w:rsidR="00637BA8" w:rsidRPr="00156CB3" w:rsidRDefault="00637BA8" w:rsidP="00156CB3">
      <w:pPr>
        <w:spacing w:after="0" w:line="240" w:lineRule="auto"/>
        <w:rPr>
          <w:rFonts w:ascii="Arial" w:eastAsia="Times New Roman" w:hAnsi="Arial" w:cs="Arial"/>
          <w:sz w:val="20"/>
          <w:szCs w:val="20"/>
          <w:lang w:eastAsia="en-ZA"/>
        </w:rPr>
      </w:pPr>
    </w:p>
    <w:p w:rsidR="00027479" w:rsidRPr="00156CB3" w:rsidRDefault="00027479" w:rsidP="00156CB3">
      <w:pPr>
        <w:pStyle w:val="ListParagraph"/>
        <w:numPr>
          <w:ilvl w:val="0"/>
          <w:numId w:val="26"/>
        </w:numPr>
        <w:spacing w:after="0" w:line="240" w:lineRule="auto"/>
        <w:rPr>
          <w:rFonts w:ascii="Arial" w:eastAsia="Times New Roman" w:hAnsi="Arial" w:cs="Arial"/>
          <w:sz w:val="20"/>
          <w:szCs w:val="20"/>
          <w:lang w:eastAsia="en-ZA"/>
        </w:rPr>
      </w:pPr>
      <w:r w:rsidRPr="00156CB3">
        <w:rPr>
          <w:rFonts w:ascii="Arial" w:eastAsia="Times New Roman" w:hAnsi="Arial" w:cs="Arial"/>
          <w:b/>
          <w:sz w:val="20"/>
          <w:szCs w:val="20"/>
          <w:lang w:eastAsia="en-ZA"/>
        </w:rPr>
        <w:t>Auditor-General</w:t>
      </w:r>
    </w:p>
    <w:p w:rsidR="000648FB" w:rsidRPr="00156CB3" w:rsidRDefault="000648FB" w:rsidP="00156CB3">
      <w:pPr>
        <w:spacing w:after="0" w:line="240" w:lineRule="auto"/>
        <w:rPr>
          <w:rFonts w:ascii="Arial" w:eastAsia="Times New Roman" w:hAnsi="Arial" w:cs="Arial"/>
          <w:sz w:val="20"/>
          <w:szCs w:val="20"/>
          <w:lang w:eastAsia="en-ZA"/>
        </w:rPr>
      </w:pPr>
    </w:p>
    <w:p w:rsidR="005216B4" w:rsidRPr="00156CB3" w:rsidRDefault="000648FB"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Detailed action plans to be devised to address chal</w:t>
      </w:r>
      <w:r w:rsidR="005216B4" w:rsidRPr="00156CB3">
        <w:rPr>
          <w:rFonts w:ascii="Arial" w:eastAsia="Times New Roman" w:hAnsi="Arial" w:cs="Arial"/>
          <w:sz w:val="20"/>
          <w:szCs w:val="20"/>
          <w:lang w:eastAsia="en-ZA"/>
        </w:rPr>
        <w:t>lenges affecting implementing key projects, and managing</w:t>
      </w:r>
      <w:r w:rsidRPr="00156CB3">
        <w:rPr>
          <w:rFonts w:ascii="Arial" w:eastAsia="Times New Roman" w:hAnsi="Arial" w:cs="Arial"/>
          <w:sz w:val="20"/>
          <w:szCs w:val="20"/>
          <w:lang w:eastAsia="en-ZA"/>
        </w:rPr>
        <w:t xml:space="preserve"> infrastructure</w:t>
      </w:r>
      <w:r w:rsidR="005216B4" w:rsidRPr="00156CB3">
        <w:rPr>
          <w:rFonts w:ascii="Arial" w:eastAsia="Times New Roman" w:hAnsi="Arial" w:cs="Arial"/>
          <w:sz w:val="20"/>
          <w:szCs w:val="20"/>
          <w:lang w:eastAsia="en-ZA"/>
        </w:rPr>
        <w:t xml:space="preserve"> projects at the Water Trading Entity.</w:t>
      </w:r>
    </w:p>
    <w:p w:rsidR="000648FB" w:rsidRPr="00156CB3" w:rsidRDefault="005216B4"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M</w:t>
      </w:r>
      <w:r w:rsidR="000648FB" w:rsidRPr="00156CB3">
        <w:rPr>
          <w:rFonts w:ascii="Arial" w:eastAsia="Times New Roman" w:hAnsi="Arial" w:cs="Arial"/>
          <w:sz w:val="20"/>
          <w:szCs w:val="20"/>
          <w:lang w:eastAsia="en-ZA"/>
        </w:rPr>
        <w:t>anagement of water quality risks and water losses at Water Services Authorities should be developed and implemented.</w:t>
      </w:r>
    </w:p>
    <w:p w:rsidR="000648FB" w:rsidRPr="00156CB3" w:rsidRDefault="000648FB"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Timeous monitoring and oversight over the proper implementation of action plans to address both internal and external audit findings to avoid repeat findings.</w:t>
      </w:r>
    </w:p>
    <w:p w:rsidR="000648FB" w:rsidRPr="00156CB3" w:rsidRDefault="000648FB"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Continuous monitoring of compliance with legal and regulatory provisions to avoid non-compliance findings.</w:t>
      </w:r>
    </w:p>
    <w:p w:rsidR="000648FB" w:rsidRPr="00156CB3" w:rsidRDefault="000648FB"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Ensure financial statements are appropriately review</w:t>
      </w:r>
      <w:r w:rsidR="000C3102" w:rsidRPr="00156CB3">
        <w:rPr>
          <w:rFonts w:ascii="Arial" w:eastAsia="Times New Roman" w:hAnsi="Arial" w:cs="Arial"/>
          <w:sz w:val="20"/>
          <w:szCs w:val="20"/>
          <w:lang w:eastAsia="en-ZA"/>
        </w:rPr>
        <w:t>ed</w:t>
      </w:r>
      <w:r w:rsidRPr="00156CB3">
        <w:rPr>
          <w:rFonts w:ascii="Arial" w:eastAsia="Times New Roman" w:hAnsi="Arial" w:cs="Arial"/>
          <w:sz w:val="20"/>
          <w:szCs w:val="20"/>
          <w:lang w:eastAsia="en-ZA"/>
        </w:rPr>
        <w:t xml:space="preserve"> in line with the accounting reporting framework requirement.</w:t>
      </w:r>
    </w:p>
    <w:p w:rsidR="000648FB" w:rsidRPr="00156CB3" w:rsidRDefault="000C3102"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Continue focusing</w:t>
      </w:r>
      <w:r w:rsidR="000648FB" w:rsidRPr="00156CB3">
        <w:rPr>
          <w:rFonts w:ascii="Arial" w:eastAsia="Times New Roman" w:hAnsi="Arial" w:cs="Arial"/>
          <w:sz w:val="20"/>
          <w:szCs w:val="20"/>
          <w:lang w:eastAsia="en-ZA"/>
        </w:rPr>
        <w:t xml:space="preserve"> on consequence management to complete all investigations and cases of irregular</w:t>
      </w:r>
      <w:r w:rsidRPr="00156CB3">
        <w:rPr>
          <w:rFonts w:ascii="Arial" w:eastAsia="Times New Roman" w:hAnsi="Arial" w:cs="Arial"/>
          <w:sz w:val="20"/>
          <w:szCs w:val="20"/>
          <w:lang w:eastAsia="en-ZA"/>
        </w:rPr>
        <w:t>,</w:t>
      </w:r>
      <w:r w:rsidR="000648FB" w:rsidRPr="00156CB3">
        <w:rPr>
          <w:rFonts w:ascii="Arial" w:eastAsia="Times New Roman" w:hAnsi="Arial" w:cs="Arial"/>
          <w:sz w:val="20"/>
          <w:szCs w:val="20"/>
          <w:lang w:eastAsia="en-ZA"/>
        </w:rPr>
        <w:t xml:space="preserve"> </w:t>
      </w:r>
      <w:r w:rsidR="00566949" w:rsidRPr="00156CB3">
        <w:rPr>
          <w:rFonts w:ascii="Arial" w:eastAsia="Times New Roman" w:hAnsi="Arial" w:cs="Arial"/>
          <w:sz w:val="20"/>
          <w:szCs w:val="20"/>
          <w:lang w:eastAsia="en-ZA"/>
        </w:rPr>
        <w:t>fruitless,</w:t>
      </w:r>
      <w:r w:rsidR="000648FB" w:rsidRPr="00156CB3">
        <w:rPr>
          <w:rFonts w:ascii="Arial" w:eastAsia="Times New Roman" w:hAnsi="Arial" w:cs="Arial"/>
          <w:sz w:val="20"/>
          <w:szCs w:val="20"/>
          <w:lang w:eastAsia="en-ZA"/>
        </w:rPr>
        <w:t xml:space="preserve"> and wasteful expenditure.</w:t>
      </w:r>
    </w:p>
    <w:p w:rsidR="00A665F8" w:rsidRPr="00156CB3" w:rsidRDefault="000648FB" w:rsidP="00156CB3">
      <w:pPr>
        <w:numPr>
          <w:ilvl w:val="0"/>
          <w:numId w:val="8"/>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Expedite negotiations with the government of Lesotho on royalties related to the </w:t>
      </w:r>
      <w:r w:rsidR="008E20AC" w:rsidRPr="00156CB3">
        <w:rPr>
          <w:rFonts w:ascii="Arial" w:eastAsia="Times New Roman" w:hAnsi="Arial" w:cs="Arial"/>
          <w:sz w:val="20"/>
          <w:szCs w:val="20"/>
          <w:lang w:eastAsia="en-ZA"/>
        </w:rPr>
        <w:t>Lesotho Highlands Water Project</w:t>
      </w:r>
      <w:r w:rsidR="00A665F8" w:rsidRPr="00156CB3">
        <w:rPr>
          <w:rFonts w:ascii="Arial" w:eastAsia="Calibri" w:hAnsi="Arial" w:cs="Arial"/>
          <w:i/>
          <w:sz w:val="20"/>
          <w:szCs w:val="20"/>
          <w:lang w:eastAsia="en-ZA"/>
        </w:rPr>
        <w:t>.</w:t>
      </w:r>
    </w:p>
    <w:p w:rsidR="00027479" w:rsidRPr="00156CB3" w:rsidRDefault="00027479" w:rsidP="00156CB3">
      <w:pPr>
        <w:spacing w:after="0" w:line="240" w:lineRule="auto"/>
        <w:contextualSpacing/>
        <w:rPr>
          <w:rFonts w:ascii="Arial" w:eastAsia="Calibri" w:hAnsi="Arial" w:cs="Arial"/>
          <w:i/>
          <w:sz w:val="20"/>
          <w:szCs w:val="20"/>
          <w:lang w:eastAsia="en-ZA"/>
        </w:rPr>
      </w:pPr>
    </w:p>
    <w:p w:rsidR="00027479" w:rsidRPr="00156CB3" w:rsidRDefault="00027479" w:rsidP="00156CB3">
      <w:pPr>
        <w:pStyle w:val="ListParagraph"/>
        <w:numPr>
          <w:ilvl w:val="0"/>
          <w:numId w:val="8"/>
        </w:numPr>
        <w:spacing w:after="0" w:line="240" w:lineRule="auto"/>
        <w:rPr>
          <w:rFonts w:ascii="Arial" w:eastAsia="Times New Roman" w:hAnsi="Arial" w:cs="Arial"/>
          <w:b/>
          <w:sz w:val="20"/>
          <w:szCs w:val="20"/>
          <w:lang w:eastAsia="en-ZA"/>
        </w:rPr>
      </w:pPr>
      <w:r w:rsidRPr="00156CB3">
        <w:rPr>
          <w:rFonts w:ascii="Arial" w:eastAsia="Times New Roman" w:hAnsi="Arial" w:cs="Arial"/>
          <w:b/>
          <w:sz w:val="20"/>
          <w:szCs w:val="20"/>
          <w:lang w:eastAsia="en-ZA"/>
        </w:rPr>
        <w:t>Department of Planning, Monitoring and Evaluation</w:t>
      </w:r>
    </w:p>
    <w:p w:rsidR="00027479" w:rsidRPr="00156CB3" w:rsidRDefault="00027479" w:rsidP="00156CB3">
      <w:pPr>
        <w:spacing w:after="0" w:line="240" w:lineRule="auto"/>
        <w:rPr>
          <w:rFonts w:ascii="Arial" w:eastAsia="Times New Roman" w:hAnsi="Arial" w:cs="Arial"/>
          <w:sz w:val="20"/>
          <w:szCs w:val="20"/>
          <w:lang w:eastAsia="en-ZA"/>
        </w:rPr>
      </w:pPr>
    </w:p>
    <w:p w:rsidR="00027479" w:rsidRPr="00156CB3" w:rsidRDefault="00027479" w:rsidP="00156CB3">
      <w:pPr>
        <w:spacing w:after="0" w:line="240" w:lineRule="auto"/>
        <w:rPr>
          <w:rFonts w:ascii="Arial" w:eastAsia="Times New Roman" w:hAnsi="Arial" w:cs="Arial"/>
          <w:sz w:val="20"/>
          <w:szCs w:val="20"/>
          <w:lang w:eastAsia="en-ZA"/>
        </w:rPr>
      </w:pPr>
      <w:r w:rsidRPr="00156CB3">
        <w:rPr>
          <w:rFonts w:ascii="Arial" w:eastAsia="Times New Roman" w:hAnsi="Arial" w:cs="Arial"/>
          <w:sz w:val="20"/>
          <w:szCs w:val="20"/>
          <w:lang w:eastAsia="en-ZA"/>
        </w:rPr>
        <w:t>The DPME recommended the following for consider</w:t>
      </w:r>
      <w:r w:rsidR="00902F14" w:rsidRPr="00156CB3">
        <w:rPr>
          <w:rFonts w:ascii="Arial" w:eastAsia="Times New Roman" w:hAnsi="Arial" w:cs="Arial"/>
          <w:sz w:val="20"/>
          <w:szCs w:val="20"/>
          <w:lang w:eastAsia="en-ZA"/>
        </w:rPr>
        <w:t>ation</w:t>
      </w:r>
      <w:r w:rsidRPr="00156CB3">
        <w:rPr>
          <w:rFonts w:ascii="Arial" w:eastAsia="Times New Roman" w:hAnsi="Arial" w:cs="Arial"/>
          <w:sz w:val="20"/>
          <w:szCs w:val="20"/>
          <w:lang w:eastAsia="en-ZA"/>
        </w:rPr>
        <w:t>:</w:t>
      </w:r>
    </w:p>
    <w:p w:rsidR="00027479" w:rsidRPr="00156CB3" w:rsidRDefault="00027479" w:rsidP="00156CB3">
      <w:pPr>
        <w:spacing w:after="0" w:line="240" w:lineRule="auto"/>
        <w:rPr>
          <w:rFonts w:ascii="Arial" w:eastAsia="Times New Roman" w:hAnsi="Arial" w:cs="Arial"/>
          <w:sz w:val="20"/>
          <w:szCs w:val="20"/>
          <w:lang w:eastAsia="en-ZA"/>
        </w:rPr>
      </w:pPr>
    </w:p>
    <w:p w:rsidR="00027479" w:rsidRPr="00156CB3" w:rsidRDefault="00027479" w:rsidP="00156CB3">
      <w:pPr>
        <w:numPr>
          <w:ilvl w:val="0"/>
          <w:numId w:val="24"/>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 xml:space="preserve">To ensure critical infrastructure investments in the water sector with </w:t>
      </w:r>
      <w:r w:rsidR="007863C9" w:rsidRPr="00156CB3">
        <w:rPr>
          <w:rFonts w:ascii="Arial" w:eastAsia="Times New Roman" w:hAnsi="Arial" w:cs="Arial"/>
          <w:sz w:val="20"/>
          <w:szCs w:val="20"/>
          <w:lang w:eastAsia="en-ZA"/>
        </w:rPr>
        <w:t xml:space="preserve">an </w:t>
      </w:r>
      <w:r w:rsidRPr="00156CB3">
        <w:rPr>
          <w:rFonts w:ascii="Arial" w:eastAsia="Times New Roman" w:hAnsi="Arial" w:cs="Arial"/>
          <w:sz w:val="20"/>
          <w:szCs w:val="20"/>
          <w:lang w:eastAsia="en-ZA"/>
        </w:rPr>
        <w:t>allocated capital expenditure budget appropriately spent on identified projects within the planned project timelines across the three sphere</w:t>
      </w:r>
      <w:r w:rsidR="00AB3BEC" w:rsidRPr="00156CB3">
        <w:rPr>
          <w:rFonts w:ascii="Arial" w:eastAsia="Times New Roman" w:hAnsi="Arial" w:cs="Arial"/>
          <w:sz w:val="20"/>
          <w:szCs w:val="20"/>
          <w:lang w:eastAsia="en-ZA"/>
        </w:rPr>
        <w:t>s</w:t>
      </w:r>
      <w:r w:rsidRPr="00156CB3">
        <w:rPr>
          <w:rFonts w:ascii="Arial" w:eastAsia="Times New Roman" w:hAnsi="Arial" w:cs="Arial"/>
          <w:sz w:val="20"/>
          <w:szCs w:val="20"/>
          <w:lang w:eastAsia="en-ZA"/>
        </w:rPr>
        <w:t xml:space="preserve"> of government.</w:t>
      </w:r>
    </w:p>
    <w:p w:rsidR="00027479" w:rsidRPr="00156CB3" w:rsidRDefault="00027479" w:rsidP="00156CB3">
      <w:pPr>
        <w:numPr>
          <w:ilvl w:val="0"/>
          <w:numId w:val="24"/>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lastRenderedPageBreak/>
        <w:t>The department to establish mechanisms to address the backlog on the maintenance and refurbishment of critical infrastructure across the board.</w:t>
      </w:r>
    </w:p>
    <w:p w:rsidR="00027479" w:rsidRPr="00156CB3" w:rsidRDefault="00027479" w:rsidP="00156CB3">
      <w:pPr>
        <w:numPr>
          <w:ilvl w:val="0"/>
          <w:numId w:val="24"/>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The Department, in collaboration with the Department of Cooperative Governance and Traditio</w:t>
      </w:r>
      <w:r w:rsidR="000C3102" w:rsidRPr="00156CB3">
        <w:rPr>
          <w:rFonts w:ascii="Arial" w:eastAsia="Times New Roman" w:hAnsi="Arial" w:cs="Arial"/>
          <w:sz w:val="20"/>
          <w:szCs w:val="20"/>
          <w:lang w:eastAsia="en-ZA"/>
        </w:rPr>
        <w:t xml:space="preserve">nal Affairs and MISA supports </w:t>
      </w:r>
      <w:r w:rsidRPr="00156CB3">
        <w:rPr>
          <w:rFonts w:ascii="Arial" w:eastAsia="Times New Roman" w:hAnsi="Arial" w:cs="Arial"/>
          <w:sz w:val="20"/>
          <w:szCs w:val="20"/>
          <w:lang w:eastAsia="en-ZA"/>
        </w:rPr>
        <w:t>the urgent need for municipalities to attend to water leaks.</w:t>
      </w:r>
    </w:p>
    <w:p w:rsidR="00027479" w:rsidRPr="00156CB3" w:rsidRDefault="00027479" w:rsidP="00156CB3">
      <w:pPr>
        <w:numPr>
          <w:ilvl w:val="0"/>
          <w:numId w:val="24"/>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To fast-track the implementation of the National Water and Sanitation Master Plan to address water security in the country in respect of water investment planning, maintenance of water infrastructure and water quality management.</w:t>
      </w:r>
    </w:p>
    <w:p w:rsidR="00027479" w:rsidRPr="00156CB3" w:rsidRDefault="00027479" w:rsidP="00156CB3">
      <w:pPr>
        <w:numPr>
          <w:ilvl w:val="0"/>
          <w:numId w:val="24"/>
        </w:numPr>
        <w:spacing w:after="0" w:line="240" w:lineRule="auto"/>
        <w:contextualSpacing/>
        <w:rPr>
          <w:rFonts w:ascii="Arial" w:eastAsia="Times New Roman" w:hAnsi="Arial" w:cs="Arial"/>
          <w:sz w:val="20"/>
          <w:szCs w:val="20"/>
          <w:lang w:eastAsia="en-ZA"/>
        </w:rPr>
      </w:pPr>
      <w:r w:rsidRPr="00156CB3">
        <w:rPr>
          <w:rFonts w:ascii="Arial" w:eastAsia="Times New Roman" w:hAnsi="Arial" w:cs="Arial"/>
          <w:sz w:val="20"/>
          <w:szCs w:val="20"/>
          <w:lang w:eastAsia="en-ZA"/>
        </w:rPr>
        <w:t>To support the efficiencies of water boards.</w:t>
      </w:r>
    </w:p>
    <w:p w:rsidR="00027479" w:rsidRPr="00156CB3" w:rsidRDefault="00027479" w:rsidP="00156CB3">
      <w:pPr>
        <w:spacing w:after="0" w:line="240" w:lineRule="auto"/>
        <w:rPr>
          <w:rFonts w:ascii="Arial" w:eastAsia="Times New Roman" w:hAnsi="Arial" w:cs="Arial"/>
          <w:b/>
          <w:sz w:val="20"/>
          <w:szCs w:val="20"/>
          <w:lang w:eastAsia="en-ZA"/>
        </w:rPr>
      </w:pPr>
    </w:p>
    <w:p w:rsidR="008E20AC" w:rsidRPr="00156CB3" w:rsidRDefault="008E20AC" w:rsidP="00156CB3">
      <w:pPr>
        <w:spacing w:after="0" w:line="240" w:lineRule="auto"/>
        <w:contextualSpacing/>
        <w:rPr>
          <w:rFonts w:ascii="Arial" w:eastAsia="Times New Roman" w:hAnsi="Arial" w:cs="Arial"/>
          <w:b/>
          <w:sz w:val="20"/>
          <w:szCs w:val="20"/>
          <w:lang w:eastAsia="en-ZA"/>
        </w:rPr>
      </w:pPr>
      <w:r w:rsidRPr="00156CB3">
        <w:rPr>
          <w:rFonts w:ascii="Arial" w:eastAsia="Calibri" w:hAnsi="Arial" w:cs="Arial"/>
          <w:b/>
          <w:i/>
          <w:sz w:val="20"/>
          <w:szCs w:val="20"/>
          <w:lang w:eastAsia="en-ZA"/>
        </w:rPr>
        <w:t>6.4.1</w:t>
      </w:r>
      <w:r w:rsidRPr="00156CB3">
        <w:rPr>
          <w:rFonts w:ascii="Arial" w:eastAsia="Calibri" w:hAnsi="Arial" w:cs="Arial"/>
          <w:b/>
          <w:i/>
          <w:sz w:val="20"/>
          <w:szCs w:val="20"/>
          <w:lang w:eastAsia="en-ZA"/>
        </w:rPr>
        <w:tab/>
        <w:t>The Department of Water and Sanitation</w:t>
      </w:r>
      <w:r w:rsidR="0029215A" w:rsidRPr="00156CB3">
        <w:rPr>
          <w:rFonts w:ascii="Arial" w:eastAsia="Calibri" w:hAnsi="Arial" w:cs="Arial"/>
          <w:b/>
          <w:i/>
          <w:sz w:val="20"/>
          <w:szCs w:val="20"/>
          <w:lang w:eastAsia="en-ZA"/>
        </w:rPr>
        <w:t xml:space="preserve"> should</w:t>
      </w:r>
      <w:r w:rsidRPr="00156CB3">
        <w:rPr>
          <w:rFonts w:ascii="Arial" w:eastAsia="Calibri" w:hAnsi="Arial" w:cs="Arial"/>
          <w:b/>
          <w:i/>
          <w:sz w:val="20"/>
          <w:szCs w:val="20"/>
          <w:lang w:eastAsia="en-ZA"/>
        </w:rPr>
        <w:t xml:space="preserve"> provide a progress report, with </w:t>
      </w:r>
      <w:r w:rsidR="00ED72CA" w:rsidRPr="00156CB3">
        <w:rPr>
          <w:rFonts w:ascii="Arial" w:eastAsia="Calibri" w:hAnsi="Arial" w:cs="Arial"/>
          <w:b/>
          <w:i/>
          <w:sz w:val="20"/>
          <w:szCs w:val="20"/>
          <w:lang w:eastAsia="en-ZA"/>
        </w:rPr>
        <w:tab/>
      </w:r>
      <w:r w:rsidRPr="00156CB3">
        <w:rPr>
          <w:rFonts w:ascii="Arial" w:eastAsia="Calibri" w:hAnsi="Arial" w:cs="Arial"/>
          <w:b/>
          <w:i/>
          <w:sz w:val="20"/>
          <w:szCs w:val="20"/>
          <w:lang w:eastAsia="en-ZA"/>
        </w:rPr>
        <w:t xml:space="preserve">timeframes, </w:t>
      </w:r>
      <w:r w:rsidR="0029215A" w:rsidRPr="00156CB3">
        <w:rPr>
          <w:rFonts w:ascii="Arial" w:eastAsia="Calibri" w:hAnsi="Arial" w:cs="Arial"/>
          <w:b/>
          <w:i/>
          <w:sz w:val="20"/>
          <w:szCs w:val="20"/>
          <w:lang w:eastAsia="en-ZA"/>
        </w:rPr>
        <w:t xml:space="preserve">on </w:t>
      </w:r>
      <w:r w:rsidRPr="00156CB3">
        <w:rPr>
          <w:rFonts w:ascii="Arial" w:eastAsia="Calibri" w:hAnsi="Arial" w:cs="Arial"/>
          <w:b/>
          <w:i/>
          <w:sz w:val="20"/>
          <w:szCs w:val="20"/>
          <w:lang w:eastAsia="en-ZA"/>
        </w:rPr>
        <w:t>strategies to implement the recommendations of the Auditor-General.</w:t>
      </w:r>
    </w:p>
    <w:p w:rsidR="009C1EC4" w:rsidRPr="00156CB3" w:rsidRDefault="009C1EC4" w:rsidP="00156CB3">
      <w:pPr>
        <w:spacing w:after="0" w:line="240" w:lineRule="auto"/>
        <w:rPr>
          <w:rFonts w:ascii="Arial" w:hAnsi="Arial" w:cs="Arial"/>
          <w:color w:val="212529"/>
          <w:sz w:val="20"/>
          <w:szCs w:val="20"/>
          <w:shd w:val="clear" w:color="auto" w:fill="FFFFFF"/>
        </w:rPr>
      </w:pPr>
    </w:p>
    <w:p w:rsidR="00D62610" w:rsidRPr="00156CB3" w:rsidRDefault="00027479" w:rsidP="00156CB3">
      <w:pPr>
        <w:spacing w:after="0" w:line="240" w:lineRule="auto"/>
        <w:rPr>
          <w:rFonts w:ascii="Arial" w:hAnsi="Arial" w:cs="Arial"/>
          <w:b/>
          <w:sz w:val="20"/>
          <w:szCs w:val="20"/>
        </w:rPr>
      </w:pPr>
      <w:r w:rsidRPr="00156CB3">
        <w:rPr>
          <w:rFonts w:ascii="Arial" w:hAnsi="Arial" w:cs="Arial"/>
          <w:b/>
          <w:sz w:val="20"/>
          <w:szCs w:val="20"/>
        </w:rPr>
        <w:t>6.</w:t>
      </w:r>
      <w:r w:rsidR="009C1EC4" w:rsidRPr="00156CB3">
        <w:rPr>
          <w:rFonts w:ascii="Arial" w:hAnsi="Arial" w:cs="Arial"/>
          <w:b/>
          <w:sz w:val="20"/>
          <w:szCs w:val="20"/>
        </w:rPr>
        <w:t>5</w:t>
      </w:r>
      <w:r w:rsidRPr="00156CB3">
        <w:rPr>
          <w:rFonts w:ascii="Arial" w:hAnsi="Arial" w:cs="Arial"/>
          <w:b/>
          <w:sz w:val="20"/>
          <w:szCs w:val="20"/>
        </w:rPr>
        <w:tab/>
        <w:t>Strategies to deal with audit outcomes</w:t>
      </w:r>
    </w:p>
    <w:p w:rsidR="000648FB" w:rsidRPr="00156CB3" w:rsidRDefault="000648FB" w:rsidP="00156CB3">
      <w:pPr>
        <w:spacing w:after="0" w:line="240" w:lineRule="auto"/>
        <w:rPr>
          <w:rFonts w:ascii="Arial" w:hAnsi="Arial" w:cs="Arial"/>
          <w:sz w:val="20"/>
          <w:szCs w:val="20"/>
        </w:rPr>
      </w:pPr>
    </w:p>
    <w:p w:rsidR="000648FB" w:rsidRPr="00156CB3" w:rsidRDefault="00B570DA" w:rsidP="00156CB3">
      <w:pPr>
        <w:spacing w:after="0" w:line="240" w:lineRule="auto"/>
        <w:rPr>
          <w:rFonts w:ascii="Arial" w:hAnsi="Arial" w:cs="Arial"/>
          <w:sz w:val="20"/>
          <w:szCs w:val="20"/>
        </w:rPr>
      </w:pPr>
      <w:r w:rsidRPr="00156CB3">
        <w:rPr>
          <w:rFonts w:ascii="Arial" w:hAnsi="Arial" w:cs="Arial"/>
          <w:sz w:val="20"/>
          <w:szCs w:val="20"/>
        </w:rPr>
        <w:t xml:space="preserve">The Portfolio Committee appreciated the emphasis by the department to devise strategies to deal with audit outcomes, which comprise the following: </w:t>
      </w:r>
    </w:p>
    <w:p w:rsidR="009F04B7" w:rsidRPr="00156CB3" w:rsidRDefault="009F04B7" w:rsidP="00156CB3">
      <w:pPr>
        <w:spacing w:after="0" w:line="240" w:lineRule="auto"/>
        <w:rPr>
          <w:rFonts w:ascii="Arial" w:hAnsi="Arial" w:cs="Arial"/>
          <w:sz w:val="20"/>
          <w:szCs w:val="20"/>
        </w:rPr>
      </w:pPr>
    </w:p>
    <w:p w:rsidR="009F04B7" w:rsidRPr="00156CB3" w:rsidRDefault="009F04B7" w:rsidP="00156CB3">
      <w:pPr>
        <w:pStyle w:val="ListParagraph"/>
        <w:numPr>
          <w:ilvl w:val="0"/>
          <w:numId w:val="27"/>
        </w:numPr>
        <w:spacing w:after="0" w:line="240" w:lineRule="auto"/>
        <w:rPr>
          <w:rFonts w:ascii="Arial" w:hAnsi="Arial" w:cs="Arial"/>
          <w:sz w:val="20"/>
          <w:szCs w:val="20"/>
        </w:rPr>
      </w:pPr>
      <w:r w:rsidRPr="00156CB3">
        <w:rPr>
          <w:rFonts w:ascii="Arial" w:hAnsi="Arial" w:cs="Arial"/>
          <w:sz w:val="20"/>
          <w:szCs w:val="20"/>
        </w:rPr>
        <w:t>Implementing a turnaround and financial recovery plan which incorporates stabilisation of the Department (leadership, ethics and organisational culture, staff training and development), improvement of systems of internal controls, and preventative measures against fraud and corruption.</w:t>
      </w:r>
    </w:p>
    <w:p w:rsidR="009F04B7" w:rsidRPr="00156CB3" w:rsidRDefault="009F04B7" w:rsidP="00156CB3">
      <w:pPr>
        <w:pStyle w:val="ListParagraph"/>
        <w:numPr>
          <w:ilvl w:val="0"/>
          <w:numId w:val="27"/>
        </w:numPr>
        <w:spacing w:after="0" w:line="240" w:lineRule="auto"/>
        <w:rPr>
          <w:rFonts w:ascii="Arial" w:hAnsi="Arial" w:cs="Arial"/>
          <w:sz w:val="20"/>
          <w:szCs w:val="20"/>
        </w:rPr>
      </w:pPr>
      <w:r w:rsidRPr="00156CB3">
        <w:rPr>
          <w:rFonts w:ascii="Arial" w:hAnsi="Arial" w:cs="Arial"/>
          <w:sz w:val="20"/>
          <w:szCs w:val="20"/>
        </w:rPr>
        <w:t>Trend analysis of improper expenditure to ensure a decline in irregular, fruitless and wasteful expenditure.</w:t>
      </w:r>
    </w:p>
    <w:p w:rsidR="009F04B7" w:rsidRPr="00156CB3" w:rsidRDefault="009F04B7" w:rsidP="00156CB3">
      <w:pPr>
        <w:pStyle w:val="ListParagraph"/>
        <w:numPr>
          <w:ilvl w:val="0"/>
          <w:numId w:val="27"/>
        </w:numPr>
        <w:spacing w:after="0" w:line="240" w:lineRule="auto"/>
        <w:rPr>
          <w:rFonts w:ascii="Arial" w:hAnsi="Arial" w:cs="Arial"/>
          <w:sz w:val="20"/>
          <w:szCs w:val="20"/>
        </w:rPr>
      </w:pPr>
      <w:r w:rsidRPr="00156CB3">
        <w:rPr>
          <w:rFonts w:ascii="Arial" w:hAnsi="Arial" w:cs="Arial"/>
          <w:sz w:val="20"/>
          <w:szCs w:val="20"/>
        </w:rPr>
        <w:t>Improved planning and implementation of infrastructure procurement strategy.</w:t>
      </w:r>
    </w:p>
    <w:p w:rsidR="009F04B7" w:rsidRPr="00156CB3" w:rsidRDefault="009F04B7" w:rsidP="00156CB3">
      <w:pPr>
        <w:pStyle w:val="ListParagraph"/>
        <w:numPr>
          <w:ilvl w:val="0"/>
          <w:numId w:val="27"/>
        </w:numPr>
        <w:spacing w:after="0" w:line="240" w:lineRule="auto"/>
        <w:rPr>
          <w:rFonts w:ascii="Arial" w:hAnsi="Arial" w:cs="Arial"/>
          <w:sz w:val="20"/>
          <w:szCs w:val="20"/>
        </w:rPr>
      </w:pPr>
      <w:r w:rsidRPr="00156CB3">
        <w:rPr>
          <w:rFonts w:ascii="Arial" w:hAnsi="Arial" w:cs="Arial"/>
          <w:sz w:val="20"/>
          <w:szCs w:val="20"/>
        </w:rPr>
        <w:t>Measures are taken to eliminate irregular, fruitless and wasteful expenditure to be supported by preventative control measures.</w:t>
      </w:r>
    </w:p>
    <w:p w:rsidR="009F04B7" w:rsidRPr="00156CB3" w:rsidRDefault="009F04B7" w:rsidP="00156CB3">
      <w:pPr>
        <w:pStyle w:val="ListParagraph"/>
        <w:numPr>
          <w:ilvl w:val="0"/>
          <w:numId w:val="27"/>
        </w:numPr>
        <w:spacing w:after="0" w:line="240" w:lineRule="auto"/>
        <w:rPr>
          <w:rFonts w:ascii="Arial" w:hAnsi="Arial" w:cs="Arial"/>
          <w:sz w:val="20"/>
          <w:szCs w:val="20"/>
        </w:rPr>
      </w:pPr>
      <w:r w:rsidRPr="00156CB3">
        <w:rPr>
          <w:rFonts w:ascii="Arial" w:hAnsi="Arial" w:cs="Arial"/>
          <w:sz w:val="20"/>
          <w:szCs w:val="20"/>
        </w:rPr>
        <w:t>The implementation of an exit strategy on irregular contracts to ensure the current incidents of irregular expenditure from the prior year are terminated.</w:t>
      </w:r>
    </w:p>
    <w:p w:rsidR="009F04B7" w:rsidRPr="00156CB3" w:rsidRDefault="009F04B7" w:rsidP="00156CB3">
      <w:pPr>
        <w:pStyle w:val="ListParagraph"/>
        <w:numPr>
          <w:ilvl w:val="0"/>
          <w:numId w:val="27"/>
        </w:numPr>
        <w:spacing w:after="0" w:line="240" w:lineRule="auto"/>
        <w:rPr>
          <w:rFonts w:ascii="Arial" w:hAnsi="Arial" w:cs="Arial"/>
          <w:sz w:val="20"/>
          <w:szCs w:val="20"/>
        </w:rPr>
      </w:pPr>
      <w:r w:rsidRPr="00156CB3">
        <w:rPr>
          <w:rFonts w:ascii="Arial" w:hAnsi="Arial" w:cs="Arial"/>
          <w:sz w:val="20"/>
          <w:szCs w:val="20"/>
        </w:rPr>
        <w:t>Completion of an integrated water sector value chain support and intervention measures to improve water service delivery.</w:t>
      </w:r>
    </w:p>
    <w:p w:rsidR="00B570DA" w:rsidRPr="00156CB3" w:rsidRDefault="00B570DA" w:rsidP="00156CB3">
      <w:pPr>
        <w:spacing w:after="0" w:line="240" w:lineRule="auto"/>
        <w:rPr>
          <w:rFonts w:ascii="Arial" w:hAnsi="Arial" w:cs="Arial"/>
          <w:sz w:val="20"/>
          <w:szCs w:val="20"/>
        </w:rPr>
      </w:pPr>
    </w:p>
    <w:p w:rsidR="000648FB" w:rsidRPr="00156CB3" w:rsidRDefault="009C1EC4" w:rsidP="00156CB3">
      <w:pPr>
        <w:spacing w:after="0" w:line="240" w:lineRule="auto"/>
        <w:rPr>
          <w:rFonts w:ascii="Arial" w:hAnsi="Arial" w:cs="Arial"/>
          <w:b/>
          <w:i/>
          <w:sz w:val="20"/>
          <w:szCs w:val="20"/>
        </w:rPr>
      </w:pPr>
      <w:r w:rsidRPr="00156CB3">
        <w:rPr>
          <w:rFonts w:ascii="Arial" w:hAnsi="Arial" w:cs="Arial"/>
          <w:b/>
          <w:i/>
          <w:sz w:val="20"/>
          <w:szCs w:val="20"/>
        </w:rPr>
        <w:t>6.5</w:t>
      </w:r>
      <w:r w:rsidR="006B76B9" w:rsidRPr="00156CB3">
        <w:rPr>
          <w:rFonts w:ascii="Arial" w:hAnsi="Arial" w:cs="Arial"/>
          <w:b/>
          <w:i/>
          <w:sz w:val="20"/>
          <w:szCs w:val="20"/>
        </w:rPr>
        <w:t>.1</w:t>
      </w:r>
      <w:r w:rsidR="00C51245" w:rsidRPr="00156CB3">
        <w:rPr>
          <w:rFonts w:ascii="Arial" w:hAnsi="Arial" w:cs="Arial"/>
          <w:b/>
          <w:i/>
          <w:sz w:val="20"/>
          <w:szCs w:val="20"/>
        </w:rPr>
        <w:tab/>
        <w:t>The Department should</w:t>
      </w:r>
      <w:r w:rsidR="005216B4" w:rsidRPr="00156CB3">
        <w:rPr>
          <w:rFonts w:ascii="Arial" w:hAnsi="Arial" w:cs="Arial"/>
          <w:b/>
          <w:i/>
          <w:sz w:val="20"/>
          <w:szCs w:val="20"/>
        </w:rPr>
        <w:t>,</w:t>
      </w:r>
      <w:r w:rsidR="00C51245" w:rsidRPr="00156CB3">
        <w:rPr>
          <w:rFonts w:ascii="Arial" w:hAnsi="Arial" w:cs="Arial"/>
          <w:b/>
          <w:i/>
          <w:sz w:val="20"/>
          <w:szCs w:val="20"/>
        </w:rPr>
        <w:t xml:space="preserve"> on a quarterly basis</w:t>
      </w:r>
      <w:r w:rsidR="009F04B7" w:rsidRPr="00156CB3">
        <w:rPr>
          <w:rFonts w:ascii="Arial" w:hAnsi="Arial" w:cs="Arial"/>
          <w:b/>
          <w:i/>
          <w:sz w:val="20"/>
          <w:szCs w:val="20"/>
        </w:rPr>
        <w:t>,</w:t>
      </w:r>
      <w:r w:rsidR="000476A7" w:rsidRPr="00156CB3">
        <w:rPr>
          <w:rFonts w:ascii="Arial" w:hAnsi="Arial" w:cs="Arial"/>
          <w:b/>
          <w:i/>
          <w:sz w:val="20"/>
          <w:szCs w:val="20"/>
        </w:rPr>
        <w:t xml:space="preserve"> provide a</w:t>
      </w:r>
      <w:r w:rsidR="00C51245" w:rsidRPr="00156CB3">
        <w:rPr>
          <w:rFonts w:ascii="Arial" w:hAnsi="Arial" w:cs="Arial"/>
          <w:b/>
          <w:i/>
          <w:sz w:val="20"/>
          <w:szCs w:val="20"/>
        </w:rPr>
        <w:t xml:space="preserve"> systematic approach to the </w:t>
      </w:r>
      <w:r w:rsidR="00ED72CA" w:rsidRPr="00156CB3">
        <w:rPr>
          <w:rFonts w:ascii="Arial" w:hAnsi="Arial" w:cs="Arial"/>
          <w:b/>
          <w:i/>
          <w:sz w:val="20"/>
          <w:szCs w:val="20"/>
        </w:rPr>
        <w:tab/>
        <w:t xml:space="preserve">outcomes </w:t>
      </w:r>
      <w:r w:rsidR="00C51245" w:rsidRPr="00156CB3">
        <w:rPr>
          <w:rFonts w:ascii="Arial" w:hAnsi="Arial" w:cs="Arial"/>
          <w:b/>
          <w:i/>
          <w:sz w:val="20"/>
          <w:szCs w:val="20"/>
        </w:rPr>
        <w:t xml:space="preserve">and targets achieved in implementing strategies to deal with audit </w:t>
      </w:r>
      <w:r w:rsidR="00ED72CA" w:rsidRPr="00156CB3">
        <w:rPr>
          <w:rFonts w:ascii="Arial" w:hAnsi="Arial" w:cs="Arial"/>
          <w:b/>
          <w:i/>
          <w:sz w:val="20"/>
          <w:szCs w:val="20"/>
        </w:rPr>
        <w:tab/>
      </w:r>
      <w:r w:rsidR="00C51245" w:rsidRPr="00156CB3">
        <w:rPr>
          <w:rFonts w:ascii="Arial" w:hAnsi="Arial" w:cs="Arial"/>
          <w:b/>
          <w:i/>
          <w:sz w:val="20"/>
          <w:szCs w:val="20"/>
        </w:rPr>
        <w:t>outcomes</w:t>
      </w:r>
      <w:r w:rsidR="00ED72CA" w:rsidRPr="00156CB3">
        <w:rPr>
          <w:rFonts w:ascii="Arial" w:hAnsi="Arial" w:cs="Arial"/>
          <w:b/>
          <w:i/>
          <w:sz w:val="20"/>
          <w:szCs w:val="20"/>
        </w:rPr>
        <w:t>.</w:t>
      </w:r>
    </w:p>
    <w:p w:rsidR="00F16FAE" w:rsidRPr="00156CB3" w:rsidRDefault="009C1EC4" w:rsidP="00156CB3">
      <w:pPr>
        <w:autoSpaceDE w:val="0"/>
        <w:autoSpaceDN w:val="0"/>
        <w:adjustRightInd w:val="0"/>
        <w:spacing w:after="0" w:line="240" w:lineRule="auto"/>
        <w:rPr>
          <w:rFonts w:ascii="Arial" w:eastAsia="MyriadPro-Regular" w:hAnsi="Arial" w:cs="Arial"/>
          <w:b/>
          <w:color w:val="000000"/>
          <w:sz w:val="20"/>
          <w:szCs w:val="20"/>
        </w:rPr>
      </w:pPr>
      <w:r w:rsidRPr="00156CB3">
        <w:rPr>
          <w:rFonts w:ascii="Arial" w:eastAsia="MyriadPro-Regular" w:hAnsi="Arial" w:cs="Arial"/>
          <w:b/>
          <w:color w:val="000000"/>
          <w:sz w:val="20"/>
          <w:szCs w:val="20"/>
        </w:rPr>
        <w:t>6.6</w:t>
      </w:r>
      <w:r w:rsidR="00F16FAE" w:rsidRPr="00156CB3">
        <w:rPr>
          <w:rFonts w:ascii="Arial" w:eastAsia="MyriadPro-Regular" w:hAnsi="Arial" w:cs="Arial"/>
          <w:b/>
          <w:color w:val="000000"/>
          <w:sz w:val="20"/>
          <w:szCs w:val="20"/>
        </w:rPr>
        <w:tab/>
        <w:t xml:space="preserve">Establishment of Regional Utilities </w:t>
      </w:r>
      <w:r w:rsidR="002562AC" w:rsidRPr="00156CB3">
        <w:rPr>
          <w:rFonts w:ascii="Arial" w:eastAsia="MyriadPro-Regular" w:hAnsi="Arial" w:cs="Arial"/>
          <w:b/>
          <w:color w:val="000000"/>
          <w:sz w:val="20"/>
          <w:szCs w:val="20"/>
        </w:rPr>
        <w:t xml:space="preserve">and additional Catchment Management </w:t>
      </w:r>
      <w:r w:rsidR="00ED72CA" w:rsidRPr="00156CB3">
        <w:rPr>
          <w:rFonts w:ascii="Arial" w:eastAsia="MyriadPro-Regular" w:hAnsi="Arial" w:cs="Arial"/>
          <w:b/>
          <w:color w:val="000000"/>
          <w:sz w:val="20"/>
          <w:szCs w:val="20"/>
        </w:rPr>
        <w:tab/>
      </w:r>
      <w:r w:rsidR="002562AC" w:rsidRPr="00156CB3">
        <w:rPr>
          <w:rFonts w:ascii="Arial" w:eastAsia="MyriadPro-Regular" w:hAnsi="Arial" w:cs="Arial"/>
          <w:b/>
          <w:color w:val="000000"/>
          <w:sz w:val="20"/>
          <w:szCs w:val="20"/>
        </w:rPr>
        <w:t>Agencies</w:t>
      </w:r>
    </w:p>
    <w:p w:rsidR="00F16FAE" w:rsidRPr="00156CB3" w:rsidRDefault="00F16FAE" w:rsidP="00156CB3">
      <w:pPr>
        <w:autoSpaceDE w:val="0"/>
        <w:autoSpaceDN w:val="0"/>
        <w:adjustRightInd w:val="0"/>
        <w:spacing w:after="0" w:line="240" w:lineRule="auto"/>
        <w:rPr>
          <w:rFonts w:ascii="Arial" w:eastAsia="MyriadPro-Regular" w:hAnsi="Arial" w:cs="Arial"/>
          <w:color w:val="000000"/>
          <w:sz w:val="20"/>
          <w:szCs w:val="20"/>
        </w:rPr>
      </w:pPr>
    </w:p>
    <w:p w:rsidR="00F16FAE" w:rsidRPr="00156CB3" w:rsidRDefault="00F16FAE" w:rsidP="00156CB3">
      <w:pPr>
        <w:autoSpaceDE w:val="0"/>
        <w:autoSpaceDN w:val="0"/>
        <w:adjustRightInd w:val="0"/>
        <w:spacing w:after="0" w:line="240" w:lineRule="auto"/>
        <w:rPr>
          <w:rFonts w:ascii="Arial" w:eastAsia="MyriadPro-Regular" w:hAnsi="Arial" w:cs="Arial"/>
          <w:color w:val="000000"/>
          <w:sz w:val="20"/>
          <w:szCs w:val="20"/>
        </w:rPr>
      </w:pPr>
      <w:r w:rsidRPr="00156CB3">
        <w:rPr>
          <w:rFonts w:ascii="Arial" w:eastAsia="MyriadPro-Regular" w:hAnsi="Arial" w:cs="Arial"/>
          <w:color w:val="000000"/>
          <w:sz w:val="20"/>
          <w:szCs w:val="20"/>
        </w:rPr>
        <w:t>The Depart</w:t>
      </w:r>
      <w:r w:rsidR="002D749D" w:rsidRPr="00156CB3">
        <w:rPr>
          <w:rFonts w:ascii="Arial" w:eastAsia="MyriadPro-Regular" w:hAnsi="Arial" w:cs="Arial"/>
          <w:color w:val="000000"/>
          <w:sz w:val="20"/>
          <w:szCs w:val="20"/>
        </w:rPr>
        <w:t>ment noted the concerns that</w:t>
      </w:r>
      <w:r w:rsidRPr="00156CB3">
        <w:rPr>
          <w:rFonts w:ascii="Arial" w:eastAsia="MyriadPro-Regular" w:hAnsi="Arial" w:cs="Arial"/>
          <w:color w:val="000000"/>
          <w:sz w:val="20"/>
          <w:szCs w:val="20"/>
        </w:rPr>
        <w:t xml:space="preserve"> Members of the Portfolio Committee</w:t>
      </w:r>
      <w:r w:rsidR="002D749D" w:rsidRPr="00156CB3">
        <w:rPr>
          <w:rFonts w:ascii="Arial" w:eastAsia="MyriadPro-Regular" w:hAnsi="Arial" w:cs="Arial"/>
          <w:color w:val="000000"/>
          <w:sz w:val="20"/>
          <w:szCs w:val="20"/>
        </w:rPr>
        <w:t xml:space="preserve"> raised</w:t>
      </w:r>
      <w:r w:rsidRPr="00156CB3">
        <w:rPr>
          <w:rFonts w:ascii="Arial" w:eastAsia="MyriadPro-Regular" w:hAnsi="Arial" w:cs="Arial"/>
          <w:color w:val="000000"/>
          <w:sz w:val="20"/>
          <w:szCs w:val="20"/>
        </w:rPr>
        <w:t xml:space="preserve"> on the institutional realignment by rationalising water boards to regional utilities as options to unlock </w:t>
      </w:r>
      <w:r w:rsidR="002D749D" w:rsidRPr="00156CB3">
        <w:rPr>
          <w:rFonts w:ascii="Arial" w:eastAsia="MyriadPro-Regular" w:hAnsi="Arial" w:cs="Arial"/>
          <w:color w:val="000000"/>
          <w:sz w:val="20"/>
          <w:szCs w:val="20"/>
        </w:rPr>
        <w:t xml:space="preserve">the </w:t>
      </w:r>
      <w:r w:rsidRPr="00156CB3">
        <w:rPr>
          <w:rFonts w:ascii="Arial" w:eastAsia="MyriadPro-Regular" w:hAnsi="Arial" w:cs="Arial"/>
          <w:color w:val="000000"/>
          <w:sz w:val="20"/>
          <w:szCs w:val="20"/>
        </w:rPr>
        <w:t>expansion of services and provide progress reports</w:t>
      </w:r>
      <w:r w:rsidR="00F82F3A" w:rsidRPr="00156CB3">
        <w:rPr>
          <w:rFonts w:ascii="Arial" w:eastAsia="MyriadPro-Regular" w:hAnsi="Arial" w:cs="Arial"/>
          <w:color w:val="000000"/>
          <w:sz w:val="20"/>
          <w:szCs w:val="20"/>
        </w:rPr>
        <w:t>.</w:t>
      </w:r>
    </w:p>
    <w:p w:rsidR="00F16FAE" w:rsidRPr="00156CB3" w:rsidRDefault="00F16FAE" w:rsidP="00156CB3">
      <w:pPr>
        <w:autoSpaceDE w:val="0"/>
        <w:autoSpaceDN w:val="0"/>
        <w:adjustRightInd w:val="0"/>
        <w:spacing w:after="0" w:line="240" w:lineRule="auto"/>
        <w:rPr>
          <w:rFonts w:ascii="Arial" w:eastAsia="MyriadPro-Regular" w:hAnsi="Arial" w:cs="Arial"/>
          <w:color w:val="000000"/>
          <w:sz w:val="20"/>
          <w:szCs w:val="20"/>
        </w:rPr>
      </w:pPr>
    </w:p>
    <w:p w:rsidR="002B172B" w:rsidRPr="00156CB3" w:rsidRDefault="009C1EC4" w:rsidP="00156CB3">
      <w:pPr>
        <w:spacing w:after="0" w:line="240" w:lineRule="auto"/>
        <w:rPr>
          <w:rFonts w:ascii="Arial" w:eastAsia="Times New Roman" w:hAnsi="Arial" w:cs="Arial"/>
          <w:b/>
          <w:color w:val="000000"/>
          <w:spacing w:val="6"/>
          <w:sz w:val="20"/>
          <w:szCs w:val="20"/>
          <w:lang w:val="en-GB" w:eastAsia="en-GB"/>
        </w:rPr>
      </w:pPr>
      <w:r w:rsidRPr="00156CB3">
        <w:rPr>
          <w:rFonts w:ascii="Arial" w:eastAsia="MyriadPro-Regular" w:hAnsi="Arial" w:cs="Arial"/>
          <w:b/>
          <w:i/>
          <w:color w:val="000000"/>
          <w:sz w:val="20"/>
          <w:szCs w:val="20"/>
        </w:rPr>
        <w:t>6.6</w:t>
      </w:r>
      <w:r w:rsidR="00F16FAE" w:rsidRPr="00156CB3">
        <w:rPr>
          <w:rFonts w:ascii="Arial" w:eastAsia="MyriadPro-Regular" w:hAnsi="Arial" w:cs="Arial"/>
          <w:b/>
          <w:i/>
          <w:color w:val="000000"/>
          <w:sz w:val="20"/>
          <w:szCs w:val="20"/>
        </w:rPr>
        <w:t>.1</w:t>
      </w:r>
      <w:r w:rsidR="00F16FAE" w:rsidRPr="00156CB3">
        <w:rPr>
          <w:rFonts w:ascii="Arial" w:eastAsia="MyriadPro-Regular" w:hAnsi="Arial" w:cs="Arial"/>
          <w:b/>
          <w:i/>
          <w:color w:val="000000"/>
          <w:sz w:val="20"/>
          <w:szCs w:val="20"/>
        </w:rPr>
        <w:tab/>
        <w:t>The Portfolio Committee recommended tha</w:t>
      </w:r>
      <w:r w:rsidR="002D749D" w:rsidRPr="00156CB3">
        <w:rPr>
          <w:rFonts w:ascii="Arial" w:eastAsia="MyriadPro-Regular" w:hAnsi="Arial" w:cs="Arial"/>
          <w:b/>
          <w:i/>
          <w:color w:val="000000"/>
          <w:sz w:val="20"/>
          <w:szCs w:val="20"/>
        </w:rPr>
        <w:t>t the Department fast-</w:t>
      </w:r>
      <w:r w:rsidR="009C67F6" w:rsidRPr="00156CB3">
        <w:rPr>
          <w:rFonts w:ascii="Arial" w:eastAsia="MyriadPro-Regular" w:hAnsi="Arial" w:cs="Arial"/>
          <w:b/>
          <w:i/>
          <w:color w:val="000000"/>
          <w:sz w:val="20"/>
          <w:szCs w:val="20"/>
        </w:rPr>
        <w:t>track water boards</w:t>
      </w:r>
      <w:r w:rsidR="00F16FAE" w:rsidRPr="00156CB3">
        <w:rPr>
          <w:rFonts w:ascii="Arial" w:eastAsia="MyriadPro-Regular" w:hAnsi="Arial" w:cs="Arial"/>
          <w:b/>
          <w:i/>
          <w:color w:val="000000"/>
          <w:sz w:val="20"/>
          <w:szCs w:val="20"/>
        </w:rPr>
        <w:t xml:space="preserve"> </w:t>
      </w:r>
      <w:r w:rsidR="00F16FAE" w:rsidRPr="00156CB3">
        <w:rPr>
          <w:rFonts w:ascii="Arial" w:eastAsia="MyriadPro-Regular" w:hAnsi="Arial" w:cs="Arial"/>
          <w:b/>
          <w:i/>
          <w:color w:val="000000"/>
          <w:sz w:val="20"/>
          <w:szCs w:val="20"/>
        </w:rPr>
        <w:tab/>
        <w:t>realignment to regional utilities and provide a progress report.</w:t>
      </w:r>
      <w:r w:rsidR="002B172B" w:rsidRPr="00156CB3">
        <w:rPr>
          <w:rFonts w:ascii="Arial" w:eastAsia="Times New Roman" w:hAnsi="Arial" w:cs="Arial"/>
          <w:b/>
          <w:color w:val="000000"/>
          <w:spacing w:val="6"/>
          <w:sz w:val="20"/>
          <w:szCs w:val="20"/>
          <w:lang w:val="en-GB" w:eastAsia="en-GB"/>
        </w:rPr>
        <w:t xml:space="preserve"> </w:t>
      </w:r>
    </w:p>
    <w:p w:rsidR="002D6E13" w:rsidRPr="00156CB3" w:rsidRDefault="002D6E13" w:rsidP="00156CB3">
      <w:pPr>
        <w:spacing w:after="0" w:line="240" w:lineRule="auto"/>
        <w:rPr>
          <w:rFonts w:ascii="Arial" w:eastAsia="Times New Roman" w:hAnsi="Arial" w:cs="Arial"/>
          <w:b/>
          <w:color w:val="000000"/>
          <w:spacing w:val="6"/>
          <w:sz w:val="20"/>
          <w:szCs w:val="20"/>
          <w:lang w:val="en-GB" w:eastAsia="en-GB"/>
        </w:rPr>
      </w:pPr>
    </w:p>
    <w:p w:rsidR="002B172B" w:rsidRPr="00156CB3" w:rsidRDefault="009C1EC4" w:rsidP="00156CB3">
      <w:pPr>
        <w:spacing w:after="0" w:line="240" w:lineRule="auto"/>
        <w:rPr>
          <w:rFonts w:ascii="Arial" w:eastAsia="Calibri" w:hAnsi="Arial" w:cs="Arial"/>
          <w:b/>
          <w:sz w:val="20"/>
          <w:szCs w:val="20"/>
          <w:lang w:eastAsia="en-ZA"/>
        </w:rPr>
      </w:pPr>
      <w:r w:rsidRPr="00156CB3">
        <w:rPr>
          <w:rFonts w:ascii="Arial" w:eastAsia="Times New Roman" w:hAnsi="Arial" w:cs="Arial"/>
          <w:b/>
          <w:color w:val="000000"/>
          <w:spacing w:val="6"/>
          <w:sz w:val="20"/>
          <w:szCs w:val="20"/>
          <w:lang w:val="en-GB" w:eastAsia="en-GB"/>
        </w:rPr>
        <w:t>6.7</w:t>
      </w:r>
      <w:r w:rsidR="002B172B" w:rsidRPr="00156CB3">
        <w:rPr>
          <w:rFonts w:ascii="Arial" w:eastAsia="Times New Roman" w:hAnsi="Arial" w:cs="Arial"/>
          <w:b/>
          <w:color w:val="000000"/>
          <w:spacing w:val="6"/>
          <w:sz w:val="20"/>
          <w:szCs w:val="20"/>
          <w:lang w:val="en-GB" w:eastAsia="en-GB"/>
        </w:rPr>
        <w:tab/>
      </w:r>
      <w:r w:rsidR="002B172B" w:rsidRPr="00156CB3">
        <w:rPr>
          <w:rFonts w:ascii="Arial" w:eastAsia="Calibri" w:hAnsi="Arial" w:cs="Arial"/>
          <w:b/>
          <w:sz w:val="20"/>
          <w:szCs w:val="20"/>
          <w:lang w:eastAsia="en-ZA"/>
        </w:rPr>
        <w:t>Eradication of the Bucket System in Formal Settlements</w:t>
      </w:r>
    </w:p>
    <w:p w:rsidR="002B172B" w:rsidRPr="00156CB3" w:rsidRDefault="002B172B" w:rsidP="00156CB3">
      <w:pPr>
        <w:spacing w:after="0" w:line="240" w:lineRule="auto"/>
        <w:rPr>
          <w:rFonts w:ascii="Arial" w:eastAsia="Calibri" w:hAnsi="Arial" w:cs="Arial"/>
          <w:b/>
          <w:sz w:val="20"/>
          <w:szCs w:val="20"/>
          <w:lang w:eastAsia="en-ZA"/>
        </w:rPr>
      </w:pPr>
    </w:p>
    <w:p w:rsidR="002B172B" w:rsidRPr="00156CB3" w:rsidRDefault="002B172B" w:rsidP="00156CB3">
      <w:pPr>
        <w:spacing w:after="0" w:line="240" w:lineRule="auto"/>
        <w:rPr>
          <w:rFonts w:ascii="Arial" w:eastAsia="Calibri" w:hAnsi="Arial" w:cs="Arial"/>
          <w:sz w:val="20"/>
          <w:szCs w:val="20"/>
          <w:lang w:eastAsia="en-ZA"/>
        </w:rPr>
      </w:pPr>
      <w:r w:rsidRPr="00156CB3">
        <w:rPr>
          <w:rFonts w:ascii="Arial" w:eastAsia="Calibri" w:hAnsi="Arial" w:cs="Arial"/>
          <w:sz w:val="20"/>
          <w:szCs w:val="20"/>
          <w:lang w:eastAsia="en-ZA"/>
        </w:rPr>
        <w:t>The Portfolio Committee noted the shift in numbers with regard to the bucket eradication programme, but was concerned at the delay in completion of the remaining eradication of buckets in the Free State</w:t>
      </w:r>
      <w:r w:rsidR="002D6E13" w:rsidRPr="00156CB3">
        <w:rPr>
          <w:rFonts w:ascii="Arial" w:eastAsia="Calibri" w:hAnsi="Arial" w:cs="Arial"/>
          <w:sz w:val="20"/>
          <w:szCs w:val="20"/>
          <w:lang w:eastAsia="en-ZA"/>
        </w:rPr>
        <w:t xml:space="preserve"> and Northern Cape</w:t>
      </w:r>
      <w:r w:rsidRPr="00156CB3">
        <w:rPr>
          <w:rFonts w:ascii="Arial" w:eastAsia="Calibri" w:hAnsi="Arial" w:cs="Arial"/>
          <w:sz w:val="20"/>
          <w:szCs w:val="20"/>
          <w:lang w:eastAsia="en-ZA"/>
        </w:rPr>
        <w:t xml:space="preserve">. </w:t>
      </w:r>
      <w:r w:rsidR="002D749D" w:rsidRPr="00156CB3">
        <w:rPr>
          <w:rFonts w:ascii="Arial" w:eastAsia="Calibri" w:hAnsi="Arial" w:cs="Arial"/>
          <w:sz w:val="20"/>
          <w:szCs w:val="20"/>
          <w:lang w:eastAsia="en-ZA"/>
        </w:rPr>
        <w:t xml:space="preserve"> Of concern to the committee is</w:t>
      </w:r>
      <w:r w:rsidRPr="00156CB3">
        <w:rPr>
          <w:rFonts w:ascii="Arial" w:eastAsia="Calibri" w:hAnsi="Arial" w:cs="Arial"/>
          <w:sz w:val="20"/>
          <w:szCs w:val="20"/>
          <w:lang w:eastAsia="en-ZA"/>
        </w:rPr>
        <w:t xml:space="preserve"> the</w:t>
      </w:r>
      <w:r w:rsidR="002D749D" w:rsidRPr="00156CB3">
        <w:rPr>
          <w:rFonts w:ascii="Arial" w:eastAsia="Calibri" w:hAnsi="Arial" w:cs="Arial"/>
          <w:sz w:val="20"/>
          <w:szCs w:val="20"/>
          <w:lang w:eastAsia="en-ZA"/>
        </w:rPr>
        <w:t xml:space="preserve"> project's escalating costs due to procurement delays; and site chall</w:t>
      </w:r>
      <w:r w:rsidR="00F82F3A" w:rsidRPr="00156CB3">
        <w:rPr>
          <w:rFonts w:ascii="Arial" w:eastAsia="Calibri" w:hAnsi="Arial" w:cs="Arial"/>
          <w:sz w:val="20"/>
          <w:szCs w:val="20"/>
          <w:lang w:eastAsia="en-ZA"/>
        </w:rPr>
        <w:t>enges related to the inaccessibility of constructing</w:t>
      </w:r>
      <w:r w:rsidR="002D749D" w:rsidRPr="00156CB3">
        <w:rPr>
          <w:rFonts w:ascii="Arial" w:eastAsia="Calibri" w:hAnsi="Arial" w:cs="Arial"/>
          <w:sz w:val="20"/>
          <w:szCs w:val="20"/>
          <w:lang w:eastAsia="en-ZA"/>
        </w:rPr>
        <w:t xml:space="preserve"> toilets in certain areas, due to difficult geological</w:t>
      </w:r>
      <w:r w:rsidRPr="00156CB3">
        <w:rPr>
          <w:rFonts w:ascii="Arial" w:eastAsia="Calibri" w:hAnsi="Arial" w:cs="Arial"/>
          <w:sz w:val="20"/>
          <w:szCs w:val="20"/>
          <w:lang w:eastAsia="en-ZA"/>
        </w:rPr>
        <w:t xml:space="preserve"> terrains.  </w:t>
      </w:r>
    </w:p>
    <w:p w:rsidR="002D6E13" w:rsidRPr="00156CB3" w:rsidRDefault="002D6E13" w:rsidP="00156CB3">
      <w:pPr>
        <w:spacing w:after="0" w:line="240" w:lineRule="auto"/>
        <w:rPr>
          <w:rFonts w:ascii="Arial" w:eastAsia="Calibri" w:hAnsi="Arial" w:cs="Arial"/>
          <w:sz w:val="20"/>
          <w:szCs w:val="20"/>
          <w:lang w:eastAsia="en-ZA"/>
        </w:rPr>
      </w:pPr>
    </w:p>
    <w:p w:rsidR="002D6E13" w:rsidRPr="00156CB3" w:rsidRDefault="009C1EC4" w:rsidP="00156CB3">
      <w:pPr>
        <w:spacing w:after="0" w:line="240" w:lineRule="auto"/>
        <w:rPr>
          <w:rFonts w:ascii="Arial" w:eastAsia="Calibri" w:hAnsi="Arial" w:cs="Arial"/>
          <w:b/>
          <w:i/>
          <w:sz w:val="20"/>
          <w:szCs w:val="20"/>
          <w:lang w:eastAsia="en-ZA"/>
        </w:rPr>
      </w:pPr>
      <w:r w:rsidRPr="00156CB3">
        <w:rPr>
          <w:rFonts w:ascii="Arial" w:eastAsia="Calibri" w:hAnsi="Arial" w:cs="Arial"/>
          <w:b/>
          <w:i/>
          <w:sz w:val="20"/>
          <w:szCs w:val="20"/>
          <w:lang w:eastAsia="en-ZA"/>
        </w:rPr>
        <w:t>6.7.1</w:t>
      </w:r>
      <w:r w:rsidR="002B172B" w:rsidRPr="00156CB3">
        <w:rPr>
          <w:rFonts w:ascii="Arial" w:eastAsia="Calibri" w:hAnsi="Arial" w:cs="Arial"/>
          <w:b/>
          <w:i/>
          <w:sz w:val="20"/>
          <w:szCs w:val="20"/>
          <w:lang w:eastAsia="en-ZA"/>
        </w:rPr>
        <w:tab/>
      </w:r>
      <w:r w:rsidR="002D6E13" w:rsidRPr="00156CB3">
        <w:rPr>
          <w:rFonts w:ascii="Arial" w:eastAsia="Calibri" w:hAnsi="Arial" w:cs="Arial"/>
          <w:b/>
          <w:i/>
          <w:sz w:val="20"/>
          <w:szCs w:val="20"/>
          <w:lang w:eastAsia="en-ZA"/>
        </w:rPr>
        <w:t>The Portfolio Committee resolved that a non-negotiable timeframe, with a ring-</w:t>
      </w:r>
      <w:r w:rsidR="00ED72CA" w:rsidRPr="00156CB3">
        <w:rPr>
          <w:rFonts w:ascii="Arial" w:eastAsia="Calibri" w:hAnsi="Arial" w:cs="Arial"/>
          <w:b/>
          <w:i/>
          <w:sz w:val="20"/>
          <w:szCs w:val="20"/>
          <w:lang w:eastAsia="en-ZA"/>
        </w:rPr>
        <w:tab/>
      </w:r>
      <w:r w:rsidR="002D6E13" w:rsidRPr="00156CB3">
        <w:rPr>
          <w:rFonts w:ascii="Arial" w:eastAsia="Calibri" w:hAnsi="Arial" w:cs="Arial"/>
          <w:b/>
          <w:i/>
          <w:sz w:val="20"/>
          <w:szCs w:val="20"/>
          <w:lang w:eastAsia="en-ZA"/>
        </w:rPr>
        <w:t xml:space="preserve">fenced </w:t>
      </w:r>
      <w:r w:rsidRPr="00156CB3">
        <w:rPr>
          <w:rFonts w:ascii="Arial" w:eastAsia="Calibri" w:hAnsi="Arial" w:cs="Arial"/>
          <w:b/>
          <w:i/>
          <w:sz w:val="20"/>
          <w:szCs w:val="20"/>
          <w:lang w:eastAsia="en-ZA"/>
        </w:rPr>
        <w:tab/>
      </w:r>
      <w:r w:rsidR="00ED72CA" w:rsidRPr="00156CB3">
        <w:rPr>
          <w:rFonts w:ascii="Arial" w:eastAsia="Calibri" w:hAnsi="Arial" w:cs="Arial"/>
          <w:b/>
          <w:i/>
          <w:sz w:val="20"/>
          <w:szCs w:val="20"/>
          <w:lang w:eastAsia="en-ZA"/>
        </w:rPr>
        <w:t xml:space="preserve">budget </w:t>
      </w:r>
      <w:r w:rsidR="002D6E13" w:rsidRPr="00156CB3">
        <w:rPr>
          <w:rFonts w:ascii="Arial" w:eastAsia="Calibri" w:hAnsi="Arial" w:cs="Arial"/>
          <w:b/>
          <w:i/>
          <w:sz w:val="20"/>
          <w:szCs w:val="20"/>
          <w:lang w:eastAsia="en-ZA"/>
        </w:rPr>
        <w:t>for this programme</w:t>
      </w:r>
      <w:r w:rsidR="002D749D" w:rsidRPr="00156CB3">
        <w:rPr>
          <w:rFonts w:ascii="Arial" w:eastAsia="Calibri" w:hAnsi="Arial" w:cs="Arial"/>
          <w:b/>
          <w:i/>
          <w:sz w:val="20"/>
          <w:szCs w:val="20"/>
          <w:lang w:eastAsia="en-ZA"/>
        </w:rPr>
        <w:t>,</w:t>
      </w:r>
      <w:r w:rsidR="002D6E13" w:rsidRPr="00156CB3">
        <w:rPr>
          <w:rFonts w:ascii="Arial" w:eastAsia="Calibri" w:hAnsi="Arial" w:cs="Arial"/>
          <w:b/>
          <w:i/>
          <w:sz w:val="20"/>
          <w:szCs w:val="20"/>
          <w:lang w:eastAsia="en-ZA"/>
        </w:rPr>
        <w:t xml:space="preserve"> should be prioritised.</w:t>
      </w:r>
    </w:p>
    <w:p w:rsidR="009C1EC4" w:rsidRPr="00156CB3" w:rsidRDefault="009C1EC4" w:rsidP="00156CB3">
      <w:pPr>
        <w:spacing w:after="0" w:line="240" w:lineRule="auto"/>
        <w:rPr>
          <w:rFonts w:ascii="Arial" w:eastAsia="Calibri" w:hAnsi="Arial" w:cs="Arial"/>
          <w:i/>
          <w:sz w:val="20"/>
          <w:szCs w:val="20"/>
          <w:lang w:eastAsia="en-ZA"/>
        </w:rPr>
      </w:pPr>
    </w:p>
    <w:p w:rsidR="002B172B" w:rsidRPr="00156CB3" w:rsidRDefault="009C1EC4" w:rsidP="00156CB3">
      <w:pPr>
        <w:spacing w:after="0" w:line="240" w:lineRule="auto"/>
        <w:rPr>
          <w:rFonts w:ascii="Arial" w:eastAsia="Times New Roman" w:hAnsi="Arial" w:cs="Arial"/>
          <w:b/>
          <w:color w:val="000000"/>
          <w:spacing w:val="6"/>
          <w:sz w:val="20"/>
          <w:szCs w:val="20"/>
          <w:lang w:val="en-GB" w:eastAsia="en-GB"/>
        </w:rPr>
      </w:pPr>
      <w:r w:rsidRPr="00156CB3">
        <w:rPr>
          <w:rFonts w:ascii="Arial" w:eastAsia="Times New Roman" w:hAnsi="Arial" w:cs="Arial"/>
          <w:b/>
          <w:color w:val="000000"/>
          <w:spacing w:val="6"/>
          <w:sz w:val="20"/>
          <w:szCs w:val="20"/>
          <w:lang w:val="en-GB" w:eastAsia="en-GB"/>
        </w:rPr>
        <w:t>6.8</w:t>
      </w:r>
      <w:r w:rsidR="002B172B" w:rsidRPr="00156CB3">
        <w:rPr>
          <w:rFonts w:ascii="Arial" w:eastAsia="Times New Roman" w:hAnsi="Arial" w:cs="Arial"/>
          <w:b/>
          <w:color w:val="000000"/>
          <w:spacing w:val="6"/>
          <w:sz w:val="20"/>
          <w:szCs w:val="20"/>
          <w:lang w:val="en-GB" w:eastAsia="en-GB"/>
        </w:rPr>
        <w:tab/>
        <w:t xml:space="preserve">Verification and Validation of existing lawful water use </w:t>
      </w:r>
    </w:p>
    <w:p w:rsidR="002B172B" w:rsidRPr="00156CB3" w:rsidRDefault="002B172B" w:rsidP="00156CB3">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2B172B" w:rsidRPr="00156CB3" w:rsidRDefault="002B172B" w:rsidP="00156CB3">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156CB3">
        <w:rPr>
          <w:rFonts w:ascii="Arial" w:eastAsia="Times New Roman" w:hAnsi="Arial" w:cs="Arial"/>
          <w:color w:val="000000"/>
          <w:spacing w:val="6"/>
          <w:sz w:val="20"/>
          <w:szCs w:val="20"/>
          <w:lang w:val="en-GB" w:eastAsia="en-GB"/>
        </w:rPr>
        <w:t>The purpose of the verification and validation is to verify all existing lawful use, determine the status of water use and wat</w:t>
      </w:r>
      <w:r w:rsidR="002D749D" w:rsidRPr="00156CB3">
        <w:rPr>
          <w:rFonts w:ascii="Arial" w:eastAsia="Times New Roman" w:hAnsi="Arial" w:cs="Arial"/>
          <w:color w:val="000000"/>
          <w:spacing w:val="6"/>
          <w:sz w:val="20"/>
          <w:szCs w:val="20"/>
          <w:lang w:val="en-GB" w:eastAsia="en-GB"/>
        </w:rPr>
        <w:t xml:space="preserve">er registrations, and </w:t>
      </w:r>
      <w:r w:rsidRPr="00156CB3">
        <w:rPr>
          <w:rFonts w:ascii="Arial" w:eastAsia="Times New Roman" w:hAnsi="Arial" w:cs="Arial"/>
          <w:color w:val="000000"/>
          <w:spacing w:val="6"/>
          <w:sz w:val="20"/>
          <w:szCs w:val="20"/>
          <w:lang w:val="en-GB" w:eastAsia="en-GB"/>
        </w:rPr>
        <w:t>determine the legality of new water uses.  However, Members of the Portfo</w:t>
      </w:r>
      <w:r w:rsidR="002D749D" w:rsidRPr="00156CB3">
        <w:rPr>
          <w:rFonts w:ascii="Arial" w:eastAsia="Times New Roman" w:hAnsi="Arial" w:cs="Arial"/>
          <w:color w:val="000000"/>
          <w:spacing w:val="6"/>
          <w:sz w:val="20"/>
          <w:szCs w:val="20"/>
          <w:lang w:val="en-GB" w:eastAsia="en-GB"/>
        </w:rPr>
        <w:t>lio Committee raised concerns about</w:t>
      </w:r>
      <w:r w:rsidR="009C67F6" w:rsidRPr="00156CB3">
        <w:rPr>
          <w:rFonts w:ascii="Arial" w:eastAsia="Times New Roman" w:hAnsi="Arial" w:cs="Arial"/>
          <w:color w:val="000000"/>
          <w:spacing w:val="6"/>
          <w:sz w:val="20"/>
          <w:szCs w:val="20"/>
          <w:lang w:val="en-GB" w:eastAsia="en-GB"/>
        </w:rPr>
        <w:t xml:space="preserve"> the discrepancies in</w:t>
      </w:r>
      <w:r w:rsidRPr="00156CB3">
        <w:rPr>
          <w:rFonts w:ascii="Arial" w:eastAsia="Times New Roman" w:hAnsi="Arial" w:cs="Arial"/>
          <w:color w:val="000000"/>
          <w:spacing w:val="6"/>
          <w:sz w:val="20"/>
          <w:szCs w:val="20"/>
          <w:lang w:val="en-GB" w:eastAsia="en-GB"/>
        </w:rPr>
        <w:t xml:space="preserve"> the validation and verification system, in relation</w:t>
      </w:r>
      <w:r w:rsidR="002D749D" w:rsidRPr="00156CB3">
        <w:rPr>
          <w:rFonts w:ascii="Arial" w:eastAsia="Times New Roman" w:hAnsi="Arial" w:cs="Arial"/>
          <w:color w:val="000000"/>
          <w:spacing w:val="6"/>
          <w:sz w:val="20"/>
          <w:szCs w:val="20"/>
          <w:lang w:val="en-GB" w:eastAsia="en-GB"/>
        </w:rPr>
        <w:t xml:space="preserve"> to</w:t>
      </w:r>
      <w:r w:rsidRPr="00156CB3">
        <w:rPr>
          <w:rFonts w:ascii="Arial" w:eastAsia="Times New Roman" w:hAnsi="Arial" w:cs="Arial"/>
          <w:color w:val="000000"/>
          <w:spacing w:val="6"/>
          <w:sz w:val="20"/>
          <w:szCs w:val="20"/>
          <w:lang w:val="en-GB" w:eastAsia="en-GB"/>
        </w:rPr>
        <w:t xml:space="preserve"> the skewed water use</w:t>
      </w:r>
      <w:r w:rsidR="00F82F3A" w:rsidRPr="00156CB3">
        <w:rPr>
          <w:rFonts w:ascii="Arial" w:eastAsia="Times New Roman" w:hAnsi="Arial" w:cs="Arial"/>
          <w:color w:val="000000"/>
          <w:spacing w:val="6"/>
          <w:sz w:val="20"/>
          <w:szCs w:val="20"/>
          <w:lang w:val="en-GB" w:eastAsia="en-GB"/>
        </w:rPr>
        <w:t xml:space="preserve"> allocation</w:t>
      </w:r>
      <w:r w:rsidRPr="00156CB3">
        <w:rPr>
          <w:rFonts w:ascii="Arial" w:eastAsia="Times New Roman" w:hAnsi="Arial" w:cs="Arial"/>
          <w:color w:val="000000"/>
          <w:spacing w:val="6"/>
          <w:sz w:val="20"/>
          <w:szCs w:val="20"/>
          <w:lang w:val="en-GB" w:eastAsia="en-GB"/>
        </w:rPr>
        <w:t xml:space="preserve">.  Members </w:t>
      </w:r>
      <w:r w:rsidRPr="00156CB3">
        <w:rPr>
          <w:rFonts w:ascii="Arial" w:eastAsia="Times New Roman" w:hAnsi="Arial" w:cs="Arial"/>
          <w:color w:val="000000"/>
          <w:spacing w:val="6"/>
          <w:sz w:val="20"/>
          <w:szCs w:val="20"/>
          <w:lang w:val="en-GB" w:eastAsia="en-GB"/>
        </w:rPr>
        <w:lastRenderedPageBreak/>
        <w:t>maintained that this must be continuously monitored as equity and efficiency challenges within the water use authorisations for ac</w:t>
      </w:r>
      <w:r w:rsidR="002D749D" w:rsidRPr="00156CB3">
        <w:rPr>
          <w:rFonts w:ascii="Arial" w:eastAsia="Times New Roman" w:hAnsi="Arial" w:cs="Arial"/>
          <w:color w:val="000000"/>
          <w:spacing w:val="6"/>
          <w:sz w:val="20"/>
          <w:szCs w:val="20"/>
          <w:lang w:val="en-GB" w:eastAsia="en-GB"/>
        </w:rPr>
        <w:t>quiring water licences by small-</w:t>
      </w:r>
      <w:r w:rsidRPr="00156CB3">
        <w:rPr>
          <w:rFonts w:ascii="Arial" w:eastAsia="Times New Roman" w:hAnsi="Arial" w:cs="Arial"/>
          <w:color w:val="000000"/>
          <w:spacing w:val="6"/>
          <w:sz w:val="20"/>
          <w:szCs w:val="20"/>
          <w:lang w:val="en-GB" w:eastAsia="en-GB"/>
        </w:rPr>
        <w:t>impact</w:t>
      </w:r>
      <w:r w:rsidR="002D749D" w:rsidRPr="00156CB3">
        <w:rPr>
          <w:rFonts w:ascii="Arial" w:eastAsia="Times New Roman" w:hAnsi="Arial" w:cs="Arial"/>
          <w:color w:val="000000"/>
          <w:spacing w:val="6"/>
          <w:sz w:val="20"/>
          <w:szCs w:val="20"/>
          <w:lang w:val="en-GB" w:eastAsia="en-GB"/>
        </w:rPr>
        <w:t xml:space="preserve"> users, mainly black farmers, are</w:t>
      </w:r>
      <w:r w:rsidRPr="00156CB3">
        <w:rPr>
          <w:rFonts w:ascii="Arial" w:eastAsia="Times New Roman" w:hAnsi="Arial" w:cs="Arial"/>
          <w:color w:val="000000"/>
          <w:spacing w:val="6"/>
          <w:sz w:val="20"/>
          <w:szCs w:val="20"/>
          <w:lang w:val="en-GB" w:eastAsia="en-GB"/>
        </w:rPr>
        <w:t xml:space="preserve"> notably impacted.</w:t>
      </w:r>
    </w:p>
    <w:p w:rsidR="002B172B" w:rsidRPr="00156CB3" w:rsidRDefault="002B172B" w:rsidP="00156CB3">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2B172B" w:rsidRPr="00156CB3" w:rsidRDefault="009C1EC4" w:rsidP="00156CB3">
      <w:pPr>
        <w:suppressAutoHyphens/>
        <w:autoSpaceDN w:val="0"/>
        <w:spacing w:after="0" w:line="240" w:lineRule="auto"/>
        <w:textAlignment w:val="baseline"/>
        <w:rPr>
          <w:rFonts w:ascii="Arial" w:eastAsia="Times New Roman" w:hAnsi="Arial" w:cs="Arial"/>
          <w:b/>
          <w:i/>
          <w:color w:val="000000"/>
          <w:spacing w:val="6"/>
          <w:sz w:val="20"/>
          <w:szCs w:val="20"/>
          <w:lang w:val="en-GB" w:eastAsia="en-GB"/>
        </w:rPr>
      </w:pPr>
      <w:r w:rsidRPr="00156CB3">
        <w:rPr>
          <w:rFonts w:ascii="Arial" w:eastAsia="Times New Roman" w:hAnsi="Arial" w:cs="Arial"/>
          <w:b/>
          <w:i/>
          <w:color w:val="000000"/>
          <w:spacing w:val="6"/>
          <w:sz w:val="20"/>
          <w:szCs w:val="20"/>
          <w:lang w:val="en-GB" w:eastAsia="en-GB"/>
        </w:rPr>
        <w:t>6.8</w:t>
      </w:r>
      <w:r w:rsidR="002D6E13" w:rsidRPr="00156CB3">
        <w:rPr>
          <w:rFonts w:ascii="Arial" w:eastAsia="Times New Roman" w:hAnsi="Arial" w:cs="Arial"/>
          <w:b/>
          <w:i/>
          <w:color w:val="000000"/>
          <w:spacing w:val="6"/>
          <w:sz w:val="20"/>
          <w:szCs w:val="20"/>
          <w:lang w:val="en-GB" w:eastAsia="en-GB"/>
        </w:rPr>
        <w:t>.1</w:t>
      </w:r>
      <w:r w:rsidR="002B172B" w:rsidRPr="00156CB3">
        <w:rPr>
          <w:rFonts w:ascii="Arial" w:eastAsia="Times New Roman" w:hAnsi="Arial" w:cs="Arial"/>
          <w:b/>
          <w:i/>
          <w:color w:val="000000"/>
          <w:spacing w:val="6"/>
          <w:sz w:val="20"/>
          <w:szCs w:val="20"/>
          <w:lang w:val="en-GB" w:eastAsia="en-GB"/>
        </w:rPr>
        <w:tab/>
        <w:t xml:space="preserve">The Department should fast-track the verification and validation of existing </w:t>
      </w:r>
      <w:r w:rsidR="00ED72CA" w:rsidRPr="00156CB3">
        <w:rPr>
          <w:rFonts w:ascii="Arial" w:eastAsia="Times New Roman" w:hAnsi="Arial" w:cs="Arial"/>
          <w:b/>
          <w:i/>
          <w:color w:val="000000"/>
          <w:spacing w:val="6"/>
          <w:sz w:val="20"/>
          <w:szCs w:val="20"/>
          <w:lang w:val="en-GB" w:eastAsia="en-GB"/>
        </w:rPr>
        <w:tab/>
      </w:r>
      <w:r w:rsidR="002B172B" w:rsidRPr="00156CB3">
        <w:rPr>
          <w:rFonts w:ascii="Arial" w:eastAsia="Times New Roman" w:hAnsi="Arial" w:cs="Arial"/>
          <w:b/>
          <w:i/>
          <w:color w:val="000000"/>
          <w:spacing w:val="6"/>
          <w:sz w:val="20"/>
          <w:szCs w:val="20"/>
          <w:lang w:val="en-GB" w:eastAsia="en-GB"/>
        </w:rPr>
        <w:t xml:space="preserve">lawful water use in all water management areas to ensure a speedy water </w:t>
      </w:r>
      <w:r w:rsidR="00ED72CA" w:rsidRPr="00156CB3">
        <w:rPr>
          <w:rFonts w:ascii="Arial" w:eastAsia="Times New Roman" w:hAnsi="Arial" w:cs="Arial"/>
          <w:b/>
          <w:i/>
          <w:color w:val="000000"/>
          <w:spacing w:val="6"/>
          <w:sz w:val="20"/>
          <w:szCs w:val="20"/>
          <w:lang w:val="en-GB" w:eastAsia="en-GB"/>
        </w:rPr>
        <w:tab/>
      </w:r>
      <w:r w:rsidR="002B172B" w:rsidRPr="00156CB3">
        <w:rPr>
          <w:rFonts w:ascii="Arial" w:eastAsia="Times New Roman" w:hAnsi="Arial" w:cs="Arial"/>
          <w:b/>
          <w:i/>
          <w:color w:val="000000"/>
          <w:spacing w:val="6"/>
          <w:sz w:val="20"/>
          <w:szCs w:val="20"/>
          <w:lang w:val="en-GB" w:eastAsia="en-GB"/>
        </w:rPr>
        <w:t xml:space="preserve">allocation reform to address </w:t>
      </w:r>
      <w:r w:rsidR="002D749D" w:rsidRPr="00156CB3">
        <w:rPr>
          <w:rFonts w:ascii="Arial" w:eastAsia="Times New Roman" w:hAnsi="Arial" w:cs="Arial"/>
          <w:b/>
          <w:i/>
          <w:color w:val="000000"/>
          <w:spacing w:val="6"/>
          <w:sz w:val="20"/>
          <w:szCs w:val="20"/>
          <w:lang w:val="en-GB" w:eastAsia="en-GB"/>
        </w:rPr>
        <w:t xml:space="preserve">the </w:t>
      </w:r>
      <w:r w:rsidR="002B172B" w:rsidRPr="00156CB3">
        <w:rPr>
          <w:rFonts w:ascii="Arial" w:eastAsia="Times New Roman" w:hAnsi="Arial" w:cs="Arial"/>
          <w:b/>
          <w:i/>
          <w:color w:val="000000"/>
          <w:spacing w:val="6"/>
          <w:sz w:val="20"/>
          <w:szCs w:val="20"/>
          <w:lang w:val="en-GB" w:eastAsia="en-GB"/>
        </w:rPr>
        <w:t>water needs of the histor</w:t>
      </w:r>
      <w:r w:rsidR="002D749D" w:rsidRPr="00156CB3">
        <w:rPr>
          <w:rFonts w:ascii="Arial" w:eastAsia="Times New Roman" w:hAnsi="Arial" w:cs="Arial"/>
          <w:b/>
          <w:i/>
          <w:color w:val="000000"/>
          <w:spacing w:val="6"/>
          <w:sz w:val="20"/>
          <w:szCs w:val="20"/>
          <w:lang w:val="en-GB" w:eastAsia="en-GB"/>
        </w:rPr>
        <w:t>ically</w:t>
      </w:r>
      <w:r w:rsidR="002B172B" w:rsidRPr="00156CB3">
        <w:rPr>
          <w:rFonts w:ascii="Arial" w:eastAsia="Times New Roman" w:hAnsi="Arial" w:cs="Arial"/>
          <w:b/>
          <w:i/>
          <w:color w:val="000000"/>
          <w:spacing w:val="6"/>
          <w:sz w:val="20"/>
          <w:szCs w:val="20"/>
          <w:lang w:val="en-GB" w:eastAsia="en-GB"/>
        </w:rPr>
        <w:t xml:space="preserve"> excluded and </w:t>
      </w:r>
      <w:r w:rsidR="00ED72CA" w:rsidRPr="00156CB3">
        <w:rPr>
          <w:rFonts w:ascii="Arial" w:eastAsia="Times New Roman" w:hAnsi="Arial" w:cs="Arial"/>
          <w:b/>
          <w:i/>
          <w:color w:val="000000"/>
          <w:spacing w:val="6"/>
          <w:sz w:val="20"/>
          <w:szCs w:val="20"/>
          <w:lang w:val="en-GB" w:eastAsia="en-GB"/>
        </w:rPr>
        <w:tab/>
      </w:r>
      <w:r w:rsidR="002B172B" w:rsidRPr="00156CB3">
        <w:rPr>
          <w:rFonts w:ascii="Arial" w:eastAsia="Times New Roman" w:hAnsi="Arial" w:cs="Arial"/>
          <w:b/>
          <w:i/>
          <w:color w:val="000000"/>
          <w:spacing w:val="6"/>
          <w:sz w:val="20"/>
          <w:szCs w:val="20"/>
          <w:lang w:val="en-GB" w:eastAsia="en-GB"/>
        </w:rPr>
        <w:t xml:space="preserve">vulnerable groups. </w:t>
      </w:r>
      <w:r w:rsidR="002D749D" w:rsidRPr="00156CB3">
        <w:rPr>
          <w:rFonts w:ascii="Arial" w:eastAsia="Times New Roman" w:hAnsi="Arial" w:cs="Arial"/>
          <w:b/>
          <w:i/>
          <w:color w:val="000000"/>
          <w:spacing w:val="6"/>
          <w:sz w:val="20"/>
          <w:szCs w:val="20"/>
          <w:lang w:val="en-GB" w:eastAsia="en-GB"/>
        </w:rPr>
        <w:tab/>
      </w:r>
      <w:r w:rsidR="002B172B" w:rsidRPr="00156CB3">
        <w:rPr>
          <w:rFonts w:ascii="Arial" w:eastAsia="Times New Roman" w:hAnsi="Arial" w:cs="Arial"/>
          <w:b/>
          <w:i/>
          <w:color w:val="000000"/>
          <w:spacing w:val="6"/>
          <w:sz w:val="20"/>
          <w:szCs w:val="20"/>
          <w:lang w:val="en-GB" w:eastAsia="en-GB"/>
        </w:rPr>
        <w:t xml:space="preserve">The Department should provide quarterly progress reports </w:t>
      </w:r>
      <w:r w:rsidR="00ED72CA" w:rsidRPr="00156CB3">
        <w:rPr>
          <w:rFonts w:ascii="Arial" w:eastAsia="Times New Roman" w:hAnsi="Arial" w:cs="Arial"/>
          <w:b/>
          <w:i/>
          <w:color w:val="000000"/>
          <w:spacing w:val="6"/>
          <w:sz w:val="20"/>
          <w:szCs w:val="20"/>
          <w:lang w:val="en-GB" w:eastAsia="en-GB"/>
        </w:rPr>
        <w:tab/>
      </w:r>
      <w:r w:rsidR="002B172B" w:rsidRPr="00156CB3">
        <w:rPr>
          <w:rFonts w:ascii="Arial" w:eastAsia="Times New Roman" w:hAnsi="Arial" w:cs="Arial"/>
          <w:b/>
          <w:i/>
          <w:color w:val="000000"/>
          <w:spacing w:val="6"/>
          <w:sz w:val="20"/>
          <w:szCs w:val="20"/>
          <w:lang w:val="en-GB" w:eastAsia="en-GB"/>
        </w:rPr>
        <w:t xml:space="preserve">on water allocation reform </w:t>
      </w:r>
      <w:r w:rsidRPr="00156CB3">
        <w:rPr>
          <w:rFonts w:ascii="Arial" w:eastAsia="Times New Roman" w:hAnsi="Arial" w:cs="Arial"/>
          <w:b/>
          <w:i/>
          <w:color w:val="000000"/>
          <w:spacing w:val="6"/>
          <w:sz w:val="20"/>
          <w:szCs w:val="20"/>
          <w:lang w:val="en-GB" w:eastAsia="en-GB"/>
        </w:rPr>
        <w:tab/>
      </w:r>
      <w:r w:rsidR="002B172B" w:rsidRPr="00156CB3">
        <w:rPr>
          <w:rFonts w:ascii="Arial" w:eastAsia="Times New Roman" w:hAnsi="Arial" w:cs="Arial"/>
          <w:b/>
          <w:i/>
          <w:color w:val="000000"/>
          <w:spacing w:val="6"/>
          <w:sz w:val="20"/>
          <w:szCs w:val="20"/>
          <w:lang w:val="en-GB" w:eastAsia="en-GB"/>
        </w:rPr>
        <w:t>across all water management areas.</w:t>
      </w:r>
    </w:p>
    <w:p w:rsidR="002B172B" w:rsidRPr="00156CB3" w:rsidRDefault="002B172B" w:rsidP="00156CB3">
      <w:pPr>
        <w:spacing w:after="0" w:line="240" w:lineRule="auto"/>
        <w:rPr>
          <w:rFonts w:ascii="Arial" w:eastAsia="Calibri" w:hAnsi="Arial" w:cs="Arial"/>
          <w:sz w:val="20"/>
          <w:szCs w:val="20"/>
          <w:lang w:eastAsia="en-ZA"/>
        </w:rPr>
      </w:pPr>
    </w:p>
    <w:p w:rsidR="00D46EA3" w:rsidRPr="00156CB3" w:rsidRDefault="009C1EC4" w:rsidP="00156CB3">
      <w:pPr>
        <w:spacing w:after="0" w:line="240" w:lineRule="auto"/>
        <w:rPr>
          <w:rFonts w:ascii="Arial" w:hAnsi="Arial" w:cs="Arial"/>
          <w:b/>
          <w:sz w:val="20"/>
          <w:szCs w:val="20"/>
        </w:rPr>
      </w:pPr>
      <w:r w:rsidRPr="00156CB3">
        <w:rPr>
          <w:rFonts w:ascii="Arial" w:hAnsi="Arial" w:cs="Arial"/>
          <w:b/>
          <w:sz w:val="20"/>
          <w:szCs w:val="20"/>
        </w:rPr>
        <w:t>6.9</w:t>
      </w:r>
      <w:r w:rsidR="00D46EA3" w:rsidRPr="00156CB3">
        <w:rPr>
          <w:rFonts w:ascii="Arial" w:hAnsi="Arial" w:cs="Arial"/>
          <w:b/>
          <w:sz w:val="20"/>
          <w:szCs w:val="20"/>
        </w:rPr>
        <w:tab/>
        <w:t xml:space="preserve">Dysfunctional wastewater treatment works and water supply works leading to </w:t>
      </w:r>
      <w:r w:rsidR="00ED72CA" w:rsidRPr="00156CB3">
        <w:rPr>
          <w:rFonts w:ascii="Arial" w:hAnsi="Arial" w:cs="Arial"/>
          <w:b/>
          <w:sz w:val="20"/>
          <w:szCs w:val="20"/>
        </w:rPr>
        <w:tab/>
      </w:r>
      <w:r w:rsidR="00D46EA3" w:rsidRPr="00156CB3">
        <w:rPr>
          <w:rFonts w:ascii="Arial" w:hAnsi="Arial" w:cs="Arial"/>
          <w:b/>
          <w:sz w:val="20"/>
          <w:szCs w:val="20"/>
        </w:rPr>
        <w:t>pollution</w:t>
      </w:r>
    </w:p>
    <w:p w:rsidR="00D46EA3" w:rsidRPr="00156CB3" w:rsidRDefault="00D46EA3" w:rsidP="00156CB3">
      <w:pPr>
        <w:spacing w:after="0" w:line="240" w:lineRule="auto"/>
        <w:rPr>
          <w:rFonts w:ascii="Arial" w:hAnsi="Arial" w:cs="Arial"/>
          <w:b/>
          <w:sz w:val="20"/>
          <w:szCs w:val="20"/>
        </w:rPr>
      </w:pPr>
    </w:p>
    <w:p w:rsidR="00D46EA3" w:rsidRPr="00156CB3" w:rsidRDefault="00D46EA3" w:rsidP="00156CB3">
      <w:pPr>
        <w:spacing w:after="0" w:line="240" w:lineRule="auto"/>
        <w:rPr>
          <w:rFonts w:ascii="Arial" w:hAnsi="Arial" w:cs="Arial"/>
          <w:color w:val="333333"/>
          <w:sz w:val="20"/>
          <w:szCs w:val="20"/>
        </w:rPr>
      </w:pPr>
      <w:r w:rsidRPr="00156CB3">
        <w:rPr>
          <w:rFonts w:ascii="Arial" w:hAnsi="Arial" w:cs="Arial"/>
          <w:color w:val="333333"/>
          <w:sz w:val="20"/>
          <w:szCs w:val="20"/>
        </w:rPr>
        <w:t xml:space="preserve">Members of the Portfolio Committee reiterated their previous instruction to the Department and Entities that the deteriorating state of municipal wastewater and sewage treatment management in South Africa contributes significantly to pollution problems and exacerbates environmental and health problems. </w:t>
      </w:r>
    </w:p>
    <w:p w:rsidR="00D46EA3" w:rsidRPr="00156CB3" w:rsidRDefault="00D46EA3" w:rsidP="00156CB3">
      <w:pPr>
        <w:spacing w:after="0" w:line="240" w:lineRule="auto"/>
        <w:rPr>
          <w:rFonts w:ascii="Arial" w:hAnsi="Arial" w:cs="Arial"/>
          <w:color w:val="333333"/>
          <w:sz w:val="20"/>
          <w:szCs w:val="20"/>
        </w:rPr>
      </w:pPr>
    </w:p>
    <w:p w:rsidR="002B172B" w:rsidRPr="00156CB3" w:rsidRDefault="009C1EC4" w:rsidP="00156CB3">
      <w:pPr>
        <w:spacing w:after="0" w:line="240" w:lineRule="auto"/>
        <w:rPr>
          <w:rFonts w:ascii="Arial" w:hAnsi="Arial" w:cs="Arial"/>
          <w:b/>
          <w:i/>
          <w:color w:val="333333"/>
          <w:sz w:val="20"/>
          <w:szCs w:val="20"/>
        </w:rPr>
      </w:pPr>
      <w:r w:rsidRPr="00156CB3">
        <w:rPr>
          <w:rFonts w:ascii="Arial" w:hAnsi="Arial" w:cs="Arial"/>
          <w:b/>
          <w:i/>
          <w:color w:val="333333"/>
          <w:sz w:val="20"/>
          <w:szCs w:val="20"/>
        </w:rPr>
        <w:t>6.9.1</w:t>
      </w:r>
      <w:r w:rsidR="00D46EA3" w:rsidRPr="00156CB3">
        <w:rPr>
          <w:rFonts w:ascii="Arial" w:hAnsi="Arial" w:cs="Arial"/>
          <w:b/>
          <w:i/>
          <w:color w:val="333333"/>
          <w:sz w:val="20"/>
          <w:szCs w:val="20"/>
        </w:rPr>
        <w:tab/>
        <w:t xml:space="preserve">The Portfolio Committee recommends that the Minister, through the Department and </w:t>
      </w:r>
      <w:r w:rsidRPr="00156CB3">
        <w:rPr>
          <w:rFonts w:ascii="Arial" w:hAnsi="Arial" w:cs="Arial"/>
          <w:b/>
          <w:i/>
          <w:color w:val="333333"/>
          <w:sz w:val="20"/>
          <w:szCs w:val="20"/>
        </w:rPr>
        <w:tab/>
        <w:t xml:space="preserve">Entities, </w:t>
      </w:r>
      <w:r w:rsidR="002D749D" w:rsidRPr="00156CB3">
        <w:rPr>
          <w:rFonts w:ascii="Arial" w:hAnsi="Arial" w:cs="Arial"/>
          <w:b/>
          <w:i/>
          <w:color w:val="333333"/>
          <w:sz w:val="20"/>
          <w:szCs w:val="20"/>
        </w:rPr>
        <w:t>work</w:t>
      </w:r>
      <w:r w:rsidR="00D46EA3" w:rsidRPr="00156CB3">
        <w:rPr>
          <w:rFonts w:ascii="Arial" w:hAnsi="Arial" w:cs="Arial"/>
          <w:b/>
          <w:i/>
          <w:color w:val="333333"/>
          <w:sz w:val="20"/>
          <w:szCs w:val="20"/>
        </w:rPr>
        <w:t xml:space="preserve"> together with all three spheres of government, and </w:t>
      </w:r>
      <w:r w:rsidR="00474E91" w:rsidRPr="00156CB3">
        <w:rPr>
          <w:rFonts w:ascii="Arial" w:hAnsi="Arial" w:cs="Arial"/>
          <w:b/>
          <w:i/>
          <w:color w:val="333333"/>
          <w:sz w:val="20"/>
          <w:szCs w:val="20"/>
        </w:rPr>
        <w:t>optimally, using</w:t>
      </w:r>
      <w:r w:rsidR="00D46EA3" w:rsidRPr="00156CB3">
        <w:rPr>
          <w:rFonts w:ascii="Arial" w:hAnsi="Arial" w:cs="Arial"/>
          <w:b/>
          <w:i/>
          <w:color w:val="333333"/>
          <w:sz w:val="20"/>
          <w:szCs w:val="20"/>
        </w:rPr>
        <w:t xml:space="preserve"> the </w:t>
      </w:r>
      <w:r w:rsidRPr="00156CB3">
        <w:rPr>
          <w:rFonts w:ascii="Arial" w:hAnsi="Arial" w:cs="Arial"/>
          <w:b/>
          <w:i/>
          <w:color w:val="333333"/>
          <w:sz w:val="20"/>
          <w:szCs w:val="20"/>
        </w:rPr>
        <w:tab/>
        <w:t xml:space="preserve">parameters of </w:t>
      </w:r>
      <w:r w:rsidR="00D46EA3" w:rsidRPr="00156CB3">
        <w:rPr>
          <w:rFonts w:ascii="Arial" w:hAnsi="Arial" w:cs="Arial"/>
          <w:b/>
          <w:i/>
          <w:color w:val="333333"/>
          <w:sz w:val="20"/>
          <w:szCs w:val="20"/>
        </w:rPr>
        <w:t>the District Development Model, work out short, medium and long-</w:t>
      </w:r>
      <w:r w:rsidR="00ED72CA" w:rsidRPr="00156CB3">
        <w:rPr>
          <w:rFonts w:ascii="Arial" w:hAnsi="Arial" w:cs="Arial"/>
          <w:b/>
          <w:i/>
          <w:color w:val="333333"/>
          <w:sz w:val="20"/>
          <w:szCs w:val="20"/>
        </w:rPr>
        <w:tab/>
      </w:r>
      <w:r w:rsidR="00D46EA3" w:rsidRPr="00156CB3">
        <w:rPr>
          <w:rFonts w:ascii="Arial" w:hAnsi="Arial" w:cs="Arial"/>
          <w:b/>
          <w:i/>
          <w:color w:val="333333"/>
          <w:sz w:val="20"/>
          <w:szCs w:val="20"/>
        </w:rPr>
        <w:t xml:space="preserve">term </w:t>
      </w:r>
      <w:r w:rsidRPr="00156CB3">
        <w:rPr>
          <w:rFonts w:ascii="Arial" w:hAnsi="Arial" w:cs="Arial"/>
          <w:b/>
          <w:i/>
          <w:color w:val="333333"/>
          <w:sz w:val="20"/>
          <w:szCs w:val="20"/>
        </w:rPr>
        <w:t xml:space="preserve">solutions to facilitate </w:t>
      </w:r>
      <w:r w:rsidR="00D46EA3" w:rsidRPr="00156CB3">
        <w:rPr>
          <w:rFonts w:ascii="Arial" w:hAnsi="Arial" w:cs="Arial"/>
          <w:b/>
          <w:i/>
          <w:color w:val="333333"/>
          <w:sz w:val="20"/>
          <w:szCs w:val="20"/>
        </w:rPr>
        <w:t xml:space="preserve">the progress of this major crisis. </w:t>
      </w:r>
    </w:p>
    <w:p w:rsidR="00524214" w:rsidRPr="00156CB3" w:rsidRDefault="00524214" w:rsidP="00156CB3">
      <w:pPr>
        <w:spacing w:after="0" w:line="240" w:lineRule="auto"/>
        <w:rPr>
          <w:rFonts w:ascii="Arial" w:hAnsi="Arial" w:cs="Arial"/>
          <w:i/>
          <w:color w:val="333333"/>
          <w:sz w:val="20"/>
          <w:szCs w:val="20"/>
        </w:rPr>
      </w:pPr>
    </w:p>
    <w:p w:rsidR="003D70AA" w:rsidRPr="00156CB3" w:rsidRDefault="00524214" w:rsidP="00156CB3">
      <w:pPr>
        <w:spacing w:after="0" w:line="240" w:lineRule="auto"/>
        <w:contextualSpacing/>
        <w:rPr>
          <w:rFonts w:ascii="Arial" w:hAnsi="Arial" w:cs="Arial"/>
          <w:b/>
          <w:sz w:val="20"/>
          <w:szCs w:val="20"/>
        </w:rPr>
      </w:pPr>
      <w:r w:rsidRPr="00156CB3">
        <w:rPr>
          <w:rFonts w:ascii="Arial" w:hAnsi="Arial" w:cs="Arial"/>
          <w:b/>
          <w:sz w:val="20"/>
          <w:szCs w:val="20"/>
        </w:rPr>
        <w:t>6.10</w:t>
      </w:r>
      <w:r w:rsidR="003D70AA" w:rsidRPr="00156CB3">
        <w:rPr>
          <w:rFonts w:ascii="Arial" w:hAnsi="Arial" w:cs="Arial"/>
          <w:b/>
          <w:sz w:val="20"/>
          <w:szCs w:val="20"/>
        </w:rPr>
        <w:tab/>
        <w:t xml:space="preserve">Mechanisms in place to mitigate the challenges of trade debtors and non-payment </w:t>
      </w:r>
      <w:r w:rsidR="00ED72CA" w:rsidRPr="00156CB3">
        <w:rPr>
          <w:rFonts w:ascii="Arial" w:hAnsi="Arial" w:cs="Arial"/>
          <w:b/>
          <w:sz w:val="20"/>
          <w:szCs w:val="20"/>
        </w:rPr>
        <w:tab/>
      </w:r>
      <w:r w:rsidR="003D70AA" w:rsidRPr="00156CB3">
        <w:rPr>
          <w:rFonts w:ascii="Arial" w:hAnsi="Arial" w:cs="Arial"/>
          <w:b/>
          <w:sz w:val="20"/>
          <w:szCs w:val="20"/>
        </w:rPr>
        <w:t xml:space="preserve">to the </w:t>
      </w:r>
      <w:r w:rsidR="003D70AA" w:rsidRPr="00156CB3">
        <w:rPr>
          <w:rFonts w:ascii="Arial" w:hAnsi="Arial" w:cs="Arial"/>
          <w:b/>
          <w:sz w:val="20"/>
          <w:szCs w:val="20"/>
        </w:rPr>
        <w:tab/>
        <w:t>Water Trading Entity</w:t>
      </w:r>
    </w:p>
    <w:p w:rsidR="003D70AA" w:rsidRPr="00156CB3" w:rsidRDefault="003D70AA" w:rsidP="00156CB3">
      <w:pPr>
        <w:spacing w:after="0" w:line="240" w:lineRule="auto"/>
        <w:contextualSpacing/>
        <w:rPr>
          <w:rFonts w:ascii="Arial" w:hAnsi="Arial" w:cs="Arial"/>
          <w:b/>
          <w:sz w:val="20"/>
          <w:szCs w:val="20"/>
        </w:rPr>
      </w:pPr>
    </w:p>
    <w:p w:rsidR="003D70AA" w:rsidRPr="00156CB3" w:rsidRDefault="003D70AA" w:rsidP="00156CB3">
      <w:pPr>
        <w:spacing w:after="0" w:line="240" w:lineRule="auto"/>
        <w:contextualSpacing/>
        <w:rPr>
          <w:rFonts w:ascii="Arial" w:hAnsi="Arial" w:cs="Arial"/>
          <w:sz w:val="20"/>
          <w:szCs w:val="20"/>
        </w:rPr>
      </w:pPr>
      <w:r w:rsidRPr="00156CB3">
        <w:rPr>
          <w:rFonts w:ascii="Arial" w:hAnsi="Arial" w:cs="Arial"/>
          <w:sz w:val="20"/>
          <w:szCs w:val="20"/>
        </w:rPr>
        <w:t xml:space="preserve">Members of the Portfolio Committee noted that the Department must devise control measures and plans to address long-standing challenges of trade debtors and non-payment. </w:t>
      </w:r>
    </w:p>
    <w:p w:rsidR="003D70AA" w:rsidRPr="00156CB3" w:rsidRDefault="003D70AA" w:rsidP="00156CB3">
      <w:pPr>
        <w:spacing w:after="0" w:line="240" w:lineRule="auto"/>
        <w:contextualSpacing/>
        <w:rPr>
          <w:rFonts w:ascii="Arial" w:hAnsi="Arial" w:cs="Arial"/>
          <w:sz w:val="20"/>
          <w:szCs w:val="20"/>
        </w:rPr>
      </w:pPr>
    </w:p>
    <w:p w:rsidR="003D70AA" w:rsidRPr="00156CB3" w:rsidRDefault="00524214" w:rsidP="00156CB3">
      <w:pPr>
        <w:spacing w:after="0" w:line="240" w:lineRule="auto"/>
        <w:contextualSpacing/>
        <w:rPr>
          <w:rFonts w:ascii="Arial" w:hAnsi="Arial" w:cs="Arial"/>
          <w:b/>
          <w:i/>
          <w:sz w:val="20"/>
          <w:szCs w:val="20"/>
        </w:rPr>
      </w:pPr>
      <w:r w:rsidRPr="00156CB3">
        <w:rPr>
          <w:rFonts w:ascii="Arial" w:hAnsi="Arial" w:cs="Arial"/>
          <w:b/>
          <w:i/>
          <w:sz w:val="20"/>
          <w:szCs w:val="20"/>
        </w:rPr>
        <w:t>6.10.1</w:t>
      </w:r>
      <w:r w:rsidRPr="00156CB3">
        <w:rPr>
          <w:rFonts w:ascii="Arial" w:hAnsi="Arial" w:cs="Arial"/>
          <w:b/>
          <w:i/>
          <w:sz w:val="20"/>
          <w:szCs w:val="20"/>
        </w:rPr>
        <w:tab/>
      </w:r>
      <w:r w:rsidR="003D70AA" w:rsidRPr="00156CB3">
        <w:rPr>
          <w:rFonts w:ascii="Arial" w:hAnsi="Arial" w:cs="Arial"/>
          <w:b/>
          <w:i/>
          <w:sz w:val="20"/>
          <w:szCs w:val="20"/>
        </w:rPr>
        <w:t xml:space="preserve">The Portfolio Committee recommended that the Department present its action plans </w:t>
      </w:r>
      <w:r w:rsidR="00ED72CA" w:rsidRPr="00156CB3">
        <w:rPr>
          <w:rFonts w:ascii="Arial" w:hAnsi="Arial" w:cs="Arial"/>
          <w:b/>
          <w:i/>
          <w:sz w:val="20"/>
          <w:szCs w:val="20"/>
        </w:rPr>
        <w:tab/>
      </w:r>
      <w:r w:rsidR="003D70AA" w:rsidRPr="00156CB3">
        <w:rPr>
          <w:rFonts w:ascii="Arial" w:hAnsi="Arial" w:cs="Arial"/>
          <w:b/>
          <w:i/>
          <w:sz w:val="20"/>
          <w:szCs w:val="20"/>
        </w:rPr>
        <w:t xml:space="preserve">and control measures to recover monies owed to the Department and </w:t>
      </w:r>
      <w:r w:rsidR="009C67F6" w:rsidRPr="00156CB3">
        <w:rPr>
          <w:rFonts w:ascii="Arial" w:hAnsi="Arial" w:cs="Arial"/>
          <w:b/>
          <w:i/>
          <w:sz w:val="20"/>
          <w:szCs w:val="20"/>
        </w:rPr>
        <w:t xml:space="preserve">its </w:t>
      </w:r>
      <w:r w:rsidR="003D70AA" w:rsidRPr="00156CB3">
        <w:rPr>
          <w:rFonts w:ascii="Arial" w:hAnsi="Arial" w:cs="Arial"/>
          <w:b/>
          <w:i/>
          <w:sz w:val="20"/>
          <w:szCs w:val="20"/>
        </w:rPr>
        <w:t xml:space="preserve">Entities, </w:t>
      </w:r>
      <w:r w:rsidR="00F82F3A" w:rsidRPr="00156CB3">
        <w:rPr>
          <w:rFonts w:ascii="Arial" w:hAnsi="Arial" w:cs="Arial"/>
          <w:b/>
          <w:i/>
          <w:sz w:val="20"/>
          <w:szCs w:val="20"/>
        </w:rPr>
        <w:t>and</w:t>
      </w:r>
      <w:r w:rsidR="003D70AA" w:rsidRPr="00156CB3">
        <w:rPr>
          <w:rFonts w:ascii="Arial" w:hAnsi="Arial" w:cs="Arial"/>
          <w:b/>
          <w:i/>
          <w:sz w:val="20"/>
          <w:szCs w:val="20"/>
        </w:rPr>
        <w:t xml:space="preserve"> </w:t>
      </w:r>
      <w:r w:rsidR="00ED72CA" w:rsidRPr="00156CB3">
        <w:rPr>
          <w:rFonts w:ascii="Arial" w:hAnsi="Arial" w:cs="Arial"/>
          <w:b/>
          <w:i/>
          <w:sz w:val="20"/>
          <w:szCs w:val="20"/>
        </w:rPr>
        <w:tab/>
      </w:r>
      <w:r w:rsidR="003D70AA" w:rsidRPr="00156CB3">
        <w:rPr>
          <w:rFonts w:ascii="Arial" w:hAnsi="Arial" w:cs="Arial"/>
          <w:b/>
          <w:i/>
          <w:sz w:val="20"/>
          <w:szCs w:val="20"/>
        </w:rPr>
        <w:t xml:space="preserve">provide more details on the progress made by the Multidisciplinary Revenue </w:t>
      </w:r>
      <w:r w:rsidR="00ED72CA" w:rsidRPr="00156CB3">
        <w:rPr>
          <w:rFonts w:ascii="Arial" w:hAnsi="Arial" w:cs="Arial"/>
          <w:b/>
          <w:i/>
          <w:sz w:val="20"/>
          <w:szCs w:val="20"/>
        </w:rPr>
        <w:tab/>
      </w:r>
      <w:r w:rsidR="003D70AA" w:rsidRPr="00156CB3">
        <w:rPr>
          <w:rFonts w:ascii="Arial" w:hAnsi="Arial" w:cs="Arial"/>
          <w:b/>
          <w:i/>
          <w:sz w:val="20"/>
          <w:szCs w:val="20"/>
        </w:rPr>
        <w:t xml:space="preserve">Committee comprising the National Treasury, the South African Local Government </w:t>
      </w:r>
      <w:r w:rsidR="00ED72CA" w:rsidRPr="00156CB3">
        <w:rPr>
          <w:rFonts w:ascii="Arial" w:hAnsi="Arial" w:cs="Arial"/>
          <w:b/>
          <w:i/>
          <w:sz w:val="20"/>
          <w:szCs w:val="20"/>
        </w:rPr>
        <w:tab/>
      </w:r>
      <w:r w:rsidR="003D70AA" w:rsidRPr="00156CB3">
        <w:rPr>
          <w:rFonts w:ascii="Arial" w:hAnsi="Arial" w:cs="Arial"/>
          <w:b/>
          <w:i/>
          <w:sz w:val="20"/>
          <w:szCs w:val="20"/>
        </w:rPr>
        <w:t xml:space="preserve">Association, Department of </w:t>
      </w:r>
      <w:r w:rsidRPr="00156CB3">
        <w:rPr>
          <w:rFonts w:ascii="Arial" w:hAnsi="Arial" w:cs="Arial"/>
          <w:b/>
          <w:i/>
          <w:sz w:val="20"/>
          <w:szCs w:val="20"/>
        </w:rPr>
        <w:tab/>
      </w:r>
      <w:r w:rsidR="003D70AA" w:rsidRPr="00156CB3">
        <w:rPr>
          <w:rFonts w:ascii="Arial" w:hAnsi="Arial" w:cs="Arial"/>
          <w:b/>
          <w:i/>
          <w:sz w:val="20"/>
          <w:szCs w:val="20"/>
        </w:rPr>
        <w:t xml:space="preserve">Cooperative Governance and Traditional Affairs and </w:t>
      </w:r>
      <w:r w:rsidR="00ED72CA" w:rsidRPr="00156CB3">
        <w:rPr>
          <w:rFonts w:ascii="Arial" w:hAnsi="Arial" w:cs="Arial"/>
          <w:b/>
          <w:i/>
          <w:sz w:val="20"/>
          <w:szCs w:val="20"/>
        </w:rPr>
        <w:tab/>
      </w:r>
      <w:r w:rsidR="003D70AA" w:rsidRPr="00156CB3">
        <w:rPr>
          <w:rFonts w:ascii="Arial" w:hAnsi="Arial" w:cs="Arial"/>
          <w:b/>
          <w:i/>
          <w:sz w:val="20"/>
          <w:szCs w:val="20"/>
        </w:rPr>
        <w:t xml:space="preserve">municipalities, as part of an </w:t>
      </w:r>
      <w:r w:rsidRPr="00156CB3">
        <w:rPr>
          <w:rFonts w:ascii="Arial" w:hAnsi="Arial" w:cs="Arial"/>
          <w:b/>
          <w:i/>
          <w:sz w:val="20"/>
          <w:szCs w:val="20"/>
        </w:rPr>
        <w:tab/>
      </w:r>
      <w:r w:rsidR="003D70AA" w:rsidRPr="00156CB3">
        <w:rPr>
          <w:rFonts w:ascii="Arial" w:hAnsi="Arial" w:cs="Arial"/>
          <w:b/>
          <w:i/>
          <w:sz w:val="20"/>
          <w:szCs w:val="20"/>
        </w:rPr>
        <w:t xml:space="preserve">intergovernmental relations initiatives to address debt </w:t>
      </w:r>
      <w:r w:rsidR="00ED72CA" w:rsidRPr="00156CB3">
        <w:rPr>
          <w:rFonts w:ascii="Arial" w:hAnsi="Arial" w:cs="Arial"/>
          <w:b/>
          <w:i/>
          <w:sz w:val="20"/>
          <w:szCs w:val="20"/>
        </w:rPr>
        <w:tab/>
      </w:r>
      <w:r w:rsidR="003D70AA" w:rsidRPr="00156CB3">
        <w:rPr>
          <w:rFonts w:ascii="Arial" w:hAnsi="Arial" w:cs="Arial"/>
          <w:b/>
          <w:i/>
          <w:sz w:val="20"/>
          <w:szCs w:val="20"/>
        </w:rPr>
        <w:t>collection.</w:t>
      </w:r>
    </w:p>
    <w:p w:rsidR="003D70AA" w:rsidRPr="00156CB3" w:rsidRDefault="003D70AA" w:rsidP="00156CB3">
      <w:pPr>
        <w:spacing w:after="0" w:line="240" w:lineRule="auto"/>
        <w:rPr>
          <w:rFonts w:ascii="Arial" w:eastAsia="Calibri" w:hAnsi="Arial" w:cs="Arial"/>
          <w:sz w:val="20"/>
          <w:szCs w:val="20"/>
          <w:lang w:eastAsia="en-ZA"/>
        </w:rPr>
      </w:pPr>
    </w:p>
    <w:p w:rsidR="00ED72CA" w:rsidRPr="00156CB3" w:rsidRDefault="00ED72CA" w:rsidP="00156CB3">
      <w:pPr>
        <w:spacing w:after="0" w:line="240" w:lineRule="auto"/>
        <w:rPr>
          <w:rFonts w:ascii="Arial" w:eastAsia="Calibri" w:hAnsi="Arial" w:cs="Arial"/>
          <w:sz w:val="20"/>
          <w:szCs w:val="20"/>
          <w:lang w:eastAsia="en-ZA"/>
        </w:rPr>
      </w:pPr>
    </w:p>
    <w:p w:rsidR="00ED72CA" w:rsidRPr="00156CB3" w:rsidRDefault="00ED72CA" w:rsidP="00156CB3">
      <w:pPr>
        <w:spacing w:after="0" w:line="240" w:lineRule="auto"/>
        <w:rPr>
          <w:rFonts w:ascii="Arial" w:eastAsia="Calibri" w:hAnsi="Arial" w:cs="Arial"/>
          <w:sz w:val="20"/>
          <w:szCs w:val="20"/>
          <w:lang w:eastAsia="en-ZA"/>
        </w:rPr>
      </w:pPr>
    </w:p>
    <w:p w:rsidR="00ED72CA" w:rsidRPr="00156CB3" w:rsidRDefault="00ED72CA" w:rsidP="00156CB3">
      <w:pPr>
        <w:spacing w:after="0" w:line="240" w:lineRule="auto"/>
        <w:rPr>
          <w:rFonts w:ascii="Arial" w:eastAsia="Calibri" w:hAnsi="Arial" w:cs="Arial"/>
          <w:sz w:val="20"/>
          <w:szCs w:val="20"/>
          <w:lang w:eastAsia="en-ZA"/>
        </w:rPr>
      </w:pPr>
    </w:p>
    <w:p w:rsidR="00ED72CA" w:rsidRPr="00156CB3" w:rsidRDefault="00ED72CA" w:rsidP="00156CB3">
      <w:pPr>
        <w:spacing w:after="0" w:line="240" w:lineRule="auto"/>
        <w:rPr>
          <w:rFonts w:ascii="Arial" w:eastAsia="Calibri" w:hAnsi="Arial" w:cs="Arial"/>
          <w:sz w:val="20"/>
          <w:szCs w:val="20"/>
          <w:lang w:eastAsia="en-ZA"/>
        </w:rPr>
      </w:pPr>
    </w:p>
    <w:p w:rsidR="003D70AA" w:rsidRPr="00156CB3" w:rsidRDefault="00524214" w:rsidP="00156CB3">
      <w:pPr>
        <w:spacing w:after="0" w:line="240" w:lineRule="auto"/>
        <w:contextualSpacing/>
        <w:rPr>
          <w:rFonts w:ascii="Arial" w:hAnsi="Arial" w:cs="Arial"/>
          <w:b/>
          <w:sz w:val="20"/>
          <w:szCs w:val="20"/>
        </w:rPr>
      </w:pPr>
      <w:r w:rsidRPr="00156CB3">
        <w:rPr>
          <w:rFonts w:ascii="Arial" w:hAnsi="Arial" w:cs="Arial"/>
          <w:b/>
          <w:sz w:val="20"/>
          <w:szCs w:val="20"/>
        </w:rPr>
        <w:t>6.11.1</w:t>
      </w:r>
      <w:r w:rsidR="003D70AA" w:rsidRPr="00156CB3">
        <w:rPr>
          <w:rFonts w:ascii="Arial" w:hAnsi="Arial" w:cs="Arial"/>
          <w:b/>
          <w:sz w:val="20"/>
          <w:szCs w:val="20"/>
        </w:rPr>
        <w:tab/>
        <w:t>Departmental contribution to job creation</w:t>
      </w:r>
    </w:p>
    <w:p w:rsidR="003D70AA" w:rsidRPr="00156CB3" w:rsidRDefault="003D70AA" w:rsidP="00156CB3">
      <w:pPr>
        <w:spacing w:after="0" w:line="240" w:lineRule="auto"/>
        <w:contextualSpacing/>
        <w:rPr>
          <w:rFonts w:ascii="Arial" w:hAnsi="Arial" w:cs="Arial"/>
          <w:b/>
          <w:sz w:val="20"/>
          <w:szCs w:val="20"/>
        </w:rPr>
      </w:pPr>
    </w:p>
    <w:p w:rsidR="003D70AA" w:rsidRPr="00156CB3" w:rsidRDefault="003D70AA" w:rsidP="00156CB3">
      <w:pPr>
        <w:spacing w:after="0" w:line="240" w:lineRule="auto"/>
        <w:contextualSpacing/>
        <w:rPr>
          <w:rFonts w:ascii="Arial" w:hAnsi="Arial" w:cs="Arial"/>
          <w:sz w:val="20"/>
          <w:szCs w:val="20"/>
        </w:rPr>
      </w:pPr>
      <w:r w:rsidRPr="00156CB3">
        <w:rPr>
          <w:rFonts w:ascii="Arial" w:hAnsi="Arial" w:cs="Arial"/>
          <w:sz w:val="20"/>
          <w:szCs w:val="20"/>
        </w:rPr>
        <w:t xml:space="preserve">Members of the Portfolio Committee maintained that the </w:t>
      </w:r>
      <w:r w:rsidR="002D749D" w:rsidRPr="00156CB3">
        <w:rPr>
          <w:rFonts w:ascii="Arial" w:hAnsi="Arial" w:cs="Arial"/>
          <w:sz w:val="20"/>
          <w:szCs w:val="20"/>
        </w:rPr>
        <w:t>country's high unemployment rate necessitated the Department's need</w:t>
      </w:r>
      <w:r w:rsidRPr="00156CB3">
        <w:rPr>
          <w:rFonts w:ascii="Arial" w:hAnsi="Arial" w:cs="Arial"/>
          <w:sz w:val="20"/>
          <w:szCs w:val="20"/>
        </w:rPr>
        <w:t xml:space="preserve"> to contribute to creating jobs within the water and sanitation sector.</w:t>
      </w:r>
    </w:p>
    <w:p w:rsidR="003D70AA" w:rsidRPr="00156CB3" w:rsidRDefault="003D70AA" w:rsidP="00156CB3">
      <w:pPr>
        <w:spacing w:after="0" w:line="240" w:lineRule="auto"/>
        <w:contextualSpacing/>
        <w:rPr>
          <w:rFonts w:ascii="Arial" w:hAnsi="Arial" w:cs="Arial"/>
          <w:b/>
          <w:i/>
          <w:sz w:val="20"/>
          <w:szCs w:val="20"/>
        </w:rPr>
      </w:pPr>
    </w:p>
    <w:p w:rsidR="003D70AA" w:rsidRPr="00156CB3" w:rsidRDefault="00524214" w:rsidP="00156CB3">
      <w:pPr>
        <w:spacing w:after="0" w:line="240" w:lineRule="auto"/>
        <w:contextualSpacing/>
        <w:rPr>
          <w:rFonts w:ascii="Arial" w:hAnsi="Arial" w:cs="Arial"/>
          <w:b/>
          <w:i/>
          <w:color w:val="FF0000"/>
          <w:sz w:val="20"/>
          <w:szCs w:val="20"/>
        </w:rPr>
      </w:pPr>
      <w:r w:rsidRPr="00156CB3">
        <w:rPr>
          <w:rFonts w:ascii="Arial" w:hAnsi="Arial" w:cs="Arial"/>
          <w:b/>
          <w:i/>
          <w:sz w:val="20"/>
          <w:szCs w:val="20"/>
        </w:rPr>
        <w:t xml:space="preserve">6.11.1.1 </w:t>
      </w:r>
      <w:r w:rsidR="003D70AA" w:rsidRPr="00156CB3">
        <w:rPr>
          <w:rFonts w:ascii="Arial" w:hAnsi="Arial" w:cs="Arial"/>
          <w:b/>
          <w:i/>
          <w:sz w:val="20"/>
          <w:szCs w:val="20"/>
        </w:rPr>
        <w:t>The Portfolio Committee recommended that a pro</w:t>
      </w:r>
      <w:r w:rsidR="00F82F3A" w:rsidRPr="00156CB3">
        <w:rPr>
          <w:rFonts w:ascii="Arial" w:hAnsi="Arial" w:cs="Arial"/>
          <w:b/>
          <w:i/>
          <w:sz w:val="20"/>
          <w:szCs w:val="20"/>
        </w:rPr>
        <w:t xml:space="preserve">gress report be submitted </w:t>
      </w:r>
      <w:r w:rsidR="00ED72CA" w:rsidRPr="00156CB3">
        <w:rPr>
          <w:rFonts w:ascii="Arial" w:hAnsi="Arial" w:cs="Arial"/>
          <w:b/>
          <w:i/>
          <w:sz w:val="20"/>
          <w:szCs w:val="20"/>
        </w:rPr>
        <w:tab/>
      </w:r>
      <w:r w:rsidR="003D70AA" w:rsidRPr="00156CB3">
        <w:rPr>
          <w:rFonts w:ascii="Arial" w:hAnsi="Arial" w:cs="Arial"/>
          <w:b/>
          <w:i/>
          <w:sz w:val="20"/>
          <w:szCs w:val="20"/>
        </w:rPr>
        <w:t>highlighting the initiatives undertaken to ensur</w:t>
      </w:r>
      <w:r w:rsidR="002D749D" w:rsidRPr="00156CB3">
        <w:rPr>
          <w:rFonts w:ascii="Arial" w:hAnsi="Arial" w:cs="Arial"/>
          <w:b/>
          <w:i/>
          <w:sz w:val="20"/>
          <w:szCs w:val="20"/>
        </w:rPr>
        <w:t>e</w:t>
      </w:r>
      <w:r w:rsidR="00397275" w:rsidRPr="00156CB3">
        <w:rPr>
          <w:rFonts w:ascii="Arial" w:hAnsi="Arial" w:cs="Arial"/>
          <w:b/>
          <w:i/>
          <w:sz w:val="20"/>
          <w:szCs w:val="20"/>
        </w:rPr>
        <w:t xml:space="preserve"> increased job creation in the water </w:t>
      </w:r>
      <w:r w:rsidR="00ED72CA" w:rsidRPr="00156CB3">
        <w:rPr>
          <w:rFonts w:ascii="Arial" w:hAnsi="Arial" w:cs="Arial"/>
          <w:b/>
          <w:i/>
          <w:sz w:val="20"/>
          <w:szCs w:val="20"/>
        </w:rPr>
        <w:tab/>
      </w:r>
      <w:r w:rsidR="00397275" w:rsidRPr="00156CB3">
        <w:rPr>
          <w:rFonts w:ascii="Arial" w:hAnsi="Arial" w:cs="Arial"/>
          <w:b/>
          <w:i/>
          <w:sz w:val="20"/>
          <w:szCs w:val="20"/>
        </w:rPr>
        <w:t xml:space="preserve">and sanitation sector across the water value chain, specifically in communities where </w:t>
      </w:r>
      <w:r w:rsidR="00ED72CA" w:rsidRPr="00156CB3">
        <w:rPr>
          <w:rFonts w:ascii="Arial" w:hAnsi="Arial" w:cs="Arial"/>
          <w:b/>
          <w:i/>
          <w:sz w:val="20"/>
          <w:szCs w:val="20"/>
        </w:rPr>
        <w:tab/>
      </w:r>
      <w:r w:rsidR="00397275" w:rsidRPr="00156CB3">
        <w:rPr>
          <w:rFonts w:ascii="Arial" w:hAnsi="Arial" w:cs="Arial"/>
          <w:b/>
          <w:i/>
          <w:sz w:val="20"/>
          <w:szCs w:val="20"/>
        </w:rPr>
        <w:t>projects are being implemented</w:t>
      </w:r>
      <w:r w:rsidR="003D70AA" w:rsidRPr="00156CB3">
        <w:rPr>
          <w:rFonts w:ascii="Arial" w:hAnsi="Arial" w:cs="Arial"/>
          <w:b/>
          <w:i/>
          <w:sz w:val="20"/>
          <w:szCs w:val="20"/>
        </w:rPr>
        <w:t>.</w:t>
      </w:r>
      <w:r w:rsidR="003D70AA" w:rsidRPr="00156CB3">
        <w:rPr>
          <w:rFonts w:ascii="Arial" w:hAnsi="Arial" w:cs="Arial"/>
          <w:b/>
          <w:i/>
          <w:color w:val="FF0000"/>
          <w:sz w:val="20"/>
          <w:szCs w:val="20"/>
        </w:rPr>
        <w:t xml:space="preserve"> </w:t>
      </w:r>
    </w:p>
    <w:p w:rsidR="003D70AA" w:rsidRPr="00156CB3" w:rsidRDefault="003D70AA" w:rsidP="00156CB3">
      <w:pPr>
        <w:spacing w:after="0" w:line="240" w:lineRule="auto"/>
        <w:rPr>
          <w:rFonts w:ascii="Arial" w:eastAsia="Calibri" w:hAnsi="Arial" w:cs="Arial"/>
          <w:sz w:val="20"/>
          <w:szCs w:val="20"/>
          <w:lang w:eastAsia="en-ZA"/>
        </w:rPr>
      </w:pPr>
    </w:p>
    <w:p w:rsidR="009C1EC4" w:rsidRPr="00156CB3" w:rsidRDefault="00524214" w:rsidP="00156CB3">
      <w:pPr>
        <w:spacing w:after="0" w:line="240" w:lineRule="auto"/>
        <w:rPr>
          <w:rFonts w:ascii="Arial" w:hAnsi="Arial" w:cs="Arial"/>
          <w:b/>
          <w:sz w:val="20"/>
          <w:szCs w:val="20"/>
        </w:rPr>
      </w:pPr>
      <w:r w:rsidRPr="00156CB3">
        <w:rPr>
          <w:rFonts w:ascii="Arial" w:hAnsi="Arial" w:cs="Arial"/>
          <w:b/>
          <w:sz w:val="20"/>
          <w:szCs w:val="20"/>
        </w:rPr>
        <w:t>6.12</w:t>
      </w:r>
      <w:r w:rsidR="009C1EC4" w:rsidRPr="00156CB3">
        <w:rPr>
          <w:rFonts w:ascii="Arial" w:hAnsi="Arial" w:cs="Arial"/>
          <w:b/>
          <w:sz w:val="20"/>
          <w:szCs w:val="20"/>
        </w:rPr>
        <w:tab/>
        <w:t>Rollover of unspent funds</w:t>
      </w:r>
    </w:p>
    <w:p w:rsidR="009C1EC4" w:rsidRPr="00156CB3" w:rsidRDefault="009C1EC4" w:rsidP="00156CB3">
      <w:pPr>
        <w:spacing w:after="0" w:line="240" w:lineRule="auto"/>
        <w:rPr>
          <w:rFonts w:ascii="Arial" w:hAnsi="Arial" w:cs="Arial"/>
          <w:b/>
          <w:sz w:val="20"/>
          <w:szCs w:val="20"/>
        </w:rPr>
      </w:pPr>
    </w:p>
    <w:p w:rsidR="009C1EC4" w:rsidRPr="00156CB3" w:rsidRDefault="009C1EC4" w:rsidP="00156CB3">
      <w:pPr>
        <w:spacing w:after="0" w:line="240" w:lineRule="auto"/>
        <w:rPr>
          <w:rFonts w:ascii="Arial" w:hAnsi="Arial" w:cs="Arial"/>
          <w:sz w:val="20"/>
          <w:szCs w:val="20"/>
        </w:rPr>
      </w:pPr>
      <w:r w:rsidRPr="00156CB3">
        <w:rPr>
          <w:rFonts w:ascii="Arial" w:hAnsi="Arial" w:cs="Arial"/>
          <w:sz w:val="20"/>
          <w:szCs w:val="20"/>
        </w:rPr>
        <w:t xml:space="preserve">Members of the Portfolio Committee raised a question on the rollover of unspent funds and </w:t>
      </w:r>
      <w:r w:rsidR="007F5718" w:rsidRPr="00156CB3">
        <w:rPr>
          <w:rFonts w:ascii="Arial" w:hAnsi="Arial" w:cs="Arial"/>
          <w:sz w:val="20"/>
          <w:szCs w:val="20"/>
        </w:rPr>
        <w:t>its impact</w:t>
      </w:r>
      <w:r w:rsidRPr="00156CB3">
        <w:rPr>
          <w:rFonts w:ascii="Arial" w:hAnsi="Arial" w:cs="Arial"/>
          <w:sz w:val="20"/>
          <w:szCs w:val="20"/>
        </w:rPr>
        <w:t xml:space="preserve"> on projects.</w:t>
      </w:r>
    </w:p>
    <w:p w:rsidR="009C1EC4" w:rsidRPr="00156CB3" w:rsidRDefault="009C1EC4" w:rsidP="00156CB3">
      <w:pPr>
        <w:spacing w:after="0" w:line="240" w:lineRule="auto"/>
        <w:rPr>
          <w:rFonts w:ascii="Arial" w:hAnsi="Arial" w:cs="Arial"/>
          <w:sz w:val="20"/>
          <w:szCs w:val="20"/>
        </w:rPr>
      </w:pPr>
    </w:p>
    <w:p w:rsidR="009C1EC4" w:rsidRPr="00156CB3" w:rsidRDefault="00524214" w:rsidP="00156CB3">
      <w:pPr>
        <w:spacing w:after="0" w:line="240" w:lineRule="auto"/>
        <w:rPr>
          <w:rFonts w:ascii="Arial" w:hAnsi="Arial" w:cs="Arial"/>
          <w:b/>
          <w:i/>
          <w:sz w:val="20"/>
          <w:szCs w:val="20"/>
        </w:rPr>
      </w:pPr>
      <w:r w:rsidRPr="00156CB3">
        <w:rPr>
          <w:rFonts w:ascii="Arial" w:hAnsi="Arial" w:cs="Arial"/>
          <w:b/>
          <w:i/>
          <w:sz w:val="20"/>
          <w:szCs w:val="20"/>
        </w:rPr>
        <w:t>6.12.1</w:t>
      </w:r>
      <w:r w:rsidRPr="00156CB3">
        <w:rPr>
          <w:rFonts w:ascii="Arial" w:hAnsi="Arial" w:cs="Arial"/>
          <w:b/>
          <w:i/>
          <w:sz w:val="20"/>
          <w:szCs w:val="20"/>
        </w:rPr>
        <w:tab/>
      </w:r>
      <w:r w:rsidR="009C1EC4" w:rsidRPr="00156CB3">
        <w:rPr>
          <w:rFonts w:ascii="Arial" w:hAnsi="Arial" w:cs="Arial"/>
          <w:b/>
          <w:i/>
          <w:sz w:val="20"/>
          <w:szCs w:val="20"/>
        </w:rPr>
        <w:t>The Portfolio Committee recommended that</w:t>
      </w:r>
      <w:r w:rsidR="007F5718" w:rsidRPr="00156CB3">
        <w:rPr>
          <w:rFonts w:ascii="Arial" w:hAnsi="Arial" w:cs="Arial"/>
          <w:b/>
          <w:i/>
          <w:sz w:val="20"/>
          <w:szCs w:val="20"/>
        </w:rPr>
        <w:t xml:space="preserve"> </w:t>
      </w:r>
      <w:r w:rsidR="00B12D9B" w:rsidRPr="00156CB3">
        <w:rPr>
          <w:rFonts w:ascii="Arial" w:hAnsi="Arial" w:cs="Arial"/>
          <w:b/>
          <w:i/>
          <w:sz w:val="20"/>
          <w:szCs w:val="20"/>
        </w:rPr>
        <w:t xml:space="preserve">the Department </w:t>
      </w:r>
      <w:r w:rsidR="007F5718" w:rsidRPr="00156CB3">
        <w:rPr>
          <w:rFonts w:ascii="Arial" w:hAnsi="Arial" w:cs="Arial"/>
          <w:b/>
          <w:i/>
          <w:sz w:val="20"/>
          <w:szCs w:val="20"/>
        </w:rPr>
        <w:t xml:space="preserve">provide progress reports </w:t>
      </w:r>
      <w:r w:rsidR="00ED72CA" w:rsidRPr="00156CB3">
        <w:rPr>
          <w:rFonts w:ascii="Arial" w:hAnsi="Arial" w:cs="Arial"/>
          <w:b/>
          <w:i/>
          <w:sz w:val="20"/>
          <w:szCs w:val="20"/>
        </w:rPr>
        <w:tab/>
      </w:r>
      <w:r w:rsidR="007F5718" w:rsidRPr="00156CB3">
        <w:rPr>
          <w:rFonts w:ascii="Arial" w:hAnsi="Arial" w:cs="Arial"/>
          <w:b/>
          <w:i/>
          <w:sz w:val="20"/>
          <w:szCs w:val="20"/>
        </w:rPr>
        <w:t xml:space="preserve">on financial recovery and turnaround strategies as part of departmental quarterly </w:t>
      </w:r>
      <w:r w:rsidR="00ED72CA" w:rsidRPr="00156CB3">
        <w:rPr>
          <w:rFonts w:ascii="Arial" w:hAnsi="Arial" w:cs="Arial"/>
          <w:b/>
          <w:i/>
          <w:sz w:val="20"/>
          <w:szCs w:val="20"/>
        </w:rPr>
        <w:tab/>
      </w:r>
      <w:r w:rsidR="007F5718" w:rsidRPr="00156CB3">
        <w:rPr>
          <w:rFonts w:ascii="Arial" w:hAnsi="Arial" w:cs="Arial"/>
          <w:b/>
          <w:i/>
          <w:sz w:val="20"/>
          <w:szCs w:val="20"/>
        </w:rPr>
        <w:t xml:space="preserve">briefings, with input on </w:t>
      </w:r>
      <w:r w:rsidRPr="00156CB3">
        <w:rPr>
          <w:rFonts w:ascii="Arial" w:hAnsi="Arial" w:cs="Arial"/>
          <w:b/>
          <w:i/>
          <w:sz w:val="20"/>
          <w:szCs w:val="20"/>
        </w:rPr>
        <w:t xml:space="preserve">rollovers </w:t>
      </w:r>
      <w:r w:rsidR="007F5718" w:rsidRPr="00156CB3">
        <w:rPr>
          <w:rFonts w:ascii="Arial" w:hAnsi="Arial" w:cs="Arial"/>
          <w:b/>
          <w:i/>
          <w:sz w:val="20"/>
          <w:szCs w:val="20"/>
        </w:rPr>
        <w:tab/>
      </w:r>
      <w:r w:rsidRPr="00156CB3">
        <w:rPr>
          <w:rFonts w:ascii="Arial" w:hAnsi="Arial" w:cs="Arial"/>
          <w:b/>
          <w:i/>
          <w:sz w:val="20"/>
          <w:szCs w:val="20"/>
        </w:rPr>
        <w:t>as a critical component.</w:t>
      </w:r>
    </w:p>
    <w:p w:rsidR="00524214" w:rsidRPr="00156CB3" w:rsidRDefault="00524214" w:rsidP="00156CB3">
      <w:pPr>
        <w:spacing w:after="0" w:line="240" w:lineRule="auto"/>
        <w:rPr>
          <w:rFonts w:ascii="Arial" w:hAnsi="Arial" w:cs="Arial"/>
          <w:b/>
          <w:i/>
          <w:sz w:val="20"/>
          <w:szCs w:val="20"/>
        </w:rPr>
      </w:pPr>
    </w:p>
    <w:p w:rsidR="00524214" w:rsidRPr="00156CB3" w:rsidRDefault="00524214" w:rsidP="00156CB3">
      <w:pPr>
        <w:spacing w:after="0" w:line="240" w:lineRule="auto"/>
        <w:rPr>
          <w:rFonts w:ascii="Arial" w:eastAsia="Times New Roman" w:hAnsi="Arial" w:cs="Arial"/>
          <w:b/>
          <w:sz w:val="20"/>
          <w:szCs w:val="20"/>
          <w:lang w:val="en-US"/>
        </w:rPr>
      </w:pPr>
      <w:r w:rsidRPr="00156CB3">
        <w:rPr>
          <w:rFonts w:ascii="Arial" w:eastAsia="Times New Roman" w:hAnsi="Arial" w:cs="Arial"/>
          <w:b/>
          <w:sz w:val="20"/>
          <w:szCs w:val="20"/>
          <w:lang w:val="en-US"/>
        </w:rPr>
        <w:t xml:space="preserve">6.13 </w:t>
      </w:r>
      <w:r w:rsidRPr="00156CB3">
        <w:rPr>
          <w:rFonts w:ascii="Arial" w:eastAsia="Times New Roman" w:hAnsi="Arial" w:cs="Arial"/>
          <w:b/>
          <w:sz w:val="20"/>
          <w:szCs w:val="20"/>
          <w:lang w:val="en-US"/>
        </w:rPr>
        <w:tab/>
        <w:t xml:space="preserve">The effectiveness of the </w:t>
      </w:r>
      <w:r w:rsidR="009C67F6" w:rsidRPr="00156CB3">
        <w:rPr>
          <w:rFonts w:ascii="Arial" w:eastAsia="Times New Roman" w:hAnsi="Arial" w:cs="Arial"/>
          <w:b/>
          <w:sz w:val="20"/>
          <w:szCs w:val="20"/>
          <w:lang w:val="en-US"/>
        </w:rPr>
        <w:t>‘</w:t>
      </w:r>
      <w:r w:rsidRPr="00156CB3">
        <w:rPr>
          <w:rFonts w:ascii="Arial" w:eastAsia="Times New Roman" w:hAnsi="Arial" w:cs="Arial"/>
          <w:b/>
          <w:sz w:val="20"/>
          <w:szCs w:val="20"/>
          <w:lang w:val="en-US"/>
        </w:rPr>
        <w:t>polluter pays principle</w:t>
      </w:r>
      <w:r w:rsidR="009C67F6" w:rsidRPr="00156CB3">
        <w:rPr>
          <w:rFonts w:ascii="Arial" w:eastAsia="Times New Roman" w:hAnsi="Arial" w:cs="Arial"/>
          <w:b/>
          <w:sz w:val="20"/>
          <w:szCs w:val="20"/>
          <w:lang w:val="en-US"/>
        </w:rPr>
        <w:t>’</w:t>
      </w:r>
      <w:r w:rsidRPr="00156CB3">
        <w:rPr>
          <w:rFonts w:ascii="Arial" w:eastAsia="Times New Roman" w:hAnsi="Arial" w:cs="Arial"/>
          <w:b/>
          <w:sz w:val="20"/>
          <w:szCs w:val="20"/>
          <w:lang w:val="en-US"/>
        </w:rPr>
        <w:t xml:space="preserve"> in respect of compliance </w:t>
      </w:r>
      <w:r w:rsidR="007F5718" w:rsidRPr="00156CB3">
        <w:rPr>
          <w:rFonts w:ascii="Arial" w:eastAsia="Times New Roman" w:hAnsi="Arial" w:cs="Arial"/>
          <w:b/>
          <w:sz w:val="20"/>
          <w:szCs w:val="20"/>
          <w:lang w:val="en-US"/>
        </w:rPr>
        <w:t>with</w:t>
      </w:r>
      <w:r w:rsidRPr="00156CB3">
        <w:rPr>
          <w:rFonts w:ascii="Arial" w:eastAsia="Times New Roman" w:hAnsi="Arial" w:cs="Arial"/>
          <w:b/>
          <w:sz w:val="20"/>
          <w:szCs w:val="20"/>
          <w:lang w:val="en-US"/>
        </w:rPr>
        <w:t xml:space="preserve"> </w:t>
      </w:r>
      <w:r w:rsidR="00ED72CA" w:rsidRPr="00156CB3">
        <w:rPr>
          <w:rFonts w:ascii="Arial" w:eastAsia="Times New Roman" w:hAnsi="Arial" w:cs="Arial"/>
          <w:b/>
          <w:sz w:val="20"/>
          <w:szCs w:val="20"/>
          <w:lang w:val="en-US"/>
        </w:rPr>
        <w:tab/>
        <w:t xml:space="preserve">water and </w:t>
      </w:r>
      <w:r w:rsidRPr="00156CB3">
        <w:rPr>
          <w:rFonts w:ascii="Arial" w:eastAsia="Times New Roman" w:hAnsi="Arial" w:cs="Arial"/>
          <w:b/>
          <w:sz w:val="20"/>
          <w:szCs w:val="20"/>
          <w:lang w:val="en-US"/>
        </w:rPr>
        <w:t>environmental laws</w:t>
      </w:r>
    </w:p>
    <w:p w:rsidR="00524214" w:rsidRPr="00156CB3" w:rsidRDefault="00524214" w:rsidP="00156CB3">
      <w:pPr>
        <w:spacing w:after="0" w:line="240" w:lineRule="auto"/>
        <w:rPr>
          <w:rFonts w:ascii="Arial" w:eastAsia="Times New Roman" w:hAnsi="Arial" w:cs="Arial"/>
          <w:sz w:val="20"/>
          <w:szCs w:val="20"/>
          <w:lang w:val="en-US"/>
        </w:rPr>
      </w:pPr>
    </w:p>
    <w:p w:rsidR="00524214" w:rsidRPr="00156CB3" w:rsidRDefault="00524214" w:rsidP="00156CB3">
      <w:pPr>
        <w:spacing w:after="0" w:line="240" w:lineRule="auto"/>
        <w:rPr>
          <w:rFonts w:ascii="Arial" w:eastAsia="Times New Roman" w:hAnsi="Arial" w:cs="Arial"/>
          <w:sz w:val="20"/>
          <w:szCs w:val="20"/>
          <w:lang w:val="en-US"/>
        </w:rPr>
      </w:pPr>
      <w:r w:rsidRPr="00156CB3">
        <w:rPr>
          <w:rFonts w:ascii="Arial" w:eastAsia="Times New Roman" w:hAnsi="Arial" w:cs="Arial"/>
          <w:sz w:val="20"/>
          <w:szCs w:val="20"/>
          <w:lang w:val="en-US"/>
        </w:rPr>
        <w:t>The penaltie</w:t>
      </w:r>
      <w:r w:rsidR="007F5718" w:rsidRPr="00156CB3">
        <w:rPr>
          <w:rFonts w:ascii="Arial" w:eastAsia="Times New Roman" w:hAnsi="Arial" w:cs="Arial"/>
          <w:sz w:val="20"/>
          <w:szCs w:val="20"/>
          <w:lang w:val="en-US"/>
        </w:rPr>
        <w:t>s meted out against polluters are</w:t>
      </w:r>
      <w:r w:rsidRPr="00156CB3">
        <w:rPr>
          <w:rFonts w:ascii="Arial" w:eastAsia="Times New Roman" w:hAnsi="Arial" w:cs="Arial"/>
          <w:sz w:val="20"/>
          <w:szCs w:val="20"/>
          <w:lang w:val="en-US"/>
        </w:rPr>
        <w:t xml:space="preserve"> within the scope of the necessary pieces of legislation, which defines</w:t>
      </w:r>
      <w:r w:rsidR="007F5718" w:rsidRPr="00156CB3">
        <w:rPr>
          <w:rFonts w:ascii="Arial" w:eastAsia="Times New Roman" w:hAnsi="Arial" w:cs="Arial"/>
          <w:sz w:val="20"/>
          <w:szCs w:val="20"/>
          <w:lang w:val="en-US"/>
        </w:rPr>
        <w:t xml:space="preserve"> the</w:t>
      </w:r>
      <w:r w:rsidRPr="00156CB3">
        <w:rPr>
          <w:rFonts w:ascii="Arial" w:eastAsia="Times New Roman" w:hAnsi="Arial" w:cs="Arial"/>
          <w:sz w:val="20"/>
          <w:szCs w:val="20"/>
          <w:lang w:val="en-US"/>
        </w:rPr>
        <w:t xml:space="preserve"> ‘polluter pays principle’ on compliance issues. Penalties meted </w:t>
      </w:r>
      <w:r w:rsidR="007F5718" w:rsidRPr="00156CB3">
        <w:rPr>
          <w:rFonts w:ascii="Arial" w:eastAsia="Times New Roman" w:hAnsi="Arial" w:cs="Arial"/>
          <w:sz w:val="20"/>
          <w:szCs w:val="20"/>
          <w:lang w:val="en-US"/>
        </w:rPr>
        <w:t xml:space="preserve">out </w:t>
      </w:r>
      <w:r w:rsidRPr="00156CB3">
        <w:rPr>
          <w:rFonts w:ascii="Arial" w:eastAsia="Times New Roman" w:hAnsi="Arial" w:cs="Arial"/>
          <w:sz w:val="20"/>
          <w:szCs w:val="20"/>
          <w:lang w:val="en-US"/>
        </w:rPr>
        <w:t>against polluters</w:t>
      </w:r>
      <w:r w:rsidR="007F5718" w:rsidRPr="00156CB3">
        <w:rPr>
          <w:rFonts w:ascii="Arial" w:eastAsia="Times New Roman" w:hAnsi="Arial" w:cs="Arial"/>
          <w:sz w:val="20"/>
          <w:szCs w:val="20"/>
          <w:lang w:val="en-US"/>
        </w:rPr>
        <w:t xml:space="preserve">, and </w:t>
      </w:r>
      <w:r w:rsidRPr="00156CB3">
        <w:rPr>
          <w:rFonts w:ascii="Arial" w:eastAsia="Times New Roman" w:hAnsi="Arial" w:cs="Arial"/>
          <w:sz w:val="20"/>
          <w:szCs w:val="20"/>
          <w:lang w:val="en-US"/>
        </w:rPr>
        <w:t xml:space="preserve">remediation of polluted areas require serious engagement with all relevant stakeholders in terms of conviction and the impact it has on the lives of affected citizens.  </w:t>
      </w:r>
    </w:p>
    <w:p w:rsidR="00524214" w:rsidRPr="00156CB3" w:rsidRDefault="00524214" w:rsidP="00156CB3">
      <w:pPr>
        <w:spacing w:after="0" w:line="240" w:lineRule="auto"/>
        <w:rPr>
          <w:rFonts w:ascii="Arial" w:hAnsi="Arial" w:cs="Arial"/>
          <w:i/>
          <w:sz w:val="20"/>
          <w:szCs w:val="20"/>
        </w:rPr>
      </w:pPr>
    </w:p>
    <w:p w:rsidR="00F16FAE" w:rsidRPr="00156CB3" w:rsidRDefault="00524214" w:rsidP="00156CB3">
      <w:pPr>
        <w:autoSpaceDE w:val="0"/>
        <w:autoSpaceDN w:val="0"/>
        <w:adjustRightInd w:val="0"/>
        <w:spacing w:after="0" w:line="240" w:lineRule="auto"/>
        <w:rPr>
          <w:rFonts w:ascii="Arial" w:eastAsia="MyriadPro-Regular" w:hAnsi="Arial" w:cs="Arial"/>
          <w:b/>
          <w:i/>
          <w:color w:val="000000"/>
          <w:sz w:val="20"/>
          <w:szCs w:val="20"/>
        </w:rPr>
      </w:pPr>
      <w:r w:rsidRPr="00156CB3">
        <w:rPr>
          <w:rFonts w:ascii="Arial" w:eastAsia="MyriadPro-Regular" w:hAnsi="Arial" w:cs="Arial"/>
          <w:b/>
          <w:i/>
          <w:color w:val="000000"/>
          <w:sz w:val="20"/>
          <w:szCs w:val="20"/>
        </w:rPr>
        <w:t>6.13.1</w:t>
      </w:r>
      <w:r w:rsidRPr="00156CB3">
        <w:rPr>
          <w:rFonts w:ascii="Arial" w:eastAsia="MyriadPro-Regular" w:hAnsi="Arial" w:cs="Arial"/>
          <w:b/>
          <w:i/>
          <w:color w:val="000000"/>
          <w:sz w:val="20"/>
          <w:szCs w:val="20"/>
        </w:rPr>
        <w:tab/>
        <w:t xml:space="preserve">The Portfolio Committee recommended that a written response be submitted on </w:t>
      </w:r>
      <w:r w:rsidR="00D46828" w:rsidRPr="00156CB3">
        <w:rPr>
          <w:rFonts w:ascii="Arial" w:eastAsia="MyriadPro-Regular" w:hAnsi="Arial" w:cs="Arial"/>
          <w:b/>
          <w:i/>
          <w:color w:val="000000"/>
          <w:sz w:val="20"/>
          <w:szCs w:val="20"/>
        </w:rPr>
        <w:t xml:space="preserve">the </w:t>
      </w:r>
      <w:r w:rsidR="00ED72CA" w:rsidRPr="00156CB3">
        <w:rPr>
          <w:rFonts w:ascii="Arial" w:eastAsia="MyriadPro-Regular" w:hAnsi="Arial" w:cs="Arial"/>
          <w:b/>
          <w:i/>
          <w:color w:val="000000"/>
          <w:sz w:val="20"/>
          <w:szCs w:val="20"/>
        </w:rPr>
        <w:tab/>
        <w:t xml:space="preserve">number </w:t>
      </w:r>
      <w:r w:rsidR="00D46828" w:rsidRPr="00156CB3">
        <w:rPr>
          <w:rFonts w:ascii="Arial" w:eastAsia="MyriadPro-Regular" w:hAnsi="Arial" w:cs="Arial"/>
          <w:b/>
          <w:i/>
          <w:color w:val="000000"/>
          <w:sz w:val="20"/>
          <w:szCs w:val="20"/>
        </w:rPr>
        <w:t xml:space="preserve">of transgressions of pollution of water sources, the action taken and the </w:t>
      </w:r>
      <w:r w:rsidR="00ED72CA" w:rsidRPr="00156CB3">
        <w:rPr>
          <w:rFonts w:ascii="Arial" w:eastAsia="MyriadPro-Regular" w:hAnsi="Arial" w:cs="Arial"/>
          <w:b/>
          <w:i/>
          <w:color w:val="000000"/>
          <w:sz w:val="20"/>
          <w:szCs w:val="20"/>
        </w:rPr>
        <w:tab/>
      </w:r>
      <w:r w:rsidR="00D46828" w:rsidRPr="00156CB3">
        <w:rPr>
          <w:rFonts w:ascii="Arial" w:eastAsia="MyriadPro-Regular" w:hAnsi="Arial" w:cs="Arial"/>
          <w:b/>
          <w:i/>
          <w:color w:val="000000"/>
          <w:sz w:val="20"/>
          <w:szCs w:val="20"/>
        </w:rPr>
        <w:t xml:space="preserve">remedial and </w:t>
      </w:r>
      <w:r w:rsidR="00D46828" w:rsidRPr="00156CB3">
        <w:rPr>
          <w:rFonts w:ascii="Arial" w:eastAsia="MyriadPro-Regular" w:hAnsi="Arial" w:cs="Arial"/>
          <w:b/>
          <w:i/>
          <w:color w:val="000000"/>
          <w:sz w:val="20"/>
          <w:szCs w:val="20"/>
        </w:rPr>
        <w:tab/>
        <w:t xml:space="preserve">corrective action, and outcomes thereof for the 2020/21 to 2021/22 </w:t>
      </w:r>
      <w:r w:rsidR="00ED72CA" w:rsidRPr="00156CB3">
        <w:rPr>
          <w:rFonts w:ascii="Arial" w:eastAsia="MyriadPro-Regular" w:hAnsi="Arial" w:cs="Arial"/>
          <w:b/>
          <w:i/>
          <w:color w:val="000000"/>
          <w:sz w:val="20"/>
          <w:szCs w:val="20"/>
        </w:rPr>
        <w:tab/>
      </w:r>
      <w:r w:rsidR="00D46828" w:rsidRPr="00156CB3">
        <w:rPr>
          <w:rFonts w:ascii="Arial" w:eastAsia="MyriadPro-Regular" w:hAnsi="Arial" w:cs="Arial"/>
          <w:b/>
          <w:i/>
          <w:color w:val="000000"/>
          <w:sz w:val="20"/>
          <w:szCs w:val="20"/>
        </w:rPr>
        <w:t>financial years.</w:t>
      </w:r>
    </w:p>
    <w:p w:rsidR="002340B5" w:rsidRPr="00156CB3" w:rsidRDefault="002340B5" w:rsidP="00156CB3">
      <w:pPr>
        <w:autoSpaceDE w:val="0"/>
        <w:autoSpaceDN w:val="0"/>
        <w:adjustRightInd w:val="0"/>
        <w:spacing w:after="0" w:line="240" w:lineRule="auto"/>
        <w:rPr>
          <w:rFonts w:ascii="Arial" w:eastAsia="MyriadPro-Regular" w:hAnsi="Arial" w:cs="Arial"/>
          <w:b/>
          <w:i/>
          <w:color w:val="000000"/>
          <w:sz w:val="20"/>
          <w:szCs w:val="20"/>
        </w:rPr>
      </w:pPr>
    </w:p>
    <w:p w:rsidR="002340B5" w:rsidRPr="00156CB3" w:rsidRDefault="002340B5" w:rsidP="00156CB3">
      <w:pPr>
        <w:autoSpaceDE w:val="0"/>
        <w:autoSpaceDN w:val="0"/>
        <w:adjustRightInd w:val="0"/>
        <w:spacing w:after="0" w:line="240" w:lineRule="auto"/>
        <w:rPr>
          <w:rFonts w:ascii="Arial" w:eastAsia="MyriadPro-Regular" w:hAnsi="Arial" w:cs="Arial"/>
          <w:b/>
          <w:color w:val="000000"/>
          <w:sz w:val="20"/>
          <w:szCs w:val="20"/>
        </w:rPr>
      </w:pPr>
      <w:r w:rsidRPr="00156CB3">
        <w:rPr>
          <w:rFonts w:ascii="Arial" w:eastAsia="MyriadPro-Regular" w:hAnsi="Arial" w:cs="Arial"/>
          <w:b/>
          <w:color w:val="000000"/>
          <w:sz w:val="20"/>
          <w:szCs w:val="20"/>
        </w:rPr>
        <w:t>6.14</w:t>
      </w:r>
      <w:r w:rsidRPr="00156CB3">
        <w:rPr>
          <w:rFonts w:ascii="Arial" w:eastAsia="MyriadPro-Regular" w:hAnsi="Arial" w:cs="Arial"/>
          <w:b/>
          <w:color w:val="000000"/>
          <w:sz w:val="20"/>
          <w:szCs w:val="20"/>
        </w:rPr>
        <w:tab/>
        <w:t>Transformation of irrigation boards to water user associations</w:t>
      </w:r>
    </w:p>
    <w:p w:rsidR="00D46828" w:rsidRPr="00156CB3" w:rsidRDefault="00D46828" w:rsidP="00156CB3">
      <w:pPr>
        <w:autoSpaceDE w:val="0"/>
        <w:autoSpaceDN w:val="0"/>
        <w:adjustRightInd w:val="0"/>
        <w:spacing w:after="0" w:line="240" w:lineRule="auto"/>
        <w:rPr>
          <w:rFonts w:ascii="Arial" w:eastAsia="MyriadPro-Regular" w:hAnsi="Arial" w:cs="Arial"/>
          <w:b/>
          <w:i/>
          <w:color w:val="000000"/>
          <w:sz w:val="20"/>
          <w:szCs w:val="20"/>
        </w:rPr>
      </w:pPr>
    </w:p>
    <w:p w:rsidR="002340B5" w:rsidRPr="00156CB3" w:rsidRDefault="002340B5" w:rsidP="00156CB3">
      <w:pPr>
        <w:spacing w:after="0" w:line="240" w:lineRule="auto"/>
        <w:rPr>
          <w:rFonts w:ascii="Arial" w:hAnsi="Arial" w:cs="Arial"/>
          <w:bCs/>
          <w:sz w:val="20"/>
          <w:szCs w:val="20"/>
        </w:rPr>
      </w:pPr>
      <w:r w:rsidRPr="00156CB3">
        <w:rPr>
          <w:rFonts w:ascii="Arial" w:hAnsi="Arial" w:cs="Arial"/>
          <w:bCs/>
          <w:sz w:val="20"/>
          <w:szCs w:val="20"/>
        </w:rPr>
        <w:t>The 1998 National Water Ac</w:t>
      </w:r>
      <w:r w:rsidR="007F5718" w:rsidRPr="00156CB3">
        <w:rPr>
          <w:rFonts w:ascii="Arial" w:hAnsi="Arial" w:cs="Arial"/>
          <w:bCs/>
          <w:sz w:val="20"/>
          <w:szCs w:val="20"/>
        </w:rPr>
        <w:t xml:space="preserve">t pushed for a radical </w:t>
      </w:r>
      <w:r w:rsidRPr="00156CB3">
        <w:rPr>
          <w:rFonts w:ascii="Arial" w:hAnsi="Arial" w:cs="Arial"/>
          <w:bCs/>
          <w:sz w:val="20"/>
          <w:szCs w:val="20"/>
        </w:rPr>
        <w:t xml:space="preserve">water resources management </w:t>
      </w:r>
      <w:r w:rsidR="009C67F6" w:rsidRPr="00156CB3">
        <w:rPr>
          <w:rFonts w:ascii="Arial" w:hAnsi="Arial" w:cs="Arial"/>
          <w:bCs/>
          <w:sz w:val="20"/>
          <w:szCs w:val="20"/>
        </w:rPr>
        <w:t xml:space="preserve">reform </w:t>
      </w:r>
      <w:r w:rsidRPr="00156CB3">
        <w:rPr>
          <w:rFonts w:ascii="Arial" w:hAnsi="Arial" w:cs="Arial"/>
          <w:bCs/>
          <w:sz w:val="20"/>
          <w:szCs w:val="20"/>
        </w:rPr>
        <w:t>in South Africa.  With regard to irrigation boards at</w:t>
      </w:r>
      <w:r w:rsidR="009C67F6" w:rsidRPr="00156CB3">
        <w:rPr>
          <w:rFonts w:ascii="Arial" w:hAnsi="Arial" w:cs="Arial"/>
          <w:bCs/>
          <w:sz w:val="20"/>
          <w:szCs w:val="20"/>
        </w:rPr>
        <w:t xml:space="preserve"> the</w:t>
      </w:r>
      <w:r w:rsidRPr="00156CB3">
        <w:rPr>
          <w:rFonts w:ascii="Arial" w:hAnsi="Arial" w:cs="Arial"/>
          <w:bCs/>
          <w:sz w:val="20"/>
          <w:szCs w:val="20"/>
        </w:rPr>
        <w:t xml:space="preserve"> local level, which used to be managed by large-scale farmers, the Act moves toward </w:t>
      </w:r>
      <w:r w:rsidR="007F5718" w:rsidRPr="00156CB3">
        <w:rPr>
          <w:rFonts w:ascii="Arial" w:hAnsi="Arial" w:cs="Arial"/>
          <w:bCs/>
          <w:sz w:val="20"/>
          <w:szCs w:val="20"/>
        </w:rPr>
        <w:t xml:space="preserve">transforming </w:t>
      </w:r>
      <w:r w:rsidRPr="00156CB3">
        <w:rPr>
          <w:rFonts w:ascii="Arial" w:hAnsi="Arial" w:cs="Arial"/>
          <w:bCs/>
          <w:sz w:val="20"/>
          <w:szCs w:val="20"/>
        </w:rPr>
        <w:t xml:space="preserve">these into Water User Associations. The purpose of this change in the Act is expected to incorporate all users in the defined areas of jurisdiction, whether they have a formal water entitlement or not.  </w:t>
      </w:r>
      <w:r w:rsidR="002D749D" w:rsidRPr="00156CB3">
        <w:rPr>
          <w:rFonts w:ascii="Arial" w:hAnsi="Arial" w:cs="Arial"/>
          <w:bCs/>
          <w:sz w:val="20"/>
          <w:szCs w:val="20"/>
        </w:rPr>
        <w:t>The transformation enables</w:t>
      </w:r>
      <w:r w:rsidRPr="00156CB3">
        <w:rPr>
          <w:rFonts w:ascii="Arial" w:hAnsi="Arial" w:cs="Arial"/>
          <w:bCs/>
          <w:sz w:val="20"/>
          <w:szCs w:val="20"/>
        </w:rPr>
        <w:t xml:space="preserve"> better participation of historically disadvantaged individuals </w:t>
      </w:r>
      <w:r w:rsidR="007F5718" w:rsidRPr="00156CB3">
        <w:rPr>
          <w:rFonts w:ascii="Arial" w:hAnsi="Arial" w:cs="Arial"/>
          <w:bCs/>
          <w:sz w:val="20"/>
          <w:szCs w:val="20"/>
        </w:rPr>
        <w:t>in managing</w:t>
      </w:r>
      <w:r w:rsidR="002D749D" w:rsidRPr="00156CB3">
        <w:rPr>
          <w:rFonts w:ascii="Arial" w:hAnsi="Arial" w:cs="Arial"/>
          <w:bCs/>
          <w:sz w:val="20"/>
          <w:szCs w:val="20"/>
        </w:rPr>
        <w:t xml:space="preserve"> water resources,</w:t>
      </w:r>
      <w:r w:rsidRPr="00156CB3">
        <w:rPr>
          <w:rFonts w:ascii="Arial" w:hAnsi="Arial" w:cs="Arial"/>
          <w:bCs/>
          <w:sz w:val="20"/>
          <w:szCs w:val="20"/>
        </w:rPr>
        <w:t xml:space="preserve"> and provide</w:t>
      </w:r>
      <w:r w:rsidR="002D749D" w:rsidRPr="00156CB3">
        <w:rPr>
          <w:rFonts w:ascii="Arial" w:hAnsi="Arial" w:cs="Arial"/>
          <w:bCs/>
          <w:sz w:val="20"/>
          <w:szCs w:val="20"/>
        </w:rPr>
        <w:t>s</w:t>
      </w:r>
      <w:r w:rsidRPr="00156CB3">
        <w:rPr>
          <w:rFonts w:ascii="Arial" w:hAnsi="Arial" w:cs="Arial"/>
          <w:bCs/>
          <w:sz w:val="20"/>
          <w:szCs w:val="20"/>
        </w:rPr>
        <w:t xml:space="preserve"> a basis for improving </w:t>
      </w:r>
      <w:r w:rsidR="002D749D" w:rsidRPr="00156CB3">
        <w:rPr>
          <w:rFonts w:ascii="Arial" w:hAnsi="Arial" w:cs="Arial"/>
          <w:bCs/>
          <w:sz w:val="20"/>
          <w:szCs w:val="20"/>
        </w:rPr>
        <w:t xml:space="preserve">the </w:t>
      </w:r>
      <w:r w:rsidRPr="00156CB3">
        <w:rPr>
          <w:rFonts w:ascii="Arial" w:hAnsi="Arial" w:cs="Arial"/>
          <w:bCs/>
          <w:sz w:val="20"/>
          <w:szCs w:val="20"/>
        </w:rPr>
        <w:t xml:space="preserve">local integrated management of water resources.  However, the slow progress in transforming irrigation boards </w:t>
      </w:r>
      <w:r w:rsidR="007F5718" w:rsidRPr="00156CB3">
        <w:rPr>
          <w:rFonts w:ascii="Arial" w:hAnsi="Arial" w:cs="Arial"/>
          <w:bCs/>
          <w:sz w:val="20"/>
          <w:szCs w:val="20"/>
        </w:rPr>
        <w:t>in</w:t>
      </w:r>
      <w:r w:rsidRPr="00156CB3">
        <w:rPr>
          <w:rFonts w:ascii="Arial" w:hAnsi="Arial" w:cs="Arial"/>
          <w:bCs/>
          <w:sz w:val="20"/>
          <w:szCs w:val="20"/>
        </w:rPr>
        <w:t>to water user association</w:t>
      </w:r>
      <w:r w:rsidR="007F5718" w:rsidRPr="00156CB3">
        <w:rPr>
          <w:rFonts w:ascii="Arial" w:hAnsi="Arial" w:cs="Arial"/>
          <w:bCs/>
          <w:sz w:val="20"/>
          <w:szCs w:val="20"/>
        </w:rPr>
        <w:t>s</w:t>
      </w:r>
      <w:r w:rsidRPr="00156CB3">
        <w:rPr>
          <w:rFonts w:ascii="Arial" w:hAnsi="Arial" w:cs="Arial"/>
          <w:bCs/>
          <w:sz w:val="20"/>
          <w:szCs w:val="20"/>
        </w:rPr>
        <w:t xml:space="preserve"> was noted as a major concern by Members of the Portfolio Committee.</w:t>
      </w:r>
    </w:p>
    <w:p w:rsidR="009C67F6" w:rsidRPr="00156CB3" w:rsidRDefault="009C67F6" w:rsidP="00156CB3">
      <w:pPr>
        <w:spacing w:after="0" w:line="240" w:lineRule="auto"/>
        <w:rPr>
          <w:rFonts w:ascii="Arial" w:hAnsi="Arial" w:cs="Arial"/>
          <w:bCs/>
          <w:sz w:val="20"/>
          <w:szCs w:val="20"/>
        </w:rPr>
      </w:pPr>
    </w:p>
    <w:p w:rsidR="002340B5" w:rsidRPr="00156CB3" w:rsidRDefault="002340B5" w:rsidP="00156CB3">
      <w:pPr>
        <w:spacing w:after="0" w:line="240" w:lineRule="auto"/>
        <w:rPr>
          <w:rFonts w:ascii="Arial" w:hAnsi="Arial" w:cs="Arial"/>
          <w:b/>
          <w:bCs/>
          <w:i/>
          <w:sz w:val="20"/>
          <w:szCs w:val="20"/>
        </w:rPr>
      </w:pPr>
      <w:r w:rsidRPr="00156CB3">
        <w:rPr>
          <w:rFonts w:ascii="Arial" w:hAnsi="Arial" w:cs="Arial"/>
          <w:b/>
          <w:bCs/>
          <w:i/>
          <w:sz w:val="20"/>
          <w:szCs w:val="20"/>
        </w:rPr>
        <w:t>6.14.1</w:t>
      </w:r>
      <w:r w:rsidRPr="00156CB3">
        <w:rPr>
          <w:rFonts w:ascii="Arial" w:hAnsi="Arial" w:cs="Arial"/>
          <w:b/>
          <w:bCs/>
          <w:i/>
          <w:sz w:val="20"/>
          <w:szCs w:val="20"/>
        </w:rPr>
        <w:tab/>
      </w:r>
      <w:r w:rsidR="00086F62" w:rsidRPr="00156CB3">
        <w:rPr>
          <w:rFonts w:ascii="Arial" w:hAnsi="Arial" w:cs="Arial"/>
          <w:b/>
          <w:bCs/>
          <w:i/>
          <w:sz w:val="20"/>
          <w:szCs w:val="20"/>
        </w:rPr>
        <w:t>The Department</w:t>
      </w:r>
      <w:r w:rsidRPr="00156CB3">
        <w:rPr>
          <w:rFonts w:ascii="Arial" w:hAnsi="Arial" w:cs="Arial"/>
          <w:b/>
          <w:bCs/>
          <w:i/>
          <w:sz w:val="20"/>
          <w:szCs w:val="20"/>
        </w:rPr>
        <w:t xml:space="preserve"> </w:t>
      </w:r>
      <w:r w:rsidR="00086F62" w:rsidRPr="00156CB3">
        <w:rPr>
          <w:rFonts w:ascii="Arial" w:hAnsi="Arial" w:cs="Arial"/>
          <w:b/>
          <w:bCs/>
          <w:i/>
          <w:sz w:val="20"/>
          <w:szCs w:val="20"/>
        </w:rPr>
        <w:t xml:space="preserve">should provide a </w:t>
      </w:r>
      <w:r w:rsidRPr="00156CB3">
        <w:rPr>
          <w:rFonts w:ascii="Arial" w:hAnsi="Arial" w:cs="Arial"/>
          <w:b/>
          <w:bCs/>
          <w:i/>
          <w:sz w:val="20"/>
          <w:szCs w:val="20"/>
        </w:rPr>
        <w:t xml:space="preserve">written submission </w:t>
      </w:r>
      <w:r w:rsidR="00B12D9B" w:rsidRPr="00156CB3">
        <w:rPr>
          <w:rFonts w:ascii="Arial" w:hAnsi="Arial" w:cs="Arial"/>
          <w:b/>
          <w:bCs/>
          <w:i/>
          <w:sz w:val="20"/>
          <w:szCs w:val="20"/>
        </w:rPr>
        <w:t xml:space="preserve">progress </w:t>
      </w:r>
      <w:r w:rsidR="007F5718" w:rsidRPr="00156CB3">
        <w:rPr>
          <w:rFonts w:ascii="Arial" w:hAnsi="Arial" w:cs="Arial"/>
          <w:b/>
          <w:bCs/>
          <w:i/>
          <w:sz w:val="20"/>
          <w:szCs w:val="20"/>
        </w:rPr>
        <w:t xml:space="preserve">in transforming </w:t>
      </w:r>
      <w:r w:rsidR="00ED72CA" w:rsidRPr="00156CB3">
        <w:rPr>
          <w:rFonts w:ascii="Arial" w:hAnsi="Arial" w:cs="Arial"/>
          <w:b/>
          <w:bCs/>
          <w:i/>
          <w:sz w:val="20"/>
          <w:szCs w:val="20"/>
        </w:rPr>
        <w:tab/>
      </w:r>
      <w:r w:rsidR="007F5718" w:rsidRPr="00156CB3">
        <w:rPr>
          <w:rFonts w:ascii="Arial" w:hAnsi="Arial" w:cs="Arial"/>
          <w:b/>
          <w:bCs/>
          <w:i/>
          <w:sz w:val="20"/>
          <w:szCs w:val="20"/>
        </w:rPr>
        <w:t>irrigation</w:t>
      </w:r>
      <w:r w:rsidRPr="00156CB3">
        <w:rPr>
          <w:rFonts w:ascii="Arial" w:hAnsi="Arial" w:cs="Arial"/>
          <w:b/>
          <w:bCs/>
          <w:i/>
          <w:sz w:val="20"/>
          <w:szCs w:val="20"/>
        </w:rPr>
        <w:t xml:space="preserve"> boards to water user associations.</w:t>
      </w:r>
    </w:p>
    <w:p w:rsidR="002340B5" w:rsidRPr="00156CB3" w:rsidRDefault="002340B5" w:rsidP="00156CB3">
      <w:pPr>
        <w:spacing w:after="0" w:line="240" w:lineRule="auto"/>
        <w:rPr>
          <w:rFonts w:ascii="Arial" w:hAnsi="Arial" w:cs="Arial"/>
          <w:b/>
          <w:bCs/>
          <w:i/>
          <w:sz w:val="20"/>
          <w:szCs w:val="20"/>
        </w:rPr>
      </w:pPr>
    </w:p>
    <w:p w:rsidR="002340B5" w:rsidRPr="00156CB3" w:rsidRDefault="002340B5" w:rsidP="00156CB3">
      <w:pPr>
        <w:spacing w:after="0" w:line="240" w:lineRule="auto"/>
        <w:rPr>
          <w:rFonts w:ascii="Arial" w:hAnsi="Arial" w:cs="Arial"/>
          <w:b/>
          <w:bCs/>
          <w:sz w:val="20"/>
          <w:szCs w:val="20"/>
        </w:rPr>
      </w:pPr>
      <w:r w:rsidRPr="00156CB3">
        <w:rPr>
          <w:rFonts w:ascii="Arial" w:hAnsi="Arial" w:cs="Arial"/>
          <w:b/>
          <w:bCs/>
          <w:sz w:val="20"/>
          <w:szCs w:val="20"/>
        </w:rPr>
        <w:t>6.15</w:t>
      </w:r>
      <w:r w:rsidRPr="00156CB3">
        <w:rPr>
          <w:rFonts w:ascii="Arial" w:hAnsi="Arial" w:cs="Arial"/>
          <w:b/>
          <w:bCs/>
          <w:sz w:val="20"/>
          <w:szCs w:val="20"/>
        </w:rPr>
        <w:tab/>
      </w:r>
      <w:r w:rsidR="00B74761" w:rsidRPr="00156CB3">
        <w:rPr>
          <w:rFonts w:ascii="Arial" w:hAnsi="Arial" w:cs="Arial"/>
          <w:b/>
          <w:bCs/>
          <w:sz w:val="20"/>
          <w:szCs w:val="20"/>
        </w:rPr>
        <w:t>Protecti</w:t>
      </w:r>
      <w:r w:rsidR="002D749D" w:rsidRPr="00156CB3">
        <w:rPr>
          <w:rFonts w:ascii="Arial" w:hAnsi="Arial" w:cs="Arial"/>
          <w:b/>
          <w:bCs/>
          <w:sz w:val="20"/>
          <w:szCs w:val="20"/>
        </w:rPr>
        <w:t>on of ecological infrastructure,</w:t>
      </w:r>
      <w:r w:rsidR="00B74761" w:rsidRPr="00156CB3">
        <w:rPr>
          <w:rFonts w:ascii="Arial" w:hAnsi="Arial" w:cs="Arial"/>
          <w:b/>
          <w:bCs/>
          <w:sz w:val="20"/>
          <w:szCs w:val="20"/>
        </w:rPr>
        <w:t xml:space="preserve"> such as wetlands, to ensure </w:t>
      </w:r>
      <w:r w:rsidR="002D749D" w:rsidRPr="00156CB3">
        <w:rPr>
          <w:rFonts w:ascii="Arial" w:hAnsi="Arial" w:cs="Arial"/>
          <w:b/>
          <w:bCs/>
          <w:sz w:val="20"/>
          <w:szCs w:val="20"/>
        </w:rPr>
        <w:t xml:space="preserve">the </w:t>
      </w:r>
      <w:r w:rsidR="00ED72CA" w:rsidRPr="00156CB3">
        <w:rPr>
          <w:rFonts w:ascii="Arial" w:hAnsi="Arial" w:cs="Arial"/>
          <w:b/>
          <w:bCs/>
          <w:sz w:val="20"/>
          <w:szCs w:val="20"/>
        </w:rPr>
        <w:tab/>
      </w:r>
      <w:r w:rsidR="00B74761" w:rsidRPr="00156CB3">
        <w:rPr>
          <w:rFonts w:ascii="Arial" w:hAnsi="Arial" w:cs="Arial"/>
          <w:b/>
          <w:bCs/>
          <w:sz w:val="20"/>
          <w:szCs w:val="20"/>
        </w:rPr>
        <w:t xml:space="preserve">sustainability of </w:t>
      </w:r>
      <w:r w:rsidR="002D749D" w:rsidRPr="00156CB3">
        <w:rPr>
          <w:rFonts w:ascii="Arial" w:hAnsi="Arial" w:cs="Arial"/>
          <w:b/>
          <w:bCs/>
          <w:sz w:val="20"/>
          <w:szCs w:val="20"/>
        </w:rPr>
        <w:t xml:space="preserve">built </w:t>
      </w:r>
      <w:r w:rsidR="00B74761" w:rsidRPr="00156CB3">
        <w:rPr>
          <w:rFonts w:ascii="Arial" w:hAnsi="Arial" w:cs="Arial"/>
          <w:b/>
          <w:bCs/>
          <w:sz w:val="20"/>
          <w:szCs w:val="20"/>
        </w:rPr>
        <w:t>infrastructure</w:t>
      </w:r>
    </w:p>
    <w:p w:rsidR="002340B5" w:rsidRPr="00156CB3" w:rsidRDefault="002340B5" w:rsidP="00156CB3">
      <w:pPr>
        <w:spacing w:after="0" w:line="240" w:lineRule="auto"/>
        <w:rPr>
          <w:rFonts w:ascii="Arial" w:hAnsi="Arial" w:cs="Arial"/>
          <w:bCs/>
          <w:sz w:val="20"/>
          <w:szCs w:val="20"/>
        </w:rPr>
      </w:pPr>
    </w:p>
    <w:p w:rsidR="00B74761" w:rsidRPr="00156CB3" w:rsidRDefault="009557FF" w:rsidP="00156CB3">
      <w:pPr>
        <w:spacing w:after="0" w:line="240" w:lineRule="auto"/>
        <w:rPr>
          <w:rFonts w:ascii="Arial" w:hAnsi="Arial" w:cs="Arial"/>
          <w:bCs/>
          <w:sz w:val="20"/>
          <w:szCs w:val="20"/>
        </w:rPr>
      </w:pPr>
      <w:r w:rsidRPr="00156CB3">
        <w:rPr>
          <w:rFonts w:ascii="Arial" w:hAnsi="Arial" w:cs="Arial"/>
          <w:bCs/>
          <w:sz w:val="20"/>
          <w:szCs w:val="20"/>
        </w:rPr>
        <w:t xml:space="preserve">South Africa has invested </w:t>
      </w:r>
      <w:r w:rsidR="00B12D9B" w:rsidRPr="00156CB3">
        <w:rPr>
          <w:rFonts w:ascii="Arial" w:hAnsi="Arial" w:cs="Arial"/>
          <w:bCs/>
          <w:sz w:val="20"/>
          <w:szCs w:val="20"/>
        </w:rPr>
        <w:t>significant funds in</w:t>
      </w:r>
      <w:r w:rsidRPr="00156CB3">
        <w:rPr>
          <w:rFonts w:ascii="Arial" w:hAnsi="Arial" w:cs="Arial"/>
          <w:bCs/>
          <w:sz w:val="20"/>
          <w:szCs w:val="20"/>
        </w:rPr>
        <w:t xml:space="preserve"> developing bu</w:t>
      </w:r>
      <w:r w:rsidR="00216F4B" w:rsidRPr="00156CB3">
        <w:rPr>
          <w:rFonts w:ascii="Arial" w:hAnsi="Arial" w:cs="Arial"/>
          <w:bCs/>
          <w:sz w:val="20"/>
          <w:szCs w:val="20"/>
        </w:rPr>
        <w:t>ilt bulk water and sanitation infrastructure across the water value chain, such as dams, reservoirs, wastewater works, wastewater treatment plants, etc.</w:t>
      </w:r>
      <w:r w:rsidR="00B12D9B" w:rsidRPr="00156CB3">
        <w:rPr>
          <w:rFonts w:ascii="Arial" w:hAnsi="Arial" w:cs="Arial"/>
          <w:bCs/>
          <w:sz w:val="20"/>
          <w:szCs w:val="20"/>
        </w:rPr>
        <w:t>,</w:t>
      </w:r>
      <w:r w:rsidR="00216F4B" w:rsidRPr="00156CB3">
        <w:rPr>
          <w:rFonts w:ascii="Arial" w:hAnsi="Arial" w:cs="Arial"/>
          <w:bCs/>
          <w:sz w:val="20"/>
          <w:szCs w:val="20"/>
        </w:rPr>
        <w:t xml:space="preserve"> but lacking is the concomitant support </w:t>
      </w:r>
      <w:r w:rsidR="00B12D9B" w:rsidRPr="00156CB3">
        <w:rPr>
          <w:rFonts w:ascii="Arial" w:hAnsi="Arial" w:cs="Arial"/>
          <w:bCs/>
          <w:sz w:val="20"/>
          <w:szCs w:val="20"/>
        </w:rPr>
        <w:t>and investment in strengthening ecological infrastructure to lengthen the lifespan of existing built infrastructure.  Degraded ecological infrastructure can lead to reduced capacity and lifespan of dams, and increased costs of flooding, whereas well-maintained ecological infrastructure, can buffer human settlements and built infrastructure against the extreme events associated with climate change and play a crucial and cost-effective role in disaster risk reduction.</w:t>
      </w:r>
    </w:p>
    <w:p w:rsidR="00ED72CA" w:rsidRPr="00156CB3" w:rsidRDefault="00ED72CA" w:rsidP="00156CB3">
      <w:pPr>
        <w:spacing w:after="0" w:line="240" w:lineRule="auto"/>
        <w:rPr>
          <w:rFonts w:ascii="Arial" w:hAnsi="Arial" w:cs="Arial"/>
          <w:bCs/>
          <w:sz w:val="20"/>
          <w:szCs w:val="20"/>
        </w:rPr>
      </w:pPr>
    </w:p>
    <w:p w:rsidR="00B12D9B" w:rsidRPr="00156CB3" w:rsidRDefault="00B12D9B" w:rsidP="00156CB3">
      <w:pPr>
        <w:spacing w:after="0" w:line="240" w:lineRule="auto"/>
        <w:rPr>
          <w:rFonts w:ascii="Arial" w:hAnsi="Arial" w:cs="Arial"/>
          <w:b/>
          <w:bCs/>
          <w:i/>
          <w:sz w:val="20"/>
          <w:szCs w:val="20"/>
        </w:rPr>
      </w:pPr>
      <w:r w:rsidRPr="00156CB3">
        <w:rPr>
          <w:rFonts w:ascii="Arial" w:hAnsi="Arial" w:cs="Arial"/>
          <w:b/>
          <w:bCs/>
          <w:i/>
          <w:sz w:val="20"/>
          <w:szCs w:val="20"/>
        </w:rPr>
        <w:t>6.15.1</w:t>
      </w:r>
      <w:r w:rsidRPr="00156CB3">
        <w:rPr>
          <w:rFonts w:ascii="Arial" w:hAnsi="Arial" w:cs="Arial"/>
          <w:b/>
          <w:bCs/>
          <w:i/>
          <w:sz w:val="20"/>
          <w:szCs w:val="20"/>
        </w:rPr>
        <w:tab/>
      </w:r>
      <w:r w:rsidR="00456A13" w:rsidRPr="00156CB3">
        <w:rPr>
          <w:rFonts w:ascii="Arial" w:hAnsi="Arial" w:cs="Arial"/>
          <w:b/>
          <w:bCs/>
          <w:i/>
          <w:sz w:val="20"/>
          <w:szCs w:val="20"/>
        </w:rPr>
        <w:t xml:space="preserve">The Departments of </w:t>
      </w:r>
      <w:r w:rsidR="0074229A" w:rsidRPr="00156CB3">
        <w:rPr>
          <w:rFonts w:ascii="Arial" w:hAnsi="Arial" w:cs="Arial"/>
          <w:b/>
          <w:bCs/>
          <w:i/>
          <w:sz w:val="20"/>
          <w:szCs w:val="20"/>
        </w:rPr>
        <w:t>Environmental Affairs and Water and Sanitation</w:t>
      </w:r>
      <w:r w:rsidR="00456A13" w:rsidRPr="00156CB3">
        <w:rPr>
          <w:rFonts w:ascii="Arial" w:hAnsi="Arial" w:cs="Arial"/>
          <w:b/>
          <w:bCs/>
          <w:i/>
          <w:sz w:val="20"/>
          <w:szCs w:val="20"/>
        </w:rPr>
        <w:t xml:space="preserve"> should provide </w:t>
      </w:r>
      <w:r w:rsidR="00ED72CA" w:rsidRPr="00156CB3">
        <w:rPr>
          <w:rFonts w:ascii="Arial" w:hAnsi="Arial" w:cs="Arial"/>
          <w:b/>
          <w:bCs/>
          <w:i/>
          <w:sz w:val="20"/>
          <w:szCs w:val="20"/>
        </w:rPr>
        <w:tab/>
        <w:t xml:space="preserve">further </w:t>
      </w:r>
      <w:r w:rsidR="00456A13" w:rsidRPr="00156CB3">
        <w:rPr>
          <w:rFonts w:ascii="Arial" w:hAnsi="Arial" w:cs="Arial"/>
          <w:b/>
          <w:bCs/>
          <w:i/>
          <w:sz w:val="20"/>
          <w:szCs w:val="20"/>
        </w:rPr>
        <w:t>information</w:t>
      </w:r>
      <w:r w:rsidR="0074229A" w:rsidRPr="00156CB3">
        <w:rPr>
          <w:rFonts w:ascii="Arial" w:hAnsi="Arial" w:cs="Arial"/>
          <w:b/>
          <w:bCs/>
          <w:i/>
          <w:sz w:val="20"/>
          <w:szCs w:val="20"/>
        </w:rPr>
        <w:t xml:space="preserve"> on approache</w:t>
      </w:r>
      <w:r w:rsidR="00456A13" w:rsidRPr="00156CB3">
        <w:rPr>
          <w:rFonts w:ascii="Arial" w:hAnsi="Arial" w:cs="Arial"/>
          <w:b/>
          <w:bCs/>
          <w:i/>
          <w:sz w:val="20"/>
          <w:szCs w:val="20"/>
        </w:rPr>
        <w:t xml:space="preserve">s and strategies to strengthen </w:t>
      </w:r>
      <w:r w:rsidR="0074229A" w:rsidRPr="00156CB3">
        <w:rPr>
          <w:rFonts w:ascii="Arial" w:hAnsi="Arial" w:cs="Arial"/>
          <w:b/>
          <w:bCs/>
          <w:i/>
          <w:sz w:val="20"/>
          <w:szCs w:val="20"/>
        </w:rPr>
        <w:t xml:space="preserve">ecological </w:t>
      </w:r>
      <w:r w:rsidR="00ED72CA" w:rsidRPr="00156CB3">
        <w:rPr>
          <w:rFonts w:ascii="Arial" w:hAnsi="Arial" w:cs="Arial"/>
          <w:b/>
          <w:bCs/>
          <w:i/>
          <w:sz w:val="20"/>
          <w:szCs w:val="20"/>
        </w:rPr>
        <w:tab/>
      </w:r>
      <w:r w:rsidR="0074229A" w:rsidRPr="00156CB3">
        <w:rPr>
          <w:rFonts w:ascii="Arial" w:hAnsi="Arial" w:cs="Arial"/>
          <w:b/>
          <w:bCs/>
          <w:i/>
          <w:sz w:val="20"/>
          <w:szCs w:val="20"/>
        </w:rPr>
        <w:t xml:space="preserve">infrastructure in the </w:t>
      </w:r>
      <w:r w:rsidR="00456A13" w:rsidRPr="00156CB3">
        <w:rPr>
          <w:rFonts w:ascii="Arial" w:hAnsi="Arial" w:cs="Arial"/>
          <w:b/>
          <w:bCs/>
          <w:i/>
          <w:sz w:val="20"/>
          <w:szCs w:val="20"/>
        </w:rPr>
        <w:tab/>
      </w:r>
      <w:r w:rsidR="0074229A" w:rsidRPr="00156CB3">
        <w:rPr>
          <w:rFonts w:ascii="Arial" w:hAnsi="Arial" w:cs="Arial"/>
          <w:b/>
          <w:bCs/>
          <w:i/>
          <w:sz w:val="20"/>
          <w:szCs w:val="20"/>
        </w:rPr>
        <w:t>country as part of mitigat</w:t>
      </w:r>
      <w:r w:rsidR="00456A13" w:rsidRPr="00156CB3">
        <w:rPr>
          <w:rFonts w:ascii="Arial" w:hAnsi="Arial" w:cs="Arial"/>
          <w:b/>
          <w:bCs/>
          <w:i/>
          <w:sz w:val="20"/>
          <w:szCs w:val="20"/>
        </w:rPr>
        <w:t xml:space="preserve">ing against impacts of climate </w:t>
      </w:r>
      <w:r w:rsidR="00ED72CA" w:rsidRPr="00156CB3">
        <w:rPr>
          <w:rFonts w:ascii="Arial" w:hAnsi="Arial" w:cs="Arial"/>
          <w:b/>
          <w:bCs/>
          <w:i/>
          <w:sz w:val="20"/>
          <w:szCs w:val="20"/>
        </w:rPr>
        <w:tab/>
      </w:r>
      <w:r w:rsidR="0074229A" w:rsidRPr="00156CB3">
        <w:rPr>
          <w:rFonts w:ascii="Arial" w:hAnsi="Arial" w:cs="Arial"/>
          <w:b/>
          <w:bCs/>
          <w:i/>
          <w:sz w:val="20"/>
          <w:szCs w:val="20"/>
        </w:rPr>
        <w:t>change.</w:t>
      </w:r>
    </w:p>
    <w:p w:rsidR="00B65114" w:rsidRPr="00156CB3" w:rsidRDefault="00B65114" w:rsidP="00156CB3">
      <w:pPr>
        <w:spacing w:after="0" w:line="240" w:lineRule="auto"/>
        <w:rPr>
          <w:rFonts w:ascii="Arial" w:hAnsi="Arial" w:cs="Arial"/>
          <w:i/>
          <w:sz w:val="20"/>
          <w:szCs w:val="20"/>
        </w:rPr>
      </w:pPr>
    </w:p>
    <w:p w:rsidR="009F04B7" w:rsidRPr="00156CB3" w:rsidRDefault="009F04B7" w:rsidP="00156CB3">
      <w:pPr>
        <w:spacing w:after="0" w:line="240" w:lineRule="auto"/>
        <w:rPr>
          <w:rFonts w:ascii="Arial" w:hAnsi="Arial" w:cs="Arial"/>
          <w:i/>
          <w:sz w:val="20"/>
          <w:szCs w:val="20"/>
        </w:rPr>
      </w:pPr>
    </w:p>
    <w:p w:rsidR="009F04B7" w:rsidRPr="00156CB3" w:rsidRDefault="009F04B7" w:rsidP="00156CB3">
      <w:pPr>
        <w:spacing w:after="0" w:line="240" w:lineRule="auto"/>
        <w:rPr>
          <w:rFonts w:ascii="Arial" w:hAnsi="Arial" w:cs="Arial"/>
          <w:b/>
          <w:sz w:val="20"/>
          <w:szCs w:val="20"/>
        </w:rPr>
      </w:pPr>
      <w:r w:rsidRPr="00156CB3">
        <w:rPr>
          <w:rFonts w:ascii="Arial" w:hAnsi="Arial" w:cs="Arial"/>
          <w:b/>
          <w:sz w:val="20"/>
          <w:szCs w:val="20"/>
        </w:rPr>
        <w:t>Report to be considered.</w:t>
      </w:r>
    </w:p>
    <w:sectPr w:rsidR="009F04B7" w:rsidRPr="00156CB3" w:rsidSect="00FA28D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8B" w:rsidRDefault="00DF798B" w:rsidP="00122BE6">
      <w:pPr>
        <w:spacing w:after="0" w:line="240" w:lineRule="auto"/>
      </w:pPr>
      <w:r>
        <w:separator/>
      </w:r>
    </w:p>
  </w:endnote>
  <w:endnote w:type="continuationSeparator" w:id="0">
    <w:p w:rsidR="00DF798B" w:rsidRDefault="00DF798B" w:rsidP="00122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algun Gothic Semilight"/>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004582"/>
      <w:docPartObj>
        <w:docPartGallery w:val="Page Numbers (Bottom of Page)"/>
        <w:docPartUnique/>
      </w:docPartObj>
    </w:sdtPr>
    <w:sdtEndPr>
      <w:rPr>
        <w:noProof/>
      </w:rPr>
    </w:sdtEndPr>
    <w:sdtContent>
      <w:p w:rsidR="00B25750" w:rsidRDefault="00FA28DD">
        <w:pPr>
          <w:pStyle w:val="Footer"/>
          <w:jc w:val="right"/>
        </w:pPr>
        <w:r>
          <w:fldChar w:fldCharType="begin"/>
        </w:r>
        <w:r w:rsidR="00B25750">
          <w:instrText xml:space="preserve"> PAGE   \* MERGEFORMAT </w:instrText>
        </w:r>
        <w:r>
          <w:fldChar w:fldCharType="separate"/>
        </w:r>
        <w:r w:rsidR="00156CB3">
          <w:rPr>
            <w:noProof/>
          </w:rPr>
          <w:t>1</w:t>
        </w:r>
        <w:r>
          <w:rPr>
            <w:noProof/>
          </w:rPr>
          <w:fldChar w:fldCharType="end"/>
        </w:r>
      </w:p>
    </w:sdtContent>
  </w:sdt>
  <w:p w:rsidR="00B25750" w:rsidRDefault="00B25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8B" w:rsidRDefault="00DF798B" w:rsidP="00122BE6">
      <w:pPr>
        <w:spacing w:after="0" w:line="240" w:lineRule="auto"/>
      </w:pPr>
      <w:r>
        <w:separator/>
      </w:r>
    </w:p>
  </w:footnote>
  <w:footnote w:type="continuationSeparator" w:id="0">
    <w:p w:rsidR="00DF798B" w:rsidRDefault="00DF798B" w:rsidP="00122BE6">
      <w:pPr>
        <w:spacing w:after="0" w:line="240" w:lineRule="auto"/>
      </w:pPr>
      <w:r>
        <w:continuationSeparator/>
      </w:r>
    </w:p>
  </w:footnote>
  <w:footnote w:id="1">
    <w:p w:rsidR="00B25750" w:rsidRPr="00027479" w:rsidRDefault="00B25750" w:rsidP="005E6660">
      <w:pPr>
        <w:pStyle w:val="FootnoteText"/>
        <w:jc w:val="both"/>
        <w:rPr>
          <w:rFonts w:ascii="Times New Roman" w:hAnsi="Times New Roman" w:cs="Times New Roman"/>
          <w:sz w:val="16"/>
          <w:szCs w:val="16"/>
        </w:rPr>
      </w:pPr>
      <w:r w:rsidRPr="00027479">
        <w:rPr>
          <w:rStyle w:val="FootnoteReference"/>
          <w:sz w:val="16"/>
          <w:szCs w:val="16"/>
        </w:rPr>
        <w:footnoteRef/>
      </w:r>
      <w:r w:rsidRPr="00027479">
        <w:rPr>
          <w:sz w:val="16"/>
          <w:szCs w:val="16"/>
        </w:rPr>
        <w:t xml:space="preserve"> </w:t>
      </w:r>
      <w:r w:rsidRPr="00027479">
        <w:rPr>
          <w:rFonts w:ascii="Times New Roman" w:hAnsi="Times New Roman" w:cs="Times New Roman"/>
          <w:sz w:val="16"/>
          <w:szCs w:val="16"/>
        </w:rPr>
        <w:t>Section 10 – everyone has inherent dignity and the right to have their dignity respected and protected; section 24(a) – everyone has a right to an environment that is not harmful to their health or well-being; section 27(1)(b) – everyone has the right to have access to sufficient water and section 27(2) – the state to take reasonable legislative and other measures, within its available resources, to achieve the progressive realisation of everyone’s right of access to sufficient water and dignified sanitation.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F60"/>
    <w:multiLevelType w:val="hybridMultilevel"/>
    <w:tmpl w:val="1018E9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7C7E59"/>
    <w:multiLevelType w:val="hybridMultilevel"/>
    <w:tmpl w:val="EFA638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A2030F0"/>
    <w:multiLevelType w:val="hybridMultilevel"/>
    <w:tmpl w:val="677A4D4E"/>
    <w:lvl w:ilvl="0" w:tplc="26A6171A">
      <w:start w:val="1"/>
      <w:numFmt w:val="bullet"/>
      <w:lvlText w:val="•"/>
      <w:lvlJc w:val="left"/>
      <w:pPr>
        <w:tabs>
          <w:tab w:val="num" w:pos="720"/>
        </w:tabs>
        <w:ind w:left="720" w:hanging="360"/>
      </w:pPr>
      <w:rPr>
        <w:rFonts w:ascii="Arial" w:hAnsi="Arial" w:hint="default"/>
      </w:rPr>
    </w:lvl>
    <w:lvl w:ilvl="1" w:tplc="8210057E" w:tentative="1">
      <w:start w:val="1"/>
      <w:numFmt w:val="bullet"/>
      <w:lvlText w:val="•"/>
      <w:lvlJc w:val="left"/>
      <w:pPr>
        <w:tabs>
          <w:tab w:val="num" w:pos="1440"/>
        </w:tabs>
        <w:ind w:left="1440" w:hanging="360"/>
      </w:pPr>
      <w:rPr>
        <w:rFonts w:ascii="Arial" w:hAnsi="Arial" w:hint="default"/>
      </w:rPr>
    </w:lvl>
    <w:lvl w:ilvl="2" w:tplc="FFEA72E4" w:tentative="1">
      <w:start w:val="1"/>
      <w:numFmt w:val="bullet"/>
      <w:lvlText w:val="•"/>
      <w:lvlJc w:val="left"/>
      <w:pPr>
        <w:tabs>
          <w:tab w:val="num" w:pos="2160"/>
        </w:tabs>
        <w:ind w:left="2160" w:hanging="360"/>
      </w:pPr>
      <w:rPr>
        <w:rFonts w:ascii="Arial" w:hAnsi="Arial" w:hint="default"/>
      </w:rPr>
    </w:lvl>
    <w:lvl w:ilvl="3" w:tplc="270A12F4" w:tentative="1">
      <w:start w:val="1"/>
      <w:numFmt w:val="bullet"/>
      <w:lvlText w:val="•"/>
      <w:lvlJc w:val="left"/>
      <w:pPr>
        <w:tabs>
          <w:tab w:val="num" w:pos="2880"/>
        </w:tabs>
        <w:ind w:left="2880" w:hanging="360"/>
      </w:pPr>
      <w:rPr>
        <w:rFonts w:ascii="Arial" w:hAnsi="Arial" w:hint="default"/>
      </w:rPr>
    </w:lvl>
    <w:lvl w:ilvl="4" w:tplc="9D54144C" w:tentative="1">
      <w:start w:val="1"/>
      <w:numFmt w:val="bullet"/>
      <w:lvlText w:val="•"/>
      <w:lvlJc w:val="left"/>
      <w:pPr>
        <w:tabs>
          <w:tab w:val="num" w:pos="3600"/>
        </w:tabs>
        <w:ind w:left="3600" w:hanging="360"/>
      </w:pPr>
      <w:rPr>
        <w:rFonts w:ascii="Arial" w:hAnsi="Arial" w:hint="default"/>
      </w:rPr>
    </w:lvl>
    <w:lvl w:ilvl="5" w:tplc="2C04F6F6" w:tentative="1">
      <w:start w:val="1"/>
      <w:numFmt w:val="bullet"/>
      <w:lvlText w:val="•"/>
      <w:lvlJc w:val="left"/>
      <w:pPr>
        <w:tabs>
          <w:tab w:val="num" w:pos="4320"/>
        </w:tabs>
        <w:ind w:left="4320" w:hanging="360"/>
      </w:pPr>
      <w:rPr>
        <w:rFonts w:ascii="Arial" w:hAnsi="Arial" w:hint="default"/>
      </w:rPr>
    </w:lvl>
    <w:lvl w:ilvl="6" w:tplc="E368B962" w:tentative="1">
      <w:start w:val="1"/>
      <w:numFmt w:val="bullet"/>
      <w:lvlText w:val="•"/>
      <w:lvlJc w:val="left"/>
      <w:pPr>
        <w:tabs>
          <w:tab w:val="num" w:pos="5040"/>
        </w:tabs>
        <w:ind w:left="5040" w:hanging="360"/>
      </w:pPr>
      <w:rPr>
        <w:rFonts w:ascii="Arial" w:hAnsi="Arial" w:hint="default"/>
      </w:rPr>
    </w:lvl>
    <w:lvl w:ilvl="7" w:tplc="7D06E582" w:tentative="1">
      <w:start w:val="1"/>
      <w:numFmt w:val="bullet"/>
      <w:lvlText w:val="•"/>
      <w:lvlJc w:val="left"/>
      <w:pPr>
        <w:tabs>
          <w:tab w:val="num" w:pos="5760"/>
        </w:tabs>
        <w:ind w:left="5760" w:hanging="360"/>
      </w:pPr>
      <w:rPr>
        <w:rFonts w:ascii="Arial" w:hAnsi="Arial" w:hint="default"/>
      </w:rPr>
    </w:lvl>
    <w:lvl w:ilvl="8" w:tplc="32A8BAE4" w:tentative="1">
      <w:start w:val="1"/>
      <w:numFmt w:val="bullet"/>
      <w:lvlText w:val="•"/>
      <w:lvlJc w:val="left"/>
      <w:pPr>
        <w:tabs>
          <w:tab w:val="num" w:pos="6480"/>
        </w:tabs>
        <w:ind w:left="6480" w:hanging="360"/>
      </w:pPr>
      <w:rPr>
        <w:rFonts w:ascii="Arial" w:hAnsi="Arial" w:hint="default"/>
      </w:rPr>
    </w:lvl>
  </w:abstractNum>
  <w:abstractNum w:abstractNumId="3">
    <w:nsid w:val="0A8C53B7"/>
    <w:multiLevelType w:val="hybridMultilevel"/>
    <w:tmpl w:val="18164472"/>
    <w:lvl w:ilvl="0" w:tplc="859AF15E">
      <w:start w:val="1"/>
      <w:numFmt w:val="bullet"/>
      <w:lvlText w:val=""/>
      <w:lvlJc w:val="righ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6B1987"/>
    <w:multiLevelType w:val="hybridMultilevel"/>
    <w:tmpl w:val="268AEC2A"/>
    <w:lvl w:ilvl="0" w:tplc="0B28520A">
      <w:start w:val="1"/>
      <w:numFmt w:val="bullet"/>
      <w:lvlText w:val=""/>
      <w:lvlJc w:val="righ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BC476E7"/>
    <w:multiLevelType w:val="hybridMultilevel"/>
    <w:tmpl w:val="8B1AFD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C701F6E"/>
    <w:multiLevelType w:val="hybridMultilevel"/>
    <w:tmpl w:val="04360D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FE130F1"/>
    <w:multiLevelType w:val="hybridMultilevel"/>
    <w:tmpl w:val="A8461C3E"/>
    <w:lvl w:ilvl="0" w:tplc="ED6622FC">
      <w:start w:val="1"/>
      <w:numFmt w:val="bullet"/>
      <w:lvlText w:val="•"/>
      <w:lvlJc w:val="left"/>
      <w:pPr>
        <w:tabs>
          <w:tab w:val="num" w:pos="720"/>
        </w:tabs>
        <w:ind w:left="720" w:hanging="360"/>
      </w:pPr>
      <w:rPr>
        <w:rFonts w:ascii="Arial" w:hAnsi="Arial" w:hint="default"/>
      </w:rPr>
    </w:lvl>
    <w:lvl w:ilvl="1" w:tplc="849010F6" w:tentative="1">
      <w:start w:val="1"/>
      <w:numFmt w:val="bullet"/>
      <w:lvlText w:val="•"/>
      <w:lvlJc w:val="left"/>
      <w:pPr>
        <w:tabs>
          <w:tab w:val="num" w:pos="1440"/>
        </w:tabs>
        <w:ind w:left="1440" w:hanging="360"/>
      </w:pPr>
      <w:rPr>
        <w:rFonts w:ascii="Arial" w:hAnsi="Arial" w:hint="default"/>
      </w:rPr>
    </w:lvl>
    <w:lvl w:ilvl="2" w:tplc="FA6A78EC" w:tentative="1">
      <w:start w:val="1"/>
      <w:numFmt w:val="bullet"/>
      <w:lvlText w:val="•"/>
      <w:lvlJc w:val="left"/>
      <w:pPr>
        <w:tabs>
          <w:tab w:val="num" w:pos="2160"/>
        </w:tabs>
        <w:ind w:left="2160" w:hanging="360"/>
      </w:pPr>
      <w:rPr>
        <w:rFonts w:ascii="Arial" w:hAnsi="Arial" w:hint="default"/>
      </w:rPr>
    </w:lvl>
    <w:lvl w:ilvl="3" w:tplc="71E4A230" w:tentative="1">
      <w:start w:val="1"/>
      <w:numFmt w:val="bullet"/>
      <w:lvlText w:val="•"/>
      <w:lvlJc w:val="left"/>
      <w:pPr>
        <w:tabs>
          <w:tab w:val="num" w:pos="2880"/>
        </w:tabs>
        <w:ind w:left="2880" w:hanging="360"/>
      </w:pPr>
      <w:rPr>
        <w:rFonts w:ascii="Arial" w:hAnsi="Arial" w:hint="default"/>
      </w:rPr>
    </w:lvl>
    <w:lvl w:ilvl="4" w:tplc="89700BBA" w:tentative="1">
      <w:start w:val="1"/>
      <w:numFmt w:val="bullet"/>
      <w:lvlText w:val="•"/>
      <w:lvlJc w:val="left"/>
      <w:pPr>
        <w:tabs>
          <w:tab w:val="num" w:pos="3600"/>
        </w:tabs>
        <w:ind w:left="3600" w:hanging="360"/>
      </w:pPr>
      <w:rPr>
        <w:rFonts w:ascii="Arial" w:hAnsi="Arial" w:hint="default"/>
      </w:rPr>
    </w:lvl>
    <w:lvl w:ilvl="5" w:tplc="5A74935C" w:tentative="1">
      <w:start w:val="1"/>
      <w:numFmt w:val="bullet"/>
      <w:lvlText w:val="•"/>
      <w:lvlJc w:val="left"/>
      <w:pPr>
        <w:tabs>
          <w:tab w:val="num" w:pos="4320"/>
        </w:tabs>
        <w:ind w:left="4320" w:hanging="360"/>
      </w:pPr>
      <w:rPr>
        <w:rFonts w:ascii="Arial" w:hAnsi="Arial" w:hint="default"/>
      </w:rPr>
    </w:lvl>
    <w:lvl w:ilvl="6" w:tplc="D0388BDE" w:tentative="1">
      <w:start w:val="1"/>
      <w:numFmt w:val="bullet"/>
      <w:lvlText w:val="•"/>
      <w:lvlJc w:val="left"/>
      <w:pPr>
        <w:tabs>
          <w:tab w:val="num" w:pos="5040"/>
        </w:tabs>
        <w:ind w:left="5040" w:hanging="360"/>
      </w:pPr>
      <w:rPr>
        <w:rFonts w:ascii="Arial" w:hAnsi="Arial" w:hint="default"/>
      </w:rPr>
    </w:lvl>
    <w:lvl w:ilvl="7" w:tplc="54524068" w:tentative="1">
      <w:start w:val="1"/>
      <w:numFmt w:val="bullet"/>
      <w:lvlText w:val="•"/>
      <w:lvlJc w:val="left"/>
      <w:pPr>
        <w:tabs>
          <w:tab w:val="num" w:pos="5760"/>
        </w:tabs>
        <w:ind w:left="5760" w:hanging="360"/>
      </w:pPr>
      <w:rPr>
        <w:rFonts w:ascii="Arial" w:hAnsi="Arial" w:hint="default"/>
      </w:rPr>
    </w:lvl>
    <w:lvl w:ilvl="8" w:tplc="21F644BE" w:tentative="1">
      <w:start w:val="1"/>
      <w:numFmt w:val="bullet"/>
      <w:lvlText w:val="•"/>
      <w:lvlJc w:val="left"/>
      <w:pPr>
        <w:tabs>
          <w:tab w:val="num" w:pos="6480"/>
        </w:tabs>
        <w:ind w:left="6480" w:hanging="360"/>
      </w:pPr>
      <w:rPr>
        <w:rFonts w:ascii="Arial" w:hAnsi="Arial" w:hint="default"/>
      </w:rPr>
    </w:lvl>
  </w:abstractNum>
  <w:abstractNum w:abstractNumId="8">
    <w:nsid w:val="26DE4012"/>
    <w:multiLevelType w:val="hybridMultilevel"/>
    <w:tmpl w:val="4CD4EE90"/>
    <w:lvl w:ilvl="0" w:tplc="B8E265F8">
      <w:start w:val="1"/>
      <w:numFmt w:val="bullet"/>
      <w:lvlText w:val="•"/>
      <w:lvlJc w:val="left"/>
      <w:pPr>
        <w:tabs>
          <w:tab w:val="num" w:pos="720"/>
        </w:tabs>
        <w:ind w:left="720" w:hanging="360"/>
      </w:pPr>
      <w:rPr>
        <w:rFonts w:ascii="Arial" w:hAnsi="Arial" w:hint="default"/>
      </w:rPr>
    </w:lvl>
    <w:lvl w:ilvl="1" w:tplc="2FF2DE2E" w:tentative="1">
      <w:start w:val="1"/>
      <w:numFmt w:val="bullet"/>
      <w:lvlText w:val="•"/>
      <w:lvlJc w:val="left"/>
      <w:pPr>
        <w:tabs>
          <w:tab w:val="num" w:pos="1440"/>
        </w:tabs>
        <w:ind w:left="1440" w:hanging="360"/>
      </w:pPr>
      <w:rPr>
        <w:rFonts w:ascii="Arial" w:hAnsi="Arial" w:hint="default"/>
      </w:rPr>
    </w:lvl>
    <w:lvl w:ilvl="2" w:tplc="2BC82178" w:tentative="1">
      <w:start w:val="1"/>
      <w:numFmt w:val="bullet"/>
      <w:lvlText w:val="•"/>
      <w:lvlJc w:val="left"/>
      <w:pPr>
        <w:tabs>
          <w:tab w:val="num" w:pos="2160"/>
        </w:tabs>
        <w:ind w:left="2160" w:hanging="360"/>
      </w:pPr>
      <w:rPr>
        <w:rFonts w:ascii="Arial" w:hAnsi="Arial" w:hint="default"/>
      </w:rPr>
    </w:lvl>
    <w:lvl w:ilvl="3" w:tplc="43EE8B96" w:tentative="1">
      <w:start w:val="1"/>
      <w:numFmt w:val="bullet"/>
      <w:lvlText w:val="•"/>
      <w:lvlJc w:val="left"/>
      <w:pPr>
        <w:tabs>
          <w:tab w:val="num" w:pos="2880"/>
        </w:tabs>
        <w:ind w:left="2880" w:hanging="360"/>
      </w:pPr>
      <w:rPr>
        <w:rFonts w:ascii="Arial" w:hAnsi="Arial" w:hint="default"/>
      </w:rPr>
    </w:lvl>
    <w:lvl w:ilvl="4" w:tplc="836434B0" w:tentative="1">
      <w:start w:val="1"/>
      <w:numFmt w:val="bullet"/>
      <w:lvlText w:val="•"/>
      <w:lvlJc w:val="left"/>
      <w:pPr>
        <w:tabs>
          <w:tab w:val="num" w:pos="3600"/>
        </w:tabs>
        <w:ind w:left="3600" w:hanging="360"/>
      </w:pPr>
      <w:rPr>
        <w:rFonts w:ascii="Arial" w:hAnsi="Arial" w:hint="default"/>
      </w:rPr>
    </w:lvl>
    <w:lvl w:ilvl="5" w:tplc="A42CACE8" w:tentative="1">
      <w:start w:val="1"/>
      <w:numFmt w:val="bullet"/>
      <w:lvlText w:val="•"/>
      <w:lvlJc w:val="left"/>
      <w:pPr>
        <w:tabs>
          <w:tab w:val="num" w:pos="4320"/>
        </w:tabs>
        <w:ind w:left="4320" w:hanging="360"/>
      </w:pPr>
      <w:rPr>
        <w:rFonts w:ascii="Arial" w:hAnsi="Arial" w:hint="default"/>
      </w:rPr>
    </w:lvl>
    <w:lvl w:ilvl="6" w:tplc="B0D46CD4" w:tentative="1">
      <w:start w:val="1"/>
      <w:numFmt w:val="bullet"/>
      <w:lvlText w:val="•"/>
      <w:lvlJc w:val="left"/>
      <w:pPr>
        <w:tabs>
          <w:tab w:val="num" w:pos="5040"/>
        </w:tabs>
        <w:ind w:left="5040" w:hanging="360"/>
      </w:pPr>
      <w:rPr>
        <w:rFonts w:ascii="Arial" w:hAnsi="Arial" w:hint="default"/>
      </w:rPr>
    </w:lvl>
    <w:lvl w:ilvl="7" w:tplc="A26EFF04" w:tentative="1">
      <w:start w:val="1"/>
      <w:numFmt w:val="bullet"/>
      <w:lvlText w:val="•"/>
      <w:lvlJc w:val="left"/>
      <w:pPr>
        <w:tabs>
          <w:tab w:val="num" w:pos="5760"/>
        </w:tabs>
        <w:ind w:left="5760" w:hanging="360"/>
      </w:pPr>
      <w:rPr>
        <w:rFonts w:ascii="Arial" w:hAnsi="Arial" w:hint="default"/>
      </w:rPr>
    </w:lvl>
    <w:lvl w:ilvl="8" w:tplc="DC6E1F68" w:tentative="1">
      <w:start w:val="1"/>
      <w:numFmt w:val="bullet"/>
      <w:lvlText w:val="•"/>
      <w:lvlJc w:val="left"/>
      <w:pPr>
        <w:tabs>
          <w:tab w:val="num" w:pos="6480"/>
        </w:tabs>
        <w:ind w:left="6480" w:hanging="360"/>
      </w:pPr>
      <w:rPr>
        <w:rFonts w:ascii="Arial" w:hAnsi="Arial" w:hint="default"/>
      </w:rPr>
    </w:lvl>
  </w:abstractNum>
  <w:abstractNum w:abstractNumId="9">
    <w:nsid w:val="2D637B11"/>
    <w:multiLevelType w:val="hybridMultilevel"/>
    <w:tmpl w:val="401AAF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20778FE"/>
    <w:multiLevelType w:val="hybridMultilevel"/>
    <w:tmpl w:val="6FA0B5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2F3FDD"/>
    <w:multiLevelType w:val="hybridMultilevel"/>
    <w:tmpl w:val="99480EA6"/>
    <w:lvl w:ilvl="0" w:tplc="6D889A92">
      <w:start w:val="1"/>
      <w:numFmt w:val="bullet"/>
      <w:lvlText w:val="•"/>
      <w:lvlJc w:val="left"/>
      <w:pPr>
        <w:tabs>
          <w:tab w:val="num" w:pos="720"/>
        </w:tabs>
        <w:ind w:left="720" w:hanging="360"/>
      </w:pPr>
      <w:rPr>
        <w:rFonts w:ascii="Arial" w:hAnsi="Arial" w:hint="default"/>
      </w:rPr>
    </w:lvl>
    <w:lvl w:ilvl="1" w:tplc="3F38B994" w:tentative="1">
      <w:start w:val="1"/>
      <w:numFmt w:val="bullet"/>
      <w:lvlText w:val="•"/>
      <w:lvlJc w:val="left"/>
      <w:pPr>
        <w:tabs>
          <w:tab w:val="num" w:pos="1440"/>
        </w:tabs>
        <w:ind w:left="1440" w:hanging="360"/>
      </w:pPr>
      <w:rPr>
        <w:rFonts w:ascii="Arial" w:hAnsi="Arial" w:hint="default"/>
      </w:rPr>
    </w:lvl>
    <w:lvl w:ilvl="2" w:tplc="E912DFEC" w:tentative="1">
      <w:start w:val="1"/>
      <w:numFmt w:val="bullet"/>
      <w:lvlText w:val="•"/>
      <w:lvlJc w:val="left"/>
      <w:pPr>
        <w:tabs>
          <w:tab w:val="num" w:pos="2160"/>
        </w:tabs>
        <w:ind w:left="2160" w:hanging="360"/>
      </w:pPr>
      <w:rPr>
        <w:rFonts w:ascii="Arial" w:hAnsi="Arial" w:hint="default"/>
      </w:rPr>
    </w:lvl>
    <w:lvl w:ilvl="3" w:tplc="0F325EB8" w:tentative="1">
      <w:start w:val="1"/>
      <w:numFmt w:val="bullet"/>
      <w:lvlText w:val="•"/>
      <w:lvlJc w:val="left"/>
      <w:pPr>
        <w:tabs>
          <w:tab w:val="num" w:pos="2880"/>
        </w:tabs>
        <w:ind w:left="2880" w:hanging="360"/>
      </w:pPr>
      <w:rPr>
        <w:rFonts w:ascii="Arial" w:hAnsi="Arial" w:hint="default"/>
      </w:rPr>
    </w:lvl>
    <w:lvl w:ilvl="4" w:tplc="499C3EF4" w:tentative="1">
      <w:start w:val="1"/>
      <w:numFmt w:val="bullet"/>
      <w:lvlText w:val="•"/>
      <w:lvlJc w:val="left"/>
      <w:pPr>
        <w:tabs>
          <w:tab w:val="num" w:pos="3600"/>
        </w:tabs>
        <w:ind w:left="3600" w:hanging="360"/>
      </w:pPr>
      <w:rPr>
        <w:rFonts w:ascii="Arial" w:hAnsi="Arial" w:hint="default"/>
      </w:rPr>
    </w:lvl>
    <w:lvl w:ilvl="5" w:tplc="618473B6" w:tentative="1">
      <w:start w:val="1"/>
      <w:numFmt w:val="bullet"/>
      <w:lvlText w:val="•"/>
      <w:lvlJc w:val="left"/>
      <w:pPr>
        <w:tabs>
          <w:tab w:val="num" w:pos="4320"/>
        </w:tabs>
        <w:ind w:left="4320" w:hanging="360"/>
      </w:pPr>
      <w:rPr>
        <w:rFonts w:ascii="Arial" w:hAnsi="Arial" w:hint="default"/>
      </w:rPr>
    </w:lvl>
    <w:lvl w:ilvl="6" w:tplc="A650CB3C" w:tentative="1">
      <w:start w:val="1"/>
      <w:numFmt w:val="bullet"/>
      <w:lvlText w:val="•"/>
      <w:lvlJc w:val="left"/>
      <w:pPr>
        <w:tabs>
          <w:tab w:val="num" w:pos="5040"/>
        </w:tabs>
        <w:ind w:left="5040" w:hanging="360"/>
      </w:pPr>
      <w:rPr>
        <w:rFonts w:ascii="Arial" w:hAnsi="Arial" w:hint="default"/>
      </w:rPr>
    </w:lvl>
    <w:lvl w:ilvl="7" w:tplc="69928B48" w:tentative="1">
      <w:start w:val="1"/>
      <w:numFmt w:val="bullet"/>
      <w:lvlText w:val="•"/>
      <w:lvlJc w:val="left"/>
      <w:pPr>
        <w:tabs>
          <w:tab w:val="num" w:pos="5760"/>
        </w:tabs>
        <w:ind w:left="5760" w:hanging="360"/>
      </w:pPr>
      <w:rPr>
        <w:rFonts w:ascii="Arial" w:hAnsi="Arial" w:hint="default"/>
      </w:rPr>
    </w:lvl>
    <w:lvl w:ilvl="8" w:tplc="BF98A038" w:tentative="1">
      <w:start w:val="1"/>
      <w:numFmt w:val="bullet"/>
      <w:lvlText w:val="•"/>
      <w:lvlJc w:val="left"/>
      <w:pPr>
        <w:tabs>
          <w:tab w:val="num" w:pos="6480"/>
        </w:tabs>
        <w:ind w:left="6480" w:hanging="360"/>
      </w:pPr>
      <w:rPr>
        <w:rFonts w:ascii="Arial" w:hAnsi="Arial" w:hint="default"/>
      </w:rPr>
    </w:lvl>
  </w:abstractNum>
  <w:abstractNum w:abstractNumId="12">
    <w:nsid w:val="44A22F80"/>
    <w:multiLevelType w:val="hybridMultilevel"/>
    <w:tmpl w:val="E1089A66"/>
    <w:lvl w:ilvl="0" w:tplc="D5746AAC">
      <w:start w:val="1"/>
      <w:numFmt w:val="bullet"/>
      <w:lvlText w:val="•"/>
      <w:lvlJc w:val="left"/>
      <w:pPr>
        <w:tabs>
          <w:tab w:val="num" w:pos="720"/>
        </w:tabs>
        <w:ind w:left="720" w:hanging="360"/>
      </w:pPr>
      <w:rPr>
        <w:rFonts w:ascii="Arial" w:hAnsi="Arial" w:hint="default"/>
      </w:rPr>
    </w:lvl>
    <w:lvl w:ilvl="1" w:tplc="DD32410C" w:tentative="1">
      <w:start w:val="1"/>
      <w:numFmt w:val="bullet"/>
      <w:lvlText w:val="•"/>
      <w:lvlJc w:val="left"/>
      <w:pPr>
        <w:tabs>
          <w:tab w:val="num" w:pos="1440"/>
        </w:tabs>
        <w:ind w:left="1440" w:hanging="360"/>
      </w:pPr>
      <w:rPr>
        <w:rFonts w:ascii="Arial" w:hAnsi="Arial" w:hint="default"/>
      </w:rPr>
    </w:lvl>
    <w:lvl w:ilvl="2" w:tplc="C87CB2CA" w:tentative="1">
      <w:start w:val="1"/>
      <w:numFmt w:val="bullet"/>
      <w:lvlText w:val="•"/>
      <w:lvlJc w:val="left"/>
      <w:pPr>
        <w:tabs>
          <w:tab w:val="num" w:pos="2160"/>
        </w:tabs>
        <w:ind w:left="2160" w:hanging="360"/>
      </w:pPr>
      <w:rPr>
        <w:rFonts w:ascii="Arial" w:hAnsi="Arial" w:hint="default"/>
      </w:rPr>
    </w:lvl>
    <w:lvl w:ilvl="3" w:tplc="70A6F398" w:tentative="1">
      <w:start w:val="1"/>
      <w:numFmt w:val="bullet"/>
      <w:lvlText w:val="•"/>
      <w:lvlJc w:val="left"/>
      <w:pPr>
        <w:tabs>
          <w:tab w:val="num" w:pos="2880"/>
        </w:tabs>
        <w:ind w:left="2880" w:hanging="360"/>
      </w:pPr>
      <w:rPr>
        <w:rFonts w:ascii="Arial" w:hAnsi="Arial" w:hint="default"/>
      </w:rPr>
    </w:lvl>
    <w:lvl w:ilvl="4" w:tplc="BADE660E" w:tentative="1">
      <w:start w:val="1"/>
      <w:numFmt w:val="bullet"/>
      <w:lvlText w:val="•"/>
      <w:lvlJc w:val="left"/>
      <w:pPr>
        <w:tabs>
          <w:tab w:val="num" w:pos="3600"/>
        </w:tabs>
        <w:ind w:left="3600" w:hanging="360"/>
      </w:pPr>
      <w:rPr>
        <w:rFonts w:ascii="Arial" w:hAnsi="Arial" w:hint="default"/>
      </w:rPr>
    </w:lvl>
    <w:lvl w:ilvl="5" w:tplc="9E7C9438" w:tentative="1">
      <w:start w:val="1"/>
      <w:numFmt w:val="bullet"/>
      <w:lvlText w:val="•"/>
      <w:lvlJc w:val="left"/>
      <w:pPr>
        <w:tabs>
          <w:tab w:val="num" w:pos="4320"/>
        </w:tabs>
        <w:ind w:left="4320" w:hanging="360"/>
      </w:pPr>
      <w:rPr>
        <w:rFonts w:ascii="Arial" w:hAnsi="Arial" w:hint="default"/>
      </w:rPr>
    </w:lvl>
    <w:lvl w:ilvl="6" w:tplc="B5ECA542" w:tentative="1">
      <w:start w:val="1"/>
      <w:numFmt w:val="bullet"/>
      <w:lvlText w:val="•"/>
      <w:lvlJc w:val="left"/>
      <w:pPr>
        <w:tabs>
          <w:tab w:val="num" w:pos="5040"/>
        </w:tabs>
        <w:ind w:left="5040" w:hanging="360"/>
      </w:pPr>
      <w:rPr>
        <w:rFonts w:ascii="Arial" w:hAnsi="Arial" w:hint="default"/>
      </w:rPr>
    </w:lvl>
    <w:lvl w:ilvl="7" w:tplc="67D6E334" w:tentative="1">
      <w:start w:val="1"/>
      <w:numFmt w:val="bullet"/>
      <w:lvlText w:val="•"/>
      <w:lvlJc w:val="left"/>
      <w:pPr>
        <w:tabs>
          <w:tab w:val="num" w:pos="5760"/>
        </w:tabs>
        <w:ind w:left="5760" w:hanging="360"/>
      </w:pPr>
      <w:rPr>
        <w:rFonts w:ascii="Arial" w:hAnsi="Arial" w:hint="default"/>
      </w:rPr>
    </w:lvl>
    <w:lvl w:ilvl="8" w:tplc="BD9CAA14" w:tentative="1">
      <w:start w:val="1"/>
      <w:numFmt w:val="bullet"/>
      <w:lvlText w:val="•"/>
      <w:lvlJc w:val="left"/>
      <w:pPr>
        <w:tabs>
          <w:tab w:val="num" w:pos="6480"/>
        </w:tabs>
        <w:ind w:left="6480" w:hanging="360"/>
      </w:pPr>
      <w:rPr>
        <w:rFonts w:ascii="Arial" w:hAnsi="Arial" w:hint="default"/>
      </w:rPr>
    </w:lvl>
  </w:abstractNum>
  <w:abstractNum w:abstractNumId="13">
    <w:nsid w:val="459C3268"/>
    <w:multiLevelType w:val="hybridMultilevel"/>
    <w:tmpl w:val="06C65BB4"/>
    <w:lvl w:ilvl="0" w:tplc="6E9A996A">
      <w:start w:val="1"/>
      <w:numFmt w:val="bullet"/>
      <w:lvlText w:val="•"/>
      <w:lvlJc w:val="left"/>
      <w:pPr>
        <w:tabs>
          <w:tab w:val="num" w:pos="720"/>
        </w:tabs>
        <w:ind w:left="720" w:hanging="360"/>
      </w:pPr>
      <w:rPr>
        <w:rFonts w:ascii="Arial" w:hAnsi="Arial" w:hint="default"/>
      </w:rPr>
    </w:lvl>
    <w:lvl w:ilvl="1" w:tplc="E142307E" w:tentative="1">
      <w:start w:val="1"/>
      <w:numFmt w:val="bullet"/>
      <w:lvlText w:val="•"/>
      <w:lvlJc w:val="left"/>
      <w:pPr>
        <w:tabs>
          <w:tab w:val="num" w:pos="1440"/>
        </w:tabs>
        <w:ind w:left="1440" w:hanging="360"/>
      </w:pPr>
      <w:rPr>
        <w:rFonts w:ascii="Arial" w:hAnsi="Arial" w:hint="default"/>
      </w:rPr>
    </w:lvl>
    <w:lvl w:ilvl="2" w:tplc="B1CA0442" w:tentative="1">
      <w:start w:val="1"/>
      <w:numFmt w:val="bullet"/>
      <w:lvlText w:val="•"/>
      <w:lvlJc w:val="left"/>
      <w:pPr>
        <w:tabs>
          <w:tab w:val="num" w:pos="2160"/>
        </w:tabs>
        <w:ind w:left="2160" w:hanging="360"/>
      </w:pPr>
      <w:rPr>
        <w:rFonts w:ascii="Arial" w:hAnsi="Arial" w:hint="default"/>
      </w:rPr>
    </w:lvl>
    <w:lvl w:ilvl="3" w:tplc="A558AD50" w:tentative="1">
      <w:start w:val="1"/>
      <w:numFmt w:val="bullet"/>
      <w:lvlText w:val="•"/>
      <w:lvlJc w:val="left"/>
      <w:pPr>
        <w:tabs>
          <w:tab w:val="num" w:pos="2880"/>
        </w:tabs>
        <w:ind w:left="2880" w:hanging="360"/>
      </w:pPr>
      <w:rPr>
        <w:rFonts w:ascii="Arial" w:hAnsi="Arial" w:hint="default"/>
      </w:rPr>
    </w:lvl>
    <w:lvl w:ilvl="4" w:tplc="783AE960" w:tentative="1">
      <w:start w:val="1"/>
      <w:numFmt w:val="bullet"/>
      <w:lvlText w:val="•"/>
      <w:lvlJc w:val="left"/>
      <w:pPr>
        <w:tabs>
          <w:tab w:val="num" w:pos="3600"/>
        </w:tabs>
        <w:ind w:left="3600" w:hanging="360"/>
      </w:pPr>
      <w:rPr>
        <w:rFonts w:ascii="Arial" w:hAnsi="Arial" w:hint="default"/>
      </w:rPr>
    </w:lvl>
    <w:lvl w:ilvl="5" w:tplc="A7F4D55A" w:tentative="1">
      <w:start w:val="1"/>
      <w:numFmt w:val="bullet"/>
      <w:lvlText w:val="•"/>
      <w:lvlJc w:val="left"/>
      <w:pPr>
        <w:tabs>
          <w:tab w:val="num" w:pos="4320"/>
        </w:tabs>
        <w:ind w:left="4320" w:hanging="360"/>
      </w:pPr>
      <w:rPr>
        <w:rFonts w:ascii="Arial" w:hAnsi="Arial" w:hint="default"/>
      </w:rPr>
    </w:lvl>
    <w:lvl w:ilvl="6" w:tplc="69C2CC9C" w:tentative="1">
      <w:start w:val="1"/>
      <w:numFmt w:val="bullet"/>
      <w:lvlText w:val="•"/>
      <w:lvlJc w:val="left"/>
      <w:pPr>
        <w:tabs>
          <w:tab w:val="num" w:pos="5040"/>
        </w:tabs>
        <w:ind w:left="5040" w:hanging="360"/>
      </w:pPr>
      <w:rPr>
        <w:rFonts w:ascii="Arial" w:hAnsi="Arial" w:hint="default"/>
      </w:rPr>
    </w:lvl>
    <w:lvl w:ilvl="7" w:tplc="FD7401CE" w:tentative="1">
      <w:start w:val="1"/>
      <w:numFmt w:val="bullet"/>
      <w:lvlText w:val="•"/>
      <w:lvlJc w:val="left"/>
      <w:pPr>
        <w:tabs>
          <w:tab w:val="num" w:pos="5760"/>
        </w:tabs>
        <w:ind w:left="5760" w:hanging="360"/>
      </w:pPr>
      <w:rPr>
        <w:rFonts w:ascii="Arial" w:hAnsi="Arial" w:hint="default"/>
      </w:rPr>
    </w:lvl>
    <w:lvl w:ilvl="8" w:tplc="89748BAA" w:tentative="1">
      <w:start w:val="1"/>
      <w:numFmt w:val="bullet"/>
      <w:lvlText w:val="•"/>
      <w:lvlJc w:val="left"/>
      <w:pPr>
        <w:tabs>
          <w:tab w:val="num" w:pos="6480"/>
        </w:tabs>
        <w:ind w:left="6480" w:hanging="360"/>
      </w:pPr>
      <w:rPr>
        <w:rFonts w:ascii="Arial" w:hAnsi="Arial" w:hint="default"/>
      </w:rPr>
    </w:lvl>
  </w:abstractNum>
  <w:abstractNum w:abstractNumId="14">
    <w:nsid w:val="528D358F"/>
    <w:multiLevelType w:val="hybridMultilevel"/>
    <w:tmpl w:val="DA78D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51F5B49"/>
    <w:multiLevelType w:val="hybridMultilevel"/>
    <w:tmpl w:val="727C77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53C318B"/>
    <w:multiLevelType w:val="hybridMultilevel"/>
    <w:tmpl w:val="D1A68A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AAF406C"/>
    <w:multiLevelType w:val="hybridMultilevel"/>
    <w:tmpl w:val="6F3843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D2B076E"/>
    <w:multiLevelType w:val="hybridMultilevel"/>
    <w:tmpl w:val="52D4E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48B0391"/>
    <w:multiLevelType w:val="hybridMultilevel"/>
    <w:tmpl w:val="EB4ED5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630001F"/>
    <w:multiLevelType w:val="hybridMultilevel"/>
    <w:tmpl w:val="108880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A080380"/>
    <w:multiLevelType w:val="hybridMultilevel"/>
    <w:tmpl w:val="D9201EC6"/>
    <w:lvl w:ilvl="0" w:tplc="191486B2">
      <w:start w:val="1"/>
      <w:numFmt w:val="bullet"/>
      <w:lvlText w:val="•"/>
      <w:lvlJc w:val="left"/>
      <w:pPr>
        <w:tabs>
          <w:tab w:val="num" w:pos="720"/>
        </w:tabs>
        <w:ind w:left="720" w:hanging="360"/>
      </w:pPr>
      <w:rPr>
        <w:rFonts w:ascii="Arial" w:hAnsi="Arial" w:hint="default"/>
      </w:rPr>
    </w:lvl>
    <w:lvl w:ilvl="1" w:tplc="CC9E862C" w:tentative="1">
      <w:start w:val="1"/>
      <w:numFmt w:val="bullet"/>
      <w:lvlText w:val="•"/>
      <w:lvlJc w:val="left"/>
      <w:pPr>
        <w:tabs>
          <w:tab w:val="num" w:pos="1440"/>
        </w:tabs>
        <w:ind w:left="1440" w:hanging="360"/>
      </w:pPr>
      <w:rPr>
        <w:rFonts w:ascii="Arial" w:hAnsi="Arial" w:hint="default"/>
      </w:rPr>
    </w:lvl>
    <w:lvl w:ilvl="2" w:tplc="EDDCCB0E" w:tentative="1">
      <w:start w:val="1"/>
      <w:numFmt w:val="bullet"/>
      <w:lvlText w:val="•"/>
      <w:lvlJc w:val="left"/>
      <w:pPr>
        <w:tabs>
          <w:tab w:val="num" w:pos="2160"/>
        </w:tabs>
        <w:ind w:left="2160" w:hanging="360"/>
      </w:pPr>
      <w:rPr>
        <w:rFonts w:ascii="Arial" w:hAnsi="Arial" w:hint="default"/>
      </w:rPr>
    </w:lvl>
    <w:lvl w:ilvl="3" w:tplc="7F2E80FE" w:tentative="1">
      <w:start w:val="1"/>
      <w:numFmt w:val="bullet"/>
      <w:lvlText w:val="•"/>
      <w:lvlJc w:val="left"/>
      <w:pPr>
        <w:tabs>
          <w:tab w:val="num" w:pos="2880"/>
        </w:tabs>
        <w:ind w:left="2880" w:hanging="360"/>
      </w:pPr>
      <w:rPr>
        <w:rFonts w:ascii="Arial" w:hAnsi="Arial" w:hint="default"/>
      </w:rPr>
    </w:lvl>
    <w:lvl w:ilvl="4" w:tplc="157EE8C4" w:tentative="1">
      <w:start w:val="1"/>
      <w:numFmt w:val="bullet"/>
      <w:lvlText w:val="•"/>
      <w:lvlJc w:val="left"/>
      <w:pPr>
        <w:tabs>
          <w:tab w:val="num" w:pos="3600"/>
        </w:tabs>
        <w:ind w:left="3600" w:hanging="360"/>
      </w:pPr>
      <w:rPr>
        <w:rFonts w:ascii="Arial" w:hAnsi="Arial" w:hint="default"/>
      </w:rPr>
    </w:lvl>
    <w:lvl w:ilvl="5" w:tplc="3410B474" w:tentative="1">
      <w:start w:val="1"/>
      <w:numFmt w:val="bullet"/>
      <w:lvlText w:val="•"/>
      <w:lvlJc w:val="left"/>
      <w:pPr>
        <w:tabs>
          <w:tab w:val="num" w:pos="4320"/>
        </w:tabs>
        <w:ind w:left="4320" w:hanging="360"/>
      </w:pPr>
      <w:rPr>
        <w:rFonts w:ascii="Arial" w:hAnsi="Arial" w:hint="default"/>
      </w:rPr>
    </w:lvl>
    <w:lvl w:ilvl="6" w:tplc="36060694" w:tentative="1">
      <w:start w:val="1"/>
      <w:numFmt w:val="bullet"/>
      <w:lvlText w:val="•"/>
      <w:lvlJc w:val="left"/>
      <w:pPr>
        <w:tabs>
          <w:tab w:val="num" w:pos="5040"/>
        </w:tabs>
        <w:ind w:left="5040" w:hanging="360"/>
      </w:pPr>
      <w:rPr>
        <w:rFonts w:ascii="Arial" w:hAnsi="Arial" w:hint="default"/>
      </w:rPr>
    </w:lvl>
    <w:lvl w:ilvl="7" w:tplc="967A57A0" w:tentative="1">
      <w:start w:val="1"/>
      <w:numFmt w:val="bullet"/>
      <w:lvlText w:val="•"/>
      <w:lvlJc w:val="left"/>
      <w:pPr>
        <w:tabs>
          <w:tab w:val="num" w:pos="5760"/>
        </w:tabs>
        <w:ind w:left="5760" w:hanging="360"/>
      </w:pPr>
      <w:rPr>
        <w:rFonts w:ascii="Arial" w:hAnsi="Arial" w:hint="default"/>
      </w:rPr>
    </w:lvl>
    <w:lvl w:ilvl="8" w:tplc="F92A881C" w:tentative="1">
      <w:start w:val="1"/>
      <w:numFmt w:val="bullet"/>
      <w:lvlText w:val="•"/>
      <w:lvlJc w:val="left"/>
      <w:pPr>
        <w:tabs>
          <w:tab w:val="num" w:pos="6480"/>
        </w:tabs>
        <w:ind w:left="6480" w:hanging="360"/>
      </w:pPr>
      <w:rPr>
        <w:rFonts w:ascii="Arial" w:hAnsi="Arial" w:hint="default"/>
      </w:rPr>
    </w:lvl>
  </w:abstractNum>
  <w:abstractNum w:abstractNumId="22">
    <w:nsid w:val="6AA348F9"/>
    <w:multiLevelType w:val="hybridMultilevel"/>
    <w:tmpl w:val="86CCA0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B4C1630"/>
    <w:multiLevelType w:val="hybridMultilevel"/>
    <w:tmpl w:val="CFA6A2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F5D06A9"/>
    <w:multiLevelType w:val="hybridMultilevel"/>
    <w:tmpl w:val="1D6E4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8E95687"/>
    <w:multiLevelType w:val="hybridMultilevel"/>
    <w:tmpl w:val="9F0070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F5771BA"/>
    <w:multiLevelType w:val="hybridMultilevel"/>
    <w:tmpl w:val="718CA236"/>
    <w:lvl w:ilvl="0" w:tplc="809EBB08">
      <w:start w:val="1"/>
      <w:numFmt w:val="bullet"/>
      <w:lvlText w:val="•"/>
      <w:lvlJc w:val="left"/>
      <w:pPr>
        <w:tabs>
          <w:tab w:val="num" w:pos="720"/>
        </w:tabs>
        <w:ind w:left="720" w:hanging="360"/>
      </w:pPr>
      <w:rPr>
        <w:rFonts w:ascii="Arial" w:hAnsi="Arial" w:hint="default"/>
      </w:rPr>
    </w:lvl>
    <w:lvl w:ilvl="1" w:tplc="D7F8C2C0" w:tentative="1">
      <w:start w:val="1"/>
      <w:numFmt w:val="bullet"/>
      <w:lvlText w:val="•"/>
      <w:lvlJc w:val="left"/>
      <w:pPr>
        <w:tabs>
          <w:tab w:val="num" w:pos="1440"/>
        </w:tabs>
        <w:ind w:left="1440" w:hanging="360"/>
      </w:pPr>
      <w:rPr>
        <w:rFonts w:ascii="Arial" w:hAnsi="Arial" w:hint="default"/>
      </w:rPr>
    </w:lvl>
    <w:lvl w:ilvl="2" w:tplc="B34A946A" w:tentative="1">
      <w:start w:val="1"/>
      <w:numFmt w:val="bullet"/>
      <w:lvlText w:val="•"/>
      <w:lvlJc w:val="left"/>
      <w:pPr>
        <w:tabs>
          <w:tab w:val="num" w:pos="2160"/>
        </w:tabs>
        <w:ind w:left="2160" w:hanging="360"/>
      </w:pPr>
      <w:rPr>
        <w:rFonts w:ascii="Arial" w:hAnsi="Arial" w:hint="default"/>
      </w:rPr>
    </w:lvl>
    <w:lvl w:ilvl="3" w:tplc="4ACAA858" w:tentative="1">
      <w:start w:val="1"/>
      <w:numFmt w:val="bullet"/>
      <w:lvlText w:val="•"/>
      <w:lvlJc w:val="left"/>
      <w:pPr>
        <w:tabs>
          <w:tab w:val="num" w:pos="2880"/>
        </w:tabs>
        <w:ind w:left="2880" w:hanging="360"/>
      </w:pPr>
      <w:rPr>
        <w:rFonts w:ascii="Arial" w:hAnsi="Arial" w:hint="default"/>
      </w:rPr>
    </w:lvl>
    <w:lvl w:ilvl="4" w:tplc="DE98140C" w:tentative="1">
      <w:start w:val="1"/>
      <w:numFmt w:val="bullet"/>
      <w:lvlText w:val="•"/>
      <w:lvlJc w:val="left"/>
      <w:pPr>
        <w:tabs>
          <w:tab w:val="num" w:pos="3600"/>
        </w:tabs>
        <w:ind w:left="3600" w:hanging="360"/>
      </w:pPr>
      <w:rPr>
        <w:rFonts w:ascii="Arial" w:hAnsi="Arial" w:hint="default"/>
      </w:rPr>
    </w:lvl>
    <w:lvl w:ilvl="5" w:tplc="71EA9732" w:tentative="1">
      <w:start w:val="1"/>
      <w:numFmt w:val="bullet"/>
      <w:lvlText w:val="•"/>
      <w:lvlJc w:val="left"/>
      <w:pPr>
        <w:tabs>
          <w:tab w:val="num" w:pos="4320"/>
        </w:tabs>
        <w:ind w:left="4320" w:hanging="360"/>
      </w:pPr>
      <w:rPr>
        <w:rFonts w:ascii="Arial" w:hAnsi="Arial" w:hint="default"/>
      </w:rPr>
    </w:lvl>
    <w:lvl w:ilvl="6" w:tplc="BEA69352" w:tentative="1">
      <w:start w:val="1"/>
      <w:numFmt w:val="bullet"/>
      <w:lvlText w:val="•"/>
      <w:lvlJc w:val="left"/>
      <w:pPr>
        <w:tabs>
          <w:tab w:val="num" w:pos="5040"/>
        </w:tabs>
        <w:ind w:left="5040" w:hanging="360"/>
      </w:pPr>
      <w:rPr>
        <w:rFonts w:ascii="Arial" w:hAnsi="Arial" w:hint="default"/>
      </w:rPr>
    </w:lvl>
    <w:lvl w:ilvl="7" w:tplc="359E3EBE" w:tentative="1">
      <w:start w:val="1"/>
      <w:numFmt w:val="bullet"/>
      <w:lvlText w:val="•"/>
      <w:lvlJc w:val="left"/>
      <w:pPr>
        <w:tabs>
          <w:tab w:val="num" w:pos="5760"/>
        </w:tabs>
        <w:ind w:left="5760" w:hanging="360"/>
      </w:pPr>
      <w:rPr>
        <w:rFonts w:ascii="Arial" w:hAnsi="Arial" w:hint="default"/>
      </w:rPr>
    </w:lvl>
    <w:lvl w:ilvl="8" w:tplc="8EB4F3D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14"/>
  </w:num>
  <w:num w:numId="4">
    <w:abstractNumId w:val="19"/>
  </w:num>
  <w:num w:numId="5">
    <w:abstractNumId w:val="17"/>
  </w:num>
  <w:num w:numId="6">
    <w:abstractNumId w:val="22"/>
  </w:num>
  <w:num w:numId="7">
    <w:abstractNumId w:val="20"/>
  </w:num>
  <w:num w:numId="8">
    <w:abstractNumId w:val="10"/>
  </w:num>
  <w:num w:numId="9">
    <w:abstractNumId w:val="9"/>
  </w:num>
  <w:num w:numId="10">
    <w:abstractNumId w:val="23"/>
  </w:num>
  <w:num w:numId="11">
    <w:abstractNumId w:val="6"/>
  </w:num>
  <w:num w:numId="12">
    <w:abstractNumId w:val="25"/>
  </w:num>
  <w:num w:numId="13">
    <w:abstractNumId w:val="4"/>
  </w:num>
  <w:num w:numId="14">
    <w:abstractNumId w:val="7"/>
  </w:num>
  <w:num w:numId="15">
    <w:abstractNumId w:val="13"/>
  </w:num>
  <w:num w:numId="16">
    <w:abstractNumId w:val="26"/>
  </w:num>
  <w:num w:numId="17">
    <w:abstractNumId w:val="11"/>
  </w:num>
  <w:num w:numId="18">
    <w:abstractNumId w:val="21"/>
  </w:num>
  <w:num w:numId="19">
    <w:abstractNumId w:val="2"/>
  </w:num>
  <w:num w:numId="20">
    <w:abstractNumId w:val="8"/>
  </w:num>
  <w:num w:numId="21">
    <w:abstractNumId w:val="12"/>
  </w:num>
  <w:num w:numId="22">
    <w:abstractNumId w:val="18"/>
  </w:num>
  <w:num w:numId="23">
    <w:abstractNumId w:val="0"/>
  </w:num>
  <w:num w:numId="24">
    <w:abstractNumId w:val="3"/>
  </w:num>
  <w:num w:numId="25">
    <w:abstractNumId w:val="5"/>
  </w:num>
  <w:num w:numId="26">
    <w:abstractNumId w:val="1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2BE6"/>
    <w:rsid w:val="00025DDD"/>
    <w:rsid w:val="00027479"/>
    <w:rsid w:val="00040B13"/>
    <w:rsid w:val="00044FFD"/>
    <w:rsid w:val="000476A7"/>
    <w:rsid w:val="00064057"/>
    <w:rsid w:val="000648FB"/>
    <w:rsid w:val="0008136D"/>
    <w:rsid w:val="00086F62"/>
    <w:rsid w:val="000919FE"/>
    <w:rsid w:val="000C2BCA"/>
    <w:rsid w:val="000C3102"/>
    <w:rsid w:val="000C46FF"/>
    <w:rsid w:val="000E669B"/>
    <w:rsid w:val="000E67E6"/>
    <w:rsid w:val="001066A3"/>
    <w:rsid w:val="0011253D"/>
    <w:rsid w:val="00122BE6"/>
    <w:rsid w:val="00132A3B"/>
    <w:rsid w:val="001409E5"/>
    <w:rsid w:val="00141572"/>
    <w:rsid w:val="00142324"/>
    <w:rsid w:val="00143271"/>
    <w:rsid w:val="00151083"/>
    <w:rsid w:val="00156CB3"/>
    <w:rsid w:val="00166917"/>
    <w:rsid w:val="001672DD"/>
    <w:rsid w:val="001711F1"/>
    <w:rsid w:val="00171263"/>
    <w:rsid w:val="00176A29"/>
    <w:rsid w:val="00185A28"/>
    <w:rsid w:val="00192170"/>
    <w:rsid w:val="001A443D"/>
    <w:rsid w:val="001B2189"/>
    <w:rsid w:val="001D1925"/>
    <w:rsid w:val="001D1B95"/>
    <w:rsid w:val="001E728D"/>
    <w:rsid w:val="00210DB1"/>
    <w:rsid w:val="00216F4B"/>
    <w:rsid w:val="00224BF5"/>
    <w:rsid w:val="002340B5"/>
    <w:rsid w:val="00243F6A"/>
    <w:rsid w:val="00251B26"/>
    <w:rsid w:val="002562AC"/>
    <w:rsid w:val="00263C86"/>
    <w:rsid w:val="002661A3"/>
    <w:rsid w:val="0027226B"/>
    <w:rsid w:val="00276671"/>
    <w:rsid w:val="0027709C"/>
    <w:rsid w:val="00277A9F"/>
    <w:rsid w:val="00280B41"/>
    <w:rsid w:val="002875FF"/>
    <w:rsid w:val="0029215A"/>
    <w:rsid w:val="002A5FA1"/>
    <w:rsid w:val="002B172B"/>
    <w:rsid w:val="002B7D08"/>
    <w:rsid w:val="002B7EB4"/>
    <w:rsid w:val="002D20F1"/>
    <w:rsid w:val="002D6E13"/>
    <w:rsid w:val="002D749D"/>
    <w:rsid w:val="002E0C6C"/>
    <w:rsid w:val="002F567E"/>
    <w:rsid w:val="00316539"/>
    <w:rsid w:val="0032634A"/>
    <w:rsid w:val="003410B1"/>
    <w:rsid w:val="00341B02"/>
    <w:rsid w:val="00343FEB"/>
    <w:rsid w:val="00347C9A"/>
    <w:rsid w:val="00350D42"/>
    <w:rsid w:val="00350FB0"/>
    <w:rsid w:val="00356BB6"/>
    <w:rsid w:val="00374B4B"/>
    <w:rsid w:val="00381BA0"/>
    <w:rsid w:val="0039068F"/>
    <w:rsid w:val="00391533"/>
    <w:rsid w:val="0039608D"/>
    <w:rsid w:val="00397275"/>
    <w:rsid w:val="003A464A"/>
    <w:rsid w:val="003A5BB5"/>
    <w:rsid w:val="003C6709"/>
    <w:rsid w:val="003D70AA"/>
    <w:rsid w:val="003F6406"/>
    <w:rsid w:val="0040044F"/>
    <w:rsid w:val="00413735"/>
    <w:rsid w:val="00424AE7"/>
    <w:rsid w:val="00456A13"/>
    <w:rsid w:val="0046064F"/>
    <w:rsid w:val="004668ED"/>
    <w:rsid w:val="00473569"/>
    <w:rsid w:val="00474E91"/>
    <w:rsid w:val="00495C67"/>
    <w:rsid w:val="004A0B87"/>
    <w:rsid w:val="004A1B59"/>
    <w:rsid w:val="004B6770"/>
    <w:rsid w:val="004F1979"/>
    <w:rsid w:val="005039F0"/>
    <w:rsid w:val="00506A40"/>
    <w:rsid w:val="00507402"/>
    <w:rsid w:val="00514CB3"/>
    <w:rsid w:val="005216B4"/>
    <w:rsid w:val="00523D3D"/>
    <w:rsid w:val="00524214"/>
    <w:rsid w:val="00555727"/>
    <w:rsid w:val="005656D3"/>
    <w:rsid w:val="00566949"/>
    <w:rsid w:val="0057316D"/>
    <w:rsid w:val="00584D0E"/>
    <w:rsid w:val="0059620B"/>
    <w:rsid w:val="005A0193"/>
    <w:rsid w:val="005A0319"/>
    <w:rsid w:val="005C1F00"/>
    <w:rsid w:val="005C4BB3"/>
    <w:rsid w:val="005E6660"/>
    <w:rsid w:val="005F6221"/>
    <w:rsid w:val="006015D1"/>
    <w:rsid w:val="00602FB7"/>
    <w:rsid w:val="0063673F"/>
    <w:rsid w:val="00637BA8"/>
    <w:rsid w:val="00643FDA"/>
    <w:rsid w:val="006529D3"/>
    <w:rsid w:val="00655F3C"/>
    <w:rsid w:val="00675103"/>
    <w:rsid w:val="0067656E"/>
    <w:rsid w:val="00685304"/>
    <w:rsid w:val="00690107"/>
    <w:rsid w:val="00695B3E"/>
    <w:rsid w:val="006A0DE8"/>
    <w:rsid w:val="006A38B0"/>
    <w:rsid w:val="006B76B9"/>
    <w:rsid w:val="006C28D6"/>
    <w:rsid w:val="006C7370"/>
    <w:rsid w:val="007154FE"/>
    <w:rsid w:val="00725A0F"/>
    <w:rsid w:val="0074229A"/>
    <w:rsid w:val="00745BDC"/>
    <w:rsid w:val="00751B42"/>
    <w:rsid w:val="00752E27"/>
    <w:rsid w:val="00754F8E"/>
    <w:rsid w:val="007826A0"/>
    <w:rsid w:val="007862F8"/>
    <w:rsid w:val="007863C9"/>
    <w:rsid w:val="00787E21"/>
    <w:rsid w:val="00797B37"/>
    <w:rsid w:val="007A3AC2"/>
    <w:rsid w:val="007D72A2"/>
    <w:rsid w:val="007E729A"/>
    <w:rsid w:val="007F5718"/>
    <w:rsid w:val="00800F17"/>
    <w:rsid w:val="008145D8"/>
    <w:rsid w:val="0082037E"/>
    <w:rsid w:val="00821597"/>
    <w:rsid w:val="00862AF4"/>
    <w:rsid w:val="008674EA"/>
    <w:rsid w:val="008704E7"/>
    <w:rsid w:val="008859D4"/>
    <w:rsid w:val="00885C34"/>
    <w:rsid w:val="008A65FB"/>
    <w:rsid w:val="008B07E0"/>
    <w:rsid w:val="008E20AC"/>
    <w:rsid w:val="008E3953"/>
    <w:rsid w:val="008E51EF"/>
    <w:rsid w:val="00902F14"/>
    <w:rsid w:val="009272BD"/>
    <w:rsid w:val="009557FF"/>
    <w:rsid w:val="00957C90"/>
    <w:rsid w:val="0096116D"/>
    <w:rsid w:val="00962532"/>
    <w:rsid w:val="009937BB"/>
    <w:rsid w:val="009C1EC4"/>
    <w:rsid w:val="009C67F6"/>
    <w:rsid w:val="009D3B07"/>
    <w:rsid w:val="009D4054"/>
    <w:rsid w:val="009F04B7"/>
    <w:rsid w:val="009F56F4"/>
    <w:rsid w:val="00A132E8"/>
    <w:rsid w:val="00A17C85"/>
    <w:rsid w:val="00A17D33"/>
    <w:rsid w:val="00A24B74"/>
    <w:rsid w:val="00A36B2B"/>
    <w:rsid w:val="00A43FC5"/>
    <w:rsid w:val="00A665F8"/>
    <w:rsid w:val="00AA2AA7"/>
    <w:rsid w:val="00AB3BEC"/>
    <w:rsid w:val="00AC363E"/>
    <w:rsid w:val="00AE04D3"/>
    <w:rsid w:val="00AE613E"/>
    <w:rsid w:val="00AF2EA8"/>
    <w:rsid w:val="00AF3BCF"/>
    <w:rsid w:val="00AF550A"/>
    <w:rsid w:val="00B008E3"/>
    <w:rsid w:val="00B06C63"/>
    <w:rsid w:val="00B111D1"/>
    <w:rsid w:val="00B12D9B"/>
    <w:rsid w:val="00B25750"/>
    <w:rsid w:val="00B25B04"/>
    <w:rsid w:val="00B2735F"/>
    <w:rsid w:val="00B3159F"/>
    <w:rsid w:val="00B4345F"/>
    <w:rsid w:val="00B570DA"/>
    <w:rsid w:val="00B62F9B"/>
    <w:rsid w:val="00B65114"/>
    <w:rsid w:val="00B715CA"/>
    <w:rsid w:val="00B74761"/>
    <w:rsid w:val="00B94E67"/>
    <w:rsid w:val="00BA4E5C"/>
    <w:rsid w:val="00BB16C6"/>
    <w:rsid w:val="00C01A5A"/>
    <w:rsid w:val="00C027AA"/>
    <w:rsid w:val="00C07194"/>
    <w:rsid w:val="00C24294"/>
    <w:rsid w:val="00C26D85"/>
    <w:rsid w:val="00C50D51"/>
    <w:rsid w:val="00C51245"/>
    <w:rsid w:val="00C54827"/>
    <w:rsid w:val="00C731BD"/>
    <w:rsid w:val="00C9315D"/>
    <w:rsid w:val="00CA3D71"/>
    <w:rsid w:val="00CB1BE9"/>
    <w:rsid w:val="00CB2A50"/>
    <w:rsid w:val="00CD0A1E"/>
    <w:rsid w:val="00CE4560"/>
    <w:rsid w:val="00D05256"/>
    <w:rsid w:val="00D32051"/>
    <w:rsid w:val="00D46828"/>
    <w:rsid w:val="00D46EA3"/>
    <w:rsid w:val="00D62610"/>
    <w:rsid w:val="00D95EDC"/>
    <w:rsid w:val="00DA112E"/>
    <w:rsid w:val="00DA419F"/>
    <w:rsid w:val="00DA48D0"/>
    <w:rsid w:val="00DD09BE"/>
    <w:rsid w:val="00DD5B56"/>
    <w:rsid w:val="00DE2421"/>
    <w:rsid w:val="00DE7E6F"/>
    <w:rsid w:val="00DF33AF"/>
    <w:rsid w:val="00DF568F"/>
    <w:rsid w:val="00DF798B"/>
    <w:rsid w:val="00E06966"/>
    <w:rsid w:val="00E132E6"/>
    <w:rsid w:val="00E375B0"/>
    <w:rsid w:val="00E4257E"/>
    <w:rsid w:val="00E4680F"/>
    <w:rsid w:val="00E4793C"/>
    <w:rsid w:val="00E54A81"/>
    <w:rsid w:val="00E61A32"/>
    <w:rsid w:val="00E724DB"/>
    <w:rsid w:val="00E80C9F"/>
    <w:rsid w:val="00E87CF3"/>
    <w:rsid w:val="00EC0B98"/>
    <w:rsid w:val="00EC2BC9"/>
    <w:rsid w:val="00ED12D3"/>
    <w:rsid w:val="00ED534D"/>
    <w:rsid w:val="00ED72CA"/>
    <w:rsid w:val="00EE10C8"/>
    <w:rsid w:val="00EE55C0"/>
    <w:rsid w:val="00F056C3"/>
    <w:rsid w:val="00F118B3"/>
    <w:rsid w:val="00F16939"/>
    <w:rsid w:val="00F16FAE"/>
    <w:rsid w:val="00F32A18"/>
    <w:rsid w:val="00F73108"/>
    <w:rsid w:val="00F73E56"/>
    <w:rsid w:val="00F82F3A"/>
    <w:rsid w:val="00F90A10"/>
    <w:rsid w:val="00FA28DD"/>
    <w:rsid w:val="00FA54FD"/>
    <w:rsid w:val="00FB1154"/>
    <w:rsid w:val="00FB5F40"/>
    <w:rsid w:val="00FD20DA"/>
    <w:rsid w:val="00FE1253"/>
    <w:rsid w:val="00FE5D6D"/>
    <w:rsid w:val="00FF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BE6"/>
    <w:rPr>
      <w:sz w:val="20"/>
      <w:szCs w:val="20"/>
    </w:rPr>
  </w:style>
  <w:style w:type="character" w:styleId="FootnoteReference">
    <w:name w:val="footnote reference"/>
    <w:basedOn w:val="DefaultParagraphFont"/>
    <w:uiPriority w:val="99"/>
    <w:semiHidden/>
    <w:unhideWhenUsed/>
    <w:rsid w:val="00122BE6"/>
    <w:rPr>
      <w:vertAlign w:val="superscript"/>
    </w:rPr>
  </w:style>
  <w:style w:type="paragraph" w:styleId="Footer">
    <w:name w:val="footer"/>
    <w:basedOn w:val="Normal"/>
    <w:link w:val="FooterChar"/>
    <w:uiPriority w:val="99"/>
    <w:unhideWhenUsed/>
    <w:rsid w:val="00122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E6"/>
  </w:style>
  <w:style w:type="paragraph" w:styleId="ListParagraph">
    <w:name w:val="List Paragraph"/>
    <w:aliases w:val="normal,List Paragraph 1,footer text,Bullets,Table of contents numbered,List Paragraph1,Recommendation,Bullet List"/>
    <w:basedOn w:val="Normal"/>
    <w:link w:val="ListParagraphChar"/>
    <w:uiPriority w:val="34"/>
    <w:qFormat/>
    <w:rsid w:val="00122BE6"/>
    <w:pPr>
      <w:ind w:left="720"/>
      <w:contextualSpacing/>
    </w:pPr>
  </w:style>
  <w:style w:type="paragraph" w:customStyle="1" w:styleId="Default">
    <w:name w:val="Default"/>
    <w:rsid w:val="00122BE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Char,List Paragraph 1 Char,footer text Char,Bullets Char,Table of contents numbered Char,List Paragraph1 Char,Recommendation Char,Bullet List Char"/>
    <w:link w:val="ListParagraph"/>
    <w:uiPriority w:val="34"/>
    <w:locked/>
    <w:rsid w:val="00122BE6"/>
  </w:style>
  <w:style w:type="table" w:styleId="TableGrid">
    <w:name w:val="Table Grid"/>
    <w:basedOn w:val="TableNormal"/>
    <w:uiPriority w:val="39"/>
    <w:rsid w:val="00122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2BE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122BE6"/>
    <w:rPr>
      <w:i/>
      <w:iCs/>
    </w:rPr>
  </w:style>
  <w:style w:type="paragraph" w:styleId="BalloonText">
    <w:name w:val="Balloon Text"/>
    <w:basedOn w:val="Normal"/>
    <w:link w:val="BalloonTextChar"/>
    <w:uiPriority w:val="99"/>
    <w:semiHidden/>
    <w:unhideWhenUsed/>
    <w:rsid w:val="00156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020190">
      <w:bodyDiv w:val="1"/>
      <w:marLeft w:val="0"/>
      <w:marRight w:val="0"/>
      <w:marTop w:val="0"/>
      <w:marBottom w:val="0"/>
      <w:divBdr>
        <w:top w:val="none" w:sz="0" w:space="0" w:color="auto"/>
        <w:left w:val="none" w:sz="0" w:space="0" w:color="auto"/>
        <w:bottom w:val="none" w:sz="0" w:space="0" w:color="auto"/>
        <w:right w:val="none" w:sz="0" w:space="0" w:color="auto"/>
      </w:divBdr>
      <w:divsChild>
        <w:div w:id="28459298">
          <w:marLeft w:val="446"/>
          <w:marRight w:val="0"/>
          <w:marTop w:val="0"/>
          <w:marBottom w:val="0"/>
          <w:divBdr>
            <w:top w:val="none" w:sz="0" w:space="0" w:color="auto"/>
            <w:left w:val="none" w:sz="0" w:space="0" w:color="auto"/>
            <w:bottom w:val="none" w:sz="0" w:space="0" w:color="auto"/>
            <w:right w:val="none" w:sz="0" w:space="0" w:color="auto"/>
          </w:divBdr>
        </w:div>
        <w:div w:id="890112181">
          <w:marLeft w:val="446"/>
          <w:marRight w:val="0"/>
          <w:marTop w:val="0"/>
          <w:marBottom w:val="0"/>
          <w:divBdr>
            <w:top w:val="none" w:sz="0" w:space="0" w:color="auto"/>
            <w:left w:val="none" w:sz="0" w:space="0" w:color="auto"/>
            <w:bottom w:val="none" w:sz="0" w:space="0" w:color="auto"/>
            <w:right w:val="none" w:sz="0" w:space="0" w:color="auto"/>
          </w:divBdr>
        </w:div>
        <w:div w:id="1770351658">
          <w:marLeft w:val="446"/>
          <w:marRight w:val="0"/>
          <w:marTop w:val="0"/>
          <w:marBottom w:val="0"/>
          <w:divBdr>
            <w:top w:val="none" w:sz="0" w:space="0" w:color="auto"/>
            <w:left w:val="none" w:sz="0" w:space="0" w:color="auto"/>
            <w:bottom w:val="none" w:sz="0" w:space="0" w:color="auto"/>
            <w:right w:val="none" w:sz="0" w:space="0" w:color="auto"/>
          </w:divBdr>
        </w:div>
      </w:divsChild>
    </w:div>
    <w:div w:id="1045521877">
      <w:bodyDiv w:val="1"/>
      <w:marLeft w:val="0"/>
      <w:marRight w:val="0"/>
      <w:marTop w:val="0"/>
      <w:marBottom w:val="0"/>
      <w:divBdr>
        <w:top w:val="none" w:sz="0" w:space="0" w:color="auto"/>
        <w:left w:val="none" w:sz="0" w:space="0" w:color="auto"/>
        <w:bottom w:val="none" w:sz="0" w:space="0" w:color="auto"/>
        <w:right w:val="none" w:sz="0" w:space="0" w:color="auto"/>
      </w:divBdr>
      <w:divsChild>
        <w:div w:id="607009332">
          <w:marLeft w:val="446"/>
          <w:marRight w:val="0"/>
          <w:marTop w:val="0"/>
          <w:marBottom w:val="0"/>
          <w:divBdr>
            <w:top w:val="none" w:sz="0" w:space="0" w:color="auto"/>
            <w:left w:val="none" w:sz="0" w:space="0" w:color="auto"/>
            <w:bottom w:val="none" w:sz="0" w:space="0" w:color="auto"/>
            <w:right w:val="none" w:sz="0" w:space="0" w:color="auto"/>
          </w:divBdr>
        </w:div>
        <w:div w:id="1184058277">
          <w:marLeft w:val="446"/>
          <w:marRight w:val="0"/>
          <w:marTop w:val="0"/>
          <w:marBottom w:val="0"/>
          <w:divBdr>
            <w:top w:val="none" w:sz="0" w:space="0" w:color="auto"/>
            <w:left w:val="none" w:sz="0" w:space="0" w:color="auto"/>
            <w:bottom w:val="none" w:sz="0" w:space="0" w:color="auto"/>
            <w:right w:val="none" w:sz="0" w:space="0" w:color="auto"/>
          </w:divBdr>
        </w:div>
        <w:div w:id="75978158">
          <w:marLeft w:val="446"/>
          <w:marRight w:val="0"/>
          <w:marTop w:val="0"/>
          <w:marBottom w:val="0"/>
          <w:divBdr>
            <w:top w:val="none" w:sz="0" w:space="0" w:color="auto"/>
            <w:left w:val="none" w:sz="0" w:space="0" w:color="auto"/>
            <w:bottom w:val="none" w:sz="0" w:space="0" w:color="auto"/>
            <w:right w:val="none" w:sz="0" w:space="0" w:color="auto"/>
          </w:divBdr>
        </w:div>
      </w:divsChild>
    </w:div>
    <w:div w:id="1083720151">
      <w:bodyDiv w:val="1"/>
      <w:marLeft w:val="0"/>
      <w:marRight w:val="0"/>
      <w:marTop w:val="0"/>
      <w:marBottom w:val="0"/>
      <w:divBdr>
        <w:top w:val="none" w:sz="0" w:space="0" w:color="auto"/>
        <w:left w:val="none" w:sz="0" w:space="0" w:color="auto"/>
        <w:bottom w:val="none" w:sz="0" w:space="0" w:color="auto"/>
        <w:right w:val="none" w:sz="0" w:space="0" w:color="auto"/>
      </w:divBdr>
    </w:div>
    <w:div w:id="1433235252">
      <w:bodyDiv w:val="1"/>
      <w:marLeft w:val="0"/>
      <w:marRight w:val="0"/>
      <w:marTop w:val="0"/>
      <w:marBottom w:val="0"/>
      <w:divBdr>
        <w:top w:val="none" w:sz="0" w:space="0" w:color="auto"/>
        <w:left w:val="none" w:sz="0" w:space="0" w:color="auto"/>
        <w:bottom w:val="none" w:sz="0" w:space="0" w:color="auto"/>
        <w:right w:val="none" w:sz="0" w:space="0" w:color="auto"/>
      </w:divBdr>
      <w:divsChild>
        <w:div w:id="989863108">
          <w:marLeft w:val="446"/>
          <w:marRight w:val="0"/>
          <w:marTop w:val="0"/>
          <w:marBottom w:val="0"/>
          <w:divBdr>
            <w:top w:val="none" w:sz="0" w:space="0" w:color="auto"/>
            <w:left w:val="none" w:sz="0" w:space="0" w:color="auto"/>
            <w:bottom w:val="none" w:sz="0" w:space="0" w:color="auto"/>
            <w:right w:val="none" w:sz="0" w:space="0" w:color="auto"/>
          </w:divBdr>
        </w:div>
        <w:div w:id="2073455418">
          <w:marLeft w:val="446"/>
          <w:marRight w:val="0"/>
          <w:marTop w:val="0"/>
          <w:marBottom w:val="0"/>
          <w:divBdr>
            <w:top w:val="none" w:sz="0" w:space="0" w:color="auto"/>
            <w:left w:val="none" w:sz="0" w:space="0" w:color="auto"/>
            <w:bottom w:val="none" w:sz="0" w:space="0" w:color="auto"/>
            <w:right w:val="none" w:sz="0" w:space="0" w:color="auto"/>
          </w:divBdr>
        </w:div>
        <w:div w:id="723605252">
          <w:marLeft w:val="446"/>
          <w:marRight w:val="0"/>
          <w:marTop w:val="0"/>
          <w:marBottom w:val="0"/>
          <w:divBdr>
            <w:top w:val="none" w:sz="0" w:space="0" w:color="auto"/>
            <w:left w:val="none" w:sz="0" w:space="0" w:color="auto"/>
            <w:bottom w:val="none" w:sz="0" w:space="0" w:color="auto"/>
            <w:right w:val="none" w:sz="0" w:space="0" w:color="auto"/>
          </w:divBdr>
        </w:div>
        <w:div w:id="1299996887">
          <w:marLeft w:val="446"/>
          <w:marRight w:val="0"/>
          <w:marTop w:val="0"/>
          <w:marBottom w:val="0"/>
          <w:divBdr>
            <w:top w:val="none" w:sz="0" w:space="0" w:color="auto"/>
            <w:left w:val="none" w:sz="0" w:space="0" w:color="auto"/>
            <w:bottom w:val="none" w:sz="0" w:space="0" w:color="auto"/>
            <w:right w:val="none" w:sz="0" w:space="0" w:color="auto"/>
          </w:divBdr>
        </w:div>
        <w:div w:id="446855252">
          <w:marLeft w:val="446"/>
          <w:marRight w:val="0"/>
          <w:marTop w:val="0"/>
          <w:marBottom w:val="0"/>
          <w:divBdr>
            <w:top w:val="none" w:sz="0" w:space="0" w:color="auto"/>
            <w:left w:val="none" w:sz="0" w:space="0" w:color="auto"/>
            <w:bottom w:val="none" w:sz="0" w:space="0" w:color="auto"/>
            <w:right w:val="none" w:sz="0" w:space="0" w:color="auto"/>
          </w:divBdr>
        </w:div>
        <w:div w:id="1067529932">
          <w:marLeft w:val="446"/>
          <w:marRight w:val="0"/>
          <w:marTop w:val="0"/>
          <w:marBottom w:val="0"/>
          <w:divBdr>
            <w:top w:val="none" w:sz="0" w:space="0" w:color="auto"/>
            <w:left w:val="none" w:sz="0" w:space="0" w:color="auto"/>
            <w:bottom w:val="none" w:sz="0" w:space="0" w:color="auto"/>
            <w:right w:val="none" w:sz="0" w:space="0" w:color="auto"/>
          </w:divBdr>
        </w:div>
        <w:div w:id="971253666">
          <w:marLeft w:val="446"/>
          <w:marRight w:val="0"/>
          <w:marTop w:val="0"/>
          <w:marBottom w:val="0"/>
          <w:divBdr>
            <w:top w:val="none" w:sz="0" w:space="0" w:color="auto"/>
            <w:left w:val="none" w:sz="0" w:space="0" w:color="auto"/>
            <w:bottom w:val="none" w:sz="0" w:space="0" w:color="auto"/>
            <w:right w:val="none" w:sz="0" w:space="0" w:color="auto"/>
          </w:divBdr>
        </w:div>
        <w:div w:id="1124079563">
          <w:marLeft w:val="446"/>
          <w:marRight w:val="0"/>
          <w:marTop w:val="0"/>
          <w:marBottom w:val="0"/>
          <w:divBdr>
            <w:top w:val="none" w:sz="0" w:space="0" w:color="auto"/>
            <w:left w:val="none" w:sz="0" w:space="0" w:color="auto"/>
            <w:bottom w:val="none" w:sz="0" w:space="0" w:color="auto"/>
            <w:right w:val="none" w:sz="0" w:space="0" w:color="auto"/>
          </w:divBdr>
        </w:div>
      </w:divsChild>
    </w:div>
    <w:div w:id="1433554481">
      <w:bodyDiv w:val="1"/>
      <w:marLeft w:val="0"/>
      <w:marRight w:val="0"/>
      <w:marTop w:val="0"/>
      <w:marBottom w:val="0"/>
      <w:divBdr>
        <w:top w:val="none" w:sz="0" w:space="0" w:color="auto"/>
        <w:left w:val="none" w:sz="0" w:space="0" w:color="auto"/>
        <w:bottom w:val="none" w:sz="0" w:space="0" w:color="auto"/>
        <w:right w:val="none" w:sz="0" w:space="0" w:color="auto"/>
      </w:divBdr>
    </w:div>
    <w:div w:id="1722897433">
      <w:bodyDiv w:val="1"/>
      <w:marLeft w:val="0"/>
      <w:marRight w:val="0"/>
      <w:marTop w:val="0"/>
      <w:marBottom w:val="0"/>
      <w:divBdr>
        <w:top w:val="none" w:sz="0" w:space="0" w:color="auto"/>
        <w:left w:val="none" w:sz="0" w:space="0" w:color="auto"/>
        <w:bottom w:val="none" w:sz="0" w:space="0" w:color="auto"/>
        <w:right w:val="none" w:sz="0" w:space="0" w:color="auto"/>
      </w:divBdr>
      <w:divsChild>
        <w:div w:id="1430158252">
          <w:marLeft w:val="446"/>
          <w:marRight w:val="0"/>
          <w:marTop w:val="0"/>
          <w:marBottom w:val="0"/>
          <w:divBdr>
            <w:top w:val="none" w:sz="0" w:space="0" w:color="auto"/>
            <w:left w:val="none" w:sz="0" w:space="0" w:color="auto"/>
            <w:bottom w:val="none" w:sz="0" w:space="0" w:color="auto"/>
            <w:right w:val="none" w:sz="0" w:space="0" w:color="auto"/>
          </w:divBdr>
        </w:div>
        <w:div w:id="493840673">
          <w:marLeft w:val="446"/>
          <w:marRight w:val="0"/>
          <w:marTop w:val="0"/>
          <w:marBottom w:val="0"/>
          <w:divBdr>
            <w:top w:val="none" w:sz="0" w:space="0" w:color="auto"/>
            <w:left w:val="none" w:sz="0" w:space="0" w:color="auto"/>
            <w:bottom w:val="none" w:sz="0" w:space="0" w:color="auto"/>
            <w:right w:val="none" w:sz="0" w:space="0" w:color="auto"/>
          </w:divBdr>
        </w:div>
        <w:div w:id="843469360">
          <w:marLeft w:val="446"/>
          <w:marRight w:val="0"/>
          <w:marTop w:val="0"/>
          <w:marBottom w:val="0"/>
          <w:divBdr>
            <w:top w:val="none" w:sz="0" w:space="0" w:color="auto"/>
            <w:left w:val="none" w:sz="0" w:space="0" w:color="auto"/>
            <w:bottom w:val="none" w:sz="0" w:space="0" w:color="auto"/>
            <w:right w:val="none" w:sz="0" w:space="0" w:color="auto"/>
          </w:divBdr>
        </w:div>
        <w:div w:id="2095280269">
          <w:marLeft w:val="446"/>
          <w:marRight w:val="0"/>
          <w:marTop w:val="0"/>
          <w:marBottom w:val="0"/>
          <w:divBdr>
            <w:top w:val="none" w:sz="0" w:space="0" w:color="auto"/>
            <w:left w:val="none" w:sz="0" w:space="0" w:color="auto"/>
            <w:bottom w:val="none" w:sz="0" w:space="0" w:color="auto"/>
            <w:right w:val="none" w:sz="0" w:space="0" w:color="auto"/>
          </w:divBdr>
        </w:div>
        <w:div w:id="1214536165">
          <w:marLeft w:val="446"/>
          <w:marRight w:val="0"/>
          <w:marTop w:val="0"/>
          <w:marBottom w:val="0"/>
          <w:divBdr>
            <w:top w:val="none" w:sz="0" w:space="0" w:color="auto"/>
            <w:left w:val="none" w:sz="0" w:space="0" w:color="auto"/>
            <w:bottom w:val="none" w:sz="0" w:space="0" w:color="auto"/>
            <w:right w:val="none" w:sz="0" w:space="0" w:color="auto"/>
          </w:divBdr>
        </w:div>
        <w:div w:id="722801060">
          <w:marLeft w:val="446"/>
          <w:marRight w:val="0"/>
          <w:marTop w:val="0"/>
          <w:marBottom w:val="0"/>
          <w:divBdr>
            <w:top w:val="none" w:sz="0" w:space="0" w:color="auto"/>
            <w:left w:val="none" w:sz="0" w:space="0" w:color="auto"/>
            <w:bottom w:val="none" w:sz="0" w:space="0" w:color="auto"/>
            <w:right w:val="none" w:sz="0" w:space="0" w:color="auto"/>
          </w:divBdr>
        </w:div>
        <w:div w:id="1464956295">
          <w:marLeft w:val="446"/>
          <w:marRight w:val="0"/>
          <w:marTop w:val="0"/>
          <w:marBottom w:val="0"/>
          <w:divBdr>
            <w:top w:val="none" w:sz="0" w:space="0" w:color="auto"/>
            <w:left w:val="none" w:sz="0" w:space="0" w:color="auto"/>
            <w:bottom w:val="none" w:sz="0" w:space="0" w:color="auto"/>
            <w:right w:val="none" w:sz="0" w:space="0" w:color="auto"/>
          </w:divBdr>
        </w:div>
        <w:div w:id="14574853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3A8-DB2D-4BE6-A9FA-7547E548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8251</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cp:lastPrinted>2022-10-14T08:17:00Z</cp:lastPrinted>
  <dcterms:created xsi:type="dcterms:W3CDTF">2022-10-22T05:44:00Z</dcterms:created>
  <dcterms:modified xsi:type="dcterms:W3CDTF">2022-10-22T05:44:00Z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61883776-0e08-4b9a-913c-2389bd0d5f76</vt:lpwstr>
  </property>
</Properties>
</file>