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DC" w:rsidRPr="00796C7C" w:rsidRDefault="00796C7C" w:rsidP="00796C7C">
      <w:pPr>
        <w:spacing w:line="240" w:lineRule="auto"/>
        <w:rPr>
          <w:rFonts w:cs="Arial"/>
          <w:b/>
          <w:sz w:val="20"/>
          <w:szCs w:val="20"/>
        </w:rPr>
      </w:pPr>
      <w:r w:rsidRPr="00796C7C">
        <w:rPr>
          <w:rFonts w:cs="Arial"/>
          <w:b/>
          <w:sz w:val="20"/>
          <w:szCs w:val="20"/>
        </w:rPr>
        <w:t>Budgetary Review and Recommendations Report of the Portfolio Committee on Cooperative Governance and Traditional Affairs, Dated 20 October 2022</w:t>
      </w:r>
    </w:p>
    <w:p w:rsidR="00646F23" w:rsidRPr="00796C7C" w:rsidRDefault="00646F23" w:rsidP="00796C7C">
      <w:pPr>
        <w:spacing w:line="240" w:lineRule="auto"/>
        <w:rPr>
          <w:rFonts w:cs="Arial"/>
          <w:sz w:val="20"/>
          <w:szCs w:val="20"/>
        </w:rPr>
      </w:pPr>
    </w:p>
    <w:p w:rsidR="007B1AC3" w:rsidRPr="00796C7C" w:rsidRDefault="008665A0" w:rsidP="00796C7C">
      <w:pPr>
        <w:spacing w:line="240" w:lineRule="auto"/>
        <w:rPr>
          <w:rFonts w:cs="Arial"/>
          <w:sz w:val="20"/>
          <w:szCs w:val="20"/>
        </w:rPr>
      </w:pPr>
      <w:r w:rsidRPr="00796C7C">
        <w:rPr>
          <w:rFonts w:cs="Arial"/>
          <w:sz w:val="20"/>
          <w:szCs w:val="20"/>
        </w:rPr>
        <w:t>Having considered the</w:t>
      </w:r>
      <w:r w:rsidR="008C08AD" w:rsidRPr="00796C7C">
        <w:rPr>
          <w:rFonts w:cs="Arial"/>
          <w:sz w:val="20"/>
          <w:szCs w:val="20"/>
        </w:rPr>
        <w:t xml:space="preserve"> 2021-</w:t>
      </w:r>
      <w:bookmarkStart w:id="0" w:name="_GoBack"/>
      <w:bookmarkEnd w:id="0"/>
      <w:r w:rsidR="008C08AD" w:rsidRPr="00796C7C">
        <w:rPr>
          <w:rFonts w:cs="Arial"/>
          <w:sz w:val="20"/>
          <w:szCs w:val="20"/>
        </w:rPr>
        <w:t>22</w:t>
      </w:r>
      <w:r w:rsidRPr="00796C7C">
        <w:rPr>
          <w:rFonts w:cs="Arial"/>
          <w:sz w:val="20"/>
          <w:szCs w:val="20"/>
        </w:rPr>
        <w:t xml:space="preserve"> financial and service delivery performance information of the Departments of Cooperative Governance and Traditional Affairs, Municipal Infrastructure Support Agent, CRL Rights Commission, Municipal Demarcation Board, and the South African Local Government Association, t</w:t>
      </w:r>
      <w:r w:rsidR="007B1AC3" w:rsidRPr="00796C7C">
        <w:rPr>
          <w:rFonts w:cs="Arial"/>
          <w:sz w:val="20"/>
          <w:szCs w:val="20"/>
        </w:rPr>
        <w:t>he Portfolio Committee on Cooperative Governance and Traditional Affairs reports as follows:</w:t>
      </w:r>
    </w:p>
    <w:p w:rsidR="007B1AC3" w:rsidRPr="00796C7C" w:rsidRDefault="007B1AC3" w:rsidP="00796C7C">
      <w:pPr>
        <w:pStyle w:val="ListParagraph"/>
        <w:spacing w:line="240" w:lineRule="auto"/>
        <w:ind w:left="360"/>
        <w:rPr>
          <w:rFonts w:cs="Arial"/>
          <w:sz w:val="20"/>
          <w:szCs w:val="20"/>
        </w:rPr>
      </w:pPr>
    </w:p>
    <w:p w:rsidR="006843E5" w:rsidRPr="00796C7C" w:rsidRDefault="006843E5" w:rsidP="00796C7C">
      <w:pPr>
        <w:pStyle w:val="ListParagraph"/>
        <w:numPr>
          <w:ilvl w:val="0"/>
          <w:numId w:val="17"/>
        </w:numPr>
        <w:spacing w:line="240" w:lineRule="auto"/>
        <w:rPr>
          <w:rFonts w:cs="Arial"/>
          <w:b/>
          <w:color w:val="auto"/>
          <w:sz w:val="20"/>
          <w:szCs w:val="20"/>
        </w:rPr>
      </w:pPr>
      <w:r w:rsidRPr="00796C7C">
        <w:rPr>
          <w:rFonts w:cs="Arial"/>
          <w:b/>
          <w:color w:val="auto"/>
          <w:sz w:val="20"/>
          <w:szCs w:val="20"/>
        </w:rPr>
        <w:t>OVERVIEW</w:t>
      </w:r>
    </w:p>
    <w:p w:rsidR="006843E5" w:rsidRPr="00796C7C" w:rsidRDefault="006843E5" w:rsidP="00796C7C">
      <w:pPr>
        <w:pStyle w:val="ListParagraph"/>
        <w:spacing w:line="240" w:lineRule="auto"/>
        <w:ind w:left="360"/>
        <w:rPr>
          <w:rFonts w:cs="Arial"/>
          <w:b/>
          <w:color w:val="538135"/>
          <w:sz w:val="20"/>
          <w:szCs w:val="20"/>
        </w:rPr>
      </w:pPr>
    </w:p>
    <w:p w:rsidR="006843E5" w:rsidRPr="00796C7C" w:rsidRDefault="007B1AC3"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 xml:space="preserve">Section 5(2) of the Money Bills Procedures and Related Matters Act (2009) enjoins parliamentary Portfolio Committees to compile Budgetary Review and Recommendations Reports (BRRR) for tabling to the National Assembly. </w:t>
      </w:r>
      <w:r w:rsidR="00CF1D5F" w:rsidRPr="00796C7C">
        <w:rPr>
          <w:rFonts w:cs="Arial"/>
          <w:sz w:val="20"/>
          <w:szCs w:val="20"/>
        </w:rPr>
        <w:t xml:space="preserve">In terms of Section 5(3) of the Act, the Report’s content </w:t>
      </w:r>
      <w:r w:rsidR="0083152F" w:rsidRPr="00796C7C">
        <w:rPr>
          <w:rFonts w:cs="Arial"/>
          <w:sz w:val="20"/>
          <w:szCs w:val="20"/>
        </w:rPr>
        <w:t>is expected to encompass:</w:t>
      </w:r>
    </w:p>
    <w:p w:rsidR="0083152F" w:rsidRPr="00796C7C" w:rsidRDefault="0083152F" w:rsidP="00796C7C">
      <w:pPr>
        <w:pStyle w:val="ListParagraph"/>
        <w:spacing w:line="240" w:lineRule="auto"/>
        <w:ind w:left="426"/>
        <w:rPr>
          <w:rFonts w:cs="Arial"/>
          <w:sz w:val="20"/>
          <w:szCs w:val="20"/>
        </w:rPr>
      </w:pPr>
    </w:p>
    <w:p w:rsidR="0083152F" w:rsidRPr="00796C7C" w:rsidRDefault="0083152F" w:rsidP="00796C7C">
      <w:pPr>
        <w:pStyle w:val="ListParagraph"/>
        <w:numPr>
          <w:ilvl w:val="0"/>
          <w:numId w:val="18"/>
        </w:numPr>
        <w:spacing w:line="240" w:lineRule="auto"/>
        <w:rPr>
          <w:rFonts w:cs="Arial"/>
          <w:b/>
          <w:color w:val="538135"/>
          <w:sz w:val="20"/>
          <w:szCs w:val="20"/>
        </w:rPr>
      </w:pPr>
      <w:r w:rsidRPr="00796C7C">
        <w:rPr>
          <w:rFonts w:cs="Arial"/>
          <w:sz w:val="20"/>
          <w:szCs w:val="20"/>
        </w:rPr>
        <w:t>Assessment of service delivery performance given available resources;</w:t>
      </w:r>
    </w:p>
    <w:p w:rsidR="0083152F" w:rsidRPr="00796C7C" w:rsidRDefault="0083152F" w:rsidP="00796C7C">
      <w:pPr>
        <w:pStyle w:val="ListParagraph"/>
        <w:numPr>
          <w:ilvl w:val="0"/>
          <w:numId w:val="18"/>
        </w:numPr>
        <w:spacing w:line="240" w:lineRule="auto"/>
        <w:rPr>
          <w:rFonts w:cs="Arial"/>
          <w:b/>
          <w:color w:val="538135"/>
          <w:sz w:val="20"/>
          <w:szCs w:val="20"/>
        </w:rPr>
      </w:pPr>
      <w:r w:rsidRPr="00796C7C">
        <w:rPr>
          <w:rFonts w:cs="Arial"/>
          <w:sz w:val="20"/>
          <w:szCs w:val="20"/>
        </w:rPr>
        <w:t>Assessment of the effectiveness and efficiency of use and further allocation of available resources; and</w:t>
      </w:r>
    </w:p>
    <w:p w:rsidR="0083152F" w:rsidRPr="00796C7C" w:rsidRDefault="0083152F" w:rsidP="00796C7C">
      <w:pPr>
        <w:pStyle w:val="ListParagraph"/>
        <w:numPr>
          <w:ilvl w:val="0"/>
          <w:numId w:val="18"/>
        </w:numPr>
        <w:spacing w:line="240" w:lineRule="auto"/>
        <w:rPr>
          <w:rFonts w:cs="Arial"/>
          <w:b/>
          <w:color w:val="538135"/>
          <w:sz w:val="20"/>
          <w:szCs w:val="20"/>
        </w:rPr>
      </w:pPr>
      <w:r w:rsidRPr="00796C7C">
        <w:rPr>
          <w:rFonts w:cs="Arial"/>
          <w:sz w:val="20"/>
          <w:szCs w:val="20"/>
        </w:rPr>
        <w:t>Recommendations on the further use of resources.</w:t>
      </w:r>
    </w:p>
    <w:p w:rsidR="00237B26" w:rsidRPr="00796C7C" w:rsidRDefault="00237B26" w:rsidP="00796C7C">
      <w:pPr>
        <w:pStyle w:val="ListParagraph"/>
        <w:spacing w:line="240" w:lineRule="auto"/>
        <w:ind w:left="786"/>
        <w:rPr>
          <w:rFonts w:cs="Arial"/>
          <w:b/>
          <w:color w:val="538135"/>
          <w:sz w:val="20"/>
          <w:szCs w:val="20"/>
        </w:rPr>
      </w:pPr>
    </w:p>
    <w:p w:rsidR="009B4A7F" w:rsidRPr="00796C7C" w:rsidRDefault="00AF2B7A"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In line with Rule 227 of the National Assembly Rules, t</w:t>
      </w:r>
      <w:r w:rsidR="009C48D1" w:rsidRPr="00796C7C">
        <w:rPr>
          <w:rFonts w:cs="Arial"/>
          <w:sz w:val="20"/>
          <w:szCs w:val="20"/>
        </w:rPr>
        <w:t xml:space="preserve">he Portfolio Committee is mandated to oversee the Departments of Cooperative Governance and Traditional Affairs (Votes 3 and 15), the Municipal Infrastructure Support Agent (MISA), the Commission for the Promotion and Protection of the Rights of Cultural, Religious and Linguistic communities (CRL Rights Commission), the South African Local Government Association (SALGA) and the Municipal Demarcation Board (MDB). </w:t>
      </w:r>
      <w:r w:rsidR="009B4A7F" w:rsidRPr="00796C7C">
        <w:rPr>
          <w:rFonts w:cs="Arial"/>
          <w:sz w:val="20"/>
          <w:szCs w:val="20"/>
        </w:rPr>
        <w:t>The Cooperative Governance and Traditional Affairs</w:t>
      </w:r>
      <w:r w:rsidR="003C0B10" w:rsidRPr="00796C7C">
        <w:rPr>
          <w:rFonts w:cs="Arial"/>
          <w:sz w:val="20"/>
          <w:szCs w:val="20"/>
        </w:rPr>
        <w:t xml:space="preserve"> (COGTA)</w:t>
      </w:r>
      <w:r w:rsidR="009B4A7F" w:rsidRPr="00796C7C">
        <w:rPr>
          <w:rFonts w:cs="Arial"/>
          <w:sz w:val="20"/>
          <w:szCs w:val="20"/>
        </w:rPr>
        <w:t xml:space="preserve"> Minister duly tabled the 2021-22 reports and audited financial statements of the relevant Departments and entities, in line with Sections 8(3) and 64(a) of the Public Finance Management Act (PFMA) 1999. </w:t>
      </w:r>
    </w:p>
    <w:p w:rsidR="009B4A7F" w:rsidRPr="00796C7C" w:rsidRDefault="009B4A7F" w:rsidP="00796C7C">
      <w:pPr>
        <w:pStyle w:val="ListParagraph"/>
        <w:spacing w:line="240" w:lineRule="auto"/>
        <w:ind w:left="426"/>
        <w:rPr>
          <w:rFonts w:cs="Arial"/>
          <w:b/>
          <w:color w:val="538135"/>
          <w:sz w:val="20"/>
          <w:szCs w:val="20"/>
        </w:rPr>
      </w:pPr>
    </w:p>
    <w:p w:rsidR="007A7657" w:rsidRPr="00796C7C" w:rsidRDefault="009B4A7F"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 xml:space="preserve">These PFMA Sections instruct the Minister to submit the consolidated financial statements, and the audit report on those statements, to Parliament for tabling in both Houses. The reports have been tabled within the legislated deadline. </w:t>
      </w:r>
      <w:r w:rsidR="004F4F7B" w:rsidRPr="00796C7C">
        <w:rPr>
          <w:rFonts w:cs="Arial"/>
          <w:sz w:val="20"/>
          <w:szCs w:val="20"/>
        </w:rPr>
        <w:t xml:space="preserve">From 10 – </w:t>
      </w:r>
      <w:r w:rsidR="007A1DB5" w:rsidRPr="00796C7C">
        <w:rPr>
          <w:rFonts w:cs="Arial"/>
          <w:sz w:val="20"/>
          <w:szCs w:val="20"/>
        </w:rPr>
        <w:t xml:space="preserve">18 </w:t>
      </w:r>
      <w:r w:rsidR="008354D5" w:rsidRPr="00796C7C">
        <w:rPr>
          <w:rFonts w:cs="Arial"/>
          <w:sz w:val="20"/>
          <w:szCs w:val="20"/>
        </w:rPr>
        <w:t xml:space="preserve">October 2022, the Portfolio Committee convened </w:t>
      </w:r>
      <w:r w:rsidR="004F4F7B" w:rsidRPr="00796C7C">
        <w:rPr>
          <w:rFonts w:cs="Arial"/>
          <w:sz w:val="20"/>
          <w:szCs w:val="20"/>
        </w:rPr>
        <w:t>me</w:t>
      </w:r>
      <w:r w:rsidR="008354D5" w:rsidRPr="00796C7C">
        <w:rPr>
          <w:rFonts w:cs="Arial"/>
          <w:sz w:val="20"/>
          <w:szCs w:val="20"/>
        </w:rPr>
        <w:t>etings</w:t>
      </w:r>
      <w:r w:rsidR="00073AEF" w:rsidRPr="00796C7C">
        <w:rPr>
          <w:rFonts w:cs="Arial"/>
          <w:sz w:val="20"/>
          <w:szCs w:val="20"/>
        </w:rPr>
        <w:t xml:space="preserve"> with the responsible</w:t>
      </w:r>
      <w:r w:rsidR="004F4F7B" w:rsidRPr="00796C7C">
        <w:rPr>
          <w:rFonts w:cs="Arial"/>
          <w:sz w:val="20"/>
          <w:szCs w:val="20"/>
        </w:rPr>
        <w:t xml:space="preserve"> Departments and Entities to consider their financial and service delivery performance in respect</w:t>
      </w:r>
      <w:r w:rsidR="007A7657" w:rsidRPr="00796C7C">
        <w:rPr>
          <w:rFonts w:cs="Arial"/>
          <w:sz w:val="20"/>
          <w:szCs w:val="20"/>
        </w:rPr>
        <w:t xml:space="preserve"> of the 2021-22 financial year.</w:t>
      </w:r>
      <w:r w:rsidR="002B2A6A" w:rsidRPr="00796C7C">
        <w:rPr>
          <w:rFonts w:cs="Arial"/>
          <w:sz w:val="20"/>
          <w:szCs w:val="20"/>
        </w:rPr>
        <w:t xml:space="preserve"> </w:t>
      </w:r>
      <w:r w:rsidR="007A7657" w:rsidRPr="00796C7C">
        <w:rPr>
          <w:rFonts w:cs="Arial"/>
          <w:sz w:val="20"/>
          <w:szCs w:val="20"/>
        </w:rPr>
        <w:t xml:space="preserve">This report draws from the </w:t>
      </w:r>
      <w:r w:rsidR="00BA0752" w:rsidRPr="00796C7C">
        <w:rPr>
          <w:rFonts w:cs="Arial"/>
          <w:sz w:val="20"/>
          <w:szCs w:val="20"/>
        </w:rPr>
        <w:t>proceedings of these</w:t>
      </w:r>
      <w:r w:rsidR="00156913" w:rsidRPr="00796C7C">
        <w:rPr>
          <w:rFonts w:cs="Arial"/>
          <w:sz w:val="20"/>
          <w:szCs w:val="20"/>
        </w:rPr>
        <w:t xml:space="preserve"> Departmental and E</w:t>
      </w:r>
      <w:r w:rsidR="00BA0752" w:rsidRPr="00796C7C">
        <w:rPr>
          <w:rFonts w:cs="Arial"/>
          <w:sz w:val="20"/>
          <w:szCs w:val="20"/>
        </w:rPr>
        <w:t>ntity briefings</w:t>
      </w:r>
      <w:r w:rsidR="00156913" w:rsidRPr="00796C7C">
        <w:rPr>
          <w:rFonts w:cs="Arial"/>
          <w:sz w:val="20"/>
          <w:szCs w:val="20"/>
        </w:rPr>
        <w:t>,</w:t>
      </w:r>
      <w:r w:rsidR="00BE3AE5" w:rsidRPr="00796C7C">
        <w:rPr>
          <w:rFonts w:cs="Arial"/>
          <w:sz w:val="20"/>
          <w:szCs w:val="20"/>
        </w:rPr>
        <w:t xml:space="preserve"> as well as</w:t>
      </w:r>
      <w:r w:rsidR="008C08AD" w:rsidRPr="00796C7C">
        <w:rPr>
          <w:rFonts w:cs="Arial"/>
          <w:sz w:val="20"/>
          <w:szCs w:val="20"/>
        </w:rPr>
        <w:t xml:space="preserve"> the</w:t>
      </w:r>
      <w:r w:rsidR="00BA0752" w:rsidRPr="00796C7C">
        <w:rPr>
          <w:rFonts w:cs="Arial"/>
          <w:sz w:val="20"/>
          <w:szCs w:val="20"/>
        </w:rPr>
        <w:t xml:space="preserve"> contributions</w:t>
      </w:r>
      <w:r w:rsidR="008C08AD" w:rsidRPr="00796C7C">
        <w:rPr>
          <w:rFonts w:cs="Arial"/>
          <w:sz w:val="20"/>
          <w:szCs w:val="20"/>
        </w:rPr>
        <w:t xml:space="preserve"> of</w:t>
      </w:r>
      <w:r w:rsidR="00E13FB1" w:rsidRPr="00796C7C">
        <w:rPr>
          <w:rFonts w:cs="Arial"/>
          <w:sz w:val="20"/>
          <w:szCs w:val="20"/>
        </w:rPr>
        <w:t xml:space="preserve"> the Auditor-General</w:t>
      </w:r>
      <w:r w:rsidR="008C08AD" w:rsidRPr="00796C7C">
        <w:rPr>
          <w:rFonts w:cs="Arial"/>
          <w:sz w:val="20"/>
          <w:szCs w:val="20"/>
        </w:rPr>
        <w:t>’s Office</w:t>
      </w:r>
      <w:r w:rsidR="007A7657" w:rsidRPr="00796C7C">
        <w:rPr>
          <w:rFonts w:cs="Arial"/>
          <w:sz w:val="20"/>
          <w:szCs w:val="20"/>
        </w:rPr>
        <w:t xml:space="preserve">. </w:t>
      </w:r>
      <w:r w:rsidR="0033251F" w:rsidRPr="00796C7C">
        <w:rPr>
          <w:rFonts w:cs="Arial"/>
          <w:sz w:val="20"/>
          <w:szCs w:val="20"/>
        </w:rPr>
        <w:t>Overall, the COGTA Portfolio’s financial performance remained unchanged from the previous financial year, with the Department of Cooperative Governance</w:t>
      </w:r>
      <w:r w:rsidR="003C0B10" w:rsidRPr="00796C7C">
        <w:rPr>
          <w:rFonts w:cs="Arial"/>
          <w:sz w:val="20"/>
          <w:szCs w:val="20"/>
        </w:rPr>
        <w:t xml:space="preserve"> (DCo</w:t>
      </w:r>
      <w:r w:rsidR="00950068" w:rsidRPr="00796C7C">
        <w:rPr>
          <w:rFonts w:cs="Arial"/>
          <w:sz w:val="20"/>
          <w:szCs w:val="20"/>
        </w:rPr>
        <w:t>G)</w:t>
      </w:r>
      <w:r w:rsidR="0033251F" w:rsidRPr="00796C7C">
        <w:rPr>
          <w:rFonts w:cs="Arial"/>
          <w:sz w:val="20"/>
          <w:szCs w:val="20"/>
        </w:rPr>
        <w:t xml:space="preserve"> still the only auditee with qualified auditing findings.</w:t>
      </w:r>
      <w:r w:rsidR="001E48A9" w:rsidRPr="00796C7C">
        <w:rPr>
          <w:rFonts w:cs="Arial"/>
          <w:sz w:val="20"/>
          <w:szCs w:val="20"/>
        </w:rPr>
        <w:t xml:space="preserve"> All other auditees have received clean audits. </w:t>
      </w:r>
    </w:p>
    <w:p w:rsidR="006843E5" w:rsidRPr="00796C7C" w:rsidRDefault="006843E5" w:rsidP="00796C7C">
      <w:pPr>
        <w:pStyle w:val="ListParagraph"/>
        <w:spacing w:line="240" w:lineRule="auto"/>
        <w:ind w:left="792"/>
        <w:rPr>
          <w:rFonts w:cs="Arial"/>
          <w:b/>
          <w:color w:val="538135"/>
          <w:sz w:val="20"/>
          <w:szCs w:val="20"/>
        </w:rPr>
      </w:pPr>
    </w:p>
    <w:p w:rsidR="006843E5" w:rsidRPr="00796C7C" w:rsidRDefault="00B3252A" w:rsidP="00796C7C">
      <w:pPr>
        <w:pStyle w:val="ListParagraph"/>
        <w:numPr>
          <w:ilvl w:val="0"/>
          <w:numId w:val="17"/>
        </w:numPr>
        <w:spacing w:line="240" w:lineRule="auto"/>
        <w:rPr>
          <w:rFonts w:cs="Arial"/>
          <w:b/>
          <w:color w:val="auto"/>
          <w:sz w:val="20"/>
          <w:szCs w:val="20"/>
        </w:rPr>
      </w:pPr>
      <w:r w:rsidRPr="00796C7C">
        <w:rPr>
          <w:rFonts w:cs="Arial"/>
          <w:b/>
          <w:color w:val="auto"/>
          <w:sz w:val="20"/>
          <w:szCs w:val="20"/>
        </w:rPr>
        <w:t>DEPARTMENT OF COOPERATIVE GOVERNANCE</w:t>
      </w:r>
    </w:p>
    <w:p w:rsidR="00950068" w:rsidRPr="00796C7C" w:rsidRDefault="00950068" w:rsidP="00796C7C">
      <w:pPr>
        <w:pStyle w:val="ListParagraph"/>
        <w:spacing w:line="240" w:lineRule="auto"/>
        <w:ind w:left="360"/>
        <w:rPr>
          <w:rFonts w:cs="Arial"/>
          <w:b/>
          <w:color w:val="538135"/>
          <w:sz w:val="20"/>
          <w:szCs w:val="20"/>
        </w:rPr>
      </w:pPr>
    </w:p>
    <w:p w:rsidR="00180033" w:rsidRPr="00796C7C" w:rsidRDefault="00950068"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As noted previously, the Department of Cooperative Governance</w:t>
      </w:r>
      <w:r w:rsidR="00001BE1" w:rsidRPr="00796C7C">
        <w:rPr>
          <w:rFonts w:cs="Arial"/>
          <w:sz w:val="20"/>
          <w:szCs w:val="20"/>
        </w:rPr>
        <w:t xml:space="preserve"> is</w:t>
      </w:r>
      <w:r w:rsidRPr="00796C7C">
        <w:rPr>
          <w:rFonts w:cs="Arial"/>
          <w:sz w:val="20"/>
          <w:szCs w:val="20"/>
        </w:rPr>
        <w:t xml:space="preserve"> still the only auditee with qualified auditing findings. However, the qualification areas have reduced to three, from five in the previous financial year.</w:t>
      </w:r>
      <w:r w:rsidR="00E71B23" w:rsidRPr="00796C7C">
        <w:rPr>
          <w:rFonts w:cs="Arial"/>
          <w:sz w:val="20"/>
          <w:szCs w:val="20"/>
        </w:rPr>
        <w:t xml:space="preserve"> All three qualification areas relate to the Community Work Programme (CWP). </w:t>
      </w:r>
      <w:r w:rsidR="00680347" w:rsidRPr="00796C7C">
        <w:rPr>
          <w:rFonts w:cs="Arial"/>
          <w:sz w:val="20"/>
          <w:szCs w:val="20"/>
        </w:rPr>
        <w:t>The Department is also the highest contributor to the irregular expend</w:t>
      </w:r>
      <w:r w:rsidR="003C2A40" w:rsidRPr="00796C7C">
        <w:rPr>
          <w:rFonts w:cs="Arial"/>
          <w:sz w:val="20"/>
          <w:szCs w:val="20"/>
        </w:rPr>
        <w:t>iture identified during the period</w:t>
      </w:r>
      <w:r w:rsidR="00680347" w:rsidRPr="00796C7C">
        <w:rPr>
          <w:rFonts w:cs="Arial"/>
          <w:sz w:val="20"/>
          <w:szCs w:val="20"/>
        </w:rPr>
        <w:t xml:space="preserve"> under review, having incurred R500m to this end.</w:t>
      </w:r>
      <w:r w:rsidR="00142762" w:rsidRPr="00796C7C">
        <w:rPr>
          <w:rFonts w:cs="Arial"/>
          <w:sz w:val="20"/>
          <w:szCs w:val="20"/>
        </w:rPr>
        <w:t xml:space="preserve"> This also relates mostly to the CWP, in particular contracts that did not follow proper Supply C</w:t>
      </w:r>
      <w:r w:rsidR="003C2A40" w:rsidRPr="00796C7C">
        <w:rPr>
          <w:rFonts w:cs="Arial"/>
          <w:sz w:val="20"/>
          <w:szCs w:val="20"/>
        </w:rPr>
        <w:t>hain Management (SCM) processes, including a contract concluded in 2018-19, which the Seriti Judgment de</w:t>
      </w:r>
      <w:r w:rsidR="008177E1" w:rsidRPr="00796C7C">
        <w:rPr>
          <w:rFonts w:cs="Arial"/>
          <w:sz w:val="20"/>
          <w:szCs w:val="20"/>
        </w:rPr>
        <w:t>clared</w:t>
      </w:r>
      <w:r w:rsidR="003C2A40" w:rsidRPr="00796C7C">
        <w:rPr>
          <w:rFonts w:cs="Arial"/>
          <w:sz w:val="20"/>
          <w:szCs w:val="20"/>
        </w:rPr>
        <w:t xml:space="preserve"> irregular. </w:t>
      </w:r>
      <w:r w:rsidR="008829AF" w:rsidRPr="00796C7C">
        <w:rPr>
          <w:rFonts w:cs="Arial"/>
          <w:sz w:val="20"/>
          <w:szCs w:val="20"/>
        </w:rPr>
        <w:t xml:space="preserve"> There also remains an unresolved R3.3bn in irregular expenditure emanating from prior years</w:t>
      </w:r>
      <w:r w:rsidR="00710F67" w:rsidRPr="00796C7C">
        <w:rPr>
          <w:rFonts w:cs="Arial"/>
          <w:sz w:val="20"/>
          <w:szCs w:val="20"/>
        </w:rPr>
        <w:t xml:space="preserve"> going back as far 2013</w:t>
      </w:r>
      <w:r w:rsidR="008829AF" w:rsidRPr="00796C7C">
        <w:rPr>
          <w:rFonts w:cs="Arial"/>
          <w:sz w:val="20"/>
          <w:szCs w:val="20"/>
        </w:rPr>
        <w:t xml:space="preserve">. </w:t>
      </w:r>
      <w:r w:rsidR="000C67C1" w:rsidRPr="00796C7C">
        <w:rPr>
          <w:rFonts w:cs="Arial"/>
          <w:sz w:val="20"/>
          <w:szCs w:val="20"/>
        </w:rPr>
        <w:t xml:space="preserve"> </w:t>
      </w:r>
    </w:p>
    <w:p w:rsidR="00180033" w:rsidRPr="00796C7C" w:rsidRDefault="00180033" w:rsidP="00796C7C">
      <w:pPr>
        <w:pStyle w:val="ListParagraph"/>
        <w:spacing w:line="240" w:lineRule="auto"/>
        <w:ind w:left="426"/>
        <w:rPr>
          <w:rFonts w:cs="Arial"/>
          <w:b/>
          <w:color w:val="538135"/>
          <w:sz w:val="20"/>
          <w:szCs w:val="20"/>
        </w:rPr>
      </w:pPr>
    </w:p>
    <w:p w:rsidR="00180033" w:rsidRPr="00796C7C" w:rsidRDefault="00557DC6"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The CWP was further predominantly responsible for the R4.4m incurred in fruitless and wasteful expenditure due to payments made to deceased</w:t>
      </w:r>
      <w:r w:rsidR="00FB0F98" w:rsidRPr="00796C7C">
        <w:rPr>
          <w:rFonts w:cs="Arial"/>
          <w:sz w:val="20"/>
          <w:szCs w:val="20"/>
        </w:rPr>
        <w:t xml:space="preserve"> CWP</w:t>
      </w:r>
      <w:r w:rsidRPr="00796C7C">
        <w:rPr>
          <w:rFonts w:cs="Arial"/>
          <w:sz w:val="20"/>
          <w:szCs w:val="20"/>
        </w:rPr>
        <w:t xml:space="preserve"> participants and those in the employ of the state</w:t>
      </w:r>
      <w:r w:rsidR="00AE4EF4" w:rsidRPr="00796C7C">
        <w:rPr>
          <w:rFonts w:cs="Arial"/>
          <w:sz w:val="20"/>
          <w:szCs w:val="20"/>
        </w:rPr>
        <w:t xml:space="preserve">. Although the Department incurred no </w:t>
      </w:r>
      <w:r w:rsidR="00AD0914" w:rsidRPr="00796C7C">
        <w:rPr>
          <w:rFonts w:cs="Arial"/>
          <w:sz w:val="20"/>
          <w:szCs w:val="20"/>
        </w:rPr>
        <w:t>un</w:t>
      </w:r>
      <w:r w:rsidR="00AE4EF4" w:rsidRPr="00796C7C">
        <w:rPr>
          <w:rFonts w:cs="Arial"/>
          <w:sz w:val="20"/>
          <w:szCs w:val="20"/>
        </w:rPr>
        <w:t>authorised expenditure during the period under review, there is still an unresolved balance of R1.1m emanating from prior years.</w:t>
      </w:r>
      <w:r w:rsidR="000F74BF" w:rsidRPr="00796C7C">
        <w:rPr>
          <w:rFonts w:cs="Arial"/>
          <w:sz w:val="20"/>
          <w:szCs w:val="20"/>
        </w:rPr>
        <w:t xml:space="preserve"> Thus, the bulk of the Department’s Unauthorised, Irregular, Fruitless and Wasteful (UIFW) expenditure </w:t>
      </w:r>
      <w:r w:rsidR="00180033" w:rsidRPr="00796C7C">
        <w:rPr>
          <w:rFonts w:cs="Arial"/>
          <w:sz w:val="20"/>
          <w:szCs w:val="20"/>
        </w:rPr>
        <w:t xml:space="preserve">has been inherited from prior years. </w:t>
      </w:r>
      <w:r w:rsidR="00AD2B0A" w:rsidRPr="00796C7C">
        <w:rPr>
          <w:rFonts w:eastAsiaTheme="minorHAnsi" w:cs="Arial"/>
          <w:spacing w:val="0"/>
          <w:sz w:val="20"/>
          <w:szCs w:val="20"/>
          <w:lang w:val="en-ZA" w:eastAsia="en-US"/>
        </w:rPr>
        <w:t>Most problems i</w:t>
      </w:r>
      <w:r w:rsidR="003C2A40" w:rsidRPr="00796C7C">
        <w:rPr>
          <w:rFonts w:eastAsiaTheme="minorHAnsi" w:cs="Arial"/>
          <w:spacing w:val="0"/>
          <w:sz w:val="20"/>
          <w:szCs w:val="20"/>
          <w:lang w:val="en-ZA" w:eastAsia="en-US"/>
        </w:rPr>
        <w:t xml:space="preserve">n the CWP arise from the actions of </w:t>
      </w:r>
      <w:r w:rsidR="000F74BF" w:rsidRPr="00796C7C">
        <w:rPr>
          <w:rFonts w:eastAsiaTheme="minorHAnsi" w:cs="Arial"/>
          <w:spacing w:val="0"/>
          <w:sz w:val="20"/>
          <w:szCs w:val="20"/>
          <w:lang w:val="en-ZA" w:eastAsia="en-US"/>
        </w:rPr>
        <w:t xml:space="preserve">the non-profit </w:t>
      </w:r>
      <w:r w:rsidR="003C2A40" w:rsidRPr="00796C7C">
        <w:rPr>
          <w:rFonts w:eastAsiaTheme="minorHAnsi" w:cs="Arial"/>
          <w:spacing w:val="0"/>
          <w:sz w:val="20"/>
          <w:szCs w:val="20"/>
          <w:lang w:val="en-ZA" w:eastAsia="en-US"/>
        </w:rPr>
        <w:t>organisations</w:t>
      </w:r>
      <w:r w:rsidR="000F74BF" w:rsidRPr="00796C7C">
        <w:rPr>
          <w:rFonts w:eastAsiaTheme="minorHAnsi" w:cs="Arial"/>
          <w:spacing w:val="0"/>
          <w:sz w:val="20"/>
          <w:szCs w:val="20"/>
          <w:lang w:val="en-ZA" w:eastAsia="en-US"/>
        </w:rPr>
        <w:t xml:space="preserve"> (NPOs)</w:t>
      </w:r>
      <w:r w:rsidR="003C2A40" w:rsidRPr="00796C7C">
        <w:rPr>
          <w:rFonts w:eastAsiaTheme="minorHAnsi" w:cs="Arial"/>
          <w:spacing w:val="0"/>
          <w:sz w:val="20"/>
          <w:szCs w:val="20"/>
          <w:lang w:val="en-ZA" w:eastAsia="en-US"/>
        </w:rPr>
        <w:t xml:space="preserve"> hired by the Department as CWP Implementing Agents (IAs)</w:t>
      </w:r>
      <w:r w:rsidR="00AD2B0A" w:rsidRPr="00796C7C">
        <w:rPr>
          <w:rFonts w:eastAsiaTheme="minorHAnsi" w:cs="Arial"/>
          <w:spacing w:val="0"/>
          <w:sz w:val="20"/>
          <w:szCs w:val="20"/>
          <w:lang w:val="en-ZA" w:eastAsia="en-US"/>
        </w:rPr>
        <w:t>.</w:t>
      </w:r>
      <w:r w:rsidR="00E013C9" w:rsidRPr="00796C7C">
        <w:rPr>
          <w:rFonts w:eastAsiaTheme="minorHAnsi" w:cs="Arial"/>
          <w:spacing w:val="0"/>
          <w:sz w:val="20"/>
          <w:szCs w:val="20"/>
          <w:lang w:val="en-ZA" w:eastAsia="en-US"/>
        </w:rPr>
        <w:t xml:space="preserve"> Fundamentally, </w:t>
      </w:r>
      <w:r w:rsidR="00180033" w:rsidRPr="00796C7C">
        <w:rPr>
          <w:rFonts w:eastAsiaTheme="minorHAnsi" w:cs="Arial"/>
          <w:spacing w:val="0"/>
          <w:sz w:val="20"/>
          <w:szCs w:val="20"/>
          <w:lang w:val="en-ZA" w:eastAsia="en-US"/>
        </w:rPr>
        <w:t>the IA</w:t>
      </w:r>
      <w:r w:rsidR="00E013C9" w:rsidRPr="00796C7C">
        <w:rPr>
          <w:rFonts w:eastAsiaTheme="minorHAnsi" w:cs="Arial"/>
          <w:spacing w:val="0"/>
          <w:sz w:val="20"/>
          <w:szCs w:val="20"/>
          <w:lang w:val="en-ZA" w:eastAsia="en-US"/>
        </w:rPr>
        <w:t>s</w:t>
      </w:r>
      <w:r w:rsidR="00180033" w:rsidRPr="00796C7C">
        <w:rPr>
          <w:rFonts w:eastAsiaTheme="minorHAnsi" w:cs="Arial"/>
          <w:spacing w:val="0"/>
          <w:sz w:val="20"/>
          <w:szCs w:val="20"/>
          <w:lang w:val="en-ZA" w:eastAsia="en-US"/>
        </w:rPr>
        <w:t xml:space="preserve"> have</w:t>
      </w:r>
      <w:r w:rsidR="00E013C9" w:rsidRPr="00796C7C">
        <w:rPr>
          <w:rFonts w:eastAsiaTheme="minorHAnsi" w:cs="Arial"/>
          <w:spacing w:val="0"/>
          <w:sz w:val="20"/>
          <w:szCs w:val="20"/>
          <w:lang w:val="en-ZA" w:eastAsia="en-US"/>
        </w:rPr>
        <w:t xml:space="preserve"> in</w:t>
      </w:r>
      <w:r w:rsidR="00180033" w:rsidRPr="00796C7C">
        <w:rPr>
          <w:rFonts w:eastAsiaTheme="minorHAnsi" w:cs="Arial"/>
          <w:spacing w:val="0"/>
          <w:sz w:val="20"/>
          <w:szCs w:val="20"/>
          <w:lang w:val="en-ZA" w:eastAsia="en-US"/>
        </w:rPr>
        <w:t xml:space="preserve">sufficient experience with </w:t>
      </w:r>
      <w:r w:rsidR="00E013C9" w:rsidRPr="00796C7C">
        <w:rPr>
          <w:rFonts w:eastAsiaTheme="minorHAnsi" w:cs="Arial"/>
          <w:spacing w:val="0"/>
          <w:sz w:val="20"/>
          <w:szCs w:val="20"/>
          <w:lang w:val="en-ZA" w:eastAsia="en-US"/>
        </w:rPr>
        <w:t>financial reporting obligations</w:t>
      </w:r>
      <w:r w:rsidR="00A440AF" w:rsidRPr="00796C7C">
        <w:rPr>
          <w:rFonts w:eastAsiaTheme="minorHAnsi" w:cs="Arial"/>
          <w:spacing w:val="0"/>
          <w:sz w:val="20"/>
          <w:szCs w:val="20"/>
          <w:lang w:val="en-ZA" w:eastAsia="en-US"/>
        </w:rPr>
        <w:t>, including proper asset management systems</w:t>
      </w:r>
      <w:r w:rsidR="00E013C9" w:rsidRPr="00796C7C">
        <w:rPr>
          <w:rFonts w:eastAsiaTheme="minorHAnsi" w:cs="Arial"/>
          <w:spacing w:val="0"/>
          <w:sz w:val="20"/>
          <w:szCs w:val="20"/>
          <w:lang w:val="en-ZA" w:eastAsia="en-US"/>
        </w:rPr>
        <w:t>. Their experience with procurement from a public sector perspective is also limited.</w:t>
      </w:r>
      <w:r w:rsidR="00AD2B0A" w:rsidRPr="00796C7C">
        <w:rPr>
          <w:rFonts w:eastAsiaTheme="minorHAnsi" w:cs="Arial"/>
          <w:spacing w:val="0"/>
          <w:sz w:val="20"/>
          <w:szCs w:val="20"/>
          <w:lang w:val="en-ZA" w:eastAsia="en-US"/>
        </w:rPr>
        <w:t xml:space="preserve"> </w:t>
      </w:r>
      <w:r w:rsidR="00B771DA" w:rsidRPr="00796C7C">
        <w:rPr>
          <w:rFonts w:eastAsiaTheme="minorHAnsi" w:cs="Arial"/>
          <w:spacing w:val="0"/>
          <w:sz w:val="20"/>
          <w:szCs w:val="20"/>
          <w:lang w:val="en-ZA" w:eastAsia="en-US"/>
        </w:rPr>
        <w:t>According to the Minister, t</w:t>
      </w:r>
      <w:r w:rsidR="003C2A40" w:rsidRPr="00796C7C">
        <w:rPr>
          <w:rFonts w:eastAsiaTheme="minorHAnsi" w:cs="Arial"/>
          <w:spacing w:val="0"/>
          <w:sz w:val="20"/>
          <w:szCs w:val="20"/>
          <w:lang w:val="en-ZA" w:eastAsia="en-US"/>
        </w:rPr>
        <w:t>he Depart</w:t>
      </w:r>
      <w:r w:rsidR="00650131" w:rsidRPr="00796C7C">
        <w:rPr>
          <w:rFonts w:eastAsiaTheme="minorHAnsi" w:cs="Arial"/>
          <w:spacing w:val="0"/>
          <w:sz w:val="20"/>
          <w:szCs w:val="20"/>
          <w:lang w:val="en-ZA" w:eastAsia="en-US"/>
        </w:rPr>
        <w:t xml:space="preserve">ment would ideally not have IAs, if it was at liberty to do so. </w:t>
      </w:r>
    </w:p>
    <w:p w:rsidR="00180033" w:rsidRPr="00796C7C" w:rsidRDefault="00180033" w:rsidP="00796C7C">
      <w:pPr>
        <w:pStyle w:val="ListParagraph"/>
        <w:spacing w:line="240" w:lineRule="auto"/>
        <w:rPr>
          <w:rFonts w:eastAsiaTheme="minorHAnsi" w:cs="Arial"/>
          <w:spacing w:val="0"/>
          <w:sz w:val="20"/>
          <w:szCs w:val="20"/>
          <w:lang w:val="en-ZA" w:eastAsia="en-US"/>
        </w:rPr>
      </w:pPr>
    </w:p>
    <w:p w:rsidR="006F677A" w:rsidRPr="00796C7C" w:rsidRDefault="000F74BF" w:rsidP="00796C7C">
      <w:pPr>
        <w:pStyle w:val="ListParagraph"/>
        <w:numPr>
          <w:ilvl w:val="1"/>
          <w:numId w:val="17"/>
        </w:numPr>
        <w:spacing w:line="240" w:lineRule="auto"/>
        <w:ind w:left="426"/>
        <w:rPr>
          <w:rFonts w:cs="Arial"/>
          <w:b/>
          <w:color w:val="538135"/>
          <w:sz w:val="20"/>
          <w:szCs w:val="20"/>
        </w:rPr>
      </w:pPr>
      <w:r w:rsidRPr="00796C7C">
        <w:rPr>
          <w:rFonts w:eastAsiaTheme="minorHAnsi" w:cs="Arial"/>
          <w:spacing w:val="0"/>
          <w:sz w:val="20"/>
          <w:szCs w:val="20"/>
          <w:lang w:val="en-ZA" w:eastAsia="en-US"/>
        </w:rPr>
        <w:t>To mitigate against the recurring CWP implementation problems, t</w:t>
      </w:r>
      <w:r w:rsidR="00AD2B0A" w:rsidRPr="00796C7C">
        <w:rPr>
          <w:rFonts w:eastAsiaTheme="minorHAnsi" w:cs="Arial"/>
          <w:spacing w:val="0"/>
          <w:sz w:val="20"/>
          <w:szCs w:val="20"/>
          <w:lang w:val="en-ZA" w:eastAsia="en-US"/>
        </w:rPr>
        <w:t>he Department</w:t>
      </w:r>
      <w:r w:rsidRPr="00796C7C">
        <w:rPr>
          <w:rFonts w:eastAsiaTheme="minorHAnsi" w:cs="Arial"/>
          <w:spacing w:val="0"/>
          <w:sz w:val="20"/>
          <w:szCs w:val="20"/>
          <w:lang w:val="en-ZA" w:eastAsia="en-US"/>
        </w:rPr>
        <w:t xml:space="preserve"> is revising the CWP implementation model on an ongoing basis. T</w:t>
      </w:r>
      <w:r w:rsidR="00B771DA" w:rsidRPr="00796C7C">
        <w:rPr>
          <w:rFonts w:eastAsiaTheme="minorHAnsi" w:cs="Arial"/>
          <w:spacing w:val="0"/>
          <w:sz w:val="20"/>
          <w:szCs w:val="20"/>
          <w:lang w:val="en-ZA" w:eastAsia="en-US"/>
        </w:rPr>
        <w:t>his has included interfacing the CWP database</w:t>
      </w:r>
      <w:r w:rsidR="00D5140E" w:rsidRPr="00796C7C">
        <w:rPr>
          <w:rFonts w:eastAsiaTheme="minorHAnsi" w:cs="Arial"/>
          <w:spacing w:val="0"/>
          <w:sz w:val="20"/>
          <w:szCs w:val="20"/>
          <w:lang w:val="en-ZA" w:eastAsia="en-US"/>
        </w:rPr>
        <w:t xml:space="preserve"> with </w:t>
      </w:r>
      <w:r w:rsidRPr="00796C7C">
        <w:rPr>
          <w:rFonts w:eastAsiaTheme="minorHAnsi" w:cs="Arial"/>
          <w:spacing w:val="0"/>
          <w:sz w:val="20"/>
          <w:szCs w:val="20"/>
          <w:lang w:val="en-ZA" w:eastAsia="en-US"/>
        </w:rPr>
        <w:t xml:space="preserve">the </w:t>
      </w:r>
      <w:r w:rsidR="00D5140E" w:rsidRPr="00796C7C">
        <w:rPr>
          <w:rFonts w:eastAsiaTheme="minorHAnsi" w:cs="Arial"/>
          <w:spacing w:val="0"/>
          <w:sz w:val="20"/>
          <w:szCs w:val="20"/>
          <w:lang w:val="en-ZA" w:eastAsia="en-US"/>
        </w:rPr>
        <w:t>Home Affairs</w:t>
      </w:r>
      <w:r w:rsidR="00CB0A2B" w:rsidRPr="00796C7C">
        <w:rPr>
          <w:rFonts w:eastAsiaTheme="minorHAnsi" w:cs="Arial"/>
          <w:spacing w:val="0"/>
          <w:sz w:val="20"/>
          <w:szCs w:val="20"/>
          <w:lang w:val="en-ZA" w:eastAsia="en-US"/>
        </w:rPr>
        <w:t xml:space="preserve"> and PERSAL</w:t>
      </w:r>
      <w:r w:rsidRPr="00796C7C">
        <w:rPr>
          <w:rFonts w:eastAsiaTheme="minorHAnsi" w:cs="Arial"/>
          <w:spacing w:val="0"/>
          <w:sz w:val="20"/>
          <w:szCs w:val="20"/>
          <w:lang w:val="en-ZA" w:eastAsia="en-US"/>
        </w:rPr>
        <w:t xml:space="preserve"> database</w:t>
      </w:r>
      <w:r w:rsidR="00CB0A2B" w:rsidRPr="00796C7C">
        <w:rPr>
          <w:rFonts w:eastAsiaTheme="minorHAnsi" w:cs="Arial"/>
          <w:spacing w:val="0"/>
          <w:sz w:val="20"/>
          <w:szCs w:val="20"/>
          <w:lang w:val="en-ZA" w:eastAsia="en-US"/>
        </w:rPr>
        <w:t>s</w:t>
      </w:r>
      <w:r w:rsidR="00D5140E" w:rsidRPr="00796C7C">
        <w:rPr>
          <w:rFonts w:eastAsiaTheme="minorHAnsi" w:cs="Arial"/>
          <w:spacing w:val="0"/>
          <w:sz w:val="20"/>
          <w:szCs w:val="20"/>
          <w:lang w:val="en-ZA" w:eastAsia="en-US"/>
        </w:rPr>
        <w:t xml:space="preserve"> to prevent payments to deceased</w:t>
      </w:r>
      <w:r w:rsidR="00CB0A2B" w:rsidRPr="00796C7C">
        <w:rPr>
          <w:rFonts w:eastAsiaTheme="minorHAnsi" w:cs="Arial"/>
          <w:spacing w:val="0"/>
          <w:sz w:val="20"/>
          <w:szCs w:val="20"/>
          <w:lang w:val="en-ZA" w:eastAsia="en-US"/>
        </w:rPr>
        <w:t xml:space="preserve"> people and those</w:t>
      </w:r>
      <w:r w:rsidR="00B771DA" w:rsidRPr="00796C7C">
        <w:rPr>
          <w:rFonts w:eastAsiaTheme="minorHAnsi" w:cs="Arial"/>
          <w:spacing w:val="0"/>
          <w:sz w:val="20"/>
          <w:szCs w:val="20"/>
          <w:lang w:val="en-ZA" w:eastAsia="en-US"/>
        </w:rPr>
        <w:t xml:space="preserve"> already</w:t>
      </w:r>
      <w:r w:rsidR="00CB0A2B" w:rsidRPr="00796C7C">
        <w:rPr>
          <w:rFonts w:eastAsiaTheme="minorHAnsi" w:cs="Arial"/>
          <w:spacing w:val="0"/>
          <w:sz w:val="20"/>
          <w:szCs w:val="20"/>
          <w:lang w:val="en-ZA" w:eastAsia="en-US"/>
        </w:rPr>
        <w:t xml:space="preserve"> in the employ of the state. Administratively, the Department has come a long way </w:t>
      </w:r>
      <w:r w:rsidR="00E1458D" w:rsidRPr="00796C7C">
        <w:rPr>
          <w:rFonts w:eastAsiaTheme="minorHAnsi" w:cs="Arial"/>
          <w:spacing w:val="0"/>
          <w:sz w:val="20"/>
          <w:szCs w:val="20"/>
          <w:lang w:val="en-ZA" w:eastAsia="en-US"/>
        </w:rPr>
        <w:t>in terms of</w:t>
      </w:r>
      <w:r w:rsidR="00EB6818" w:rsidRPr="00796C7C">
        <w:rPr>
          <w:rFonts w:eastAsiaTheme="minorHAnsi" w:cs="Arial"/>
          <w:spacing w:val="0"/>
          <w:sz w:val="20"/>
          <w:szCs w:val="20"/>
          <w:lang w:val="en-ZA" w:eastAsia="en-US"/>
        </w:rPr>
        <w:t xml:space="preserve"> rectifying problems in the CWP</w:t>
      </w:r>
      <w:r w:rsidR="00E1458D" w:rsidRPr="00796C7C">
        <w:rPr>
          <w:rFonts w:cs="Arial"/>
          <w:sz w:val="20"/>
          <w:szCs w:val="20"/>
        </w:rPr>
        <w:t xml:space="preserve">. However, this corrective </w:t>
      </w:r>
      <w:r w:rsidR="009A5754" w:rsidRPr="00796C7C">
        <w:rPr>
          <w:rFonts w:cs="Arial"/>
          <w:sz w:val="20"/>
          <w:szCs w:val="20"/>
        </w:rPr>
        <w:t>action has</w:t>
      </w:r>
      <w:r w:rsidR="00EB6818" w:rsidRPr="00796C7C">
        <w:rPr>
          <w:rFonts w:cs="Arial"/>
          <w:sz w:val="20"/>
          <w:szCs w:val="20"/>
        </w:rPr>
        <w:t xml:space="preserve"> not</w:t>
      </w:r>
      <w:r w:rsidR="009A5754" w:rsidRPr="00796C7C">
        <w:rPr>
          <w:rFonts w:cs="Arial"/>
          <w:sz w:val="20"/>
          <w:szCs w:val="20"/>
        </w:rPr>
        <w:t xml:space="preserve"> removed all imperfections</w:t>
      </w:r>
      <w:r w:rsidR="00881004" w:rsidRPr="00796C7C">
        <w:rPr>
          <w:rFonts w:cs="Arial"/>
          <w:sz w:val="20"/>
          <w:szCs w:val="20"/>
        </w:rPr>
        <w:t>. The main outstanding issues</w:t>
      </w:r>
      <w:r w:rsidR="009A5754" w:rsidRPr="00796C7C">
        <w:rPr>
          <w:rFonts w:cs="Arial"/>
          <w:sz w:val="20"/>
          <w:szCs w:val="20"/>
        </w:rPr>
        <w:t xml:space="preserve"> are historical in nature. The CWP’s impact on the broader community, and whether it actually empowers people to do useful work, are issues that must</w:t>
      </w:r>
      <w:r w:rsidR="002670E5" w:rsidRPr="00796C7C">
        <w:rPr>
          <w:rFonts w:cs="Arial"/>
          <w:sz w:val="20"/>
          <w:szCs w:val="20"/>
        </w:rPr>
        <w:t xml:space="preserve"> be</w:t>
      </w:r>
      <w:r w:rsidR="009A5754" w:rsidRPr="00796C7C">
        <w:rPr>
          <w:rFonts w:cs="Arial"/>
          <w:sz w:val="20"/>
          <w:szCs w:val="20"/>
        </w:rPr>
        <w:t xml:space="preserve"> interrogated further.</w:t>
      </w:r>
      <w:r w:rsidR="00BA75BB" w:rsidRPr="00796C7C">
        <w:rPr>
          <w:rFonts w:cs="Arial"/>
          <w:sz w:val="20"/>
          <w:szCs w:val="20"/>
        </w:rPr>
        <w:t xml:space="preserve"> The AG however has also identified potential irregularities in the process of appointing the latest </w:t>
      </w:r>
      <w:r w:rsidR="00774290" w:rsidRPr="00796C7C">
        <w:rPr>
          <w:rFonts w:cs="Arial"/>
          <w:sz w:val="20"/>
          <w:szCs w:val="20"/>
        </w:rPr>
        <w:t xml:space="preserve">cohort of </w:t>
      </w:r>
      <w:r w:rsidR="00BA75BB" w:rsidRPr="00796C7C">
        <w:rPr>
          <w:rFonts w:cs="Arial"/>
          <w:sz w:val="20"/>
          <w:szCs w:val="20"/>
        </w:rPr>
        <w:t>IAs. The Department is disputing these potential irregularities and National Treasury will be adjudicating</w:t>
      </w:r>
      <w:r w:rsidR="00774290" w:rsidRPr="00796C7C">
        <w:rPr>
          <w:rFonts w:cs="Arial"/>
          <w:sz w:val="20"/>
          <w:szCs w:val="20"/>
        </w:rPr>
        <w:t xml:space="preserve"> on</w:t>
      </w:r>
      <w:r w:rsidR="00BA75BB" w:rsidRPr="00796C7C">
        <w:rPr>
          <w:rFonts w:cs="Arial"/>
          <w:sz w:val="20"/>
          <w:szCs w:val="20"/>
        </w:rPr>
        <w:t xml:space="preserve"> the matter.</w:t>
      </w:r>
    </w:p>
    <w:p w:rsidR="007F4B06" w:rsidRPr="00796C7C" w:rsidRDefault="007F4B06" w:rsidP="00796C7C">
      <w:pPr>
        <w:spacing w:line="240" w:lineRule="auto"/>
        <w:rPr>
          <w:rFonts w:cs="Arial"/>
          <w:b/>
          <w:color w:val="538135"/>
          <w:sz w:val="20"/>
          <w:szCs w:val="20"/>
        </w:rPr>
      </w:pPr>
    </w:p>
    <w:p w:rsidR="00297F40" w:rsidRPr="00796C7C" w:rsidRDefault="00950068"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DCoG has achieved 73 percent of its 2021-22 APP targets. While this is an improvement from the 68 percent achieved in 2020-21, it is still the lowest achievement rate in the entire COGTA portfolio of auditees. The Auditor-General has also raised the concern that the majority of the Department’s performance indicators were changed in the course of the financial year. Although the Minister tabled in Parliament a letter dated 28 October 2021, informing the Speaker about the revision and re-tabling of the Department’s 2021-22 APP, the AG maintains that poor planning problems are identified after tabling the initial APP, which is a concern</w:t>
      </w:r>
      <w:r w:rsidR="00FD41F6" w:rsidRPr="00796C7C">
        <w:rPr>
          <w:rFonts w:cs="Arial"/>
          <w:sz w:val="20"/>
          <w:szCs w:val="20"/>
        </w:rPr>
        <w:t xml:space="preserve"> to the Office</w:t>
      </w:r>
      <w:r w:rsidRPr="00796C7C">
        <w:rPr>
          <w:rFonts w:cs="Arial"/>
          <w:sz w:val="20"/>
          <w:szCs w:val="20"/>
        </w:rPr>
        <w:t xml:space="preserve">. </w:t>
      </w:r>
    </w:p>
    <w:p w:rsidR="00297F40" w:rsidRPr="00796C7C" w:rsidRDefault="00297F40" w:rsidP="00796C7C">
      <w:pPr>
        <w:pStyle w:val="ListParagraph"/>
        <w:spacing w:line="240" w:lineRule="auto"/>
        <w:rPr>
          <w:rFonts w:cs="Arial"/>
          <w:sz w:val="20"/>
          <w:szCs w:val="20"/>
        </w:rPr>
      </w:pPr>
    </w:p>
    <w:p w:rsidR="00F07BC2" w:rsidRPr="00796C7C" w:rsidRDefault="005B3B92"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Among the examples flagged by the AG is the tabling of the Monitoring, Support and Interventions Management Bill, which was originally due on 31 March 2022, but later extended on several occasions.</w:t>
      </w:r>
      <w:r w:rsidR="00D07940" w:rsidRPr="00796C7C">
        <w:rPr>
          <w:rFonts w:cs="Arial"/>
          <w:sz w:val="20"/>
          <w:szCs w:val="20"/>
        </w:rPr>
        <w:t xml:space="preserve"> </w:t>
      </w:r>
      <w:r w:rsidR="00DA550F" w:rsidRPr="00796C7C">
        <w:rPr>
          <w:rFonts w:cs="Arial"/>
          <w:sz w:val="20"/>
          <w:szCs w:val="20"/>
        </w:rPr>
        <w:t>Gaps were</w:t>
      </w:r>
      <w:r w:rsidR="00A7773B" w:rsidRPr="00796C7C">
        <w:rPr>
          <w:rFonts w:cs="Arial"/>
          <w:sz w:val="20"/>
          <w:szCs w:val="20"/>
        </w:rPr>
        <w:t xml:space="preserve"> also</w:t>
      </w:r>
      <w:r w:rsidR="00DA550F" w:rsidRPr="00796C7C">
        <w:rPr>
          <w:rFonts w:cs="Arial"/>
          <w:sz w:val="20"/>
          <w:szCs w:val="20"/>
        </w:rPr>
        <w:t xml:space="preserve"> identified in relation to the Department’s Section 139 improvement plans on the basis that the same municipalities require interventions, but are not improving</w:t>
      </w:r>
      <w:r w:rsidR="002A68FB" w:rsidRPr="00796C7C">
        <w:rPr>
          <w:rFonts w:cs="Arial"/>
          <w:sz w:val="20"/>
          <w:szCs w:val="20"/>
        </w:rPr>
        <w:t xml:space="preserve">. </w:t>
      </w:r>
      <w:r w:rsidR="00496A66" w:rsidRPr="00796C7C">
        <w:rPr>
          <w:rFonts w:cs="Arial"/>
          <w:sz w:val="20"/>
          <w:szCs w:val="20"/>
        </w:rPr>
        <w:t>Across the APPs in the COGTA Portfolio</w:t>
      </w:r>
      <w:r w:rsidR="00CF45FB" w:rsidRPr="00796C7C">
        <w:rPr>
          <w:rFonts w:cs="Arial"/>
          <w:sz w:val="20"/>
          <w:szCs w:val="20"/>
        </w:rPr>
        <w:t>, similar ini</w:t>
      </w:r>
      <w:r w:rsidR="00963E8E" w:rsidRPr="00796C7C">
        <w:rPr>
          <w:rFonts w:cs="Arial"/>
          <w:sz w:val="20"/>
          <w:szCs w:val="20"/>
        </w:rPr>
        <w:t>tiatives are being implemented</w:t>
      </w:r>
      <w:r w:rsidR="00496A66" w:rsidRPr="00796C7C">
        <w:rPr>
          <w:rFonts w:cs="Arial"/>
          <w:sz w:val="20"/>
          <w:szCs w:val="20"/>
        </w:rPr>
        <w:t xml:space="preserve"> and this makes it difficult to attribute impact to the actions of a specific auditee. The nature of the Department’s</w:t>
      </w:r>
      <w:r w:rsidR="00297F40" w:rsidRPr="00796C7C">
        <w:rPr>
          <w:rFonts w:cs="Arial"/>
          <w:sz w:val="20"/>
          <w:szCs w:val="20"/>
        </w:rPr>
        <w:t xml:space="preserve"> </w:t>
      </w:r>
      <w:r w:rsidR="00496A66" w:rsidRPr="00796C7C">
        <w:rPr>
          <w:rFonts w:cs="Arial"/>
          <w:sz w:val="20"/>
          <w:szCs w:val="20"/>
        </w:rPr>
        <w:t>‘</w:t>
      </w:r>
      <w:r w:rsidR="00297F40" w:rsidRPr="00796C7C">
        <w:rPr>
          <w:rFonts w:cs="Arial"/>
          <w:sz w:val="20"/>
          <w:szCs w:val="20"/>
        </w:rPr>
        <w:t>support</w:t>
      </w:r>
      <w:r w:rsidR="00496A66" w:rsidRPr="00796C7C">
        <w:rPr>
          <w:rFonts w:cs="Arial"/>
          <w:sz w:val="20"/>
          <w:szCs w:val="20"/>
        </w:rPr>
        <w:t>’ and interventions</w:t>
      </w:r>
      <w:r w:rsidR="00A7773B" w:rsidRPr="00796C7C">
        <w:rPr>
          <w:rFonts w:cs="Arial"/>
          <w:sz w:val="20"/>
          <w:szCs w:val="20"/>
        </w:rPr>
        <w:t xml:space="preserve"> are not</w:t>
      </w:r>
      <w:r w:rsidR="00297F40" w:rsidRPr="00796C7C">
        <w:rPr>
          <w:rFonts w:cs="Arial"/>
          <w:sz w:val="20"/>
          <w:szCs w:val="20"/>
        </w:rPr>
        <w:t xml:space="preserve"> clearly define</w:t>
      </w:r>
      <w:r w:rsidR="001766BA" w:rsidRPr="00796C7C">
        <w:rPr>
          <w:rFonts w:cs="Arial"/>
          <w:sz w:val="20"/>
          <w:szCs w:val="20"/>
        </w:rPr>
        <w:t>d</w:t>
      </w:r>
      <w:r w:rsidR="00496A66" w:rsidRPr="00796C7C">
        <w:rPr>
          <w:rFonts w:cs="Arial"/>
          <w:sz w:val="20"/>
          <w:szCs w:val="20"/>
        </w:rPr>
        <w:t>.</w:t>
      </w:r>
    </w:p>
    <w:p w:rsidR="007B1BF4" w:rsidRPr="00796C7C" w:rsidRDefault="007B1BF4" w:rsidP="00796C7C">
      <w:pPr>
        <w:spacing w:line="240" w:lineRule="auto"/>
        <w:ind w:left="-6"/>
        <w:rPr>
          <w:rFonts w:cs="Arial"/>
          <w:b/>
          <w:color w:val="538135"/>
          <w:sz w:val="20"/>
          <w:szCs w:val="20"/>
        </w:rPr>
      </w:pPr>
    </w:p>
    <w:p w:rsidR="00B3252A" w:rsidRPr="00796C7C" w:rsidRDefault="00B3252A" w:rsidP="00796C7C">
      <w:pPr>
        <w:pStyle w:val="ListParagraph"/>
        <w:numPr>
          <w:ilvl w:val="0"/>
          <w:numId w:val="17"/>
        </w:numPr>
        <w:spacing w:line="240" w:lineRule="auto"/>
        <w:rPr>
          <w:rFonts w:cs="Arial"/>
          <w:b/>
          <w:color w:val="auto"/>
          <w:sz w:val="20"/>
          <w:szCs w:val="20"/>
        </w:rPr>
      </w:pPr>
      <w:r w:rsidRPr="00796C7C">
        <w:rPr>
          <w:rFonts w:cs="Arial"/>
          <w:b/>
          <w:color w:val="auto"/>
          <w:sz w:val="20"/>
          <w:szCs w:val="20"/>
        </w:rPr>
        <w:t>MUNICIPAL INFRASTRUCTURE SUPPORT AGENT</w:t>
      </w:r>
    </w:p>
    <w:p w:rsidR="00703E41" w:rsidRPr="00796C7C" w:rsidRDefault="00703E41" w:rsidP="00796C7C">
      <w:pPr>
        <w:pStyle w:val="ListParagraph"/>
        <w:spacing w:line="240" w:lineRule="auto"/>
        <w:ind w:left="360"/>
        <w:rPr>
          <w:rFonts w:cs="Arial"/>
          <w:b/>
          <w:color w:val="538135"/>
          <w:sz w:val="20"/>
          <w:szCs w:val="20"/>
        </w:rPr>
      </w:pPr>
    </w:p>
    <w:p w:rsidR="00703E41" w:rsidRPr="00796C7C" w:rsidRDefault="00703E41"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MISA has improved from an achievement rate of 81 percent in 2020-21 to 91 percent in 2021-22. H</w:t>
      </w:r>
      <w:r w:rsidR="00783FBC" w:rsidRPr="00796C7C">
        <w:rPr>
          <w:rFonts w:cs="Arial"/>
          <w:sz w:val="20"/>
          <w:szCs w:val="20"/>
        </w:rPr>
        <w:t xml:space="preserve">owever, </w:t>
      </w:r>
      <w:r w:rsidRPr="00796C7C">
        <w:rPr>
          <w:rFonts w:cs="Arial"/>
          <w:sz w:val="20"/>
          <w:szCs w:val="20"/>
        </w:rPr>
        <w:t xml:space="preserve">the majority of the entity’s indicators refer to ‘support’ that has been provided to municipalities without the ‘support’ being clearly defined as to what activities have been undertaken to ensure that the municipalities in question are supported. </w:t>
      </w:r>
      <w:r w:rsidR="00DC7EEE" w:rsidRPr="00796C7C">
        <w:rPr>
          <w:rFonts w:cs="Arial"/>
          <w:sz w:val="20"/>
          <w:szCs w:val="20"/>
        </w:rPr>
        <w:t>Although the Entity has not incurred any</w:t>
      </w:r>
      <w:r w:rsidR="00F36C44" w:rsidRPr="00796C7C">
        <w:rPr>
          <w:rFonts w:cs="Arial"/>
          <w:sz w:val="20"/>
          <w:szCs w:val="20"/>
        </w:rPr>
        <w:t xml:space="preserve"> irregular and</w:t>
      </w:r>
      <w:r w:rsidR="00DC7EEE" w:rsidRPr="00796C7C">
        <w:rPr>
          <w:rFonts w:cs="Arial"/>
          <w:sz w:val="20"/>
          <w:szCs w:val="20"/>
        </w:rPr>
        <w:t xml:space="preserve"> fruitless and wasteful expenditure during the year under review, there is still an unresolved balance of R528</w:t>
      </w:r>
      <w:r w:rsidR="00F36C44" w:rsidRPr="00796C7C">
        <w:rPr>
          <w:rFonts w:cs="Arial"/>
          <w:sz w:val="20"/>
          <w:szCs w:val="20"/>
        </w:rPr>
        <w:t> </w:t>
      </w:r>
      <w:r w:rsidR="00DC7EEE" w:rsidRPr="00796C7C">
        <w:rPr>
          <w:rFonts w:cs="Arial"/>
          <w:sz w:val="20"/>
          <w:szCs w:val="20"/>
        </w:rPr>
        <w:t>689</w:t>
      </w:r>
      <w:r w:rsidR="00F36C44" w:rsidRPr="00796C7C">
        <w:rPr>
          <w:rFonts w:cs="Arial"/>
          <w:sz w:val="20"/>
          <w:szCs w:val="20"/>
        </w:rPr>
        <w:t xml:space="preserve"> in fruitless and wasteful expenditure</w:t>
      </w:r>
      <w:r w:rsidR="00DC7EEE" w:rsidRPr="00796C7C">
        <w:rPr>
          <w:rFonts w:cs="Arial"/>
          <w:sz w:val="20"/>
          <w:szCs w:val="20"/>
        </w:rPr>
        <w:t xml:space="preserve"> emanating from prior years.</w:t>
      </w:r>
    </w:p>
    <w:p w:rsidR="00703E41" w:rsidRPr="00796C7C" w:rsidRDefault="00703E41" w:rsidP="00796C7C">
      <w:pPr>
        <w:pStyle w:val="ListParagraph"/>
        <w:spacing w:line="240" w:lineRule="auto"/>
        <w:ind w:left="792"/>
        <w:rPr>
          <w:rFonts w:cs="Arial"/>
          <w:b/>
          <w:color w:val="538135"/>
          <w:sz w:val="20"/>
          <w:szCs w:val="20"/>
        </w:rPr>
      </w:pPr>
    </w:p>
    <w:p w:rsidR="00B3252A" w:rsidRPr="00796C7C" w:rsidRDefault="00B3252A" w:rsidP="00796C7C">
      <w:pPr>
        <w:pStyle w:val="ListParagraph"/>
        <w:numPr>
          <w:ilvl w:val="0"/>
          <w:numId w:val="17"/>
        </w:numPr>
        <w:spacing w:line="240" w:lineRule="auto"/>
        <w:rPr>
          <w:rFonts w:cs="Arial"/>
          <w:b/>
          <w:color w:val="auto"/>
          <w:sz w:val="20"/>
          <w:szCs w:val="20"/>
        </w:rPr>
      </w:pPr>
      <w:r w:rsidRPr="00796C7C">
        <w:rPr>
          <w:rFonts w:cs="Arial"/>
          <w:b/>
          <w:color w:val="auto"/>
          <w:sz w:val="20"/>
          <w:szCs w:val="20"/>
        </w:rPr>
        <w:t>DEPARTMENT OF TRADITIONAL AFFAIRS</w:t>
      </w:r>
    </w:p>
    <w:p w:rsidR="00F2554C" w:rsidRPr="00796C7C" w:rsidRDefault="00F2554C" w:rsidP="00796C7C">
      <w:pPr>
        <w:pStyle w:val="ListParagraph"/>
        <w:spacing w:line="240" w:lineRule="auto"/>
        <w:ind w:left="360"/>
        <w:rPr>
          <w:rFonts w:cs="Arial"/>
          <w:b/>
          <w:color w:val="538135"/>
          <w:sz w:val="20"/>
          <w:szCs w:val="20"/>
        </w:rPr>
      </w:pPr>
    </w:p>
    <w:p w:rsidR="00F2554C" w:rsidRPr="00796C7C" w:rsidRDefault="00F2554C"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Regarding service delivery performance against the 2021-22 APP targets, Traditional Affairs is the only auditee</w:t>
      </w:r>
      <w:r w:rsidR="006A18B8" w:rsidRPr="00796C7C">
        <w:rPr>
          <w:rFonts w:cs="Arial"/>
          <w:sz w:val="20"/>
          <w:szCs w:val="20"/>
        </w:rPr>
        <w:t xml:space="preserve"> in the entire COGTA Portfolio</w:t>
      </w:r>
      <w:r w:rsidRPr="00796C7C">
        <w:rPr>
          <w:rFonts w:cs="Arial"/>
          <w:sz w:val="20"/>
          <w:szCs w:val="20"/>
        </w:rPr>
        <w:t xml:space="preserve"> that has achieved 100 percent of the targets set. This sustains the Department’s previous financial year’s performance. Although the Department incurred no unauthorised expenditur</w:t>
      </w:r>
      <w:r w:rsidR="006043B8" w:rsidRPr="00796C7C">
        <w:rPr>
          <w:rFonts w:cs="Arial"/>
          <w:sz w:val="20"/>
          <w:szCs w:val="20"/>
        </w:rPr>
        <w:t xml:space="preserve">e during the year under review, </w:t>
      </w:r>
      <w:r w:rsidR="00BB139C" w:rsidRPr="00796C7C">
        <w:rPr>
          <w:rFonts w:cs="Arial"/>
          <w:sz w:val="20"/>
          <w:szCs w:val="20"/>
        </w:rPr>
        <w:t xml:space="preserve">there is still an unresolved amount of R2.2m </w:t>
      </w:r>
      <w:r w:rsidR="00CB59AB" w:rsidRPr="00796C7C">
        <w:rPr>
          <w:rFonts w:cs="Arial"/>
          <w:sz w:val="20"/>
          <w:szCs w:val="20"/>
        </w:rPr>
        <w:t xml:space="preserve">emanating from prior years. </w:t>
      </w:r>
    </w:p>
    <w:p w:rsidR="00F2554C" w:rsidRPr="00796C7C" w:rsidRDefault="00F2554C" w:rsidP="00796C7C">
      <w:pPr>
        <w:pStyle w:val="ListParagraph"/>
        <w:spacing w:line="240" w:lineRule="auto"/>
        <w:ind w:left="426"/>
        <w:rPr>
          <w:rFonts w:cs="Arial"/>
          <w:b/>
          <w:color w:val="538135"/>
          <w:sz w:val="20"/>
          <w:szCs w:val="20"/>
        </w:rPr>
      </w:pPr>
    </w:p>
    <w:p w:rsidR="00F02193" w:rsidRPr="00796C7C" w:rsidRDefault="00F02193" w:rsidP="00796C7C">
      <w:pPr>
        <w:pStyle w:val="ListParagraph"/>
        <w:spacing w:line="240" w:lineRule="auto"/>
        <w:ind w:left="426"/>
        <w:rPr>
          <w:rFonts w:cs="Arial"/>
          <w:b/>
          <w:color w:val="538135"/>
          <w:sz w:val="20"/>
          <w:szCs w:val="20"/>
        </w:rPr>
      </w:pPr>
    </w:p>
    <w:p w:rsidR="00F02193" w:rsidRPr="00796C7C" w:rsidRDefault="00F02193" w:rsidP="00796C7C">
      <w:pPr>
        <w:pStyle w:val="ListParagraph"/>
        <w:spacing w:line="240" w:lineRule="auto"/>
        <w:ind w:left="426"/>
        <w:rPr>
          <w:rFonts w:cs="Arial"/>
          <w:b/>
          <w:color w:val="538135"/>
          <w:sz w:val="20"/>
          <w:szCs w:val="20"/>
        </w:rPr>
      </w:pPr>
    </w:p>
    <w:p w:rsidR="00F02193" w:rsidRPr="00796C7C" w:rsidRDefault="00F02193" w:rsidP="00796C7C">
      <w:pPr>
        <w:pStyle w:val="ListParagraph"/>
        <w:spacing w:line="240" w:lineRule="auto"/>
        <w:ind w:left="426"/>
        <w:rPr>
          <w:rFonts w:cs="Arial"/>
          <w:b/>
          <w:color w:val="538135"/>
          <w:sz w:val="20"/>
          <w:szCs w:val="20"/>
        </w:rPr>
      </w:pPr>
    </w:p>
    <w:p w:rsidR="00B3252A" w:rsidRPr="00796C7C" w:rsidRDefault="00B3252A" w:rsidP="00796C7C">
      <w:pPr>
        <w:pStyle w:val="ListParagraph"/>
        <w:numPr>
          <w:ilvl w:val="0"/>
          <w:numId w:val="17"/>
        </w:numPr>
        <w:spacing w:line="240" w:lineRule="auto"/>
        <w:rPr>
          <w:rFonts w:cs="Arial"/>
          <w:b/>
          <w:color w:val="auto"/>
          <w:sz w:val="20"/>
          <w:szCs w:val="20"/>
        </w:rPr>
      </w:pPr>
      <w:r w:rsidRPr="00796C7C">
        <w:rPr>
          <w:rFonts w:cs="Arial"/>
          <w:b/>
          <w:color w:val="auto"/>
          <w:sz w:val="20"/>
          <w:szCs w:val="20"/>
        </w:rPr>
        <w:t>CRL RIGHTS COMMISSION</w:t>
      </w:r>
    </w:p>
    <w:p w:rsidR="004C69AA" w:rsidRPr="00796C7C" w:rsidRDefault="004C69AA" w:rsidP="00796C7C">
      <w:pPr>
        <w:pStyle w:val="ListParagraph"/>
        <w:spacing w:line="240" w:lineRule="auto"/>
        <w:ind w:left="360"/>
        <w:rPr>
          <w:rFonts w:cs="Arial"/>
          <w:b/>
          <w:color w:val="538135"/>
          <w:sz w:val="20"/>
          <w:szCs w:val="20"/>
        </w:rPr>
      </w:pPr>
    </w:p>
    <w:p w:rsidR="004C69AA" w:rsidRPr="00796C7C" w:rsidRDefault="004C69AA"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The CRL Rights Commission’s 82 percent achievement of pre-determined service delivery ob</w:t>
      </w:r>
      <w:r w:rsidR="006A18B8" w:rsidRPr="00796C7C">
        <w:rPr>
          <w:rFonts w:cs="Arial"/>
          <w:sz w:val="20"/>
          <w:szCs w:val="20"/>
        </w:rPr>
        <w:t>jectives has</w:t>
      </w:r>
      <w:r w:rsidRPr="00796C7C">
        <w:rPr>
          <w:rFonts w:cs="Arial"/>
          <w:sz w:val="20"/>
          <w:szCs w:val="20"/>
        </w:rPr>
        <w:t xml:space="preserve"> not changed significantly from the previous financial year where the Commission achieved 81 percent. The administration and the legal services and conflict resolution programmes account for all the non-achieved targets. Although no irregular and fruitless and wasteful expenditure has been incurred during the year under review, there is still a closing balance of R11.9m relating to irregular expenditure incurred in the prior years. There is also a closing balance of R1.6m relating to fruitless and wasteful expenditure incurred in the prior years.</w:t>
      </w:r>
      <w:r w:rsidR="00312A2B" w:rsidRPr="00796C7C">
        <w:rPr>
          <w:rFonts w:cs="Arial"/>
          <w:sz w:val="20"/>
          <w:szCs w:val="20"/>
        </w:rPr>
        <w:t xml:space="preserve"> </w:t>
      </w:r>
    </w:p>
    <w:p w:rsidR="004C69AA" w:rsidRPr="00796C7C" w:rsidRDefault="004C69AA" w:rsidP="00796C7C">
      <w:pPr>
        <w:pStyle w:val="ListParagraph"/>
        <w:spacing w:line="240" w:lineRule="auto"/>
        <w:ind w:left="792"/>
        <w:rPr>
          <w:rFonts w:cs="Arial"/>
          <w:b/>
          <w:color w:val="538135"/>
          <w:sz w:val="20"/>
          <w:szCs w:val="20"/>
        </w:rPr>
      </w:pPr>
    </w:p>
    <w:p w:rsidR="00B3252A" w:rsidRPr="00796C7C" w:rsidRDefault="00B3252A" w:rsidP="00796C7C">
      <w:pPr>
        <w:pStyle w:val="ListParagraph"/>
        <w:numPr>
          <w:ilvl w:val="0"/>
          <w:numId w:val="17"/>
        </w:numPr>
        <w:spacing w:line="240" w:lineRule="auto"/>
        <w:rPr>
          <w:rFonts w:cs="Arial"/>
          <w:b/>
          <w:color w:val="auto"/>
          <w:sz w:val="20"/>
          <w:szCs w:val="20"/>
        </w:rPr>
      </w:pPr>
      <w:r w:rsidRPr="00796C7C">
        <w:rPr>
          <w:rFonts w:cs="Arial"/>
          <w:b/>
          <w:color w:val="auto"/>
          <w:sz w:val="20"/>
          <w:szCs w:val="20"/>
        </w:rPr>
        <w:t>MUNICIPAL DEMARCATION BOARD</w:t>
      </w:r>
    </w:p>
    <w:p w:rsidR="004C69AA" w:rsidRPr="00796C7C" w:rsidRDefault="004C69AA" w:rsidP="00796C7C">
      <w:pPr>
        <w:pStyle w:val="ListParagraph"/>
        <w:spacing w:line="240" w:lineRule="auto"/>
        <w:ind w:left="360"/>
        <w:rPr>
          <w:rFonts w:cs="Arial"/>
          <w:b/>
          <w:color w:val="538135"/>
          <w:sz w:val="20"/>
          <w:szCs w:val="20"/>
        </w:rPr>
      </w:pPr>
    </w:p>
    <w:p w:rsidR="004C69AA" w:rsidRPr="00796C7C" w:rsidRDefault="004C69AA" w:rsidP="00796C7C">
      <w:pPr>
        <w:pStyle w:val="ListParagraph"/>
        <w:numPr>
          <w:ilvl w:val="1"/>
          <w:numId w:val="17"/>
        </w:numPr>
        <w:spacing w:line="240" w:lineRule="auto"/>
        <w:ind w:left="426"/>
        <w:rPr>
          <w:rFonts w:cs="Arial"/>
          <w:sz w:val="20"/>
          <w:szCs w:val="20"/>
          <w:lang w:val="en-ZA"/>
        </w:rPr>
      </w:pPr>
      <w:r w:rsidRPr="00796C7C">
        <w:rPr>
          <w:rFonts w:cs="Arial"/>
          <w:sz w:val="20"/>
          <w:szCs w:val="20"/>
        </w:rPr>
        <w:t>The Mun</w:t>
      </w:r>
      <w:r w:rsidR="006A18B8" w:rsidRPr="00796C7C">
        <w:rPr>
          <w:rFonts w:cs="Arial"/>
          <w:sz w:val="20"/>
          <w:szCs w:val="20"/>
        </w:rPr>
        <w:t xml:space="preserve">icipal Demarcation Board’s </w:t>
      </w:r>
      <w:r w:rsidRPr="00796C7C">
        <w:rPr>
          <w:rFonts w:cs="Arial"/>
          <w:sz w:val="20"/>
          <w:szCs w:val="20"/>
        </w:rPr>
        <w:t xml:space="preserve">performance against pre-determined service delivery objectives amounts to 95 percent achievement </w:t>
      </w:r>
      <w:r w:rsidR="00A7773B" w:rsidRPr="00796C7C">
        <w:rPr>
          <w:rFonts w:cs="Arial"/>
          <w:sz w:val="20"/>
          <w:szCs w:val="20"/>
        </w:rPr>
        <w:t>of APP</w:t>
      </w:r>
      <w:r w:rsidRPr="00796C7C">
        <w:rPr>
          <w:rFonts w:cs="Arial"/>
          <w:sz w:val="20"/>
          <w:szCs w:val="20"/>
        </w:rPr>
        <w:t xml:space="preserve"> targets, which is a slight regression compared to the previous financial year</w:t>
      </w:r>
      <w:r w:rsidR="003010D6" w:rsidRPr="00796C7C">
        <w:rPr>
          <w:rFonts w:cs="Arial"/>
          <w:sz w:val="20"/>
          <w:szCs w:val="20"/>
        </w:rPr>
        <w:t>,</w:t>
      </w:r>
      <w:r w:rsidRPr="00796C7C">
        <w:rPr>
          <w:rFonts w:cs="Arial"/>
          <w:sz w:val="20"/>
          <w:szCs w:val="20"/>
        </w:rPr>
        <w:t xml:space="preserve"> where 100 percent of targets were achieved for the first </w:t>
      </w:r>
      <w:r w:rsidRPr="00796C7C">
        <w:rPr>
          <w:rFonts w:cs="Arial"/>
          <w:sz w:val="20"/>
          <w:szCs w:val="20"/>
        </w:rPr>
        <w:lastRenderedPageBreak/>
        <w:t>time in the MDB’s entire history. Spending on allocated budget has also regressed from 100 percent in 2020-21 to</w:t>
      </w:r>
      <w:r w:rsidR="00053072" w:rsidRPr="00796C7C">
        <w:rPr>
          <w:rFonts w:cs="Arial"/>
          <w:sz w:val="20"/>
          <w:szCs w:val="20"/>
        </w:rPr>
        <w:t xml:space="preserve"> 84.7 percent</w:t>
      </w:r>
      <w:r w:rsidRPr="00796C7C">
        <w:rPr>
          <w:rFonts w:cs="Arial"/>
          <w:sz w:val="20"/>
          <w:szCs w:val="20"/>
        </w:rPr>
        <w:t xml:space="preserve"> in 2021-22.</w:t>
      </w:r>
      <w:r w:rsidRPr="00796C7C">
        <w:rPr>
          <w:rFonts w:eastAsiaTheme="minorHAnsi" w:cs="Arial"/>
          <w:spacing w:val="0"/>
          <w:sz w:val="20"/>
          <w:szCs w:val="20"/>
          <w:lang w:val="en-ZA" w:eastAsia="en-US"/>
        </w:rPr>
        <w:t xml:space="preserve"> Besides the Department of Cooperative Governance, the Board was the only entity in the COGTA Portfolio that had incurred irregular expenditure to the value of R500 000 following the appointment of a service provider whose tax matters were not in order. This has increased from the R398 000 irregular expenditure incurred in the previous financial year. </w:t>
      </w:r>
      <w:r w:rsidR="004D0EE8" w:rsidRPr="00796C7C">
        <w:rPr>
          <w:rFonts w:eastAsiaTheme="minorHAnsi" w:cs="Arial"/>
          <w:spacing w:val="0"/>
          <w:sz w:val="20"/>
          <w:szCs w:val="20"/>
          <w:lang w:val="en-ZA" w:eastAsia="en-US"/>
        </w:rPr>
        <w:t>Although the Board incurred no fruitless and wasteful expenditure during the period under review, there remains an unresolved balance of R6.8m emanating from prior years.</w:t>
      </w:r>
    </w:p>
    <w:p w:rsidR="004C69AA" w:rsidRPr="00796C7C" w:rsidRDefault="004C69AA" w:rsidP="00796C7C">
      <w:pPr>
        <w:pStyle w:val="ListParagraph"/>
        <w:spacing w:line="240" w:lineRule="auto"/>
        <w:ind w:left="792"/>
        <w:rPr>
          <w:rFonts w:cs="Arial"/>
          <w:b/>
          <w:color w:val="538135"/>
          <w:sz w:val="20"/>
          <w:szCs w:val="20"/>
        </w:rPr>
      </w:pPr>
    </w:p>
    <w:p w:rsidR="00B3252A" w:rsidRPr="00796C7C" w:rsidRDefault="00B3252A" w:rsidP="00796C7C">
      <w:pPr>
        <w:pStyle w:val="ListParagraph"/>
        <w:numPr>
          <w:ilvl w:val="0"/>
          <w:numId w:val="17"/>
        </w:numPr>
        <w:spacing w:line="240" w:lineRule="auto"/>
        <w:rPr>
          <w:rFonts w:cs="Arial"/>
          <w:b/>
          <w:color w:val="auto"/>
          <w:sz w:val="20"/>
          <w:szCs w:val="20"/>
        </w:rPr>
      </w:pPr>
      <w:r w:rsidRPr="00796C7C">
        <w:rPr>
          <w:rFonts w:cs="Arial"/>
          <w:b/>
          <w:color w:val="auto"/>
          <w:sz w:val="20"/>
          <w:szCs w:val="20"/>
        </w:rPr>
        <w:t>SOUTH AFRICAN LOCAL GOVERNMENT ASSOCIATION</w:t>
      </w:r>
    </w:p>
    <w:p w:rsidR="006A18B8" w:rsidRPr="00796C7C" w:rsidRDefault="006A18B8" w:rsidP="00796C7C">
      <w:pPr>
        <w:spacing w:line="240" w:lineRule="auto"/>
        <w:rPr>
          <w:rFonts w:cs="Arial"/>
          <w:b/>
          <w:color w:val="538135"/>
          <w:sz w:val="20"/>
          <w:szCs w:val="20"/>
        </w:rPr>
      </w:pPr>
    </w:p>
    <w:p w:rsidR="006A18B8" w:rsidRPr="00796C7C" w:rsidRDefault="006A18B8"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 xml:space="preserve">The South African Local Government Association’s financial and service delivery performance during the period under review remains commendable. Over the last ten years, the entity has sustained its good financial governance, as seen in the achievement of a tenth consecutive clean audit. Achievement against predetermined objectives has also improved from 85 percent in 2020-21 to 92 percent or 57/62 in 2021-22. Some of the non-achieved targets were reportedly due to dependencies on other parties, which suggests some possible weaknesses in the target setting process. Fruitless and wasteful expenditure remains insignificant, although it has risen from R53 in 2020-21 to R4 732 in 2021-22. </w:t>
      </w:r>
    </w:p>
    <w:p w:rsidR="006A18B8" w:rsidRPr="00796C7C" w:rsidRDefault="006A18B8" w:rsidP="00796C7C">
      <w:pPr>
        <w:pStyle w:val="ListParagraph"/>
        <w:spacing w:line="240" w:lineRule="auto"/>
        <w:ind w:left="426"/>
        <w:rPr>
          <w:rFonts w:cs="Arial"/>
          <w:b/>
          <w:color w:val="538135"/>
          <w:sz w:val="20"/>
          <w:szCs w:val="20"/>
        </w:rPr>
      </w:pPr>
    </w:p>
    <w:p w:rsidR="006A18B8" w:rsidRPr="00796C7C" w:rsidRDefault="006A18B8"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 xml:space="preserve">The fruitless and wasteful expenditure relates to interest charged on unpaid SABC licenses that were sent to an employee that had long left the employment of SALGA, with no indication from the Service Provider that the e-mails are not getting through. Irregular expenditure on the other hand has reduced from R250 000 in 2020-21 to zero during the year under review. SALGA continues deriving 93 percent of its revenue from membership levies collected from the 257 member municipalities. The overall collection rate was 76 percent during the period under review, which is an improvement from 71 percent in 2020-21. The reliance on membership levies remains a strategic risk for SALGA, especially in the context of the country’s subdued economic climate. </w:t>
      </w:r>
    </w:p>
    <w:p w:rsidR="006A18B8" w:rsidRPr="00796C7C" w:rsidRDefault="006A18B8" w:rsidP="00796C7C">
      <w:pPr>
        <w:spacing w:line="240" w:lineRule="auto"/>
        <w:rPr>
          <w:rFonts w:cs="Arial"/>
          <w:b/>
          <w:color w:val="538135"/>
          <w:sz w:val="20"/>
          <w:szCs w:val="20"/>
        </w:rPr>
      </w:pPr>
    </w:p>
    <w:p w:rsidR="00AF2B7A" w:rsidRPr="00796C7C" w:rsidRDefault="00AF2B7A" w:rsidP="00796C7C">
      <w:pPr>
        <w:pStyle w:val="ListParagraph"/>
        <w:numPr>
          <w:ilvl w:val="0"/>
          <w:numId w:val="17"/>
        </w:numPr>
        <w:spacing w:line="240" w:lineRule="auto"/>
        <w:rPr>
          <w:rFonts w:cs="Arial"/>
          <w:b/>
          <w:color w:val="auto"/>
          <w:sz w:val="20"/>
          <w:szCs w:val="20"/>
        </w:rPr>
      </w:pPr>
      <w:r w:rsidRPr="00796C7C">
        <w:rPr>
          <w:rFonts w:cs="Arial"/>
          <w:b/>
          <w:color w:val="auto"/>
          <w:sz w:val="20"/>
          <w:szCs w:val="20"/>
        </w:rPr>
        <w:t>COMMITTEE OBSERVATIONS</w:t>
      </w:r>
    </w:p>
    <w:p w:rsidR="00EA656D" w:rsidRPr="00796C7C" w:rsidRDefault="00EA656D" w:rsidP="00796C7C">
      <w:pPr>
        <w:pStyle w:val="ListParagraph"/>
        <w:spacing w:line="240" w:lineRule="auto"/>
        <w:ind w:left="360"/>
        <w:rPr>
          <w:rFonts w:cs="Arial"/>
          <w:b/>
          <w:color w:val="538135"/>
          <w:sz w:val="20"/>
          <w:szCs w:val="20"/>
        </w:rPr>
      </w:pPr>
    </w:p>
    <w:p w:rsidR="00ED51BF" w:rsidRPr="00796C7C" w:rsidRDefault="00ED51BF" w:rsidP="00796C7C">
      <w:pPr>
        <w:pStyle w:val="ListParagraph"/>
        <w:numPr>
          <w:ilvl w:val="1"/>
          <w:numId w:val="17"/>
        </w:numPr>
        <w:spacing w:line="240" w:lineRule="auto"/>
        <w:ind w:left="426"/>
        <w:rPr>
          <w:rFonts w:cs="Arial"/>
          <w:b/>
          <w:color w:val="538135"/>
          <w:sz w:val="20"/>
          <w:szCs w:val="20"/>
        </w:rPr>
      </w:pPr>
      <w:r w:rsidRPr="00796C7C">
        <w:rPr>
          <w:rFonts w:eastAsiaTheme="minorHAnsi" w:cs="Arial"/>
          <w:spacing w:val="0"/>
          <w:sz w:val="20"/>
          <w:szCs w:val="20"/>
          <w:lang w:val="en-ZA" w:eastAsia="en-US"/>
        </w:rPr>
        <w:t xml:space="preserve">There is doubt as to whether the matters relating to the CWP in the Department of Cooperative Governance can be resolved as they appear to be intractable problems. There was no sense of comfort given as to whether the problems will be resolved by a certain deadline. The CWP remains a major concern for the Portfolio Committee. </w:t>
      </w:r>
      <w:r w:rsidR="005D415E" w:rsidRPr="00796C7C">
        <w:rPr>
          <w:rFonts w:eastAsiaTheme="minorHAnsi" w:cs="Arial"/>
          <w:spacing w:val="0"/>
          <w:sz w:val="20"/>
          <w:szCs w:val="20"/>
          <w:lang w:val="en-ZA" w:eastAsia="en-US"/>
        </w:rPr>
        <w:t>The Department needs to take decisive action to show the Implementing Agents that they cannot continue to do as they please. Failure should not be rewarded.</w:t>
      </w:r>
    </w:p>
    <w:p w:rsidR="00CF54E1" w:rsidRPr="00796C7C" w:rsidRDefault="00CF54E1" w:rsidP="00796C7C">
      <w:pPr>
        <w:pStyle w:val="ListParagraph"/>
        <w:spacing w:line="240" w:lineRule="auto"/>
        <w:ind w:left="426"/>
        <w:rPr>
          <w:rFonts w:cs="Arial"/>
          <w:b/>
          <w:color w:val="538135"/>
          <w:sz w:val="20"/>
          <w:szCs w:val="20"/>
        </w:rPr>
      </w:pPr>
    </w:p>
    <w:p w:rsidR="00CF54E1" w:rsidRPr="00796C7C" w:rsidRDefault="00CF54E1" w:rsidP="00796C7C">
      <w:pPr>
        <w:pStyle w:val="ListParagraph"/>
        <w:numPr>
          <w:ilvl w:val="1"/>
          <w:numId w:val="17"/>
        </w:numPr>
        <w:spacing w:line="240" w:lineRule="auto"/>
        <w:ind w:left="426"/>
        <w:rPr>
          <w:rFonts w:cs="Arial"/>
          <w:b/>
          <w:color w:val="538135"/>
          <w:sz w:val="20"/>
          <w:szCs w:val="20"/>
        </w:rPr>
      </w:pPr>
      <w:r w:rsidRPr="00796C7C">
        <w:rPr>
          <w:rFonts w:eastAsiaTheme="minorHAnsi" w:cs="Arial"/>
          <w:spacing w:val="0"/>
          <w:sz w:val="20"/>
          <w:szCs w:val="20"/>
          <w:lang w:val="en-ZA" w:eastAsia="en-US"/>
        </w:rPr>
        <w:t xml:space="preserve">While the Portfolio Committee notes the Department’s efforts to revise and remodel the CWP, </w:t>
      </w:r>
      <w:r w:rsidR="000B6077" w:rsidRPr="00796C7C">
        <w:rPr>
          <w:rFonts w:eastAsiaTheme="minorHAnsi" w:cs="Arial"/>
          <w:spacing w:val="0"/>
          <w:sz w:val="20"/>
          <w:szCs w:val="20"/>
          <w:lang w:val="en-ZA" w:eastAsia="en-US"/>
        </w:rPr>
        <w:t>it appears that this has neither produced any tangible outcomes nor made any significant difference to the end users. Th</w:t>
      </w:r>
      <w:r w:rsidR="00005FFC" w:rsidRPr="00796C7C">
        <w:rPr>
          <w:rFonts w:eastAsiaTheme="minorHAnsi" w:cs="Arial"/>
          <w:spacing w:val="0"/>
          <w:sz w:val="20"/>
          <w:szCs w:val="20"/>
          <w:lang w:val="en-ZA" w:eastAsia="en-US"/>
        </w:rPr>
        <w:t>e Implementing Agents are out of</w:t>
      </w:r>
      <w:r w:rsidR="000B6077" w:rsidRPr="00796C7C">
        <w:rPr>
          <w:rFonts w:eastAsiaTheme="minorHAnsi" w:cs="Arial"/>
          <w:spacing w:val="0"/>
          <w:sz w:val="20"/>
          <w:szCs w:val="20"/>
          <w:lang w:val="en-ZA" w:eastAsia="en-US"/>
        </w:rPr>
        <w:t xml:space="preserve"> touch with the people as they often reside away from where CWP work is taking place. </w:t>
      </w:r>
    </w:p>
    <w:p w:rsidR="000B6077" w:rsidRPr="00796C7C" w:rsidRDefault="000B6077" w:rsidP="00796C7C">
      <w:pPr>
        <w:pStyle w:val="ListParagraph"/>
        <w:spacing w:line="240" w:lineRule="auto"/>
        <w:rPr>
          <w:rFonts w:cs="Arial"/>
          <w:b/>
          <w:color w:val="538135"/>
          <w:sz w:val="20"/>
          <w:szCs w:val="20"/>
        </w:rPr>
      </w:pPr>
    </w:p>
    <w:p w:rsidR="000B6077" w:rsidRPr="00796C7C" w:rsidRDefault="000B6077" w:rsidP="00796C7C">
      <w:pPr>
        <w:pStyle w:val="ListParagraph"/>
        <w:numPr>
          <w:ilvl w:val="1"/>
          <w:numId w:val="17"/>
        </w:numPr>
        <w:spacing w:line="240" w:lineRule="auto"/>
        <w:ind w:left="426"/>
        <w:rPr>
          <w:rFonts w:cs="Arial"/>
          <w:b/>
          <w:color w:val="538135"/>
          <w:sz w:val="20"/>
          <w:szCs w:val="20"/>
        </w:rPr>
      </w:pPr>
      <w:r w:rsidRPr="00796C7C">
        <w:rPr>
          <w:rFonts w:eastAsiaTheme="minorHAnsi" w:cs="Arial"/>
          <w:spacing w:val="0"/>
          <w:sz w:val="20"/>
          <w:szCs w:val="20"/>
          <w:lang w:val="en-ZA" w:eastAsia="en-US"/>
        </w:rPr>
        <w:t>The Department of Cooperative Governance seems to be insufficientl</w:t>
      </w:r>
      <w:r w:rsidR="00F05518" w:rsidRPr="00796C7C">
        <w:rPr>
          <w:rFonts w:eastAsiaTheme="minorHAnsi" w:cs="Arial"/>
          <w:spacing w:val="0"/>
          <w:sz w:val="20"/>
          <w:szCs w:val="20"/>
          <w:lang w:val="en-ZA" w:eastAsia="en-US"/>
        </w:rPr>
        <w:t>y appreciative of the fact that, for some, the CWP is the only means of putting food on the table. Had sufficient cognisance been given to this, the late payment of stipends would not persist.</w:t>
      </w:r>
    </w:p>
    <w:p w:rsidR="00785D70" w:rsidRPr="00796C7C" w:rsidRDefault="00785D70" w:rsidP="00796C7C">
      <w:pPr>
        <w:pStyle w:val="ListParagraph"/>
        <w:spacing w:line="240" w:lineRule="auto"/>
        <w:ind w:left="426"/>
        <w:rPr>
          <w:rFonts w:cs="Arial"/>
          <w:b/>
          <w:color w:val="538135"/>
          <w:sz w:val="20"/>
          <w:szCs w:val="20"/>
        </w:rPr>
      </w:pPr>
    </w:p>
    <w:p w:rsidR="00785D70" w:rsidRPr="00796C7C" w:rsidRDefault="00785D70" w:rsidP="00796C7C">
      <w:pPr>
        <w:pStyle w:val="ListParagraph"/>
        <w:numPr>
          <w:ilvl w:val="1"/>
          <w:numId w:val="17"/>
        </w:numPr>
        <w:spacing w:line="240" w:lineRule="auto"/>
        <w:ind w:left="426"/>
        <w:rPr>
          <w:rFonts w:cs="Arial"/>
          <w:b/>
          <w:color w:val="538135"/>
          <w:sz w:val="20"/>
          <w:szCs w:val="20"/>
        </w:rPr>
      </w:pPr>
      <w:r w:rsidRPr="00796C7C">
        <w:rPr>
          <w:rFonts w:eastAsiaTheme="minorHAnsi" w:cs="Arial"/>
          <w:spacing w:val="0"/>
          <w:sz w:val="20"/>
          <w:szCs w:val="20"/>
          <w:lang w:val="en-ZA" w:eastAsia="en-US"/>
        </w:rPr>
        <w:t>It is not acceptable for the Minister to distance herself from the pr</w:t>
      </w:r>
      <w:r w:rsidR="003010D6" w:rsidRPr="00796C7C">
        <w:rPr>
          <w:rFonts w:eastAsiaTheme="minorHAnsi" w:cs="Arial"/>
          <w:spacing w:val="0"/>
          <w:sz w:val="20"/>
          <w:szCs w:val="20"/>
          <w:lang w:val="en-ZA" w:eastAsia="en-US"/>
        </w:rPr>
        <w:t xml:space="preserve">oblems of the CWP and plead </w:t>
      </w:r>
      <w:r w:rsidRPr="00796C7C">
        <w:rPr>
          <w:rFonts w:eastAsiaTheme="minorHAnsi" w:cs="Arial"/>
          <w:spacing w:val="0"/>
          <w:sz w:val="20"/>
          <w:szCs w:val="20"/>
          <w:lang w:val="en-ZA" w:eastAsia="en-US"/>
        </w:rPr>
        <w:t>non-involvement in the Programme’s Supply Chain Management processes</w:t>
      </w:r>
      <w:r w:rsidR="00CF54E1" w:rsidRPr="00796C7C">
        <w:rPr>
          <w:rFonts w:eastAsiaTheme="minorHAnsi" w:cs="Arial"/>
          <w:spacing w:val="0"/>
          <w:sz w:val="20"/>
          <w:szCs w:val="20"/>
          <w:lang w:val="en-ZA" w:eastAsia="en-US"/>
        </w:rPr>
        <w:t>. T</w:t>
      </w:r>
      <w:r w:rsidRPr="00796C7C">
        <w:rPr>
          <w:rFonts w:eastAsiaTheme="minorHAnsi" w:cs="Arial"/>
          <w:spacing w:val="0"/>
          <w:sz w:val="20"/>
          <w:szCs w:val="20"/>
          <w:lang w:val="en-ZA" w:eastAsia="en-US"/>
        </w:rPr>
        <w:t xml:space="preserve">he Minister is the Department’s political head, </w:t>
      </w:r>
      <w:r w:rsidR="00CF54E1" w:rsidRPr="00796C7C">
        <w:rPr>
          <w:rFonts w:eastAsiaTheme="minorHAnsi" w:cs="Arial"/>
          <w:spacing w:val="0"/>
          <w:sz w:val="20"/>
          <w:szCs w:val="20"/>
          <w:lang w:val="en-ZA" w:eastAsia="en-US"/>
        </w:rPr>
        <w:t>and any negative audit outcomes ultimately reflect unfavourably on her. The manner in which the Director-General habitually brushes over these CWP matters is also frustrating.</w:t>
      </w:r>
    </w:p>
    <w:p w:rsidR="002E4A9D" w:rsidRPr="00796C7C" w:rsidRDefault="002E4A9D" w:rsidP="00796C7C">
      <w:pPr>
        <w:pStyle w:val="ListParagraph"/>
        <w:spacing w:line="240" w:lineRule="auto"/>
        <w:rPr>
          <w:rFonts w:cs="Arial"/>
          <w:b/>
          <w:color w:val="538135"/>
          <w:sz w:val="20"/>
          <w:szCs w:val="20"/>
        </w:rPr>
      </w:pPr>
    </w:p>
    <w:p w:rsidR="002E4A9D" w:rsidRPr="00796C7C" w:rsidRDefault="001A159F"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The Portfolio Committee should no longer accept as permissible the excuse that consequence management could not be instituted because the responsible officials are no longer in the employ of the Department. There must be consequences for wrong-doin</w:t>
      </w:r>
      <w:r w:rsidR="000063D5" w:rsidRPr="00796C7C">
        <w:rPr>
          <w:rFonts w:cs="Arial"/>
          <w:sz w:val="20"/>
          <w:szCs w:val="20"/>
        </w:rPr>
        <w:t>g irrespective of whether or not the wrong-doer is in the employ of the Department.</w:t>
      </w:r>
    </w:p>
    <w:p w:rsidR="00ED51BF" w:rsidRPr="00796C7C" w:rsidRDefault="00ED51BF" w:rsidP="00796C7C">
      <w:pPr>
        <w:spacing w:line="240" w:lineRule="auto"/>
        <w:rPr>
          <w:rFonts w:cs="Arial"/>
          <w:b/>
          <w:color w:val="538135"/>
          <w:sz w:val="20"/>
          <w:szCs w:val="20"/>
        </w:rPr>
      </w:pPr>
    </w:p>
    <w:p w:rsidR="00CF3FA0" w:rsidRPr="00796C7C" w:rsidRDefault="00ED51BF" w:rsidP="00796C7C">
      <w:pPr>
        <w:pStyle w:val="ListParagraph"/>
        <w:numPr>
          <w:ilvl w:val="1"/>
          <w:numId w:val="17"/>
        </w:numPr>
        <w:spacing w:line="240" w:lineRule="auto"/>
        <w:ind w:left="426"/>
        <w:rPr>
          <w:rFonts w:cs="Arial"/>
          <w:b/>
          <w:color w:val="538135"/>
          <w:sz w:val="20"/>
          <w:szCs w:val="20"/>
        </w:rPr>
      </w:pPr>
      <w:r w:rsidRPr="00796C7C">
        <w:rPr>
          <w:rFonts w:eastAsiaTheme="minorHAnsi" w:cs="Arial"/>
          <w:spacing w:val="0"/>
          <w:sz w:val="20"/>
          <w:szCs w:val="20"/>
          <w:lang w:val="en-ZA" w:eastAsia="en-US"/>
        </w:rPr>
        <w:t xml:space="preserve">There is an apparent skills and capacity deficit at the level of the Department of Cooperative Governance. It is not clear what action is the Department’s executive authority </w:t>
      </w:r>
      <w:r w:rsidR="005D415E" w:rsidRPr="00796C7C">
        <w:rPr>
          <w:rFonts w:eastAsiaTheme="minorHAnsi" w:cs="Arial"/>
          <w:spacing w:val="0"/>
          <w:sz w:val="20"/>
          <w:szCs w:val="20"/>
          <w:lang w:val="en-ZA" w:eastAsia="en-US"/>
        </w:rPr>
        <w:t>undertaking to address this matter. It is not acceptable for the Minister to attribute the</w:t>
      </w:r>
      <w:r w:rsidR="000063D5" w:rsidRPr="00796C7C">
        <w:rPr>
          <w:rFonts w:eastAsiaTheme="minorHAnsi" w:cs="Arial"/>
          <w:spacing w:val="0"/>
          <w:sz w:val="20"/>
          <w:szCs w:val="20"/>
          <w:lang w:val="en-ZA" w:eastAsia="en-US"/>
        </w:rPr>
        <w:t xml:space="preserve"> Department’s</w:t>
      </w:r>
      <w:r w:rsidR="005D415E" w:rsidRPr="00796C7C">
        <w:rPr>
          <w:rFonts w:eastAsiaTheme="minorHAnsi" w:cs="Arial"/>
          <w:spacing w:val="0"/>
          <w:sz w:val="20"/>
          <w:szCs w:val="20"/>
          <w:lang w:val="en-ZA" w:eastAsia="en-US"/>
        </w:rPr>
        <w:t xml:space="preserve"> skills and capacity deficit solely to the position of the Chief Financial</w:t>
      </w:r>
      <w:r w:rsidR="000063D5" w:rsidRPr="00796C7C">
        <w:rPr>
          <w:rFonts w:eastAsiaTheme="minorHAnsi" w:cs="Arial"/>
          <w:spacing w:val="0"/>
          <w:sz w:val="20"/>
          <w:szCs w:val="20"/>
          <w:lang w:val="en-ZA" w:eastAsia="en-US"/>
        </w:rPr>
        <w:t xml:space="preserve"> Officer that needs to be brought up to</w:t>
      </w:r>
      <w:r w:rsidR="005D415E" w:rsidRPr="00796C7C">
        <w:rPr>
          <w:rFonts w:eastAsiaTheme="minorHAnsi" w:cs="Arial"/>
          <w:spacing w:val="0"/>
          <w:sz w:val="20"/>
          <w:szCs w:val="20"/>
          <w:lang w:val="en-ZA" w:eastAsia="en-US"/>
        </w:rPr>
        <w:t xml:space="preserve"> the Deputy Director-General level.</w:t>
      </w:r>
      <w:r w:rsidR="00785D70" w:rsidRPr="00796C7C">
        <w:rPr>
          <w:rFonts w:eastAsiaTheme="minorHAnsi" w:cs="Arial"/>
          <w:spacing w:val="0"/>
          <w:sz w:val="20"/>
          <w:szCs w:val="20"/>
          <w:lang w:val="en-ZA" w:eastAsia="en-US"/>
        </w:rPr>
        <w:t xml:space="preserve"> If the skills and capacity deficit cannot be address</w:t>
      </w:r>
      <w:r w:rsidR="00CF54E1" w:rsidRPr="00796C7C">
        <w:rPr>
          <w:rFonts w:eastAsiaTheme="minorHAnsi" w:cs="Arial"/>
          <w:spacing w:val="0"/>
          <w:sz w:val="20"/>
          <w:szCs w:val="20"/>
          <w:lang w:val="en-ZA" w:eastAsia="en-US"/>
        </w:rPr>
        <w:t>ed</w:t>
      </w:r>
      <w:r w:rsidR="00785D70" w:rsidRPr="00796C7C">
        <w:rPr>
          <w:rFonts w:eastAsiaTheme="minorHAnsi" w:cs="Arial"/>
          <w:spacing w:val="0"/>
          <w:sz w:val="20"/>
          <w:szCs w:val="20"/>
          <w:lang w:val="en-ZA" w:eastAsia="en-US"/>
        </w:rPr>
        <w:t xml:space="preserve"> properly at the departmental level, there is</w:t>
      </w:r>
      <w:r w:rsidR="000063D5" w:rsidRPr="00796C7C">
        <w:rPr>
          <w:rFonts w:eastAsiaTheme="minorHAnsi" w:cs="Arial"/>
          <w:spacing w:val="0"/>
          <w:sz w:val="20"/>
          <w:szCs w:val="20"/>
          <w:lang w:val="en-ZA" w:eastAsia="en-US"/>
        </w:rPr>
        <w:t xml:space="preserve"> very</w:t>
      </w:r>
      <w:r w:rsidR="00785D70" w:rsidRPr="00796C7C">
        <w:rPr>
          <w:rFonts w:eastAsiaTheme="minorHAnsi" w:cs="Arial"/>
          <w:spacing w:val="0"/>
          <w:sz w:val="20"/>
          <w:szCs w:val="20"/>
          <w:lang w:val="en-ZA" w:eastAsia="en-US"/>
        </w:rPr>
        <w:t xml:space="preserve"> </w:t>
      </w:r>
      <w:r w:rsidR="00A56534" w:rsidRPr="00796C7C">
        <w:rPr>
          <w:rFonts w:eastAsiaTheme="minorHAnsi" w:cs="Arial"/>
          <w:spacing w:val="0"/>
          <w:sz w:val="20"/>
          <w:szCs w:val="20"/>
          <w:lang w:val="en-ZA" w:eastAsia="en-US"/>
        </w:rPr>
        <w:t>little hope that municipalities</w:t>
      </w:r>
      <w:r w:rsidR="000063D5" w:rsidRPr="00796C7C">
        <w:rPr>
          <w:rFonts w:eastAsiaTheme="minorHAnsi" w:cs="Arial"/>
          <w:spacing w:val="0"/>
          <w:sz w:val="20"/>
          <w:szCs w:val="20"/>
          <w:lang w:val="en-ZA" w:eastAsia="en-US"/>
        </w:rPr>
        <w:t xml:space="preserve"> will ever get it right.</w:t>
      </w:r>
    </w:p>
    <w:p w:rsidR="002B120B" w:rsidRPr="00796C7C" w:rsidRDefault="002B120B" w:rsidP="00796C7C">
      <w:pPr>
        <w:spacing w:line="240" w:lineRule="auto"/>
        <w:rPr>
          <w:rFonts w:cs="Arial"/>
          <w:b/>
          <w:color w:val="538135"/>
          <w:sz w:val="20"/>
          <w:szCs w:val="20"/>
        </w:rPr>
      </w:pPr>
    </w:p>
    <w:p w:rsidR="002B120B" w:rsidRPr="00796C7C" w:rsidRDefault="00523972"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lastRenderedPageBreak/>
        <w:t xml:space="preserve">The National </w:t>
      </w:r>
      <w:r w:rsidR="002B120B" w:rsidRPr="00796C7C">
        <w:rPr>
          <w:rFonts w:cs="Arial"/>
          <w:sz w:val="20"/>
          <w:szCs w:val="20"/>
        </w:rPr>
        <w:t>D</w:t>
      </w:r>
      <w:r w:rsidRPr="00796C7C">
        <w:rPr>
          <w:rFonts w:cs="Arial"/>
          <w:sz w:val="20"/>
          <w:szCs w:val="20"/>
        </w:rPr>
        <w:t>isaster M</w:t>
      </w:r>
      <w:r w:rsidR="002B120B" w:rsidRPr="00796C7C">
        <w:rPr>
          <w:rFonts w:cs="Arial"/>
          <w:sz w:val="20"/>
          <w:szCs w:val="20"/>
        </w:rPr>
        <w:t>anagement</w:t>
      </w:r>
      <w:r w:rsidRPr="00796C7C">
        <w:rPr>
          <w:rFonts w:cs="Arial"/>
          <w:sz w:val="20"/>
          <w:szCs w:val="20"/>
        </w:rPr>
        <w:t xml:space="preserve"> Centre does not have adequate disaster response capacity</w:t>
      </w:r>
      <w:r w:rsidR="002B120B" w:rsidRPr="00796C7C">
        <w:rPr>
          <w:rFonts w:cs="Arial"/>
          <w:sz w:val="20"/>
          <w:szCs w:val="20"/>
        </w:rPr>
        <w:t>.</w:t>
      </w:r>
      <w:r w:rsidRPr="00796C7C">
        <w:rPr>
          <w:rFonts w:cs="Arial"/>
          <w:sz w:val="20"/>
          <w:szCs w:val="20"/>
        </w:rPr>
        <w:t xml:space="preserve"> Its disaster response is haphazard </w:t>
      </w:r>
      <w:r w:rsidR="001A0EBB" w:rsidRPr="00796C7C">
        <w:rPr>
          <w:rFonts w:cs="Arial"/>
          <w:sz w:val="20"/>
          <w:szCs w:val="20"/>
        </w:rPr>
        <w:t>and lack</w:t>
      </w:r>
      <w:r w:rsidR="005E1E38" w:rsidRPr="00796C7C">
        <w:rPr>
          <w:rFonts w:cs="Arial"/>
          <w:sz w:val="20"/>
          <w:szCs w:val="20"/>
        </w:rPr>
        <w:t>s</w:t>
      </w:r>
      <w:r w:rsidR="001A0EBB" w:rsidRPr="00796C7C">
        <w:rPr>
          <w:rFonts w:cs="Arial"/>
          <w:sz w:val="20"/>
          <w:szCs w:val="20"/>
        </w:rPr>
        <w:t xml:space="preserve"> organisation and planning. People affected by floods in April/May 2022 still live in shelters six months later, with no access to decent accommodation. Fire services are generally non-functional. In the North-West, fire trucks do not have water. </w:t>
      </w:r>
      <w:r w:rsidR="002B120B" w:rsidRPr="00796C7C">
        <w:rPr>
          <w:rFonts w:cs="Arial"/>
          <w:sz w:val="20"/>
          <w:szCs w:val="20"/>
        </w:rPr>
        <w:t xml:space="preserve"> </w:t>
      </w:r>
    </w:p>
    <w:p w:rsidR="00771E0C" w:rsidRPr="00796C7C" w:rsidRDefault="00771E0C" w:rsidP="00796C7C">
      <w:pPr>
        <w:pStyle w:val="ListParagraph"/>
        <w:spacing w:line="240" w:lineRule="auto"/>
        <w:rPr>
          <w:rFonts w:cs="Arial"/>
          <w:b/>
          <w:color w:val="538135"/>
          <w:sz w:val="20"/>
          <w:szCs w:val="20"/>
        </w:rPr>
      </w:pPr>
    </w:p>
    <w:p w:rsidR="00771E0C" w:rsidRPr="00796C7C" w:rsidRDefault="001A0EBB"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It is not clear how the Municipal Infrastructure Support Agent is engaging the problem of ageing infrastructure, especially</w:t>
      </w:r>
      <w:r w:rsidR="00771E0C" w:rsidRPr="00796C7C">
        <w:rPr>
          <w:rFonts w:cs="Arial"/>
          <w:sz w:val="20"/>
          <w:szCs w:val="20"/>
        </w:rPr>
        <w:t xml:space="preserve"> as</w:t>
      </w:r>
      <w:r w:rsidR="007C5FF4" w:rsidRPr="00796C7C">
        <w:rPr>
          <w:rFonts w:cs="Arial"/>
          <w:sz w:val="20"/>
          <w:szCs w:val="20"/>
        </w:rPr>
        <w:t xml:space="preserve"> it relates to access to drinkable</w:t>
      </w:r>
      <w:r w:rsidRPr="00796C7C">
        <w:rPr>
          <w:rFonts w:cs="Arial"/>
          <w:sz w:val="20"/>
          <w:szCs w:val="20"/>
        </w:rPr>
        <w:t xml:space="preserve"> water</w:t>
      </w:r>
      <w:r w:rsidR="00771E0C" w:rsidRPr="00796C7C">
        <w:rPr>
          <w:rFonts w:cs="Arial"/>
          <w:sz w:val="20"/>
          <w:szCs w:val="20"/>
        </w:rPr>
        <w:t>.</w:t>
      </w:r>
      <w:r w:rsidR="00B828A0" w:rsidRPr="00796C7C">
        <w:rPr>
          <w:rFonts w:cs="Arial"/>
          <w:sz w:val="20"/>
          <w:szCs w:val="20"/>
        </w:rPr>
        <w:t xml:space="preserve"> </w:t>
      </w:r>
      <w:r w:rsidRPr="00796C7C">
        <w:rPr>
          <w:rFonts w:cs="Arial"/>
          <w:sz w:val="20"/>
          <w:szCs w:val="20"/>
        </w:rPr>
        <w:t xml:space="preserve">The </w:t>
      </w:r>
      <w:r w:rsidR="00B828A0" w:rsidRPr="00796C7C">
        <w:rPr>
          <w:rFonts w:cs="Arial"/>
          <w:sz w:val="20"/>
          <w:szCs w:val="20"/>
        </w:rPr>
        <w:t>Makana</w:t>
      </w:r>
      <w:r w:rsidRPr="00796C7C">
        <w:rPr>
          <w:rFonts w:cs="Arial"/>
          <w:sz w:val="20"/>
          <w:szCs w:val="20"/>
        </w:rPr>
        <w:t xml:space="preserve"> Local Municipality is grappling with this problem</w:t>
      </w:r>
      <w:r w:rsidR="00667BBA" w:rsidRPr="00796C7C">
        <w:rPr>
          <w:rFonts w:cs="Arial"/>
          <w:sz w:val="20"/>
          <w:szCs w:val="20"/>
        </w:rPr>
        <w:t xml:space="preserve">. Following the floods of April 2022, the Port St Johns Local Municipality is also experiencing water shortages. Some communities are swimming in sewer. </w:t>
      </w:r>
      <w:r w:rsidR="00B828A0" w:rsidRPr="00796C7C">
        <w:rPr>
          <w:rFonts w:cs="Arial"/>
          <w:sz w:val="20"/>
          <w:szCs w:val="20"/>
        </w:rPr>
        <w:t xml:space="preserve"> </w:t>
      </w:r>
      <w:r w:rsidR="00E56FB4" w:rsidRPr="00796C7C">
        <w:rPr>
          <w:rFonts w:cs="Arial"/>
          <w:sz w:val="20"/>
          <w:szCs w:val="20"/>
        </w:rPr>
        <w:t xml:space="preserve">The floods have also left </w:t>
      </w:r>
      <w:r w:rsidR="00542E8B" w:rsidRPr="00796C7C">
        <w:rPr>
          <w:rFonts w:cs="Arial"/>
          <w:sz w:val="20"/>
          <w:szCs w:val="20"/>
        </w:rPr>
        <w:t xml:space="preserve">Ward 6 </w:t>
      </w:r>
      <w:r w:rsidR="00E56FB4" w:rsidRPr="00796C7C">
        <w:rPr>
          <w:rFonts w:cs="Arial"/>
          <w:sz w:val="20"/>
          <w:szCs w:val="20"/>
        </w:rPr>
        <w:t xml:space="preserve">in </w:t>
      </w:r>
      <w:r w:rsidR="00542E8B" w:rsidRPr="00796C7C">
        <w:rPr>
          <w:rFonts w:cs="Arial"/>
          <w:sz w:val="20"/>
          <w:szCs w:val="20"/>
        </w:rPr>
        <w:t>Msinga</w:t>
      </w:r>
      <w:r w:rsidR="00E56FB4" w:rsidRPr="00796C7C">
        <w:rPr>
          <w:rFonts w:cs="Arial"/>
          <w:sz w:val="20"/>
          <w:szCs w:val="20"/>
        </w:rPr>
        <w:t xml:space="preserve"> Local Municipality without access to water. In Ladysmith, some police stations and hospitals</w:t>
      </w:r>
      <w:r w:rsidR="005573E1" w:rsidRPr="00796C7C">
        <w:rPr>
          <w:rFonts w:cs="Arial"/>
          <w:sz w:val="20"/>
          <w:szCs w:val="20"/>
        </w:rPr>
        <w:t xml:space="preserve"> do not have access to water. </w:t>
      </w:r>
      <w:r w:rsidR="00E56FB4" w:rsidRPr="00796C7C">
        <w:rPr>
          <w:rFonts w:cs="Arial"/>
          <w:sz w:val="20"/>
          <w:szCs w:val="20"/>
        </w:rPr>
        <w:t xml:space="preserve"> </w:t>
      </w:r>
      <w:r w:rsidR="00542E8B" w:rsidRPr="00796C7C">
        <w:rPr>
          <w:rFonts w:cs="Arial"/>
          <w:sz w:val="20"/>
          <w:szCs w:val="20"/>
        </w:rPr>
        <w:t xml:space="preserve"> </w:t>
      </w:r>
    </w:p>
    <w:p w:rsidR="00952A68" w:rsidRPr="00796C7C" w:rsidRDefault="00952A68" w:rsidP="00796C7C">
      <w:pPr>
        <w:spacing w:line="240" w:lineRule="auto"/>
        <w:rPr>
          <w:rFonts w:cs="Arial"/>
          <w:b/>
          <w:color w:val="538135"/>
          <w:sz w:val="20"/>
          <w:szCs w:val="20"/>
        </w:rPr>
      </w:pPr>
    </w:p>
    <w:p w:rsidR="0095179D" w:rsidRPr="00796C7C" w:rsidRDefault="005573E1"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Provincial i</w:t>
      </w:r>
      <w:r w:rsidR="00952A68" w:rsidRPr="00796C7C">
        <w:rPr>
          <w:rFonts w:cs="Arial"/>
          <w:sz w:val="20"/>
          <w:szCs w:val="20"/>
        </w:rPr>
        <w:t>nconsistencies</w:t>
      </w:r>
      <w:r w:rsidR="003E548A" w:rsidRPr="00796C7C">
        <w:rPr>
          <w:rFonts w:cs="Arial"/>
          <w:sz w:val="20"/>
          <w:szCs w:val="20"/>
        </w:rPr>
        <w:t xml:space="preserve"> and discrepancies</w:t>
      </w:r>
      <w:r w:rsidR="00952A68" w:rsidRPr="00796C7C">
        <w:rPr>
          <w:rFonts w:cs="Arial"/>
          <w:sz w:val="20"/>
          <w:szCs w:val="20"/>
        </w:rPr>
        <w:t xml:space="preserve"> in remuneration of traditional leaders</w:t>
      </w:r>
      <w:r w:rsidR="00294FDE" w:rsidRPr="00796C7C">
        <w:rPr>
          <w:rFonts w:cs="Arial"/>
          <w:sz w:val="20"/>
          <w:szCs w:val="20"/>
        </w:rPr>
        <w:t xml:space="preserve"> and</w:t>
      </w:r>
      <w:r w:rsidRPr="00796C7C">
        <w:rPr>
          <w:rFonts w:cs="Arial"/>
          <w:sz w:val="20"/>
          <w:szCs w:val="20"/>
        </w:rPr>
        <w:t xml:space="preserve"> funding of</w:t>
      </w:r>
      <w:r w:rsidR="00294FDE" w:rsidRPr="00796C7C">
        <w:rPr>
          <w:rFonts w:cs="Arial"/>
          <w:sz w:val="20"/>
          <w:szCs w:val="20"/>
        </w:rPr>
        <w:t xml:space="preserve"> traditional councils</w:t>
      </w:r>
      <w:r w:rsidRPr="00796C7C">
        <w:rPr>
          <w:rFonts w:cs="Arial"/>
          <w:sz w:val="20"/>
          <w:szCs w:val="20"/>
        </w:rPr>
        <w:t xml:space="preserve"> persist. </w:t>
      </w:r>
      <w:r w:rsidR="002E4A9D" w:rsidRPr="00796C7C">
        <w:rPr>
          <w:rFonts w:cs="Arial"/>
          <w:sz w:val="20"/>
          <w:szCs w:val="20"/>
        </w:rPr>
        <w:t>The Department of Traditional Affairs has</w:t>
      </w:r>
      <w:r w:rsidR="005E1E38" w:rsidRPr="00796C7C">
        <w:rPr>
          <w:rFonts w:cs="Arial"/>
          <w:sz w:val="20"/>
          <w:szCs w:val="20"/>
        </w:rPr>
        <w:t xml:space="preserve"> also</w:t>
      </w:r>
      <w:r w:rsidR="002E4A9D" w:rsidRPr="00796C7C">
        <w:rPr>
          <w:rFonts w:cs="Arial"/>
          <w:sz w:val="20"/>
          <w:szCs w:val="20"/>
        </w:rPr>
        <w:t xml:space="preserve"> not been sufficiently vocal regarding the shooting and killing of traditional leaders. </w:t>
      </w:r>
    </w:p>
    <w:p w:rsidR="002F1490" w:rsidRPr="00796C7C" w:rsidRDefault="002F1490" w:rsidP="00796C7C">
      <w:pPr>
        <w:pStyle w:val="ListParagraph"/>
        <w:spacing w:line="240" w:lineRule="auto"/>
        <w:rPr>
          <w:rFonts w:cs="Arial"/>
          <w:b/>
          <w:color w:val="538135"/>
          <w:sz w:val="20"/>
          <w:szCs w:val="20"/>
        </w:rPr>
      </w:pPr>
    </w:p>
    <w:p w:rsidR="002F1490" w:rsidRPr="00796C7C" w:rsidRDefault="002F1490"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 xml:space="preserve">The CRL Rights Commission is commended for </w:t>
      </w:r>
      <w:r w:rsidR="00AE6DEF" w:rsidRPr="00796C7C">
        <w:rPr>
          <w:rFonts w:cs="Arial"/>
          <w:sz w:val="20"/>
          <w:szCs w:val="20"/>
        </w:rPr>
        <w:t>attaining consecutive clean audits and is encouraged to maintain this trend. The Commission’s lack of footprint in the provinces</w:t>
      </w:r>
      <w:r w:rsidR="00D712A2" w:rsidRPr="00796C7C">
        <w:rPr>
          <w:rFonts w:cs="Arial"/>
          <w:sz w:val="20"/>
          <w:szCs w:val="20"/>
        </w:rPr>
        <w:t>,</w:t>
      </w:r>
      <w:r w:rsidR="00AE6DEF" w:rsidRPr="00796C7C">
        <w:rPr>
          <w:rFonts w:cs="Arial"/>
          <w:sz w:val="20"/>
          <w:szCs w:val="20"/>
        </w:rPr>
        <w:t xml:space="preserve"> however</w:t>
      </w:r>
      <w:r w:rsidR="00D712A2" w:rsidRPr="00796C7C">
        <w:rPr>
          <w:rFonts w:cs="Arial"/>
          <w:sz w:val="20"/>
          <w:szCs w:val="20"/>
        </w:rPr>
        <w:t>,</w:t>
      </w:r>
      <w:r w:rsidR="00AE6DEF" w:rsidRPr="00796C7C">
        <w:rPr>
          <w:rFonts w:cs="Arial"/>
          <w:sz w:val="20"/>
          <w:szCs w:val="20"/>
        </w:rPr>
        <w:t xml:space="preserve"> is drawback as the conflict resolution space in these areas is being taken up by the courts</w:t>
      </w:r>
      <w:r w:rsidR="0081061E" w:rsidRPr="00796C7C">
        <w:rPr>
          <w:rFonts w:cs="Arial"/>
          <w:sz w:val="20"/>
          <w:szCs w:val="20"/>
        </w:rPr>
        <w:t>, but</w:t>
      </w:r>
      <w:r w:rsidR="00AE6DEF" w:rsidRPr="00796C7C">
        <w:rPr>
          <w:rFonts w:cs="Arial"/>
          <w:sz w:val="20"/>
          <w:szCs w:val="20"/>
        </w:rPr>
        <w:t xml:space="preserve"> from a</w:t>
      </w:r>
      <w:r w:rsidR="0081061E" w:rsidRPr="00796C7C">
        <w:rPr>
          <w:rFonts w:cs="Arial"/>
          <w:sz w:val="20"/>
          <w:szCs w:val="20"/>
        </w:rPr>
        <w:t xml:space="preserve"> foreign</w:t>
      </w:r>
      <w:r w:rsidR="00AE6DEF" w:rsidRPr="00796C7C">
        <w:rPr>
          <w:rFonts w:cs="Arial"/>
          <w:sz w:val="20"/>
          <w:szCs w:val="20"/>
        </w:rPr>
        <w:t xml:space="preserve"> Roman Dutch Law perspective. </w:t>
      </w:r>
      <w:r w:rsidR="0081061E" w:rsidRPr="00796C7C">
        <w:rPr>
          <w:rFonts w:cs="Arial"/>
          <w:sz w:val="20"/>
          <w:szCs w:val="20"/>
        </w:rPr>
        <w:t xml:space="preserve">Key conflicts relating to cultural matters </w:t>
      </w:r>
      <w:r w:rsidR="00E542DB" w:rsidRPr="00796C7C">
        <w:rPr>
          <w:rFonts w:cs="Arial"/>
          <w:sz w:val="20"/>
          <w:szCs w:val="20"/>
        </w:rPr>
        <w:t>have been seen in respect of two</w:t>
      </w:r>
      <w:r w:rsidR="0081061E" w:rsidRPr="00796C7C">
        <w:rPr>
          <w:rFonts w:cs="Arial"/>
          <w:sz w:val="20"/>
          <w:szCs w:val="20"/>
        </w:rPr>
        <w:t xml:space="preserve"> Kings in emaMpondweni, Eastern Cape,</w:t>
      </w:r>
      <w:r w:rsidR="00E2127F" w:rsidRPr="00796C7C">
        <w:rPr>
          <w:rFonts w:cs="Arial"/>
          <w:sz w:val="20"/>
          <w:szCs w:val="20"/>
        </w:rPr>
        <w:t xml:space="preserve"> and the Bulobedu</w:t>
      </w:r>
      <w:r w:rsidR="0081061E" w:rsidRPr="00796C7C">
        <w:rPr>
          <w:rFonts w:cs="Arial"/>
          <w:sz w:val="20"/>
          <w:szCs w:val="20"/>
        </w:rPr>
        <w:t xml:space="preserve"> tribe in Limpopo</w:t>
      </w:r>
      <w:r w:rsidR="00E542DB" w:rsidRPr="00796C7C">
        <w:rPr>
          <w:rFonts w:cs="Arial"/>
          <w:sz w:val="20"/>
          <w:szCs w:val="20"/>
        </w:rPr>
        <w:t xml:space="preserve">. In all these instances, the CRL Rights Commission has not been sufficiently visible. </w:t>
      </w:r>
    </w:p>
    <w:p w:rsidR="004357A9" w:rsidRPr="00796C7C" w:rsidRDefault="004357A9" w:rsidP="00796C7C">
      <w:pPr>
        <w:pStyle w:val="ListParagraph"/>
        <w:spacing w:line="240" w:lineRule="auto"/>
        <w:rPr>
          <w:rFonts w:cs="Arial"/>
          <w:b/>
          <w:color w:val="538135"/>
          <w:sz w:val="20"/>
          <w:szCs w:val="20"/>
        </w:rPr>
      </w:pPr>
    </w:p>
    <w:p w:rsidR="004357A9" w:rsidRPr="00796C7C" w:rsidRDefault="004357A9"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Furthermore, it seems inconsistent for the Commission to be requesting</w:t>
      </w:r>
      <w:r w:rsidR="00D712A2" w:rsidRPr="00796C7C">
        <w:rPr>
          <w:rFonts w:cs="Arial"/>
          <w:sz w:val="20"/>
          <w:szCs w:val="20"/>
        </w:rPr>
        <w:t xml:space="preserve"> for</w:t>
      </w:r>
      <w:r w:rsidRPr="00796C7C">
        <w:rPr>
          <w:rFonts w:cs="Arial"/>
          <w:sz w:val="20"/>
          <w:szCs w:val="20"/>
        </w:rPr>
        <w:t xml:space="preserve"> more funding despite not having fully spent the budget allocated to it during the previous financial year. Nevertheless, the Commission is doing good work and should improve and build on the good work started. The Portfolio Committee looks forward to participating</w:t>
      </w:r>
      <w:r w:rsidR="00F63488" w:rsidRPr="00796C7C">
        <w:rPr>
          <w:rFonts w:cs="Arial"/>
          <w:sz w:val="20"/>
          <w:szCs w:val="20"/>
        </w:rPr>
        <w:t xml:space="preserve"> in the Commission’s</w:t>
      </w:r>
      <w:r w:rsidRPr="00796C7C">
        <w:rPr>
          <w:rFonts w:cs="Arial"/>
          <w:sz w:val="20"/>
          <w:szCs w:val="20"/>
        </w:rPr>
        <w:t xml:space="preserve"> </w:t>
      </w:r>
      <w:r w:rsidR="00F63488" w:rsidRPr="00796C7C">
        <w:rPr>
          <w:rFonts w:cs="Arial"/>
          <w:sz w:val="20"/>
          <w:szCs w:val="20"/>
        </w:rPr>
        <w:t>national initiation indaba scheduled towards the end of November 2022.</w:t>
      </w:r>
    </w:p>
    <w:p w:rsidR="006225C2" w:rsidRPr="00796C7C" w:rsidRDefault="006225C2" w:rsidP="00796C7C">
      <w:pPr>
        <w:spacing w:line="240" w:lineRule="auto"/>
        <w:rPr>
          <w:rFonts w:cs="Arial"/>
          <w:b/>
          <w:color w:val="538135"/>
          <w:sz w:val="20"/>
          <w:szCs w:val="20"/>
        </w:rPr>
      </w:pPr>
    </w:p>
    <w:p w:rsidR="006225C2" w:rsidRPr="00796C7C" w:rsidRDefault="00F63488"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While the Portfolio Committee c</w:t>
      </w:r>
      <w:r w:rsidR="0099017E" w:rsidRPr="00796C7C">
        <w:rPr>
          <w:rFonts w:cs="Arial"/>
          <w:sz w:val="20"/>
          <w:szCs w:val="20"/>
        </w:rPr>
        <w:t>ongratulate</w:t>
      </w:r>
      <w:r w:rsidRPr="00796C7C">
        <w:rPr>
          <w:rFonts w:cs="Arial"/>
          <w:sz w:val="20"/>
          <w:szCs w:val="20"/>
        </w:rPr>
        <w:t>s the Municipal Demarcation Board</w:t>
      </w:r>
      <w:r w:rsidR="0099017E" w:rsidRPr="00796C7C">
        <w:rPr>
          <w:rFonts w:cs="Arial"/>
          <w:sz w:val="20"/>
          <w:szCs w:val="20"/>
        </w:rPr>
        <w:t xml:space="preserve"> on its</w:t>
      </w:r>
      <w:r w:rsidRPr="00796C7C">
        <w:rPr>
          <w:rFonts w:cs="Arial"/>
          <w:sz w:val="20"/>
          <w:szCs w:val="20"/>
        </w:rPr>
        <w:t xml:space="preserve"> financial and service delivery</w:t>
      </w:r>
      <w:r w:rsidR="0099017E" w:rsidRPr="00796C7C">
        <w:rPr>
          <w:rFonts w:cs="Arial"/>
          <w:sz w:val="20"/>
          <w:szCs w:val="20"/>
        </w:rPr>
        <w:t xml:space="preserve"> achievement</w:t>
      </w:r>
      <w:r w:rsidRPr="00796C7C">
        <w:rPr>
          <w:rFonts w:cs="Arial"/>
          <w:sz w:val="20"/>
          <w:szCs w:val="20"/>
        </w:rPr>
        <w:t xml:space="preserve"> during the year under review, it remains concerned that Board’s f</w:t>
      </w:r>
      <w:r w:rsidR="0099017E" w:rsidRPr="00796C7C">
        <w:rPr>
          <w:rFonts w:cs="Arial"/>
          <w:sz w:val="20"/>
          <w:szCs w:val="20"/>
        </w:rPr>
        <w:t>ootprint at ward level</w:t>
      </w:r>
      <w:r w:rsidRPr="00796C7C">
        <w:rPr>
          <w:rFonts w:cs="Arial"/>
          <w:sz w:val="20"/>
          <w:szCs w:val="20"/>
        </w:rPr>
        <w:t>,</w:t>
      </w:r>
      <w:r w:rsidR="0099017E" w:rsidRPr="00796C7C">
        <w:rPr>
          <w:rFonts w:cs="Arial"/>
          <w:sz w:val="20"/>
          <w:szCs w:val="20"/>
        </w:rPr>
        <w:t xml:space="preserve"> where it matters</w:t>
      </w:r>
      <w:r w:rsidRPr="00796C7C">
        <w:rPr>
          <w:rFonts w:cs="Arial"/>
          <w:sz w:val="20"/>
          <w:szCs w:val="20"/>
        </w:rPr>
        <w:t xml:space="preserve"> the</w:t>
      </w:r>
      <w:r w:rsidR="0099017E" w:rsidRPr="00796C7C">
        <w:rPr>
          <w:rFonts w:cs="Arial"/>
          <w:sz w:val="20"/>
          <w:szCs w:val="20"/>
        </w:rPr>
        <w:t xml:space="preserve"> most</w:t>
      </w:r>
      <w:r w:rsidRPr="00796C7C">
        <w:rPr>
          <w:rFonts w:cs="Arial"/>
          <w:sz w:val="20"/>
          <w:szCs w:val="20"/>
        </w:rPr>
        <w:t>, is not yet well-stamped</w:t>
      </w:r>
      <w:r w:rsidR="00EC50E5" w:rsidRPr="00796C7C">
        <w:rPr>
          <w:rFonts w:cs="Arial"/>
          <w:sz w:val="20"/>
          <w:szCs w:val="20"/>
        </w:rPr>
        <w:t>. The outsourcing of Board</w:t>
      </w:r>
      <w:r w:rsidR="0099017E" w:rsidRPr="00796C7C">
        <w:rPr>
          <w:rFonts w:cs="Arial"/>
          <w:sz w:val="20"/>
          <w:szCs w:val="20"/>
        </w:rPr>
        <w:t xml:space="preserve"> functions to municipalities</w:t>
      </w:r>
      <w:r w:rsidR="00EC50E5" w:rsidRPr="00796C7C">
        <w:rPr>
          <w:rFonts w:cs="Arial"/>
          <w:sz w:val="20"/>
          <w:szCs w:val="20"/>
        </w:rPr>
        <w:t xml:space="preserve"> contributes to this problem</w:t>
      </w:r>
      <w:r w:rsidR="0099017E" w:rsidRPr="00796C7C">
        <w:rPr>
          <w:rFonts w:cs="Arial"/>
          <w:sz w:val="20"/>
          <w:szCs w:val="20"/>
        </w:rPr>
        <w:t>.</w:t>
      </w:r>
      <w:r w:rsidR="00EC50E5" w:rsidRPr="00796C7C">
        <w:rPr>
          <w:rFonts w:cs="Arial"/>
          <w:sz w:val="20"/>
          <w:szCs w:val="20"/>
        </w:rPr>
        <w:t xml:space="preserve"> The Board’s lack of regional representation is a recurring matter. </w:t>
      </w:r>
      <w:r w:rsidR="0099017E" w:rsidRPr="00796C7C">
        <w:rPr>
          <w:rFonts w:cs="Arial"/>
          <w:sz w:val="20"/>
          <w:szCs w:val="20"/>
        </w:rPr>
        <w:t xml:space="preserve"> </w:t>
      </w:r>
    </w:p>
    <w:p w:rsidR="003F0CC9" w:rsidRPr="00796C7C" w:rsidRDefault="003F0CC9" w:rsidP="00796C7C">
      <w:pPr>
        <w:pStyle w:val="ListParagraph"/>
        <w:spacing w:line="240" w:lineRule="auto"/>
        <w:rPr>
          <w:rFonts w:cs="Arial"/>
          <w:b/>
          <w:color w:val="538135"/>
          <w:sz w:val="20"/>
          <w:szCs w:val="20"/>
        </w:rPr>
      </w:pPr>
    </w:p>
    <w:p w:rsidR="003F0CC9" w:rsidRPr="00796C7C" w:rsidRDefault="003F0CC9"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The involvement of the Municipal Demarcation Board’s Chairperson in party-political work risks compromising the Board’s independence and neutrality and must strongly be discouraged.</w:t>
      </w:r>
    </w:p>
    <w:p w:rsidR="001F27AF" w:rsidRPr="00796C7C" w:rsidRDefault="001F27AF" w:rsidP="00796C7C">
      <w:pPr>
        <w:pStyle w:val="ListParagraph"/>
        <w:spacing w:line="240" w:lineRule="auto"/>
        <w:rPr>
          <w:rFonts w:cs="Arial"/>
          <w:b/>
          <w:color w:val="538135"/>
          <w:sz w:val="20"/>
          <w:szCs w:val="20"/>
        </w:rPr>
      </w:pPr>
    </w:p>
    <w:p w:rsidR="00C5459F" w:rsidRPr="00796C7C" w:rsidRDefault="0071207D" w:rsidP="00796C7C">
      <w:pPr>
        <w:pStyle w:val="ListParagraph"/>
        <w:numPr>
          <w:ilvl w:val="1"/>
          <w:numId w:val="17"/>
        </w:numPr>
        <w:spacing w:line="240" w:lineRule="auto"/>
        <w:ind w:left="426"/>
        <w:rPr>
          <w:rFonts w:cs="Arial"/>
          <w:sz w:val="20"/>
          <w:szCs w:val="20"/>
        </w:rPr>
      </w:pPr>
      <w:r w:rsidRPr="00796C7C">
        <w:rPr>
          <w:rFonts w:cs="Arial"/>
          <w:sz w:val="20"/>
          <w:szCs w:val="20"/>
        </w:rPr>
        <w:t xml:space="preserve">It is not understandable why the </w:t>
      </w:r>
      <w:r w:rsidR="00A44BE8" w:rsidRPr="00796C7C">
        <w:rPr>
          <w:rFonts w:cs="Arial"/>
          <w:sz w:val="20"/>
          <w:szCs w:val="20"/>
        </w:rPr>
        <w:t>South African Local Government Association’s</w:t>
      </w:r>
      <w:r w:rsidRPr="00796C7C">
        <w:rPr>
          <w:rFonts w:cs="Arial"/>
          <w:sz w:val="20"/>
          <w:szCs w:val="20"/>
        </w:rPr>
        <w:t xml:space="preserve"> supportive role to municipalities </w:t>
      </w:r>
      <w:r w:rsidR="00DF32B8" w:rsidRPr="00796C7C">
        <w:rPr>
          <w:rFonts w:cs="Arial"/>
          <w:sz w:val="20"/>
          <w:szCs w:val="20"/>
        </w:rPr>
        <w:t xml:space="preserve">should </w:t>
      </w:r>
      <w:r w:rsidRPr="00796C7C">
        <w:rPr>
          <w:rFonts w:cs="Arial"/>
          <w:sz w:val="20"/>
          <w:szCs w:val="20"/>
        </w:rPr>
        <w:t>become minimal following constitutional intervention. There seem to be no logical re</w:t>
      </w:r>
      <w:r w:rsidR="00CE3A08" w:rsidRPr="00796C7C">
        <w:rPr>
          <w:rFonts w:cs="Arial"/>
          <w:sz w:val="20"/>
          <w:szCs w:val="20"/>
        </w:rPr>
        <w:t>ason as</w:t>
      </w:r>
      <w:r w:rsidR="00DF32B8" w:rsidRPr="00796C7C">
        <w:rPr>
          <w:rFonts w:cs="Arial"/>
          <w:sz w:val="20"/>
          <w:szCs w:val="20"/>
        </w:rPr>
        <w:t xml:space="preserve"> to</w:t>
      </w:r>
      <w:r w:rsidR="00CE3A08" w:rsidRPr="00796C7C">
        <w:rPr>
          <w:rFonts w:cs="Arial"/>
          <w:sz w:val="20"/>
          <w:szCs w:val="20"/>
        </w:rPr>
        <w:t xml:space="preserve"> why this should obtain.</w:t>
      </w:r>
    </w:p>
    <w:p w:rsidR="00EA656D" w:rsidRPr="00796C7C" w:rsidRDefault="00EA656D" w:rsidP="00796C7C">
      <w:pPr>
        <w:pStyle w:val="ListParagraph"/>
        <w:spacing w:line="240" w:lineRule="auto"/>
        <w:ind w:left="426"/>
        <w:rPr>
          <w:rFonts w:cs="Arial"/>
          <w:b/>
          <w:color w:val="538135"/>
          <w:sz w:val="20"/>
          <w:szCs w:val="20"/>
        </w:rPr>
      </w:pPr>
    </w:p>
    <w:p w:rsidR="00F02193" w:rsidRPr="00796C7C" w:rsidRDefault="00F02193" w:rsidP="00796C7C">
      <w:pPr>
        <w:pStyle w:val="ListParagraph"/>
        <w:spacing w:line="240" w:lineRule="auto"/>
        <w:ind w:left="426"/>
        <w:rPr>
          <w:rFonts w:cs="Arial"/>
          <w:b/>
          <w:color w:val="538135"/>
          <w:sz w:val="20"/>
          <w:szCs w:val="20"/>
        </w:rPr>
      </w:pPr>
    </w:p>
    <w:p w:rsidR="00F02193" w:rsidRPr="00796C7C" w:rsidRDefault="00F02193" w:rsidP="00796C7C">
      <w:pPr>
        <w:pStyle w:val="ListParagraph"/>
        <w:spacing w:line="240" w:lineRule="auto"/>
        <w:ind w:left="426"/>
        <w:rPr>
          <w:rFonts w:cs="Arial"/>
          <w:b/>
          <w:color w:val="538135"/>
          <w:sz w:val="20"/>
          <w:szCs w:val="20"/>
        </w:rPr>
      </w:pPr>
    </w:p>
    <w:p w:rsidR="00F02193" w:rsidRPr="00796C7C" w:rsidRDefault="00F02193" w:rsidP="00796C7C">
      <w:pPr>
        <w:pStyle w:val="ListParagraph"/>
        <w:spacing w:line="240" w:lineRule="auto"/>
        <w:ind w:left="426"/>
        <w:rPr>
          <w:rFonts w:cs="Arial"/>
          <w:b/>
          <w:color w:val="538135"/>
          <w:sz w:val="20"/>
          <w:szCs w:val="20"/>
        </w:rPr>
      </w:pPr>
    </w:p>
    <w:p w:rsidR="009C48D1" w:rsidRPr="00796C7C" w:rsidRDefault="009C48D1" w:rsidP="00796C7C">
      <w:pPr>
        <w:pStyle w:val="ListParagraph"/>
        <w:numPr>
          <w:ilvl w:val="0"/>
          <w:numId w:val="17"/>
        </w:numPr>
        <w:spacing w:line="240" w:lineRule="auto"/>
        <w:rPr>
          <w:rFonts w:cs="Arial"/>
          <w:b/>
          <w:color w:val="auto"/>
          <w:sz w:val="20"/>
          <w:szCs w:val="20"/>
        </w:rPr>
      </w:pPr>
      <w:r w:rsidRPr="00796C7C">
        <w:rPr>
          <w:rFonts w:cs="Arial"/>
          <w:b/>
          <w:color w:val="auto"/>
          <w:sz w:val="20"/>
          <w:szCs w:val="20"/>
        </w:rPr>
        <w:t>COMMITTEE RECOMMENDATIONS</w:t>
      </w:r>
    </w:p>
    <w:p w:rsidR="00771E0C" w:rsidRPr="00796C7C" w:rsidRDefault="00771E0C" w:rsidP="00796C7C">
      <w:pPr>
        <w:pStyle w:val="ListParagraph"/>
        <w:spacing w:line="240" w:lineRule="auto"/>
        <w:ind w:left="360"/>
        <w:rPr>
          <w:rFonts w:cs="Arial"/>
          <w:b/>
          <w:color w:val="538135"/>
          <w:sz w:val="20"/>
          <w:szCs w:val="20"/>
        </w:rPr>
      </w:pPr>
    </w:p>
    <w:p w:rsidR="00013F11" w:rsidRPr="00796C7C" w:rsidRDefault="00005FFC"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 xml:space="preserve">The Auditor-General and the Department of Cooperative Governance should strive to find common ground regarding the potential irregularities identified in the process of appointing the latest cohort of Implementing Agents. In the </w:t>
      </w:r>
      <w:r w:rsidR="00A321C8" w:rsidRPr="00796C7C">
        <w:rPr>
          <w:rFonts w:cs="Arial"/>
          <w:sz w:val="20"/>
          <w:szCs w:val="20"/>
        </w:rPr>
        <w:t xml:space="preserve">next BRR reporting cycle, both the AG and DCoG should update the Portfolio Committee on how this matter has been resolved. </w:t>
      </w:r>
      <w:r w:rsidRPr="00796C7C">
        <w:rPr>
          <w:rFonts w:cs="Arial"/>
          <w:sz w:val="20"/>
          <w:szCs w:val="20"/>
        </w:rPr>
        <w:t xml:space="preserve"> </w:t>
      </w:r>
    </w:p>
    <w:p w:rsidR="00021807" w:rsidRPr="00796C7C" w:rsidRDefault="00021807" w:rsidP="00796C7C">
      <w:pPr>
        <w:pStyle w:val="ListParagraph"/>
        <w:spacing w:line="240" w:lineRule="auto"/>
        <w:ind w:left="426"/>
        <w:rPr>
          <w:rFonts w:cs="Arial"/>
          <w:b/>
          <w:color w:val="538135"/>
          <w:sz w:val="20"/>
          <w:szCs w:val="20"/>
        </w:rPr>
      </w:pPr>
    </w:p>
    <w:p w:rsidR="00021807" w:rsidRPr="00796C7C" w:rsidRDefault="00A321C8"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The Portfolio Committee should, at the earliest convenience, convene a workshop with the Department of Cooperative Governance to discuss the Community Work Programme in</w:t>
      </w:r>
      <w:r w:rsidR="00A84541" w:rsidRPr="00796C7C">
        <w:rPr>
          <w:rFonts w:cs="Arial"/>
          <w:sz w:val="20"/>
          <w:szCs w:val="20"/>
        </w:rPr>
        <w:t xml:space="preserve"> more</w:t>
      </w:r>
      <w:r w:rsidRPr="00796C7C">
        <w:rPr>
          <w:rFonts w:cs="Arial"/>
          <w:sz w:val="20"/>
          <w:szCs w:val="20"/>
        </w:rPr>
        <w:t xml:space="preserve"> detail.  </w:t>
      </w:r>
    </w:p>
    <w:p w:rsidR="00C81237" w:rsidRPr="00796C7C" w:rsidRDefault="00C81237" w:rsidP="00796C7C">
      <w:pPr>
        <w:pStyle w:val="ListParagraph"/>
        <w:spacing w:line="240" w:lineRule="auto"/>
        <w:rPr>
          <w:rFonts w:cs="Arial"/>
          <w:b/>
          <w:color w:val="538135"/>
          <w:sz w:val="20"/>
          <w:szCs w:val="20"/>
        </w:rPr>
      </w:pPr>
    </w:p>
    <w:p w:rsidR="00C81237" w:rsidRPr="00796C7C" w:rsidRDefault="007E30FE"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 xml:space="preserve">The </w:t>
      </w:r>
      <w:r w:rsidR="00C81237" w:rsidRPr="00796C7C">
        <w:rPr>
          <w:rFonts w:cs="Arial"/>
          <w:sz w:val="20"/>
          <w:szCs w:val="20"/>
        </w:rPr>
        <w:t>Department</w:t>
      </w:r>
      <w:r w:rsidRPr="00796C7C">
        <w:rPr>
          <w:rFonts w:cs="Arial"/>
          <w:sz w:val="20"/>
          <w:szCs w:val="20"/>
        </w:rPr>
        <w:t xml:space="preserve"> of Traditional Affairs should furnish the Portfolio Committee with a report </w:t>
      </w:r>
      <w:r w:rsidR="00C81237" w:rsidRPr="00796C7C">
        <w:rPr>
          <w:rFonts w:cs="Arial"/>
          <w:sz w:val="20"/>
          <w:szCs w:val="20"/>
        </w:rPr>
        <w:t>on the killing of traditional leaders, particu</w:t>
      </w:r>
      <w:r w:rsidRPr="00796C7C">
        <w:rPr>
          <w:rFonts w:cs="Arial"/>
          <w:sz w:val="20"/>
          <w:szCs w:val="20"/>
        </w:rPr>
        <w:t xml:space="preserve">larly in KwaZulu-Natal where the problem </w:t>
      </w:r>
      <w:r w:rsidR="003F66A8" w:rsidRPr="00796C7C">
        <w:rPr>
          <w:rFonts w:cs="Arial"/>
          <w:sz w:val="20"/>
          <w:szCs w:val="20"/>
        </w:rPr>
        <w:t>has become systemic</w:t>
      </w:r>
      <w:r w:rsidR="00C81237" w:rsidRPr="00796C7C">
        <w:rPr>
          <w:rFonts w:cs="Arial"/>
          <w:sz w:val="20"/>
          <w:szCs w:val="20"/>
        </w:rPr>
        <w:t xml:space="preserve">. </w:t>
      </w:r>
    </w:p>
    <w:p w:rsidR="00DE52F3" w:rsidRPr="00796C7C" w:rsidRDefault="00DE52F3" w:rsidP="00796C7C">
      <w:pPr>
        <w:pStyle w:val="ListParagraph"/>
        <w:spacing w:line="240" w:lineRule="auto"/>
        <w:rPr>
          <w:rFonts w:cs="Arial"/>
          <w:b/>
          <w:color w:val="538135"/>
          <w:sz w:val="20"/>
          <w:szCs w:val="20"/>
        </w:rPr>
      </w:pPr>
    </w:p>
    <w:p w:rsidR="00DE52F3" w:rsidRPr="00796C7C" w:rsidRDefault="003F66A8" w:rsidP="00796C7C">
      <w:pPr>
        <w:pStyle w:val="ListParagraph"/>
        <w:numPr>
          <w:ilvl w:val="1"/>
          <w:numId w:val="17"/>
        </w:numPr>
        <w:spacing w:line="240" w:lineRule="auto"/>
        <w:ind w:left="426"/>
        <w:rPr>
          <w:rFonts w:cs="Arial"/>
          <w:b/>
          <w:color w:val="538135"/>
          <w:sz w:val="20"/>
          <w:szCs w:val="20"/>
        </w:rPr>
      </w:pPr>
      <w:r w:rsidRPr="00796C7C">
        <w:rPr>
          <w:rFonts w:cs="Arial"/>
          <w:sz w:val="20"/>
          <w:szCs w:val="20"/>
        </w:rPr>
        <w:t xml:space="preserve">The Portfolio Committee should, at the earliest convenience, engage the South African Local Government Association on the role it ought to play in the constitutional intervention process in municipalities. </w:t>
      </w:r>
    </w:p>
    <w:p w:rsidR="006843E5" w:rsidRPr="00796C7C" w:rsidRDefault="006843E5" w:rsidP="00796C7C">
      <w:pPr>
        <w:pStyle w:val="ListParagraph"/>
        <w:spacing w:line="240" w:lineRule="auto"/>
        <w:ind w:left="360"/>
        <w:rPr>
          <w:rFonts w:cs="Arial"/>
          <w:b/>
          <w:color w:val="538135"/>
          <w:sz w:val="20"/>
          <w:szCs w:val="20"/>
        </w:rPr>
      </w:pPr>
    </w:p>
    <w:p w:rsidR="006843E5" w:rsidRPr="00796C7C" w:rsidRDefault="006843E5" w:rsidP="00796C7C">
      <w:pPr>
        <w:spacing w:line="240" w:lineRule="auto"/>
        <w:rPr>
          <w:rFonts w:cs="Arial"/>
          <w:sz w:val="20"/>
          <w:szCs w:val="20"/>
        </w:rPr>
      </w:pPr>
    </w:p>
    <w:p w:rsidR="00722570" w:rsidRPr="00796C7C" w:rsidRDefault="00821B49" w:rsidP="00796C7C">
      <w:pPr>
        <w:pBdr>
          <w:bottom w:val="single" w:sz="4" w:space="1" w:color="auto"/>
        </w:pBdr>
        <w:spacing w:line="240" w:lineRule="auto"/>
        <w:rPr>
          <w:rFonts w:cs="Arial"/>
          <w:b/>
          <w:sz w:val="20"/>
          <w:szCs w:val="20"/>
        </w:rPr>
      </w:pPr>
      <w:r w:rsidRPr="00796C7C">
        <w:rPr>
          <w:rFonts w:cs="Arial"/>
          <w:b/>
          <w:sz w:val="20"/>
          <w:szCs w:val="20"/>
        </w:rPr>
        <w:t>Report to be considered</w:t>
      </w:r>
    </w:p>
    <w:p w:rsidR="00E75AB1" w:rsidRPr="00796C7C" w:rsidRDefault="00E75AB1" w:rsidP="00796C7C">
      <w:pPr>
        <w:pBdr>
          <w:bottom w:val="single" w:sz="4" w:space="1" w:color="auto"/>
        </w:pBdr>
        <w:spacing w:line="240" w:lineRule="auto"/>
        <w:rPr>
          <w:rFonts w:cs="Arial"/>
          <w:b/>
          <w:sz w:val="20"/>
          <w:szCs w:val="20"/>
        </w:rPr>
      </w:pPr>
    </w:p>
    <w:p w:rsidR="004E6558" w:rsidRPr="00796C7C" w:rsidRDefault="004E6558" w:rsidP="00796C7C">
      <w:pPr>
        <w:spacing w:line="240" w:lineRule="auto"/>
        <w:rPr>
          <w:rFonts w:cs="Arial"/>
          <w:sz w:val="20"/>
          <w:szCs w:val="20"/>
        </w:rPr>
      </w:pPr>
    </w:p>
    <w:p w:rsidR="004E6558" w:rsidRPr="00796C7C" w:rsidRDefault="004E6558" w:rsidP="00796C7C">
      <w:pPr>
        <w:spacing w:line="240" w:lineRule="auto"/>
        <w:rPr>
          <w:rFonts w:cs="Arial"/>
          <w:sz w:val="20"/>
          <w:szCs w:val="20"/>
        </w:rPr>
      </w:pPr>
    </w:p>
    <w:sectPr w:rsidR="004E6558" w:rsidRPr="00796C7C" w:rsidSect="00F02193">
      <w:headerReference w:type="default" r:id="rId8"/>
      <w:footerReference w:type="default" r:id="rId9"/>
      <w:headerReference w:type="first" r:id="rId10"/>
      <w:pgSz w:w="11906" w:h="16838"/>
      <w:pgMar w:top="360" w:right="1134" w:bottom="1191" w:left="1134" w:header="426" w:footer="5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67D" w:rsidRDefault="00F4767D" w:rsidP="00193C19">
      <w:pPr>
        <w:spacing w:line="240" w:lineRule="auto"/>
      </w:pPr>
      <w:r>
        <w:separator/>
      </w:r>
    </w:p>
  </w:endnote>
  <w:endnote w:type="continuationSeparator" w:id="0">
    <w:p w:rsidR="00F4767D" w:rsidRDefault="00F4767D" w:rsidP="00193C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000171"/>
      <w:docPartObj>
        <w:docPartGallery w:val="Page Numbers (Bottom of Page)"/>
        <w:docPartUnique/>
      </w:docPartObj>
    </w:sdtPr>
    <w:sdtEndPr>
      <w:rPr>
        <w:noProof/>
      </w:rPr>
    </w:sdtEndPr>
    <w:sdtContent>
      <w:p w:rsidR="00B443E0" w:rsidRDefault="00F03BBB">
        <w:pPr>
          <w:pStyle w:val="Footer"/>
          <w:jc w:val="right"/>
        </w:pPr>
        <w:r>
          <w:fldChar w:fldCharType="begin"/>
        </w:r>
        <w:r w:rsidR="00B443E0">
          <w:instrText xml:space="preserve"> PAGE   \* MERGEFORMAT </w:instrText>
        </w:r>
        <w:r>
          <w:fldChar w:fldCharType="separate"/>
        </w:r>
        <w:r w:rsidR="00796C7C">
          <w:rPr>
            <w:noProof/>
          </w:rPr>
          <w:t>2</w:t>
        </w:r>
        <w:r>
          <w:rPr>
            <w:noProof/>
          </w:rPr>
          <w:fldChar w:fldCharType="end"/>
        </w:r>
      </w:p>
    </w:sdtContent>
  </w:sdt>
  <w:p w:rsidR="00B443E0" w:rsidRDefault="00B44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67D" w:rsidRDefault="00F4767D" w:rsidP="00193C19">
      <w:pPr>
        <w:spacing w:line="240" w:lineRule="auto"/>
      </w:pPr>
      <w:r w:rsidRPr="00193C19">
        <w:separator/>
      </w:r>
    </w:p>
  </w:footnote>
  <w:footnote w:type="continuationSeparator" w:id="0">
    <w:p w:rsidR="00F4767D" w:rsidRDefault="00F4767D" w:rsidP="00193C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E0" w:rsidRDefault="00B443E0">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E0" w:rsidRDefault="00B443E0">
    <w:pPr>
      <w:pStyle w:val="Header"/>
    </w:pPr>
    <w:r>
      <w:rPr>
        <w:noProof/>
        <w:lang w:val="en-US" w:eastAsia="en-US"/>
      </w:rPr>
      <w:drawing>
        <wp:anchor distT="0" distB="0" distL="114300" distR="114300" simplePos="0" relativeHeight="251657216" behindDoc="1" locked="0" layoutInCell="1" allowOverlap="1">
          <wp:simplePos x="0" y="0"/>
          <wp:positionH relativeFrom="page">
            <wp:posOffset>1764033</wp:posOffset>
          </wp:positionH>
          <wp:positionV relativeFrom="page">
            <wp:posOffset>3384551</wp:posOffset>
          </wp:positionV>
          <wp:extent cx="3998598" cy="3915405"/>
          <wp:effectExtent l="0" t="0" r="0" b="0"/>
          <wp:wrapNone/>
          <wp:docPr id="8" name="Picture 8" descr="waterma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998598" cy="3915405"/>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17BA"/>
    <w:multiLevelType w:val="hybridMultilevel"/>
    <w:tmpl w:val="46441FF8"/>
    <w:lvl w:ilvl="0" w:tplc="2EE69DDA">
      <w:start w:val="13"/>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AC903C2"/>
    <w:multiLevelType w:val="hybridMultilevel"/>
    <w:tmpl w:val="49BE7B0C"/>
    <w:lvl w:ilvl="0" w:tplc="0CA6AA22">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3013E2"/>
    <w:multiLevelType w:val="hybridMultilevel"/>
    <w:tmpl w:val="FE826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F942EBF"/>
    <w:multiLevelType w:val="hybridMultilevel"/>
    <w:tmpl w:val="1C02D996"/>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78576D"/>
    <w:multiLevelType w:val="hybridMultilevel"/>
    <w:tmpl w:val="8138DD7C"/>
    <w:lvl w:ilvl="0" w:tplc="83A23CC0">
      <w:start w:val="4"/>
      <w:numFmt w:val="bullet"/>
      <w:lvlText w:val=""/>
      <w:lvlJc w:val="left"/>
      <w:pPr>
        <w:ind w:left="360" w:hanging="360"/>
      </w:pPr>
      <w:rPr>
        <w:rFonts w:ascii="Symbol" w:eastAsia="Calibri"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BB26287"/>
    <w:multiLevelType w:val="hybridMultilevel"/>
    <w:tmpl w:val="4560F2B4"/>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FD22339"/>
    <w:multiLevelType w:val="hybridMultilevel"/>
    <w:tmpl w:val="D758E164"/>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48C63B9"/>
    <w:multiLevelType w:val="hybridMultilevel"/>
    <w:tmpl w:val="0896A5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46DB0F6A"/>
    <w:multiLevelType w:val="hybridMultilevel"/>
    <w:tmpl w:val="EE62C02C"/>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9">
    <w:nsid w:val="49F61946"/>
    <w:multiLevelType w:val="hybridMultilevel"/>
    <w:tmpl w:val="6F00BFE8"/>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2DA48E4"/>
    <w:multiLevelType w:val="multilevel"/>
    <w:tmpl w:val="278C9FC8"/>
    <w:lvl w:ilvl="0">
      <w:start w:val="1"/>
      <w:numFmt w:val="decimal"/>
      <w:lvlText w:val="%1."/>
      <w:lvlJc w:val="left"/>
      <w:pPr>
        <w:ind w:left="360" w:hanging="360"/>
      </w:pPr>
      <w:rPr>
        <w:rFonts w:hint="default"/>
      </w:rPr>
    </w:lvl>
    <w:lvl w:ilvl="1">
      <w:start w:val="1"/>
      <w:numFmt w:val="decimal"/>
      <w:lvlText w:val="%1.%2."/>
      <w:lvlJc w:val="left"/>
      <w:pPr>
        <w:ind w:left="52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62646A"/>
    <w:multiLevelType w:val="hybridMultilevel"/>
    <w:tmpl w:val="E2402CF8"/>
    <w:lvl w:ilvl="0" w:tplc="83A23CC0">
      <w:start w:val="4"/>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C9E67D8"/>
    <w:multiLevelType w:val="multilevel"/>
    <w:tmpl w:val="662ABEDA"/>
    <w:lvl w:ilvl="0">
      <w:start w:val="1"/>
      <w:numFmt w:val="decimal"/>
      <w:lvlText w:val="%1."/>
      <w:lvlJc w:val="left"/>
      <w:pPr>
        <w:ind w:left="360" w:hanging="360"/>
      </w:pPr>
      <w:rPr>
        <w:rFonts w:hint="default"/>
        <w:color w:val="E36C0A" w:themeColor="accent6" w:themeShade="BF"/>
      </w:rPr>
    </w:lvl>
    <w:lvl w:ilvl="1">
      <w:start w:val="1"/>
      <w:numFmt w:val="decimal"/>
      <w:lvlText w:val="%1.%2."/>
      <w:lvlJc w:val="left"/>
      <w:pPr>
        <w:ind w:left="574" w:hanging="432"/>
      </w:pPr>
      <w:rPr>
        <w:b/>
        <w:color w:val="E36C0A" w:themeColor="accent6"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241F48"/>
    <w:multiLevelType w:val="multilevel"/>
    <w:tmpl w:val="6E065BF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3740A8"/>
    <w:multiLevelType w:val="hybridMultilevel"/>
    <w:tmpl w:val="FBEE992A"/>
    <w:lvl w:ilvl="0" w:tplc="83A23CC0">
      <w:start w:val="4"/>
      <w:numFmt w:val="bullet"/>
      <w:lvlText w:val=""/>
      <w:lvlJc w:val="left"/>
      <w:pPr>
        <w:ind w:left="360" w:hanging="360"/>
      </w:pPr>
      <w:rPr>
        <w:rFonts w:ascii="Symbol" w:eastAsia="Calibri" w:hAnsi="Symbo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620E6DC0"/>
    <w:multiLevelType w:val="hybridMultilevel"/>
    <w:tmpl w:val="2AC4F08E"/>
    <w:lvl w:ilvl="0" w:tplc="30E63F42">
      <w:start w:val="1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6C42979"/>
    <w:multiLevelType w:val="hybridMultilevel"/>
    <w:tmpl w:val="2A80F6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73457737"/>
    <w:multiLevelType w:val="hybridMultilevel"/>
    <w:tmpl w:val="4AC86722"/>
    <w:lvl w:ilvl="0" w:tplc="B20E6DE4">
      <w:start w:val="10"/>
      <w:numFmt w:val="bullet"/>
      <w:lvlText w:val="-"/>
      <w:lvlJc w:val="left"/>
      <w:pPr>
        <w:ind w:left="786" w:hanging="360"/>
      </w:pPr>
      <w:rPr>
        <w:rFonts w:ascii="Times New Roman" w:eastAsia="Times New Roman" w:hAnsi="Times New Roman" w:cs="Times New Roman" w:hint="default"/>
        <w:b w:val="0"/>
        <w:color w:val="000000"/>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num w:numId="1">
    <w:abstractNumId w:val="16"/>
  </w:num>
  <w:num w:numId="2">
    <w:abstractNumId w:val="0"/>
  </w:num>
  <w:num w:numId="3">
    <w:abstractNumId w:val="14"/>
  </w:num>
  <w:num w:numId="4">
    <w:abstractNumId w:val="6"/>
  </w:num>
  <w:num w:numId="5">
    <w:abstractNumId w:val="4"/>
  </w:num>
  <w:num w:numId="6">
    <w:abstractNumId w:val="11"/>
  </w:num>
  <w:num w:numId="7">
    <w:abstractNumId w:val="5"/>
  </w:num>
  <w:num w:numId="8">
    <w:abstractNumId w:val="3"/>
  </w:num>
  <w:num w:numId="9">
    <w:abstractNumId w:val="9"/>
  </w:num>
  <w:num w:numId="10">
    <w:abstractNumId w:val="1"/>
  </w:num>
  <w:num w:numId="11">
    <w:abstractNumId w:val="8"/>
  </w:num>
  <w:num w:numId="12">
    <w:abstractNumId w:val="7"/>
  </w:num>
  <w:num w:numId="13">
    <w:abstractNumId w:val="13"/>
  </w:num>
  <w:num w:numId="14">
    <w:abstractNumId w:val="2"/>
  </w:num>
  <w:num w:numId="15">
    <w:abstractNumId w:val="15"/>
  </w:num>
  <w:num w:numId="16">
    <w:abstractNumId w:val="12"/>
  </w:num>
  <w:num w:numId="17">
    <w:abstractNumId w:val="10"/>
  </w:num>
  <w:num w:numId="18">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5122"/>
  </w:hdrShapeDefaults>
  <w:footnotePr>
    <w:footnote w:id="-1"/>
    <w:footnote w:id="0"/>
  </w:footnotePr>
  <w:endnotePr>
    <w:endnote w:id="-1"/>
    <w:endnote w:id="0"/>
  </w:endnotePr>
  <w:compat/>
  <w:rsids>
    <w:rsidRoot w:val="00193C19"/>
    <w:rsid w:val="00001407"/>
    <w:rsid w:val="00001BE1"/>
    <w:rsid w:val="0000311F"/>
    <w:rsid w:val="000043D5"/>
    <w:rsid w:val="000053AD"/>
    <w:rsid w:val="00005835"/>
    <w:rsid w:val="00005DEF"/>
    <w:rsid w:val="00005FFC"/>
    <w:rsid w:val="000063D5"/>
    <w:rsid w:val="00011E1A"/>
    <w:rsid w:val="00012D76"/>
    <w:rsid w:val="00013340"/>
    <w:rsid w:val="00013F11"/>
    <w:rsid w:val="00015DDC"/>
    <w:rsid w:val="00016168"/>
    <w:rsid w:val="00020F6E"/>
    <w:rsid w:val="00021807"/>
    <w:rsid w:val="00022070"/>
    <w:rsid w:val="00022D50"/>
    <w:rsid w:val="00027A0C"/>
    <w:rsid w:val="00032EAD"/>
    <w:rsid w:val="00035079"/>
    <w:rsid w:val="000353FF"/>
    <w:rsid w:val="0003711A"/>
    <w:rsid w:val="000374F3"/>
    <w:rsid w:val="00042322"/>
    <w:rsid w:val="00043438"/>
    <w:rsid w:val="00043C9B"/>
    <w:rsid w:val="00043D36"/>
    <w:rsid w:val="000453B3"/>
    <w:rsid w:val="00045CF9"/>
    <w:rsid w:val="00047D81"/>
    <w:rsid w:val="00051189"/>
    <w:rsid w:val="00053072"/>
    <w:rsid w:val="00055B01"/>
    <w:rsid w:val="000577C7"/>
    <w:rsid w:val="00057B92"/>
    <w:rsid w:val="00060811"/>
    <w:rsid w:val="00061286"/>
    <w:rsid w:val="000617E2"/>
    <w:rsid w:val="000619BB"/>
    <w:rsid w:val="00061F29"/>
    <w:rsid w:val="00064C89"/>
    <w:rsid w:val="00066544"/>
    <w:rsid w:val="00067F58"/>
    <w:rsid w:val="00073AEF"/>
    <w:rsid w:val="0007405F"/>
    <w:rsid w:val="00074CC2"/>
    <w:rsid w:val="0008221B"/>
    <w:rsid w:val="000833BB"/>
    <w:rsid w:val="000856B1"/>
    <w:rsid w:val="00085D4E"/>
    <w:rsid w:val="000866CF"/>
    <w:rsid w:val="00086B5F"/>
    <w:rsid w:val="000872F7"/>
    <w:rsid w:val="00091489"/>
    <w:rsid w:val="000920F0"/>
    <w:rsid w:val="000940DC"/>
    <w:rsid w:val="00094BE3"/>
    <w:rsid w:val="00095182"/>
    <w:rsid w:val="0009629E"/>
    <w:rsid w:val="0009650B"/>
    <w:rsid w:val="000A05D7"/>
    <w:rsid w:val="000A33C4"/>
    <w:rsid w:val="000A60DC"/>
    <w:rsid w:val="000A615D"/>
    <w:rsid w:val="000B140F"/>
    <w:rsid w:val="000B32FC"/>
    <w:rsid w:val="000B4EBC"/>
    <w:rsid w:val="000B6077"/>
    <w:rsid w:val="000B6633"/>
    <w:rsid w:val="000C03DF"/>
    <w:rsid w:val="000C2035"/>
    <w:rsid w:val="000C2A29"/>
    <w:rsid w:val="000C2C09"/>
    <w:rsid w:val="000C332C"/>
    <w:rsid w:val="000C4789"/>
    <w:rsid w:val="000C51FA"/>
    <w:rsid w:val="000C60FB"/>
    <w:rsid w:val="000C67C1"/>
    <w:rsid w:val="000C6A8F"/>
    <w:rsid w:val="000C7D2D"/>
    <w:rsid w:val="000D27CF"/>
    <w:rsid w:val="000D603E"/>
    <w:rsid w:val="000D6DCD"/>
    <w:rsid w:val="000E1610"/>
    <w:rsid w:val="000E5308"/>
    <w:rsid w:val="000F0A45"/>
    <w:rsid w:val="000F22B0"/>
    <w:rsid w:val="000F3C05"/>
    <w:rsid w:val="000F4009"/>
    <w:rsid w:val="000F4430"/>
    <w:rsid w:val="000F6025"/>
    <w:rsid w:val="000F74BF"/>
    <w:rsid w:val="00100729"/>
    <w:rsid w:val="00100FE8"/>
    <w:rsid w:val="00101736"/>
    <w:rsid w:val="00102FB4"/>
    <w:rsid w:val="00104104"/>
    <w:rsid w:val="00106467"/>
    <w:rsid w:val="0011037F"/>
    <w:rsid w:val="001103FF"/>
    <w:rsid w:val="0011191C"/>
    <w:rsid w:val="001123F3"/>
    <w:rsid w:val="0011307D"/>
    <w:rsid w:val="00114BE3"/>
    <w:rsid w:val="00117466"/>
    <w:rsid w:val="00122B7B"/>
    <w:rsid w:val="00130222"/>
    <w:rsid w:val="0013388F"/>
    <w:rsid w:val="00133BBF"/>
    <w:rsid w:val="001343BE"/>
    <w:rsid w:val="00136E9C"/>
    <w:rsid w:val="00141089"/>
    <w:rsid w:val="001416B0"/>
    <w:rsid w:val="00142762"/>
    <w:rsid w:val="00143A7D"/>
    <w:rsid w:val="0014532A"/>
    <w:rsid w:val="00145ACB"/>
    <w:rsid w:val="001502B3"/>
    <w:rsid w:val="00151336"/>
    <w:rsid w:val="00152711"/>
    <w:rsid w:val="00152AE9"/>
    <w:rsid w:val="00152EB5"/>
    <w:rsid w:val="00153D4E"/>
    <w:rsid w:val="001544D5"/>
    <w:rsid w:val="00154C44"/>
    <w:rsid w:val="001565F7"/>
    <w:rsid w:val="00156913"/>
    <w:rsid w:val="0016015C"/>
    <w:rsid w:val="001609C6"/>
    <w:rsid w:val="00161FB9"/>
    <w:rsid w:val="001629E6"/>
    <w:rsid w:val="00165FBB"/>
    <w:rsid w:val="001673DD"/>
    <w:rsid w:val="0017081F"/>
    <w:rsid w:val="00173404"/>
    <w:rsid w:val="00175325"/>
    <w:rsid w:val="0017562D"/>
    <w:rsid w:val="001766BA"/>
    <w:rsid w:val="00177DE2"/>
    <w:rsid w:val="00177EEB"/>
    <w:rsid w:val="00180033"/>
    <w:rsid w:val="00182BAF"/>
    <w:rsid w:val="00184FC5"/>
    <w:rsid w:val="0018547D"/>
    <w:rsid w:val="00186464"/>
    <w:rsid w:val="001929B0"/>
    <w:rsid w:val="00193C19"/>
    <w:rsid w:val="001969AE"/>
    <w:rsid w:val="001A0EBB"/>
    <w:rsid w:val="001A11F6"/>
    <w:rsid w:val="001A159F"/>
    <w:rsid w:val="001A57EA"/>
    <w:rsid w:val="001A5C30"/>
    <w:rsid w:val="001A766F"/>
    <w:rsid w:val="001A7851"/>
    <w:rsid w:val="001B04FD"/>
    <w:rsid w:val="001B1B5F"/>
    <w:rsid w:val="001B22BB"/>
    <w:rsid w:val="001B2335"/>
    <w:rsid w:val="001B28D4"/>
    <w:rsid w:val="001B3DDF"/>
    <w:rsid w:val="001B52CE"/>
    <w:rsid w:val="001B693D"/>
    <w:rsid w:val="001C3769"/>
    <w:rsid w:val="001C56A6"/>
    <w:rsid w:val="001C6976"/>
    <w:rsid w:val="001C6E97"/>
    <w:rsid w:val="001D0B4F"/>
    <w:rsid w:val="001D0E84"/>
    <w:rsid w:val="001D23B0"/>
    <w:rsid w:val="001D2A35"/>
    <w:rsid w:val="001D2DF6"/>
    <w:rsid w:val="001D41E2"/>
    <w:rsid w:val="001D520E"/>
    <w:rsid w:val="001D52AF"/>
    <w:rsid w:val="001D7AA7"/>
    <w:rsid w:val="001D7AE6"/>
    <w:rsid w:val="001E09C3"/>
    <w:rsid w:val="001E2451"/>
    <w:rsid w:val="001E31AE"/>
    <w:rsid w:val="001E3BE9"/>
    <w:rsid w:val="001E48A9"/>
    <w:rsid w:val="001E5460"/>
    <w:rsid w:val="001F1075"/>
    <w:rsid w:val="001F1F3D"/>
    <w:rsid w:val="001F27AF"/>
    <w:rsid w:val="001F6196"/>
    <w:rsid w:val="00201F4E"/>
    <w:rsid w:val="0020393E"/>
    <w:rsid w:val="00203BB2"/>
    <w:rsid w:val="00203DA6"/>
    <w:rsid w:val="0020691D"/>
    <w:rsid w:val="00210AB9"/>
    <w:rsid w:val="00211701"/>
    <w:rsid w:val="00213791"/>
    <w:rsid w:val="00214BE3"/>
    <w:rsid w:val="00216137"/>
    <w:rsid w:val="00216177"/>
    <w:rsid w:val="00217734"/>
    <w:rsid w:val="00217FA7"/>
    <w:rsid w:val="00220124"/>
    <w:rsid w:val="00220E64"/>
    <w:rsid w:val="00222E29"/>
    <w:rsid w:val="002246A2"/>
    <w:rsid w:val="0022550C"/>
    <w:rsid w:val="00225D4C"/>
    <w:rsid w:val="0022650A"/>
    <w:rsid w:val="00226AE9"/>
    <w:rsid w:val="00227E89"/>
    <w:rsid w:val="00231763"/>
    <w:rsid w:val="0023230C"/>
    <w:rsid w:val="002323A3"/>
    <w:rsid w:val="0023286B"/>
    <w:rsid w:val="00233AD7"/>
    <w:rsid w:val="002375B5"/>
    <w:rsid w:val="00237B26"/>
    <w:rsid w:val="0024078B"/>
    <w:rsid w:val="00241D66"/>
    <w:rsid w:val="0024284C"/>
    <w:rsid w:val="00242941"/>
    <w:rsid w:val="00242C3B"/>
    <w:rsid w:val="00242DC9"/>
    <w:rsid w:val="00243F1F"/>
    <w:rsid w:val="00245DA5"/>
    <w:rsid w:val="00253A48"/>
    <w:rsid w:val="002545AC"/>
    <w:rsid w:val="00254A2E"/>
    <w:rsid w:val="0025523A"/>
    <w:rsid w:val="0025660F"/>
    <w:rsid w:val="00257F0A"/>
    <w:rsid w:val="00261A74"/>
    <w:rsid w:val="0026312E"/>
    <w:rsid w:val="0026351C"/>
    <w:rsid w:val="00264416"/>
    <w:rsid w:val="00265920"/>
    <w:rsid w:val="00266E03"/>
    <w:rsid w:val="002670E5"/>
    <w:rsid w:val="00267F37"/>
    <w:rsid w:val="00270522"/>
    <w:rsid w:val="00271A4F"/>
    <w:rsid w:val="00272A9A"/>
    <w:rsid w:val="00272BB5"/>
    <w:rsid w:val="00273487"/>
    <w:rsid w:val="002764D3"/>
    <w:rsid w:val="0027692B"/>
    <w:rsid w:val="0028017C"/>
    <w:rsid w:val="0028061D"/>
    <w:rsid w:val="00280EF8"/>
    <w:rsid w:val="0028590A"/>
    <w:rsid w:val="0028651A"/>
    <w:rsid w:val="00287DD8"/>
    <w:rsid w:val="0029135B"/>
    <w:rsid w:val="002927DB"/>
    <w:rsid w:val="00294FDE"/>
    <w:rsid w:val="0029523B"/>
    <w:rsid w:val="0029653A"/>
    <w:rsid w:val="002965DA"/>
    <w:rsid w:val="00297786"/>
    <w:rsid w:val="00297F40"/>
    <w:rsid w:val="002A23B8"/>
    <w:rsid w:val="002A3461"/>
    <w:rsid w:val="002A5C43"/>
    <w:rsid w:val="002A68FB"/>
    <w:rsid w:val="002A6A63"/>
    <w:rsid w:val="002A6ECD"/>
    <w:rsid w:val="002A7117"/>
    <w:rsid w:val="002B0C34"/>
    <w:rsid w:val="002B120B"/>
    <w:rsid w:val="002B1B70"/>
    <w:rsid w:val="002B2A6A"/>
    <w:rsid w:val="002B349B"/>
    <w:rsid w:val="002B70EA"/>
    <w:rsid w:val="002C49E1"/>
    <w:rsid w:val="002C6F12"/>
    <w:rsid w:val="002C71A2"/>
    <w:rsid w:val="002D002E"/>
    <w:rsid w:val="002D1946"/>
    <w:rsid w:val="002D1E09"/>
    <w:rsid w:val="002D2714"/>
    <w:rsid w:val="002D5E92"/>
    <w:rsid w:val="002D713B"/>
    <w:rsid w:val="002D74A2"/>
    <w:rsid w:val="002E4A9D"/>
    <w:rsid w:val="002E5746"/>
    <w:rsid w:val="002E581A"/>
    <w:rsid w:val="002E5F32"/>
    <w:rsid w:val="002E6465"/>
    <w:rsid w:val="002E7351"/>
    <w:rsid w:val="002E77AE"/>
    <w:rsid w:val="002F1490"/>
    <w:rsid w:val="002F17CB"/>
    <w:rsid w:val="002F2E89"/>
    <w:rsid w:val="002F3F77"/>
    <w:rsid w:val="002F4C7E"/>
    <w:rsid w:val="002F5D9A"/>
    <w:rsid w:val="002F78CD"/>
    <w:rsid w:val="00300C2B"/>
    <w:rsid w:val="003010D6"/>
    <w:rsid w:val="00301726"/>
    <w:rsid w:val="00302FE8"/>
    <w:rsid w:val="00312120"/>
    <w:rsid w:val="00312A2B"/>
    <w:rsid w:val="003149AD"/>
    <w:rsid w:val="00315350"/>
    <w:rsid w:val="00315B88"/>
    <w:rsid w:val="00320E8C"/>
    <w:rsid w:val="00322D02"/>
    <w:rsid w:val="00325D26"/>
    <w:rsid w:val="00326DF0"/>
    <w:rsid w:val="0032764E"/>
    <w:rsid w:val="0033251F"/>
    <w:rsid w:val="00332742"/>
    <w:rsid w:val="003333A0"/>
    <w:rsid w:val="003339C5"/>
    <w:rsid w:val="0033414F"/>
    <w:rsid w:val="00334BEB"/>
    <w:rsid w:val="00335D36"/>
    <w:rsid w:val="003365A4"/>
    <w:rsid w:val="00336F2F"/>
    <w:rsid w:val="00337C9E"/>
    <w:rsid w:val="00340354"/>
    <w:rsid w:val="00340494"/>
    <w:rsid w:val="003419D1"/>
    <w:rsid w:val="00341A30"/>
    <w:rsid w:val="00341F48"/>
    <w:rsid w:val="0034228E"/>
    <w:rsid w:val="00342F88"/>
    <w:rsid w:val="00343FB6"/>
    <w:rsid w:val="00346024"/>
    <w:rsid w:val="0034672D"/>
    <w:rsid w:val="00346DF4"/>
    <w:rsid w:val="003479FD"/>
    <w:rsid w:val="003514E8"/>
    <w:rsid w:val="00356221"/>
    <w:rsid w:val="0035666B"/>
    <w:rsid w:val="00356A4A"/>
    <w:rsid w:val="00356A69"/>
    <w:rsid w:val="00365EEB"/>
    <w:rsid w:val="00366284"/>
    <w:rsid w:val="003667C4"/>
    <w:rsid w:val="00372045"/>
    <w:rsid w:val="00372B40"/>
    <w:rsid w:val="0037391E"/>
    <w:rsid w:val="00373CBA"/>
    <w:rsid w:val="003740D0"/>
    <w:rsid w:val="003754A8"/>
    <w:rsid w:val="00376FFB"/>
    <w:rsid w:val="00380010"/>
    <w:rsid w:val="00381B59"/>
    <w:rsid w:val="003848D3"/>
    <w:rsid w:val="00384CFF"/>
    <w:rsid w:val="00385103"/>
    <w:rsid w:val="00386024"/>
    <w:rsid w:val="00386A07"/>
    <w:rsid w:val="003919BF"/>
    <w:rsid w:val="00392CBB"/>
    <w:rsid w:val="00394629"/>
    <w:rsid w:val="003970D4"/>
    <w:rsid w:val="003A047B"/>
    <w:rsid w:val="003A1755"/>
    <w:rsid w:val="003A2C41"/>
    <w:rsid w:val="003A2FCE"/>
    <w:rsid w:val="003A6DC4"/>
    <w:rsid w:val="003A6E32"/>
    <w:rsid w:val="003A7223"/>
    <w:rsid w:val="003A741C"/>
    <w:rsid w:val="003B521C"/>
    <w:rsid w:val="003B54D0"/>
    <w:rsid w:val="003B65FD"/>
    <w:rsid w:val="003B6ED8"/>
    <w:rsid w:val="003B7B3C"/>
    <w:rsid w:val="003B7FDE"/>
    <w:rsid w:val="003C0B10"/>
    <w:rsid w:val="003C2A40"/>
    <w:rsid w:val="003C302F"/>
    <w:rsid w:val="003C4B34"/>
    <w:rsid w:val="003C4E3C"/>
    <w:rsid w:val="003C4FB4"/>
    <w:rsid w:val="003C60E4"/>
    <w:rsid w:val="003D0254"/>
    <w:rsid w:val="003D0FA2"/>
    <w:rsid w:val="003D19BF"/>
    <w:rsid w:val="003D2B11"/>
    <w:rsid w:val="003D2EB9"/>
    <w:rsid w:val="003D56F2"/>
    <w:rsid w:val="003D6414"/>
    <w:rsid w:val="003D7A51"/>
    <w:rsid w:val="003E0D12"/>
    <w:rsid w:val="003E144A"/>
    <w:rsid w:val="003E1752"/>
    <w:rsid w:val="003E1A95"/>
    <w:rsid w:val="003E1DA2"/>
    <w:rsid w:val="003E1E86"/>
    <w:rsid w:val="003E248D"/>
    <w:rsid w:val="003E259B"/>
    <w:rsid w:val="003E5218"/>
    <w:rsid w:val="003E52B3"/>
    <w:rsid w:val="003E52BB"/>
    <w:rsid w:val="003E548A"/>
    <w:rsid w:val="003E5BF9"/>
    <w:rsid w:val="003F0CC9"/>
    <w:rsid w:val="003F1871"/>
    <w:rsid w:val="003F2738"/>
    <w:rsid w:val="003F3520"/>
    <w:rsid w:val="003F4918"/>
    <w:rsid w:val="003F4E75"/>
    <w:rsid w:val="003F66A8"/>
    <w:rsid w:val="003F7C8B"/>
    <w:rsid w:val="00400508"/>
    <w:rsid w:val="004015BD"/>
    <w:rsid w:val="004022A7"/>
    <w:rsid w:val="00403FD0"/>
    <w:rsid w:val="00404A78"/>
    <w:rsid w:val="00404C19"/>
    <w:rsid w:val="00406C1A"/>
    <w:rsid w:val="00406F2E"/>
    <w:rsid w:val="00407CEB"/>
    <w:rsid w:val="00410E94"/>
    <w:rsid w:val="00415323"/>
    <w:rsid w:val="00415D11"/>
    <w:rsid w:val="0041752F"/>
    <w:rsid w:val="00420BE2"/>
    <w:rsid w:val="004225C6"/>
    <w:rsid w:val="0042286D"/>
    <w:rsid w:val="00424730"/>
    <w:rsid w:val="004252C6"/>
    <w:rsid w:val="00425FAC"/>
    <w:rsid w:val="00426995"/>
    <w:rsid w:val="00427915"/>
    <w:rsid w:val="00432432"/>
    <w:rsid w:val="00433F1B"/>
    <w:rsid w:val="00435382"/>
    <w:rsid w:val="004357A9"/>
    <w:rsid w:val="004359CE"/>
    <w:rsid w:val="0043633A"/>
    <w:rsid w:val="00436ABF"/>
    <w:rsid w:val="00437F3B"/>
    <w:rsid w:val="00440305"/>
    <w:rsid w:val="00440AB1"/>
    <w:rsid w:val="00441C77"/>
    <w:rsid w:val="00443612"/>
    <w:rsid w:val="004442C2"/>
    <w:rsid w:val="0044466F"/>
    <w:rsid w:val="00445D28"/>
    <w:rsid w:val="004466F5"/>
    <w:rsid w:val="0045019A"/>
    <w:rsid w:val="00450B14"/>
    <w:rsid w:val="0045517E"/>
    <w:rsid w:val="00456A33"/>
    <w:rsid w:val="00456B6F"/>
    <w:rsid w:val="004603AF"/>
    <w:rsid w:val="00462954"/>
    <w:rsid w:val="00463FCC"/>
    <w:rsid w:val="004646C7"/>
    <w:rsid w:val="004678BF"/>
    <w:rsid w:val="004678FA"/>
    <w:rsid w:val="00467A39"/>
    <w:rsid w:val="00470228"/>
    <w:rsid w:val="00470CCC"/>
    <w:rsid w:val="00471B7A"/>
    <w:rsid w:val="00474C9D"/>
    <w:rsid w:val="00475134"/>
    <w:rsid w:val="00476D1A"/>
    <w:rsid w:val="00477DF7"/>
    <w:rsid w:val="00480F85"/>
    <w:rsid w:val="00483407"/>
    <w:rsid w:val="00483C9F"/>
    <w:rsid w:val="00484F8D"/>
    <w:rsid w:val="00490564"/>
    <w:rsid w:val="00490F1F"/>
    <w:rsid w:val="00491480"/>
    <w:rsid w:val="00491D18"/>
    <w:rsid w:val="00494EAF"/>
    <w:rsid w:val="00495BD1"/>
    <w:rsid w:val="00495C9D"/>
    <w:rsid w:val="00496A15"/>
    <w:rsid w:val="00496A66"/>
    <w:rsid w:val="004A4DB9"/>
    <w:rsid w:val="004A5A1F"/>
    <w:rsid w:val="004A5B73"/>
    <w:rsid w:val="004A64D1"/>
    <w:rsid w:val="004B44E7"/>
    <w:rsid w:val="004B45E6"/>
    <w:rsid w:val="004B4D34"/>
    <w:rsid w:val="004B510D"/>
    <w:rsid w:val="004B59E8"/>
    <w:rsid w:val="004B5C19"/>
    <w:rsid w:val="004B6488"/>
    <w:rsid w:val="004B65B2"/>
    <w:rsid w:val="004B765E"/>
    <w:rsid w:val="004C2178"/>
    <w:rsid w:val="004C316F"/>
    <w:rsid w:val="004C3B38"/>
    <w:rsid w:val="004C5C08"/>
    <w:rsid w:val="004C6225"/>
    <w:rsid w:val="004C69AA"/>
    <w:rsid w:val="004C6E53"/>
    <w:rsid w:val="004D0EE8"/>
    <w:rsid w:val="004D18D9"/>
    <w:rsid w:val="004D31A4"/>
    <w:rsid w:val="004D358B"/>
    <w:rsid w:val="004D3FB4"/>
    <w:rsid w:val="004D4586"/>
    <w:rsid w:val="004D68FB"/>
    <w:rsid w:val="004D735C"/>
    <w:rsid w:val="004E08AA"/>
    <w:rsid w:val="004E1589"/>
    <w:rsid w:val="004E1F09"/>
    <w:rsid w:val="004E24A1"/>
    <w:rsid w:val="004E260F"/>
    <w:rsid w:val="004E4BEF"/>
    <w:rsid w:val="004E4C23"/>
    <w:rsid w:val="004E6558"/>
    <w:rsid w:val="004E6B72"/>
    <w:rsid w:val="004E6E7C"/>
    <w:rsid w:val="004F2E1D"/>
    <w:rsid w:val="004F3BF6"/>
    <w:rsid w:val="004F4BDB"/>
    <w:rsid w:val="004F4EA8"/>
    <w:rsid w:val="004F4F7B"/>
    <w:rsid w:val="004F7B33"/>
    <w:rsid w:val="004F7D5D"/>
    <w:rsid w:val="0050156D"/>
    <w:rsid w:val="00501606"/>
    <w:rsid w:val="005016A4"/>
    <w:rsid w:val="0050327F"/>
    <w:rsid w:val="005033C4"/>
    <w:rsid w:val="005039AD"/>
    <w:rsid w:val="005049DD"/>
    <w:rsid w:val="00504FA0"/>
    <w:rsid w:val="005056D1"/>
    <w:rsid w:val="00505CFA"/>
    <w:rsid w:val="00505E4B"/>
    <w:rsid w:val="00506352"/>
    <w:rsid w:val="00507860"/>
    <w:rsid w:val="00507DA9"/>
    <w:rsid w:val="005112F3"/>
    <w:rsid w:val="005137E1"/>
    <w:rsid w:val="00514DDE"/>
    <w:rsid w:val="00515754"/>
    <w:rsid w:val="00515F1E"/>
    <w:rsid w:val="00517494"/>
    <w:rsid w:val="00517B9C"/>
    <w:rsid w:val="00520450"/>
    <w:rsid w:val="00521C87"/>
    <w:rsid w:val="00521D3D"/>
    <w:rsid w:val="00522795"/>
    <w:rsid w:val="005228F8"/>
    <w:rsid w:val="00523972"/>
    <w:rsid w:val="00526CF0"/>
    <w:rsid w:val="005278DA"/>
    <w:rsid w:val="00534729"/>
    <w:rsid w:val="00534EA3"/>
    <w:rsid w:val="005355A8"/>
    <w:rsid w:val="005406AD"/>
    <w:rsid w:val="005415F2"/>
    <w:rsid w:val="0054231F"/>
    <w:rsid w:val="00542B08"/>
    <w:rsid w:val="00542BB3"/>
    <w:rsid w:val="00542E8B"/>
    <w:rsid w:val="00543335"/>
    <w:rsid w:val="00547CCD"/>
    <w:rsid w:val="00550DF3"/>
    <w:rsid w:val="00552FEC"/>
    <w:rsid w:val="005550A2"/>
    <w:rsid w:val="00555FDE"/>
    <w:rsid w:val="005573E1"/>
    <w:rsid w:val="00557DC6"/>
    <w:rsid w:val="00561B2E"/>
    <w:rsid w:val="0056219B"/>
    <w:rsid w:val="00562561"/>
    <w:rsid w:val="00565C3A"/>
    <w:rsid w:val="00565E8C"/>
    <w:rsid w:val="00567EDE"/>
    <w:rsid w:val="005708DF"/>
    <w:rsid w:val="00572022"/>
    <w:rsid w:val="0057217E"/>
    <w:rsid w:val="00572C8B"/>
    <w:rsid w:val="005779E1"/>
    <w:rsid w:val="005817C8"/>
    <w:rsid w:val="00582244"/>
    <w:rsid w:val="00582CE2"/>
    <w:rsid w:val="00584657"/>
    <w:rsid w:val="00586F2F"/>
    <w:rsid w:val="0058724E"/>
    <w:rsid w:val="005902B0"/>
    <w:rsid w:val="00593884"/>
    <w:rsid w:val="005952E9"/>
    <w:rsid w:val="005A1318"/>
    <w:rsid w:val="005A1EB4"/>
    <w:rsid w:val="005A260F"/>
    <w:rsid w:val="005A67B7"/>
    <w:rsid w:val="005B175D"/>
    <w:rsid w:val="005B22F9"/>
    <w:rsid w:val="005B3B92"/>
    <w:rsid w:val="005B5748"/>
    <w:rsid w:val="005B7A74"/>
    <w:rsid w:val="005C1469"/>
    <w:rsid w:val="005C4F9F"/>
    <w:rsid w:val="005C606E"/>
    <w:rsid w:val="005C67E9"/>
    <w:rsid w:val="005C68BB"/>
    <w:rsid w:val="005C6F76"/>
    <w:rsid w:val="005D0583"/>
    <w:rsid w:val="005D1C9F"/>
    <w:rsid w:val="005D3116"/>
    <w:rsid w:val="005D3179"/>
    <w:rsid w:val="005D3F7E"/>
    <w:rsid w:val="005D415E"/>
    <w:rsid w:val="005D63A8"/>
    <w:rsid w:val="005D66AC"/>
    <w:rsid w:val="005D6B73"/>
    <w:rsid w:val="005D6E0E"/>
    <w:rsid w:val="005D750A"/>
    <w:rsid w:val="005D79FC"/>
    <w:rsid w:val="005E1E38"/>
    <w:rsid w:val="005E2836"/>
    <w:rsid w:val="005E30AB"/>
    <w:rsid w:val="005E39A6"/>
    <w:rsid w:val="005E4943"/>
    <w:rsid w:val="005E5F98"/>
    <w:rsid w:val="005E6CDE"/>
    <w:rsid w:val="005F05C3"/>
    <w:rsid w:val="005F1902"/>
    <w:rsid w:val="005F2D75"/>
    <w:rsid w:val="005F433F"/>
    <w:rsid w:val="005F4341"/>
    <w:rsid w:val="005F4FC5"/>
    <w:rsid w:val="005F5CA5"/>
    <w:rsid w:val="005F6945"/>
    <w:rsid w:val="005F7109"/>
    <w:rsid w:val="005F797C"/>
    <w:rsid w:val="0060016E"/>
    <w:rsid w:val="0060086E"/>
    <w:rsid w:val="006014B6"/>
    <w:rsid w:val="006031F2"/>
    <w:rsid w:val="00603B7D"/>
    <w:rsid w:val="006043B8"/>
    <w:rsid w:val="0060447E"/>
    <w:rsid w:val="00604564"/>
    <w:rsid w:val="0060465E"/>
    <w:rsid w:val="00604794"/>
    <w:rsid w:val="00604A81"/>
    <w:rsid w:val="0060612B"/>
    <w:rsid w:val="00607EA6"/>
    <w:rsid w:val="00610566"/>
    <w:rsid w:val="0061073A"/>
    <w:rsid w:val="006117E1"/>
    <w:rsid w:val="00613099"/>
    <w:rsid w:val="006139D3"/>
    <w:rsid w:val="00613B75"/>
    <w:rsid w:val="006142FB"/>
    <w:rsid w:val="00614F72"/>
    <w:rsid w:val="006152A8"/>
    <w:rsid w:val="00615AAB"/>
    <w:rsid w:val="0062082B"/>
    <w:rsid w:val="00621F93"/>
    <w:rsid w:val="006225C2"/>
    <w:rsid w:val="00622837"/>
    <w:rsid w:val="006233A8"/>
    <w:rsid w:val="006237D9"/>
    <w:rsid w:val="00624801"/>
    <w:rsid w:val="00624BBF"/>
    <w:rsid w:val="00627353"/>
    <w:rsid w:val="00627616"/>
    <w:rsid w:val="006304A0"/>
    <w:rsid w:val="0063745B"/>
    <w:rsid w:val="00640BE4"/>
    <w:rsid w:val="006434F8"/>
    <w:rsid w:val="00643F7E"/>
    <w:rsid w:val="00645714"/>
    <w:rsid w:val="0064599B"/>
    <w:rsid w:val="006464B6"/>
    <w:rsid w:val="00646812"/>
    <w:rsid w:val="00646CEE"/>
    <w:rsid w:val="00646D1D"/>
    <w:rsid w:val="00646F23"/>
    <w:rsid w:val="00647D61"/>
    <w:rsid w:val="00647F44"/>
    <w:rsid w:val="00650131"/>
    <w:rsid w:val="0065023C"/>
    <w:rsid w:val="00650B78"/>
    <w:rsid w:val="00650CA6"/>
    <w:rsid w:val="00650D21"/>
    <w:rsid w:val="00651942"/>
    <w:rsid w:val="00652AF4"/>
    <w:rsid w:val="00654227"/>
    <w:rsid w:val="00654A57"/>
    <w:rsid w:val="00657366"/>
    <w:rsid w:val="006620DB"/>
    <w:rsid w:val="0066296A"/>
    <w:rsid w:val="0066491C"/>
    <w:rsid w:val="00666162"/>
    <w:rsid w:val="0066697A"/>
    <w:rsid w:val="0066751C"/>
    <w:rsid w:val="00667BBA"/>
    <w:rsid w:val="00670807"/>
    <w:rsid w:val="0067279E"/>
    <w:rsid w:val="006767B6"/>
    <w:rsid w:val="00680347"/>
    <w:rsid w:val="0068046E"/>
    <w:rsid w:val="00682F33"/>
    <w:rsid w:val="006843E5"/>
    <w:rsid w:val="00686C35"/>
    <w:rsid w:val="00686D7C"/>
    <w:rsid w:val="0069630D"/>
    <w:rsid w:val="006A18B8"/>
    <w:rsid w:val="006A1D92"/>
    <w:rsid w:val="006A335C"/>
    <w:rsid w:val="006A5872"/>
    <w:rsid w:val="006A5AEA"/>
    <w:rsid w:val="006A6062"/>
    <w:rsid w:val="006A6066"/>
    <w:rsid w:val="006A6276"/>
    <w:rsid w:val="006A6DC0"/>
    <w:rsid w:val="006B06B5"/>
    <w:rsid w:val="006B213A"/>
    <w:rsid w:val="006B3F93"/>
    <w:rsid w:val="006B6D09"/>
    <w:rsid w:val="006B6F1F"/>
    <w:rsid w:val="006C141C"/>
    <w:rsid w:val="006C2F74"/>
    <w:rsid w:val="006C39E2"/>
    <w:rsid w:val="006C43E4"/>
    <w:rsid w:val="006C59EE"/>
    <w:rsid w:val="006C6F7A"/>
    <w:rsid w:val="006C7074"/>
    <w:rsid w:val="006C7CC0"/>
    <w:rsid w:val="006C7E5D"/>
    <w:rsid w:val="006D2D8B"/>
    <w:rsid w:val="006D38A7"/>
    <w:rsid w:val="006D5AD4"/>
    <w:rsid w:val="006E01E7"/>
    <w:rsid w:val="006E1761"/>
    <w:rsid w:val="006E18DC"/>
    <w:rsid w:val="006E22B4"/>
    <w:rsid w:val="006E235B"/>
    <w:rsid w:val="006E2644"/>
    <w:rsid w:val="006E4106"/>
    <w:rsid w:val="006E5115"/>
    <w:rsid w:val="006F0FE5"/>
    <w:rsid w:val="006F1525"/>
    <w:rsid w:val="006F2D4A"/>
    <w:rsid w:val="006F4948"/>
    <w:rsid w:val="006F514F"/>
    <w:rsid w:val="006F5587"/>
    <w:rsid w:val="006F677A"/>
    <w:rsid w:val="006F6CC9"/>
    <w:rsid w:val="00703E41"/>
    <w:rsid w:val="0070517C"/>
    <w:rsid w:val="0070571B"/>
    <w:rsid w:val="00705D56"/>
    <w:rsid w:val="00706A8A"/>
    <w:rsid w:val="00706AE3"/>
    <w:rsid w:val="00707289"/>
    <w:rsid w:val="007100AC"/>
    <w:rsid w:val="0071038C"/>
    <w:rsid w:val="007109E1"/>
    <w:rsid w:val="00710F67"/>
    <w:rsid w:val="0071207D"/>
    <w:rsid w:val="00713F8F"/>
    <w:rsid w:val="00715AE9"/>
    <w:rsid w:val="00717F16"/>
    <w:rsid w:val="00722570"/>
    <w:rsid w:val="00724E1F"/>
    <w:rsid w:val="00725B71"/>
    <w:rsid w:val="00730FD3"/>
    <w:rsid w:val="00731A0C"/>
    <w:rsid w:val="00732AD6"/>
    <w:rsid w:val="00733670"/>
    <w:rsid w:val="00733DA7"/>
    <w:rsid w:val="00734103"/>
    <w:rsid w:val="00735DE1"/>
    <w:rsid w:val="0073654B"/>
    <w:rsid w:val="00736AFC"/>
    <w:rsid w:val="00740DAE"/>
    <w:rsid w:val="007415CF"/>
    <w:rsid w:val="007422AE"/>
    <w:rsid w:val="00744DF7"/>
    <w:rsid w:val="00744E4E"/>
    <w:rsid w:val="00747A69"/>
    <w:rsid w:val="00747CC2"/>
    <w:rsid w:val="00752718"/>
    <w:rsid w:val="00752E0C"/>
    <w:rsid w:val="0075372D"/>
    <w:rsid w:val="00753D23"/>
    <w:rsid w:val="00754DF9"/>
    <w:rsid w:val="00755098"/>
    <w:rsid w:val="007557A1"/>
    <w:rsid w:val="00756336"/>
    <w:rsid w:val="00757EA6"/>
    <w:rsid w:val="007600B8"/>
    <w:rsid w:val="00761718"/>
    <w:rsid w:val="007667BD"/>
    <w:rsid w:val="00766915"/>
    <w:rsid w:val="00766942"/>
    <w:rsid w:val="00766DA7"/>
    <w:rsid w:val="0076745D"/>
    <w:rsid w:val="00771E0C"/>
    <w:rsid w:val="007723C1"/>
    <w:rsid w:val="00773C7E"/>
    <w:rsid w:val="00773E3B"/>
    <w:rsid w:val="00774290"/>
    <w:rsid w:val="00774F4E"/>
    <w:rsid w:val="00775AE0"/>
    <w:rsid w:val="00776B12"/>
    <w:rsid w:val="00776C3A"/>
    <w:rsid w:val="007778AE"/>
    <w:rsid w:val="00780395"/>
    <w:rsid w:val="00780A51"/>
    <w:rsid w:val="00780F4D"/>
    <w:rsid w:val="007812DC"/>
    <w:rsid w:val="007829E5"/>
    <w:rsid w:val="00783FBC"/>
    <w:rsid w:val="0078480B"/>
    <w:rsid w:val="0078504A"/>
    <w:rsid w:val="00785D70"/>
    <w:rsid w:val="00787729"/>
    <w:rsid w:val="00787A61"/>
    <w:rsid w:val="00792A06"/>
    <w:rsid w:val="00793040"/>
    <w:rsid w:val="00795257"/>
    <w:rsid w:val="00795A0F"/>
    <w:rsid w:val="00796C7C"/>
    <w:rsid w:val="00797029"/>
    <w:rsid w:val="00797625"/>
    <w:rsid w:val="007A053F"/>
    <w:rsid w:val="007A0597"/>
    <w:rsid w:val="007A1578"/>
    <w:rsid w:val="007A1DB5"/>
    <w:rsid w:val="007A39AE"/>
    <w:rsid w:val="007A488B"/>
    <w:rsid w:val="007A48FE"/>
    <w:rsid w:val="007A4C93"/>
    <w:rsid w:val="007A6F4B"/>
    <w:rsid w:val="007A7657"/>
    <w:rsid w:val="007B1AC3"/>
    <w:rsid w:val="007B1BF4"/>
    <w:rsid w:val="007B262B"/>
    <w:rsid w:val="007B3B15"/>
    <w:rsid w:val="007B4D7C"/>
    <w:rsid w:val="007B60BB"/>
    <w:rsid w:val="007B63A4"/>
    <w:rsid w:val="007B7582"/>
    <w:rsid w:val="007B77B2"/>
    <w:rsid w:val="007B7EDF"/>
    <w:rsid w:val="007C0C01"/>
    <w:rsid w:val="007C1C02"/>
    <w:rsid w:val="007C3345"/>
    <w:rsid w:val="007C34BA"/>
    <w:rsid w:val="007C4A54"/>
    <w:rsid w:val="007C54EB"/>
    <w:rsid w:val="007C5BAB"/>
    <w:rsid w:val="007C5FF4"/>
    <w:rsid w:val="007C6D0C"/>
    <w:rsid w:val="007C7909"/>
    <w:rsid w:val="007D03E2"/>
    <w:rsid w:val="007D0BC2"/>
    <w:rsid w:val="007D280A"/>
    <w:rsid w:val="007D41B7"/>
    <w:rsid w:val="007D6F68"/>
    <w:rsid w:val="007E0B2C"/>
    <w:rsid w:val="007E13F0"/>
    <w:rsid w:val="007E1EE1"/>
    <w:rsid w:val="007E249E"/>
    <w:rsid w:val="007E2885"/>
    <w:rsid w:val="007E2E3B"/>
    <w:rsid w:val="007E30FE"/>
    <w:rsid w:val="007E3156"/>
    <w:rsid w:val="007E55A8"/>
    <w:rsid w:val="007E7F0D"/>
    <w:rsid w:val="007F1AC4"/>
    <w:rsid w:val="007F33F3"/>
    <w:rsid w:val="007F4B06"/>
    <w:rsid w:val="0080160A"/>
    <w:rsid w:val="0080205D"/>
    <w:rsid w:val="0080270E"/>
    <w:rsid w:val="008027F9"/>
    <w:rsid w:val="00802F39"/>
    <w:rsid w:val="00803444"/>
    <w:rsid w:val="00803FB3"/>
    <w:rsid w:val="00804CF5"/>
    <w:rsid w:val="00806F5E"/>
    <w:rsid w:val="008078F3"/>
    <w:rsid w:val="0081061E"/>
    <w:rsid w:val="00814A3B"/>
    <w:rsid w:val="00817147"/>
    <w:rsid w:val="008177E1"/>
    <w:rsid w:val="0082055C"/>
    <w:rsid w:val="00821B49"/>
    <w:rsid w:val="00821C29"/>
    <w:rsid w:val="008251D6"/>
    <w:rsid w:val="00825D3C"/>
    <w:rsid w:val="008272BD"/>
    <w:rsid w:val="00827CBA"/>
    <w:rsid w:val="0083152F"/>
    <w:rsid w:val="008325E6"/>
    <w:rsid w:val="00833630"/>
    <w:rsid w:val="00834B0F"/>
    <w:rsid w:val="008354D5"/>
    <w:rsid w:val="008357F0"/>
    <w:rsid w:val="00835D41"/>
    <w:rsid w:val="00835F3E"/>
    <w:rsid w:val="00841444"/>
    <w:rsid w:val="00842938"/>
    <w:rsid w:val="00843948"/>
    <w:rsid w:val="00845D93"/>
    <w:rsid w:val="00845ED1"/>
    <w:rsid w:val="00850D0C"/>
    <w:rsid w:val="00852053"/>
    <w:rsid w:val="0085239F"/>
    <w:rsid w:val="00852E65"/>
    <w:rsid w:val="00856FEB"/>
    <w:rsid w:val="00860EF8"/>
    <w:rsid w:val="00863213"/>
    <w:rsid w:val="00864A00"/>
    <w:rsid w:val="008665A0"/>
    <w:rsid w:val="00866AAC"/>
    <w:rsid w:val="008677AD"/>
    <w:rsid w:val="00867B38"/>
    <w:rsid w:val="008704B7"/>
    <w:rsid w:val="008719D3"/>
    <w:rsid w:val="00873255"/>
    <w:rsid w:val="00873D7E"/>
    <w:rsid w:val="008740F3"/>
    <w:rsid w:val="00875BDF"/>
    <w:rsid w:val="008801F1"/>
    <w:rsid w:val="0088095D"/>
    <w:rsid w:val="00881004"/>
    <w:rsid w:val="008817AF"/>
    <w:rsid w:val="00881B48"/>
    <w:rsid w:val="008824BF"/>
    <w:rsid w:val="008829AF"/>
    <w:rsid w:val="0088548F"/>
    <w:rsid w:val="00885BE7"/>
    <w:rsid w:val="00886994"/>
    <w:rsid w:val="00897676"/>
    <w:rsid w:val="00897C55"/>
    <w:rsid w:val="008A122D"/>
    <w:rsid w:val="008A1438"/>
    <w:rsid w:val="008A189E"/>
    <w:rsid w:val="008A2748"/>
    <w:rsid w:val="008A3600"/>
    <w:rsid w:val="008B0561"/>
    <w:rsid w:val="008B0AD9"/>
    <w:rsid w:val="008B16F2"/>
    <w:rsid w:val="008B33BE"/>
    <w:rsid w:val="008B5FB9"/>
    <w:rsid w:val="008C08AD"/>
    <w:rsid w:val="008C1C84"/>
    <w:rsid w:val="008C2C64"/>
    <w:rsid w:val="008C2DCB"/>
    <w:rsid w:val="008C733D"/>
    <w:rsid w:val="008D4E0D"/>
    <w:rsid w:val="008D5305"/>
    <w:rsid w:val="008D5504"/>
    <w:rsid w:val="008D569B"/>
    <w:rsid w:val="008E1F62"/>
    <w:rsid w:val="008E45DF"/>
    <w:rsid w:val="008E5191"/>
    <w:rsid w:val="008E5B12"/>
    <w:rsid w:val="008E5C26"/>
    <w:rsid w:val="008E5DCD"/>
    <w:rsid w:val="008F195F"/>
    <w:rsid w:val="008F322C"/>
    <w:rsid w:val="008F57CD"/>
    <w:rsid w:val="008F58D2"/>
    <w:rsid w:val="008F592F"/>
    <w:rsid w:val="008F5C23"/>
    <w:rsid w:val="00904784"/>
    <w:rsid w:val="00905F48"/>
    <w:rsid w:val="00907016"/>
    <w:rsid w:val="009079CB"/>
    <w:rsid w:val="0091085A"/>
    <w:rsid w:val="00910E43"/>
    <w:rsid w:val="009139E6"/>
    <w:rsid w:val="009165E6"/>
    <w:rsid w:val="00916EB6"/>
    <w:rsid w:val="0091719A"/>
    <w:rsid w:val="00920F2F"/>
    <w:rsid w:val="00922821"/>
    <w:rsid w:val="00922AB2"/>
    <w:rsid w:val="00922B00"/>
    <w:rsid w:val="0092346C"/>
    <w:rsid w:val="00923B42"/>
    <w:rsid w:val="0092537B"/>
    <w:rsid w:val="00927475"/>
    <w:rsid w:val="0092755E"/>
    <w:rsid w:val="009304A8"/>
    <w:rsid w:val="00931820"/>
    <w:rsid w:val="009353B7"/>
    <w:rsid w:val="00935AF2"/>
    <w:rsid w:val="0093654B"/>
    <w:rsid w:val="009366E9"/>
    <w:rsid w:val="00936A0D"/>
    <w:rsid w:val="009376C9"/>
    <w:rsid w:val="009379B5"/>
    <w:rsid w:val="009408EC"/>
    <w:rsid w:val="00942E22"/>
    <w:rsid w:val="00943256"/>
    <w:rsid w:val="0094416D"/>
    <w:rsid w:val="00947EDC"/>
    <w:rsid w:val="00950068"/>
    <w:rsid w:val="00950AEF"/>
    <w:rsid w:val="00950BDE"/>
    <w:rsid w:val="0095179D"/>
    <w:rsid w:val="00951AC8"/>
    <w:rsid w:val="00952A68"/>
    <w:rsid w:val="00955114"/>
    <w:rsid w:val="00955554"/>
    <w:rsid w:val="00955A33"/>
    <w:rsid w:val="00955E40"/>
    <w:rsid w:val="009578CB"/>
    <w:rsid w:val="00960748"/>
    <w:rsid w:val="00960D26"/>
    <w:rsid w:val="00962160"/>
    <w:rsid w:val="00963E8E"/>
    <w:rsid w:val="00964457"/>
    <w:rsid w:val="0096739C"/>
    <w:rsid w:val="0097035A"/>
    <w:rsid w:val="00971C05"/>
    <w:rsid w:val="00972127"/>
    <w:rsid w:val="00974CFD"/>
    <w:rsid w:val="00975CB6"/>
    <w:rsid w:val="00976428"/>
    <w:rsid w:val="00976DDA"/>
    <w:rsid w:val="00976E35"/>
    <w:rsid w:val="009838DE"/>
    <w:rsid w:val="00986CF4"/>
    <w:rsid w:val="00986E9B"/>
    <w:rsid w:val="0099017E"/>
    <w:rsid w:val="009902FA"/>
    <w:rsid w:val="0099199B"/>
    <w:rsid w:val="00993F9F"/>
    <w:rsid w:val="00994035"/>
    <w:rsid w:val="00997E92"/>
    <w:rsid w:val="009A0FB5"/>
    <w:rsid w:val="009A1138"/>
    <w:rsid w:val="009A2003"/>
    <w:rsid w:val="009A2ED2"/>
    <w:rsid w:val="009A4AAD"/>
    <w:rsid w:val="009A4C8E"/>
    <w:rsid w:val="009A5754"/>
    <w:rsid w:val="009A7164"/>
    <w:rsid w:val="009B1A01"/>
    <w:rsid w:val="009B3489"/>
    <w:rsid w:val="009B39E7"/>
    <w:rsid w:val="009B4A7F"/>
    <w:rsid w:val="009B6D7A"/>
    <w:rsid w:val="009B7031"/>
    <w:rsid w:val="009B71C8"/>
    <w:rsid w:val="009C0279"/>
    <w:rsid w:val="009C1B63"/>
    <w:rsid w:val="009C48D1"/>
    <w:rsid w:val="009C73D5"/>
    <w:rsid w:val="009C7C11"/>
    <w:rsid w:val="009D24BD"/>
    <w:rsid w:val="009D274B"/>
    <w:rsid w:val="009D437F"/>
    <w:rsid w:val="009D43F0"/>
    <w:rsid w:val="009D5162"/>
    <w:rsid w:val="009D5455"/>
    <w:rsid w:val="009D5E37"/>
    <w:rsid w:val="009D6A54"/>
    <w:rsid w:val="009D766B"/>
    <w:rsid w:val="009D7CAF"/>
    <w:rsid w:val="009E0168"/>
    <w:rsid w:val="009E09B4"/>
    <w:rsid w:val="009E1B7C"/>
    <w:rsid w:val="009E3A0D"/>
    <w:rsid w:val="009E4675"/>
    <w:rsid w:val="009E5E03"/>
    <w:rsid w:val="009F00F0"/>
    <w:rsid w:val="009F088B"/>
    <w:rsid w:val="009F11C5"/>
    <w:rsid w:val="009F1831"/>
    <w:rsid w:val="009F2DC4"/>
    <w:rsid w:val="009F3823"/>
    <w:rsid w:val="009F38D0"/>
    <w:rsid w:val="009F5940"/>
    <w:rsid w:val="009F6089"/>
    <w:rsid w:val="00A01A4D"/>
    <w:rsid w:val="00A01B90"/>
    <w:rsid w:val="00A02580"/>
    <w:rsid w:val="00A040F4"/>
    <w:rsid w:val="00A04885"/>
    <w:rsid w:val="00A04C8F"/>
    <w:rsid w:val="00A04DAD"/>
    <w:rsid w:val="00A05F0D"/>
    <w:rsid w:val="00A07631"/>
    <w:rsid w:val="00A107A6"/>
    <w:rsid w:val="00A128BA"/>
    <w:rsid w:val="00A12A62"/>
    <w:rsid w:val="00A136C0"/>
    <w:rsid w:val="00A15AED"/>
    <w:rsid w:val="00A20D08"/>
    <w:rsid w:val="00A219BE"/>
    <w:rsid w:val="00A2679C"/>
    <w:rsid w:val="00A30A0E"/>
    <w:rsid w:val="00A321C8"/>
    <w:rsid w:val="00A32A6B"/>
    <w:rsid w:val="00A33A08"/>
    <w:rsid w:val="00A34362"/>
    <w:rsid w:val="00A34BA5"/>
    <w:rsid w:val="00A37148"/>
    <w:rsid w:val="00A3750F"/>
    <w:rsid w:val="00A40E35"/>
    <w:rsid w:val="00A42172"/>
    <w:rsid w:val="00A424ED"/>
    <w:rsid w:val="00A440AF"/>
    <w:rsid w:val="00A44BE8"/>
    <w:rsid w:val="00A462B4"/>
    <w:rsid w:val="00A51D23"/>
    <w:rsid w:val="00A539C1"/>
    <w:rsid w:val="00A53CE0"/>
    <w:rsid w:val="00A54827"/>
    <w:rsid w:val="00A54F5B"/>
    <w:rsid w:val="00A56534"/>
    <w:rsid w:val="00A56F08"/>
    <w:rsid w:val="00A60A8E"/>
    <w:rsid w:val="00A63259"/>
    <w:rsid w:val="00A65607"/>
    <w:rsid w:val="00A70D87"/>
    <w:rsid w:val="00A71ABE"/>
    <w:rsid w:val="00A75081"/>
    <w:rsid w:val="00A75453"/>
    <w:rsid w:val="00A757D5"/>
    <w:rsid w:val="00A7773B"/>
    <w:rsid w:val="00A778A5"/>
    <w:rsid w:val="00A77B53"/>
    <w:rsid w:val="00A77BBF"/>
    <w:rsid w:val="00A77E91"/>
    <w:rsid w:val="00A80B8B"/>
    <w:rsid w:val="00A813A8"/>
    <w:rsid w:val="00A8187F"/>
    <w:rsid w:val="00A825FB"/>
    <w:rsid w:val="00A8366B"/>
    <w:rsid w:val="00A84541"/>
    <w:rsid w:val="00A8759D"/>
    <w:rsid w:val="00A87A29"/>
    <w:rsid w:val="00A90AAB"/>
    <w:rsid w:val="00A9206B"/>
    <w:rsid w:val="00A92816"/>
    <w:rsid w:val="00A93A64"/>
    <w:rsid w:val="00A94568"/>
    <w:rsid w:val="00A957F7"/>
    <w:rsid w:val="00A960C4"/>
    <w:rsid w:val="00A96C0B"/>
    <w:rsid w:val="00AA0739"/>
    <w:rsid w:val="00AA1ACA"/>
    <w:rsid w:val="00AA68C7"/>
    <w:rsid w:val="00AB0D05"/>
    <w:rsid w:val="00AB2F4D"/>
    <w:rsid w:val="00AB31EF"/>
    <w:rsid w:val="00AB4EBA"/>
    <w:rsid w:val="00AB646D"/>
    <w:rsid w:val="00AC0E15"/>
    <w:rsid w:val="00AC3216"/>
    <w:rsid w:val="00AC3BB4"/>
    <w:rsid w:val="00AC4539"/>
    <w:rsid w:val="00AC488D"/>
    <w:rsid w:val="00AC4D19"/>
    <w:rsid w:val="00AC56DE"/>
    <w:rsid w:val="00AC5F67"/>
    <w:rsid w:val="00AC645D"/>
    <w:rsid w:val="00AD0914"/>
    <w:rsid w:val="00AD0B64"/>
    <w:rsid w:val="00AD1B9F"/>
    <w:rsid w:val="00AD1C61"/>
    <w:rsid w:val="00AD2B0A"/>
    <w:rsid w:val="00AD4EE9"/>
    <w:rsid w:val="00AE0117"/>
    <w:rsid w:val="00AE2214"/>
    <w:rsid w:val="00AE3AA5"/>
    <w:rsid w:val="00AE3C4C"/>
    <w:rsid w:val="00AE4EF4"/>
    <w:rsid w:val="00AE5344"/>
    <w:rsid w:val="00AE5437"/>
    <w:rsid w:val="00AE61E7"/>
    <w:rsid w:val="00AE6DEF"/>
    <w:rsid w:val="00AE72A2"/>
    <w:rsid w:val="00AE7398"/>
    <w:rsid w:val="00AE7CDD"/>
    <w:rsid w:val="00AF0C19"/>
    <w:rsid w:val="00AF1390"/>
    <w:rsid w:val="00AF2B7A"/>
    <w:rsid w:val="00AF2B8B"/>
    <w:rsid w:val="00AF57BE"/>
    <w:rsid w:val="00AF5A59"/>
    <w:rsid w:val="00AF6949"/>
    <w:rsid w:val="00AF6A06"/>
    <w:rsid w:val="00B00217"/>
    <w:rsid w:val="00B005B6"/>
    <w:rsid w:val="00B03950"/>
    <w:rsid w:val="00B0476A"/>
    <w:rsid w:val="00B05336"/>
    <w:rsid w:val="00B064B4"/>
    <w:rsid w:val="00B07B2D"/>
    <w:rsid w:val="00B10CEB"/>
    <w:rsid w:val="00B11547"/>
    <w:rsid w:val="00B115CB"/>
    <w:rsid w:val="00B12060"/>
    <w:rsid w:val="00B12356"/>
    <w:rsid w:val="00B131DA"/>
    <w:rsid w:val="00B16358"/>
    <w:rsid w:val="00B16E1A"/>
    <w:rsid w:val="00B20436"/>
    <w:rsid w:val="00B20BEC"/>
    <w:rsid w:val="00B20D7E"/>
    <w:rsid w:val="00B21D27"/>
    <w:rsid w:val="00B24581"/>
    <w:rsid w:val="00B248A5"/>
    <w:rsid w:val="00B24C9B"/>
    <w:rsid w:val="00B25046"/>
    <w:rsid w:val="00B25C51"/>
    <w:rsid w:val="00B26F3C"/>
    <w:rsid w:val="00B306FF"/>
    <w:rsid w:val="00B3252A"/>
    <w:rsid w:val="00B34A69"/>
    <w:rsid w:val="00B36B46"/>
    <w:rsid w:val="00B37C2E"/>
    <w:rsid w:val="00B40C97"/>
    <w:rsid w:val="00B443E0"/>
    <w:rsid w:val="00B44CFC"/>
    <w:rsid w:val="00B45E71"/>
    <w:rsid w:val="00B467C9"/>
    <w:rsid w:val="00B51F37"/>
    <w:rsid w:val="00B539D1"/>
    <w:rsid w:val="00B54100"/>
    <w:rsid w:val="00B622A2"/>
    <w:rsid w:val="00B62CAF"/>
    <w:rsid w:val="00B63DDF"/>
    <w:rsid w:val="00B64607"/>
    <w:rsid w:val="00B64790"/>
    <w:rsid w:val="00B661A6"/>
    <w:rsid w:val="00B6628C"/>
    <w:rsid w:val="00B67DDF"/>
    <w:rsid w:val="00B67F9C"/>
    <w:rsid w:val="00B706F9"/>
    <w:rsid w:val="00B70C48"/>
    <w:rsid w:val="00B724AC"/>
    <w:rsid w:val="00B73B90"/>
    <w:rsid w:val="00B7532A"/>
    <w:rsid w:val="00B75F1F"/>
    <w:rsid w:val="00B771DA"/>
    <w:rsid w:val="00B81750"/>
    <w:rsid w:val="00B828A0"/>
    <w:rsid w:val="00B83CDD"/>
    <w:rsid w:val="00B84F30"/>
    <w:rsid w:val="00B8598B"/>
    <w:rsid w:val="00B90482"/>
    <w:rsid w:val="00B90697"/>
    <w:rsid w:val="00B90EB5"/>
    <w:rsid w:val="00B918B1"/>
    <w:rsid w:val="00B931CC"/>
    <w:rsid w:val="00B935DB"/>
    <w:rsid w:val="00B96198"/>
    <w:rsid w:val="00B96850"/>
    <w:rsid w:val="00B975C8"/>
    <w:rsid w:val="00BA0752"/>
    <w:rsid w:val="00BA1752"/>
    <w:rsid w:val="00BA4A9F"/>
    <w:rsid w:val="00BA6DA3"/>
    <w:rsid w:val="00BA75BB"/>
    <w:rsid w:val="00BA7B17"/>
    <w:rsid w:val="00BB0A89"/>
    <w:rsid w:val="00BB139C"/>
    <w:rsid w:val="00BB16AB"/>
    <w:rsid w:val="00BB1911"/>
    <w:rsid w:val="00BB2116"/>
    <w:rsid w:val="00BB23EF"/>
    <w:rsid w:val="00BB539D"/>
    <w:rsid w:val="00BB5F4D"/>
    <w:rsid w:val="00BB6077"/>
    <w:rsid w:val="00BC0069"/>
    <w:rsid w:val="00BC0262"/>
    <w:rsid w:val="00BC1272"/>
    <w:rsid w:val="00BC3F12"/>
    <w:rsid w:val="00BC73AE"/>
    <w:rsid w:val="00BC770E"/>
    <w:rsid w:val="00BD0A66"/>
    <w:rsid w:val="00BD1414"/>
    <w:rsid w:val="00BD1F17"/>
    <w:rsid w:val="00BD34D4"/>
    <w:rsid w:val="00BD4DC1"/>
    <w:rsid w:val="00BD7CCA"/>
    <w:rsid w:val="00BD7EFC"/>
    <w:rsid w:val="00BE02C0"/>
    <w:rsid w:val="00BE1B8B"/>
    <w:rsid w:val="00BE1B92"/>
    <w:rsid w:val="00BE1E94"/>
    <w:rsid w:val="00BE1FB7"/>
    <w:rsid w:val="00BE2217"/>
    <w:rsid w:val="00BE35EE"/>
    <w:rsid w:val="00BE39D3"/>
    <w:rsid w:val="00BE3AE5"/>
    <w:rsid w:val="00BE453C"/>
    <w:rsid w:val="00BE5FC0"/>
    <w:rsid w:val="00BE6296"/>
    <w:rsid w:val="00BE7D9E"/>
    <w:rsid w:val="00BF21B4"/>
    <w:rsid w:val="00BF28D1"/>
    <w:rsid w:val="00BF3A9D"/>
    <w:rsid w:val="00BF560F"/>
    <w:rsid w:val="00BF5DCB"/>
    <w:rsid w:val="00BF6C73"/>
    <w:rsid w:val="00BF748D"/>
    <w:rsid w:val="00BF7AFD"/>
    <w:rsid w:val="00BF7D3C"/>
    <w:rsid w:val="00BF7FE4"/>
    <w:rsid w:val="00C046E0"/>
    <w:rsid w:val="00C04DB9"/>
    <w:rsid w:val="00C0521B"/>
    <w:rsid w:val="00C05422"/>
    <w:rsid w:val="00C0691A"/>
    <w:rsid w:val="00C0772D"/>
    <w:rsid w:val="00C14F32"/>
    <w:rsid w:val="00C15BB9"/>
    <w:rsid w:val="00C17DE8"/>
    <w:rsid w:val="00C211F0"/>
    <w:rsid w:val="00C21718"/>
    <w:rsid w:val="00C22B31"/>
    <w:rsid w:val="00C24328"/>
    <w:rsid w:val="00C30799"/>
    <w:rsid w:val="00C31D7A"/>
    <w:rsid w:val="00C3299C"/>
    <w:rsid w:val="00C352E8"/>
    <w:rsid w:val="00C35FBE"/>
    <w:rsid w:val="00C3651B"/>
    <w:rsid w:val="00C4028E"/>
    <w:rsid w:val="00C40B2E"/>
    <w:rsid w:val="00C41A73"/>
    <w:rsid w:val="00C422CF"/>
    <w:rsid w:val="00C424A8"/>
    <w:rsid w:val="00C42ECA"/>
    <w:rsid w:val="00C433C8"/>
    <w:rsid w:val="00C43852"/>
    <w:rsid w:val="00C44C5D"/>
    <w:rsid w:val="00C4613D"/>
    <w:rsid w:val="00C46B98"/>
    <w:rsid w:val="00C47296"/>
    <w:rsid w:val="00C51298"/>
    <w:rsid w:val="00C51F4F"/>
    <w:rsid w:val="00C52C93"/>
    <w:rsid w:val="00C54063"/>
    <w:rsid w:val="00C5459F"/>
    <w:rsid w:val="00C56039"/>
    <w:rsid w:val="00C6040C"/>
    <w:rsid w:val="00C627FC"/>
    <w:rsid w:val="00C63607"/>
    <w:rsid w:val="00C64ED4"/>
    <w:rsid w:val="00C667C1"/>
    <w:rsid w:val="00C6732F"/>
    <w:rsid w:val="00C700CE"/>
    <w:rsid w:val="00C702E5"/>
    <w:rsid w:val="00C71C2E"/>
    <w:rsid w:val="00C7200A"/>
    <w:rsid w:val="00C740E8"/>
    <w:rsid w:val="00C77198"/>
    <w:rsid w:val="00C808C2"/>
    <w:rsid w:val="00C81237"/>
    <w:rsid w:val="00C818C4"/>
    <w:rsid w:val="00C81E79"/>
    <w:rsid w:val="00C83217"/>
    <w:rsid w:val="00C834A6"/>
    <w:rsid w:val="00C846A8"/>
    <w:rsid w:val="00C8631C"/>
    <w:rsid w:val="00C87CC4"/>
    <w:rsid w:val="00C87F61"/>
    <w:rsid w:val="00C9060D"/>
    <w:rsid w:val="00C9225A"/>
    <w:rsid w:val="00C940AD"/>
    <w:rsid w:val="00C9535E"/>
    <w:rsid w:val="00C95C70"/>
    <w:rsid w:val="00C97CDD"/>
    <w:rsid w:val="00CA0D23"/>
    <w:rsid w:val="00CA108D"/>
    <w:rsid w:val="00CA1D29"/>
    <w:rsid w:val="00CA2B95"/>
    <w:rsid w:val="00CA31B9"/>
    <w:rsid w:val="00CA3545"/>
    <w:rsid w:val="00CA3C3B"/>
    <w:rsid w:val="00CA4194"/>
    <w:rsid w:val="00CA7278"/>
    <w:rsid w:val="00CB0A2B"/>
    <w:rsid w:val="00CB1CDA"/>
    <w:rsid w:val="00CB3B41"/>
    <w:rsid w:val="00CB537D"/>
    <w:rsid w:val="00CB59AB"/>
    <w:rsid w:val="00CB7C8F"/>
    <w:rsid w:val="00CC4851"/>
    <w:rsid w:val="00CC4AC7"/>
    <w:rsid w:val="00CC52A0"/>
    <w:rsid w:val="00CC6828"/>
    <w:rsid w:val="00CD2394"/>
    <w:rsid w:val="00CD31D7"/>
    <w:rsid w:val="00CD559F"/>
    <w:rsid w:val="00CE2A3A"/>
    <w:rsid w:val="00CE2F5A"/>
    <w:rsid w:val="00CE30C2"/>
    <w:rsid w:val="00CE3A08"/>
    <w:rsid w:val="00CE5B97"/>
    <w:rsid w:val="00CE6425"/>
    <w:rsid w:val="00CE6D96"/>
    <w:rsid w:val="00CF18AC"/>
    <w:rsid w:val="00CF1D5F"/>
    <w:rsid w:val="00CF342F"/>
    <w:rsid w:val="00CF3FA0"/>
    <w:rsid w:val="00CF45FB"/>
    <w:rsid w:val="00CF54E1"/>
    <w:rsid w:val="00CF58AD"/>
    <w:rsid w:val="00CF6DA9"/>
    <w:rsid w:val="00D004FD"/>
    <w:rsid w:val="00D00CD9"/>
    <w:rsid w:val="00D03C32"/>
    <w:rsid w:val="00D05778"/>
    <w:rsid w:val="00D05909"/>
    <w:rsid w:val="00D059E0"/>
    <w:rsid w:val="00D05EC7"/>
    <w:rsid w:val="00D07940"/>
    <w:rsid w:val="00D07EFE"/>
    <w:rsid w:val="00D10999"/>
    <w:rsid w:val="00D12337"/>
    <w:rsid w:val="00D1293E"/>
    <w:rsid w:val="00D13FC7"/>
    <w:rsid w:val="00D14B9D"/>
    <w:rsid w:val="00D15BD7"/>
    <w:rsid w:val="00D1773B"/>
    <w:rsid w:val="00D17752"/>
    <w:rsid w:val="00D20267"/>
    <w:rsid w:val="00D209D6"/>
    <w:rsid w:val="00D216E5"/>
    <w:rsid w:val="00D222A0"/>
    <w:rsid w:val="00D2297A"/>
    <w:rsid w:val="00D23846"/>
    <w:rsid w:val="00D24F33"/>
    <w:rsid w:val="00D2502B"/>
    <w:rsid w:val="00D325F1"/>
    <w:rsid w:val="00D32A72"/>
    <w:rsid w:val="00D339BA"/>
    <w:rsid w:val="00D3406F"/>
    <w:rsid w:val="00D34BC8"/>
    <w:rsid w:val="00D3562C"/>
    <w:rsid w:val="00D358D9"/>
    <w:rsid w:val="00D40F84"/>
    <w:rsid w:val="00D41CCB"/>
    <w:rsid w:val="00D428B5"/>
    <w:rsid w:val="00D4317B"/>
    <w:rsid w:val="00D4484E"/>
    <w:rsid w:val="00D45D71"/>
    <w:rsid w:val="00D4712F"/>
    <w:rsid w:val="00D47EF9"/>
    <w:rsid w:val="00D50321"/>
    <w:rsid w:val="00D50AD3"/>
    <w:rsid w:val="00D5140E"/>
    <w:rsid w:val="00D51E35"/>
    <w:rsid w:val="00D5398A"/>
    <w:rsid w:val="00D53BCD"/>
    <w:rsid w:val="00D53F06"/>
    <w:rsid w:val="00D54AB0"/>
    <w:rsid w:val="00D564A2"/>
    <w:rsid w:val="00D5730A"/>
    <w:rsid w:val="00D576B4"/>
    <w:rsid w:val="00D57BF6"/>
    <w:rsid w:val="00D6002D"/>
    <w:rsid w:val="00D61214"/>
    <w:rsid w:val="00D61A00"/>
    <w:rsid w:val="00D628CE"/>
    <w:rsid w:val="00D638DE"/>
    <w:rsid w:val="00D63C5D"/>
    <w:rsid w:val="00D63ECB"/>
    <w:rsid w:val="00D6471D"/>
    <w:rsid w:val="00D64917"/>
    <w:rsid w:val="00D64FDD"/>
    <w:rsid w:val="00D65636"/>
    <w:rsid w:val="00D65AE0"/>
    <w:rsid w:val="00D6639A"/>
    <w:rsid w:val="00D7018A"/>
    <w:rsid w:val="00D704DC"/>
    <w:rsid w:val="00D712A2"/>
    <w:rsid w:val="00D71D1B"/>
    <w:rsid w:val="00D72317"/>
    <w:rsid w:val="00D72690"/>
    <w:rsid w:val="00D7278C"/>
    <w:rsid w:val="00D740DC"/>
    <w:rsid w:val="00D752F5"/>
    <w:rsid w:val="00D77B00"/>
    <w:rsid w:val="00D77E38"/>
    <w:rsid w:val="00D80163"/>
    <w:rsid w:val="00D8377D"/>
    <w:rsid w:val="00D867A4"/>
    <w:rsid w:val="00D91898"/>
    <w:rsid w:val="00D923D0"/>
    <w:rsid w:val="00D92F5A"/>
    <w:rsid w:val="00D93F6D"/>
    <w:rsid w:val="00D94A27"/>
    <w:rsid w:val="00D96140"/>
    <w:rsid w:val="00D965C7"/>
    <w:rsid w:val="00DA1D57"/>
    <w:rsid w:val="00DA218C"/>
    <w:rsid w:val="00DA2555"/>
    <w:rsid w:val="00DA550F"/>
    <w:rsid w:val="00DA612F"/>
    <w:rsid w:val="00DB0382"/>
    <w:rsid w:val="00DB2E3A"/>
    <w:rsid w:val="00DB311A"/>
    <w:rsid w:val="00DB4227"/>
    <w:rsid w:val="00DB50B8"/>
    <w:rsid w:val="00DB516F"/>
    <w:rsid w:val="00DB7292"/>
    <w:rsid w:val="00DB7B9F"/>
    <w:rsid w:val="00DB7D7D"/>
    <w:rsid w:val="00DC1737"/>
    <w:rsid w:val="00DC18E8"/>
    <w:rsid w:val="00DC235F"/>
    <w:rsid w:val="00DC2530"/>
    <w:rsid w:val="00DC2701"/>
    <w:rsid w:val="00DC293D"/>
    <w:rsid w:val="00DC35A7"/>
    <w:rsid w:val="00DC600B"/>
    <w:rsid w:val="00DC6658"/>
    <w:rsid w:val="00DC69D5"/>
    <w:rsid w:val="00DC7EEE"/>
    <w:rsid w:val="00DD0558"/>
    <w:rsid w:val="00DD0936"/>
    <w:rsid w:val="00DD1E38"/>
    <w:rsid w:val="00DD36F1"/>
    <w:rsid w:val="00DD4DA6"/>
    <w:rsid w:val="00DE0036"/>
    <w:rsid w:val="00DE084A"/>
    <w:rsid w:val="00DE1B6E"/>
    <w:rsid w:val="00DE240E"/>
    <w:rsid w:val="00DE323B"/>
    <w:rsid w:val="00DE4BA0"/>
    <w:rsid w:val="00DE52F3"/>
    <w:rsid w:val="00DE6021"/>
    <w:rsid w:val="00DE7C80"/>
    <w:rsid w:val="00DE7CA5"/>
    <w:rsid w:val="00DF1084"/>
    <w:rsid w:val="00DF1405"/>
    <w:rsid w:val="00DF2136"/>
    <w:rsid w:val="00DF3232"/>
    <w:rsid w:val="00DF32B8"/>
    <w:rsid w:val="00DF7525"/>
    <w:rsid w:val="00DF78F8"/>
    <w:rsid w:val="00E013C9"/>
    <w:rsid w:val="00E02B2A"/>
    <w:rsid w:val="00E03436"/>
    <w:rsid w:val="00E044AE"/>
    <w:rsid w:val="00E04C3C"/>
    <w:rsid w:val="00E05CE8"/>
    <w:rsid w:val="00E07324"/>
    <w:rsid w:val="00E10869"/>
    <w:rsid w:val="00E10CF2"/>
    <w:rsid w:val="00E13FB1"/>
    <w:rsid w:val="00E1458D"/>
    <w:rsid w:val="00E16A6B"/>
    <w:rsid w:val="00E1743F"/>
    <w:rsid w:val="00E20283"/>
    <w:rsid w:val="00E20984"/>
    <w:rsid w:val="00E20A72"/>
    <w:rsid w:val="00E20E2F"/>
    <w:rsid w:val="00E2127F"/>
    <w:rsid w:val="00E22AB5"/>
    <w:rsid w:val="00E266B4"/>
    <w:rsid w:val="00E27740"/>
    <w:rsid w:val="00E30FA6"/>
    <w:rsid w:val="00E31023"/>
    <w:rsid w:val="00E3232D"/>
    <w:rsid w:val="00E32DA0"/>
    <w:rsid w:val="00E33768"/>
    <w:rsid w:val="00E33993"/>
    <w:rsid w:val="00E40D65"/>
    <w:rsid w:val="00E431C5"/>
    <w:rsid w:val="00E43BEE"/>
    <w:rsid w:val="00E44058"/>
    <w:rsid w:val="00E45355"/>
    <w:rsid w:val="00E462BD"/>
    <w:rsid w:val="00E474BA"/>
    <w:rsid w:val="00E5056E"/>
    <w:rsid w:val="00E542DB"/>
    <w:rsid w:val="00E55812"/>
    <w:rsid w:val="00E56FB4"/>
    <w:rsid w:val="00E57620"/>
    <w:rsid w:val="00E57BF4"/>
    <w:rsid w:val="00E6007C"/>
    <w:rsid w:val="00E63668"/>
    <w:rsid w:val="00E67762"/>
    <w:rsid w:val="00E7006E"/>
    <w:rsid w:val="00E70EC3"/>
    <w:rsid w:val="00E71B23"/>
    <w:rsid w:val="00E724D1"/>
    <w:rsid w:val="00E72711"/>
    <w:rsid w:val="00E75AB1"/>
    <w:rsid w:val="00E77924"/>
    <w:rsid w:val="00E80299"/>
    <w:rsid w:val="00E81991"/>
    <w:rsid w:val="00E82707"/>
    <w:rsid w:val="00E82721"/>
    <w:rsid w:val="00E84085"/>
    <w:rsid w:val="00E840E1"/>
    <w:rsid w:val="00E84DBD"/>
    <w:rsid w:val="00E84EB8"/>
    <w:rsid w:val="00E85BD5"/>
    <w:rsid w:val="00E86990"/>
    <w:rsid w:val="00E86A69"/>
    <w:rsid w:val="00E87632"/>
    <w:rsid w:val="00E90D63"/>
    <w:rsid w:val="00E92B56"/>
    <w:rsid w:val="00E92B95"/>
    <w:rsid w:val="00E93999"/>
    <w:rsid w:val="00E948F9"/>
    <w:rsid w:val="00E953BC"/>
    <w:rsid w:val="00E96290"/>
    <w:rsid w:val="00E96CB8"/>
    <w:rsid w:val="00E97DD0"/>
    <w:rsid w:val="00EA323F"/>
    <w:rsid w:val="00EA3F1B"/>
    <w:rsid w:val="00EA46E8"/>
    <w:rsid w:val="00EA5A72"/>
    <w:rsid w:val="00EA5B81"/>
    <w:rsid w:val="00EA656D"/>
    <w:rsid w:val="00EA69F0"/>
    <w:rsid w:val="00EA6F50"/>
    <w:rsid w:val="00EB03F9"/>
    <w:rsid w:val="00EB15E4"/>
    <w:rsid w:val="00EB21CD"/>
    <w:rsid w:val="00EB2F58"/>
    <w:rsid w:val="00EB4956"/>
    <w:rsid w:val="00EB4B3D"/>
    <w:rsid w:val="00EB4DB2"/>
    <w:rsid w:val="00EB5F7E"/>
    <w:rsid w:val="00EB675C"/>
    <w:rsid w:val="00EB6818"/>
    <w:rsid w:val="00EB685A"/>
    <w:rsid w:val="00EC1593"/>
    <w:rsid w:val="00EC19D3"/>
    <w:rsid w:val="00EC396E"/>
    <w:rsid w:val="00EC4195"/>
    <w:rsid w:val="00EC50E5"/>
    <w:rsid w:val="00EC54D3"/>
    <w:rsid w:val="00ED1798"/>
    <w:rsid w:val="00ED2F45"/>
    <w:rsid w:val="00ED49D7"/>
    <w:rsid w:val="00ED51BF"/>
    <w:rsid w:val="00ED5A92"/>
    <w:rsid w:val="00ED7C28"/>
    <w:rsid w:val="00EE08EB"/>
    <w:rsid w:val="00EE27A7"/>
    <w:rsid w:val="00EE480A"/>
    <w:rsid w:val="00EE7C24"/>
    <w:rsid w:val="00EF02B2"/>
    <w:rsid w:val="00EF0769"/>
    <w:rsid w:val="00EF1538"/>
    <w:rsid w:val="00EF1857"/>
    <w:rsid w:val="00EF305B"/>
    <w:rsid w:val="00EF42E6"/>
    <w:rsid w:val="00EF540B"/>
    <w:rsid w:val="00EF7591"/>
    <w:rsid w:val="00EF77F0"/>
    <w:rsid w:val="00F02193"/>
    <w:rsid w:val="00F026FA"/>
    <w:rsid w:val="00F033FB"/>
    <w:rsid w:val="00F03BBB"/>
    <w:rsid w:val="00F0462A"/>
    <w:rsid w:val="00F05518"/>
    <w:rsid w:val="00F06875"/>
    <w:rsid w:val="00F07B72"/>
    <w:rsid w:val="00F07BC2"/>
    <w:rsid w:val="00F11337"/>
    <w:rsid w:val="00F12C90"/>
    <w:rsid w:val="00F12F6C"/>
    <w:rsid w:val="00F1323B"/>
    <w:rsid w:val="00F13254"/>
    <w:rsid w:val="00F150CA"/>
    <w:rsid w:val="00F17C8F"/>
    <w:rsid w:val="00F245CF"/>
    <w:rsid w:val="00F24B3C"/>
    <w:rsid w:val="00F2554C"/>
    <w:rsid w:val="00F25AD0"/>
    <w:rsid w:val="00F324B6"/>
    <w:rsid w:val="00F34FB9"/>
    <w:rsid w:val="00F35AD1"/>
    <w:rsid w:val="00F36C44"/>
    <w:rsid w:val="00F37969"/>
    <w:rsid w:val="00F41D1C"/>
    <w:rsid w:val="00F42C9D"/>
    <w:rsid w:val="00F44405"/>
    <w:rsid w:val="00F461AD"/>
    <w:rsid w:val="00F46A11"/>
    <w:rsid w:val="00F47057"/>
    <w:rsid w:val="00F4767D"/>
    <w:rsid w:val="00F51360"/>
    <w:rsid w:val="00F52F3F"/>
    <w:rsid w:val="00F53071"/>
    <w:rsid w:val="00F54448"/>
    <w:rsid w:val="00F576DC"/>
    <w:rsid w:val="00F61B5E"/>
    <w:rsid w:val="00F62181"/>
    <w:rsid w:val="00F631CA"/>
    <w:rsid w:val="00F633AB"/>
    <w:rsid w:val="00F63488"/>
    <w:rsid w:val="00F63DED"/>
    <w:rsid w:val="00F64E31"/>
    <w:rsid w:val="00F660F0"/>
    <w:rsid w:val="00F7050A"/>
    <w:rsid w:val="00F706DF"/>
    <w:rsid w:val="00F71E7E"/>
    <w:rsid w:val="00F752F8"/>
    <w:rsid w:val="00F75314"/>
    <w:rsid w:val="00F75879"/>
    <w:rsid w:val="00F77B21"/>
    <w:rsid w:val="00F802FB"/>
    <w:rsid w:val="00F81BAF"/>
    <w:rsid w:val="00F81DBC"/>
    <w:rsid w:val="00F86D99"/>
    <w:rsid w:val="00F87791"/>
    <w:rsid w:val="00F87EDD"/>
    <w:rsid w:val="00F90C7A"/>
    <w:rsid w:val="00F937C9"/>
    <w:rsid w:val="00F94583"/>
    <w:rsid w:val="00F948B5"/>
    <w:rsid w:val="00F95A33"/>
    <w:rsid w:val="00F95DB3"/>
    <w:rsid w:val="00F96B1C"/>
    <w:rsid w:val="00FA12CF"/>
    <w:rsid w:val="00FA3DC9"/>
    <w:rsid w:val="00FA44D9"/>
    <w:rsid w:val="00FA4D1B"/>
    <w:rsid w:val="00FA658A"/>
    <w:rsid w:val="00FA6BBD"/>
    <w:rsid w:val="00FA7374"/>
    <w:rsid w:val="00FB0F98"/>
    <w:rsid w:val="00FB254C"/>
    <w:rsid w:val="00FB2867"/>
    <w:rsid w:val="00FB6203"/>
    <w:rsid w:val="00FB63F6"/>
    <w:rsid w:val="00FB6B80"/>
    <w:rsid w:val="00FC02AA"/>
    <w:rsid w:val="00FC15E2"/>
    <w:rsid w:val="00FC19C8"/>
    <w:rsid w:val="00FC5C0D"/>
    <w:rsid w:val="00FC6B80"/>
    <w:rsid w:val="00FC70FA"/>
    <w:rsid w:val="00FD3B60"/>
    <w:rsid w:val="00FD3D09"/>
    <w:rsid w:val="00FD41F6"/>
    <w:rsid w:val="00FD4597"/>
    <w:rsid w:val="00FD5BCA"/>
    <w:rsid w:val="00FD64EF"/>
    <w:rsid w:val="00FD7C2D"/>
    <w:rsid w:val="00FE040A"/>
    <w:rsid w:val="00FE12EF"/>
    <w:rsid w:val="00FE1F46"/>
    <w:rsid w:val="00FE21AB"/>
    <w:rsid w:val="00FE2548"/>
    <w:rsid w:val="00FE25ED"/>
    <w:rsid w:val="00FE634F"/>
    <w:rsid w:val="00FE71A8"/>
    <w:rsid w:val="00FE7272"/>
    <w:rsid w:val="00FE760E"/>
    <w:rsid w:val="00FE7F0A"/>
    <w:rsid w:val="00FF3956"/>
    <w:rsid w:val="00FF5A6B"/>
    <w:rsid w:val="00FF5BA9"/>
    <w:rsid w:val="00FF5DA9"/>
    <w:rsid w:val="00FF69D7"/>
    <w:rsid w:val="00FF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11F6"/>
    <w:pPr>
      <w:suppressAutoHyphens/>
      <w:spacing w:line="280" w:lineRule="exact"/>
    </w:pPr>
    <w:rPr>
      <w:rFonts w:ascii="Arial" w:hAnsi="Arial"/>
      <w:color w:val="000000"/>
      <w:spacing w:val="6"/>
      <w:sz w:val="18"/>
      <w:szCs w:val="18"/>
      <w:lang w:val="en-GB" w:eastAsia="en-GB"/>
    </w:rPr>
  </w:style>
  <w:style w:type="paragraph" w:styleId="Heading1">
    <w:name w:val="heading 1"/>
    <w:basedOn w:val="Normal"/>
    <w:next w:val="Normal"/>
    <w:link w:val="Heading1Char"/>
    <w:qFormat/>
    <w:rsid w:val="009408EC"/>
    <w:pPr>
      <w:keepNext/>
      <w:suppressAutoHyphens w:val="0"/>
      <w:autoSpaceDN/>
      <w:spacing w:line="240" w:lineRule="auto"/>
      <w:textAlignment w:val="auto"/>
      <w:outlineLvl w:val="0"/>
    </w:pPr>
    <w:rPr>
      <w:rFonts w:ascii="Times New Roman" w:hAnsi="Times New Roman"/>
      <w:b/>
      <w:bCs/>
      <w:color w:val="auto"/>
      <w:spacing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193C19"/>
    <w:rPr>
      <w:color w:val="auto"/>
      <w:sz w:val="14"/>
      <w:szCs w:val="14"/>
    </w:rPr>
  </w:style>
  <w:style w:type="paragraph" w:styleId="Header">
    <w:name w:val="header"/>
    <w:basedOn w:val="Normal"/>
    <w:link w:val="HeaderChar"/>
    <w:uiPriority w:val="99"/>
    <w:rsid w:val="00193C19"/>
    <w:pPr>
      <w:tabs>
        <w:tab w:val="center" w:pos="4153"/>
        <w:tab w:val="right" w:pos="8306"/>
      </w:tabs>
    </w:pPr>
  </w:style>
  <w:style w:type="character" w:customStyle="1" w:styleId="FooterChar">
    <w:name w:val="Footer Char"/>
    <w:basedOn w:val="DefaultParagraphFont"/>
    <w:uiPriority w:val="99"/>
    <w:rsid w:val="00193C19"/>
    <w:rPr>
      <w:rFonts w:ascii="Arial" w:hAnsi="Arial"/>
      <w:spacing w:val="6"/>
      <w:sz w:val="14"/>
      <w:szCs w:val="14"/>
      <w:lang w:val="en-GB" w:eastAsia="en-GB" w:bidi="ar-SA"/>
    </w:rPr>
  </w:style>
  <w:style w:type="character" w:styleId="Hyperlink">
    <w:name w:val="Hyperlink"/>
    <w:basedOn w:val="DefaultParagraphFont"/>
    <w:rsid w:val="00193C19"/>
    <w:rPr>
      <w:color w:val="0000FF"/>
      <w:u w:val="single"/>
    </w:rPr>
  </w:style>
  <w:style w:type="paragraph" w:styleId="BalloonText">
    <w:name w:val="Balloon Text"/>
    <w:basedOn w:val="Normal"/>
    <w:rsid w:val="00193C19"/>
    <w:rPr>
      <w:rFonts w:ascii="Tahoma" w:hAnsi="Tahoma" w:cs="Tahoma"/>
      <w:sz w:val="16"/>
      <w:szCs w:val="16"/>
    </w:rPr>
  </w:style>
  <w:style w:type="character" w:styleId="CommentReference">
    <w:name w:val="annotation reference"/>
    <w:basedOn w:val="DefaultParagraphFont"/>
    <w:rsid w:val="00193C19"/>
    <w:rPr>
      <w:sz w:val="16"/>
      <w:szCs w:val="16"/>
    </w:rPr>
  </w:style>
  <w:style w:type="paragraph" w:styleId="CommentText">
    <w:name w:val="annotation text"/>
    <w:basedOn w:val="Normal"/>
    <w:rsid w:val="00193C19"/>
    <w:rPr>
      <w:sz w:val="20"/>
      <w:szCs w:val="20"/>
    </w:rPr>
  </w:style>
  <w:style w:type="paragraph" w:customStyle="1" w:styleId="Style">
    <w:name w:val="Style"/>
    <w:rsid w:val="00193C19"/>
    <w:pPr>
      <w:widowControl w:val="0"/>
      <w:suppressAutoHyphens/>
      <w:autoSpaceDE w:val="0"/>
    </w:pPr>
    <w:rPr>
      <w:rFonts w:ascii="Arial" w:hAnsi="Arial" w:cs="Arial"/>
      <w:sz w:val="24"/>
      <w:szCs w:val="24"/>
      <w:lang w:val="en-GB" w:eastAsia="en-GB"/>
    </w:rPr>
  </w:style>
  <w:style w:type="character" w:styleId="PageNumber">
    <w:name w:val="page number"/>
    <w:basedOn w:val="DefaultParagraphFont"/>
    <w:rsid w:val="00193C19"/>
  </w:style>
  <w:style w:type="paragraph" w:styleId="CommentSubject">
    <w:name w:val="annotation subject"/>
    <w:basedOn w:val="CommentText"/>
    <w:next w:val="CommentText"/>
    <w:rsid w:val="00193C19"/>
    <w:rPr>
      <w:b/>
      <w:bCs/>
    </w:rPr>
  </w:style>
  <w:style w:type="paragraph" w:customStyle="1" w:styleId="char">
    <w:name w:val="char"/>
    <w:basedOn w:val="Style"/>
    <w:rsid w:val="00193C19"/>
  </w:style>
  <w:style w:type="paragraph" w:styleId="ListParagraph">
    <w:name w:val="List Paragraph"/>
    <w:basedOn w:val="Normal"/>
    <w:link w:val="ListParagraphChar"/>
    <w:uiPriority w:val="34"/>
    <w:qFormat/>
    <w:rsid w:val="00193C19"/>
    <w:pPr>
      <w:ind w:left="720"/>
    </w:pPr>
  </w:style>
  <w:style w:type="paragraph" w:styleId="FootnoteText">
    <w:name w:val="footnote text"/>
    <w:basedOn w:val="Normal"/>
    <w:rsid w:val="00193C19"/>
    <w:rPr>
      <w:sz w:val="20"/>
      <w:szCs w:val="20"/>
    </w:rPr>
  </w:style>
  <w:style w:type="character" w:customStyle="1" w:styleId="FootnoteTextChar">
    <w:name w:val="Footnote Text Char"/>
    <w:basedOn w:val="DefaultParagraphFont"/>
    <w:rsid w:val="00193C19"/>
    <w:rPr>
      <w:rFonts w:ascii="Arial" w:hAnsi="Arial"/>
      <w:color w:val="000000"/>
      <w:spacing w:val="6"/>
      <w:lang w:eastAsia="en-GB"/>
    </w:rPr>
  </w:style>
  <w:style w:type="character" w:styleId="FootnoteReference">
    <w:name w:val="footnote reference"/>
    <w:basedOn w:val="DefaultParagraphFont"/>
    <w:rsid w:val="00193C19"/>
    <w:rPr>
      <w:position w:val="0"/>
      <w:vertAlign w:val="superscript"/>
    </w:rPr>
  </w:style>
  <w:style w:type="paragraph" w:styleId="Title">
    <w:name w:val="Title"/>
    <w:basedOn w:val="Normal"/>
    <w:rsid w:val="00193C19"/>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rsid w:val="00193C19"/>
    <w:rPr>
      <w:b/>
      <w:bCs/>
      <w:sz w:val="28"/>
      <w:szCs w:val="24"/>
      <w:lang w:val="en-US" w:eastAsia="en-US"/>
    </w:rPr>
  </w:style>
  <w:style w:type="paragraph" w:customStyle="1" w:styleId="Default">
    <w:name w:val="Default"/>
    <w:rsid w:val="00193C19"/>
    <w:pPr>
      <w:suppressAutoHyphens/>
      <w:autoSpaceDE w:val="0"/>
    </w:pPr>
    <w:rPr>
      <w:rFonts w:ascii="Calibri" w:hAnsi="Calibri" w:cs="Calibri"/>
      <w:color w:val="000000"/>
      <w:sz w:val="24"/>
      <w:szCs w:val="24"/>
    </w:rPr>
  </w:style>
  <w:style w:type="character" w:customStyle="1" w:styleId="Heading1Char">
    <w:name w:val="Heading 1 Char"/>
    <w:basedOn w:val="DefaultParagraphFont"/>
    <w:link w:val="Heading1"/>
    <w:rsid w:val="009408EC"/>
    <w:rPr>
      <w:b/>
      <w:bCs/>
      <w:sz w:val="24"/>
      <w:szCs w:val="24"/>
      <w:lang w:val="en-GB" w:eastAsia="en-US"/>
    </w:rPr>
  </w:style>
  <w:style w:type="paragraph" w:customStyle="1" w:styleId="spacing">
    <w:name w:val="spacing"/>
    <w:basedOn w:val="Normal"/>
    <w:rsid w:val="003E1752"/>
    <w:pPr>
      <w:suppressAutoHyphens w:val="0"/>
      <w:autoSpaceDN/>
      <w:spacing w:after="120" w:line="260" w:lineRule="atLeast"/>
      <w:textAlignment w:val="auto"/>
    </w:pPr>
    <w:rPr>
      <w:spacing w:val="0"/>
      <w:lang w:val="en-US"/>
    </w:rPr>
  </w:style>
  <w:style w:type="paragraph" w:customStyle="1" w:styleId="BodyText1">
    <w:name w:val="Body Text1"/>
    <w:basedOn w:val="NoSpacing"/>
    <w:link w:val="BodytextChar"/>
    <w:qFormat/>
    <w:rsid w:val="00CB3B41"/>
    <w:pPr>
      <w:suppressAutoHyphens w:val="0"/>
      <w:autoSpaceDN/>
      <w:spacing w:before="120" w:after="120"/>
      <w:textAlignment w:val="auto"/>
    </w:pPr>
    <w:rPr>
      <w:rFonts w:eastAsiaTheme="minorHAnsi" w:cstheme="minorBidi"/>
      <w:color w:val="97857B"/>
      <w:spacing w:val="0"/>
      <w:sz w:val="20"/>
      <w:szCs w:val="22"/>
      <w:lang w:val="en-US" w:eastAsia="en-US"/>
    </w:rPr>
  </w:style>
  <w:style w:type="character" w:customStyle="1" w:styleId="BodytextChar">
    <w:name w:val="Body text Char"/>
    <w:basedOn w:val="DefaultParagraphFont"/>
    <w:link w:val="BodyText1"/>
    <w:rsid w:val="00CB3B41"/>
    <w:rPr>
      <w:rFonts w:ascii="Arial" w:eastAsiaTheme="minorHAnsi" w:hAnsi="Arial" w:cstheme="minorBidi"/>
      <w:color w:val="97857B"/>
      <w:szCs w:val="22"/>
      <w:lang w:val="en-US" w:eastAsia="en-US"/>
    </w:rPr>
  </w:style>
  <w:style w:type="paragraph" w:styleId="NoSpacing">
    <w:name w:val="No Spacing"/>
    <w:uiPriority w:val="1"/>
    <w:qFormat/>
    <w:rsid w:val="00CB3B41"/>
    <w:pPr>
      <w:suppressAutoHyphens/>
    </w:pPr>
    <w:rPr>
      <w:rFonts w:ascii="Arial" w:hAnsi="Arial"/>
      <w:color w:val="000000"/>
      <w:spacing w:val="6"/>
      <w:sz w:val="18"/>
      <w:szCs w:val="18"/>
      <w:lang w:val="en-GB" w:eastAsia="en-GB"/>
    </w:rPr>
  </w:style>
  <w:style w:type="character" w:customStyle="1" w:styleId="ListParagraphChar">
    <w:name w:val="List Paragraph Char"/>
    <w:link w:val="ListParagraph"/>
    <w:uiPriority w:val="34"/>
    <w:locked/>
    <w:rsid w:val="00927475"/>
    <w:rPr>
      <w:rFonts w:ascii="Arial" w:hAnsi="Arial"/>
      <w:color w:val="000000"/>
      <w:spacing w:val="6"/>
      <w:sz w:val="18"/>
      <w:szCs w:val="18"/>
      <w:lang w:val="en-GB" w:eastAsia="en-GB"/>
    </w:rPr>
  </w:style>
  <w:style w:type="paragraph" w:styleId="BodyText">
    <w:name w:val="Body Text"/>
    <w:basedOn w:val="Normal"/>
    <w:link w:val="BodyTextChar0"/>
    <w:rsid w:val="00AC3216"/>
    <w:pPr>
      <w:suppressAutoHyphens w:val="0"/>
      <w:autoSpaceDN/>
      <w:jc w:val="both"/>
      <w:textAlignment w:val="auto"/>
    </w:pPr>
    <w:rPr>
      <w:rFonts w:cs="Arial"/>
      <w:sz w:val="24"/>
      <w:lang w:val="en-ZA"/>
    </w:rPr>
  </w:style>
  <w:style w:type="character" w:customStyle="1" w:styleId="BodyTextChar0">
    <w:name w:val="Body Text Char"/>
    <w:basedOn w:val="DefaultParagraphFont"/>
    <w:link w:val="BodyText"/>
    <w:rsid w:val="00AC3216"/>
    <w:rPr>
      <w:rFonts w:ascii="Arial" w:hAnsi="Arial" w:cs="Arial"/>
      <w:color w:val="000000"/>
      <w:spacing w:val="6"/>
      <w:sz w:val="24"/>
      <w:szCs w:val="18"/>
      <w:lang w:eastAsia="en-GB"/>
    </w:rPr>
  </w:style>
  <w:style w:type="character" w:customStyle="1" w:styleId="HeaderChar">
    <w:name w:val="Header Char"/>
    <w:basedOn w:val="DefaultParagraphFont"/>
    <w:link w:val="Header"/>
    <w:uiPriority w:val="99"/>
    <w:rsid w:val="00D77B00"/>
    <w:rPr>
      <w:rFonts w:ascii="Arial" w:hAnsi="Arial"/>
      <w:color w:val="000000"/>
      <w:spacing w:val="6"/>
      <w:sz w:val="18"/>
      <w:szCs w:val="18"/>
      <w:lang w:val="en-GB" w:eastAsia="en-GB"/>
    </w:rPr>
  </w:style>
  <w:style w:type="table" w:customStyle="1" w:styleId="DefaultTable">
    <w:name w:val="Default Table"/>
    <w:rsid w:val="00FA7374"/>
    <w:pPr>
      <w:autoSpaceDN/>
      <w:textAlignment w:val="auto"/>
    </w:pPr>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09726">
      <w:bodyDiv w:val="1"/>
      <w:marLeft w:val="57"/>
      <w:marRight w:val="57"/>
      <w:marTop w:val="57"/>
      <w:marBottom w:val="14"/>
      <w:divBdr>
        <w:top w:val="none" w:sz="0" w:space="0" w:color="auto"/>
        <w:left w:val="none" w:sz="0" w:space="0" w:color="auto"/>
        <w:bottom w:val="none" w:sz="0" w:space="0" w:color="auto"/>
        <w:right w:val="none" w:sz="0" w:space="0" w:color="auto"/>
      </w:divBdr>
    </w:div>
    <w:div w:id="519440410">
      <w:bodyDiv w:val="1"/>
      <w:marLeft w:val="0"/>
      <w:marRight w:val="0"/>
      <w:marTop w:val="0"/>
      <w:marBottom w:val="0"/>
      <w:divBdr>
        <w:top w:val="none" w:sz="0" w:space="0" w:color="auto"/>
        <w:left w:val="none" w:sz="0" w:space="0" w:color="auto"/>
        <w:bottom w:val="none" w:sz="0" w:space="0" w:color="auto"/>
        <w:right w:val="none" w:sz="0" w:space="0" w:color="auto"/>
      </w:divBdr>
    </w:div>
    <w:div w:id="525867924">
      <w:bodyDiv w:val="1"/>
      <w:marLeft w:val="0"/>
      <w:marRight w:val="0"/>
      <w:marTop w:val="0"/>
      <w:marBottom w:val="0"/>
      <w:divBdr>
        <w:top w:val="none" w:sz="0" w:space="0" w:color="auto"/>
        <w:left w:val="none" w:sz="0" w:space="0" w:color="auto"/>
        <w:bottom w:val="none" w:sz="0" w:space="0" w:color="auto"/>
        <w:right w:val="none" w:sz="0" w:space="0" w:color="auto"/>
      </w:divBdr>
      <w:divsChild>
        <w:div w:id="70389543">
          <w:marLeft w:val="547"/>
          <w:marRight w:val="0"/>
          <w:marTop w:val="0"/>
          <w:marBottom w:val="0"/>
          <w:divBdr>
            <w:top w:val="none" w:sz="0" w:space="0" w:color="auto"/>
            <w:left w:val="none" w:sz="0" w:space="0" w:color="auto"/>
            <w:bottom w:val="none" w:sz="0" w:space="0" w:color="auto"/>
            <w:right w:val="none" w:sz="0" w:space="0" w:color="auto"/>
          </w:divBdr>
        </w:div>
        <w:div w:id="654840050">
          <w:marLeft w:val="547"/>
          <w:marRight w:val="0"/>
          <w:marTop w:val="0"/>
          <w:marBottom w:val="0"/>
          <w:divBdr>
            <w:top w:val="none" w:sz="0" w:space="0" w:color="auto"/>
            <w:left w:val="none" w:sz="0" w:space="0" w:color="auto"/>
            <w:bottom w:val="none" w:sz="0" w:space="0" w:color="auto"/>
            <w:right w:val="none" w:sz="0" w:space="0" w:color="auto"/>
          </w:divBdr>
        </w:div>
        <w:div w:id="1169711038">
          <w:marLeft w:val="547"/>
          <w:marRight w:val="0"/>
          <w:marTop w:val="0"/>
          <w:marBottom w:val="0"/>
          <w:divBdr>
            <w:top w:val="none" w:sz="0" w:space="0" w:color="auto"/>
            <w:left w:val="none" w:sz="0" w:space="0" w:color="auto"/>
            <w:bottom w:val="none" w:sz="0" w:space="0" w:color="auto"/>
            <w:right w:val="none" w:sz="0" w:space="0" w:color="auto"/>
          </w:divBdr>
        </w:div>
        <w:div w:id="1489786325">
          <w:marLeft w:val="547"/>
          <w:marRight w:val="0"/>
          <w:marTop w:val="0"/>
          <w:marBottom w:val="0"/>
          <w:divBdr>
            <w:top w:val="none" w:sz="0" w:space="0" w:color="auto"/>
            <w:left w:val="none" w:sz="0" w:space="0" w:color="auto"/>
            <w:bottom w:val="none" w:sz="0" w:space="0" w:color="auto"/>
            <w:right w:val="none" w:sz="0" w:space="0" w:color="auto"/>
          </w:divBdr>
        </w:div>
        <w:div w:id="1527064819">
          <w:marLeft w:val="547"/>
          <w:marRight w:val="0"/>
          <w:marTop w:val="0"/>
          <w:marBottom w:val="0"/>
          <w:divBdr>
            <w:top w:val="none" w:sz="0" w:space="0" w:color="auto"/>
            <w:left w:val="none" w:sz="0" w:space="0" w:color="auto"/>
            <w:bottom w:val="none" w:sz="0" w:space="0" w:color="auto"/>
            <w:right w:val="none" w:sz="0" w:space="0" w:color="auto"/>
          </w:divBdr>
        </w:div>
      </w:divsChild>
    </w:div>
    <w:div w:id="578098335">
      <w:bodyDiv w:val="1"/>
      <w:marLeft w:val="0"/>
      <w:marRight w:val="0"/>
      <w:marTop w:val="0"/>
      <w:marBottom w:val="0"/>
      <w:divBdr>
        <w:top w:val="none" w:sz="0" w:space="0" w:color="auto"/>
        <w:left w:val="none" w:sz="0" w:space="0" w:color="auto"/>
        <w:bottom w:val="none" w:sz="0" w:space="0" w:color="auto"/>
        <w:right w:val="none" w:sz="0" w:space="0" w:color="auto"/>
      </w:divBdr>
      <w:divsChild>
        <w:div w:id="166291185">
          <w:marLeft w:val="547"/>
          <w:marRight w:val="0"/>
          <w:marTop w:val="53"/>
          <w:marBottom w:val="0"/>
          <w:divBdr>
            <w:top w:val="none" w:sz="0" w:space="0" w:color="auto"/>
            <w:left w:val="none" w:sz="0" w:space="0" w:color="auto"/>
            <w:bottom w:val="none" w:sz="0" w:space="0" w:color="auto"/>
            <w:right w:val="none" w:sz="0" w:space="0" w:color="auto"/>
          </w:divBdr>
        </w:div>
        <w:div w:id="478032384">
          <w:marLeft w:val="547"/>
          <w:marRight w:val="0"/>
          <w:marTop w:val="53"/>
          <w:marBottom w:val="0"/>
          <w:divBdr>
            <w:top w:val="none" w:sz="0" w:space="0" w:color="auto"/>
            <w:left w:val="none" w:sz="0" w:space="0" w:color="auto"/>
            <w:bottom w:val="none" w:sz="0" w:space="0" w:color="auto"/>
            <w:right w:val="none" w:sz="0" w:space="0" w:color="auto"/>
          </w:divBdr>
        </w:div>
        <w:div w:id="530147369">
          <w:marLeft w:val="547"/>
          <w:marRight w:val="0"/>
          <w:marTop w:val="53"/>
          <w:marBottom w:val="0"/>
          <w:divBdr>
            <w:top w:val="none" w:sz="0" w:space="0" w:color="auto"/>
            <w:left w:val="none" w:sz="0" w:space="0" w:color="auto"/>
            <w:bottom w:val="none" w:sz="0" w:space="0" w:color="auto"/>
            <w:right w:val="none" w:sz="0" w:space="0" w:color="auto"/>
          </w:divBdr>
        </w:div>
        <w:div w:id="585649030">
          <w:marLeft w:val="547"/>
          <w:marRight w:val="0"/>
          <w:marTop w:val="53"/>
          <w:marBottom w:val="0"/>
          <w:divBdr>
            <w:top w:val="none" w:sz="0" w:space="0" w:color="auto"/>
            <w:left w:val="none" w:sz="0" w:space="0" w:color="auto"/>
            <w:bottom w:val="none" w:sz="0" w:space="0" w:color="auto"/>
            <w:right w:val="none" w:sz="0" w:space="0" w:color="auto"/>
          </w:divBdr>
        </w:div>
        <w:div w:id="1737511166">
          <w:marLeft w:val="547"/>
          <w:marRight w:val="0"/>
          <w:marTop w:val="53"/>
          <w:marBottom w:val="0"/>
          <w:divBdr>
            <w:top w:val="none" w:sz="0" w:space="0" w:color="auto"/>
            <w:left w:val="none" w:sz="0" w:space="0" w:color="auto"/>
            <w:bottom w:val="none" w:sz="0" w:space="0" w:color="auto"/>
            <w:right w:val="none" w:sz="0" w:space="0" w:color="auto"/>
          </w:divBdr>
        </w:div>
      </w:divsChild>
    </w:div>
    <w:div w:id="1304315802">
      <w:bodyDiv w:val="1"/>
      <w:marLeft w:val="0"/>
      <w:marRight w:val="0"/>
      <w:marTop w:val="0"/>
      <w:marBottom w:val="0"/>
      <w:divBdr>
        <w:top w:val="none" w:sz="0" w:space="0" w:color="auto"/>
        <w:left w:val="none" w:sz="0" w:space="0" w:color="auto"/>
        <w:bottom w:val="none" w:sz="0" w:space="0" w:color="auto"/>
        <w:right w:val="none" w:sz="0" w:space="0" w:color="auto"/>
      </w:divBdr>
      <w:divsChild>
        <w:div w:id="811749457">
          <w:marLeft w:val="547"/>
          <w:marRight w:val="0"/>
          <w:marTop w:val="86"/>
          <w:marBottom w:val="0"/>
          <w:divBdr>
            <w:top w:val="none" w:sz="0" w:space="0" w:color="auto"/>
            <w:left w:val="none" w:sz="0" w:space="0" w:color="auto"/>
            <w:bottom w:val="none" w:sz="0" w:space="0" w:color="auto"/>
            <w:right w:val="none" w:sz="0" w:space="0" w:color="auto"/>
          </w:divBdr>
        </w:div>
        <w:div w:id="959989142">
          <w:marLeft w:val="547"/>
          <w:marRight w:val="0"/>
          <w:marTop w:val="86"/>
          <w:marBottom w:val="0"/>
          <w:divBdr>
            <w:top w:val="none" w:sz="0" w:space="0" w:color="auto"/>
            <w:left w:val="none" w:sz="0" w:space="0" w:color="auto"/>
            <w:bottom w:val="none" w:sz="0" w:space="0" w:color="auto"/>
            <w:right w:val="none" w:sz="0" w:space="0" w:color="auto"/>
          </w:divBdr>
        </w:div>
      </w:divsChild>
    </w:div>
    <w:div w:id="1722627257">
      <w:bodyDiv w:val="1"/>
      <w:marLeft w:val="0"/>
      <w:marRight w:val="0"/>
      <w:marTop w:val="0"/>
      <w:marBottom w:val="0"/>
      <w:divBdr>
        <w:top w:val="none" w:sz="0" w:space="0" w:color="auto"/>
        <w:left w:val="none" w:sz="0" w:space="0" w:color="auto"/>
        <w:bottom w:val="none" w:sz="0" w:space="0" w:color="auto"/>
        <w:right w:val="none" w:sz="0" w:space="0" w:color="auto"/>
      </w:divBdr>
    </w:div>
    <w:div w:id="1991667532">
      <w:bodyDiv w:val="1"/>
      <w:marLeft w:val="0"/>
      <w:marRight w:val="0"/>
      <w:marTop w:val="0"/>
      <w:marBottom w:val="0"/>
      <w:divBdr>
        <w:top w:val="none" w:sz="0" w:space="0" w:color="auto"/>
        <w:left w:val="none" w:sz="0" w:space="0" w:color="auto"/>
        <w:bottom w:val="none" w:sz="0" w:space="0" w:color="auto"/>
        <w:right w:val="none" w:sz="0" w:space="0" w:color="auto"/>
      </w:divBdr>
      <w:divsChild>
        <w:div w:id="255796256">
          <w:marLeft w:val="547"/>
          <w:marRight w:val="0"/>
          <w:marTop w:val="53"/>
          <w:marBottom w:val="0"/>
          <w:divBdr>
            <w:top w:val="none" w:sz="0" w:space="0" w:color="auto"/>
            <w:left w:val="none" w:sz="0" w:space="0" w:color="auto"/>
            <w:bottom w:val="none" w:sz="0" w:space="0" w:color="auto"/>
            <w:right w:val="none" w:sz="0" w:space="0" w:color="auto"/>
          </w:divBdr>
        </w:div>
        <w:div w:id="271211897">
          <w:marLeft w:val="547"/>
          <w:marRight w:val="0"/>
          <w:marTop w:val="53"/>
          <w:marBottom w:val="0"/>
          <w:divBdr>
            <w:top w:val="none" w:sz="0" w:space="0" w:color="auto"/>
            <w:left w:val="none" w:sz="0" w:space="0" w:color="auto"/>
            <w:bottom w:val="none" w:sz="0" w:space="0" w:color="auto"/>
            <w:right w:val="none" w:sz="0" w:space="0" w:color="auto"/>
          </w:divBdr>
        </w:div>
        <w:div w:id="336808015">
          <w:marLeft w:val="547"/>
          <w:marRight w:val="0"/>
          <w:marTop w:val="53"/>
          <w:marBottom w:val="0"/>
          <w:divBdr>
            <w:top w:val="none" w:sz="0" w:space="0" w:color="auto"/>
            <w:left w:val="none" w:sz="0" w:space="0" w:color="auto"/>
            <w:bottom w:val="none" w:sz="0" w:space="0" w:color="auto"/>
            <w:right w:val="none" w:sz="0" w:space="0" w:color="auto"/>
          </w:divBdr>
        </w:div>
        <w:div w:id="1283613486">
          <w:marLeft w:val="547"/>
          <w:marRight w:val="0"/>
          <w:marTop w:val="53"/>
          <w:marBottom w:val="0"/>
          <w:divBdr>
            <w:top w:val="none" w:sz="0" w:space="0" w:color="auto"/>
            <w:left w:val="none" w:sz="0" w:space="0" w:color="auto"/>
            <w:bottom w:val="none" w:sz="0" w:space="0" w:color="auto"/>
            <w:right w:val="none" w:sz="0" w:space="0" w:color="auto"/>
          </w:divBdr>
        </w:div>
      </w:divsChild>
    </w:div>
    <w:div w:id="212700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08D3-FF6F-4352-A5BD-607A8E59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17322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User</cp:lastModifiedBy>
  <cp:revision>2</cp:revision>
  <cp:lastPrinted>2022-05-24T18:06:00Z</cp:lastPrinted>
  <dcterms:created xsi:type="dcterms:W3CDTF">2022-10-21T06:52:00Z</dcterms:created>
  <dcterms:modified xsi:type="dcterms:W3CDTF">2022-10-21T06:52:00Z</dcterms:modified>
</cp:coreProperties>
</file>