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D3" w:rsidRPr="00C70473" w:rsidRDefault="00C70473" w:rsidP="00C70473">
      <w:pPr>
        <w:spacing w:after="0" w:line="240" w:lineRule="auto"/>
        <w:outlineLvl w:val="0"/>
        <w:rPr>
          <w:rFonts w:ascii="Arial" w:eastAsia="Arial Unicode MS" w:hAnsi="Arial" w:cs="Arial"/>
          <w:sz w:val="20"/>
          <w:szCs w:val="20"/>
          <w:lang w:eastAsia="en-ZA"/>
        </w:rPr>
      </w:pPr>
      <w:r w:rsidRPr="00C70473">
        <w:rPr>
          <w:rFonts w:ascii="Arial" w:eastAsia="Arial Unicode MS" w:hAnsi="Arial" w:cs="Arial"/>
          <w:b/>
          <w:sz w:val="20"/>
          <w:szCs w:val="20"/>
          <w:lang w:eastAsia="en-ZA"/>
        </w:rPr>
        <w:t xml:space="preserve">Budget </w:t>
      </w:r>
      <w:r>
        <w:rPr>
          <w:rFonts w:ascii="Arial" w:eastAsia="Arial Unicode MS" w:hAnsi="Arial" w:cs="Arial"/>
          <w:b/>
          <w:sz w:val="20"/>
          <w:szCs w:val="20"/>
          <w:lang w:eastAsia="en-ZA"/>
        </w:rPr>
        <w:t>Review and Recommendation Report of the Portfolio Committee o</w:t>
      </w:r>
      <w:r w:rsidRPr="00C70473">
        <w:rPr>
          <w:rFonts w:ascii="Arial" w:eastAsia="Arial Unicode MS" w:hAnsi="Arial" w:cs="Arial"/>
          <w:b/>
          <w:sz w:val="20"/>
          <w:szCs w:val="20"/>
          <w:lang w:eastAsia="en-ZA"/>
        </w:rPr>
        <w:t>n Polic</w:t>
      </w:r>
      <w:r>
        <w:rPr>
          <w:rFonts w:ascii="Arial" w:eastAsia="Arial Unicode MS" w:hAnsi="Arial" w:cs="Arial"/>
          <w:b/>
          <w:sz w:val="20"/>
          <w:szCs w:val="20"/>
          <w:lang w:eastAsia="en-ZA"/>
        </w:rPr>
        <w:t>e on the 2021/22 Annual Report of t</w:t>
      </w:r>
      <w:r w:rsidRPr="00C70473">
        <w:rPr>
          <w:rFonts w:ascii="Arial" w:eastAsia="Arial Unicode MS" w:hAnsi="Arial" w:cs="Arial"/>
          <w:b/>
          <w:sz w:val="20"/>
          <w:szCs w:val="20"/>
          <w:lang w:eastAsia="en-ZA"/>
        </w:rPr>
        <w:t>he South Africa</w:t>
      </w:r>
      <w:r>
        <w:rPr>
          <w:rFonts w:ascii="Arial" w:eastAsia="Arial Unicode MS" w:hAnsi="Arial" w:cs="Arial"/>
          <w:b/>
          <w:sz w:val="20"/>
          <w:szCs w:val="20"/>
          <w:lang w:eastAsia="en-ZA"/>
        </w:rPr>
        <w:t xml:space="preserve">n Police Service (SAPS), Dated </w:t>
      </w:r>
      <w:r w:rsidRPr="00C70473">
        <w:rPr>
          <w:rFonts w:ascii="Arial" w:eastAsia="Arial Unicode MS" w:hAnsi="Arial" w:cs="Arial"/>
          <w:b/>
          <w:sz w:val="20"/>
          <w:szCs w:val="20"/>
          <w:lang w:eastAsia="en-ZA"/>
        </w:rPr>
        <w:t>19 October 2022</w:t>
      </w:r>
      <w:r w:rsidR="004F27D3" w:rsidRPr="00C70473">
        <w:rPr>
          <w:rFonts w:ascii="Arial" w:eastAsia="Arial Unicode MS" w:hAnsi="Arial" w:cs="Arial"/>
          <w:b/>
          <w:sz w:val="20"/>
          <w:szCs w:val="20"/>
          <w:lang w:eastAsia="en-ZA"/>
        </w:rPr>
        <w:t>.</w:t>
      </w:r>
    </w:p>
    <w:p w:rsidR="004F27D3" w:rsidRPr="00C70473" w:rsidRDefault="004F27D3" w:rsidP="00C70473">
      <w:pPr>
        <w:spacing w:after="0" w:line="240" w:lineRule="auto"/>
        <w:outlineLvl w:val="0"/>
        <w:rPr>
          <w:rFonts w:ascii="Arial" w:eastAsia="Arial Unicode MS" w:hAnsi="Arial" w:cs="Arial"/>
          <w:sz w:val="20"/>
          <w:szCs w:val="20"/>
          <w:lang w:eastAsia="en-ZA"/>
        </w:rPr>
      </w:pPr>
    </w:p>
    <w:p w:rsidR="004F27D3" w:rsidRPr="00C70473" w:rsidRDefault="004F27D3" w:rsidP="00C70473">
      <w:pPr>
        <w:spacing w:after="0" w:line="240" w:lineRule="auto"/>
        <w:outlineLvl w:val="0"/>
        <w:rPr>
          <w:rFonts w:ascii="Arial" w:eastAsia="Arial Unicode MS" w:hAnsi="Arial" w:cs="Arial"/>
          <w:sz w:val="20"/>
          <w:szCs w:val="20"/>
          <w:lang w:eastAsia="en-ZA"/>
        </w:rPr>
      </w:pPr>
      <w:r w:rsidRPr="00C70473">
        <w:rPr>
          <w:rFonts w:ascii="Arial" w:eastAsia="Arial Unicode MS" w:hAnsi="Arial" w:cs="Arial"/>
          <w:sz w:val="20"/>
          <w:szCs w:val="20"/>
          <w:lang w:eastAsia="en-ZA"/>
        </w:rPr>
        <w:t xml:space="preserve">The Portfolio Committee on Police, having considered the </w:t>
      </w:r>
      <w:r w:rsidR="009C0140" w:rsidRPr="00C70473">
        <w:rPr>
          <w:rFonts w:ascii="Arial" w:eastAsia="Arial Unicode MS" w:hAnsi="Arial" w:cs="Arial"/>
          <w:sz w:val="20"/>
          <w:szCs w:val="20"/>
          <w:lang w:eastAsia="en-ZA"/>
        </w:rPr>
        <w:t xml:space="preserve">annual </w:t>
      </w:r>
      <w:r w:rsidRPr="00C70473">
        <w:rPr>
          <w:rFonts w:ascii="Arial" w:eastAsia="Arial Unicode MS" w:hAnsi="Arial" w:cs="Arial"/>
          <w:sz w:val="20"/>
          <w:szCs w:val="20"/>
          <w:lang w:eastAsia="en-ZA"/>
        </w:rPr>
        <w:t>financial and service delivery performance of the South African Pol</w:t>
      </w:r>
      <w:r w:rsidR="00C32F86" w:rsidRPr="00C70473">
        <w:rPr>
          <w:rFonts w:ascii="Arial" w:eastAsia="Arial Unicode MS" w:hAnsi="Arial" w:cs="Arial"/>
          <w:sz w:val="20"/>
          <w:szCs w:val="20"/>
          <w:lang w:eastAsia="en-ZA"/>
        </w:rPr>
        <w:t>ice Services (SAPS) for the 2021</w:t>
      </w:r>
      <w:r w:rsidRPr="00C70473">
        <w:rPr>
          <w:rFonts w:ascii="Arial" w:eastAsia="Arial Unicode MS" w:hAnsi="Arial" w:cs="Arial"/>
          <w:sz w:val="20"/>
          <w:szCs w:val="20"/>
          <w:lang w:eastAsia="en-ZA"/>
        </w:rPr>
        <w:t>/2</w:t>
      </w:r>
      <w:r w:rsidR="00C32F86" w:rsidRPr="00C70473">
        <w:rPr>
          <w:rFonts w:ascii="Arial" w:eastAsia="Arial Unicode MS" w:hAnsi="Arial" w:cs="Arial"/>
          <w:sz w:val="20"/>
          <w:szCs w:val="20"/>
          <w:lang w:eastAsia="en-ZA"/>
        </w:rPr>
        <w:t>2</w:t>
      </w:r>
      <w:r w:rsidRPr="00C70473">
        <w:rPr>
          <w:rFonts w:ascii="Arial" w:eastAsia="Arial Unicode MS" w:hAnsi="Arial" w:cs="Arial"/>
          <w:sz w:val="20"/>
          <w:szCs w:val="20"/>
          <w:lang w:eastAsia="en-ZA"/>
        </w:rPr>
        <w:t xml:space="preserve"> financial year</w:t>
      </w:r>
      <w:r w:rsidR="000A6BC5" w:rsidRPr="00C70473">
        <w:rPr>
          <w:rFonts w:ascii="Arial" w:eastAsia="Arial Unicode MS" w:hAnsi="Arial" w:cs="Arial"/>
          <w:sz w:val="20"/>
          <w:szCs w:val="20"/>
          <w:lang w:eastAsia="en-ZA"/>
        </w:rPr>
        <w:t xml:space="preserve"> on 12 October 2022</w:t>
      </w:r>
      <w:r w:rsidRPr="00C70473">
        <w:rPr>
          <w:rFonts w:ascii="Arial" w:eastAsia="Arial Unicode MS" w:hAnsi="Arial" w:cs="Arial"/>
          <w:sz w:val="20"/>
          <w:szCs w:val="20"/>
          <w:lang w:eastAsia="en-ZA"/>
        </w:rPr>
        <w:t>, reports as follows:</w:t>
      </w:r>
      <w:bookmarkStart w:id="0" w:name="_GoBack"/>
      <w:bookmarkEnd w:id="0"/>
    </w:p>
    <w:p w:rsidR="00C32F86" w:rsidRPr="00C70473" w:rsidRDefault="00C32F86" w:rsidP="00C70473">
      <w:pPr>
        <w:spacing w:after="0" w:line="240" w:lineRule="auto"/>
        <w:outlineLvl w:val="0"/>
        <w:rPr>
          <w:rFonts w:ascii="Arial" w:eastAsia="Arial Unicode MS" w:hAnsi="Arial" w:cs="Arial"/>
          <w:sz w:val="20"/>
          <w:szCs w:val="20"/>
          <w:lang w:eastAsia="en-ZA"/>
        </w:rPr>
      </w:pPr>
    </w:p>
    <w:p w:rsidR="004F27D3" w:rsidRPr="00C70473" w:rsidRDefault="004F27D3" w:rsidP="00C70473">
      <w:pPr>
        <w:pStyle w:val="ListParagraph"/>
        <w:numPr>
          <w:ilvl w:val="0"/>
          <w:numId w:val="66"/>
        </w:numPr>
        <w:spacing w:after="0" w:line="240" w:lineRule="auto"/>
        <w:outlineLvl w:val="0"/>
        <w:rPr>
          <w:rFonts w:ascii="Arial" w:eastAsia="Arial Unicode MS" w:hAnsi="Arial" w:cs="Arial"/>
          <w:b/>
          <w:caps/>
          <w:sz w:val="20"/>
          <w:szCs w:val="20"/>
          <w:lang w:val="en-US"/>
        </w:rPr>
      </w:pPr>
      <w:r w:rsidRPr="00C70473">
        <w:rPr>
          <w:rFonts w:ascii="Arial" w:eastAsia="Arial Unicode MS" w:hAnsi="Arial" w:cs="Arial"/>
          <w:b/>
          <w:caps/>
          <w:sz w:val="20"/>
          <w:szCs w:val="20"/>
          <w:lang w:val="en-US"/>
        </w:rPr>
        <w:t xml:space="preserve">Introduction </w:t>
      </w:r>
    </w:p>
    <w:p w:rsidR="004F27D3" w:rsidRPr="00C70473" w:rsidRDefault="004F27D3" w:rsidP="00C70473">
      <w:pPr>
        <w:spacing w:after="0" w:line="240" w:lineRule="auto"/>
        <w:outlineLvl w:val="0"/>
        <w:rPr>
          <w:rFonts w:ascii="Arial" w:eastAsia="Arial Unicode MS" w:hAnsi="Arial" w:cs="Arial"/>
          <w:sz w:val="20"/>
          <w:szCs w:val="20"/>
          <w:lang w:val="en-US"/>
        </w:rPr>
      </w:pPr>
    </w:p>
    <w:p w:rsidR="00E752F0" w:rsidRPr="00C70473" w:rsidRDefault="00E752F0" w:rsidP="00C70473">
      <w:pPr>
        <w:spacing w:after="0" w:line="240" w:lineRule="auto"/>
        <w:rPr>
          <w:rFonts w:ascii="Arial" w:hAnsi="Arial" w:cs="Arial"/>
          <w:sz w:val="20"/>
          <w:szCs w:val="20"/>
        </w:rPr>
      </w:pPr>
      <w:r w:rsidRPr="00C70473">
        <w:rPr>
          <w:rFonts w:ascii="Arial" w:hAnsi="Arial" w:cs="Arial"/>
          <w:sz w:val="20"/>
          <w:szCs w:val="20"/>
        </w:rPr>
        <w:t xml:space="preserve">In terms of Section 5 of the Money Bills Amendment Procedures and Related Matters Act, No. 9 of 2009, the National Assembly, through its Committees, must annually compile Budgetary Review and Recommendations Reports (BRRR) that assess service delivery and financial performance of departments and may make recommendations to the Minister of Finance to amend the budget of a National Department. </w:t>
      </w:r>
    </w:p>
    <w:p w:rsidR="00E752F0" w:rsidRPr="00C70473" w:rsidRDefault="00E752F0" w:rsidP="00C70473">
      <w:pPr>
        <w:spacing w:after="0" w:line="240" w:lineRule="auto"/>
        <w:rPr>
          <w:rFonts w:ascii="Arial" w:hAnsi="Arial" w:cs="Arial"/>
          <w:sz w:val="20"/>
          <w:szCs w:val="20"/>
        </w:rPr>
      </w:pPr>
    </w:p>
    <w:p w:rsidR="00E752F0" w:rsidRPr="00C70473" w:rsidRDefault="00E752F0" w:rsidP="00C70473">
      <w:pPr>
        <w:spacing w:after="0" w:line="240" w:lineRule="auto"/>
        <w:rPr>
          <w:rFonts w:ascii="Arial" w:hAnsi="Arial" w:cs="Arial"/>
          <w:sz w:val="20"/>
          <w:szCs w:val="20"/>
        </w:rPr>
      </w:pPr>
      <w:r w:rsidRPr="00C70473">
        <w:rPr>
          <w:rFonts w:ascii="Arial" w:hAnsi="Arial" w:cs="Arial"/>
          <w:sz w:val="20"/>
          <w:szCs w:val="20"/>
        </w:rPr>
        <w:t>The Money Bills Amendment Procedures and Related Matters Act, section 5 (3) highlights focus areas on the budgetary review and recommendation report as:</w:t>
      </w:r>
    </w:p>
    <w:p w:rsidR="00E752F0" w:rsidRPr="00C70473" w:rsidRDefault="00E752F0" w:rsidP="00C70473">
      <w:pPr>
        <w:pStyle w:val="ListParagraph"/>
        <w:numPr>
          <w:ilvl w:val="0"/>
          <w:numId w:val="115"/>
        </w:numPr>
        <w:spacing w:after="0" w:line="240" w:lineRule="auto"/>
        <w:rPr>
          <w:rFonts w:ascii="Arial" w:hAnsi="Arial" w:cs="Arial"/>
          <w:sz w:val="20"/>
          <w:szCs w:val="20"/>
        </w:rPr>
      </w:pPr>
      <w:r w:rsidRPr="00C70473">
        <w:rPr>
          <w:rFonts w:ascii="Arial" w:hAnsi="Arial" w:cs="Arial"/>
          <w:sz w:val="20"/>
          <w:szCs w:val="20"/>
        </w:rPr>
        <w:t xml:space="preserve">Assess service delivery performance of departments given available resources; </w:t>
      </w:r>
    </w:p>
    <w:p w:rsidR="00E752F0" w:rsidRPr="00C70473" w:rsidRDefault="00E752F0" w:rsidP="00C70473">
      <w:pPr>
        <w:pStyle w:val="ListParagraph"/>
        <w:numPr>
          <w:ilvl w:val="0"/>
          <w:numId w:val="115"/>
        </w:numPr>
        <w:spacing w:after="0" w:line="240" w:lineRule="auto"/>
        <w:rPr>
          <w:rFonts w:ascii="Arial" w:hAnsi="Arial" w:cs="Arial"/>
          <w:sz w:val="20"/>
          <w:szCs w:val="20"/>
        </w:rPr>
      </w:pPr>
      <w:r w:rsidRPr="00C70473">
        <w:rPr>
          <w:rFonts w:ascii="Arial" w:hAnsi="Arial" w:cs="Arial"/>
          <w:sz w:val="20"/>
          <w:szCs w:val="20"/>
        </w:rPr>
        <w:t>Evaluate the effective and efficient use and forward allocation of resources (value for money in services delivered)</w:t>
      </w:r>
      <w:r w:rsidR="00BD61D1" w:rsidRPr="00C70473">
        <w:rPr>
          <w:rFonts w:ascii="Arial" w:hAnsi="Arial" w:cs="Arial"/>
          <w:sz w:val="20"/>
          <w:szCs w:val="20"/>
        </w:rPr>
        <w:t>; and</w:t>
      </w:r>
    </w:p>
    <w:p w:rsidR="00E752F0" w:rsidRPr="00C70473" w:rsidRDefault="00E752F0" w:rsidP="00C70473">
      <w:pPr>
        <w:pStyle w:val="ListParagraph"/>
        <w:numPr>
          <w:ilvl w:val="0"/>
          <w:numId w:val="115"/>
        </w:numPr>
        <w:spacing w:after="0" w:line="240" w:lineRule="auto"/>
        <w:rPr>
          <w:rFonts w:ascii="Arial" w:hAnsi="Arial" w:cs="Arial"/>
          <w:sz w:val="20"/>
          <w:szCs w:val="20"/>
        </w:rPr>
      </w:pPr>
      <w:r w:rsidRPr="00C70473">
        <w:rPr>
          <w:rFonts w:ascii="Arial" w:hAnsi="Arial" w:cs="Arial"/>
          <w:sz w:val="20"/>
          <w:szCs w:val="20"/>
        </w:rPr>
        <w:t>May include recommendations on the forward use of resources.</w:t>
      </w:r>
      <w:r w:rsidRPr="00C70473">
        <w:rPr>
          <w:rFonts w:ascii="Arial" w:hAnsi="Arial" w:cs="Arial"/>
          <w:b/>
          <w:sz w:val="20"/>
          <w:szCs w:val="20"/>
        </w:rPr>
        <w:tab/>
      </w:r>
    </w:p>
    <w:p w:rsidR="00E752F0" w:rsidRPr="00C70473" w:rsidRDefault="00E752F0" w:rsidP="00C70473">
      <w:pPr>
        <w:spacing w:after="0" w:line="240" w:lineRule="auto"/>
        <w:rPr>
          <w:rFonts w:ascii="Arial" w:hAnsi="Arial" w:cs="Arial"/>
          <w:b/>
          <w:sz w:val="20"/>
          <w:szCs w:val="20"/>
        </w:rPr>
      </w:pPr>
    </w:p>
    <w:p w:rsidR="00E752F0" w:rsidRPr="00C70473" w:rsidRDefault="00E752F0" w:rsidP="00C70473">
      <w:pPr>
        <w:spacing w:after="0" w:line="240" w:lineRule="auto"/>
        <w:rPr>
          <w:rFonts w:ascii="Arial" w:hAnsi="Arial" w:cs="Arial"/>
          <w:sz w:val="20"/>
          <w:szCs w:val="20"/>
        </w:rPr>
      </w:pPr>
      <w:r w:rsidRPr="00C70473">
        <w:rPr>
          <w:rFonts w:ascii="Arial" w:hAnsi="Arial" w:cs="Arial"/>
          <w:sz w:val="20"/>
          <w:szCs w:val="20"/>
        </w:rPr>
        <w:t xml:space="preserve">The BRRR forms a source documents for the Standing/Select Committees on Appropriations/Finance when they make recommendations to the Houses of Parliament on the Medium-Term Budget Policy Statement (MTBPS). BRRRs must be submitted for tabling in the National Assembly after the adoption of the Appropriation Bill and prior to the adoption of the reports on the Medium Term Budget Policy Statement (MTBPS), which is scheduled for 26 October 2022. </w:t>
      </w:r>
    </w:p>
    <w:p w:rsidR="004F27D3" w:rsidRPr="00C70473" w:rsidRDefault="004F27D3" w:rsidP="00C70473">
      <w:pPr>
        <w:spacing w:after="0" w:line="240" w:lineRule="auto"/>
        <w:rPr>
          <w:rFonts w:ascii="Arial" w:hAnsi="Arial" w:cs="Arial"/>
          <w:sz w:val="20"/>
          <w:szCs w:val="20"/>
        </w:rPr>
      </w:pPr>
    </w:p>
    <w:p w:rsidR="00E752F0" w:rsidRPr="00C70473" w:rsidRDefault="00E752F0" w:rsidP="00C70473">
      <w:pPr>
        <w:spacing w:after="0" w:line="240" w:lineRule="auto"/>
        <w:rPr>
          <w:rFonts w:ascii="Arial" w:hAnsi="Arial" w:cs="Arial"/>
          <w:b/>
          <w:sz w:val="20"/>
          <w:szCs w:val="20"/>
        </w:rPr>
      </w:pPr>
      <w:r w:rsidRPr="00C70473">
        <w:rPr>
          <w:rFonts w:ascii="Arial" w:hAnsi="Arial" w:cs="Arial"/>
          <w:b/>
          <w:sz w:val="20"/>
          <w:szCs w:val="20"/>
        </w:rPr>
        <w:t xml:space="preserve">Mandate of the Portfolio Committee on Police </w:t>
      </w:r>
    </w:p>
    <w:p w:rsidR="00E752F0" w:rsidRPr="00C70473" w:rsidRDefault="00E752F0" w:rsidP="00C70473">
      <w:pPr>
        <w:spacing w:after="0" w:line="240" w:lineRule="auto"/>
        <w:rPr>
          <w:rFonts w:ascii="Arial" w:hAnsi="Arial" w:cs="Arial"/>
          <w:b/>
          <w:sz w:val="20"/>
          <w:szCs w:val="20"/>
        </w:rPr>
      </w:pPr>
    </w:p>
    <w:p w:rsidR="004F27D3" w:rsidRPr="00C70473" w:rsidRDefault="004F27D3" w:rsidP="00C70473">
      <w:pPr>
        <w:pStyle w:val="ListParagraph"/>
        <w:spacing w:after="0" w:line="240" w:lineRule="auto"/>
        <w:ind w:left="0"/>
        <w:contextualSpacing w:val="0"/>
        <w:rPr>
          <w:rFonts w:ascii="Arial" w:hAnsi="Arial" w:cs="Arial"/>
          <w:sz w:val="20"/>
          <w:szCs w:val="20"/>
        </w:rPr>
      </w:pPr>
      <w:r w:rsidRPr="00C70473">
        <w:rPr>
          <w:rFonts w:ascii="Arial" w:hAnsi="Arial" w:cs="Arial"/>
          <w:sz w:val="20"/>
          <w:szCs w:val="20"/>
        </w:rPr>
        <w:t>The Committee is guided by its interest to promote effectiveness, efficiency and professional policing in South Africa. It has a desire to see a reduction in crime. The mandate of the Committee therefore is to fulfil its constitutional function to:</w:t>
      </w:r>
    </w:p>
    <w:p w:rsidR="004F27D3" w:rsidRPr="00C70473" w:rsidRDefault="00256C51" w:rsidP="00C70473">
      <w:pPr>
        <w:pStyle w:val="ListParagraph"/>
        <w:numPr>
          <w:ilvl w:val="0"/>
          <w:numId w:val="64"/>
        </w:numPr>
        <w:spacing w:after="0" w:line="240" w:lineRule="auto"/>
        <w:ind w:left="709" w:hanging="425"/>
        <w:contextualSpacing w:val="0"/>
        <w:rPr>
          <w:rFonts w:ascii="Arial" w:hAnsi="Arial" w:cs="Arial"/>
          <w:sz w:val="20"/>
          <w:szCs w:val="20"/>
        </w:rPr>
      </w:pPr>
      <w:r w:rsidRPr="00C70473">
        <w:rPr>
          <w:rFonts w:ascii="Arial" w:hAnsi="Arial" w:cs="Arial"/>
          <w:sz w:val="20"/>
          <w:szCs w:val="20"/>
        </w:rPr>
        <w:t>Process and p</w:t>
      </w:r>
      <w:r w:rsidR="004F27D3" w:rsidRPr="00C70473">
        <w:rPr>
          <w:rFonts w:ascii="Arial" w:hAnsi="Arial" w:cs="Arial"/>
          <w:sz w:val="20"/>
          <w:szCs w:val="20"/>
        </w:rPr>
        <w:t>ass legislation;</w:t>
      </w:r>
    </w:p>
    <w:p w:rsidR="004F27D3" w:rsidRPr="00C70473" w:rsidRDefault="004F27D3" w:rsidP="00C70473">
      <w:pPr>
        <w:pStyle w:val="ListParagraph"/>
        <w:numPr>
          <w:ilvl w:val="0"/>
          <w:numId w:val="64"/>
        </w:numPr>
        <w:spacing w:after="0" w:line="240" w:lineRule="auto"/>
        <w:ind w:left="709" w:hanging="425"/>
        <w:contextualSpacing w:val="0"/>
        <w:rPr>
          <w:rFonts w:ascii="Arial" w:hAnsi="Arial" w:cs="Arial"/>
          <w:sz w:val="20"/>
          <w:szCs w:val="20"/>
        </w:rPr>
      </w:pPr>
      <w:r w:rsidRPr="00C70473">
        <w:rPr>
          <w:rFonts w:ascii="Arial" w:hAnsi="Arial" w:cs="Arial"/>
          <w:sz w:val="20"/>
          <w:szCs w:val="20"/>
        </w:rPr>
        <w:t>Scrutinise and oversee executive action and the organs of state including the South African Police Service (SAPS), the Civilian Secretariat for Police Service (CSPS), the Independent Police Investigative Directorate (IPID) and the Private Security Industry Regulatory Authority (PSIRA);</w:t>
      </w:r>
    </w:p>
    <w:p w:rsidR="004F27D3" w:rsidRPr="00C70473" w:rsidRDefault="004F27D3" w:rsidP="00C70473">
      <w:pPr>
        <w:pStyle w:val="ListParagraph"/>
        <w:numPr>
          <w:ilvl w:val="0"/>
          <w:numId w:val="64"/>
        </w:numPr>
        <w:spacing w:after="0" w:line="240" w:lineRule="auto"/>
        <w:ind w:left="709" w:hanging="425"/>
        <w:contextualSpacing w:val="0"/>
        <w:rPr>
          <w:rFonts w:ascii="Arial" w:hAnsi="Arial" w:cs="Arial"/>
          <w:sz w:val="20"/>
          <w:szCs w:val="20"/>
        </w:rPr>
      </w:pPr>
      <w:r w:rsidRPr="00C70473">
        <w:rPr>
          <w:rFonts w:ascii="Arial" w:hAnsi="Arial" w:cs="Arial"/>
          <w:sz w:val="20"/>
          <w:szCs w:val="20"/>
        </w:rPr>
        <w:t>Facilitate public participation and involvement in the legislative and other processes; and</w:t>
      </w:r>
    </w:p>
    <w:p w:rsidR="004F27D3" w:rsidRPr="00C70473" w:rsidRDefault="004F27D3" w:rsidP="00C70473">
      <w:pPr>
        <w:pStyle w:val="ListParagraph"/>
        <w:numPr>
          <w:ilvl w:val="0"/>
          <w:numId w:val="64"/>
        </w:numPr>
        <w:spacing w:after="0" w:line="240" w:lineRule="auto"/>
        <w:ind w:left="709" w:hanging="425"/>
        <w:contextualSpacing w:val="0"/>
        <w:rPr>
          <w:rFonts w:ascii="Arial" w:hAnsi="Arial" w:cs="Arial"/>
          <w:sz w:val="20"/>
          <w:szCs w:val="20"/>
        </w:rPr>
      </w:pPr>
      <w:r w:rsidRPr="00C70473">
        <w:rPr>
          <w:rFonts w:ascii="Arial" w:hAnsi="Arial" w:cs="Arial"/>
          <w:sz w:val="20"/>
          <w:szCs w:val="20"/>
        </w:rPr>
        <w:t>Engage, participate and oversee international treaties and protocols.</w:t>
      </w:r>
    </w:p>
    <w:p w:rsidR="004F27D3" w:rsidRPr="00C70473" w:rsidRDefault="004F27D3" w:rsidP="00C70473">
      <w:pPr>
        <w:spacing w:after="0" w:line="240" w:lineRule="auto"/>
        <w:outlineLvl w:val="0"/>
        <w:rPr>
          <w:rFonts w:ascii="Arial" w:eastAsia="Arial Unicode MS" w:hAnsi="Arial" w:cs="Arial"/>
          <w:sz w:val="20"/>
          <w:szCs w:val="20"/>
          <w:lang w:val="en-US"/>
        </w:rPr>
      </w:pPr>
    </w:p>
    <w:p w:rsidR="004F27D3" w:rsidRPr="00C70473" w:rsidRDefault="004F27D3" w:rsidP="00C70473">
      <w:pPr>
        <w:spacing w:after="0" w:line="240" w:lineRule="auto"/>
        <w:rPr>
          <w:rFonts w:ascii="Arial" w:hAnsi="Arial" w:cs="Arial"/>
          <w:sz w:val="20"/>
          <w:szCs w:val="20"/>
          <w:lang w:val="en-US"/>
        </w:rPr>
      </w:pPr>
      <w:r w:rsidRPr="00C70473">
        <w:rPr>
          <w:rFonts w:ascii="Arial" w:hAnsi="Arial" w:cs="Arial"/>
          <w:sz w:val="20"/>
          <w:szCs w:val="20"/>
          <w:lang w:val="en-US"/>
        </w:rPr>
        <w:t xml:space="preserve">The Committee was briefed on the </w:t>
      </w:r>
      <w:r w:rsidR="005E6184" w:rsidRPr="00C70473">
        <w:rPr>
          <w:rFonts w:ascii="Arial" w:hAnsi="Arial" w:cs="Arial"/>
          <w:sz w:val="20"/>
          <w:szCs w:val="20"/>
          <w:lang w:val="en-US"/>
        </w:rPr>
        <w:t>A</w:t>
      </w:r>
      <w:r w:rsidRPr="00C70473">
        <w:rPr>
          <w:rFonts w:ascii="Arial" w:hAnsi="Arial" w:cs="Arial"/>
          <w:sz w:val="20"/>
          <w:szCs w:val="20"/>
          <w:lang w:val="en-US"/>
        </w:rPr>
        <w:t xml:space="preserve">nnual </w:t>
      </w:r>
      <w:r w:rsidR="005E6184" w:rsidRPr="00C70473">
        <w:rPr>
          <w:rFonts w:ascii="Arial" w:hAnsi="Arial" w:cs="Arial"/>
          <w:sz w:val="20"/>
          <w:szCs w:val="20"/>
          <w:lang w:val="en-US"/>
        </w:rPr>
        <w:t>Report</w:t>
      </w:r>
      <w:r w:rsidRPr="00C70473">
        <w:rPr>
          <w:rFonts w:ascii="Arial" w:hAnsi="Arial" w:cs="Arial"/>
          <w:sz w:val="20"/>
          <w:szCs w:val="20"/>
          <w:lang w:val="en-US"/>
        </w:rPr>
        <w:t xml:space="preserve"> for 20</w:t>
      </w:r>
      <w:r w:rsidR="00113AAE" w:rsidRPr="00C70473">
        <w:rPr>
          <w:rFonts w:ascii="Arial" w:hAnsi="Arial" w:cs="Arial"/>
          <w:sz w:val="20"/>
          <w:szCs w:val="20"/>
          <w:lang w:val="en-US"/>
        </w:rPr>
        <w:t>2</w:t>
      </w:r>
      <w:r w:rsidR="005E6184" w:rsidRPr="00C70473">
        <w:rPr>
          <w:rFonts w:ascii="Arial" w:hAnsi="Arial" w:cs="Arial"/>
          <w:sz w:val="20"/>
          <w:szCs w:val="20"/>
          <w:lang w:val="en-US"/>
        </w:rPr>
        <w:t>1</w:t>
      </w:r>
      <w:r w:rsidRPr="00C70473">
        <w:rPr>
          <w:rFonts w:ascii="Arial" w:hAnsi="Arial" w:cs="Arial"/>
          <w:sz w:val="20"/>
          <w:szCs w:val="20"/>
          <w:lang w:val="en-US"/>
        </w:rPr>
        <w:t>/</w:t>
      </w:r>
      <w:r w:rsidR="00113AAE" w:rsidRPr="00C70473">
        <w:rPr>
          <w:rFonts w:ascii="Arial" w:hAnsi="Arial" w:cs="Arial"/>
          <w:sz w:val="20"/>
          <w:szCs w:val="20"/>
          <w:lang w:val="en-US"/>
        </w:rPr>
        <w:t>2</w:t>
      </w:r>
      <w:r w:rsidR="005E6184" w:rsidRPr="00C70473">
        <w:rPr>
          <w:rFonts w:ascii="Arial" w:hAnsi="Arial" w:cs="Arial"/>
          <w:sz w:val="20"/>
          <w:szCs w:val="20"/>
          <w:lang w:val="en-US"/>
        </w:rPr>
        <w:t>2</w:t>
      </w:r>
      <w:r w:rsidRPr="00C70473">
        <w:rPr>
          <w:rFonts w:ascii="Arial" w:hAnsi="Arial" w:cs="Arial"/>
          <w:sz w:val="20"/>
          <w:szCs w:val="20"/>
          <w:lang w:val="en-US"/>
        </w:rPr>
        <w:t xml:space="preserve"> by the Department on </w:t>
      </w:r>
      <w:r w:rsidR="005E6184" w:rsidRPr="00C70473">
        <w:rPr>
          <w:rFonts w:ascii="Arial" w:hAnsi="Arial" w:cs="Arial"/>
          <w:sz w:val="20"/>
          <w:szCs w:val="20"/>
          <w:lang w:val="en-US"/>
        </w:rPr>
        <w:t xml:space="preserve">12 October 2022 and </w:t>
      </w:r>
      <w:r w:rsidRPr="00C70473">
        <w:rPr>
          <w:rFonts w:ascii="Arial" w:hAnsi="Arial" w:cs="Arial"/>
          <w:sz w:val="20"/>
          <w:szCs w:val="20"/>
          <w:lang w:val="en-US"/>
        </w:rPr>
        <w:t xml:space="preserve">also met with the Auditor-General on the audit outcomes on </w:t>
      </w:r>
      <w:r w:rsidR="005E6184" w:rsidRPr="00C70473">
        <w:rPr>
          <w:rFonts w:ascii="Arial" w:hAnsi="Arial" w:cs="Arial"/>
          <w:sz w:val="20"/>
          <w:szCs w:val="20"/>
          <w:lang w:val="en-US"/>
        </w:rPr>
        <w:t xml:space="preserve">the same date. </w:t>
      </w:r>
    </w:p>
    <w:p w:rsidR="00113AAE" w:rsidRPr="00C70473" w:rsidRDefault="00113AAE" w:rsidP="00C70473">
      <w:pPr>
        <w:spacing w:after="0" w:line="240" w:lineRule="auto"/>
        <w:rPr>
          <w:rFonts w:ascii="Arial" w:hAnsi="Arial" w:cs="Arial"/>
          <w:sz w:val="20"/>
          <w:szCs w:val="20"/>
        </w:rPr>
      </w:pPr>
    </w:p>
    <w:p w:rsidR="004F27D3" w:rsidRPr="00C70473" w:rsidRDefault="00FB4CBB" w:rsidP="00C70473">
      <w:pPr>
        <w:spacing w:after="0" w:line="240" w:lineRule="auto"/>
        <w:rPr>
          <w:rFonts w:ascii="Arial" w:hAnsi="Arial" w:cs="Arial"/>
          <w:b/>
          <w:sz w:val="20"/>
          <w:szCs w:val="20"/>
          <w:lang w:val="en-US"/>
        </w:rPr>
      </w:pPr>
      <w:r w:rsidRPr="00C70473">
        <w:rPr>
          <w:rFonts w:ascii="Arial" w:hAnsi="Arial" w:cs="Arial"/>
          <w:b/>
          <w:sz w:val="20"/>
          <w:szCs w:val="20"/>
          <w:lang w:val="en-US"/>
        </w:rPr>
        <w:t>Structure of the Report</w:t>
      </w:r>
    </w:p>
    <w:p w:rsidR="004F27D3" w:rsidRPr="00C70473" w:rsidRDefault="004F27D3" w:rsidP="00C70473">
      <w:pPr>
        <w:spacing w:after="0" w:line="240" w:lineRule="auto"/>
        <w:rPr>
          <w:rFonts w:ascii="Arial" w:hAnsi="Arial" w:cs="Arial"/>
          <w:sz w:val="20"/>
          <w:szCs w:val="20"/>
          <w:lang w:val="en-US"/>
        </w:rPr>
      </w:pPr>
    </w:p>
    <w:p w:rsidR="004F27D3" w:rsidRPr="00C70473" w:rsidRDefault="004F27D3" w:rsidP="00C70473">
      <w:pPr>
        <w:pStyle w:val="ListParagraph"/>
        <w:numPr>
          <w:ilvl w:val="0"/>
          <w:numId w:val="65"/>
        </w:numPr>
        <w:spacing w:after="0" w:line="240" w:lineRule="auto"/>
        <w:ind w:left="709" w:hanging="425"/>
        <w:contextualSpacing w:val="0"/>
        <w:rPr>
          <w:rFonts w:ascii="Arial" w:hAnsi="Arial" w:cs="Arial"/>
          <w:sz w:val="20"/>
          <w:szCs w:val="20"/>
          <w:lang w:val="en-US"/>
        </w:rPr>
      </w:pPr>
      <w:r w:rsidRPr="00C70473">
        <w:rPr>
          <w:rFonts w:ascii="Arial" w:hAnsi="Arial" w:cs="Arial"/>
          <w:b/>
          <w:sz w:val="20"/>
          <w:szCs w:val="20"/>
          <w:lang w:val="en-US"/>
        </w:rPr>
        <w:t xml:space="preserve">Section 1: </w:t>
      </w:r>
      <w:r w:rsidR="00FB4CBB" w:rsidRPr="00C70473">
        <w:rPr>
          <w:rFonts w:ascii="Arial" w:hAnsi="Arial" w:cs="Arial"/>
          <w:b/>
          <w:sz w:val="20"/>
          <w:szCs w:val="20"/>
          <w:lang w:val="en-US"/>
        </w:rPr>
        <w:t>Introduction.</w:t>
      </w:r>
      <w:r w:rsidR="00FB4CBB" w:rsidRPr="00C70473">
        <w:rPr>
          <w:rFonts w:ascii="Arial" w:hAnsi="Arial" w:cs="Arial"/>
          <w:sz w:val="20"/>
          <w:szCs w:val="20"/>
          <w:lang w:val="en-US"/>
        </w:rPr>
        <w:t xml:space="preserve"> </w:t>
      </w:r>
      <w:r w:rsidRPr="00C70473">
        <w:rPr>
          <w:rFonts w:ascii="Arial" w:hAnsi="Arial" w:cs="Arial"/>
          <w:sz w:val="20"/>
          <w:szCs w:val="20"/>
          <w:lang w:val="en-US"/>
        </w:rPr>
        <w:t>This sections sets out the mandate of the Committee, the purpose of this report (Budgetary Review and Recommendation Report) and the process to develop this report.</w:t>
      </w:r>
    </w:p>
    <w:p w:rsidR="004F27D3" w:rsidRPr="00C70473" w:rsidRDefault="004F27D3" w:rsidP="00C70473">
      <w:pPr>
        <w:pStyle w:val="ListParagraph"/>
        <w:numPr>
          <w:ilvl w:val="0"/>
          <w:numId w:val="65"/>
        </w:numPr>
        <w:spacing w:after="0" w:line="240" w:lineRule="auto"/>
        <w:ind w:left="709" w:hanging="425"/>
        <w:contextualSpacing w:val="0"/>
        <w:rPr>
          <w:rFonts w:ascii="Arial" w:hAnsi="Arial" w:cs="Arial"/>
          <w:sz w:val="20"/>
          <w:szCs w:val="20"/>
          <w:lang w:val="en-US"/>
        </w:rPr>
      </w:pPr>
      <w:r w:rsidRPr="00C70473">
        <w:rPr>
          <w:rFonts w:ascii="Arial" w:hAnsi="Arial" w:cs="Arial"/>
          <w:b/>
          <w:sz w:val="20"/>
          <w:szCs w:val="20"/>
          <w:lang w:val="en-US"/>
        </w:rPr>
        <w:t>Section 2: Overview of key policy focus areas.</w:t>
      </w:r>
      <w:r w:rsidRPr="00C70473">
        <w:rPr>
          <w:rFonts w:ascii="Arial" w:hAnsi="Arial" w:cs="Arial"/>
          <w:sz w:val="20"/>
          <w:szCs w:val="20"/>
          <w:lang w:val="en-US"/>
        </w:rPr>
        <w:t xml:space="preserve"> This section includes the policy determinations of the National Development Plan (NDP), priorities stated by the President during his State of the Nation Address (SONA), key departmental policy areas and key priorities of the Portfolio Committee on Police for the 20</w:t>
      </w:r>
      <w:r w:rsidR="00113AAE" w:rsidRPr="00C70473">
        <w:rPr>
          <w:rFonts w:ascii="Arial" w:hAnsi="Arial" w:cs="Arial"/>
          <w:sz w:val="20"/>
          <w:szCs w:val="20"/>
          <w:lang w:val="en-US"/>
        </w:rPr>
        <w:t>20</w:t>
      </w:r>
      <w:r w:rsidRPr="00C70473">
        <w:rPr>
          <w:rFonts w:ascii="Arial" w:hAnsi="Arial" w:cs="Arial"/>
          <w:sz w:val="20"/>
          <w:szCs w:val="20"/>
          <w:lang w:val="en-US"/>
        </w:rPr>
        <w:t>/</w:t>
      </w:r>
      <w:r w:rsidR="00113AAE" w:rsidRPr="00C70473">
        <w:rPr>
          <w:rFonts w:ascii="Arial" w:hAnsi="Arial" w:cs="Arial"/>
          <w:sz w:val="20"/>
          <w:szCs w:val="20"/>
          <w:lang w:val="en-US"/>
        </w:rPr>
        <w:t>2</w:t>
      </w:r>
      <w:r w:rsidRPr="00C70473">
        <w:rPr>
          <w:rFonts w:ascii="Arial" w:hAnsi="Arial" w:cs="Arial"/>
          <w:sz w:val="20"/>
          <w:szCs w:val="20"/>
          <w:lang w:val="en-US"/>
        </w:rPr>
        <w:t xml:space="preserve">1 financial year.  </w:t>
      </w:r>
    </w:p>
    <w:p w:rsidR="004F27D3" w:rsidRPr="00C70473" w:rsidRDefault="004F27D3" w:rsidP="00C70473">
      <w:pPr>
        <w:pStyle w:val="ListParagraph"/>
        <w:numPr>
          <w:ilvl w:val="0"/>
          <w:numId w:val="65"/>
        </w:numPr>
        <w:spacing w:after="0" w:line="240" w:lineRule="auto"/>
        <w:ind w:left="709" w:hanging="425"/>
        <w:contextualSpacing w:val="0"/>
        <w:rPr>
          <w:rFonts w:ascii="Arial" w:hAnsi="Arial" w:cs="Arial"/>
          <w:sz w:val="20"/>
          <w:szCs w:val="20"/>
          <w:lang w:val="en-US"/>
        </w:rPr>
      </w:pPr>
      <w:r w:rsidRPr="00C70473">
        <w:rPr>
          <w:rFonts w:ascii="Arial" w:hAnsi="Arial" w:cs="Arial"/>
          <w:b/>
          <w:sz w:val="20"/>
          <w:szCs w:val="20"/>
          <w:lang w:val="en-US"/>
        </w:rPr>
        <w:t>Section 3: Report of the Auditor General of SA</w:t>
      </w:r>
      <w:r w:rsidR="00D65A04" w:rsidRPr="00C70473">
        <w:rPr>
          <w:rFonts w:ascii="Arial" w:hAnsi="Arial" w:cs="Arial"/>
          <w:b/>
          <w:sz w:val="20"/>
          <w:szCs w:val="20"/>
          <w:lang w:val="en-US"/>
        </w:rPr>
        <w:t xml:space="preserve"> (AGSA)</w:t>
      </w:r>
      <w:r w:rsidRPr="00C70473">
        <w:rPr>
          <w:rFonts w:ascii="Arial" w:hAnsi="Arial" w:cs="Arial"/>
          <w:b/>
          <w:sz w:val="20"/>
          <w:szCs w:val="20"/>
          <w:lang w:val="en-US"/>
        </w:rPr>
        <w:t>.</w:t>
      </w:r>
      <w:r w:rsidRPr="00C70473">
        <w:rPr>
          <w:rFonts w:ascii="Arial" w:hAnsi="Arial" w:cs="Arial"/>
          <w:sz w:val="20"/>
          <w:szCs w:val="20"/>
          <w:lang w:val="en-US"/>
        </w:rPr>
        <w:t xml:space="preserve"> This section provides the key audit findings made by the Office of the AGSA.  </w:t>
      </w:r>
    </w:p>
    <w:p w:rsidR="004F27D3" w:rsidRPr="00C70473" w:rsidRDefault="004F27D3" w:rsidP="00C70473">
      <w:pPr>
        <w:pStyle w:val="ListParagraph"/>
        <w:numPr>
          <w:ilvl w:val="0"/>
          <w:numId w:val="65"/>
        </w:numPr>
        <w:spacing w:after="0" w:line="240" w:lineRule="auto"/>
        <w:ind w:left="709" w:hanging="425"/>
        <w:contextualSpacing w:val="0"/>
        <w:rPr>
          <w:rFonts w:ascii="Arial" w:hAnsi="Arial" w:cs="Arial"/>
          <w:sz w:val="20"/>
          <w:szCs w:val="20"/>
          <w:lang w:val="en-US"/>
        </w:rPr>
      </w:pPr>
      <w:r w:rsidRPr="00C70473">
        <w:rPr>
          <w:rFonts w:ascii="Arial" w:hAnsi="Arial" w:cs="Arial"/>
          <w:b/>
          <w:sz w:val="20"/>
          <w:szCs w:val="20"/>
          <w:lang w:val="en-US"/>
        </w:rPr>
        <w:t xml:space="preserve">Section 4: Financial overview. </w:t>
      </w:r>
      <w:r w:rsidRPr="00C70473">
        <w:rPr>
          <w:rFonts w:ascii="Arial" w:hAnsi="Arial" w:cs="Arial"/>
          <w:sz w:val="20"/>
          <w:szCs w:val="20"/>
          <w:lang w:val="en-US"/>
        </w:rPr>
        <w:t xml:space="preserve">This section provides an overview of the Departmental expenditure, including irregular expenditure, fruitless and wasteful expenditure and contingent liabilities.   </w:t>
      </w:r>
    </w:p>
    <w:p w:rsidR="004F27D3" w:rsidRPr="00C70473" w:rsidRDefault="004F27D3" w:rsidP="00C70473">
      <w:pPr>
        <w:pStyle w:val="ListParagraph"/>
        <w:numPr>
          <w:ilvl w:val="0"/>
          <w:numId w:val="65"/>
        </w:numPr>
        <w:spacing w:after="0" w:line="240" w:lineRule="auto"/>
        <w:ind w:left="709" w:hanging="425"/>
        <w:contextualSpacing w:val="0"/>
        <w:rPr>
          <w:rFonts w:ascii="Arial" w:hAnsi="Arial" w:cs="Arial"/>
          <w:sz w:val="20"/>
          <w:szCs w:val="20"/>
          <w:lang w:val="en-US"/>
        </w:rPr>
      </w:pPr>
      <w:r w:rsidRPr="00C70473">
        <w:rPr>
          <w:rFonts w:ascii="Arial" w:hAnsi="Arial" w:cs="Arial"/>
          <w:b/>
          <w:sz w:val="20"/>
          <w:szCs w:val="20"/>
          <w:lang w:val="en-US"/>
        </w:rPr>
        <w:t xml:space="preserve">Section </w:t>
      </w:r>
      <w:r w:rsidR="00C32F86" w:rsidRPr="00C70473">
        <w:rPr>
          <w:rFonts w:ascii="Arial" w:hAnsi="Arial" w:cs="Arial"/>
          <w:b/>
          <w:sz w:val="20"/>
          <w:szCs w:val="20"/>
          <w:lang w:val="en-US"/>
        </w:rPr>
        <w:t>5</w:t>
      </w:r>
      <w:r w:rsidRPr="00C70473">
        <w:rPr>
          <w:rFonts w:ascii="Arial" w:hAnsi="Arial" w:cs="Arial"/>
          <w:b/>
          <w:sz w:val="20"/>
          <w:szCs w:val="20"/>
          <w:lang w:val="en-US"/>
        </w:rPr>
        <w:t>: Performance overview.</w:t>
      </w:r>
      <w:r w:rsidRPr="00C70473">
        <w:rPr>
          <w:rFonts w:ascii="Arial" w:hAnsi="Arial" w:cs="Arial"/>
          <w:sz w:val="20"/>
          <w:szCs w:val="20"/>
          <w:lang w:val="en-US"/>
        </w:rPr>
        <w:t xml:space="preserve"> This section provides an overview of Departmental performance on predetermined key performance indicators and targets.</w:t>
      </w:r>
    </w:p>
    <w:p w:rsidR="004F27D3" w:rsidRPr="00C70473" w:rsidRDefault="004F27D3" w:rsidP="00C70473">
      <w:pPr>
        <w:pStyle w:val="ListParagraph"/>
        <w:numPr>
          <w:ilvl w:val="0"/>
          <w:numId w:val="65"/>
        </w:numPr>
        <w:spacing w:after="0" w:line="240" w:lineRule="auto"/>
        <w:ind w:left="709" w:hanging="425"/>
        <w:contextualSpacing w:val="0"/>
        <w:rPr>
          <w:rFonts w:ascii="Arial" w:hAnsi="Arial" w:cs="Arial"/>
          <w:sz w:val="20"/>
          <w:szCs w:val="20"/>
          <w:lang w:val="en-US"/>
        </w:rPr>
      </w:pPr>
      <w:r w:rsidRPr="00C70473">
        <w:rPr>
          <w:rFonts w:ascii="Arial" w:hAnsi="Arial" w:cs="Arial"/>
          <w:b/>
          <w:sz w:val="20"/>
          <w:szCs w:val="20"/>
          <w:lang w:val="en-US"/>
        </w:rPr>
        <w:lastRenderedPageBreak/>
        <w:t xml:space="preserve">Section </w:t>
      </w:r>
      <w:r w:rsidR="00587F48" w:rsidRPr="00C70473">
        <w:rPr>
          <w:rFonts w:ascii="Arial" w:hAnsi="Arial" w:cs="Arial"/>
          <w:b/>
          <w:sz w:val="20"/>
          <w:szCs w:val="20"/>
          <w:lang w:val="en-US"/>
        </w:rPr>
        <w:t>6</w:t>
      </w:r>
      <w:r w:rsidR="00D65A04" w:rsidRPr="00C70473">
        <w:rPr>
          <w:rFonts w:ascii="Arial" w:hAnsi="Arial" w:cs="Arial"/>
          <w:b/>
          <w:sz w:val="20"/>
          <w:szCs w:val="20"/>
          <w:lang w:val="en-US"/>
        </w:rPr>
        <w:t>: Committee observations.</w:t>
      </w:r>
      <w:r w:rsidRPr="00C70473">
        <w:rPr>
          <w:rFonts w:ascii="Arial" w:hAnsi="Arial" w:cs="Arial"/>
          <w:sz w:val="20"/>
          <w:szCs w:val="20"/>
          <w:lang w:val="en-US"/>
        </w:rPr>
        <w:t xml:space="preserve"> This section provides a summary of the observations made by the Committee during the 20</w:t>
      </w:r>
      <w:r w:rsidR="00AB79DD" w:rsidRPr="00C70473">
        <w:rPr>
          <w:rFonts w:ascii="Arial" w:hAnsi="Arial" w:cs="Arial"/>
          <w:sz w:val="20"/>
          <w:szCs w:val="20"/>
          <w:lang w:val="en-US"/>
        </w:rPr>
        <w:t>2</w:t>
      </w:r>
      <w:r w:rsidR="00587F48" w:rsidRPr="00C70473">
        <w:rPr>
          <w:rFonts w:ascii="Arial" w:hAnsi="Arial" w:cs="Arial"/>
          <w:sz w:val="20"/>
          <w:szCs w:val="20"/>
          <w:lang w:val="en-US"/>
        </w:rPr>
        <w:t>1</w:t>
      </w:r>
      <w:r w:rsidRPr="00C70473">
        <w:rPr>
          <w:rFonts w:ascii="Arial" w:hAnsi="Arial" w:cs="Arial"/>
          <w:sz w:val="20"/>
          <w:szCs w:val="20"/>
          <w:lang w:val="en-US"/>
        </w:rPr>
        <w:t>/</w:t>
      </w:r>
      <w:r w:rsidR="00AB79DD" w:rsidRPr="00C70473">
        <w:rPr>
          <w:rFonts w:ascii="Arial" w:hAnsi="Arial" w:cs="Arial"/>
          <w:sz w:val="20"/>
          <w:szCs w:val="20"/>
          <w:lang w:val="en-US"/>
        </w:rPr>
        <w:t>2</w:t>
      </w:r>
      <w:r w:rsidR="00587F48" w:rsidRPr="00C70473">
        <w:rPr>
          <w:rFonts w:ascii="Arial" w:hAnsi="Arial" w:cs="Arial"/>
          <w:sz w:val="20"/>
          <w:szCs w:val="20"/>
          <w:lang w:val="en-US"/>
        </w:rPr>
        <w:t>2</w:t>
      </w:r>
      <w:r w:rsidRPr="00C70473">
        <w:rPr>
          <w:rFonts w:ascii="Arial" w:hAnsi="Arial" w:cs="Arial"/>
          <w:sz w:val="20"/>
          <w:szCs w:val="20"/>
          <w:lang w:val="en-US"/>
        </w:rPr>
        <w:t xml:space="preserve"> Annual Report hearings. </w:t>
      </w:r>
    </w:p>
    <w:p w:rsidR="004F27D3" w:rsidRPr="00C70473" w:rsidRDefault="004F27D3" w:rsidP="00C70473">
      <w:pPr>
        <w:pStyle w:val="ListParagraph"/>
        <w:numPr>
          <w:ilvl w:val="0"/>
          <w:numId w:val="65"/>
        </w:numPr>
        <w:spacing w:after="0" w:line="240" w:lineRule="auto"/>
        <w:ind w:left="709" w:hanging="425"/>
        <w:contextualSpacing w:val="0"/>
        <w:rPr>
          <w:rFonts w:ascii="Arial" w:hAnsi="Arial" w:cs="Arial"/>
          <w:sz w:val="20"/>
          <w:szCs w:val="20"/>
          <w:lang w:val="en-US"/>
        </w:rPr>
      </w:pPr>
      <w:r w:rsidRPr="00C70473">
        <w:rPr>
          <w:rFonts w:ascii="Arial" w:hAnsi="Arial" w:cs="Arial"/>
          <w:b/>
          <w:sz w:val="20"/>
          <w:szCs w:val="20"/>
          <w:lang w:val="en-US"/>
        </w:rPr>
        <w:t xml:space="preserve">Section </w:t>
      </w:r>
      <w:r w:rsidR="00FB4CBB" w:rsidRPr="00C70473">
        <w:rPr>
          <w:rFonts w:ascii="Arial" w:hAnsi="Arial" w:cs="Arial"/>
          <w:b/>
          <w:sz w:val="20"/>
          <w:szCs w:val="20"/>
          <w:lang w:val="en-US"/>
        </w:rPr>
        <w:t>7</w:t>
      </w:r>
      <w:r w:rsidRPr="00C70473">
        <w:rPr>
          <w:rFonts w:ascii="Arial" w:hAnsi="Arial" w:cs="Arial"/>
          <w:b/>
          <w:sz w:val="20"/>
          <w:szCs w:val="20"/>
          <w:lang w:val="en-US"/>
        </w:rPr>
        <w:t>: Recommendations.</w:t>
      </w:r>
      <w:r w:rsidRPr="00C70473">
        <w:rPr>
          <w:rFonts w:ascii="Arial" w:hAnsi="Arial" w:cs="Arial"/>
          <w:sz w:val="20"/>
          <w:szCs w:val="20"/>
          <w:lang w:val="en-US"/>
        </w:rPr>
        <w:t xml:space="preserve"> This section contains the recommendations made by the Committee.</w:t>
      </w:r>
    </w:p>
    <w:p w:rsidR="004F27D3" w:rsidRPr="00C70473" w:rsidRDefault="004F27D3" w:rsidP="00C70473">
      <w:pPr>
        <w:pStyle w:val="ListParagraph"/>
        <w:numPr>
          <w:ilvl w:val="0"/>
          <w:numId w:val="65"/>
        </w:numPr>
        <w:spacing w:after="0" w:line="240" w:lineRule="auto"/>
        <w:ind w:left="709" w:hanging="425"/>
        <w:contextualSpacing w:val="0"/>
        <w:rPr>
          <w:rFonts w:ascii="Arial" w:hAnsi="Arial" w:cs="Arial"/>
          <w:sz w:val="20"/>
          <w:szCs w:val="20"/>
          <w:lang w:val="en-US"/>
        </w:rPr>
      </w:pPr>
      <w:r w:rsidRPr="00C70473">
        <w:rPr>
          <w:rFonts w:ascii="Arial" w:hAnsi="Arial" w:cs="Arial"/>
          <w:b/>
          <w:sz w:val="20"/>
          <w:szCs w:val="20"/>
          <w:lang w:val="en-US"/>
        </w:rPr>
        <w:t xml:space="preserve">Section </w:t>
      </w:r>
      <w:r w:rsidR="00FB4CBB" w:rsidRPr="00C70473">
        <w:rPr>
          <w:rFonts w:ascii="Arial" w:hAnsi="Arial" w:cs="Arial"/>
          <w:b/>
          <w:sz w:val="20"/>
          <w:szCs w:val="20"/>
          <w:lang w:val="en-US"/>
        </w:rPr>
        <w:t>8</w:t>
      </w:r>
      <w:r w:rsidRPr="00C70473">
        <w:rPr>
          <w:rFonts w:ascii="Arial" w:hAnsi="Arial" w:cs="Arial"/>
          <w:b/>
          <w:sz w:val="20"/>
          <w:szCs w:val="20"/>
          <w:lang w:val="en-US"/>
        </w:rPr>
        <w:t>: Conclusion.</w:t>
      </w:r>
      <w:r w:rsidR="00FB4CBB" w:rsidRPr="00C70473">
        <w:rPr>
          <w:rFonts w:ascii="Arial" w:hAnsi="Arial" w:cs="Arial"/>
          <w:b/>
          <w:sz w:val="20"/>
          <w:szCs w:val="20"/>
          <w:lang w:val="en-US"/>
        </w:rPr>
        <w:t xml:space="preserve"> </w:t>
      </w:r>
      <w:r w:rsidR="00FB4CBB" w:rsidRPr="00C70473">
        <w:rPr>
          <w:rFonts w:ascii="Arial" w:hAnsi="Arial" w:cs="Arial"/>
          <w:sz w:val="20"/>
          <w:szCs w:val="20"/>
          <w:lang w:val="en-US"/>
        </w:rPr>
        <w:t xml:space="preserve">This section provides a conclusion to the Report. </w:t>
      </w:r>
    </w:p>
    <w:p w:rsidR="004F27D3" w:rsidRPr="00C70473" w:rsidRDefault="004F27D3" w:rsidP="00C70473">
      <w:pPr>
        <w:spacing w:after="0" w:line="240" w:lineRule="auto"/>
        <w:outlineLvl w:val="0"/>
        <w:rPr>
          <w:rFonts w:ascii="Arial" w:eastAsia="Arial Unicode MS" w:hAnsi="Arial" w:cs="Arial"/>
          <w:b/>
          <w:caps/>
          <w:sz w:val="20"/>
          <w:szCs w:val="20"/>
          <w:lang w:val="en-US"/>
        </w:rPr>
      </w:pPr>
    </w:p>
    <w:p w:rsidR="004F27D3" w:rsidRPr="00C70473" w:rsidRDefault="004F27D3" w:rsidP="00C70473">
      <w:pPr>
        <w:pStyle w:val="ListParagraph"/>
        <w:numPr>
          <w:ilvl w:val="0"/>
          <w:numId w:val="66"/>
        </w:numPr>
        <w:spacing w:after="0" w:line="240" w:lineRule="auto"/>
        <w:outlineLvl w:val="0"/>
        <w:rPr>
          <w:rFonts w:ascii="Arial" w:eastAsia="Arial Unicode MS" w:hAnsi="Arial" w:cs="Arial"/>
          <w:b/>
          <w:caps/>
          <w:sz w:val="20"/>
          <w:szCs w:val="20"/>
          <w:lang w:val="en-US"/>
        </w:rPr>
      </w:pPr>
      <w:r w:rsidRPr="00C70473">
        <w:rPr>
          <w:rFonts w:ascii="Arial" w:eastAsia="Arial Unicode MS" w:hAnsi="Arial" w:cs="Arial"/>
          <w:b/>
          <w:caps/>
          <w:sz w:val="20"/>
          <w:szCs w:val="20"/>
          <w:lang w:val="en-US"/>
        </w:rPr>
        <w:t xml:space="preserve">Overview of the key policy focus areas </w:t>
      </w:r>
    </w:p>
    <w:p w:rsidR="004F27D3" w:rsidRPr="00C70473" w:rsidRDefault="004F27D3" w:rsidP="00C70473">
      <w:pPr>
        <w:spacing w:after="0" w:line="240" w:lineRule="auto"/>
        <w:outlineLvl w:val="0"/>
        <w:rPr>
          <w:rFonts w:ascii="Arial" w:eastAsia="Arial Unicode MS" w:hAnsi="Arial" w:cs="Arial"/>
          <w:b/>
          <w:caps/>
          <w:sz w:val="20"/>
          <w:szCs w:val="20"/>
          <w:lang w:val="en-US"/>
        </w:rPr>
      </w:pPr>
    </w:p>
    <w:p w:rsidR="0079753B" w:rsidRPr="00C70473" w:rsidRDefault="0079753B" w:rsidP="00C70473">
      <w:pPr>
        <w:pStyle w:val="Heading2"/>
        <w:numPr>
          <w:ilvl w:val="1"/>
          <w:numId w:val="66"/>
        </w:numPr>
        <w:spacing w:before="0" w:line="240" w:lineRule="auto"/>
        <w:rPr>
          <w:rFonts w:ascii="Arial" w:hAnsi="Arial" w:cs="Arial"/>
          <w:sz w:val="20"/>
          <w:szCs w:val="20"/>
        </w:rPr>
      </w:pPr>
      <w:bookmarkStart w:id="1" w:name="_Toc70074913"/>
      <w:r w:rsidRPr="00C70473">
        <w:rPr>
          <w:rFonts w:ascii="Arial" w:hAnsi="Arial" w:cs="Arial"/>
          <w:sz w:val="20"/>
          <w:szCs w:val="20"/>
        </w:rPr>
        <w:t>National Development Plan (NDP)</w:t>
      </w:r>
      <w:bookmarkEnd w:id="1"/>
      <w:r w:rsidRPr="00C70473">
        <w:rPr>
          <w:rFonts w:ascii="Arial" w:hAnsi="Arial" w:cs="Arial"/>
          <w:sz w:val="20"/>
          <w:szCs w:val="20"/>
        </w:rPr>
        <w:t xml:space="preserve"> </w:t>
      </w:r>
    </w:p>
    <w:p w:rsidR="0079753B" w:rsidRPr="00C70473" w:rsidRDefault="0079753B" w:rsidP="00C70473">
      <w:pPr>
        <w:autoSpaceDE w:val="0"/>
        <w:autoSpaceDN w:val="0"/>
        <w:adjustRightInd w:val="0"/>
        <w:spacing w:after="0" w:line="240" w:lineRule="auto"/>
        <w:rPr>
          <w:rFonts w:ascii="Arial" w:hAnsi="Arial" w:cs="Arial"/>
          <w:sz w:val="20"/>
          <w:szCs w:val="20"/>
          <w:lang w:eastAsia="en-ZA"/>
        </w:rPr>
      </w:pPr>
    </w:p>
    <w:p w:rsidR="0079753B" w:rsidRPr="00C70473" w:rsidRDefault="0079753B" w:rsidP="00C70473">
      <w:pPr>
        <w:autoSpaceDE w:val="0"/>
        <w:autoSpaceDN w:val="0"/>
        <w:adjustRightInd w:val="0"/>
        <w:spacing w:after="0" w:line="240" w:lineRule="auto"/>
        <w:rPr>
          <w:rFonts w:ascii="Arial" w:hAnsi="Arial" w:cs="Arial"/>
          <w:sz w:val="20"/>
          <w:szCs w:val="20"/>
          <w:lang w:eastAsia="en-ZA"/>
        </w:rPr>
      </w:pPr>
      <w:r w:rsidRPr="00C70473">
        <w:rPr>
          <w:rFonts w:ascii="Arial" w:hAnsi="Arial" w:cs="Arial"/>
          <w:sz w:val="20"/>
          <w:szCs w:val="20"/>
          <w:lang w:eastAsia="en-ZA"/>
        </w:rPr>
        <w:t xml:space="preserve">Chapter 12 titled “Building Safer Communities” is outlines the responsibilities of the policing portfolio in South Africa. The vision of Chapter 12 is that: </w:t>
      </w:r>
    </w:p>
    <w:p w:rsidR="0079753B" w:rsidRPr="00C70473" w:rsidRDefault="0079753B" w:rsidP="00C70473">
      <w:pPr>
        <w:autoSpaceDE w:val="0"/>
        <w:autoSpaceDN w:val="0"/>
        <w:adjustRightInd w:val="0"/>
        <w:spacing w:after="0" w:line="240" w:lineRule="auto"/>
        <w:rPr>
          <w:rFonts w:ascii="Arial" w:hAnsi="Arial" w:cs="Arial"/>
          <w:sz w:val="20"/>
          <w:szCs w:val="20"/>
          <w:lang w:eastAsia="en-ZA"/>
        </w:rPr>
      </w:pPr>
    </w:p>
    <w:p w:rsidR="0079753B" w:rsidRPr="00C70473" w:rsidRDefault="0079753B" w:rsidP="00C70473">
      <w:pPr>
        <w:autoSpaceDE w:val="0"/>
        <w:autoSpaceDN w:val="0"/>
        <w:adjustRightInd w:val="0"/>
        <w:spacing w:after="0" w:line="240" w:lineRule="auto"/>
        <w:ind w:left="284" w:right="521"/>
        <w:rPr>
          <w:rFonts w:ascii="Arial" w:hAnsi="Arial" w:cs="Arial"/>
          <w:sz w:val="20"/>
          <w:szCs w:val="20"/>
          <w:lang w:eastAsia="en-ZA"/>
        </w:rPr>
      </w:pPr>
      <w:r w:rsidRPr="00C70473">
        <w:rPr>
          <w:rFonts w:ascii="Arial" w:hAnsi="Arial" w:cs="Arial"/>
          <w:sz w:val="20"/>
          <w:szCs w:val="20"/>
          <w:lang w:eastAsia="en-ZA"/>
        </w:rPr>
        <w:t>"In 2030, people living in South Africa feel safe at home, at school and at work, and they enjoy a community life free of fear. Women walk freely in the streets and children play safely outside. The police service is well-resourced and professional, staffed by highly skilled officers who value their work, serve the community, safeguard lives and property without discrimination, protect the peaceful against violence, and respect the rights to equality and justice."</w:t>
      </w:r>
    </w:p>
    <w:p w:rsidR="0079753B" w:rsidRPr="00C70473" w:rsidRDefault="0079753B" w:rsidP="00C70473">
      <w:pPr>
        <w:autoSpaceDE w:val="0"/>
        <w:autoSpaceDN w:val="0"/>
        <w:adjustRightInd w:val="0"/>
        <w:spacing w:after="0" w:line="240" w:lineRule="auto"/>
        <w:rPr>
          <w:rFonts w:ascii="Arial" w:hAnsi="Arial" w:cs="Arial"/>
          <w:sz w:val="20"/>
          <w:szCs w:val="20"/>
          <w:lang w:eastAsia="en-ZA"/>
        </w:rPr>
      </w:pPr>
    </w:p>
    <w:p w:rsidR="0079753B" w:rsidRPr="00C70473" w:rsidRDefault="0079753B" w:rsidP="00C70473">
      <w:pPr>
        <w:autoSpaceDE w:val="0"/>
        <w:autoSpaceDN w:val="0"/>
        <w:adjustRightInd w:val="0"/>
        <w:spacing w:after="0" w:line="240" w:lineRule="auto"/>
        <w:rPr>
          <w:rFonts w:ascii="Arial" w:hAnsi="Arial" w:cs="Arial"/>
          <w:sz w:val="20"/>
          <w:szCs w:val="20"/>
          <w:lang w:eastAsia="en-ZA"/>
        </w:rPr>
      </w:pPr>
      <w:r w:rsidRPr="00C70473">
        <w:rPr>
          <w:rFonts w:ascii="Arial" w:hAnsi="Arial" w:cs="Arial"/>
          <w:sz w:val="20"/>
          <w:szCs w:val="20"/>
          <w:lang w:eastAsia="en-ZA"/>
        </w:rPr>
        <w:t>To achieve this vision, the NDP sets out five focus areas, including:</w:t>
      </w:r>
    </w:p>
    <w:p w:rsidR="0079753B" w:rsidRPr="00C70473" w:rsidRDefault="0079753B" w:rsidP="00C70473">
      <w:pPr>
        <w:pStyle w:val="ListParagraph"/>
        <w:numPr>
          <w:ilvl w:val="0"/>
          <w:numId w:val="107"/>
        </w:numPr>
        <w:autoSpaceDE w:val="0"/>
        <w:autoSpaceDN w:val="0"/>
        <w:adjustRightInd w:val="0"/>
        <w:spacing w:after="0" w:line="240" w:lineRule="auto"/>
        <w:rPr>
          <w:rFonts w:ascii="Arial" w:hAnsi="Arial" w:cs="Arial"/>
          <w:sz w:val="20"/>
          <w:szCs w:val="20"/>
          <w:lang w:eastAsia="en-ZA"/>
        </w:rPr>
      </w:pPr>
      <w:r w:rsidRPr="00C70473">
        <w:rPr>
          <w:rFonts w:ascii="Arial" w:hAnsi="Arial" w:cs="Arial"/>
          <w:sz w:val="20"/>
          <w:szCs w:val="20"/>
          <w:lang w:eastAsia="en-ZA"/>
        </w:rPr>
        <w:t>Strengthen the criminal justice system;</w:t>
      </w:r>
    </w:p>
    <w:p w:rsidR="0079753B" w:rsidRPr="00C70473" w:rsidRDefault="0079753B" w:rsidP="00C70473">
      <w:pPr>
        <w:pStyle w:val="ListParagraph"/>
        <w:numPr>
          <w:ilvl w:val="0"/>
          <w:numId w:val="107"/>
        </w:numPr>
        <w:autoSpaceDE w:val="0"/>
        <w:autoSpaceDN w:val="0"/>
        <w:adjustRightInd w:val="0"/>
        <w:spacing w:after="0" w:line="240" w:lineRule="auto"/>
        <w:rPr>
          <w:rFonts w:ascii="Arial" w:hAnsi="Arial" w:cs="Arial"/>
          <w:sz w:val="20"/>
          <w:szCs w:val="20"/>
          <w:lang w:eastAsia="en-ZA"/>
        </w:rPr>
      </w:pPr>
      <w:r w:rsidRPr="00C70473">
        <w:rPr>
          <w:rFonts w:ascii="Arial" w:hAnsi="Arial" w:cs="Arial"/>
          <w:sz w:val="20"/>
          <w:szCs w:val="20"/>
          <w:lang w:eastAsia="en-ZA"/>
        </w:rPr>
        <w:t>Make the police service professional;</w:t>
      </w:r>
    </w:p>
    <w:p w:rsidR="0079753B" w:rsidRPr="00C70473" w:rsidRDefault="0079753B" w:rsidP="00C70473">
      <w:pPr>
        <w:pStyle w:val="ListParagraph"/>
        <w:numPr>
          <w:ilvl w:val="0"/>
          <w:numId w:val="107"/>
        </w:numPr>
        <w:autoSpaceDE w:val="0"/>
        <w:autoSpaceDN w:val="0"/>
        <w:adjustRightInd w:val="0"/>
        <w:spacing w:after="0" w:line="240" w:lineRule="auto"/>
        <w:rPr>
          <w:rFonts w:ascii="Arial" w:hAnsi="Arial" w:cs="Arial"/>
          <w:sz w:val="20"/>
          <w:szCs w:val="20"/>
          <w:lang w:eastAsia="en-ZA"/>
        </w:rPr>
      </w:pPr>
      <w:r w:rsidRPr="00C70473">
        <w:rPr>
          <w:rFonts w:ascii="Arial" w:hAnsi="Arial" w:cs="Arial"/>
          <w:sz w:val="20"/>
          <w:szCs w:val="20"/>
          <w:lang w:eastAsia="en-ZA"/>
        </w:rPr>
        <w:t>Demilitarise the police;</w:t>
      </w:r>
    </w:p>
    <w:p w:rsidR="0079753B" w:rsidRPr="00C70473" w:rsidRDefault="0079753B" w:rsidP="00C70473">
      <w:pPr>
        <w:pStyle w:val="ListParagraph"/>
        <w:numPr>
          <w:ilvl w:val="0"/>
          <w:numId w:val="107"/>
        </w:numPr>
        <w:autoSpaceDE w:val="0"/>
        <w:autoSpaceDN w:val="0"/>
        <w:adjustRightInd w:val="0"/>
        <w:spacing w:after="0" w:line="240" w:lineRule="auto"/>
        <w:rPr>
          <w:rFonts w:ascii="Arial" w:hAnsi="Arial" w:cs="Arial"/>
          <w:sz w:val="20"/>
          <w:szCs w:val="20"/>
          <w:lang w:eastAsia="en-ZA"/>
        </w:rPr>
      </w:pPr>
      <w:r w:rsidRPr="00C70473">
        <w:rPr>
          <w:rFonts w:ascii="Arial" w:hAnsi="Arial" w:cs="Arial"/>
          <w:sz w:val="20"/>
          <w:szCs w:val="20"/>
          <w:lang w:eastAsia="en-ZA"/>
        </w:rPr>
        <w:t>Build safety using an integrated approach; and</w:t>
      </w:r>
    </w:p>
    <w:p w:rsidR="0079753B" w:rsidRPr="00C70473" w:rsidRDefault="0079753B" w:rsidP="00C70473">
      <w:pPr>
        <w:pStyle w:val="ListParagraph"/>
        <w:numPr>
          <w:ilvl w:val="0"/>
          <w:numId w:val="107"/>
        </w:numPr>
        <w:shd w:val="clear" w:color="auto" w:fill="FFFFFF" w:themeFill="background1"/>
        <w:spacing w:after="0" w:line="240" w:lineRule="auto"/>
        <w:textAlignment w:val="baseline"/>
        <w:rPr>
          <w:rFonts w:ascii="Arial" w:eastAsia="Times New Roman" w:hAnsi="Arial" w:cs="Arial"/>
          <w:sz w:val="20"/>
          <w:szCs w:val="20"/>
          <w:lang w:eastAsia="en-ZA"/>
        </w:rPr>
      </w:pPr>
      <w:r w:rsidRPr="00C70473">
        <w:rPr>
          <w:rFonts w:ascii="Arial" w:hAnsi="Arial" w:cs="Arial"/>
          <w:sz w:val="20"/>
          <w:szCs w:val="20"/>
          <w:lang w:eastAsia="en-ZA"/>
        </w:rPr>
        <w:t>Build community participation in safety.</w:t>
      </w:r>
      <w:r w:rsidRPr="00C70473">
        <w:rPr>
          <w:rFonts w:ascii="Arial" w:eastAsia="Times New Roman" w:hAnsi="Arial" w:cs="Arial"/>
          <w:sz w:val="20"/>
          <w:szCs w:val="20"/>
          <w:lang w:eastAsia="en-ZA"/>
        </w:rPr>
        <w:t xml:space="preserve"> </w:t>
      </w:r>
    </w:p>
    <w:p w:rsidR="0079753B" w:rsidRPr="00C70473" w:rsidRDefault="0079753B" w:rsidP="00C70473">
      <w:pPr>
        <w:spacing w:after="0" w:line="240" w:lineRule="auto"/>
        <w:rPr>
          <w:rFonts w:ascii="Arial" w:hAnsi="Arial" w:cs="Arial"/>
          <w:sz w:val="20"/>
          <w:szCs w:val="20"/>
        </w:rPr>
      </w:pPr>
    </w:p>
    <w:p w:rsidR="0079753B" w:rsidRPr="00C70473" w:rsidRDefault="0079753B" w:rsidP="00C70473">
      <w:pPr>
        <w:pStyle w:val="Heading2"/>
        <w:numPr>
          <w:ilvl w:val="1"/>
          <w:numId w:val="66"/>
        </w:numPr>
        <w:spacing w:before="0" w:line="240" w:lineRule="auto"/>
        <w:rPr>
          <w:rFonts w:ascii="Arial" w:hAnsi="Arial" w:cs="Arial"/>
          <w:sz w:val="20"/>
          <w:szCs w:val="20"/>
        </w:rPr>
      </w:pPr>
      <w:bookmarkStart w:id="2" w:name="_Toc70074914"/>
      <w:r w:rsidRPr="00C70473">
        <w:rPr>
          <w:rFonts w:ascii="Arial" w:hAnsi="Arial" w:cs="Arial"/>
          <w:sz w:val="20"/>
          <w:szCs w:val="20"/>
        </w:rPr>
        <w:t>2019-2024 Medium Term Strategic Framework (MTSF)</w:t>
      </w:r>
      <w:bookmarkEnd w:id="2"/>
    </w:p>
    <w:p w:rsidR="0079753B" w:rsidRPr="00C70473" w:rsidRDefault="0079753B" w:rsidP="00C70473">
      <w:pPr>
        <w:spacing w:after="0" w:line="240" w:lineRule="auto"/>
        <w:rPr>
          <w:rFonts w:ascii="Arial" w:hAnsi="Arial" w:cs="Arial"/>
          <w:sz w:val="20"/>
          <w:szCs w:val="20"/>
        </w:rPr>
      </w:pPr>
    </w:p>
    <w:p w:rsidR="0079753B" w:rsidRPr="00C70473" w:rsidRDefault="0079753B" w:rsidP="00C70473">
      <w:pPr>
        <w:autoSpaceDE w:val="0"/>
        <w:autoSpaceDN w:val="0"/>
        <w:adjustRightInd w:val="0"/>
        <w:spacing w:after="0" w:line="240" w:lineRule="auto"/>
        <w:rPr>
          <w:rFonts w:ascii="Arial" w:hAnsi="Arial" w:cs="Arial"/>
          <w:sz w:val="20"/>
          <w:szCs w:val="20"/>
          <w:lang w:eastAsia="en-ZA"/>
        </w:rPr>
      </w:pPr>
      <w:r w:rsidRPr="00C70473">
        <w:rPr>
          <w:rFonts w:ascii="Arial" w:hAnsi="Arial" w:cs="Arial"/>
          <w:sz w:val="20"/>
          <w:szCs w:val="20"/>
          <w:lang w:eastAsia="en-ZA"/>
        </w:rPr>
        <w:t xml:space="preserve">The MTSF 2019–2024 aims to address challenges of unemployment, inequality and poverty through, 1) driving a strong and inclusive economy, 2) building and strengthening the capabilities of South Africans, and 3) achieving a more capable state. These underpin the seven priorities of the MTSF – </w:t>
      </w:r>
    </w:p>
    <w:p w:rsidR="009E010E" w:rsidRPr="00C70473" w:rsidRDefault="009E010E" w:rsidP="00C70473">
      <w:pPr>
        <w:autoSpaceDE w:val="0"/>
        <w:autoSpaceDN w:val="0"/>
        <w:adjustRightInd w:val="0"/>
        <w:spacing w:after="0" w:line="240" w:lineRule="auto"/>
        <w:rPr>
          <w:rFonts w:ascii="Arial" w:hAnsi="Arial" w:cs="Arial"/>
          <w:sz w:val="20"/>
          <w:szCs w:val="20"/>
          <w:lang w:eastAsia="en-ZA"/>
        </w:rPr>
      </w:pPr>
    </w:p>
    <w:p w:rsidR="0079753B" w:rsidRPr="00C70473" w:rsidRDefault="0079753B" w:rsidP="00C70473">
      <w:pPr>
        <w:pStyle w:val="ListParagraph"/>
        <w:numPr>
          <w:ilvl w:val="0"/>
          <w:numId w:val="108"/>
        </w:numPr>
        <w:autoSpaceDE w:val="0"/>
        <w:autoSpaceDN w:val="0"/>
        <w:adjustRightInd w:val="0"/>
        <w:spacing w:after="0" w:line="240" w:lineRule="auto"/>
        <w:rPr>
          <w:rFonts w:ascii="Arial" w:hAnsi="Arial" w:cs="Arial"/>
          <w:b/>
          <w:sz w:val="20"/>
          <w:szCs w:val="20"/>
          <w:lang w:eastAsia="en-ZA"/>
        </w:rPr>
      </w:pPr>
      <w:r w:rsidRPr="00C70473">
        <w:rPr>
          <w:rFonts w:ascii="Arial" w:hAnsi="Arial" w:cs="Arial"/>
          <w:b/>
          <w:bCs/>
          <w:sz w:val="20"/>
          <w:szCs w:val="20"/>
          <w:lang w:eastAsia="en-ZA"/>
        </w:rPr>
        <w:t xml:space="preserve">Priority 1: </w:t>
      </w:r>
      <w:r w:rsidRPr="00C70473">
        <w:rPr>
          <w:rFonts w:ascii="Arial" w:hAnsi="Arial" w:cs="Arial"/>
          <w:b/>
          <w:sz w:val="20"/>
          <w:szCs w:val="20"/>
          <w:lang w:eastAsia="en-ZA"/>
        </w:rPr>
        <w:t>Building a capable, ethical and developmental state</w:t>
      </w:r>
    </w:p>
    <w:p w:rsidR="0079753B" w:rsidRPr="00C70473" w:rsidRDefault="0079753B" w:rsidP="00C70473">
      <w:pPr>
        <w:pStyle w:val="ListParagraph"/>
        <w:numPr>
          <w:ilvl w:val="0"/>
          <w:numId w:val="108"/>
        </w:numPr>
        <w:autoSpaceDE w:val="0"/>
        <w:autoSpaceDN w:val="0"/>
        <w:adjustRightInd w:val="0"/>
        <w:spacing w:after="0" w:line="240" w:lineRule="auto"/>
        <w:rPr>
          <w:rFonts w:ascii="Arial" w:hAnsi="Arial" w:cs="Arial"/>
          <w:sz w:val="20"/>
          <w:szCs w:val="20"/>
          <w:lang w:eastAsia="en-ZA"/>
        </w:rPr>
      </w:pPr>
      <w:r w:rsidRPr="00C70473">
        <w:rPr>
          <w:rFonts w:ascii="Arial" w:hAnsi="Arial" w:cs="Arial"/>
          <w:b/>
          <w:bCs/>
          <w:sz w:val="20"/>
          <w:szCs w:val="20"/>
          <w:lang w:eastAsia="en-ZA"/>
        </w:rPr>
        <w:t xml:space="preserve">Priority 2: </w:t>
      </w:r>
      <w:r w:rsidRPr="00C70473">
        <w:rPr>
          <w:rFonts w:ascii="Arial" w:hAnsi="Arial" w:cs="Arial"/>
          <w:sz w:val="20"/>
          <w:szCs w:val="20"/>
          <w:lang w:eastAsia="en-ZA"/>
        </w:rPr>
        <w:t>Economic transformation and job creation</w:t>
      </w:r>
    </w:p>
    <w:p w:rsidR="0079753B" w:rsidRPr="00C70473" w:rsidRDefault="0079753B" w:rsidP="00C70473">
      <w:pPr>
        <w:pStyle w:val="ListParagraph"/>
        <w:numPr>
          <w:ilvl w:val="0"/>
          <w:numId w:val="108"/>
        </w:numPr>
        <w:autoSpaceDE w:val="0"/>
        <w:autoSpaceDN w:val="0"/>
        <w:adjustRightInd w:val="0"/>
        <w:spacing w:after="0" w:line="240" w:lineRule="auto"/>
        <w:rPr>
          <w:rFonts w:ascii="Arial" w:hAnsi="Arial" w:cs="Arial"/>
          <w:sz w:val="20"/>
          <w:szCs w:val="20"/>
          <w:lang w:eastAsia="en-ZA"/>
        </w:rPr>
      </w:pPr>
      <w:r w:rsidRPr="00C70473">
        <w:rPr>
          <w:rFonts w:ascii="Arial" w:hAnsi="Arial" w:cs="Arial"/>
          <w:b/>
          <w:bCs/>
          <w:sz w:val="20"/>
          <w:szCs w:val="20"/>
          <w:lang w:eastAsia="en-ZA"/>
        </w:rPr>
        <w:t>Priority 3:</w:t>
      </w:r>
      <w:r w:rsidRPr="00C70473">
        <w:rPr>
          <w:rFonts w:ascii="Arial" w:hAnsi="Arial" w:cs="Arial"/>
          <w:sz w:val="20"/>
          <w:szCs w:val="20"/>
          <w:lang w:eastAsia="en-ZA"/>
        </w:rPr>
        <w:t xml:space="preserve"> Education, skills and health</w:t>
      </w:r>
    </w:p>
    <w:p w:rsidR="0079753B" w:rsidRPr="00C70473" w:rsidRDefault="0079753B" w:rsidP="00C70473">
      <w:pPr>
        <w:pStyle w:val="ListParagraph"/>
        <w:numPr>
          <w:ilvl w:val="0"/>
          <w:numId w:val="108"/>
        </w:numPr>
        <w:autoSpaceDE w:val="0"/>
        <w:autoSpaceDN w:val="0"/>
        <w:adjustRightInd w:val="0"/>
        <w:spacing w:after="0" w:line="240" w:lineRule="auto"/>
        <w:rPr>
          <w:rFonts w:ascii="Arial" w:hAnsi="Arial" w:cs="Arial"/>
          <w:sz w:val="20"/>
          <w:szCs w:val="20"/>
          <w:lang w:eastAsia="en-ZA"/>
        </w:rPr>
      </w:pPr>
      <w:r w:rsidRPr="00C70473">
        <w:rPr>
          <w:rFonts w:ascii="Arial" w:hAnsi="Arial" w:cs="Arial"/>
          <w:b/>
          <w:bCs/>
          <w:sz w:val="20"/>
          <w:szCs w:val="20"/>
          <w:lang w:eastAsia="en-ZA"/>
        </w:rPr>
        <w:t xml:space="preserve">Priority 4: </w:t>
      </w:r>
      <w:r w:rsidRPr="00C70473">
        <w:rPr>
          <w:rFonts w:ascii="Arial" w:hAnsi="Arial" w:cs="Arial"/>
          <w:sz w:val="20"/>
          <w:szCs w:val="20"/>
          <w:lang w:eastAsia="en-ZA"/>
        </w:rPr>
        <w:t>Consolidating the social wage through reliable and quality basic services</w:t>
      </w:r>
    </w:p>
    <w:p w:rsidR="0079753B" w:rsidRPr="00C70473" w:rsidRDefault="0079753B" w:rsidP="00C70473">
      <w:pPr>
        <w:pStyle w:val="ListParagraph"/>
        <w:numPr>
          <w:ilvl w:val="0"/>
          <w:numId w:val="108"/>
        </w:numPr>
        <w:autoSpaceDE w:val="0"/>
        <w:autoSpaceDN w:val="0"/>
        <w:adjustRightInd w:val="0"/>
        <w:spacing w:after="0" w:line="240" w:lineRule="auto"/>
        <w:rPr>
          <w:rFonts w:ascii="Arial" w:hAnsi="Arial" w:cs="Arial"/>
          <w:sz w:val="20"/>
          <w:szCs w:val="20"/>
          <w:lang w:eastAsia="en-ZA"/>
        </w:rPr>
      </w:pPr>
      <w:r w:rsidRPr="00C70473">
        <w:rPr>
          <w:rFonts w:ascii="Arial" w:hAnsi="Arial" w:cs="Arial"/>
          <w:b/>
          <w:bCs/>
          <w:sz w:val="20"/>
          <w:szCs w:val="20"/>
          <w:lang w:eastAsia="en-ZA"/>
        </w:rPr>
        <w:t xml:space="preserve">Priority 5: </w:t>
      </w:r>
      <w:r w:rsidRPr="00C70473">
        <w:rPr>
          <w:rFonts w:ascii="Arial" w:hAnsi="Arial" w:cs="Arial"/>
          <w:sz w:val="20"/>
          <w:szCs w:val="20"/>
          <w:lang w:eastAsia="en-ZA"/>
        </w:rPr>
        <w:t>Spatial integration, human settlements and local government</w:t>
      </w:r>
    </w:p>
    <w:p w:rsidR="0079753B" w:rsidRPr="00C70473" w:rsidRDefault="0079753B" w:rsidP="00C70473">
      <w:pPr>
        <w:pStyle w:val="ListParagraph"/>
        <w:numPr>
          <w:ilvl w:val="0"/>
          <w:numId w:val="108"/>
        </w:numPr>
        <w:autoSpaceDE w:val="0"/>
        <w:autoSpaceDN w:val="0"/>
        <w:adjustRightInd w:val="0"/>
        <w:spacing w:after="0" w:line="240" w:lineRule="auto"/>
        <w:rPr>
          <w:rFonts w:ascii="Arial" w:hAnsi="Arial" w:cs="Arial"/>
          <w:b/>
          <w:sz w:val="20"/>
          <w:szCs w:val="20"/>
          <w:lang w:eastAsia="en-ZA"/>
        </w:rPr>
      </w:pPr>
      <w:r w:rsidRPr="00C70473">
        <w:rPr>
          <w:rFonts w:ascii="Arial" w:hAnsi="Arial" w:cs="Arial"/>
          <w:b/>
          <w:bCs/>
          <w:sz w:val="20"/>
          <w:szCs w:val="20"/>
          <w:lang w:eastAsia="en-ZA"/>
        </w:rPr>
        <w:t xml:space="preserve">Priority 6: </w:t>
      </w:r>
      <w:r w:rsidRPr="00C70473">
        <w:rPr>
          <w:rFonts w:ascii="Arial" w:hAnsi="Arial" w:cs="Arial"/>
          <w:b/>
          <w:sz w:val="20"/>
          <w:szCs w:val="20"/>
          <w:lang w:eastAsia="en-ZA"/>
        </w:rPr>
        <w:t>Social cohesion and safe communities</w:t>
      </w:r>
    </w:p>
    <w:p w:rsidR="0079753B" w:rsidRPr="00C70473" w:rsidRDefault="0079753B" w:rsidP="00C70473">
      <w:pPr>
        <w:pStyle w:val="ListParagraph"/>
        <w:numPr>
          <w:ilvl w:val="0"/>
          <w:numId w:val="108"/>
        </w:numPr>
        <w:spacing w:after="0" w:line="240" w:lineRule="auto"/>
        <w:rPr>
          <w:rFonts w:ascii="Arial" w:hAnsi="Arial" w:cs="Arial"/>
          <w:sz w:val="20"/>
          <w:szCs w:val="20"/>
        </w:rPr>
      </w:pPr>
      <w:r w:rsidRPr="00C70473">
        <w:rPr>
          <w:rFonts w:ascii="Arial" w:hAnsi="Arial" w:cs="Arial"/>
          <w:b/>
          <w:bCs/>
          <w:sz w:val="20"/>
          <w:szCs w:val="20"/>
          <w:lang w:eastAsia="en-ZA"/>
        </w:rPr>
        <w:t xml:space="preserve">Priority 7: </w:t>
      </w:r>
      <w:r w:rsidRPr="00C70473">
        <w:rPr>
          <w:rFonts w:ascii="Arial" w:hAnsi="Arial" w:cs="Arial"/>
          <w:sz w:val="20"/>
          <w:szCs w:val="20"/>
          <w:lang w:eastAsia="en-ZA"/>
        </w:rPr>
        <w:t>A better Africa and world</w:t>
      </w:r>
    </w:p>
    <w:p w:rsidR="0079753B" w:rsidRPr="00C70473" w:rsidRDefault="0079753B" w:rsidP="00C70473">
      <w:pPr>
        <w:spacing w:after="0" w:line="240" w:lineRule="auto"/>
        <w:rPr>
          <w:rFonts w:ascii="Arial" w:hAnsi="Arial" w:cs="Arial"/>
          <w:sz w:val="20"/>
          <w:szCs w:val="20"/>
        </w:rPr>
      </w:pPr>
    </w:p>
    <w:p w:rsidR="0079753B" w:rsidRPr="00C70473" w:rsidRDefault="0079753B" w:rsidP="00C70473">
      <w:pPr>
        <w:spacing w:after="0" w:line="240" w:lineRule="auto"/>
        <w:rPr>
          <w:rFonts w:ascii="Arial" w:hAnsi="Arial" w:cs="Arial"/>
          <w:sz w:val="20"/>
          <w:szCs w:val="20"/>
        </w:rPr>
      </w:pPr>
      <w:r w:rsidRPr="00C70473">
        <w:rPr>
          <w:rFonts w:ascii="Arial" w:hAnsi="Arial" w:cs="Arial"/>
          <w:sz w:val="20"/>
          <w:szCs w:val="20"/>
        </w:rPr>
        <w:t xml:space="preserve">The 2021/22 SAPS APP and 2020-2025 Strategic Plan are closely aligned to the 2019-2024 MTSF and include various performance indicators required by the MTSF. In the Minister’s Foreword, he places emphasis on the value of cohesive efforts from a society-wide approach to achieve social cohesion and safe communities and acknowledges that the MTSF is a stepping-stone towards the achievement of the NDP. To realise increased police visibility, the SAPS launched the Royal Police Reserve in December 2020, and continued the implementation of the Traditional Policing and Community-in-Blue Concepts, together with the Safer Cities Framework. The SAPS believe that these initiatives will contribute to the reduction of contact crime, particularly crimes against women and children.   </w:t>
      </w:r>
    </w:p>
    <w:p w:rsidR="0079753B" w:rsidRPr="00C70473" w:rsidRDefault="0079753B" w:rsidP="00C70473">
      <w:pPr>
        <w:pStyle w:val="Heading2"/>
        <w:spacing w:before="0" w:line="240" w:lineRule="auto"/>
        <w:rPr>
          <w:rFonts w:ascii="Arial" w:eastAsiaTheme="minorHAnsi" w:hAnsi="Arial" w:cs="Arial"/>
          <w:b w:val="0"/>
          <w:sz w:val="20"/>
          <w:szCs w:val="20"/>
        </w:rPr>
      </w:pPr>
      <w:bookmarkStart w:id="3" w:name="_Toc70074915"/>
    </w:p>
    <w:p w:rsidR="0079753B" w:rsidRPr="00C70473" w:rsidRDefault="0079753B" w:rsidP="00C70473">
      <w:pPr>
        <w:pStyle w:val="Heading2"/>
        <w:numPr>
          <w:ilvl w:val="1"/>
          <w:numId w:val="66"/>
        </w:numPr>
        <w:spacing w:before="0" w:line="240" w:lineRule="auto"/>
        <w:rPr>
          <w:rFonts w:ascii="Arial" w:hAnsi="Arial" w:cs="Arial"/>
          <w:sz w:val="20"/>
          <w:szCs w:val="20"/>
        </w:rPr>
      </w:pPr>
      <w:r w:rsidRPr="00C70473">
        <w:rPr>
          <w:rFonts w:ascii="Arial" w:hAnsi="Arial" w:cs="Arial"/>
          <w:sz w:val="20"/>
          <w:szCs w:val="20"/>
        </w:rPr>
        <w:t>State of the Nation Address (SONA)</w:t>
      </w:r>
      <w:bookmarkEnd w:id="3"/>
      <w:r w:rsidRPr="00C70473">
        <w:rPr>
          <w:rFonts w:ascii="Arial" w:hAnsi="Arial" w:cs="Arial"/>
          <w:sz w:val="20"/>
          <w:szCs w:val="20"/>
        </w:rPr>
        <w:t xml:space="preserve"> </w:t>
      </w:r>
    </w:p>
    <w:p w:rsidR="0079753B" w:rsidRPr="00C70473" w:rsidRDefault="0079753B" w:rsidP="00C70473">
      <w:pPr>
        <w:spacing w:after="0" w:line="240" w:lineRule="auto"/>
        <w:rPr>
          <w:rFonts w:ascii="Arial" w:hAnsi="Arial" w:cs="Arial"/>
          <w:sz w:val="20"/>
          <w:szCs w:val="20"/>
        </w:rPr>
      </w:pPr>
    </w:p>
    <w:p w:rsidR="0079753B" w:rsidRPr="00C70473" w:rsidRDefault="0079753B"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President Ramaphosa delivered his fifth State of the Nation Address (SONA) during a hybrid Joint Sitting of the National Assembly (NA) and the National Council of Provinces (NCOP) on 11 February 2021. </w:t>
      </w:r>
      <w:r w:rsidRPr="00C70473">
        <w:rPr>
          <w:rFonts w:ascii="Arial" w:eastAsia="Arial" w:hAnsi="Arial" w:cs="Arial"/>
          <w:sz w:val="20"/>
          <w:szCs w:val="20"/>
        </w:rPr>
        <w:t xml:space="preserve">Key focus areas of the 2021 SONA were economic development and fighting the </w:t>
      </w:r>
      <w:r w:rsidR="006436DD" w:rsidRPr="00C70473">
        <w:rPr>
          <w:rFonts w:ascii="Arial" w:eastAsia="Arial" w:hAnsi="Arial" w:cs="Arial"/>
          <w:sz w:val="20"/>
          <w:szCs w:val="20"/>
        </w:rPr>
        <w:t>COVID</w:t>
      </w:r>
      <w:r w:rsidRPr="00C70473">
        <w:rPr>
          <w:rFonts w:ascii="Arial" w:eastAsia="Arial" w:hAnsi="Arial" w:cs="Arial"/>
          <w:sz w:val="20"/>
          <w:szCs w:val="20"/>
        </w:rPr>
        <w:t xml:space="preserve">-19 pandemic, and the President acknowledged that the key to South Africa’s recovery is tackling crime. </w:t>
      </w:r>
    </w:p>
    <w:p w:rsidR="0079753B" w:rsidRPr="00C70473" w:rsidRDefault="0079753B" w:rsidP="00C70473">
      <w:pPr>
        <w:spacing w:after="0" w:line="240" w:lineRule="auto"/>
        <w:rPr>
          <w:rFonts w:ascii="Arial" w:hAnsi="Arial" w:cs="Arial"/>
          <w:sz w:val="20"/>
          <w:szCs w:val="20"/>
        </w:rPr>
      </w:pPr>
    </w:p>
    <w:p w:rsidR="0079753B" w:rsidRPr="00C70473" w:rsidRDefault="0079753B" w:rsidP="00C70473">
      <w:pPr>
        <w:spacing w:after="0" w:line="240" w:lineRule="auto"/>
        <w:rPr>
          <w:rFonts w:ascii="Arial" w:hAnsi="Arial" w:cs="Arial"/>
          <w:sz w:val="20"/>
          <w:szCs w:val="20"/>
          <w:lang w:eastAsia="en-ZA"/>
        </w:rPr>
      </w:pPr>
      <w:r w:rsidRPr="00C70473">
        <w:rPr>
          <w:rFonts w:ascii="Arial" w:hAnsi="Arial" w:cs="Arial"/>
          <w:sz w:val="20"/>
          <w:szCs w:val="20"/>
          <w:lang w:eastAsia="en-ZA"/>
        </w:rPr>
        <w:lastRenderedPageBreak/>
        <w:t>During the 2021 SONA, President Ramaphosa highlighted the following priorities relating to the policing sector:</w:t>
      </w:r>
    </w:p>
    <w:p w:rsidR="0079753B" w:rsidRPr="00C70473" w:rsidRDefault="0079753B" w:rsidP="00C70473">
      <w:pPr>
        <w:pStyle w:val="ListParagraph"/>
        <w:numPr>
          <w:ilvl w:val="0"/>
          <w:numId w:val="110"/>
        </w:numPr>
        <w:spacing w:after="0" w:line="240" w:lineRule="auto"/>
        <w:rPr>
          <w:rFonts w:ascii="Arial" w:hAnsi="Arial" w:cs="Arial"/>
          <w:b/>
          <w:sz w:val="20"/>
          <w:szCs w:val="20"/>
          <w:lang w:eastAsia="en-ZA"/>
        </w:rPr>
      </w:pPr>
      <w:r w:rsidRPr="00C70473">
        <w:rPr>
          <w:rFonts w:ascii="Arial" w:hAnsi="Arial" w:cs="Arial"/>
          <w:b/>
          <w:sz w:val="20"/>
          <w:szCs w:val="20"/>
          <w:lang w:eastAsia="en-ZA"/>
        </w:rPr>
        <w:t xml:space="preserve">Resourcing of police stations: </w:t>
      </w:r>
      <w:r w:rsidRPr="00C70473">
        <w:rPr>
          <w:rFonts w:ascii="Arial" w:hAnsi="Arial" w:cs="Arial"/>
          <w:sz w:val="20"/>
          <w:szCs w:val="20"/>
          <w:lang w:eastAsia="en-ZA"/>
        </w:rPr>
        <w:t xml:space="preserve">As part as the </w:t>
      </w:r>
      <w:r w:rsidRPr="00C70473">
        <w:rPr>
          <w:rFonts w:ascii="Arial" w:hAnsi="Arial" w:cs="Arial"/>
          <w:i/>
          <w:sz w:val="20"/>
          <w:szCs w:val="20"/>
          <w:lang w:eastAsia="en-ZA"/>
        </w:rPr>
        <w:t>SA Connect project</w:t>
      </w:r>
      <w:r w:rsidRPr="00C70473">
        <w:rPr>
          <w:rFonts w:ascii="Arial" w:hAnsi="Arial" w:cs="Arial"/>
          <w:sz w:val="20"/>
          <w:szCs w:val="20"/>
          <w:lang w:eastAsia="en-ZA"/>
        </w:rPr>
        <w:t xml:space="preserve">, Government will roll out broadband to police stations. </w:t>
      </w:r>
    </w:p>
    <w:p w:rsidR="0079753B" w:rsidRPr="00C70473" w:rsidRDefault="0079753B" w:rsidP="00C70473">
      <w:pPr>
        <w:pStyle w:val="ListParagraph"/>
        <w:numPr>
          <w:ilvl w:val="0"/>
          <w:numId w:val="110"/>
        </w:numPr>
        <w:spacing w:after="0" w:line="240" w:lineRule="auto"/>
        <w:rPr>
          <w:rFonts w:ascii="Arial" w:hAnsi="Arial" w:cs="Arial"/>
          <w:b/>
          <w:sz w:val="20"/>
          <w:szCs w:val="20"/>
          <w:lang w:eastAsia="en-ZA"/>
        </w:rPr>
      </w:pPr>
      <w:r w:rsidRPr="00C70473">
        <w:rPr>
          <w:rFonts w:ascii="Arial" w:hAnsi="Arial" w:cs="Arial"/>
          <w:b/>
          <w:sz w:val="20"/>
          <w:szCs w:val="20"/>
          <w:lang w:eastAsia="en-ZA"/>
        </w:rPr>
        <w:t xml:space="preserve">Supply Chain Management: </w:t>
      </w:r>
      <w:r w:rsidRPr="00C70473">
        <w:rPr>
          <w:rFonts w:ascii="Arial" w:hAnsi="Arial" w:cs="Arial"/>
          <w:sz w:val="20"/>
          <w:szCs w:val="20"/>
          <w:lang w:eastAsia="en-ZA"/>
        </w:rPr>
        <w:t xml:space="preserve">The President noted that the COVID-19 pandemic has closed various global value chains. </w:t>
      </w:r>
    </w:p>
    <w:p w:rsidR="0079753B" w:rsidRPr="00C70473" w:rsidRDefault="0079753B" w:rsidP="00C70473">
      <w:pPr>
        <w:pStyle w:val="ListParagraph"/>
        <w:numPr>
          <w:ilvl w:val="0"/>
          <w:numId w:val="110"/>
        </w:numPr>
        <w:spacing w:after="0" w:line="240" w:lineRule="auto"/>
        <w:rPr>
          <w:rFonts w:ascii="Arial" w:hAnsi="Arial" w:cs="Arial"/>
          <w:b/>
          <w:sz w:val="20"/>
          <w:szCs w:val="20"/>
          <w:lang w:eastAsia="en-ZA"/>
        </w:rPr>
      </w:pPr>
      <w:r w:rsidRPr="00C70473">
        <w:rPr>
          <w:rFonts w:ascii="Arial" w:hAnsi="Arial" w:cs="Arial"/>
          <w:b/>
          <w:sz w:val="20"/>
          <w:szCs w:val="20"/>
          <w:lang w:eastAsia="en-ZA"/>
        </w:rPr>
        <w:t xml:space="preserve">Rural Safety: </w:t>
      </w:r>
      <w:r w:rsidRPr="00C70473">
        <w:rPr>
          <w:rFonts w:ascii="Arial" w:hAnsi="Arial" w:cs="Arial"/>
          <w:sz w:val="20"/>
          <w:szCs w:val="20"/>
          <w:lang w:eastAsia="en-ZA"/>
        </w:rPr>
        <w:t xml:space="preserve">The President committed Government’s support for black small-scale farmers and </w:t>
      </w:r>
      <w:r w:rsidRPr="00C70473">
        <w:rPr>
          <w:rFonts w:ascii="Arial" w:hAnsi="Arial" w:cs="Arial"/>
          <w:bCs/>
          <w:color w:val="000000" w:themeColor="text1"/>
          <w:sz w:val="20"/>
          <w:szCs w:val="20"/>
        </w:rPr>
        <w:t xml:space="preserve">pursuing programmes to assist smallholder and emerging farmers with market access, to develop skills across the entire agricultural value chain and increase the number of commercial black farmers. </w:t>
      </w:r>
    </w:p>
    <w:p w:rsidR="0079753B" w:rsidRPr="00C70473" w:rsidRDefault="0079753B" w:rsidP="00C70473">
      <w:pPr>
        <w:pStyle w:val="ListParagraph"/>
        <w:numPr>
          <w:ilvl w:val="0"/>
          <w:numId w:val="110"/>
        </w:numPr>
        <w:spacing w:after="0" w:line="240" w:lineRule="auto"/>
        <w:rPr>
          <w:rFonts w:ascii="Arial" w:hAnsi="Arial" w:cs="Arial"/>
          <w:b/>
          <w:bCs/>
          <w:color w:val="000000" w:themeColor="text1"/>
          <w:sz w:val="20"/>
          <w:szCs w:val="20"/>
        </w:rPr>
      </w:pPr>
      <w:r w:rsidRPr="00C70473">
        <w:rPr>
          <w:rFonts w:ascii="Arial" w:hAnsi="Arial" w:cs="Arial"/>
          <w:b/>
          <w:bCs/>
          <w:color w:val="000000" w:themeColor="text1"/>
          <w:sz w:val="20"/>
          <w:szCs w:val="20"/>
        </w:rPr>
        <w:t xml:space="preserve">Ministerial Performance Agreements: </w:t>
      </w:r>
      <w:r w:rsidRPr="00C70473">
        <w:rPr>
          <w:rFonts w:ascii="Arial" w:hAnsi="Arial" w:cs="Arial"/>
          <w:bCs/>
          <w:color w:val="000000" w:themeColor="text1"/>
          <w:sz w:val="20"/>
          <w:szCs w:val="20"/>
        </w:rPr>
        <w:t xml:space="preserve">In October 2019, the President signed off on Ministerial Performance Agreements with all Ministers to enhance accountability and focused performance by members of the Executive. The Presidency has published these Ministerial agreements, as well as delegated powers to Deputy Ministers, on-line.   </w:t>
      </w:r>
    </w:p>
    <w:p w:rsidR="0079753B" w:rsidRPr="00C70473" w:rsidRDefault="0079753B" w:rsidP="00C70473">
      <w:pPr>
        <w:pStyle w:val="ListParagraph"/>
        <w:numPr>
          <w:ilvl w:val="0"/>
          <w:numId w:val="109"/>
        </w:numPr>
        <w:spacing w:after="0" w:line="240" w:lineRule="auto"/>
        <w:rPr>
          <w:rFonts w:ascii="Arial" w:hAnsi="Arial" w:cs="Arial"/>
          <w:b/>
          <w:sz w:val="20"/>
          <w:szCs w:val="20"/>
          <w:lang w:eastAsia="en-ZA"/>
        </w:rPr>
      </w:pPr>
      <w:r w:rsidRPr="00C70473">
        <w:rPr>
          <w:rFonts w:ascii="Arial" w:hAnsi="Arial" w:cs="Arial"/>
          <w:b/>
          <w:sz w:val="20"/>
          <w:szCs w:val="20"/>
          <w:lang w:eastAsia="en-ZA"/>
        </w:rPr>
        <w:t xml:space="preserve">Corruption: </w:t>
      </w:r>
      <w:r w:rsidRPr="00C70473">
        <w:rPr>
          <w:rFonts w:ascii="Arial" w:hAnsi="Arial" w:cs="Arial"/>
          <w:sz w:val="20"/>
          <w:szCs w:val="20"/>
          <w:lang w:eastAsia="en-ZA"/>
        </w:rPr>
        <w:t xml:space="preserve">The fight against corruption and strengthening the state was identified by the President as one of the four overriding priorities of 2021. He further stated that the testimony at the Zondo Commission of Inquiry has shown how corruption has compromised and weakened the criminal justice system. Over the past three years, efforts have been made to turn around law enforcement bodies including improved cooperation and sharing of resources between respective law enforcement agencies, enabling a more integrated approach to investigations and prosecutions. </w:t>
      </w:r>
    </w:p>
    <w:p w:rsidR="0079753B" w:rsidRPr="00C70473" w:rsidRDefault="0079753B" w:rsidP="00C70473">
      <w:pPr>
        <w:pStyle w:val="ListParagraph"/>
        <w:numPr>
          <w:ilvl w:val="0"/>
          <w:numId w:val="111"/>
        </w:numPr>
        <w:spacing w:after="0" w:line="240" w:lineRule="auto"/>
        <w:rPr>
          <w:rFonts w:ascii="Arial" w:hAnsi="Arial" w:cs="Arial"/>
          <w:b/>
          <w:bCs/>
          <w:color w:val="000000" w:themeColor="text1"/>
          <w:sz w:val="20"/>
          <w:szCs w:val="20"/>
        </w:rPr>
      </w:pPr>
      <w:r w:rsidRPr="00C70473">
        <w:rPr>
          <w:rFonts w:ascii="Arial" w:hAnsi="Arial" w:cs="Arial"/>
          <w:b/>
          <w:bCs/>
          <w:color w:val="000000" w:themeColor="text1"/>
          <w:sz w:val="20"/>
          <w:szCs w:val="20"/>
        </w:rPr>
        <w:t xml:space="preserve">Crime and violence: </w:t>
      </w:r>
      <w:r w:rsidRPr="00C70473">
        <w:rPr>
          <w:rFonts w:ascii="Arial" w:hAnsi="Arial" w:cs="Arial"/>
          <w:bCs/>
          <w:color w:val="000000" w:themeColor="text1"/>
          <w:sz w:val="20"/>
          <w:szCs w:val="20"/>
        </w:rPr>
        <w:t>The President stated, “Crime and violence continues to undermine people’s sense of safety and security” and that tackling crime is central to the success of South Africa’s recovery from the COVID-19 pandemic.</w:t>
      </w:r>
    </w:p>
    <w:p w:rsidR="0079753B" w:rsidRPr="00C70473" w:rsidRDefault="0079753B" w:rsidP="00C70473">
      <w:pPr>
        <w:pStyle w:val="ListParagraph"/>
        <w:numPr>
          <w:ilvl w:val="0"/>
          <w:numId w:val="111"/>
        </w:numPr>
        <w:spacing w:after="0" w:line="240" w:lineRule="auto"/>
        <w:rPr>
          <w:rFonts w:ascii="Arial" w:hAnsi="Arial" w:cs="Arial"/>
          <w:b/>
          <w:bCs/>
          <w:color w:val="000000" w:themeColor="text1"/>
          <w:sz w:val="20"/>
          <w:szCs w:val="20"/>
        </w:rPr>
      </w:pPr>
      <w:r w:rsidRPr="00C70473">
        <w:rPr>
          <w:rFonts w:ascii="Arial" w:hAnsi="Arial" w:cs="Arial"/>
          <w:b/>
          <w:bCs/>
          <w:color w:val="000000" w:themeColor="text1"/>
          <w:sz w:val="20"/>
          <w:szCs w:val="20"/>
        </w:rPr>
        <w:t xml:space="preserve">Economic crimes: </w:t>
      </w:r>
      <w:r w:rsidRPr="00C70473">
        <w:rPr>
          <w:rFonts w:ascii="Arial" w:hAnsi="Arial" w:cs="Arial"/>
          <w:bCs/>
          <w:color w:val="000000" w:themeColor="text1"/>
          <w:sz w:val="20"/>
          <w:szCs w:val="20"/>
        </w:rPr>
        <w:t>The President stated that crimes like cable theft, railway infrastructure vandalism, land invasions, construction site disruptions and attacks on truck drivers hamper economic activity and discourage investment.</w:t>
      </w:r>
      <w:r w:rsidRPr="00C70473">
        <w:rPr>
          <w:rFonts w:ascii="Arial" w:eastAsia="Arial" w:hAnsi="Arial" w:cs="Arial"/>
          <w:sz w:val="20"/>
          <w:szCs w:val="20"/>
        </w:rPr>
        <w:t xml:space="preserve"> </w:t>
      </w:r>
      <w:r w:rsidRPr="00C70473">
        <w:rPr>
          <w:rFonts w:ascii="Arial" w:hAnsi="Arial" w:cs="Arial"/>
          <w:bCs/>
          <w:color w:val="000000" w:themeColor="text1"/>
          <w:sz w:val="20"/>
          <w:szCs w:val="20"/>
        </w:rPr>
        <w:t xml:space="preserve">The President noted that Government has set up task teams in a number of provinces to deal with extortion and violence on sites of economic activity. </w:t>
      </w:r>
    </w:p>
    <w:p w:rsidR="0079753B" w:rsidRPr="00C70473" w:rsidRDefault="0079753B" w:rsidP="00C70473">
      <w:pPr>
        <w:pStyle w:val="ListParagraph"/>
        <w:numPr>
          <w:ilvl w:val="0"/>
          <w:numId w:val="112"/>
        </w:numPr>
        <w:spacing w:after="0" w:line="240" w:lineRule="auto"/>
        <w:rPr>
          <w:rFonts w:ascii="Arial" w:hAnsi="Arial" w:cs="Arial"/>
          <w:b/>
          <w:bCs/>
          <w:color w:val="000000" w:themeColor="text1"/>
          <w:sz w:val="20"/>
          <w:szCs w:val="20"/>
        </w:rPr>
      </w:pPr>
      <w:r w:rsidRPr="00C70473">
        <w:rPr>
          <w:rFonts w:ascii="Arial" w:hAnsi="Arial" w:cs="Arial"/>
          <w:b/>
          <w:bCs/>
          <w:color w:val="000000" w:themeColor="text1"/>
          <w:sz w:val="20"/>
          <w:szCs w:val="20"/>
        </w:rPr>
        <w:t xml:space="preserve">Border Safety: </w:t>
      </w:r>
      <w:r w:rsidRPr="00C70473">
        <w:rPr>
          <w:rFonts w:ascii="Arial" w:hAnsi="Arial" w:cs="Arial"/>
          <w:bCs/>
          <w:color w:val="000000" w:themeColor="text1"/>
          <w:sz w:val="20"/>
          <w:szCs w:val="20"/>
        </w:rPr>
        <w:t xml:space="preserve">The President indicated that Government is fast-tracking the implementation and capacitation of the Border Management Agency (BMA) to curb illegal immigration and cross-border crime. </w:t>
      </w:r>
    </w:p>
    <w:p w:rsidR="0079753B" w:rsidRPr="00C70473" w:rsidRDefault="0079753B" w:rsidP="00C70473">
      <w:pPr>
        <w:pStyle w:val="ListParagraph"/>
        <w:numPr>
          <w:ilvl w:val="0"/>
          <w:numId w:val="112"/>
        </w:numPr>
        <w:spacing w:after="0" w:line="240" w:lineRule="auto"/>
        <w:rPr>
          <w:rFonts w:ascii="Arial" w:hAnsi="Arial" w:cs="Arial"/>
          <w:b/>
          <w:bCs/>
          <w:color w:val="000000" w:themeColor="text1"/>
          <w:sz w:val="20"/>
          <w:szCs w:val="20"/>
        </w:rPr>
      </w:pPr>
      <w:r w:rsidRPr="00C70473">
        <w:rPr>
          <w:rFonts w:ascii="Arial" w:hAnsi="Arial" w:cs="Arial"/>
          <w:b/>
          <w:bCs/>
          <w:color w:val="000000" w:themeColor="text1"/>
          <w:sz w:val="20"/>
          <w:szCs w:val="20"/>
        </w:rPr>
        <w:t xml:space="preserve">Gender-based Violence: </w:t>
      </w:r>
      <w:r w:rsidRPr="00C70473">
        <w:rPr>
          <w:rFonts w:ascii="Arial" w:hAnsi="Arial" w:cs="Arial"/>
          <w:bCs/>
          <w:color w:val="000000" w:themeColor="text1"/>
          <w:sz w:val="20"/>
          <w:szCs w:val="20"/>
        </w:rPr>
        <w:t xml:space="preserve">The President repeated his focus on ending gender-based violence as a key priority. He indicated that he has launched the National Strategic Plan on Gender-Based Violence and Femicide in April last year and that Government has made efforts to strengthen the criminal justice system to prevent women from being traumatised again, and to ensure that perpetrators face justice. As part of this initiative, Government introduced three key pieces of legislation in Parliament last year to realise effective change in combatting gender-based violence. The President further stated that Government is making progress in reducing the backlog of gender-based violence cases and that Government continues to provide care and support to survivors of gender-based violence. To support these initiatives, the President announced that Government has allocated approximately R12 billion to implement the various components of the National Strategic Plan on Gender-Based Violence over the 2021/22 medium-term. </w:t>
      </w:r>
    </w:p>
    <w:p w:rsidR="0079753B" w:rsidRPr="00C70473" w:rsidRDefault="0079753B" w:rsidP="00C70473">
      <w:pPr>
        <w:spacing w:after="0" w:line="240" w:lineRule="auto"/>
        <w:rPr>
          <w:rFonts w:ascii="Arial" w:hAnsi="Arial" w:cs="Arial"/>
          <w:sz w:val="20"/>
          <w:szCs w:val="20"/>
        </w:rPr>
      </w:pPr>
    </w:p>
    <w:p w:rsidR="0079753B" w:rsidRPr="00C70473" w:rsidRDefault="0079753B" w:rsidP="00C70473">
      <w:pPr>
        <w:pStyle w:val="Heading2"/>
        <w:numPr>
          <w:ilvl w:val="1"/>
          <w:numId w:val="66"/>
        </w:numPr>
        <w:spacing w:before="0" w:line="240" w:lineRule="auto"/>
        <w:rPr>
          <w:rFonts w:ascii="Arial" w:hAnsi="Arial" w:cs="Arial"/>
          <w:sz w:val="20"/>
          <w:szCs w:val="20"/>
        </w:rPr>
      </w:pPr>
      <w:bookmarkStart w:id="4" w:name="_Toc70074916"/>
      <w:r w:rsidRPr="00C70473">
        <w:rPr>
          <w:rFonts w:ascii="Arial" w:hAnsi="Arial" w:cs="Arial"/>
          <w:sz w:val="20"/>
          <w:szCs w:val="20"/>
        </w:rPr>
        <w:t>District Development Model (DDM)</w:t>
      </w:r>
      <w:bookmarkEnd w:id="4"/>
    </w:p>
    <w:p w:rsidR="0079753B" w:rsidRPr="00C70473" w:rsidRDefault="0079753B" w:rsidP="00C70473">
      <w:pPr>
        <w:spacing w:after="0" w:line="240" w:lineRule="auto"/>
        <w:rPr>
          <w:rFonts w:ascii="Arial" w:hAnsi="Arial" w:cs="Arial"/>
          <w:sz w:val="20"/>
          <w:szCs w:val="20"/>
        </w:rPr>
      </w:pPr>
    </w:p>
    <w:p w:rsidR="0079753B" w:rsidRPr="00C70473" w:rsidRDefault="0079753B" w:rsidP="00C70473">
      <w:pPr>
        <w:spacing w:after="0" w:line="240" w:lineRule="auto"/>
        <w:rPr>
          <w:rFonts w:ascii="Arial" w:hAnsi="Arial" w:cs="Arial"/>
          <w:sz w:val="20"/>
          <w:szCs w:val="20"/>
          <w:lang w:eastAsia="en-ZA"/>
        </w:rPr>
      </w:pPr>
      <w:r w:rsidRPr="00C70473">
        <w:rPr>
          <w:rFonts w:ascii="Arial" w:hAnsi="Arial" w:cs="Arial"/>
          <w:sz w:val="20"/>
          <w:szCs w:val="20"/>
        </w:rPr>
        <w:t xml:space="preserve">In 2019, President Ramaphosa initiated the District Development Model (DDM) to counteract Government’s tendency to operate in silos that leads to a lack of coherence in planning and coordination. The SAPS acknowledges that </w:t>
      </w:r>
      <w:r w:rsidRPr="00C70473">
        <w:rPr>
          <w:rFonts w:ascii="Arial" w:hAnsi="Arial" w:cs="Arial"/>
          <w:sz w:val="20"/>
          <w:szCs w:val="20"/>
          <w:lang w:eastAsia="en-ZA"/>
        </w:rPr>
        <w:t>the establishing of safe and secure communities, that are conducive to socio-economic stability, thereby supporting a better life for all, is a prerequisite for the successful development and implementation of the DDM. The DDM requires the SAPS to focus on the establishment of safe and secure communities and to collaborate with all spheres of Government in establishing an integrated planning, budgeting, implementation, reporting and monitoring process.</w:t>
      </w:r>
    </w:p>
    <w:p w:rsidR="0079753B" w:rsidRPr="00C70473" w:rsidRDefault="0079753B" w:rsidP="00C70473">
      <w:pPr>
        <w:autoSpaceDE w:val="0"/>
        <w:autoSpaceDN w:val="0"/>
        <w:adjustRightInd w:val="0"/>
        <w:spacing w:after="0" w:line="240" w:lineRule="auto"/>
        <w:rPr>
          <w:rFonts w:ascii="Arial" w:hAnsi="Arial" w:cs="Arial"/>
          <w:sz w:val="20"/>
          <w:szCs w:val="20"/>
          <w:lang w:eastAsia="en-ZA"/>
        </w:rPr>
      </w:pPr>
      <w:r w:rsidRPr="00C70473">
        <w:rPr>
          <w:rFonts w:ascii="Arial" w:hAnsi="Arial" w:cs="Arial"/>
          <w:sz w:val="20"/>
          <w:szCs w:val="20"/>
          <w:lang w:eastAsia="en-ZA"/>
        </w:rPr>
        <w:t>According to the SAPS, the Department will lead the following initiatives:</w:t>
      </w:r>
    </w:p>
    <w:p w:rsidR="0079753B" w:rsidRPr="00C70473" w:rsidRDefault="0079753B" w:rsidP="00C70473">
      <w:pPr>
        <w:autoSpaceDE w:val="0"/>
        <w:autoSpaceDN w:val="0"/>
        <w:adjustRightInd w:val="0"/>
        <w:spacing w:after="0" w:line="240" w:lineRule="auto"/>
        <w:rPr>
          <w:rFonts w:ascii="Arial" w:hAnsi="Arial" w:cs="Arial"/>
          <w:sz w:val="20"/>
          <w:szCs w:val="20"/>
          <w:lang w:eastAsia="en-ZA"/>
        </w:rPr>
      </w:pPr>
    </w:p>
    <w:p w:rsidR="0079753B" w:rsidRPr="00C70473" w:rsidRDefault="0079753B" w:rsidP="00C70473">
      <w:pPr>
        <w:pStyle w:val="ListParagraph"/>
        <w:numPr>
          <w:ilvl w:val="0"/>
          <w:numId w:val="112"/>
        </w:numPr>
        <w:autoSpaceDE w:val="0"/>
        <w:autoSpaceDN w:val="0"/>
        <w:adjustRightInd w:val="0"/>
        <w:spacing w:after="0" w:line="240" w:lineRule="auto"/>
        <w:rPr>
          <w:rFonts w:ascii="Arial" w:hAnsi="Arial" w:cs="Arial"/>
          <w:sz w:val="20"/>
          <w:szCs w:val="20"/>
          <w:lang w:eastAsia="en-ZA"/>
        </w:rPr>
      </w:pPr>
      <w:r w:rsidRPr="00C70473">
        <w:rPr>
          <w:rFonts w:ascii="Arial" w:hAnsi="Arial" w:cs="Arial"/>
          <w:sz w:val="20"/>
          <w:szCs w:val="20"/>
          <w:lang w:eastAsia="en-ZA"/>
        </w:rPr>
        <w:t xml:space="preserve">The identification of the </w:t>
      </w:r>
      <w:r w:rsidRPr="00C70473">
        <w:rPr>
          <w:rFonts w:ascii="Arial" w:hAnsi="Arial" w:cs="Arial"/>
          <w:bCs/>
          <w:sz w:val="20"/>
          <w:szCs w:val="20"/>
          <w:lang w:eastAsia="en-ZA"/>
        </w:rPr>
        <w:t xml:space="preserve">Top 30 High Contact Crime Weight Stations will </w:t>
      </w:r>
      <w:r w:rsidRPr="00C70473">
        <w:rPr>
          <w:rFonts w:ascii="Arial" w:hAnsi="Arial" w:cs="Arial"/>
          <w:sz w:val="20"/>
          <w:szCs w:val="20"/>
          <w:lang w:eastAsia="en-ZA"/>
        </w:rPr>
        <w:t xml:space="preserve">ensure a multidisciplinary approach to the significant reduction in the incidence of contact crime at the 30 police stations in the country, at which the majority of the incidents of contact crime are </w:t>
      </w:r>
      <w:r w:rsidRPr="00C70473">
        <w:rPr>
          <w:rFonts w:ascii="Arial" w:hAnsi="Arial" w:cs="Arial"/>
          <w:sz w:val="20"/>
          <w:szCs w:val="20"/>
          <w:lang w:eastAsia="en-ZA"/>
        </w:rPr>
        <w:lastRenderedPageBreak/>
        <w:t>reported annually. The Top 30 High Contact Crime Weight Stations are identified annually, based on the analysis of reported contact crime during the preceding financial year.</w:t>
      </w:r>
    </w:p>
    <w:p w:rsidR="0079753B" w:rsidRPr="00C70473" w:rsidRDefault="0079753B" w:rsidP="00C70473">
      <w:pPr>
        <w:pStyle w:val="ListParagraph"/>
        <w:numPr>
          <w:ilvl w:val="0"/>
          <w:numId w:val="112"/>
        </w:numPr>
        <w:autoSpaceDE w:val="0"/>
        <w:autoSpaceDN w:val="0"/>
        <w:adjustRightInd w:val="0"/>
        <w:spacing w:after="0" w:line="240" w:lineRule="auto"/>
        <w:rPr>
          <w:rFonts w:ascii="Arial" w:hAnsi="Arial" w:cs="Arial"/>
          <w:sz w:val="20"/>
          <w:szCs w:val="20"/>
          <w:lang w:eastAsia="en-ZA"/>
        </w:rPr>
      </w:pPr>
      <w:r w:rsidRPr="00C70473">
        <w:rPr>
          <w:rFonts w:ascii="Arial" w:hAnsi="Arial" w:cs="Arial"/>
          <w:sz w:val="20"/>
          <w:szCs w:val="20"/>
          <w:lang w:eastAsia="en-ZA"/>
        </w:rPr>
        <w:t xml:space="preserve">The </w:t>
      </w:r>
      <w:r w:rsidRPr="00C70473">
        <w:rPr>
          <w:rFonts w:ascii="Arial" w:hAnsi="Arial" w:cs="Arial"/>
          <w:bCs/>
          <w:sz w:val="20"/>
          <w:szCs w:val="20"/>
          <w:lang w:eastAsia="en-ZA"/>
        </w:rPr>
        <w:t xml:space="preserve">initiation of the Safer Cities Framework </w:t>
      </w:r>
      <w:r w:rsidRPr="00C70473">
        <w:rPr>
          <w:rFonts w:ascii="Arial" w:hAnsi="Arial" w:cs="Arial"/>
          <w:sz w:val="20"/>
          <w:szCs w:val="20"/>
          <w:lang w:eastAsia="en-ZA"/>
        </w:rPr>
        <w:t>will ensure a collaborative approach by all relevant stakeholders in the public and privates sectors, using a technologically driven approach to integrating all efforts related to safety and security and service delivery.</w:t>
      </w:r>
    </w:p>
    <w:p w:rsidR="0079753B" w:rsidRPr="00C70473" w:rsidRDefault="0079753B" w:rsidP="00C70473">
      <w:pPr>
        <w:pStyle w:val="ListParagraph"/>
        <w:numPr>
          <w:ilvl w:val="0"/>
          <w:numId w:val="112"/>
        </w:numPr>
        <w:autoSpaceDE w:val="0"/>
        <w:autoSpaceDN w:val="0"/>
        <w:adjustRightInd w:val="0"/>
        <w:spacing w:after="0" w:line="240" w:lineRule="auto"/>
        <w:rPr>
          <w:rFonts w:ascii="Arial" w:hAnsi="Arial" w:cs="Arial"/>
          <w:sz w:val="20"/>
          <w:szCs w:val="20"/>
          <w:lang w:eastAsia="en-ZA"/>
        </w:rPr>
      </w:pPr>
      <w:r w:rsidRPr="00C70473">
        <w:rPr>
          <w:rFonts w:ascii="Arial" w:hAnsi="Arial" w:cs="Arial"/>
          <w:sz w:val="20"/>
          <w:szCs w:val="20"/>
          <w:lang w:eastAsia="en-ZA"/>
        </w:rPr>
        <w:t xml:space="preserve">The identified </w:t>
      </w:r>
      <w:r w:rsidRPr="00C70473">
        <w:rPr>
          <w:rFonts w:ascii="Arial" w:hAnsi="Arial" w:cs="Arial"/>
          <w:bCs/>
          <w:sz w:val="20"/>
          <w:szCs w:val="20"/>
          <w:lang w:eastAsia="en-ZA"/>
        </w:rPr>
        <w:t xml:space="preserve">GBVF Hotspot Stations are </w:t>
      </w:r>
      <w:r w:rsidRPr="00C70473">
        <w:rPr>
          <w:rFonts w:ascii="Arial" w:hAnsi="Arial" w:cs="Arial"/>
          <w:sz w:val="20"/>
          <w:szCs w:val="20"/>
          <w:lang w:eastAsia="en-ZA"/>
        </w:rPr>
        <w:t xml:space="preserve">based on the consideration of a number of variables, including, </w:t>
      </w:r>
      <w:r w:rsidRPr="00C70473">
        <w:rPr>
          <w:rFonts w:ascii="Arial" w:hAnsi="Arial" w:cs="Arial"/>
          <w:i/>
          <w:iCs/>
          <w:sz w:val="20"/>
          <w:szCs w:val="20"/>
          <w:lang w:eastAsia="en-ZA"/>
        </w:rPr>
        <w:t>inter alia</w:t>
      </w:r>
      <w:r w:rsidRPr="00C70473">
        <w:rPr>
          <w:rFonts w:ascii="Arial" w:hAnsi="Arial" w:cs="Arial"/>
          <w:sz w:val="20"/>
          <w:szCs w:val="20"/>
          <w:lang w:eastAsia="en-ZA"/>
        </w:rPr>
        <w:t xml:space="preserve">: the reported incidence of crimes against women, Domestic Violence and GBV-related calls received via the GBVF National Command Centre, the reported incidence of related cases reported to health facilities, and reported cases received by </w:t>
      </w:r>
      <w:r w:rsidRPr="00C70473">
        <w:rPr>
          <w:rFonts w:ascii="Arial" w:hAnsi="Arial" w:cs="Arial"/>
          <w:i/>
          <w:sz w:val="20"/>
          <w:szCs w:val="20"/>
          <w:lang w:eastAsia="en-ZA"/>
        </w:rPr>
        <w:t>Kgomotso</w:t>
      </w:r>
      <w:r w:rsidRPr="00C70473">
        <w:rPr>
          <w:rFonts w:ascii="Arial" w:hAnsi="Arial" w:cs="Arial"/>
          <w:sz w:val="20"/>
          <w:szCs w:val="20"/>
          <w:lang w:eastAsia="en-ZA"/>
        </w:rPr>
        <w:t xml:space="preserve">, </w:t>
      </w:r>
      <w:r w:rsidRPr="00C70473">
        <w:rPr>
          <w:rFonts w:ascii="Arial" w:hAnsi="Arial" w:cs="Arial"/>
          <w:i/>
          <w:sz w:val="20"/>
          <w:szCs w:val="20"/>
          <w:lang w:eastAsia="en-ZA"/>
        </w:rPr>
        <w:t>Khuseleka</w:t>
      </w:r>
      <w:r w:rsidRPr="00C70473">
        <w:rPr>
          <w:rFonts w:ascii="Arial" w:hAnsi="Arial" w:cs="Arial"/>
          <w:sz w:val="20"/>
          <w:szCs w:val="20"/>
          <w:lang w:eastAsia="en-ZA"/>
        </w:rPr>
        <w:t xml:space="preserve"> and </w:t>
      </w:r>
      <w:r w:rsidRPr="00C70473">
        <w:rPr>
          <w:rFonts w:ascii="Arial" w:hAnsi="Arial" w:cs="Arial"/>
          <w:i/>
          <w:sz w:val="20"/>
          <w:szCs w:val="20"/>
          <w:lang w:eastAsia="en-ZA"/>
        </w:rPr>
        <w:t>Thuthuzela</w:t>
      </w:r>
      <w:r w:rsidRPr="00C70473">
        <w:rPr>
          <w:rFonts w:ascii="Arial" w:hAnsi="Arial" w:cs="Arial"/>
          <w:sz w:val="20"/>
          <w:szCs w:val="20"/>
          <w:lang w:eastAsia="en-ZA"/>
        </w:rPr>
        <w:t xml:space="preserve"> Care Centres.</w:t>
      </w:r>
    </w:p>
    <w:p w:rsidR="0079753B" w:rsidRPr="00C70473" w:rsidRDefault="0079753B" w:rsidP="00C70473">
      <w:pPr>
        <w:pStyle w:val="ListParagraph"/>
        <w:numPr>
          <w:ilvl w:val="0"/>
          <w:numId w:val="112"/>
        </w:numPr>
        <w:autoSpaceDE w:val="0"/>
        <w:autoSpaceDN w:val="0"/>
        <w:adjustRightInd w:val="0"/>
        <w:spacing w:after="0" w:line="240" w:lineRule="auto"/>
        <w:rPr>
          <w:rFonts w:ascii="Arial" w:hAnsi="Arial" w:cs="Arial"/>
          <w:sz w:val="20"/>
          <w:szCs w:val="20"/>
          <w:lang w:eastAsia="en-ZA"/>
        </w:rPr>
      </w:pPr>
      <w:r w:rsidRPr="00C70473">
        <w:rPr>
          <w:rFonts w:ascii="Arial" w:hAnsi="Arial" w:cs="Arial"/>
          <w:sz w:val="20"/>
          <w:szCs w:val="20"/>
          <w:lang w:eastAsia="en-ZA"/>
        </w:rPr>
        <w:t xml:space="preserve">The Districts that will benefit from the establishment of </w:t>
      </w:r>
      <w:r w:rsidRPr="00C70473">
        <w:rPr>
          <w:rFonts w:ascii="Arial" w:hAnsi="Arial" w:cs="Arial"/>
          <w:bCs/>
          <w:sz w:val="20"/>
          <w:szCs w:val="20"/>
          <w:lang w:eastAsia="en-ZA"/>
        </w:rPr>
        <w:t>a newly built police station</w:t>
      </w:r>
      <w:r w:rsidRPr="00C70473">
        <w:rPr>
          <w:rFonts w:ascii="Arial" w:hAnsi="Arial" w:cs="Arial"/>
          <w:sz w:val="20"/>
          <w:szCs w:val="20"/>
          <w:lang w:eastAsia="en-ZA"/>
        </w:rPr>
        <w:t>.</w:t>
      </w:r>
    </w:p>
    <w:p w:rsidR="0079753B" w:rsidRPr="00C70473" w:rsidRDefault="0079753B" w:rsidP="00C70473">
      <w:pPr>
        <w:pStyle w:val="ListParagraph"/>
        <w:numPr>
          <w:ilvl w:val="0"/>
          <w:numId w:val="112"/>
        </w:numPr>
        <w:autoSpaceDE w:val="0"/>
        <w:autoSpaceDN w:val="0"/>
        <w:adjustRightInd w:val="0"/>
        <w:spacing w:after="0" w:line="240" w:lineRule="auto"/>
        <w:rPr>
          <w:rFonts w:ascii="Arial" w:hAnsi="Arial" w:cs="Arial"/>
          <w:sz w:val="20"/>
          <w:szCs w:val="20"/>
          <w:lang w:eastAsia="en-ZA"/>
        </w:rPr>
      </w:pPr>
      <w:r w:rsidRPr="00C70473">
        <w:rPr>
          <w:rFonts w:ascii="Arial" w:hAnsi="Arial" w:cs="Arial"/>
          <w:sz w:val="20"/>
          <w:szCs w:val="20"/>
          <w:lang w:eastAsia="en-ZA"/>
        </w:rPr>
        <w:t xml:space="preserve">Participate in the establishment of </w:t>
      </w:r>
      <w:r w:rsidRPr="00C70473">
        <w:rPr>
          <w:rFonts w:ascii="Arial" w:hAnsi="Arial" w:cs="Arial"/>
          <w:bCs/>
          <w:sz w:val="20"/>
          <w:szCs w:val="20"/>
          <w:lang w:eastAsia="en-ZA"/>
        </w:rPr>
        <w:t>Community Safety Forums (CSFs) in all districts and metropolitan areas</w:t>
      </w:r>
      <w:r w:rsidRPr="00C70473">
        <w:rPr>
          <w:rFonts w:ascii="Arial" w:hAnsi="Arial" w:cs="Arial"/>
          <w:sz w:val="20"/>
          <w:szCs w:val="20"/>
          <w:lang w:eastAsia="en-ZA"/>
        </w:rPr>
        <w:t>.</w:t>
      </w:r>
    </w:p>
    <w:p w:rsidR="0079753B" w:rsidRPr="00C70473" w:rsidRDefault="0079753B" w:rsidP="00C70473">
      <w:pPr>
        <w:autoSpaceDE w:val="0"/>
        <w:autoSpaceDN w:val="0"/>
        <w:adjustRightInd w:val="0"/>
        <w:spacing w:after="0" w:line="240" w:lineRule="auto"/>
        <w:rPr>
          <w:rFonts w:ascii="Arial" w:hAnsi="Arial" w:cs="Arial"/>
          <w:sz w:val="20"/>
          <w:szCs w:val="20"/>
          <w:lang w:eastAsia="en-ZA"/>
        </w:rPr>
      </w:pPr>
    </w:p>
    <w:p w:rsidR="0079753B" w:rsidRPr="00C70473" w:rsidRDefault="0079753B" w:rsidP="00C70473">
      <w:pPr>
        <w:autoSpaceDE w:val="0"/>
        <w:autoSpaceDN w:val="0"/>
        <w:adjustRightInd w:val="0"/>
        <w:spacing w:after="0" w:line="240" w:lineRule="auto"/>
        <w:rPr>
          <w:rFonts w:ascii="Arial" w:hAnsi="Arial" w:cs="Arial"/>
          <w:sz w:val="20"/>
          <w:szCs w:val="20"/>
          <w:lang w:eastAsia="en-ZA"/>
        </w:rPr>
      </w:pPr>
      <w:r w:rsidRPr="00C70473">
        <w:rPr>
          <w:rFonts w:ascii="Arial" w:hAnsi="Arial" w:cs="Arial"/>
          <w:sz w:val="20"/>
          <w:szCs w:val="20"/>
          <w:lang w:eastAsia="en-ZA"/>
        </w:rPr>
        <w:t>The SAPS will develop and implement a DDM Implementation Plan, within the context of its Departmental Annual Operational Plan (AOP), to structure the planning and budgeting integration during the 2020 to 2025 strategic period.</w:t>
      </w:r>
    </w:p>
    <w:p w:rsidR="0079753B" w:rsidRPr="00C70473" w:rsidRDefault="0079753B" w:rsidP="00C70473">
      <w:pPr>
        <w:pStyle w:val="Heading1"/>
        <w:spacing w:before="0" w:line="240" w:lineRule="auto"/>
        <w:jc w:val="left"/>
        <w:rPr>
          <w:rFonts w:ascii="Arial" w:eastAsiaTheme="minorHAnsi" w:hAnsi="Arial" w:cs="Arial"/>
          <w:b w:val="0"/>
          <w:caps w:val="0"/>
          <w:sz w:val="20"/>
          <w:szCs w:val="20"/>
        </w:rPr>
      </w:pPr>
      <w:bookmarkStart w:id="5" w:name="_Toc70074917"/>
    </w:p>
    <w:p w:rsidR="0079753B" w:rsidRPr="00C70473" w:rsidRDefault="0079753B" w:rsidP="00C70473">
      <w:pPr>
        <w:pStyle w:val="Heading2"/>
        <w:numPr>
          <w:ilvl w:val="1"/>
          <w:numId w:val="66"/>
        </w:numPr>
        <w:spacing w:before="0" w:line="240" w:lineRule="auto"/>
        <w:rPr>
          <w:rFonts w:ascii="Arial" w:hAnsi="Arial" w:cs="Arial"/>
          <w:sz w:val="20"/>
          <w:szCs w:val="20"/>
        </w:rPr>
      </w:pPr>
      <w:r w:rsidRPr="00C70473">
        <w:rPr>
          <w:rFonts w:ascii="Arial" w:hAnsi="Arial" w:cs="Arial"/>
          <w:sz w:val="20"/>
          <w:szCs w:val="20"/>
        </w:rPr>
        <w:t>Priority areas 2021/22</w:t>
      </w:r>
      <w:bookmarkEnd w:id="5"/>
    </w:p>
    <w:p w:rsidR="0079753B" w:rsidRPr="00C70473" w:rsidRDefault="0079753B" w:rsidP="00C70473">
      <w:pPr>
        <w:spacing w:after="0" w:line="240" w:lineRule="auto"/>
        <w:rPr>
          <w:rFonts w:ascii="Arial" w:hAnsi="Arial" w:cs="Arial"/>
          <w:sz w:val="20"/>
          <w:szCs w:val="20"/>
        </w:rPr>
      </w:pPr>
    </w:p>
    <w:p w:rsidR="0079753B" w:rsidRPr="00C70473" w:rsidRDefault="0079753B" w:rsidP="00C70473">
      <w:pPr>
        <w:spacing w:after="0" w:line="240" w:lineRule="auto"/>
        <w:rPr>
          <w:rFonts w:ascii="Arial" w:hAnsi="Arial" w:cs="Arial"/>
          <w:sz w:val="20"/>
          <w:szCs w:val="20"/>
        </w:rPr>
      </w:pPr>
      <w:r w:rsidRPr="00C70473">
        <w:rPr>
          <w:rFonts w:ascii="Arial" w:hAnsi="Arial" w:cs="Arial"/>
          <w:sz w:val="20"/>
          <w:szCs w:val="20"/>
        </w:rPr>
        <w:t xml:space="preserve">The Department highlighted the following focus areas for the 2021/22 financial year:   </w:t>
      </w:r>
    </w:p>
    <w:p w:rsidR="0079753B" w:rsidRPr="00C70473" w:rsidRDefault="0079753B" w:rsidP="00C70473">
      <w:pPr>
        <w:spacing w:after="0" w:line="240" w:lineRule="auto"/>
        <w:rPr>
          <w:rFonts w:ascii="Arial" w:hAnsi="Arial" w:cs="Arial"/>
          <w:sz w:val="20"/>
          <w:szCs w:val="20"/>
        </w:rPr>
      </w:pPr>
    </w:p>
    <w:p w:rsidR="0079753B" w:rsidRPr="00C70473" w:rsidRDefault="0079753B" w:rsidP="00C70473">
      <w:pPr>
        <w:pStyle w:val="ListParagraph"/>
        <w:numPr>
          <w:ilvl w:val="0"/>
          <w:numId w:val="113"/>
        </w:numPr>
        <w:autoSpaceDE w:val="0"/>
        <w:autoSpaceDN w:val="0"/>
        <w:adjustRightInd w:val="0"/>
        <w:spacing w:after="0" w:line="240" w:lineRule="auto"/>
        <w:rPr>
          <w:rFonts w:ascii="Arial" w:hAnsi="Arial" w:cs="Arial"/>
          <w:sz w:val="20"/>
          <w:szCs w:val="20"/>
          <w:lang w:eastAsia="en-ZA"/>
        </w:rPr>
      </w:pPr>
      <w:r w:rsidRPr="00C70473">
        <w:rPr>
          <w:rFonts w:ascii="Arial" w:hAnsi="Arial" w:cs="Arial"/>
          <w:b/>
          <w:sz w:val="20"/>
          <w:szCs w:val="20"/>
        </w:rPr>
        <w:t>Enhancing community safety:</w:t>
      </w:r>
      <w:r w:rsidRPr="00C70473">
        <w:rPr>
          <w:rFonts w:ascii="Arial" w:hAnsi="Arial" w:cs="Arial"/>
          <w:sz w:val="20"/>
          <w:szCs w:val="20"/>
        </w:rPr>
        <w:t xml:space="preserve"> The Department “</w:t>
      </w:r>
      <w:r w:rsidRPr="00C70473">
        <w:rPr>
          <w:rFonts w:ascii="Arial" w:hAnsi="Arial" w:cs="Arial"/>
          <w:sz w:val="20"/>
          <w:szCs w:val="20"/>
          <w:lang w:eastAsia="en-ZA"/>
        </w:rPr>
        <w:t>has recognised community safety as integral to creating a safe and secure environment that is conducive to social and economic stability, and supporting a better life for all.” The Department will continue its focus on community participation initiative in crime prevention and focus on the effective functioning of Community Policing Forums (CPFs).</w:t>
      </w:r>
    </w:p>
    <w:p w:rsidR="0079753B" w:rsidRPr="00C70473" w:rsidRDefault="0079753B" w:rsidP="00C70473">
      <w:pPr>
        <w:pStyle w:val="ListParagraph"/>
        <w:spacing w:after="0" w:line="240" w:lineRule="auto"/>
        <w:rPr>
          <w:rFonts w:ascii="Arial" w:hAnsi="Arial" w:cs="Arial"/>
          <w:b/>
          <w:sz w:val="20"/>
          <w:szCs w:val="20"/>
        </w:rPr>
      </w:pPr>
    </w:p>
    <w:p w:rsidR="0079753B" w:rsidRPr="00C70473" w:rsidRDefault="0079753B" w:rsidP="00C70473">
      <w:pPr>
        <w:pStyle w:val="ListParagraph"/>
        <w:numPr>
          <w:ilvl w:val="0"/>
          <w:numId w:val="113"/>
        </w:numPr>
        <w:spacing w:after="0" w:line="240" w:lineRule="auto"/>
        <w:rPr>
          <w:rFonts w:ascii="Arial" w:hAnsi="Arial" w:cs="Arial"/>
          <w:sz w:val="20"/>
          <w:szCs w:val="20"/>
        </w:rPr>
      </w:pPr>
      <w:r w:rsidRPr="00C70473">
        <w:rPr>
          <w:rFonts w:ascii="Arial" w:hAnsi="Arial" w:cs="Arial"/>
          <w:b/>
          <w:sz w:val="20"/>
          <w:szCs w:val="20"/>
        </w:rPr>
        <w:t>Reducing violence against women and children:</w:t>
      </w:r>
      <w:r w:rsidRPr="00C70473">
        <w:rPr>
          <w:rFonts w:ascii="Arial" w:hAnsi="Arial" w:cs="Arial"/>
          <w:sz w:val="20"/>
          <w:szCs w:val="20"/>
        </w:rPr>
        <w:t xml:space="preserve"> The Department will target detection rates of 75 per cent and 70 per cent for crimes against women and children, respectively. According to the Department, it will enhance the detective capacity, improve forensic support and optimise the implementation of the integrated criminal justice strategy. </w:t>
      </w:r>
    </w:p>
    <w:p w:rsidR="0079753B" w:rsidRPr="00C70473" w:rsidRDefault="0079753B" w:rsidP="00C70473">
      <w:pPr>
        <w:pStyle w:val="ListParagraph"/>
        <w:spacing w:after="0" w:line="240" w:lineRule="auto"/>
        <w:rPr>
          <w:rFonts w:ascii="Arial" w:hAnsi="Arial" w:cs="Arial"/>
          <w:b/>
          <w:sz w:val="20"/>
          <w:szCs w:val="20"/>
        </w:rPr>
      </w:pPr>
    </w:p>
    <w:p w:rsidR="0079753B" w:rsidRPr="00C70473" w:rsidRDefault="0079753B" w:rsidP="00C70473">
      <w:pPr>
        <w:pStyle w:val="ListParagraph"/>
        <w:numPr>
          <w:ilvl w:val="0"/>
          <w:numId w:val="113"/>
        </w:numPr>
        <w:spacing w:after="0" w:line="240" w:lineRule="auto"/>
        <w:rPr>
          <w:rFonts w:ascii="Arial" w:hAnsi="Arial" w:cs="Arial"/>
          <w:sz w:val="20"/>
          <w:szCs w:val="20"/>
        </w:rPr>
      </w:pPr>
      <w:r w:rsidRPr="00C70473">
        <w:rPr>
          <w:rFonts w:ascii="Arial" w:hAnsi="Arial" w:cs="Arial"/>
          <w:b/>
          <w:sz w:val="20"/>
          <w:szCs w:val="20"/>
        </w:rPr>
        <w:t>Targeting fraud and corruption:</w:t>
      </w:r>
      <w:r w:rsidRPr="00C70473">
        <w:rPr>
          <w:rFonts w:ascii="Arial" w:hAnsi="Arial" w:cs="Arial"/>
          <w:sz w:val="20"/>
          <w:szCs w:val="20"/>
        </w:rPr>
        <w:t xml:space="preserve"> The Department will target fraud and corruption in the public and private sectors through “responsive investigations” that will be facilitated through specialised cybercrime investigative capabilities. The Departments aims to maintain an annual conviction rate of 70 per cent for cases relating to serious fraud and corruption. </w:t>
      </w:r>
    </w:p>
    <w:p w:rsidR="0079753B" w:rsidRPr="00C70473" w:rsidRDefault="0079753B" w:rsidP="00C70473">
      <w:pPr>
        <w:pStyle w:val="ListParagraph"/>
        <w:spacing w:after="0" w:line="240" w:lineRule="auto"/>
        <w:rPr>
          <w:rFonts w:ascii="Arial" w:hAnsi="Arial" w:cs="Arial"/>
          <w:b/>
          <w:sz w:val="20"/>
          <w:szCs w:val="20"/>
        </w:rPr>
      </w:pPr>
    </w:p>
    <w:p w:rsidR="0079753B" w:rsidRPr="00C70473" w:rsidRDefault="0079753B" w:rsidP="00C70473">
      <w:pPr>
        <w:pStyle w:val="ListParagraph"/>
        <w:numPr>
          <w:ilvl w:val="0"/>
          <w:numId w:val="113"/>
        </w:numPr>
        <w:spacing w:after="0" w:line="240" w:lineRule="auto"/>
        <w:rPr>
          <w:rFonts w:ascii="Arial" w:hAnsi="Arial" w:cs="Arial"/>
          <w:sz w:val="20"/>
          <w:szCs w:val="20"/>
        </w:rPr>
      </w:pPr>
      <w:r w:rsidRPr="00C70473">
        <w:rPr>
          <w:rFonts w:ascii="Arial" w:hAnsi="Arial" w:cs="Arial"/>
          <w:b/>
          <w:sz w:val="20"/>
          <w:szCs w:val="20"/>
        </w:rPr>
        <w:t>Mitigating the impact of baseline reductions:</w:t>
      </w:r>
      <w:r w:rsidRPr="00C70473">
        <w:rPr>
          <w:rFonts w:ascii="Arial" w:hAnsi="Arial" w:cs="Arial"/>
          <w:sz w:val="20"/>
          <w:szCs w:val="20"/>
        </w:rPr>
        <w:t xml:space="preserve"> The SAPS indicated that the Department will “explore alternatives to how it renders services in communities” in an effort to mitigate the impact of baseline reductions. This will include increasing the capacity of police stations; redirecting resources towards increasing police visibility; improving access to policing services; and enhancing frontline service delivery. This will be realised through the recruitment of entry-level officers and redeploying senior officers to stabilise areas with high levels of crime. In addition, the Department will continue to conduct virtual meetings that will reduce expenditure on related spending items to ensure that the budget is sufficient.   </w:t>
      </w:r>
    </w:p>
    <w:p w:rsidR="0079753B" w:rsidRPr="00C70473" w:rsidRDefault="0079753B" w:rsidP="00C70473">
      <w:pPr>
        <w:autoSpaceDE w:val="0"/>
        <w:autoSpaceDN w:val="0"/>
        <w:adjustRightInd w:val="0"/>
        <w:spacing w:after="0" w:line="240" w:lineRule="auto"/>
        <w:rPr>
          <w:rFonts w:ascii="Arial" w:hAnsi="Arial" w:cs="Arial"/>
          <w:bCs/>
          <w:sz w:val="20"/>
          <w:szCs w:val="20"/>
        </w:rPr>
      </w:pPr>
    </w:p>
    <w:p w:rsidR="004F27D3" w:rsidRPr="00C70473" w:rsidRDefault="004F27D3" w:rsidP="00C70473">
      <w:pPr>
        <w:pStyle w:val="Heading2"/>
        <w:numPr>
          <w:ilvl w:val="1"/>
          <w:numId w:val="66"/>
        </w:numPr>
        <w:spacing w:before="0" w:line="240" w:lineRule="auto"/>
        <w:rPr>
          <w:rFonts w:ascii="Arial" w:hAnsi="Arial" w:cs="Arial"/>
          <w:sz w:val="20"/>
          <w:szCs w:val="20"/>
          <w:lang w:eastAsia="en-ZA"/>
        </w:rPr>
      </w:pPr>
      <w:r w:rsidRPr="00C70473">
        <w:rPr>
          <w:rFonts w:ascii="Arial" w:hAnsi="Arial" w:cs="Arial"/>
          <w:sz w:val="20"/>
          <w:szCs w:val="20"/>
          <w:lang w:eastAsia="en-ZA"/>
        </w:rPr>
        <w:t>Key priorities of the Portfolio Committee on Police</w:t>
      </w:r>
    </w:p>
    <w:p w:rsidR="004F27D3" w:rsidRPr="00C70473" w:rsidRDefault="004F27D3" w:rsidP="00C70473">
      <w:pPr>
        <w:autoSpaceDE w:val="0"/>
        <w:autoSpaceDN w:val="0"/>
        <w:adjustRightInd w:val="0"/>
        <w:spacing w:after="0" w:line="240" w:lineRule="auto"/>
        <w:rPr>
          <w:rFonts w:ascii="Arial" w:hAnsi="Arial" w:cs="Arial"/>
          <w:sz w:val="20"/>
          <w:szCs w:val="20"/>
          <w:lang w:eastAsia="en-ZA"/>
        </w:rPr>
      </w:pPr>
    </w:p>
    <w:p w:rsidR="004F27D3" w:rsidRPr="00C70473" w:rsidRDefault="00F755F5" w:rsidP="00C70473">
      <w:pPr>
        <w:autoSpaceDE w:val="0"/>
        <w:autoSpaceDN w:val="0"/>
        <w:adjustRightInd w:val="0"/>
        <w:spacing w:after="0" w:line="240" w:lineRule="auto"/>
        <w:rPr>
          <w:rFonts w:ascii="Arial" w:eastAsia="Arial Unicode MS" w:hAnsi="Arial" w:cs="Arial"/>
          <w:sz w:val="20"/>
          <w:szCs w:val="20"/>
          <w:lang w:val="en-US"/>
        </w:rPr>
      </w:pPr>
      <w:r w:rsidRPr="00C70473">
        <w:rPr>
          <w:rFonts w:ascii="Arial" w:eastAsia="Arial Unicode MS" w:hAnsi="Arial" w:cs="Arial"/>
          <w:sz w:val="20"/>
          <w:szCs w:val="20"/>
          <w:lang w:val="en-US"/>
        </w:rPr>
        <w:t>During the 2021/22 financial year, the Committee focused on the following oversight areas:</w:t>
      </w:r>
    </w:p>
    <w:p w:rsidR="00F755F5" w:rsidRPr="00C70473" w:rsidRDefault="00895CA5" w:rsidP="00C70473">
      <w:pPr>
        <w:pStyle w:val="ListParagraph"/>
        <w:numPr>
          <w:ilvl w:val="0"/>
          <w:numId w:val="114"/>
        </w:numPr>
        <w:autoSpaceDE w:val="0"/>
        <w:autoSpaceDN w:val="0"/>
        <w:adjustRightInd w:val="0"/>
        <w:spacing w:after="0" w:line="240" w:lineRule="auto"/>
        <w:rPr>
          <w:rFonts w:ascii="Arial" w:eastAsia="Arial Unicode MS" w:hAnsi="Arial" w:cs="Arial"/>
          <w:sz w:val="20"/>
          <w:szCs w:val="20"/>
          <w:lang w:val="en-US"/>
        </w:rPr>
      </w:pPr>
      <w:r w:rsidRPr="00C70473">
        <w:rPr>
          <w:rFonts w:ascii="Arial" w:eastAsia="Arial Unicode MS" w:hAnsi="Arial" w:cs="Arial"/>
          <w:sz w:val="20"/>
          <w:szCs w:val="20"/>
          <w:lang w:val="en-US"/>
        </w:rPr>
        <w:t>Appointment of the Critical Infrastructure Council;</w:t>
      </w:r>
    </w:p>
    <w:p w:rsidR="00895CA5" w:rsidRPr="00C70473" w:rsidRDefault="00895CA5" w:rsidP="00C70473">
      <w:pPr>
        <w:pStyle w:val="ListParagraph"/>
        <w:numPr>
          <w:ilvl w:val="0"/>
          <w:numId w:val="114"/>
        </w:numPr>
        <w:autoSpaceDE w:val="0"/>
        <w:autoSpaceDN w:val="0"/>
        <w:adjustRightInd w:val="0"/>
        <w:spacing w:after="0" w:line="240" w:lineRule="auto"/>
        <w:rPr>
          <w:rFonts w:ascii="Arial" w:eastAsia="Arial Unicode MS" w:hAnsi="Arial" w:cs="Arial"/>
          <w:sz w:val="20"/>
          <w:szCs w:val="20"/>
          <w:lang w:val="en-US"/>
        </w:rPr>
      </w:pPr>
      <w:r w:rsidRPr="00C70473">
        <w:rPr>
          <w:rFonts w:ascii="Arial" w:eastAsia="Arial Unicode MS" w:hAnsi="Arial" w:cs="Arial"/>
          <w:sz w:val="20"/>
          <w:szCs w:val="20"/>
          <w:lang w:val="en-US"/>
        </w:rPr>
        <w:t>Reduction of the backlog in the Forensic Science Laboratory Component;</w:t>
      </w:r>
    </w:p>
    <w:p w:rsidR="00895CA5" w:rsidRPr="00C70473" w:rsidRDefault="00895CA5" w:rsidP="00C70473">
      <w:pPr>
        <w:pStyle w:val="ListParagraph"/>
        <w:numPr>
          <w:ilvl w:val="0"/>
          <w:numId w:val="114"/>
        </w:numPr>
        <w:autoSpaceDE w:val="0"/>
        <w:autoSpaceDN w:val="0"/>
        <w:adjustRightInd w:val="0"/>
        <w:spacing w:after="0" w:line="240" w:lineRule="auto"/>
        <w:rPr>
          <w:rFonts w:ascii="Arial" w:eastAsia="Arial Unicode MS" w:hAnsi="Arial" w:cs="Arial"/>
          <w:sz w:val="20"/>
          <w:szCs w:val="20"/>
          <w:lang w:val="en-US"/>
        </w:rPr>
      </w:pPr>
      <w:r w:rsidRPr="00C70473">
        <w:rPr>
          <w:rFonts w:ascii="Arial" w:eastAsia="Arial Unicode MS" w:hAnsi="Arial" w:cs="Arial"/>
          <w:sz w:val="20"/>
          <w:szCs w:val="20"/>
          <w:lang w:val="en-US"/>
        </w:rPr>
        <w:t>Reduction in backlog in the Central Firearm Registry (CFR);</w:t>
      </w:r>
    </w:p>
    <w:p w:rsidR="00895CA5" w:rsidRPr="00C70473" w:rsidRDefault="00895CA5" w:rsidP="00C70473">
      <w:pPr>
        <w:pStyle w:val="ListParagraph"/>
        <w:numPr>
          <w:ilvl w:val="0"/>
          <w:numId w:val="114"/>
        </w:numPr>
        <w:autoSpaceDE w:val="0"/>
        <w:autoSpaceDN w:val="0"/>
        <w:adjustRightInd w:val="0"/>
        <w:spacing w:after="0" w:line="240" w:lineRule="auto"/>
        <w:rPr>
          <w:rFonts w:ascii="Arial" w:eastAsia="Arial Unicode MS" w:hAnsi="Arial" w:cs="Arial"/>
          <w:sz w:val="20"/>
          <w:szCs w:val="20"/>
          <w:lang w:val="en-US"/>
        </w:rPr>
      </w:pPr>
      <w:r w:rsidRPr="00C70473">
        <w:rPr>
          <w:rFonts w:ascii="Arial" w:eastAsia="Arial Unicode MS" w:hAnsi="Arial" w:cs="Arial"/>
          <w:sz w:val="20"/>
          <w:szCs w:val="20"/>
          <w:lang w:val="en-US"/>
        </w:rPr>
        <w:t xml:space="preserve">Discipline management in the SAPS and implementation of recommendations by the Independent Police Investigative Directorate (IPID); </w:t>
      </w:r>
    </w:p>
    <w:p w:rsidR="00895CA5" w:rsidRPr="00C70473" w:rsidRDefault="00895CA5" w:rsidP="00C70473">
      <w:pPr>
        <w:pStyle w:val="ListParagraph"/>
        <w:numPr>
          <w:ilvl w:val="0"/>
          <w:numId w:val="114"/>
        </w:numPr>
        <w:autoSpaceDE w:val="0"/>
        <w:autoSpaceDN w:val="0"/>
        <w:adjustRightInd w:val="0"/>
        <w:spacing w:after="0" w:line="240" w:lineRule="auto"/>
        <w:rPr>
          <w:rFonts w:ascii="Arial" w:eastAsia="Arial Unicode MS" w:hAnsi="Arial" w:cs="Arial"/>
          <w:sz w:val="20"/>
          <w:szCs w:val="20"/>
          <w:lang w:val="en-US"/>
        </w:rPr>
      </w:pPr>
      <w:r w:rsidRPr="00C70473">
        <w:rPr>
          <w:rFonts w:ascii="Arial" w:eastAsia="Arial Unicode MS" w:hAnsi="Arial" w:cs="Arial"/>
          <w:sz w:val="20"/>
          <w:szCs w:val="20"/>
          <w:lang w:val="en-US"/>
        </w:rPr>
        <w:t xml:space="preserve">July 2021 Unrest that affected areas of KwaZulu-Natal and Gauteng; </w:t>
      </w:r>
    </w:p>
    <w:p w:rsidR="00895CA5" w:rsidRPr="00C70473" w:rsidRDefault="00895CA5" w:rsidP="00C70473">
      <w:pPr>
        <w:pStyle w:val="ListParagraph"/>
        <w:numPr>
          <w:ilvl w:val="0"/>
          <w:numId w:val="114"/>
        </w:numPr>
        <w:autoSpaceDE w:val="0"/>
        <w:autoSpaceDN w:val="0"/>
        <w:adjustRightInd w:val="0"/>
        <w:spacing w:after="0" w:line="240" w:lineRule="auto"/>
        <w:rPr>
          <w:rFonts w:ascii="Arial" w:eastAsia="Arial Unicode MS" w:hAnsi="Arial" w:cs="Arial"/>
          <w:sz w:val="20"/>
          <w:szCs w:val="20"/>
          <w:lang w:val="en-US"/>
        </w:rPr>
      </w:pPr>
      <w:r w:rsidRPr="00C70473">
        <w:rPr>
          <w:rFonts w:ascii="Arial" w:eastAsia="Arial Unicode MS" w:hAnsi="Arial" w:cs="Arial"/>
          <w:sz w:val="20"/>
          <w:szCs w:val="20"/>
          <w:lang w:val="en-US"/>
        </w:rPr>
        <w:t xml:space="preserve">SAPS Organisational Structure and Stability; </w:t>
      </w:r>
    </w:p>
    <w:p w:rsidR="00895CA5" w:rsidRPr="00C70473" w:rsidRDefault="00895CA5" w:rsidP="00C70473">
      <w:pPr>
        <w:pStyle w:val="ListParagraph"/>
        <w:numPr>
          <w:ilvl w:val="0"/>
          <w:numId w:val="114"/>
        </w:numPr>
        <w:autoSpaceDE w:val="0"/>
        <w:autoSpaceDN w:val="0"/>
        <w:adjustRightInd w:val="0"/>
        <w:spacing w:after="0" w:line="240" w:lineRule="auto"/>
        <w:rPr>
          <w:rFonts w:ascii="Arial" w:eastAsia="Arial Unicode MS" w:hAnsi="Arial" w:cs="Arial"/>
          <w:sz w:val="20"/>
          <w:szCs w:val="20"/>
          <w:lang w:val="en-US"/>
        </w:rPr>
      </w:pPr>
      <w:r w:rsidRPr="00C70473">
        <w:rPr>
          <w:rFonts w:ascii="Arial" w:eastAsia="Arial Unicode MS" w:hAnsi="Arial" w:cs="Arial"/>
          <w:sz w:val="20"/>
          <w:szCs w:val="20"/>
          <w:lang w:val="en-US"/>
        </w:rPr>
        <w:t xml:space="preserve">Western Cape Community Policing Forums (CPFs); </w:t>
      </w:r>
    </w:p>
    <w:p w:rsidR="00895CA5" w:rsidRPr="00C70473" w:rsidRDefault="00895CA5" w:rsidP="00C70473">
      <w:pPr>
        <w:pStyle w:val="ListParagraph"/>
        <w:numPr>
          <w:ilvl w:val="0"/>
          <w:numId w:val="114"/>
        </w:numPr>
        <w:autoSpaceDE w:val="0"/>
        <w:autoSpaceDN w:val="0"/>
        <w:adjustRightInd w:val="0"/>
        <w:spacing w:after="0" w:line="240" w:lineRule="auto"/>
        <w:rPr>
          <w:rFonts w:ascii="Arial" w:eastAsia="Arial Unicode MS" w:hAnsi="Arial" w:cs="Arial"/>
          <w:sz w:val="20"/>
          <w:szCs w:val="20"/>
          <w:lang w:val="en-US"/>
        </w:rPr>
      </w:pPr>
      <w:r w:rsidRPr="00C70473">
        <w:rPr>
          <w:rFonts w:ascii="Arial" w:eastAsia="Arial Unicode MS" w:hAnsi="Arial" w:cs="Arial"/>
          <w:sz w:val="20"/>
          <w:szCs w:val="20"/>
          <w:lang w:val="en-US"/>
        </w:rPr>
        <w:t>Panel of Experts Report on Policing and Crowd Management;</w:t>
      </w:r>
    </w:p>
    <w:p w:rsidR="00895CA5" w:rsidRPr="00C70473" w:rsidRDefault="00895CA5" w:rsidP="00C70473">
      <w:pPr>
        <w:pStyle w:val="ListParagraph"/>
        <w:numPr>
          <w:ilvl w:val="0"/>
          <w:numId w:val="114"/>
        </w:numPr>
        <w:autoSpaceDE w:val="0"/>
        <w:autoSpaceDN w:val="0"/>
        <w:adjustRightInd w:val="0"/>
        <w:spacing w:after="0" w:line="240" w:lineRule="auto"/>
        <w:rPr>
          <w:rFonts w:ascii="Arial" w:eastAsia="Arial Unicode MS" w:hAnsi="Arial" w:cs="Arial"/>
          <w:sz w:val="20"/>
          <w:szCs w:val="20"/>
          <w:lang w:val="en-US"/>
        </w:rPr>
      </w:pPr>
      <w:r w:rsidRPr="00C70473">
        <w:rPr>
          <w:rFonts w:ascii="Arial" w:eastAsia="Arial Unicode MS" w:hAnsi="Arial" w:cs="Arial"/>
          <w:sz w:val="20"/>
          <w:szCs w:val="20"/>
          <w:lang w:val="en-US"/>
        </w:rPr>
        <w:lastRenderedPageBreak/>
        <w:t xml:space="preserve">Crime Statistics; </w:t>
      </w:r>
    </w:p>
    <w:p w:rsidR="00895CA5" w:rsidRPr="00C70473" w:rsidRDefault="00895CA5" w:rsidP="00C70473">
      <w:pPr>
        <w:pStyle w:val="ListParagraph"/>
        <w:numPr>
          <w:ilvl w:val="0"/>
          <w:numId w:val="114"/>
        </w:numPr>
        <w:autoSpaceDE w:val="0"/>
        <w:autoSpaceDN w:val="0"/>
        <w:adjustRightInd w:val="0"/>
        <w:spacing w:after="0" w:line="240" w:lineRule="auto"/>
        <w:rPr>
          <w:rFonts w:ascii="Arial" w:eastAsia="Arial Unicode MS" w:hAnsi="Arial" w:cs="Arial"/>
          <w:sz w:val="20"/>
          <w:szCs w:val="20"/>
          <w:lang w:val="en-US"/>
        </w:rPr>
      </w:pPr>
      <w:r w:rsidRPr="00C70473">
        <w:rPr>
          <w:rFonts w:ascii="Arial" w:eastAsia="Arial Unicode MS" w:hAnsi="Arial" w:cs="Arial"/>
          <w:sz w:val="20"/>
          <w:szCs w:val="20"/>
          <w:lang w:val="en-US"/>
        </w:rPr>
        <w:t xml:space="preserve">Criminal Law (Forensic Procedures) Amendment Bill; and </w:t>
      </w:r>
    </w:p>
    <w:p w:rsidR="00895CA5" w:rsidRPr="00C70473" w:rsidRDefault="00895CA5" w:rsidP="00C70473">
      <w:pPr>
        <w:pStyle w:val="ListParagraph"/>
        <w:numPr>
          <w:ilvl w:val="0"/>
          <w:numId w:val="114"/>
        </w:numPr>
        <w:autoSpaceDE w:val="0"/>
        <w:autoSpaceDN w:val="0"/>
        <w:adjustRightInd w:val="0"/>
        <w:spacing w:after="0" w:line="240" w:lineRule="auto"/>
        <w:rPr>
          <w:rFonts w:ascii="Arial" w:eastAsia="Arial Unicode MS" w:hAnsi="Arial" w:cs="Arial"/>
          <w:sz w:val="20"/>
          <w:szCs w:val="20"/>
          <w:lang w:val="en-US"/>
        </w:rPr>
      </w:pPr>
      <w:r w:rsidRPr="00C70473">
        <w:rPr>
          <w:rFonts w:ascii="Arial" w:eastAsia="Arial Unicode MS" w:hAnsi="Arial" w:cs="Arial"/>
          <w:sz w:val="20"/>
          <w:szCs w:val="20"/>
          <w:lang w:val="en-US"/>
        </w:rPr>
        <w:t xml:space="preserve">Underspending on the SAPS budget. </w:t>
      </w:r>
    </w:p>
    <w:p w:rsidR="00507424" w:rsidRPr="00C70473" w:rsidRDefault="00507424" w:rsidP="00C70473">
      <w:pPr>
        <w:autoSpaceDE w:val="0"/>
        <w:autoSpaceDN w:val="0"/>
        <w:adjustRightInd w:val="0"/>
        <w:spacing w:after="0" w:line="240" w:lineRule="auto"/>
        <w:rPr>
          <w:rFonts w:ascii="Arial" w:eastAsia="Arial Unicode MS" w:hAnsi="Arial" w:cs="Arial"/>
          <w:sz w:val="20"/>
          <w:szCs w:val="20"/>
          <w:lang w:val="en-US"/>
        </w:rPr>
      </w:pPr>
    </w:p>
    <w:p w:rsidR="004F27D3" w:rsidRPr="00C70473" w:rsidRDefault="004F27D3" w:rsidP="00C70473">
      <w:pPr>
        <w:pStyle w:val="Heading1"/>
        <w:numPr>
          <w:ilvl w:val="0"/>
          <w:numId w:val="66"/>
        </w:numPr>
        <w:spacing w:before="0" w:line="240" w:lineRule="auto"/>
        <w:jc w:val="left"/>
        <w:rPr>
          <w:rFonts w:ascii="Arial" w:hAnsi="Arial" w:cs="Arial"/>
          <w:sz w:val="20"/>
          <w:szCs w:val="20"/>
          <w:lang w:eastAsia="en-ZA"/>
        </w:rPr>
      </w:pPr>
      <w:r w:rsidRPr="00C70473">
        <w:rPr>
          <w:rFonts w:ascii="Arial" w:hAnsi="Arial" w:cs="Arial"/>
          <w:sz w:val="20"/>
          <w:szCs w:val="20"/>
          <w:lang w:eastAsia="en-ZA"/>
        </w:rPr>
        <w:t xml:space="preserve">REPORT OF THE AUDITOR-GENERAL OF SOUTH AFRICA (AGSA) </w:t>
      </w:r>
    </w:p>
    <w:p w:rsidR="00680886" w:rsidRPr="00C70473" w:rsidRDefault="00680886" w:rsidP="00C70473">
      <w:pPr>
        <w:autoSpaceDE w:val="0"/>
        <w:autoSpaceDN w:val="0"/>
        <w:adjustRightInd w:val="0"/>
        <w:spacing w:after="0" w:line="240" w:lineRule="auto"/>
        <w:rPr>
          <w:rFonts w:ascii="Arial" w:eastAsia="Times New Roman" w:hAnsi="Arial" w:cs="Arial"/>
          <w:sz w:val="20"/>
          <w:szCs w:val="20"/>
          <w:lang w:eastAsia="en-ZA"/>
        </w:rPr>
      </w:pPr>
    </w:p>
    <w:p w:rsidR="00587F48" w:rsidRPr="00C70473" w:rsidRDefault="00587F48" w:rsidP="00C70473">
      <w:pPr>
        <w:autoSpaceDE w:val="0"/>
        <w:autoSpaceDN w:val="0"/>
        <w:adjustRightInd w:val="0"/>
        <w:spacing w:after="0" w:line="240" w:lineRule="auto"/>
        <w:rPr>
          <w:rFonts w:ascii="Arial" w:hAnsi="Arial" w:cs="Arial"/>
          <w:sz w:val="20"/>
          <w:szCs w:val="20"/>
          <w:lang w:val="en-US"/>
        </w:rPr>
      </w:pPr>
      <w:r w:rsidRPr="00C70473">
        <w:rPr>
          <w:rFonts w:ascii="Arial" w:hAnsi="Arial" w:cs="Arial"/>
          <w:sz w:val="20"/>
          <w:szCs w:val="20"/>
        </w:rPr>
        <w:t xml:space="preserve">The Department </w:t>
      </w:r>
      <w:r w:rsidRPr="00C70473">
        <w:rPr>
          <w:rFonts w:ascii="Arial" w:hAnsi="Arial" w:cs="Arial"/>
          <w:sz w:val="20"/>
          <w:szCs w:val="20"/>
          <w:lang w:val="en-US"/>
        </w:rPr>
        <w:t xml:space="preserve">received an </w:t>
      </w:r>
      <w:r w:rsidRPr="00C70473">
        <w:rPr>
          <w:rFonts w:ascii="Arial" w:hAnsi="Arial" w:cs="Arial"/>
          <w:b/>
          <w:sz w:val="20"/>
          <w:szCs w:val="20"/>
          <w:lang w:val="en-US"/>
        </w:rPr>
        <w:t>unqualified audit with four matters of emphasis</w:t>
      </w:r>
      <w:r w:rsidRPr="00C70473">
        <w:rPr>
          <w:rFonts w:ascii="Arial" w:hAnsi="Arial" w:cs="Arial"/>
          <w:sz w:val="20"/>
          <w:szCs w:val="20"/>
          <w:lang w:val="en-US"/>
        </w:rPr>
        <w:t xml:space="preserve"> in 2021/22. The Department had qualified audits between 2016/17 and 2019/20. </w:t>
      </w:r>
    </w:p>
    <w:p w:rsidR="00587F48" w:rsidRPr="00C70473" w:rsidRDefault="00587F48" w:rsidP="00C70473">
      <w:pPr>
        <w:autoSpaceDE w:val="0"/>
        <w:autoSpaceDN w:val="0"/>
        <w:adjustRightInd w:val="0"/>
        <w:spacing w:after="0" w:line="240" w:lineRule="auto"/>
        <w:rPr>
          <w:rFonts w:ascii="Arial" w:hAnsi="Arial" w:cs="Arial"/>
          <w:sz w:val="20"/>
          <w:szCs w:val="20"/>
          <w:lang w:val="en-US"/>
        </w:rPr>
      </w:pPr>
    </w:p>
    <w:p w:rsidR="00587F48" w:rsidRPr="00C70473" w:rsidRDefault="00587F48" w:rsidP="00C70473">
      <w:pPr>
        <w:pStyle w:val="Heading2"/>
        <w:numPr>
          <w:ilvl w:val="1"/>
          <w:numId w:val="66"/>
        </w:numPr>
        <w:spacing w:before="0" w:line="240" w:lineRule="auto"/>
        <w:rPr>
          <w:rFonts w:ascii="Arial" w:hAnsi="Arial" w:cs="Arial"/>
          <w:sz w:val="20"/>
          <w:szCs w:val="20"/>
          <w:lang w:val="en-US"/>
        </w:rPr>
      </w:pPr>
      <w:r w:rsidRPr="00C70473">
        <w:rPr>
          <w:rFonts w:ascii="Arial" w:hAnsi="Arial" w:cs="Arial"/>
          <w:sz w:val="20"/>
          <w:szCs w:val="20"/>
          <w:lang w:val="en-US"/>
        </w:rPr>
        <w:t xml:space="preserve">Matters of emphasis </w:t>
      </w:r>
    </w:p>
    <w:p w:rsidR="00587F48" w:rsidRPr="00C70473" w:rsidRDefault="00587F48" w:rsidP="00C70473">
      <w:pPr>
        <w:autoSpaceDE w:val="0"/>
        <w:autoSpaceDN w:val="0"/>
        <w:adjustRightInd w:val="0"/>
        <w:spacing w:after="0" w:line="240" w:lineRule="auto"/>
        <w:rPr>
          <w:rFonts w:ascii="Arial" w:hAnsi="Arial" w:cs="Arial"/>
          <w:sz w:val="20"/>
          <w:szCs w:val="20"/>
          <w:lang w:val="en-US"/>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The matters of emphasis include: </w:t>
      </w:r>
    </w:p>
    <w:p w:rsidR="00587F48" w:rsidRPr="00C70473" w:rsidRDefault="00587F48" w:rsidP="00C70473">
      <w:pPr>
        <w:autoSpaceDE w:val="0"/>
        <w:autoSpaceDN w:val="0"/>
        <w:adjustRightInd w:val="0"/>
        <w:spacing w:after="0" w:line="240" w:lineRule="auto"/>
        <w:rPr>
          <w:rFonts w:ascii="Arial" w:hAnsi="Arial" w:cs="Arial"/>
          <w:sz w:val="20"/>
          <w:szCs w:val="20"/>
          <w:lang w:val="en-US"/>
        </w:rPr>
      </w:pPr>
    </w:p>
    <w:p w:rsidR="00587F48" w:rsidRPr="00C70473" w:rsidRDefault="00587F48" w:rsidP="00C70473">
      <w:pPr>
        <w:pStyle w:val="ListParagraph"/>
        <w:numPr>
          <w:ilvl w:val="0"/>
          <w:numId w:val="67"/>
        </w:numPr>
        <w:autoSpaceDE w:val="0"/>
        <w:autoSpaceDN w:val="0"/>
        <w:adjustRightInd w:val="0"/>
        <w:spacing w:after="0" w:line="240" w:lineRule="auto"/>
        <w:rPr>
          <w:rFonts w:ascii="Arial" w:hAnsi="Arial" w:cs="Arial"/>
          <w:sz w:val="20"/>
          <w:szCs w:val="20"/>
        </w:rPr>
      </w:pPr>
      <w:r w:rsidRPr="00C70473">
        <w:rPr>
          <w:rFonts w:ascii="Arial" w:hAnsi="Arial" w:cs="Arial"/>
          <w:b/>
          <w:sz w:val="20"/>
          <w:szCs w:val="20"/>
        </w:rPr>
        <w:t>Significant uncertainties:</w:t>
      </w:r>
      <w:r w:rsidRPr="00C70473">
        <w:rPr>
          <w:rFonts w:ascii="Arial" w:hAnsi="Arial" w:cs="Arial"/>
          <w:sz w:val="20"/>
          <w:szCs w:val="20"/>
        </w:rPr>
        <w:t xml:space="preserve"> The SAPS is a defendant in a number of lawsuits. The ultimate outcome of these matters cannot be determined and no provision for any liability that may result was made in the financial statements. </w:t>
      </w:r>
      <w:r w:rsidRPr="00C70473">
        <w:rPr>
          <w:rFonts w:ascii="Arial" w:hAnsi="Arial" w:cs="Arial"/>
          <w:b/>
          <w:sz w:val="20"/>
          <w:szCs w:val="20"/>
        </w:rPr>
        <w:t xml:space="preserve">Repeat finding. </w:t>
      </w:r>
    </w:p>
    <w:p w:rsidR="00587F48" w:rsidRPr="00C70473" w:rsidRDefault="00587F48" w:rsidP="00C70473">
      <w:pPr>
        <w:pStyle w:val="ListParagraph"/>
        <w:autoSpaceDE w:val="0"/>
        <w:autoSpaceDN w:val="0"/>
        <w:adjustRightInd w:val="0"/>
        <w:spacing w:after="0" w:line="240" w:lineRule="auto"/>
        <w:rPr>
          <w:rFonts w:ascii="Arial" w:hAnsi="Arial" w:cs="Arial"/>
          <w:sz w:val="20"/>
          <w:szCs w:val="20"/>
        </w:rPr>
      </w:pPr>
    </w:p>
    <w:p w:rsidR="00587F48" w:rsidRPr="00C70473" w:rsidRDefault="00587F48" w:rsidP="00C70473">
      <w:pPr>
        <w:pStyle w:val="ListParagraph"/>
        <w:numPr>
          <w:ilvl w:val="0"/>
          <w:numId w:val="67"/>
        </w:numPr>
        <w:autoSpaceDE w:val="0"/>
        <w:autoSpaceDN w:val="0"/>
        <w:adjustRightInd w:val="0"/>
        <w:spacing w:after="0" w:line="240" w:lineRule="auto"/>
        <w:rPr>
          <w:rFonts w:ascii="Arial" w:hAnsi="Arial" w:cs="Arial"/>
          <w:sz w:val="20"/>
          <w:szCs w:val="20"/>
        </w:rPr>
      </w:pPr>
      <w:r w:rsidRPr="00C70473">
        <w:rPr>
          <w:rFonts w:ascii="Arial" w:hAnsi="Arial" w:cs="Arial"/>
          <w:b/>
          <w:sz w:val="20"/>
          <w:szCs w:val="20"/>
        </w:rPr>
        <w:t>Significant subsequent event:</w:t>
      </w:r>
      <w:r w:rsidRPr="00C70473">
        <w:rPr>
          <w:rFonts w:ascii="Arial" w:hAnsi="Arial" w:cs="Arial"/>
          <w:sz w:val="20"/>
          <w:szCs w:val="20"/>
        </w:rPr>
        <w:t xml:space="preserve"> A total of 30 police stations/buildings were affected by the floods that took place in KwaZulu-Natal during April 2022 (6 devolved, 2 are leased facilities and 22 non-devolved which have been reported to the Department of Public Works and Infrastructure). Two police stations were also affected by fire after March 2022. </w:t>
      </w:r>
      <w:r w:rsidRPr="00C70473">
        <w:rPr>
          <w:rFonts w:ascii="Arial" w:hAnsi="Arial" w:cs="Arial"/>
          <w:sz w:val="20"/>
          <w:szCs w:val="20"/>
          <w:u w:val="single"/>
        </w:rPr>
        <w:t>An estimate of the financial effect is not yet determined.</w:t>
      </w:r>
      <w:r w:rsidRPr="00C70473">
        <w:rPr>
          <w:rFonts w:ascii="Arial" w:hAnsi="Arial" w:cs="Arial"/>
          <w:sz w:val="20"/>
          <w:szCs w:val="20"/>
        </w:rPr>
        <w:t xml:space="preserve">  </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pStyle w:val="ListParagraph"/>
        <w:numPr>
          <w:ilvl w:val="0"/>
          <w:numId w:val="67"/>
        </w:numPr>
        <w:autoSpaceDE w:val="0"/>
        <w:autoSpaceDN w:val="0"/>
        <w:adjustRightInd w:val="0"/>
        <w:spacing w:after="0" w:line="240" w:lineRule="auto"/>
        <w:rPr>
          <w:rFonts w:ascii="Arial" w:hAnsi="Arial" w:cs="Arial"/>
          <w:sz w:val="20"/>
          <w:szCs w:val="20"/>
        </w:rPr>
      </w:pPr>
      <w:r w:rsidRPr="00C70473">
        <w:rPr>
          <w:rFonts w:ascii="Arial" w:hAnsi="Arial" w:cs="Arial"/>
          <w:b/>
          <w:sz w:val="20"/>
          <w:szCs w:val="20"/>
        </w:rPr>
        <w:t>Restatement of corresponding figure:</w:t>
      </w:r>
      <w:r w:rsidRPr="00C70473">
        <w:rPr>
          <w:rFonts w:ascii="Arial" w:hAnsi="Arial" w:cs="Arial"/>
          <w:sz w:val="20"/>
          <w:szCs w:val="20"/>
        </w:rPr>
        <w:t xml:space="preserve"> As disclosed in financial statement notes, corresponding figures for 31 March 2021 were restated as a result of an error in the financial statements of the department at, and for the year ended, 31 March 2022.</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pStyle w:val="ListParagraph"/>
        <w:numPr>
          <w:ilvl w:val="0"/>
          <w:numId w:val="67"/>
        </w:numPr>
        <w:autoSpaceDE w:val="0"/>
        <w:autoSpaceDN w:val="0"/>
        <w:adjustRightInd w:val="0"/>
        <w:spacing w:after="0" w:line="240" w:lineRule="auto"/>
        <w:rPr>
          <w:rFonts w:ascii="Arial" w:hAnsi="Arial" w:cs="Arial"/>
          <w:sz w:val="20"/>
          <w:szCs w:val="20"/>
        </w:rPr>
      </w:pPr>
      <w:r w:rsidRPr="00C70473">
        <w:rPr>
          <w:rFonts w:ascii="Arial" w:hAnsi="Arial" w:cs="Arial"/>
          <w:b/>
          <w:sz w:val="20"/>
          <w:szCs w:val="20"/>
        </w:rPr>
        <w:t>Fruitless and wasteful expenditure:</w:t>
      </w:r>
      <w:r w:rsidRPr="00C70473">
        <w:rPr>
          <w:rFonts w:ascii="Arial" w:hAnsi="Arial" w:cs="Arial"/>
          <w:sz w:val="20"/>
          <w:szCs w:val="20"/>
        </w:rPr>
        <w:t xml:space="preserve"> Fruitless and wasteful expenditure of R1.8 billion is still under assessment to determine whether it meets the definition. </w:t>
      </w:r>
    </w:p>
    <w:p w:rsidR="00587F48" w:rsidRPr="00C70473" w:rsidRDefault="00587F48" w:rsidP="00C70473">
      <w:pPr>
        <w:autoSpaceDE w:val="0"/>
        <w:autoSpaceDN w:val="0"/>
        <w:adjustRightInd w:val="0"/>
        <w:spacing w:after="0" w:line="240" w:lineRule="auto"/>
        <w:rPr>
          <w:rFonts w:ascii="Arial" w:hAnsi="Arial" w:cs="Arial"/>
          <w:b/>
          <w:sz w:val="20"/>
          <w:szCs w:val="20"/>
        </w:rPr>
      </w:pPr>
    </w:p>
    <w:p w:rsidR="00587F48" w:rsidRPr="00C70473" w:rsidRDefault="00587F48" w:rsidP="00C70473">
      <w:pPr>
        <w:pStyle w:val="Heading2"/>
        <w:numPr>
          <w:ilvl w:val="1"/>
          <w:numId w:val="66"/>
        </w:numPr>
        <w:spacing w:before="0" w:line="240" w:lineRule="auto"/>
        <w:rPr>
          <w:rFonts w:ascii="Arial" w:hAnsi="Arial" w:cs="Arial"/>
          <w:sz w:val="20"/>
          <w:szCs w:val="20"/>
        </w:rPr>
      </w:pPr>
      <w:r w:rsidRPr="00C70473">
        <w:rPr>
          <w:rFonts w:ascii="Arial" w:hAnsi="Arial" w:cs="Arial"/>
          <w:sz w:val="20"/>
          <w:szCs w:val="20"/>
        </w:rPr>
        <w:t>Report on the audit of the Annual Performance Report</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The AG evaluates the usefulness and reliability of the reported performance information in accordance with the criteria developed from the performance management and reporting framework for the following selected programme presented in the annual performance report of the SAPS for the year ended 31 March 2022:</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b/>
          <w:sz w:val="20"/>
          <w:szCs w:val="20"/>
        </w:rPr>
      </w:pPr>
      <w:r w:rsidRPr="00C70473">
        <w:rPr>
          <w:rFonts w:ascii="Arial" w:hAnsi="Arial" w:cs="Arial"/>
          <w:b/>
          <w:sz w:val="20"/>
          <w:szCs w:val="20"/>
        </w:rPr>
        <w:t>The material findings in respect of the usefulness and reliability of the Visible Policing Programme are as follows:</w:t>
      </w:r>
    </w:p>
    <w:p w:rsidR="00587F48" w:rsidRPr="00C70473" w:rsidRDefault="00587F48" w:rsidP="00C70473">
      <w:pPr>
        <w:autoSpaceDE w:val="0"/>
        <w:autoSpaceDN w:val="0"/>
        <w:adjustRightInd w:val="0"/>
        <w:spacing w:after="0" w:line="240" w:lineRule="auto"/>
        <w:rPr>
          <w:rFonts w:ascii="Arial" w:hAnsi="Arial" w:cs="Arial"/>
          <w:b/>
          <w:bCs/>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According to the AG, the achievement in the Annual Report did not agree with the supporting evidence provided for the indicators listed below and showed material differences in the </w:t>
      </w:r>
      <w:r w:rsidRPr="00C70473">
        <w:rPr>
          <w:rFonts w:ascii="Arial" w:hAnsi="Arial" w:cs="Arial"/>
          <w:b/>
          <w:sz w:val="20"/>
          <w:szCs w:val="20"/>
        </w:rPr>
        <w:t>Visible Policing Programme</w:t>
      </w:r>
      <w:r w:rsidRPr="00C70473">
        <w:rPr>
          <w:rFonts w:ascii="Arial" w:hAnsi="Arial" w:cs="Arial"/>
          <w:sz w:val="20"/>
          <w:szCs w:val="20"/>
        </w:rPr>
        <w:t xml:space="preserve"> </w:t>
      </w:r>
      <w:r w:rsidRPr="00C70473">
        <w:rPr>
          <w:rFonts w:ascii="Arial" w:hAnsi="Arial" w:cs="Arial"/>
          <w:b/>
          <w:sz w:val="20"/>
          <w:szCs w:val="20"/>
        </w:rPr>
        <w:t>(all repeat findings)</w:t>
      </w:r>
      <w:r w:rsidRPr="00C70473">
        <w:rPr>
          <w:rFonts w:ascii="Arial" w:hAnsi="Arial" w:cs="Arial"/>
          <w:sz w:val="20"/>
          <w:szCs w:val="20"/>
        </w:rPr>
        <w:t xml:space="preserve">: </w:t>
      </w:r>
    </w:p>
    <w:p w:rsidR="00587F48" w:rsidRPr="00C70473" w:rsidRDefault="00587F48" w:rsidP="00C70473">
      <w:pPr>
        <w:pStyle w:val="ListParagraph"/>
        <w:numPr>
          <w:ilvl w:val="0"/>
          <w:numId w:val="68"/>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Percentage reduction in the number of contact crimes</w:t>
      </w:r>
    </w:p>
    <w:p w:rsidR="00587F48" w:rsidRPr="00C70473" w:rsidRDefault="00587F48" w:rsidP="00C70473">
      <w:pPr>
        <w:pStyle w:val="ListParagraph"/>
        <w:numPr>
          <w:ilvl w:val="0"/>
          <w:numId w:val="68"/>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Number of reported contact crimes at the identified 30 high crime weight station</w:t>
      </w:r>
    </w:p>
    <w:p w:rsidR="00587F48" w:rsidRPr="00C70473" w:rsidRDefault="00587F48" w:rsidP="00C70473">
      <w:pPr>
        <w:pStyle w:val="ListParagraph"/>
        <w:numPr>
          <w:ilvl w:val="0"/>
          <w:numId w:val="68"/>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Percentage reduction in the number of contact crimes against women (18 years and above)</w:t>
      </w:r>
    </w:p>
    <w:p w:rsidR="00587F48" w:rsidRPr="00C70473" w:rsidRDefault="00587F48" w:rsidP="00C70473">
      <w:pPr>
        <w:pStyle w:val="ListParagraph"/>
        <w:numPr>
          <w:ilvl w:val="0"/>
          <w:numId w:val="68"/>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Percentage reduction in the number of contact crimes against children (18 years and below)</w:t>
      </w:r>
    </w:p>
    <w:p w:rsidR="00587F48" w:rsidRPr="00C70473" w:rsidRDefault="00587F48" w:rsidP="00C70473">
      <w:pPr>
        <w:pStyle w:val="ListParagraph"/>
        <w:numPr>
          <w:ilvl w:val="0"/>
          <w:numId w:val="68"/>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Number of stolen or lost and illegal firearms recovered</w:t>
      </w:r>
    </w:p>
    <w:p w:rsidR="00587F48" w:rsidRPr="00C70473" w:rsidRDefault="00587F48" w:rsidP="00C70473">
      <w:pPr>
        <w:pStyle w:val="ListParagraph"/>
        <w:numPr>
          <w:ilvl w:val="0"/>
          <w:numId w:val="68"/>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Number of identifiable stolen or lost SAPS firearms recovered</w:t>
      </w:r>
    </w:p>
    <w:p w:rsidR="00587F48" w:rsidRPr="00C70473" w:rsidRDefault="00587F48" w:rsidP="00C70473">
      <w:pPr>
        <w:pStyle w:val="ListParagraph"/>
        <w:numPr>
          <w:ilvl w:val="0"/>
          <w:numId w:val="68"/>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Percentage of identified illegal liquor outlets closed </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According to the AG, the achievement in the Annual Report did not agree with the supporting evidence provided for the indicators listed below and showed material differences in the </w:t>
      </w:r>
      <w:r w:rsidRPr="00C70473">
        <w:rPr>
          <w:rFonts w:ascii="Arial" w:hAnsi="Arial" w:cs="Arial"/>
          <w:b/>
          <w:sz w:val="20"/>
          <w:szCs w:val="20"/>
        </w:rPr>
        <w:t>Detective Services Programme:</w:t>
      </w:r>
      <w:r w:rsidRPr="00C70473">
        <w:rPr>
          <w:rFonts w:ascii="Arial" w:hAnsi="Arial" w:cs="Arial"/>
          <w:sz w:val="20"/>
          <w:szCs w:val="20"/>
        </w:rPr>
        <w:t xml:space="preserve"> </w:t>
      </w:r>
    </w:p>
    <w:p w:rsidR="00587F48" w:rsidRPr="00C70473" w:rsidRDefault="00587F48" w:rsidP="00C70473">
      <w:pPr>
        <w:pStyle w:val="ListParagraph"/>
        <w:numPr>
          <w:ilvl w:val="0"/>
          <w:numId w:val="69"/>
        </w:numPr>
        <w:autoSpaceDE w:val="0"/>
        <w:autoSpaceDN w:val="0"/>
        <w:adjustRightInd w:val="0"/>
        <w:spacing w:after="0" w:line="240" w:lineRule="auto"/>
        <w:rPr>
          <w:rFonts w:ascii="Arial" w:eastAsia="ArialMT" w:hAnsi="Arial" w:cs="Arial"/>
          <w:sz w:val="20"/>
          <w:szCs w:val="20"/>
        </w:rPr>
      </w:pPr>
      <w:r w:rsidRPr="00C70473">
        <w:rPr>
          <w:rFonts w:ascii="Arial" w:eastAsia="ArialMT" w:hAnsi="Arial" w:cs="Arial"/>
          <w:sz w:val="20"/>
          <w:szCs w:val="20"/>
        </w:rPr>
        <w:t>Percentage of outstanding case dockets related to contact crimes older than three years</w:t>
      </w:r>
    </w:p>
    <w:p w:rsidR="00587F48" w:rsidRPr="00C70473" w:rsidRDefault="00587F48" w:rsidP="00C70473">
      <w:pPr>
        <w:pStyle w:val="ListParagraph"/>
        <w:numPr>
          <w:ilvl w:val="0"/>
          <w:numId w:val="69"/>
        </w:numPr>
        <w:autoSpaceDE w:val="0"/>
        <w:autoSpaceDN w:val="0"/>
        <w:adjustRightInd w:val="0"/>
        <w:spacing w:after="0" w:line="240" w:lineRule="auto"/>
        <w:rPr>
          <w:rFonts w:ascii="Arial" w:eastAsia="ArialMT" w:hAnsi="Arial" w:cs="Arial"/>
          <w:sz w:val="20"/>
          <w:szCs w:val="20"/>
        </w:rPr>
      </w:pPr>
      <w:r w:rsidRPr="00C70473">
        <w:rPr>
          <w:rFonts w:ascii="Arial" w:eastAsia="ArialMT" w:hAnsi="Arial" w:cs="Arial"/>
          <w:sz w:val="20"/>
          <w:szCs w:val="20"/>
        </w:rPr>
        <w:t>Percentage of outstanding crime to crime DNA investigative leads finalised</w:t>
      </w:r>
    </w:p>
    <w:p w:rsidR="00587F48" w:rsidRPr="00C70473" w:rsidRDefault="00587F48" w:rsidP="00C70473">
      <w:pPr>
        <w:pStyle w:val="ListParagraph"/>
        <w:numPr>
          <w:ilvl w:val="0"/>
          <w:numId w:val="69"/>
        </w:numPr>
        <w:autoSpaceDE w:val="0"/>
        <w:autoSpaceDN w:val="0"/>
        <w:adjustRightInd w:val="0"/>
        <w:spacing w:after="0" w:line="240" w:lineRule="auto"/>
        <w:rPr>
          <w:rFonts w:ascii="Arial" w:eastAsia="ArialMT" w:hAnsi="Arial" w:cs="Arial"/>
          <w:sz w:val="20"/>
          <w:szCs w:val="20"/>
        </w:rPr>
      </w:pPr>
      <w:r w:rsidRPr="00C70473">
        <w:rPr>
          <w:rFonts w:ascii="Arial" w:eastAsia="ArialMT" w:hAnsi="Arial" w:cs="Arial"/>
          <w:sz w:val="20"/>
          <w:szCs w:val="20"/>
        </w:rPr>
        <w:t>Percentage of the outstanding integrated ballistics identification systems investigative leads finalised</w:t>
      </w:r>
    </w:p>
    <w:p w:rsidR="00587F48" w:rsidRPr="00C70473" w:rsidRDefault="00587F48" w:rsidP="00C70473">
      <w:pPr>
        <w:pStyle w:val="ListParagraph"/>
        <w:numPr>
          <w:ilvl w:val="0"/>
          <w:numId w:val="69"/>
        </w:numPr>
        <w:autoSpaceDE w:val="0"/>
        <w:autoSpaceDN w:val="0"/>
        <w:adjustRightInd w:val="0"/>
        <w:spacing w:after="0" w:line="240" w:lineRule="auto"/>
        <w:rPr>
          <w:rFonts w:ascii="Arial" w:eastAsia="ArialMT" w:hAnsi="Arial" w:cs="Arial"/>
          <w:sz w:val="20"/>
          <w:szCs w:val="20"/>
        </w:rPr>
      </w:pPr>
      <w:r w:rsidRPr="00C70473">
        <w:rPr>
          <w:rFonts w:ascii="Arial" w:eastAsia="ArialMT" w:hAnsi="Arial" w:cs="Arial"/>
          <w:sz w:val="20"/>
          <w:szCs w:val="20"/>
        </w:rPr>
        <w:t>Percentage of biology DNA intelligence case exhibits (entries) finalised</w:t>
      </w:r>
    </w:p>
    <w:p w:rsidR="00587F48" w:rsidRPr="00C70473" w:rsidRDefault="00587F48" w:rsidP="00C70473">
      <w:pPr>
        <w:pStyle w:val="ListParagraph"/>
        <w:numPr>
          <w:ilvl w:val="0"/>
          <w:numId w:val="69"/>
        </w:numPr>
        <w:autoSpaceDE w:val="0"/>
        <w:autoSpaceDN w:val="0"/>
        <w:adjustRightInd w:val="0"/>
        <w:spacing w:after="0" w:line="240" w:lineRule="auto"/>
        <w:rPr>
          <w:rFonts w:ascii="Arial" w:eastAsia="ArialMT" w:hAnsi="Arial" w:cs="Arial"/>
          <w:sz w:val="20"/>
          <w:szCs w:val="20"/>
        </w:rPr>
      </w:pPr>
      <w:r w:rsidRPr="00C70473">
        <w:rPr>
          <w:rFonts w:ascii="Arial" w:eastAsia="ArialMT" w:hAnsi="Arial" w:cs="Arial"/>
          <w:sz w:val="20"/>
          <w:szCs w:val="20"/>
        </w:rPr>
        <w:t>Percentage of results of trial updated in respect of the following: not guilty verdict</w:t>
      </w:r>
    </w:p>
    <w:p w:rsidR="00587F48" w:rsidRPr="00C70473" w:rsidRDefault="00587F48" w:rsidP="00C70473">
      <w:pPr>
        <w:pStyle w:val="ListParagraph"/>
        <w:numPr>
          <w:ilvl w:val="0"/>
          <w:numId w:val="69"/>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lastRenderedPageBreak/>
        <w:t>Percentage of outstanding fingerprint investigative leads finalised</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761B1D" w:rsidRPr="00C70473" w:rsidRDefault="00761B1D"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During the presentation made by the Office of the AG, the Office stated: “</w:t>
      </w:r>
      <w:r w:rsidRPr="00C70473">
        <w:rPr>
          <w:rFonts w:ascii="Arial" w:hAnsi="Arial" w:cs="Arial"/>
          <w:sz w:val="20"/>
          <w:szCs w:val="20"/>
          <w:lang w:val="en-ZA"/>
        </w:rPr>
        <w:t>Achievement of targets not aligned to the realities of the country in terms of crimes, due to achievements not supported by accurate records and material limitations experienced. Higher achievement by Department are reported however this is not translated to actual realities of society.  Low achievement of targets and indicators of the department in the following outputs, reduction of contact crimes, as well the enhanced forensic evidence are two areas that are directly linked to the mandate of the department to prevent, combat and investigate crime. The above translate to the department not being able to fully execute their mandate as set out in the constitution.”</w:t>
      </w:r>
    </w:p>
    <w:p w:rsidR="00761B1D" w:rsidRPr="00C70473" w:rsidRDefault="00761B1D" w:rsidP="00C70473">
      <w:pPr>
        <w:autoSpaceDE w:val="0"/>
        <w:autoSpaceDN w:val="0"/>
        <w:adjustRightInd w:val="0"/>
        <w:spacing w:after="0" w:line="240" w:lineRule="auto"/>
        <w:rPr>
          <w:rFonts w:ascii="Arial" w:hAnsi="Arial" w:cs="Arial"/>
          <w:sz w:val="20"/>
          <w:szCs w:val="20"/>
        </w:rPr>
      </w:pPr>
    </w:p>
    <w:p w:rsidR="00085EEE" w:rsidRPr="00C70473" w:rsidRDefault="00085EEE" w:rsidP="00C70473">
      <w:pPr>
        <w:pStyle w:val="Heading2"/>
        <w:numPr>
          <w:ilvl w:val="1"/>
          <w:numId w:val="66"/>
        </w:numPr>
        <w:spacing w:before="0" w:line="240" w:lineRule="auto"/>
        <w:rPr>
          <w:rFonts w:ascii="Arial" w:hAnsi="Arial" w:cs="Arial"/>
          <w:sz w:val="20"/>
          <w:szCs w:val="20"/>
        </w:rPr>
      </w:pPr>
      <w:r w:rsidRPr="00C70473">
        <w:rPr>
          <w:rFonts w:ascii="Arial" w:hAnsi="Arial" w:cs="Arial"/>
          <w:sz w:val="20"/>
          <w:szCs w:val="20"/>
        </w:rPr>
        <w:t xml:space="preserve">Compliance with legislation </w:t>
      </w:r>
    </w:p>
    <w:p w:rsidR="00085EEE" w:rsidRPr="00C70473" w:rsidRDefault="00085EEE"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b/>
          <w:sz w:val="20"/>
          <w:szCs w:val="20"/>
        </w:rPr>
      </w:pPr>
      <w:r w:rsidRPr="00C70473">
        <w:rPr>
          <w:rFonts w:ascii="Arial" w:hAnsi="Arial" w:cs="Arial"/>
          <w:b/>
          <w:sz w:val="20"/>
          <w:szCs w:val="20"/>
        </w:rPr>
        <w:t>The material findings on compliance with specific matters in key legislation are as follows:</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pStyle w:val="ListParagraph"/>
        <w:numPr>
          <w:ilvl w:val="0"/>
          <w:numId w:val="71"/>
        </w:numPr>
        <w:autoSpaceDE w:val="0"/>
        <w:autoSpaceDN w:val="0"/>
        <w:adjustRightInd w:val="0"/>
        <w:spacing w:after="0" w:line="240" w:lineRule="auto"/>
        <w:rPr>
          <w:rFonts w:ascii="Arial" w:hAnsi="Arial" w:cs="Arial"/>
          <w:b/>
          <w:sz w:val="20"/>
          <w:szCs w:val="20"/>
        </w:rPr>
      </w:pPr>
      <w:r w:rsidRPr="00C70473">
        <w:rPr>
          <w:rFonts w:ascii="Arial" w:hAnsi="Arial" w:cs="Arial"/>
          <w:b/>
          <w:sz w:val="20"/>
          <w:szCs w:val="20"/>
        </w:rPr>
        <w:t xml:space="preserve">Procurement and contract management: </w:t>
      </w:r>
      <w:r w:rsidRPr="00C70473">
        <w:rPr>
          <w:rFonts w:ascii="Arial" w:hAnsi="Arial" w:cs="Arial"/>
          <w:sz w:val="20"/>
          <w:szCs w:val="20"/>
        </w:rPr>
        <w:t>Some of the contracts were awarded to bidders based on evaluation/adjudication criteria that differed from those stipulated in the original invitation for bidding as required by Treasury Regulation 16A6.3(a) and (b).</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pStyle w:val="ListParagraph"/>
        <w:numPr>
          <w:ilvl w:val="0"/>
          <w:numId w:val="71"/>
        </w:numPr>
        <w:autoSpaceDE w:val="0"/>
        <w:autoSpaceDN w:val="0"/>
        <w:adjustRightInd w:val="0"/>
        <w:spacing w:after="0" w:line="240" w:lineRule="auto"/>
        <w:rPr>
          <w:rFonts w:ascii="Arial" w:hAnsi="Arial" w:cs="Arial"/>
          <w:sz w:val="20"/>
          <w:szCs w:val="20"/>
        </w:rPr>
      </w:pPr>
      <w:r w:rsidRPr="00C70473">
        <w:rPr>
          <w:rFonts w:ascii="Arial" w:hAnsi="Arial" w:cs="Arial"/>
          <w:b/>
          <w:sz w:val="20"/>
          <w:szCs w:val="20"/>
        </w:rPr>
        <w:t>Expenditure management:</w:t>
      </w:r>
      <w:r w:rsidRPr="00C70473">
        <w:rPr>
          <w:rFonts w:ascii="Arial" w:hAnsi="Arial" w:cs="Arial"/>
          <w:sz w:val="20"/>
          <w:szCs w:val="20"/>
        </w:rPr>
        <w:t xml:space="preserve"> Effective and appropriate steps were not taken to prevent irregular expenditure of R152 million disclosed in note 24 to the financial statements, as required by section 38(1)(c)(ii) of the PFMA and treasury regulation 9.1.1. The majority of the irregular expenditure was caused by non-compliance with the bids requirements.</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pStyle w:val="ListParagraph"/>
        <w:numPr>
          <w:ilvl w:val="0"/>
          <w:numId w:val="71"/>
        </w:numPr>
        <w:autoSpaceDE w:val="0"/>
        <w:autoSpaceDN w:val="0"/>
        <w:adjustRightInd w:val="0"/>
        <w:spacing w:after="0" w:line="240" w:lineRule="auto"/>
        <w:rPr>
          <w:rFonts w:ascii="Arial" w:hAnsi="Arial" w:cs="Arial"/>
          <w:sz w:val="20"/>
          <w:szCs w:val="20"/>
        </w:rPr>
      </w:pPr>
      <w:r w:rsidRPr="00C70473">
        <w:rPr>
          <w:rFonts w:ascii="Arial" w:hAnsi="Arial" w:cs="Arial"/>
          <w:b/>
          <w:sz w:val="20"/>
          <w:szCs w:val="20"/>
        </w:rPr>
        <w:t>Consequence management:</w:t>
      </w:r>
      <w:r w:rsidRPr="00C70473">
        <w:rPr>
          <w:rFonts w:ascii="Arial" w:hAnsi="Arial" w:cs="Arial"/>
          <w:sz w:val="20"/>
          <w:szCs w:val="20"/>
        </w:rPr>
        <w:t xml:space="preserve"> The AG was unable to obtain sufficient appropriate audit evidence that disciplinary steps were taken against officials who had incurred and permitted irregular expenditure in prior years, as required by section 38(1)(h)(iii) of the PFMA. Losses resulting from fruitless and wasteful expenditure were not recovered from the liable persons, as required by treasury regulation 9.1.4.</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085EEE" w:rsidRPr="00C70473" w:rsidRDefault="00587F48" w:rsidP="00C70473">
      <w:pPr>
        <w:pStyle w:val="Heading2"/>
        <w:numPr>
          <w:ilvl w:val="1"/>
          <w:numId w:val="66"/>
        </w:numPr>
        <w:spacing w:before="0" w:line="240" w:lineRule="auto"/>
        <w:rPr>
          <w:rFonts w:ascii="Arial" w:hAnsi="Arial" w:cs="Arial"/>
          <w:sz w:val="20"/>
          <w:szCs w:val="20"/>
        </w:rPr>
      </w:pPr>
      <w:r w:rsidRPr="00C70473">
        <w:rPr>
          <w:rFonts w:ascii="Arial" w:hAnsi="Arial" w:cs="Arial"/>
          <w:sz w:val="20"/>
          <w:szCs w:val="20"/>
        </w:rPr>
        <w:t>Internal control deficie</w:t>
      </w:r>
      <w:r w:rsidR="00085EEE" w:rsidRPr="00C70473">
        <w:rPr>
          <w:rFonts w:ascii="Arial" w:hAnsi="Arial" w:cs="Arial"/>
          <w:sz w:val="20"/>
          <w:szCs w:val="20"/>
        </w:rPr>
        <w:t>ncies</w:t>
      </w:r>
    </w:p>
    <w:p w:rsidR="00085EEE" w:rsidRPr="00C70473" w:rsidRDefault="00085EEE" w:rsidP="00C70473">
      <w:pPr>
        <w:spacing w:after="0" w:line="240" w:lineRule="auto"/>
        <w:rPr>
          <w:rFonts w:ascii="Arial" w:hAnsi="Arial" w:cs="Arial"/>
          <w:b/>
          <w:sz w:val="20"/>
          <w:szCs w:val="20"/>
        </w:rPr>
      </w:pPr>
    </w:p>
    <w:p w:rsidR="00587F48" w:rsidRPr="00C70473" w:rsidRDefault="00587F48" w:rsidP="00C70473">
      <w:pPr>
        <w:spacing w:after="0" w:line="240" w:lineRule="auto"/>
        <w:rPr>
          <w:rFonts w:ascii="Arial" w:hAnsi="Arial" w:cs="Arial"/>
          <w:b/>
          <w:sz w:val="20"/>
          <w:szCs w:val="20"/>
        </w:rPr>
      </w:pPr>
      <w:r w:rsidRPr="00C70473">
        <w:rPr>
          <w:rFonts w:ascii="Arial" w:hAnsi="Arial" w:cs="Arial"/>
          <w:sz w:val="20"/>
          <w:szCs w:val="20"/>
        </w:rPr>
        <w:t xml:space="preserve">The AG highlighted the following: </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pStyle w:val="ListParagraph"/>
        <w:numPr>
          <w:ilvl w:val="0"/>
          <w:numId w:val="70"/>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Action plans to address prior year audit findings on performance information were not adequately implemented to ensure that key root causes were addressed.</w:t>
      </w:r>
    </w:p>
    <w:p w:rsidR="00587F48" w:rsidRPr="00C70473" w:rsidRDefault="00587F48" w:rsidP="00C70473">
      <w:pPr>
        <w:pStyle w:val="ListParagraph"/>
        <w:numPr>
          <w:ilvl w:val="0"/>
          <w:numId w:val="70"/>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Consequence management was not effected against officials who incurred and permitted irregular expenditure in the previous periods.</w:t>
      </w:r>
    </w:p>
    <w:p w:rsidR="00587F48" w:rsidRPr="00C70473" w:rsidRDefault="00587F48" w:rsidP="00C70473">
      <w:pPr>
        <w:pStyle w:val="ListParagraph"/>
        <w:numPr>
          <w:ilvl w:val="0"/>
          <w:numId w:val="70"/>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Management did not always ensure that the department’s state of records was adequate to support all the achievements reported on its performance.</w:t>
      </w:r>
    </w:p>
    <w:p w:rsidR="00587F48" w:rsidRPr="00C70473" w:rsidRDefault="00587F48" w:rsidP="00C70473">
      <w:pPr>
        <w:pStyle w:val="ListParagraph"/>
        <w:numPr>
          <w:ilvl w:val="0"/>
          <w:numId w:val="70"/>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Daily and monthly reconciliations were not always performed effectively to ensure that the reported information agrees with the underlying records.</w:t>
      </w:r>
    </w:p>
    <w:p w:rsidR="00587F48" w:rsidRPr="00C70473" w:rsidRDefault="00587F48" w:rsidP="00C70473">
      <w:pPr>
        <w:pStyle w:val="ListParagraph"/>
        <w:numPr>
          <w:ilvl w:val="0"/>
          <w:numId w:val="70"/>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The department did not have adequate controls to monitor and identified non-compliance.</w:t>
      </w:r>
    </w:p>
    <w:p w:rsidR="00C32F86" w:rsidRPr="00C70473" w:rsidRDefault="00C32F86" w:rsidP="00C70473">
      <w:pPr>
        <w:autoSpaceDE w:val="0"/>
        <w:autoSpaceDN w:val="0"/>
        <w:adjustRightInd w:val="0"/>
        <w:spacing w:after="0" w:line="240" w:lineRule="auto"/>
        <w:rPr>
          <w:rFonts w:ascii="Arial" w:eastAsia="Times New Roman" w:hAnsi="Arial" w:cs="Arial"/>
          <w:sz w:val="20"/>
          <w:szCs w:val="20"/>
          <w:highlight w:val="yellow"/>
          <w:lang w:eastAsia="en-ZA"/>
        </w:rPr>
      </w:pPr>
    </w:p>
    <w:p w:rsidR="004F27D3" w:rsidRPr="00C70473" w:rsidRDefault="004F27D3" w:rsidP="00C70473">
      <w:pPr>
        <w:pStyle w:val="Heading1"/>
        <w:numPr>
          <w:ilvl w:val="0"/>
          <w:numId w:val="66"/>
        </w:numPr>
        <w:spacing w:before="0" w:line="240" w:lineRule="auto"/>
        <w:jc w:val="left"/>
        <w:rPr>
          <w:rFonts w:ascii="Arial" w:eastAsiaTheme="majorEastAsia" w:hAnsi="Arial" w:cs="Arial"/>
          <w:sz w:val="20"/>
          <w:szCs w:val="20"/>
        </w:rPr>
      </w:pPr>
      <w:r w:rsidRPr="00C70473">
        <w:rPr>
          <w:rFonts w:ascii="Arial" w:eastAsiaTheme="majorEastAsia" w:hAnsi="Arial" w:cs="Arial"/>
          <w:sz w:val="20"/>
          <w:szCs w:val="20"/>
        </w:rPr>
        <w:t>FINANCIAL OVERVIEW</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pStyle w:val="Heading2"/>
        <w:numPr>
          <w:ilvl w:val="1"/>
          <w:numId w:val="105"/>
        </w:numPr>
        <w:spacing w:before="0" w:line="240" w:lineRule="auto"/>
        <w:rPr>
          <w:rFonts w:ascii="Arial" w:hAnsi="Arial" w:cs="Arial"/>
          <w:sz w:val="20"/>
          <w:szCs w:val="20"/>
        </w:rPr>
      </w:pPr>
      <w:bookmarkStart w:id="6" w:name="_Toc115863855"/>
      <w:r w:rsidRPr="00C70473">
        <w:rPr>
          <w:rFonts w:ascii="Arial" w:hAnsi="Arial" w:cs="Arial"/>
          <w:sz w:val="20"/>
          <w:szCs w:val="20"/>
        </w:rPr>
        <w:t>Appropriation statement</w:t>
      </w:r>
      <w:bookmarkEnd w:id="6"/>
      <w:r w:rsidRPr="00C70473">
        <w:rPr>
          <w:rFonts w:ascii="Arial" w:hAnsi="Arial" w:cs="Arial"/>
          <w:sz w:val="20"/>
          <w:szCs w:val="20"/>
        </w:rPr>
        <w:t xml:space="preserve">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eastAsia="ArialMT" w:hAnsi="Arial" w:cs="Arial"/>
          <w:sz w:val="20"/>
          <w:szCs w:val="20"/>
          <w:lang w:eastAsia="en-ZA"/>
        </w:rPr>
      </w:pPr>
      <w:r w:rsidRPr="00C70473">
        <w:rPr>
          <w:rFonts w:ascii="Arial" w:hAnsi="Arial" w:cs="Arial"/>
          <w:sz w:val="20"/>
          <w:szCs w:val="20"/>
        </w:rPr>
        <w:t xml:space="preserve">The SAPS received a Final Appropriation of R100.4 billion in 2021/22, of which </w:t>
      </w:r>
      <w:r w:rsidRPr="00C70473">
        <w:rPr>
          <w:rFonts w:ascii="Arial" w:eastAsia="ArialMT" w:hAnsi="Arial" w:cs="Arial"/>
          <w:sz w:val="20"/>
          <w:szCs w:val="20"/>
          <w:lang w:eastAsia="en-ZA"/>
        </w:rPr>
        <w:t xml:space="preserve">the Department had spent R99.59 billion or 99.1% thus recording underspending of R878.4 million at year-end. This is a significant improvement compared to the previous financial year, during which the Department only spent 95.9% of its Final Appropriation budget of R99.5 billion, thus recording underspending of R4.07 billion at year-end. </w:t>
      </w:r>
    </w:p>
    <w:p w:rsidR="00587F48" w:rsidRPr="00C70473" w:rsidRDefault="00587F48" w:rsidP="00C70473">
      <w:pPr>
        <w:spacing w:after="0" w:line="240" w:lineRule="auto"/>
        <w:rPr>
          <w:rFonts w:ascii="Arial" w:eastAsia="ArialMT" w:hAnsi="Arial" w:cs="Arial"/>
          <w:sz w:val="20"/>
          <w:szCs w:val="20"/>
          <w:lang w:eastAsia="en-ZA"/>
        </w:rPr>
      </w:pPr>
    </w:p>
    <w:p w:rsidR="00587F48" w:rsidRPr="00C70473" w:rsidRDefault="00587F48" w:rsidP="00C70473">
      <w:pPr>
        <w:spacing w:after="0" w:line="240" w:lineRule="auto"/>
        <w:rPr>
          <w:rFonts w:ascii="Arial" w:eastAsia="ArialMT" w:hAnsi="Arial" w:cs="Arial"/>
          <w:sz w:val="20"/>
          <w:szCs w:val="20"/>
          <w:lang w:eastAsia="en-ZA"/>
        </w:rPr>
      </w:pPr>
      <w:r w:rsidRPr="00C70473">
        <w:rPr>
          <w:rFonts w:ascii="Arial" w:eastAsia="ArialMT" w:hAnsi="Arial" w:cs="Arial"/>
          <w:sz w:val="20"/>
          <w:szCs w:val="20"/>
          <w:lang w:eastAsia="en-ZA"/>
        </w:rPr>
        <w:t xml:space="preserve">The Department recorded underspending in all of its five budget Programmes: </w:t>
      </w:r>
    </w:p>
    <w:p w:rsidR="00587F48" w:rsidRPr="00C70473" w:rsidRDefault="00587F48" w:rsidP="00C70473">
      <w:pPr>
        <w:pStyle w:val="ListParagraph"/>
        <w:numPr>
          <w:ilvl w:val="0"/>
          <w:numId w:val="72"/>
        </w:numPr>
        <w:autoSpaceDE w:val="0"/>
        <w:autoSpaceDN w:val="0"/>
        <w:adjustRightInd w:val="0"/>
        <w:spacing w:after="0" w:line="240" w:lineRule="auto"/>
        <w:rPr>
          <w:rFonts w:ascii="Arial" w:eastAsia="ArialMT" w:hAnsi="Arial" w:cs="Arial"/>
          <w:sz w:val="20"/>
          <w:szCs w:val="20"/>
          <w:lang w:eastAsia="en-ZA"/>
        </w:rPr>
      </w:pPr>
      <w:r w:rsidRPr="00C70473">
        <w:rPr>
          <w:rFonts w:ascii="Arial" w:eastAsia="ArialMT" w:hAnsi="Arial" w:cs="Arial"/>
          <w:iCs/>
          <w:sz w:val="20"/>
          <w:szCs w:val="20"/>
          <w:lang w:eastAsia="en-ZA"/>
        </w:rPr>
        <w:t>Administration: R317.8 million unspent (98.4% expenditure)</w:t>
      </w:r>
    </w:p>
    <w:p w:rsidR="00587F48" w:rsidRPr="00C70473" w:rsidRDefault="00587F48" w:rsidP="00C70473">
      <w:pPr>
        <w:pStyle w:val="ListParagraph"/>
        <w:numPr>
          <w:ilvl w:val="0"/>
          <w:numId w:val="72"/>
        </w:numPr>
        <w:autoSpaceDE w:val="0"/>
        <w:autoSpaceDN w:val="0"/>
        <w:adjustRightInd w:val="0"/>
        <w:spacing w:after="0" w:line="240" w:lineRule="auto"/>
        <w:rPr>
          <w:rFonts w:ascii="Arial" w:eastAsia="ArialMT" w:hAnsi="Arial" w:cs="Arial"/>
          <w:sz w:val="20"/>
          <w:szCs w:val="20"/>
          <w:lang w:eastAsia="en-ZA"/>
        </w:rPr>
      </w:pPr>
      <w:r w:rsidRPr="00C70473">
        <w:rPr>
          <w:rFonts w:ascii="Arial" w:eastAsia="ArialMT" w:hAnsi="Arial" w:cs="Arial"/>
          <w:iCs/>
          <w:sz w:val="20"/>
          <w:szCs w:val="20"/>
          <w:lang w:eastAsia="en-ZA"/>
        </w:rPr>
        <w:t xml:space="preserve">Visible Policing: R12.8 million unspent (100% expenditure). </w:t>
      </w:r>
      <w:r w:rsidRPr="00C70473">
        <w:rPr>
          <w:rFonts w:ascii="Arial" w:eastAsia="ArialMT" w:hAnsi="Arial" w:cs="Arial"/>
          <w:i/>
          <w:iCs/>
          <w:sz w:val="20"/>
          <w:szCs w:val="20"/>
          <w:lang w:eastAsia="en-ZA"/>
        </w:rPr>
        <w:t>Note: The amount of underspending it too small to affect the percentage expenditure of the Programme.</w:t>
      </w:r>
      <w:r w:rsidRPr="00C70473">
        <w:rPr>
          <w:rFonts w:ascii="Arial" w:eastAsia="ArialMT" w:hAnsi="Arial" w:cs="Arial"/>
          <w:iCs/>
          <w:sz w:val="20"/>
          <w:szCs w:val="20"/>
          <w:lang w:eastAsia="en-ZA"/>
        </w:rPr>
        <w:t xml:space="preserve"> </w:t>
      </w:r>
    </w:p>
    <w:p w:rsidR="00587F48" w:rsidRPr="00C70473" w:rsidRDefault="00587F48" w:rsidP="00C70473">
      <w:pPr>
        <w:pStyle w:val="ListParagraph"/>
        <w:numPr>
          <w:ilvl w:val="0"/>
          <w:numId w:val="72"/>
        </w:numPr>
        <w:autoSpaceDE w:val="0"/>
        <w:autoSpaceDN w:val="0"/>
        <w:adjustRightInd w:val="0"/>
        <w:spacing w:after="0" w:line="240" w:lineRule="auto"/>
        <w:rPr>
          <w:rFonts w:ascii="Arial" w:eastAsia="ArialMT" w:hAnsi="Arial" w:cs="Arial"/>
          <w:sz w:val="20"/>
          <w:szCs w:val="20"/>
          <w:lang w:eastAsia="en-ZA"/>
        </w:rPr>
      </w:pPr>
      <w:r w:rsidRPr="00C70473">
        <w:rPr>
          <w:rFonts w:ascii="Arial" w:eastAsia="ArialMT" w:hAnsi="Arial" w:cs="Arial"/>
          <w:iCs/>
          <w:sz w:val="20"/>
          <w:szCs w:val="20"/>
          <w:lang w:eastAsia="en-ZA"/>
        </w:rPr>
        <w:t xml:space="preserve">Detective Services: </w:t>
      </w:r>
      <w:r w:rsidRPr="00C70473">
        <w:rPr>
          <w:rFonts w:ascii="Arial" w:eastAsia="ArialMT" w:hAnsi="Arial" w:cs="Arial"/>
          <w:sz w:val="20"/>
          <w:szCs w:val="20"/>
          <w:lang w:eastAsia="en-ZA"/>
        </w:rPr>
        <w:t xml:space="preserve">R518.6 million </w:t>
      </w:r>
      <w:r w:rsidRPr="00C70473">
        <w:rPr>
          <w:rFonts w:ascii="Arial" w:eastAsia="ArialMT" w:hAnsi="Arial" w:cs="Arial"/>
          <w:iCs/>
          <w:sz w:val="20"/>
          <w:szCs w:val="20"/>
          <w:lang w:eastAsia="en-ZA"/>
        </w:rPr>
        <w:t>(97.4% expenditure)</w:t>
      </w:r>
    </w:p>
    <w:p w:rsidR="00587F48" w:rsidRPr="00C70473" w:rsidRDefault="00587F48" w:rsidP="00C70473">
      <w:pPr>
        <w:pStyle w:val="ListParagraph"/>
        <w:numPr>
          <w:ilvl w:val="0"/>
          <w:numId w:val="72"/>
        </w:numPr>
        <w:autoSpaceDE w:val="0"/>
        <w:autoSpaceDN w:val="0"/>
        <w:adjustRightInd w:val="0"/>
        <w:spacing w:after="0" w:line="240" w:lineRule="auto"/>
        <w:rPr>
          <w:rFonts w:ascii="Arial" w:eastAsia="ArialMT" w:hAnsi="Arial" w:cs="Arial"/>
          <w:sz w:val="20"/>
          <w:szCs w:val="20"/>
          <w:lang w:eastAsia="en-ZA"/>
        </w:rPr>
      </w:pPr>
      <w:r w:rsidRPr="00C70473">
        <w:rPr>
          <w:rFonts w:ascii="Arial" w:eastAsia="ArialMT" w:hAnsi="Arial" w:cs="Arial"/>
          <w:sz w:val="20"/>
          <w:szCs w:val="20"/>
          <w:lang w:eastAsia="en-ZA"/>
        </w:rPr>
        <w:t xml:space="preserve">Crime Intelligence: R19.2 million </w:t>
      </w:r>
      <w:r w:rsidRPr="00C70473">
        <w:rPr>
          <w:rFonts w:ascii="Arial" w:eastAsia="ArialMT" w:hAnsi="Arial" w:cs="Arial"/>
          <w:iCs/>
          <w:sz w:val="20"/>
          <w:szCs w:val="20"/>
          <w:lang w:eastAsia="en-ZA"/>
        </w:rPr>
        <w:t>(99.6% expenditure)</w:t>
      </w:r>
    </w:p>
    <w:p w:rsidR="00587F48" w:rsidRPr="00C70473" w:rsidRDefault="00587F48" w:rsidP="00C70473">
      <w:pPr>
        <w:pStyle w:val="ListParagraph"/>
        <w:numPr>
          <w:ilvl w:val="0"/>
          <w:numId w:val="72"/>
        </w:numPr>
        <w:autoSpaceDE w:val="0"/>
        <w:autoSpaceDN w:val="0"/>
        <w:adjustRightInd w:val="0"/>
        <w:spacing w:after="0" w:line="240" w:lineRule="auto"/>
        <w:rPr>
          <w:rFonts w:ascii="Arial" w:eastAsia="ArialMT" w:hAnsi="Arial" w:cs="Arial"/>
          <w:sz w:val="20"/>
          <w:szCs w:val="20"/>
          <w:lang w:eastAsia="en-ZA"/>
        </w:rPr>
      </w:pPr>
      <w:r w:rsidRPr="00C70473">
        <w:rPr>
          <w:rFonts w:ascii="Arial" w:eastAsia="ArialMT" w:hAnsi="Arial" w:cs="Arial"/>
          <w:sz w:val="20"/>
          <w:szCs w:val="20"/>
          <w:lang w:eastAsia="en-ZA"/>
        </w:rPr>
        <w:lastRenderedPageBreak/>
        <w:t xml:space="preserve">Protection and Security Services: R9.7 million </w:t>
      </w:r>
      <w:r w:rsidRPr="00C70473">
        <w:rPr>
          <w:rFonts w:ascii="Arial" w:eastAsia="ArialMT" w:hAnsi="Arial" w:cs="Arial"/>
          <w:iCs/>
          <w:sz w:val="20"/>
          <w:szCs w:val="20"/>
          <w:lang w:eastAsia="en-ZA"/>
        </w:rPr>
        <w:t>(99.7% expenditure)</w:t>
      </w:r>
    </w:p>
    <w:p w:rsidR="00587F48" w:rsidRPr="00C70473" w:rsidRDefault="00587F48" w:rsidP="00C70473">
      <w:pPr>
        <w:spacing w:after="0" w:line="240" w:lineRule="auto"/>
        <w:rPr>
          <w:rFonts w:ascii="Arial" w:hAnsi="Arial" w:cs="Arial"/>
          <w:b/>
          <w:sz w:val="20"/>
          <w:szCs w:val="20"/>
        </w:rPr>
      </w:pPr>
    </w:p>
    <w:p w:rsidR="00587F48" w:rsidRPr="00C70473" w:rsidRDefault="00587F48" w:rsidP="00C70473">
      <w:pPr>
        <w:spacing w:after="0" w:line="240" w:lineRule="auto"/>
        <w:ind w:hanging="567"/>
        <w:rPr>
          <w:rFonts w:ascii="Arial" w:hAnsi="Arial" w:cs="Arial"/>
          <w:b/>
          <w:sz w:val="20"/>
          <w:szCs w:val="20"/>
        </w:rPr>
      </w:pPr>
      <w:r w:rsidRPr="00C70473">
        <w:rPr>
          <w:rFonts w:ascii="Arial" w:hAnsi="Arial" w:cs="Arial"/>
          <w:b/>
          <w:sz w:val="20"/>
          <w:szCs w:val="20"/>
        </w:rPr>
        <w:t>Table 1: Appropriation statement for 2021/22</w:t>
      </w:r>
    </w:p>
    <w:tbl>
      <w:tblPr>
        <w:tblStyle w:val="TableGrid"/>
        <w:tblW w:w="10100" w:type="dxa"/>
        <w:tblInd w:w="-607" w:type="dxa"/>
        <w:tblLook w:val="04A0"/>
      </w:tblPr>
      <w:tblGrid>
        <w:gridCol w:w="3082"/>
        <w:gridCol w:w="1539"/>
        <w:gridCol w:w="1552"/>
        <w:gridCol w:w="1372"/>
        <w:gridCol w:w="1050"/>
        <w:gridCol w:w="1505"/>
      </w:tblGrid>
      <w:tr w:rsidR="00587F48" w:rsidRPr="00C70473" w:rsidTr="00587F48">
        <w:trPr>
          <w:tblHeader/>
        </w:trPr>
        <w:tc>
          <w:tcPr>
            <w:tcW w:w="3082" w:type="dxa"/>
            <w:vAlign w:val="bottom"/>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R’000</w:t>
            </w:r>
          </w:p>
        </w:tc>
        <w:tc>
          <w:tcPr>
            <w:tcW w:w="1539"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Adjusted Appropriation</w:t>
            </w:r>
          </w:p>
        </w:tc>
        <w:tc>
          <w:tcPr>
            <w:tcW w:w="1552"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Final Appropriation</w:t>
            </w:r>
          </w:p>
        </w:tc>
        <w:tc>
          <w:tcPr>
            <w:tcW w:w="1372"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Actual Expenditure</w:t>
            </w:r>
          </w:p>
        </w:tc>
        <w:tc>
          <w:tcPr>
            <w:tcW w:w="1050"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Variance</w:t>
            </w:r>
          </w:p>
        </w:tc>
        <w:tc>
          <w:tcPr>
            <w:tcW w:w="1505"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Expenditure as % of final appropriation</w:t>
            </w:r>
          </w:p>
        </w:tc>
      </w:tr>
      <w:tr w:rsidR="00587F48" w:rsidRPr="00C70473" w:rsidTr="00587F48">
        <w:tc>
          <w:tcPr>
            <w:tcW w:w="3082" w:type="dxa"/>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Programme</w:t>
            </w:r>
          </w:p>
        </w:tc>
        <w:tc>
          <w:tcPr>
            <w:tcW w:w="1539" w:type="dxa"/>
            <w:vAlign w:val="center"/>
          </w:tcPr>
          <w:p w:rsidR="00587F48" w:rsidRPr="00C70473" w:rsidRDefault="00587F48" w:rsidP="00C70473">
            <w:pPr>
              <w:rPr>
                <w:rFonts w:ascii="Arial" w:hAnsi="Arial" w:cs="Arial"/>
                <w:sz w:val="20"/>
                <w:szCs w:val="20"/>
                <w:lang w:eastAsia="en-ZA"/>
              </w:rPr>
            </w:pPr>
          </w:p>
        </w:tc>
        <w:tc>
          <w:tcPr>
            <w:tcW w:w="1552" w:type="dxa"/>
            <w:vAlign w:val="center"/>
          </w:tcPr>
          <w:p w:rsidR="00587F48" w:rsidRPr="00C70473" w:rsidRDefault="00587F48" w:rsidP="00C70473">
            <w:pPr>
              <w:rPr>
                <w:rFonts w:ascii="Arial" w:hAnsi="Arial" w:cs="Arial"/>
                <w:sz w:val="20"/>
                <w:szCs w:val="20"/>
                <w:lang w:eastAsia="en-ZA"/>
              </w:rPr>
            </w:pPr>
          </w:p>
        </w:tc>
        <w:tc>
          <w:tcPr>
            <w:tcW w:w="1372" w:type="dxa"/>
            <w:vAlign w:val="center"/>
          </w:tcPr>
          <w:p w:rsidR="00587F48" w:rsidRPr="00C70473" w:rsidRDefault="00587F48" w:rsidP="00C70473">
            <w:pPr>
              <w:rPr>
                <w:rFonts w:ascii="Arial" w:hAnsi="Arial" w:cs="Arial"/>
                <w:sz w:val="20"/>
                <w:szCs w:val="20"/>
                <w:lang w:eastAsia="en-ZA"/>
              </w:rPr>
            </w:pPr>
          </w:p>
        </w:tc>
        <w:tc>
          <w:tcPr>
            <w:tcW w:w="1050" w:type="dxa"/>
            <w:vAlign w:val="center"/>
          </w:tcPr>
          <w:p w:rsidR="00587F48" w:rsidRPr="00C70473" w:rsidRDefault="00587F48" w:rsidP="00C70473">
            <w:pPr>
              <w:rPr>
                <w:rFonts w:ascii="Arial" w:hAnsi="Arial" w:cs="Arial"/>
                <w:sz w:val="20"/>
                <w:szCs w:val="20"/>
                <w:lang w:eastAsia="en-ZA"/>
              </w:rPr>
            </w:pPr>
          </w:p>
        </w:tc>
        <w:tc>
          <w:tcPr>
            <w:tcW w:w="1505" w:type="dxa"/>
            <w:vAlign w:val="center"/>
          </w:tcPr>
          <w:p w:rsidR="00587F48" w:rsidRPr="00C70473" w:rsidRDefault="00587F48" w:rsidP="00C70473">
            <w:pPr>
              <w:rPr>
                <w:rFonts w:ascii="Arial" w:hAnsi="Arial" w:cs="Arial"/>
                <w:sz w:val="20"/>
                <w:szCs w:val="20"/>
                <w:lang w:eastAsia="en-ZA"/>
              </w:rPr>
            </w:pPr>
          </w:p>
        </w:tc>
      </w:tr>
      <w:tr w:rsidR="00587F48" w:rsidRPr="00C70473" w:rsidTr="00587F48">
        <w:tc>
          <w:tcPr>
            <w:tcW w:w="3082" w:type="dxa"/>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Administration</w:t>
            </w:r>
          </w:p>
        </w:tc>
        <w:tc>
          <w:tcPr>
            <w:tcW w:w="1539"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20 258 973</w:t>
            </w:r>
          </w:p>
        </w:tc>
        <w:tc>
          <w:tcPr>
            <w:tcW w:w="1552"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19 844 295</w:t>
            </w:r>
          </w:p>
        </w:tc>
        <w:tc>
          <w:tcPr>
            <w:tcW w:w="1372"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19 526 400</w:t>
            </w:r>
          </w:p>
        </w:tc>
        <w:tc>
          <w:tcPr>
            <w:tcW w:w="1050"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317 895</w:t>
            </w:r>
          </w:p>
        </w:tc>
        <w:tc>
          <w:tcPr>
            <w:tcW w:w="1505"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98.4%</w:t>
            </w:r>
          </w:p>
        </w:tc>
      </w:tr>
      <w:tr w:rsidR="00587F48" w:rsidRPr="00C70473" w:rsidTr="00587F48">
        <w:tc>
          <w:tcPr>
            <w:tcW w:w="3082" w:type="dxa"/>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 xml:space="preserve">Visible Policing </w:t>
            </w:r>
          </w:p>
        </w:tc>
        <w:tc>
          <w:tcPr>
            <w:tcW w:w="1539"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52 224 222</w:t>
            </w:r>
          </w:p>
        </w:tc>
        <w:tc>
          <w:tcPr>
            <w:tcW w:w="1552"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52 610 222</w:t>
            </w:r>
          </w:p>
        </w:tc>
        <w:tc>
          <w:tcPr>
            <w:tcW w:w="1372"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52 597 380</w:t>
            </w:r>
          </w:p>
        </w:tc>
        <w:tc>
          <w:tcPr>
            <w:tcW w:w="1050"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12 842</w:t>
            </w:r>
          </w:p>
        </w:tc>
        <w:tc>
          <w:tcPr>
            <w:tcW w:w="1505"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100.0%</w:t>
            </w:r>
          </w:p>
        </w:tc>
      </w:tr>
      <w:tr w:rsidR="00587F48" w:rsidRPr="00C70473" w:rsidTr="00587F48">
        <w:tc>
          <w:tcPr>
            <w:tcW w:w="3082" w:type="dxa"/>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Detective Services</w:t>
            </w:r>
          </w:p>
        </w:tc>
        <w:tc>
          <w:tcPr>
            <w:tcW w:w="1539"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20 232 517</w:t>
            </w:r>
          </w:p>
        </w:tc>
        <w:tc>
          <w:tcPr>
            <w:tcW w:w="1552"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20 232 517</w:t>
            </w:r>
          </w:p>
        </w:tc>
        <w:tc>
          <w:tcPr>
            <w:tcW w:w="1372"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19 713 853</w:t>
            </w:r>
          </w:p>
        </w:tc>
        <w:tc>
          <w:tcPr>
            <w:tcW w:w="1050"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518 664</w:t>
            </w:r>
          </w:p>
        </w:tc>
        <w:tc>
          <w:tcPr>
            <w:tcW w:w="1505"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97.4%</w:t>
            </w:r>
          </w:p>
        </w:tc>
      </w:tr>
      <w:tr w:rsidR="00587F48" w:rsidRPr="00C70473" w:rsidTr="00587F48">
        <w:tc>
          <w:tcPr>
            <w:tcW w:w="3082" w:type="dxa"/>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Crime Intelligence</w:t>
            </w:r>
          </w:p>
        </w:tc>
        <w:tc>
          <w:tcPr>
            <w:tcW w:w="1539"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4 296 649</w:t>
            </w:r>
          </w:p>
        </w:tc>
        <w:tc>
          <w:tcPr>
            <w:tcW w:w="1552"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4 296 649</w:t>
            </w:r>
          </w:p>
        </w:tc>
        <w:tc>
          <w:tcPr>
            <w:tcW w:w="1372"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4 277 394</w:t>
            </w:r>
          </w:p>
        </w:tc>
        <w:tc>
          <w:tcPr>
            <w:tcW w:w="1050"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19 255</w:t>
            </w:r>
          </w:p>
        </w:tc>
        <w:tc>
          <w:tcPr>
            <w:tcW w:w="1505"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99.6%</w:t>
            </w:r>
          </w:p>
        </w:tc>
      </w:tr>
      <w:tr w:rsidR="00587F48" w:rsidRPr="00C70473" w:rsidTr="00587F48">
        <w:tc>
          <w:tcPr>
            <w:tcW w:w="3082" w:type="dxa"/>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PSS</w:t>
            </w:r>
          </w:p>
        </w:tc>
        <w:tc>
          <w:tcPr>
            <w:tcW w:w="1539"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3 461 472</w:t>
            </w:r>
          </w:p>
        </w:tc>
        <w:tc>
          <w:tcPr>
            <w:tcW w:w="1552"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3 490 150</w:t>
            </w:r>
          </w:p>
        </w:tc>
        <w:tc>
          <w:tcPr>
            <w:tcW w:w="1372"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3 480 365</w:t>
            </w:r>
          </w:p>
        </w:tc>
        <w:tc>
          <w:tcPr>
            <w:tcW w:w="1050"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9 785</w:t>
            </w:r>
          </w:p>
        </w:tc>
        <w:tc>
          <w:tcPr>
            <w:tcW w:w="1505"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99.7%</w:t>
            </w:r>
          </w:p>
        </w:tc>
      </w:tr>
      <w:tr w:rsidR="00587F48" w:rsidRPr="00C70473" w:rsidTr="00587F48">
        <w:tc>
          <w:tcPr>
            <w:tcW w:w="3082" w:type="dxa"/>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Total</w:t>
            </w:r>
          </w:p>
        </w:tc>
        <w:tc>
          <w:tcPr>
            <w:tcW w:w="1539"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100 473 833</w:t>
            </w:r>
          </w:p>
        </w:tc>
        <w:tc>
          <w:tcPr>
            <w:tcW w:w="1552"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100 473 833</w:t>
            </w:r>
          </w:p>
        </w:tc>
        <w:tc>
          <w:tcPr>
            <w:tcW w:w="1372" w:type="dxa"/>
            <w:vAlign w:val="center"/>
          </w:tcPr>
          <w:p w:rsidR="00587F48" w:rsidRPr="00C70473" w:rsidRDefault="00587F48" w:rsidP="00C70473">
            <w:pPr>
              <w:rPr>
                <w:rFonts w:ascii="Arial" w:hAnsi="Arial" w:cs="Arial"/>
                <w:b/>
                <w:bCs/>
                <w:sz w:val="20"/>
                <w:szCs w:val="20"/>
                <w:lang w:eastAsia="en-ZA"/>
              </w:rPr>
            </w:pPr>
            <w:r w:rsidRPr="00C70473">
              <w:rPr>
                <w:rFonts w:ascii="Arial" w:hAnsi="Arial" w:cs="Arial"/>
                <w:b/>
                <w:bCs/>
                <w:sz w:val="20"/>
                <w:szCs w:val="20"/>
                <w:lang w:eastAsia="en-ZA"/>
              </w:rPr>
              <w:t>99 595 392</w:t>
            </w:r>
          </w:p>
        </w:tc>
        <w:tc>
          <w:tcPr>
            <w:tcW w:w="1050"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878 441</w:t>
            </w:r>
          </w:p>
        </w:tc>
        <w:tc>
          <w:tcPr>
            <w:tcW w:w="1505"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99.1%</w:t>
            </w:r>
          </w:p>
        </w:tc>
      </w:tr>
      <w:tr w:rsidR="00587F48" w:rsidRPr="00C70473" w:rsidTr="00587F48">
        <w:tc>
          <w:tcPr>
            <w:tcW w:w="3082" w:type="dxa"/>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Economic Classification</w:t>
            </w:r>
          </w:p>
        </w:tc>
        <w:tc>
          <w:tcPr>
            <w:tcW w:w="1539" w:type="dxa"/>
            <w:vAlign w:val="center"/>
          </w:tcPr>
          <w:p w:rsidR="00587F48" w:rsidRPr="00C70473" w:rsidRDefault="00587F48" w:rsidP="00C70473">
            <w:pPr>
              <w:rPr>
                <w:rFonts w:ascii="Arial" w:hAnsi="Arial" w:cs="Arial"/>
                <w:sz w:val="20"/>
                <w:szCs w:val="20"/>
                <w:lang w:eastAsia="en-ZA"/>
              </w:rPr>
            </w:pPr>
          </w:p>
        </w:tc>
        <w:tc>
          <w:tcPr>
            <w:tcW w:w="1552" w:type="dxa"/>
            <w:vAlign w:val="center"/>
          </w:tcPr>
          <w:p w:rsidR="00587F48" w:rsidRPr="00C70473" w:rsidRDefault="00587F48" w:rsidP="00C70473">
            <w:pPr>
              <w:rPr>
                <w:rFonts w:ascii="Arial" w:hAnsi="Arial" w:cs="Arial"/>
                <w:sz w:val="20"/>
                <w:szCs w:val="20"/>
                <w:lang w:eastAsia="en-ZA"/>
              </w:rPr>
            </w:pPr>
          </w:p>
        </w:tc>
        <w:tc>
          <w:tcPr>
            <w:tcW w:w="1372" w:type="dxa"/>
            <w:vAlign w:val="center"/>
          </w:tcPr>
          <w:p w:rsidR="00587F48" w:rsidRPr="00C70473" w:rsidRDefault="00587F48" w:rsidP="00C70473">
            <w:pPr>
              <w:rPr>
                <w:rFonts w:ascii="Arial" w:hAnsi="Arial" w:cs="Arial"/>
                <w:sz w:val="20"/>
                <w:szCs w:val="20"/>
                <w:lang w:eastAsia="en-ZA"/>
              </w:rPr>
            </w:pPr>
          </w:p>
        </w:tc>
        <w:tc>
          <w:tcPr>
            <w:tcW w:w="1050" w:type="dxa"/>
            <w:vAlign w:val="center"/>
          </w:tcPr>
          <w:p w:rsidR="00587F48" w:rsidRPr="00C70473" w:rsidRDefault="00587F48" w:rsidP="00C70473">
            <w:pPr>
              <w:rPr>
                <w:rFonts w:ascii="Arial" w:hAnsi="Arial" w:cs="Arial"/>
                <w:sz w:val="20"/>
                <w:szCs w:val="20"/>
                <w:lang w:eastAsia="en-ZA"/>
              </w:rPr>
            </w:pPr>
          </w:p>
        </w:tc>
        <w:tc>
          <w:tcPr>
            <w:tcW w:w="1505" w:type="dxa"/>
            <w:vAlign w:val="center"/>
          </w:tcPr>
          <w:p w:rsidR="00587F48" w:rsidRPr="00C70473" w:rsidRDefault="00587F48" w:rsidP="00C70473">
            <w:pPr>
              <w:rPr>
                <w:rFonts w:ascii="Arial" w:hAnsi="Arial" w:cs="Arial"/>
                <w:sz w:val="20"/>
                <w:szCs w:val="20"/>
                <w:lang w:eastAsia="en-ZA"/>
              </w:rPr>
            </w:pPr>
          </w:p>
        </w:tc>
      </w:tr>
      <w:tr w:rsidR="00587F48" w:rsidRPr="00C70473" w:rsidTr="00587F48">
        <w:tc>
          <w:tcPr>
            <w:tcW w:w="3082" w:type="dxa"/>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Current payments</w:t>
            </w:r>
          </w:p>
        </w:tc>
        <w:tc>
          <w:tcPr>
            <w:tcW w:w="1539"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94 978 106</w:t>
            </w:r>
          </w:p>
        </w:tc>
        <w:tc>
          <w:tcPr>
            <w:tcW w:w="1552"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95 190 598</w:t>
            </w:r>
          </w:p>
        </w:tc>
        <w:tc>
          <w:tcPr>
            <w:tcW w:w="1372" w:type="dxa"/>
            <w:vAlign w:val="center"/>
          </w:tcPr>
          <w:p w:rsidR="00587F48" w:rsidRPr="00C70473" w:rsidRDefault="00587F48" w:rsidP="00C70473">
            <w:pPr>
              <w:rPr>
                <w:rFonts w:ascii="Arial" w:hAnsi="Arial" w:cs="Arial"/>
                <w:b/>
                <w:bCs/>
                <w:sz w:val="20"/>
                <w:szCs w:val="20"/>
                <w:lang w:eastAsia="en-ZA"/>
              </w:rPr>
            </w:pPr>
            <w:r w:rsidRPr="00C70473">
              <w:rPr>
                <w:rFonts w:ascii="Arial" w:hAnsi="Arial" w:cs="Arial"/>
                <w:b/>
                <w:bCs/>
                <w:sz w:val="20"/>
                <w:szCs w:val="20"/>
                <w:lang w:eastAsia="en-ZA"/>
              </w:rPr>
              <w:t>94 754 519</w:t>
            </w:r>
          </w:p>
        </w:tc>
        <w:tc>
          <w:tcPr>
            <w:tcW w:w="1050"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436 079</w:t>
            </w:r>
          </w:p>
        </w:tc>
        <w:tc>
          <w:tcPr>
            <w:tcW w:w="1505"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99.5%</w:t>
            </w:r>
          </w:p>
        </w:tc>
      </w:tr>
      <w:tr w:rsidR="00587F48" w:rsidRPr="00C70473" w:rsidTr="00587F48">
        <w:tc>
          <w:tcPr>
            <w:tcW w:w="3082" w:type="dxa"/>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Compensation of employees</w:t>
            </w:r>
          </w:p>
        </w:tc>
        <w:tc>
          <w:tcPr>
            <w:tcW w:w="1539"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78 668 276</w:t>
            </w:r>
          </w:p>
        </w:tc>
        <w:tc>
          <w:tcPr>
            <w:tcW w:w="1552"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78 668 276</w:t>
            </w:r>
          </w:p>
        </w:tc>
        <w:tc>
          <w:tcPr>
            <w:tcW w:w="1372"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78 411 934</w:t>
            </w:r>
          </w:p>
        </w:tc>
        <w:tc>
          <w:tcPr>
            <w:tcW w:w="1050"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256 342</w:t>
            </w:r>
          </w:p>
        </w:tc>
        <w:tc>
          <w:tcPr>
            <w:tcW w:w="1505"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99.7%</w:t>
            </w:r>
          </w:p>
        </w:tc>
      </w:tr>
      <w:tr w:rsidR="00587F48" w:rsidRPr="00C70473" w:rsidTr="00587F48">
        <w:tc>
          <w:tcPr>
            <w:tcW w:w="3082" w:type="dxa"/>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Goods and Services</w:t>
            </w:r>
          </w:p>
        </w:tc>
        <w:tc>
          <w:tcPr>
            <w:tcW w:w="1539"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16 309 830</w:t>
            </w:r>
          </w:p>
        </w:tc>
        <w:tc>
          <w:tcPr>
            <w:tcW w:w="1552"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16 522 322</w:t>
            </w:r>
          </w:p>
        </w:tc>
        <w:tc>
          <w:tcPr>
            <w:tcW w:w="1372"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16 342 585</w:t>
            </w:r>
          </w:p>
        </w:tc>
        <w:tc>
          <w:tcPr>
            <w:tcW w:w="1050"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179 737</w:t>
            </w:r>
          </w:p>
        </w:tc>
        <w:tc>
          <w:tcPr>
            <w:tcW w:w="1505" w:type="dxa"/>
            <w:vAlign w:val="center"/>
          </w:tcPr>
          <w:p w:rsidR="00587F48" w:rsidRPr="00C70473" w:rsidRDefault="00587F48" w:rsidP="00C70473">
            <w:pPr>
              <w:rPr>
                <w:rFonts w:ascii="Arial" w:hAnsi="Arial" w:cs="Arial"/>
                <w:sz w:val="20"/>
                <w:szCs w:val="20"/>
                <w:lang w:eastAsia="en-ZA"/>
              </w:rPr>
            </w:pPr>
            <w:r w:rsidRPr="00C70473">
              <w:rPr>
                <w:rFonts w:ascii="Arial" w:hAnsi="Arial" w:cs="Arial"/>
                <w:sz w:val="20"/>
                <w:szCs w:val="20"/>
                <w:lang w:eastAsia="en-ZA"/>
              </w:rPr>
              <w:t>98.9%</w:t>
            </w:r>
          </w:p>
        </w:tc>
      </w:tr>
      <w:tr w:rsidR="00587F48" w:rsidRPr="00C70473" w:rsidTr="00587F48">
        <w:tc>
          <w:tcPr>
            <w:tcW w:w="3082" w:type="dxa"/>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Transfers and subsidies</w:t>
            </w:r>
          </w:p>
        </w:tc>
        <w:tc>
          <w:tcPr>
            <w:tcW w:w="1539"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1 901 319</w:t>
            </w:r>
          </w:p>
        </w:tc>
        <w:tc>
          <w:tcPr>
            <w:tcW w:w="1552"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2 069 007</w:t>
            </w:r>
          </w:p>
        </w:tc>
        <w:tc>
          <w:tcPr>
            <w:tcW w:w="1372" w:type="dxa"/>
            <w:vAlign w:val="center"/>
          </w:tcPr>
          <w:p w:rsidR="00587F48" w:rsidRPr="00C70473" w:rsidRDefault="00587F48" w:rsidP="00C70473">
            <w:pPr>
              <w:rPr>
                <w:rFonts w:ascii="Arial" w:hAnsi="Arial" w:cs="Arial"/>
                <w:b/>
                <w:bCs/>
                <w:sz w:val="20"/>
                <w:szCs w:val="20"/>
                <w:lang w:eastAsia="en-ZA"/>
              </w:rPr>
            </w:pPr>
            <w:r w:rsidRPr="00C70473">
              <w:rPr>
                <w:rFonts w:ascii="Arial" w:hAnsi="Arial" w:cs="Arial"/>
                <w:b/>
                <w:bCs/>
                <w:sz w:val="20"/>
                <w:szCs w:val="20"/>
                <w:lang w:eastAsia="en-ZA"/>
              </w:rPr>
              <w:t>2 068 007</w:t>
            </w:r>
          </w:p>
        </w:tc>
        <w:tc>
          <w:tcPr>
            <w:tcW w:w="1050"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1 000</w:t>
            </w:r>
          </w:p>
        </w:tc>
        <w:tc>
          <w:tcPr>
            <w:tcW w:w="1505"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100.0%</w:t>
            </w:r>
          </w:p>
        </w:tc>
      </w:tr>
      <w:tr w:rsidR="00587F48" w:rsidRPr="00C70473" w:rsidTr="00587F48">
        <w:tc>
          <w:tcPr>
            <w:tcW w:w="3082" w:type="dxa"/>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Payments of capital assets</w:t>
            </w:r>
          </w:p>
        </w:tc>
        <w:tc>
          <w:tcPr>
            <w:tcW w:w="1539"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3 594 408</w:t>
            </w:r>
          </w:p>
        </w:tc>
        <w:tc>
          <w:tcPr>
            <w:tcW w:w="1552"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3 143 937</w:t>
            </w:r>
          </w:p>
        </w:tc>
        <w:tc>
          <w:tcPr>
            <w:tcW w:w="1372" w:type="dxa"/>
            <w:vAlign w:val="center"/>
          </w:tcPr>
          <w:p w:rsidR="00587F48" w:rsidRPr="00C70473" w:rsidRDefault="00587F48" w:rsidP="00C70473">
            <w:pPr>
              <w:rPr>
                <w:rFonts w:ascii="Arial" w:hAnsi="Arial" w:cs="Arial"/>
                <w:b/>
                <w:bCs/>
                <w:sz w:val="20"/>
                <w:szCs w:val="20"/>
                <w:lang w:eastAsia="en-ZA"/>
              </w:rPr>
            </w:pPr>
            <w:r w:rsidRPr="00C70473">
              <w:rPr>
                <w:rFonts w:ascii="Arial" w:hAnsi="Arial" w:cs="Arial"/>
                <w:b/>
                <w:bCs/>
                <w:sz w:val="20"/>
                <w:szCs w:val="20"/>
                <w:lang w:eastAsia="en-ZA"/>
              </w:rPr>
              <w:t>2 702 575</w:t>
            </w:r>
          </w:p>
        </w:tc>
        <w:tc>
          <w:tcPr>
            <w:tcW w:w="1050"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441 362</w:t>
            </w:r>
          </w:p>
        </w:tc>
        <w:tc>
          <w:tcPr>
            <w:tcW w:w="1505"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86.0%</w:t>
            </w:r>
          </w:p>
        </w:tc>
      </w:tr>
      <w:tr w:rsidR="00587F48" w:rsidRPr="00C70473" w:rsidTr="00587F48">
        <w:tc>
          <w:tcPr>
            <w:tcW w:w="3082" w:type="dxa"/>
          </w:tcPr>
          <w:p w:rsidR="00587F48" w:rsidRPr="00C70473" w:rsidRDefault="00587F48" w:rsidP="00C70473">
            <w:pPr>
              <w:ind w:left="66"/>
              <w:rPr>
                <w:rFonts w:ascii="Arial" w:hAnsi="Arial" w:cs="Arial"/>
                <w:b/>
                <w:sz w:val="20"/>
                <w:szCs w:val="20"/>
                <w:lang w:eastAsia="en-ZA"/>
              </w:rPr>
            </w:pPr>
            <w:r w:rsidRPr="00C70473">
              <w:rPr>
                <w:rFonts w:ascii="Arial" w:hAnsi="Arial" w:cs="Arial"/>
                <w:b/>
                <w:sz w:val="20"/>
                <w:szCs w:val="20"/>
                <w:lang w:eastAsia="en-ZA"/>
              </w:rPr>
              <w:t xml:space="preserve">Buildings and other fixed structures </w:t>
            </w:r>
          </w:p>
        </w:tc>
        <w:tc>
          <w:tcPr>
            <w:tcW w:w="1539" w:type="dxa"/>
            <w:vAlign w:val="center"/>
          </w:tcPr>
          <w:p w:rsidR="00587F48" w:rsidRPr="00C70473" w:rsidRDefault="00587F48" w:rsidP="00C70473">
            <w:pPr>
              <w:rPr>
                <w:rFonts w:ascii="Arial" w:hAnsi="Arial" w:cs="Arial"/>
                <w:b/>
                <w:bCs/>
                <w:sz w:val="20"/>
                <w:szCs w:val="20"/>
                <w:lang w:eastAsia="en-ZA"/>
              </w:rPr>
            </w:pPr>
            <w:r w:rsidRPr="00C70473">
              <w:rPr>
                <w:rFonts w:ascii="Arial" w:hAnsi="Arial" w:cs="Arial"/>
                <w:b/>
                <w:bCs/>
                <w:sz w:val="20"/>
                <w:szCs w:val="20"/>
                <w:lang w:eastAsia="en-ZA"/>
              </w:rPr>
              <w:t>989 777</w:t>
            </w:r>
          </w:p>
        </w:tc>
        <w:tc>
          <w:tcPr>
            <w:tcW w:w="1552" w:type="dxa"/>
            <w:vAlign w:val="center"/>
          </w:tcPr>
          <w:p w:rsidR="00587F48" w:rsidRPr="00C70473" w:rsidRDefault="00587F48" w:rsidP="00C70473">
            <w:pPr>
              <w:rPr>
                <w:rFonts w:ascii="Arial" w:hAnsi="Arial" w:cs="Arial"/>
                <w:b/>
                <w:bCs/>
                <w:sz w:val="20"/>
                <w:szCs w:val="20"/>
                <w:lang w:eastAsia="en-ZA"/>
              </w:rPr>
            </w:pPr>
            <w:r w:rsidRPr="00C70473">
              <w:rPr>
                <w:rFonts w:ascii="Arial" w:hAnsi="Arial" w:cs="Arial"/>
                <w:b/>
                <w:bCs/>
                <w:sz w:val="20"/>
                <w:szCs w:val="20"/>
                <w:lang w:eastAsia="en-ZA"/>
              </w:rPr>
              <w:t>614 843</w:t>
            </w:r>
          </w:p>
        </w:tc>
        <w:tc>
          <w:tcPr>
            <w:tcW w:w="1372" w:type="dxa"/>
            <w:vAlign w:val="center"/>
          </w:tcPr>
          <w:p w:rsidR="00587F48" w:rsidRPr="00C70473" w:rsidRDefault="00587F48" w:rsidP="00C70473">
            <w:pPr>
              <w:rPr>
                <w:rFonts w:ascii="Arial" w:hAnsi="Arial" w:cs="Arial"/>
                <w:b/>
                <w:bCs/>
                <w:sz w:val="20"/>
                <w:szCs w:val="20"/>
                <w:lang w:eastAsia="en-ZA"/>
              </w:rPr>
            </w:pPr>
            <w:r w:rsidRPr="00C70473">
              <w:rPr>
                <w:rFonts w:ascii="Arial" w:hAnsi="Arial" w:cs="Arial"/>
                <w:b/>
                <w:bCs/>
                <w:sz w:val="20"/>
                <w:szCs w:val="20"/>
                <w:lang w:eastAsia="en-ZA"/>
              </w:rPr>
              <w:t>405 196</w:t>
            </w:r>
          </w:p>
        </w:tc>
        <w:tc>
          <w:tcPr>
            <w:tcW w:w="1050" w:type="dxa"/>
            <w:vAlign w:val="center"/>
          </w:tcPr>
          <w:p w:rsidR="00587F48" w:rsidRPr="00C70473" w:rsidRDefault="00587F48" w:rsidP="00C70473">
            <w:pPr>
              <w:rPr>
                <w:rFonts w:ascii="Arial" w:hAnsi="Arial" w:cs="Arial"/>
                <w:b/>
                <w:bCs/>
                <w:sz w:val="20"/>
                <w:szCs w:val="20"/>
                <w:lang w:eastAsia="en-ZA"/>
              </w:rPr>
            </w:pPr>
            <w:r w:rsidRPr="00C70473">
              <w:rPr>
                <w:rFonts w:ascii="Arial" w:hAnsi="Arial" w:cs="Arial"/>
                <w:b/>
                <w:bCs/>
                <w:sz w:val="20"/>
                <w:szCs w:val="20"/>
                <w:lang w:eastAsia="en-ZA"/>
              </w:rPr>
              <w:t>209 647</w:t>
            </w:r>
          </w:p>
        </w:tc>
        <w:tc>
          <w:tcPr>
            <w:tcW w:w="1505"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65.90%</w:t>
            </w:r>
          </w:p>
        </w:tc>
      </w:tr>
      <w:tr w:rsidR="00587F48" w:rsidRPr="00C70473" w:rsidTr="00587F48">
        <w:tc>
          <w:tcPr>
            <w:tcW w:w="3082" w:type="dxa"/>
          </w:tcPr>
          <w:p w:rsidR="00587F48" w:rsidRPr="00C70473" w:rsidRDefault="00587F48" w:rsidP="00C70473">
            <w:pPr>
              <w:ind w:left="66"/>
              <w:rPr>
                <w:rFonts w:ascii="Arial" w:hAnsi="Arial" w:cs="Arial"/>
                <w:i/>
                <w:sz w:val="20"/>
                <w:szCs w:val="20"/>
                <w:lang w:eastAsia="en-ZA"/>
              </w:rPr>
            </w:pPr>
            <w:r w:rsidRPr="00C70473">
              <w:rPr>
                <w:rFonts w:ascii="Arial" w:hAnsi="Arial" w:cs="Arial"/>
                <w:i/>
                <w:sz w:val="20"/>
                <w:szCs w:val="20"/>
                <w:lang w:eastAsia="en-ZA"/>
              </w:rPr>
              <w:t xml:space="preserve">Buildings </w:t>
            </w:r>
          </w:p>
        </w:tc>
        <w:tc>
          <w:tcPr>
            <w:tcW w:w="1539" w:type="dxa"/>
            <w:vAlign w:val="center"/>
          </w:tcPr>
          <w:p w:rsidR="00587F48" w:rsidRPr="00C70473" w:rsidRDefault="00587F48" w:rsidP="00C70473">
            <w:pPr>
              <w:rPr>
                <w:rFonts w:ascii="Arial" w:hAnsi="Arial" w:cs="Arial"/>
                <w:bCs/>
                <w:i/>
                <w:sz w:val="20"/>
                <w:szCs w:val="20"/>
                <w:lang w:eastAsia="en-ZA"/>
              </w:rPr>
            </w:pPr>
            <w:r w:rsidRPr="00C70473">
              <w:rPr>
                <w:rFonts w:ascii="Arial" w:hAnsi="Arial" w:cs="Arial"/>
                <w:bCs/>
                <w:i/>
                <w:sz w:val="20"/>
                <w:szCs w:val="20"/>
                <w:lang w:eastAsia="en-ZA"/>
              </w:rPr>
              <w:t>696 670</w:t>
            </w:r>
          </w:p>
        </w:tc>
        <w:tc>
          <w:tcPr>
            <w:tcW w:w="1552" w:type="dxa"/>
            <w:vAlign w:val="center"/>
          </w:tcPr>
          <w:p w:rsidR="00587F48" w:rsidRPr="00C70473" w:rsidRDefault="00587F48" w:rsidP="00C70473">
            <w:pPr>
              <w:rPr>
                <w:rFonts w:ascii="Arial" w:hAnsi="Arial" w:cs="Arial"/>
                <w:bCs/>
                <w:i/>
                <w:sz w:val="20"/>
                <w:szCs w:val="20"/>
                <w:lang w:eastAsia="en-ZA"/>
              </w:rPr>
            </w:pPr>
            <w:r w:rsidRPr="00C70473">
              <w:rPr>
                <w:rFonts w:ascii="Arial" w:hAnsi="Arial" w:cs="Arial"/>
                <w:bCs/>
                <w:i/>
                <w:sz w:val="20"/>
                <w:szCs w:val="20"/>
                <w:lang w:eastAsia="en-ZA"/>
              </w:rPr>
              <w:t>317 484</w:t>
            </w:r>
          </w:p>
        </w:tc>
        <w:tc>
          <w:tcPr>
            <w:tcW w:w="1372" w:type="dxa"/>
            <w:vAlign w:val="center"/>
          </w:tcPr>
          <w:p w:rsidR="00587F48" w:rsidRPr="00C70473" w:rsidRDefault="00587F48" w:rsidP="00C70473">
            <w:pPr>
              <w:rPr>
                <w:rFonts w:ascii="Arial" w:hAnsi="Arial" w:cs="Arial"/>
                <w:bCs/>
                <w:i/>
                <w:sz w:val="20"/>
                <w:szCs w:val="20"/>
                <w:lang w:eastAsia="en-ZA"/>
              </w:rPr>
            </w:pPr>
            <w:r w:rsidRPr="00C70473">
              <w:rPr>
                <w:rFonts w:ascii="Arial" w:hAnsi="Arial" w:cs="Arial"/>
                <w:bCs/>
                <w:i/>
                <w:sz w:val="20"/>
                <w:szCs w:val="20"/>
                <w:lang w:eastAsia="en-ZA"/>
              </w:rPr>
              <w:t>317 484</w:t>
            </w:r>
          </w:p>
        </w:tc>
        <w:tc>
          <w:tcPr>
            <w:tcW w:w="1050" w:type="dxa"/>
            <w:vAlign w:val="center"/>
          </w:tcPr>
          <w:p w:rsidR="00587F48" w:rsidRPr="00C70473" w:rsidRDefault="00587F48" w:rsidP="00C70473">
            <w:pPr>
              <w:rPr>
                <w:rFonts w:ascii="Arial" w:hAnsi="Arial" w:cs="Arial"/>
                <w:bCs/>
                <w:i/>
                <w:sz w:val="20"/>
                <w:szCs w:val="20"/>
                <w:lang w:eastAsia="en-ZA"/>
              </w:rPr>
            </w:pPr>
            <w:r w:rsidRPr="00C70473">
              <w:rPr>
                <w:rFonts w:ascii="Arial" w:hAnsi="Arial" w:cs="Arial"/>
                <w:bCs/>
                <w:i/>
                <w:sz w:val="20"/>
                <w:szCs w:val="20"/>
                <w:lang w:eastAsia="en-ZA"/>
              </w:rPr>
              <w:t>0</w:t>
            </w:r>
          </w:p>
        </w:tc>
        <w:tc>
          <w:tcPr>
            <w:tcW w:w="1505" w:type="dxa"/>
            <w:vAlign w:val="center"/>
          </w:tcPr>
          <w:p w:rsidR="00587F48" w:rsidRPr="00C70473" w:rsidRDefault="00587F48" w:rsidP="00C70473">
            <w:pPr>
              <w:rPr>
                <w:rFonts w:ascii="Arial" w:hAnsi="Arial" w:cs="Arial"/>
                <w:i/>
                <w:sz w:val="20"/>
                <w:szCs w:val="20"/>
                <w:lang w:eastAsia="en-ZA"/>
              </w:rPr>
            </w:pPr>
            <w:r w:rsidRPr="00C70473">
              <w:rPr>
                <w:rFonts w:ascii="Arial" w:hAnsi="Arial" w:cs="Arial"/>
                <w:i/>
                <w:sz w:val="20"/>
                <w:szCs w:val="20"/>
                <w:lang w:eastAsia="en-ZA"/>
              </w:rPr>
              <w:t>100.0%</w:t>
            </w:r>
          </w:p>
        </w:tc>
      </w:tr>
      <w:tr w:rsidR="00587F48" w:rsidRPr="00C70473" w:rsidTr="00587F48">
        <w:tc>
          <w:tcPr>
            <w:tcW w:w="3082" w:type="dxa"/>
          </w:tcPr>
          <w:p w:rsidR="00587F48" w:rsidRPr="00C70473" w:rsidRDefault="00587F48" w:rsidP="00C70473">
            <w:pPr>
              <w:ind w:left="66"/>
              <w:rPr>
                <w:rFonts w:ascii="Arial" w:hAnsi="Arial" w:cs="Arial"/>
                <w:i/>
                <w:sz w:val="20"/>
                <w:szCs w:val="20"/>
                <w:lang w:eastAsia="en-ZA"/>
              </w:rPr>
            </w:pPr>
            <w:r w:rsidRPr="00C70473">
              <w:rPr>
                <w:rFonts w:ascii="Arial" w:hAnsi="Arial" w:cs="Arial"/>
                <w:i/>
                <w:sz w:val="20"/>
                <w:szCs w:val="20"/>
                <w:lang w:eastAsia="en-ZA"/>
              </w:rPr>
              <w:t>Other fixed structures</w:t>
            </w:r>
          </w:p>
        </w:tc>
        <w:tc>
          <w:tcPr>
            <w:tcW w:w="1539" w:type="dxa"/>
            <w:vAlign w:val="center"/>
          </w:tcPr>
          <w:p w:rsidR="00587F48" w:rsidRPr="00C70473" w:rsidRDefault="00587F48" w:rsidP="00C70473">
            <w:pPr>
              <w:rPr>
                <w:rFonts w:ascii="Arial" w:hAnsi="Arial" w:cs="Arial"/>
                <w:bCs/>
                <w:i/>
                <w:sz w:val="20"/>
                <w:szCs w:val="20"/>
                <w:lang w:eastAsia="en-ZA"/>
              </w:rPr>
            </w:pPr>
            <w:r w:rsidRPr="00C70473">
              <w:rPr>
                <w:rFonts w:ascii="Arial" w:hAnsi="Arial" w:cs="Arial"/>
                <w:bCs/>
                <w:i/>
                <w:sz w:val="20"/>
                <w:szCs w:val="20"/>
                <w:lang w:eastAsia="en-ZA"/>
              </w:rPr>
              <w:t>293 107</w:t>
            </w:r>
          </w:p>
        </w:tc>
        <w:tc>
          <w:tcPr>
            <w:tcW w:w="1552" w:type="dxa"/>
            <w:vAlign w:val="center"/>
          </w:tcPr>
          <w:p w:rsidR="00587F48" w:rsidRPr="00C70473" w:rsidRDefault="00587F48" w:rsidP="00C70473">
            <w:pPr>
              <w:rPr>
                <w:rFonts w:ascii="Arial" w:hAnsi="Arial" w:cs="Arial"/>
                <w:bCs/>
                <w:i/>
                <w:sz w:val="20"/>
                <w:szCs w:val="20"/>
                <w:lang w:eastAsia="en-ZA"/>
              </w:rPr>
            </w:pPr>
            <w:r w:rsidRPr="00C70473">
              <w:rPr>
                <w:rFonts w:ascii="Arial" w:hAnsi="Arial" w:cs="Arial"/>
                <w:bCs/>
                <w:i/>
                <w:sz w:val="20"/>
                <w:szCs w:val="20"/>
                <w:lang w:eastAsia="en-ZA"/>
              </w:rPr>
              <w:t>297 359</w:t>
            </w:r>
          </w:p>
        </w:tc>
        <w:tc>
          <w:tcPr>
            <w:tcW w:w="1372" w:type="dxa"/>
            <w:vAlign w:val="center"/>
          </w:tcPr>
          <w:p w:rsidR="00587F48" w:rsidRPr="00C70473" w:rsidRDefault="00587F48" w:rsidP="00C70473">
            <w:pPr>
              <w:rPr>
                <w:rFonts w:ascii="Arial" w:hAnsi="Arial" w:cs="Arial"/>
                <w:bCs/>
                <w:i/>
                <w:sz w:val="20"/>
                <w:szCs w:val="20"/>
                <w:lang w:eastAsia="en-ZA"/>
              </w:rPr>
            </w:pPr>
            <w:r w:rsidRPr="00C70473">
              <w:rPr>
                <w:rFonts w:ascii="Arial" w:hAnsi="Arial" w:cs="Arial"/>
                <w:bCs/>
                <w:i/>
                <w:sz w:val="20"/>
                <w:szCs w:val="20"/>
                <w:lang w:eastAsia="en-ZA"/>
              </w:rPr>
              <w:t>87 712</w:t>
            </w:r>
          </w:p>
        </w:tc>
        <w:tc>
          <w:tcPr>
            <w:tcW w:w="1050" w:type="dxa"/>
            <w:vAlign w:val="center"/>
          </w:tcPr>
          <w:p w:rsidR="00587F48" w:rsidRPr="00C70473" w:rsidRDefault="00587F48" w:rsidP="00C70473">
            <w:pPr>
              <w:rPr>
                <w:rFonts w:ascii="Arial" w:hAnsi="Arial" w:cs="Arial"/>
                <w:bCs/>
                <w:i/>
                <w:sz w:val="20"/>
                <w:szCs w:val="20"/>
                <w:lang w:eastAsia="en-ZA"/>
              </w:rPr>
            </w:pPr>
            <w:r w:rsidRPr="00C70473">
              <w:rPr>
                <w:rFonts w:ascii="Arial" w:hAnsi="Arial" w:cs="Arial"/>
                <w:bCs/>
                <w:i/>
                <w:sz w:val="20"/>
                <w:szCs w:val="20"/>
                <w:lang w:eastAsia="en-ZA"/>
              </w:rPr>
              <w:t>209 647</w:t>
            </w:r>
          </w:p>
        </w:tc>
        <w:tc>
          <w:tcPr>
            <w:tcW w:w="1505" w:type="dxa"/>
            <w:vAlign w:val="center"/>
          </w:tcPr>
          <w:p w:rsidR="00587F48" w:rsidRPr="00C70473" w:rsidRDefault="00587F48" w:rsidP="00C70473">
            <w:pPr>
              <w:rPr>
                <w:rFonts w:ascii="Arial" w:hAnsi="Arial" w:cs="Arial"/>
                <w:i/>
                <w:sz w:val="20"/>
                <w:szCs w:val="20"/>
                <w:lang w:eastAsia="en-ZA"/>
              </w:rPr>
            </w:pPr>
            <w:r w:rsidRPr="00C70473">
              <w:rPr>
                <w:rFonts w:ascii="Arial" w:hAnsi="Arial" w:cs="Arial"/>
                <w:i/>
                <w:sz w:val="20"/>
                <w:szCs w:val="20"/>
                <w:lang w:eastAsia="en-ZA"/>
              </w:rPr>
              <w:t>29.5%</w:t>
            </w:r>
          </w:p>
        </w:tc>
      </w:tr>
      <w:tr w:rsidR="00587F48" w:rsidRPr="00C70473" w:rsidTr="00587F48">
        <w:tc>
          <w:tcPr>
            <w:tcW w:w="3082" w:type="dxa"/>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Machinery and equipment</w:t>
            </w:r>
          </w:p>
        </w:tc>
        <w:tc>
          <w:tcPr>
            <w:tcW w:w="1539"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2 589 842</w:t>
            </w:r>
          </w:p>
        </w:tc>
        <w:tc>
          <w:tcPr>
            <w:tcW w:w="1552"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2 467 780</w:t>
            </w:r>
          </w:p>
        </w:tc>
        <w:tc>
          <w:tcPr>
            <w:tcW w:w="1372" w:type="dxa"/>
            <w:vAlign w:val="center"/>
          </w:tcPr>
          <w:p w:rsidR="00587F48" w:rsidRPr="00C70473" w:rsidRDefault="00587F48" w:rsidP="00C70473">
            <w:pPr>
              <w:rPr>
                <w:rFonts w:ascii="Arial" w:hAnsi="Arial" w:cs="Arial"/>
                <w:b/>
                <w:bCs/>
                <w:sz w:val="20"/>
                <w:szCs w:val="20"/>
                <w:lang w:eastAsia="en-ZA"/>
              </w:rPr>
            </w:pPr>
            <w:r w:rsidRPr="00C70473">
              <w:rPr>
                <w:rFonts w:ascii="Arial" w:hAnsi="Arial" w:cs="Arial"/>
                <w:b/>
                <w:bCs/>
                <w:sz w:val="20"/>
                <w:szCs w:val="20"/>
                <w:lang w:eastAsia="en-ZA"/>
              </w:rPr>
              <w:t>2 238 986</w:t>
            </w:r>
          </w:p>
        </w:tc>
        <w:tc>
          <w:tcPr>
            <w:tcW w:w="1050"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228 794</w:t>
            </w:r>
          </w:p>
        </w:tc>
        <w:tc>
          <w:tcPr>
            <w:tcW w:w="1505"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90.7%</w:t>
            </w:r>
          </w:p>
        </w:tc>
      </w:tr>
      <w:tr w:rsidR="00587F48" w:rsidRPr="00C70473" w:rsidTr="00587F48">
        <w:tc>
          <w:tcPr>
            <w:tcW w:w="3082" w:type="dxa"/>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 xml:space="preserve">Total </w:t>
            </w:r>
          </w:p>
        </w:tc>
        <w:tc>
          <w:tcPr>
            <w:tcW w:w="1539"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100 473 833</w:t>
            </w:r>
          </w:p>
        </w:tc>
        <w:tc>
          <w:tcPr>
            <w:tcW w:w="1552"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100 473 833</w:t>
            </w:r>
          </w:p>
        </w:tc>
        <w:tc>
          <w:tcPr>
            <w:tcW w:w="1372" w:type="dxa"/>
            <w:vAlign w:val="center"/>
          </w:tcPr>
          <w:p w:rsidR="00587F48" w:rsidRPr="00C70473" w:rsidRDefault="00587F48" w:rsidP="00C70473">
            <w:pPr>
              <w:rPr>
                <w:rFonts w:ascii="Arial" w:hAnsi="Arial" w:cs="Arial"/>
                <w:b/>
                <w:bCs/>
                <w:sz w:val="20"/>
                <w:szCs w:val="20"/>
                <w:lang w:eastAsia="en-ZA"/>
              </w:rPr>
            </w:pPr>
            <w:r w:rsidRPr="00C70473">
              <w:rPr>
                <w:rFonts w:ascii="Arial" w:hAnsi="Arial" w:cs="Arial"/>
                <w:b/>
                <w:bCs/>
                <w:sz w:val="20"/>
                <w:szCs w:val="20"/>
                <w:lang w:eastAsia="en-ZA"/>
              </w:rPr>
              <w:t>99 595 392</w:t>
            </w:r>
          </w:p>
        </w:tc>
        <w:tc>
          <w:tcPr>
            <w:tcW w:w="1050"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878 441</w:t>
            </w:r>
          </w:p>
        </w:tc>
        <w:tc>
          <w:tcPr>
            <w:tcW w:w="1505" w:type="dxa"/>
            <w:vAlign w:val="center"/>
          </w:tcPr>
          <w:p w:rsidR="00587F48" w:rsidRPr="00C70473" w:rsidRDefault="00587F48" w:rsidP="00C70473">
            <w:pPr>
              <w:rPr>
                <w:rFonts w:ascii="Arial" w:hAnsi="Arial" w:cs="Arial"/>
                <w:b/>
                <w:sz w:val="20"/>
                <w:szCs w:val="20"/>
                <w:lang w:eastAsia="en-ZA"/>
              </w:rPr>
            </w:pPr>
            <w:r w:rsidRPr="00C70473">
              <w:rPr>
                <w:rFonts w:ascii="Arial" w:hAnsi="Arial" w:cs="Arial"/>
                <w:b/>
                <w:sz w:val="20"/>
                <w:szCs w:val="20"/>
                <w:lang w:eastAsia="en-ZA"/>
              </w:rPr>
              <w:t>99.1%</w:t>
            </w:r>
          </w:p>
        </w:tc>
      </w:tr>
    </w:tbl>
    <w:p w:rsidR="00587F48" w:rsidRPr="00C70473" w:rsidRDefault="00587F48" w:rsidP="00C70473">
      <w:pPr>
        <w:spacing w:after="0" w:line="240" w:lineRule="auto"/>
        <w:rPr>
          <w:rFonts w:ascii="Arial" w:hAnsi="Arial" w:cs="Arial"/>
          <w:i/>
          <w:sz w:val="20"/>
          <w:szCs w:val="20"/>
        </w:rPr>
      </w:pPr>
      <w:bookmarkStart w:id="7" w:name="_Toc52622868"/>
      <w:bookmarkStart w:id="8" w:name="_Toc52640566"/>
      <w:r w:rsidRPr="00C70473">
        <w:rPr>
          <w:rFonts w:ascii="Arial" w:hAnsi="Arial" w:cs="Arial"/>
          <w:i/>
          <w:sz w:val="20"/>
          <w:szCs w:val="20"/>
        </w:rPr>
        <w:t>Source: SAPS 2021/22 Annual Report</w:t>
      </w:r>
    </w:p>
    <w:p w:rsidR="00DC1145" w:rsidRPr="00C70473" w:rsidRDefault="00DC1145" w:rsidP="00C70473">
      <w:pPr>
        <w:pStyle w:val="Heading2"/>
        <w:spacing w:before="0" w:line="240" w:lineRule="auto"/>
        <w:rPr>
          <w:rFonts w:ascii="Arial" w:eastAsiaTheme="minorHAnsi" w:hAnsi="Arial" w:cs="Arial"/>
          <w:b w:val="0"/>
          <w:sz w:val="20"/>
          <w:szCs w:val="20"/>
        </w:rPr>
      </w:pPr>
      <w:bookmarkStart w:id="9" w:name="_Toc115863856"/>
    </w:p>
    <w:p w:rsidR="00587F48" w:rsidRPr="00C70473" w:rsidRDefault="00587F48" w:rsidP="00C70473">
      <w:pPr>
        <w:pStyle w:val="Heading2"/>
        <w:numPr>
          <w:ilvl w:val="1"/>
          <w:numId w:val="105"/>
        </w:numPr>
        <w:spacing w:before="0" w:line="240" w:lineRule="auto"/>
        <w:rPr>
          <w:rFonts w:ascii="Arial" w:hAnsi="Arial" w:cs="Arial"/>
          <w:sz w:val="20"/>
          <w:szCs w:val="20"/>
        </w:rPr>
      </w:pPr>
      <w:r w:rsidRPr="00C70473">
        <w:rPr>
          <w:rFonts w:ascii="Arial" w:hAnsi="Arial" w:cs="Arial"/>
          <w:sz w:val="20"/>
          <w:szCs w:val="20"/>
        </w:rPr>
        <w:t>Expenditure at Programme level</w:t>
      </w:r>
      <w:bookmarkEnd w:id="7"/>
      <w:bookmarkEnd w:id="8"/>
      <w:bookmarkEnd w:id="9"/>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eastAsia="ArialMT" w:hAnsi="Arial" w:cs="Arial"/>
          <w:sz w:val="20"/>
          <w:szCs w:val="20"/>
          <w:lang w:eastAsia="en-ZA"/>
        </w:rPr>
      </w:pPr>
      <w:r w:rsidRPr="00C70473">
        <w:rPr>
          <w:rFonts w:ascii="Arial" w:hAnsi="Arial" w:cs="Arial"/>
          <w:b/>
          <w:sz w:val="20"/>
          <w:szCs w:val="20"/>
          <w:lang w:eastAsia="en-ZA"/>
        </w:rPr>
        <w:t xml:space="preserve">Programme 1: Administration. </w:t>
      </w:r>
      <w:r w:rsidRPr="00C70473">
        <w:rPr>
          <w:rFonts w:ascii="Arial" w:eastAsia="ArialMT" w:hAnsi="Arial" w:cs="Arial"/>
          <w:sz w:val="20"/>
          <w:szCs w:val="20"/>
          <w:lang w:eastAsia="en-ZA"/>
        </w:rPr>
        <w:t xml:space="preserve">At the end of the 2021/22 financial year, the Programme had spent R19.5 billion or 98.4% its Final Appropriation of R19.4 billion, thus underspending by R317.8 million. </w:t>
      </w:r>
    </w:p>
    <w:p w:rsidR="00587F48" w:rsidRPr="00C70473" w:rsidRDefault="00587F48" w:rsidP="00C70473">
      <w:pPr>
        <w:spacing w:after="0" w:line="240" w:lineRule="auto"/>
        <w:rPr>
          <w:rFonts w:ascii="Arial" w:eastAsia="ArialMT" w:hAnsi="Arial" w:cs="Arial"/>
          <w:sz w:val="20"/>
          <w:szCs w:val="20"/>
          <w:lang w:eastAsia="en-ZA"/>
        </w:rPr>
      </w:pPr>
    </w:p>
    <w:p w:rsidR="00587F48" w:rsidRPr="00C70473" w:rsidRDefault="00587F48" w:rsidP="00C70473">
      <w:pPr>
        <w:spacing w:after="0" w:line="240" w:lineRule="auto"/>
        <w:rPr>
          <w:rFonts w:ascii="Arial" w:eastAsia="ArialMT" w:hAnsi="Arial" w:cs="Arial"/>
          <w:sz w:val="20"/>
          <w:szCs w:val="20"/>
          <w:lang w:eastAsia="en-ZA"/>
        </w:rPr>
      </w:pPr>
      <w:r w:rsidRPr="00C70473">
        <w:rPr>
          <w:rFonts w:ascii="Arial" w:eastAsia="ArialMT" w:hAnsi="Arial" w:cs="Arial"/>
          <w:sz w:val="20"/>
          <w:szCs w:val="20"/>
          <w:lang w:eastAsia="en-ZA"/>
        </w:rPr>
        <w:t xml:space="preserve">The underspending was recorded under the </w:t>
      </w:r>
      <w:r w:rsidRPr="00C70473">
        <w:rPr>
          <w:rFonts w:ascii="Arial" w:eastAsia="ArialMT" w:hAnsi="Arial" w:cs="Arial"/>
          <w:i/>
          <w:iCs/>
          <w:sz w:val="20"/>
          <w:szCs w:val="20"/>
          <w:lang w:eastAsia="en-ZA"/>
        </w:rPr>
        <w:t xml:space="preserve">Corporate Services </w:t>
      </w:r>
      <w:r w:rsidRPr="00C70473">
        <w:rPr>
          <w:rFonts w:ascii="Arial" w:eastAsia="ArialMT" w:hAnsi="Arial" w:cs="Arial"/>
          <w:sz w:val="20"/>
          <w:szCs w:val="20"/>
          <w:lang w:eastAsia="en-ZA"/>
        </w:rPr>
        <w:t xml:space="preserve">subprogramme, which underspent with R288.9 million. The </w:t>
      </w:r>
      <w:r w:rsidRPr="00C70473">
        <w:rPr>
          <w:rFonts w:ascii="Arial" w:eastAsia="ArialMT" w:hAnsi="Arial" w:cs="Arial"/>
          <w:i/>
          <w:sz w:val="20"/>
          <w:szCs w:val="20"/>
          <w:lang w:eastAsia="en-ZA"/>
        </w:rPr>
        <w:t>Ministry</w:t>
      </w:r>
      <w:r w:rsidRPr="00C70473">
        <w:rPr>
          <w:rFonts w:ascii="Arial" w:eastAsia="ArialMT" w:hAnsi="Arial" w:cs="Arial"/>
          <w:sz w:val="20"/>
          <w:szCs w:val="20"/>
          <w:lang w:eastAsia="en-ZA"/>
        </w:rPr>
        <w:t xml:space="preserve"> subprogramme spent 71.5% of its budget or R44.7 million of its available Final Appropriation of R62.5 million.  </w:t>
      </w:r>
    </w:p>
    <w:p w:rsidR="00587F48" w:rsidRPr="00C70473" w:rsidRDefault="00587F48" w:rsidP="00C70473">
      <w:pPr>
        <w:autoSpaceDE w:val="0"/>
        <w:autoSpaceDN w:val="0"/>
        <w:adjustRightInd w:val="0"/>
        <w:spacing w:after="0" w:line="240" w:lineRule="auto"/>
        <w:rPr>
          <w:rFonts w:ascii="Arial" w:hAnsi="Arial" w:cs="Arial"/>
          <w:b/>
          <w:bCs/>
          <w:sz w:val="20"/>
          <w:szCs w:val="20"/>
          <w:lang w:eastAsia="en-ZA"/>
        </w:rPr>
      </w:pPr>
    </w:p>
    <w:p w:rsidR="00587F48" w:rsidRPr="00C70473" w:rsidRDefault="00587F48" w:rsidP="00C70473">
      <w:pPr>
        <w:spacing w:after="0" w:line="240" w:lineRule="auto"/>
        <w:rPr>
          <w:rFonts w:ascii="Arial" w:eastAsia="ArialMT" w:hAnsi="Arial" w:cs="Arial"/>
          <w:i/>
          <w:iCs/>
          <w:sz w:val="20"/>
          <w:szCs w:val="20"/>
          <w:lang w:eastAsia="en-ZA"/>
        </w:rPr>
      </w:pPr>
      <w:r w:rsidRPr="00C70473">
        <w:rPr>
          <w:rFonts w:ascii="Arial" w:hAnsi="Arial" w:cs="Arial"/>
          <w:b/>
          <w:sz w:val="20"/>
          <w:szCs w:val="20"/>
          <w:lang w:eastAsia="en-ZA"/>
        </w:rPr>
        <w:t>Programme 2: Visible Policing</w:t>
      </w:r>
      <w:r w:rsidRPr="00C70473">
        <w:rPr>
          <w:rFonts w:ascii="Arial" w:eastAsia="ArialMT" w:hAnsi="Arial" w:cs="Arial"/>
          <w:b/>
          <w:sz w:val="20"/>
          <w:szCs w:val="20"/>
          <w:lang w:eastAsia="en-ZA"/>
        </w:rPr>
        <w:t xml:space="preserve">. </w:t>
      </w:r>
      <w:r w:rsidRPr="00C70473">
        <w:rPr>
          <w:rFonts w:ascii="Arial" w:eastAsia="ArialMT" w:hAnsi="Arial" w:cs="Arial"/>
          <w:sz w:val="20"/>
          <w:szCs w:val="20"/>
          <w:lang w:eastAsia="en-ZA"/>
        </w:rPr>
        <w:t xml:space="preserve">At the end of the 2021/22 financial year, the Programme had spent R52.5 billion or 100% of its available budget of R52.6 billion, thus recording underspending of R12.8 million (this is not a sufficient amount to affect the percentage expenditure). The underspending is a significant improvement compared to the previous financial year, during which the Programme underspent by R2.5 billion. The total underspending was recorded in </w:t>
      </w:r>
      <w:r w:rsidRPr="00C70473">
        <w:rPr>
          <w:rFonts w:ascii="Arial" w:eastAsia="ArialMT" w:hAnsi="Arial" w:cs="Arial"/>
          <w:i/>
          <w:iCs/>
          <w:sz w:val="20"/>
          <w:szCs w:val="20"/>
          <w:lang w:eastAsia="en-ZA"/>
        </w:rPr>
        <w:t xml:space="preserve">Crime Prevention </w:t>
      </w:r>
      <w:r w:rsidRPr="00C70473">
        <w:rPr>
          <w:rFonts w:ascii="Arial" w:eastAsia="ArialMT" w:hAnsi="Arial" w:cs="Arial"/>
          <w:sz w:val="20"/>
          <w:szCs w:val="20"/>
          <w:lang w:eastAsia="en-ZA"/>
        </w:rPr>
        <w:t>subprogramme (in 2020/21, this subprogramme underspent with R2.4 billion). At economic classification level, the bulk of the underspending was recorded on Goods and services.</w:t>
      </w:r>
    </w:p>
    <w:p w:rsidR="00587F48" w:rsidRPr="00C70473" w:rsidRDefault="00587F48" w:rsidP="00C70473">
      <w:pPr>
        <w:spacing w:after="0" w:line="240" w:lineRule="auto"/>
        <w:rPr>
          <w:rFonts w:ascii="Arial" w:hAnsi="Arial" w:cs="Arial"/>
          <w:b/>
          <w:sz w:val="20"/>
          <w:szCs w:val="20"/>
          <w:lang w:eastAsia="en-ZA"/>
        </w:rPr>
      </w:pPr>
    </w:p>
    <w:p w:rsidR="00587F48" w:rsidRPr="00C70473" w:rsidRDefault="00587F48" w:rsidP="00C70473">
      <w:pPr>
        <w:spacing w:after="0" w:line="240" w:lineRule="auto"/>
        <w:rPr>
          <w:rFonts w:ascii="Arial" w:eastAsia="ArialMT" w:hAnsi="Arial" w:cs="Arial"/>
          <w:sz w:val="20"/>
          <w:szCs w:val="20"/>
          <w:lang w:eastAsia="en-ZA"/>
        </w:rPr>
      </w:pPr>
      <w:r w:rsidRPr="00C70473">
        <w:rPr>
          <w:rFonts w:ascii="Arial" w:hAnsi="Arial" w:cs="Arial"/>
          <w:b/>
          <w:sz w:val="20"/>
          <w:szCs w:val="20"/>
          <w:lang w:eastAsia="en-ZA"/>
        </w:rPr>
        <w:t>Programme 3: Detective Services.</w:t>
      </w:r>
      <w:r w:rsidRPr="00C70473">
        <w:rPr>
          <w:rFonts w:ascii="Arial" w:eastAsia="ArialMT" w:hAnsi="Arial" w:cs="Arial"/>
          <w:b/>
          <w:sz w:val="20"/>
          <w:szCs w:val="20"/>
          <w:lang w:eastAsia="en-ZA"/>
        </w:rPr>
        <w:t xml:space="preserve"> </w:t>
      </w:r>
      <w:r w:rsidRPr="00C70473">
        <w:rPr>
          <w:rFonts w:ascii="Arial" w:eastAsia="ArialMT" w:hAnsi="Arial" w:cs="Arial"/>
          <w:sz w:val="20"/>
          <w:szCs w:val="20"/>
          <w:lang w:eastAsia="en-ZA"/>
        </w:rPr>
        <w:t xml:space="preserve">At the end of the 2021/22 financial year, the Programme had spent R19.7 billion or 97.4% of its available budget of R20.2 billion, thus recording underspending of R518.4 million. Of the Programme’s four subprogrammes, only the Crime Investigations subprogramme spent 100% of the available budget. The remaining three subprogrammes recorded the following: </w:t>
      </w:r>
    </w:p>
    <w:p w:rsidR="00587F48" w:rsidRPr="00C70473" w:rsidRDefault="00587F48" w:rsidP="00C70473">
      <w:pPr>
        <w:pStyle w:val="ListParagraph"/>
        <w:numPr>
          <w:ilvl w:val="0"/>
          <w:numId w:val="75"/>
        </w:numPr>
        <w:spacing w:after="0" w:line="240" w:lineRule="auto"/>
        <w:rPr>
          <w:rFonts w:ascii="Arial" w:eastAsia="ArialMT" w:hAnsi="Arial" w:cs="Arial"/>
          <w:sz w:val="20"/>
          <w:szCs w:val="20"/>
          <w:lang w:eastAsia="en-ZA"/>
        </w:rPr>
      </w:pPr>
      <w:r w:rsidRPr="00C70473">
        <w:rPr>
          <w:rFonts w:ascii="Arial" w:eastAsia="ArialMT" w:hAnsi="Arial" w:cs="Arial"/>
          <w:i/>
          <w:sz w:val="20"/>
          <w:szCs w:val="20"/>
          <w:lang w:eastAsia="en-ZA"/>
        </w:rPr>
        <w:t>Criminal Record Centre (CRC)</w:t>
      </w:r>
      <w:r w:rsidRPr="00C70473">
        <w:rPr>
          <w:rFonts w:ascii="Arial" w:eastAsia="ArialMT" w:hAnsi="Arial" w:cs="Arial"/>
          <w:sz w:val="20"/>
          <w:szCs w:val="20"/>
          <w:lang w:eastAsia="en-ZA"/>
        </w:rPr>
        <w:t xml:space="preserve"> subprogramme: Spent 92.7% of its available budget.</w:t>
      </w:r>
    </w:p>
    <w:p w:rsidR="00587F48" w:rsidRPr="00C70473" w:rsidRDefault="00587F48" w:rsidP="00C70473">
      <w:pPr>
        <w:pStyle w:val="ListParagraph"/>
        <w:numPr>
          <w:ilvl w:val="1"/>
          <w:numId w:val="75"/>
        </w:numPr>
        <w:spacing w:after="0" w:line="240" w:lineRule="auto"/>
        <w:rPr>
          <w:rFonts w:ascii="Arial" w:eastAsia="ArialMT" w:hAnsi="Arial" w:cs="Arial"/>
          <w:sz w:val="20"/>
          <w:szCs w:val="20"/>
          <w:lang w:eastAsia="en-ZA"/>
        </w:rPr>
      </w:pPr>
      <w:r w:rsidRPr="00C70473">
        <w:rPr>
          <w:rFonts w:ascii="Arial" w:eastAsia="ArialMT" w:hAnsi="Arial" w:cs="Arial"/>
          <w:sz w:val="20"/>
          <w:szCs w:val="20"/>
          <w:lang w:eastAsia="en-ZA"/>
        </w:rPr>
        <w:t xml:space="preserve">Under economic classification, only 20% of the available budget was spent on </w:t>
      </w:r>
      <w:r w:rsidRPr="00C70473">
        <w:rPr>
          <w:rFonts w:ascii="Arial" w:eastAsia="ArialMT" w:hAnsi="Arial" w:cs="Arial"/>
          <w:i/>
          <w:sz w:val="20"/>
          <w:szCs w:val="20"/>
          <w:lang w:eastAsia="en-ZA"/>
        </w:rPr>
        <w:t xml:space="preserve">machinery and equipment. </w:t>
      </w:r>
    </w:p>
    <w:p w:rsidR="00587F48" w:rsidRPr="00C70473" w:rsidRDefault="00587F48" w:rsidP="00C70473">
      <w:pPr>
        <w:pStyle w:val="ListParagraph"/>
        <w:numPr>
          <w:ilvl w:val="0"/>
          <w:numId w:val="75"/>
        </w:numPr>
        <w:spacing w:after="0" w:line="240" w:lineRule="auto"/>
        <w:rPr>
          <w:rFonts w:ascii="Arial" w:eastAsia="ArialMT" w:hAnsi="Arial" w:cs="Arial"/>
          <w:sz w:val="20"/>
          <w:szCs w:val="20"/>
          <w:lang w:eastAsia="en-ZA"/>
        </w:rPr>
      </w:pPr>
      <w:r w:rsidRPr="00C70473">
        <w:rPr>
          <w:rFonts w:ascii="Arial" w:eastAsia="ArialMT" w:hAnsi="Arial" w:cs="Arial"/>
          <w:i/>
          <w:sz w:val="20"/>
          <w:szCs w:val="20"/>
          <w:lang w:eastAsia="en-ZA"/>
        </w:rPr>
        <w:t>Forensic Science Laboratory (FSL)</w:t>
      </w:r>
      <w:r w:rsidRPr="00C70473">
        <w:rPr>
          <w:rFonts w:ascii="Arial" w:eastAsia="ArialMT" w:hAnsi="Arial" w:cs="Arial"/>
          <w:sz w:val="20"/>
          <w:szCs w:val="20"/>
          <w:lang w:eastAsia="en-ZA"/>
        </w:rPr>
        <w:t xml:space="preserve"> subprogramme: Spent 89.4% of its available budget.</w:t>
      </w:r>
    </w:p>
    <w:p w:rsidR="00587F48" w:rsidRPr="00C70473" w:rsidRDefault="00587F48" w:rsidP="00C70473">
      <w:pPr>
        <w:pStyle w:val="ListParagraph"/>
        <w:numPr>
          <w:ilvl w:val="0"/>
          <w:numId w:val="75"/>
        </w:numPr>
        <w:spacing w:after="0" w:line="240" w:lineRule="auto"/>
        <w:rPr>
          <w:rFonts w:ascii="Arial" w:eastAsia="ArialMT" w:hAnsi="Arial" w:cs="Arial"/>
          <w:sz w:val="20"/>
          <w:szCs w:val="20"/>
          <w:lang w:eastAsia="en-ZA"/>
        </w:rPr>
      </w:pPr>
      <w:r w:rsidRPr="00C70473">
        <w:rPr>
          <w:rFonts w:ascii="Arial" w:eastAsia="ArialMT" w:hAnsi="Arial" w:cs="Arial"/>
          <w:i/>
          <w:sz w:val="20"/>
          <w:szCs w:val="20"/>
          <w:lang w:eastAsia="en-ZA"/>
        </w:rPr>
        <w:t xml:space="preserve">Specialised Investigations (DPCI) </w:t>
      </w:r>
      <w:r w:rsidRPr="00C70473">
        <w:rPr>
          <w:rFonts w:ascii="Arial" w:eastAsia="ArialMT" w:hAnsi="Arial" w:cs="Arial"/>
          <w:sz w:val="20"/>
          <w:szCs w:val="20"/>
          <w:lang w:eastAsia="en-ZA"/>
        </w:rPr>
        <w:t>subprogramme</w:t>
      </w:r>
      <w:r w:rsidRPr="00C70473">
        <w:rPr>
          <w:rFonts w:ascii="Arial" w:eastAsia="ArialMT" w:hAnsi="Arial" w:cs="Arial"/>
          <w:i/>
          <w:sz w:val="20"/>
          <w:szCs w:val="20"/>
          <w:lang w:eastAsia="en-ZA"/>
        </w:rPr>
        <w:t xml:space="preserve">: </w:t>
      </w:r>
      <w:r w:rsidRPr="00C70473">
        <w:rPr>
          <w:rFonts w:ascii="Arial" w:eastAsia="ArialMT" w:hAnsi="Arial" w:cs="Arial"/>
          <w:sz w:val="20"/>
          <w:szCs w:val="20"/>
          <w:lang w:eastAsia="en-ZA"/>
        </w:rPr>
        <w:t>Spent 92.8% of its available budget.</w:t>
      </w:r>
    </w:p>
    <w:p w:rsidR="00587F48" w:rsidRPr="00C70473" w:rsidRDefault="00587F48" w:rsidP="00C70473">
      <w:pPr>
        <w:spacing w:after="0" w:line="240" w:lineRule="auto"/>
        <w:rPr>
          <w:rFonts w:ascii="Arial" w:hAnsi="Arial" w:cs="Arial"/>
          <w:b/>
          <w:bCs/>
          <w:sz w:val="20"/>
          <w:szCs w:val="20"/>
          <w:lang w:eastAsia="en-ZA"/>
        </w:rPr>
      </w:pPr>
    </w:p>
    <w:p w:rsidR="00587F48" w:rsidRPr="00C70473" w:rsidRDefault="00587F48" w:rsidP="00C70473">
      <w:pPr>
        <w:spacing w:after="0" w:line="240" w:lineRule="auto"/>
        <w:rPr>
          <w:rFonts w:ascii="Arial" w:eastAsia="ArialMT" w:hAnsi="Arial" w:cs="Arial"/>
          <w:sz w:val="20"/>
          <w:szCs w:val="20"/>
          <w:lang w:eastAsia="en-ZA"/>
        </w:rPr>
      </w:pPr>
      <w:r w:rsidRPr="00C70473">
        <w:rPr>
          <w:rFonts w:ascii="Arial" w:hAnsi="Arial" w:cs="Arial"/>
          <w:b/>
          <w:sz w:val="20"/>
          <w:szCs w:val="20"/>
          <w:lang w:eastAsia="en-ZA"/>
        </w:rPr>
        <w:t>Programme 4: Crime Intelligence.</w:t>
      </w:r>
      <w:r w:rsidRPr="00C70473">
        <w:rPr>
          <w:rFonts w:ascii="Arial" w:eastAsia="ArialMT" w:hAnsi="Arial" w:cs="Arial"/>
          <w:b/>
          <w:sz w:val="20"/>
          <w:szCs w:val="20"/>
          <w:lang w:eastAsia="en-ZA"/>
        </w:rPr>
        <w:t xml:space="preserve"> </w:t>
      </w:r>
      <w:r w:rsidRPr="00C70473">
        <w:rPr>
          <w:rFonts w:ascii="Arial" w:eastAsia="ArialMT" w:hAnsi="Arial" w:cs="Arial"/>
          <w:sz w:val="20"/>
          <w:szCs w:val="20"/>
          <w:lang w:eastAsia="en-ZA"/>
        </w:rPr>
        <w:t xml:space="preserve">At the end of the 2021/22 financial year, the Programme had spent R4.27 billion or 99.6% of its available budget of R4.29 billion, thus recording underspending of R19.2 million. </w:t>
      </w:r>
    </w:p>
    <w:p w:rsidR="00587F48" w:rsidRPr="00C70473" w:rsidRDefault="00587F48" w:rsidP="00C70473">
      <w:pPr>
        <w:autoSpaceDE w:val="0"/>
        <w:autoSpaceDN w:val="0"/>
        <w:adjustRightInd w:val="0"/>
        <w:spacing w:after="0" w:line="240" w:lineRule="auto"/>
        <w:rPr>
          <w:rFonts w:ascii="Arial" w:hAnsi="Arial" w:cs="Arial"/>
          <w:b/>
          <w:bCs/>
          <w:sz w:val="20"/>
          <w:szCs w:val="20"/>
          <w:lang w:eastAsia="en-ZA"/>
        </w:rPr>
      </w:pPr>
    </w:p>
    <w:p w:rsidR="00587F48" w:rsidRPr="00C70473" w:rsidRDefault="00587F48" w:rsidP="00C70473">
      <w:pPr>
        <w:spacing w:after="0" w:line="240" w:lineRule="auto"/>
        <w:rPr>
          <w:rFonts w:ascii="Arial" w:eastAsia="ArialMT" w:hAnsi="Arial" w:cs="Arial"/>
          <w:sz w:val="20"/>
          <w:szCs w:val="20"/>
          <w:lang w:eastAsia="en-ZA"/>
        </w:rPr>
      </w:pPr>
      <w:r w:rsidRPr="00C70473">
        <w:rPr>
          <w:rFonts w:ascii="Arial" w:hAnsi="Arial" w:cs="Arial"/>
          <w:b/>
          <w:sz w:val="20"/>
          <w:szCs w:val="20"/>
          <w:lang w:eastAsia="en-ZA"/>
        </w:rPr>
        <w:lastRenderedPageBreak/>
        <w:t>Programme 5: Protection and Security Services.</w:t>
      </w:r>
      <w:r w:rsidRPr="00C70473">
        <w:rPr>
          <w:rFonts w:ascii="Arial" w:eastAsia="ArialMT" w:hAnsi="Arial" w:cs="Arial"/>
          <w:b/>
          <w:sz w:val="20"/>
          <w:szCs w:val="20"/>
          <w:lang w:eastAsia="en-ZA"/>
        </w:rPr>
        <w:t xml:space="preserve"> </w:t>
      </w:r>
      <w:r w:rsidRPr="00C70473">
        <w:rPr>
          <w:rFonts w:ascii="Arial" w:eastAsia="ArialMT" w:hAnsi="Arial" w:cs="Arial"/>
          <w:sz w:val="20"/>
          <w:szCs w:val="20"/>
          <w:lang w:eastAsia="en-ZA"/>
        </w:rPr>
        <w:t xml:space="preserve">At the end of the 2021/22 financial year, the Programme had spent R3.48 billion or 99.7% of its available budget of R3.49 billion, thus recording underspending of R9.7 million. The largest underspending was recorded in the </w:t>
      </w:r>
      <w:r w:rsidRPr="00C70473">
        <w:rPr>
          <w:rFonts w:ascii="Arial" w:eastAsia="ArialMT" w:hAnsi="Arial" w:cs="Arial"/>
          <w:i/>
          <w:sz w:val="20"/>
          <w:szCs w:val="20"/>
          <w:lang w:eastAsia="en-ZA"/>
        </w:rPr>
        <w:t>VIP Protection</w:t>
      </w:r>
      <w:r w:rsidRPr="00C70473">
        <w:rPr>
          <w:rFonts w:ascii="Arial" w:eastAsia="ArialMT" w:hAnsi="Arial" w:cs="Arial"/>
          <w:sz w:val="20"/>
          <w:szCs w:val="20"/>
          <w:lang w:eastAsia="en-ZA"/>
        </w:rPr>
        <w:t xml:space="preserve"> subprogramme, which underspent with R6.34 million.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pStyle w:val="Heading2"/>
        <w:numPr>
          <w:ilvl w:val="1"/>
          <w:numId w:val="105"/>
        </w:numPr>
        <w:spacing w:before="0" w:line="240" w:lineRule="auto"/>
        <w:rPr>
          <w:rFonts w:ascii="Arial" w:hAnsi="Arial" w:cs="Arial"/>
          <w:sz w:val="20"/>
          <w:szCs w:val="20"/>
        </w:rPr>
      </w:pPr>
      <w:bookmarkStart w:id="10" w:name="_Toc115863857"/>
      <w:r w:rsidRPr="00C70473">
        <w:rPr>
          <w:rFonts w:ascii="Arial" w:hAnsi="Arial" w:cs="Arial"/>
          <w:sz w:val="20"/>
          <w:szCs w:val="20"/>
        </w:rPr>
        <w:t>Irregular expenditure</w:t>
      </w:r>
      <w:bookmarkEnd w:id="10"/>
      <w:r w:rsidRPr="00C70473">
        <w:rPr>
          <w:rFonts w:ascii="Arial" w:hAnsi="Arial" w:cs="Arial"/>
          <w:sz w:val="20"/>
          <w:szCs w:val="20"/>
        </w:rPr>
        <w:t xml:space="preserve">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In 2021/22, the Department had an opening balance for irregular expenditure of R1.7 billion, which is an increase compared to that of the previous financial year. The Committee should note the balance has consistently increased over the past four-year period. In 2021/22, the Department incurred irregular expenditure of R151.3 million </w:t>
      </w: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 </w:t>
      </w:r>
    </w:p>
    <w:p w:rsidR="00587F48" w:rsidRPr="00C70473" w:rsidRDefault="00587F48" w:rsidP="00C70473">
      <w:pPr>
        <w:pStyle w:val="Heading2"/>
        <w:numPr>
          <w:ilvl w:val="1"/>
          <w:numId w:val="105"/>
        </w:numPr>
        <w:spacing w:before="0" w:line="240" w:lineRule="auto"/>
        <w:rPr>
          <w:rFonts w:ascii="Arial" w:hAnsi="Arial" w:cs="Arial"/>
          <w:sz w:val="20"/>
          <w:szCs w:val="20"/>
        </w:rPr>
      </w:pPr>
      <w:bookmarkStart w:id="11" w:name="_Toc115863858"/>
      <w:r w:rsidRPr="00C70473">
        <w:rPr>
          <w:rFonts w:ascii="Arial" w:hAnsi="Arial" w:cs="Arial"/>
          <w:sz w:val="20"/>
          <w:szCs w:val="20"/>
        </w:rPr>
        <w:t>Fruitless and wasteful expenditure</w:t>
      </w:r>
      <w:bookmarkEnd w:id="11"/>
      <w:r w:rsidRPr="00C70473">
        <w:rPr>
          <w:rFonts w:ascii="Arial" w:hAnsi="Arial" w:cs="Arial"/>
          <w:sz w:val="20"/>
          <w:szCs w:val="20"/>
        </w:rPr>
        <w:t xml:space="preserve">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sz w:val="20"/>
          <w:szCs w:val="20"/>
        </w:rPr>
      </w:pPr>
      <w:r w:rsidRPr="00C70473">
        <w:rPr>
          <w:rFonts w:ascii="Arial" w:hAnsi="Arial" w:cs="Arial"/>
          <w:sz w:val="20"/>
          <w:szCs w:val="20"/>
        </w:rPr>
        <w:t xml:space="preserve">The Department had an opening balance of R14.0 million in fruitless and wasteful expenditure at the start of the 2021/22 financial year. During 2021/22, the Department incurred R621 000 in fruitless and wasteful expenditure, which is an increase from the previous financial year. During 2021/22, the Department recovered R286 000 and R5.836 million was written off, which gave the Department a closing balance of R9.04 million at year-end.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b/>
          <w:sz w:val="20"/>
          <w:szCs w:val="20"/>
        </w:rPr>
        <w:t xml:space="preserve">The AG noted fruitless and wasteful expenditure as a matter of emphasis </w:t>
      </w:r>
      <w:r w:rsidRPr="00C70473">
        <w:rPr>
          <w:rFonts w:ascii="Arial" w:hAnsi="Arial" w:cs="Arial"/>
          <w:sz w:val="20"/>
          <w:szCs w:val="20"/>
        </w:rPr>
        <w:t xml:space="preserve">in that fruitless and wasteful expenditure of R1.8 billion is still under assessment to determine whether it meets the definition.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b/>
          <w:sz w:val="20"/>
          <w:szCs w:val="20"/>
        </w:rPr>
      </w:pPr>
      <w:r w:rsidRPr="00C70473">
        <w:rPr>
          <w:rFonts w:ascii="Arial" w:hAnsi="Arial" w:cs="Arial"/>
          <w:b/>
          <w:sz w:val="20"/>
          <w:szCs w:val="20"/>
        </w:rPr>
        <w:t xml:space="preserve">Note: </w:t>
      </w:r>
      <w:r w:rsidRPr="00C70473">
        <w:rPr>
          <w:rFonts w:ascii="Arial" w:hAnsi="Arial" w:cs="Arial"/>
          <w:sz w:val="20"/>
          <w:szCs w:val="20"/>
        </w:rPr>
        <w:t>The SAPS has written off R1.4 million in interest-claims against the state, which was highlighted as a concern by the AG. In 2020/21, R4.129 million was written off for interest paid on late payments by the Department.</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pStyle w:val="Heading2"/>
        <w:numPr>
          <w:ilvl w:val="1"/>
          <w:numId w:val="105"/>
        </w:numPr>
        <w:spacing w:before="0" w:line="240" w:lineRule="auto"/>
        <w:rPr>
          <w:rFonts w:ascii="Arial" w:hAnsi="Arial" w:cs="Arial"/>
          <w:sz w:val="20"/>
          <w:szCs w:val="20"/>
        </w:rPr>
      </w:pPr>
      <w:bookmarkStart w:id="12" w:name="_Toc115863859"/>
      <w:r w:rsidRPr="00C70473">
        <w:rPr>
          <w:rFonts w:ascii="Arial" w:hAnsi="Arial" w:cs="Arial"/>
          <w:sz w:val="20"/>
          <w:szCs w:val="20"/>
        </w:rPr>
        <w:t>Civil claims against the Police</w:t>
      </w:r>
      <w:bookmarkEnd w:id="12"/>
      <w:r w:rsidRPr="00C70473">
        <w:rPr>
          <w:rFonts w:ascii="Arial" w:hAnsi="Arial" w:cs="Arial"/>
          <w:sz w:val="20"/>
          <w:szCs w:val="20"/>
        </w:rPr>
        <w:t xml:space="preserve">  </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b/>
          <w:sz w:val="20"/>
          <w:szCs w:val="20"/>
        </w:rPr>
        <w:t xml:space="preserve">New claims: </w:t>
      </w:r>
      <w:r w:rsidRPr="00C70473">
        <w:rPr>
          <w:rFonts w:ascii="Arial" w:hAnsi="Arial" w:cs="Arial"/>
          <w:sz w:val="20"/>
          <w:szCs w:val="20"/>
        </w:rPr>
        <w:t xml:space="preserve">During 2021/22, a total number of 13 262 new civil claims were registered, valued at R67 615 742 066.77 (R67.6 billion). </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b/>
          <w:sz w:val="20"/>
          <w:szCs w:val="20"/>
        </w:rPr>
        <w:t xml:space="preserve">Payments: </w:t>
      </w:r>
      <w:r w:rsidRPr="00C70473">
        <w:rPr>
          <w:rFonts w:ascii="Arial" w:hAnsi="Arial" w:cs="Arial"/>
          <w:sz w:val="20"/>
          <w:szCs w:val="20"/>
        </w:rPr>
        <w:t xml:space="preserve">A total of 4 598 payments (court orders and settlements), valued at R470 499 128.38 (R470.5 million) were made, of which arrest and detention claims were the highest pay outs, </w:t>
      </w:r>
      <w:r w:rsidRPr="00C70473">
        <w:rPr>
          <w:rFonts w:ascii="Arial" w:hAnsi="Arial" w:cs="Arial"/>
          <w:i/>
          <w:iCs/>
          <w:sz w:val="20"/>
          <w:szCs w:val="20"/>
        </w:rPr>
        <w:t xml:space="preserve">viz. </w:t>
      </w:r>
      <w:r w:rsidRPr="00C70473">
        <w:rPr>
          <w:rFonts w:ascii="Arial" w:hAnsi="Arial" w:cs="Arial"/>
          <w:sz w:val="20"/>
          <w:szCs w:val="20"/>
        </w:rPr>
        <w:t>R346 220 870.81 (R346.2 million), which is 73% of the total payments. The number of payments increased significantly compared to the previous financial year, during which a total of 2 899 payments (court orders and settlements) were made, to the value of R367.2 million, of which arrest and detention claims were the highest pay outs amounting to R239.2 million (R239 299 759.27).</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b/>
          <w:sz w:val="20"/>
          <w:szCs w:val="20"/>
        </w:rPr>
      </w:pPr>
      <w:r w:rsidRPr="00C70473">
        <w:rPr>
          <w:rFonts w:ascii="Arial" w:hAnsi="Arial" w:cs="Arial"/>
          <w:b/>
          <w:sz w:val="20"/>
          <w:szCs w:val="20"/>
        </w:rPr>
        <w:t>Pending claims: A total number of 46 020 claims, valued at R112 154 944 454.37 (R112.1 billion), were still pending, as at 31 March 2022.</w:t>
      </w:r>
      <w:r w:rsidRPr="00C70473">
        <w:rPr>
          <w:rFonts w:ascii="Arial" w:hAnsi="Arial" w:cs="Arial"/>
          <w:sz w:val="20"/>
          <w:szCs w:val="20"/>
        </w:rPr>
        <w:t xml:space="preserve"> In 2021/22,</w:t>
      </w:r>
      <w:r w:rsidRPr="00C70473">
        <w:rPr>
          <w:rFonts w:ascii="Arial" w:hAnsi="Arial" w:cs="Arial"/>
          <w:b/>
          <w:sz w:val="20"/>
          <w:szCs w:val="20"/>
        </w:rPr>
        <w:t xml:space="preserve"> </w:t>
      </w:r>
      <w:r w:rsidRPr="00C70473">
        <w:rPr>
          <w:rFonts w:ascii="Arial" w:hAnsi="Arial" w:cs="Arial"/>
          <w:sz w:val="20"/>
          <w:szCs w:val="20"/>
        </w:rPr>
        <w:t xml:space="preserve">there were 12 733 civil claims for wrongful arrest and detention, amounting to R12.1 billion. </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b/>
          <w:sz w:val="20"/>
          <w:szCs w:val="20"/>
        </w:rPr>
        <w:t>In 2021/22, the AG raised, as a matter of emphasis, significant uncertainties in that the SAPS is a defendant in a number of lawsuits.</w:t>
      </w:r>
      <w:r w:rsidRPr="00C70473">
        <w:rPr>
          <w:rFonts w:ascii="Arial" w:hAnsi="Arial" w:cs="Arial"/>
          <w:sz w:val="20"/>
          <w:szCs w:val="20"/>
        </w:rPr>
        <w:t xml:space="preserve"> The ultimate outcome of these matters cannot be determined and no provision for any liability that may result was made in the financial statements. The AG made the same finding in 2020/21. </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In 2021/22, the </w:t>
      </w:r>
      <w:r w:rsidRPr="00C70473">
        <w:rPr>
          <w:rFonts w:ascii="Arial" w:hAnsi="Arial" w:cs="Arial"/>
          <w:b/>
          <w:sz w:val="20"/>
          <w:szCs w:val="20"/>
        </w:rPr>
        <w:t>Civilian Secretariat for Police Service</w:t>
      </w:r>
      <w:r w:rsidRPr="00C70473">
        <w:rPr>
          <w:rFonts w:ascii="Arial" w:hAnsi="Arial" w:cs="Arial"/>
          <w:sz w:val="20"/>
          <w:szCs w:val="20"/>
        </w:rPr>
        <w:t xml:space="preserve"> undertook an </w:t>
      </w:r>
      <w:r w:rsidRPr="00C70473">
        <w:rPr>
          <w:rFonts w:ascii="Arial" w:hAnsi="Arial" w:cs="Arial"/>
          <w:sz w:val="20"/>
          <w:szCs w:val="20"/>
          <w:u w:val="single"/>
        </w:rPr>
        <w:t xml:space="preserve">analysis of the policy framework of SAPS civil litigation process </w:t>
      </w:r>
      <w:r w:rsidRPr="00C70473">
        <w:rPr>
          <w:rFonts w:ascii="Arial" w:hAnsi="Arial" w:cs="Arial"/>
          <w:sz w:val="20"/>
          <w:szCs w:val="20"/>
        </w:rPr>
        <w:t xml:space="preserve">(SAPS National Instruction 25 of 2019), including: </w:t>
      </w:r>
    </w:p>
    <w:p w:rsidR="00587F48" w:rsidRPr="00C70473" w:rsidRDefault="00587F48" w:rsidP="00C70473">
      <w:pPr>
        <w:pStyle w:val="ListParagraph"/>
        <w:numPr>
          <w:ilvl w:val="0"/>
          <w:numId w:val="74"/>
        </w:numPr>
        <w:autoSpaceDE w:val="0"/>
        <w:autoSpaceDN w:val="0"/>
        <w:adjustRightInd w:val="0"/>
        <w:spacing w:after="0" w:line="240" w:lineRule="auto"/>
        <w:ind w:left="284" w:hanging="284"/>
        <w:rPr>
          <w:rFonts w:ascii="Arial" w:hAnsi="Arial" w:cs="Arial"/>
          <w:sz w:val="20"/>
          <w:szCs w:val="20"/>
        </w:rPr>
      </w:pPr>
      <w:r w:rsidRPr="00C70473">
        <w:rPr>
          <w:rFonts w:ascii="Arial" w:hAnsi="Arial" w:cs="Arial"/>
          <w:sz w:val="20"/>
          <w:szCs w:val="20"/>
        </w:rPr>
        <w:t>The management of civil claims lodged against the Minister of Police</w:t>
      </w:r>
    </w:p>
    <w:p w:rsidR="00587F48" w:rsidRPr="00C70473" w:rsidRDefault="00587F48" w:rsidP="00C70473">
      <w:pPr>
        <w:pStyle w:val="ListParagraph"/>
        <w:numPr>
          <w:ilvl w:val="0"/>
          <w:numId w:val="74"/>
        </w:numPr>
        <w:autoSpaceDE w:val="0"/>
        <w:autoSpaceDN w:val="0"/>
        <w:adjustRightInd w:val="0"/>
        <w:spacing w:after="0" w:line="240" w:lineRule="auto"/>
        <w:ind w:left="284" w:hanging="284"/>
        <w:rPr>
          <w:rFonts w:ascii="Arial" w:hAnsi="Arial" w:cs="Arial"/>
          <w:sz w:val="20"/>
          <w:szCs w:val="20"/>
        </w:rPr>
      </w:pPr>
      <w:r w:rsidRPr="00C70473">
        <w:rPr>
          <w:rFonts w:ascii="Arial" w:hAnsi="Arial" w:cs="Arial"/>
          <w:sz w:val="20"/>
          <w:szCs w:val="20"/>
        </w:rPr>
        <w:t>The root causes and contributing factors to civil claims</w:t>
      </w:r>
    </w:p>
    <w:p w:rsidR="00587F48" w:rsidRPr="00C70473" w:rsidRDefault="00587F48" w:rsidP="00C70473">
      <w:pPr>
        <w:pStyle w:val="ListParagraph"/>
        <w:numPr>
          <w:ilvl w:val="0"/>
          <w:numId w:val="74"/>
        </w:numPr>
        <w:autoSpaceDE w:val="0"/>
        <w:autoSpaceDN w:val="0"/>
        <w:adjustRightInd w:val="0"/>
        <w:spacing w:after="0" w:line="240" w:lineRule="auto"/>
        <w:ind w:left="284" w:hanging="284"/>
        <w:rPr>
          <w:rFonts w:ascii="Arial" w:hAnsi="Arial" w:cs="Arial"/>
          <w:sz w:val="20"/>
          <w:szCs w:val="20"/>
        </w:rPr>
      </w:pPr>
      <w:r w:rsidRPr="00C70473">
        <w:rPr>
          <w:rFonts w:ascii="Arial" w:hAnsi="Arial" w:cs="Arial"/>
          <w:sz w:val="20"/>
          <w:szCs w:val="20"/>
        </w:rPr>
        <w:t xml:space="preserve">The interventions for managing civil claims in the SAPS </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b/>
          <w:sz w:val="20"/>
          <w:szCs w:val="20"/>
        </w:rPr>
      </w:pPr>
      <w:r w:rsidRPr="00C70473">
        <w:rPr>
          <w:rFonts w:ascii="Arial" w:hAnsi="Arial" w:cs="Arial"/>
          <w:b/>
          <w:sz w:val="20"/>
          <w:szCs w:val="20"/>
        </w:rPr>
        <w:t xml:space="preserve">According to the Secretariat, the root causes of civil claims demonstrate that at the core of the claims against the SAPS are: </w:t>
      </w:r>
    </w:p>
    <w:p w:rsidR="00587F48" w:rsidRPr="00C70473" w:rsidRDefault="00587F48" w:rsidP="00C70473">
      <w:pPr>
        <w:pStyle w:val="ListParagraph"/>
        <w:numPr>
          <w:ilvl w:val="0"/>
          <w:numId w:val="73"/>
        </w:numPr>
        <w:autoSpaceDE w:val="0"/>
        <w:autoSpaceDN w:val="0"/>
        <w:adjustRightInd w:val="0"/>
        <w:spacing w:after="0" w:line="240" w:lineRule="auto"/>
        <w:ind w:left="284" w:hanging="284"/>
        <w:rPr>
          <w:rFonts w:ascii="Arial" w:hAnsi="Arial" w:cs="Arial"/>
          <w:b/>
          <w:sz w:val="20"/>
          <w:szCs w:val="20"/>
        </w:rPr>
      </w:pPr>
      <w:r w:rsidRPr="00C70473">
        <w:rPr>
          <w:rFonts w:ascii="Arial" w:hAnsi="Arial" w:cs="Arial"/>
          <w:b/>
          <w:sz w:val="20"/>
          <w:szCs w:val="20"/>
        </w:rPr>
        <w:t>Poor conduct of members</w:t>
      </w:r>
    </w:p>
    <w:p w:rsidR="00587F48" w:rsidRPr="00C70473" w:rsidRDefault="00587F48" w:rsidP="00C70473">
      <w:pPr>
        <w:pStyle w:val="ListParagraph"/>
        <w:numPr>
          <w:ilvl w:val="0"/>
          <w:numId w:val="73"/>
        </w:numPr>
        <w:autoSpaceDE w:val="0"/>
        <w:autoSpaceDN w:val="0"/>
        <w:adjustRightInd w:val="0"/>
        <w:spacing w:after="0" w:line="240" w:lineRule="auto"/>
        <w:ind w:left="284" w:hanging="284"/>
        <w:rPr>
          <w:rFonts w:ascii="Arial" w:hAnsi="Arial" w:cs="Arial"/>
          <w:b/>
          <w:sz w:val="20"/>
          <w:szCs w:val="20"/>
        </w:rPr>
      </w:pPr>
      <w:r w:rsidRPr="00C70473">
        <w:rPr>
          <w:rFonts w:ascii="Arial" w:hAnsi="Arial" w:cs="Arial"/>
          <w:b/>
          <w:sz w:val="20"/>
          <w:szCs w:val="20"/>
        </w:rPr>
        <w:t xml:space="preserve">Lack of discipline </w:t>
      </w:r>
    </w:p>
    <w:p w:rsidR="00587F48" w:rsidRPr="00C70473" w:rsidRDefault="00587F48" w:rsidP="00C70473">
      <w:pPr>
        <w:pStyle w:val="ListParagraph"/>
        <w:numPr>
          <w:ilvl w:val="0"/>
          <w:numId w:val="73"/>
        </w:numPr>
        <w:autoSpaceDE w:val="0"/>
        <w:autoSpaceDN w:val="0"/>
        <w:adjustRightInd w:val="0"/>
        <w:spacing w:after="0" w:line="240" w:lineRule="auto"/>
        <w:ind w:left="284" w:hanging="284"/>
        <w:rPr>
          <w:rFonts w:ascii="Arial" w:hAnsi="Arial" w:cs="Arial"/>
          <w:b/>
          <w:sz w:val="20"/>
          <w:szCs w:val="20"/>
        </w:rPr>
      </w:pPr>
      <w:r w:rsidRPr="00C70473">
        <w:rPr>
          <w:rFonts w:ascii="Arial" w:hAnsi="Arial" w:cs="Arial"/>
          <w:b/>
          <w:sz w:val="20"/>
          <w:szCs w:val="20"/>
        </w:rPr>
        <w:t xml:space="preserve">Poor consequence management </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The analysis concluded that </w:t>
      </w:r>
      <w:r w:rsidRPr="00C70473">
        <w:rPr>
          <w:rFonts w:ascii="Arial" w:hAnsi="Arial" w:cs="Arial"/>
          <w:b/>
          <w:sz w:val="20"/>
          <w:szCs w:val="20"/>
        </w:rPr>
        <w:t>“the increase in civil claims against the Minister is not due to the lack of a regulatory framework, but rather due to the unlawful behaviour of members.”</w:t>
      </w:r>
      <w:r w:rsidRPr="00C70473">
        <w:rPr>
          <w:rFonts w:ascii="Arial" w:hAnsi="Arial" w:cs="Arial"/>
          <w:sz w:val="20"/>
          <w:szCs w:val="20"/>
        </w:rPr>
        <w:t xml:space="preserve"> According to the Civilian Secretariat for Police Service, the SAPS must review its operational policy and interventions to manage civil claims because it is ineffective. The review must focus on the </w:t>
      </w:r>
      <w:r w:rsidRPr="00C70473">
        <w:rPr>
          <w:rFonts w:ascii="Arial" w:hAnsi="Arial" w:cs="Arial"/>
          <w:sz w:val="20"/>
          <w:szCs w:val="20"/>
          <w:u w:val="single"/>
        </w:rPr>
        <w:t>proactive aspects of managing civil claims</w:t>
      </w:r>
      <w:r w:rsidRPr="00C70473">
        <w:rPr>
          <w:rFonts w:ascii="Arial" w:hAnsi="Arial" w:cs="Arial"/>
          <w:sz w:val="20"/>
          <w:szCs w:val="20"/>
        </w:rPr>
        <w:t xml:space="preserve"> to effectively address the serious operational challenges and poor management. </w:t>
      </w:r>
    </w:p>
    <w:p w:rsidR="00587F48" w:rsidRPr="00C70473" w:rsidRDefault="00587F48" w:rsidP="00C70473">
      <w:pPr>
        <w:pStyle w:val="Heading3"/>
        <w:spacing w:before="0" w:line="240" w:lineRule="auto"/>
        <w:rPr>
          <w:rFonts w:ascii="Arial" w:eastAsiaTheme="minorHAnsi" w:hAnsi="Arial" w:cs="Arial"/>
          <w:b/>
          <w:i/>
          <w:color w:val="auto"/>
          <w:sz w:val="20"/>
          <w:szCs w:val="20"/>
        </w:rPr>
      </w:pPr>
    </w:p>
    <w:p w:rsidR="00587F48" w:rsidRPr="00C70473" w:rsidRDefault="00587F48" w:rsidP="00C70473">
      <w:pPr>
        <w:pStyle w:val="Heading2"/>
        <w:numPr>
          <w:ilvl w:val="1"/>
          <w:numId w:val="105"/>
        </w:numPr>
        <w:spacing w:before="0" w:line="240" w:lineRule="auto"/>
        <w:rPr>
          <w:rFonts w:ascii="Arial" w:hAnsi="Arial" w:cs="Arial"/>
          <w:sz w:val="20"/>
          <w:szCs w:val="20"/>
        </w:rPr>
      </w:pPr>
      <w:bookmarkStart w:id="13" w:name="_Toc115863860"/>
      <w:r w:rsidRPr="00C70473">
        <w:rPr>
          <w:rFonts w:ascii="Arial" w:hAnsi="Arial" w:cs="Arial"/>
          <w:sz w:val="20"/>
          <w:szCs w:val="20"/>
        </w:rPr>
        <w:t>Priority issues raised by Members</w:t>
      </w:r>
      <w:bookmarkEnd w:id="13"/>
      <w:r w:rsidRPr="00C70473">
        <w:rPr>
          <w:rFonts w:ascii="Arial" w:hAnsi="Arial" w:cs="Arial"/>
          <w:sz w:val="20"/>
          <w:szCs w:val="20"/>
        </w:rPr>
        <w:t xml:space="preserve">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sz w:val="20"/>
          <w:szCs w:val="20"/>
        </w:rPr>
      </w:pPr>
      <w:r w:rsidRPr="00C70473">
        <w:rPr>
          <w:rFonts w:ascii="Arial" w:hAnsi="Arial" w:cs="Arial"/>
          <w:sz w:val="20"/>
          <w:szCs w:val="20"/>
        </w:rPr>
        <w:t xml:space="preserve">The continuous underspending on the SAPS Budget has been raised as a serious concern by Members over the past couple of years. Although the amount underspent is significantly less than in the previous financial year, the SAPS should use their allocated budget effectively to fulfil their Constitutional mandate. Coupled thereto is a lack of linkages or alignment between performance and expenditure. Therefore, investing in initiatives may not have the desired impact on the reduction of crime. The SAPS should invest more effort to show a link on how the Department’s significant budget is used to combat and prevent crime.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pStyle w:val="Heading2"/>
        <w:numPr>
          <w:ilvl w:val="1"/>
          <w:numId w:val="105"/>
        </w:numPr>
        <w:spacing w:before="0" w:line="240" w:lineRule="auto"/>
        <w:rPr>
          <w:rFonts w:ascii="Arial" w:hAnsi="Arial" w:cs="Arial"/>
          <w:sz w:val="20"/>
          <w:szCs w:val="20"/>
        </w:rPr>
      </w:pPr>
      <w:bookmarkStart w:id="14" w:name="_Toc115863861"/>
      <w:r w:rsidRPr="00C70473">
        <w:rPr>
          <w:rFonts w:ascii="Arial" w:hAnsi="Arial" w:cs="Arial"/>
          <w:sz w:val="20"/>
          <w:szCs w:val="20"/>
        </w:rPr>
        <w:t>COVID-19 Expenditure</w:t>
      </w:r>
      <w:bookmarkEnd w:id="14"/>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eastAsia="ArialMT" w:hAnsi="Arial" w:cs="Arial"/>
          <w:sz w:val="20"/>
          <w:szCs w:val="20"/>
          <w:lang w:eastAsia="en-ZA"/>
        </w:rPr>
      </w:pPr>
      <w:r w:rsidRPr="00C70473">
        <w:rPr>
          <w:rFonts w:ascii="Arial" w:eastAsia="ArialMT" w:hAnsi="Arial" w:cs="Arial"/>
          <w:sz w:val="20"/>
          <w:szCs w:val="20"/>
          <w:lang w:eastAsia="en-ZA"/>
        </w:rPr>
        <w:t xml:space="preserve">By the end of March 2022, the SAPS had spent R73.9 million on COVID-19 related </w:t>
      </w:r>
      <w:r w:rsidRPr="00C70473">
        <w:rPr>
          <w:rFonts w:ascii="Arial" w:eastAsia="ArialMT" w:hAnsi="Arial" w:cs="Arial"/>
          <w:i/>
          <w:sz w:val="20"/>
          <w:szCs w:val="20"/>
          <w:lang w:eastAsia="en-ZA"/>
        </w:rPr>
        <w:t>goods and services</w:t>
      </w:r>
      <w:r w:rsidRPr="00C70473">
        <w:rPr>
          <w:rFonts w:ascii="Arial" w:eastAsia="ArialMT" w:hAnsi="Arial" w:cs="Arial"/>
          <w:sz w:val="20"/>
          <w:szCs w:val="20"/>
          <w:lang w:eastAsia="en-ZA"/>
        </w:rPr>
        <w:t xml:space="preserve">, which is a significant decrease compared to the previous financial year during which the Department had spent R1.7 billion on COVID-19 related </w:t>
      </w:r>
      <w:r w:rsidRPr="00C70473">
        <w:rPr>
          <w:rFonts w:ascii="Arial" w:eastAsia="ArialMT" w:hAnsi="Arial" w:cs="Arial"/>
          <w:i/>
          <w:sz w:val="20"/>
          <w:szCs w:val="20"/>
          <w:lang w:eastAsia="en-ZA"/>
        </w:rPr>
        <w:t xml:space="preserve">goods and services. </w:t>
      </w:r>
      <w:r w:rsidRPr="00C70473">
        <w:rPr>
          <w:rFonts w:ascii="Arial" w:eastAsia="ArialMT" w:hAnsi="Arial" w:cs="Arial"/>
          <w:sz w:val="20"/>
          <w:szCs w:val="20"/>
          <w:lang w:eastAsia="en-ZA"/>
        </w:rPr>
        <w:t xml:space="preserve">In 2021/22, the bulk of expenditure on COVID-19 related </w:t>
      </w:r>
      <w:r w:rsidRPr="00C70473">
        <w:rPr>
          <w:rFonts w:ascii="Arial" w:eastAsia="ArialMT" w:hAnsi="Arial" w:cs="Arial"/>
          <w:i/>
          <w:sz w:val="20"/>
          <w:szCs w:val="20"/>
          <w:lang w:eastAsia="en-ZA"/>
        </w:rPr>
        <w:t xml:space="preserve">goods and services </w:t>
      </w:r>
      <w:r w:rsidRPr="00C70473">
        <w:rPr>
          <w:rFonts w:ascii="Arial" w:eastAsia="ArialMT" w:hAnsi="Arial" w:cs="Arial"/>
          <w:sz w:val="20"/>
          <w:szCs w:val="20"/>
          <w:lang w:eastAsia="en-ZA"/>
        </w:rPr>
        <w:t>was for consumable supplies (R56.2 million).</w:t>
      </w:r>
    </w:p>
    <w:p w:rsidR="003878F0" w:rsidRPr="00C70473" w:rsidRDefault="003878F0" w:rsidP="00C70473">
      <w:pPr>
        <w:spacing w:after="0" w:line="240" w:lineRule="auto"/>
        <w:rPr>
          <w:rFonts w:ascii="Arial" w:hAnsi="Arial" w:cs="Arial"/>
          <w:b/>
          <w:sz w:val="20"/>
          <w:szCs w:val="20"/>
        </w:rPr>
      </w:pPr>
    </w:p>
    <w:p w:rsidR="00587F48" w:rsidRPr="00C70473" w:rsidRDefault="00587F48" w:rsidP="00C70473">
      <w:pPr>
        <w:pStyle w:val="Heading1"/>
        <w:numPr>
          <w:ilvl w:val="0"/>
          <w:numId w:val="66"/>
        </w:numPr>
        <w:spacing w:before="0" w:line="240" w:lineRule="auto"/>
        <w:jc w:val="left"/>
        <w:rPr>
          <w:rFonts w:ascii="Arial" w:hAnsi="Arial" w:cs="Arial"/>
          <w:sz w:val="20"/>
          <w:szCs w:val="20"/>
        </w:rPr>
      </w:pPr>
      <w:r w:rsidRPr="00C70473">
        <w:rPr>
          <w:rFonts w:ascii="Arial" w:hAnsi="Arial" w:cs="Arial"/>
          <w:sz w:val="20"/>
          <w:szCs w:val="20"/>
        </w:rPr>
        <w:t xml:space="preserve">Performance overview </w:t>
      </w:r>
    </w:p>
    <w:p w:rsidR="00587F48" w:rsidRPr="00C70473" w:rsidRDefault="00587F48" w:rsidP="00C70473">
      <w:pPr>
        <w:spacing w:after="0" w:line="240" w:lineRule="auto"/>
        <w:rPr>
          <w:rFonts w:ascii="Arial" w:hAnsi="Arial" w:cs="Arial"/>
          <w:b/>
          <w:sz w:val="20"/>
          <w:szCs w:val="20"/>
        </w:rPr>
      </w:pPr>
    </w:p>
    <w:p w:rsidR="00587F48" w:rsidRPr="00C70473" w:rsidRDefault="00587F48" w:rsidP="00C70473">
      <w:pPr>
        <w:spacing w:after="0" w:line="240" w:lineRule="auto"/>
        <w:rPr>
          <w:rFonts w:ascii="Arial" w:hAnsi="Arial" w:cs="Arial"/>
          <w:sz w:val="20"/>
          <w:szCs w:val="20"/>
        </w:rPr>
      </w:pPr>
      <w:r w:rsidRPr="00C70473">
        <w:rPr>
          <w:rFonts w:ascii="Arial" w:hAnsi="Arial" w:cs="Arial"/>
          <w:sz w:val="20"/>
          <w:szCs w:val="20"/>
        </w:rPr>
        <w:t>Financial and service delivery performance should be read together when considering the performance of the SAPS. There should be some alignment between performance and expenditure. The focus of oversight should be placed on the quality of performance indicators and targets and whether these measure an improvement in service delivery.</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pStyle w:val="Heading2"/>
        <w:numPr>
          <w:ilvl w:val="1"/>
          <w:numId w:val="106"/>
        </w:numPr>
        <w:spacing w:before="0" w:line="240" w:lineRule="auto"/>
        <w:rPr>
          <w:rFonts w:ascii="Arial" w:hAnsi="Arial" w:cs="Arial"/>
          <w:sz w:val="20"/>
          <w:szCs w:val="20"/>
        </w:rPr>
      </w:pPr>
      <w:bookmarkStart w:id="15" w:name="_Toc115863863"/>
      <w:r w:rsidRPr="00C70473">
        <w:rPr>
          <w:rFonts w:ascii="Arial" w:hAnsi="Arial" w:cs="Arial"/>
          <w:sz w:val="20"/>
          <w:szCs w:val="20"/>
        </w:rPr>
        <w:t>Overall performance for 2021/22</w:t>
      </w:r>
      <w:bookmarkEnd w:id="15"/>
      <w:r w:rsidRPr="00C70473">
        <w:rPr>
          <w:rFonts w:ascii="Arial" w:hAnsi="Arial" w:cs="Arial"/>
          <w:sz w:val="20"/>
          <w:szCs w:val="20"/>
        </w:rPr>
        <w:t xml:space="preserve">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sz w:val="20"/>
          <w:szCs w:val="20"/>
        </w:rPr>
      </w:pPr>
      <w:r w:rsidRPr="00C70473">
        <w:rPr>
          <w:rFonts w:ascii="Arial" w:hAnsi="Arial" w:cs="Arial"/>
          <w:sz w:val="20"/>
          <w:szCs w:val="20"/>
        </w:rPr>
        <w:t xml:space="preserve">At the end of the 2021/22 financial year, the Department achieved 70.1% of its performance targets (69 from 97 targets), which shows a decrease in performance compared to the 73.7% achievement rate in the 2020/21 financial year. </w:t>
      </w:r>
    </w:p>
    <w:p w:rsidR="00587F48" w:rsidRPr="00C70473" w:rsidRDefault="00587F48" w:rsidP="00C70473">
      <w:pPr>
        <w:spacing w:after="0" w:line="240" w:lineRule="auto"/>
        <w:rPr>
          <w:rFonts w:ascii="Arial" w:hAnsi="Arial" w:cs="Arial"/>
          <w:sz w:val="20"/>
          <w:szCs w:val="20"/>
        </w:rPr>
      </w:pPr>
    </w:p>
    <w:tbl>
      <w:tblPr>
        <w:tblStyle w:val="TableGrid"/>
        <w:tblW w:w="0" w:type="auto"/>
        <w:tblBorders>
          <w:insideH w:val="none" w:sz="0" w:space="0" w:color="auto"/>
          <w:insideV w:val="none" w:sz="0" w:space="0" w:color="auto"/>
        </w:tblBorders>
        <w:tblLook w:val="04A0"/>
      </w:tblPr>
      <w:tblGrid>
        <w:gridCol w:w="9016"/>
      </w:tblGrid>
      <w:tr w:rsidR="00DC1145" w:rsidRPr="00C70473" w:rsidTr="00DC1145">
        <w:trPr>
          <w:trHeight w:val="998"/>
        </w:trPr>
        <w:tc>
          <w:tcPr>
            <w:tcW w:w="9016" w:type="dxa"/>
            <w:shd w:val="clear" w:color="auto" w:fill="auto"/>
            <w:vAlign w:val="center"/>
          </w:tcPr>
          <w:p w:rsidR="00587F48" w:rsidRPr="00C70473" w:rsidRDefault="00587F48" w:rsidP="00C70473">
            <w:pPr>
              <w:rPr>
                <w:rFonts w:ascii="Arial" w:hAnsi="Arial" w:cs="Arial"/>
                <w:b/>
                <w:sz w:val="20"/>
                <w:szCs w:val="20"/>
              </w:rPr>
            </w:pPr>
            <w:r w:rsidRPr="00C70473">
              <w:rPr>
                <w:rFonts w:ascii="Arial" w:hAnsi="Arial" w:cs="Arial"/>
                <w:b/>
                <w:sz w:val="20"/>
                <w:szCs w:val="20"/>
              </w:rPr>
              <w:t>Overall the SAPS achieved 68 from 97 performance targets</w:t>
            </w:r>
          </w:p>
          <w:p w:rsidR="00587F48" w:rsidRPr="00C70473" w:rsidRDefault="00587F48" w:rsidP="00C70473">
            <w:pPr>
              <w:rPr>
                <w:rFonts w:ascii="Arial" w:hAnsi="Arial" w:cs="Arial"/>
                <w:b/>
                <w:sz w:val="20"/>
                <w:szCs w:val="20"/>
              </w:rPr>
            </w:pPr>
            <w:r w:rsidRPr="00C70473">
              <w:rPr>
                <w:rFonts w:ascii="Arial" w:hAnsi="Arial" w:cs="Arial"/>
                <w:b/>
                <w:sz w:val="20"/>
                <w:szCs w:val="20"/>
              </w:rPr>
              <w:t>Achievement rate of 70.1%</w:t>
            </w:r>
          </w:p>
        </w:tc>
      </w:tr>
    </w:tbl>
    <w:p w:rsidR="00DC1145" w:rsidRPr="00C70473" w:rsidRDefault="00DC1145"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sz w:val="20"/>
          <w:szCs w:val="20"/>
        </w:rPr>
      </w:pPr>
      <w:r w:rsidRPr="00C70473">
        <w:rPr>
          <w:rFonts w:ascii="Arial" w:hAnsi="Arial" w:cs="Arial"/>
          <w:noProof/>
          <w:sz w:val="20"/>
          <w:szCs w:val="20"/>
          <w:lang w:val="en-US"/>
        </w:rPr>
        <w:drawing>
          <wp:anchor distT="0" distB="0" distL="114300" distR="114300" simplePos="0" relativeHeight="251662336" behindDoc="0" locked="0" layoutInCell="1" allowOverlap="1">
            <wp:simplePos x="0" y="0"/>
            <wp:positionH relativeFrom="column">
              <wp:posOffset>-53975</wp:posOffset>
            </wp:positionH>
            <wp:positionV relativeFrom="paragraph">
              <wp:posOffset>2108835</wp:posOffset>
            </wp:positionV>
            <wp:extent cx="5731510" cy="2746375"/>
            <wp:effectExtent l="0" t="0" r="2540" b="1587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C70473">
        <w:rPr>
          <w:rFonts w:ascii="Arial" w:hAnsi="Arial" w:cs="Arial"/>
          <w:sz w:val="20"/>
          <w:szCs w:val="20"/>
        </w:rPr>
        <w:t xml:space="preserve">The figure below provides a summary of the Department’s performance at the end of the 2021/22 financial year against that of the previous financial year. The performance on predetermined targets of the Administration programme decreased slightly from 81% in 2020/21 to 80% in 2021/22. Similar, the achievement rate of the Visible Policing programme decreased from 73.1% in 2020/21 to 70.8% in </w:t>
      </w:r>
      <w:r w:rsidRPr="00C70473">
        <w:rPr>
          <w:rFonts w:ascii="Arial" w:hAnsi="Arial" w:cs="Arial"/>
          <w:sz w:val="20"/>
          <w:szCs w:val="20"/>
        </w:rPr>
        <w:lastRenderedPageBreak/>
        <w:t xml:space="preserve">2021/22. The achievement of predetermined targets in the Detective Services programme decreased from 58.6% in 2020/21 to 51.7% in 2021/22, which is largely due to the poor performance in the Criminal Record Centre and Forensic Science Laboratory subprogrammes which achieved none of its targets in 2021/22. The achievement rate on predetermined targets for the Crime Intelligence programme improved from 83.3% in 2020/21 to 91.6% in 2021/22, while that of the Protection and Security Services Programme decreased from 100% in 2020/21 to 71.4% in 2021/22 due to two security breaches recorded in 2021/22.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pStyle w:val="Heading2"/>
        <w:numPr>
          <w:ilvl w:val="1"/>
          <w:numId w:val="106"/>
        </w:numPr>
        <w:spacing w:before="0" w:line="240" w:lineRule="auto"/>
        <w:rPr>
          <w:rFonts w:ascii="Arial" w:hAnsi="Arial" w:cs="Arial"/>
          <w:sz w:val="20"/>
          <w:szCs w:val="20"/>
        </w:rPr>
      </w:pPr>
      <w:bookmarkStart w:id="16" w:name="_Toc115863864"/>
      <w:r w:rsidRPr="00C70473">
        <w:rPr>
          <w:rFonts w:ascii="Arial" w:hAnsi="Arial" w:cs="Arial"/>
          <w:sz w:val="20"/>
          <w:szCs w:val="20"/>
        </w:rPr>
        <w:t>Programme performance for 2021/22</w:t>
      </w:r>
      <w:bookmarkEnd w:id="16"/>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pStyle w:val="Heading3"/>
        <w:numPr>
          <w:ilvl w:val="2"/>
          <w:numId w:val="106"/>
        </w:numPr>
        <w:spacing w:before="0" w:line="240" w:lineRule="auto"/>
        <w:rPr>
          <w:rFonts w:ascii="Arial" w:hAnsi="Arial" w:cs="Arial"/>
          <w:b/>
          <w:color w:val="auto"/>
          <w:sz w:val="20"/>
          <w:szCs w:val="20"/>
        </w:rPr>
      </w:pPr>
      <w:bookmarkStart w:id="17" w:name="_Toc115863865"/>
      <w:r w:rsidRPr="00C70473">
        <w:rPr>
          <w:rFonts w:ascii="Arial" w:hAnsi="Arial" w:cs="Arial"/>
          <w:b/>
          <w:color w:val="auto"/>
          <w:sz w:val="20"/>
          <w:szCs w:val="20"/>
        </w:rPr>
        <w:t>Programme 1: Administration</w:t>
      </w:r>
      <w:bookmarkEnd w:id="17"/>
      <w:r w:rsidRPr="00C70473">
        <w:rPr>
          <w:rFonts w:ascii="Arial" w:hAnsi="Arial" w:cs="Arial"/>
          <w:b/>
          <w:color w:val="auto"/>
          <w:sz w:val="20"/>
          <w:szCs w:val="20"/>
        </w:rPr>
        <w:t xml:space="preserve"> </w:t>
      </w:r>
    </w:p>
    <w:p w:rsidR="00587F48" w:rsidRPr="00C70473" w:rsidRDefault="00587F48" w:rsidP="00C70473">
      <w:pPr>
        <w:spacing w:after="0" w:line="240" w:lineRule="auto"/>
        <w:rPr>
          <w:rFonts w:ascii="Arial" w:hAnsi="Arial" w:cs="Arial"/>
          <w:sz w:val="20"/>
          <w:szCs w:val="20"/>
        </w:rPr>
      </w:pPr>
    </w:p>
    <w:tbl>
      <w:tblPr>
        <w:tblStyle w:val="TableGrid"/>
        <w:tblW w:w="0" w:type="auto"/>
        <w:tblBorders>
          <w:insideH w:val="none" w:sz="0" w:space="0" w:color="auto"/>
          <w:insideV w:val="none" w:sz="0" w:space="0" w:color="auto"/>
        </w:tblBorders>
        <w:tblLook w:val="04A0"/>
      </w:tblPr>
      <w:tblGrid>
        <w:gridCol w:w="9016"/>
      </w:tblGrid>
      <w:tr w:rsidR="00DC1145" w:rsidRPr="00C70473" w:rsidTr="00DC1145">
        <w:trPr>
          <w:trHeight w:val="735"/>
        </w:trPr>
        <w:tc>
          <w:tcPr>
            <w:tcW w:w="9016" w:type="dxa"/>
            <w:shd w:val="clear" w:color="auto" w:fill="auto"/>
            <w:vAlign w:val="center"/>
          </w:tcPr>
          <w:p w:rsidR="00587F48" w:rsidRPr="00C70473" w:rsidRDefault="00587F48" w:rsidP="00C70473">
            <w:pPr>
              <w:rPr>
                <w:rFonts w:ascii="Arial" w:hAnsi="Arial" w:cs="Arial"/>
                <w:b/>
                <w:sz w:val="20"/>
                <w:szCs w:val="20"/>
              </w:rPr>
            </w:pPr>
            <w:r w:rsidRPr="00C70473">
              <w:rPr>
                <w:rFonts w:ascii="Arial" w:hAnsi="Arial" w:cs="Arial"/>
                <w:b/>
                <w:sz w:val="20"/>
                <w:szCs w:val="20"/>
              </w:rPr>
              <w:t>Administration achieved 20 from 25 performance targets</w:t>
            </w:r>
          </w:p>
          <w:p w:rsidR="00587F48" w:rsidRPr="00C70473" w:rsidRDefault="00587F48" w:rsidP="00C70473">
            <w:pPr>
              <w:rPr>
                <w:rFonts w:ascii="Arial" w:hAnsi="Arial" w:cs="Arial"/>
                <w:sz w:val="20"/>
                <w:szCs w:val="20"/>
              </w:rPr>
            </w:pPr>
            <w:r w:rsidRPr="00C70473">
              <w:rPr>
                <w:rFonts w:ascii="Arial" w:hAnsi="Arial" w:cs="Arial"/>
                <w:b/>
                <w:sz w:val="20"/>
                <w:szCs w:val="20"/>
              </w:rPr>
              <w:t>Achievement rate of 80%</w:t>
            </w:r>
          </w:p>
        </w:tc>
      </w:tr>
    </w:tbl>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sz w:val="20"/>
          <w:szCs w:val="20"/>
        </w:rPr>
      </w:pPr>
      <w:r w:rsidRPr="00C70473">
        <w:rPr>
          <w:rFonts w:ascii="Arial" w:hAnsi="Arial" w:cs="Arial"/>
          <w:sz w:val="20"/>
          <w:szCs w:val="20"/>
        </w:rPr>
        <w:t xml:space="preserve">At the end of the 2021/22 financial year, the Administration Programme achieved 20 of its 25 targets, thus four targets were not achieved. The following should be noted: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b/>
          <w:sz w:val="20"/>
          <w:szCs w:val="20"/>
        </w:rPr>
      </w:pPr>
      <w:r w:rsidRPr="00C70473">
        <w:rPr>
          <w:rFonts w:ascii="Arial" w:hAnsi="Arial" w:cs="Arial"/>
          <w:b/>
          <w:sz w:val="20"/>
          <w:szCs w:val="20"/>
        </w:rPr>
        <w:t xml:space="preserve">Targets not achieved during the 2021/22 financial year </w:t>
      </w:r>
    </w:p>
    <w:tbl>
      <w:tblPr>
        <w:tblStyle w:val="TableGrid"/>
        <w:tblW w:w="0" w:type="auto"/>
        <w:tblLook w:val="04A0"/>
      </w:tblPr>
      <w:tblGrid>
        <w:gridCol w:w="3005"/>
        <w:gridCol w:w="3005"/>
        <w:gridCol w:w="3006"/>
      </w:tblGrid>
      <w:tr w:rsidR="00587F48" w:rsidRPr="00C70473" w:rsidTr="00587F48">
        <w:tc>
          <w:tcPr>
            <w:tcW w:w="3005" w:type="dxa"/>
          </w:tcPr>
          <w:p w:rsidR="00587F48" w:rsidRPr="00C70473" w:rsidRDefault="00587F48" w:rsidP="00C70473">
            <w:pPr>
              <w:autoSpaceDE w:val="0"/>
              <w:autoSpaceDN w:val="0"/>
              <w:adjustRightInd w:val="0"/>
              <w:rPr>
                <w:rFonts w:ascii="Arial" w:hAnsi="Arial" w:cs="Arial"/>
                <w:sz w:val="20"/>
                <w:szCs w:val="20"/>
              </w:rPr>
            </w:pPr>
            <w:r w:rsidRPr="00C70473">
              <w:rPr>
                <w:rFonts w:ascii="Arial" w:hAnsi="Arial" w:cs="Arial"/>
                <w:sz w:val="20"/>
                <w:szCs w:val="20"/>
              </w:rPr>
              <w:t xml:space="preserve">Number of </w:t>
            </w:r>
            <w:r w:rsidRPr="00C70473">
              <w:rPr>
                <w:rFonts w:ascii="Arial" w:hAnsi="Arial" w:cs="Arial"/>
                <w:b/>
                <w:sz w:val="20"/>
                <w:szCs w:val="20"/>
              </w:rPr>
              <w:t>SAPS-owned firearms</w:t>
            </w:r>
            <w:r w:rsidRPr="00C70473">
              <w:rPr>
                <w:rFonts w:ascii="Arial" w:hAnsi="Arial" w:cs="Arial"/>
                <w:sz w:val="20"/>
                <w:szCs w:val="20"/>
              </w:rPr>
              <w:t xml:space="preserve"> reported as stolen/lost</w:t>
            </w:r>
          </w:p>
          <w:p w:rsidR="00587F48" w:rsidRPr="00C70473" w:rsidRDefault="00587F48" w:rsidP="00C70473">
            <w:pPr>
              <w:pStyle w:val="ListParagraph"/>
              <w:numPr>
                <w:ilvl w:val="0"/>
                <w:numId w:val="77"/>
              </w:numPr>
              <w:autoSpaceDE w:val="0"/>
              <w:autoSpaceDN w:val="0"/>
              <w:adjustRightInd w:val="0"/>
              <w:spacing w:after="0" w:line="240" w:lineRule="auto"/>
              <w:ind w:left="283" w:hanging="283"/>
              <w:rPr>
                <w:rFonts w:ascii="Arial" w:hAnsi="Arial" w:cs="Arial"/>
                <w:color w:val="000000"/>
                <w:sz w:val="20"/>
                <w:szCs w:val="20"/>
                <w:lang w:eastAsia="en-ZA"/>
              </w:rPr>
            </w:pPr>
            <w:r w:rsidRPr="00C70473">
              <w:rPr>
                <w:rFonts w:ascii="Arial" w:hAnsi="Arial" w:cs="Arial"/>
                <w:bCs/>
                <w:color w:val="000000"/>
                <w:sz w:val="20"/>
                <w:szCs w:val="20"/>
                <w:lang w:eastAsia="en-ZA"/>
              </w:rPr>
              <w:t>Target: Reduce to 508 (10%)</w:t>
            </w:r>
            <w:r w:rsidRPr="00C70473">
              <w:rPr>
                <w:rFonts w:ascii="Arial" w:hAnsi="Arial" w:cs="Arial"/>
                <w:color w:val="000000"/>
                <w:sz w:val="20"/>
                <w:szCs w:val="20"/>
                <w:lang w:eastAsia="en-ZA"/>
              </w:rPr>
              <w:t xml:space="preserve">  </w:t>
            </w:r>
          </w:p>
          <w:p w:rsidR="00587F48" w:rsidRPr="00C70473" w:rsidRDefault="00587F48" w:rsidP="00C70473">
            <w:pPr>
              <w:pStyle w:val="ListParagraph"/>
              <w:numPr>
                <w:ilvl w:val="0"/>
                <w:numId w:val="77"/>
              </w:numPr>
              <w:autoSpaceDE w:val="0"/>
              <w:autoSpaceDN w:val="0"/>
              <w:adjustRightInd w:val="0"/>
              <w:spacing w:after="0" w:line="240" w:lineRule="auto"/>
              <w:ind w:left="283" w:hanging="283"/>
              <w:rPr>
                <w:rFonts w:ascii="Arial" w:hAnsi="Arial" w:cs="Arial"/>
                <w:color w:val="000000"/>
                <w:sz w:val="20"/>
                <w:szCs w:val="20"/>
                <w:lang w:eastAsia="en-ZA"/>
              </w:rPr>
            </w:pPr>
            <w:r w:rsidRPr="00C70473">
              <w:rPr>
                <w:rFonts w:ascii="Arial" w:hAnsi="Arial" w:cs="Arial"/>
                <w:color w:val="000000"/>
                <w:sz w:val="20"/>
                <w:szCs w:val="20"/>
                <w:lang w:eastAsia="en-ZA"/>
              </w:rPr>
              <w:t>Achieved: 712</w:t>
            </w:r>
          </w:p>
          <w:p w:rsidR="00587F48" w:rsidRPr="00C70473" w:rsidRDefault="00587F48" w:rsidP="00C70473">
            <w:pPr>
              <w:pStyle w:val="ListParagraph"/>
              <w:numPr>
                <w:ilvl w:val="0"/>
                <w:numId w:val="77"/>
              </w:numPr>
              <w:autoSpaceDE w:val="0"/>
              <w:autoSpaceDN w:val="0"/>
              <w:adjustRightInd w:val="0"/>
              <w:spacing w:after="0" w:line="240" w:lineRule="auto"/>
              <w:ind w:left="283" w:hanging="283"/>
              <w:rPr>
                <w:rFonts w:ascii="Arial" w:hAnsi="Arial" w:cs="Arial"/>
                <w:color w:val="000000"/>
                <w:sz w:val="20"/>
                <w:szCs w:val="20"/>
                <w:lang w:eastAsia="en-ZA"/>
              </w:rPr>
            </w:pPr>
            <w:r w:rsidRPr="00C70473">
              <w:rPr>
                <w:rFonts w:ascii="Arial" w:hAnsi="Arial" w:cs="Arial"/>
                <w:color w:val="000000"/>
                <w:sz w:val="20"/>
                <w:szCs w:val="20"/>
                <w:lang w:eastAsia="en-ZA"/>
              </w:rPr>
              <w:t>Deviation: -204</w:t>
            </w:r>
          </w:p>
        </w:tc>
        <w:tc>
          <w:tcPr>
            <w:tcW w:w="3005" w:type="dxa"/>
          </w:tcPr>
          <w:p w:rsidR="00587F48" w:rsidRPr="00C70473" w:rsidRDefault="00587F48" w:rsidP="00C70473">
            <w:pPr>
              <w:autoSpaceDE w:val="0"/>
              <w:autoSpaceDN w:val="0"/>
              <w:adjustRightInd w:val="0"/>
              <w:rPr>
                <w:rFonts w:ascii="Arial" w:hAnsi="Arial" w:cs="Arial"/>
                <w:sz w:val="20"/>
                <w:szCs w:val="20"/>
              </w:rPr>
            </w:pPr>
            <w:r w:rsidRPr="00C70473">
              <w:rPr>
                <w:rFonts w:ascii="Arial" w:hAnsi="Arial" w:cs="Arial"/>
                <w:sz w:val="20"/>
                <w:szCs w:val="20"/>
              </w:rPr>
              <w:t xml:space="preserve">The number of </w:t>
            </w:r>
            <w:r w:rsidRPr="00C70473">
              <w:rPr>
                <w:rFonts w:ascii="Arial" w:hAnsi="Arial" w:cs="Arial"/>
                <w:b/>
                <w:sz w:val="20"/>
                <w:szCs w:val="20"/>
              </w:rPr>
              <w:t>new police stations</w:t>
            </w:r>
            <w:r w:rsidRPr="00C70473">
              <w:rPr>
                <w:rFonts w:ascii="Arial" w:hAnsi="Arial" w:cs="Arial"/>
                <w:sz w:val="20"/>
                <w:szCs w:val="20"/>
              </w:rPr>
              <w:t xml:space="preserve"> established, as per the SAPS Infrastructure Development Programme</w:t>
            </w:r>
            <w:r w:rsidRPr="00C70473">
              <w:rPr>
                <w:rFonts w:ascii="Arial" w:hAnsi="Arial" w:cs="Arial"/>
                <w:color w:val="000000"/>
                <w:sz w:val="20"/>
                <w:szCs w:val="20"/>
                <w:lang w:eastAsia="en-ZA"/>
              </w:rPr>
              <w:t xml:space="preserve"> </w:t>
            </w:r>
          </w:p>
          <w:p w:rsidR="00587F48" w:rsidRPr="00C70473" w:rsidRDefault="00587F48" w:rsidP="00C70473">
            <w:pPr>
              <w:pStyle w:val="ListParagraph"/>
              <w:numPr>
                <w:ilvl w:val="0"/>
                <w:numId w:val="78"/>
              </w:numPr>
              <w:autoSpaceDE w:val="0"/>
              <w:autoSpaceDN w:val="0"/>
              <w:adjustRightInd w:val="0"/>
              <w:spacing w:after="0" w:line="240" w:lineRule="auto"/>
              <w:ind w:left="260" w:hanging="260"/>
              <w:rPr>
                <w:rFonts w:ascii="Arial" w:hAnsi="Arial" w:cs="Arial"/>
                <w:color w:val="000000"/>
                <w:sz w:val="20"/>
                <w:szCs w:val="20"/>
                <w:lang w:eastAsia="en-ZA"/>
              </w:rPr>
            </w:pPr>
            <w:r w:rsidRPr="00C70473">
              <w:rPr>
                <w:rFonts w:ascii="Arial" w:hAnsi="Arial" w:cs="Arial"/>
                <w:bCs/>
                <w:color w:val="000000"/>
                <w:sz w:val="20"/>
                <w:szCs w:val="20"/>
                <w:lang w:eastAsia="en-ZA"/>
              </w:rPr>
              <w:t>Target: 3</w:t>
            </w:r>
          </w:p>
          <w:p w:rsidR="00587F48" w:rsidRPr="00C70473" w:rsidRDefault="00587F48" w:rsidP="00C70473">
            <w:pPr>
              <w:pStyle w:val="ListParagraph"/>
              <w:numPr>
                <w:ilvl w:val="0"/>
                <w:numId w:val="78"/>
              </w:numPr>
              <w:autoSpaceDE w:val="0"/>
              <w:autoSpaceDN w:val="0"/>
              <w:adjustRightInd w:val="0"/>
              <w:spacing w:after="0" w:line="240" w:lineRule="auto"/>
              <w:ind w:left="260" w:hanging="260"/>
              <w:rPr>
                <w:rFonts w:ascii="Arial" w:hAnsi="Arial" w:cs="Arial"/>
                <w:color w:val="000000"/>
                <w:sz w:val="20"/>
                <w:szCs w:val="20"/>
                <w:lang w:eastAsia="en-ZA"/>
              </w:rPr>
            </w:pPr>
            <w:r w:rsidRPr="00C70473">
              <w:rPr>
                <w:rFonts w:ascii="Arial" w:hAnsi="Arial" w:cs="Arial"/>
                <w:color w:val="000000"/>
                <w:sz w:val="20"/>
                <w:szCs w:val="20"/>
                <w:lang w:eastAsia="en-ZA"/>
              </w:rPr>
              <w:t>Achieved: 2</w:t>
            </w:r>
            <w:r w:rsidRPr="00C70473">
              <w:rPr>
                <w:rFonts w:ascii="Arial" w:hAnsi="Arial" w:cs="Arial"/>
                <w:sz w:val="20"/>
                <w:szCs w:val="20"/>
              </w:rPr>
              <w:t xml:space="preserve"> </w:t>
            </w:r>
          </w:p>
          <w:p w:rsidR="00587F48" w:rsidRPr="00C70473" w:rsidRDefault="00587F48" w:rsidP="00C70473">
            <w:pPr>
              <w:pStyle w:val="ListParagraph"/>
              <w:numPr>
                <w:ilvl w:val="0"/>
                <w:numId w:val="78"/>
              </w:numPr>
              <w:autoSpaceDE w:val="0"/>
              <w:autoSpaceDN w:val="0"/>
              <w:adjustRightInd w:val="0"/>
              <w:spacing w:after="0" w:line="240" w:lineRule="auto"/>
              <w:ind w:left="260" w:hanging="260"/>
              <w:rPr>
                <w:rFonts w:ascii="Arial" w:hAnsi="Arial" w:cs="Arial"/>
                <w:color w:val="000000"/>
                <w:sz w:val="20"/>
                <w:szCs w:val="20"/>
                <w:lang w:eastAsia="en-ZA"/>
              </w:rPr>
            </w:pPr>
            <w:r w:rsidRPr="00C70473">
              <w:rPr>
                <w:rFonts w:ascii="Arial" w:hAnsi="Arial" w:cs="Arial"/>
                <w:sz w:val="20"/>
                <w:szCs w:val="20"/>
              </w:rPr>
              <w:t>Deviation: -1</w:t>
            </w:r>
          </w:p>
          <w:p w:rsidR="00587F48" w:rsidRPr="00C70473" w:rsidRDefault="00587F48" w:rsidP="00C70473">
            <w:pPr>
              <w:autoSpaceDE w:val="0"/>
              <w:autoSpaceDN w:val="0"/>
              <w:adjustRightInd w:val="0"/>
              <w:rPr>
                <w:rFonts w:ascii="Arial" w:hAnsi="Arial" w:cs="Arial"/>
                <w:color w:val="000000"/>
                <w:sz w:val="20"/>
                <w:szCs w:val="20"/>
                <w:lang w:eastAsia="en-ZA"/>
              </w:rPr>
            </w:pPr>
          </w:p>
          <w:p w:rsidR="00587F48" w:rsidRPr="00C70473" w:rsidRDefault="00587F48" w:rsidP="00C70473">
            <w:pPr>
              <w:autoSpaceDE w:val="0"/>
              <w:autoSpaceDN w:val="0"/>
              <w:adjustRightInd w:val="0"/>
              <w:rPr>
                <w:rFonts w:ascii="Arial" w:hAnsi="Arial" w:cs="Arial"/>
                <w:sz w:val="20"/>
                <w:szCs w:val="20"/>
              </w:rPr>
            </w:pPr>
            <w:r w:rsidRPr="00C70473">
              <w:rPr>
                <w:rFonts w:ascii="Arial" w:hAnsi="Arial" w:cs="Arial"/>
                <w:b/>
                <w:sz w:val="20"/>
                <w:szCs w:val="20"/>
              </w:rPr>
              <w:t>Note:</w:t>
            </w:r>
            <w:r w:rsidRPr="00C70473">
              <w:rPr>
                <w:rFonts w:ascii="Arial" w:hAnsi="Arial" w:cs="Arial"/>
                <w:sz w:val="20"/>
                <w:szCs w:val="20"/>
              </w:rPr>
              <w:t xml:space="preserve"> The completion of the construction of Riemvasmaak Police Station, in the Northern Cape, was earmarked for April 2021. This was due to COVID-19 Regulations, community unrest/disputes, interference by local business forums, lack of skilled labour and sourcing of building materials. </w:t>
            </w:r>
          </w:p>
          <w:p w:rsidR="00587F48" w:rsidRPr="00C70473" w:rsidRDefault="00587F48" w:rsidP="00C70473">
            <w:pPr>
              <w:autoSpaceDE w:val="0"/>
              <w:autoSpaceDN w:val="0"/>
              <w:adjustRightInd w:val="0"/>
              <w:rPr>
                <w:rFonts w:ascii="Arial" w:hAnsi="Arial" w:cs="Arial"/>
                <w:sz w:val="20"/>
                <w:szCs w:val="20"/>
              </w:rPr>
            </w:pPr>
          </w:p>
          <w:p w:rsidR="00587F48" w:rsidRPr="00C70473" w:rsidRDefault="00587F48" w:rsidP="00C70473">
            <w:pPr>
              <w:autoSpaceDE w:val="0"/>
              <w:autoSpaceDN w:val="0"/>
              <w:adjustRightInd w:val="0"/>
              <w:rPr>
                <w:rFonts w:ascii="Arial" w:hAnsi="Arial" w:cs="Arial"/>
                <w:sz w:val="20"/>
                <w:szCs w:val="20"/>
              </w:rPr>
            </w:pPr>
            <w:r w:rsidRPr="00C70473">
              <w:rPr>
                <w:rFonts w:ascii="Arial" w:hAnsi="Arial" w:cs="Arial"/>
                <w:b/>
                <w:sz w:val="20"/>
                <w:szCs w:val="20"/>
              </w:rPr>
              <w:t xml:space="preserve">Note: </w:t>
            </w:r>
            <w:r w:rsidRPr="00C70473">
              <w:rPr>
                <w:rFonts w:ascii="Arial" w:hAnsi="Arial" w:cs="Arial"/>
                <w:sz w:val="20"/>
                <w:szCs w:val="20"/>
              </w:rPr>
              <w:t xml:space="preserve">The SAPS bought 33 mobile contact points. </w:t>
            </w:r>
          </w:p>
        </w:tc>
        <w:tc>
          <w:tcPr>
            <w:tcW w:w="3006" w:type="dxa"/>
          </w:tcPr>
          <w:p w:rsidR="00587F48" w:rsidRPr="00C70473" w:rsidRDefault="00587F48" w:rsidP="00C70473">
            <w:pPr>
              <w:pStyle w:val="Default"/>
              <w:rPr>
                <w:sz w:val="20"/>
                <w:szCs w:val="20"/>
              </w:rPr>
            </w:pPr>
            <w:r w:rsidRPr="00C70473">
              <w:rPr>
                <w:sz w:val="20"/>
                <w:szCs w:val="20"/>
              </w:rPr>
              <w:t xml:space="preserve">Percentage compliance with the </w:t>
            </w:r>
            <w:r w:rsidRPr="00C70473">
              <w:rPr>
                <w:b/>
                <w:sz w:val="20"/>
                <w:szCs w:val="20"/>
              </w:rPr>
              <w:t>SAPS’ Ethics and Integrity</w:t>
            </w:r>
            <w:r w:rsidRPr="00C70473">
              <w:rPr>
                <w:sz w:val="20"/>
                <w:szCs w:val="20"/>
              </w:rPr>
              <w:t xml:space="preserve"> Plan</w:t>
            </w:r>
            <w:r w:rsidRPr="00C70473">
              <w:rPr>
                <w:b/>
                <w:bCs/>
                <w:sz w:val="20"/>
                <w:szCs w:val="20"/>
              </w:rPr>
              <w:t xml:space="preserve"> - </w:t>
            </w:r>
            <w:r w:rsidRPr="00C70473">
              <w:rPr>
                <w:bCs/>
                <w:sz w:val="20"/>
                <w:szCs w:val="20"/>
              </w:rPr>
              <w:t xml:space="preserve">Overall target achieved, but one sub-target was not achieved: </w:t>
            </w:r>
          </w:p>
          <w:p w:rsidR="00587F48" w:rsidRPr="00C70473" w:rsidRDefault="00587F48" w:rsidP="00C70473">
            <w:pPr>
              <w:pStyle w:val="Default"/>
              <w:numPr>
                <w:ilvl w:val="0"/>
                <w:numId w:val="76"/>
              </w:numPr>
              <w:ind w:left="260" w:hanging="260"/>
              <w:rPr>
                <w:sz w:val="20"/>
                <w:szCs w:val="20"/>
              </w:rPr>
            </w:pPr>
            <w:r w:rsidRPr="00C70473">
              <w:rPr>
                <w:sz w:val="20"/>
                <w:szCs w:val="20"/>
              </w:rPr>
              <w:t>100%% of Financial Management and Supply Chain Management financial disclosures submitted by 31 August 2021 (-7.91% points)</w:t>
            </w:r>
          </w:p>
        </w:tc>
      </w:tr>
      <w:tr w:rsidR="00587F48" w:rsidRPr="00C70473" w:rsidTr="00587F48">
        <w:tc>
          <w:tcPr>
            <w:tcW w:w="3005" w:type="dxa"/>
          </w:tcPr>
          <w:p w:rsidR="00587F48" w:rsidRPr="00C70473" w:rsidRDefault="00587F48" w:rsidP="00C70473">
            <w:pPr>
              <w:rPr>
                <w:rFonts w:ascii="Arial" w:hAnsi="Arial" w:cs="Arial"/>
                <w:sz w:val="20"/>
                <w:szCs w:val="20"/>
              </w:rPr>
            </w:pPr>
            <w:r w:rsidRPr="00C70473">
              <w:rPr>
                <w:rFonts w:ascii="Arial" w:hAnsi="Arial" w:cs="Arial"/>
                <w:sz w:val="20"/>
                <w:szCs w:val="20"/>
              </w:rPr>
              <w:t xml:space="preserve">Percentage decrease in the number of incidents of confirmed </w:t>
            </w:r>
            <w:r w:rsidRPr="00C70473">
              <w:rPr>
                <w:rFonts w:ascii="Arial" w:hAnsi="Arial" w:cs="Arial"/>
                <w:b/>
                <w:sz w:val="20"/>
                <w:szCs w:val="20"/>
              </w:rPr>
              <w:t>irregular expenditure.</w:t>
            </w:r>
          </w:p>
          <w:p w:rsidR="00587F48" w:rsidRPr="00C70473" w:rsidRDefault="00587F48" w:rsidP="00C70473">
            <w:pPr>
              <w:pStyle w:val="ListParagraph"/>
              <w:numPr>
                <w:ilvl w:val="0"/>
                <w:numId w:val="86"/>
              </w:numPr>
              <w:spacing w:after="0" w:line="240" w:lineRule="auto"/>
              <w:ind w:left="318" w:hanging="284"/>
              <w:rPr>
                <w:rFonts w:ascii="Arial" w:hAnsi="Arial" w:cs="Arial"/>
                <w:sz w:val="20"/>
                <w:szCs w:val="20"/>
              </w:rPr>
            </w:pPr>
            <w:r w:rsidRPr="00C70473">
              <w:rPr>
                <w:rFonts w:ascii="Arial" w:hAnsi="Arial" w:cs="Arial"/>
                <w:sz w:val="20"/>
                <w:szCs w:val="20"/>
              </w:rPr>
              <w:t>Target: 67.5% decrease</w:t>
            </w:r>
          </w:p>
          <w:p w:rsidR="00587F48" w:rsidRPr="00C70473" w:rsidRDefault="00587F48" w:rsidP="00C70473">
            <w:pPr>
              <w:pStyle w:val="ListParagraph"/>
              <w:numPr>
                <w:ilvl w:val="0"/>
                <w:numId w:val="86"/>
              </w:numPr>
              <w:spacing w:after="0" w:line="240" w:lineRule="auto"/>
              <w:ind w:left="318" w:hanging="284"/>
              <w:rPr>
                <w:rFonts w:ascii="Arial" w:hAnsi="Arial" w:cs="Arial"/>
                <w:sz w:val="20"/>
                <w:szCs w:val="20"/>
              </w:rPr>
            </w:pPr>
            <w:r w:rsidRPr="00C70473">
              <w:rPr>
                <w:rFonts w:ascii="Arial" w:hAnsi="Arial" w:cs="Arial"/>
                <w:sz w:val="20"/>
                <w:szCs w:val="20"/>
              </w:rPr>
              <w:t>Achieved: Increased, by 352,63% from 19 confirmed incidents, in 2020/21, to 86 confirmed incidents, in 2021/22.</w:t>
            </w:r>
          </w:p>
          <w:p w:rsidR="00587F48" w:rsidRPr="00C70473" w:rsidRDefault="00587F48" w:rsidP="00C70473">
            <w:pPr>
              <w:pStyle w:val="ListParagraph"/>
              <w:numPr>
                <w:ilvl w:val="0"/>
                <w:numId w:val="86"/>
              </w:numPr>
              <w:spacing w:after="0" w:line="240" w:lineRule="auto"/>
              <w:ind w:left="318" w:hanging="284"/>
              <w:rPr>
                <w:rFonts w:ascii="Arial" w:hAnsi="Arial" w:cs="Arial"/>
                <w:sz w:val="20"/>
                <w:szCs w:val="20"/>
              </w:rPr>
            </w:pPr>
            <w:r w:rsidRPr="00C70473">
              <w:rPr>
                <w:rFonts w:ascii="Arial" w:hAnsi="Arial" w:cs="Arial"/>
                <w:sz w:val="20"/>
                <w:szCs w:val="20"/>
              </w:rPr>
              <w:t>Deviation: Increased by 352.63%</w:t>
            </w:r>
          </w:p>
        </w:tc>
        <w:tc>
          <w:tcPr>
            <w:tcW w:w="3005" w:type="dxa"/>
          </w:tcPr>
          <w:p w:rsidR="00587F48" w:rsidRPr="00C70473" w:rsidRDefault="00587F48" w:rsidP="00C70473">
            <w:pPr>
              <w:rPr>
                <w:rFonts w:ascii="Arial" w:hAnsi="Arial" w:cs="Arial"/>
                <w:sz w:val="20"/>
                <w:szCs w:val="20"/>
              </w:rPr>
            </w:pPr>
            <w:r w:rsidRPr="00C70473">
              <w:rPr>
                <w:rFonts w:ascii="Arial" w:hAnsi="Arial" w:cs="Arial"/>
                <w:sz w:val="20"/>
                <w:szCs w:val="20"/>
              </w:rPr>
              <w:t xml:space="preserve">Percentage decrease in the number of incidents of confirmed </w:t>
            </w:r>
            <w:r w:rsidRPr="00C70473">
              <w:rPr>
                <w:rFonts w:ascii="Arial" w:hAnsi="Arial" w:cs="Arial"/>
                <w:b/>
                <w:sz w:val="20"/>
                <w:szCs w:val="20"/>
              </w:rPr>
              <w:t>fruitless and wasteful expenditure.</w:t>
            </w:r>
          </w:p>
          <w:p w:rsidR="00587F48" w:rsidRPr="00C70473" w:rsidRDefault="00587F48" w:rsidP="00C70473">
            <w:pPr>
              <w:pStyle w:val="ListParagraph"/>
              <w:numPr>
                <w:ilvl w:val="0"/>
                <w:numId w:val="86"/>
              </w:numPr>
              <w:spacing w:after="0" w:line="240" w:lineRule="auto"/>
              <w:ind w:left="318" w:hanging="284"/>
              <w:rPr>
                <w:rFonts w:ascii="Arial" w:hAnsi="Arial" w:cs="Arial"/>
                <w:sz w:val="20"/>
                <w:szCs w:val="20"/>
              </w:rPr>
            </w:pPr>
            <w:r w:rsidRPr="00C70473">
              <w:rPr>
                <w:rFonts w:ascii="Arial" w:hAnsi="Arial" w:cs="Arial"/>
                <w:sz w:val="20"/>
                <w:szCs w:val="20"/>
              </w:rPr>
              <w:t>Target: 70% decrease</w:t>
            </w:r>
          </w:p>
          <w:p w:rsidR="00587F48" w:rsidRPr="00C70473" w:rsidRDefault="00587F48" w:rsidP="00C70473">
            <w:pPr>
              <w:pStyle w:val="ListParagraph"/>
              <w:numPr>
                <w:ilvl w:val="0"/>
                <w:numId w:val="86"/>
              </w:numPr>
              <w:spacing w:after="0" w:line="240" w:lineRule="auto"/>
              <w:ind w:left="318" w:hanging="284"/>
              <w:rPr>
                <w:rFonts w:ascii="Arial" w:hAnsi="Arial" w:cs="Arial"/>
                <w:sz w:val="20"/>
                <w:szCs w:val="20"/>
              </w:rPr>
            </w:pPr>
            <w:r w:rsidRPr="00C70473">
              <w:rPr>
                <w:rFonts w:ascii="Arial" w:hAnsi="Arial" w:cs="Arial"/>
                <w:sz w:val="20"/>
                <w:szCs w:val="20"/>
              </w:rPr>
              <w:t>Achieved: Increased, by 191,67% from 36 confirmed incidents, in 2020/21 to 105, in 2021/22.</w:t>
            </w:r>
          </w:p>
          <w:p w:rsidR="00587F48" w:rsidRPr="00C70473" w:rsidRDefault="00587F48" w:rsidP="00C70473">
            <w:pPr>
              <w:pStyle w:val="ListParagraph"/>
              <w:numPr>
                <w:ilvl w:val="0"/>
                <w:numId w:val="86"/>
              </w:numPr>
              <w:spacing w:after="0" w:line="240" w:lineRule="auto"/>
              <w:ind w:left="318" w:hanging="284"/>
              <w:rPr>
                <w:rFonts w:ascii="Arial" w:hAnsi="Arial" w:cs="Arial"/>
                <w:sz w:val="20"/>
                <w:szCs w:val="20"/>
              </w:rPr>
            </w:pPr>
            <w:r w:rsidRPr="00C70473">
              <w:rPr>
                <w:rFonts w:ascii="Arial" w:hAnsi="Arial" w:cs="Arial"/>
                <w:sz w:val="20"/>
                <w:szCs w:val="20"/>
              </w:rPr>
              <w:t>Deviation: Increased by 191.67%</w:t>
            </w:r>
          </w:p>
        </w:tc>
        <w:tc>
          <w:tcPr>
            <w:tcW w:w="3006" w:type="dxa"/>
            <w:shd w:val="clear" w:color="auto" w:fill="auto"/>
          </w:tcPr>
          <w:p w:rsidR="00587F48" w:rsidRPr="00C70473" w:rsidRDefault="00587F48" w:rsidP="00C70473">
            <w:pPr>
              <w:pStyle w:val="Default"/>
              <w:rPr>
                <w:i/>
                <w:sz w:val="20"/>
                <w:szCs w:val="20"/>
              </w:rPr>
            </w:pPr>
          </w:p>
        </w:tc>
      </w:tr>
    </w:tbl>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pStyle w:val="Heading3"/>
        <w:numPr>
          <w:ilvl w:val="3"/>
          <w:numId w:val="103"/>
        </w:numPr>
        <w:spacing w:before="0" w:line="240" w:lineRule="auto"/>
        <w:rPr>
          <w:rFonts w:ascii="Arial" w:hAnsi="Arial" w:cs="Arial"/>
          <w:b/>
          <w:color w:val="auto"/>
          <w:sz w:val="20"/>
          <w:szCs w:val="20"/>
        </w:rPr>
      </w:pPr>
      <w:bookmarkStart w:id="18" w:name="_Toc115863866"/>
      <w:r w:rsidRPr="00C70473">
        <w:rPr>
          <w:rFonts w:ascii="Arial" w:hAnsi="Arial" w:cs="Arial"/>
          <w:b/>
          <w:color w:val="auto"/>
          <w:sz w:val="20"/>
          <w:szCs w:val="20"/>
        </w:rPr>
        <w:t>Priority issues raised by Members</w:t>
      </w:r>
      <w:bookmarkEnd w:id="18"/>
      <w:r w:rsidRPr="00C70473">
        <w:rPr>
          <w:rFonts w:ascii="Arial" w:hAnsi="Arial" w:cs="Arial"/>
          <w:b/>
          <w:color w:val="auto"/>
          <w:sz w:val="20"/>
          <w:szCs w:val="20"/>
        </w:rPr>
        <w:t xml:space="preserve"> </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b/>
          <w:sz w:val="20"/>
          <w:szCs w:val="20"/>
        </w:rPr>
      </w:pPr>
      <w:r w:rsidRPr="00C70473">
        <w:rPr>
          <w:rFonts w:ascii="Arial" w:hAnsi="Arial" w:cs="Arial"/>
          <w:b/>
          <w:sz w:val="20"/>
          <w:szCs w:val="20"/>
        </w:rPr>
        <w:t xml:space="preserve">Police Infrastructure </w:t>
      </w: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In 2021/22, 33 mobile contact points were procured and deployed as part of the SAPSs Mobile Community Services initiative to “improve police presence, to ensure accessibility, to enhance service </w:t>
      </w:r>
      <w:r w:rsidRPr="00C70473">
        <w:rPr>
          <w:rFonts w:ascii="Arial" w:hAnsi="Arial" w:cs="Arial"/>
          <w:sz w:val="20"/>
          <w:szCs w:val="20"/>
        </w:rPr>
        <w:lastRenderedPageBreak/>
        <w:t xml:space="preserve">delivery in crime hotspots and to enhance and strengthen the relationship between communities and the police.” However, during a Parliamentary oversight visit in September 2022 to the Bergnek community in Limpopo, the community expressed significant concern about the lack of police resources and viewed the establishment of a Contact Point in Bergnek, resourced with one police member, as a negative and indicated that this shows that the police does not understand of care about the community’s significant crime challenges.   </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During 2021/22, the construction of three police stations was planned, but only two were finalised, including Mabieskraal and Moeka Vuma (North West). During this period, security upgrades at eight police stations in Mpumalanga were completed.  </w:t>
      </w: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   </w:t>
      </w: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In terms of the currents state of police station, the following should be noted:</w:t>
      </w:r>
    </w:p>
    <w:p w:rsidR="00587F48" w:rsidRPr="00C70473" w:rsidRDefault="00587F48" w:rsidP="00C70473">
      <w:pPr>
        <w:pStyle w:val="ListParagraph"/>
        <w:numPr>
          <w:ilvl w:val="0"/>
          <w:numId w:val="104"/>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Excellent condition: 1% (10 stations)</w:t>
      </w:r>
    </w:p>
    <w:p w:rsidR="00587F48" w:rsidRPr="00C70473" w:rsidRDefault="00587F48" w:rsidP="00C70473">
      <w:pPr>
        <w:pStyle w:val="ListParagraph"/>
        <w:numPr>
          <w:ilvl w:val="0"/>
          <w:numId w:val="104"/>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Good condition: 15% (168 stations)</w:t>
      </w:r>
    </w:p>
    <w:p w:rsidR="00587F48" w:rsidRPr="00C70473" w:rsidRDefault="00587F48" w:rsidP="00C70473">
      <w:pPr>
        <w:pStyle w:val="ListParagraph"/>
        <w:numPr>
          <w:ilvl w:val="0"/>
          <w:numId w:val="104"/>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Fair condition: 69% (801 stations) </w:t>
      </w:r>
    </w:p>
    <w:p w:rsidR="00587F48" w:rsidRPr="00C70473" w:rsidRDefault="00587F48" w:rsidP="00C70473">
      <w:pPr>
        <w:pStyle w:val="ListParagraph"/>
        <w:numPr>
          <w:ilvl w:val="0"/>
          <w:numId w:val="104"/>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Very poor condition: 15% (179 stations)</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b/>
          <w:sz w:val="20"/>
          <w:szCs w:val="20"/>
        </w:rPr>
      </w:pPr>
      <w:r w:rsidRPr="00C70473">
        <w:rPr>
          <w:rFonts w:ascii="Arial" w:hAnsi="Arial" w:cs="Arial"/>
          <w:b/>
          <w:sz w:val="20"/>
          <w:szCs w:val="20"/>
        </w:rPr>
        <w:t>Police Safety Strategy</w:t>
      </w: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The amended Police Safety Strategy has been implemented, in all nine provinces and the National Police Safety Committee convened, quarterly, to ensure that all matters related to police safety are addressed on all levels. A total number of 110 police members were murdered, 28 on duty and 82 off duty, during 2021/22, compared to 81 in 2020/21. </w:t>
      </w:r>
      <w:r w:rsidRPr="00C70473">
        <w:rPr>
          <w:rFonts w:ascii="Arial" w:hAnsi="Arial" w:cs="Arial"/>
          <w:b/>
          <w:sz w:val="20"/>
          <w:szCs w:val="20"/>
        </w:rPr>
        <w:t>Note:</w:t>
      </w:r>
      <w:r w:rsidRPr="00C70473">
        <w:rPr>
          <w:rFonts w:ascii="Arial" w:hAnsi="Arial" w:cs="Arial"/>
          <w:sz w:val="20"/>
          <w:szCs w:val="20"/>
        </w:rPr>
        <w:t xml:space="preserve"> The SAPS should also report on armed robberies/attacks at police stations and stolen items, such as firearms and ammunition</w:t>
      </w:r>
      <w:r w:rsidRPr="00C70473">
        <w:rPr>
          <w:rFonts w:ascii="Arial" w:hAnsi="Arial" w:cs="Arial"/>
          <w:sz w:val="20"/>
          <w:szCs w:val="20"/>
          <w:shd w:val="clear" w:color="auto" w:fill="E7E6E6" w:themeFill="background2"/>
        </w:rPr>
        <w:t>.</w:t>
      </w:r>
      <w:r w:rsidRPr="00C70473">
        <w:rPr>
          <w:rFonts w:ascii="Arial" w:hAnsi="Arial" w:cs="Arial"/>
          <w:sz w:val="20"/>
          <w:szCs w:val="20"/>
        </w:rPr>
        <w:t xml:space="preserve">  </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b/>
          <w:sz w:val="20"/>
          <w:szCs w:val="20"/>
        </w:rPr>
      </w:pPr>
      <w:r w:rsidRPr="00C70473">
        <w:rPr>
          <w:rFonts w:ascii="Arial" w:hAnsi="Arial" w:cs="Arial"/>
          <w:b/>
          <w:sz w:val="20"/>
          <w:szCs w:val="20"/>
        </w:rPr>
        <w:t xml:space="preserve">Service delivery complaints </w:t>
      </w: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In 2021/22, the Department received a total number of 11 060 service complaints, nationally, of which 8 395 or 75,90% were finalised, within 30 working days, exceeding the set target for the finalisation of 70% service complaints, within 30 working days. Furthermore, a total number of 597 GBVF-related service complaints were received, nationally, of which 471 or 78,89% were finalised, within 14 working days. From the 98 Domestic Violence Act-related service complaints received, nationally, 44 or 44,90% were finalised, within three working days.</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b/>
          <w:sz w:val="20"/>
          <w:szCs w:val="20"/>
        </w:rPr>
      </w:pPr>
      <w:r w:rsidRPr="00C70473">
        <w:rPr>
          <w:rFonts w:ascii="Arial" w:hAnsi="Arial" w:cs="Arial"/>
          <w:b/>
          <w:sz w:val="20"/>
          <w:szCs w:val="20"/>
        </w:rPr>
        <w:t xml:space="preserve">SAPS Vehicles and Garages </w:t>
      </w: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The SAPS has 54 994 transport assets, including 50 960 vehicles, 34 aircrafts, 137 boats, 157 machinery (e.g. forklifts), 949 motorcycles and 2 757 trailers. However, the 2021/22 Annual Report does not provide details on the status of SAPS garages, maintenance on, or servicing of transport assets. Members have consistently raised concerns about alleged corruption taking place at garages, such as private vehicles being serviced at SAPS garages. The SAPS should be encouraged to include the maintenance of all transport assets, status and capacitation of SAPS garages and maintenance in their future Annual Reports. </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b/>
          <w:sz w:val="20"/>
          <w:szCs w:val="20"/>
        </w:rPr>
      </w:pPr>
      <w:r w:rsidRPr="00C70473">
        <w:rPr>
          <w:rFonts w:ascii="Arial" w:hAnsi="Arial" w:cs="Arial"/>
          <w:b/>
          <w:sz w:val="20"/>
          <w:szCs w:val="20"/>
        </w:rPr>
        <w:t>Impact of COVID-19</w:t>
      </w: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As at 31 March 2022, there was a total number of 47 461 confirmed COVID-19 cases in the SAPS (1,28% of the total number of cases recorded), of which the most confirmed cases were recorded at head office and national divisions/components (10 519). A total of 884 fatalities were recorded during 2021/22. </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b/>
          <w:sz w:val="20"/>
          <w:szCs w:val="20"/>
        </w:rPr>
      </w:pPr>
      <w:r w:rsidRPr="00C70473">
        <w:rPr>
          <w:rFonts w:ascii="Arial" w:hAnsi="Arial" w:cs="Arial"/>
          <w:b/>
          <w:sz w:val="20"/>
          <w:szCs w:val="20"/>
        </w:rPr>
        <w:t xml:space="preserve">Organisational Structure </w:t>
      </w: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Members have consistently raised concern about the organisational structure of the SAPS and that it has become clumsy organisation that is orientated towards administration and not service delivery. The SAPS should indicate whether their organisational structure will be reviewed to address these concerns. </w:t>
      </w:r>
    </w:p>
    <w:p w:rsidR="00587F48" w:rsidRPr="00C70473" w:rsidRDefault="00587F48" w:rsidP="00C70473">
      <w:pPr>
        <w:spacing w:after="0" w:line="240" w:lineRule="auto"/>
        <w:rPr>
          <w:rFonts w:ascii="Arial" w:hAnsi="Arial" w:cs="Arial"/>
          <w:b/>
          <w:sz w:val="20"/>
          <w:szCs w:val="20"/>
        </w:rPr>
      </w:pPr>
    </w:p>
    <w:p w:rsidR="00587F48" w:rsidRPr="00C70473" w:rsidRDefault="00587F48" w:rsidP="00C70473">
      <w:pPr>
        <w:pStyle w:val="Heading3"/>
        <w:numPr>
          <w:ilvl w:val="2"/>
          <w:numId w:val="106"/>
        </w:numPr>
        <w:spacing w:before="0" w:line="240" w:lineRule="auto"/>
        <w:rPr>
          <w:rFonts w:ascii="Arial" w:hAnsi="Arial" w:cs="Arial"/>
          <w:b/>
          <w:color w:val="auto"/>
          <w:sz w:val="20"/>
          <w:szCs w:val="20"/>
        </w:rPr>
      </w:pPr>
      <w:bookmarkStart w:id="19" w:name="_Toc115863867"/>
      <w:r w:rsidRPr="00C70473">
        <w:rPr>
          <w:rFonts w:ascii="Arial" w:hAnsi="Arial" w:cs="Arial"/>
          <w:b/>
          <w:color w:val="auto"/>
          <w:sz w:val="20"/>
          <w:szCs w:val="20"/>
        </w:rPr>
        <w:t>Programme 2: Visible Policing</w:t>
      </w:r>
      <w:bookmarkEnd w:id="19"/>
      <w:r w:rsidRPr="00C70473">
        <w:rPr>
          <w:rFonts w:ascii="Arial" w:hAnsi="Arial" w:cs="Arial"/>
          <w:b/>
          <w:color w:val="auto"/>
          <w:sz w:val="20"/>
          <w:szCs w:val="20"/>
        </w:rPr>
        <w:t xml:space="preserve"> </w:t>
      </w:r>
    </w:p>
    <w:p w:rsidR="00587F48" w:rsidRPr="00C70473" w:rsidRDefault="00587F48" w:rsidP="00C70473">
      <w:pPr>
        <w:spacing w:after="0" w:line="240" w:lineRule="auto"/>
        <w:rPr>
          <w:rFonts w:ascii="Arial" w:hAnsi="Arial" w:cs="Arial"/>
          <w:sz w:val="20"/>
          <w:szCs w:val="20"/>
        </w:rPr>
      </w:pPr>
    </w:p>
    <w:tbl>
      <w:tblPr>
        <w:tblStyle w:val="TableGrid"/>
        <w:tblW w:w="0" w:type="auto"/>
        <w:tblLook w:val="04A0"/>
      </w:tblPr>
      <w:tblGrid>
        <w:gridCol w:w="9016"/>
      </w:tblGrid>
      <w:tr w:rsidR="00DC1145" w:rsidRPr="00C70473" w:rsidTr="00DC1145">
        <w:trPr>
          <w:trHeight w:val="752"/>
        </w:trPr>
        <w:tc>
          <w:tcPr>
            <w:tcW w:w="9016" w:type="dxa"/>
            <w:shd w:val="clear" w:color="auto" w:fill="auto"/>
            <w:vAlign w:val="center"/>
          </w:tcPr>
          <w:p w:rsidR="00587F48" w:rsidRPr="00C70473" w:rsidRDefault="00587F48" w:rsidP="00C70473">
            <w:pPr>
              <w:rPr>
                <w:rFonts w:ascii="Arial" w:hAnsi="Arial" w:cs="Arial"/>
                <w:b/>
                <w:sz w:val="20"/>
                <w:szCs w:val="20"/>
              </w:rPr>
            </w:pPr>
            <w:r w:rsidRPr="00C70473">
              <w:rPr>
                <w:rFonts w:ascii="Arial" w:hAnsi="Arial" w:cs="Arial"/>
                <w:b/>
                <w:sz w:val="20"/>
                <w:szCs w:val="20"/>
              </w:rPr>
              <w:t>Visible Policing Programme achieved 17 from 24 performance targets</w:t>
            </w:r>
          </w:p>
          <w:p w:rsidR="00587F48" w:rsidRPr="00C70473" w:rsidRDefault="00587F48" w:rsidP="00C70473">
            <w:pPr>
              <w:rPr>
                <w:rFonts w:ascii="Arial" w:hAnsi="Arial" w:cs="Arial"/>
                <w:sz w:val="20"/>
                <w:szCs w:val="20"/>
              </w:rPr>
            </w:pPr>
            <w:r w:rsidRPr="00C70473">
              <w:rPr>
                <w:rFonts w:ascii="Arial" w:hAnsi="Arial" w:cs="Arial"/>
                <w:b/>
                <w:sz w:val="20"/>
                <w:szCs w:val="20"/>
              </w:rPr>
              <w:t>Achievement rate of 70.6%</w:t>
            </w:r>
          </w:p>
        </w:tc>
      </w:tr>
    </w:tbl>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sz w:val="20"/>
          <w:szCs w:val="20"/>
        </w:rPr>
      </w:pPr>
      <w:r w:rsidRPr="00C70473">
        <w:rPr>
          <w:rFonts w:ascii="Arial" w:hAnsi="Arial" w:cs="Arial"/>
          <w:sz w:val="20"/>
          <w:szCs w:val="20"/>
        </w:rPr>
        <w:lastRenderedPageBreak/>
        <w:t xml:space="preserve">At the end of the 2021/22 financial year, the Visible Policing Programme achieved 17 from 24 performance targets (7 targets not achieved). One of the key events that took place under the Visible Policing Programme during the 2021/22 financial year was the July 2021/22 unrest. According to the SAPS, “the civil unrest, in the Gauteng and KwaZulu-Natal Provinces, had a profound impact on the Country’s economy, </w:t>
      </w:r>
      <w:r w:rsidRPr="00C70473">
        <w:rPr>
          <w:rFonts w:ascii="Arial" w:hAnsi="Arial" w:cs="Arial"/>
          <w:sz w:val="20"/>
          <w:szCs w:val="20"/>
          <w:u w:val="single"/>
        </w:rPr>
        <w:t>but also on internal and external perceptions of the effectiveness of the Government’s safety and security capabilities</w:t>
      </w:r>
      <w:r w:rsidRPr="00C70473">
        <w:rPr>
          <w:rFonts w:ascii="Arial" w:hAnsi="Arial" w:cs="Arial"/>
          <w:sz w:val="20"/>
          <w:szCs w:val="20"/>
        </w:rPr>
        <w:t xml:space="preserve">.” The July/August civil unrest has also had a marked impact on the SAPS, as the total expenditure concerning the July/August civil unrest, is </w:t>
      </w:r>
      <w:r w:rsidRPr="00C70473">
        <w:rPr>
          <w:rFonts w:ascii="Arial" w:hAnsi="Arial" w:cs="Arial"/>
          <w:sz w:val="20"/>
          <w:szCs w:val="20"/>
          <w:u w:val="single"/>
        </w:rPr>
        <w:t>over R940 million.</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b/>
          <w:sz w:val="20"/>
          <w:szCs w:val="20"/>
        </w:rPr>
      </w:pPr>
      <w:r w:rsidRPr="00C70473">
        <w:rPr>
          <w:rFonts w:ascii="Arial" w:hAnsi="Arial" w:cs="Arial"/>
          <w:b/>
          <w:sz w:val="20"/>
          <w:szCs w:val="20"/>
        </w:rPr>
        <w:t xml:space="preserve">Targets not achieved during the 2021/22 financial year per subprogramme </w:t>
      </w:r>
    </w:p>
    <w:tbl>
      <w:tblPr>
        <w:tblStyle w:val="TableGrid"/>
        <w:tblW w:w="0" w:type="auto"/>
        <w:tblLook w:val="04A0"/>
      </w:tblPr>
      <w:tblGrid>
        <w:gridCol w:w="3005"/>
        <w:gridCol w:w="3005"/>
        <w:gridCol w:w="3006"/>
      </w:tblGrid>
      <w:tr w:rsidR="00587F48" w:rsidRPr="00C70473" w:rsidTr="00DC1145">
        <w:tc>
          <w:tcPr>
            <w:tcW w:w="9016" w:type="dxa"/>
            <w:gridSpan w:val="3"/>
            <w:shd w:val="clear" w:color="auto" w:fill="auto"/>
          </w:tcPr>
          <w:p w:rsidR="00587F48" w:rsidRPr="00C70473" w:rsidRDefault="00587F48" w:rsidP="00C70473">
            <w:pPr>
              <w:pStyle w:val="Default"/>
              <w:rPr>
                <w:b/>
                <w:sz w:val="20"/>
                <w:szCs w:val="20"/>
              </w:rPr>
            </w:pPr>
            <w:r w:rsidRPr="00C70473">
              <w:rPr>
                <w:b/>
                <w:sz w:val="20"/>
                <w:szCs w:val="20"/>
              </w:rPr>
              <w:t>Subprogramme: Crime Prevention: Achieved 8 from 15 targets (7 not achieved)</w:t>
            </w:r>
          </w:p>
        </w:tc>
      </w:tr>
      <w:tr w:rsidR="00587F48" w:rsidRPr="00C70473" w:rsidTr="00587F48">
        <w:tc>
          <w:tcPr>
            <w:tcW w:w="3005" w:type="dxa"/>
          </w:tcPr>
          <w:p w:rsidR="00587F48" w:rsidRPr="00C70473" w:rsidRDefault="00587F48" w:rsidP="00C70473">
            <w:pPr>
              <w:autoSpaceDE w:val="0"/>
              <w:autoSpaceDN w:val="0"/>
              <w:adjustRightInd w:val="0"/>
              <w:rPr>
                <w:rFonts w:ascii="Arial" w:hAnsi="Arial" w:cs="Arial"/>
                <w:color w:val="000000"/>
                <w:sz w:val="20"/>
                <w:szCs w:val="20"/>
                <w:lang w:eastAsia="en-ZA"/>
              </w:rPr>
            </w:pPr>
            <w:r w:rsidRPr="00C70473">
              <w:rPr>
                <w:rFonts w:ascii="Arial" w:hAnsi="Arial" w:cs="Arial"/>
                <w:color w:val="000000"/>
                <w:sz w:val="20"/>
                <w:szCs w:val="20"/>
                <w:lang w:eastAsia="en-ZA"/>
              </w:rPr>
              <w:t xml:space="preserve">Increase the number of identifiable stolen, lost </w:t>
            </w:r>
            <w:r w:rsidRPr="00C70473">
              <w:rPr>
                <w:rFonts w:ascii="Arial" w:hAnsi="Arial" w:cs="Arial"/>
                <w:b/>
                <w:color w:val="000000"/>
                <w:sz w:val="20"/>
                <w:szCs w:val="20"/>
                <w:lang w:eastAsia="en-ZA"/>
              </w:rPr>
              <w:t>SAPS firearms recovered</w:t>
            </w:r>
          </w:p>
          <w:p w:rsidR="00587F48" w:rsidRPr="00C70473" w:rsidRDefault="00587F48" w:rsidP="00C70473">
            <w:pPr>
              <w:pStyle w:val="ListParagraph"/>
              <w:numPr>
                <w:ilvl w:val="0"/>
                <w:numId w:val="77"/>
              </w:numPr>
              <w:autoSpaceDE w:val="0"/>
              <w:autoSpaceDN w:val="0"/>
              <w:adjustRightInd w:val="0"/>
              <w:spacing w:after="0" w:line="240" w:lineRule="auto"/>
              <w:ind w:left="283" w:hanging="283"/>
              <w:rPr>
                <w:rFonts w:ascii="Arial" w:hAnsi="Arial" w:cs="Arial"/>
                <w:color w:val="000000"/>
                <w:sz w:val="20"/>
                <w:szCs w:val="20"/>
                <w:lang w:eastAsia="en-ZA"/>
              </w:rPr>
            </w:pPr>
            <w:r w:rsidRPr="00C70473">
              <w:rPr>
                <w:rFonts w:ascii="Arial" w:hAnsi="Arial" w:cs="Arial"/>
                <w:bCs/>
                <w:color w:val="000000"/>
                <w:sz w:val="20"/>
                <w:szCs w:val="20"/>
                <w:lang w:eastAsia="en-ZA"/>
              </w:rPr>
              <w:t>Target: Increase to 593 (10%)</w:t>
            </w:r>
            <w:r w:rsidRPr="00C70473">
              <w:rPr>
                <w:rFonts w:ascii="Arial" w:hAnsi="Arial" w:cs="Arial"/>
                <w:color w:val="000000"/>
                <w:sz w:val="20"/>
                <w:szCs w:val="20"/>
                <w:lang w:eastAsia="en-ZA"/>
              </w:rPr>
              <w:t xml:space="preserve">  </w:t>
            </w:r>
          </w:p>
          <w:p w:rsidR="00587F48" w:rsidRPr="00C70473" w:rsidRDefault="00587F48" w:rsidP="00C70473">
            <w:pPr>
              <w:pStyle w:val="ListParagraph"/>
              <w:numPr>
                <w:ilvl w:val="0"/>
                <w:numId w:val="77"/>
              </w:numPr>
              <w:autoSpaceDE w:val="0"/>
              <w:autoSpaceDN w:val="0"/>
              <w:adjustRightInd w:val="0"/>
              <w:spacing w:after="0" w:line="240" w:lineRule="auto"/>
              <w:ind w:left="283" w:hanging="283"/>
              <w:rPr>
                <w:rFonts w:ascii="Arial" w:hAnsi="Arial" w:cs="Arial"/>
                <w:color w:val="000000"/>
                <w:sz w:val="20"/>
                <w:szCs w:val="20"/>
                <w:lang w:eastAsia="en-ZA"/>
              </w:rPr>
            </w:pPr>
            <w:r w:rsidRPr="00C70473">
              <w:rPr>
                <w:rFonts w:ascii="Arial" w:hAnsi="Arial" w:cs="Arial"/>
                <w:color w:val="000000"/>
                <w:sz w:val="20"/>
                <w:szCs w:val="20"/>
                <w:lang w:eastAsia="en-ZA"/>
              </w:rPr>
              <w:t>Achieved: 215</w:t>
            </w:r>
          </w:p>
          <w:p w:rsidR="00587F48" w:rsidRPr="00C70473" w:rsidRDefault="00587F48" w:rsidP="00C70473">
            <w:pPr>
              <w:pStyle w:val="ListParagraph"/>
              <w:numPr>
                <w:ilvl w:val="0"/>
                <w:numId w:val="77"/>
              </w:numPr>
              <w:autoSpaceDE w:val="0"/>
              <w:autoSpaceDN w:val="0"/>
              <w:adjustRightInd w:val="0"/>
              <w:spacing w:after="0" w:line="240" w:lineRule="auto"/>
              <w:ind w:left="283" w:hanging="283"/>
              <w:rPr>
                <w:rFonts w:ascii="Arial" w:hAnsi="Arial" w:cs="Arial"/>
                <w:color w:val="000000"/>
                <w:sz w:val="20"/>
                <w:szCs w:val="20"/>
                <w:lang w:eastAsia="en-ZA"/>
              </w:rPr>
            </w:pPr>
            <w:r w:rsidRPr="00C70473">
              <w:rPr>
                <w:rFonts w:ascii="Arial" w:hAnsi="Arial" w:cs="Arial"/>
                <w:color w:val="000000"/>
                <w:sz w:val="20"/>
                <w:szCs w:val="20"/>
                <w:lang w:eastAsia="en-ZA"/>
              </w:rPr>
              <w:t>Deviation: -378</w:t>
            </w:r>
          </w:p>
        </w:tc>
        <w:tc>
          <w:tcPr>
            <w:tcW w:w="3005" w:type="dxa"/>
          </w:tcPr>
          <w:p w:rsidR="00587F48" w:rsidRPr="00C70473" w:rsidRDefault="00587F48" w:rsidP="00C70473">
            <w:pPr>
              <w:autoSpaceDE w:val="0"/>
              <w:autoSpaceDN w:val="0"/>
              <w:adjustRightInd w:val="0"/>
              <w:rPr>
                <w:rFonts w:ascii="Arial" w:hAnsi="Arial" w:cs="Arial"/>
                <w:color w:val="000000"/>
                <w:sz w:val="20"/>
                <w:szCs w:val="20"/>
                <w:lang w:eastAsia="en-ZA"/>
              </w:rPr>
            </w:pPr>
            <w:r w:rsidRPr="00C70473">
              <w:rPr>
                <w:rFonts w:ascii="Arial" w:hAnsi="Arial" w:cs="Arial"/>
                <w:color w:val="000000"/>
                <w:sz w:val="20"/>
                <w:szCs w:val="20"/>
                <w:lang w:eastAsia="en-ZA"/>
              </w:rPr>
              <w:t xml:space="preserve">Percentage of new </w:t>
            </w:r>
            <w:r w:rsidRPr="00C70473">
              <w:rPr>
                <w:rFonts w:ascii="Arial" w:hAnsi="Arial" w:cs="Arial"/>
                <w:b/>
                <w:color w:val="000000"/>
                <w:sz w:val="20"/>
                <w:szCs w:val="20"/>
                <w:lang w:eastAsia="en-ZA"/>
              </w:rPr>
              <w:t>firearm license applications</w:t>
            </w:r>
            <w:r w:rsidRPr="00C70473">
              <w:rPr>
                <w:rFonts w:ascii="Arial" w:hAnsi="Arial" w:cs="Arial"/>
                <w:color w:val="000000"/>
                <w:sz w:val="20"/>
                <w:szCs w:val="20"/>
                <w:lang w:eastAsia="en-ZA"/>
              </w:rPr>
              <w:t xml:space="preserve"> finalised within 120 working days</w:t>
            </w:r>
          </w:p>
          <w:p w:rsidR="00587F48" w:rsidRPr="00C70473" w:rsidRDefault="00587F48" w:rsidP="00C70473">
            <w:pPr>
              <w:pStyle w:val="ListParagraph"/>
              <w:numPr>
                <w:ilvl w:val="0"/>
                <w:numId w:val="78"/>
              </w:numPr>
              <w:autoSpaceDE w:val="0"/>
              <w:autoSpaceDN w:val="0"/>
              <w:adjustRightInd w:val="0"/>
              <w:spacing w:after="0" w:line="240" w:lineRule="auto"/>
              <w:ind w:left="282" w:hanging="282"/>
              <w:rPr>
                <w:rFonts w:ascii="Arial" w:hAnsi="Arial" w:cs="Arial"/>
                <w:color w:val="000000"/>
                <w:sz w:val="20"/>
                <w:szCs w:val="20"/>
                <w:lang w:eastAsia="en-ZA"/>
              </w:rPr>
            </w:pPr>
            <w:r w:rsidRPr="00C70473">
              <w:rPr>
                <w:rFonts w:ascii="Arial" w:hAnsi="Arial" w:cs="Arial"/>
                <w:bCs/>
                <w:color w:val="000000"/>
                <w:sz w:val="20"/>
                <w:szCs w:val="20"/>
                <w:lang w:eastAsia="en-ZA"/>
              </w:rPr>
              <w:t>Target: 90%</w:t>
            </w:r>
            <w:r w:rsidRPr="00C70473">
              <w:rPr>
                <w:rFonts w:ascii="Arial" w:hAnsi="Arial" w:cs="Arial"/>
                <w:color w:val="000000"/>
                <w:sz w:val="20"/>
                <w:szCs w:val="20"/>
                <w:lang w:eastAsia="en-ZA"/>
              </w:rPr>
              <w:t xml:space="preserve">  </w:t>
            </w:r>
          </w:p>
          <w:p w:rsidR="00587F48" w:rsidRPr="00C70473" w:rsidRDefault="00587F48" w:rsidP="00C70473">
            <w:pPr>
              <w:pStyle w:val="ListParagraph"/>
              <w:numPr>
                <w:ilvl w:val="0"/>
                <w:numId w:val="78"/>
              </w:numPr>
              <w:autoSpaceDE w:val="0"/>
              <w:autoSpaceDN w:val="0"/>
              <w:adjustRightInd w:val="0"/>
              <w:spacing w:after="0" w:line="240" w:lineRule="auto"/>
              <w:ind w:left="282" w:hanging="282"/>
              <w:rPr>
                <w:rFonts w:ascii="Arial" w:hAnsi="Arial" w:cs="Arial"/>
                <w:color w:val="000000"/>
                <w:sz w:val="20"/>
                <w:szCs w:val="20"/>
                <w:lang w:eastAsia="en-ZA"/>
              </w:rPr>
            </w:pPr>
            <w:r w:rsidRPr="00C70473">
              <w:rPr>
                <w:rFonts w:ascii="Arial" w:hAnsi="Arial" w:cs="Arial"/>
                <w:color w:val="000000"/>
                <w:sz w:val="20"/>
                <w:szCs w:val="20"/>
                <w:lang w:eastAsia="en-ZA"/>
              </w:rPr>
              <w:t>Achieved: 51.31% (73 344 finalised from a total of 144 895 received)</w:t>
            </w:r>
          </w:p>
          <w:p w:rsidR="00587F48" w:rsidRPr="00C70473" w:rsidRDefault="00587F48" w:rsidP="00C70473">
            <w:pPr>
              <w:pStyle w:val="ListParagraph"/>
              <w:numPr>
                <w:ilvl w:val="0"/>
                <w:numId w:val="78"/>
              </w:numPr>
              <w:autoSpaceDE w:val="0"/>
              <w:autoSpaceDN w:val="0"/>
              <w:adjustRightInd w:val="0"/>
              <w:spacing w:after="0" w:line="240" w:lineRule="auto"/>
              <w:ind w:left="282" w:hanging="282"/>
              <w:rPr>
                <w:rFonts w:ascii="Arial" w:hAnsi="Arial" w:cs="Arial"/>
                <w:color w:val="000000"/>
                <w:sz w:val="20"/>
                <w:szCs w:val="20"/>
                <w:lang w:eastAsia="en-ZA"/>
              </w:rPr>
            </w:pPr>
            <w:r w:rsidRPr="00C70473">
              <w:rPr>
                <w:rFonts w:ascii="Arial" w:hAnsi="Arial" w:cs="Arial"/>
                <w:sz w:val="20"/>
                <w:szCs w:val="20"/>
                <w:lang w:eastAsia="en-ZA"/>
              </w:rPr>
              <w:t>Deviation: -38.69% points</w:t>
            </w:r>
          </w:p>
          <w:p w:rsidR="00587F48" w:rsidRPr="00C70473" w:rsidRDefault="00587F48" w:rsidP="00C70473">
            <w:pPr>
              <w:autoSpaceDE w:val="0"/>
              <w:autoSpaceDN w:val="0"/>
              <w:adjustRightInd w:val="0"/>
              <w:rPr>
                <w:rFonts w:ascii="Arial" w:hAnsi="Arial" w:cs="Arial"/>
                <w:color w:val="000000"/>
                <w:sz w:val="20"/>
                <w:szCs w:val="20"/>
                <w:lang w:eastAsia="en-ZA"/>
              </w:rPr>
            </w:pPr>
          </w:p>
          <w:p w:rsidR="00587F48" w:rsidRPr="00C70473" w:rsidRDefault="00587F48" w:rsidP="00C70473">
            <w:pPr>
              <w:autoSpaceDE w:val="0"/>
              <w:autoSpaceDN w:val="0"/>
              <w:adjustRightInd w:val="0"/>
              <w:rPr>
                <w:rFonts w:ascii="Arial" w:hAnsi="Arial" w:cs="Arial"/>
                <w:b/>
                <w:color w:val="000000"/>
                <w:sz w:val="20"/>
                <w:szCs w:val="20"/>
                <w:lang w:eastAsia="en-ZA"/>
              </w:rPr>
            </w:pPr>
            <w:r w:rsidRPr="00C70473">
              <w:rPr>
                <w:rFonts w:ascii="Arial" w:hAnsi="Arial" w:cs="Arial"/>
                <w:b/>
                <w:color w:val="000000"/>
                <w:sz w:val="20"/>
                <w:szCs w:val="20"/>
                <w:lang w:eastAsia="en-ZA"/>
              </w:rPr>
              <w:t xml:space="preserve">Reason for deviation: </w:t>
            </w:r>
          </w:p>
          <w:p w:rsidR="00587F48" w:rsidRPr="00C70473" w:rsidRDefault="00587F48" w:rsidP="00C70473">
            <w:pPr>
              <w:autoSpaceDE w:val="0"/>
              <w:autoSpaceDN w:val="0"/>
              <w:adjustRightInd w:val="0"/>
              <w:rPr>
                <w:rFonts w:ascii="Arial" w:hAnsi="Arial" w:cs="Arial"/>
                <w:sz w:val="20"/>
                <w:szCs w:val="20"/>
              </w:rPr>
            </w:pPr>
            <w:r w:rsidRPr="00C70473">
              <w:rPr>
                <w:rFonts w:ascii="Arial" w:hAnsi="Arial" w:cs="Arial"/>
                <w:sz w:val="20"/>
                <w:szCs w:val="20"/>
              </w:rPr>
              <w:t xml:space="preserve">Delay in the finalisation of Integrated Ballistic Identification System (IBIS) reports for firearm amnesty applications and AFIS reports for competency applications. The finalisation of firearm incenses </w:t>
            </w:r>
            <w:r w:rsidR="00A938EF" w:rsidRPr="00C70473">
              <w:rPr>
                <w:rFonts w:ascii="Arial" w:hAnsi="Arial" w:cs="Arial"/>
                <w:sz w:val="20"/>
                <w:szCs w:val="20"/>
              </w:rPr>
              <w:t>is</w:t>
            </w:r>
            <w:r w:rsidRPr="00C70473">
              <w:rPr>
                <w:rFonts w:ascii="Arial" w:hAnsi="Arial" w:cs="Arial"/>
                <w:sz w:val="20"/>
                <w:szCs w:val="20"/>
              </w:rPr>
              <w:t xml:space="preserve"> dependent on both reports.</w:t>
            </w:r>
          </w:p>
          <w:p w:rsidR="00587F48" w:rsidRPr="00C70473" w:rsidRDefault="00587F48" w:rsidP="00C70473">
            <w:pPr>
              <w:autoSpaceDE w:val="0"/>
              <w:autoSpaceDN w:val="0"/>
              <w:adjustRightInd w:val="0"/>
              <w:rPr>
                <w:rFonts w:ascii="Arial" w:hAnsi="Arial" w:cs="Arial"/>
                <w:sz w:val="20"/>
                <w:szCs w:val="20"/>
              </w:rPr>
            </w:pPr>
          </w:p>
        </w:tc>
        <w:tc>
          <w:tcPr>
            <w:tcW w:w="3006" w:type="dxa"/>
          </w:tcPr>
          <w:p w:rsidR="00587F48" w:rsidRPr="00C70473" w:rsidRDefault="00587F48" w:rsidP="00C70473">
            <w:pPr>
              <w:autoSpaceDE w:val="0"/>
              <w:autoSpaceDN w:val="0"/>
              <w:adjustRightInd w:val="0"/>
              <w:rPr>
                <w:rFonts w:ascii="Arial" w:hAnsi="Arial" w:cs="Arial"/>
                <w:color w:val="000000"/>
                <w:sz w:val="20"/>
                <w:szCs w:val="20"/>
                <w:lang w:eastAsia="en-ZA"/>
              </w:rPr>
            </w:pPr>
            <w:r w:rsidRPr="00C70473">
              <w:rPr>
                <w:rFonts w:ascii="Arial" w:hAnsi="Arial" w:cs="Arial"/>
                <w:color w:val="000000"/>
                <w:sz w:val="20"/>
                <w:szCs w:val="20"/>
                <w:lang w:eastAsia="en-ZA"/>
              </w:rPr>
              <w:t xml:space="preserve">Percentage reduction in the number of </w:t>
            </w:r>
            <w:r w:rsidRPr="00C70473">
              <w:rPr>
                <w:rFonts w:ascii="Arial" w:hAnsi="Arial" w:cs="Arial"/>
                <w:b/>
                <w:color w:val="000000"/>
                <w:sz w:val="20"/>
                <w:szCs w:val="20"/>
                <w:lang w:eastAsia="en-ZA"/>
              </w:rPr>
              <w:t xml:space="preserve">contact crimes </w:t>
            </w:r>
          </w:p>
          <w:p w:rsidR="00587F48" w:rsidRPr="00C70473" w:rsidRDefault="00587F48" w:rsidP="00C70473">
            <w:pPr>
              <w:pStyle w:val="ListParagraph"/>
              <w:numPr>
                <w:ilvl w:val="0"/>
                <w:numId w:val="77"/>
              </w:numPr>
              <w:autoSpaceDE w:val="0"/>
              <w:autoSpaceDN w:val="0"/>
              <w:adjustRightInd w:val="0"/>
              <w:spacing w:after="0" w:line="240" w:lineRule="auto"/>
              <w:ind w:left="283" w:hanging="283"/>
              <w:rPr>
                <w:rFonts w:ascii="Arial" w:hAnsi="Arial" w:cs="Arial"/>
                <w:color w:val="000000"/>
                <w:sz w:val="20"/>
                <w:szCs w:val="20"/>
                <w:lang w:eastAsia="en-ZA"/>
              </w:rPr>
            </w:pPr>
            <w:r w:rsidRPr="00C70473">
              <w:rPr>
                <w:rFonts w:ascii="Arial" w:hAnsi="Arial" w:cs="Arial"/>
                <w:bCs/>
                <w:color w:val="000000"/>
                <w:sz w:val="20"/>
                <w:szCs w:val="20"/>
                <w:lang w:eastAsia="en-ZA"/>
              </w:rPr>
              <w:t>Target: Decrease to 532 634 (7.48%)</w:t>
            </w:r>
            <w:r w:rsidRPr="00C70473">
              <w:rPr>
                <w:rFonts w:ascii="Arial" w:hAnsi="Arial" w:cs="Arial"/>
                <w:color w:val="000000"/>
                <w:sz w:val="20"/>
                <w:szCs w:val="20"/>
                <w:lang w:eastAsia="en-ZA"/>
              </w:rPr>
              <w:t xml:space="preserve">  </w:t>
            </w:r>
          </w:p>
          <w:p w:rsidR="00587F48" w:rsidRPr="00C70473" w:rsidRDefault="00587F48" w:rsidP="00C70473">
            <w:pPr>
              <w:pStyle w:val="ListParagraph"/>
              <w:numPr>
                <w:ilvl w:val="0"/>
                <w:numId w:val="77"/>
              </w:numPr>
              <w:autoSpaceDE w:val="0"/>
              <w:autoSpaceDN w:val="0"/>
              <w:adjustRightInd w:val="0"/>
              <w:spacing w:after="0" w:line="240" w:lineRule="auto"/>
              <w:ind w:left="283" w:hanging="283"/>
              <w:rPr>
                <w:rFonts w:ascii="Arial" w:hAnsi="Arial" w:cs="Arial"/>
                <w:color w:val="000000"/>
                <w:sz w:val="20"/>
                <w:szCs w:val="20"/>
                <w:lang w:eastAsia="en-ZA"/>
              </w:rPr>
            </w:pPr>
            <w:r w:rsidRPr="00C70473">
              <w:rPr>
                <w:rFonts w:ascii="Arial" w:hAnsi="Arial" w:cs="Arial"/>
                <w:color w:val="000000"/>
                <w:sz w:val="20"/>
                <w:szCs w:val="20"/>
                <w:lang w:eastAsia="en-ZA"/>
              </w:rPr>
              <w:t xml:space="preserve">Achieved: </w:t>
            </w:r>
            <w:r w:rsidRPr="00C70473">
              <w:rPr>
                <w:rFonts w:ascii="Arial" w:hAnsi="Arial" w:cs="Arial"/>
                <w:sz w:val="20"/>
                <w:szCs w:val="20"/>
              </w:rPr>
              <w:t>Reported contact crimes increased, by 13,5% from 535 869, in 2020/21 to 608 059, in 2021/22.</w:t>
            </w:r>
          </w:p>
          <w:p w:rsidR="00587F48" w:rsidRPr="00C70473" w:rsidRDefault="00587F48" w:rsidP="00C70473">
            <w:pPr>
              <w:pStyle w:val="ListParagraph"/>
              <w:numPr>
                <w:ilvl w:val="0"/>
                <w:numId w:val="77"/>
              </w:numPr>
              <w:autoSpaceDE w:val="0"/>
              <w:autoSpaceDN w:val="0"/>
              <w:adjustRightInd w:val="0"/>
              <w:spacing w:after="0" w:line="240" w:lineRule="auto"/>
              <w:ind w:left="283" w:hanging="283"/>
              <w:rPr>
                <w:rFonts w:ascii="Arial" w:hAnsi="Arial" w:cs="Arial"/>
                <w:color w:val="000000"/>
                <w:sz w:val="20"/>
                <w:szCs w:val="20"/>
                <w:lang w:eastAsia="en-ZA"/>
              </w:rPr>
            </w:pPr>
            <w:r w:rsidRPr="00C70473">
              <w:rPr>
                <w:rFonts w:ascii="Arial" w:hAnsi="Arial" w:cs="Arial"/>
                <w:color w:val="000000"/>
                <w:sz w:val="20"/>
                <w:szCs w:val="20"/>
                <w:lang w:eastAsia="en-ZA"/>
              </w:rPr>
              <w:t>Deviation: Increased by 13.5%</w:t>
            </w:r>
          </w:p>
        </w:tc>
      </w:tr>
      <w:tr w:rsidR="00587F48" w:rsidRPr="00C70473" w:rsidTr="00587F48">
        <w:tc>
          <w:tcPr>
            <w:tcW w:w="3005" w:type="dxa"/>
          </w:tcPr>
          <w:p w:rsidR="00587F48" w:rsidRPr="00C70473" w:rsidRDefault="00587F48" w:rsidP="00C70473">
            <w:pPr>
              <w:autoSpaceDE w:val="0"/>
              <w:autoSpaceDN w:val="0"/>
              <w:adjustRightInd w:val="0"/>
              <w:rPr>
                <w:rFonts w:ascii="Arial" w:hAnsi="Arial" w:cs="Arial"/>
                <w:color w:val="000000"/>
                <w:sz w:val="20"/>
                <w:szCs w:val="20"/>
                <w:lang w:eastAsia="en-ZA"/>
              </w:rPr>
            </w:pPr>
            <w:r w:rsidRPr="00C70473">
              <w:rPr>
                <w:rFonts w:ascii="Arial" w:hAnsi="Arial" w:cs="Arial"/>
                <w:color w:val="000000"/>
                <w:sz w:val="20"/>
                <w:szCs w:val="20"/>
                <w:lang w:eastAsia="en-ZA"/>
              </w:rPr>
              <w:t xml:space="preserve">Percentage reduction in the number of </w:t>
            </w:r>
            <w:r w:rsidRPr="00C70473">
              <w:rPr>
                <w:rFonts w:ascii="Arial" w:hAnsi="Arial" w:cs="Arial"/>
                <w:b/>
                <w:color w:val="000000"/>
                <w:sz w:val="20"/>
                <w:szCs w:val="20"/>
                <w:lang w:eastAsia="en-ZA"/>
              </w:rPr>
              <w:t>contact crimes at Top 30 High Contact Crime Weight Stations</w:t>
            </w:r>
          </w:p>
          <w:p w:rsidR="00587F48" w:rsidRPr="00C70473" w:rsidRDefault="00587F48" w:rsidP="00C70473">
            <w:pPr>
              <w:pStyle w:val="ListParagraph"/>
              <w:numPr>
                <w:ilvl w:val="0"/>
                <w:numId w:val="77"/>
              </w:numPr>
              <w:autoSpaceDE w:val="0"/>
              <w:autoSpaceDN w:val="0"/>
              <w:adjustRightInd w:val="0"/>
              <w:spacing w:after="0" w:line="240" w:lineRule="auto"/>
              <w:ind w:left="283" w:hanging="283"/>
              <w:rPr>
                <w:rFonts w:ascii="Arial" w:hAnsi="Arial" w:cs="Arial"/>
                <w:color w:val="000000"/>
                <w:sz w:val="20"/>
                <w:szCs w:val="20"/>
                <w:lang w:eastAsia="en-ZA"/>
              </w:rPr>
            </w:pPr>
            <w:r w:rsidRPr="00C70473">
              <w:rPr>
                <w:rFonts w:ascii="Arial" w:hAnsi="Arial" w:cs="Arial"/>
                <w:bCs/>
                <w:color w:val="000000"/>
                <w:sz w:val="20"/>
                <w:szCs w:val="20"/>
                <w:lang w:eastAsia="en-ZA"/>
              </w:rPr>
              <w:t>Target: Decrease to 80 761 (7.42%)</w:t>
            </w:r>
            <w:r w:rsidRPr="00C70473">
              <w:rPr>
                <w:rFonts w:ascii="Arial" w:hAnsi="Arial" w:cs="Arial"/>
                <w:color w:val="000000"/>
                <w:sz w:val="20"/>
                <w:szCs w:val="20"/>
                <w:lang w:eastAsia="en-ZA"/>
              </w:rPr>
              <w:t xml:space="preserve">  </w:t>
            </w:r>
          </w:p>
          <w:p w:rsidR="00587F48" w:rsidRPr="00C70473" w:rsidRDefault="00587F48" w:rsidP="00C70473">
            <w:pPr>
              <w:pStyle w:val="ListParagraph"/>
              <w:numPr>
                <w:ilvl w:val="0"/>
                <w:numId w:val="77"/>
              </w:numPr>
              <w:autoSpaceDE w:val="0"/>
              <w:autoSpaceDN w:val="0"/>
              <w:adjustRightInd w:val="0"/>
              <w:spacing w:after="0" w:line="240" w:lineRule="auto"/>
              <w:ind w:left="283" w:hanging="283"/>
              <w:rPr>
                <w:rFonts w:ascii="Arial" w:hAnsi="Arial" w:cs="Arial"/>
                <w:color w:val="000000"/>
                <w:sz w:val="20"/>
                <w:szCs w:val="20"/>
                <w:lang w:eastAsia="en-ZA"/>
              </w:rPr>
            </w:pPr>
            <w:r w:rsidRPr="00C70473">
              <w:rPr>
                <w:rFonts w:ascii="Arial" w:hAnsi="Arial" w:cs="Arial"/>
                <w:color w:val="000000"/>
                <w:sz w:val="20"/>
                <w:szCs w:val="20"/>
                <w:lang w:eastAsia="en-ZA"/>
              </w:rPr>
              <w:t xml:space="preserve">Achieved: </w:t>
            </w:r>
            <w:r w:rsidRPr="00C70473">
              <w:rPr>
                <w:rFonts w:ascii="Arial" w:hAnsi="Arial" w:cs="Arial"/>
                <w:sz w:val="20"/>
                <w:szCs w:val="20"/>
              </w:rPr>
              <w:t>Reported contact crimes at the identified Top 30 High Contact Crime Weight Stations increased, by 11,1% from 76 940, in 2020/21 to 85 510, in 2021/22.</w:t>
            </w:r>
          </w:p>
          <w:p w:rsidR="00587F48" w:rsidRPr="00C70473" w:rsidRDefault="00587F48" w:rsidP="00C70473">
            <w:pPr>
              <w:pStyle w:val="ListParagraph"/>
              <w:numPr>
                <w:ilvl w:val="0"/>
                <w:numId w:val="77"/>
              </w:numPr>
              <w:autoSpaceDE w:val="0"/>
              <w:autoSpaceDN w:val="0"/>
              <w:adjustRightInd w:val="0"/>
              <w:spacing w:after="0" w:line="240" w:lineRule="auto"/>
              <w:ind w:left="283" w:hanging="283"/>
              <w:rPr>
                <w:rFonts w:ascii="Arial" w:hAnsi="Arial" w:cs="Arial"/>
                <w:color w:val="000000"/>
                <w:sz w:val="20"/>
                <w:szCs w:val="20"/>
                <w:lang w:eastAsia="en-ZA"/>
              </w:rPr>
            </w:pPr>
            <w:r w:rsidRPr="00C70473">
              <w:rPr>
                <w:rFonts w:ascii="Arial" w:hAnsi="Arial" w:cs="Arial"/>
                <w:color w:val="000000"/>
                <w:sz w:val="20"/>
                <w:szCs w:val="20"/>
                <w:lang w:eastAsia="en-ZA"/>
              </w:rPr>
              <w:t>Deviation: Increased by 11.1%</w:t>
            </w:r>
          </w:p>
        </w:tc>
        <w:tc>
          <w:tcPr>
            <w:tcW w:w="3005" w:type="dxa"/>
          </w:tcPr>
          <w:p w:rsidR="00587F48" w:rsidRPr="00C70473" w:rsidRDefault="00587F48" w:rsidP="00C70473">
            <w:pPr>
              <w:autoSpaceDE w:val="0"/>
              <w:autoSpaceDN w:val="0"/>
              <w:adjustRightInd w:val="0"/>
              <w:rPr>
                <w:rFonts w:ascii="Arial" w:hAnsi="Arial" w:cs="Arial"/>
                <w:b/>
                <w:color w:val="000000"/>
                <w:sz w:val="20"/>
                <w:szCs w:val="20"/>
                <w:lang w:eastAsia="en-ZA"/>
              </w:rPr>
            </w:pPr>
            <w:r w:rsidRPr="00C70473">
              <w:rPr>
                <w:rFonts w:ascii="Arial" w:hAnsi="Arial" w:cs="Arial"/>
                <w:color w:val="000000"/>
                <w:sz w:val="20"/>
                <w:szCs w:val="20"/>
                <w:lang w:eastAsia="en-ZA"/>
              </w:rPr>
              <w:t xml:space="preserve">Number of </w:t>
            </w:r>
            <w:r w:rsidRPr="00C70473">
              <w:rPr>
                <w:rFonts w:ascii="Arial" w:hAnsi="Arial" w:cs="Arial"/>
                <w:b/>
                <w:color w:val="000000"/>
                <w:sz w:val="20"/>
                <w:szCs w:val="20"/>
                <w:lang w:eastAsia="en-ZA"/>
              </w:rPr>
              <w:t>escapes from custody</w:t>
            </w:r>
          </w:p>
          <w:p w:rsidR="00587F48" w:rsidRPr="00C70473" w:rsidRDefault="00587F48" w:rsidP="00C70473">
            <w:pPr>
              <w:pStyle w:val="ListParagraph"/>
              <w:numPr>
                <w:ilvl w:val="0"/>
                <w:numId w:val="90"/>
              </w:numPr>
              <w:autoSpaceDE w:val="0"/>
              <w:autoSpaceDN w:val="0"/>
              <w:adjustRightInd w:val="0"/>
              <w:spacing w:after="0" w:line="240" w:lineRule="auto"/>
              <w:ind w:left="282" w:hanging="282"/>
              <w:rPr>
                <w:rFonts w:ascii="Arial" w:hAnsi="Arial" w:cs="Arial"/>
                <w:color w:val="000000"/>
                <w:sz w:val="20"/>
                <w:szCs w:val="20"/>
                <w:lang w:eastAsia="en-ZA"/>
              </w:rPr>
            </w:pPr>
            <w:r w:rsidRPr="00C70473">
              <w:rPr>
                <w:rFonts w:ascii="Arial" w:hAnsi="Arial" w:cs="Arial"/>
                <w:color w:val="000000"/>
                <w:sz w:val="20"/>
                <w:szCs w:val="20"/>
                <w:lang w:eastAsia="en-ZA"/>
              </w:rPr>
              <w:t>Target: Decrease to 526 (2%)</w:t>
            </w:r>
          </w:p>
          <w:p w:rsidR="00587F48" w:rsidRPr="00C70473" w:rsidRDefault="00587F48" w:rsidP="00C70473">
            <w:pPr>
              <w:pStyle w:val="ListParagraph"/>
              <w:numPr>
                <w:ilvl w:val="0"/>
                <w:numId w:val="90"/>
              </w:numPr>
              <w:autoSpaceDE w:val="0"/>
              <w:autoSpaceDN w:val="0"/>
              <w:adjustRightInd w:val="0"/>
              <w:spacing w:after="0" w:line="240" w:lineRule="auto"/>
              <w:ind w:left="282" w:hanging="282"/>
              <w:rPr>
                <w:rFonts w:ascii="Arial" w:hAnsi="Arial" w:cs="Arial"/>
                <w:color w:val="000000"/>
                <w:sz w:val="20"/>
                <w:szCs w:val="20"/>
                <w:lang w:eastAsia="en-ZA"/>
              </w:rPr>
            </w:pPr>
            <w:r w:rsidRPr="00C70473">
              <w:rPr>
                <w:rFonts w:ascii="Arial" w:hAnsi="Arial" w:cs="Arial"/>
                <w:color w:val="000000"/>
                <w:sz w:val="20"/>
                <w:szCs w:val="20"/>
                <w:lang w:eastAsia="en-ZA"/>
              </w:rPr>
              <w:t>Achieved: A total of 568 persons escaped from police custody.</w:t>
            </w:r>
          </w:p>
          <w:p w:rsidR="00587F48" w:rsidRPr="00C70473" w:rsidRDefault="00587F48" w:rsidP="00C70473">
            <w:pPr>
              <w:pStyle w:val="ListParagraph"/>
              <w:numPr>
                <w:ilvl w:val="0"/>
                <w:numId w:val="90"/>
              </w:numPr>
              <w:autoSpaceDE w:val="0"/>
              <w:autoSpaceDN w:val="0"/>
              <w:adjustRightInd w:val="0"/>
              <w:spacing w:after="0" w:line="240" w:lineRule="auto"/>
              <w:ind w:left="282" w:hanging="282"/>
              <w:rPr>
                <w:rFonts w:ascii="Arial" w:hAnsi="Arial" w:cs="Arial"/>
                <w:color w:val="000000"/>
                <w:sz w:val="20"/>
                <w:szCs w:val="20"/>
                <w:lang w:eastAsia="en-ZA"/>
              </w:rPr>
            </w:pPr>
            <w:r w:rsidRPr="00C70473">
              <w:rPr>
                <w:rFonts w:ascii="Arial" w:hAnsi="Arial" w:cs="Arial"/>
                <w:color w:val="000000"/>
                <w:sz w:val="20"/>
                <w:szCs w:val="20"/>
                <w:lang w:eastAsia="en-ZA"/>
              </w:rPr>
              <w:t>Deviation: -42</w:t>
            </w:r>
          </w:p>
          <w:p w:rsidR="00587F48" w:rsidRPr="00C70473" w:rsidRDefault="00587F48" w:rsidP="00C70473">
            <w:pPr>
              <w:autoSpaceDE w:val="0"/>
              <w:autoSpaceDN w:val="0"/>
              <w:adjustRightInd w:val="0"/>
              <w:rPr>
                <w:rFonts w:ascii="Arial" w:hAnsi="Arial" w:cs="Arial"/>
                <w:color w:val="000000"/>
                <w:sz w:val="20"/>
                <w:szCs w:val="20"/>
                <w:lang w:eastAsia="en-ZA"/>
              </w:rPr>
            </w:pPr>
          </w:p>
          <w:p w:rsidR="00587F48" w:rsidRPr="00C70473" w:rsidRDefault="00587F48" w:rsidP="00C70473">
            <w:pPr>
              <w:autoSpaceDE w:val="0"/>
              <w:autoSpaceDN w:val="0"/>
              <w:adjustRightInd w:val="0"/>
              <w:rPr>
                <w:rFonts w:ascii="Arial" w:hAnsi="Arial" w:cs="Arial"/>
                <w:sz w:val="20"/>
                <w:szCs w:val="20"/>
              </w:rPr>
            </w:pPr>
            <w:r w:rsidRPr="00C70473">
              <w:rPr>
                <w:rFonts w:ascii="Arial" w:hAnsi="Arial" w:cs="Arial"/>
                <w:b/>
                <w:color w:val="000000"/>
                <w:sz w:val="20"/>
                <w:szCs w:val="20"/>
                <w:lang w:eastAsia="en-ZA"/>
              </w:rPr>
              <w:t>Note:</w:t>
            </w:r>
            <w:r w:rsidRPr="00C70473">
              <w:rPr>
                <w:rFonts w:ascii="Arial" w:hAnsi="Arial" w:cs="Arial"/>
                <w:color w:val="000000"/>
                <w:sz w:val="20"/>
                <w:szCs w:val="20"/>
                <w:lang w:eastAsia="en-ZA"/>
              </w:rPr>
              <w:t xml:space="preserve"> </w:t>
            </w:r>
            <w:r w:rsidRPr="00C70473">
              <w:rPr>
                <w:rFonts w:ascii="Arial" w:hAnsi="Arial" w:cs="Arial"/>
                <w:sz w:val="20"/>
                <w:szCs w:val="20"/>
              </w:rPr>
              <w:t xml:space="preserve">201 escapees were re-arrested within 24 hours after the incident occurred – Unclear whether the rest of escapees were re-arrested (367). </w:t>
            </w:r>
          </w:p>
        </w:tc>
        <w:tc>
          <w:tcPr>
            <w:tcW w:w="3006" w:type="dxa"/>
          </w:tcPr>
          <w:p w:rsidR="00587F48" w:rsidRPr="00C70473" w:rsidRDefault="00587F48" w:rsidP="00C70473">
            <w:pPr>
              <w:autoSpaceDE w:val="0"/>
              <w:autoSpaceDN w:val="0"/>
              <w:adjustRightInd w:val="0"/>
              <w:rPr>
                <w:rFonts w:ascii="Arial" w:hAnsi="Arial" w:cs="Arial"/>
                <w:color w:val="000000"/>
                <w:sz w:val="20"/>
                <w:szCs w:val="20"/>
                <w:lang w:eastAsia="en-ZA"/>
              </w:rPr>
            </w:pPr>
            <w:r w:rsidRPr="00C70473">
              <w:rPr>
                <w:rFonts w:ascii="Arial" w:hAnsi="Arial" w:cs="Arial"/>
                <w:color w:val="000000"/>
                <w:sz w:val="20"/>
                <w:szCs w:val="20"/>
                <w:lang w:eastAsia="en-ZA"/>
              </w:rPr>
              <w:t xml:space="preserve">Percentage reduction in the number of </w:t>
            </w:r>
            <w:r w:rsidRPr="00C70473">
              <w:rPr>
                <w:rFonts w:ascii="Arial" w:hAnsi="Arial" w:cs="Arial"/>
                <w:b/>
                <w:color w:val="000000"/>
                <w:sz w:val="20"/>
                <w:szCs w:val="20"/>
                <w:lang w:eastAsia="en-ZA"/>
              </w:rPr>
              <w:t>contact crimes against women</w:t>
            </w:r>
            <w:r w:rsidRPr="00C70473">
              <w:rPr>
                <w:rFonts w:ascii="Arial" w:hAnsi="Arial" w:cs="Arial"/>
                <w:color w:val="000000"/>
                <w:sz w:val="20"/>
                <w:szCs w:val="20"/>
                <w:lang w:eastAsia="en-ZA"/>
              </w:rPr>
              <w:t xml:space="preserve"> (18 years and above)</w:t>
            </w:r>
          </w:p>
          <w:p w:rsidR="00587F48" w:rsidRPr="00C70473" w:rsidRDefault="00587F48" w:rsidP="00C70473">
            <w:pPr>
              <w:pStyle w:val="ListParagraph"/>
              <w:numPr>
                <w:ilvl w:val="0"/>
                <w:numId w:val="77"/>
              </w:numPr>
              <w:autoSpaceDE w:val="0"/>
              <w:autoSpaceDN w:val="0"/>
              <w:adjustRightInd w:val="0"/>
              <w:spacing w:after="0" w:line="240" w:lineRule="auto"/>
              <w:ind w:left="283" w:hanging="283"/>
              <w:rPr>
                <w:rFonts w:ascii="Arial" w:hAnsi="Arial" w:cs="Arial"/>
                <w:color w:val="000000"/>
                <w:sz w:val="20"/>
                <w:szCs w:val="20"/>
                <w:lang w:eastAsia="en-ZA"/>
              </w:rPr>
            </w:pPr>
            <w:r w:rsidRPr="00C70473">
              <w:rPr>
                <w:rFonts w:ascii="Arial" w:hAnsi="Arial" w:cs="Arial"/>
                <w:bCs/>
                <w:color w:val="000000"/>
                <w:sz w:val="20"/>
                <w:szCs w:val="20"/>
                <w:lang w:eastAsia="en-ZA"/>
              </w:rPr>
              <w:t>Target: Decrease to 39 497 (6.73%)</w:t>
            </w:r>
            <w:r w:rsidRPr="00C70473">
              <w:rPr>
                <w:rFonts w:ascii="Arial" w:hAnsi="Arial" w:cs="Arial"/>
                <w:color w:val="000000"/>
                <w:sz w:val="20"/>
                <w:szCs w:val="20"/>
                <w:lang w:eastAsia="en-ZA"/>
              </w:rPr>
              <w:t xml:space="preserve">  </w:t>
            </w:r>
          </w:p>
          <w:p w:rsidR="00587F48" w:rsidRPr="00C70473" w:rsidRDefault="00587F48" w:rsidP="00C70473">
            <w:pPr>
              <w:pStyle w:val="ListParagraph"/>
              <w:numPr>
                <w:ilvl w:val="0"/>
                <w:numId w:val="77"/>
              </w:numPr>
              <w:autoSpaceDE w:val="0"/>
              <w:autoSpaceDN w:val="0"/>
              <w:adjustRightInd w:val="0"/>
              <w:spacing w:after="0" w:line="240" w:lineRule="auto"/>
              <w:ind w:left="283" w:hanging="283"/>
              <w:rPr>
                <w:rFonts w:ascii="Arial" w:hAnsi="Arial" w:cs="Arial"/>
                <w:color w:val="000000"/>
                <w:sz w:val="20"/>
                <w:szCs w:val="20"/>
                <w:lang w:eastAsia="en-ZA"/>
              </w:rPr>
            </w:pPr>
            <w:r w:rsidRPr="00C70473">
              <w:rPr>
                <w:rFonts w:ascii="Arial" w:hAnsi="Arial" w:cs="Arial"/>
                <w:color w:val="000000"/>
                <w:sz w:val="20"/>
                <w:szCs w:val="20"/>
                <w:lang w:eastAsia="en-ZA"/>
              </w:rPr>
              <w:t xml:space="preserve">Achieved: </w:t>
            </w:r>
            <w:r w:rsidRPr="00C70473">
              <w:rPr>
                <w:rFonts w:ascii="Arial" w:hAnsi="Arial" w:cs="Arial"/>
                <w:sz w:val="20"/>
                <w:szCs w:val="20"/>
              </w:rPr>
              <w:t>Reported contact crimes against women increased, by 15,6% from 155 062, in 2020/21 to 179 208, in 2021/22.</w:t>
            </w:r>
          </w:p>
          <w:p w:rsidR="00587F48" w:rsidRPr="00C70473" w:rsidRDefault="00587F48" w:rsidP="00C70473">
            <w:pPr>
              <w:pStyle w:val="ListParagraph"/>
              <w:numPr>
                <w:ilvl w:val="0"/>
                <w:numId w:val="77"/>
              </w:numPr>
              <w:autoSpaceDE w:val="0"/>
              <w:autoSpaceDN w:val="0"/>
              <w:adjustRightInd w:val="0"/>
              <w:spacing w:after="0" w:line="240" w:lineRule="auto"/>
              <w:ind w:left="283" w:hanging="283"/>
              <w:rPr>
                <w:rFonts w:ascii="Arial" w:hAnsi="Arial" w:cs="Arial"/>
                <w:color w:val="000000"/>
                <w:sz w:val="20"/>
                <w:szCs w:val="20"/>
                <w:lang w:eastAsia="en-ZA"/>
              </w:rPr>
            </w:pPr>
            <w:r w:rsidRPr="00C70473">
              <w:rPr>
                <w:rFonts w:ascii="Arial" w:hAnsi="Arial" w:cs="Arial"/>
                <w:color w:val="000000"/>
                <w:sz w:val="20"/>
                <w:szCs w:val="20"/>
                <w:lang w:eastAsia="en-ZA"/>
              </w:rPr>
              <w:t>Deviation: Increased by 15.6%</w:t>
            </w:r>
          </w:p>
        </w:tc>
      </w:tr>
      <w:tr w:rsidR="00587F48" w:rsidRPr="00C70473" w:rsidTr="00587F48">
        <w:tc>
          <w:tcPr>
            <w:tcW w:w="3005" w:type="dxa"/>
          </w:tcPr>
          <w:p w:rsidR="00587F48" w:rsidRPr="00C70473" w:rsidRDefault="00587F48" w:rsidP="00C70473">
            <w:pPr>
              <w:autoSpaceDE w:val="0"/>
              <w:autoSpaceDN w:val="0"/>
              <w:adjustRightInd w:val="0"/>
              <w:rPr>
                <w:rFonts w:ascii="Arial" w:hAnsi="Arial" w:cs="Arial"/>
                <w:color w:val="000000"/>
                <w:sz w:val="20"/>
                <w:szCs w:val="20"/>
                <w:lang w:eastAsia="en-ZA"/>
              </w:rPr>
            </w:pPr>
            <w:r w:rsidRPr="00C70473">
              <w:rPr>
                <w:rFonts w:ascii="Arial" w:hAnsi="Arial" w:cs="Arial"/>
                <w:color w:val="000000"/>
                <w:sz w:val="20"/>
                <w:szCs w:val="20"/>
                <w:lang w:eastAsia="en-ZA"/>
              </w:rPr>
              <w:t xml:space="preserve">Percentage reduction in the number of </w:t>
            </w:r>
            <w:r w:rsidRPr="00C70473">
              <w:rPr>
                <w:rFonts w:ascii="Arial" w:hAnsi="Arial" w:cs="Arial"/>
                <w:b/>
                <w:color w:val="000000"/>
                <w:sz w:val="20"/>
                <w:szCs w:val="20"/>
                <w:lang w:eastAsia="en-ZA"/>
              </w:rPr>
              <w:t>contact crimes against children</w:t>
            </w:r>
            <w:r w:rsidRPr="00C70473">
              <w:rPr>
                <w:rFonts w:ascii="Arial" w:hAnsi="Arial" w:cs="Arial"/>
                <w:color w:val="000000"/>
                <w:sz w:val="20"/>
                <w:szCs w:val="20"/>
                <w:lang w:eastAsia="en-ZA"/>
              </w:rPr>
              <w:t xml:space="preserve"> (below 18 years)</w:t>
            </w:r>
          </w:p>
          <w:p w:rsidR="00587F48" w:rsidRPr="00C70473" w:rsidRDefault="00587F48" w:rsidP="00C70473">
            <w:pPr>
              <w:pStyle w:val="ListParagraph"/>
              <w:numPr>
                <w:ilvl w:val="0"/>
                <w:numId w:val="77"/>
              </w:numPr>
              <w:autoSpaceDE w:val="0"/>
              <w:autoSpaceDN w:val="0"/>
              <w:adjustRightInd w:val="0"/>
              <w:spacing w:after="0" w:line="240" w:lineRule="auto"/>
              <w:ind w:left="283" w:hanging="283"/>
              <w:rPr>
                <w:rFonts w:ascii="Arial" w:hAnsi="Arial" w:cs="Arial"/>
                <w:color w:val="000000"/>
                <w:sz w:val="20"/>
                <w:szCs w:val="20"/>
                <w:lang w:eastAsia="en-ZA"/>
              </w:rPr>
            </w:pPr>
            <w:r w:rsidRPr="00C70473">
              <w:rPr>
                <w:rFonts w:ascii="Arial" w:hAnsi="Arial" w:cs="Arial"/>
                <w:bCs/>
                <w:color w:val="000000"/>
                <w:sz w:val="20"/>
                <w:szCs w:val="20"/>
                <w:lang w:eastAsia="en-ZA"/>
              </w:rPr>
              <w:t>Target: Decrease to 36 839 (6.73%)</w:t>
            </w:r>
            <w:r w:rsidRPr="00C70473">
              <w:rPr>
                <w:rFonts w:ascii="Arial" w:hAnsi="Arial" w:cs="Arial"/>
                <w:color w:val="000000"/>
                <w:sz w:val="20"/>
                <w:szCs w:val="20"/>
                <w:lang w:eastAsia="en-ZA"/>
              </w:rPr>
              <w:t xml:space="preserve">  </w:t>
            </w:r>
          </w:p>
          <w:p w:rsidR="00587F48" w:rsidRPr="00C70473" w:rsidRDefault="00587F48" w:rsidP="00C70473">
            <w:pPr>
              <w:pStyle w:val="ListParagraph"/>
              <w:numPr>
                <w:ilvl w:val="0"/>
                <w:numId w:val="77"/>
              </w:numPr>
              <w:autoSpaceDE w:val="0"/>
              <w:autoSpaceDN w:val="0"/>
              <w:adjustRightInd w:val="0"/>
              <w:spacing w:after="0" w:line="240" w:lineRule="auto"/>
              <w:ind w:left="283" w:hanging="283"/>
              <w:rPr>
                <w:rFonts w:ascii="Arial" w:hAnsi="Arial" w:cs="Arial"/>
                <w:color w:val="000000"/>
                <w:sz w:val="20"/>
                <w:szCs w:val="20"/>
                <w:lang w:eastAsia="en-ZA"/>
              </w:rPr>
            </w:pPr>
            <w:r w:rsidRPr="00C70473">
              <w:rPr>
                <w:rFonts w:ascii="Arial" w:hAnsi="Arial" w:cs="Arial"/>
                <w:color w:val="000000"/>
                <w:sz w:val="20"/>
                <w:szCs w:val="20"/>
                <w:lang w:eastAsia="en-ZA"/>
              </w:rPr>
              <w:t xml:space="preserve">Achieved: </w:t>
            </w:r>
            <w:r w:rsidRPr="00C70473">
              <w:rPr>
                <w:rFonts w:ascii="Arial" w:hAnsi="Arial" w:cs="Arial"/>
                <w:sz w:val="20"/>
                <w:szCs w:val="20"/>
              </w:rPr>
              <w:t>Reported contact crimes against children increased, by 13,3% from 39 878, in 2020/21 to 45 197, in 2021/22.</w:t>
            </w:r>
          </w:p>
          <w:p w:rsidR="00587F48" w:rsidRPr="00C70473" w:rsidRDefault="00587F48" w:rsidP="00C70473">
            <w:pPr>
              <w:pStyle w:val="ListParagraph"/>
              <w:numPr>
                <w:ilvl w:val="0"/>
                <w:numId w:val="77"/>
              </w:numPr>
              <w:autoSpaceDE w:val="0"/>
              <w:autoSpaceDN w:val="0"/>
              <w:adjustRightInd w:val="0"/>
              <w:spacing w:after="0" w:line="240" w:lineRule="auto"/>
              <w:ind w:left="283" w:hanging="283"/>
              <w:rPr>
                <w:rFonts w:ascii="Arial" w:hAnsi="Arial" w:cs="Arial"/>
                <w:color w:val="000000"/>
                <w:sz w:val="20"/>
                <w:szCs w:val="20"/>
                <w:lang w:eastAsia="en-ZA"/>
              </w:rPr>
            </w:pPr>
            <w:r w:rsidRPr="00C70473">
              <w:rPr>
                <w:rFonts w:ascii="Arial" w:hAnsi="Arial" w:cs="Arial"/>
                <w:color w:val="000000"/>
                <w:sz w:val="20"/>
                <w:szCs w:val="20"/>
                <w:lang w:eastAsia="en-ZA"/>
              </w:rPr>
              <w:t>Deviation: Increased by 13.9%</w:t>
            </w:r>
          </w:p>
        </w:tc>
        <w:tc>
          <w:tcPr>
            <w:tcW w:w="3005" w:type="dxa"/>
          </w:tcPr>
          <w:p w:rsidR="00587F48" w:rsidRPr="00C70473" w:rsidRDefault="00587F48" w:rsidP="00C70473">
            <w:pPr>
              <w:autoSpaceDE w:val="0"/>
              <w:autoSpaceDN w:val="0"/>
              <w:adjustRightInd w:val="0"/>
              <w:rPr>
                <w:rFonts w:ascii="Arial" w:hAnsi="Arial" w:cs="Arial"/>
                <w:color w:val="000000"/>
                <w:sz w:val="20"/>
                <w:szCs w:val="20"/>
                <w:lang w:eastAsia="en-ZA"/>
              </w:rPr>
            </w:pPr>
          </w:p>
        </w:tc>
        <w:tc>
          <w:tcPr>
            <w:tcW w:w="3006" w:type="dxa"/>
            <w:shd w:val="clear" w:color="auto" w:fill="auto"/>
          </w:tcPr>
          <w:p w:rsidR="00587F48" w:rsidRPr="00C70473" w:rsidRDefault="00587F48" w:rsidP="00C70473">
            <w:pPr>
              <w:autoSpaceDE w:val="0"/>
              <w:autoSpaceDN w:val="0"/>
              <w:adjustRightInd w:val="0"/>
              <w:rPr>
                <w:rFonts w:ascii="Arial" w:hAnsi="Arial" w:cs="Arial"/>
                <w:color w:val="000000"/>
                <w:sz w:val="20"/>
                <w:szCs w:val="20"/>
                <w:lang w:eastAsia="en-ZA"/>
              </w:rPr>
            </w:pPr>
          </w:p>
        </w:tc>
      </w:tr>
      <w:tr w:rsidR="00587F48" w:rsidRPr="00C70473" w:rsidTr="00DC1145">
        <w:tc>
          <w:tcPr>
            <w:tcW w:w="9016" w:type="dxa"/>
            <w:gridSpan w:val="3"/>
            <w:shd w:val="clear" w:color="auto" w:fill="auto"/>
          </w:tcPr>
          <w:p w:rsidR="00587F48" w:rsidRPr="00C70473" w:rsidRDefault="00587F48" w:rsidP="00C70473">
            <w:pPr>
              <w:autoSpaceDE w:val="0"/>
              <w:autoSpaceDN w:val="0"/>
              <w:adjustRightInd w:val="0"/>
              <w:rPr>
                <w:rFonts w:ascii="Arial" w:hAnsi="Arial" w:cs="Arial"/>
                <w:color w:val="000000"/>
                <w:sz w:val="20"/>
                <w:szCs w:val="20"/>
                <w:lang w:eastAsia="en-ZA"/>
              </w:rPr>
            </w:pPr>
            <w:r w:rsidRPr="00C70473">
              <w:rPr>
                <w:rFonts w:ascii="Arial" w:hAnsi="Arial" w:cs="Arial"/>
                <w:b/>
                <w:sz w:val="20"/>
                <w:szCs w:val="20"/>
              </w:rPr>
              <w:lastRenderedPageBreak/>
              <w:t>Specialised Interventions subprogramme</w:t>
            </w:r>
          </w:p>
        </w:tc>
      </w:tr>
      <w:tr w:rsidR="00587F48" w:rsidRPr="00C70473" w:rsidTr="00587F48">
        <w:tc>
          <w:tcPr>
            <w:tcW w:w="9016" w:type="dxa"/>
            <w:gridSpan w:val="3"/>
          </w:tcPr>
          <w:p w:rsidR="00587F48" w:rsidRPr="00C70473" w:rsidRDefault="00587F48" w:rsidP="00C70473">
            <w:pPr>
              <w:autoSpaceDE w:val="0"/>
              <w:autoSpaceDN w:val="0"/>
              <w:adjustRightInd w:val="0"/>
              <w:rPr>
                <w:rFonts w:ascii="Arial" w:hAnsi="Arial" w:cs="Arial"/>
                <w:color w:val="000000"/>
                <w:sz w:val="20"/>
                <w:szCs w:val="20"/>
                <w:lang w:eastAsia="en-ZA"/>
              </w:rPr>
            </w:pPr>
            <w:r w:rsidRPr="00C70473">
              <w:rPr>
                <w:rFonts w:ascii="Arial" w:hAnsi="Arial" w:cs="Arial"/>
                <w:color w:val="000000"/>
                <w:sz w:val="20"/>
                <w:szCs w:val="20"/>
                <w:lang w:eastAsia="en-ZA"/>
              </w:rPr>
              <w:t xml:space="preserve">100% of targets achieved in 2021/22 (4 targets) </w:t>
            </w:r>
          </w:p>
        </w:tc>
      </w:tr>
      <w:tr w:rsidR="00587F48" w:rsidRPr="00C70473" w:rsidTr="00A938EF">
        <w:tc>
          <w:tcPr>
            <w:tcW w:w="9016" w:type="dxa"/>
            <w:gridSpan w:val="3"/>
            <w:shd w:val="clear" w:color="auto" w:fill="auto"/>
          </w:tcPr>
          <w:p w:rsidR="00587F48" w:rsidRPr="00C70473" w:rsidRDefault="00587F48" w:rsidP="00C70473">
            <w:pPr>
              <w:autoSpaceDE w:val="0"/>
              <w:autoSpaceDN w:val="0"/>
              <w:adjustRightInd w:val="0"/>
              <w:rPr>
                <w:rFonts w:ascii="Arial" w:hAnsi="Arial" w:cs="Arial"/>
                <w:color w:val="000000"/>
                <w:sz w:val="20"/>
                <w:szCs w:val="20"/>
                <w:lang w:eastAsia="en-ZA"/>
              </w:rPr>
            </w:pPr>
            <w:r w:rsidRPr="00C70473">
              <w:rPr>
                <w:rFonts w:ascii="Arial" w:hAnsi="Arial" w:cs="Arial"/>
                <w:b/>
                <w:sz w:val="20"/>
                <w:szCs w:val="20"/>
              </w:rPr>
              <w:t>Border Security subprogramme</w:t>
            </w:r>
          </w:p>
        </w:tc>
      </w:tr>
      <w:tr w:rsidR="00587F48" w:rsidRPr="00C70473" w:rsidTr="00587F48">
        <w:tc>
          <w:tcPr>
            <w:tcW w:w="9016" w:type="dxa"/>
            <w:gridSpan w:val="3"/>
          </w:tcPr>
          <w:p w:rsidR="00587F48" w:rsidRPr="00C70473" w:rsidRDefault="00587F48" w:rsidP="00C70473">
            <w:pPr>
              <w:autoSpaceDE w:val="0"/>
              <w:autoSpaceDN w:val="0"/>
              <w:adjustRightInd w:val="0"/>
              <w:rPr>
                <w:rFonts w:ascii="Arial" w:hAnsi="Arial" w:cs="Arial"/>
                <w:color w:val="000000"/>
                <w:sz w:val="20"/>
                <w:szCs w:val="20"/>
                <w:lang w:eastAsia="en-ZA"/>
              </w:rPr>
            </w:pPr>
            <w:r w:rsidRPr="00C70473">
              <w:rPr>
                <w:rFonts w:ascii="Arial" w:hAnsi="Arial" w:cs="Arial"/>
                <w:color w:val="000000"/>
                <w:sz w:val="20"/>
                <w:szCs w:val="20"/>
                <w:lang w:eastAsia="en-ZA"/>
              </w:rPr>
              <w:t xml:space="preserve">100% of targets achieved in 2021/22 (5 targets) </w:t>
            </w:r>
          </w:p>
        </w:tc>
      </w:tr>
    </w:tbl>
    <w:p w:rsidR="00587F48" w:rsidRPr="00C70473" w:rsidRDefault="00587F48" w:rsidP="00C70473">
      <w:pPr>
        <w:spacing w:after="0" w:line="240" w:lineRule="auto"/>
        <w:rPr>
          <w:rFonts w:ascii="Arial" w:hAnsi="Arial" w:cs="Arial"/>
          <w:sz w:val="20"/>
          <w:szCs w:val="20"/>
        </w:rPr>
      </w:pPr>
      <w:r w:rsidRPr="00C70473">
        <w:rPr>
          <w:rFonts w:ascii="Arial" w:hAnsi="Arial" w:cs="Arial"/>
          <w:sz w:val="20"/>
          <w:szCs w:val="20"/>
        </w:rPr>
        <w:t xml:space="preserve">  </w:t>
      </w:r>
    </w:p>
    <w:p w:rsidR="00587F48" w:rsidRPr="00C70473" w:rsidRDefault="00587F48" w:rsidP="00C70473">
      <w:pPr>
        <w:pStyle w:val="Heading3"/>
        <w:numPr>
          <w:ilvl w:val="3"/>
          <w:numId w:val="102"/>
        </w:numPr>
        <w:spacing w:before="0" w:line="240" w:lineRule="auto"/>
        <w:rPr>
          <w:rFonts w:ascii="Arial" w:hAnsi="Arial" w:cs="Arial"/>
          <w:b/>
          <w:color w:val="auto"/>
          <w:sz w:val="20"/>
          <w:szCs w:val="20"/>
        </w:rPr>
      </w:pPr>
      <w:bookmarkStart w:id="20" w:name="_Toc115863868"/>
      <w:r w:rsidRPr="00C70473">
        <w:rPr>
          <w:rFonts w:ascii="Arial" w:hAnsi="Arial" w:cs="Arial"/>
          <w:b/>
          <w:color w:val="auto"/>
          <w:sz w:val="20"/>
          <w:szCs w:val="20"/>
        </w:rPr>
        <w:t>Priority issues raised by Members</w:t>
      </w:r>
      <w:bookmarkEnd w:id="20"/>
      <w:r w:rsidRPr="00C70473">
        <w:rPr>
          <w:rFonts w:ascii="Arial" w:hAnsi="Arial" w:cs="Arial"/>
          <w:b/>
          <w:color w:val="auto"/>
          <w:sz w:val="20"/>
          <w:szCs w:val="20"/>
        </w:rPr>
        <w:t xml:space="preserve">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b/>
          <w:sz w:val="20"/>
          <w:szCs w:val="20"/>
        </w:rPr>
      </w:pPr>
      <w:r w:rsidRPr="00C70473">
        <w:rPr>
          <w:rFonts w:ascii="Arial" w:hAnsi="Arial" w:cs="Arial"/>
          <w:b/>
          <w:sz w:val="20"/>
          <w:szCs w:val="20"/>
        </w:rPr>
        <w:t xml:space="preserve">Firearms Control </w:t>
      </w: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From 1 April 2021 to 31 March 2022, a total number of </w:t>
      </w:r>
      <w:r w:rsidRPr="00C70473">
        <w:rPr>
          <w:rFonts w:ascii="Arial" w:hAnsi="Arial" w:cs="Arial"/>
          <w:b/>
          <w:sz w:val="20"/>
          <w:szCs w:val="20"/>
        </w:rPr>
        <w:t>581 235 firearm-related applications were received</w:t>
      </w:r>
      <w:r w:rsidRPr="00C70473">
        <w:rPr>
          <w:rFonts w:ascii="Arial" w:hAnsi="Arial" w:cs="Arial"/>
          <w:sz w:val="20"/>
          <w:szCs w:val="20"/>
        </w:rPr>
        <w:t xml:space="preserve"> from individuals and institutions. The total number of applications received, comprises:</w:t>
      </w:r>
    </w:p>
    <w:p w:rsidR="00587F48" w:rsidRPr="00C70473" w:rsidRDefault="00587F48" w:rsidP="00C70473">
      <w:pPr>
        <w:pStyle w:val="ListParagraph"/>
        <w:numPr>
          <w:ilvl w:val="0"/>
          <w:numId w:val="91"/>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226 205 competency certificates</w:t>
      </w:r>
    </w:p>
    <w:p w:rsidR="00587F48" w:rsidRPr="00C70473" w:rsidRDefault="00587F48" w:rsidP="00C70473">
      <w:pPr>
        <w:pStyle w:val="ListParagraph"/>
        <w:numPr>
          <w:ilvl w:val="0"/>
          <w:numId w:val="91"/>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131 247 new firearm licences</w:t>
      </w:r>
    </w:p>
    <w:p w:rsidR="00587F48" w:rsidRPr="00C70473" w:rsidRDefault="00587F48" w:rsidP="00C70473">
      <w:pPr>
        <w:pStyle w:val="ListParagraph"/>
        <w:numPr>
          <w:ilvl w:val="0"/>
          <w:numId w:val="91"/>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213 631 firearm licence renewals</w:t>
      </w:r>
    </w:p>
    <w:p w:rsidR="00587F48" w:rsidRPr="00C70473" w:rsidRDefault="00587F48" w:rsidP="00C70473">
      <w:pPr>
        <w:pStyle w:val="ListParagraph"/>
        <w:numPr>
          <w:ilvl w:val="0"/>
          <w:numId w:val="91"/>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7 962 import/export permits </w:t>
      </w:r>
    </w:p>
    <w:p w:rsidR="00587F48" w:rsidRPr="00C70473" w:rsidRDefault="00587F48" w:rsidP="00C70473">
      <w:pPr>
        <w:pStyle w:val="ListParagraph"/>
        <w:numPr>
          <w:ilvl w:val="0"/>
          <w:numId w:val="91"/>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1 726 commercial import/export permits</w:t>
      </w:r>
    </w:p>
    <w:p w:rsidR="00587F48" w:rsidRPr="00C70473" w:rsidRDefault="00587F48" w:rsidP="00C70473">
      <w:pPr>
        <w:pStyle w:val="ListParagraph"/>
        <w:numPr>
          <w:ilvl w:val="0"/>
          <w:numId w:val="91"/>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464 temporary authorisations. </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A total of 158 306 or 30,33% applications were finalised, within the stipulated turnaround time of 120 working days. The number of outstanding applications is still a concern.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b/>
          <w:sz w:val="20"/>
          <w:szCs w:val="20"/>
        </w:rPr>
      </w:pPr>
      <w:r w:rsidRPr="00C70473">
        <w:rPr>
          <w:rFonts w:ascii="Arial" w:hAnsi="Arial" w:cs="Arial"/>
          <w:b/>
          <w:sz w:val="20"/>
          <w:szCs w:val="20"/>
        </w:rPr>
        <w:t>Rural Safety</w:t>
      </w: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The reviewed National </w:t>
      </w:r>
      <w:r w:rsidRPr="00C70473">
        <w:rPr>
          <w:rFonts w:ascii="Arial" w:hAnsi="Arial" w:cs="Arial"/>
          <w:bCs/>
          <w:sz w:val="20"/>
          <w:szCs w:val="20"/>
        </w:rPr>
        <w:t>Rural Safety Strategy has been implemented in 2020 and will run until</w:t>
      </w:r>
      <w:r w:rsidRPr="00C70473">
        <w:rPr>
          <w:rFonts w:ascii="Arial" w:hAnsi="Arial" w:cs="Arial"/>
          <w:b/>
          <w:bCs/>
          <w:sz w:val="20"/>
          <w:szCs w:val="20"/>
        </w:rPr>
        <w:t xml:space="preserve"> </w:t>
      </w:r>
      <w:r w:rsidRPr="00C70473">
        <w:rPr>
          <w:rFonts w:ascii="Arial" w:hAnsi="Arial" w:cs="Arial"/>
          <w:sz w:val="20"/>
          <w:szCs w:val="20"/>
        </w:rPr>
        <w:t xml:space="preserve">31 March 2025. The Strategy addresses rural safety as part of an integrated and holistic day-to-day crime prevention approach, addressing the needs of the total rural community, including the farming community as a focus area. During 2021/22, a total number of 905 police stations were classified as rural or urban-rural mix police stations for the purposes of implementing the reviewed National Rural Safety Strategy. The Rural Safety Strategy was implemented at 808 or 89,28% of the 905 identified rural or urban-rural mix police stations. Rural communities face significant challenges with specific or unique crimes affecting these areas, such as stock theft. The geographic spread of specialised Stock Theft Units is often not ideal and located in urban areas where the need is not pronounced.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b/>
          <w:sz w:val="20"/>
          <w:szCs w:val="20"/>
        </w:rPr>
      </w:pPr>
      <w:r w:rsidRPr="00C70473">
        <w:rPr>
          <w:rFonts w:ascii="Arial" w:hAnsi="Arial" w:cs="Arial"/>
          <w:b/>
          <w:sz w:val="20"/>
          <w:szCs w:val="20"/>
        </w:rPr>
        <w:t xml:space="preserve">Capacitation of Public Order Policing </w:t>
      </w:r>
    </w:p>
    <w:p w:rsidR="00587F48" w:rsidRPr="00C70473" w:rsidRDefault="00587F48" w:rsidP="00C70473">
      <w:pPr>
        <w:autoSpaceDE w:val="0"/>
        <w:autoSpaceDN w:val="0"/>
        <w:adjustRightInd w:val="0"/>
        <w:spacing w:after="0" w:line="240" w:lineRule="auto"/>
        <w:rPr>
          <w:rFonts w:ascii="Arial" w:hAnsi="Arial" w:cs="Arial"/>
          <w:sz w:val="20"/>
          <w:szCs w:val="20"/>
          <w:u w:val="single"/>
        </w:rPr>
      </w:pPr>
      <w:r w:rsidRPr="00C70473">
        <w:rPr>
          <w:rFonts w:ascii="Arial" w:hAnsi="Arial" w:cs="Arial"/>
          <w:sz w:val="20"/>
          <w:szCs w:val="20"/>
        </w:rPr>
        <w:t xml:space="preserve">During the 2022 State of the Nation Address (SONA), President Ramaphosa mentioned that the staffing of the Public Order Police (POP) Unit of the SAPS will be brought to an acceptable level, with the aid of training courses in place. In responding effectively to public unrest, the capacitation of public order policing, through recruitment, has been prioritised. According to the SAPS, POP will receive an additional 4 000 members, during 2022/23. </w:t>
      </w:r>
      <w:r w:rsidRPr="00C70473">
        <w:rPr>
          <w:rFonts w:ascii="Arial" w:hAnsi="Arial" w:cs="Arial"/>
          <w:sz w:val="20"/>
          <w:szCs w:val="20"/>
          <w:u w:val="single"/>
        </w:rPr>
        <w:t>An amount of R150 million was allocated to the specialised operational environment, as part of once-off allocations over a three-year period, for capital modernisation, including procurement of armoured vehicles and aircraft and a further R9 million allocation has been set aside for the procurement of protective gear for POP members</w:t>
      </w:r>
      <w:r w:rsidRPr="00C70473">
        <w:rPr>
          <w:rFonts w:ascii="Arial" w:hAnsi="Arial" w:cs="Arial"/>
          <w:sz w:val="20"/>
          <w:szCs w:val="20"/>
        </w:rPr>
        <w:t>.</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The SAPS has 47 Provincial POP Units, as well as four reserve units, in Pretoria, Durban, Cape Town and Mbombela.  The human resource capability decreased, with 164, from 6 004 members, in 2020/21 to 5 840 members, in 2021/22, comprising of 5 456 SAPS Act members and 384 PSA personnel. In terms of armoured vehicles, a total of 574 selective armoured vehicles were active, of which 256, were reported operable/serviceable.</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b/>
          <w:sz w:val="20"/>
          <w:szCs w:val="20"/>
        </w:rPr>
      </w:pPr>
      <w:r w:rsidRPr="00C70473">
        <w:rPr>
          <w:rFonts w:ascii="Arial" w:hAnsi="Arial" w:cs="Arial"/>
          <w:b/>
          <w:sz w:val="20"/>
          <w:szCs w:val="20"/>
        </w:rPr>
        <w:t xml:space="preserve">Border safety </w:t>
      </w: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South Africa has 72 ports of entry, including 53 land ports, nine sea ports and 10 international airports. A total number of 3 782 planned crime prevention and combating actions were undertaken, including 258 roadblocks, 79 497 vehicle patrols, 1 395 checkpoints, 83 483 foot patrols and 3 553 vessel patrol inspections, to enhance the national security and territorial integrity at ports of entry.</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In 2021/22, the SAPS embarked on a recruitment drive to capacitate Border Policing Reaction Teams, at Durban Harbour, Port Elizabeth International Airport, Port Elizabeth Harbour, Ngqura Harbour, King Shaka International Airport, Cape Town International Airport and Cape Town Harbour, in order to conform to international prescripts in the border policing environment.</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The SAPS did not mention the </w:t>
      </w:r>
      <w:r w:rsidRPr="00C70473">
        <w:rPr>
          <w:rFonts w:ascii="Arial" w:hAnsi="Arial" w:cs="Arial"/>
          <w:b/>
          <w:sz w:val="20"/>
          <w:szCs w:val="20"/>
        </w:rPr>
        <w:t>Border Management Agency (BMA)</w:t>
      </w:r>
      <w:r w:rsidRPr="00C70473">
        <w:rPr>
          <w:rFonts w:ascii="Arial" w:hAnsi="Arial" w:cs="Arial"/>
          <w:sz w:val="20"/>
          <w:szCs w:val="20"/>
        </w:rPr>
        <w:t xml:space="preserve"> in their 2021/22 Annual Report, yet the e</w:t>
      </w:r>
      <w:r w:rsidRPr="00C70473">
        <w:rPr>
          <w:rFonts w:ascii="Arial" w:hAnsi="Arial" w:cs="Arial"/>
          <w:sz w:val="20"/>
          <w:szCs w:val="20"/>
          <w:u w:val="single"/>
        </w:rPr>
        <w:t xml:space="preserve">stablishment of the BMA has a significant impact on the border security functionalities of the </w:t>
      </w:r>
      <w:r w:rsidRPr="00C70473">
        <w:rPr>
          <w:rFonts w:ascii="Arial" w:hAnsi="Arial" w:cs="Arial"/>
          <w:sz w:val="20"/>
          <w:szCs w:val="20"/>
          <w:u w:val="single"/>
        </w:rPr>
        <w:lastRenderedPageBreak/>
        <w:t>SAPS</w:t>
      </w:r>
      <w:r w:rsidRPr="00C70473">
        <w:rPr>
          <w:rFonts w:ascii="Arial" w:hAnsi="Arial" w:cs="Arial"/>
          <w:sz w:val="20"/>
          <w:szCs w:val="20"/>
        </w:rPr>
        <w:t>. As part of the BMA, 200 guards have been deployed to control and patrol borders. The Commissioner of the BMA</w:t>
      </w:r>
      <w:r w:rsidRPr="00C70473">
        <w:rPr>
          <w:rStyle w:val="FootnoteReference"/>
          <w:rFonts w:ascii="Arial" w:hAnsi="Arial" w:cs="Arial"/>
          <w:sz w:val="20"/>
          <w:szCs w:val="20"/>
        </w:rPr>
        <w:footnoteReference w:id="1"/>
      </w:r>
      <w:r w:rsidRPr="00C70473">
        <w:rPr>
          <w:rFonts w:ascii="Arial" w:hAnsi="Arial" w:cs="Arial"/>
          <w:sz w:val="20"/>
          <w:szCs w:val="20"/>
        </w:rPr>
        <w:t xml:space="preserve"> has the same authority as the Commissioner of SAPS. The guard will also be responsible for control on the movement of goods and people with a specific focus on illegal foreigners entering the country.</w:t>
      </w:r>
      <w:r w:rsidRPr="00C70473">
        <w:rPr>
          <w:rStyle w:val="FootnoteReference"/>
          <w:rFonts w:ascii="Arial" w:hAnsi="Arial" w:cs="Arial"/>
          <w:sz w:val="20"/>
          <w:szCs w:val="20"/>
        </w:rPr>
        <w:footnoteReference w:id="2"/>
      </w:r>
      <w:r w:rsidRPr="00C70473">
        <w:rPr>
          <w:rFonts w:ascii="Arial" w:hAnsi="Arial" w:cs="Arial"/>
          <w:sz w:val="20"/>
          <w:szCs w:val="20"/>
        </w:rPr>
        <w:t xml:space="preserve"> The BMA has its own insignia and uniforms as well as a fleet of 15 Toyota Land Cruisers and the Minister of Home Affairs announced the further procurement of other tools or trade during his 2022 Budget Vote Speech in Parliament.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b/>
          <w:sz w:val="20"/>
          <w:szCs w:val="20"/>
        </w:rPr>
      </w:pPr>
      <w:r w:rsidRPr="00C70473">
        <w:rPr>
          <w:rFonts w:ascii="Arial" w:hAnsi="Arial" w:cs="Arial"/>
          <w:b/>
          <w:sz w:val="20"/>
          <w:szCs w:val="20"/>
        </w:rPr>
        <w:t xml:space="preserve">Impact of environmental design </w:t>
      </w: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One of the key pillars of the 2022 Integrated Crime and Violence Prevention Strategy (ICVPS) is Pillar 5: Safety Through Environmental Design. According to the ICVPS, “crime prevention through environmental design aims to reduce the causes of, and opportunities for criminal events and to address the fear of crime by applying sound planning, design and management principles to the built environment.” The SAPS should highlight specific challenges encountered through ineffective or bad environmental design and how stakeholder such as local municipalities are approached to fix street lights etc.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pStyle w:val="Heading3"/>
        <w:numPr>
          <w:ilvl w:val="2"/>
          <w:numId w:val="106"/>
        </w:numPr>
        <w:spacing w:before="0" w:line="240" w:lineRule="auto"/>
        <w:rPr>
          <w:rFonts w:ascii="Arial" w:hAnsi="Arial" w:cs="Arial"/>
          <w:b/>
          <w:color w:val="auto"/>
          <w:sz w:val="20"/>
          <w:szCs w:val="20"/>
        </w:rPr>
      </w:pPr>
      <w:bookmarkStart w:id="21" w:name="_Toc115863869"/>
      <w:r w:rsidRPr="00C70473">
        <w:rPr>
          <w:rFonts w:ascii="Arial" w:hAnsi="Arial" w:cs="Arial"/>
          <w:b/>
          <w:color w:val="auto"/>
          <w:sz w:val="20"/>
          <w:szCs w:val="20"/>
        </w:rPr>
        <w:t>Crime statistics 2021/22</w:t>
      </w:r>
      <w:bookmarkEnd w:id="21"/>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The SAPS started to release quarterly crime statistics in 2020/21, based on a Cabinet decision that was taken in 2016. There was significant concern raised because the Department did not release annual crime statistics for the full financial year (only quarterly statistics), thus comparisons on annual statistics could not be done. Although the 2020/21 crime statistics were included in text in the 2020/21 Annual Report, the datasets were not available. </w:t>
      </w:r>
      <w:r w:rsidRPr="00C70473">
        <w:rPr>
          <w:rFonts w:ascii="Arial" w:hAnsi="Arial" w:cs="Arial"/>
          <w:b/>
          <w:sz w:val="20"/>
          <w:szCs w:val="20"/>
        </w:rPr>
        <w:t>In 2021/22, the SAPS has included a full set of crime statistics over a ten-year period for national and provincial datasets. This should be commended as a positive step in transparency and accountability.</w:t>
      </w:r>
      <w:r w:rsidRPr="00C70473">
        <w:rPr>
          <w:rFonts w:ascii="Arial" w:hAnsi="Arial" w:cs="Arial"/>
          <w:sz w:val="20"/>
          <w:szCs w:val="20"/>
        </w:rPr>
        <w:t xml:space="preserve">  </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In 2021/22, overall crime increased by 8.7% compared to the previous financial year. All main categories, except property-related crimes, increased significantly over this period. Contact crimes increased by 13.5% compared to the 2020/21 financial year. All categories of contact crimes increased across this period, with murder increasing the most by 26.6%. Total sexual offences increased by 14.2% in 2021/22 compared to the previous financial year, with rape increasing by 15.2%. All subcategories of aggravated robbery increased during 2021/22 compared to the previous financial year. Robbery of cash-in-transit increased by 550% from two such robberies in 2020/21 to 13 in 2021/22.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Crimes committed against women increased, by 15,6% from 155 062, in 2020/21 to 179 208, in 2021/22. Murder, sexual offences, common assault and attempted murder contributed to the increase. Crimes committed against children increased, by 13,3% from 39 878, in 2020/21 to 45 197, in 2021/22. </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According to the SAPS, the overall increase can be attributed to the following eight factors:</w:t>
      </w:r>
      <w:r w:rsidRPr="00C70473">
        <w:rPr>
          <w:rStyle w:val="FootnoteReference"/>
          <w:rFonts w:ascii="Arial" w:hAnsi="Arial" w:cs="Arial"/>
          <w:sz w:val="20"/>
          <w:szCs w:val="20"/>
        </w:rPr>
        <w:footnoteReference w:id="3"/>
      </w:r>
      <w:r w:rsidRPr="00C70473">
        <w:rPr>
          <w:rFonts w:ascii="Arial" w:hAnsi="Arial" w:cs="Arial"/>
          <w:sz w:val="20"/>
          <w:szCs w:val="20"/>
        </w:rPr>
        <w:t xml:space="preserve"> </w:t>
      </w:r>
    </w:p>
    <w:p w:rsidR="00587F48" w:rsidRPr="00C70473" w:rsidRDefault="00587F48" w:rsidP="00C70473">
      <w:pPr>
        <w:pStyle w:val="ListParagraph"/>
        <w:numPr>
          <w:ilvl w:val="0"/>
          <w:numId w:val="88"/>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A lack of intelligence/information to guide planning </w:t>
      </w:r>
    </w:p>
    <w:p w:rsidR="00587F48" w:rsidRPr="00C70473" w:rsidRDefault="00587F48" w:rsidP="00C70473">
      <w:pPr>
        <w:pStyle w:val="ListParagraph"/>
        <w:numPr>
          <w:ilvl w:val="0"/>
          <w:numId w:val="88"/>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Failure to deploy adequate resources at identified hotspots</w:t>
      </w:r>
    </w:p>
    <w:p w:rsidR="00587F48" w:rsidRPr="00C70473" w:rsidRDefault="00587F48" w:rsidP="00C70473">
      <w:pPr>
        <w:pStyle w:val="ListParagraph"/>
        <w:numPr>
          <w:ilvl w:val="0"/>
          <w:numId w:val="88"/>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Inadequate operational readiness at police stations to deploy during operations </w:t>
      </w:r>
    </w:p>
    <w:p w:rsidR="00587F48" w:rsidRPr="00C70473" w:rsidRDefault="00587F48" w:rsidP="00C70473">
      <w:pPr>
        <w:pStyle w:val="ListParagraph"/>
        <w:numPr>
          <w:ilvl w:val="0"/>
          <w:numId w:val="88"/>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A lack of key infrastructure in informal settlement areas making it difficult to police</w:t>
      </w:r>
    </w:p>
    <w:p w:rsidR="00587F48" w:rsidRPr="00C70473" w:rsidRDefault="00587F48" w:rsidP="00C70473">
      <w:pPr>
        <w:pStyle w:val="ListParagraph"/>
        <w:numPr>
          <w:ilvl w:val="0"/>
          <w:numId w:val="88"/>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High unemployment rate</w:t>
      </w:r>
    </w:p>
    <w:p w:rsidR="00587F48" w:rsidRPr="00C70473" w:rsidRDefault="00587F48" w:rsidP="00C70473">
      <w:pPr>
        <w:pStyle w:val="ListParagraph"/>
        <w:numPr>
          <w:ilvl w:val="0"/>
          <w:numId w:val="88"/>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Illegal shebeens that operates for long hours </w:t>
      </w:r>
    </w:p>
    <w:p w:rsidR="00587F48" w:rsidRPr="00C70473" w:rsidRDefault="00587F48" w:rsidP="00C70473">
      <w:pPr>
        <w:pStyle w:val="ListParagraph"/>
        <w:numPr>
          <w:ilvl w:val="0"/>
          <w:numId w:val="88"/>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The proliferation of illegal firearms</w:t>
      </w:r>
    </w:p>
    <w:p w:rsidR="00587F48" w:rsidRPr="00C70473" w:rsidRDefault="00587F48" w:rsidP="00C70473">
      <w:pPr>
        <w:pStyle w:val="ListParagraph"/>
        <w:numPr>
          <w:ilvl w:val="0"/>
          <w:numId w:val="88"/>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Community negativity towards the police, coupled with high moral decay</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According to the SAPS, reported contact crime at the Top 30 High Contact Crime Weight Stations increased, by 11,1%, from 76 940, in 2020/21 to 85 510, in 2021/22. </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There was a significant increase in the following 10 police station precincts: </w:t>
      </w:r>
    </w:p>
    <w:p w:rsidR="00587F48" w:rsidRPr="00C70473" w:rsidRDefault="00587F48" w:rsidP="00C70473">
      <w:pPr>
        <w:pStyle w:val="ListParagraph"/>
        <w:numPr>
          <w:ilvl w:val="0"/>
          <w:numId w:val="89"/>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Cape Town Central (Western Cape) increased by 54,8%; </w:t>
      </w:r>
    </w:p>
    <w:p w:rsidR="00587F48" w:rsidRPr="00C70473" w:rsidRDefault="00587F48" w:rsidP="00C70473">
      <w:pPr>
        <w:pStyle w:val="ListParagraph"/>
        <w:numPr>
          <w:ilvl w:val="0"/>
          <w:numId w:val="89"/>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lastRenderedPageBreak/>
        <w:t xml:space="preserve">Phoenix (KwaZulu-Natal) increased by 34,1%; </w:t>
      </w:r>
    </w:p>
    <w:p w:rsidR="00587F48" w:rsidRPr="00C70473" w:rsidRDefault="00587F48" w:rsidP="00C70473">
      <w:pPr>
        <w:pStyle w:val="ListParagraph"/>
        <w:numPr>
          <w:ilvl w:val="0"/>
          <w:numId w:val="89"/>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Durban Central (KwaZulu-Natal) increased, by 32,3%; </w:t>
      </w:r>
    </w:p>
    <w:p w:rsidR="00587F48" w:rsidRPr="00C70473" w:rsidRDefault="00587F48" w:rsidP="00C70473">
      <w:pPr>
        <w:pStyle w:val="ListParagraph"/>
        <w:numPr>
          <w:ilvl w:val="0"/>
          <w:numId w:val="89"/>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Harare (Western Cape) increased by 30,7%; </w:t>
      </w:r>
    </w:p>
    <w:p w:rsidR="00587F48" w:rsidRPr="00C70473" w:rsidRDefault="00587F48" w:rsidP="00C70473">
      <w:pPr>
        <w:pStyle w:val="ListParagraph"/>
        <w:numPr>
          <w:ilvl w:val="0"/>
          <w:numId w:val="89"/>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Kagiso (Gauteng) increased by 29,4%; </w:t>
      </w:r>
    </w:p>
    <w:p w:rsidR="00587F48" w:rsidRPr="00C70473" w:rsidRDefault="00587F48" w:rsidP="00C70473">
      <w:pPr>
        <w:pStyle w:val="ListParagraph"/>
        <w:numPr>
          <w:ilvl w:val="0"/>
          <w:numId w:val="89"/>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Temba (Gauteng) increased by 23,5%; </w:t>
      </w:r>
    </w:p>
    <w:p w:rsidR="00587F48" w:rsidRPr="00C70473" w:rsidRDefault="00587F48" w:rsidP="00C70473">
      <w:pPr>
        <w:pStyle w:val="ListParagraph"/>
        <w:numPr>
          <w:ilvl w:val="0"/>
          <w:numId w:val="89"/>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Johannesburg Central (Gauteng) increased by 21,8%; </w:t>
      </w:r>
    </w:p>
    <w:p w:rsidR="00587F48" w:rsidRPr="00C70473" w:rsidRDefault="00587F48" w:rsidP="00C70473">
      <w:pPr>
        <w:pStyle w:val="ListParagraph"/>
        <w:numPr>
          <w:ilvl w:val="0"/>
          <w:numId w:val="89"/>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Alexandra (Gauteng) increased by 21,3%; </w:t>
      </w:r>
    </w:p>
    <w:p w:rsidR="00587F48" w:rsidRPr="00C70473" w:rsidRDefault="00587F48" w:rsidP="00C70473">
      <w:pPr>
        <w:pStyle w:val="ListParagraph"/>
        <w:numPr>
          <w:ilvl w:val="0"/>
          <w:numId w:val="89"/>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Jeppe (Gauteng) increased by 18,7%; and </w:t>
      </w:r>
    </w:p>
    <w:p w:rsidR="00587F48" w:rsidRPr="00C70473" w:rsidRDefault="00587F48" w:rsidP="00C70473">
      <w:pPr>
        <w:pStyle w:val="ListParagraph"/>
        <w:numPr>
          <w:ilvl w:val="0"/>
          <w:numId w:val="89"/>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Randfontein (Gauteng) increased by 17,1%. </w:t>
      </w:r>
    </w:p>
    <w:p w:rsidR="00587F48" w:rsidRPr="00C70473" w:rsidRDefault="00587F48" w:rsidP="00C70473">
      <w:pPr>
        <w:spacing w:after="0" w:line="240" w:lineRule="auto"/>
        <w:rPr>
          <w:rFonts w:ascii="Arial" w:hAnsi="Arial" w:cs="Arial"/>
          <w:b/>
          <w:sz w:val="20"/>
          <w:szCs w:val="20"/>
        </w:rPr>
      </w:pPr>
    </w:p>
    <w:p w:rsidR="00587F48" w:rsidRPr="00C70473" w:rsidRDefault="00587F48" w:rsidP="00C70473">
      <w:pPr>
        <w:pStyle w:val="Heading3"/>
        <w:numPr>
          <w:ilvl w:val="2"/>
          <w:numId w:val="106"/>
        </w:numPr>
        <w:spacing w:before="0" w:line="240" w:lineRule="auto"/>
        <w:rPr>
          <w:rFonts w:ascii="Arial" w:hAnsi="Arial" w:cs="Arial"/>
          <w:b/>
          <w:color w:val="auto"/>
          <w:sz w:val="20"/>
          <w:szCs w:val="20"/>
        </w:rPr>
      </w:pPr>
      <w:bookmarkStart w:id="22" w:name="_Toc115863870"/>
      <w:r w:rsidRPr="00C70473">
        <w:rPr>
          <w:rFonts w:ascii="Arial" w:hAnsi="Arial" w:cs="Arial"/>
          <w:b/>
          <w:color w:val="auto"/>
          <w:sz w:val="20"/>
          <w:szCs w:val="20"/>
        </w:rPr>
        <w:t>Programme 3: Detective Services</w:t>
      </w:r>
      <w:bookmarkEnd w:id="22"/>
      <w:r w:rsidRPr="00C70473">
        <w:rPr>
          <w:rFonts w:ascii="Arial" w:hAnsi="Arial" w:cs="Arial"/>
          <w:b/>
          <w:color w:val="auto"/>
          <w:sz w:val="20"/>
          <w:szCs w:val="20"/>
        </w:rPr>
        <w:t xml:space="preserve"> </w:t>
      </w:r>
    </w:p>
    <w:p w:rsidR="00587F48" w:rsidRPr="00C70473" w:rsidRDefault="00587F48" w:rsidP="00C70473">
      <w:pPr>
        <w:spacing w:after="0" w:line="240" w:lineRule="auto"/>
        <w:rPr>
          <w:rFonts w:ascii="Arial" w:hAnsi="Arial" w:cs="Arial"/>
          <w:sz w:val="20"/>
          <w:szCs w:val="20"/>
        </w:rPr>
      </w:pPr>
    </w:p>
    <w:tbl>
      <w:tblPr>
        <w:tblStyle w:val="TableGrid"/>
        <w:tblW w:w="0" w:type="auto"/>
        <w:tblLook w:val="04A0"/>
      </w:tblPr>
      <w:tblGrid>
        <w:gridCol w:w="9016"/>
      </w:tblGrid>
      <w:tr w:rsidR="00DC1145" w:rsidRPr="00C70473" w:rsidTr="00DC1145">
        <w:trPr>
          <w:trHeight w:val="707"/>
        </w:trPr>
        <w:tc>
          <w:tcPr>
            <w:tcW w:w="9016" w:type="dxa"/>
            <w:shd w:val="clear" w:color="auto" w:fill="auto"/>
            <w:vAlign w:val="center"/>
          </w:tcPr>
          <w:p w:rsidR="00587F48" w:rsidRPr="00C70473" w:rsidRDefault="00587F48" w:rsidP="00C70473">
            <w:pPr>
              <w:rPr>
                <w:rFonts w:ascii="Arial" w:hAnsi="Arial" w:cs="Arial"/>
                <w:b/>
                <w:sz w:val="20"/>
                <w:szCs w:val="20"/>
              </w:rPr>
            </w:pPr>
            <w:r w:rsidRPr="00C70473">
              <w:rPr>
                <w:rFonts w:ascii="Arial" w:hAnsi="Arial" w:cs="Arial"/>
                <w:b/>
                <w:sz w:val="20"/>
                <w:szCs w:val="20"/>
              </w:rPr>
              <w:t>Detective Services Programme achieved 15 from 29 performance targets</w:t>
            </w:r>
          </w:p>
          <w:p w:rsidR="00587F48" w:rsidRPr="00C70473" w:rsidRDefault="00587F48" w:rsidP="00C70473">
            <w:pPr>
              <w:rPr>
                <w:rFonts w:ascii="Arial" w:hAnsi="Arial" w:cs="Arial"/>
                <w:sz w:val="20"/>
                <w:szCs w:val="20"/>
              </w:rPr>
            </w:pPr>
            <w:r w:rsidRPr="00C70473">
              <w:rPr>
                <w:rFonts w:ascii="Arial" w:hAnsi="Arial" w:cs="Arial"/>
                <w:b/>
                <w:sz w:val="20"/>
                <w:szCs w:val="20"/>
              </w:rPr>
              <w:t>Achievement rate of 51.7%</w:t>
            </w:r>
          </w:p>
        </w:tc>
      </w:tr>
    </w:tbl>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sz w:val="20"/>
          <w:szCs w:val="20"/>
        </w:rPr>
      </w:pPr>
      <w:r w:rsidRPr="00C70473">
        <w:rPr>
          <w:rFonts w:ascii="Arial" w:hAnsi="Arial" w:cs="Arial"/>
          <w:sz w:val="20"/>
          <w:szCs w:val="20"/>
        </w:rPr>
        <w:t xml:space="preserve">The Detective Services Programme achieved 15 of its 29 performance targets, thus not achieving 14 targets at the end of the 2021/22 financial year. The underperformance is mainly recorded in the Criminal Record Centre and Forensic Services Laboratory subprogrammes which achieved none of its performance targets in 2020/21. The subprogramme also recorded significant deviations between the targeted and achieved performance. The Directorate for Priority Crime Investigation (DPCI) or Special Investigations subprogramme achieved 100% of its targets in 2021/22. The following should be noted: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b/>
          <w:sz w:val="20"/>
          <w:szCs w:val="20"/>
        </w:rPr>
      </w:pPr>
      <w:r w:rsidRPr="00C70473">
        <w:rPr>
          <w:rFonts w:ascii="Arial" w:hAnsi="Arial" w:cs="Arial"/>
          <w:b/>
          <w:sz w:val="20"/>
          <w:szCs w:val="20"/>
        </w:rPr>
        <w:t xml:space="preserve">Targets not achieved during the 2020/21 financial year per subprogramme </w:t>
      </w:r>
    </w:p>
    <w:tbl>
      <w:tblPr>
        <w:tblStyle w:val="TableGrid"/>
        <w:tblW w:w="0" w:type="auto"/>
        <w:tblLook w:val="04A0"/>
      </w:tblPr>
      <w:tblGrid>
        <w:gridCol w:w="3005"/>
        <w:gridCol w:w="3005"/>
        <w:gridCol w:w="3006"/>
      </w:tblGrid>
      <w:tr w:rsidR="00587F48" w:rsidRPr="00C70473" w:rsidTr="00DC1145">
        <w:tc>
          <w:tcPr>
            <w:tcW w:w="9016" w:type="dxa"/>
            <w:gridSpan w:val="3"/>
            <w:shd w:val="clear" w:color="auto" w:fill="auto"/>
          </w:tcPr>
          <w:p w:rsidR="00587F48" w:rsidRPr="00C70473" w:rsidRDefault="00587F48" w:rsidP="00C70473">
            <w:pPr>
              <w:pStyle w:val="Default"/>
              <w:rPr>
                <w:b/>
                <w:sz w:val="20"/>
                <w:szCs w:val="20"/>
              </w:rPr>
            </w:pPr>
            <w:r w:rsidRPr="00C70473">
              <w:rPr>
                <w:b/>
                <w:sz w:val="20"/>
                <w:szCs w:val="20"/>
              </w:rPr>
              <w:t>Subprogramme: Crime Investigations: Achieved 8 from 14 targets (57.1%)</w:t>
            </w:r>
          </w:p>
        </w:tc>
      </w:tr>
      <w:tr w:rsidR="00587F48" w:rsidRPr="00C70473" w:rsidTr="00587F48">
        <w:tc>
          <w:tcPr>
            <w:tcW w:w="3005" w:type="dxa"/>
          </w:tcPr>
          <w:p w:rsidR="00587F48" w:rsidRPr="00C70473" w:rsidRDefault="00587F48" w:rsidP="00C70473">
            <w:pPr>
              <w:pStyle w:val="Default"/>
              <w:rPr>
                <w:b/>
                <w:sz w:val="20"/>
                <w:szCs w:val="20"/>
              </w:rPr>
            </w:pPr>
            <w:r w:rsidRPr="00C70473">
              <w:rPr>
                <w:sz w:val="20"/>
                <w:szCs w:val="20"/>
              </w:rPr>
              <w:t xml:space="preserve">Percent increase in detection rate for </w:t>
            </w:r>
            <w:r w:rsidRPr="00C70473">
              <w:rPr>
                <w:b/>
                <w:sz w:val="20"/>
                <w:szCs w:val="20"/>
              </w:rPr>
              <w:t>contact crimes</w:t>
            </w:r>
          </w:p>
          <w:p w:rsidR="00587F48" w:rsidRPr="00C70473" w:rsidRDefault="00587F48" w:rsidP="00C70473">
            <w:pPr>
              <w:pStyle w:val="Default"/>
              <w:numPr>
                <w:ilvl w:val="0"/>
                <w:numId w:val="85"/>
              </w:numPr>
              <w:ind w:left="318" w:hanging="284"/>
              <w:rPr>
                <w:sz w:val="20"/>
                <w:szCs w:val="20"/>
              </w:rPr>
            </w:pPr>
            <w:r w:rsidRPr="00C70473">
              <w:rPr>
                <w:sz w:val="20"/>
                <w:szCs w:val="20"/>
              </w:rPr>
              <w:t>Target: 55.77%</w:t>
            </w:r>
          </w:p>
          <w:p w:rsidR="00587F48" w:rsidRPr="00C70473" w:rsidRDefault="00587F48" w:rsidP="00C70473">
            <w:pPr>
              <w:pStyle w:val="Default"/>
              <w:numPr>
                <w:ilvl w:val="0"/>
                <w:numId w:val="85"/>
              </w:numPr>
              <w:ind w:left="318" w:hanging="284"/>
              <w:rPr>
                <w:sz w:val="20"/>
                <w:szCs w:val="20"/>
              </w:rPr>
            </w:pPr>
            <w:r w:rsidRPr="00C70473">
              <w:rPr>
                <w:sz w:val="20"/>
                <w:szCs w:val="20"/>
              </w:rPr>
              <w:t xml:space="preserve">Achieved: 46.36% (376 784 from a total of 812 808)  </w:t>
            </w:r>
          </w:p>
          <w:p w:rsidR="00587F48" w:rsidRPr="00C70473" w:rsidRDefault="00587F48" w:rsidP="00C70473">
            <w:pPr>
              <w:pStyle w:val="Default"/>
              <w:numPr>
                <w:ilvl w:val="0"/>
                <w:numId w:val="85"/>
              </w:numPr>
              <w:ind w:left="318" w:hanging="284"/>
              <w:rPr>
                <w:sz w:val="20"/>
                <w:szCs w:val="20"/>
              </w:rPr>
            </w:pPr>
            <w:r w:rsidRPr="00C70473">
              <w:rPr>
                <w:sz w:val="20"/>
                <w:szCs w:val="20"/>
              </w:rPr>
              <w:t>Deviation: -9.41% points</w:t>
            </w:r>
          </w:p>
        </w:tc>
        <w:tc>
          <w:tcPr>
            <w:tcW w:w="3005" w:type="dxa"/>
          </w:tcPr>
          <w:p w:rsidR="00587F48" w:rsidRPr="00C70473" w:rsidRDefault="00587F48" w:rsidP="00C70473">
            <w:pPr>
              <w:autoSpaceDE w:val="0"/>
              <w:autoSpaceDN w:val="0"/>
              <w:adjustRightInd w:val="0"/>
              <w:rPr>
                <w:rFonts w:ascii="Arial" w:hAnsi="Arial" w:cs="Arial"/>
                <w:color w:val="000000"/>
                <w:sz w:val="20"/>
                <w:szCs w:val="20"/>
                <w:lang w:eastAsia="en-ZA"/>
              </w:rPr>
            </w:pPr>
            <w:r w:rsidRPr="00C70473">
              <w:rPr>
                <w:rFonts w:ascii="Arial" w:hAnsi="Arial" w:cs="Arial"/>
                <w:color w:val="000000"/>
                <w:sz w:val="20"/>
                <w:szCs w:val="20"/>
                <w:lang w:eastAsia="en-ZA"/>
              </w:rPr>
              <w:t xml:space="preserve">Percentage increase in detection rate for contact crimes at the identified </w:t>
            </w:r>
            <w:r w:rsidRPr="00C70473">
              <w:rPr>
                <w:rFonts w:ascii="Arial" w:hAnsi="Arial" w:cs="Arial"/>
                <w:b/>
                <w:color w:val="000000"/>
                <w:sz w:val="20"/>
                <w:szCs w:val="20"/>
                <w:lang w:eastAsia="en-ZA"/>
              </w:rPr>
              <w:t xml:space="preserve">30 high crime weight stations </w:t>
            </w:r>
          </w:p>
          <w:p w:rsidR="00587F48" w:rsidRPr="00C70473" w:rsidRDefault="00587F48" w:rsidP="00C70473">
            <w:pPr>
              <w:pStyle w:val="ListParagraph"/>
              <w:numPr>
                <w:ilvl w:val="0"/>
                <w:numId w:val="80"/>
              </w:numPr>
              <w:autoSpaceDE w:val="0"/>
              <w:autoSpaceDN w:val="0"/>
              <w:adjustRightInd w:val="0"/>
              <w:spacing w:after="0" w:line="240" w:lineRule="auto"/>
              <w:ind w:left="319" w:hanging="284"/>
              <w:rPr>
                <w:rFonts w:ascii="Arial" w:hAnsi="Arial" w:cs="Arial"/>
                <w:color w:val="000000"/>
                <w:sz w:val="20"/>
                <w:szCs w:val="20"/>
                <w:lang w:eastAsia="en-ZA"/>
              </w:rPr>
            </w:pPr>
            <w:r w:rsidRPr="00C70473">
              <w:rPr>
                <w:rFonts w:ascii="Arial" w:hAnsi="Arial" w:cs="Arial"/>
                <w:bCs/>
                <w:color w:val="000000"/>
                <w:sz w:val="20"/>
                <w:szCs w:val="20"/>
                <w:lang w:eastAsia="en-ZA"/>
              </w:rPr>
              <w:t>Target: 40%</w:t>
            </w:r>
            <w:r w:rsidRPr="00C70473">
              <w:rPr>
                <w:rFonts w:ascii="Arial" w:hAnsi="Arial" w:cs="Arial"/>
                <w:color w:val="000000"/>
                <w:sz w:val="20"/>
                <w:szCs w:val="20"/>
                <w:lang w:eastAsia="en-ZA"/>
              </w:rPr>
              <w:t xml:space="preserve"> </w:t>
            </w:r>
          </w:p>
          <w:p w:rsidR="00587F48" w:rsidRPr="00C70473" w:rsidRDefault="00587F48" w:rsidP="00C70473">
            <w:pPr>
              <w:pStyle w:val="ListParagraph"/>
              <w:numPr>
                <w:ilvl w:val="0"/>
                <w:numId w:val="80"/>
              </w:numPr>
              <w:autoSpaceDE w:val="0"/>
              <w:autoSpaceDN w:val="0"/>
              <w:adjustRightInd w:val="0"/>
              <w:spacing w:after="0" w:line="240" w:lineRule="auto"/>
              <w:ind w:left="319" w:hanging="284"/>
              <w:rPr>
                <w:rFonts w:ascii="Arial" w:hAnsi="Arial" w:cs="Arial"/>
                <w:color w:val="000000"/>
                <w:sz w:val="20"/>
                <w:szCs w:val="20"/>
                <w:lang w:eastAsia="en-ZA"/>
              </w:rPr>
            </w:pPr>
            <w:r w:rsidRPr="00C70473">
              <w:rPr>
                <w:rFonts w:ascii="Arial" w:hAnsi="Arial" w:cs="Arial"/>
                <w:color w:val="000000"/>
                <w:sz w:val="20"/>
                <w:szCs w:val="20"/>
                <w:lang w:eastAsia="en-ZA"/>
              </w:rPr>
              <w:t xml:space="preserve">Achieved: </w:t>
            </w:r>
            <w:r w:rsidRPr="00C70473">
              <w:rPr>
                <w:rFonts w:ascii="Arial" w:hAnsi="Arial" w:cs="Arial"/>
                <w:bCs/>
                <w:color w:val="000000"/>
                <w:sz w:val="20"/>
                <w:szCs w:val="20"/>
                <w:lang w:eastAsia="en-ZA"/>
              </w:rPr>
              <w:t>33.50% (40 362 from a total of 120 498)</w:t>
            </w:r>
          </w:p>
          <w:p w:rsidR="00587F48" w:rsidRPr="00C70473" w:rsidRDefault="00587F48" w:rsidP="00C70473">
            <w:pPr>
              <w:pStyle w:val="ListParagraph"/>
              <w:numPr>
                <w:ilvl w:val="0"/>
                <w:numId w:val="80"/>
              </w:numPr>
              <w:autoSpaceDE w:val="0"/>
              <w:autoSpaceDN w:val="0"/>
              <w:adjustRightInd w:val="0"/>
              <w:spacing w:after="0" w:line="240" w:lineRule="auto"/>
              <w:ind w:left="319" w:hanging="284"/>
              <w:rPr>
                <w:rFonts w:ascii="Arial" w:hAnsi="Arial" w:cs="Arial"/>
                <w:color w:val="000000"/>
                <w:sz w:val="20"/>
                <w:szCs w:val="20"/>
                <w:lang w:eastAsia="en-ZA"/>
              </w:rPr>
            </w:pPr>
            <w:r w:rsidRPr="00C70473">
              <w:rPr>
                <w:rFonts w:ascii="Arial" w:hAnsi="Arial" w:cs="Arial"/>
                <w:bCs/>
                <w:color w:val="000000"/>
                <w:sz w:val="20"/>
                <w:szCs w:val="20"/>
                <w:lang w:eastAsia="en-ZA"/>
              </w:rPr>
              <w:t>Deviation: -6.5% points</w:t>
            </w:r>
          </w:p>
        </w:tc>
        <w:tc>
          <w:tcPr>
            <w:tcW w:w="3006" w:type="dxa"/>
          </w:tcPr>
          <w:p w:rsidR="00587F48" w:rsidRPr="00C70473" w:rsidRDefault="00587F48" w:rsidP="00C70473">
            <w:pPr>
              <w:pStyle w:val="Default"/>
              <w:rPr>
                <w:sz w:val="20"/>
                <w:szCs w:val="20"/>
              </w:rPr>
            </w:pPr>
            <w:r w:rsidRPr="00C70473">
              <w:rPr>
                <w:sz w:val="20"/>
                <w:szCs w:val="20"/>
              </w:rPr>
              <w:t xml:space="preserve">Percentage increase in detection rate for crimes committed against </w:t>
            </w:r>
            <w:r w:rsidRPr="00C70473">
              <w:rPr>
                <w:b/>
                <w:sz w:val="20"/>
                <w:szCs w:val="20"/>
              </w:rPr>
              <w:t>women</w:t>
            </w:r>
            <w:r w:rsidRPr="00C70473">
              <w:rPr>
                <w:sz w:val="20"/>
                <w:szCs w:val="20"/>
              </w:rPr>
              <w:t xml:space="preserve"> 18 years and above (murder, attempted murder, all sexual offences, common assault and assault GBH) </w:t>
            </w:r>
          </w:p>
          <w:p w:rsidR="00587F48" w:rsidRPr="00C70473" w:rsidRDefault="00587F48" w:rsidP="00C70473">
            <w:pPr>
              <w:pStyle w:val="Default"/>
              <w:numPr>
                <w:ilvl w:val="0"/>
                <w:numId w:val="79"/>
              </w:numPr>
              <w:ind w:left="319" w:hanging="284"/>
              <w:rPr>
                <w:sz w:val="20"/>
                <w:szCs w:val="20"/>
              </w:rPr>
            </w:pPr>
            <w:r w:rsidRPr="00C70473">
              <w:rPr>
                <w:bCs/>
                <w:sz w:val="20"/>
                <w:szCs w:val="20"/>
              </w:rPr>
              <w:t>Target: 75.25%</w:t>
            </w:r>
            <w:r w:rsidRPr="00C70473">
              <w:rPr>
                <w:sz w:val="20"/>
                <w:szCs w:val="20"/>
              </w:rPr>
              <w:t xml:space="preserve"> </w:t>
            </w:r>
          </w:p>
          <w:p w:rsidR="00587F48" w:rsidRPr="00C70473" w:rsidRDefault="00587F48" w:rsidP="00C70473">
            <w:pPr>
              <w:pStyle w:val="Default"/>
              <w:numPr>
                <w:ilvl w:val="0"/>
                <w:numId w:val="79"/>
              </w:numPr>
              <w:ind w:left="319" w:hanging="284"/>
              <w:rPr>
                <w:sz w:val="20"/>
                <w:szCs w:val="20"/>
              </w:rPr>
            </w:pPr>
            <w:r w:rsidRPr="00C70473">
              <w:rPr>
                <w:sz w:val="20"/>
                <w:szCs w:val="20"/>
              </w:rPr>
              <w:t xml:space="preserve">Achieved: </w:t>
            </w:r>
            <w:r w:rsidRPr="00C70473">
              <w:rPr>
                <w:bCs/>
                <w:sz w:val="20"/>
                <w:szCs w:val="20"/>
              </w:rPr>
              <w:t>69.97% (148 249 from a total of 211 876)</w:t>
            </w:r>
          </w:p>
          <w:p w:rsidR="00587F48" w:rsidRPr="00C70473" w:rsidRDefault="00587F48" w:rsidP="00C70473">
            <w:pPr>
              <w:pStyle w:val="Default"/>
              <w:numPr>
                <w:ilvl w:val="0"/>
                <w:numId w:val="79"/>
              </w:numPr>
              <w:ind w:left="319" w:hanging="284"/>
              <w:rPr>
                <w:sz w:val="20"/>
                <w:szCs w:val="20"/>
              </w:rPr>
            </w:pPr>
            <w:r w:rsidRPr="00C70473">
              <w:rPr>
                <w:bCs/>
                <w:sz w:val="20"/>
                <w:szCs w:val="20"/>
              </w:rPr>
              <w:t>Deviation: -5.28% points</w:t>
            </w:r>
          </w:p>
          <w:p w:rsidR="00587F48" w:rsidRPr="00C70473" w:rsidRDefault="00587F48" w:rsidP="00C70473">
            <w:pPr>
              <w:pStyle w:val="Default"/>
              <w:ind w:left="319"/>
              <w:rPr>
                <w:sz w:val="20"/>
                <w:szCs w:val="20"/>
              </w:rPr>
            </w:pPr>
          </w:p>
        </w:tc>
      </w:tr>
      <w:tr w:rsidR="00587F48" w:rsidRPr="00C70473" w:rsidTr="00587F48">
        <w:tc>
          <w:tcPr>
            <w:tcW w:w="3005" w:type="dxa"/>
          </w:tcPr>
          <w:p w:rsidR="00587F48" w:rsidRPr="00C70473" w:rsidRDefault="00587F48" w:rsidP="00C70473">
            <w:pPr>
              <w:pStyle w:val="Default"/>
              <w:rPr>
                <w:sz w:val="20"/>
                <w:szCs w:val="20"/>
              </w:rPr>
            </w:pPr>
            <w:r w:rsidRPr="00C70473">
              <w:rPr>
                <w:sz w:val="20"/>
                <w:szCs w:val="20"/>
              </w:rPr>
              <w:t xml:space="preserve">Percentage increase in detection rate for crimes committed against </w:t>
            </w:r>
            <w:r w:rsidRPr="00C70473">
              <w:rPr>
                <w:b/>
                <w:sz w:val="20"/>
                <w:szCs w:val="20"/>
              </w:rPr>
              <w:t xml:space="preserve">children </w:t>
            </w:r>
            <w:r w:rsidRPr="00C70473">
              <w:rPr>
                <w:sz w:val="20"/>
                <w:szCs w:val="20"/>
              </w:rPr>
              <w:t xml:space="preserve">under 18 years (murder, attempted murder, all sexual offences, common assault and assault GBH) </w:t>
            </w:r>
          </w:p>
          <w:p w:rsidR="00587F48" w:rsidRPr="00C70473" w:rsidRDefault="00587F48" w:rsidP="00C70473">
            <w:pPr>
              <w:pStyle w:val="Default"/>
              <w:numPr>
                <w:ilvl w:val="0"/>
                <w:numId w:val="79"/>
              </w:numPr>
              <w:ind w:left="318" w:hanging="284"/>
              <w:rPr>
                <w:sz w:val="20"/>
                <w:szCs w:val="20"/>
              </w:rPr>
            </w:pPr>
            <w:r w:rsidRPr="00C70473">
              <w:rPr>
                <w:bCs/>
                <w:sz w:val="20"/>
                <w:szCs w:val="20"/>
              </w:rPr>
              <w:t>Target: 70,15%</w:t>
            </w:r>
          </w:p>
          <w:p w:rsidR="00587F48" w:rsidRPr="00C70473" w:rsidRDefault="00587F48" w:rsidP="00C70473">
            <w:pPr>
              <w:pStyle w:val="Default"/>
              <w:numPr>
                <w:ilvl w:val="0"/>
                <w:numId w:val="79"/>
              </w:numPr>
              <w:ind w:left="318" w:hanging="284"/>
              <w:rPr>
                <w:sz w:val="20"/>
                <w:szCs w:val="20"/>
              </w:rPr>
            </w:pPr>
            <w:r w:rsidRPr="00C70473">
              <w:rPr>
                <w:sz w:val="20"/>
                <w:szCs w:val="20"/>
              </w:rPr>
              <w:t xml:space="preserve">Achieved: </w:t>
            </w:r>
            <w:r w:rsidRPr="00C70473">
              <w:rPr>
                <w:bCs/>
                <w:sz w:val="20"/>
                <w:szCs w:val="20"/>
              </w:rPr>
              <w:t>61.84% (36 438 from a total of 58 921)</w:t>
            </w:r>
          </w:p>
          <w:p w:rsidR="00587F48" w:rsidRPr="00C70473" w:rsidRDefault="00587F48" w:rsidP="00C70473">
            <w:pPr>
              <w:pStyle w:val="Default"/>
              <w:numPr>
                <w:ilvl w:val="0"/>
                <w:numId w:val="79"/>
              </w:numPr>
              <w:ind w:left="318" w:hanging="284"/>
              <w:rPr>
                <w:sz w:val="20"/>
                <w:szCs w:val="20"/>
              </w:rPr>
            </w:pPr>
            <w:r w:rsidRPr="00C70473">
              <w:rPr>
                <w:bCs/>
                <w:sz w:val="20"/>
                <w:szCs w:val="20"/>
              </w:rPr>
              <w:t>Deviation: -8.31%</w:t>
            </w:r>
          </w:p>
          <w:p w:rsidR="00587F48" w:rsidRPr="00C70473" w:rsidRDefault="00587F48" w:rsidP="00C70473">
            <w:pPr>
              <w:pStyle w:val="Default"/>
              <w:ind w:left="318"/>
              <w:rPr>
                <w:sz w:val="20"/>
                <w:szCs w:val="20"/>
              </w:rPr>
            </w:pPr>
          </w:p>
        </w:tc>
        <w:tc>
          <w:tcPr>
            <w:tcW w:w="3005" w:type="dxa"/>
          </w:tcPr>
          <w:p w:rsidR="00587F48" w:rsidRPr="00C70473" w:rsidRDefault="00587F48" w:rsidP="00C70473">
            <w:pPr>
              <w:autoSpaceDE w:val="0"/>
              <w:autoSpaceDN w:val="0"/>
              <w:adjustRightInd w:val="0"/>
              <w:rPr>
                <w:rFonts w:ascii="Arial" w:hAnsi="Arial" w:cs="Arial"/>
                <w:sz w:val="20"/>
                <w:szCs w:val="20"/>
              </w:rPr>
            </w:pPr>
            <w:r w:rsidRPr="00C70473">
              <w:rPr>
                <w:rFonts w:ascii="Arial" w:hAnsi="Arial" w:cs="Arial"/>
                <w:sz w:val="20"/>
                <w:szCs w:val="20"/>
              </w:rPr>
              <w:t>Percentage of identified drug syndicates neutralised with arrests</w:t>
            </w:r>
          </w:p>
          <w:p w:rsidR="00587F48" w:rsidRPr="00C70473" w:rsidRDefault="00587F48" w:rsidP="00C70473">
            <w:pPr>
              <w:pStyle w:val="Default"/>
              <w:numPr>
                <w:ilvl w:val="0"/>
                <w:numId w:val="79"/>
              </w:numPr>
              <w:ind w:left="318" w:hanging="284"/>
              <w:rPr>
                <w:sz w:val="20"/>
                <w:szCs w:val="20"/>
              </w:rPr>
            </w:pPr>
            <w:r w:rsidRPr="00C70473">
              <w:rPr>
                <w:bCs/>
                <w:sz w:val="20"/>
                <w:szCs w:val="20"/>
              </w:rPr>
              <w:t>Target: 60%</w:t>
            </w:r>
          </w:p>
          <w:p w:rsidR="00587F48" w:rsidRPr="00C70473" w:rsidRDefault="00587F48" w:rsidP="00C70473">
            <w:pPr>
              <w:pStyle w:val="Default"/>
              <w:numPr>
                <w:ilvl w:val="0"/>
                <w:numId w:val="79"/>
              </w:numPr>
              <w:ind w:left="318" w:hanging="284"/>
              <w:rPr>
                <w:sz w:val="20"/>
                <w:szCs w:val="20"/>
              </w:rPr>
            </w:pPr>
            <w:r w:rsidRPr="00C70473">
              <w:rPr>
                <w:sz w:val="20"/>
                <w:szCs w:val="20"/>
              </w:rPr>
              <w:t xml:space="preserve">Achieved: </w:t>
            </w:r>
            <w:r w:rsidRPr="00C70473">
              <w:rPr>
                <w:bCs/>
                <w:sz w:val="20"/>
                <w:szCs w:val="20"/>
              </w:rPr>
              <w:t>36.36% (4 from a total of 11)</w:t>
            </w:r>
          </w:p>
          <w:p w:rsidR="00587F48" w:rsidRPr="00C70473" w:rsidRDefault="00587F48" w:rsidP="00C70473">
            <w:pPr>
              <w:pStyle w:val="Default"/>
              <w:numPr>
                <w:ilvl w:val="0"/>
                <w:numId w:val="79"/>
              </w:numPr>
              <w:ind w:left="318" w:hanging="284"/>
              <w:rPr>
                <w:sz w:val="20"/>
                <w:szCs w:val="20"/>
              </w:rPr>
            </w:pPr>
            <w:r w:rsidRPr="00C70473">
              <w:rPr>
                <w:bCs/>
                <w:sz w:val="20"/>
                <w:szCs w:val="20"/>
              </w:rPr>
              <w:t>Deviation: -23.64%</w:t>
            </w:r>
          </w:p>
          <w:p w:rsidR="00587F48" w:rsidRPr="00C70473" w:rsidRDefault="00587F48" w:rsidP="00C70473">
            <w:pPr>
              <w:autoSpaceDE w:val="0"/>
              <w:autoSpaceDN w:val="0"/>
              <w:adjustRightInd w:val="0"/>
              <w:rPr>
                <w:rFonts w:ascii="Arial" w:hAnsi="Arial" w:cs="Arial"/>
                <w:sz w:val="20"/>
                <w:szCs w:val="20"/>
              </w:rPr>
            </w:pPr>
          </w:p>
          <w:p w:rsidR="00587F48" w:rsidRPr="00C70473" w:rsidRDefault="00587F48" w:rsidP="00C70473">
            <w:pPr>
              <w:autoSpaceDE w:val="0"/>
              <w:autoSpaceDN w:val="0"/>
              <w:adjustRightInd w:val="0"/>
              <w:rPr>
                <w:rFonts w:ascii="Arial" w:hAnsi="Arial" w:cs="Arial"/>
                <w:b/>
                <w:sz w:val="20"/>
                <w:szCs w:val="20"/>
              </w:rPr>
            </w:pPr>
            <w:r w:rsidRPr="00C70473">
              <w:rPr>
                <w:rFonts w:ascii="Arial" w:hAnsi="Arial" w:cs="Arial"/>
                <w:b/>
                <w:sz w:val="20"/>
                <w:szCs w:val="20"/>
              </w:rPr>
              <w:t>Reason for deviation</w:t>
            </w:r>
          </w:p>
          <w:p w:rsidR="00587F48" w:rsidRPr="00C70473" w:rsidRDefault="00587F48" w:rsidP="00C70473">
            <w:pPr>
              <w:autoSpaceDE w:val="0"/>
              <w:autoSpaceDN w:val="0"/>
              <w:adjustRightInd w:val="0"/>
              <w:rPr>
                <w:rFonts w:ascii="Arial" w:hAnsi="Arial" w:cs="Arial"/>
                <w:sz w:val="20"/>
                <w:szCs w:val="20"/>
              </w:rPr>
            </w:pPr>
            <w:r w:rsidRPr="00C70473">
              <w:rPr>
                <w:rFonts w:ascii="Arial" w:hAnsi="Arial" w:cs="Arial"/>
                <w:sz w:val="20"/>
                <w:szCs w:val="20"/>
              </w:rPr>
              <w:t>The shortage of detectives</w:t>
            </w:r>
          </w:p>
          <w:p w:rsidR="00587F48" w:rsidRPr="00C70473" w:rsidRDefault="00587F48" w:rsidP="00C70473">
            <w:pPr>
              <w:autoSpaceDE w:val="0"/>
              <w:autoSpaceDN w:val="0"/>
              <w:adjustRightInd w:val="0"/>
              <w:rPr>
                <w:rFonts w:ascii="Arial" w:hAnsi="Arial" w:cs="Arial"/>
                <w:sz w:val="20"/>
                <w:szCs w:val="20"/>
              </w:rPr>
            </w:pPr>
            <w:r w:rsidRPr="00C70473">
              <w:rPr>
                <w:rFonts w:ascii="Arial" w:hAnsi="Arial" w:cs="Arial"/>
                <w:sz w:val="20"/>
                <w:szCs w:val="20"/>
              </w:rPr>
              <w:t>with specialised investigative skills required for the environment, significantly affects the ability to address the complexity of organised</w:t>
            </w:r>
          </w:p>
          <w:p w:rsidR="00587F48" w:rsidRPr="00C70473" w:rsidRDefault="00587F48" w:rsidP="00C70473">
            <w:pPr>
              <w:autoSpaceDE w:val="0"/>
              <w:autoSpaceDN w:val="0"/>
              <w:adjustRightInd w:val="0"/>
              <w:rPr>
                <w:rFonts w:ascii="Arial" w:hAnsi="Arial" w:cs="Arial"/>
                <w:sz w:val="20"/>
                <w:szCs w:val="20"/>
              </w:rPr>
            </w:pPr>
            <w:r w:rsidRPr="00C70473">
              <w:rPr>
                <w:rFonts w:ascii="Arial" w:hAnsi="Arial" w:cs="Arial"/>
                <w:sz w:val="20"/>
                <w:szCs w:val="20"/>
              </w:rPr>
              <w:t>crime.</w:t>
            </w:r>
          </w:p>
        </w:tc>
        <w:tc>
          <w:tcPr>
            <w:tcW w:w="3006" w:type="dxa"/>
          </w:tcPr>
          <w:p w:rsidR="00587F48" w:rsidRPr="00C70473" w:rsidRDefault="00587F48" w:rsidP="00C70473">
            <w:pPr>
              <w:autoSpaceDE w:val="0"/>
              <w:autoSpaceDN w:val="0"/>
              <w:adjustRightInd w:val="0"/>
              <w:rPr>
                <w:rFonts w:ascii="Arial" w:hAnsi="Arial" w:cs="Arial"/>
                <w:sz w:val="20"/>
                <w:szCs w:val="20"/>
              </w:rPr>
            </w:pPr>
            <w:r w:rsidRPr="00C70473">
              <w:rPr>
                <w:rFonts w:ascii="Arial" w:hAnsi="Arial" w:cs="Arial"/>
                <w:sz w:val="20"/>
                <w:szCs w:val="20"/>
              </w:rPr>
              <w:t>Percentage of identified organised Criminal groups neutralised with arrests</w:t>
            </w:r>
          </w:p>
          <w:p w:rsidR="00587F48" w:rsidRPr="00C70473" w:rsidRDefault="00587F48" w:rsidP="00C70473">
            <w:pPr>
              <w:pStyle w:val="ListParagraph"/>
              <w:numPr>
                <w:ilvl w:val="0"/>
                <w:numId w:val="80"/>
              </w:numPr>
              <w:autoSpaceDE w:val="0"/>
              <w:autoSpaceDN w:val="0"/>
              <w:adjustRightInd w:val="0"/>
              <w:spacing w:after="0" w:line="240" w:lineRule="auto"/>
              <w:ind w:left="319" w:hanging="284"/>
              <w:rPr>
                <w:rFonts w:ascii="Arial" w:hAnsi="Arial" w:cs="Arial"/>
                <w:color w:val="000000"/>
                <w:sz w:val="20"/>
                <w:szCs w:val="20"/>
                <w:lang w:eastAsia="en-ZA"/>
              </w:rPr>
            </w:pPr>
            <w:r w:rsidRPr="00C70473">
              <w:rPr>
                <w:rFonts w:ascii="Arial" w:hAnsi="Arial" w:cs="Arial"/>
                <w:bCs/>
                <w:color w:val="000000"/>
                <w:sz w:val="20"/>
                <w:szCs w:val="20"/>
                <w:lang w:eastAsia="en-ZA"/>
              </w:rPr>
              <w:t>Target: 60%</w:t>
            </w:r>
            <w:r w:rsidRPr="00C70473">
              <w:rPr>
                <w:rFonts w:ascii="Arial" w:hAnsi="Arial" w:cs="Arial"/>
                <w:color w:val="000000"/>
                <w:sz w:val="20"/>
                <w:szCs w:val="20"/>
                <w:lang w:eastAsia="en-ZA"/>
              </w:rPr>
              <w:t xml:space="preserve"> </w:t>
            </w:r>
          </w:p>
          <w:p w:rsidR="00587F48" w:rsidRPr="00C70473" w:rsidRDefault="00587F48" w:rsidP="00C70473">
            <w:pPr>
              <w:pStyle w:val="ListParagraph"/>
              <w:numPr>
                <w:ilvl w:val="0"/>
                <w:numId w:val="80"/>
              </w:numPr>
              <w:autoSpaceDE w:val="0"/>
              <w:autoSpaceDN w:val="0"/>
              <w:adjustRightInd w:val="0"/>
              <w:spacing w:after="0" w:line="240" w:lineRule="auto"/>
              <w:ind w:left="319" w:hanging="284"/>
              <w:rPr>
                <w:rFonts w:ascii="Arial" w:hAnsi="Arial" w:cs="Arial"/>
                <w:color w:val="000000"/>
                <w:sz w:val="20"/>
                <w:szCs w:val="20"/>
                <w:lang w:eastAsia="en-ZA"/>
              </w:rPr>
            </w:pPr>
            <w:r w:rsidRPr="00C70473">
              <w:rPr>
                <w:rFonts w:ascii="Arial" w:hAnsi="Arial" w:cs="Arial"/>
                <w:color w:val="000000"/>
                <w:sz w:val="20"/>
                <w:szCs w:val="20"/>
                <w:lang w:eastAsia="en-ZA"/>
              </w:rPr>
              <w:t xml:space="preserve">Achieved: </w:t>
            </w:r>
            <w:r w:rsidRPr="00C70473">
              <w:rPr>
                <w:rFonts w:ascii="Arial" w:hAnsi="Arial" w:cs="Arial"/>
                <w:bCs/>
                <w:color w:val="000000"/>
                <w:sz w:val="20"/>
                <w:szCs w:val="20"/>
                <w:lang w:eastAsia="en-ZA"/>
              </w:rPr>
              <w:t>20% (2 from a total of 10)</w:t>
            </w:r>
          </w:p>
          <w:p w:rsidR="00587F48" w:rsidRPr="00C70473" w:rsidRDefault="00587F48" w:rsidP="00C70473">
            <w:pPr>
              <w:pStyle w:val="ListParagraph"/>
              <w:numPr>
                <w:ilvl w:val="0"/>
                <w:numId w:val="80"/>
              </w:numPr>
              <w:autoSpaceDE w:val="0"/>
              <w:autoSpaceDN w:val="0"/>
              <w:adjustRightInd w:val="0"/>
              <w:spacing w:after="0" w:line="240" w:lineRule="auto"/>
              <w:ind w:left="319" w:hanging="284"/>
              <w:rPr>
                <w:rFonts w:ascii="Arial" w:hAnsi="Arial" w:cs="Arial"/>
                <w:color w:val="000000"/>
                <w:sz w:val="20"/>
                <w:szCs w:val="20"/>
                <w:lang w:eastAsia="en-ZA"/>
              </w:rPr>
            </w:pPr>
            <w:r w:rsidRPr="00C70473">
              <w:rPr>
                <w:rFonts w:ascii="Arial" w:hAnsi="Arial" w:cs="Arial"/>
                <w:bCs/>
                <w:color w:val="000000"/>
                <w:sz w:val="20"/>
                <w:szCs w:val="20"/>
                <w:lang w:eastAsia="en-ZA"/>
              </w:rPr>
              <w:t>Deviation: -40% points</w:t>
            </w:r>
          </w:p>
        </w:tc>
      </w:tr>
      <w:tr w:rsidR="00587F48" w:rsidRPr="00C70473" w:rsidTr="00DC1145">
        <w:tc>
          <w:tcPr>
            <w:tcW w:w="9016" w:type="dxa"/>
            <w:gridSpan w:val="3"/>
            <w:shd w:val="clear" w:color="auto" w:fill="auto"/>
          </w:tcPr>
          <w:p w:rsidR="00587F48" w:rsidRPr="00C70473" w:rsidRDefault="00587F48" w:rsidP="00C70473">
            <w:pPr>
              <w:autoSpaceDE w:val="0"/>
              <w:autoSpaceDN w:val="0"/>
              <w:adjustRightInd w:val="0"/>
              <w:rPr>
                <w:rFonts w:ascii="Arial" w:hAnsi="Arial" w:cs="Arial"/>
                <w:b/>
                <w:color w:val="000000"/>
                <w:sz w:val="20"/>
                <w:szCs w:val="20"/>
                <w:lang w:eastAsia="en-ZA"/>
              </w:rPr>
            </w:pPr>
            <w:r w:rsidRPr="00C70473">
              <w:rPr>
                <w:rFonts w:ascii="Arial" w:hAnsi="Arial" w:cs="Arial"/>
                <w:b/>
                <w:sz w:val="20"/>
                <w:szCs w:val="20"/>
              </w:rPr>
              <w:t>Subprogramme: Criminal Record Centre: Achieved 0 from 3 targets (0%)</w:t>
            </w:r>
          </w:p>
        </w:tc>
      </w:tr>
      <w:tr w:rsidR="00587F48" w:rsidRPr="00C70473" w:rsidTr="00587F48">
        <w:tc>
          <w:tcPr>
            <w:tcW w:w="3005" w:type="dxa"/>
          </w:tcPr>
          <w:p w:rsidR="00587F48" w:rsidRPr="00C70473" w:rsidRDefault="00587F48" w:rsidP="00C70473">
            <w:pPr>
              <w:pStyle w:val="Default"/>
              <w:rPr>
                <w:bCs/>
                <w:sz w:val="20"/>
                <w:szCs w:val="20"/>
              </w:rPr>
            </w:pPr>
            <w:r w:rsidRPr="00C70473">
              <w:rPr>
                <w:bCs/>
                <w:sz w:val="20"/>
                <w:szCs w:val="20"/>
              </w:rPr>
              <w:t xml:space="preserve">Percentage of results of trial updated in respect of guilty verdicts </w:t>
            </w:r>
          </w:p>
          <w:p w:rsidR="00587F48" w:rsidRPr="00C70473" w:rsidRDefault="00587F48" w:rsidP="00C70473">
            <w:pPr>
              <w:pStyle w:val="ListParagraph"/>
              <w:numPr>
                <w:ilvl w:val="0"/>
                <w:numId w:val="92"/>
              </w:numPr>
              <w:autoSpaceDE w:val="0"/>
              <w:autoSpaceDN w:val="0"/>
              <w:adjustRightInd w:val="0"/>
              <w:spacing w:after="0" w:line="240" w:lineRule="auto"/>
              <w:ind w:left="314" w:hanging="284"/>
              <w:rPr>
                <w:rFonts w:ascii="Arial" w:hAnsi="Arial" w:cs="Arial"/>
                <w:sz w:val="20"/>
                <w:szCs w:val="20"/>
              </w:rPr>
            </w:pPr>
            <w:r w:rsidRPr="00C70473">
              <w:rPr>
                <w:rFonts w:ascii="Arial" w:hAnsi="Arial" w:cs="Arial"/>
                <w:sz w:val="20"/>
                <w:szCs w:val="20"/>
              </w:rPr>
              <w:t xml:space="preserve">Target: 95% of results of </w:t>
            </w:r>
            <w:r w:rsidRPr="00C70473">
              <w:rPr>
                <w:rFonts w:ascii="Arial" w:hAnsi="Arial" w:cs="Arial"/>
                <w:sz w:val="20"/>
                <w:szCs w:val="20"/>
              </w:rPr>
              <w:lastRenderedPageBreak/>
              <w:t>trial (guilty) updated, within 20 calendar days</w:t>
            </w:r>
          </w:p>
          <w:p w:rsidR="00587F48" w:rsidRPr="00C70473" w:rsidRDefault="00587F48" w:rsidP="00C70473">
            <w:pPr>
              <w:pStyle w:val="ListParagraph"/>
              <w:numPr>
                <w:ilvl w:val="0"/>
                <w:numId w:val="92"/>
              </w:numPr>
              <w:autoSpaceDE w:val="0"/>
              <w:autoSpaceDN w:val="0"/>
              <w:adjustRightInd w:val="0"/>
              <w:spacing w:after="0" w:line="240" w:lineRule="auto"/>
              <w:ind w:left="314" w:hanging="284"/>
              <w:rPr>
                <w:rFonts w:ascii="Arial" w:hAnsi="Arial" w:cs="Arial"/>
                <w:sz w:val="20"/>
                <w:szCs w:val="20"/>
              </w:rPr>
            </w:pPr>
            <w:r w:rsidRPr="00C70473">
              <w:rPr>
                <w:rFonts w:ascii="Arial" w:hAnsi="Arial" w:cs="Arial"/>
                <w:sz w:val="20"/>
                <w:szCs w:val="20"/>
              </w:rPr>
              <w:t>Achieved: 91,87% (131 602 from a total of 143 243) of results of trial (guilty) updated, within 20 calendar days.</w:t>
            </w:r>
          </w:p>
          <w:p w:rsidR="00587F48" w:rsidRPr="00C70473" w:rsidRDefault="00587F48" w:rsidP="00C70473">
            <w:pPr>
              <w:pStyle w:val="Default"/>
              <w:numPr>
                <w:ilvl w:val="0"/>
                <w:numId w:val="79"/>
              </w:numPr>
              <w:ind w:left="318" w:hanging="284"/>
              <w:rPr>
                <w:sz w:val="20"/>
                <w:szCs w:val="20"/>
              </w:rPr>
            </w:pPr>
            <w:r w:rsidRPr="00C70473">
              <w:rPr>
                <w:bCs/>
                <w:sz w:val="20"/>
                <w:szCs w:val="20"/>
              </w:rPr>
              <w:t>Deviation: -3.13%</w:t>
            </w:r>
          </w:p>
          <w:p w:rsidR="00587F48" w:rsidRPr="00C70473" w:rsidRDefault="00587F48" w:rsidP="00C70473">
            <w:pPr>
              <w:pStyle w:val="Default"/>
              <w:ind w:left="318"/>
              <w:rPr>
                <w:sz w:val="20"/>
                <w:szCs w:val="20"/>
              </w:rPr>
            </w:pPr>
          </w:p>
        </w:tc>
        <w:tc>
          <w:tcPr>
            <w:tcW w:w="3005" w:type="dxa"/>
          </w:tcPr>
          <w:p w:rsidR="00587F48" w:rsidRPr="00C70473" w:rsidRDefault="00587F48" w:rsidP="00C70473">
            <w:pPr>
              <w:pStyle w:val="Default"/>
              <w:rPr>
                <w:bCs/>
                <w:sz w:val="20"/>
                <w:szCs w:val="20"/>
              </w:rPr>
            </w:pPr>
            <w:r w:rsidRPr="00C70473">
              <w:rPr>
                <w:bCs/>
                <w:sz w:val="20"/>
                <w:szCs w:val="20"/>
              </w:rPr>
              <w:lastRenderedPageBreak/>
              <w:t xml:space="preserve">Percentage of results of trial updated in respect of not guilty verdicts </w:t>
            </w:r>
          </w:p>
          <w:p w:rsidR="00587F48" w:rsidRPr="00C70473" w:rsidRDefault="00587F48" w:rsidP="00C70473">
            <w:pPr>
              <w:pStyle w:val="ListParagraph"/>
              <w:numPr>
                <w:ilvl w:val="0"/>
                <w:numId w:val="92"/>
              </w:numPr>
              <w:autoSpaceDE w:val="0"/>
              <w:autoSpaceDN w:val="0"/>
              <w:adjustRightInd w:val="0"/>
              <w:spacing w:after="0" w:line="240" w:lineRule="auto"/>
              <w:ind w:left="314" w:hanging="284"/>
              <w:rPr>
                <w:rFonts w:ascii="Arial" w:hAnsi="Arial" w:cs="Arial"/>
                <w:sz w:val="20"/>
                <w:szCs w:val="20"/>
              </w:rPr>
            </w:pPr>
            <w:r w:rsidRPr="00C70473">
              <w:rPr>
                <w:rFonts w:ascii="Arial" w:hAnsi="Arial" w:cs="Arial"/>
                <w:sz w:val="20"/>
                <w:szCs w:val="20"/>
              </w:rPr>
              <w:t xml:space="preserve">Target: 95% of results of </w:t>
            </w:r>
            <w:r w:rsidRPr="00C70473">
              <w:rPr>
                <w:rFonts w:ascii="Arial" w:hAnsi="Arial" w:cs="Arial"/>
                <w:sz w:val="20"/>
                <w:szCs w:val="20"/>
              </w:rPr>
              <w:lastRenderedPageBreak/>
              <w:t>trial (not guilty/withdrawn) updated, within 20 calendar days</w:t>
            </w:r>
          </w:p>
          <w:p w:rsidR="00587F48" w:rsidRPr="00C70473" w:rsidRDefault="00587F48" w:rsidP="00C70473">
            <w:pPr>
              <w:pStyle w:val="ListParagraph"/>
              <w:numPr>
                <w:ilvl w:val="0"/>
                <w:numId w:val="92"/>
              </w:numPr>
              <w:autoSpaceDE w:val="0"/>
              <w:autoSpaceDN w:val="0"/>
              <w:adjustRightInd w:val="0"/>
              <w:spacing w:after="0" w:line="240" w:lineRule="auto"/>
              <w:ind w:left="314" w:hanging="284"/>
              <w:rPr>
                <w:rFonts w:ascii="Arial" w:hAnsi="Arial" w:cs="Arial"/>
                <w:sz w:val="20"/>
                <w:szCs w:val="20"/>
              </w:rPr>
            </w:pPr>
            <w:r w:rsidRPr="00C70473">
              <w:rPr>
                <w:rFonts w:ascii="Arial" w:hAnsi="Arial" w:cs="Arial"/>
                <w:sz w:val="20"/>
                <w:szCs w:val="20"/>
              </w:rPr>
              <w:t>Achieved: 94.73% (731 564 from a total of 772 233) of results of trial (not guilty/ withdrawn) updated, within 20 calendar days.</w:t>
            </w:r>
          </w:p>
          <w:p w:rsidR="00587F48" w:rsidRPr="00C70473" w:rsidRDefault="00587F48" w:rsidP="00C70473">
            <w:pPr>
              <w:pStyle w:val="Default"/>
              <w:numPr>
                <w:ilvl w:val="0"/>
                <w:numId w:val="79"/>
              </w:numPr>
              <w:ind w:left="318" w:hanging="284"/>
              <w:rPr>
                <w:sz w:val="20"/>
                <w:szCs w:val="20"/>
              </w:rPr>
            </w:pPr>
            <w:r w:rsidRPr="00C70473">
              <w:rPr>
                <w:bCs/>
                <w:sz w:val="20"/>
                <w:szCs w:val="20"/>
              </w:rPr>
              <w:t>Deviation: -0.27%</w:t>
            </w:r>
          </w:p>
          <w:p w:rsidR="00587F48" w:rsidRPr="00C70473" w:rsidRDefault="00587F48" w:rsidP="00C70473">
            <w:pPr>
              <w:autoSpaceDE w:val="0"/>
              <w:autoSpaceDN w:val="0"/>
              <w:adjustRightInd w:val="0"/>
              <w:rPr>
                <w:rFonts w:ascii="Arial" w:hAnsi="Arial" w:cs="Arial"/>
                <w:sz w:val="20"/>
                <w:szCs w:val="20"/>
              </w:rPr>
            </w:pPr>
          </w:p>
        </w:tc>
        <w:tc>
          <w:tcPr>
            <w:tcW w:w="3006" w:type="dxa"/>
          </w:tcPr>
          <w:p w:rsidR="00587F48" w:rsidRPr="00C70473" w:rsidRDefault="00587F48" w:rsidP="00C70473">
            <w:pPr>
              <w:autoSpaceDE w:val="0"/>
              <w:autoSpaceDN w:val="0"/>
              <w:adjustRightInd w:val="0"/>
              <w:rPr>
                <w:rFonts w:ascii="Arial" w:hAnsi="Arial" w:cs="Arial"/>
                <w:sz w:val="20"/>
                <w:szCs w:val="20"/>
              </w:rPr>
            </w:pPr>
            <w:r w:rsidRPr="00C70473">
              <w:rPr>
                <w:rFonts w:ascii="Arial" w:hAnsi="Arial" w:cs="Arial"/>
                <w:sz w:val="20"/>
                <w:szCs w:val="20"/>
              </w:rPr>
              <w:lastRenderedPageBreak/>
              <w:t xml:space="preserve">Percentage of original previous conviction reports generated </w:t>
            </w:r>
          </w:p>
          <w:p w:rsidR="00587F48" w:rsidRPr="00C70473" w:rsidRDefault="00587F48" w:rsidP="00C70473">
            <w:pPr>
              <w:pStyle w:val="ListParagraph"/>
              <w:numPr>
                <w:ilvl w:val="0"/>
                <w:numId w:val="79"/>
              </w:numPr>
              <w:autoSpaceDE w:val="0"/>
              <w:autoSpaceDN w:val="0"/>
              <w:adjustRightInd w:val="0"/>
              <w:spacing w:after="0" w:line="240" w:lineRule="auto"/>
              <w:ind w:left="259" w:hanging="259"/>
              <w:rPr>
                <w:rFonts w:ascii="Arial" w:hAnsi="Arial" w:cs="Arial"/>
                <w:sz w:val="20"/>
                <w:szCs w:val="20"/>
              </w:rPr>
            </w:pPr>
            <w:r w:rsidRPr="00C70473">
              <w:rPr>
                <w:rFonts w:ascii="Arial" w:hAnsi="Arial" w:cs="Arial"/>
                <w:bCs/>
                <w:color w:val="000000"/>
                <w:sz w:val="20"/>
                <w:szCs w:val="20"/>
                <w:lang w:eastAsia="en-ZA"/>
              </w:rPr>
              <w:t xml:space="preserve">Target: </w:t>
            </w:r>
            <w:r w:rsidRPr="00C70473">
              <w:rPr>
                <w:rFonts w:ascii="Arial" w:hAnsi="Arial" w:cs="Arial"/>
                <w:sz w:val="20"/>
                <w:szCs w:val="20"/>
              </w:rPr>
              <w:t xml:space="preserve">95% original previous conviction reports </w:t>
            </w:r>
            <w:r w:rsidRPr="00C70473">
              <w:rPr>
                <w:rFonts w:ascii="Arial" w:hAnsi="Arial" w:cs="Arial"/>
                <w:sz w:val="20"/>
                <w:szCs w:val="20"/>
              </w:rPr>
              <w:lastRenderedPageBreak/>
              <w:t>generated, within 15 calendar days</w:t>
            </w:r>
          </w:p>
          <w:p w:rsidR="00587F48" w:rsidRPr="00C70473" w:rsidRDefault="00587F48" w:rsidP="00C70473">
            <w:pPr>
              <w:pStyle w:val="ListParagraph"/>
              <w:numPr>
                <w:ilvl w:val="0"/>
                <w:numId w:val="79"/>
              </w:numPr>
              <w:autoSpaceDE w:val="0"/>
              <w:autoSpaceDN w:val="0"/>
              <w:adjustRightInd w:val="0"/>
              <w:spacing w:after="0" w:line="240" w:lineRule="auto"/>
              <w:ind w:left="259" w:hanging="259"/>
              <w:rPr>
                <w:rFonts w:ascii="Arial" w:hAnsi="Arial" w:cs="Arial"/>
                <w:sz w:val="20"/>
                <w:szCs w:val="20"/>
              </w:rPr>
            </w:pPr>
            <w:r w:rsidRPr="00C70473">
              <w:rPr>
                <w:rFonts w:ascii="Arial" w:hAnsi="Arial" w:cs="Arial"/>
                <w:color w:val="000000"/>
                <w:sz w:val="20"/>
                <w:szCs w:val="20"/>
                <w:lang w:eastAsia="en-ZA"/>
              </w:rPr>
              <w:t xml:space="preserve">Achieved: </w:t>
            </w:r>
            <w:r w:rsidRPr="00C70473">
              <w:rPr>
                <w:rFonts w:ascii="Arial" w:hAnsi="Arial" w:cs="Arial"/>
                <w:sz w:val="20"/>
                <w:szCs w:val="20"/>
              </w:rPr>
              <w:t>91,08% (832 868 from a total of 914 397) of original previous conviction reports generated, within 15 calendar days.</w:t>
            </w:r>
          </w:p>
          <w:p w:rsidR="00587F48" w:rsidRPr="00C70473" w:rsidRDefault="00587F48" w:rsidP="00C70473">
            <w:pPr>
              <w:pStyle w:val="ListParagraph"/>
              <w:numPr>
                <w:ilvl w:val="0"/>
                <w:numId w:val="80"/>
              </w:numPr>
              <w:autoSpaceDE w:val="0"/>
              <w:autoSpaceDN w:val="0"/>
              <w:adjustRightInd w:val="0"/>
              <w:spacing w:after="0" w:line="240" w:lineRule="auto"/>
              <w:ind w:left="319" w:hanging="284"/>
              <w:rPr>
                <w:rFonts w:ascii="Arial" w:hAnsi="Arial" w:cs="Arial"/>
                <w:color w:val="000000"/>
                <w:sz w:val="20"/>
                <w:szCs w:val="20"/>
                <w:lang w:eastAsia="en-ZA"/>
              </w:rPr>
            </w:pPr>
            <w:r w:rsidRPr="00C70473">
              <w:rPr>
                <w:rFonts w:ascii="Arial" w:hAnsi="Arial" w:cs="Arial"/>
                <w:bCs/>
                <w:color w:val="000000"/>
                <w:sz w:val="20"/>
                <w:szCs w:val="20"/>
                <w:lang w:eastAsia="en-ZA"/>
              </w:rPr>
              <w:t>Deviation: -3.92% points</w:t>
            </w:r>
          </w:p>
        </w:tc>
      </w:tr>
      <w:tr w:rsidR="00587F48" w:rsidRPr="00C70473" w:rsidTr="00DC1145">
        <w:tc>
          <w:tcPr>
            <w:tcW w:w="9016" w:type="dxa"/>
            <w:gridSpan w:val="3"/>
            <w:shd w:val="clear" w:color="auto" w:fill="auto"/>
          </w:tcPr>
          <w:p w:rsidR="00587F48" w:rsidRPr="00C70473" w:rsidRDefault="00587F48" w:rsidP="00C70473">
            <w:pPr>
              <w:autoSpaceDE w:val="0"/>
              <w:autoSpaceDN w:val="0"/>
              <w:adjustRightInd w:val="0"/>
              <w:rPr>
                <w:rFonts w:ascii="Arial" w:hAnsi="Arial" w:cs="Arial"/>
                <w:b/>
                <w:color w:val="000000"/>
                <w:sz w:val="20"/>
                <w:szCs w:val="20"/>
                <w:lang w:eastAsia="en-ZA"/>
              </w:rPr>
            </w:pPr>
            <w:r w:rsidRPr="00C70473">
              <w:rPr>
                <w:rFonts w:ascii="Arial" w:hAnsi="Arial" w:cs="Arial"/>
                <w:b/>
                <w:sz w:val="20"/>
                <w:szCs w:val="20"/>
              </w:rPr>
              <w:lastRenderedPageBreak/>
              <w:t>Subprogramme: Forensic Science Laboratory: Achieved 0 from 5 targets (0%)</w:t>
            </w:r>
          </w:p>
        </w:tc>
      </w:tr>
      <w:tr w:rsidR="00587F48" w:rsidRPr="00C70473" w:rsidTr="00587F48">
        <w:tc>
          <w:tcPr>
            <w:tcW w:w="3005" w:type="dxa"/>
          </w:tcPr>
          <w:p w:rsidR="00587F48" w:rsidRPr="00C70473" w:rsidRDefault="00587F48" w:rsidP="00C70473">
            <w:pPr>
              <w:pStyle w:val="Default"/>
              <w:rPr>
                <w:sz w:val="20"/>
                <w:szCs w:val="20"/>
              </w:rPr>
            </w:pPr>
            <w:r w:rsidRPr="00C70473">
              <w:rPr>
                <w:sz w:val="20"/>
                <w:szCs w:val="20"/>
              </w:rPr>
              <w:t xml:space="preserve">Percentage of </w:t>
            </w:r>
            <w:r w:rsidRPr="00C70473">
              <w:rPr>
                <w:b/>
                <w:sz w:val="20"/>
                <w:szCs w:val="20"/>
              </w:rPr>
              <w:t>routine case</w:t>
            </w:r>
            <w:r w:rsidRPr="00C70473">
              <w:rPr>
                <w:sz w:val="20"/>
                <w:szCs w:val="20"/>
              </w:rPr>
              <w:t xml:space="preserve"> exhibits (entries) finalised </w:t>
            </w:r>
          </w:p>
          <w:p w:rsidR="00587F48" w:rsidRPr="00C70473" w:rsidRDefault="00587F48" w:rsidP="00C70473">
            <w:pPr>
              <w:pStyle w:val="Default"/>
              <w:numPr>
                <w:ilvl w:val="0"/>
                <w:numId w:val="82"/>
              </w:numPr>
              <w:ind w:left="260" w:hanging="260"/>
              <w:rPr>
                <w:sz w:val="20"/>
                <w:szCs w:val="20"/>
              </w:rPr>
            </w:pPr>
            <w:r w:rsidRPr="00C70473">
              <w:rPr>
                <w:bCs/>
                <w:sz w:val="20"/>
                <w:szCs w:val="20"/>
              </w:rPr>
              <w:t>Target: 75,00% within 35 calendar days</w:t>
            </w:r>
          </w:p>
          <w:p w:rsidR="00587F48" w:rsidRPr="00C70473" w:rsidRDefault="00587F48" w:rsidP="00C70473">
            <w:pPr>
              <w:pStyle w:val="Default"/>
              <w:numPr>
                <w:ilvl w:val="0"/>
                <w:numId w:val="82"/>
              </w:numPr>
              <w:ind w:left="260" w:hanging="260"/>
              <w:rPr>
                <w:sz w:val="20"/>
                <w:szCs w:val="20"/>
              </w:rPr>
            </w:pPr>
            <w:r w:rsidRPr="00C70473">
              <w:rPr>
                <w:sz w:val="20"/>
                <w:szCs w:val="20"/>
              </w:rPr>
              <w:t xml:space="preserve">Achieved: </w:t>
            </w:r>
            <w:r w:rsidRPr="00C70473">
              <w:rPr>
                <w:bCs/>
                <w:sz w:val="20"/>
                <w:szCs w:val="20"/>
              </w:rPr>
              <w:t>22.75% (30 746 from a total of 135 147)</w:t>
            </w:r>
          </w:p>
          <w:p w:rsidR="00587F48" w:rsidRPr="00C70473" w:rsidRDefault="00587F48" w:rsidP="00C70473">
            <w:pPr>
              <w:pStyle w:val="Default"/>
              <w:numPr>
                <w:ilvl w:val="0"/>
                <w:numId w:val="82"/>
              </w:numPr>
              <w:ind w:left="260" w:hanging="260"/>
              <w:rPr>
                <w:sz w:val="20"/>
                <w:szCs w:val="20"/>
              </w:rPr>
            </w:pPr>
            <w:r w:rsidRPr="00C70473">
              <w:rPr>
                <w:bCs/>
                <w:sz w:val="20"/>
                <w:szCs w:val="20"/>
              </w:rPr>
              <w:t>Deviation: -52.25% points</w:t>
            </w:r>
          </w:p>
          <w:p w:rsidR="00587F48" w:rsidRPr="00C70473" w:rsidRDefault="00587F48" w:rsidP="00C70473">
            <w:pPr>
              <w:autoSpaceDE w:val="0"/>
              <w:autoSpaceDN w:val="0"/>
              <w:adjustRightInd w:val="0"/>
              <w:rPr>
                <w:rFonts w:ascii="Arial" w:hAnsi="Arial" w:cs="Arial"/>
                <w:color w:val="000000"/>
                <w:sz w:val="20"/>
                <w:szCs w:val="20"/>
                <w:lang w:eastAsia="en-ZA"/>
              </w:rPr>
            </w:pPr>
          </w:p>
          <w:p w:rsidR="00587F48" w:rsidRPr="00C70473" w:rsidRDefault="00587F48" w:rsidP="00C70473">
            <w:pPr>
              <w:autoSpaceDE w:val="0"/>
              <w:autoSpaceDN w:val="0"/>
              <w:adjustRightInd w:val="0"/>
              <w:rPr>
                <w:rFonts w:ascii="Arial" w:hAnsi="Arial" w:cs="Arial"/>
                <w:b/>
                <w:color w:val="000000"/>
                <w:sz w:val="20"/>
                <w:szCs w:val="20"/>
                <w:lang w:eastAsia="en-ZA"/>
              </w:rPr>
            </w:pPr>
            <w:r w:rsidRPr="00C70473">
              <w:rPr>
                <w:rFonts w:ascii="Arial" w:hAnsi="Arial" w:cs="Arial"/>
                <w:b/>
                <w:color w:val="000000"/>
                <w:sz w:val="20"/>
                <w:szCs w:val="20"/>
                <w:lang w:eastAsia="en-ZA"/>
              </w:rPr>
              <w:t xml:space="preserve">Reason for deviation: </w:t>
            </w:r>
          </w:p>
          <w:p w:rsidR="00587F48" w:rsidRPr="00C70473" w:rsidRDefault="00587F48" w:rsidP="00C70473">
            <w:pPr>
              <w:pStyle w:val="ListParagraph"/>
              <w:numPr>
                <w:ilvl w:val="0"/>
                <w:numId w:val="95"/>
              </w:numPr>
              <w:autoSpaceDE w:val="0"/>
              <w:autoSpaceDN w:val="0"/>
              <w:adjustRightInd w:val="0"/>
              <w:spacing w:after="0" w:line="240" w:lineRule="auto"/>
              <w:ind w:left="455" w:hanging="283"/>
              <w:rPr>
                <w:rFonts w:ascii="Arial" w:hAnsi="Arial" w:cs="Arial"/>
                <w:sz w:val="20"/>
                <w:szCs w:val="20"/>
              </w:rPr>
            </w:pPr>
            <w:r w:rsidRPr="00C70473">
              <w:rPr>
                <w:rFonts w:ascii="Arial" w:hAnsi="Arial" w:cs="Arial"/>
                <w:sz w:val="20"/>
                <w:szCs w:val="20"/>
              </w:rPr>
              <w:t>The lack of maintenance on infrastructure/building by the DPWI, especially on environmental conditions, good laboratory and building-related equipment contributed to the underperformance, e.g. air conditioner equipment not repaired in time.</w:t>
            </w:r>
          </w:p>
          <w:p w:rsidR="00587F48" w:rsidRPr="00C70473" w:rsidRDefault="00587F48" w:rsidP="00C70473">
            <w:pPr>
              <w:pStyle w:val="ListParagraph"/>
              <w:autoSpaceDE w:val="0"/>
              <w:autoSpaceDN w:val="0"/>
              <w:adjustRightInd w:val="0"/>
              <w:spacing w:after="0" w:line="240" w:lineRule="auto"/>
              <w:ind w:left="455"/>
              <w:rPr>
                <w:rFonts w:ascii="Arial" w:hAnsi="Arial" w:cs="Arial"/>
                <w:sz w:val="20"/>
                <w:szCs w:val="20"/>
              </w:rPr>
            </w:pPr>
          </w:p>
          <w:p w:rsidR="00587F48" w:rsidRPr="00C70473" w:rsidRDefault="00587F48" w:rsidP="00C70473">
            <w:pPr>
              <w:pStyle w:val="ListParagraph"/>
              <w:numPr>
                <w:ilvl w:val="0"/>
                <w:numId w:val="95"/>
              </w:numPr>
              <w:autoSpaceDE w:val="0"/>
              <w:autoSpaceDN w:val="0"/>
              <w:adjustRightInd w:val="0"/>
              <w:spacing w:after="0" w:line="240" w:lineRule="auto"/>
              <w:ind w:left="455" w:hanging="283"/>
              <w:rPr>
                <w:rFonts w:ascii="Arial" w:hAnsi="Arial" w:cs="Arial"/>
                <w:sz w:val="20"/>
                <w:szCs w:val="20"/>
              </w:rPr>
            </w:pPr>
            <w:r w:rsidRPr="00C70473">
              <w:rPr>
                <w:rFonts w:ascii="Arial" w:hAnsi="Arial" w:cs="Arial"/>
                <w:sz w:val="20"/>
                <w:szCs w:val="20"/>
              </w:rPr>
              <w:t>High volumes of backlogs generated, during 2019, owing to the lack of consumables and maintenance contracts.</w:t>
            </w:r>
          </w:p>
          <w:p w:rsidR="00587F48" w:rsidRPr="00C70473" w:rsidRDefault="00587F48" w:rsidP="00C70473">
            <w:pPr>
              <w:autoSpaceDE w:val="0"/>
              <w:autoSpaceDN w:val="0"/>
              <w:adjustRightInd w:val="0"/>
              <w:rPr>
                <w:rFonts w:ascii="Arial" w:hAnsi="Arial" w:cs="Arial"/>
                <w:sz w:val="20"/>
                <w:szCs w:val="20"/>
              </w:rPr>
            </w:pPr>
          </w:p>
          <w:p w:rsidR="00587F48" w:rsidRPr="00C70473" w:rsidRDefault="00587F48" w:rsidP="00C70473">
            <w:pPr>
              <w:pStyle w:val="ListParagraph"/>
              <w:numPr>
                <w:ilvl w:val="0"/>
                <w:numId w:val="95"/>
              </w:numPr>
              <w:autoSpaceDE w:val="0"/>
              <w:autoSpaceDN w:val="0"/>
              <w:adjustRightInd w:val="0"/>
              <w:spacing w:after="0" w:line="240" w:lineRule="auto"/>
              <w:ind w:left="455" w:hanging="283"/>
              <w:rPr>
                <w:rFonts w:ascii="Arial" w:hAnsi="Arial" w:cs="Arial"/>
                <w:sz w:val="20"/>
                <w:szCs w:val="20"/>
              </w:rPr>
            </w:pPr>
            <w:r w:rsidRPr="00C70473">
              <w:rPr>
                <w:rFonts w:ascii="Arial" w:hAnsi="Arial" w:cs="Arial"/>
                <w:sz w:val="20"/>
                <w:szCs w:val="20"/>
              </w:rPr>
              <w:t>Periodic flooding at the laboratory, in KwaZulu-Natal impacted negatively on performance and service delivery.</w:t>
            </w:r>
          </w:p>
          <w:p w:rsidR="00587F48" w:rsidRPr="00C70473" w:rsidRDefault="00587F48" w:rsidP="00C70473">
            <w:pPr>
              <w:autoSpaceDE w:val="0"/>
              <w:autoSpaceDN w:val="0"/>
              <w:adjustRightInd w:val="0"/>
              <w:rPr>
                <w:rFonts w:ascii="Arial" w:hAnsi="Arial" w:cs="Arial"/>
                <w:color w:val="000000"/>
                <w:sz w:val="20"/>
                <w:szCs w:val="20"/>
                <w:lang w:eastAsia="en-ZA"/>
              </w:rPr>
            </w:pPr>
          </w:p>
        </w:tc>
        <w:tc>
          <w:tcPr>
            <w:tcW w:w="3005" w:type="dxa"/>
            <w:shd w:val="clear" w:color="auto" w:fill="auto"/>
          </w:tcPr>
          <w:p w:rsidR="00587F48" w:rsidRPr="00C70473" w:rsidRDefault="00587F48" w:rsidP="00C70473">
            <w:pPr>
              <w:pStyle w:val="Default"/>
              <w:rPr>
                <w:sz w:val="20"/>
                <w:szCs w:val="20"/>
              </w:rPr>
            </w:pPr>
            <w:r w:rsidRPr="00C70473">
              <w:rPr>
                <w:sz w:val="20"/>
                <w:szCs w:val="20"/>
              </w:rPr>
              <w:t xml:space="preserve">Percentage of case exhibits (entries) not yet finalised exceeding the prescribed time frame </w:t>
            </w:r>
          </w:p>
          <w:p w:rsidR="00587F48" w:rsidRPr="00C70473" w:rsidRDefault="00587F48" w:rsidP="00C70473">
            <w:pPr>
              <w:pStyle w:val="Default"/>
              <w:numPr>
                <w:ilvl w:val="0"/>
                <w:numId w:val="81"/>
              </w:numPr>
              <w:ind w:left="283" w:hanging="283"/>
              <w:rPr>
                <w:sz w:val="20"/>
                <w:szCs w:val="20"/>
              </w:rPr>
            </w:pPr>
            <w:r w:rsidRPr="00C70473">
              <w:rPr>
                <w:bCs/>
                <w:sz w:val="20"/>
                <w:szCs w:val="20"/>
              </w:rPr>
              <w:t xml:space="preserve">Target: </w:t>
            </w:r>
            <w:r w:rsidRPr="00C70473">
              <w:rPr>
                <w:b/>
                <w:bCs/>
                <w:sz w:val="20"/>
                <w:szCs w:val="20"/>
              </w:rPr>
              <w:t>Backlog</w:t>
            </w:r>
            <w:r w:rsidRPr="00C70473">
              <w:rPr>
                <w:bCs/>
                <w:sz w:val="20"/>
                <w:szCs w:val="20"/>
              </w:rPr>
              <w:t xml:space="preserve"> not exceeding 10% of registered case exhibits (entries) </w:t>
            </w:r>
          </w:p>
          <w:p w:rsidR="00587F48" w:rsidRPr="00C70473" w:rsidRDefault="00587F48" w:rsidP="00C70473">
            <w:pPr>
              <w:pStyle w:val="Default"/>
              <w:numPr>
                <w:ilvl w:val="0"/>
                <w:numId w:val="81"/>
              </w:numPr>
              <w:ind w:left="283" w:hanging="283"/>
              <w:rPr>
                <w:sz w:val="20"/>
                <w:szCs w:val="20"/>
              </w:rPr>
            </w:pPr>
            <w:r w:rsidRPr="00C70473">
              <w:rPr>
                <w:sz w:val="20"/>
                <w:szCs w:val="20"/>
              </w:rPr>
              <w:t>Achieved: 57.46</w:t>
            </w:r>
            <w:r w:rsidRPr="00C70473">
              <w:rPr>
                <w:bCs/>
                <w:sz w:val="20"/>
                <w:szCs w:val="20"/>
              </w:rPr>
              <w:t xml:space="preserve">% (308 186 from a total of 536 350) </w:t>
            </w:r>
          </w:p>
          <w:p w:rsidR="00587F48" w:rsidRPr="00C70473" w:rsidRDefault="00587F48" w:rsidP="00C70473">
            <w:pPr>
              <w:pStyle w:val="Default"/>
              <w:numPr>
                <w:ilvl w:val="0"/>
                <w:numId w:val="81"/>
              </w:numPr>
              <w:ind w:left="283" w:hanging="283"/>
              <w:rPr>
                <w:sz w:val="20"/>
                <w:szCs w:val="20"/>
              </w:rPr>
            </w:pPr>
            <w:r w:rsidRPr="00C70473">
              <w:rPr>
                <w:bCs/>
                <w:sz w:val="20"/>
                <w:szCs w:val="20"/>
              </w:rPr>
              <w:t>Deviation: -47.46% points</w:t>
            </w:r>
          </w:p>
          <w:p w:rsidR="00587F48" w:rsidRPr="00C70473" w:rsidRDefault="00587F48" w:rsidP="00C70473">
            <w:pPr>
              <w:pStyle w:val="Default"/>
              <w:rPr>
                <w:bCs/>
                <w:sz w:val="20"/>
                <w:szCs w:val="20"/>
              </w:rPr>
            </w:pPr>
          </w:p>
          <w:p w:rsidR="00587F48" w:rsidRPr="00C70473" w:rsidRDefault="00587F48" w:rsidP="00C70473">
            <w:pPr>
              <w:autoSpaceDE w:val="0"/>
              <w:autoSpaceDN w:val="0"/>
              <w:adjustRightInd w:val="0"/>
              <w:rPr>
                <w:rFonts w:ascii="Arial" w:hAnsi="Arial" w:cs="Arial"/>
                <w:b/>
                <w:color w:val="000000"/>
                <w:sz w:val="20"/>
                <w:szCs w:val="20"/>
                <w:lang w:eastAsia="en-ZA"/>
              </w:rPr>
            </w:pPr>
            <w:r w:rsidRPr="00C70473">
              <w:rPr>
                <w:rFonts w:ascii="Arial" w:hAnsi="Arial" w:cs="Arial"/>
                <w:b/>
                <w:color w:val="000000"/>
                <w:sz w:val="20"/>
                <w:szCs w:val="20"/>
                <w:lang w:eastAsia="en-ZA"/>
              </w:rPr>
              <w:t xml:space="preserve">Reason for deviation: </w:t>
            </w:r>
          </w:p>
          <w:p w:rsidR="00587F48" w:rsidRPr="00C70473" w:rsidRDefault="00587F48" w:rsidP="00C70473">
            <w:pPr>
              <w:pStyle w:val="ListParagraph"/>
              <w:numPr>
                <w:ilvl w:val="0"/>
                <w:numId w:val="96"/>
              </w:numPr>
              <w:autoSpaceDE w:val="0"/>
              <w:autoSpaceDN w:val="0"/>
              <w:adjustRightInd w:val="0"/>
              <w:spacing w:after="0" w:line="240" w:lineRule="auto"/>
              <w:ind w:left="259" w:hanging="259"/>
              <w:rPr>
                <w:rFonts w:ascii="Arial" w:hAnsi="Arial" w:cs="Arial"/>
                <w:sz w:val="20"/>
                <w:szCs w:val="20"/>
              </w:rPr>
            </w:pPr>
            <w:r w:rsidRPr="00C70473">
              <w:rPr>
                <w:rFonts w:ascii="Arial" w:hAnsi="Arial" w:cs="Arial"/>
                <w:sz w:val="20"/>
                <w:szCs w:val="20"/>
              </w:rPr>
              <w:t>The lack of maintenance on infrastructure/building by the DPWI, especially on environmental conditions, good laboratory and building-related equipment contributed to the underperformance, e.g. air conditioner equipment not repaired in time.</w:t>
            </w:r>
          </w:p>
          <w:p w:rsidR="00587F48" w:rsidRPr="00C70473" w:rsidRDefault="00587F48" w:rsidP="00C70473">
            <w:pPr>
              <w:autoSpaceDE w:val="0"/>
              <w:autoSpaceDN w:val="0"/>
              <w:adjustRightInd w:val="0"/>
              <w:rPr>
                <w:rFonts w:ascii="Arial" w:hAnsi="Arial" w:cs="Arial"/>
                <w:sz w:val="20"/>
                <w:szCs w:val="20"/>
              </w:rPr>
            </w:pPr>
          </w:p>
          <w:p w:rsidR="00587F48" w:rsidRPr="00C70473" w:rsidRDefault="00587F48" w:rsidP="00C70473">
            <w:pPr>
              <w:pStyle w:val="ListParagraph"/>
              <w:numPr>
                <w:ilvl w:val="0"/>
                <w:numId w:val="96"/>
              </w:numPr>
              <w:autoSpaceDE w:val="0"/>
              <w:autoSpaceDN w:val="0"/>
              <w:adjustRightInd w:val="0"/>
              <w:spacing w:after="0" w:line="240" w:lineRule="auto"/>
              <w:ind w:left="259" w:hanging="259"/>
              <w:rPr>
                <w:rFonts w:ascii="Arial" w:hAnsi="Arial" w:cs="Arial"/>
                <w:sz w:val="20"/>
                <w:szCs w:val="20"/>
              </w:rPr>
            </w:pPr>
            <w:r w:rsidRPr="00C70473">
              <w:rPr>
                <w:rFonts w:ascii="Arial" w:hAnsi="Arial" w:cs="Arial"/>
                <w:sz w:val="20"/>
                <w:szCs w:val="20"/>
              </w:rPr>
              <w:t>High volumes of backlogs generated, during 2019, owing to the lack of consumables and maintenance contracts.</w:t>
            </w:r>
          </w:p>
          <w:p w:rsidR="00587F48" w:rsidRPr="00C70473" w:rsidRDefault="00587F48" w:rsidP="00C70473">
            <w:pPr>
              <w:autoSpaceDE w:val="0"/>
              <w:autoSpaceDN w:val="0"/>
              <w:adjustRightInd w:val="0"/>
              <w:rPr>
                <w:rFonts w:ascii="Arial" w:hAnsi="Arial" w:cs="Arial"/>
                <w:sz w:val="20"/>
                <w:szCs w:val="20"/>
              </w:rPr>
            </w:pPr>
          </w:p>
          <w:p w:rsidR="00587F48" w:rsidRPr="00C70473" w:rsidRDefault="00587F48" w:rsidP="00C70473">
            <w:pPr>
              <w:pStyle w:val="ListParagraph"/>
              <w:numPr>
                <w:ilvl w:val="0"/>
                <w:numId w:val="96"/>
              </w:numPr>
              <w:autoSpaceDE w:val="0"/>
              <w:autoSpaceDN w:val="0"/>
              <w:adjustRightInd w:val="0"/>
              <w:spacing w:after="0" w:line="240" w:lineRule="auto"/>
              <w:ind w:left="259" w:hanging="259"/>
              <w:rPr>
                <w:rFonts w:ascii="Arial" w:hAnsi="Arial" w:cs="Arial"/>
                <w:sz w:val="20"/>
                <w:szCs w:val="20"/>
              </w:rPr>
            </w:pPr>
            <w:r w:rsidRPr="00C70473">
              <w:rPr>
                <w:rFonts w:ascii="Arial" w:hAnsi="Arial" w:cs="Arial"/>
                <w:sz w:val="20"/>
                <w:szCs w:val="20"/>
              </w:rPr>
              <w:t>Periodic flooding at the laboratory, in KwaZulu-Natal impacted negatively on performance and service delivery.</w:t>
            </w:r>
          </w:p>
          <w:p w:rsidR="00587F48" w:rsidRPr="00C70473" w:rsidRDefault="00587F48" w:rsidP="00C70473">
            <w:pPr>
              <w:autoSpaceDE w:val="0"/>
              <w:autoSpaceDN w:val="0"/>
              <w:adjustRightInd w:val="0"/>
              <w:rPr>
                <w:rFonts w:ascii="Arial" w:hAnsi="Arial" w:cs="Arial"/>
                <w:sz w:val="20"/>
                <w:szCs w:val="20"/>
              </w:rPr>
            </w:pPr>
          </w:p>
        </w:tc>
        <w:tc>
          <w:tcPr>
            <w:tcW w:w="3006" w:type="dxa"/>
          </w:tcPr>
          <w:p w:rsidR="00587F48" w:rsidRPr="00C70473" w:rsidRDefault="00587F48" w:rsidP="00C70473">
            <w:pPr>
              <w:pStyle w:val="Default"/>
              <w:rPr>
                <w:sz w:val="20"/>
                <w:szCs w:val="20"/>
              </w:rPr>
            </w:pPr>
            <w:r w:rsidRPr="00C70473">
              <w:rPr>
                <w:sz w:val="20"/>
                <w:szCs w:val="20"/>
              </w:rPr>
              <w:t xml:space="preserve">Percentage of </w:t>
            </w:r>
            <w:r w:rsidRPr="00C70473">
              <w:rPr>
                <w:b/>
                <w:sz w:val="20"/>
                <w:szCs w:val="20"/>
              </w:rPr>
              <w:t>non-routine</w:t>
            </w:r>
            <w:r w:rsidRPr="00C70473">
              <w:rPr>
                <w:sz w:val="20"/>
                <w:szCs w:val="20"/>
              </w:rPr>
              <w:t xml:space="preserve"> case exhibits (entries) finalised </w:t>
            </w:r>
          </w:p>
          <w:p w:rsidR="00587F48" w:rsidRPr="00C70473" w:rsidRDefault="00587F48" w:rsidP="00C70473">
            <w:pPr>
              <w:pStyle w:val="Default"/>
              <w:numPr>
                <w:ilvl w:val="0"/>
                <w:numId w:val="82"/>
              </w:numPr>
              <w:ind w:left="260" w:hanging="260"/>
              <w:rPr>
                <w:sz w:val="20"/>
                <w:szCs w:val="20"/>
              </w:rPr>
            </w:pPr>
            <w:r w:rsidRPr="00C70473">
              <w:rPr>
                <w:bCs/>
                <w:sz w:val="20"/>
                <w:szCs w:val="20"/>
              </w:rPr>
              <w:t>Target: 70,00% within 113 calendar days</w:t>
            </w:r>
          </w:p>
          <w:p w:rsidR="00587F48" w:rsidRPr="00C70473" w:rsidRDefault="00587F48" w:rsidP="00C70473">
            <w:pPr>
              <w:pStyle w:val="Default"/>
              <w:numPr>
                <w:ilvl w:val="0"/>
                <w:numId w:val="82"/>
              </w:numPr>
              <w:ind w:left="260" w:hanging="260"/>
              <w:rPr>
                <w:sz w:val="20"/>
                <w:szCs w:val="20"/>
              </w:rPr>
            </w:pPr>
            <w:r w:rsidRPr="00C70473">
              <w:rPr>
                <w:sz w:val="20"/>
                <w:szCs w:val="20"/>
              </w:rPr>
              <w:t xml:space="preserve">Achieved: </w:t>
            </w:r>
            <w:r w:rsidRPr="00C70473">
              <w:rPr>
                <w:bCs/>
                <w:sz w:val="20"/>
                <w:szCs w:val="20"/>
              </w:rPr>
              <w:t>51.38% (2 042 from a total of 3 974)</w:t>
            </w:r>
          </w:p>
          <w:p w:rsidR="00587F48" w:rsidRPr="00C70473" w:rsidRDefault="00587F48" w:rsidP="00C70473">
            <w:pPr>
              <w:pStyle w:val="Default"/>
              <w:numPr>
                <w:ilvl w:val="0"/>
                <w:numId w:val="82"/>
              </w:numPr>
              <w:ind w:left="260" w:hanging="260"/>
              <w:rPr>
                <w:sz w:val="20"/>
                <w:szCs w:val="20"/>
              </w:rPr>
            </w:pPr>
            <w:r w:rsidRPr="00C70473">
              <w:rPr>
                <w:bCs/>
                <w:sz w:val="20"/>
                <w:szCs w:val="20"/>
              </w:rPr>
              <w:t>Deviation: -18.62% points</w:t>
            </w:r>
          </w:p>
          <w:p w:rsidR="00587F48" w:rsidRPr="00C70473" w:rsidRDefault="00587F48" w:rsidP="00C70473">
            <w:pPr>
              <w:rPr>
                <w:rFonts w:ascii="Arial" w:hAnsi="Arial" w:cs="Arial"/>
                <w:sz w:val="20"/>
                <w:szCs w:val="20"/>
              </w:rPr>
            </w:pPr>
          </w:p>
          <w:p w:rsidR="00587F48" w:rsidRPr="00C70473" w:rsidRDefault="00587F48" w:rsidP="00C70473">
            <w:pPr>
              <w:autoSpaceDE w:val="0"/>
              <w:autoSpaceDN w:val="0"/>
              <w:adjustRightInd w:val="0"/>
              <w:rPr>
                <w:rFonts w:ascii="Arial" w:hAnsi="Arial" w:cs="Arial"/>
                <w:b/>
                <w:color w:val="000000"/>
                <w:sz w:val="20"/>
                <w:szCs w:val="20"/>
                <w:lang w:eastAsia="en-ZA"/>
              </w:rPr>
            </w:pPr>
            <w:r w:rsidRPr="00C70473">
              <w:rPr>
                <w:rFonts w:ascii="Arial" w:hAnsi="Arial" w:cs="Arial"/>
                <w:b/>
                <w:color w:val="000000"/>
                <w:sz w:val="20"/>
                <w:szCs w:val="20"/>
                <w:lang w:eastAsia="en-ZA"/>
              </w:rPr>
              <w:t xml:space="preserve">Reason for deviation: </w:t>
            </w:r>
          </w:p>
          <w:p w:rsidR="00587F48" w:rsidRPr="00C70473" w:rsidRDefault="00587F48" w:rsidP="00C70473">
            <w:pPr>
              <w:pStyle w:val="ListParagraph"/>
              <w:numPr>
                <w:ilvl w:val="0"/>
                <w:numId w:val="96"/>
              </w:numPr>
              <w:autoSpaceDE w:val="0"/>
              <w:autoSpaceDN w:val="0"/>
              <w:adjustRightInd w:val="0"/>
              <w:spacing w:after="0" w:line="240" w:lineRule="auto"/>
              <w:ind w:left="259" w:hanging="259"/>
              <w:rPr>
                <w:rFonts w:ascii="Arial" w:hAnsi="Arial" w:cs="Arial"/>
                <w:sz w:val="20"/>
                <w:szCs w:val="20"/>
              </w:rPr>
            </w:pPr>
            <w:r w:rsidRPr="00C70473">
              <w:rPr>
                <w:rFonts w:ascii="Arial" w:hAnsi="Arial" w:cs="Arial"/>
                <w:sz w:val="20"/>
                <w:szCs w:val="20"/>
              </w:rPr>
              <w:t>The lack of maintenance on infrastructure/building by the DPWI, especially on environmental conditions, good laboratory and building-related equipment contributed to the underperformance, e.g. air conditioner equipment not repaired in time.</w:t>
            </w:r>
          </w:p>
          <w:p w:rsidR="00587F48" w:rsidRPr="00C70473" w:rsidRDefault="00587F48" w:rsidP="00C70473">
            <w:pPr>
              <w:autoSpaceDE w:val="0"/>
              <w:autoSpaceDN w:val="0"/>
              <w:adjustRightInd w:val="0"/>
              <w:rPr>
                <w:rFonts w:ascii="Arial" w:hAnsi="Arial" w:cs="Arial"/>
                <w:sz w:val="20"/>
                <w:szCs w:val="20"/>
              </w:rPr>
            </w:pPr>
          </w:p>
          <w:p w:rsidR="00587F48" w:rsidRPr="00C70473" w:rsidRDefault="00587F48" w:rsidP="00C70473">
            <w:pPr>
              <w:pStyle w:val="ListParagraph"/>
              <w:numPr>
                <w:ilvl w:val="0"/>
                <w:numId w:val="96"/>
              </w:numPr>
              <w:autoSpaceDE w:val="0"/>
              <w:autoSpaceDN w:val="0"/>
              <w:adjustRightInd w:val="0"/>
              <w:spacing w:after="0" w:line="240" w:lineRule="auto"/>
              <w:ind w:left="259" w:hanging="259"/>
              <w:rPr>
                <w:rFonts w:ascii="Arial" w:hAnsi="Arial" w:cs="Arial"/>
                <w:sz w:val="20"/>
                <w:szCs w:val="20"/>
              </w:rPr>
            </w:pPr>
            <w:r w:rsidRPr="00C70473">
              <w:rPr>
                <w:rFonts w:ascii="Arial" w:hAnsi="Arial" w:cs="Arial"/>
                <w:sz w:val="20"/>
                <w:szCs w:val="20"/>
              </w:rPr>
              <w:t>High volumes of backlogs generated, during 2019, owing to the lack of consumables and maintenance contracts.</w:t>
            </w:r>
          </w:p>
          <w:p w:rsidR="00587F48" w:rsidRPr="00C70473" w:rsidRDefault="00587F48" w:rsidP="00C70473">
            <w:pPr>
              <w:autoSpaceDE w:val="0"/>
              <w:autoSpaceDN w:val="0"/>
              <w:adjustRightInd w:val="0"/>
              <w:rPr>
                <w:rFonts w:ascii="Arial" w:hAnsi="Arial" w:cs="Arial"/>
                <w:sz w:val="20"/>
                <w:szCs w:val="20"/>
              </w:rPr>
            </w:pPr>
          </w:p>
          <w:p w:rsidR="00587F48" w:rsidRPr="00C70473" w:rsidRDefault="00587F48" w:rsidP="00C70473">
            <w:pPr>
              <w:pStyle w:val="ListParagraph"/>
              <w:numPr>
                <w:ilvl w:val="0"/>
                <w:numId w:val="96"/>
              </w:numPr>
              <w:autoSpaceDE w:val="0"/>
              <w:autoSpaceDN w:val="0"/>
              <w:adjustRightInd w:val="0"/>
              <w:spacing w:after="0" w:line="240" w:lineRule="auto"/>
              <w:ind w:left="259" w:hanging="259"/>
              <w:rPr>
                <w:rFonts w:ascii="Arial" w:hAnsi="Arial" w:cs="Arial"/>
                <w:sz w:val="20"/>
                <w:szCs w:val="20"/>
              </w:rPr>
            </w:pPr>
            <w:r w:rsidRPr="00C70473">
              <w:rPr>
                <w:rFonts w:ascii="Arial" w:hAnsi="Arial" w:cs="Arial"/>
                <w:sz w:val="20"/>
                <w:szCs w:val="20"/>
              </w:rPr>
              <w:t>Periodic flooding at the laboratory, in KwaZulu-Natal impacted negatively on performance and service delivery.</w:t>
            </w:r>
          </w:p>
        </w:tc>
      </w:tr>
      <w:tr w:rsidR="00587F48" w:rsidRPr="00C70473" w:rsidTr="00587F48">
        <w:tc>
          <w:tcPr>
            <w:tcW w:w="3005" w:type="dxa"/>
          </w:tcPr>
          <w:p w:rsidR="00587F48" w:rsidRPr="00C70473" w:rsidRDefault="00587F48" w:rsidP="00C70473">
            <w:pPr>
              <w:autoSpaceDE w:val="0"/>
              <w:autoSpaceDN w:val="0"/>
              <w:adjustRightInd w:val="0"/>
              <w:rPr>
                <w:rFonts w:ascii="Arial" w:hAnsi="Arial" w:cs="Arial"/>
                <w:color w:val="000000"/>
                <w:sz w:val="20"/>
                <w:szCs w:val="20"/>
                <w:lang w:eastAsia="en-ZA"/>
              </w:rPr>
            </w:pPr>
            <w:r w:rsidRPr="00C70473">
              <w:rPr>
                <w:rFonts w:ascii="Arial" w:hAnsi="Arial" w:cs="Arial"/>
                <w:color w:val="000000"/>
                <w:sz w:val="20"/>
                <w:szCs w:val="20"/>
                <w:lang w:eastAsia="en-ZA"/>
              </w:rPr>
              <w:t xml:space="preserve">Percentage of </w:t>
            </w:r>
            <w:r w:rsidRPr="00C70473">
              <w:rPr>
                <w:rFonts w:ascii="Arial" w:hAnsi="Arial" w:cs="Arial"/>
                <w:b/>
                <w:color w:val="000000"/>
                <w:sz w:val="20"/>
                <w:szCs w:val="20"/>
                <w:lang w:eastAsia="en-ZA"/>
              </w:rPr>
              <w:t>Ballistics Intelligence</w:t>
            </w:r>
            <w:r w:rsidRPr="00C70473">
              <w:rPr>
                <w:rFonts w:ascii="Arial" w:hAnsi="Arial" w:cs="Arial"/>
                <w:color w:val="000000"/>
                <w:sz w:val="20"/>
                <w:szCs w:val="20"/>
                <w:lang w:eastAsia="en-ZA"/>
              </w:rPr>
              <w:t xml:space="preserve"> (IBIS) case exhibits (entries) finalised </w:t>
            </w:r>
          </w:p>
          <w:p w:rsidR="00587F48" w:rsidRPr="00C70473" w:rsidRDefault="00587F48" w:rsidP="00C70473">
            <w:pPr>
              <w:pStyle w:val="ListParagraph"/>
              <w:numPr>
                <w:ilvl w:val="0"/>
                <w:numId w:val="83"/>
              </w:numPr>
              <w:autoSpaceDE w:val="0"/>
              <w:autoSpaceDN w:val="0"/>
              <w:adjustRightInd w:val="0"/>
              <w:spacing w:after="0" w:line="240" w:lineRule="auto"/>
              <w:ind w:left="319" w:hanging="284"/>
              <w:rPr>
                <w:rFonts w:ascii="Arial" w:hAnsi="Arial" w:cs="Arial"/>
                <w:color w:val="000000"/>
                <w:sz w:val="20"/>
                <w:szCs w:val="20"/>
                <w:lang w:eastAsia="en-ZA"/>
              </w:rPr>
            </w:pPr>
            <w:r w:rsidRPr="00C70473">
              <w:rPr>
                <w:rFonts w:ascii="Arial" w:hAnsi="Arial" w:cs="Arial"/>
                <w:bCs/>
                <w:color w:val="000000"/>
                <w:sz w:val="20"/>
                <w:szCs w:val="20"/>
                <w:lang w:eastAsia="en-ZA"/>
              </w:rPr>
              <w:t>Target: 95,00% within 35 calendar days</w:t>
            </w:r>
            <w:r w:rsidRPr="00C70473">
              <w:rPr>
                <w:rFonts w:ascii="Arial" w:hAnsi="Arial" w:cs="Arial"/>
                <w:color w:val="000000"/>
                <w:sz w:val="20"/>
                <w:szCs w:val="20"/>
                <w:lang w:eastAsia="en-ZA"/>
              </w:rPr>
              <w:t xml:space="preserve"> </w:t>
            </w:r>
          </w:p>
          <w:p w:rsidR="00587F48" w:rsidRPr="00C70473" w:rsidRDefault="00587F48" w:rsidP="00C70473">
            <w:pPr>
              <w:pStyle w:val="ListParagraph"/>
              <w:numPr>
                <w:ilvl w:val="0"/>
                <w:numId w:val="83"/>
              </w:numPr>
              <w:autoSpaceDE w:val="0"/>
              <w:autoSpaceDN w:val="0"/>
              <w:adjustRightInd w:val="0"/>
              <w:spacing w:after="0" w:line="240" w:lineRule="auto"/>
              <w:ind w:left="319" w:hanging="284"/>
              <w:rPr>
                <w:rFonts w:ascii="Arial" w:hAnsi="Arial" w:cs="Arial"/>
                <w:color w:val="000000"/>
                <w:sz w:val="20"/>
                <w:szCs w:val="20"/>
                <w:lang w:eastAsia="en-ZA"/>
              </w:rPr>
            </w:pPr>
            <w:r w:rsidRPr="00C70473">
              <w:rPr>
                <w:rFonts w:ascii="Arial" w:hAnsi="Arial" w:cs="Arial"/>
                <w:color w:val="000000"/>
                <w:sz w:val="20"/>
                <w:szCs w:val="20"/>
                <w:lang w:eastAsia="en-ZA"/>
              </w:rPr>
              <w:t>Achieved: 91.16% (59 659 from a total of 65 441)</w:t>
            </w:r>
          </w:p>
          <w:p w:rsidR="00587F48" w:rsidRPr="00C70473" w:rsidRDefault="00587F48" w:rsidP="00C70473">
            <w:pPr>
              <w:pStyle w:val="ListParagraph"/>
              <w:numPr>
                <w:ilvl w:val="0"/>
                <w:numId w:val="83"/>
              </w:numPr>
              <w:autoSpaceDE w:val="0"/>
              <w:autoSpaceDN w:val="0"/>
              <w:adjustRightInd w:val="0"/>
              <w:spacing w:after="0" w:line="240" w:lineRule="auto"/>
              <w:ind w:left="319" w:hanging="284"/>
              <w:rPr>
                <w:rFonts w:ascii="Arial" w:hAnsi="Arial" w:cs="Arial"/>
                <w:color w:val="000000"/>
                <w:sz w:val="20"/>
                <w:szCs w:val="20"/>
                <w:lang w:eastAsia="en-ZA"/>
              </w:rPr>
            </w:pPr>
            <w:r w:rsidRPr="00C70473">
              <w:rPr>
                <w:rFonts w:ascii="Arial" w:hAnsi="Arial" w:cs="Arial"/>
                <w:color w:val="000000"/>
                <w:sz w:val="20"/>
                <w:szCs w:val="20"/>
                <w:lang w:eastAsia="en-ZA"/>
              </w:rPr>
              <w:t xml:space="preserve">Deviation: -3.84% points </w:t>
            </w:r>
          </w:p>
          <w:p w:rsidR="00587F48" w:rsidRPr="00C70473" w:rsidRDefault="00587F48" w:rsidP="00C70473">
            <w:pPr>
              <w:autoSpaceDE w:val="0"/>
              <w:autoSpaceDN w:val="0"/>
              <w:adjustRightInd w:val="0"/>
              <w:rPr>
                <w:rFonts w:ascii="Arial" w:hAnsi="Arial" w:cs="Arial"/>
                <w:color w:val="000000"/>
                <w:sz w:val="20"/>
                <w:szCs w:val="20"/>
                <w:lang w:eastAsia="en-ZA"/>
              </w:rPr>
            </w:pPr>
          </w:p>
          <w:p w:rsidR="00587F48" w:rsidRPr="00C70473" w:rsidRDefault="00587F48" w:rsidP="00C70473">
            <w:pPr>
              <w:autoSpaceDE w:val="0"/>
              <w:autoSpaceDN w:val="0"/>
              <w:adjustRightInd w:val="0"/>
              <w:rPr>
                <w:rFonts w:ascii="Arial" w:hAnsi="Arial" w:cs="Arial"/>
                <w:b/>
                <w:color w:val="000000"/>
                <w:sz w:val="20"/>
                <w:szCs w:val="20"/>
                <w:lang w:eastAsia="en-ZA"/>
              </w:rPr>
            </w:pPr>
            <w:r w:rsidRPr="00C70473">
              <w:rPr>
                <w:rFonts w:ascii="Arial" w:hAnsi="Arial" w:cs="Arial"/>
                <w:b/>
                <w:color w:val="000000"/>
                <w:sz w:val="20"/>
                <w:szCs w:val="20"/>
                <w:lang w:eastAsia="en-ZA"/>
              </w:rPr>
              <w:t xml:space="preserve">Reason for deviation: </w:t>
            </w:r>
          </w:p>
          <w:p w:rsidR="00587F48" w:rsidRPr="00C70473" w:rsidRDefault="00587F48" w:rsidP="00C70473">
            <w:pPr>
              <w:pStyle w:val="ListParagraph"/>
              <w:numPr>
                <w:ilvl w:val="0"/>
                <w:numId w:val="94"/>
              </w:numPr>
              <w:autoSpaceDE w:val="0"/>
              <w:autoSpaceDN w:val="0"/>
              <w:adjustRightInd w:val="0"/>
              <w:spacing w:after="0" w:line="240" w:lineRule="auto"/>
              <w:ind w:left="314" w:hanging="284"/>
              <w:rPr>
                <w:rFonts w:ascii="Arial" w:hAnsi="Arial" w:cs="Arial"/>
                <w:sz w:val="20"/>
                <w:szCs w:val="20"/>
              </w:rPr>
            </w:pPr>
            <w:r w:rsidRPr="00C70473">
              <w:rPr>
                <w:rFonts w:ascii="Arial" w:hAnsi="Arial" w:cs="Arial"/>
                <w:sz w:val="20"/>
                <w:szCs w:val="20"/>
              </w:rPr>
              <w:t xml:space="preserve">Lack of integration between the Starlab (DNA </w:t>
            </w:r>
            <w:r w:rsidRPr="00C70473">
              <w:rPr>
                <w:rFonts w:ascii="Arial" w:hAnsi="Arial" w:cs="Arial"/>
                <w:sz w:val="20"/>
                <w:szCs w:val="20"/>
              </w:rPr>
              <w:lastRenderedPageBreak/>
              <w:t>processing system) and the FSLAdmin System delayed the production output of the forensic product. The process is supposed to be an automated process. Assistance from the SAPS Technology Management Services and SITA was required, from time to time, to release the sample from Starlab, owing to the lack of integration.</w:t>
            </w:r>
          </w:p>
        </w:tc>
        <w:tc>
          <w:tcPr>
            <w:tcW w:w="3005" w:type="dxa"/>
            <w:shd w:val="clear" w:color="auto" w:fill="auto"/>
          </w:tcPr>
          <w:p w:rsidR="00587F48" w:rsidRPr="00C70473" w:rsidRDefault="00587F48" w:rsidP="00C70473">
            <w:pPr>
              <w:autoSpaceDE w:val="0"/>
              <w:autoSpaceDN w:val="0"/>
              <w:adjustRightInd w:val="0"/>
              <w:rPr>
                <w:rFonts w:ascii="Arial" w:hAnsi="Arial" w:cs="Arial"/>
                <w:color w:val="000000"/>
                <w:sz w:val="20"/>
                <w:szCs w:val="20"/>
                <w:lang w:eastAsia="en-ZA"/>
              </w:rPr>
            </w:pPr>
            <w:r w:rsidRPr="00C70473">
              <w:rPr>
                <w:rFonts w:ascii="Arial" w:hAnsi="Arial" w:cs="Arial"/>
                <w:color w:val="000000"/>
                <w:sz w:val="20"/>
                <w:szCs w:val="20"/>
                <w:lang w:eastAsia="en-ZA"/>
              </w:rPr>
              <w:lastRenderedPageBreak/>
              <w:t xml:space="preserve">Percentage of </w:t>
            </w:r>
            <w:r w:rsidRPr="00C70473">
              <w:rPr>
                <w:rFonts w:ascii="Arial" w:hAnsi="Arial" w:cs="Arial"/>
                <w:b/>
                <w:color w:val="000000"/>
                <w:sz w:val="20"/>
                <w:szCs w:val="20"/>
                <w:lang w:eastAsia="en-ZA"/>
              </w:rPr>
              <w:t>Biology DNA Intelligence</w:t>
            </w:r>
            <w:r w:rsidRPr="00C70473">
              <w:rPr>
                <w:rFonts w:ascii="Arial" w:hAnsi="Arial" w:cs="Arial"/>
                <w:color w:val="000000"/>
                <w:sz w:val="20"/>
                <w:szCs w:val="20"/>
                <w:lang w:eastAsia="en-ZA"/>
              </w:rPr>
              <w:t xml:space="preserve"> case exhibits (entries) finalised</w:t>
            </w:r>
          </w:p>
          <w:p w:rsidR="00587F48" w:rsidRPr="00C70473" w:rsidRDefault="00587F48" w:rsidP="00C70473">
            <w:pPr>
              <w:pStyle w:val="ListParagraph"/>
              <w:numPr>
                <w:ilvl w:val="0"/>
                <w:numId w:val="84"/>
              </w:numPr>
              <w:autoSpaceDE w:val="0"/>
              <w:autoSpaceDN w:val="0"/>
              <w:adjustRightInd w:val="0"/>
              <w:spacing w:after="0" w:line="240" w:lineRule="auto"/>
              <w:ind w:left="283" w:hanging="283"/>
              <w:rPr>
                <w:rFonts w:ascii="Arial" w:hAnsi="Arial" w:cs="Arial"/>
                <w:color w:val="000000"/>
                <w:sz w:val="20"/>
                <w:szCs w:val="20"/>
                <w:lang w:eastAsia="en-ZA"/>
              </w:rPr>
            </w:pPr>
            <w:r w:rsidRPr="00C70473">
              <w:rPr>
                <w:rFonts w:ascii="Arial" w:hAnsi="Arial" w:cs="Arial"/>
                <w:bCs/>
                <w:color w:val="000000"/>
                <w:sz w:val="20"/>
                <w:szCs w:val="20"/>
                <w:lang w:eastAsia="en-ZA"/>
              </w:rPr>
              <w:t>Target: 80,00% within 90 calendar days</w:t>
            </w:r>
            <w:r w:rsidRPr="00C70473">
              <w:rPr>
                <w:rFonts w:ascii="Arial" w:hAnsi="Arial" w:cs="Arial"/>
                <w:color w:val="000000"/>
                <w:sz w:val="20"/>
                <w:szCs w:val="20"/>
                <w:lang w:eastAsia="en-ZA"/>
              </w:rPr>
              <w:t xml:space="preserve"> </w:t>
            </w:r>
          </w:p>
          <w:p w:rsidR="00587F48" w:rsidRPr="00C70473" w:rsidRDefault="00587F48" w:rsidP="00C70473">
            <w:pPr>
              <w:pStyle w:val="ListParagraph"/>
              <w:numPr>
                <w:ilvl w:val="0"/>
                <w:numId w:val="84"/>
              </w:numPr>
              <w:autoSpaceDE w:val="0"/>
              <w:autoSpaceDN w:val="0"/>
              <w:adjustRightInd w:val="0"/>
              <w:spacing w:after="0" w:line="240" w:lineRule="auto"/>
              <w:ind w:left="283" w:hanging="283"/>
              <w:rPr>
                <w:rFonts w:ascii="Arial" w:hAnsi="Arial" w:cs="Arial"/>
                <w:color w:val="000000"/>
                <w:sz w:val="20"/>
                <w:szCs w:val="20"/>
                <w:lang w:eastAsia="en-ZA"/>
              </w:rPr>
            </w:pPr>
            <w:r w:rsidRPr="00C70473">
              <w:rPr>
                <w:rFonts w:ascii="Arial" w:hAnsi="Arial" w:cs="Arial"/>
                <w:color w:val="000000"/>
                <w:sz w:val="20"/>
                <w:szCs w:val="20"/>
                <w:lang w:eastAsia="en-ZA"/>
              </w:rPr>
              <w:t xml:space="preserve">Achieved: 8.78% (22 244 from a total of 253 428) </w:t>
            </w:r>
          </w:p>
          <w:p w:rsidR="00587F48" w:rsidRPr="00C70473" w:rsidRDefault="00587F48" w:rsidP="00C70473">
            <w:pPr>
              <w:pStyle w:val="ListParagraph"/>
              <w:numPr>
                <w:ilvl w:val="0"/>
                <w:numId w:val="84"/>
              </w:numPr>
              <w:autoSpaceDE w:val="0"/>
              <w:autoSpaceDN w:val="0"/>
              <w:adjustRightInd w:val="0"/>
              <w:spacing w:after="0" w:line="240" w:lineRule="auto"/>
              <w:ind w:left="283" w:hanging="283"/>
              <w:rPr>
                <w:rFonts w:ascii="Arial" w:hAnsi="Arial" w:cs="Arial"/>
                <w:color w:val="000000"/>
                <w:sz w:val="20"/>
                <w:szCs w:val="20"/>
                <w:lang w:eastAsia="en-ZA"/>
              </w:rPr>
            </w:pPr>
            <w:r w:rsidRPr="00C70473">
              <w:rPr>
                <w:rFonts w:ascii="Arial" w:hAnsi="Arial" w:cs="Arial"/>
                <w:color w:val="000000"/>
                <w:sz w:val="20"/>
                <w:szCs w:val="20"/>
                <w:lang w:eastAsia="en-ZA"/>
              </w:rPr>
              <w:t>Deviation: -71.22%</w:t>
            </w:r>
          </w:p>
          <w:p w:rsidR="00587F48" w:rsidRPr="00C70473" w:rsidRDefault="00587F48" w:rsidP="00C70473">
            <w:pPr>
              <w:autoSpaceDE w:val="0"/>
              <w:autoSpaceDN w:val="0"/>
              <w:adjustRightInd w:val="0"/>
              <w:rPr>
                <w:rFonts w:ascii="Arial" w:hAnsi="Arial" w:cs="Arial"/>
                <w:color w:val="000000"/>
                <w:sz w:val="20"/>
                <w:szCs w:val="20"/>
                <w:lang w:eastAsia="en-ZA"/>
              </w:rPr>
            </w:pPr>
          </w:p>
          <w:p w:rsidR="00587F48" w:rsidRPr="00C70473" w:rsidRDefault="00587F48" w:rsidP="00C70473">
            <w:pPr>
              <w:autoSpaceDE w:val="0"/>
              <w:autoSpaceDN w:val="0"/>
              <w:adjustRightInd w:val="0"/>
              <w:rPr>
                <w:rFonts w:ascii="Arial" w:hAnsi="Arial" w:cs="Arial"/>
                <w:b/>
                <w:color w:val="000000"/>
                <w:sz w:val="20"/>
                <w:szCs w:val="20"/>
                <w:lang w:eastAsia="en-ZA"/>
              </w:rPr>
            </w:pPr>
            <w:r w:rsidRPr="00C70473">
              <w:rPr>
                <w:rFonts w:ascii="Arial" w:hAnsi="Arial" w:cs="Arial"/>
                <w:b/>
                <w:color w:val="000000"/>
                <w:sz w:val="20"/>
                <w:szCs w:val="20"/>
                <w:lang w:eastAsia="en-ZA"/>
              </w:rPr>
              <w:t xml:space="preserve">Reason for deviation: </w:t>
            </w:r>
          </w:p>
          <w:p w:rsidR="00587F48" w:rsidRPr="00C70473" w:rsidRDefault="00587F48" w:rsidP="00C70473">
            <w:pPr>
              <w:pStyle w:val="ListParagraph"/>
              <w:numPr>
                <w:ilvl w:val="0"/>
                <w:numId w:val="93"/>
              </w:numPr>
              <w:autoSpaceDE w:val="0"/>
              <w:autoSpaceDN w:val="0"/>
              <w:adjustRightInd w:val="0"/>
              <w:spacing w:after="0" w:line="240" w:lineRule="auto"/>
              <w:ind w:left="283" w:hanging="141"/>
              <w:rPr>
                <w:rFonts w:ascii="Arial" w:hAnsi="Arial" w:cs="Arial"/>
                <w:sz w:val="20"/>
                <w:szCs w:val="20"/>
              </w:rPr>
            </w:pPr>
            <w:r w:rsidRPr="00C70473">
              <w:rPr>
                <w:rFonts w:ascii="Arial" w:hAnsi="Arial" w:cs="Arial"/>
                <w:sz w:val="20"/>
                <w:szCs w:val="20"/>
              </w:rPr>
              <w:t xml:space="preserve">The FSL Admin System is not configured to process </w:t>
            </w:r>
            <w:r w:rsidRPr="00C70473">
              <w:rPr>
                <w:rFonts w:ascii="Arial" w:hAnsi="Arial" w:cs="Arial"/>
                <w:sz w:val="20"/>
                <w:szCs w:val="20"/>
              </w:rPr>
              <w:lastRenderedPageBreak/>
              <w:t xml:space="preserve">case files, in bulk. </w:t>
            </w:r>
          </w:p>
          <w:p w:rsidR="00587F48" w:rsidRPr="00C70473" w:rsidRDefault="00587F48" w:rsidP="00C70473">
            <w:pPr>
              <w:pStyle w:val="ListParagraph"/>
              <w:autoSpaceDE w:val="0"/>
              <w:autoSpaceDN w:val="0"/>
              <w:adjustRightInd w:val="0"/>
              <w:spacing w:after="0" w:line="240" w:lineRule="auto"/>
              <w:ind w:left="283"/>
              <w:rPr>
                <w:rFonts w:ascii="Arial" w:hAnsi="Arial" w:cs="Arial"/>
                <w:sz w:val="20"/>
                <w:szCs w:val="20"/>
              </w:rPr>
            </w:pPr>
          </w:p>
          <w:p w:rsidR="00587F48" w:rsidRPr="00C70473" w:rsidRDefault="00587F48" w:rsidP="00C70473">
            <w:pPr>
              <w:pStyle w:val="ListParagraph"/>
              <w:numPr>
                <w:ilvl w:val="0"/>
                <w:numId w:val="93"/>
              </w:numPr>
              <w:autoSpaceDE w:val="0"/>
              <w:autoSpaceDN w:val="0"/>
              <w:adjustRightInd w:val="0"/>
              <w:spacing w:after="0" w:line="240" w:lineRule="auto"/>
              <w:ind w:left="283" w:hanging="141"/>
              <w:rPr>
                <w:rFonts w:ascii="Arial" w:hAnsi="Arial" w:cs="Arial"/>
                <w:sz w:val="20"/>
                <w:szCs w:val="20"/>
              </w:rPr>
            </w:pPr>
            <w:r w:rsidRPr="00C70473">
              <w:rPr>
                <w:rFonts w:ascii="Arial" w:hAnsi="Arial" w:cs="Arial"/>
                <w:sz w:val="20"/>
                <w:szCs w:val="20"/>
              </w:rPr>
              <w:t>A lack of consumables (fomamide (HiDi)) for the Crime Index (CI) and Reference Index (RI) Systems, Polymer POP-4 for 3130XL and POP for 3500XL) and Isopropanol to prepare the working solution in the CI and RI Systems, for two weeks.</w:t>
            </w:r>
          </w:p>
          <w:p w:rsidR="00587F48" w:rsidRPr="00C70473" w:rsidRDefault="00587F48" w:rsidP="00C70473">
            <w:pPr>
              <w:autoSpaceDE w:val="0"/>
              <w:autoSpaceDN w:val="0"/>
              <w:adjustRightInd w:val="0"/>
              <w:rPr>
                <w:rFonts w:ascii="Arial" w:hAnsi="Arial" w:cs="Arial"/>
                <w:sz w:val="20"/>
                <w:szCs w:val="20"/>
              </w:rPr>
            </w:pPr>
          </w:p>
          <w:p w:rsidR="00587F48" w:rsidRPr="00C70473" w:rsidRDefault="00587F48" w:rsidP="00C70473">
            <w:pPr>
              <w:pStyle w:val="ListParagraph"/>
              <w:numPr>
                <w:ilvl w:val="0"/>
                <w:numId w:val="93"/>
              </w:numPr>
              <w:autoSpaceDE w:val="0"/>
              <w:autoSpaceDN w:val="0"/>
              <w:adjustRightInd w:val="0"/>
              <w:spacing w:after="0" w:line="240" w:lineRule="auto"/>
              <w:ind w:left="283" w:hanging="141"/>
              <w:rPr>
                <w:rFonts w:ascii="Arial" w:hAnsi="Arial" w:cs="Arial"/>
                <w:sz w:val="20"/>
                <w:szCs w:val="20"/>
              </w:rPr>
            </w:pPr>
            <w:r w:rsidRPr="00C70473">
              <w:rPr>
                <w:rFonts w:ascii="Arial" w:hAnsi="Arial" w:cs="Arial"/>
                <w:sz w:val="20"/>
                <w:szCs w:val="20"/>
              </w:rPr>
              <w:t>A lack of spin columns used to process semen samples (GBVF) in the manual system, for two months.</w:t>
            </w:r>
          </w:p>
          <w:p w:rsidR="00587F48" w:rsidRPr="00C70473" w:rsidRDefault="00587F48" w:rsidP="00C70473">
            <w:pPr>
              <w:autoSpaceDE w:val="0"/>
              <w:autoSpaceDN w:val="0"/>
              <w:adjustRightInd w:val="0"/>
              <w:rPr>
                <w:rFonts w:ascii="Arial" w:hAnsi="Arial" w:cs="Arial"/>
                <w:sz w:val="20"/>
                <w:szCs w:val="20"/>
              </w:rPr>
            </w:pPr>
          </w:p>
          <w:p w:rsidR="00587F48" w:rsidRPr="00C70473" w:rsidRDefault="00587F48" w:rsidP="00C70473">
            <w:pPr>
              <w:pStyle w:val="ListParagraph"/>
              <w:numPr>
                <w:ilvl w:val="0"/>
                <w:numId w:val="93"/>
              </w:numPr>
              <w:autoSpaceDE w:val="0"/>
              <w:autoSpaceDN w:val="0"/>
              <w:adjustRightInd w:val="0"/>
              <w:spacing w:after="0" w:line="240" w:lineRule="auto"/>
              <w:ind w:left="283" w:hanging="141"/>
              <w:rPr>
                <w:rFonts w:ascii="Arial" w:hAnsi="Arial" w:cs="Arial"/>
                <w:sz w:val="20"/>
                <w:szCs w:val="20"/>
              </w:rPr>
            </w:pPr>
            <w:r w:rsidRPr="00C70473">
              <w:rPr>
                <w:rFonts w:ascii="Arial" w:hAnsi="Arial" w:cs="Arial"/>
                <w:sz w:val="20"/>
                <w:szCs w:val="20"/>
              </w:rPr>
              <w:t>A lack of alcohol for sample submission (manual, CI and RI System), for seven days.</w:t>
            </w:r>
          </w:p>
          <w:p w:rsidR="00587F48" w:rsidRPr="00C70473" w:rsidRDefault="00587F48" w:rsidP="00C70473">
            <w:pPr>
              <w:autoSpaceDE w:val="0"/>
              <w:autoSpaceDN w:val="0"/>
              <w:adjustRightInd w:val="0"/>
              <w:rPr>
                <w:rFonts w:ascii="Arial" w:hAnsi="Arial" w:cs="Arial"/>
                <w:sz w:val="20"/>
                <w:szCs w:val="20"/>
              </w:rPr>
            </w:pPr>
          </w:p>
          <w:p w:rsidR="00587F48" w:rsidRPr="00C70473" w:rsidRDefault="00587F48" w:rsidP="00C70473">
            <w:pPr>
              <w:pStyle w:val="ListParagraph"/>
              <w:numPr>
                <w:ilvl w:val="0"/>
                <w:numId w:val="93"/>
              </w:numPr>
              <w:autoSpaceDE w:val="0"/>
              <w:autoSpaceDN w:val="0"/>
              <w:adjustRightInd w:val="0"/>
              <w:spacing w:after="0" w:line="240" w:lineRule="auto"/>
              <w:ind w:left="283" w:hanging="141"/>
              <w:rPr>
                <w:rFonts w:ascii="Arial" w:hAnsi="Arial" w:cs="Arial"/>
                <w:sz w:val="20"/>
                <w:szCs w:val="20"/>
              </w:rPr>
            </w:pPr>
            <w:r w:rsidRPr="00C70473">
              <w:rPr>
                <w:rFonts w:ascii="Arial" w:hAnsi="Arial" w:cs="Arial"/>
                <w:sz w:val="20"/>
                <w:szCs w:val="20"/>
              </w:rPr>
              <w:t>The STRLab System was not functional to print a statistical report, for five days.</w:t>
            </w:r>
          </w:p>
          <w:p w:rsidR="00587F48" w:rsidRPr="00C70473" w:rsidRDefault="00587F48" w:rsidP="00C70473">
            <w:pPr>
              <w:pStyle w:val="ListParagraph"/>
              <w:autoSpaceDE w:val="0"/>
              <w:autoSpaceDN w:val="0"/>
              <w:adjustRightInd w:val="0"/>
              <w:spacing w:after="0" w:line="240" w:lineRule="auto"/>
              <w:ind w:left="283"/>
              <w:rPr>
                <w:rFonts w:ascii="Arial" w:hAnsi="Arial" w:cs="Arial"/>
                <w:sz w:val="20"/>
                <w:szCs w:val="20"/>
              </w:rPr>
            </w:pPr>
          </w:p>
        </w:tc>
        <w:tc>
          <w:tcPr>
            <w:tcW w:w="3006" w:type="dxa"/>
          </w:tcPr>
          <w:p w:rsidR="00587F48" w:rsidRPr="00C70473" w:rsidRDefault="00587F48" w:rsidP="00C70473">
            <w:pPr>
              <w:autoSpaceDE w:val="0"/>
              <w:autoSpaceDN w:val="0"/>
              <w:adjustRightInd w:val="0"/>
              <w:rPr>
                <w:rFonts w:ascii="Arial" w:hAnsi="Arial" w:cs="Arial"/>
                <w:sz w:val="20"/>
                <w:szCs w:val="20"/>
              </w:rPr>
            </w:pPr>
          </w:p>
        </w:tc>
      </w:tr>
    </w:tbl>
    <w:p w:rsidR="00587F48" w:rsidRPr="00C70473" w:rsidRDefault="00587F48" w:rsidP="00C70473">
      <w:pPr>
        <w:spacing w:after="0" w:line="240" w:lineRule="auto"/>
        <w:rPr>
          <w:rFonts w:ascii="Arial" w:hAnsi="Arial" w:cs="Arial"/>
          <w:sz w:val="20"/>
          <w:szCs w:val="20"/>
          <w:highlight w:val="yellow"/>
        </w:rPr>
      </w:pPr>
    </w:p>
    <w:p w:rsidR="00587F48" w:rsidRPr="00C70473" w:rsidRDefault="00587F48" w:rsidP="00C70473">
      <w:pPr>
        <w:spacing w:after="0" w:line="240" w:lineRule="auto"/>
        <w:rPr>
          <w:rFonts w:ascii="Arial" w:hAnsi="Arial" w:cs="Arial"/>
          <w:sz w:val="20"/>
          <w:szCs w:val="20"/>
        </w:rPr>
      </w:pPr>
      <w:r w:rsidRPr="00C70473">
        <w:rPr>
          <w:rFonts w:ascii="Arial" w:hAnsi="Arial" w:cs="Arial"/>
          <w:sz w:val="20"/>
          <w:szCs w:val="20"/>
        </w:rPr>
        <w:t xml:space="preserve">The performance of the </w:t>
      </w:r>
      <w:r w:rsidRPr="00C70473">
        <w:rPr>
          <w:rFonts w:ascii="Arial" w:hAnsi="Arial" w:cs="Arial"/>
          <w:i/>
          <w:sz w:val="20"/>
          <w:szCs w:val="20"/>
        </w:rPr>
        <w:t>Forensic Science Laboratory</w:t>
      </w:r>
      <w:r w:rsidRPr="00C70473">
        <w:rPr>
          <w:rFonts w:ascii="Arial" w:hAnsi="Arial" w:cs="Arial"/>
          <w:sz w:val="20"/>
          <w:szCs w:val="20"/>
        </w:rPr>
        <w:t xml:space="preserve"> subprogramme has seen a consistent decrease over the past four financial years, with the backlog in DNA analysis rising sharply to unacceptably high levels of case exhibits not finalised within 90 days. </w:t>
      </w:r>
    </w:p>
    <w:p w:rsidR="00587F48" w:rsidRPr="00C70473" w:rsidRDefault="00587F48" w:rsidP="00C70473">
      <w:pPr>
        <w:spacing w:after="0" w:line="240" w:lineRule="auto"/>
        <w:rPr>
          <w:rFonts w:ascii="Arial" w:hAnsi="Arial" w:cs="Arial"/>
          <w:sz w:val="20"/>
          <w:szCs w:val="20"/>
          <w:highlight w:val="yellow"/>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As at the end of March 2022, the backlog of case exhibits (entries) was at 57,46%, compared to 84,56%, in 2020/21. A total of 308 186 case exhibits (entries) are backlogged.</w:t>
      </w:r>
    </w:p>
    <w:p w:rsidR="00587F48" w:rsidRPr="00C70473" w:rsidRDefault="00587F48" w:rsidP="00C70473">
      <w:pPr>
        <w:spacing w:after="0" w:line="240" w:lineRule="auto"/>
        <w:rPr>
          <w:rFonts w:ascii="Arial" w:hAnsi="Arial" w:cs="Arial"/>
          <w:sz w:val="20"/>
          <w:szCs w:val="20"/>
          <w:highlight w:val="yellow"/>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During 2021/22, the SAPS received a total number of 536 350 case exhibits (entries), compared to 355 648 in the previous financial year. A total number of 457 990 or 85,39% case exhibits (entries) were finalised, in 2021/22, compared to 130 353 or 36,65% case exhibits (entries) finalised, in 2020/21. In 2021/22, a total number of 135 147 routine case exhibits (entries) were received, of which 30 746 or 22,75% were finalised, within 35 calendar days, compared to 27 983 or 32,23% finalised, in the previous financial year.</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The FSL achieved a completion rate of 51,38% or 2 042 from a total of 3 974 with regard to non-routine case exhibits (entries), within the planned turnaround time of 113 calendar days, compared to 61,70% or 1 226 from a total of 1 987, during the previous financial year. </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A total of 8,78% or 22 244 biology intelligence case exhibits (entries) were finalised within the planned turnaround time of 90 calendar days, during the reporting period, compared to 14,59% or 706 biology intelligence case exhibits (entries) finalised, during 2020/21.</w:t>
      </w:r>
    </w:p>
    <w:p w:rsidR="00587F48" w:rsidRPr="00C70473" w:rsidRDefault="00587F48" w:rsidP="00C70473">
      <w:pPr>
        <w:spacing w:after="0" w:line="240" w:lineRule="auto"/>
        <w:rPr>
          <w:rFonts w:ascii="Arial" w:hAnsi="Arial" w:cs="Arial"/>
          <w:sz w:val="20"/>
          <w:szCs w:val="20"/>
          <w:highlight w:val="yellow"/>
        </w:rPr>
      </w:pPr>
    </w:p>
    <w:p w:rsidR="00587F48" w:rsidRPr="00C70473" w:rsidRDefault="00587F48" w:rsidP="00C70473">
      <w:pPr>
        <w:spacing w:after="0" w:line="240" w:lineRule="auto"/>
        <w:rPr>
          <w:rFonts w:ascii="Arial" w:hAnsi="Arial" w:cs="Arial"/>
          <w:sz w:val="20"/>
          <w:szCs w:val="20"/>
        </w:rPr>
      </w:pPr>
      <w:r w:rsidRPr="00C70473">
        <w:rPr>
          <w:rFonts w:ascii="Arial" w:hAnsi="Arial" w:cs="Arial"/>
          <w:sz w:val="20"/>
          <w:szCs w:val="20"/>
        </w:rPr>
        <w:t xml:space="preserve">In 2021/22, the size of the National Forensic DNA Database stood at 856 814 forensic DNA profiles (in 2020/21 the size was 743 730 and in 2018/19, there were 1 616 535 profiles on the database). In 2021/22, a total of 183 289 DNA profiles were added to the DNA Database and 49 653 profiles were expunged.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The performance target for taking </w:t>
      </w:r>
      <w:r w:rsidRPr="00C70473">
        <w:rPr>
          <w:rFonts w:ascii="Arial" w:hAnsi="Arial" w:cs="Arial"/>
          <w:b/>
          <w:sz w:val="20"/>
          <w:szCs w:val="20"/>
        </w:rPr>
        <w:t>buccal samples from Schedule 8 offenders</w:t>
      </w:r>
      <w:r w:rsidRPr="00C70473">
        <w:rPr>
          <w:rFonts w:ascii="Arial" w:hAnsi="Arial" w:cs="Arial"/>
          <w:sz w:val="20"/>
          <w:szCs w:val="20"/>
        </w:rPr>
        <w:t xml:space="preserve"> is in </w:t>
      </w:r>
      <w:r w:rsidRPr="00C70473">
        <w:rPr>
          <w:rFonts w:ascii="Arial" w:hAnsi="Arial" w:cs="Arial"/>
          <w:i/>
          <w:sz w:val="20"/>
          <w:szCs w:val="20"/>
        </w:rPr>
        <w:t>the Crime Investigations</w:t>
      </w:r>
      <w:r w:rsidRPr="00C70473">
        <w:rPr>
          <w:rFonts w:ascii="Arial" w:hAnsi="Arial" w:cs="Arial"/>
          <w:sz w:val="20"/>
          <w:szCs w:val="20"/>
        </w:rPr>
        <w:t xml:space="preserve"> subprogramme, but relates directly to the utilisation of forensic investigative aids in the investigation of crime and the enhancement of the DNA database. During 2021/22, 128 515 buccal samples were taken from a total number of 154 879 suspects arrested for Schedule 8 offences.</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lastRenderedPageBreak/>
        <w:t>A total number of 334 944 evidence collection kits were procured during 2021/22, valued at R72 079 885.23. A total number of 524 076 evidence collection kits were distributed to end-users from orders received, in 2021/22 and buffer stock carried over from the 2020/21 financial year, in order to enhance the investigation of crime. Upon requisitioning, these kits were distributed to police stations and units in a controlled manner, while a reasonable buffer stock was kept on hand at the provisioning stores, in Pretoria, Cape Town and Kwazulu-Natal for a consistent supply of evidence collection kits.</w:t>
      </w:r>
    </w:p>
    <w:p w:rsidR="00587F48" w:rsidRPr="00C70473" w:rsidRDefault="00587F48" w:rsidP="00C70473">
      <w:pPr>
        <w:spacing w:after="0" w:line="240" w:lineRule="auto"/>
        <w:rPr>
          <w:rFonts w:ascii="Arial" w:hAnsi="Arial" w:cs="Arial"/>
          <w:b/>
          <w:sz w:val="20"/>
          <w:szCs w:val="20"/>
        </w:rPr>
      </w:pPr>
    </w:p>
    <w:p w:rsidR="00587F48" w:rsidRPr="00C70473" w:rsidRDefault="00587F48" w:rsidP="00C70473">
      <w:pPr>
        <w:pStyle w:val="Heading3"/>
        <w:numPr>
          <w:ilvl w:val="3"/>
          <w:numId w:val="106"/>
        </w:numPr>
        <w:spacing w:before="0" w:line="240" w:lineRule="auto"/>
        <w:rPr>
          <w:rFonts w:ascii="Arial" w:hAnsi="Arial" w:cs="Arial"/>
          <w:b/>
          <w:color w:val="auto"/>
          <w:sz w:val="20"/>
          <w:szCs w:val="20"/>
        </w:rPr>
      </w:pPr>
      <w:bookmarkStart w:id="23" w:name="_Toc115863871"/>
      <w:r w:rsidRPr="00C70473">
        <w:rPr>
          <w:rFonts w:ascii="Arial" w:hAnsi="Arial" w:cs="Arial"/>
          <w:b/>
          <w:color w:val="auto"/>
          <w:sz w:val="20"/>
          <w:szCs w:val="20"/>
        </w:rPr>
        <w:t>Directorate for Priority Crime Investigations (DPCI)</w:t>
      </w:r>
      <w:bookmarkEnd w:id="23"/>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The </w:t>
      </w:r>
      <w:r w:rsidRPr="00C70473">
        <w:rPr>
          <w:rFonts w:ascii="Arial" w:hAnsi="Arial" w:cs="Arial"/>
          <w:b/>
          <w:sz w:val="20"/>
          <w:szCs w:val="20"/>
        </w:rPr>
        <w:t xml:space="preserve">Directorate for Priority Crime Investigations (DPCI) </w:t>
      </w:r>
      <w:r w:rsidRPr="00C70473">
        <w:rPr>
          <w:rFonts w:ascii="Arial" w:hAnsi="Arial" w:cs="Arial"/>
          <w:sz w:val="20"/>
          <w:szCs w:val="20"/>
        </w:rPr>
        <w:t xml:space="preserve">achieved 7 from 7 performance targets and recorded an achievement of 100% with most targets over-achieved. </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During 2021/22, a total of 2 809 arrests were effected, compared to 2 253 in the previous financial year, which is an increase of 556 arrests. Convictions amounting to 296 166 charges were secured in court, compared to 38 411 charges in the previous financial year, which is an increase of 257 755 charges. Seizures with an estimated value of R697 million, consisting of counterfeit goods, precious metals and wildlife, as well as R2 billion in narcotics. </w:t>
      </w:r>
    </w:p>
    <w:p w:rsidR="00587F48" w:rsidRPr="00C70473" w:rsidRDefault="00587F48" w:rsidP="00C70473">
      <w:pPr>
        <w:autoSpaceDE w:val="0"/>
        <w:autoSpaceDN w:val="0"/>
        <w:adjustRightInd w:val="0"/>
        <w:spacing w:after="0" w:line="240" w:lineRule="auto"/>
        <w:rPr>
          <w:rFonts w:ascii="Arial" w:hAnsi="Arial" w:cs="Arial"/>
          <w:color w:val="000000"/>
          <w:sz w:val="20"/>
          <w:szCs w:val="20"/>
        </w:rPr>
      </w:pPr>
    </w:p>
    <w:p w:rsidR="00587F48" w:rsidRPr="00C70473" w:rsidRDefault="00587F48" w:rsidP="00C70473">
      <w:pPr>
        <w:pStyle w:val="Heading3"/>
        <w:numPr>
          <w:ilvl w:val="2"/>
          <w:numId w:val="106"/>
        </w:numPr>
        <w:spacing w:before="0" w:line="240" w:lineRule="auto"/>
        <w:rPr>
          <w:rFonts w:ascii="Arial" w:hAnsi="Arial" w:cs="Arial"/>
          <w:b/>
          <w:color w:val="auto"/>
          <w:sz w:val="20"/>
          <w:szCs w:val="20"/>
        </w:rPr>
      </w:pPr>
      <w:bookmarkStart w:id="24" w:name="_Toc115863872"/>
      <w:r w:rsidRPr="00C70473">
        <w:rPr>
          <w:rFonts w:ascii="Arial" w:hAnsi="Arial" w:cs="Arial"/>
          <w:b/>
          <w:color w:val="auto"/>
          <w:sz w:val="20"/>
          <w:szCs w:val="20"/>
        </w:rPr>
        <w:t>Programme 4: Crime Intelligence</w:t>
      </w:r>
      <w:bookmarkEnd w:id="24"/>
      <w:r w:rsidRPr="00C70473">
        <w:rPr>
          <w:rFonts w:ascii="Arial" w:hAnsi="Arial" w:cs="Arial"/>
          <w:b/>
          <w:color w:val="auto"/>
          <w:sz w:val="20"/>
          <w:szCs w:val="20"/>
        </w:rPr>
        <w:t xml:space="preserve"> </w:t>
      </w:r>
    </w:p>
    <w:p w:rsidR="00587F48" w:rsidRPr="00C70473" w:rsidRDefault="00587F48" w:rsidP="00C70473">
      <w:pPr>
        <w:spacing w:after="0" w:line="240" w:lineRule="auto"/>
        <w:rPr>
          <w:rFonts w:ascii="Arial" w:hAnsi="Arial" w:cs="Arial"/>
          <w:sz w:val="20"/>
          <w:szCs w:val="20"/>
        </w:rPr>
      </w:pPr>
    </w:p>
    <w:tbl>
      <w:tblPr>
        <w:tblStyle w:val="TableGrid"/>
        <w:tblW w:w="0" w:type="auto"/>
        <w:tblLook w:val="04A0"/>
      </w:tblPr>
      <w:tblGrid>
        <w:gridCol w:w="9016"/>
      </w:tblGrid>
      <w:tr w:rsidR="00DC1145" w:rsidRPr="00C70473" w:rsidTr="00DC1145">
        <w:trPr>
          <w:trHeight w:val="720"/>
        </w:trPr>
        <w:tc>
          <w:tcPr>
            <w:tcW w:w="9016" w:type="dxa"/>
            <w:shd w:val="clear" w:color="auto" w:fill="auto"/>
            <w:vAlign w:val="center"/>
          </w:tcPr>
          <w:p w:rsidR="00587F48" w:rsidRPr="00C70473" w:rsidRDefault="00587F48" w:rsidP="00C70473">
            <w:pPr>
              <w:rPr>
                <w:rFonts w:ascii="Arial" w:hAnsi="Arial" w:cs="Arial"/>
                <w:b/>
                <w:sz w:val="20"/>
                <w:szCs w:val="20"/>
              </w:rPr>
            </w:pPr>
            <w:r w:rsidRPr="00C70473">
              <w:rPr>
                <w:rFonts w:ascii="Arial" w:hAnsi="Arial" w:cs="Arial"/>
                <w:b/>
                <w:sz w:val="20"/>
                <w:szCs w:val="20"/>
              </w:rPr>
              <w:t>Crime Intelligence Programme achieved 11 from 12 performance targets</w:t>
            </w:r>
          </w:p>
          <w:p w:rsidR="00587F48" w:rsidRPr="00C70473" w:rsidRDefault="00587F48" w:rsidP="00C70473">
            <w:pPr>
              <w:rPr>
                <w:rFonts w:ascii="Arial" w:hAnsi="Arial" w:cs="Arial"/>
                <w:sz w:val="20"/>
                <w:szCs w:val="20"/>
              </w:rPr>
            </w:pPr>
            <w:r w:rsidRPr="00C70473">
              <w:rPr>
                <w:rFonts w:ascii="Arial" w:hAnsi="Arial" w:cs="Arial"/>
                <w:b/>
                <w:sz w:val="20"/>
                <w:szCs w:val="20"/>
              </w:rPr>
              <w:t>Achievement rate of 91.6%</w:t>
            </w:r>
          </w:p>
        </w:tc>
      </w:tr>
    </w:tbl>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sz w:val="20"/>
          <w:szCs w:val="20"/>
        </w:rPr>
      </w:pPr>
      <w:r w:rsidRPr="00C70473">
        <w:rPr>
          <w:rFonts w:ascii="Arial" w:hAnsi="Arial" w:cs="Arial"/>
          <w:sz w:val="20"/>
          <w:szCs w:val="20"/>
        </w:rPr>
        <w:t xml:space="preserve">The Crime Intelligence Programme achieved 11 of its 12 performance targets of the 2021/22 financial year, which is a performance rate of 91.6%. It should be noted that a high achievement rate on performance indicators does not indicate that the Crime Intelligence Division operated optimally during the 2021/22 financial year. The identified failures in the early detection capabilities during the July 2021 serves as an example.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b/>
          <w:sz w:val="20"/>
          <w:szCs w:val="20"/>
        </w:rPr>
      </w:pPr>
      <w:r w:rsidRPr="00C70473">
        <w:rPr>
          <w:rFonts w:ascii="Arial" w:hAnsi="Arial" w:cs="Arial"/>
          <w:b/>
          <w:sz w:val="20"/>
          <w:szCs w:val="20"/>
        </w:rPr>
        <w:t xml:space="preserve">Target not achieved during the 2021/22 financial year </w:t>
      </w:r>
    </w:p>
    <w:tbl>
      <w:tblPr>
        <w:tblStyle w:val="TableGrid"/>
        <w:tblW w:w="9067" w:type="dxa"/>
        <w:tblLook w:val="04A0"/>
      </w:tblPr>
      <w:tblGrid>
        <w:gridCol w:w="9067"/>
      </w:tblGrid>
      <w:tr w:rsidR="00587F48" w:rsidRPr="00C70473" w:rsidTr="00587F48">
        <w:tc>
          <w:tcPr>
            <w:tcW w:w="9067" w:type="dxa"/>
          </w:tcPr>
          <w:p w:rsidR="00587F48" w:rsidRPr="00C70473" w:rsidRDefault="00587F48" w:rsidP="00C70473">
            <w:pPr>
              <w:autoSpaceDE w:val="0"/>
              <w:autoSpaceDN w:val="0"/>
              <w:adjustRightInd w:val="0"/>
              <w:rPr>
                <w:rFonts w:ascii="Arial" w:hAnsi="Arial" w:cs="Arial"/>
                <w:color w:val="000000"/>
                <w:sz w:val="20"/>
                <w:szCs w:val="20"/>
                <w:lang w:eastAsia="en-ZA"/>
              </w:rPr>
            </w:pPr>
            <w:r w:rsidRPr="00C70473">
              <w:rPr>
                <w:rFonts w:ascii="Arial" w:hAnsi="Arial" w:cs="Arial"/>
                <w:color w:val="000000"/>
                <w:sz w:val="20"/>
                <w:szCs w:val="20"/>
                <w:lang w:eastAsia="en-ZA"/>
              </w:rPr>
              <w:t xml:space="preserve">Percentage of </w:t>
            </w:r>
            <w:r w:rsidRPr="00C70473">
              <w:rPr>
                <w:rFonts w:ascii="Arial" w:hAnsi="Arial" w:cs="Arial"/>
                <w:b/>
                <w:color w:val="000000"/>
                <w:sz w:val="20"/>
                <w:szCs w:val="20"/>
                <w:lang w:eastAsia="en-ZA"/>
              </w:rPr>
              <w:t>arrests of identified transnational crime</w:t>
            </w:r>
            <w:r w:rsidRPr="00C70473">
              <w:rPr>
                <w:rFonts w:ascii="Arial" w:hAnsi="Arial" w:cs="Arial"/>
                <w:color w:val="000000"/>
                <w:sz w:val="20"/>
                <w:szCs w:val="20"/>
                <w:lang w:eastAsia="en-ZA"/>
              </w:rPr>
              <w:t xml:space="preserve"> suspects facilitated, in relation to requests received from INTERPOL member countries. </w:t>
            </w:r>
          </w:p>
          <w:p w:rsidR="00587F48" w:rsidRPr="00C70473" w:rsidRDefault="00587F48" w:rsidP="00C70473">
            <w:pPr>
              <w:pStyle w:val="ListParagraph"/>
              <w:numPr>
                <w:ilvl w:val="0"/>
                <w:numId w:val="87"/>
              </w:numPr>
              <w:autoSpaceDE w:val="0"/>
              <w:autoSpaceDN w:val="0"/>
              <w:adjustRightInd w:val="0"/>
              <w:spacing w:after="0" w:line="240" w:lineRule="auto"/>
              <w:rPr>
                <w:rFonts w:ascii="Arial" w:hAnsi="Arial" w:cs="Arial"/>
                <w:color w:val="000000"/>
                <w:sz w:val="20"/>
                <w:szCs w:val="20"/>
                <w:lang w:eastAsia="en-ZA"/>
              </w:rPr>
            </w:pPr>
            <w:r w:rsidRPr="00C70473">
              <w:rPr>
                <w:rFonts w:ascii="Arial" w:hAnsi="Arial" w:cs="Arial"/>
                <w:bCs/>
                <w:color w:val="000000"/>
                <w:sz w:val="20"/>
                <w:szCs w:val="20"/>
                <w:lang w:eastAsia="en-ZA"/>
              </w:rPr>
              <w:t>Target: 100%</w:t>
            </w:r>
          </w:p>
          <w:p w:rsidR="00587F48" w:rsidRPr="00C70473" w:rsidRDefault="00587F48" w:rsidP="00C70473">
            <w:pPr>
              <w:pStyle w:val="ListParagraph"/>
              <w:numPr>
                <w:ilvl w:val="0"/>
                <w:numId w:val="87"/>
              </w:numPr>
              <w:autoSpaceDE w:val="0"/>
              <w:autoSpaceDN w:val="0"/>
              <w:adjustRightInd w:val="0"/>
              <w:spacing w:after="0" w:line="240" w:lineRule="auto"/>
              <w:rPr>
                <w:rFonts w:ascii="Arial" w:hAnsi="Arial" w:cs="Arial"/>
                <w:bCs/>
                <w:color w:val="000000"/>
                <w:sz w:val="20"/>
                <w:szCs w:val="20"/>
                <w:lang w:eastAsia="en-ZA"/>
              </w:rPr>
            </w:pPr>
            <w:r w:rsidRPr="00C70473">
              <w:rPr>
                <w:rFonts w:ascii="Arial" w:hAnsi="Arial" w:cs="Arial"/>
                <w:bCs/>
                <w:color w:val="000000"/>
                <w:sz w:val="20"/>
                <w:szCs w:val="20"/>
                <w:lang w:eastAsia="en-ZA"/>
              </w:rPr>
              <w:t>Achieved: 92.59% (25 from a total of 27 requests facilitated)</w:t>
            </w:r>
          </w:p>
          <w:p w:rsidR="00587F48" w:rsidRPr="00C70473" w:rsidRDefault="00587F48" w:rsidP="00C70473">
            <w:pPr>
              <w:pStyle w:val="ListParagraph"/>
              <w:numPr>
                <w:ilvl w:val="0"/>
                <w:numId w:val="87"/>
              </w:numPr>
              <w:autoSpaceDE w:val="0"/>
              <w:autoSpaceDN w:val="0"/>
              <w:adjustRightInd w:val="0"/>
              <w:spacing w:after="0" w:line="240" w:lineRule="auto"/>
              <w:rPr>
                <w:rFonts w:ascii="Arial" w:hAnsi="Arial" w:cs="Arial"/>
                <w:bCs/>
                <w:color w:val="000000"/>
                <w:sz w:val="20"/>
                <w:szCs w:val="20"/>
                <w:lang w:eastAsia="en-ZA"/>
              </w:rPr>
            </w:pPr>
            <w:r w:rsidRPr="00C70473">
              <w:rPr>
                <w:rFonts w:ascii="Arial" w:hAnsi="Arial" w:cs="Arial"/>
                <w:bCs/>
                <w:color w:val="000000"/>
                <w:sz w:val="20"/>
                <w:szCs w:val="20"/>
                <w:lang w:eastAsia="en-ZA"/>
              </w:rPr>
              <w:t>Deviation: -7.41%</w:t>
            </w:r>
          </w:p>
          <w:p w:rsidR="00587F48" w:rsidRPr="00C70473" w:rsidRDefault="00587F48" w:rsidP="00C70473">
            <w:pPr>
              <w:autoSpaceDE w:val="0"/>
              <w:autoSpaceDN w:val="0"/>
              <w:adjustRightInd w:val="0"/>
              <w:ind w:left="34"/>
              <w:rPr>
                <w:rFonts w:ascii="Arial" w:hAnsi="Arial" w:cs="Arial"/>
                <w:bCs/>
                <w:color w:val="000000"/>
                <w:sz w:val="20"/>
                <w:szCs w:val="20"/>
                <w:lang w:eastAsia="en-ZA"/>
              </w:rPr>
            </w:pPr>
          </w:p>
          <w:p w:rsidR="00587F48" w:rsidRPr="00C70473" w:rsidRDefault="00587F48" w:rsidP="00C70473">
            <w:pPr>
              <w:autoSpaceDE w:val="0"/>
              <w:autoSpaceDN w:val="0"/>
              <w:adjustRightInd w:val="0"/>
              <w:rPr>
                <w:rFonts w:ascii="Arial" w:hAnsi="Arial" w:cs="Arial"/>
                <w:b/>
                <w:bCs/>
                <w:color w:val="000000"/>
                <w:sz w:val="20"/>
                <w:szCs w:val="20"/>
                <w:lang w:eastAsia="en-ZA"/>
              </w:rPr>
            </w:pPr>
            <w:r w:rsidRPr="00C70473">
              <w:rPr>
                <w:rFonts w:ascii="Arial" w:hAnsi="Arial" w:cs="Arial"/>
                <w:b/>
                <w:bCs/>
                <w:color w:val="000000"/>
                <w:sz w:val="20"/>
                <w:szCs w:val="20"/>
                <w:lang w:eastAsia="en-ZA"/>
              </w:rPr>
              <w:t>Reason for deviation:</w:t>
            </w:r>
          </w:p>
          <w:p w:rsidR="00587F48" w:rsidRPr="00C70473" w:rsidRDefault="00587F48" w:rsidP="00C70473">
            <w:pPr>
              <w:autoSpaceDE w:val="0"/>
              <w:autoSpaceDN w:val="0"/>
              <w:adjustRightInd w:val="0"/>
              <w:rPr>
                <w:rFonts w:ascii="Arial" w:hAnsi="Arial" w:cs="Arial"/>
                <w:sz w:val="20"/>
                <w:szCs w:val="20"/>
              </w:rPr>
            </w:pPr>
            <w:r w:rsidRPr="00C70473">
              <w:rPr>
                <w:rFonts w:ascii="Arial" w:hAnsi="Arial" w:cs="Arial"/>
                <w:sz w:val="20"/>
                <w:szCs w:val="20"/>
              </w:rPr>
              <w:t>The full extradition documents were not received from the requesting countries for the SAPS to facilitate the arrests within the reporting time frame</w:t>
            </w:r>
          </w:p>
        </w:tc>
      </w:tr>
    </w:tbl>
    <w:p w:rsidR="00587F48" w:rsidRPr="00C70473" w:rsidRDefault="00587F48" w:rsidP="00C70473">
      <w:pPr>
        <w:spacing w:after="0" w:line="240" w:lineRule="auto"/>
        <w:rPr>
          <w:rFonts w:ascii="Arial" w:hAnsi="Arial" w:cs="Arial"/>
          <w:b/>
          <w:sz w:val="20"/>
          <w:szCs w:val="20"/>
        </w:rPr>
      </w:pPr>
    </w:p>
    <w:p w:rsidR="00587F48" w:rsidRPr="00C70473" w:rsidRDefault="00587F48" w:rsidP="00C70473">
      <w:pPr>
        <w:pStyle w:val="Heading3"/>
        <w:numPr>
          <w:ilvl w:val="2"/>
          <w:numId w:val="106"/>
        </w:numPr>
        <w:spacing w:before="0" w:line="240" w:lineRule="auto"/>
        <w:rPr>
          <w:rFonts w:ascii="Arial" w:hAnsi="Arial" w:cs="Arial"/>
          <w:b/>
          <w:color w:val="auto"/>
          <w:sz w:val="20"/>
          <w:szCs w:val="20"/>
        </w:rPr>
      </w:pPr>
      <w:bookmarkStart w:id="25" w:name="_Toc115863873"/>
      <w:r w:rsidRPr="00C70473">
        <w:rPr>
          <w:rFonts w:ascii="Arial" w:hAnsi="Arial" w:cs="Arial"/>
          <w:b/>
          <w:color w:val="auto"/>
          <w:sz w:val="20"/>
          <w:szCs w:val="20"/>
        </w:rPr>
        <w:t>Programme 5: Protection and Security Services</w:t>
      </w:r>
      <w:bookmarkEnd w:id="25"/>
      <w:r w:rsidRPr="00C70473">
        <w:rPr>
          <w:rFonts w:ascii="Arial" w:hAnsi="Arial" w:cs="Arial"/>
          <w:b/>
          <w:color w:val="auto"/>
          <w:sz w:val="20"/>
          <w:szCs w:val="20"/>
        </w:rPr>
        <w:t xml:space="preserve"> </w:t>
      </w:r>
    </w:p>
    <w:p w:rsidR="00587F48" w:rsidRPr="00C70473" w:rsidRDefault="00587F48" w:rsidP="00C70473">
      <w:pPr>
        <w:autoSpaceDE w:val="0"/>
        <w:autoSpaceDN w:val="0"/>
        <w:adjustRightInd w:val="0"/>
        <w:spacing w:after="0" w:line="240" w:lineRule="auto"/>
        <w:rPr>
          <w:rFonts w:ascii="Arial" w:hAnsi="Arial" w:cs="Arial"/>
          <w:color w:val="000000"/>
          <w:sz w:val="20"/>
          <w:szCs w:val="20"/>
        </w:rPr>
      </w:pPr>
    </w:p>
    <w:tbl>
      <w:tblPr>
        <w:tblStyle w:val="TableGrid"/>
        <w:tblW w:w="0" w:type="auto"/>
        <w:tblInd w:w="-147" w:type="dxa"/>
        <w:tblLook w:val="04A0"/>
      </w:tblPr>
      <w:tblGrid>
        <w:gridCol w:w="9163"/>
      </w:tblGrid>
      <w:tr w:rsidR="00DC1145" w:rsidRPr="00C70473" w:rsidTr="00DC1145">
        <w:trPr>
          <w:trHeight w:val="939"/>
        </w:trPr>
        <w:tc>
          <w:tcPr>
            <w:tcW w:w="9163" w:type="dxa"/>
            <w:shd w:val="clear" w:color="auto" w:fill="auto"/>
            <w:vAlign w:val="center"/>
          </w:tcPr>
          <w:p w:rsidR="00587F48" w:rsidRPr="00C70473" w:rsidRDefault="00587F48" w:rsidP="00C70473">
            <w:pPr>
              <w:rPr>
                <w:rFonts w:ascii="Arial" w:hAnsi="Arial" w:cs="Arial"/>
                <w:b/>
                <w:sz w:val="20"/>
                <w:szCs w:val="20"/>
              </w:rPr>
            </w:pPr>
            <w:r w:rsidRPr="00C70473">
              <w:rPr>
                <w:rFonts w:ascii="Arial" w:hAnsi="Arial" w:cs="Arial"/>
                <w:b/>
                <w:sz w:val="20"/>
                <w:szCs w:val="20"/>
              </w:rPr>
              <w:t>Protection and Security Services Programme achieved 5 from 7 performance targets</w:t>
            </w:r>
          </w:p>
          <w:p w:rsidR="00587F48" w:rsidRPr="00C70473" w:rsidRDefault="00587F48" w:rsidP="00C70473">
            <w:pPr>
              <w:autoSpaceDE w:val="0"/>
              <w:autoSpaceDN w:val="0"/>
              <w:adjustRightInd w:val="0"/>
              <w:rPr>
                <w:rFonts w:ascii="Arial" w:hAnsi="Arial" w:cs="Arial"/>
                <w:sz w:val="20"/>
                <w:szCs w:val="20"/>
              </w:rPr>
            </w:pPr>
            <w:r w:rsidRPr="00C70473">
              <w:rPr>
                <w:rFonts w:ascii="Arial" w:hAnsi="Arial" w:cs="Arial"/>
                <w:b/>
                <w:sz w:val="20"/>
                <w:szCs w:val="20"/>
              </w:rPr>
              <w:t>Achievement rate of 71.4%</w:t>
            </w:r>
          </w:p>
        </w:tc>
      </w:tr>
    </w:tbl>
    <w:p w:rsidR="00587F48" w:rsidRPr="00C70473" w:rsidRDefault="00587F48" w:rsidP="00C70473">
      <w:pPr>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 xml:space="preserve">The Protection and Security Services Programme achieved five of its seven performance targets for 2021/22, thus not achieving two targets. </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b/>
          <w:sz w:val="20"/>
          <w:szCs w:val="20"/>
        </w:rPr>
      </w:pPr>
      <w:r w:rsidRPr="00C70473">
        <w:rPr>
          <w:rFonts w:ascii="Arial" w:hAnsi="Arial" w:cs="Arial"/>
          <w:b/>
          <w:sz w:val="20"/>
          <w:szCs w:val="20"/>
        </w:rPr>
        <w:t>Targets not achieved in 2021/22</w:t>
      </w:r>
    </w:p>
    <w:tbl>
      <w:tblPr>
        <w:tblStyle w:val="TableGrid"/>
        <w:tblW w:w="0" w:type="auto"/>
        <w:tblLook w:val="04A0"/>
      </w:tblPr>
      <w:tblGrid>
        <w:gridCol w:w="4508"/>
        <w:gridCol w:w="4508"/>
      </w:tblGrid>
      <w:tr w:rsidR="00587F48" w:rsidRPr="00C70473" w:rsidTr="00DC1145">
        <w:tc>
          <w:tcPr>
            <w:tcW w:w="4508" w:type="dxa"/>
            <w:shd w:val="clear" w:color="auto" w:fill="auto"/>
          </w:tcPr>
          <w:p w:rsidR="00587F48" w:rsidRPr="00C70473" w:rsidRDefault="00587F48" w:rsidP="00C70473">
            <w:pPr>
              <w:autoSpaceDE w:val="0"/>
              <w:autoSpaceDN w:val="0"/>
              <w:adjustRightInd w:val="0"/>
              <w:rPr>
                <w:rFonts w:ascii="Arial" w:hAnsi="Arial" w:cs="Arial"/>
                <w:b/>
                <w:sz w:val="20"/>
                <w:szCs w:val="20"/>
              </w:rPr>
            </w:pPr>
            <w:r w:rsidRPr="00C70473">
              <w:rPr>
                <w:rFonts w:ascii="Arial" w:hAnsi="Arial" w:cs="Arial"/>
                <w:b/>
                <w:sz w:val="20"/>
                <w:szCs w:val="20"/>
              </w:rPr>
              <w:t>Protection and Security Services</w:t>
            </w:r>
          </w:p>
          <w:p w:rsidR="00587F48" w:rsidRPr="00C70473" w:rsidRDefault="00587F48" w:rsidP="00C70473">
            <w:pPr>
              <w:autoSpaceDE w:val="0"/>
              <w:autoSpaceDN w:val="0"/>
              <w:adjustRightInd w:val="0"/>
              <w:rPr>
                <w:rFonts w:ascii="Arial" w:hAnsi="Arial" w:cs="Arial"/>
                <w:b/>
                <w:sz w:val="20"/>
                <w:szCs w:val="20"/>
              </w:rPr>
            </w:pPr>
            <w:r w:rsidRPr="00C70473">
              <w:rPr>
                <w:rFonts w:ascii="Arial" w:hAnsi="Arial" w:cs="Arial"/>
                <w:b/>
                <w:sz w:val="20"/>
                <w:szCs w:val="20"/>
              </w:rPr>
              <w:t>Static Protection Subprogramme</w:t>
            </w:r>
          </w:p>
        </w:tc>
        <w:tc>
          <w:tcPr>
            <w:tcW w:w="4508" w:type="dxa"/>
            <w:shd w:val="clear" w:color="auto" w:fill="auto"/>
          </w:tcPr>
          <w:p w:rsidR="00587F48" w:rsidRPr="00C70473" w:rsidRDefault="00587F48" w:rsidP="00C70473">
            <w:pPr>
              <w:autoSpaceDE w:val="0"/>
              <w:autoSpaceDN w:val="0"/>
              <w:adjustRightInd w:val="0"/>
              <w:rPr>
                <w:rFonts w:ascii="Arial" w:hAnsi="Arial" w:cs="Arial"/>
                <w:b/>
                <w:sz w:val="20"/>
                <w:szCs w:val="20"/>
              </w:rPr>
            </w:pPr>
            <w:r w:rsidRPr="00C70473">
              <w:rPr>
                <w:rFonts w:ascii="Arial" w:hAnsi="Arial" w:cs="Arial"/>
                <w:b/>
                <w:sz w:val="20"/>
                <w:szCs w:val="20"/>
              </w:rPr>
              <w:t>Presidential Protection Services</w:t>
            </w:r>
          </w:p>
          <w:p w:rsidR="00587F48" w:rsidRPr="00C70473" w:rsidRDefault="00587F48" w:rsidP="00C70473">
            <w:pPr>
              <w:autoSpaceDE w:val="0"/>
              <w:autoSpaceDN w:val="0"/>
              <w:adjustRightInd w:val="0"/>
              <w:rPr>
                <w:rFonts w:ascii="Arial" w:hAnsi="Arial" w:cs="Arial"/>
                <w:b/>
                <w:sz w:val="20"/>
                <w:szCs w:val="20"/>
              </w:rPr>
            </w:pPr>
            <w:r w:rsidRPr="00C70473">
              <w:rPr>
                <w:rFonts w:ascii="Arial" w:hAnsi="Arial" w:cs="Arial"/>
                <w:b/>
                <w:sz w:val="20"/>
                <w:szCs w:val="20"/>
              </w:rPr>
              <w:t>Static Protection Subprogramme</w:t>
            </w:r>
          </w:p>
        </w:tc>
      </w:tr>
      <w:tr w:rsidR="00587F48" w:rsidRPr="00C70473" w:rsidTr="00587F48">
        <w:tc>
          <w:tcPr>
            <w:tcW w:w="4508" w:type="dxa"/>
          </w:tcPr>
          <w:p w:rsidR="00587F48" w:rsidRPr="00C70473" w:rsidRDefault="00587F48" w:rsidP="00C70473">
            <w:pPr>
              <w:autoSpaceDE w:val="0"/>
              <w:autoSpaceDN w:val="0"/>
              <w:adjustRightInd w:val="0"/>
              <w:rPr>
                <w:rFonts w:ascii="Arial" w:hAnsi="Arial" w:cs="Arial"/>
                <w:sz w:val="20"/>
                <w:szCs w:val="20"/>
              </w:rPr>
            </w:pPr>
            <w:r w:rsidRPr="00C70473">
              <w:rPr>
                <w:rFonts w:ascii="Arial" w:hAnsi="Arial" w:cs="Arial"/>
                <w:sz w:val="20"/>
                <w:szCs w:val="20"/>
              </w:rPr>
              <w:t>Number of security breaches at identified government installations and identified VIP residences</w:t>
            </w:r>
          </w:p>
          <w:p w:rsidR="00587F48" w:rsidRPr="00C70473" w:rsidRDefault="00587F48" w:rsidP="00C70473">
            <w:pPr>
              <w:pStyle w:val="ListParagraph"/>
              <w:numPr>
                <w:ilvl w:val="0"/>
                <w:numId w:val="97"/>
              </w:numPr>
              <w:autoSpaceDE w:val="0"/>
              <w:autoSpaceDN w:val="0"/>
              <w:adjustRightInd w:val="0"/>
              <w:spacing w:after="0" w:line="240" w:lineRule="auto"/>
              <w:ind w:left="172" w:hanging="142"/>
              <w:rPr>
                <w:rFonts w:ascii="Arial" w:hAnsi="Arial" w:cs="Arial"/>
                <w:sz w:val="20"/>
                <w:szCs w:val="20"/>
              </w:rPr>
            </w:pPr>
            <w:r w:rsidRPr="00C70473">
              <w:rPr>
                <w:rFonts w:ascii="Arial" w:hAnsi="Arial" w:cs="Arial"/>
                <w:sz w:val="20"/>
                <w:szCs w:val="20"/>
              </w:rPr>
              <w:t xml:space="preserve">Target: Zero security breaches </w:t>
            </w:r>
          </w:p>
          <w:p w:rsidR="00587F48" w:rsidRPr="00C70473" w:rsidRDefault="00587F48" w:rsidP="00C70473">
            <w:pPr>
              <w:pStyle w:val="ListParagraph"/>
              <w:numPr>
                <w:ilvl w:val="0"/>
                <w:numId w:val="97"/>
              </w:numPr>
              <w:autoSpaceDE w:val="0"/>
              <w:autoSpaceDN w:val="0"/>
              <w:adjustRightInd w:val="0"/>
              <w:spacing w:after="0" w:line="240" w:lineRule="auto"/>
              <w:ind w:left="172" w:hanging="142"/>
              <w:rPr>
                <w:rFonts w:ascii="Arial" w:hAnsi="Arial" w:cs="Arial"/>
                <w:sz w:val="20"/>
                <w:szCs w:val="20"/>
              </w:rPr>
            </w:pPr>
            <w:r w:rsidRPr="00C70473">
              <w:rPr>
                <w:rFonts w:ascii="Arial" w:hAnsi="Arial" w:cs="Arial"/>
                <w:sz w:val="20"/>
                <w:szCs w:val="20"/>
              </w:rPr>
              <w:t xml:space="preserve">Achieved: Two security breaches </w:t>
            </w:r>
          </w:p>
          <w:p w:rsidR="00587F48" w:rsidRPr="00C70473" w:rsidRDefault="00587F48" w:rsidP="00C70473">
            <w:pPr>
              <w:pStyle w:val="ListParagraph"/>
              <w:numPr>
                <w:ilvl w:val="0"/>
                <w:numId w:val="97"/>
              </w:numPr>
              <w:autoSpaceDE w:val="0"/>
              <w:autoSpaceDN w:val="0"/>
              <w:adjustRightInd w:val="0"/>
              <w:spacing w:after="0" w:line="240" w:lineRule="auto"/>
              <w:ind w:left="172" w:hanging="142"/>
              <w:rPr>
                <w:rFonts w:ascii="Arial" w:hAnsi="Arial" w:cs="Arial"/>
                <w:sz w:val="20"/>
                <w:szCs w:val="20"/>
              </w:rPr>
            </w:pPr>
            <w:r w:rsidRPr="00C70473">
              <w:rPr>
                <w:rFonts w:ascii="Arial" w:hAnsi="Arial" w:cs="Arial"/>
                <w:sz w:val="20"/>
                <w:szCs w:val="20"/>
              </w:rPr>
              <w:lastRenderedPageBreak/>
              <w:t xml:space="preserve">Deviation: -2 </w:t>
            </w:r>
          </w:p>
          <w:p w:rsidR="00587F48" w:rsidRPr="00C70473" w:rsidRDefault="00587F48" w:rsidP="00C70473">
            <w:pPr>
              <w:autoSpaceDE w:val="0"/>
              <w:autoSpaceDN w:val="0"/>
              <w:adjustRightInd w:val="0"/>
              <w:rPr>
                <w:rFonts w:ascii="Arial" w:hAnsi="Arial" w:cs="Arial"/>
                <w:sz w:val="20"/>
                <w:szCs w:val="20"/>
              </w:rPr>
            </w:pPr>
          </w:p>
          <w:p w:rsidR="00587F48" w:rsidRPr="00C70473" w:rsidRDefault="00587F48" w:rsidP="00C70473">
            <w:pPr>
              <w:autoSpaceDE w:val="0"/>
              <w:autoSpaceDN w:val="0"/>
              <w:adjustRightInd w:val="0"/>
              <w:rPr>
                <w:rFonts w:ascii="Arial" w:hAnsi="Arial" w:cs="Arial"/>
                <w:b/>
                <w:sz w:val="20"/>
                <w:szCs w:val="20"/>
              </w:rPr>
            </w:pPr>
            <w:r w:rsidRPr="00C70473">
              <w:rPr>
                <w:rFonts w:ascii="Arial" w:hAnsi="Arial" w:cs="Arial"/>
                <w:b/>
                <w:sz w:val="20"/>
                <w:szCs w:val="20"/>
              </w:rPr>
              <w:t xml:space="preserve">Reason for deviation </w:t>
            </w:r>
          </w:p>
          <w:p w:rsidR="00587F48" w:rsidRPr="00C70473" w:rsidRDefault="00587F48" w:rsidP="00C70473">
            <w:pPr>
              <w:pStyle w:val="ListParagraph"/>
              <w:numPr>
                <w:ilvl w:val="0"/>
                <w:numId w:val="98"/>
              </w:numPr>
              <w:autoSpaceDE w:val="0"/>
              <w:autoSpaceDN w:val="0"/>
              <w:adjustRightInd w:val="0"/>
              <w:spacing w:after="0" w:line="240" w:lineRule="auto"/>
              <w:ind w:left="455" w:hanging="283"/>
              <w:rPr>
                <w:rFonts w:ascii="Arial" w:hAnsi="Arial" w:cs="Arial"/>
                <w:sz w:val="20"/>
                <w:szCs w:val="20"/>
              </w:rPr>
            </w:pPr>
            <w:r w:rsidRPr="00C70473">
              <w:rPr>
                <w:rFonts w:ascii="Arial" w:hAnsi="Arial" w:cs="Arial"/>
                <w:sz w:val="20"/>
                <w:szCs w:val="20"/>
              </w:rPr>
              <w:t>Housebreaking and theft at a VIP residence and arson, at Parliament, due to insufficient and dysfunctional security measures on site; insufficient members to cover all posts, in terms of the Static SOPs (i.e., two members per post); and extended mandate.</w:t>
            </w:r>
          </w:p>
          <w:p w:rsidR="00587F48" w:rsidRPr="00C70473" w:rsidRDefault="00587F48" w:rsidP="00C70473">
            <w:pPr>
              <w:pStyle w:val="ListParagraph"/>
              <w:numPr>
                <w:ilvl w:val="0"/>
                <w:numId w:val="98"/>
              </w:numPr>
              <w:autoSpaceDE w:val="0"/>
              <w:autoSpaceDN w:val="0"/>
              <w:adjustRightInd w:val="0"/>
              <w:spacing w:after="0" w:line="240" w:lineRule="auto"/>
              <w:ind w:left="455" w:hanging="283"/>
              <w:rPr>
                <w:rFonts w:ascii="Arial" w:hAnsi="Arial" w:cs="Arial"/>
                <w:sz w:val="20"/>
                <w:szCs w:val="20"/>
              </w:rPr>
            </w:pPr>
            <w:r w:rsidRPr="00C70473">
              <w:rPr>
                <w:rFonts w:ascii="Arial" w:hAnsi="Arial" w:cs="Arial"/>
                <w:sz w:val="20"/>
                <w:szCs w:val="20"/>
              </w:rPr>
              <w:t>Insufficient visits by commanders and Static Rapid Response.</w:t>
            </w:r>
          </w:p>
        </w:tc>
        <w:tc>
          <w:tcPr>
            <w:tcW w:w="4508" w:type="dxa"/>
          </w:tcPr>
          <w:p w:rsidR="00587F48" w:rsidRPr="00C70473" w:rsidRDefault="00587F48" w:rsidP="00C70473">
            <w:pPr>
              <w:autoSpaceDE w:val="0"/>
              <w:autoSpaceDN w:val="0"/>
              <w:adjustRightInd w:val="0"/>
              <w:rPr>
                <w:rFonts w:ascii="Arial" w:hAnsi="Arial" w:cs="Arial"/>
                <w:sz w:val="20"/>
                <w:szCs w:val="20"/>
              </w:rPr>
            </w:pPr>
            <w:r w:rsidRPr="00C70473">
              <w:rPr>
                <w:rFonts w:ascii="Arial" w:hAnsi="Arial" w:cs="Arial"/>
                <w:sz w:val="20"/>
                <w:szCs w:val="20"/>
              </w:rPr>
              <w:lastRenderedPageBreak/>
              <w:t>Number of security breaches at identified government installations</w:t>
            </w:r>
          </w:p>
          <w:p w:rsidR="00587F48" w:rsidRPr="00C70473" w:rsidRDefault="00587F48" w:rsidP="00C70473">
            <w:pPr>
              <w:pStyle w:val="ListParagraph"/>
              <w:numPr>
                <w:ilvl w:val="0"/>
                <w:numId w:val="97"/>
              </w:numPr>
              <w:autoSpaceDE w:val="0"/>
              <w:autoSpaceDN w:val="0"/>
              <w:adjustRightInd w:val="0"/>
              <w:spacing w:after="0" w:line="240" w:lineRule="auto"/>
              <w:ind w:left="172" w:hanging="142"/>
              <w:rPr>
                <w:rFonts w:ascii="Arial" w:hAnsi="Arial" w:cs="Arial"/>
                <w:sz w:val="20"/>
                <w:szCs w:val="20"/>
              </w:rPr>
            </w:pPr>
            <w:r w:rsidRPr="00C70473">
              <w:rPr>
                <w:rFonts w:ascii="Arial" w:hAnsi="Arial" w:cs="Arial"/>
                <w:sz w:val="20"/>
                <w:szCs w:val="20"/>
              </w:rPr>
              <w:t xml:space="preserve">Target: Zero security breaches </w:t>
            </w:r>
          </w:p>
          <w:p w:rsidR="00587F48" w:rsidRPr="00C70473" w:rsidRDefault="00587F48" w:rsidP="00C70473">
            <w:pPr>
              <w:pStyle w:val="ListParagraph"/>
              <w:numPr>
                <w:ilvl w:val="0"/>
                <w:numId w:val="97"/>
              </w:numPr>
              <w:autoSpaceDE w:val="0"/>
              <w:autoSpaceDN w:val="0"/>
              <w:adjustRightInd w:val="0"/>
              <w:spacing w:after="0" w:line="240" w:lineRule="auto"/>
              <w:ind w:left="172" w:hanging="142"/>
              <w:rPr>
                <w:rFonts w:ascii="Arial" w:hAnsi="Arial" w:cs="Arial"/>
                <w:sz w:val="20"/>
                <w:szCs w:val="20"/>
              </w:rPr>
            </w:pPr>
            <w:r w:rsidRPr="00C70473">
              <w:rPr>
                <w:rFonts w:ascii="Arial" w:hAnsi="Arial" w:cs="Arial"/>
                <w:sz w:val="20"/>
                <w:szCs w:val="20"/>
              </w:rPr>
              <w:t xml:space="preserve">Achieved: One security breach </w:t>
            </w:r>
          </w:p>
          <w:p w:rsidR="00587F48" w:rsidRPr="00C70473" w:rsidRDefault="00587F48" w:rsidP="00C70473">
            <w:pPr>
              <w:pStyle w:val="ListParagraph"/>
              <w:numPr>
                <w:ilvl w:val="0"/>
                <w:numId w:val="97"/>
              </w:numPr>
              <w:autoSpaceDE w:val="0"/>
              <w:autoSpaceDN w:val="0"/>
              <w:adjustRightInd w:val="0"/>
              <w:spacing w:after="0" w:line="240" w:lineRule="auto"/>
              <w:ind w:left="172" w:hanging="142"/>
              <w:rPr>
                <w:rFonts w:ascii="Arial" w:hAnsi="Arial" w:cs="Arial"/>
                <w:sz w:val="20"/>
                <w:szCs w:val="20"/>
              </w:rPr>
            </w:pPr>
            <w:r w:rsidRPr="00C70473">
              <w:rPr>
                <w:rFonts w:ascii="Arial" w:hAnsi="Arial" w:cs="Arial"/>
                <w:sz w:val="20"/>
                <w:szCs w:val="20"/>
              </w:rPr>
              <w:t xml:space="preserve">Deviation: -1 </w:t>
            </w:r>
          </w:p>
          <w:p w:rsidR="00587F48" w:rsidRPr="00C70473" w:rsidRDefault="00587F48" w:rsidP="00C70473">
            <w:pPr>
              <w:autoSpaceDE w:val="0"/>
              <w:autoSpaceDN w:val="0"/>
              <w:adjustRightInd w:val="0"/>
              <w:rPr>
                <w:rFonts w:ascii="Arial" w:hAnsi="Arial" w:cs="Arial"/>
                <w:sz w:val="20"/>
                <w:szCs w:val="20"/>
              </w:rPr>
            </w:pPr>
          </w:p>
          <w:p w:rsidR="00587F48" w:rsidRPr="00C70473" w:rsidRDefault="00587F48" w:rsidP="00C70473">
            <w:pPr>
              <w:autoSpaceDE w:val="0"/>
              <w:autoSpaceDN w:val="0"/>
              <w:adjustRightInd w:val="0"/>
              <w:rPr>
                <w:rFonts w:ascii="Arial" w:hAnsi="Arial" w:cs="Arial"/>
                <w:b/>
                <w:sz w:val="20"/>
                <w:szCs w:val="20"/>
              </w:rPr>
            </w:pPr>
            <w:r w:rsidRPr="00C70473">
              <w:rPr>
                <w:rFonts w:ascii="Arial" w:hAnsi="Arial" w:cs="Arial"/>
                <w:b/>
                <w:sz w:val="20"/>
                <w:szCs w:val="20"/>
              </w:rPr>
              <w:t>Reason for deviation</w:t>
            </w:r>
          </w:p>
          <w:p w:rsidR="00587F48" w:rsidRPr="00C70473" w:rsidRDefault="00587F48" w:rsidP="00C70473">
            <w:pPr>
              <w:pStyle w:val="ListParagraph"/>
              <w:numPr>
                <w:ilvl w:val="0"/>
                <w:numId w:val="99"/>
              </w:numPr>
              <w:autoSpaceDE w:val="0"/>
              <w:autoSpaceDN w:val="0"/>
              <w:adjustRightInd w:val="0"/>
              <w:spacing w:after="0" w:line="240" w:lineRule="auto"/>
              <w:ind w:left="342" w:hanging="284"/>
              <w:rPr>
                <w:rFonts w:ascii="Arial" w:hAnsi="Arial" w:cs="Arial"/>
                <w:sz w:val="20"/>
                <w:szCs w:val="20"/>
              </w:rPr>
            </w:pPr>
            <w:r w:rsidRPr="00C70473">
              <w:rPr>
                <w:rFonts w:ascii="Arial" w:hAnsi="Arial" w:cs="Arial"/>
                <w:sz w:val="20"/>
                <w:szCs w:val="20"/>
              </w:rPr>
              <w:t>Member not adhering to SOPs.</w:t>
            </w:r>
          </w:p>
          <w:p w:rsidR="00587F48" w:rsidRPr="00C70473" w:rsidRDefault="00587F48" w:rsidP="00C70473">
            <w:pPr>
              <w:pStyle w:val="ListParagraph"/>
              <w:numPr>
                <w:ilvl w:val="0"/>
                <w:numId w:val="99"/>
              </w:numPr>
              <w:autoSpaceDE w:val="0"/>
              <w:autoSpaceDN w:val="0"/>
              <w:adjustRightInd w:val="0"/>
              <w:spacing w:after="0" w:line="240" w:lineRule="auto"/>
              <w:ind w:left="342" w:hanging="284"/>
              <w:rPr>
                <w:rFonts w:ascii="Arial" w:hAnsi="Arial" w:cs="Arial"/>
                <w:sz w:val="20"/>
                <w:szCs w:val="20"/>
              </w:rPr>
            </w:pPr>
            <w:r w:rsidRPr="00C70473">
              <w:rPr>
                <w:rFonts w:ascii="Arial" w:hAnsi="Arial" w:cs="Arial"/>
                <w:sz w:val="20"/>
                <w:szCs w:val="20"/>
              </w:rPr>
              <w:t>Consequence management to be instituted.</w:t>
            </w:r>
          </w:p>
        </w:tc>
      </w:tr>
    </w:tbl>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b/>
          <w:sz w:val="20"/>
          <w:szCs w:val="20"/>
        </w:rPr>
      </w:pPr>
      <w:r w:rsidRPr="00C70473">
        <w:rPr>
          <w:rFonts w:ascii="Arial" w:hAnsi="Arial" w:cs="Arial"/>
          <w:b/>
          <w:sz w:val="20"/>
          <w:szCs w:val="20"/>
        </w:rPr>
        <w:t>Provision of in-transit protection</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pStyle w:val="ListParagraph"/>
        <w:numPr>
          <w:ilvl w:val="0"/>
          <w:numId w:val="101"/>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During the period under review, in-transit protection was provided to 62 national and 124 provincial dignitaries, as well as 17 ad hoc and 15 foreign dignitaries that visited South Africa.</w:t>
      </w:r>
    </w:p>
    <w:p w:rsidR="00587F48" w:rsidRPr="00C70473" w:rsidRDefault="00587F48" w:rsidP="00C70473">
      <w:pPr>
        <w:pStyle w:val="ListParagraph"/>
        <w:autoSpaceDE w:val="0"/>
        <w:autoSpaceDN w:val="0"/>
        <w:adjustRightInd w:val="0"/>
        <w:spacing w:after="0" w:line="240" w:lineRule="auto"/>
        <w:rPr>
          <w:rFonts w:ascii="Arial" w:hAnsi="Arial" w:cs="Arial"/>
          <w:sz w:val="20"/>
          <w:szCs w:val="20"/>
        </w:rPr>
      </w:pPr>
    </w:p>
    <w:p w:rsidR="00587F48" w:rsidRPr="00C70473" w:rsidRDefault="00587F48" w:rsidP="00C70473">
      <w:pPr>
        <w:pStyle w:val="ListParagraph"/>
        <w:numPr>
          <w:ilvl w:val="0"/>
          <w:numId w:val="101"/>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There was a total number of 15 274 South African VIP movements within South Africa and abroad. No security breaches occurred during the protection of South African VIPs, within South Africa, during major/special, national or provincial events, or during visits by foreign VIPs to the country, as well as on visits abroad, by South African VIPs.</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b/>
          <w:sz w:val="20"/>
          <w:szCs w:val="20"/>
        </w:rPr>
      </w:pPr>
      <w:r w:rsidRPr="00C70473">
        <w:rPr>
          <w:rFonts w:ascii="Arial" w:hAnsi="Arial" w:cs="Arial"/>
          <w:b/>
          <w:sz w:val="20"/>
          <w:szCs w:val="20"/>
        </w:rPr>
        <w:t>Provision of static protection</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pStyle w:val="ListParagraph"/>
        <w:numPr>
          <w:ilvl w:val="0"/>
          <w:numId w:val="100"/>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Operational protection was provided at one major event, three special events and 79 provincial events, including the State of the Nation Address (SONA), State of the Province Addresses (SOPAs), the African National Congress (ANC) January 8 Statement and Manifesto Launch, National Executive Committees and Cabinet Lekgotlas.</w:t>
      </w:r>
    </w:p>
    <w:p w:rsidR="00587F48" w:rsidRPr="00C70473" w:rsidRDefault="00587F48" w:rsidP="00C70473">
      <w:pPr>
        <w:pStyle w:val="ListParagraph"/>
        <w:autoSpaceDE w:val="0"/>
        <w:autoSpaceDN w:val="0"/>
        <w:adjustRightInd w:val="0"/>
        <w:spacing w:after="0" w:line="240" w:lineRule="auto"/>
        <w:rPr>
          <w:rFonts w:ascii="Arial" w:hAnsi="Arial" w:cs="Arial"/>
          <w:sz w:val="20"/>
          <w:szCs w:val="20"/>
        </w:rPr>
      </w:pPr>
    </w:p>
    <w:p w:rsidR="00587F48" w:rsidRPr="00C70473" w:rsidRDefault="00587F48" w:rsidP="00C70473">
      <w:pPr>
        <w:pStyle w:val="ListParagraph"/>
        <w:numPr>
          <w:ilvl w:val="0"/>
          <w:numId w:val="100"/>
        </w:numPr>
        <w:autoSpaceDE w:val="0"/>
        <w:autoSpaceDN w:val="0"/>
        <w:adjustRightInd w:val="0"/>
        <w:spacing w:after="0" w:line="240" w:lineRule="auto"/>
        <w:rPr>
          <w:rFonts w:ascii="Arial" w:hAnsi="Arial" w:cs="Arial"/>
          <w:sz w:val="20"/>
          <w:szCs w:val="20"/>
        </w:rPr>
      </w:pPr>
      <w:r w:rsidRPr="00C70473">
        <w:rPr>
          <w:rFonts w:ascii="Arial" w:hAnsi="Arial" w:cs="Arial"/>
          <w:sz w:val="20"/>
          <w:szCs w:val="20"/>
        </w:rPr>
        <w:t>During 2021/22, a total number of 85 054 protection services were provided by 14 Static Units, which covered 83 identified VIP residences and 40 strategic installations, which are located throughout South Africa, as well as 11 buildings occupied by the SAPS. Two security breaches occurred, a housebreaking and theft at a VIP residence and arson, at Parliament.</w:t>
      </w:r>
    </w:p>
    <w:p w:rsidR="00587F48" w:rsidRPr="00C70473" w:rsidRDefault="00587F48" w:rsidP="00C70473">
      <w:pPr>
        <w:spacing w:after="0" w:line="240" w:lineRule="auto"/>
        <w:rPr>
          <w:rFonts w:ascii="Arial" w:hAnsi="Arial" w:cs="Arial"/>
          <w:b/>
          <w:sz w:val="20"/>
          <w:szCs w:val="20"/>
        </w:rPr>
      </w:pPr>
    </w:p>
    <w:p w:rsidR="00090BD3" w:rsidRPr="00C70473" w:rsidRDefault="00090BD3" w:rsidP="00C70473">
      <w:pPr>
        <w:pStyle w:val="ListParagraph"/>
        <w:numPr>
          <w:ilvl w:val="0"/>
          <w:numId w:val="66"/>
        </w:numPr>
        <w:spacing w:after="0" w:line="240" w:lineRule="auto"/>
        <w:rPr>
          <w:rFonts w:ascii="Arial" w:hAnsi="Arial" w:cs="Arial"/>
          <w:b/>
          <w:sz w:val="20"/>
          <w:szCs w:val="20"/>
        </w:rPr>
      </w:pPr>
      <w:r w:rsidRPr="00C70473">
        <w:rPr>
          <w:rFonts w:ascii="Arial" w:hAnsi="Arial" w:cs="Arial"/>
          <w:b/>
          <w:sz w:val="20"/>
          <w:szCs w:val="20"/>
        </w:rPr>
        <w:t xml:space="preserve">HUMAN RESOURCE MANAGEMENT </w:t>
      </w:r>
    </w:p>
    <w:p w:rsidR="00587F48" w:rsidRPr="00C70473" w:rsidRDefault="00587F48" w:rsidP="00C70473">
      <w:pPr>
        <w:spacing w:after="0" w:line="240" w:lineRule="auto"/>
        <w:rPr>
          <w:rFonts w:ascii="Arial" w:hAnsi="Arial" w:cs="Arial"/>
          <w:sz w:val="20"/>
          <w:szCs w:val="20"/>
          <w:lang w:eastAsia="en-ZA"/>
        </w:rPr>
      </w:pPr>
    </w:p>
    <w:p w:rsidR="00587F48" w:rsidRPr="00C70473" w:rsidRDefault="00587F48" w:rsidP="00C70473">
      <w:pPr>
        <w:pStyle w:val="Heading2"/>
        <w:numPr>
          <w:ilvl w:val="1"/>
          <w:numId w:val="106"/>
        </w:numPr>
        <w:spacing w:before="0" w:line="240" w:lineRule="auto"/>
        <w:rPr>
          <w:rFonts w:ascii="Arial" w:hAnsi="Arial" w:cs="Arial"/>
          <w:sz w:val="20"/>
          <w:szCs w:val="20"/>
        </w:rPr>
      </w:pPr>
      <w:bookmarkStart w:id="26" w:name="_Toc115863875"/>
      <w:r w:rsidRPr="00C70473">
        <w:rPr>
          <w:rFonts w:ascii="Arial" w:eastAsia="ArialMT" w:hAnsi="Arial" w:cs="Arial"/>
          <w:sz w:val="20"/>
          <w:szCs w:val="20"/>
          <w:lang w:eastAsia="en-ZA"/>
        </w:rPr>
        <w:t>Establishment and personnel changes</w:t>
      </w:r>
      <w:bookmarkEnd w:id="26"/>
      <w:r w:rsidRPr="00C70473">
        <w:rPr>
          <w:rFonts w:ascii="Arial" w:eastAsia="ArialMT" w:hAnsi="Arial" w:cs="Arial"/>
          <w:sz w:val="20"/>
          <w:szCs w:val="20"/>
          <w:lang w:eastAsia="en-ZA"/>
        </w:rPr>
        <w:t xml:space="preserve"> </w:t>
      </w:r>
    </w:p>
    <w:p w:rsidR="00587F48" w:rsidRPr="00C70473" w:rsidRDefault="00587F48" w:rsidP="00C70473">
      <w:pPr>
        <w:autoSpaceDE w:val="0"/>
        <w:autoSpaceDN w:val="0"/>
        <w:adjustRightInd w:val="0"/>
        <w:spacing w:after="0" w:line="240" w:lineRule="auto"/>
        <w:rPr>
          <w:rFonts w:ascii="Arial" w:eastAsia="ArialMT" w:hAnsi="Arial" w:cs="Arial"/>
          <w:sz w:val="20"/>
          <w:szCs w:val="20"/>
          <w:lang w:eastAsia="en-ZA"/>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eastAsia="ArialMT" w:hAnsi="Arial" w:cs="Arial"/>
          <w:sz w:val="20"/>
          <w:szCs w:val="20"/>
          <w:lang w:eastAsia="en-ZA"/>
        </w:rPr>
        <w:t xml:space="preserve">At the end of the 2021/22 financial year, the SAPS had 176 180 employees (compared to181 344 in 2020/21) against a year-end establishment of 175 345. As such, the Departments has 835 more employees that is funded and has a negative vacancy rate of 0.5%. All budget programmes of the SAPS, except Detective Services, have slightly more personnel that is allowed. The Detective Services programme had a vacancy rate of 2.3% at the end of March 2022. During the 2021/22 financial year, the SAPS recorded total expenditure of R78.4 billion on compensation of employees.  </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rPr>
      </w:pPr>
      <w:r w:rsidRPr="00C70473">
        <w:rPr>
          <w:rFonts w:ascii="Arial" w:eastAsia="ArialMT" w:hAnsi="Arial" w:cs="Arial"/>
          <w:sz w:val="20"/>
          <w:szCs w:val="20"/>
          <w:lang w:eastAsia="en-ZA"/>
        </w:rPr>
        <w:t xml:space="preserve">At the end of the 2021/22 financial year, 5 574 personnel left the employment of the Department, of which the majority was due to resignation (1 901), followed by retirement (1 786) and death (1 228). According to the Department, </w:t>
      </w:r>
      <w:r w:rsidRPr="00C70473">
        <w:rPr>
          <w:rFonts w:ascii="Arial" w:hAnsi="Arial" w:cs="Arial"/>
          <w:sz w:val="20"/>
          <w:szCs w:val="20"/>
        </w:rPr>
        <w:t>the most prominent reasons for employees resigning from the Service, was due to more lucrative work prospects, including better compensation opportunities. The decrease in retirements could be as a result of the early retirement without penalisation initiative that took place, between March 2020 and March 2021, or owing to the fact that there was an increase in resignations.</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autoSpaceDE w:val="0"/>
        <w:autoSpaceDN w:val="0"/>
        <w:adjustRightInd w:val="0"/>
        <w:spacing w:after="0" w:line="240" w:lineRule="auto"/>
        <w:rPr>
          <w:rFonts w:ascii="Arial" w:hAnsi="Arial" w:cs="Arial"/>
          <w:sz w:val="20"/>
          <w:szCs w:val="20"/>
          <w:u w:val="single"/>
        </w:rPr>
      </w:pPr>
      <w:r w:rsidRPr="00C70473">
        <w:rPr>
          <w:rFonts w:ascii="Arial" w:hAnsi="Arial" w:cs="Arial"/>
          <w:sz w:val="20"/>
          <w:szCs w:val="20"/>
        </w:rPr>
        <w:t xml:space="preserve">Approval was granted for the recruitment of 3 000 new entry level police trainees, during 2019/20, compromising of 2 000 current serving PSA employees to the Police Service Act and 1 000 current serving reservists as permanent members. </w:t>
      </w:r>
      <w:r w:rsidRPr="00C70473">
        <w:rPr>
          <w:rFonts w:ascii="Arial" w:hAnsi="Arial" w:cs="Arial"/>
          <w:sz w:val="20"/>
          <w:szCs w:val="20"/>
          <w:u w:val="single"/>
        </w:rPr>
        <w:t>The Minister of Police directed that 7 000 additional trainees need are to be enlisted, by 1 April 2022 and additional funding was made available by National Treasury for the enlistment of the additional trainees.</w:t>
      </w:r>
    </w:p>
    <w:p w:rsidR="00587F48" w:rsidRPr="00C70473" w:rsidRDefault="00587F48" w:rsidP="00C70473">
      <w:pPr>
        <w:autoSpaceDE w:val="0"/>
        <w:autoSpaceDN w:val="0"/>
        <w:adjustRightInd w:val="0"/>
        <w:spacing w:after="0" w:line="240" w:lineRule="auto"/>
        <w:rPr>
          <w:rFonts w:ascii="Arial" w:hAnsi="Arial" w:cs="Arial"/>
          <w:sz w:val="20"/>
          <w:szCs w:val="20"/>
        </w:rPr>
      </w:pPr>
    </w:p>
    <w:p w:rsidR="00587F48" w:rsidRPr="00C70473" w:rsidRDefault="00587F48" w:rsidP="00C70473">
      <w:pPr>
        <w:pStyle w:val="Heading2"/>
        <w:numPr>
          <w:ilvl w:val="1"/>
          <w:numId w:val="106"/>
        </w:numPr>
        <w:spacing w:before="0" w:line="240" w:lineRule="auto"/>
        <w:rPr>
          <w:rFonts w:ascii="Arial" w:hAnsi="Arial" w:cs="Arial"/>
          <w:sz w:val="20"/>
          <w:szCs w:val="20"/>
        </w:rPr>
      </w:pPr>
      <w:bookmarkStart w:id="27" w:name="_Toc115863876"/>
      <w:r w:rsidRPr="00C70473">
        <w:rPr>
          <w:rFonts w:ascii="Arial" w:hAnsi="Arial" w:cs="Arial"/>
          <w:sz w:val="20"/>
          <w:szCs w:val="20"/>
        </w:rPr>
        <w:lastRenderedPageBreak/>
        <w:t>Police/Population Ratio</w:t>
      </w:r>
      <w:bookmarkEnd w:id="27"/>
      <w:r w:rsidRPr="00C70473">
        <w:rPr>
          <w:rFonts w:ascii="Arial" w:hAnsi="Arial" w:cs="Arial"/>
          <w:sz w:val="20"/>
          <w:szCs w:val="20"/>
        </w:rPr>
        <w:t xml:space="preserve">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sz w:val="20"/>
          <w:szCs w:val="20"/>
        </w:rPr>
      </w:pPr>
      <w:r w:rsidRPr="00C70473">
        <w:rPr>
          <w:rFonts w:ascii="Arial" w:hAnsi="Arial" w:cs="Arial"/>
          <w:sz w:val="20"/>
          <w:szCs w:val="20"/>
        </w:rPr>
        <w:t>In 2020/21, the Department had a fixed establishment of 176 180 employees, of which 139 901 were SAPS Act employees and 36 279 were Public Service Act employees. Over the last eight years (2014/15 to 2021/22), the police/population ratio</w:t>
      </w:r>
      <w:r w:rsidRPr="00C70473">
        <w:rPr>
          <w:rStyle w:val="FootnoteReference"/>
          <w:rFonts w:ascii="Arial" w:hAnsi="Arial" w:cs="Arial"/>
          <w:sz w:val="20"/>
          <w:szCs w:val="20"/>
        </w:rPr>
        <w:footnoteReference w:id="4"/>
      </w:r>
      <w:r w:rsidRPr="00C70473">
        <w:rPr>
          <w:rFonts w:ascii="Arial" w:hAnsi="Arial" w:cs="Arial"/>
          <w:sz w:val="20"/>
          <w:szCs w:val="20"/>
        </w:rPr>
        <w:t xml:space="preserve"> increased year-on-year. The generally accepted benchmark is one police officer to 450 people, as such, the SAPS is within the benchmark.</w:t>
      </w:r>
      <w:r w:rsidRPr="00C70473">
        <w:rPr>
          <w:rStyle w:val="FootnoteReference"/>
          <w:rFonts w:ascii="Arial" w:hAnsi="Arial" w:cs="Arial"/>
          <w:sz w:val="20"/>
          <w:szCs w:val="20"/>
        </w:rPr>
        <w:t xml:space="preserve"> </w:t>
      </w:r>
      <w:r w:rsidRPr="00C70473">
        <w:rPr>
          <w:rFonts w:ascii="Arial" w:hAnsi="Arial" w:cs="Arial"/>
          <w:b/>
          <w:sz w:val="20"/>
          <w:szCs w:val="20"/>
        </w:rPr>
        <w:t>However, the police/population ratio is highly dependent on the crime level of an individual country and one size (or ratio) does not fit all.</w:t>
      </w:r>
      <w:r w:rsidRPr="00C70473">
        <w:rPr>
          <w:rFonts w:ascii="Arial" w:hAnsi="Arial" w:cs="Arial"/>
          <w:sz w:val="20"/>
          <w:szCs w:val="20"/>
        </w:rPr>
        <w:t xml:space="preserve">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sz w:val="20"/>
          <w:szCs w:val="20"/>
        </w:rPr>
      </w:pPr>
      <w:r w:rsidRPr="00C70473">
        <w:rPr>
          <w:rFonts w:ascii="Arial" w:hAnsi="Arial" w:cs="Arial"/>
          <w:sz w:val="20"/>
          <w:szCs w:val="20"/>
        </w:rPr>
        <w:t xml:space="preserve">In 2014/15, the police/population ratio was one police member to 358 citizens (1:358) compared to a police/population ratio of one police member to 430 citizens (1:430) in 2021/22.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b/>
          <w:sz w:val="20"/>
          <w:szCs w:val="20"/>
        </w:rPr>
      </w:pPr>
      <w:r w:rsidRPr="00C70473">
        <w:rPr>
          <w:rFonts w:ascii="Arial" w:hAnsi="Arial" w:cs="Arial"/>
          <w:b/>
          <w:sz w:val="20"/>
          <w:szCs w:val="20"/>
        </w:rPr>
        <w:t xml:space="preserve">The table below illustrates the increase in the police/pollution ratio over the past eight years between 2014/15 and 2021/22: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b/>
          <w:sz w:val="20"/>
          <w:szCs w:val="20"/>
        </w:rPr>
      </w:pPr>
      <w:r w:rsidRPr="00C70473">
        <w:rPr>
          <w:rFonts w:ascii="Arial" w:hAnsi="Arial" w:cs="Arial"/>
          <w:b/>
          <w:sz w:val="20"/>
          <w:szCs w:val="20"/>
        </w:rPr>
        <w:t>Table 3: Changes in the police/population ration over eight years</w:t>
      </w:r>
    </w:p>
    <w:tbl>
      <w:tblPr>
        <w:tblStyle w:val="TableGrid"/>
        <w:tblW w:w="10065" w:type="dxa"/>
        <w:tblInd w:w="-572" w:type="dxa"/>
        <w:tblLook w:val="04A0"/>
      </w:tblPr>
      <w:tblGrid>
        <w:gridCol w:w="2410"/>
        <w:gridCol w:w="1019"/>
        <w:gridCol w:w="943"/>
        <w:gridCol w:w="990"/>
        <w:gridCol w:w="939"/>
        <w:gridCol w:w="943"/>
        <w:gridCol w:w="943"/>
        <w:gridCol w:w="939"/>
        <w:gridCol w:w="939"/>
      </w:tblGrid>
      <w:tr w:rsidR="00587F48" w:rsidRPr="00C70473" w:rsidTr="00587F48">
        <w:trPr>
          <w:trHeight w:val="458"/>
        </w:trPr>
        <w:tc>
          <w:tcPr>
            <w:tcW w:w="2410" w:type="dxa"/>
            <w:vAlign w:val="center"/>
          </w:tcPr>
          <w:p w:rsidR="00587F48" w:rsidRPr="00C70473" w:rsidRDefault="00587F48" w:rsidP="00C70473">
            <w:pPr>
              <w:rPr>
                <w:rFonts w:ascii="Arial" w:hAnsi="Arial" w:cs="Arial"/>
                <w:b/>
                <w:sz w:val="20"/>
                <w:szCs w:val="20"/>
              </w:rPr>
            </w:pPr>
            <w:r w:rsidRPr="00C70473">
              <w:rPr>
                <w:rFonts w:ascii="Arial" w:hAnsi="Arial" w:cs="Arial"/>
                <w:b/>
                <w:sz w:val="20"/>
                <w:szCs w:val="20"/>
              </w:rPr>
              <w:t>Financial year</w:t>
            </w:r>
          </w:p>
        </w:tc>
        <w:tc>
          <w:tcPr>
            <w:tcW w:w="1019" w:type="dxa"/>
            <w:vAlign w:val="center"/>
          </w:tcPr>
          <w:p w:rsidR="00587F48" w:rsidRPr="00C70473" w:rsidRDefault="00587F48" w:rsidP="00C70473">
            <w:pPr>
              <w:rPr>
                <w:rFonts w:ascii="Arial" w:hAnsi="Arial" w:cs="Arial"/>
                <w:b/>
                <w:sz w:val="20"/>
                <w:szCs w:val="20"/>
              </w:rPr>
            </w:pPr>
            <w:r w:rsidRPr="00C70473">
              <w:rPr>
                <w:rFonts w:ascii="Arial" w:hAnsi="Arial" w:cs="Arial"/>
                <w:b/>
                <w:sz w:val="20"/>
                <w:szCs w:val="20"/>
              </w:rPr>
              <w:t>2014/15</w:t>
            </w:r>
          </w:p>
        </w:tc>
        <w:tc>
          <w:tcPr>
            <w:tcW w:w="943" w:type="dxa"/>
            <w:vAlign w:val="center"/>
          </w:tcPr>
          <w:p w:rsidR="00587F48" w:rsidRPr="00C70473" w:rsidRDefault="00587F48" w:rsidP="00C70473">
            <w:pPr>
              <w:rPr>
                <w:rFonts w:ascii="Arial" w:hAnsi="Arial" w:cs="Arial"/>
                <w:b/>
                <w:sz w:val="20"/>
                <w:szCs w:val="20"/>
              </w:rPr>
            </w:pPr>
            <w:r w:rsidRPr="00C70473">
              <w:rPr>
                <w:rFonts w:ascii="Arial" w:hAnsi="Arial" w:cs="Arial"/>
                <w:b/>
                <w:sz w:val="20"/>
                <w:szCs w:val="20"/>
              </w:rPr>
              <w:t>2015/16</w:t>
            </w:r>
          </w:p>
        </w:tc>
        <w:tc>
          <w:tcPr>
            <w:tcW w:w="990" w:type="dxa"/>
            <w:vAlign w:val="center"/>
          </w:tcPr>
          <w:p w:rsidR="00587F48" w:rsidRPr="00C70473" w:rsidRDefault="00587F48" w:rsidP="00C70473">
            <w:pPr>
              <w:rPr>
                <w:rFonts w:ascii="Arial" w:hAnsi="Arial" w:cs="Arial"/>
                <w:b/>
                <w:sz w:val="20"/>
                <w:szCs w:val="20"/>
              </w:rPr>
            </w:pPr>
            <w:r w:rsidRPr="00C70473">
              <w:rPr>
                <w:rFonts w:ascii="Arial" w:hAnsi="Arial" w:cs="Arial"/>
                <w:b/>
                <w:sz w:val="20"/>
                <w:szCs w:val="20"/>
              </w:rPr>
              <w:t>2016/17</w:t>
            </w:r>
          </w:p>
        </w:tc>
        <w:tc>
          <w:tcPr>
            <w:tcW w:w="939" w:type="dxa"/>
            <w:vAlign w:val="center"/>
          </w:tcPr>
          <w:p w:rsidR="00587F48" w:rsidRPr="00C70473" w:rsidRDefault="00587F48" w:rsidP="00C70473">
            <w:pPr>
              <w:rPr>
                <w:rFonts w:ascii="Arial" w:hAnsi="Arial" w:cs="Arial"/>
                <w:b/>
                <w:sz w:val="20"/>
                <w:szCs w:val="20"/>
              </w:rPr>
            </w:pPr>
            <w:r w:rsidRPr="00C70473">
              <w:rPr>
                <w:rFonts w:ascii="Arial" w:hAnsi="Arial" w:cs="Arial"/>
                <w:b/>
                <w:sz w:val="20"/>
                <w:szCs w:val="20"/>
              </w:rPr>
              <w:t>2017/18</w:t>
            </w:r>
          </w:p>
        </w:tc>
        <w:tc>
          <w:tcPr>
            <w:tcW w:w="943" w:type="dxa"/>
            <w:vAlign w:val="center"/>
          </w:tcPr>
          <w:p w:rsidR="00587F48" w:rsidRPr="00C70473" w:rsidRDefault="00587F48" w:rsidP="00C70473">
            <w:pPr>
              <w:rPr>
                <w:rFonts w:ascii="Arial" w:hAnsi="Arial" w:cs="Arial"/>
                <w:b/>
                <w:sz w:val="20"/>
                <w:szCs w:val="20"/>
              </w:rPr>
            </w:pPr>
            <w:r w:rsidRPr="00C70473">
              <w:rPr>
                <w:rFonts w:ascii="Arial" w:hAnsi="Arial" w:cs="Arial"/>
                <w:b/>
                <w:sz w:val="20"/>
                <w:szCs w:val="20"/>
              </w:rPr>
              <w:t>2018/19</w:t>
            </w:r>
          </w:p>
        </w:tc>
        <w:tc>
          <w:tcPr>
            <w:tcW w:w="943" w:type="dxa"/>
            <w:vAlign w:val="center"/>
          </w:tcPr>
          <w:p w:rsidR="00587F48" w:rsidRPr="00C70473" w:rsidRDefault="00587F48" w:rsidP="00C70473">
            <w:pPr>
              <w:rPr>
                <w:rFonts w:ascii="Arial" w:hAnsi="Arial" w:cs="Arial"/>
                <w:b/>
                <w:sz w:val="20"/>
                <w:szCs w:val="20"/>
              </w:rPr>
            </w:pPr>
            <w:r w:rsidRPr="00C70473">
              <w:rPr>
                <w:rFonts w:ascii="Arial" w:hAnsi="Arial" w:cs="Arial"/>
                <w:b/>
                <w:sz w:val="20"/>
                <w:szCs w:val="20"/>
              </w:rPr>
              <w:t>2019/20</w:t>
            </w:r>
          </w:p>
        </w:tc>
        <w:tc>
          <w:tcPr>
            <w:tcW w:w="939" w:type="dxa"/>
            <w:vAlign w:val="center"/>
          </w:tcPr>
          <w:p w:rsidR="00587F48" w:rsidRPr="00C70473" w:rsidRDefault="00587F48" w:rsidP="00C70473">
            <w:pPr>
              <w:rPr>
                <w:rFonts w:ascii="Arial" w:hAnsi="Arial" w:cs="Arial"/>
                <w:b/>
                <w:sz w:val="20"/>
                <w:szCs w:val="20"/>
              </w:rPr>
            </w:pPr>
            <w:r w:rsidRPr="00C70473">
              <w:rPr>
                <w:rFonts w:ascii="Arial" w:hAnsi="Arial" w:cs="Arial"/>
                <w:b/>
                <w:sz w:val="20"/>
                <w:szCs w:val="20"/>
              </w:rPr>
              <w:t>2020/21</w:t>
            </w:r>
          </w:p>
        </w:tc>
        <w:tc>
          <w:tcPr>
            <w:tcW w:w="939" w:type="dxa"/>
            <w:vAlign w:val="center"/>
          </w:tcPr>
          <w:p w:rsidR="00587F48" w:rsidRPr="00C70473" w:rsidRDefault="00587F48" w:rsidP="00C70473">
            <w:pPr>
              <w:rPr>
                <w:rFonts w:ascii="Arial" w:hAnsi="Arial" w:cs="Arial"/>
                <w:b/>
                <w:sz w:val="20"/>
                <w:szCs w:val="20"/>
              </w:rPr>
            </w:pPr>
            <w:r w:rsidRPr="00C70473">
              <w:rPr>
                <w:rFonts w:ascii="Arial" w:hAnsi="Arial" w:cs="Arial"/>
                <w:b/>
                <w:sz w:val="20"/>
                <w:szCs w:val="20"/>
              </w:rPr>
              <w:t>2021/22</w:t>
            </w:r>
          </w:p>
        </w:tc>
      </w:tr>
      <w:tr w:rsidR="00587F48" w:rsidRPr="00C70473" w:rsidTr="00587F48">
        <w:trPr>
          <w:trHeight w:val="564"/>
        </w:trPr>
        <w:tc>
          <w:tcPr>
            <w:tcW w:w="2410" w:type="dxa"/>
            <w:vAlign w:val="center"/>
          </w:tcPr>
          <w:p w:rsidR="00587F48" w:rsidRPr="00C70473" w:rsidRDefault="00587F48" w:rsidP="00C70473">
            <w:pPr>
              <w:rPr>
                <w:rFonts w:ascii="Arial" w:hAnsi="Arial" w:cs="Arial"/>
                <w:b/>
                <w:sz w:val="20"/>
                <w:szCs w:val="20"/>
              </w:rPr>
            </w:pPr>
            <w:r w:rsidRPr="00C70473">
              <w:rPr>
                <w:rFonts w:ascii="Arial" w:hAnsi="Arial" w:cs="Arial"/>
                <w:b/>
                <w:sz w:val="20"/>
                <w:szCs w:val="20"/>
              </w:rPr>
              <w:t>SAPS Act Employees</w:t>
            </w:r>
          </w:p>
        </w:tc>
        <w:tc>
          <w:tcPr>
            <w:tcW w:w="1019" w:type="dxa"/>
            <w:vAlign w:val="center"/>
          </w:tcPr>
          <w:p w:rsidR="00587F48" w:rsidRPr="00C70473" w:rsidRDefault="00587F48" w:rsidP="00C70473">
            <w:pPr>
              <w:rPr>
                <w:rFonts w:ascii="Arial" w:hAnsi="Arial" w:cs="Arial"/>
                <w:sz w:val="20"/>
                <w:szCs w:val="20"/>
              </w:rPr>
            </w:pPr>
            <w:r w:rsidRPr="00C70473">
              <w:rPr>
                <w:rFonts w:ascii="Arial" w:hAnsi="Arial" w:cs="Arial"/>
                <w:sz w:val="20"/>
                <w:szCs w:val="20"/>
              </w:rPr>
              <w:t>150 950</w:t>
            </w:r>
          </w:p>
        </w:tc>
        <w:tc>
          <w:tcPr>
            <w:tcW w:w="943" w:type="dxa"/>
            <w:vAlign w:val="center"/>
          </w:tcPr>
          <w:p w:rsidR="00587F48" w:rsidRPr="00C70473" w:rsidRDefault="00587F48" w:rsidP="00C70473">
            <w:pPr>
              <w:rPr>
                <w:rFonts w:ascii="Arial" w:hAnsi="Arial" w:cs="Arial"/>
                <w:sz w:val="20"/>
                <w:szCs w:val="20"/>
              </w:rPr>
            </w:pPr>
            <w:r w:rsidRPr="00C70473">
              <w:rPr>
                <w:rFonts w:ascii="Arial" w:hAnsi="Arial" w:cs="Arial"/>
                <w:sz w:val="20"/>
                <w:szCs w:val="20"/>
              </w:rPr>
              <w:t>151 834</w:t>
            </w:r>
          </w:p>
        </w:tc>
        <w:tc>
          <w:tcPr>
            <w:tcW w:w="990" w:type="dxa"/>
            <w:vAlign w:val="center"/>
          </w:tcPr>
          <w:p w:rsidR="00587F48" w:rsidRPr="00C70473" w:rsidRDefault="00587F48" w:rsidP="00C70473">
            <w:pPr>
              <w:rPr>
                <w:rFonts w:ascii="Arial" w:hAnsi="Arial" w:cs="Arial"/>
                <w:sz w:val="20"/>
                <w:szCs w:val="20"/>
              </w:rPr>
            </w:pPr>
            <w:r w:rsidRPr="00C70473">
              <w:rPr>
                <w:rFonts w:ascii="Arial" w:hAnsi="Arial" w:cs="Arial"/>
                <w:sz w:val="20"/>
                <w:szCs w:val="20"/>
              </w:rPr>
              <w:t>151 651</w:t>
            </w:r>
          </w:p>
        </w:tc>
        <w:tc>
          <w:tcPr>
            <w:tcW w:w="939" w:type="dxa"/>
            <w:vAlign w:val="center"/>
          </w:tcPr>
          <w:p w:rsidR="00587F48" w:rsidRPr="00C70473" w:rsidRDefault="00587F48" w:rsidP="00C70473">
            <w:pPr>
              <w:rPr>
                <w:rFonts w:ascii="Arial" w:hAnsi="Arial" w:cs="Arial"/>
                <w:sz w:val="20"/>
                <w:szCs w:val="20"/>
              </w:rPr>
            </w:pPr>
            <w:r w:rsidRPr="00C70473">
              <w:rPr>
                <w:rFonts w:ascii="Arial" w:hAnsi="Arial" w:cs="Arial"/>
                <w:sz w:val="20"/>
                <w:szCs w:val="20"/>
              </w:rPr>
              <w:t>150 791</w:t>
            </w:r>
          </w:p>
        </w:tc>
        <w:tc>
          <w:tcPr>
            <w:tcW w:w="943" w:type="dxa"/>
            <w:vAlign w:val="center"/>
          </w:tcPr>
          <w:p w:rsidR="00587F48" w:rsidRPr="00C70473" w:rsidRDefault="00587F48" w:rsidP="00C70473">
            <w:pPr>
              <w:rPr>
                <w:rFonts w:ascii="Arial" w:hAnsi="Arial" w:cs="Arial"/>
                <w:sz w:val="20"/>
                <w:szCs w:val="20"/>
              </w:rPr>
            </w:pPr>
            <w:r w:rsidRPr="00C70473">
              <w:rPr>
                <w:rFonts w:ascii="Arial" w:hAnsi="Arial" w:cs="Arial"/>
                <w:sz w:val="20"/>
                <w:szCs w:val="20"/>
              </w:rPr>
              <w:t>150 855</w:t>
            </w:r>
          </w:p>
        </w:tc>
        <w:tc>
          <w:tcPr>
            <w:tcW w:w="943" w:type="dxa"/>
            <w:vAlign w:val="center"/>
          </w:tcPr>
          <w:p w:rsidR="00587F48" w:rsidRPr="00C70473" w:rsidRDefault="00587F48" w:rsidP="00C70473">
            <w:pPr>
              <w:rPr>
                <w:rFonts w:ascii="Arial" w:hAnsi="Arial" w:cs="Arial"/>
                <w:sz w:val="20"/>
                <w:szCs w:val="20"/>
              </w:rPr>
            </w:pPr>
            <w:r w:rsidRPr="00C70473">
              <w:rPr>
                <w:rFonts w:ascii="Arial" w:hAnsi="Arial" w:cs="Arial"/>
                <w:sz w:val="20"/>
                <w:szCs w:val="20"/>
              </w:rPr>
              <w:t>147 035</w:t>
            </w:r>
          </w:p>
        </w:tc>
        <w:tc>
          <w:tcPr>
            <w:tcW w:w="939" w:type="dxa"/>
            <w:vAlign w:val="center"/>
          </w:tcPr>
          <w:p w:rsidR="00587F48" w:rsidRPr="00C70473" w:rsidRDefault="00587F48" w:rsidP="00C70473">
            <w:pPr>
              <w:rPr>
                <w:rFonts w:ascii="Arial" w:hAnsi="Arial" w:cs="Arial"/>
                <w:sz w:val="20"/>
                <w:szCs w:val="20"/>
              </w:rPr>
            </w:pPr>
            <w:r w:rsidRPr="00C70473">
              <w:rPr>
                <w:rFonts w:ascii="Arial" w:hAnsi="Arial" w:cs="Arial"/>
                <w:sz w:val="20"/>
                <w:szCs w:val="20"/>
              </w:rPr>
              <w:t>144 253</w:t>
            </w:r>
          </w:p>
        </w:tc>
        <w:tc>
          <w:tcPr>
            <w:tcW w:w="939" w:type="dxa"/>
            <w:vAlign w:val="center"/>
          </w:tcPr>
          <w:p w:rsidR="00587F48" w:rsidRPr="00C70473" w:rsidRDefault="00587F48" w:rsidP="00C70473">
            <w:pPr>
              <w:rPr>
                <w:rFonts w:ascii="Arial" w:hAnsi="Arial" w:cs="Arial"/>
                <w:sz w:val="20"/>
                <w:szCs w:val="20"/>
              </w:rPr>
            </w:pPr>
            <w:r w:rsidRPr="00C70473">
              <w:rPr>
                <w:rFonts w:ascii="Arial" w:hAnsi="Arial" w:cs="Arial"/>
                <w:sz w:val="20"/>
                <w:szCs w:val="20"/>
              </w:rPr>
              <w:t>139 901</w:t>
            </w:r>
          </w:p>
        </w:tc>
      </w:tr>
      <w:tr w:rsidR="00587F48" w:rsidRPr="00C70473" w:rsidTr="00587F48">
        <w:trPr>
          <w:trHeight w:val="558"/>
        </w:trPr>
        <w:tc>
          <w:tcPr>
            <w:tcW w:w="2410" w:type="dxa"/>
            <w:vAlign w:val="center"/>
          </w:tcPr>
          <w:p w:rsidR="00587F48" w:rsidRPr="00C70473" w:rsidRDefault="00587F48" w:rsidP="00C70473">
            <w:pPr>
              <w:rPr>
                <w:rFonts w:ascii="Arial" w:hAnsi="Arial" w:cs="Arial"/>
                <w:b/>
                <w:sz w:val="20"/>
                <w:szCs w:val="20"/>
              </w:rPr>
            </w:pPr>
            <w:r w:rsidRPr="00C70473">
              <w:rPr>
                <w:rFonts w:ascii="Arial" w:hAnsi="Arial" w:cs="Arial"/>
                <w:b/>
                <w:sz w:val="20"/>
                <w:szCs w:val="20"/>
              </w:rPr>
              <w:t>Police/Population ratio</w:t>
            </w:r>
          </w:p>
        </w:tc>
        <w:tc>
          <w:tcPr>
            <w:tcW w:w="1019" w:type="dxa"/>
            <w:vAlign w:val="center"/>
          </w:tcPr>
          <w:p w:rsidR="00587F48" w:rsidRPr="00C70473" w:rsidRDefault="00587F48" w:rsidP="00C70473">
            <w:pPr>
              <w:rPr>
                <w:rFonts w:ascii="Arial" w:hAnsi="Arial" w:cs="Arial"/>
                <w:sz w:val="20"/>
                <w:szCs w:val="20"/>
              </w:rPr>
            </w:pPr>
            <w:r w:rsidRPr="00C70473">
              <w:rPr>
                <w:rFonts w:ascii="Arial" w:hAnsi="Arial" w:cs="Arial"/>
                <w:sz w:val="20"/>
                <w:szCs w:val="20"/>
              </w:rPr>
              <w:t>1:358</w:t>
            </w:r>
          </w:p>
        </w:tc>
        <w:tc>
          <w:tcPr>
            <w:tcW w:w="943" w:type="dxa"/>
            <w:vAlign w:val="center"/>
          </w:tcPr>
          <w:p w:rsidR="00587F48" w:rsidRPr="00C70473" w:rsidRDefault="00587F48" w:rsidP="00C70473">
            <w:pPr>
              <w:rPr>
                <w:rFonts w:ascii="Arial" w:hAnsi="Arial" w:cs="Arial"/>
                <w:sz w:val="20"/>
                <w:szCs w:val="20"/>
              </w:rPr>
            </w:pPr>
            <w:r w:rsidRPr="00C70473">
              <w:rPr>
                <w:rFonts w:ascii="Arial" w:hAnsi="Arial" w:cs="Arial"/>
                <w:sz w:val="20"/>
                <w:szCs w:val="20"/>
              </w:rPr>
              <w:t>1:362</w:t>
            </w:r>
          </w:p>
        </w:tc>
        <w:tc>
          <w:tcPr>
            <w:tcW w:w="990" w:type="dxa"/>
            <w:vAlign w:val="center"/>
          </w:tcPr>
          <w:p w:rsidR="00587F48" w:rsidRPr="00C70473" w:rsidRDefault="00587F48" w:rsidP="00C70473">
            <w:pPr>
              <w:rPr>
                <w:rFonts w:ascii="Arial" w:hAnsi="Arial" w:cs="Arial"/>
                <w:sz w:val="20"/>
                <w:szCs w:val="20"/>
              </w:rPr>
            </w:pPr>
            <w:r w:rsidRPr="00C70473">
              <w:rPr>
                <w:rFonts w:ascii="Arial" w:hAnsi="Arial" w:cs="Arial"/>
                <w:sz w:val="20"/>
                <w:szCs w:val="20"/>
              </w:rPr>
              <w:t>1:369</w:t>
            </w:r>
          </w:p>
        </w:tc>
        <w:tc>
          <w:tcPr>
            <w:tcW w:w="939" w:type="dxa"/>
            <w:vAlign w:val="center"/>
          </w:tcPr>
          <w:p w:rsidR="00587F48" w:rsidRPr="00C70473" w:rsidRDefault="00587F48" w:rsidP="00C70473">
            <w:pPr>
              <w:rPr>
                <w:rFonts w:ascii="Arial" w:hAnsi="Arial" w:cs="Arial"/>
                <w:sz w:val="20"/>
                <w:szCs w:val="20"/>
              </w:rPr>
            </w:pPr>
            <w:r w:rsidRPr="00C70473">
              <w:rPr>
                <w:rFonts w:ascii="Arial" w:hAnsi="Arial" w:cs="Arial"/>
                <w:sz w:val="20"/>
                <w:szCs w:val="20"/>
              </w:rPr>
              <w:t>1:375</w:t>
            </w:r>
          </w:p>
        </w:tc>
        <w:tc>
          <w:tcPr>
            <w:tcW w:w="943" w:type="dxa"/>
            <w:vAlign w:val="center"/>
          </w:tcPr>
          <w:p w:rsidR="00587F48" w:rsidRPr="00C70473" w:rsidRDefault="00587F48" w:rsidP="00C70473">
            <w:pPr>
              <w:rPr>
                <w:rFonts w:ascii="Arial" w:hAnsi="Arial" w:cs="Arial"/>
                <w:sz w:val="20"/>
                <w:szCs w:val="20"/>
              </w:rPr>
            </w:pPr>
            <w:r w:rsidRPr="00C70473">
              <w:rPr>
                <w:rFonts w:ascii="Arial" w:hAnsi="Arial" w:cs="Arial"/>
                <w:sz w:val="20"/>
                <w:szCs w:val="20"/>
              </w:rPr>
              <w:t>1:383</w:t>
            </w:r>
          </w:p>
        </w:tc>
        <w:tc>
          <w:tcPr>
            <w:tcW w:w="943" w:type="dxa"/>
            <w:vAlign w:val="center"/>
          </w:tcPr>
          <w:p w:rsidR="00587F48" w:rsidRPr="00C70473" w:rsidRDefault="00587F48" w:rsidP="00C70473">
            <w:pPr>
              <w:rPr>
                <w:rFonts w:ascii="Arial" w:hAnsi="Arial" w:cs="Arial"/>
                <w:sz w:val="20"/>
                <w:szCs w:val="20"/>
              </w:rPr>
            </w:pPr>
            <w:r w:rsidRPr="00C70473">
              <w:rPr>
                <w:rFonts w:ascii="Arial" w:hAnsi="Arial" w:cs="Arial"/>
                <w:sz w:val="20"/>
                <w:szCs w:val="20"/>
              </w:rPr>
              <w:t>1:400</w:t>
            </w:r>
          </w:p>
        </w:tc>
        <w:tc>
          <w:tcPr>
            <w:tcW w:w="939" w:type="dxa"/>
            <w:vAlign w:val="center"/>
          </w:tcPr>
          <w:p w:rsidR="00587F48" w:rsidRPr="00C70473" w:rsidRDefault="00587F48" w:rsidP="00C70473">
            <w:pPr>
              <w:rPr>
                <w:rFonts w:ascii="Arial" w:hAnsi="Arial" w:cs="Arial"/>
                <w:sz w:val="20"/>
                <w:szCs w:val="20"/>
              </w:rPr>
            </w:pPr>
            <w:r w:rsidRPr="00C70473">
              <w:rPr>
                <w:rFonts w:ascii="Arial" w:hAnsi="Arial" w:cs="Arial"/>
                <w:sz w:val="20"/>
                <w:szCs w:val="20"/>
              </w:rPr>
              <w:t>1:413</w:t>
            </w:r>
          </w:p>
        </w:tc>
        <w:tc>
          <w:tcPr>
            <w:tcW w:w="939" w:type="dxa"/>
            <w:vAlign w:val="center"/>
          </w:tcPr>
          <w:p w:rsidR="00587F48" w:rsidRPr="00C70473" w:rsidRDefault="00587F48" w:rsidP="00C70473">
            <w:pPr>
              <w:rPr>
                <w:rFonts w:ascii="Arial" w:hAnsi="Arial" w:cs="Arial"/>
                <w:sz w:val="20"/>
                <w:szCs w:val="20"/>
              </w:rPr>
            </w:pPr>
            <w:r w:rsidRPr="00C70473">
              <w:rPr>
                <w:rFonts w:ascii="Arial" w:hAnsi="Arial" w:cs="Arial"/>
                <w:sz w:val="20"/>
                <w:szCs w:val="20"/>
              </w:rPr>
              <w:t>1:430</w:t>
            </w:r>
          </w:p>
        </w:tc>
      </w:tr>
    </w:tbl>
    <w:p w:rsidR="00587F48" w:rsidRPr="00C70473" w:rsidRDefault="00587F48" w:rsidP="00C70473">
      <w:pPr>
        <w:spacing w:after="0" w:line="240" w:lineRule="auto"/>
        <w:rPr>
          <w:rFonts w:ascii="Arial" w:hAnsi="Arial" w:cs="Arial"/>
          <w:i/>
          <w:sz w:val="20"/>
          <w:szCs w:val="20"/>
        </w:rPr>
      </w:pPr>
      <w:r w:rsidRPr="00C70473">
        <w:rPr>
          <w:rFonts w:ascii="Arial" w:hAnsi="Arial" w:cs="Arial"/>
          <w:i/>
          <w:sz w:val="20"/>
          <w:szCs w:val="20"/>
        </w:rPr>
        <w:t>Source: SAPS Annual Reports 2014/15 – 2021/22</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pStyle w:val="Heading2"/>
        <w:numPr>
          <w:ilvl w:val="1"/>
          <w:numId w:val="106"/>
        </w:numPr>
        <w:spacing w:before="0" w:line="240" w:lineRule="auto"/>
        <w:rPr>
          <w:rFonts w:ascii="Arial" w:hAnsi="Arial" w:cs="Arial"/>
          <w:sz w:val="20"/>
          <w:szCs w:val="20"/>
        </w:rPr>
      </w:pPr>
      <w:bookmarkStart w:id="28" w:name="_Toc115863877"/>
      <w:r w:rsidRPr="00C70473">
        <w:rPr>
          <w:rFonts w:ascii="Arial" w:hAnsi="Arial" w:cs="Arial"/>
          <w:sz w:val="20"/>
          <w:szCs w:val="20"/>
        </w:rPr>
        <w:t>Section 35 Terminations</w:t>
      </w:r>
      <w:bookmarkEnd w:id="28"/>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sz w:val="20"/>
          <w:szCs w:val="20"/>
        </w:rPr>
      </w:pPr>
      <w:r w:rsidRPr="00C70473">
        <w:rPr>
          <w:rFonts w:ascii="Arial" w:hAnsi="Arial" w:cs="Arial"/>
          <w:sz w:val="20"/>
          <w:szCs w:val="20"/>
        </w:rPr>
        <w:t xml:space="preserve">The SAPS did not award any section 35 terminations during 2021/22. </w:t>
      </w:r>
    </w:p>
    <w:p w:rsidR="00587F48" w:rsidRPr="00C70473" w:rsidRDefault="00587F48" w:rsidP="00C70473">
      <w:pPr>
        <w:spacing w:after="0" w:line="240" w:lineRule="auto"/>
        <w:rPr>
          <w:rFonts w:ascii="Arial" w:hAnsi="Arial" w:cs="Arial"/>
          <w:sz w:val="20"/>
          <w:szCs w:val="20"/>
          <w:highlight w:val="yellow"/>
        </w:rPr>
      </w:pPr>
    </w:p>
    <w:p w:rsidR="00587F48" w:rsidRPr="00C70473" w:rsidRDefault="00587F48" w:rsidP="00C70473">
      <w:pPr>
        <w:pStyle w:val="Heading2"/>
        <w:numPr>
          <w:ilvl w:val="1"/>
          <w:numId w:val="106"/>
        </w:numPr>
        <w:spacing w:before="0" w:line="240" w:lineRule="auto"/>
        <w:rPr>
          <w:rFonts w:ascii="Arial" w:hAnsi="Arial" w:cs="Arial"/>
          <w:sz w:val="20"/>
          <w:szCs w:val="20"/>
        </w:rPr>
      </w:pPr>
      <w:bookmarkStart w:id="29" w:name="_Toc115863878"/>
      <w:r w:rsidRPr="00C70473">
        <w:rPr>
          <w:rFonts w:ascii="Arial" w:hAnsi="Arial" w:cs="Arial"/>
          <w:sz w:val="20"/>
          <w:szCs w:val="20"/>
        </w:rPr>
        <w:t>Regulation 47 Appointments/promotions</w:t>
      </w:r>
      <w:bookmarkEnd w:id="29"/>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sz w:val="20"/>
          <w:szCs w:val="20"/>
        </w:rPr>
      </w:pPr>
      <w:r w:rsidRPr="00C70473">
        <w:rPr>
          <w:rFonts w:ascii="Arial" w:hAnsi="Arial" w:cs="Arial"/>
          <w:sz w:val="20"/>
          <w:szCs w:val="20"/>
        </w:rPr>
        <w:t xml:space="preserve">In 2021/22, the SAPS did not make any Regulation 47 appointments. Under section 47(n) of the 2018 SAPS Employment Regulations, the National Commissioner may upon written motivation and in consultation with the Minister, promote an employee into a post without advertising the post. </w:t>
      </w:r>
    </w:p>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sz w:val="20"/>
          <w:szCs w:val="20"/>
        </w:rPr>
      </w:pPr>
      <w:r w:rsidRPr="00C70473">
        <w:rPr>
          <w:rFonts w:ascii="Arial" w:hAnsi="Arial" w:cs="Arial"/>
          <w:sz w:val="20"/>
          <w:szCs w:val="20"/>
          <w:lang/>
        </w:rPr>
        <w:t xml:space="preserve">This section of the Employment Regulations (section 45 of the 2008 Employment Regulations) has been an area of serious contention in the past, especially between 2015/16 and 2017/18. </w:t>
      </w:r>
      <w:r w:rsidRPr="00C70473">
        <w:rPr>
          <w:rFonts w:ascii="Arial" w:hAnsi="Arial" w:cs="Arial"/>
          <w:sz w:val="20"/>
          <w:szCs w:val="20"/>
        </w:rPr>
        <w:t xml:space="preserve">During a previous Portfolio Committee meeting that focused on SAPS promotions, POPCRU stated that regulation 47 proportions are grossly misused and that the careers of many police members had been stifled by this misuse. The table below illustrates the point. The Committee should be cognisant of the possibility of abuse. </w:t>
      </w:r>
    </w:p>
    <w:p w:rsidR="00587F48" w:rsidRPr="00C70473" w:rsidRDefault="00587F48" w:rsidP="00C70473">
      <w:pPr>
        <w:spacing w:after="0" w:line="240" w:lineRule="auto"/>
        <w:rPr>
          <w:rFonts w:ascii="Arial" w:hAnsi="Arial" w:cs="Arial"/>
          <w:sz w:val="20"/>
          <w:szCs w:val="20"/>
          <w:lang/>
        </w:rPr>
      </w:pPr>
    </w:p>
    <w:p w:rsidR="00587F48" w:rsidRPr="00C70473" w:rsidRDefault="00587F48" w:rsidP="00C70473">
      <w:pPr>
        <w:spacing w:after="0" w:line="240" w:lineRule="auto"/>
        <w:rPr>
          <w:rFonts w:ascii="Arial" w:hAnsi="Arial" w:cs="Arial"/>
          <w:b/>
          <w:sz w:val="20"/>
          <w:szCs w:val="20"/>
          <w:lang/>
        </w:rPr>
      </w:pPr>
      <w:r w:rsidRPr="00C70473">
        <w:rPr>
          <w:rFonts w:ascii="Arial" w:hAnsi="Arial" w:cs="Arial"/>
          <w:b/>
          <w:sz w:val="20"/>
          <w:szCs w:val="20"/>
          <w:lang/>
        </w:rPr>
        <w:t>Table 4: Regulation 47 Appointments / Promotions from 2013/14 to 2021/22</w:t>
      </w:r>
    </w:p>
    <w:tbl>
      <w:tblPr>
        <w:tblStyle w:val="TableGrid"/>
        <w:tblW w:w="0" w:type="auto"/>
        <w:tblLook w:val="04A0"/>
      </w:tblPr>
      <w:tblGrid>
        <w:gridCol w:w="2263"/>
        <w:gridCol w:w="6753"/>
      </w:tblGrid>
      <w:tr w:rsidR="00587F48" w:rsidRPr="00C70473" w:rsidTr="00587F48">
        <w:trPr>
          <w:tblHeader/>
        </w:trPr>
        <w:tc>
          <w:tcPr>
            <w:tcW w:w="2263" w:type="dxa"/>
          </w:tcPr>
          <w:p w:rsidR="00587F48" w:rsidRPr="00C70473" w:rsidRDefault="00587F48" w:rsidP="00C70473">
            <w:pPr>
              <w:rPr>
                <w:rFonts w:ascii="Arial" w:hAnsi="Arial" w:cs="Arial"/>
                <w:b/>
                <w:sz w:val="20"/>
                <w:szCs w:val="20"/>
                <w:lang/>
              </w:rPr>
            </w:pPr>
            <w:r w:rsidRPr="00C70473">
              <w:rPr>
                <w:rFonts w:ascii="Arial" w:hAnsi="Arial" w:cs="Arial"/>
                <w:b/>
                <w:sz w:val="20"/>
                <w:szCs w:val="20"/>
                <w:lang/>
              </w:rPr>
              <w:t xml:space="preserve">Financial year </w:t>
            </w:r>
          </w:p>
        </w:tc>
        <w:tc>
          <w:tcPr>
            <w:tcW w:w="6753" w:type="dxa"/>
          </w:tcPr>
          <w:p w:rsidR="00587F48" w:rsidRPr="00C70473" w:rsidRDefault="00587F48" w:rsidP="00C70473">
            <w:pPr>
              <w:rPr>
                <w:rFonts w:ascii="Arial" w:hAnsi="Arial" w:cs="Arial"/>
                <w:b/>
                <w:sz w:val="20"/>
                <w:szCs w:val="20"/>
                <w:lang/>
              </w:rPr>
            </w:pPr>
            <w:r w:rsidRPr="00C70473">
              <w:rPr>
                <w:rFonts w:ascii="Arial" w:hAnsi="Arial" w:cs="Arial"/>
                <w:b/>
                <w:sz w:val="20"/>
                <w:szCs w:val="20"/>
                <w:lang/>
              </w:rPr>
              <w:t>Number of Regulation 47 Appointments / Promotions</w:t>
            </w:r>
          </w:p>
        </w:tc>
      </w:tr>
      <w:tr w:rsidR="00587F48" w:rsidRPr="00C70473" w:rsidTr="00587F48">
        <w:tc>
          <w:tcPr>
            <w:tcW w:w="2263" w:type="dxa"/>
          </w:tcPr>
          <w:p w:rsidR="00587F48" w:rsidRPr="00C70473" w:rsidRDefault="00587F48" w:rsidP="00C70473">
            <w:pPr>
              <w:rPr>
                <w:rFonts w:ascii="Arial" w:hAnsi="Arial" w:cs="Arial"/>
                <w:sz w:val="20"/>
                <w:szCs w:val="20"/>
                <w:lang/>
              </w:rPr>
            </w:pPr>
            <w:r w:rsidRPr="00C70473">
              <w:rPr>
                <w:rFonts w:ascii="Arial" w:hAnsi="Arial" w:cs="Arial"/>
                <w:sz w:val="20"/>
                <w:szCs w:val="20"/>
                <w:lang/>
              </w:rPr>
              <w:t>2021/22</w:t>
            </w:r>
          </w:p>
        </w:tc>
        <w:tc>
          <w:tcPr>
            <w:tcW w:w="6753" w:type="dxa"/>
          </w:tcPr>
          <w:p w:rsidR="00587F48" w:rsidRPr="00C70473" w:rsidRDefault="00587F48" w:rsidP="00C70473">
            <w:pPr>
              <w:rPr>
                <w:rFonts w:ascii="Arial" w:hAnsi="Arial" w:cs="Arial"/>
                <w:sz w:val="20"/>
                <w:szCs w:val="20"/>
                <w:lang/>
              </w:rPr>
            </w:pPr>
            <w:r w:rsidRPr="00C70473">
              <w:rPr>
                <w:rFonts w:ascii="Arial" w:hAnsi="Arial" w:cs="Arial"/>
                <w:sz w:val="20"/>
                <w:szCs w:val="20"/>
                <w:lang/>
              </w:rPr>
              <w:t>0</w:t>
            </w:r>
          </w:p>
        </w:tc>
      </w:tr>
      <w:tr w:rsidR="00587F48" w:rsidRPr="00C70473" w:rsidTr="00587F48">
        <w:tc>
          <w:tcPr>
            <w:tcW w:w="2263" w:type="dxa"/>
          </w:tcPr>
          <w:p w:rsidR="00587F48" w:rsidRPr="00C70473" w:rsidRDefault="00587F48" w:rsidP="00C70473">
            <w:pPr>
              <w:rPr>
                <w:rFonts w:ascii="Arial" w:hAnsi="Arial" w:cs="Arial"/>
                <w:sz w:val="20"/>
                <w:szCs w:val="20"/>
                <w:lang/>
              </w:rPr>
            </w:pPr>
            <w:r w:rsidRPr="00C70473">
              <w:rPr>
                <w:rFonts w:ascii="Arial" w:hAnsi="Arial" w:cs="Arial"/>
                <w:sz w:val="20"/>
                <w:szCs w:val="20"/>
                <w:lang/>
              </w:rPr>
              <w:t>2020/21</w:t>
            </w:r>
          </w:p>
        </w:tc>
        <w:tc>
          <w:tcPr>
            <w:tcW w:w="6753" w:type="dxa"/>
          </w:tcPr>
          <w:p w:rsidR="00587F48" w:rsidRPr="00C70473" w:rsidRDefault="00587F48" w:rsidP="00C70473">
            <w:pPr>
              <w:rPr>
                <w:rFonts w:ascii="Arial" w:hAnsi="Arial" w:cs="Arial"/>
                <w:sz w:val="20"/>
                <w:szCs w:val="20"/>
                <w:lang/>
              </w:rPr>
            </w:pPr>
            <w:r w:rsidRPr="00C70473">
              <w:rPr>
                <w:rFonts w:ascii="Arial" w:hAnsi="Arial" w:cs="Arial"/>
                <w:sz w:val="20"/>
                <w:szCs w:val="20"/>
                <w:lang/>
              </w:rPr>
              <w:t>3</w:t>
            </w:r>
          </w:p>
        </w:tc>
      </w:tr>
      <w:tr w:rsidR="00587F48" w:rsidRPr="00C70473" w:rsidTr="00587F48">
        <w:tc>
          <w:tcPr>
            <w:tcW w:w="2263" w:type="dxa"/>
          </w:tcPr>
          <w:p w:rsidR="00587F48" w:rsidRPr="00C70473" w:rsidRDefault="00587F48" w:rsidP="00C70473">
            <w:pPr>
              <w:rPr>
                <w:rFonts w:ascii="Arial" w:hAnsi="Arial" w:cs="Arial"/>
                <w:sz w:val="20"/>
                <w:szCs w:val="20"/>
                <w:lang/>
              </w:rPr>
            </w:pPr>
            <w:r w:rsidRPr="00C70473">
              <w:rPr>
                <w:rFonts w:ascii="Arial" w:hAnsi="Arial" w:cs="Arial"/>
                <w:sz w:val="20"/>
                <w:szCs w:val="20"/>
                <w:lang/>
              </w:rPr>
              <w:t>2019/20</w:t>
            </w:r>
          </w:p>
        </w:tc>
        <w:tc>
          <w:tcPr>
            <w:tcW w:w="6753" w:type="dxa"/>
          </w:tcPr>
          <w:p w:rsidR="00587F48" w:rsidRPr="00C70473" w:rsidRDefault="00587F48" w:rsidP="00C70473">
            <w:pPr>
              <w:rPr>
                <w:rFonts w:ascii="Arial" w:hAnsi="Arial" w:cs="Arial"/>
                <w:sz w:val="20"/>
                <w:szCs w:val="20"/>
                <w:lang/>
              </w:rPr>
            </w:pPr>
            <w:r w:rsidRPr="00C70473">
              <w:rPr>
                <w:rFonts w:ascii="Arial" w:hAnsi="Arial" w:cs="Arial"/>
                <w:sz w:val="20"/>
                <w:szCs w:val="20"/>
                <w:lang/>
              </w:rPr>
              <w:t>6</w:t>
            </w:r>
          </w:p>
        </w:tc>
      </w:tr>
      <w:tr w:rsidR="00587F48" w:rsidRPr="00C70473" w:rsidTr="00587F48">
        <w:tc>
          <w:tcPr>
            <w:tcW w:w="2263" w:type="dxa"/>
          </w:tcPr>
          <w:p w:rsidR="00587F48" w:rsidRPr="00C70473" w:rsidRDefault="00587F48" w:rsidP="00C70473">
            <w:pPr>
              <w:rPr>
                <w:rFonts w:ascii="Arial" w:hAnsi="Arial" w:cs="Arial"/>
                <w:sz w:val="20"/>
                <w:szCs w:val="20"/>
                <w:lang/>
              </w:rPr>
            </w:pPr>
            <w:r w:rsidRPr="00C70473">
              <w:rPr>
                <w:rFonts w:ascii="Arial" w:hAnsi="Arial" w:cs="Arial"/>
                <w:sz w:val="20"/>
                <w:szCs w:val="20"/>
                <w:lang/>
              </w:rPr>
              <w:t>2018/19</w:t>
            </w:r>
          </w:p>
        </w:tc>
        <w:tc>
          <w:tcPr>
            <w:tcW w:w="6753" w:type="dxa"/>
          </w:tcPr>
          <w:p w:rsidR="00587F48" w:rsidRPr="00C70473" w:rsidRDefault="00587F48" w:rsidP="00C70473">
            <w:pPr>
              <w:rPr>
                <w:rFonts w:ascii="Arial" w:hAnsi="Arial" w:cs="Arial"/>
                <w:sz w:val="20"/>
                <w:szCs w:val="20"/>
                <w:lang/>
              </w:rPr>
            </w:pPr>
            <w:r w:rsidRPr="00C70473">
              <w:rPr>
                <w:rFonts w:ascii="Arial" w:hAnsi="Arial" w:cs="Arial"/>
                <w:sz w:val="20"/>
                <w:szCs w:val="20"/>
                <w:lang/>
              </w:rPr>
              <w:t>2</w:t>
            </w:r>
          </w:p>
        </w:tc>
      </w:tr>
      <w:tr w:rsidR="00587F48" w:rsidRPr="00C70473" w:rsidTr="00587F48">
        <w:tc>
          <w:tcPr>
            <w:tcW w:w="2263" w:type="dxa"/>
            <w:shd w:val="clear" w:color="auto" w:fill="EDEDED" w:themeFill="accent3" w:themeFillTint="33"/>
          </w:tcPr>
          <w:p w:rsidR="00587F48" w:rsidRPr="00C70473" w:rsidRDefault="00587F48" w:rsidP="00C70473">
            <w:pPr>
              <w:rPr>
                <w:rFonts w:ascii="Arial" w:hAnsi="Arial" w:cs="Arial"/>
                <w:sz w:val="20"/>
                <w:szCs w:val="20"/>
                <w:lang/>
              </w:rPr>
            </w:pPr>
            <w:r w:rsidRPr="00C70473">
              <w:rPr>
                <w:rFonts w:ascii="Arial" w:hAnsi="Arial" w:cs="Arial"/>
                <w:sz w:val="20"/>
                <w:szCs w:val="20"/>
                <w:lang/>
              </w:rPr>
              <w:t>2017/18</w:t>
            </w:r>
          </w:p>
        </w:tc>
        <w:tc>
          <w:tcPr>
            <w:tcW w:w="6753" w:type="dxa"/>
            <w:shd w:val="clear" w:color="auto" w:fill="EDEDED" w:themeFill="accent3" w:themeFillTint="33"/>
          </w:tcPr>
          <w:p w:rsidR="00587F48" w:rsidRPr="00C70473" w:rsidRDefault="00587F48" w:rsidP="00C70473">
            <w:pPr>
              <w:rPr>
                <w:rFonts w:ascii="Arial" w:hAnsi="Arial" w:cs="Arial"/>
                <w:sz w:val="20"/>
                <w:szCs w:val="20"/>
                <w:lang/>
              </w:rPr>
            </w:pPr>
            <w:r w:rsidRPr="00C70473">
              <w:rPr>
                <w:rFonts w:ascii="Arial" w:hAnsi="Arial" w:cs="Arial"/>
                <w:sz w:val="20"/>
                <w:szCs w:val="20"/>
                <w:lang/>
              </w:rPr>
              <w:t>47</w:t>
            </w:r>
          </w:p>
        </w:tc>
      </w:tr>
      <w:tr w:rsidR="00587F48" w:rsidRPr="00C70473" w:rsidTr="00587F48">
        <w:tc>
          <w:tcPr>
            <w:tcW w:w="2263" w:type="dxa"/>
            <w:shd w:val="clear" w:color="auto" w:fill="EDEDED" w:themeFill="accent3" w:themeFillTint="33"/>
          </w:tcPr>
          <w:p w:rsidR="00587F48" w:rsidRPr="00C70473" w:rsidRDefault="00587F48" w:rsidP="00C70473">
            <w:pPr>
              <w:rPr>
                <w:rFonts w:ascii="Arial" w:hAnsi="Arial" w:cs="Arial"/>
                <w:sz w:val="20"/>
                <w:szCs w:val="20"/>
                <w:lang/>
              </w:rPr>
            </w:pPr>
            <w:r w:rsidRPr="00C70473">
              <w:rPr>
                <w:rFonts w:ascii="Arial" w:hAnsi="Arial" w:cs="Arial"/>
                <w:sz w:val="20"/>
                <w:szCs w:val="20"/>
                <w:lang/>
              </w:rPr>
              <w:t>2016/17</w:t>
            </w:r>
          </w:p>
        </w:tc>
        <w:tc>
          <w:tcPr>
            <w:tcW w:w="6753" w:type="dxa"/>
            <w:shd w:val="clear" w:color="auto" w:fill="EDEDED" w:themeFill="accent3" w:themeFillTint="33"/>
          </w:tcPr>
          <w:p w:rsidR="00587F48" w:rsidRPr="00C70473" w:rsidRDefault="00587F48" w:rsidP="00C70473">
            <w:pPr>
              <w:rPr>
                <w:rFonts w:ascii="Arial" w:hAnsi="Arial" w:cs="Arial"/>
                <w:sz w:val="20"/>
                <w:szCs w:val="20"/>
                <w:lang/>
              </w:rPr>
            </w:pPr>
            <w:r w:rsidRPr="00C70473">
              <w:rPr>
                <w:rFonts w:ascii="Arial" w:hAnsi="Arial" w:cs="Arial"/>
                <w:sz w:val="20"/>
                <w:szCs w:val="20"/>
                <w:lang/>
              </w:rPr>
              <w:t>83</w:t>
            </w:r>
          </w:p>
        </w:tc>
      </w:tr>
      <w:tr w:rsidR="00587F48" w:rsidRPr="00C70473" w:rsidTr="00587F48">
        <w:tc>
          <w:tcPr>
            <w:tcW w:w="2263" w:type="dxa"/>
            <w:shd w:val="clear" w:color="auto" w:fill="EDEDED" w:themeFill="accent3" w:themeFillTint="33"/>
          </w:tcPr>
          <w:p w:rsidR="00587F48" w:rsidRPr="00C70473" w:rsidRDefault="00587F48" w:rsidP="00C70473">
            <w:pPr>
              <w:rPr>
                <w:rFonts w:ascii="Arial" w:hAnsi="Arial" w:cs="Arial"/>
                <w:sz w:val="20"/>
                <w:szCs w:val="20"/>
                <w:lang/>
              </w:rPr>
            </w:pPr>
            <w:r w:rsidRPr="00C70473">
              <w:rPr>
                <w:rFonts w:ascii="Arial" w:hAnsi="Arial" w:cs="Arial"/>
                <w:sz w:val="20"/>
                <w:szCs w:val="20"/>
                <w:lang/>
              </w:rPr>
              <w:t xml:space="preserve">2015/16 </w:t>
            </w:r>
          </w:p>
        </w:tc>
        <w:tc>
          <w:tcPr>
            <w:tcW w:w="6753" w:type="dxa"/>
            <w:shd w:val="clear" w:color="auto" w:fill="EDEDED" w:themeFill="accent3" w:themeFillTint="33"/>
          </w:tcPr>
          <w:p w:rsidR="00587F48" w:rsidRPr="00C70473" w:rsidRDefault="00587F48" w:rsidP="00C70473">
            <w:pPr>
              <w:rPr>
                <w:rFonts w:ascii="Arial" w:hAnsi="Arial" w:cs="Arial"/>
                <w:sz w:val="20"/>
                <w:szCs w:val="20"/>
                <w:lang/>
              </w:rPr>
            </w:pPr>
            <w:r w:rsidRPr="00C70473">
              <w:rPr>
                <w:rFonts w:ascii="Arial" w:hAnsi="Arial" w:cs="Arial"/>
                <w:sz w:val="20"/>
                <w:szCs w:val="20"/>
                <w:lang/>
              </w:rPr>
              <w:t>41</w:t>
            </w:r>
          </w:p>
        </w:tc>
      </w:tr>
      <w:tr w:rsidR="00587F48" w:rsidRPr="00C70473" w:rsidTr="00587F48">
        <w:tc>
          <w:tcPr>
            <w:tcW w:w="2263" w:type="dxa"/>
            <w:shd w:val="clear" w:color="auto" w:fill="auto"/>
          </w:tcPr>
          <w:p w:rsidR="00587F48" w:rsidRPr="00C70473" w:rsidRDefault="00587F48" w:rsidP="00C70473">
            <w:pPr>
              <w:rPr>
                <w:rFonts w:ascii="Arial" w:hAnsi="Arial" w:cs="Arial"/>
                <w:sz w:val="20"/>
                <w:szCs w:val="20"/>
                <w:lang/>
              </w:rPr>
            </w:pPr>
            <w:r w:rsidRPr="00C70473">
              <w:rPr>
                <w:rFonts w:ascii="Arial" w:hAnsi="Arial" w:cs="Arial"/>
                <w:sz w:val="20"/>
                <w:szCs w:val="20"/>
                <w:lang/>
              </w:rPr>
              <w:t>2014/15</w:t>
            </w:r>
          </w:p>
        </w:tc>
        <w:tc>
          <w:tcPr>
            <w:tcW w:w="6753" w:type="dxa"/>
            <w:shd w:val="clear" w:color="auto" w:fill="auto"/>
          </w:tcPr>
          <w:p w:rsidR="00587F48" w:rsidRPr="00C70473" w:rsidRDefault="00587F48" w:rsidP="00C70473">
            <w:pPr>
              <w:rPr>
                <w:rFonts w:ascii="Arial" w:hAnsi="Arial" w:cs="Arial"/>
                <w:sz w:val="20"/>
                <w:szCs w:val="20"/>
                <w:lang/>
              </w:rPr>
            </w:pPr>
            <w:r w:rsidRPr="00C70473">
              <w:rPr>
                <w:rFonts w:ascii="Arial" w:hAnsi="Arial" w:cs="Arial"/>
                <w:sz w:val="20"/>
                <w:szCs w:val="20"/>
                <w:lang/>
              </w:rPr>
              <w:t>10</w:t>
            </w:r>
          </w:p>
        </w:tc>
      </w:tr>
      <w:tr w:rsidR="00587F48" w:rsidRPr="00C70473" w:rsidTr="00587F48">
        <w:tc>
          <w:tcPr>
            <w:tcW w:w="2263" w:type="dxa"/>
          </w:tcPr>
          <w:p w:rsidR="00587F48" w:rsidRPr="00C70473" w:rsidRDefault="00587F48" w:rsidP="00C70473">
            <w:pPr>
              <w:rPr>
                <w:rFonts w:ascii="Arial" w:hAnsi="Arial" w:cs="Arial"/>
                <w:sz w:val="20"/>
                <w:szCs w:val="20"/>
                <w:lang/>
              </w:rPr>
            </w:pPr>
            <w:r w:rsidRPr="00C70473">
              <w:rPr>
                <w:rFonts w:ascii="Arial" w:hAnsi="Arial" w:cs="Arial"/>
                <w:sz w:val="20"/>
                <w:szCs w:val="20"/>
                <w:lang/>
              </w:rPr>
              <w:t>2013/14</w:t>
            </w:r>
          </w:p>
        </w:tc>
        <w:tc>
          <w:tcPr>
            <w:tcW w:w="6753" w:type="dxa"/>
          </w:tcPr>
          <w:p w:rsidR="00587F48" w:rsidRPr="00C70473" w:rsidRDefault="00587F48" w:rsidP="00C70473">
            <w:pPr>
              <w:rPr>
                <w:rFonts w:ascii="Arial" w:hAnsi="Arial" w:cs="Arial"/>
                <w:sz w:val="20"/>
                <w:szCs w:val="20"/>
                <w:lang/>
              </w:rPr>
            </w:pPr>
            <w:r w:rsidRPr="00C70473">
              <w:rPr>
                <w:rFonts w:ascii="Arial" w:hAnsi="Arial" w:cs="Arial"/>
                <w:sz w:val="20"/>
                <w:szCs w:val="20"/>
                <w:lang/>
              </w:rPr>
              <w:t>1</w:t>
            </w:r>
          </w:p>
        </w:tc>
      </w:tr>
    </w:tbl>
    <w:p w:rsidR="00587F48" w:rsidRPr="00C70473" w:rsidRDefault="00587F48"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sz w:val="20"/>
          <w:szCs w:val="20"/>
        </w:rPr>
      </w:pPr>
    </w:p>
    <w:p w:rsidR="004F27D3" w:rsidRPr="00C70473" w:rsidRDefault="004F27D3" w:rsidP="00C70473">
      <w:pPr>
        <w:pStyle w:val="ListParagraph"/>
        <w:numPr>
          <w:ilvl w:val="0"/>
          <w:numId w:val="66"/>
        </w:numPr>
        <w:spacing w:after="0" w:line="240" w:lineRule="auto"/>
        <w:outlineLvl w:val="0"/>
        <w:rPr>
          <w:rFonts w:ascii="Arial" w:eastAsia="Arial Unicode MS" w:hAnsi="Arial" w:cs="Arial"/>
          <w:b/>
          <w:caps/>
          <w:sz w:val="20"/>
          <w:szCs w:val="20"/>
          <w:lang w:eastAsia="en-ZA"/>
        </w:rPr>
      </w:pPr>
      <w:r w:rsidRPr="00C70473">
        <w:rPr>
          <w:rFonts w:ascii="Arial" w:eastAsia="Arial Unicode MS" w:hAnsi="Arial" w:cs="Arial"/>
          <w:b/>
          <w:caps/>
          <w:sz w:val="20"/>
          <w:szCs w:val="20"/>
          <w:lang w:eastAsia="en-ZA"/>
        </w:rPr>
        <w:t xml:space="preserve">COMMITTEE Observations </w:t>
      </w:r>
    </w:p>
    <w:p w:rsidR="00C051D6" w:rsidRPr="00C70473" w:rsidRDefault="00C051D6" w:rsidP="00C70473">
      <w:pPr>
        <w:spacing w:after="0" w:line="240" w:lineRule="auto"/>
        <w:rPr>
          <w:rFonts w:ascii="Arial" w:hAnsi="Arial" w:cs="Arial"/>
          <w:sz w:val="20"/>
          <w:szCs w:val="20"/>
        </w:rPr>
      </w:pPr>
    </w:p>
    <w:p w:rsidR="00587F48" w:rsidRPr="00C70473" w:rsidRDefault="00587F48" w:rsidP="00C70473">
      <w:pPr>
        <w:spacing w:after="0" w:line="240" w:lineRule="auto"/>
        <w:rPr>
          <w:rFonts w:ascii="Arial" w:hAnsi="Arial" w:cs="Arial"/>
          <w:sz w:val="20"/>
          <w:szCs w:val="20"/>
        </w:rPr>
      </w:pPr>
      <w:r w:rsidRPr="00C70473">
        <w:rPr>
          <w:rFonts w:ascii="Arial" w:hAnsi="Arial" w:cs="Arial"/>
          <w:sz w:val="20"/>
          <w:szCs w:val="20"/>
        </w:rPr>
        <w:lastRenderedPageBreak/>
        <w:t xml:space="preserve">The Committee made the following observations: </w:t>
      </w:r>
    </w:p>
    <w:p w:rsidR="00B429AB" w:rsidRPr="00C70473" w:rsidRDefault="00B429AB" w:rsidP="00C70473">
      <w:pPr>
        <w:spacing w:after="0" w:line="240" w:lineRule="auto"/>
        <w:rPr>
          <w:rFonts w:ascii="Arial" w:hAnsi="Arial" w:cs="Arial"/>
          <w:sz w:val="20"/>
          <w:szCs w:val="20"/>
        </w:rPr>
      </w:pPr>
    </w:p>
    <w:p w:rsidR="005123B1" w:rsidRPr="00C70473" w:rsidRDefault="00586609"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 xml:space="preserve">The Committee welcomed the presentation made by the Office of the </w:t>
      </w:r>
      <w:r w:rsidR="005123B1" w:rsidRPr="00C70473">
        <w:rPr>
          <w:rFonts w:ascii="Arial" w:hAnsi="Arial" w:cs="Arial"/>
          <w:sz w:val="20"/>
          <w:szCs w:val="20"/>
        </w:rPr>
        <w:t xml:space="preserve">AG </w:t>
      </w:r>
      <w:r w:rsidRPr="00C70473">
        <w:rPr>
          <w:rFonts w:ascii="Arial" w:hAnsi="Arial" w:cs="Arial"/>
          <w:sz w:val="20"/>
          <w:szCs w:val="20"/>
        </w:rPr>
        <w:t xml:space="preserve">and commended the professionalism displayed. </w:t>
      </w:r>
      <w:r w:rsidR="00AC0C07" w:rsidRPr="00C70473">
        <w:rPr>
          <w:rFonts w:ascii="Arial" w:hAnsi="Arial" w:cs="Arial"/>
          <w:sz w:val="20"/>
          <w:szCs w:val="20"/>
        </w:rPr>
        <w:t>The Committee further appreciated the objective assessment made by the Office of the AG.</w:t>
      </w:r>
    </w:p>
    <w:p w:rsidR="005123B1" w:rsidRPr="00C70473" w:rsidRDefault="005123B1" w:rsidP="00C70473">
      <w:pPr>
        <w:spacing w:after="0" w:line="240" w:lineRule="auto"/>
        <w:rPr>
          <w:rFonts w:ascii="Arial" w:hAnsi="Arial" w:cs="Arial"/>
          <w:sz w:val="20"/>
          <w:szCs w:val="20"/>
        </w:rPr>
      </w:pPr>
    </w:p>
    <w:p w:rsidR="005123B1" w:rsidRPr="00C70473" w:rsidRDefault="00B429AB"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 xml:space="preserve">The Committee raised concern about the </w:t>
      </w:r>
      <w:r w:rsidR="00586609" w:rsidRPr="00C70473">
        <w:rPr>
          <w:rFonts w:ascii="Arial" w:hAnsi="Arial" w:cs="Arial"/>
          <w:sz w:val="20"/>
          <w:szCs w:val="20"/>
        </w:rPr>
        <w:t xml:space="preserve">apparent </w:t>
      </w:r>
      <w:r w:rsidR="005123B1" w:rsidRPr="00C70473">
        <w:rPr>
          <w:rFonts w:ascii="Arial" w:hAnsi="Arial" w:cs="Arial"/>
          <w:sz w:val="20"/>
          <w:szCs w:val="20"/>
        </w:rPr>
        <w:t>systemic institutional, management and administrative crises</w:t>
      </w:r>
      <w:r w:rsidR="00586609" w:rsidRPr="00C70473">
        <w:rPr>
          <w:rFonts w:ascii="Arial" w:hAnsi="Arial" w:cs="Arial"/>
          <w:sz w:val="20"/>
          <w:szCs w:val="20"/>
        </w:rPr>
        <w:t xml:space="preserve"> in the Department as identified by the Office of the AG and noted that these </w:t>
      </w:r>
      <w:r w:rsidR="005123B1" w:rsidRPr="00C70473">
        <w:rPr>
          <w:rFonts w:ascii="Arial" w:hAnsi="Arial" w:cs="Arial"/>
          <w:sz w:val="20"/>
          <w:szCs w:val="20"/>
        </w:rPr>
        <w:t xml:space="preserve">should not arise </w:t>
      </w:r>
      <w:r w:rsidR="00586609" w:rsidRPr="00C70473">
        <w:rPr>
          <w:rFonts w:ascii="Arial" w:hAnsi="Arial" w:cs="Arial"/>
          <w:sz w:val="20"/>
          <w:szCs w:val="20"/>
        </w:rPr>
        <w:t>in</w:t>
      </w:r>
      <w:r w:rsidR="005123B1" w:rsidRPr="00C70473">
        <w:rPr>
          <w:rFonts w:ascii="Arial" w:hAnsi="Arial" w:cs="Arial"/>
          <w:sz w:val="20"/>
          <w:szCs w:val="20"/>
        </w:rPr>
        <w:t xml:space="preserve"> a professional administration. </w:t>
      </w:r>
      <w:r w:rsidR="00586609" w:rsidRPr="00C70473">
        <w:rPr>
          <w:rFonts w:ascii="Arial" w:hAnsi="Arial" w:cs="Arial"/>
          <w:sz w:val="20"/>
          <w:szCs w:val="20"/>
        </w:rPr>
        <w:t>It was noted that m</w:t>
      </w:r>
      <w:r w:rsidR="005123B1" w:rsidRPr="00C70473">
        <w:rPr>
          <w:rFonts w:ascii="Arial" w:hAnsi="Arial" w:cs="Arial"/>
          <w:sz w:val="20"/>
          <w:szCs w:val="20"/>
        </w:rPr>
        <w:t xml:space="preserve">ost </w:t>
      </w:r>
      <w:r w:rsidR="00586609" w:rsidRPr="00C70473">
        <w:rPr>
          <w:rFonts w:ascii="Arial" w:hAnsi="Arial" w:cs="Arial"/>
          <w:sz w:val="20"/>
          <w:szCs w:val="20"/>
        </w:rPr>
        <w:t xml:space="preserve">of the Committee’s attention, when assessing performance, is </w:t>
      </w:r>
      <w:r w:rsidR="005123B1" w:rsidRPr="00C70473">
        <w:rPr>
          <w:rFonts w:ascii="Arial" w:hAnsi="Arial" w:cs="Arial"/>
          <w:sz w:val="20"/>
          <w:szCs w:val="20"/>
        </w:rPr>
        <w:t>focus</w:t>
      </w:r>
      <w:r w:rsidR="00586609" w:rsidRPr="00C70473">
        <w:rPr>
          <w:rFonts w:ascii="Arial" w:hAnsi="Arial" w:cs="Arial"/>
          <w:sz w:val="20"/>
          <w:szCs w:val="20"/>
        </w:rPr>
        <w:t>sed</w:t>
      </w:r>
      <w:r w:rsidR="005123B1" w:rsidRPr="00C70473">
        <w:rPr>
          <w:rFonts w:ascii="Arial" w:hAnsi="Arial" w:cs="Arial"/>
          <w:sz w:val="20"/>
          <w:szCs w:val="20"/>
        </w:rPr>
        <w:t xml:space="preserve"> on crime statistics, but </w:t>
      </w:r>
      <w:r w:rsidR="00586609" w:rsidRPr="00C70473">
        <w:rPr>
          <w:rFonts w:ascii="Arial" w:hAnsi="Arial" w:cs="Arial"/>
          <w:sz w:val="20"/>
          <w:szCs w:val="20"/>
        </w:rPr>
        <w:t xml:space="preserve">that more focus should be placed on the broader management issues affecting the Department </w:t>
      </w:r>
      <w:r w:rsidR="00BD61D1" w:rsidRPr="00C70473">
        <w:rPr>
          <w:rFonts w:ascii="Arial" w:hAnsi="Arial" w:cs="Arial"/>
          <w:sz w:val="20"/>
          <w:szCs w:val="20"/>
        </w:rPr>
        <w:t xml:space="preserve">and </w:t>
      </w:r>
      <w:r w:rsidR="00586609" w:rsidRPr="00C70473">
        <w:rPr>
          <w:rFonts w:ascii="Arial" w:hAnsi="Arial" w:cs="Arial"/>
          <w:sz w:val="20"/>
          <w:szCs w:val="20"/>
        </w:rPr>
        <w:t>leading to a decline in police</w:t>
      </w:r>
      <w:r w:rsidR="005123B1" w:rsidRPr="00C70473">
        <w:rPr>
          <w:rFonts w:ascii="Arial" w:hAnsi="Arial" w:cs="Arial"/>
          <w:sz w:val="20"/>
          <w:szCs w:val="20"/>
        </w:rPr>
        <w:t xml:space="preserve"> performance. </w:t>
      </w:r>
    </w:p>
    <w:p w:rsidR="005123B1" w:rsidRPr="00C70473" w:rsidRDefault="005123B1" w:rsidP="00C70473">
      <w:pPr>
        <w:spacing w:after="0" w:line="240" w:lineRule="auto"/>
        <w:rPr>
          <w:rFonts w:ascii="Arial" w:hAnsi="Arial" w:cs="Arial"/>
          <w:sz w:val="20"/>
          <w:szCs w:val="20"/>
        </w:rPr>
      </w:pPr>
    </w:p>
    <w:p w:rsidR="00B429AB" w:rsidRPr="00C70473" w:rsidRDefault="00586609"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 xml:space="preserve">The Committee raised concern about the continuous AG findings on compliance </w:t>
      </w:r>
      <w:r w:rsidR="00BD61D1" w:rsidRPr="00C70473">
        <w:rPr>
          <w:rFonts w:ascii="Arial" w:hAnsi="Arial" w:cs="Arial"/>
          <w:sz w:val="20"/>
          <w:szCs w:val="20"/>
        </w:rPr>
        <w:t xml:space="preserve">with </w:t>
      </w:r>
      <w:r w:rsidRPr="00C70473">
        <w:rPr>
          <w:rFonts w:ascii="Arial" w:hAnsi="Arial" w:cs="Arial"/>
          <w:sz w:val="20"/>
          <w:szCs w:val="20"/>
        </w:rPr>
        <w:t xml:space="preserve">legislation, especially in the Supply Chain Management environment. </w:t>
      </w:r>
      <w:r w:rsidR="00BD61D1" w:rsidRPr="00C70473">
        <w:rPr>
          <w:rFonts w:ascii="Arial" w:hAnsi="Arial" w:cs="Arial"/>
          <w:sz w:val="20"/>
          <w:szCs w:val="20"/>
        </w:rPr>
        <w:t>Members also t</w:t>
      </w:r>
      <w:r w:rsidRPr="00C70473">
        <w:rPr>
          <w:rFonts w:ascii="Arial" w:hAnsi="Arial" w:cs="Arial"/>
          <w:sz w:val="20"/>
          <w:szCs w:val="20"/>
        </w:rPr>
        <w:t xml:space="preserve">he lack of </w:t>
      </w:r>
      <w:r w:rsidR="00B429AB" w:rsidRPr="00C70473">
        <w:rPr>
          <w:rFonts w:ascii="Arial" w:hAnsi="Arial" w:cs="Arial"/>
          <w:sz w:val="20"/>
          <w:szCs w:val="20"/>
        </w:rPr>
        <w:t>consequence management in the Department, especially related to the incurring of irregular</w:t>
      </w:r>
      <w:r w:rsidR="00602652" w:rsidRPr="00C70473">
        <w:rPr>
          <w:rFonts w:ascii="Arial" w:hAnsi="Arial" w:cs="Arial"/>
          <w:sz w:val="20"/>
          <w:szCs w:val="20"/>
        </w:rPr>
        <w:t>,</w:t>
      </w:r>
      <w:r w:rsidR="00B429AB" w:rsidRPr="00C70473">
        <w:rPr>
          <w:rFonts w:ascii="Arial" w:hAnsi="Arial" w:cs="Arial"/>
          <w:sz w:val="20"/>
          <w:szCs w:val="20"/>
        </w:rPr>
        <w:t xml:space="preserve"> and fruitless and wasteful expenditure. </w:t>
      </w:r>
      <w:r w:rsidR="008F28D2" w:rsidRPr="00C70473">
        <w:rPr>
          <w:rFonts w:ascii="Arial" w:hAnsi="Arial" w:cs="Arial"/>
          <w:sz w:val="20"/>
          <w:szCs w:val="20"/>
        </w:rPr>
        <w:t xml:space="preserve">The Committee questioned whether the Office of the </w:t>
      </w:r>
      <w:r w:rsidRPr="00C70473">
        <w:rPr>
          <w:rFonts w:ascii="Arial" w:hAnsi="Arial" w:cs="Arial"/>
          <w:sz w:val="20"/>
          <w:szCs w:val="20"/>
        </w:rPr>
        <w:t xml:space="preserve">AG </w:t>
      </w:r>
      <w:r w:rsidR="008F28D2" w:rsidRPr="00C70473">
        <w:rPr>
          <w:rFonts w:ascii="Arial" w:hAnsi="Arial" w:cs="Arial"/>
          <w:sz w:val="20"/>
          <w:szCs w:val="20"/>
        </w:rPr>
        <w:t xml:space="preserve">is </w:t>
      </w:r>
      <w:r w:rsidRPr="00C70473">
        <w:rPr>
          <w:rFonts w:ascii="Arial" w:hAnsi="Arial" w:cs="Arial"/>
          <w:sz w:val="20"/>
          <w:szCs w:val="20"/>
        </w:rPr>
        <w:t>satisfied with the steps taken by the Department</w:t>
      </w:r>
      <w:r w:rsidR="008F28D2" w:rsidRPr="00C70473">
        <w:rPr>
          <w:rFonts w:ascii="Arial" w:hAnsi="Arial" w:cs="Arial"/>
          <w:sz w:val="20"/>
          <w:szCs w:val="20"/>
        </w:rPr>
        <w:t xml:space="preserve"> to implement consequence management to deter the incurring of irregular, unauthorised, and fruitless and wasteful expenditure and noted that the Committee needs deeper i</w:t>
      </w:r>
      <w:r w:rsidRPr="00C70473">
        <w:rPr>
          <w:rFonts w:ascii="Arial" w:hAnsi="Arial" w:cs="Arial"/>
          <w:sz w:val="20"/>
          <w:szCs w:val="20"/>
        </w:rPr>
        <w:t xml:space="preserve">nsight </w:t>
      </w:r>
      <w:r w:rsidR="008F28D2" w:rsidRPr="00C70473">
        <w:rPr>
          <w:rFonts w:ascii="Arial" w:hAnsi="Arial" w:cs="Arial"/>
          <w:sz w:val="20"/>
          <w:szCs w:val="20"/>
        </w:rPr>
        <w:t>in</w:t>
      </w:r>
      <w:r w:rsidR="00602652" w:rsidRPr="00C70473">
        <w:rPr>
          <w:rFonts w:ascii="Arial" w:hAnsi="Arial" w:cs="Arial"/>
          <w:sz w:val="20"/>
          <w:szCs w:val="20"/>
        </w:rPr>
        <w:t>to</w:t>
      </w:r>
      <w:r w:rsidR="008F28D2" w:rsidRPr="00C70473">
        <w:rPr>
          <w:rFonts w:ascii="Arial" w:hAnsi="Arial" w:cs="Arial"/>
          <w:sz w:val="20"/>
          <w:szCs w:val="20"/>
        </w:rPr>
        <w:t xml:space="preserve"> this area </w:t>
      </w:r>
      <w:r w:rsidRPr="00C70473">
        <w:rPr>
          <w:rFonts w:ascii="Arial" w:hAnsi="Arial" w:cs="Arial"/>
          <w:sz w:val="20"/>
          <w:szCs w:val="20"/>
        </w:rPr>
        <w:t xml:space="preserve">to </w:t>
      </w:r>
      <w:r w:rsidR="008F28D2" w:rsidRPr="00C70473">
        <w:rPr>
          <w:rFonts w:ascii="Arial" w:hAnsi="Arial" w:cs="Arial"/>
          <w:sz w:val="20"/>
          <w:szCs w:val="20"/>
        </w:rPr>
        <w:t xml:space="preserve">effectively </w:t>
      </w:r>
      <w:r w:rsidRPr="00C70473">
        <w:rPr>
          <w:rFonts w:ascii="Arial" w:hAnsi="Arial" w:cs="Arial"/>
          <w:sz w:val="20"/>
          <w:szCs w:val="20"/>
        </w:rPr>
        <w:t xml:space="preserve">hold the Department and Minister </w:t>
      </w:r>
      <w:r w:rsidR="008F28D2" w:rsidRPr="00C70473">
        <w:rPr>
          <w:rFonts w:ascii="Arial" w:hAnsi="Arial" w:cs="Arial"/>
          <w:sz w:val="20"/>
          <w:szCs w:val="20"/>
        </w:rPr>
        <w:t xml:space="preserve">to account. </w:t>
      </w:r>
      <w:r w:rsidR="00FB5B45" w:rsidRPr="00C70473">
        <w:rPr>
          <w:rFonts w:ascii="Arial" w:hAnsi="Arial" w:cs="Arial"/>
          <w:sz w:val="20"/>
          <w:szCs w:val="20"/>
        </w:rPr>
        <w:t>The Committee further noted that irregular, unauthorised, and fruitless and wasteful expenditure is tantamount to underspending as the intended funds are not utilised in a responsible and economic manner</w:t>
      </w:r>
      <w:r w:rsidR="001C587A" w:rsidRPr="00C70473">
        <w:rPr>
          <w:rFonts w:ascii="Arial" w:hAnsi="Arial" w:cs="Arial"/>
          <w:sz w:val="20"/>
          <w:szCs w:val="20"/>
        </w:rPr>
        <w:t xml:space="preserve"> to improv</w:t>
      </w:r>
      <w:r w:rsidR="00BD61D1" w:rsidRPr="00C70473">
        <w:rPr>
          <w:rFonts w:ascii="Arial" w:hAnsi="Arial" w:cs="Arial"/>
          <w:sz w:val="20"/>
          <w:szCs w:val="20"/>
        </w:rPr>
        <w:t>e</w:t>
      </w:r>
      <w:r w:rsidR="001C587A" w:rsidRPr="00C70473">
        <w:rPr>
          <w:rFonts w:ascii="Arial" w:hAnsi="Arial" w:cs="Arial"/>
          <w:sz w:val="20"/>
          <w:szCs w:val="20"/>
        </w:rPr>
        <w:t xml:space="preserve"> policing s</w:t>
      </w:r>
      <w:r w:rsidR="00602652" w:rsidRPr="00C70473">
        <w:rPr>
          <w:rFonts w:ascii="Arial" w:hAnsi="Arial" w:cs="Arial"/>
          <w:sz w:val="20"/>
          <w:szCs w:val="20"/>
        </w:rPr>
        <w:t>ervices at local policing level</w:t>
      </w:r>
      <w:r w:rsidR="001C587A" w:rsidRPr="00C70473">
        <w:rPr>
          <w:rFonts w:ascii="Arial" w:hAnsi="Arial" w:cs="Arial"/>
          <w:sz w:val="20"/>
          <w:szCs w:val="20"/>
        </w:rPr>
        <w:t xml:space="preserve">. </w:t>
      </w:r>
      <w:r w:rsidR="00FB5B45" w:rsidRPr="00C70473">
        <w:rPr>
          <w:rFonts w:ascii="Arial" w:hAnsi="Arial" w:cs="Arial"/>
          <w:sz w:val="20"/>
          <w:szCs w:val="20"/>
        </w:rPr>
        <w:t xml:space="preserve"> </w:t>
      </w:r>
    </w:p>
    <w:p w:rsidR="00972F6D" w:rsidRPr="00C70473" w:rsidRDefault="00972F6D" w:rsidP="00C70473">
      <w:pPr>
        <w:spacing w:after="0" w:line="240" w:lineRule="auto"/>
        <w:rPr>
          <w:rFonts w:ascii="Arial" w:hAnsi="Arial" w:cs="Arial"/>
          <w:sz w:val="20"/>
          <w:szCs w:val="20"/>
        </w:rPr>
      </w:pPr>
    </w:p>
    <w:p w:rsidR="009A4891" w:rsidRPr="00C70473" w:rsidRDefault="00972F6D" w:rsidP="00C70473">
      <w:pPr>
        <w:spacing w:after="0" w:line="240" w:lineRule="auto"/>
        <w:ind w:left="720"/>
        <w:rPr>
          <w:rFonts w:ascii="Arial" w:hAnsi="Arial" w:cs="Arial"/>
          <w:sz w:val="20"/>
          <w:szCs w:val="20"/>
        </w:rPr>
      </w:pPr>
      <w:r w:rsidRPr="00C70473">
        <w:rPr>
          <w:rFonts w:ascii="Arial" w:hAnsi="Arial" w:cs="Arial"/>
          <w:sz w:val="20"/>
          <w:szCs w:val="20"/>
        </w:rPr>
        <w:t xml:space="preserve">The Office of the AG explained that </w:t>
      </w:r>
      <w:r w:rsidR="00BD61D1" w:rsidRPr="00C70473">
        <w:rPr>
          <w:rFonts w:ascii="Arial" w:hAnsi="Arial" w:cs="Arial"/>
          <w:sz w:val="20"/>
          <w:szCs w:val="20"/>
        </w:rPr>
        <w:t xml:space="preserve">the </w:t>
      </w:r>
      <w:r w:rsidRPr="00C70473">
        <w:rPr>
          <w:rFonts w:ascii="Arial" w:hAnsi="Arial" w:cs="Arial"/>
          <w:sz w:val="20"/>
          <w:szCs w:val="20"/>
        </w:rPr>
        <w:t xml:space="preserve">framework set by National Treasury provides 90 days for investigations into whether possible irregular and fruitless and wasteful </w:t>
      </w:r>
      <w:r w:rsidR="00BD61D1" w:rsidRPr="00C70473">
        <w:rPr>
          <w:rFonts w:ascii="Arial" w:hAnsi="Arial" w:cs="Arial"/>
          <w:sz w:val="20"/>
          <w:szCs w:val="20"/>
        </w:rPr>
        <w:t xml:space="preserve">expenditure </w:t>
      </w:r>
      <w:r w:rsidRPr="00C70473">
        <w:rPr>
          <w:rFonts w:ascii="Arial" w:hAnsi="Arial" w:cs="Arial"/>
          <w:sz w:val="20"/>
          <w:szCs w:val="20"/>
        </w:rPr>
        <w:t>conforms to the definition thereof. After confirmation is made, the process of consequence management starts, but there is no set timeframe in which these steps must be concluded. The main challenge that occurs is when employees leave the employment of the Department</w:t>
      </w:r>
      <w:r w:rsidR="00BD61D1" w:rsidRPr="00C70473">
        <w:rPr>
          <w:rFonts w:ascii="Arial" w:hAnsi="Arial" w:cs="Arial"/>
          <w:sz w:val="20"/>
          <w:szCs w:val="20"/>
        </w:rPr>
        <w:t>,</w:t>
      </w:r>
      <w:r w:rsidRPr="00C70473">
        <w:rPr>
          <w:rFonts w:ascii="Arial" w:hAnsi="Arial" w:cs="Arial"/>
          <w:sz w:val="20"/>
          <w:szCs w:val="20"/>
        </w:rPr>
        <w:t xml:space="preserve"> in which case consequence management cannot be </w:t>
      </w:r>
      <w:r w:rsidR="00BD61D1" w:rsidRPr="00C70473">
        <w:rPr>
          <w:rFonts w:ascii="Arial" w:hAnsi="Arial" w:cs="Arial"/>
          <w:sz w:val="20"/>
          <w:szCs w:val="20"/>
        </w:rPr>
        <w:t>implemented</w:t>
      </w:r>
      <w:r w:rsidRPr="00C70473">
        <w:rPr>
          <w:rFonts w:ascii="Arial" w:hAnsi="Arial" w:cs="Arial"/>
          <w:sz w:val="20"/>
          <w:szCs w:val="20"/>
        </w:rPr>
        <w:t xml:space="preserve">. The Office of the AG recommended that consequence management should start from the most recent cases where consequence management steps can be taken. </w:t>
      </w:r>
      <w:r w:rsidR="00AB4FB2" w:rsidRPr="00C70473">
        <w:rPr>
          <w:rFonts w:ascii="Arial" w:hAnsi="Arial" w:cs="Arial"/>
          <w:sz w:val="20"/>
          <w:szCs w:val="20"/>
        </w:rPr>
        <w:t xml:space="preserve">It was further mentioned that consequence management steps must be expedited. </w:t>
      </w:r>
      <w:r w:rsidR="004604DF" w:rsidRPr="00C70473">
        <w:rPr>
          <w:rFonts w:ascii="Arial" w:hAnsi="Arial" w:cs="Arial"/>
          <w:sz w:val="20"/>
          <w:szCs w:val="20"/>
        </w:rPr>
        <w:t xml:space="preserve">The lack of </w:t>
      </w:r>
      <w:r w:rsidR="00BD61D1" w:rsidRPr="00C70473">
        <w:rPr>
          <w:rFonts w:ascii="Arial" w:hAnsi="Arial" w:cs="Arial"/>
          <w:sz w:val="20"/>
          <w:szCs w:val="20"/>
        </w:rPr>
        <w:t xml:space="preserve">urgency in </w:t>
      </w:r>
      <w:r w:rsidR="004604DF" w:rsidRPr="00C70473">
        <w:rPr>
          <w:rFonts w:ascii="Arial" w:hAnsi="Arial" w:cs="Arial"/>
          <w:sz w:val="20"/>
          <w:szCs w:val="20"/>
        </w:rPr>
        <w:t>address</w:t>
      </w:r>
      <w:r w:rsidR="00BD61D1" w:rsidRPr="00C70473">
        <w:rPr>
          <w:rFonts w:ascii="Arial" w:hAnsi="Arial" w:cs="Arial"/>
          <w:sz w:val="20"/>
          <w:szCs w:val="20"/>
        </w:rPr>
        <w:t>ing</w:t>
      </w:r>
      <w:r w:rsidR="004604DF" w:rsidRPr="00C70473">
        <w:rPr>
          <w:rFonts w:ascii="Arial" w:hAnsi="Arial" w:cs="Arial"/>
          <w:sz w:val="20"/>
          <w:szCs w:val="20"/>
        </w:rPr>
        <w:t xml:space="preserve"> these cases might signal that this behaviour is condoned and not taken seriously.</w:t>
      </w:r>
    </w:p>
    <w:p w:rsidR="00B429AB" w:rsidRPr="00C70473" w:rsidRDefault="00B429AB" w:rsidP="00C70473">
      <w:pPr>
        <w:spacing w:after="0" w:line="240" w:lineRule="auto"/>
        <w:rPr>
          <w:rFonts w:ascii="Arial" w:hAnsi="Arial" w:cs="Arial"/>
          <w:sz w:val="20"/>
          <w:szCs w:val="20"/>
        </w:rPr>
      </w:pPr>
    </w:p>
    <w:p w:rsidR="00586609" w:rsidRPr="00C70473" w:rsidRDefault="00B429AB"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 xml:space="preserve">The Committee </w:t>
      </w:r>
      <w:r w:rsidR="008F28D2" w:rsidRPr="00C70473">
        <w:rPr>
          <w:rFonts w:ascii="Arial" w:hAnsi="Arial" w:cs="Arial"/>
          <w:sz w:val="20"/>
          <w:szCs w:val="20"/>
        </w:rPr>
        <w:t xml:space="preserve">raised concern about the continuous and consistent decline in the Detective Services Programme, which is most evident in the Forensic Science Laboratory subprogramme. It was noted that the misalignment between expenditure and the achievement of performance targets within the Detective Services Programme points to a serious problem. </w:t>
      </w:r>
    </w:p>
    <w:p w:rsidR="00586609" w:rsidRPr="00C70473" w:rsidRDefault="00586609" w:rsidP="00C70473">
      <w:pPr>
        <w:spacing w:after="0" w:line="240" w:lineRule="auto"/>
        <w:rPr>
          <w:rFonts w:ascii="Arial" w:hAnsi="Arial" w:cs="Arial"/>
          <w:sz w:val="20"/>
          <w:szCs w:val="20"/>
        </w:rPr>
      </w:pPr>
    </w:p>
    <w:p w:rsidR="00B429AB" w:rsidRPr="00C70473" w:rsidRDefault="008F28D2" w:rsidP="00C70473">
      <w:pPr>
        <w:spacing w:after="0" w:line="240" w:lineRule="auto"/>
        <w:ind w:left="720"/>
        <w:rPr>
          <w:rFonts w:ascii="Arial" w:hAnsi="Arial" w:cs="Arial"/>
          <w:sz w:val="20"/>
          <w:szCs w:val="20"/>
        </w:rPr>
      </w:pPr>
      <w:r w:rsidRPr="00C70473">
        <w:rPr>
          <w:rFonts w:ascii="Arial" w:hAnsi="Arial" w:cs="Arial"/>
          <w:sz w:val="20"/>
          <w:szCs w:val="20"/>
        </w:rPr>
        <w:t xml:space="preserve">The Committee </w:t>
      </w:r>
      <w:r w:rsidR="00D67305" w:rsidRPr="00C70473">
        <w:rPr>
          <w:rFonts w:ascii="Arial" w:hAnsi="Arial" w:cs="Arial"/>
          <w:sz w:val="20"/>
          <w:szCs w:val="20"/>
        </w:rPr>
        <w:t xml:space="preserve">further </w:t>
      </w:r>
      <w:r w:rsidRPr="00C70473">
        <w:rPr>
          <w:rFonts w:ascii="Arial" w:hAnsi="Arial" w:cs="Arial"/>
          <w:sz w:val="20"/>
          <w:szCs w:val="20"/>
        </w:rPr>
        <w:t>raised concern about the d</w:t>
      </w:r>
      <w:r w:rsidR="00586609" w:rsidRPr="00C70473">
        <w:rPr>
          <w:rFonts w:ascii="Arial" w:hAnsi="Arial" w:cs="Arial"/>
          <w:sz w:val="20"/>
          <w:szCs w:val="20"/>
        </w:rPr>
        <w:t xml:space="preserve">ecline in the </w:t>
      </w:r>
      <w:r w:rsidR="00B429AB" w:rsidRPr="00C70473">
        <w:rPr>
          <w:rFonts w:ascii="Arial" w:hAnsi="Arial" w:cs="Arial"/>
          <w:sz w:val="20"/>
          <w:szCs w:val="20"/>
        </w:rPr>
        <w:t xml:space="preserve">personnel </w:t>
      </w:r>
      <w:r w:rsidRPr="00C70473">
        <w:rPr>
          <w:rFonts w:ascii="Arial" w:hAnsi="Arial" w:cs="Arial"/>
          <w:sz w:val="20"/>
          <w:szCs w:val="20"/>
        </w:rPr>
        <w:t xml:space="preserve">numbers of the </w:t>
      </w:r>
      <w:r w:rsidR="00B429AB" w:rsidRPr="00C70473">
        <w:rPr>
          <w:rFonts w:ascii="Arial" w:hAnsi="Arial" w:cs="Arial"/>
          <w:sz w:val="20"/>
          <w:szCs w:val="20"/>
        </w:rPr>
        <w:t xml:space="preserve">Detective Services </w:t>
      </w:r>
      <w:r w:rsidRPr="00C70473">
        <w:rPr>
          <w:rFonts w:ascii="Arial" w:hAnsi="Arial" w:cs="Arial"/>
          <w:sz w:val="20"/>
          <w:szCs w:val="20"/>
        </w:rPr>
        <w:t xml:space="preserve">Programme </w:t>
      </w:r>
      <w:r w:rsidR="0061725F" w:rsidRPr="00C70473">
        <w:rPr>
          <w:rFonts w:ascii="Arial" w:hAnsi="Arial" w:cs="Arial"/>
          <w:sz w:val="20"/>
          <w:szCs w:val="20"/>
        </w:rPr>
        <w:t xml:space="preserve">due to a </w:t>
      </w:r>
      <w:r w:rsidR="00586609" w:rsidRPr="00C70473">
        <w:rPr>
          <w:rFonts w:ascii="Arial" w:hAnsi="Arial" w:cs="Arial"/>
          <w:sz w:val="20"/>
          <w:szCs w:val="20"/>
        </w:rPr>
        <w:t xml:space="preserve">lack of </w:t>
      </w:r>
      <w:r w:rsidR="0061725F" w:rsidRPr="00C70473">
        <w:rPr>
          <w:rFonts w:ascii="Arial" w:hAnsi="Arial" w:cs="Arial"/>
          <w:sz w:val="20"/>
          <w:szCs w:val="20"/>
        </w:rPr>
        <w:t>appropriate</w:t>
      </w:r>
      <w:r w:rsidR="00586609" w:rsidRPr="00C70473">
        <w:rPr>
          <w:rFonts w:ascii="Arial" w:hAnsi="Arial" w:cs="Arial"/>
          <w:sz w:val="20"/>
          <w:szCs w:val="20"/>
        </w:rPr>
        <w:t xml:space="preserve"> </w:t>
      </w:r>
      <w:r w:rsidR="0061725F" w:rsidRPr="00C70473">
        <w:rPr>
          <w:rFonts w:ascii="Arial" w:hAnsi="Arial" w:cs="Arial"/>
          <w:sz w:val="20"/>
          <w:szCs w:val="20"/>
        </w:rPr>
        <w:t>remuneration</w:t>
      </w:r>
      <w:r w:rsidR="00586609" w:rsidRPr="00C70473">
        <w:rPr>
          <w:rFonts w:ascii="Arial" w:hAnsi="Arial" w:cs="Arial"/>
          <w:sz w:val="20"/>
          <w:szCs w:val="20"/>
        </w:rPr>
        <w:t xml:space="preserve"> compared to colleagues in other components</w:t>
      </w:r>
      <w:r w:rsidR="006436DD" w:rsidRPr="00C70473">
        <w:rPr>
          <w:rFonts w:ascii="Arial" w:hAnsi="Arial" w:cs="Arial"/>
          <w:sz w:val="20"/>
          <w:szCs w:val="20"/>
        </w:rPr>
        <w:t>,</w:t>
      </w:r>
      <w:r w:rsidR="00586609" w:rsidRPr="00C70473">
        <w:rPr>
          <w:rFonts w:ascii="Arial" w:hAnsi="Arial" w:cs="Arial"/>
          <w:sz w:val="20"/>
          <w:szCs w:val="20"/>
        </w:rPr>
        <w:t xml:space="preserve"> such as Visible P</w:t>
      </w:r>
      <w:r w:rsidR="0061725F" w:rsidRPr="00C70473">
        <w:rPr>
          <w:rFonts w:ascii="Arial" w:hAnsi="Arial" w:cs="Arial"/>
          <w:sz w:val="20"/>
          <w:szCs w:val="20"/>
        </w:rPr>
        <w:t xml:space="preserve">olicing. It was further noted that Detectives require highly specialised skills to conduct investigations and that this should be recognised and rewarded. </w:t>
      </w:r>
      <w:r w:rsidR="00552532" w:rsidRPr="00C70473">
        <w:rPr>
          <w:rFonts w:ascii="Arial" w:hAnsi="Arial" w:cs="Arial"/>
          <w:sz w:val="20"/>
          <w:szCs w:val="20"/>
        </w:rPr>
        <w:t>Many trained detectives are transferring to other components, like Visible Policing</w:t>
      </w:r>
      <w:r w:rsidR="006436DD" w:rsidRPr="00C70473">
        <w:rPr>
          <w:rFonts w:ascii="Arial" w:hAnsi="Arial" w:cs="Arial"/>
          <w:sz w:val="20"/>
          <w:szCs w:val="20"/>
        </w:rPr>
        <w:t>,</w:t>
      </w:r>
      <w:r w:rsidR="00552532" w:rsidRPr="00C70473">
        <w:rPr>
          <w:rFonts w:ascii="Arial" w:hAnsi="Arial" w:cs="Arial"/>
          <w:sz w:val="20"/>
          <w:szCs w:val="20"/>
        </w:rPr>
        <w:t xml:space="preserve"> for better remuneration. The loss of skills in the Detective Services Programme should be addressed </w:t>
      </w:r>
      <w:r w:rsidR="00602652" w:rsidRPr="00C70473">
        <w:rPr>
          <w:rFonts w:ascii="Arial" w:hAnsi="Arial" w:cs="Arial"/>
          <w:sz w:val="20"/>
          <w:szCs w:val="20"/>
        </w:rPr>
        <w:t xml:space="preserve">as a matter of urgency </w:t>
      </w:r>
      <w:r w:rsidR="00552532" w:rsidRPr="00C70473">
        <w:rPr>
          <w:rFonts w:ascii="Arial" w:hAnsi="Arial" w:cs="Arial"/>
          <w:sz w:val="20"/>
          <w:szCs w:val="20"/>
        </w:rPr>
        <w:t xml:space="preserve">as the positive prosecution of cases are dependent on the quality of investigations.  </w:t>
      </w:r>
    </w:p>
    <w:p w:rsidR="00AC2618" w:rsidRPr="00C70473" w:rsidRDefault="00AC2618" w:rsidP="00C70473">
      <w:pPr>
        <w:pStyle w:val="ListParagraph"/>
        <w:spacing w:after="0" w:line="240" w:lineRule="auto"/>
        <w:rPr>
          <w:rFonts w:ascii="Arial" w:hAnsi="Arial" w:cs="Arial"/>
          <w:sz w:val="20"/>
          <w:szCs w:val="20"/>
        </w:rPr>
      </w:pPr>
    </w:p>
    <w:p w:rsidR="00AC2618" w:rsidRPr="00C70473" w:rsidRDefault="00AC2618" w:rsidP="00C70473">
      <w:pPr>
        <w:pStyle w:val="ListParagraph"/>
        <w:spacing w:after="0" w:line="240" w:lineRule="auto"/>
        <w:rPr>
          <w:rFonts w:ascii="Arial" w:hAnsi="Arial" w:cs="Arial"/>
          <w:sz w:val="20"/>
          <w:szCs w:val="20"/>
        </w:rPr>
      </w:pPr>
      <w:r w:rsidRPr="00C70473">
        <w:rPr>
          <w:rFonts w:ascii="Arial" w:hAnsi="Arial" w:cs="Arial"/>
          <w:sz w:val="20"/>
          <w:szCs w:val="20"/>
        </w:rPr>
        <w:t>The Minister of Police raised concern about the continuous reductions to the SAPS budget</w:t>
      </w:r>
      <w:r w:rsidR="006436DD" w:rsidRPr="00C70473">
        <w:rPr>
          <w:rFonts w:ascii="Arial" w:hAnsi="Arial" w:cs="Arial"/>
          <w:sz w:val="20"/>
          <w:szCs w:val="20"/>
        </w:rPr>
        <w:t xml:space="preserve">. He </w:t>
      </w:r>
      <w:r w:rsidRPr="00C70473">
        <w:rPr>
          <w:rFonts w:ascii="Arial" w:hAnsi="Arial" w:cs="Arial"/>
          <w:sz w:val="20"/>
          <w:szCs w:val="20"/>
        </w:rPr>
        <w:t xml:space="preserve">acknowledged that the number of police officers are </w:t>
      </w:r>
      <w:r w:rsidR="00C77144" w:rsidRPr="00C70473">
        <w:rPr>
          <w:rFonts w:ascii="Arial" w:hAnsi="Arial" w:cs="Arial"/>
          <w:sz w:val="20"/>
          <w:szCs w:val="20"/>
        </w:rPr>
        <w:t>dwindling and highlight</w:t>
      </w:r>
      <w:r w:rsidR="006436DD" w:rsidRPr="00C70473">
        <w:rPr>
          <w:rFonts w:ascii="Arial" w:hAnsi="Arial" w:cs="Arial"/>
          <w:sz w:val="20"/>
          <w:szCs w:val="20"/>
        </w:rPr>
        <w:t>ed</w:t>
      </w:r>
      <w:r w:rsidR="00C77144" w:rsidRPr="00C70473">
        <w:rPr>
          <w:rFonts w:ascii="Arial" w:hAnsi="Arial" w:cs="Arial"/>
          <w:sz w:val="20"/>
          <w:szCs w:val="20"/>
        </w:rPr>
        <w:t xml:space="preserve"> the changes in the pollution/police ratio since 2010</w:t>
      </w:r>
      <w:r w:rsidRPr="00C70473">
        <w:rPr>
          <w:rFonts w:ascii="Arial" w:hAnsi="Arial" w:cs="Arial"/>
          <w:sz w:val="20"/>
          <w:szCs w:val="20"/>
        </w:rPr>
        <w:t xml:space="preserve">. </w:t>
      </w:r>
      <w:r w:rsidR="007B49E2" w:rsidRPr="00C70473">
        <w:rPr>
          <w:rFonts w:ascii="Arial" w:hAnsi="Arial" w:cs="Arial"/>
          <w:sz w:val="20"/>
          <w:szCs w:val="20"/>
        </w:rPr>
        <w:t>The Minister further stated that the COVID-19 lockdown had a significant impact of the intake and training of new recruits.</w:t>
      </w:r>
      <w:r w:rsidR="00022CF0" w:rsidRPr="00C70473">
        <w:rPr>
          <w:rFonts w:ascii="Arial" w:hAnsi="Arial" w:cs="Arial"/>
          <w:sz w:val="20"/>
          <w:szCs w:val="20"/>
        </w:rPr>
        <w:t xml:space="preserve"> The Department had received approval to recruit and train 10 000 new recruits, but this is not sufficient to address the critical shortage in personnel. The Minister further indicated that</w:t>
      </w:r>
      <w:r w:rsidR="006436DD" w:rsidRPr="00C70473">
        <w:rPr>
          <w:rFonts w:ascii="Arial" w:hAnsi="Arial" w:cs="Arial"/>
          <w:sz w:val="20"/>
          <w:szCs w:val="20"/>
        </w:rPr>
        <w:t>,</w:t>
      </w:r>
      <w:r w:rsidR="00022CF0" w:rsidRPr="00C70473">
        <w:rPr>
          <w:rFonts w:ascii="Arial" w:hAnsi="Arial" w:cs="Arial"/>
          <w:sz w:val="20"/>
          <w:szCs w:val="20"/>
        </w:rPr>
        <w:t xml:space="preserve"> of this total</w:t>
      </w:r>
      <w:r w:rsidR="00602652" w:rsidRPr="00C70473">
        <w:rPr>
          <w:rFonts w:ascii="Arial" w:hAnsi="Arial" w:cs="Arial"/>
          <w:sz w:val="20"/>
          <w:szCs w:val="20"/>
        </w:rPr>
        <w:t xml:space="preserve"> (of 10 000 new recruits)</w:t>
      </w:r>
      <w:r w:rsidR="00022CF0" w:rsidRPr="00C70473">
        <w:rPr>
          <w:rFonts w:ascii="Arial" w:hAnsi="Arial" w:cs="Arial"/>
          <w:sz w:val="20"/>
          <w:szCs w:val="20"/>
        </w:rPr>
        <w:t xml:space="preserve">, 4 000 recruits are allocated to the Public Order Policing Units based on the recommendations made by the Farlam Commission of Enquiry. </w:t>
      </w:r>
      <w:r w:rsidR="00B168E6" w:rsidRPr="00C70473">
        <w:rPr>
          <w:rFonts w:ascii="Arial" w:hAnsi="Arial" w:cs="Arial"/>
          <w:sz w:val="20"/>
          <w:szCs w:val="20"/>
        </w:rPr>
        <w:t xml:space="preserve">In relation thereto, the </w:t>
      </w:r>
      <w:r w:rsidR="00B168E6" w:rsidRPr="00C70473">
        <w:rPr>
          <w:rFonts w:ascii="Arial" w:hAnsi="Arial" w:cs="Arial"/>
          <w:sz w:val="20"/>
          <w:szCs w:val="20"/>
        </w:rPr>
        <w:lastRenderedPageBreak/>
        <w:t>capacity of the Public Order Policing Units should be at 12 000 but is currently at 5 000, thus even with the additional personnel allocation, the Units are still under</w:t>
      </w:r>
      <w:r w:rsidR="006436DD" w:rsidRPr="00C70473">
        <w:rPr>
          <w:rFonts w:ascii="Arial" w:hAnsi="Arial" w:cs="Arial"/>
          <w:sz w:val="20"/>
          <w:szCs w:val="20"/>
        </w:rPr>
        <w:t>-</w:t>
      </w:r>
      <w:r w:rsidR="00B168E6" w:rsidRPr="00C70473">
        <w:rPr>
          <w:rFonts w:ascii="Arial" w:hAnsi="Arial" w:cs="Arial"/>
          <w:sz w:val="20"/>
          <w:szCs w:val="20"/>
        </w:rPr>
        <w:t xml:space="preserve">resourced. </w:t>
      </w:r>
    </w:p>
    <w:p w:rsidR="00940F82" w:rsidRPr="00C70473" w:rsidRDefault="00940F82" w:rsidP="00C70473">
      <w:pPr>
        <w:pStyle w:val="ListParagraph"/>
        <w:spacing w:after="0" w:line="240" w:lineRule="auto"/>
        <w:rPr>
          <w:rFonts w:ascii="Arial" w:hAnsi="Arial" w:cs="Arial"/>
          <w:sz w:val="20"/>
          <w:szCs w:val="20"/>
        </w:rPr>
      </w:pPr>
    </w:p>
    <w:p w:rsidR="00940F82" w:rsidRPr="00C70473" w:rsidRDefault="00940F82" w:rsidP="00C70473">
      <w:pPr>
        <w:pStyle w:val="ListParagraph"/>
        <w:spacing w:after="0" w:line="240" w:lineRule="auto"/>
        <w:rPr>
          <w:rFonts w:ascii="Arial" w:hAnsi="Arial" w:cs="Arial"/>
          <w:sz w:val="20"/>
          <w:szCs w:val="20"/>
        </w:rPr>
      </w:pPr>
      <w:r w:rsidRPr="00C70473">
        <w:rPr>
          <w:rFonts w:ascii="Arial" w:hAnsi="Arial" w:cs="Arial"/>
          <w:sz w:val="20"/>
          <w:szCs w:val="20"/>
        </w:rPr>
        <w:t xml:space="preserve">In relation to overall policing numbers, the Minister indicated that there are not enough police officers in Visible Policing to prevent crime and that the numbers are not </w:t>
      </w:r>
      <w:r w:rsidR="006436DD" w:rsidRPr="00C70473">
        <w:rPr>
          <w:rFonts w:ascii="Arial" w:hAnsi="Arial" w:cs="Arial"/>
          <w:sz w:val="20"/>
          <w:szCs w:val="20"/>
        </w:rPr>
        <w:t xml:space="preserve">comparable </w:t>
      </w:r>
      <w:r w:rsidRPr="00C70473">
        <w:rPr>
          <w:rFonts w:ascii="Arial" w:hAnsi="Arial" w:cs="Arial"/>
          <w:sz w:val="20"/>
          <w:szCs w:val="20"/>
        </w:rPr>
        <w:t>to other countries where there is high police visibility.</w:t>
      </w:r>
      <w:r w:rsidR="005B4DF7" w:rsidRPr="00C70473">
        <w:rPr>
          <w:rFonts w:ascii="Arial" w:hAnsi="Arial" w:cs="Arial"/>
          <w:sz w:val="20"/>
          <w:szCs w:val="20"/>
        </w:rPr>
        <w:t xml:space="preserve"> Despite an application to National Treasury to increase the number of police recruits, </w:t>
      </w:r>
      <w:r w:rsidR="006436DD" w:rsidRPr="00C70473">
        <w:rPr>
          <w:rFonts w:ascii="Arial" w:hAnsi="Arial" w:cs="Arial"/>
          <w:sz w:val="20"/>
          <w:szCs w:val="20"/>
        </w:rPr>
        <w:t xml:space="preserve">an intake of </w:t>
      </w:r>
      <w:r w:rsidR="005B4DF7" w:rsidRPr="00C70473">
        <w:rPr>
          <w:rFonts w:ascii="Arial" w:hAnsi="Arial" w:cs="Arial"/>
          <w:sz w:val="20"/>
          <w:szCs w:val="20"/>
        </w:rPr>
        <w:t>only 5 000 w</w:t>
      </w:r>
      <w:r w:rsidR="006436DD" w:rsidRPr="00C70473">
        <w:rPr>
          <w:rFonts w:ascii="Arial" w:hAnsi="Arial" w:cs="Arial"/>
          <w:sz w:val="20"/>
          <w:szCs w:val="20"/>
        </w:rPr>
        <w:t>as</w:t>
      </w:r>
      <w:r w:rsidR="005B4DF7" w:rsidRPr="00C70473">
        <w:rPr>
          <w:rFonts w:ascii="Arial" w:hAnsi="Arial" w:cs="Arial"/>
          <w:sz w:val="20"/>
          <w:szCs w:val="20"/>
        </w:rPr>
        <w:t xml:space="preserve"> approved. </w:t>
      </w:r>
    </w:p>
    <w:p w:rsidR="009E1EB8" w:rsidRPr="00C70473" w:rsidRDefault="009E1EB8" w:rsidP="00C70473">
      <w:pPr>
        <w:pStyle w:val="ListParagraph"/>
        <w:spacing w:after="0" w:line="240" w:lineRule="auto"/>
        <w:rPr>
          <w:rFonts w:ascii="Arial" w:hAnsi="Arial" w:cs="Arial"/>
          <w:sz w:val="20"/>
          <w:szCs w:val="20"/>
        </w:rPr>
      </w:pPr>
    </w:p>
    <w:p w:rsidR="009E1EB8" w:rsidRPr="00C70473" w:rsidRDefault="009E1EB8" w:rsidP="00C70473">
      <w:pPr>
        <w:pStyle w:val="ListParagraph"/>
        <w:spacing w:after="0" w:line="240" w:lineRule="auto"/>
        <w:rPr>
          <w:rFonts w:ascii="Arial" w:hAnsi="Arial" w:cs="Arial"/>
          <w:sz w:val="20"/>
          <w:szCs w:val="20"/>
        </w:rPr>
      </w:pPr>
      <w:r w:rsidRPr="00C70473">
        <w:rPr>
          <w:rFonts w:ascii="Arial" w:hAnsi="Arial" w:cs="Arial"/>
          <w:sz w:val="20"/>
          <w:szCs w:val="20"/>
        </w:rPr>
        <w:t xml:space="preserve">The Department stated that the number of detectives has declined significantly over recent years and that the SAPS has approximately 17 000 detectives, which is not sufficient. The Department indicated that a review of service allowances is underway which has not been increased over many years.  </w:t>
      </w:r>
    </w:p>
    <w:p w:rsidR="00B429AB" w:rsidRPr="00C70473" w:rsidRDefault="00B429AB" w:rsidP="00C70473">
      <w:pPr>
        <w:spacing w:after="0" w:line="240" w:lineRule="auto"/>
        <w:rPr>
          <w:rFonts w:ascii="Arial" w:hAnsi="Arial" w:cs="Arial"/>
          <w:sz w:val="20"/>
          <w:szCs w:val="20"/>
        </w:rPr>
      </w:pPr>
    </w:p>
    <w:p w:rsidR="00B429AB" w:rsidRPr="00C70473" w:rsidRDefault="0080788C"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 xml:space="preserve">The Committee noted the comments made by the Office of the AG in </w:t>
      </w:r>
      <w:r w:rsidR="00B429AB" w:rsidRPr="00C70473">
        <w:rPr>
          <w:rFonts w:ascii="Arial" w:hAnsi="Arial" w:cs="Arial"/>
          <w:sz w:val="20"/>
          <w:szCs w:val="20"/>
        </w:rPr>
        <w:t xml:space="preserve">terms of the reactive approach </w:t>
      </w:r>
      <w:r w:rsidR="00254417" w:rsidRPr="00C70473">
        <w:rPr>
          <w:rFonts w:ascii="Arial" w:hAnsi="Arial" w:cs="Arial"/>
          <w:sz w:val="20"/>
          <w:szCs w:val="20"/>
        </w:rPr>
        <w:t>by the Department</w:t>
      </w:r>
      <w:r w:rsidR="006436DD" w:rsidRPr="00C70473">
        <w:rPr>
          <w:rFonts w:ascii="Arial" w:hAnsi="Arial" w:cs="Arial"/>
          <w:sz w:val="20"/>
          <w:szCs w:val="20"/>
        </w:rPr>
        <w:t>,</w:t>
      </w:r>
      <w:r w:rsidR="00254417" w:rsidRPr="00C70473">
        <w:rPr>
          <w:rFonts w:ascii="Arial" w:hAnsi="Arial" w:cs="Arial"/>
          <w:sz w:val="20"/>
          <w:szCs w:val="20"/>
        </w:rPr>
        <w:t xml:space="preserve"> whereas the mandate should be proactive in preventing crime. The Committee questioned what steps can be taken by the Department to measure targets that are more proactive in nature. </w:t>
      </w:r>
      <w:r w:rsidR="005F115B" w:rsidRPr="00C70473">
        <w:rPr>
          <w:rFonts w:ascii="Arial" w:hAnsi="Arial" w:cs="Arial"/>
          <w:sz w:val="20"/>
          <w:szCs w:val="20"/>
        </w:rPr>
        <w:t xml:space="preserve">The Committee further questioned the manner in which targets are developed and whether the Office of the AG has any input into the planning of performance targets. </w:t>
      </w:r>
      <w:r w:rsidR="00C24D05" w:rsidRPr="00C70473">
        <w:rPr>
          <w:rFonts w:ascii="Arial" w:hAnsi="Arial" w:cs="Arial"/>
          <w:sz w:val="20"/>
          <w:szCs w:val="20"/>
        </w:rPr>
        <w:t>The Committee further raised concern that targets are generally set too low and must be increased.</w:t>
      </w:r>
      <w:r w:rsidR="005725B7" w:rsidRPr="00C70473">
        <w:rPr>
          <w:rFonts w:ascii="Arial" w:hAnsi="Arial" w:cs="Arial"/>
          <w:sz w:val="20"/>
          <w:szCs w:val="20"/>
        </w:rPr>
        <w:t xml:space="preserve"> The Committee proposed that performance targets should be set by the Department in consultation with the Committee. </w:t>
      </w:r>
    </w:p>
    <w:p w:rsidR="00AB4FB2" w:rsidRPr="00C70473" w:rsidRDefault="00AB4FB2" w:rsidP="00C70473">
      <w:pPr>
        <w:spacing w:after="0" w:line="240" w:lineRule="auto"/>
        <w:rPr>
          <w:rFonts w:ascii="Arial" w:hAnsi="Arial" w:cs="Arial"/>
          <w:sz w:val="20"/>
          <w:szCs w:val="20"/>
        </w:rPr>
      </w:pPr>
    </w:p>
    <w:p w:rsidR="00AB4FB2" w:rsidRPr="00C70473" w:rsidRDefault="00AB4FB2" w:rsidP="00C70473">
      <w:pPr>
        <w:spacing w:after="0" w:line="240" w:lineRule="auto"/>
        <w:ind w:left="720"/>
        <w:rPr>
          <w:rFonts w:ascii="Arial" w:hAnsi="Arial" w:cs="Arial"/>
          <w:sz w:val="20"/>
          <w:szCs w:val="20"/>
        </w:rPr>
      </w:pPr>
      <w:r w:rsidRPr="00C70473">
        <w:rPr>
          <w:rFonts w:ascii="Arial" w:hAnsi="Arial" w:cs="Arial"/>
          <w:sz w:val="20"/>
          <w:szCs w:val="20"/>
        </w:rPr>
        <w:t>The Office of the AG indicated that targets should be benchmarked against the resources available in the various budget programmes of the Department to ensure that target can be met during a financial year. In terms of the proactive v</w:t>
      </w:r>
      <w:r w:rsidR="006436DD" w:rsidRPr="00C70473">
        <w:rPr>
          <w:rFonts w:ascii="Arial" w:hAnsi="Arial" w:cs="Arial"/>
          <w:sz w:val="20"/>
          <w:szCs w:val="20"/>
        </w:rPr>
        <w:t>ersu</w:t>
      </w:r>
      <w:r w:rsidRPr="00C70473">
        <w:rPr>
          <w:rFonts w:ascii="Arial" w:hAnsi="Arial" w:cs="Arial"/>
          <w:sz w:val="20"/>
          <w:szCs w:val="20"/>
        </w:rPr>
        <w:t xml:space="preserve">s reactive nature of policing targets, it was noted that the objective of the Visible Policing Programme refers to proactive policing strategies to prevent crime and the AG focussed its audit specifically based on the proactive targets to prevent crime. </w:t>
      </w:r>
      <w:r w:rsidR="00EB349B" w:rsidRPr="00C70473">
        <w:rPr>
          <w:rFonts w:ascii="Arial" w:hAnsi="Arial" w:cs="Arial"/>
          <w:sz w:val="20"/>
          <w:szCs w:val="20"/>
        </w:rPr>
        <w:t>Performance targets must be aligned to the objective of Departmental Programmes.</w:t>
      </w:r>
      <w:r w:rsidRPr="00C70473">
        <w:rPr>
          <w:rFonts w:ascii="Arial" w:hAnsi="Arial" w:cs="Arial"/>
          <w:sz w:val="20"/>
          <w:szCs w:val="20"/>
        </w:rPr>
        <w:t xml:space="preserve"> </w:t>
      </w:r>
    </w:p>
    <w:p w:rsidR="00A46090" w:rsidRPr="00C70473" w:rsidRDefault="00A46090" w:rsidP="00C70473">
      <w:pPr>
        <w:spacing w:after="0" w:line="240" w:lineRule="auto"/>
        <w:ind w:left="720"/>
        <w:rPr>
          <w:rFonts w:ascii="Arial" w:hAnsi="Arial" w:cs="Arial"/>
          <w:sz w:val="20"/>
          <w:szCs w:val="20"/>
        </w:rPr>
      </w:pPr>
    </w:p>
    <w:p w:rsidR="00CF1F4B" w:rsidRPr="00C70473" w:rsidRDefault="00A46090" w:rsidP="00C70473">
      <w:pPr>
        <w:spacing w:after="0" w:line="240" w:lineRule="auto"/>
        <w:ind w:left="720"/>
        <w:rPr>
          <w:rFonts w:ascii="Arial" w:hAnsi="Arial" w:cs="Arial"/>
          <w:sz w:val="20"/>
          <w:szCs w:val="20"/>
        </w:rPr>
      </w:pPr>
      <w:r w:rsidRPr="00C70473">
        <w:rPr>
          <w:rFonts w:ascii="Arial" w:hAnsi="Arial" w:cs="Arial"/>
          <w:sz w:val="20"/>
          <w:szCs w:val="20"/>
        </w:rPr>
        <w:t>The Department indicated that the SAPS is a ser</w:t>
      </w:r>
      <w:r w:rsidR="00E64C6D" w:rsidRPr="00C70473">
        <w:rPr>
          <w:rFonts w:ascii="Arial" w:hAnsi="Arial" w:cs="Arial"/>
          <w:sz w:val="20"/>
          <w:szCs w:val="20"/>
        </w:rPr>
        <w:t>vice</w:t>
      </w:r>
      <w:r w:rsidRPr="00C70473">
        <w:rPr>
          <w:rFonts w:ascii="Arial" w:hAnsi="Arial" w:cs="Arial"/>
          <w:sz w:val="20"/>
          <w:szCs w:val="20"/>
        </w:rPr>
        <w:t xml:space="preserve">-orientated organisation </w:t>
      </w:r>
      <w:r w:rsidR="00E64C6D" w:rsidRPr="00C70473">
        <w:rPr>
          <w:rFonts w:ascii="Arial" w:hAnsi="Arial" w:cs="Arial"/>
          <w:sz w:val="20"/>
          <w:szCs w:val="20"/>
        </w:rPr>
        <w:t>and</w:t>
      </w:r>
      <w:r w:rsidR="006436DD" w:rsidRPr="00C70473">
        <w:rPr>
          <w:rFonts w:ascii="Arial" w:hAnsi="Arial" w:cs="Arial"/>
          <w:sz w:val="20"/>
          <w:szCs w:val="20"/>
        </w:rPr>
        <w:t>,</w:t>
      </w:r>
      <w:r w:rsidR="00E64C6D" w:rsidRPr="00C70473">
        <w:rPr>
          <w:rFonts w:ascii="Arial" w:hAnsi="Arial" w:cs="Arial"/>
          <w:sz w:val="20"/>
          <w:szCs w:val="20"/>
        </w:rPr>
        <w:t xml:space="preserve"> as such</w:t>
      </w:r>
      <w:r w:rsidR="006436DD" w:rsidRPr="00C70473">
        <w:rPr>
          <w:rFonts w:ascii="Arial" w:hAnsi="Arial" w:cs="Arial"/>
          <w:sz w:val="20"/>
          <w:szCs w:val="20"/>
        </w:rPr>
        <w:t>,</w:t>
      </w:r>
      <w:r w:rsidR="00E64C6D" w:rsidRPr="00C70473">
        <w:rPr>
          <w:rFonts w:ascii="Arial" w:hAnsi="Arial" w:cs="Arial"/>
          <w:sz w:val="20"/>
          <w:szCs w:val="20"/>
        </w:rPr>
        <w:t xml:space="preserve"> it is </w:t>
      </w:r>
      <w:r w:rsidRPr="00C70473">
        <w:rPr>
          <w:rFonts w:ascii="Arial" w:hAnsi="Arial" w:cs="Arial"/>
          <w:sz w:val="20"/>
          <w:szCs w:val="20"/>
        </w:rPr>
        <w:t xml:space="preserve">challenging to identify targets that are reflective of the different programmes. </w:t>
      </w:r>
      <w:r w:rsidR="00E64C6D" w:rsidRPr="00C70473">
        <w:rPr>
          <w:rFonts w:ascii="Arial" w:hAnsi="Arial" w:cs="Arial"/>
          <w:sz w:val="20"/>
          <w:szCs w:val="20"/>
        </w:rPr>
        <w:t xml:space="preserve">The </w:t>
      </w:r>
      <w:r w:rsidRPr="00C70473">
        <w:rPr>
          <w:rFonts w:ascii="Arial" w:hAnsi="Arial" w:cs="Arial"/>
          <w:sz w:val="20"/>
          <w:szCs w:val="20"/>
        </w:rPr>
        <w:t>DPME has implemented a results</w:t>
      </w:r>
      <w:r w:rsidR="006436DD" w:rsidRPr="00C70473">
        <w:rPr>
          <w:rFonts w:ascii="Arial" w:hAnsi="Arial" w:cs="Arial"/>
          <w:sz w:val="20"/>
          <w:szCs w:val="20"/>
        </w:rPr>
        <w:t>-</w:t>
      </w:r>
      <w:r w:rsidRPr="00C70473">
        <w:rPr>
          <w:rFonts w:ascii="Arial" w:hAnsi="Arial" w:cs="Arial"/>
          <w:sz w:val="20"/>
          <w:szCs w:val="20"/>
        </w:rPr>
        <w:t xml:space="preserve">based approach to planning </w:t>
      </w:r>
      <w:r w:rsidR="00E64C6D" w:rsidRPr="00C70473">
        <w:rPr>
          <w:rFonts w:ascii="Arial" w:hAnsi="Arial" w:cs="Arial"/>
          <w:sz w:val="20"/>
          <w:szCs w:val="20"/>
        </w:rPr>
        <w:t xml:space="preserve">which directs Departments to </w:t>
      </w:r>
      <w:r w:rsidRPr="00C70473">
        <w:rPr>
          <w:rFonts w:ascii="Arial" w:hAnsi="Arial" w:cs="Arial"/>
          <w:sz w:val="20"/>
          <w:szCs w:val="20"/>
        </w:rPr>
        <w:t>include outcome or impact indicators</w:t>
      </w:r>
      <w:r w:rsidR="00E64C6D" w:rsidRPr="00C70473">
        <w:rPr>
          <w:rFonts w:ascii="Arial" w:hAnsi="Arial" w:cs="Arial"/>
          <w:sz w:val="20"/>
          <w:szCs w:val="20"/>
        </w:rPr>
        <w:t xml:space="preserve"> in its Annual Performance Plans</w:t>
      </w:r>
      <w:r w:rsidRPr="00C70473">
        <w:rPr>
          <w:rFonts w:ascii="Arial" w:hAnsi="Arial" w:cs="Arial"/>
          <w:sz w:val="20"/>
          <w:szCs w:val="20"/>
        </w:rPr>
        <w:t xml:space="preserve">. </w:t>
      </w:r>
      <w:r w:rsidR="00E64C6D" w:rsidRPr="00C70473">
        <w:rPr>
          <w:rFonts w:ascii="Arial" w:hAnsi="Arial" w:cs="Arial"/>
          <w:sz w:val="20"/>
          <w:szCs w:val="20"/>
        </w:rPr>
        <w:t xml:space="preserve">The Departments stated that, for instance, the ultimate outcome of the </w:t>
      </w:r>
      <w:r w:rsidRPr="00C70473">
        <w:rPr>
          <w:rFonts w:ascii="Arial" w:hAnsi="Arial" w:cs="Arial"/>
          <w:sz w:val="20"/>
          <w:szCs w:val="20"/>
        </w:rPr>
        <w:t>Vis</w:t>
      </w:r>
      <w:r w:rsidR="00E64C6D" w:rsidRPr="00C70473">
        <w:rPr>
          <w:rFonts w:ascii="Arial" w:hAnsi="Arial" w:cs="Arial"/>
          <w:sz w:val="20"/>
          <w:szCs w:val="20"/>
        </w:rPr>
        <w:t>ible</w:t>
      </w:r>
      <w:r w:rsidRPr="00C70473">
        <w:rPr>
          <w:rFonts w:ascii="Arial" w:hAnsi="Arial" w:cs="Arial"/>
          <w:sz w:val="20"/>
          <w:szCs w:val="20"/>
        </w:rPr>
        <w:t xml:space="preserve"> Polic</w:t>
      </w:r>
      <w:r w:rsidR="00E64C6D" w:rsidRPr="00C70473">
        <w:rPr>
          <w:rFonts w:ascii="Arial" w:hAnsi="Arial" w:cs="Arial"/>
          <w:sz w:val="20"/>
          <w:szCs w:val="20"/>
        </w:rPr>
        <w:t xml:space="preserve">ing Programme </w:t>
      </w:r>
      <w:r w:rsidRPr="00C70473">
        <w:rPr>
          <w:rFonts w:ascii="Arial" w:hAnsi="Arial" w:cs="Arial"/>
          <w:sz w:val="20"/>
          <w:szCs w:val="20"/>
        </w:rPr>
        <w:t>is the absence of crime</w:t>
      </w:r>
      <w:r w:rsidR="00E64C6D" w:rsidRPr="00C70473">
        <w:rPr>
          <w:rFonts w:ascii="Arial" w:hAnsi="Arial" w:cs="Arial"/>
          <w:sz w:val="20"/>
          <w:szCs w:val="20"/>
        </w:rPr>
        <w:t xml:space="preserve"> (or a significant yearly reduction of crime)</w:t>
      </w:r>
      <w:r w:rsidRPr="00C70473">
        <w:rPr>
          <w:rFonts w:ascii="Arial" w:hAnsi="Arial" w:cs="Arial"/>
          <w:sz w:val="20"/>
          <w:szCs w:val="20"/>
        </w:rPr>
        <w:t xml:space="preserve">. </w:t>
      </w:r>
      <w:r w:rsidR="00E64C6D" w:rsidRPr="00C70473">
        <w:rPr>
          <w:rFonts w:ascii="Arial" w:hAnsi="Arial" w:cs="Arial"/>
          <w:sz w:val="20"/>
          <w:szCs w:val="20"/>
        </w:rPr>
        <w:t>The Department further indicated that proactive measures on crime prevention are included in l</w:t>
      </w:r>
      <w:r w:rsidRPr="00C70473">
        <w:rPr>
          <w:rFonts w:ascii="Arial" w:hAnsi="Arial" w:cs="Arial"/>
          <w:sz w:val="20"/>
          <w:szCs w:val="20"/>
        </w:rPr>
        <w:t>ower level planning</w:t>
      </w:r>
      <w:r w:rsidR="00E64C6D" w:rsidRPr="00C70473">
        <w:rPr>
          <w:rFonts w:ascii="Arial" w:hAnsi="Arial" w:cs="Arial"/>
          <w:sz w:val="20"/>
          <w:szCs w:val="20"/>
        </w:rPr>
        <w:t xml:space="preserve"> documents such as</w:t>
      </w:r>
      <w:r w:rsidRPr="00C70473">
        <w:rPr>
          <w:rFonts w:ascii="Arial" w:hAnsi="Arial" w:cs="Arial"/>
          <w:sz w:val="20"/>
          <w:szCs w:val="20"/>
        </w:rPr>
        <w:t xml:space="preserve"> Annual Operational P</w:t>
      </w:r>
      <w:r w:rsidR="00E64C6D" w:rsidRPr="00C70473">
        <w:rPr>
          <w:rFonts w:ascii="Arial" w:hAnsi="Arial" w:cs="Arial"/>
          <w:sz w:val="20"/>
          <w:szCs w:val="20"/>
        </w:rPr>
        <w:t>lans. The development of r</w:t>
      </w:r>
      <w:r w:rsidRPr="00C70473">
        <w:rPr>
          <w:rFonts w:ascii="Arial" w:hAnsi="Arial" w:cs="Arial"/>
          <w:sz w:val="20"/>
          <w:szCs w:val="20"/>
        </w:rPr>
        <w:t xml:space="preserve">esult-based indicators </w:t>
      </w:r>
      <w:r w:rsidR="00E64C6D" w:rsidRPr="00C70473">
        <w:rPr>
          <w:rFonts w:ascii="Arial" w:hAnsi="Arial" w:cs="Arial"/>
          <w:sz w:val="20"/>
          <w:szCs w:val="20"/>
        </w:rPr>
        <w:t xml:space="preserve">also </w:t>
      </w:r>
      <w:r w:rsidRPr="00C70473">
        <w:rPr>
          <w:rFonts w:ascii="Arial" w:hAnsi="Arial" w:cs="Arial"/>
          <w:sz w:val="20"/>
          <w:szCs w:val="20"/>
        </w:rPr>
        <w:t>ha</w:t>
      </w:r>
      <w:r w:rsidR="00E64C6D" w:rsidRPr="00C70473">
        <w:rPr>
          <w:rFonts w:ascii="Arial" w:hAnsi="Arial" w:cs="Arial"/>
          <w:sz w:val="20"/>
          <w:szCs w:val="20"/>
        </w:rPr>
        <w:t>s</w:t>
      </w:r>
      <w:r w:rsidRPr="00C70473">
        <w:rPr>
          <w:rFonts w:ascii="Arial" w:hAnsi="Arial" w:cs="Arial"/>
          <w:sz w:val="20"/>
          <w:szCs w:val="20"/>
        </w:rPr>
        <w:t xml:space="preserve"> to take into account </w:t>
      </w:r>
      <w:r w:rsidR="00E64C6D" w:rsidRPr="00C70473">
        <w:rPr>
          <w:rFonts w:ascii="Arial" w:hAnsi="Arial" w:cs="Arial"/>
          <w:sz w:val="20"/>
          <w:szCs w:val="20"/>
        </w:rPr>
        <w:t>priorities set out by the President in his State of the Nation Address (</w:t>
      </w:r>
      <w:r w:rsidRPr="00C70473">
        <w:rPr>
          <w:rFonts w:ascii="Arial" w:hAnsi="Arial" w:cs="Arial"/>
          <w:sz w:val="20"/>
          <w:szCs w:val="20"/>
        </w:rPr>
        <w:t>SONA</w:t>
      </w:r>
      <w:r w:rsidR="00E64C6D" w:rsidRPr="00C70473">
        <w:rPr>
          <w:rFonts w:ascii="Arial" w:hAnsi="Arial" w:cs="Arial"/>
          <w:sz w:val="20"/>
          <w:szCs w:val="20"/>
        </w:rPr>
        <w:t>), the Minister of Police</w:t>
      </w:r>
      <w:r w:rsidRPr="00C70473">
        <w:rPr>
          <w:rFonts w:ascii="Arial" w:hAnsi="Arial" w:cs="Arial"/>
          <w:sz w:val="20"/>
          <w:szCs w:val="20"/>
        </w:rPr>
        <w:t xml:space="preserve"> and </w:t>
      </w:r>
      <w:r w:rsidR="00E64C6D" w:rsidRPr="00C70473">
        <w:rPr>
          <w:rFonts w:ascii="Arial" w:hAnsi="Arial" w:cs="Arial"/>
          <w:sz w:val="20"/>
          <w:szCs w:val="20"/>
        </w:rPr>
        <w:t xml:space="preserve">through the </w:t>
      </w:r>
      <w:r w:rsidRPr="00C70473">
        <w:rPr>
          <w:rFonts w:ascii="Arial" w:hAnsi="Arial" w:cs="Arial"/>
          <w:sz w:val="20"/>
          <w:szCs w:val="20"/>
        </w:rPr>
        <w:t>MTSF</w:t>
      </w:r>
      <w:r w:rsidR="00E64C6D" w:rsidRPr="00C70473">
        <w:rPr>
          <w:rFonts w:ascii="Arial" w:hAnsi="Arial" w:cs="Arial"/>
          <w:sz w:val="20"/>
          <w:szCs w:val="20"/>
        </w:rPr>
        <w:t xml:space="preserve">. </w:t>
      </w:r>
      <w:r w:rsidRPr="00C70473">
        <w:rPr>
          <w:rFonts w:ascii="Arial" w:hAnsi="Arial" w:cs="Arial"/>
          <w:sz w:val="20"/>
          <w:szCs w:val="20"/>
        </w:rPr>
        <w:t>T</w:t>
      </w:r>
      <w:r w:rsidR="00E64C6D" w:rsidRPr="00C70473">
        <w:rPr>
          <w:rFonts w:ascii="Arial" w:hAnsi="Arial" w:cs="Arial"/>
          <w:sz w:val="20"/>
          <w:szCs w:val="20"/>
        </w:rPr>
        <w:t>he Department noted the AG’s focus on the target included in the Visible Policing Programme to conduct</w:t>
      </w:r>
      <w:r w:rsidRPr="00C70473">
        <w:rPr>
          <w:rFonts w:ascii="Arial" w:hAnsi="Arial" w:cs="Arial"/>
          <w:sz w:val="20"/>
          <w:szCs w:val="20"/>
        </w:rPr>
        <w:t xml:space="preserve"> awareness campaigns </w:t>
      </w:r>
      <w:r w:rsidR="00E64C6D" w:rsidRPr="00C70473">
        <w:rPr>
          <w:rFonts w:ascii="Arial" w:hAnsi="Arial" w:cs="Arial"/>
          <w:sz w:val="20"/>
          <w:szCs w:val="20"/>
        </w:rPr>
        <w:t>as a proactive measure to prevent crime. The Department highlighted the need to reduce the number of annual performance targets and indicated that the majority of targets are legacy indicators. The Department aims to be responsive to new priorities that arise such as</w:t>
      </w:r>
      <w:r w:rsidR="0042363C" w:rsidRPr="00C70473">
        <w:rPr>
          <w:rFonts w:ascii="Arial" w:hAnsi="Arial" w:cs="Arial"/>
          <w:sz w:val="20"/>
          <w:szCs w:val="20"/>
        </w:rPr>
        <w:t xml:space="preserve"> gender-based violence and femicide (</w:t>
      </w:r>
      <w:r w:rsidRPr="00C70473">
        <w:rPr>
          <w:rFonts w:ascii="Arial" w:hAnsi="Arial" w:cs="Arial"/>
          <w:sz w:val="20"/>
          <w:szCs w:val="20"/>
        </w:rPr>
        <w:t>GBVF</w:t>
      </w:r>
      <w:r w:rsidR="0042363C" w:rsidRPr="00C70473">
        <w:rPr>
          <w:rFonts w:ascii="Arial" w:hAnsi="Arial" w:cs="Arial"/>
          <w:sz w:val="20"/>
          <w:szCs w:val="20"/>
        </w:rPr>
        <w:t>)</w:t>
      </w:r>
      <w:r w:rsidRPr="00C70473">
        <w:rPr>
          <w:rFonts w:ascii="Arial" w:hAnsi="Arial" w:cs="Arial"/>
          <w:sz w:val="20"/>
          <w:szCs w:val="20"/>
        </w:rPr>
        <w:t xml:space="preserve">. </w:t>
      </w:r>
      <w:r w:rsidR="00CF1F4B" w:rsidRPr="00C70473">
        <w:rPr>
          <w:rFonts w:ascii="Arial" w:hAnsi="Arial" w:cs="Arial"/>
          <w:sz w:val="20"/>
          <w:szCs w:val="20"/>
        </w:rPr>
        <w:t xml:space="preserve">The Department further indicated that the focus should be placed on the apex indicators relating to safer communities as per the MTSF and NDP. </w:t>
      </w:r>
    </w:p>
    <w:p w:rsidR="0025395D" w:rsidRPr="00C70473" w:rsidRDefault="0025395D" w:rsidP="00C70473">
      <w:pPr>
        <w:spacing w:after="0" w:line="240" w:lineRule="auto"/>
        <w:rPr>
          <w:rFonts w:ascii="Arial" w:hAnsi="Arial" w:cs="Arial"/>
          <w:sz w:val="20"/>
          <w:szCs w:val="20"/>
        </w:rPr>
      </w:pPr>
    </w:p>
    <w:p w:rsidR="0025395D" w:rsidRPr="00C70473" w:rsidRDefault="00CF1F4B" w:rsidP="00C70473">
      <w:pPr>
        <w:spacing w:after="0" w:line="240" w:lineRule="auto"/>
        <w:ind w:left="720"/>
        <w:rPr>
          <w:rFonts w:ascii="Arial" w:hAnsi="Arial" w:cs="Arial"/>
          <w:sz w:val="20"/>
          <w:szCs w:val="20"/>
        </w:rPr>
      </w:pPr>
      <w:r w:rsidRPr="00C70473">
        <w:rPr>
          <w:rFonts w:ascii="Arial" w:hAnsi="Arial" w:cs="Arial"/>
          <w:sz w:val="20"/>
          <w:szCs w:val="20"/>
        </w:rPr>
        <w:t xml:space="preserve">The Department further noted that the </w:t>
      </w:r>
      <w:r w:rsidR="0025395D" w:rsidRPr="00C70473">
        <w:rPr>
          <w:rFonts w:ascii="Arial" w:hAnsi="Arial" w:cs="Arial"/>
          <w:sz w:val="20"/>
          <w:szCs w:val="20"/>
        </w:rPr>
        <w:t xml:space="preserve">Policing </w:t>
      </w:r>
      <w:r w:rsidRPr="00C70473">
        <w:rPr>
          <w:rFonts w:ascii="Arial" w:hAnsi="Arial" w:cs="Arial"/>
          <w:sz w:val="20"/>
          <w:szCs w:val="20"/>
        </w:rPr>
        <w:t>S</w:t>
      </w:r>
      <w:r w:rsidR="0025395D" w:rsidRPr="00C70473">
        <w:rPr>
          <w:rFonts w:ascii="Arial" w:hAnsi="Arial" w:cs="Arial"/>
          <w:sz w:val="20"/>
          <w:szCs w:val="20"/>
        </w:rPr>
        <w:t xml:space="preserve">trategy </w:t>
      </w:r>
      <w:r w:rsidRPr="00C70473">
        <w:rPr>
          <w:rFonts w:ascii="Arial" w:hAnsi="Arial" w:cs="Arial"/>
          <w:sz w:val="20"/>
          <w:szCs w:val="20"/>
        </w:rPr>
        <w:t xml:space="preserve">that will be presented to the Committee in November </w:t>
      </w:r>
      <w:r w:rsidR="006436DD" w:rsidRPr="00C70473">
        <w:rPr>
          <w:rFonts w:ascii="Arial" w:hAnsi="Arial" w:cs="Arial"/>
          <w:sz w:val="20"/>
          <w:szCs w:val="20"/>
        </w:rPr>
        <w:t xml:space="preserve">2022 </w:t>
      </w:r>
      <w:r w:rsidR="0025395D" w:rsidRPr="00C70473">
        <w:rPr>
          <w:rFonts w:ascii="Arial" w:hAnsi="Arial" w:cs="Arial"/>
          <w:sz w:val="20"/>
          <w:szCs w:val="20"/>
        </w:rPr>
        <w:t xml:space="preserve">has </w:t>
      </w:r>
      <w:r w:rsidRPr="00C70473">
        <w:rPr>
          <w:rFonts w:ascii="Arial" w:hAnsi="Arial" w:cs="Arial"/>
          <w:sz w:val="20"/>
          <w:szCs w:val="20"/>
        </w:rPr>
        <w:t xml:space="preserve">various </w:t>
      </w:r>
      <w:r w:rsidR="0025395D" w:rsidRPr="00C70473">
        <w:rPr>
          <w:rFonts w:ascii="Arial" w:hAnsi="Arial" w:cs="Arial"/>
          <w:sz w:val="20"/>
          <w:szCs w:val="20"/>
        </w:rPr>
        <w:t xml:space="preserve">proactive measures </w:t>
      </w:r>
      <w:r w:rsidRPr="00C70473">
        <w:rPr>
          <w:rFonts w:ascii="Arial" w:hAnsi="Arial" w:cs="Arial"/>
          <w:sz w:val="20"/>
          <w:szCs w:val="20"/>
        </w:rPr>
        <w:t xml:space="preserve">to prevent crime </w:t>
      </w:r>
      <w:r w:rsidR="0025395D" w:rsidRPr="00C70473">
        <w:rPr>
          <w:rFonts w:ascii="Arial" w:hAnsi="Arial" w:cs="Arial"/>
          <w:sz w:val="20"/>
          <w:szCs w:val="20"/>
        </w:rPr>
        <w:t>imbedded</w:t>
      </w:r>
      <w:r w:rsidRPr="00C70473">
        <w:rPr>
          <w:rFonts w:ascii="Arial" w:hAnsi="Arial" w:cs="Arial"/>
          <w:sz w:val="20"/>
          <w:szCs w:val="20"/>
        </w:rPr>
        <w:t xml:space="preserve"> into the Strategy</w:t>
      </w:r>
      <w:r w:rsidR="0025395D" w:rsidRPr="00C70473">
        <w:rPr>
          <w:rFonts w:ascii="Arial" w:hAnsi="Arial" w:cs="Arial"/>
          <w:sz w:val="20"/>
          <w:szCs w:val="20"/>
        </w:rPr>
        <w:t xml:space="preserve">. </w:t>
      </w:r>
      <w:r w:rsidRPr="00C70473">
        <w:rPr>
          <w:rFonts w:ascii="Arial" w:hAnsi="Arial" w:cs="Arial"/>
          <w:sz w:val="20"/>
          <w:szCs w:val="20"/>
        </w:rPr>
        <w:t>In conclusion, the Department noted that there are a</w:t>
      </w:r>
      <w:r w:rsidR="0025395D" w:rsidRPr="00C70473">
        <w:rPr>
          <w:rFonts w:ascii="Arial" w:hAnsi="Arial" w:cs="Arial"/>
          <w:sz w:val="20"/>
          <w:szCs w:val="20"/>
        </w:rPr>
        <w:t xml:space="preserve">reas </w:t>
      </w:r>
      <w:r w:rsidRPr="00C70473">
        <w:rPr>
          <w:rFonts w:ascii="Arial" w:hAnsi="Arial" w:cs="Arial"/>
          <w:sz w:val="20"/>
          <w:szCs w:val="20"/>
        </w:rPr>
        <w:t xml:space="preserve">with clean </w:t>
      </w:r>
      <w:r w:rsidR="0025395D" w:rsidRPr="00C70473">
        <w:rPr>
          <w:rFonts w:ascii="Arial" w:hAnsi="Arial" w:cs="Arial"/>
          <w:sz w:val="20"/>
          <w:szCs w:val="20"/>
        </w:rPr>
        <w:t>audits</w:t>
      </w:r>
      <w:r w:rsidRPr="00C70473">
        <w:rPr>
          <w:rFonts w:ascii="Arial" w:hAnsi="Arial" w:cs="Arial"/>
          <w:sz w:val="20"/>
          <w:szCs w:val="20"/>
        </w:rPr>
        <w:t xml:space="preserve"> within the SAPS</w:t>
      </w:r>
      <w:r w:rsidR="0025395D" w:rsidRPr="00C70473">
        <w:rPr>
          <w:rFonts w:ascii="Arial" w:hAnsi="Arial" w:cs="Arial"/>
          <w:sz w:val="20"/>
          <w:szCs w:val="20"/>
        </w:rPr>
        <w:t>.</w:t>
      </w:r>
      <w:r w:rsidRPr="00C70473">
        <w:rPr>
          <w:rFonts w:ascii="Arial" w:hAnsi="Arial" w:cs="Arial"/>
          <w:sz w:val="20"/>
          <w:szCs w:val="20"/>
        </w:rPr>
        <w:t xml:space="preserve"> The Department will continue with engagement with the</w:t>
      </w:r>
      <w:r w:rsidR="0025395D" w:rsidRPr="00C70473">
        <w:rPr>
          <w:rFonts w:ascii="Arial" w:hAnsi="Arial" w:cs="Arial"/>
          <w:sz w:val="20"/>
          <w:szCs w:val="20"/>
        </w:rPr>
        <w:t xml:space="preserve"> DPME and AG to </w:t>
      </w:r>
      <w:r w:rsidRPr="00C70473">
        <w:rPr>
          <w:rFonts w:ascii="Arial" w:hAnsi="Arial" w:cs="Arial"/>
          <w:sz w:val="20"/>
          <w:szCs w:val="20"/>
        </w:rPr>
        <w:t xml:space="preserve">refine performance targets to </w:t>
      </w:r>
      <w:r w:rsidR="0025395D" w:rsidRPr="00C70473">
        <w:rPr>
          <w:rFonts w:ascii="Arial" w:hAnsi="Arial" w:cs="Arial"/>
          <w:sz w:val="20"/>
          <w:szCs w:val="20"/>
        </w:rPr>
        <w:t>m</w:t>
      </w:r>
      <w:r w:rsidRPr="00C70473">
        <w:rPr>
          <w:rFonts w:ascii="Arial" w:hAnsi="Arial" w:cs="Arial"/>
          <w:sz w:val="20"/>
          <w:szCs w:val="20"/>
        </w:rPr>
        <w:t>ake sure that the correct services</w:t>
      </w:r>
      <w:r w:rsidR="0025395D" w:rsidRPr="00C70473">
        <w:rPr>
          <w:rFonts w:ascii="Arial" w:hAnsi="Arial" w:cs="Arial"/>
          <w:sz w:val="20"/>
          <w:szCs w:val="20"/>
        </w:rPr>
        <w:t xml:space="preserve"> are measured</w:t>
      </w:r>
      <w:r w:rsidR="00A0368B" w:rsidRPr="00C70473">
        <w:rPr>
          <w:rFonts w:ascii="Arial" w:hAnsi="Arial" w:cs="Arial"/>
          <w:sz w:val="20"/>
          <w:szCs w:val="20"/>
        </w:rPr>
        <w:t xml:space="preserve"> within the Department to achieve its objectives and Constitutional mandate</w:t>
      </w:r>
      <w:r w:rsidR="0025395D" w:rsidRPr="00C70473">
        <w:rPr>
          <w:rFonts w:ascii="Arial" w:hAnsi="Arial" w:cs="Arial"/>
          <w:sz w:val="20"/>
          <w:szCs w:val="20"/>
        </w:rPr>
        <w:t xml:space="preserve">. </w:t>
      </w:r>
    </w:p>
    <w:p w:rsidR="00B429AB" w:rsidRPr="00C70473" w:rsidRDefault="00B429AB" w:rsidP="00C70473">
      <w:pPr>
        <w:spacing w:after="0" w:line="240" w:lineRule="auto"/>
        <w:rPr>
          <w:rFonts w:ascii="Arial" w:hAnsi="Arial" w:cs="Arial"/>
          <w:sz w:val="20"/>
          <w:szCs w:val="20"/>
        </w:rPr>
      </w:pPr>
    </w:p>
    <w:p w:rsidR="006A3FF5" w:rsidRPr="00C70473" w:rsidRDefault="006A3FF5"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 xml:space="preserve">The Committee raised concern that the SAPS are seemingly failing in their prime responsibilities in terms of their Constitutional mandate, especially in the Visible Policing and Detective Services Programmes, which is delivering the core services of the Department. It was further noted that the police are regressing in terms of performance and that serious intervention is needed to improve service delivery. Members questioned what will be done differently to turn the Department around.  </w:t>
      </w:r>
    </w:p>
    <w:p w:rsidR="006A3FF5" w:rsidRPr="00C70473" w:rsidRDefault="006A3FF5" w:rsidP="00C70473">
      <w:pPr>
        <w:spacing w:after="0" w:line="240" w:lineRule="auto"/>
        <w:ind w:left="360"/>
        <w:rPr>
          <w:rFonts w:ascii="Arial" w:hAnsi="Arial" w:cs="Arial"/>
          <w:sz w:val="20"/>
          <w:szCs w:val="20"/>
        </w:rPr>
      </w:pPr>
    </w:p>
    <w:p w:rsidR="00254417" w:rsidRPr="00C70473" w:rsidRDefault="00254417"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 xml:space="preserve">The Committee noted that problematic behaviour that could lead to criminality can </w:t>
      </w:r>
      <w:r w:rsidR="005B7098" w:rsidRPr="00C70473">
        <w:rPr>
          <w:rFonts w:ascii="Arial" w:hAnsi="Arial" w:cs="Arial"/>
          <w:sz w:val="20"/>
          <w:szCs w:val="20"/>
        </w:rPr>
        <w:t xml:space="preserve">and should </w:t>
      </w:r>
      <w:r w:rsidRPr="00C70473">
        <w:rPr>
          <w:rFonts w:ascii="Arial" w:hAnsi="Arial" w:cs="Arial"/>
          <w:sz w:val="20"/>
          <w:szCs w:val="20"/>
        </w:rPr>
        <w:t xml:space="preserve">be identified at school level and questioned what interventions can be put in place to deter and prevent this behaviour before it leads to serious criminality. </w:t>
      </w:r>
    </w:p>
    <w:p w:rsidR="00254417" w:rsidRPr="00C70473" w:rsidRDefault="00254417" w:rsidP="00C70473">
      <w:pPr>
        <w:spacing w:after="0" w:line="240" w:lineRule="auto"/>
        <w:rPr>
          <w:rFonts w:ascii="Arial" w:hAnsi="Arial" w:cs="Arial"/>
          <w:sz w:val="20"/>
          <w:szCs w:val="20"/>
        </w:rPr>
      </w:pPr>
      <w:r w:rsidRPr="00C70473">
        <w:rPr>
          <w:rFonts w:ascii="Arial" w:hAnsi="Arial" w:cs="Arial"/>
          <w:sz w:val="20"/>
          <w:szCs w:val="20"/>
        </w:rPr>
        <w:t xml:space="preserve"> </w:t>
      </w:r>
    </w:p>
    <w:p w:rsidR="00B429AB" w:rsidRPr="00C70473" w:rsidRDefault="00254417"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The Committee p</w:t>
      </w:r>
      <w:r w:rsidR="00B429AB" w:rsidRPr="00C70473">
        <w:rPr>
          <w:rFonts w:ascii="Arial" w:hAnsi="Arial" w:cs="Arial"/>
          <w:sz w:val="20"/>
          <w:szCs w:val="20"/>
        </w:rPr>
        <w:t xml:space="preserve">roposed </w:t>
      </w:r>
      <w:r w:rsidR="00361EE3" w:rsidRPr="00C70473">
        <w:rPr>
          <w:rFonts w:ascii="Arial" w:hAnsi="Arial" w:cs="Arial"/>
          <w:sz w:val="20"/>
          <w:szCs w:val="20"/>
        </w:rPr>
        <w:t xml:space="preserve">the inclusion of police-orientated subjects in </w:t>
      </w:r>
      <w:r w:rsidR="00B429AB" w:rsidRPr="00C70473">
        <w:rPr>
          <w:rFonts w:ascii="Arial" w:hAnsi="Arial" w:cs="Arial"/>
          <w:sz w:val="20"/>
          <w:szCs w:val="20"/>
        </w:rPr>
        <w:t xml:space="preserve">school </w:t>
      </w:r>
      <w:r w:rsidR="00361EE3" w:rsidRPr="00C70473">
        <w:rPr>
          <w:rFonts w:ascii="Arial" w:hAnsi="Arial" w:cs="Arial"/>
          <w:sz w:val="20"/>
          <w:szCs w:val="20"/>
        </w:rPr>
        <w:t xml:space="preserve">curriculums to foster an interest in policing to create a possible pool for the recruitment of </w:t>
      </w:r>
      <w:r w:rsidR="00B429AB" w:rsidRPr="00C70473">
        <w:rPr>
          <w:rFonts w:ascii="Arial" w:hAnsi="Arial" w:cs="Arial"/>
          <w:sz w:val="20"/>
          <w:szCs w:val="20"/>
        </w:rPr>
        <w:t>passion</w:t>
      </w:r>
      <w:r w:rsidR="00361EE3" w:rsidRPr="00C70473">
        <w:rPr>
          <w:rFonts w:ascii="Arial" w:hAnsi="Arial" w:cs="Arial"/>
          <w:sz w:val="20"/>
          <w:szCs w:val="20"/>
        </w:rPr>
        <w:t>ate</w:t>
      </w:r>
      <w:r w:rsidR="00FB4A34" w:rsidRPr="00C70473">
        <w:rPr>
          <w:rFonts w:ascii="Arial" w:hAnsi="Arial" w:cs="Arial"/>
          <w:sz w:val="20"/>
          <w:szCs w:val="20"/>
        </w:rPr>
        <w:t xml:space="preserve"> police officers</w:t>
      </w:r>
      <w:r w:rsidR="00B429AB" w:rsidRPr="00C70473">
        <w:rPr>
          <w:rFonts w:ascii="Arial" w:hAnsi="Arial" w:cs="Arial"/>
          <w:sz w:val="20"/>
          <w:szCs w:val="20"/>
        </w:rPr>
        <w:t xml:space="preserve">. </w:t>
      </w:r>
    </w:p>
    <w:p w:rsidR="00B429AB" w:rsidRPr="00C70473" w:rsidRDefault="00B429AB" w:rsidP="00C70473">
      <w:pPr>
        <w:spacing w:after="0" w:line="240" w:lineRule="auto"/>
        <w:rPr>
          <w:rFonts w:ascii="Arial" w:hAnsi="Arial" w:cs="Arial"/>
          <w:sz w:val="20"/>
          <w:szCs w:val="20"/>
        </w:rPr>
      </w:pPr>
    </w:p>
    <w:p w:rsidR="00B429AB" w:rsidRPr="00C70473" w:rsidRDefault="003E4603"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The Committee raised concern</w:t>
      </w:r>
      <w:r w:rsidR="005B7098" w:rsidRPr="00C70473">
        <w:rPr>
          <w:rFonts w:ascii="Arial" w:hAnsi="Arial" w:cs="Arial"/>
          <w:sz w:val="20"/>
          <w:szCs w:val="20"/>
        </w:rPr>
        <w:t>s</w:t>
      </w:r>
      <w:r w:rsidRPr="00C70473">
        <w:rPr>
          <w:rFonts w:ascii="Arial" w:hAnsi="Arial" w:cs="Arial"/>
          <w:sz w:val="20"/>
          <w:szCs w:val="20"/>
        </w:rPr>
        <w:t xml:space="preserve"> about the low targets set in the </w:t>
      </w:r>
      <w:r w:rsidR="00B429AB" w:rsidRPr="00C70473">
        <w:rPr>
          <w:rFonts w:ascii="Arial" w:hAnsi="Arial" w:cs="Arial"/>
          <w:sz w:val="20"/>
          <w:szCs w:val="20"/>
        </w:rPr>
        <w:t xml:space="preserve">Detective </w:t>
      </w:r>
      <w:r w:rsidR="00361EE3" w:rsidRPr="00C70473">
        <w:rPr>
          <w:rFonts w:ascii="Arial" w:hAnsi="Arial" w:cs="Arial"/>
          <w:sz w:val="20"/>
          <w:szCs w:val="20"/>
        </w:rPr>
        <w:t>Services</w:t>
      </w:r>
      <w:r w:rsidR="00B429AB" w:rsidRPr="00C70473">
        <w:rPr>
          <w:rFonts w:ascii="Arial" w:hAnsi="Arial" w:cs="Arial"/>
          <w:sz w:val="20"/>
          <w:szCs w:val="20"/>
        </w:rPr>
        <w:t xml:space="preserve"> Programme </w:t>
      </w:r>
      <w:r w:rsidRPr="00C70473">
        <w:rPr>
          <w:rFonts w:ascii="Arial" w:hAnsi="Arial" w:cs="Arial"/>
          <w:sz w:val="20"/>
          <w:szCs w:val="20"/>
        </w:rPr>
        <w:t>and</w:t>
      </w:r>
      <w:r w:rsidR="00B429AB" w:rsidRPr="00C70473">
        <w:rPr>
          <w:rFonts w:ascii="Arial" w:hAnsi="Arial" w:cs="Arial"/>
          <w:sz w:val="20"/>
          <w:szCs w:val="20"/>
        </w:rPr>
        <w:t xml:space="preserve"> </w:t>
      </w:r>
      <w:r w:rsidRPr="00C70473">
        <w:rPr>
          <w:rFonts w:ascii="Arial" w:hAnsi="Arial" w:cs="Arial"/>
          <w:sz w:val="20"/>
          <w:szCs w:val="20"/>
        </w:rPr>
        <w:t xml:space="preserve">the lack of alignment </w:t>
      </w:r>
      <w:r w:rsidR="00B429AB" w:rsidRPr="00C70473">
        <w:rPr>
          <w:rFonts w:ascii="Arial" w:hAnsi="Arial" w:cs="Arial"/>
          <w:sz w:val="20"/>
          <w:szCs w:val="20"/>
        </w:rPr>
        <w:t xml:space="preserve">between expenditure and </w:t>
      </w:r>
      <w:r w:rsidRPr="00C70473">
        <w:rPr>
          <w:rFonts w:ascii="Arial" w:hAnsi="Arial" w:cs="Arial"/>
          <w:sz w:val="20"/>
          <w:szCs w:val="20"/>
        </w:rPr>
        <w:t xml:space="preserve">the </w:t>
      </w:r>
      <w:r w:rsidR="00B429AB" w:rsidRPr="00C70473">
        <w:rPr>
          <w:rFonts w:ascii="Arial" w:hAnsi="Arial" w:cs="Arial"/>
          <w:sz w:val="20"/>
          <w:szCs w:val="20"/>
        </w:rPr>
        <w:t xml:space="preserve">achievement of targets. </w:t>
      </w:r>
      <w:r w:rsidRPr="00C70473">
        <w:rPr>
          <w:rFonts w:ascii="Arial" w:hAnsi="Arial" w:cs="Arial"/>
          <w:sz w:val="20"/>
          <w:szCs w:val="20"/>
        </w:rPr>
        <w:t xml:space="preserve">It was further noted that value for money is not measured and that the reported achievements are not felt by citizens of the country. </w:t>
      </w:r>
    </w:p>
    <w:p w:rsidR="00B429AB" w:rsidRPr="00C70473" w:rsidRDefault="00B429AB" w:rsidP="00C70473">
      <w:pPr>
        <w:spacing w:after="0" w:line="240" w:lineRule="auto"/>
        <w:rPr>
          <w:rFonts w:ascii="Arial" w:hAnsi="Arial" w:cs="Arial"/>
          <w:sz w:val="20"/>
          <w:szCs w:val="20"/>
        </w:rPr>
      </w:pPr>
    </w:p>
    <w:p w:rsidR="00B429AB" w:rsidRPr="00C70473" w:rsidRDefault="003E4603"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 xml:space="preserve">The Committee raised concern </w:t>
      </w:r>
      <w:r w:rsidR="00C94D54" w:rsidRPr="00C70473">
        <w:rPr>
          <w:rFonts w:ascii="Arial" w:hAnsi="Arial" w:cs="Arial"/>
          <w:sz w:val="20"/>
          <w:szCs w:val="20"/>
        </w:rPr>
        <w:t>around</w:t>
      </w:r>
      <w:r w:rsidRPr="00C70473">
        <w:rPr>
          <w:rFonts w:ascii="Arial" w:hAnsi="Arial" w:cs="Arial"/>
          <w:sz w:val="20"/>
          <w:szCs w:val="20"/>
        </w:rPr>
        <w:t xml:space="preserve"> the d</w:t>
      </w:r>
      <w:r w:rsidR="00B429AB" w:rsidRPr="00C70473">
        <w:rPr>
          <w:rFonts w:ascii="Arial" w:hAnsi="Arial" w:cs="Arial"/>
          <w:sz w:val="20"/>
          <w:szCs w:val="20"/>
        </w:rPr>
        <w:t xml:space="preserve">elays </w:t>
      </w:r>
      <w:r w:rsidRPr="00C70473">
        <w:rPr>
          <w:rFonts w:ascii="Arial" w:hAnsi="Arial" w:cs="Arial"/>
          <w:sz w:val="20"/>
          <w:szCs w:val="20"/>
        </w:rPr>
        <w:t>identified in the development and implementation of the Integrated Case Docket Management System (</w:t>
      </w:r>
      <w:r w:rsidR="00B429AB" w:rsidRPr="00C70473">
        <w:rPr>
          <w:rFonts w:ascii="Arial" w:hAnsi="Arial" w:cs="Arial"/>
          <w:sz w:val="20"/>
          <w:szCs w:val="20"/>
        </w:rPr>
        <w:t>ICDMS</w:t>
      </w:r>
      <w:r w:rsidRPr="00C70473">
        <w:rPr>
          <w:rFonts w:ascii="Arial" w:hAnsi="Arial" w:cs="Arial"/>
          <w:sz w:val="20"/>
          <w:szCs w:val="20"/>
        </w:rPr>
        <w:t>) and the</w:t>
      </w:r>
      <w:r w:rsidR="006D7723" w:rsidRPr="00C70473">
        <w:rPr>
          <w:rFonts w:ascii="Arial" w:hAnsi="Arial" w:cs="Arial"/>
          <w:sz w:val="20"/>
          <w:szCs w:val="20"/>
        </w:rPr>
        <w:t xml:space="preserve"> Integrated Person Management</w:t>
      </w:r>
      <w:r w:rsidRPr="00C70473">
        <w:rPr>
          <w:rFonts w:ascii="Arial" w:hAnsi="Arial" w:cs="Arial"/>
          <w:sz w:val="20"/>
          <w:szCs w:val="20"/>
        </w:rPr>
        <w:t xml:space="preserve"> (</w:t>
      </w:r>
      <w:r w:rsidR="00B429AB" w:rsidRPr="00C70473">
        <w:rPr>
          <w:rFonts w:ascii="Arial" w:hAnsi="Arial" w:cs="Arial"/>
          <w:sz w:val="20"/>
          <w:szCs w:val="20"/>
        </w:rPr>
        <w:t>IP</w:t>
      </w:r>
      <w:r w:rsidRPr="00C70473">
        <w:rPr>
          <w:rFonts w:ascii="Arial" w:hAnsi="Arial" w:cs="Arial"/>
          <w:sz w:val="20"/>
          <w:szCs w:val="20"/>
        </w:rPr>
        <w:t>M)</w:t>
      </w:r>
      <w:r w:rsidR="006D7723" w:rsidRPr="00C70473">
        <w:rPr>
          <w:rFonts w:ascii="Arial" w:hAnsi="Arial" w:cs="Arial"/>
          <w:sz w:val="20"/>
          <w:szCs w:val="20"/>
        </w:rPr>
        <w:t xml:space="preserve"> System</w:t>
      </w:r>
      <w:r w:rsidRPr="00C70473">
        <w:rPr>
          <w:rFonts w:ascii="Arial" w:hAnsi="Arial" w:cs="Arial"/>
          <w:sz w:val="20"/>
          <w:szCs w:val="20"/>
        </w:rPr>
        <w:t xml:space="preserve">. </w:t>
      </w:r>
      <w:r w:rsidR="00650E80" w:rsidRPr="00C70473">
        <w:rPr>
          <w:rFonts w:ascii="Arial" w:hAnsi="Arial" w:cs="Arial"/>
          <w:sz w:val="20"/>
          <w:szCs w:val="20"/>
        </w:rPr>
        <w:t xml:space="preserve">The Department indicated that SITA was given a mandate to procure on behalf of the Department and that the Department may request SITA to give approval to procure independently. </w:t>
      </w:r>
      <w:r w:rsidR="005B7098" w:rsidRPr="00C70473">
        <w:rPr>
          <w:rFonts w:ascii="Arial" w:hAnsi="Arial" w:cs="Arial"/>
          <w:sz w:val="20"/>
          <w:szCs w:val="20"/>
        </w:rPr>
        <w:t xml:space="preserve">The </w:t>
      </w:r>
      <w:r w:rsidR="00650E80" w:rsidRPr="00C70473">
        <w:rPr>
          <w:rFonts w:ascii="Arial" w:hAnsi="Arial" w:cs="Arial"/>
          <w:sz w:val="20"/>
          <w:szCs w:val="20"/>
        </w:rPr>
        <w:t xml:space="preserve">ICDMS </w:t>
      </w:r>
      <w:r w:rsidR="005B7098" w:rsidRPr="00C70473">
        <w:rPr>
          <w:rFonts w:ascii="Arial" w:hAnsi="Arial" w:cs="Arial"/>
          <w:sz w:val="20"/>
          <w:szCs w:val="20"/>
        </w:rPr>
        <w:t xml:space="preserve">is the </w:t>
      </w:r>
      <w:r w:rsidR="00650E80" w:rsidRPr="00C70473">
        <w:rPr>
          <w:rFonts w:ascii="Arial" w:hAnsi="Arial" w:cs="Arial"/>
          <w:sz w:val="20"/>
          <w:szCs w:val="20"/>
        </w:rPr>
        <w:t>entry point of the criminal justice system value chain</w:t>
      </w:r>
      <w:r w:rsidR="005B7098" w:rsidRPr="00C70473">
        <w:rPr>
          <w:rFonts w:ascii="Arial" w:hAnsi="Arial" w:cs="Arial"/>
          <w:sz w:val="20"/>
          <w:szCs w:val="20"/>
        </w:rPr>
        <w:t xml:space="preserve"> and must be fully functional</w:t>
      </w:r>
      <w:r w:rsidR="00650E80" w:rsidRPr="00C70473">
        <w:rPr>
          <w:rFonts w:ascii="Arial" w:hAnsi="Arial" w:cs="Arial"/>
          <w:sz w:val="20"/>
          <w:szCs w:val="20"/>
        </w:rPr>
        <w:t xml:space="preserve">. </w:t>
      </w:r>
      <w:r w:rsidR="005B7098" w:rsidRPr="00C70473">
        <w:rPr>
          <w:rFonts w:ascii="Arial" w:hAnsi="Arial" w:cs="Arial"/>
          <w:sz w:val="20"/>
          <w:szCs w:val="20"/>
        </w:rPr>
        <w:t xml:space="preserve">The Department expressed concern about the loss of </w:t>
      </w:r>
      <w:r w:rsidR="00650E80" w:rsidRPr="00C70473">
        <w:rPr>
          <w:rFonts w:ascii="Arial" w:hAnsi="Arial" w:cs="Arial"/>
          <w:sz w:val="20"/>
          <w:szCs w:val="20"/>
        </w:rPr>
        <w:t xml:space="preserve">expertise </w:t>
      </w:r>
      <w:r w:rsidR="005B7098" w:rsidRPr="00C70473">
        <w:rPr>
          <w:rFonts w:ascii="Arial" w:hAnsi="Arial" w:cs="Arial"/>
          <w:sz w:val="20"/>
          <w:szCs w:val="20"/>
        </w:rPr>
        <w:t xml:space="preserve">and skills in this environment as many information systems in the Department are aging. However, the Department indicated that the process is being tracked and the risks are being mitigated. It is expected that the system will be fully operation in the </w:t>
      </w:r>
      <w:r w:rsidR="00650E80" w:rsidRPr="00C70473">
        <w:rPr>
          <w:rFonts w:ascii="Arial" w:hAnsi="Arial" w:cs="Arial"/>
          <w:sz w:val="20"/>
          <w:szCs w:val="20"/>
        </w:rPr>
        <w:t xml:space="preserve">2024/25 </w:t>
      </w:r>
      <w:r w:rsidR="005B7098" w:rsidRPr="00C70473">
        <w:rPr>
          <w:rFonts w:ascii="Arial" w:hAnsi="Arial" w:cs="Arial"/>
          <w:sz w:val="20"/>
          <w:szCs w:val="20"/>
        </w:rPr>
        <w:t>financial year</w:t>
      </w:r>
      <w:r w:rsidR="00650E80" w:rsidRPr="00C70473">
        <w:rPr>
          <w:rFonts w:ascii="Arial" w:hAnsi="Arial" w:cs="Arial"/>
          <w:sz w:val="20"/>
          <w:szCs w:val="20"/>
        </w:rPr>
        <w:t xml:space="preserve">. </w:t>
      </w:r>
      <w:r w:rsidR="005B7098" w:rsidRPr="00C70473">
        <w:rPr>
          <w:rFonts w:ascii="Arial" w:hAnsi="Arial" w:cs="Arial"/>
          <w:sz w:val="20"/>
          <w:szCs w:val="20"/>
        </w:rPr>
        <w:t xml:space="preserve">The Department indicated that the procurement strategy for the </w:t>
      </w:r>
      <w:r w:rsidR="00650E80" w:rsidRPr="00C70473">
        <w:rPr>
          <w:rFonts w:ascii="Arial" w:hAnsi="Arial" w:cs="Arial"/>
          <w:sz w:val="20"/>
          <w:szCs w:val="20"/>
        </w:rPr>
        <w:t xml:space="preserve">IPM has been revised by SITA. </w:t>
      </w:r>
    </w:p>
    <w:p w:rsidR="00B429AB" w:rsidRPr="00C70473" w:rsidRDefault="00B429AB" w:rsidP="00C70473">
      <w:pPr>
        <w:spacing w:after="0" w:line="240" w:lineRule="auto"/>
        <w:rPr>
          <w:rFonts w:ascii="Arial" w:hAnsi="Arial" w:cs="Arial"/>
          <w:sz w:val="20"/>
          <w:szCs w:val="20"/>
        </w:rPr>
      </w:pPr>
    </w:p>
    <w:p w:rsidR="00B429AB" w:rsidRPr="00C70473" w:rsidRDefault="0069625F"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 xml:space="preserve">The Committee raised concern about the repeat findings made by the Office of the AG and suggested that the change must start with a review of the management structure of the SAPS in order to realise improvements in findings. The Committee noted that </w:t>
      </w:r>
      <w:r w:rsidR="00552532" w:rsidRPr="00C70473">
        <w:rPr>
          <w:rFonts w:ascii="Arial" w:hAnsi="Arial" w:cs="Arial"/>
          <w:sz w:val="20"/>
          <w:szCs w:val="20"/>
        </w:rPr>
        <w:t xml:space="preserve">continuous failure to implement consequence management is due to </w:t>
      </w:r>
      <w:r w:rsidRPr="00C70473">
        <w:rPr>
          <w:rFonts w:ascii="Arial" w:hAnsi="Arial" w:cs="Arial"/>
          <w:sz w:val="20"/>
          <w:szCs w:val="20"/>
        </w:rPr>
        <w:t>cover ups</w:t>
      </w:r>
      <w:r w:rsidR="00552532" w:rsidRPr="00C70473">
        <w:rPr>
          <w:rFonts w:ascii="Arial" w:hAnsi="Arial" w:cs="Arial"/>
          <w:sz w:val="20"/>
          <w:szCs w:val="20"/>
        </w:rPr>
        <w:t xml:space="preserve"> and police members protecting each other. </w:t>
      </w:r>
      <w:r w:rsidR="000235B0" w:rsidRPr="00C70473">
        <w:rPr>
          <w:rFonts w:ascii="Arial" w:hAnsi="Arial" w:cs="Arial"/>
          <w:sz w:val="20"/>
          <w:szCs w:val="20"/>
        </w:rPr>
        <w:t xml:space="preserve">The Committee questioned whether it is in the AG’s mandate to recommend changes in management. </w:t>
      </w:r>
      <w:r w:rsidR="00A5570A" w:rsidRPr="00C70473">
        <w:rPr>
          <w:rFonts w:ascii="Arial" w:hAnsi="Arial" w:cs="Arial"/>
          <w:sz w:val="20"/>
          <w:szCs w:val="20"/>
        </w:rPr>
        <w:t xml:space="preserve">The Office of the AG noted that they can recommend skills development </w:t>
      </w:r>
      <w:r w:rsidR="00C94D54" w:rsidRPr="00C70473">
        <w:rPr>
          <w:rFonts w:ascii="Arial" w:hAnsi="Arial" w:cs="Arial"/>
          <w:sz w:val="20"/>
          <w:szCs w:val="20"/>
        </w:rPr>
        <w:t xml:space="preserve">as </w:t>
      </w:r>
      <w:r w:rsidR="00A5570A" w:rsidRPr="00C70473">
        <w:rPr>
          <w:rFonts w:ascii="Arial" w:hAnsi="Arial" w:cs="Arial"/>
          <w:sz w:val="20"/>
          <w:szCs w:val="20"/>
        </w:rPr>
        <w:t>such needs are identified during the audit.</w:t>
      </w:r>
    </w:p>
    <w:p w:rsidR="009A4891" w:rsidRPr="00C70473" w:rsidRDefault="009A4891" w:rsidP="00C70473">
      <w:pPr>
        <w:pStyle w:val="ListParagraph"/>
        <w:spacing w:after="0" w:line="240" w:lineRule="auto"/>
        <w:rPr>
          <w:rFonts w:ascii="Arial" w:hAnsi="Arial" w:cs="Arial"/>
          <w:sz w:val="20"/>
          <w:szCs w:val="20"/>
        </w:rPr>
      </w:pPr>
    </w:p>
    <w:p w:rsidR="009A4891" w:rsidRPr="00C70473" w:rsidRDefault="009A4891" w:rsidP="00C70473">
      <w:pPr>
        <w:pStyle w:val="ListParagraph"/>
        <w:spacing w:after="0" w:line="240" w:lineRule="auto"/>
        <w:rPr>
          <w:rFonts w:ascii="Arial" w:hAnsi="Arial" w:cs="Arial"/>
          <w:sz w:val="20"/>
          <w:szCs w:val="20"/>
        </w:rPr>
      </w:pPr>
      <w:r w:rsidRPr="00C70473">
        <w:rPr>
          <w:rFonts w:ascii="Arial" w:hAnsi="Arial" w:cs="Arial"/>
          <w:sz w:val="20"/>
          <w:szCs w:val="20"/>
        </w:rPr>
        <w:t>The Minister of Police noted that there have been several changes in the management structure of the SAPS, notably the Head of Supply Chain Management</w:t>
      </w:r>
      <w:r w:rsidR="00C94D54" w:rsidRPr="00C70473">
        <w:rPr>
          <w:rFonts w:ascii="Arial" w:hAnsi="Arial" w:cs="Arial"/>
          <w:sz w:val="20"/>
          <w:szCs w:val="20"/>
        </w:rPr>
        <w:t>,</w:t>
      </w:r>
      <w:r w:rsidRPr="00C70473">
        <w:rPr>
          <w:rFonts w:ascii="Arial" w:hAnsi="Arial" w:cs="Arial"/>
          <w:sz w:val="20"/>
          <w:szCs w:val="20"/>
        </w:rPr>
        <w:t xml:space="preserve"> to address continuous challenges in the Supply Chain Management environment. </w:t>
      </w:r>
    </w:p>
    <w:p w:rsidR="00B429AB" w:rsidRPr="00C70473" w:rsidRDefault="00B429AB" w:rsidP="00C70473">
      <w:pPr>
        <w:spacing w:after="0" w:line="240" w:lineRule="auto"/>
        <w:rPr>
          <w:rFonts w:ascii="Arial" w:hAnsi="Arial" w:cs="Arial"/>
          <w:sz w:val="20"/>
          <w:szCs w:val="20"/>
        </w:rPr>
      </w:pPr>
    </w:p>
    <w:p w:rsidR="00B429AB" w:rsidRPr="00C70473" w:rsidRDefault="00552532"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The Committee raised concern that appointments and p</w:t>
      </w:r>
      <w:r w:rsidR="00B429AB" w:rsidRPr="00C70473">
        <w:rPr>
          <w:rFonts w:ascii="Arial" w:hAnsi="Arial" w:cs="Arial"/>
          <w:sz w:val="20"/>
          <w:szCs w:val="20"/>
        </w:rPr>
        <w:t xml:space="preserve">romotions </w:t>
      </w:r>
      <w:r w:rsidRPr="00C70473">
        <w:rPr>
          <w:rFonts w:ascii="Arial" w:hAnsi="Arial" w:cs="Arial"/>
          <w:sz w:val="20"/>
          <w:szCs w:val="20"/>
        </w:rPr>
        <w:t>are often not based on performance and qualifications</w:t>
      </w:r>
      <w:r w:rsidR="000235B0" w:rsidRPr="00C70473">
        <w:rPr>
          <w:rFonts w:ascii="Arial" w:hAnsi="Arial" w:cs="Arial"/>
          <w:sz w:val="20"/>
          <w:szCs w:val="20"/>
        </w:rPr>
        <w:t xml:space="preserve">, but rather on more nefarious reasons such as nepotism. The Committee noted that the performance of the police cannot improve if qualified personnel, equipped with the necessary qualifications, are not appointed.  </w:t>
      </w:r>
    </w:p>
    <w:p w:rsidR="00B429AB" w:rsidRPr="00C70473" w:rsidRDefault="00B429AB" w:rsidP="00C70473">
      <w:pPr>
        <w:spacing w:after="0" w:line="240" w:lineRule="auto"/>
        <w:rPr>
          <w:rFonts w:ascii="Arial" w:hAnsi="Arial" w:cs="Arial"/>
          <w:sz w:val="20"/>
          <w:szCs w:val="20"/>
        </w:rPr>
      </w:pPr>
    </w:p>
    <w:p w:rsidR="00B429AB" w:rsidRPr="00C70473" w:rsidRDefault="000235B0"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 xml:space="preserve">The Committee raised concern about the relationship between the Department and the Office of the AG and questioned whether the </w:t>
      </w:r>
      <w:r w:rsidR="00B429AB" w:rsidRPr="00C70473">
        <w:rPr>
          <w:rFonts w:ascii="Arial" w:hAnsi="Arial" w:cs="Arial"/>
          <w:sz w:val="20"/>
          <w:szCs w:val="20"/>
        </w:rPr>
        <w:t>Department take</w:t>
      </w:r>
      <w:r w:rsidRPr="00C70473">
        <w:rPr>
          <w:rFonts w:ascii="Arial" w:hAnsi="Arial" w:cs="Arial"/>
          <w:sz w:val="20"/>
          <w:szCs w:val="20"/>
        </w:rPr>
        <w:t>s</w:t>
      </w:r>
      <w:r w:rsidR="00B429AB" w:rsidRPr="00C70473">
        <w:rPr>
          <w:rFonts w:ascii="Arial" w:hAnsi="Arial" w:cs="Arial"/>
          <w:sz w:val="20"/>
          <w:szCs w:val="20"/>
        </w:rPr>
        <w:t xml:space="preserve"> the </w:t>
      </w:r>
      <w:r w:rsidRPr="00C70473">
        <w:rPr>
          <w:rFonts w:ascii="Arial" w:hAnsi="Arial" w:cs="Arial"/>
          <w:sz w:val="20"/>
          <w:szCs w:val="20"/>
        </w:rPr>
        <w:t xml:space="preserve">findings and recommendations by the Office of the AG seriously. </w:t>
      </w:r>
      <w:r w:rsidR="00B429AB" w:rsidRPr="00C70473">
        <w:rPr>
          <w:rFonts w:ascii="Arial" w:hAnsi="Arial" w:cs="Arial"/>
          <w:sz w:val="20"/>
          <w:szCs w:val="20"/>
        </w:rPr>
        <w:t xml:space="preserve"> </w:t>
      </w:r>
      <w:r w:rsidR="00E85C19" w:rsidRPr="00C70473">
        <w:rPr>
          <w:rFonts w:ascii="Arial" w:hAnsi="Arial" w:cs="Arial"/>
          <w:sz w:val="20"/>
          <w:szCs w:val="20"/>
        </w:rPr>
        <w:t>In response</w:t>
      </w:r>
      <w:r w:rsidR="00C94D54" w:rsidRPr="00C70473">
        <w:rPr>
          <w:rFonts w:ascii="Arial" w:hAnsi="Arial" w:cs="Arial"/>
          <w:sz w:val="20"/>
          <w:szCs w:val="20"/>
        </w:rPr>
        <w:t>,</w:t>
      </w:r>
      <w:r w:rsidR="00E85C19" w:rsidRPr="00C70473">
        <w:rPr>
          <w:rFonts w:ascii="Arial" w:hAnsi="Arial" w:cs="Arial"/>
          <w:sz w:val="20"/>
          <w:szCs w:val="20"/>
        </w:rPr>
        <w:t xml:space="preserve"> the Office of the AG confirmed that the</w:t>
      </w:r>
      <w:r w:rsidR="00C94D54" w:rsidRPr="00C70473">
        <w:rPr>
          <w:rFonts w:ascii="Arial" w:hAnsi="Arial" w:cs="Arial"/>
          <w:sz w:val="20"/>
          <w:szCs w:val="20"/>
        </w:rPr>
        <w:t>re</w:t>
      </w:r>
      <w:r w:rsidR="00E85C19" w:rsidRPr="00C70473">
        <w:rPr>
          <w:rFonts w:ascii="Arial" w:hAnsi="Arial" w:cs="Arial"/>
          <w:sz w:val="20"/>
          <w:szCs w:val="20"/>
        </w:rPr>
        <w:t xml:space="preserve"> is a good working relationship between them and the Department and that recommendations are taken seriously by the Department. </w:t>
      </w:r>
    </w:p>
    <w:p w:rsidR="00B429AB" w:rsidRPr="00C70473" w:rsidRDefault="00B429AB" w:rsidP="00C70473">
      <w:pPr>
        <w:spacing w:after="0" w:line="240" w:lineRule="auto"/>
        <w:rPr>
          <w:rFonts w:ascii="Arial" w:hAnsi="Arial" w:cs="Arial"/>
          <w:sz w:val="20"/>
          <w:szCs w:val="20"/>
        </w:rPr>
      </w:pPr>
    </w:p>
    <w:p w:rsidR="00B429AB" w:rsidRPr="00C70473" w:rsidRDefault="000235B0"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The Committee raised concern about the p</w:t>
      </w:r>
      <w:r w:rsidR="00B429AB" w:rsidRPr="00C70473">
        <w:rPr>
          <w:rFonts w:ascii="Arial" w:hAnsi="Arial" w:cs="Arial"/>
          <w:sz w:val="20"/>
          <w:szCs w:val="20"/>
        </w:rPr>
        <w:t xml:space="preserve">oor record keeping </w:t>
      </w:r>
      <w:r w:rsidRPr="00C70473">
        <w:rPr>
          <w:rFonts w:ascii="Arial" w:hAnsi="Arial" w:cs="Arial"/>
          <w:sz w:val="20"/>
          <w:szCs w:val="20"/>
        </w:rPr>
        <w:t xml:space="preserve">systems in the SAPS that are continuously highlighted as a reason for adverse findings on the reliability of performance by the Department. The Committee noted that these systems </w:t>
      </w:r>
      <w:r w:rsidR="00B429AB" w:rsidRPr="00C70473">
        <w:rPr>
          <w:rFonts w:ascii="Arial" w:hAnsi="Arial" w:cs="Arial"/>
          <w:sz w:val="20"/>
          <w:szCs w:val="20"/>
        </w:rPr>
        <w:t xml:space="preserve">must be improved </w:t>
      </w:r>
      <w:r w:rsidR="005F115B" w:rsidRPr="00C70473">
        <w:rPr>
          <w:rFonts w:ascii="Arial" w:hAnsi="Arial" w:cs="Arial"/>
          <w:sz w:val="20"/>
          <w:szCs w:val="20"/>
        </w:rPr>
        <w:t>and that failing systems can lead to the loss of critical information, such as case dockets which</w:t>
      </w:r>
      <w:r w:rsidR="00C94D54" w:rsidRPr="00C70473">
        <w:rPr>
          <w:rFonts w:ascii="Arial" w:hAnsi="Arial" w:cs="Arial"/>
          <w:sz w:val="20"/>
          <w:szCs w:val="20"/>
        </w:rPr>
        <w:t>,</w:t>
      </w:r>
      <w:r w:rsidR="005F115B" w:rsidRPr="00C70473">
        <w:rPr>
          <w:rFonts w:ascii="Arial" w:hAnsi="Arial" w:cs="Arial"/>
          <w:sz w:val="20"/>
          <w:szCs w:val="20"/>
        </w:rPr>
        <w:t xml:space="preserve"> i</w:t>
      </w:r>
      <w:r w:rsidR="00C94D54" w:rsidRPr="00C70473">
        <w:rPr>
          <w:rFonts w:ascii="Arial" w:hAnsi="Arial" w:cs="Arial"/>
          <w:sz w:val="20"/>
          <w:szCs w:val="20"/>
        </w:rPr>
        <w:t>n</w:t>
      </w:r>
      <w:r w:rsidR="005F115B" w:rsidRPr="00C70473">
        <w:rPr>
          <w:rFonts w:ascii="Arial" w:hAnsi="Arial" w:cs="Arial"/>
          <w:sz w:val="20"/>
          <w:szCs w:val="20"/>
        </w:rPr>
        <w:t xml:space="preserve"> turn</w:t>
      </w:r>
      <w:r w:rsidR="00C94D54" w:rsidRPr="00C70473">
        <w:rPr>
          <w:rFonts w:ascii="Arial" w:hAnsi="Arial" w:cs="Arial"/>
          <w:sz w:val="20"/>
          <w:szCs w:val="20"/>
        </w:rPr>
        <w:t>,</w:t>
      </w:r>
      <w:r w:rsidR="005F115B" w:rsidRPr="00C70473">
        <w:rPr>
          <w:rFonts w:ascii="Arial" w:hAnsi="Arial" w:cs="Arial"/>
          <w:sz w:val="20"/>
          <w:szCs w:val="20"/>
        </w:rPr>
        <w:t xml:space="preserve"> leads to victims of crime not receiving justice. </w:t>
      </w:r>
      <w:r w:rsidR="00E85C19" w:rsidRPr="00C70473">
        <w:rPr>
          <w:rFonts w:ascii="Arial" w:hAnsi="Arial" w:cs="Arial"/>
          <w:sz w:val="20"/>
          <w:szCs w:val="20"/>
        </w:rPr>
        <w:t xml:space="preserve">The Office of the AG highlighted that many of the measuring methods of targets are complex and there is much engagement on the crafting of targets and implementation of recommendations. </w:t>
      </w:r>
      <w:r w:rsidR="00A32D90" w:rsidRPr="00C70473">
        <w:rPr>
          <w:rFonts w:ascii="Arial" w:hAnsi="Arial" w:cs="Arial"/>
          <w:sz w:val="20"/>
          <w:szCs w:val="20"/>
        </w:rPr>
        <w:t xml:space="preserve">The Office of the AG further confirmed that the audit process </w:t>
      </w:r>
      <w:r w:rsidR="00C94D54" w:rsidRPr="00C70473">
        <w:rPr>
          <w:rFonts w:ascii="Arial" w:hAnsi="Arial" w:cs="Arial"/>
          <w:sz w:val="20"/>
          <w:szCs w:val="20"/>
        </w:rPr>
        <w:t xml:space="preserve">is </w:t>
      </w:r>
      <w:r w:rsidR="00A32D90" w:rsidRPr="00C70473">
        <w:rPr>
          <w:rFonts w:ascii="Arial" w:hAnsi="Arial" w:cs="Arial"/>
          <w:sz w:val="20"/>
          <w:szCs w:val="20"/>
        </w:rPr>
        <w:t xml:space="preserve">extensive and that records are inspected, and not only controls. </w:t>
      </w:r>
    </w:p>
    <w:p w:rsidR="003F2460" w:rsidRPr="00C70473" w:rsidRDefault="003F2460" w:rsidP="00C70473">
      <w:pPr>
        <w:spacing w:after="0" w:line="240" w:lineRule="auto"/>
        <w:ind w:left="360"/>
        <w:rPr>
          <w:rFonts w:ascii="Arial" w:hAnsi="Arial" w:cs="Arial"/>
          <w:sz w:val="20"/>
          <w:szCs w:val="20"/>
        </w:rPr>
      </w:pPr>
    </w:p>
    <w:p w:rsidR="003F2460" w:rsidRPr="00C70473" w:rsidRDefault="003F2460" w:rsidP="00C70473">
      <w:pPr>
        <w:spacing w:after="0" w:line="240" w:lineRule="auto"/>
        <w:ind w:left="720"/>
        <w:rPr>
          <w:rFonts w:ascii="Arial" w:hAnsi="Arial" w:cs="Arial"/>
          <w:sz w:val="20"/>
          <w:szCs w:val="20"/>
        </w:rPr>
      </w:pPr>
      <w:r w:rsidRPr="00C70473">
        <w:rPr>
          <w:rFonts w:ascii="Arial" w:hAnsi="Arial" w:cs="Arial"/>
          <w:sz w:val="20"/>
          <w:szCs w:val="20"/>
        </w:rPr>
        <w:t xml:space="preserve">The Department acknowledge the challenge faced with record keeping and explained that it has more than 1 300 business units reporting to the national office. The Department indicated </w:t>
      </w:r>
      <w:r w:rsidRPr="00C70473">
        <w:rPr>
          <w:rFonts w:ascii="Arial" w:hAnsi="Arial" w:cs="Arial"/>
          <w:sz w:val="20"/>
          <w:szCs w:val="20"/>
        </w:rPr>
        <w:lastRenderedPageBreak/>
        <w:t xml:space="preserve">that this is not an excuse, but does challenge the effectiveness of systems. The Department further requested that timeframes for responding to findings by the Office of the AG be extended to allow additional time to respond to audit findings. </w:t>
      </w:r>
    </w:p>
    <w:p w:rsidR="00B429AB" w:rsidRPr="00C70473" w:rsidRDefault="00B429AB" w:rsidP="00C70473">
      <w:pPr>
        <w:spacing w:after="0" w:line="240" w:lineRule="auto"/>
        <w:rPr>
          <w:rFonts w:ascii="Arial" w:hAnsi="Arial" w:cs="Arial"/>
          <w:sz w:val="20"/>
          <w:szCs w:val="20"/>
        </w:rPr>
      </w:pPr>
    </w:p>
    <w:p w:rsidR="00B429AB" w:rsidRPr="00C70473" w:rsidRDefault="005F115B"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 xml:space="preserve">The Committee raised concern about dependencies on other Departments </w:t>
      </w:r>
      <w:r w:rsidR="00A56D5D" w:rsidRPr="00C70473">
        <w:rPr>
          <w:rFonts w:ascii="Arial" w:hAnsi="Arial" w:cs="Arial"/>
          <w:sz w:val="20"/>
          <w:szCs w:val="20"/>
        </w:rPr>
        <w:t xml:space="preserve">for the SAPS </w:t>
      </w:r>
      <w:r w:rsidRPr="00C70473">
        <w:rPr>
          <w:rFonts w:ascii="Arial" w:hAnsi="Arial" w:cs="Arial"/>
          <w:sz w:val="20"/>
          <w:szCs w:val="20"/>
        </w:rPr>
        <w:t xml:space="preserve">to perform their functions, such as </w:t>
      </w:r>
      <w:r w:rsidR="00B429AB" w:rsidRPr="00C70473">
        <w:rPr>
          <w:rFonts w:ascii="Arial" w:hAnsi="Arial" w:cs="Arial"/>
          <w:sz w:val="20"/>
          <w:szCs w:val="20"/>
        </w:rPr>
        <w:t>SITA</w:t>
      </w:r>
      <w:r w:rsidR="003F2460" w:rsidRPr="00C70473">
        <w:rPr>
          <w:rFonts w:ascii="Arial" w:hAnsi="Arial" w:cs="Arial"/>
          <w:sz w:val="20"/>
          <w:szCs w:val="20"/>
        </w:rPr>
        <w:t xml:space="preserve"> and DPWI</w:t>
      </w:r>
      <w:r w:rsidRPr="00C70473">
        <w:rPr>
          <w:rFonts w:ascii="Arial" w:hAnsi="Arial" w:cs="Arial"/>
          <w:sz w:val="20"/>
          <w:szCs w:val="20"/>
        </w:rPr>
        <w:t>,</w:t>
      </w:r>
      <w:r w:rsidR="00B429AB" w:rsidRPr="00C70473">
        <w:rPr>
          <w:rFonts w:ascii="Arial" w:hAnsi="Arial" w:cs="Arial"/>
          <w:sz w:val="20"/>
          <w:szCs w:val="20"/>
        </w:rPr>
        <w:t xml:space="preserve"> </w:t>
      </w:r>
      <w:r w:rsidRPr="00C70473">
        <w:rPr>
          <w:rFonts w:ascii="Arial" w:hAnsi="Arial" w:cs="Arial"/>
          <w:sz w:val="20"/>
          <w:szCs w:val="20"/>
        </w:rPr>
        <w:t xml:space="preserve">which has </w:t>
      </w:r>
      <w:r w:rsidR="00A56D5D" w:rsidRPr="00C70473">
        <w:rPr>
          <w:rFonts w:ascii="Arial" w:hAnsi="Arial" w:cs="Arial"/>
          <w:sz w:val="20"/>
          <w:szCs w:val="20"/>
        </w:rPr>
        <w:t>constrained</w:t>
      </w:r>
      <w:r w:rsidRPr="00C70473">
        <w:rPr>
          <w:rFonts w:ascii="Arial" w:hAnsi="Arial" w:cs="Arial"/>
          <w:sz w:val="20"/>
          <w:szCs w:val="20"/>
        </w:rPr>
        <w:t xml:space="preserve"> the Department in performing critical functions. The Committee questioned whether the SAPS can be allowed to procure various ICT independently from SITA to enable the Department to take full responsibility in this environment and especially for service delivery.  </w:t>
      </w:r>
    </w:p>
    <w:p w:rsidR="004604DF" w:rsidRPr="00C70473" w:rsidRDefault="004604DF" w:rsidP="00C70473">
      <w:pPr>
        <w:pStyle w:val="ListParagraph"/>
        <w:spacing w:after="0" w:line="240" w:lineRule="auto"/>
        <w:rPr>
          <w:rFonts w:ascii="Arial" w:hAnsi="Arial" w:cs="Arial"/>
          <w:sz w:val="20"/>
          <w:szCs w:val="20"/>
        </w:rPr>
      </w:pPr>
    </w:p>
    <w:p w:rsidR="004604DF" w:rsidRPr="00C70473" w:rsidRDefault="004604DF" w:rsidP="00C70473">
      <w:pPr>
        <w:pStyle w:val="ListParagraph"/>
        <w:spacing w:after="0" w:line="240" w:lineRule="auto"/>
        <w:rPr>
          <w:rFonts w:ascii="Arial" w:hAnsi="Arial" w:cs="Arial"/>
          <w:sz w:val="20"/>
          <w:szCs w:val="20"/>
        </w:rPr>
      </w:pPr>
      <w:r w:rsidRPr="00C70473">
        <w:rPr>
          <w:rFonts w:ascii="Arial" w:hAnsi="Arial" w:cs="Arial"/>
          <w:sz w:val="20"/>
          <w:szCs w:val="20"/>
        </w:rPr>
        <w:t xml:space="preserve">The Office of the AG noted the reasons provided by the Department for variances on performance, especially in the Forensic Science Laboratory subprogramme and that dependencies on DPWI were raised, but the Office of the AG </w:t>
      </w:r>
      <w:r w:rsidR="003F2460" w:rsidRPr="00C70473">
        <w:rPr>
          <w:rFonts w:ascii="Arial" w:hAnsi="Arial" w:cs="Arial"/>
          <w:sz w:val="20"/>
          <w:szCs w:val="20"/>
        </w:rPr>
        <w:t>highlighted</w:t>
      </w:r>
      <w:r w:rsidRPr="00C70473">
        <w:rPr>
          <w:rFonts w:ascii="Arial" w:hAnsi="Arial" w:cs="Arial"/>
          <w:sz w:val="20"/>
          <w:szCs w:val="20"/>
        </w:rPr>
        <w:t xml:space="preserve"> that this has been a </w:t>
      </w:r>
      <w:r w:rsidR="00A56D5D" w:rsidRPr="00C70473">
        <w:rPr>
          <w:rFonts w:ascii="Arial" w:hAnsi="Arial" w:cs="Arial"/>
          <w:sz w:val="20"/>
          <w:szCs w:val="20"/>
        </w:rPr>
        <w:t>continuous</w:t>
      </w:r>
      <w:r w:rsidRPr="00C70473">
        <w:rPr>
          <w:rFonts w:ascii="Arial" w:hAnsi="Arial" w:cs="Arial"/>
          <w:sz w:val="20"/>
          <w:szCs w:val="20"/>
        </w:rPr>
        <w:t xml:space="preserve"> reason without it being addressed. </w:t>
      </w:r>
      <w:r w:rsidR="003F2460" w:rsidRPr="00C70473">
        <w:rPr>
          <w:rFonts w:ascii="Arial" w:hAnsi="Arial" w:cs="Arial"/>
          <w:sz w:val="20"/>
          <w:szCs w:val="20"/>
        </w:rPr>
        <w:t xml:space="preserve">The Office of the AG noted that the Department should have developed </w:t>
      </w:r>
      <w:r w:rsidRPr="00C70473">
        <w:rPr>
          <w:rFonts w:ascii="Arial" w:hAnsi="Arial" w:cs="Arial"/>
          <w:sz w:val="20"/>
          <w:szCs w:val="20"/>
        </w:rPr>
        <w:t xml:space="preserve">alternative action plans and processes to ensure the effective delivery on the mandate of the Department. </w:t>
      </w:r>
    </w:p>
    <w:p w:rsidR="00AB2AE7" w:rsidRPr="00C70473" w:rsidRDefault="00AB2AE7" w:rsidP="00C70473">
      <w:pPr>
        <w:pStyle w:val="ListParagraph"/>
        <w:spacing w:after="0" w:line="240" w:lineRule="auto"/>
        <w:rPr>
          <w:rFonts w:ascii="Arial" w:hAnsi="Arial" w:cs="Arial"/>
          <w:sz w:val="20"/>
          <w:szCs w:val="20"/>
        </w:rPr>
      </w:pPr>
    </w:p>
    <w:p w:rsidR="00AB2AE7" w:rsidRPr="00C70473" w:rsidRDefault="00AB2AE7" w:rsidP="00C70473">
      <w:pPr>
        <w:pStyle w:val="ListParagraph"/>
        <w:spacing w:after="0" w:line="240" w:lineRule="auto"/>
        <w:rPr>
          <w:rFonts w:ascii="Arial" w:hAnsi="Arial" w:cs="Arial"/>
          <w:sz w:val="20"/>
          <w:szCs w:val="20"/>
        </w:rPr>
      </w:pPr>
      <w:r w:rsidRPr="00C70473">
        <w:rPr>
          <w:rFonts w:ascii="Arial" w:hAnsi="Arial" w:cs="Arial"/>
          <w:sz w:val="20"/>
          <w:szCs w:val="20"/>
        </w:rPr>
        <w:t>The Minister raised his concern on this point as the laboratory in KwaZulu-Natal has flooded several times</w:t>
      </w:r>
      <w:r w:rsidR="009A4891" w:rsidRPr="00C70473">
        <w:rPr>
          <w:rFonts w:ascii="Arial" w:hAnsi="Arial" w:cs="Arial"/>
          <w:sz w:val="20"/>
          <w:szCs w:val="20"/>
        </w:rPr>
        <w:t xml:space="preserve"> over the past couple of years and that the Department is dependent on the DPWI to secure alternative accommodation.</w:t>
      </w:r>
      <w:r w:rsidR="0061726B" w:rsidRPr="00C70473">
        <w:rPr>
          <w:rFonts w:ascii="Arial" w:hAnsi="Arial" w:cs="Arial"/>
          <w:sz w:val="20"/>
          <w:szCs w:val="20"/>
        </w:rPr>
        <w:t xml:space="preserve"> The Minister further highlighted the fact that neither he nor the Deputy Minister have offices and are working from their private residences. </w:t>
      </w:r>
      <w:r w:rsidR="009A4891" w:rsidRPr="00C70473">
        <w:rPr>
          <w:rFonts w:ascii="Arial" w:hAnsi="Arial" w:cs="Arial"/>
          <w:sz w:val="20"/>
          <w:szCs w:val="20"/>
        </w:rPr>
        <w:t xml:space="preserve"> </w:t>
      </w:r>
      <w:r w:rsidRPr="00C70473">
        <w:rPr>
          <w:rFonts w:ascii="Arial" w:hAnsi="Arial" w:cs="Arial"/>
          <w:sz w:val="20"/>
          <w:szCs w:val="20"/>
        </w:rPr>
        <w:t xml:space="preserve"> </w:t>
      </w:r>
    </w:p>
    <w:p w:rsidR="00B429AB" w:rsidRPr="00C70473" w:rsidRDefault="00B429AB" w:rsidP="00C70473">
      <w:pPr>
        <w:spacing w:after="0" w:line="240" w:lineRule="auto"/>
        <w:rPr>
          <w:rFonts w:ascii="Arial" w:hAnsi="Arial" w:cs="Arial"/>
          <w:sz w:val="20"/>
          <w:szCs w:val="20"/>
        </w:rPr>
      </w:pPr>
    </w:p>
    <w:p w:rsidR="009F3E74" w:rsidRPr="00C70473" w:rsidRDefault="009F3E74"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 xml:space="preserve">The Committee highlighted the comment made by the Office of the AG in terms of enhanced processing of forensic evidence case exhibits (entries), in that </w:t>
      </w:r>
      <w:r w:rsidRPr="00C70473">
        <w:rPr>
          <w:rFonts w:ascii="Arial" w:hAnsi="Arial" w:cs="Arial"/>
          <w:i/>
          <w:sz w:val="20"/>
          <w:szCs w:val="20"/>
        </w:rPr>
        <w:t>“overall from our understanding this is one of the core functions of the department, and the process is 100% within the control of the department however this was one of the worse performance targets when compared to other functions of the department”</w:t>
      </w:r>
      <w:r w:rsidRPr="00C70473">
        <w:rPr>
          <w:rFonts w:ascii="Arial" w:hAnsi="Arial" w:cs="Arial"/>
          <w:sz w:val="20"/>
          <w:szCs w:val="20"/>
        </w:rPr>
        <w:t xml:space="preserve">. (Slide 14 of the AG’s presentation). In light thereof, the Committee indicated that external dependencies should no longer be </w:t>
      </w:r>
      <w:r w:rsidR="0042363C" w:rsidRPr="00C70473">
        <w:rPr>
          <w:rFonts w:ascii="Arial" w:hAnsi="Arial" w:cs="Arial"/>
          <w:sz w:val="20"/>
          <w:szCs w:val="20"/>
        </w:rPr>
        <w:t>accepted</w:t>
      </w:r>
      <w:r w:rsidRPr="00C70473">
        <w:rPr>
          <w:rFonts w:ascii="Arial" w:hAnsi="Arial" w:cs="Arial"/>
          <w:sz w:val="20"/>
          <w:szCs w:val="20"/>
        </w:rPr>
        <w:t xml:space="preserve"> </w:t>
      </w:r>
      <w:r w:rsidR="0042363C" w:rsidRPr="00C70473">
        <w:rPr>
          <w:rFonts w:ascii="Arial" w:hAnsi="Arial" w:cs="Arial"/>
          <w:sz w:val="20"/>
          <w:szCs w:val="20"/>
        </w:rPr>
        <w:t>as an excuse for</w:t>
      </w:r>
      <w:r w:rsidRPr="00C70473">
        <w:rPr>
          <w:rFonts w:ascii="Arial" w:hAnsi="Arial" w:cs="Arial"/>
          <w:sz w:val="20"/>
          <w:szCs w:val="20"/>
        </w:rPr>
        <w:t xml:space="preserve"> continued under performance by the Forensic Science Laboratories. The Committee further stated that the same excuses cannot be used without an action plan to address these </w:t>
      </w:r>
      <w:r w:rsidR="00A56D5D" w:rsidRPr="00C70473">
        <w:rPr>
          <w:rFonts w:ascii="Arial" w:hAnsi="Arial" w:cs="Arial"/>
          <w:sz w:val="20"/>
          <w:szCs w:val="20"/>
        </w:rPr>
        <w:t>areas of underperformance</w:t>
      </w:r>
      <w:r w:rsidRPr="00C70473">
        <w:rPr>
          <w:rFonts w:ascii="Arial" w:hAnsi="Arial" w:cs="Arial"/>
          <w:sz w:val="20"/>
          <w:szCs w:val="20"/>
        </w:rPr>
        <w:t xml:space="preserve">. </w:t>
      </w:r>
    </w:p>
    <w:p w:rsidR="009F3E74" w:rsidRPr="00C70473" w:rsidRDefault="009F3E74" w:rsidP="00C70473">
      <w:pPr>
        <w:pStyle w:val="ListParagraph"/>
        <w:spacing w:after="0" w:line="240" w:lineRule="auto"/>
        <w:rPr>
          <w:rFonts w:ascii="Arial" w:hAnsi="Arial" w:cs="Arial"/>
          <w:sz w:val="20"/>
          <w:szCs w:val="20"/>
        </w:rPr>
      </w:pPr>
    </w:p>
    <w:p w:rsidR="009F3E74" w:rsidRPr="00C70473" w:rsidRDefault="009F3E74" w:rsidP="00C70473">
      <w:pPr>
        <w:pStyle w:val="ListParagraph"/>
        <w:spacing w:after="0" w:line="240" w:lineRule="auto"/>
        <w:rPr>
          <w:rFonts w:ascii="Arial" w:hAnsi="Arial" w:cs="Arial"/>
          <w:sz w:val="20"/>
          <w:szCs w:val="20"/>
        </w:rPr>
      </w:pPr>
      <w:r w:rsidRPr="00C70473">
        <w:rPr>
          <w:rFonts w:ascii="Arial" w:hAnsi="Arial" w:cs="Arial"/>
          <w:sz w:val="20"/>
          <w:szCs w:val="20"/>
        </w:rPr>
        <w:t>The Minister of Police indicated that the constant flooding of the KZN laboratory is having a significant impact on the entire environment, as case exhibits are redirected to other laboratories</w:t>
      </w:r>
      <w:r w:rsidR="00A56D5D" w:rsidRPr="00C70473">
        <w:rPr>
          <w:rFonts w:ascii="Arial" w:hAnsi="Arial" w:cs="Arial"/>
          <w:sz w:val="20"/>
          <w:szCs w:val="20"/>
        </w:rPr>
        <w:t xml:space="preserve"> and </w:t>
      </w:r>
      <w:r w:rsidRPr="00C70473">
        <w:rPr>
          <w:rFonts w:ascii="Arial" w:hAnsi="Arial" w:cs="Arial"/>
          <w:sz w:val="20"/>
          <w:szCs w:val="20"/>
        </w:rPr>
        <w:t>overloading the</w:t>
      </w:r>
      <w:r w:rsidR="00A56D5D" w:rsidRPr="00C70473">
        <w:rPr>
          <w:rFonts w:ascii="Arial" w:hAnsi="Arial" w:cs="Arial"/>
          <w:sz w:val="20"/>
          <w:szCs w:val="20"/>
        </w:rPr>
        <w:t>m</w:t>
      </w:r>
      <w:r w:rsidRPr="00C70473">
        <w:rPr>
          <w:rFonts w:ascii="Arial" w:hAnsi="Arial" w:cs="Arial"/>
          <w:sz w:val="20"/>
          <w:szCs w:val="20"/>
        </w:rPr>
        <w:t xml:space="preserve">. The Minister further highlighted the fact that 16 contracts have collapsed in this environment under the management of the previous National Commissioner of Police, but indicated that </w:t>
      </w:r>
      <w:r w:rsidR="0042363C" w:rsidRPr="00C70473">
        <w:rPr>
          <w:rFonts w:ascii="Arial" w:hAnsi="Arial" w:cs="Arial"/>
          <w:sz w:val="20"/>
          <w:szCs w:val="20"/>
        </w:rPr>
        <w:t xml:space="preserve">the 16 lapsed </w:t>
      </w:r>
      <w:r w:rsidRPr="00C70473">
        <w:rPr>
          <w:rFonts w:ascii="Arial" w:hAnsi="Arial" w:cs="Arial"/>
          <w:sz w:val="20"/>
          <w:szCs w:val="20"/>
        </w:rPr>
        <w:t xml:space="preserve">contracts are in place currently and that machinery are being maintained. </w:t>
      </w:r>
    </w:p>
    <w:p w:rsidR="003B2C01" w:rsidRPr="00C70473" w:rsidRDefault="003B2C01" w:rsidP="00C70473">
      <w:pPr>
        <w:pStyle w:val="ListParagraph"/>
        <w:spacing w:after="0" w:line="240" w:lineRule="auto"/>
        <w:rPr>
          <w:rFonts w:ascii="Arial" w:hAnsi="Arial" w:cs="Arial"/>
          <w:sz w:val="20"/>
          <w:szCs w:val="20"/>
        </w:rPr>
      </w:pPr>
    </w:p>
    <w:p w:rsidR="003B2C01" w:rsidRPr="00C70473" w:rsidRDefault="003B2C01" w:rsidP="00C70473">
      <w:pPr>
        <w:pStyle w:val="ListParagraph"/>
        <w:spacing w:after="0" w:line="240" w:lineRule="auto"/>
        <w:rPr>
          <w:rFonts w:ascii="Arial" w:hAnsi="Arial" w:cs="Arial"/>
          <w:b/>
          <w:sz w:val="20"/>
          <w:szCs w:val="20"/>
        </w:rPr>
      </w:pPr>
      <w:r w:rsidRPr="00C70473">
        <w:rPr>
          <w:rFonts w:ascii="Arial" w:hAnsi="Arial" w:cs="Arial"/>
          <w:b/>
          <w:sz w:val="20"/>
          <w:szCs w:val="20"/>
        </w:rPr>
        <w:t xml:space="preserve">The Committee resolved to conduct oversight visits to assess the condition of all forensic laboratories countrywide. </w:t>
      </w:r>
    </w:p>
    <w:p w:rsidR="009F3E74" w:rsidRPr="00C70473" w:rsidRDefault="009F3E74" w:rsidP="00C70473">
      <w:pPr>
        <w:pStyle w:val="ListParagraph"/>
        <w:spacing w:after="0" w:line="240" w:lineRule="auto"/>
        <w:rPr>
          <w:rFonts w:ascii="Arial" w:hAnsi="Arial" w:cs="Arial"/>
          <w:sz w:val="20"/>
          <w:szCs w:val="20"/>
        </w:rPr>
      </w:pPr>
    </w:p>
    <w:p w:rsidR="00F43EE2" w:rsidRPr="00C70473" w:rsidRDefault="005F115B"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 xml:space="preserve">The Committee questioned the role of the Department’s </w:t>
      </w:r>
      <w:r w:rsidR="00B429AB" w:rsidRPr="00C70473">
        <w:rPr>
          <w:rFonts w:ascii="Arial" w:hAnsi="Arial" w:cs="Arial"/>
          <w:sz w:val="20"/>
          <w:szCs w:val="20"/>
        </w:rPr>
        <w:t>Audit Committee</w:t>
      </w:r>
      <w:r w:rsidRPr="00C70473">
        <w:rPr>
          <w:rFonts w:ascii="Arial" w:hAnsi="Arial" w:cs="Arial"/>
          <w:sz w:val="20"/>
          <w:szCs w:val="20"/>
        </w:rPr>
        <w:t xml:space="preserve"> to assist the Department to avoid repeat findings. </w:t>
      </w:r>
      <w:r w:rsidR="004604DF" w:rsidRPr="00C70473">
        <w:rPr>
          <w:rFonts w:ascii="Arial" w:hAnsi="Arial" w:cs="Arial"/>
          <w:sz w:val="20"/>
          <w:szCs w:val="20"/>
        </w:rPr>
        <w:t xml:space="preserve">The Office of the AG works closely with the Audit Committee to implement action plans to ensure that repeat findings are addressed. </w:t>
      </w:r>
      <w:r w:rsidR="00A90CA4" w:rsidRPr="00C70473">
        <w:rPr>
          <w:rFonts w:ascii="Arial" w:hAnsi="Arial" w:cs="Arial"/>
          <w:sz w:val="20"/>
          <w:szCs w:val="20"/>
        </w:rPr>
        <w:t xml:space="preserve">The Audit Committee noted that they are a key stakeholder in the combined assurance process of the Department. The Audit Committee is an advisory oversight structure. The Audit Committee noted that audit action </w:t>
      </w:r>
      <w:r w:rsidR="00EC7912" w:rsidRPr="00C70473">
        <w:rPr>
          <w:rFonts w:ascii="Arial" w:hAnsi="Arial" w:cs="Arial"/>
          <w:sz w:val="20"/>
          <w:szCs w:val="20"/>
        </w:rPr>
        <w:t>plans are not fully implemented and that consequent management takes too long to be implemented.</w:t>
      </w:r>
      <w:r w:rsidR="00A90CA4" w:rsidRPr="00C70473">
        <w:rPr>
          <w:rFonts w:ascii="Arial" w:hAnsi="Arial" w:cs="Arial"/>
          <w:sz w:val="20"/>
          <w:szCs w:val="20"/>
        </w:rPr>
        <w:t xml:space="preserve"> </w:t>
      </w:r>
      <w:r w:rsidR="00A03AAD" w:rsidRPr="00C70473">
        <w:rPr>
          <w:rFonts w:ascii="Arial" w:hAnsi="Arial" w:cs="Arial"/>
          <w:sz w:val="20"/>
          <w:szCs w:val="20"/>
        </w:rPr>
        <w:t xml:space="preserve">Based on the responses provided, the Committee thanked the Audit Committee for the work they are doing. </w:t>
      </w:r>
      <w:r w:rsidR="00F43EE2" w:rsidRPr="00C70473">
        <w:rPr>
          <w:rFonts w:ascii="Arial" w:hAnsi="Arial" w:cs="Arial"/>
          <w:sz w:val="20"/>
          <w:szCs w:val="20"/>
        </w:rPr>
        <w:t xml:space="preserve">The Minister of Police noted a challenge with some internal fighting within the Audit and Internal Audit Committees. </w:t>
      </w:r>
    </w:p>
    <w:p w:rsidR="00B429AB" w:rsidRPr="00C70473" w:rsidRDefault="00B429AB" w:rsidP="00C70473">
      <w:pPr>
        <w:spacing w:after="0" w:line="240" w:lineRule="auto"/>
        <w:rPr>
          <w:rFonts w:ascii="Arial" w:hAnsi="Arial" w:cs="Arial"/>
          <w:sz w:val="20"/>
          <w:szCs w:val="20"/>
        </w:rPr>
      </w:pPr>
    </w:p>
    <w:p w:rsidR="00B429AB" w:rsidRPr="00C70473" w:rsidRDefault="00011C4E"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 xml:space="preserve">The Committee noted that the presentation of the Office of the AG </w:t>
      </w:r>
      <w:r w:rsidR="00020127" w:rsidRPr="00C70473">
        <w:rPr>
          <w:rFonts w:ascii="Arial" w:hAnsi="Arial" w:cs="Arial"/>
          <w:sz w:val="20"/>
          <w:szCs w:val="20"/>
        </w:rPr>
        <w:t>should be regarded as</w:t>
      </w:r>
      <w:r w:rsidR="00F90D7E" w:rsidRPr="00C70473">
        <w:rPr>
          <w:rFonts w:ascii="Arial" w:hAnsi="Arial" w:cs="Arial"/>
          <w:sz w:val="20"/>
          <w:szCs w:val="20"/>
        </w:rPr>
        <w:t xml:space="preserve"> a shame on the police and points to a failure in service delivery as the reliability of reported performance on important targets (especially on contact crime and recovery of lost/stolen firearms) were questioned by the AG and material differences were identified. The Committee further raised concern that these material differences are confirming the previous fears of the Committee in that correct statistics are not presented by the Department</w:t>
      </w:r>
      <w:r w:rsidR="008E36F7" w:rsidRPr="00C70473">
        <w:rPr>
          <w:rFonts w:ascii="Arial" w:hAnsi="Arial" w:cs="Arial"/>
          <w:sz w:val="20"/>
          <w:szCs w:val="20"/>
        </w:rPr>
        <w:t xml:space="preserve">, </w:t>
      </w:r>
      <w:r w:rsidR="00F90D7E" w:rsidRPr="00C70473">
        <w:rPr>
          <w:rFonts w:ascii="Arial" w:hAnsi="Arial" w:cs="Arial"/>
          <w:sz w:val="20"/>
          <w:szCs w:val="20"/>
        </w:rPr>
        <w:t xml:space="preserve">misleading the Committee. The Committee reminded the Department that </w:t>
      </w:r>
      <w:r w:rsidR="00636113" w:rsidRPr="00C70473">
        <w:rPr>
          <w:rFonts w:ascii="Arial" w:hAnsi="Arial" w:cs="Arial"/>
          <w:sz w:val="20"/>
          <w:szCs w:val="20"/>
        </w:rPr>
        <w:t>mislead</w:t>
      </w:r>
      <w:r w:rsidR="008E36F7" w:rsidRPr="00C70473">
        <w:rPr>
          <w:rFonts w:ascii="Arial" w:hAnsi="Arial" w:cs="Arial"/>
          <w:sz w:val="20"/>
          <w:szCs w:val="20"/>
        </w:rPr>
        <w:t>ing</w:t>
      </w:r>
      <w:r w:rsidR="00636113" w:rsidRPr="00C70473">
        <w:rPr>
          <w:rFonts w:ascii="Arial" w:hAnsi="Arial" w:cs="Arial"/>
          <w:sz w:val="20"/>
          <w:szCs w:val="20"/>
        </w:rPr>
        <w:t xml:space="preserve"> P</w:t>
      </w:r>
      <w:r w:rsidR="0050560C" w:rsidRPr="00C70473">
        <w:rPr>
          <w:rFonts w:ascii="Arial" w:hAnsi="Arial" w:cs="Arial"/>
          <w:sz w:val="20"/>
          <w:szCs w:val="20"/>
        </w:rPr>
        <w:t xml:space="preserve">arliament is a criminal offence and further </w:t>
      </w:r>
      <w:r w:rsidR="00020127" w:rsidRPr="00C70473">
        <w:rPr>
          <w:rFonts w:ascii="Arial" w:hAnsi="Arial" w:cs="Arial"/>
          <w:sz w:val="20"/>
          <w:szCs w:val="20"/>
        </w:rPr>
        <w:t>question</w:t>
      </w:r>
      <w:r w:rsidR="008E36F7" w:rsidRPr="00C70473">
        <w:rPr>
          <w:rFonts w:ascii="Arial" w:hAnsi="Arial" w:cs="Arial"/>
          <w:sz w:val="20"/>
          <w:szCs w:val="20"/>
        </w:rPr>
        <w:t>ed</w:t>
      </w:r>
      <w:r w:rsidR="00020127" w:rsidRPr="00C70473">
        <w:rPr>
          <w:rFonts w:ascii="Arial" w:hAnsi="Arial" w:cs="Arial"/>
          <w:sz w:val="20"/>
          <w:szCs w:val="20"/>
        </w:rPr>
        <w:t xml:space="preserve"> </w:t>
      </w:r>
      <w:r w:rsidR="0050560C" w:rsidRPr="00C70473">
        <w:rPr>
          <w:rFonts w:ascii="Arial" w:hAnsi="Arial" w:cs="Arial"/>
          <w:sz w:val="20"/>
          <w:szCs w:val="20"/>
        </w:rPr>
        <w:t xml:space="preserve">information provided on the reduction of the DNA backlog and </w:t>
      </w:r>
      <w:r w:rsidR="0050560C" w:rsidRPr="00C70473">
        <w:rPr>
          <w:rFonts w:ascii="Arial" w:hAnsi="Arial" w:cs="Arial"/>
          <w:sz w:val="20"/>
          <w:szCs w:val="20"/>
        </w:rPr>
        <w:lastRenderedPageBreak/>
        <w:t xml:space="preserve">progress made on the CFR. </w:t>
      </w:r>
      <w:r w:rsidR="004678FF" w:rsidRPr="00C70473">
        <w:rPr>
          <w:rFonts w:ascii="Arial" w:hAnsi="Arial" w:cs="Arial"/>
          <w:sz w:val="20"/>
          <w:szCs w:val="20"/>
        </w:rPr>
        <w:t xml:space="preserve">The Committee reiterated the importance of the Department providing accurate information to Parliament. </w:t>
      </w:r>
      <w:r w:rsidR="0050560C" w:rsidRPr="00C70473">
        <w:rPr>
          <w:rFonts w:ascii="Arial" w:hAnsi="Arial" w:cs="Arial"/>
          <w:sz w:val="20"/>
          <w:szCs w:val="20"/>
        </w:rPr>
        <w:t xml:space="preserve"> </w:t>
      </w:r>
    </w:p>
    <w:p w:rsidR="00330FE1" w:rsidRPr="00C70473" w:rsidRDefault="00330FE1" w:rsidP="00C70473">
      <w:pPr>
        <w:pStyle w:val="ListParagraph"/>
        <w:spacing w:after="0" w:line="240" w:lineRule="auto"/>
        <w:rPr>
          <w:rFonts w:ascii="Arial" w:hAnsi="Arial" w:cs="Arial"/>
          <w:sz w:val="20"/>
          <w:szCs w:val="20"/>
        </w:rPr>
      </w:pPr>
    </w:p>
    <w:p w:rsidR="00330FE1" w:rsidRPr="00C70473" w:rsidRDefault="00330FE1" w:rsidP="00C70473">
      <w:pPr>
        <w:pStyle w:val="ListParagraph"/>
        <w:spacing w:after="0" w:line="240" w:lineRule="auto"/>
        <w:rPr>
          <w:rFonts w:ascii="Arial" w:hAnsi="Arial" w:cs="Arial"/>
          <w:sz w:val="20"/>
          <w:szCs w:val="20"/>
        </w:rPr>
      </w:pPr>
      <w:r w:rsidRPr="00C70473">
        <w:rPr>
          <w:rFonts w:ascii="Arial" w:hAnsi="Arial" w:cs="Arial"/>
          <w:sz w:val="20"/>
          <w:szCs w:val="20"/>
        </w:rPr>
        <w:t xml:space="preserve">The Minister stated that the Department is working closely with the Statistician General of South Africa to ensure the reliability of crime statistics and requested to meet with the Office of the AG together with the Statistician General. </w:t>
      </w:r>
    </w:p>
    <w:p w:rsidR="00636113" w:rsidRPr="00C70473" w:rsidRDefault="00636113" w:rsidP="00C70473">
      <w:pPr>
        <w:spacing w:after="0" w:line="240" w:lineRule="auto"/>
        <w:rPr>
          <w:rFonts w:ascii="Arial" w:hAnsi="Arial" w:cs="Arial"/>
          <w:sz w:val="20"/>
          <w:szCs w:val="20"/>
        </w:rPr>
      </w:pPr>
    </w:p>
    <w:p w:rsidR="00636113" w:rsidRPr="00C70473" w:rsidRDefault="004678FF"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The Committee noted that various police stations are in c</w:t>
      </w:r>
      <w:r w:rsidR="00636113" w:rsidRPr="00C70473">
        <w:rPr>
          <w:rFonts w:ascii="Arial" w:hAnsi="Arial" w:cs="Arial"/>
          <w:sz w:val="20"/>
          <w:szCs w:val="20"/>
        </w:rPr>
        <w:t xml:space="preserve">haos </w:t>
      </w:r>
      <w:r w:rsidRPr="00C70473">
        <w:rPr>
          <w:rFonts w:ascii="Arial" w:hAnsi="Arial" w:cs="Arial"/>
          <w:sz w:val="20"/>
          <w:szCs w:val="20"/>
        </w:rPr>
        <w:t xml:space="preserve">and that accurate information are not </w:t>
      </w:r>
      <w:r w:rsidR="009F3E74" w:rsidRPr="00C70473">
        <w:rPr>
          <w:rFonts w:ascii="Arial" w:hAnsi="Arial" w:cs="Arial"/>
          <w:sz w:val="20"/>
          <w:szCs w:val="20"/>
        </w:rPr>
        <w:t xml:space="preserve">(and cannot be) </w:t>
      </w:r>
      <w:r w:rsidRPr="00C70473">
        <w:rPr>
          <w:rFonts w:ascii="Arial" w:hAnsi="Arial" w:cs="Arial"/>
          <w:sz w:val="20"/>
          <w:szCs w:val="20"/>
        </w:rPr>
        <w:t xml:space="preserve">received from these stations due to poor management, lack of consequence management and corruption. The Committee indicated that the Minister and Senior Management must visit police stations to identify challenges and intervene timeously. </w:t>
      </w:r>
    </w:p>
    <w:p w:rsidR="00D9102A" w:rsidRPr="00C70473" w:rsidRDefault="00D9102A" w:rsidP="00C70473">
      <w:pPr>
        <w:spacing w:after="0" w:line="240" w:lineRule="auto"/>
        <w:rPr>
          <w:rFonts w:ascii="Arial" w:hAnsi="Arial" w:cs="Arial"/>
          <w:sz w:val="20"/>
          <w:szCs w:val="20"/>
        </w:rPr>
      </w:pPr>
    </w:p>
    <w:p w:rsidR="00D9102A" w:rsidRPr="00C70473" w:rsidRDefault="00FB5B45"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 xml:space="preserve">The Committee welcomed the presentation of the </w:t>
      </w:r>
      <w:r w:rsidR="00D9102A" w:rsidRPr="00C70473">
        <w:rPr>
          <w:rFonts w:ascii="Arial" w:hAnsi="Arial" w:cs="Arial"/>
          <w:sz w:val="20"/>
          <w:szCs w:val="20"/>
        </w:rPr>
        <w:t xml:space="preserve">DPCI </w:t>
      </w:r>
      <w:r w:rsidRPr="00C70473">
        <w:rPr>
          <w:rFonts w:ascii="Arial" w:hAnsi="Arial" w:cs="Arial"/>
          <w:sz w:val="20"/>
          <w:szCs w:val="20"/>
        </w:rPr>
        <w:t xml:space="preserve">and </w:t>
      </w:r>
      <w:r w:rsidR="005A5C35" w:rsidRPr="00C70473">
        <w:rPr>
          <w:rFonts w:ascii="Arial" w:hAnsi="Arial" w:cs="Arial"/>
          <w:sz w:val="20"/>
          <w:szCs w:val="20"/>
        </w:rPr>
        <w:t xml:space="preserve">commended </w:t>
      </w:r>
      <w:r w:rsidRPr="00C70473">
        <w:rPr>
          <w:rFonts w:ascii="Arial" w:hAnsi="Arial" w:cs="Arial"/>
          <w:sz w:val="20"/>
          <w:szCs w:val="20"/>
        </w:rPr>
        <w:t xml:space="preserve">the Directorate </w:t>
      </w:r>
      <w:r w:rsidR="005A5C35" w:rsidRPr="00C70473">
        <w:rPr>
          <w:rFonts w:ascii="Arial" w:hAnsi="Arial" w:cs="Arial"/>
          <w:sz w:val="20"/>
          <w:szCs w:val="20"/>
        </w:rPr>
        <w:t xml:space="preserve">on the successes </w:t>
      </w:r>
      <w:r w:rsidRPr="00C70473">
        <w:rPr>
          <w:rFonts w:ascii="Arial" w:hAnsi="Arial" w:cs="Arial"/>
          <w:sz w:val="20"/>
          <w:szCs w:val="20"/>
        </w:rPr>
        <w:t>achieved throughout the 2021/22 fin</w:t>
      </w:r>
      <w:r w:rsidR="004304D4" w:rsidRPr="00C70473">
        <w:rPr>
          <w:rFonts w:ascii="Arial" w:hAnsi="Arial" w:cs="Arial"/>
          <w:sz w:val="20"/>
          <w:szCs w:val="20"/>
        </w:rPr>
        <w:t>ancial year.</w:t>
      </w:r>
    </w:p>
    <w:p w:rsidR="00D9102A" w:rsidRPr="00C70473" w:rsidRDefault="00D9102A" w:rsidP="00C70473">
      <w:pPr>
        <w:spacing w:after="0" w:line="240" w:lineRule="auto"/>
        <w:rPr>
          <w:rFonts w:ascii="Arial" w:hAnsi="Arial" w:cs="Arial"/>
          <w:sz w:val="20"/>
          <w:szCs w:val="20"/>
        </w:rPr>
      </w:pPr>
    </w:p>
    <w:p w:rsidR="004304D4" w:rsidRPr="00C70473" w:rsidRDefault="004304D4"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The Committee raised concern about the fact that</w:t>
      </w:r>
      <w:r w:rsidR="008E36F7" w:rsidRPr="00C70473">
        <w:rPr>
          <w:rFonts w:ascii="Arial" w:hAnsi="Arial" w:cs="Arial"/>
          <w:sz w:val="20"/>
          <w:szCs w:val="20"/>
        </w:rPr>
        <w:t>,</w:t>
      </w:r>
      <w:r w:rsidRPr="00C70473">
        <w:rPr>
          <w:rFonts w:ascii="Arial" w:hAnsi="Arial" w:cs="Arial"/>
          <w:sz w:val="20"/>
          <w:szCs w:val="20"/>
        </w:rPr>
        <w:t xml:space="preserve"> despite police stations being built, they are not operational and specific mention was made to the Chatty Police Station </w:t>
      </w:r>
      <w:r w:rsidR="009F3E74" w:rsidRPr="00C70473">
        <w:rPr>
          <w:rFonts w:ascii="Arial" w:hAnsi="Arial" w:cs="Arial"/>
          <w:sz w:val="20"/>
          <w:szCs w:val="20"/>
        </w:rPr>
        <w:t xml:space="preserve">(Eastern Cape) </w:t>
      </w:r>
      <w:r w:rsidRPr="00C70473">
        <w:rPr>
          <w:rFonts w:ascii="Arial" w:hAnsi="Arial" w:cs="Arial"/>
          <w:sz w:val="20"/>
          <w:szCs w:val="20"/>
        </w:rPr>
        <w:t xml:space="preserve">that was completed in 2021/22 but not yet functional. </w:t>
      </w:r>
      <w:r w:rsidR="009F3E74" w:rsidRPr="00C70473">
        <w:rPr>
          <w:rFonts w:ascii="Arial" w:hAnsi="Arial" w:cs="Arial"/>
          <w:sz w:val="20"/>
          <w:szCs w:val="20"/>
        </w:rPr>
        <w:t xml:space="preserve">The Committee questioned the reasons for the </w:t>
      </w:r>
      <w:r w:rsidRPr="00C70473">
        <w:rPr>
          <w:rFonts w:ascii="Arial" w:hAnsi="Arial" w:cs="Arial"/>
          <w:sz w:val="20"/>
          <w:szCs w:val="20"/>
        </w:rPr>
        <w:t xml:space="preserve">delay in completion and operationalisation? </w:t>
      </w:r>
      <w:r w:rsidR="00743743" w:rsidRPr="00C70473">
        <w:rPr>
          <w:rFonts w:ascii="Arial" w:hAnsi="Arial" w:cs="Arial"/>
          <w:sz w:val="20"/>
          <w:szCs w:val="20"/>
        </w:rPr>
        <w:t xml:space="preserve">The Department indicated that the Chatty station is operational but that the personnel numbers are not ideal. It has not been officially opened by the Minister of Police </w:t>
      </w:r>
      <w:r w:rsidR="009F3E74" w:rsidRPr="00C70473">
        <w:rPr>
          <w:rFonts w:ascii="Arial" w:hAnsi="Arial" w:cs="Arial"/>
          <w:sz w:val="20"/>
          <w:szCs w:val="20"/>
        </w:rPr>
        <w:t xml:space="preserve">but is operational. </w:t>
      </w:r>
    </w:p>
    <w:p w:rsidR="004304D4" w:rsidRPr="00C70473" w:rsidRDefault="004304D4" w:rsidP="00C70473">
      <w:pPr>
        <w:pStyle w:val="ListParagraph"/>
        <w:spacing w:after="0" w:line="240" w:lineRule="auto"/>
        <w:rPr>
          <w:rFonts w:ascii="Arial" w:hAnsi="Arial" w:cs="Arial"/>
          <w:sz w:val="20"/>
          <w:szCs w:val="20"/>
        </w:rPr>
      </w:pPr>
    </w:p>
    <w:p w:rsidR="004304D4" w:rsidRPr="00C70473" w:rsidRDefault="004304D4"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 xml:space="preserve">The Committee raised concern about the overspending on the budget for compensation of employees in the Protection and Security Services Programme. </w:t>
      </w:r>
      <w:r w:rsidR="00743743" w:rsidRPr="00C70473">
        <w:rPr>
          <w:rFonts w:ascii="Arial" w:hAnsi="Arial" w:cs="Arial"/>
          <w:sz w:val="20"/>
          <w:szCs w:val="20"/>
        </w:rPr>
        <w:t xml:space="preserve">The Department highlighted that the Programme is labour intensive and the increase in spending is largely based on overtime worked by personnel in this environment.  </w:t>
      </w:r>
      <w:r w:rsidRPr="00C70473">
        <w:rPr>
          <w:rFonts w:ascii="Arial" w:hAnsi="Arial" w:cs="Arial"/>
          <w:sz w:val="20"/>
          <w:szCs w:val="20"/>
        </w:rPr>
        <w:t xml:space="preserve"> </w:t>
      </w:r>
    </w:p>
    <w:p w:rsidR="004304D4" w:rsidRPr="00C70473" w:rsidRDefault="004304D4" w:rsidP="00C70473">
      <w:pPr>
        <w:pStyle w:val="ListParagraph"/>
        <w:spacing w:after="0" w:line="240" w:lineRule="auto"/>
        <w:rPr>
          <w:rFonts w:ascii="Arial" w:hAnsi="Arial" w:cs="Arial"/>
          <w:sz w:val="20"/>
          <w:szCs w:val="20"/>
        </w:rPr>
      </w:pPr>
    </w:p>
    <w:p w:rsidR="00D9102A" w:rsidRPr="00C70473" w:rsidRDefault="005725B7"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 xml:space="preserve">The Committee raised concern on the possible misuse of SAPS </w:t>
      </w:r>
      <w:r w:rsidR="00D9102A" w:rsidRPr="00C70473">
        <w:rPr>
          <w:rFonts w:ascii="Arial" w:hAnsi="Arial" w:cs="Arial"/>
          <w:sz w:val="20"/>
          <w:szCs w:val="20"/>
        </w:rPr>
        <w:t>helicopters</w:t>
      </w:r>
      <w:r w:rsidRPr="00C70473">
        <w:rPr>
          <w:rFonts w:ascii="Arial" w:hAnsi="Arial" w:cs="Arial"/>
          <w:sz w:val="20"/>
          <w:szCs w:val="20"/>
        </w:rPr>
        <w:t xml:space="preserve"> in attending to </w:t>
      </w:r>
      <w:r w:rsidR="004304D4" w:rsidRPr="00C70473">
        <w:rPr>
          <w:rFonts w:ascii="Arial" w:hAnsi="Arial" w:cs="Arial"/>
          <w:sz w:val="20"/>
          <w:szCs w:val="20"/>
        </w:rPr>
        <w:t xml:space="preserve">Ministerial engagements </w:t>
      </w:r>
      <w:r w:rsidRPr="00C70473">
        <w:rPr>
          <w:rFonts w:ascii="Arial" w:hAnsi="Arial" w:cs="Arial"/>
          <w:sz w:val="20"/>
          <w:szCs w:val="20"/>
        </w:rPr>
        <w:t xml:space="preserve">instead of crime prevention </w:t>
      </w:r>
      <w:r w:rsidR="004304D4" w:rsidRPr="00C70473">
        <w:rPr>
          <w:rFonts w:ascii="Arial" w:hAnsi="Arial" w:cs="Arial"/>
          <w:sz w:val="20"/>
          <w:szCs w:val="20"/>
        </w:rPr>
        <w:t xml:space="preserve">and reaction </w:t>
      </w:r>
      <w:r w:rsidRPr="00C70473">
        <w:rPr>
          <w:rFonts w:ascii="Arial" w:hAnsi="Arial" w:cs="Arial"/>
          <w:sz w:val="20"/>
          <w:szCs w:val="20"/>
        </w:rPr>
        <w:t>interventions.</w:t>
      </w:r>
      <w:r w:rsidR="004B47FB" w:rsidRPr="00C70473">
        <w:rPr>
          <w:rFonts w:ascii="Arial" w:hAnsi="Arial" w:cs="Arial"/>
          <w:sz w:val="20"/>
          <w:szCs w:val="20"/>
        </w:rPr>
        <w:t xml:space="preserve"> The Department dispelled the concerns and indicated that helicopters are used in crime prevention operations. </w:t>
      </w:r>
      <w:r w:rsidRPr="00C70473">
        <w:rPr>
          <w:rFonts w:ascii="Arial" w:hAnsi="Arial" w:cs="Arial"/>
          <w:sz w:val="20"/>
          <w:szCs w:val="20"/>
        </w:rPr>
        <w:t xml:space="preserve"> </w:t>
      </w:r>
      <w:r w:rsidR="00D9102A" w:rsidRPr="00C70473">
        <w:rPr>
          <w:rFonts w:ascii="Arial" w:hAnsi="Arial" w:cs="Arial"/>
          <w:sz w:val="20"/>
          <w:szCs w:val="20"/>
        </w:rPr>
        <w:t xml:space="preserve"> </w:t>
      </w:r>
    </w:p>
    <w:p w:rsidR="00D9102A" w:rsidRPr="00C70473" w:rsidRDefault="00D9102A" w:rsidP="00C70473">
      <w:pPr>
        <w:spacing w:after="0" w:line="240" w:lineRule="auto"/>
        <w:rPr>
          <w:rFonts w:ascii="Arial" w:hAnsi="Arial" w:cs="Arial"/>
          <w:sz w:val="20"/>
          <w:szCs w:val="20"/>
        </w:rPr>
      </w:pPr>
    </w:p>
    <w:p w:rsidR="00D9102A" w:rsidRPr="00C70473" w:rsidRDefault="004304D4"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The Committee questioned the number of c</w:t>
      </w:r>
      <w:r w:rsidR="00D9102A" w:rsidRPr="00C70473">
        <w:rPr>
          <w:rFonts w:ascii="Arial" w:hAnsi="Arial" w:cs="Arial"/>
          <w:sz w:val="20"/>
          <w:szCs w:val="20"/>
        </w:rPr>
        <w:t>ross-border operations</w:t>
      </w:r>
      <w:r w:rsidRPr="00C70473">
        <w:rPr>
          <w:rFonts w:ascii="Arial" w:hAnsi="Arial" w:cs="Arial"/>
          <w:sz w:val="20"/>
          <w:szCs w:val="20"/>
        </w:rPr>
        <w:t xml:space="preserve"> conducted</w:t>
      </w:r>
      <w:r w:rsidR="00D9102A" w:rsidRPr="00C70473">
        <w:rPr>
          <w:rFonts w:ascii="Arial" w:hAnsi="Arial" w:cs="Arial"/>
          <w:sz w:val="20"/>
          <w:szCs w:val="20"/>
        </w:rPr>
        <w:t xml:space="preserve"> to recover stolen vehicles </w:t>
      </w:r>
      <w:r w:rsidRPr="00C70473">
        <w:rPr>
          <w:rFonts w:ascii="Arial" w:hAnsi="Arial" w:cs="Arial"/>
          <w:sz w:val="20"/>
          <w:szCs w:val="20"/>
        </w:rPr>
        <w:t>with a specific reference made to vehicles found in Malawi.</w:t>
      </w:r>
      <w:r w:rsidR="00211B6F" w:rsidRPr="00C70473">
        <w:rPr>
          <w:rFonts w:ascii="Arial" w:hAnsi="Arial" w:cs="Arial"/>
          <w:sz w:val="20"/>
          <w:szCs w:val="20"/>
        </w:rPr>
        <w:t xml:space="preserve"> The Department indicated that many operations are held and indicated that getting </w:t>
      </w:r>
      <w:r w:rsidR="008E36F7" w:rsidRPr="00C70473">
        <w:rPr>
          <w:rFonts w:ascii="Arial" w:hAnsi="Arial" w:cs="Arial"/>
          <w:sz w:val="20"/>
          <w:szCs w:val="20"/>
        </w:rPr>
        <w:t>vehicles</w:t>
      </w:r>
      <w:r w:rsidR="00211B6F" w:rsidRPr="00C70473">
        <w:rPr>
          <w:rFonts w:ascii="Arial" w:hAnsi="Arial" w:cs="Arial"/>
          <w:sz w:val="20"/>
          <w:szCs w:val="20"/>
        </w:rPr>
        <w:t xml:space="preserve"> back to South Africa is complex</w:t>
      </w:r>
      <w:r w:rsidR="008E36F7" w:rsidRPr="00C70473">
        <w:rPr>
          <w:rFonts w:ascii="Arial" w:hAnsi="Arial" w:cs="Arial"/>
          <w:sz w:val="20"/>
          <w:szCs w:val="20"/>
        </w:rPr>
        <w:t>,</w:t>
      </w:r>
      <w:r w:rsidR="00211B6F" w:rsidRPr="00C70473">
        <w:rPr>
          <w:rFonts w:ascii="Arial" w:hAnsi="Arial" w:cs="Arial"/>
          <w:sz w:val="20"/>
          <w:szCs w:val="20"/>
        </w:rPr>
        <w:t xml:space="preserve"> but it is in progress.</w:t>
      </w:r>
      <w:r w:rsidRPr="00C70473">
        <w:rPr>
          <w:rFonts w:ascii="Arial" w:hAnsi="Arial" w:cs="Arial"/>
          <w:sz w:val="20"/>
          <w:szCs w:val="20"/>
        </w:rPr>
        <w:t xml:space="preserve"> </w:t>
      </w:r>
    </w:p>
    <w:p w:rsidR="00D9102A" w:rsidRPr="00C70473" w:rsidRDefault="00D9102A" w:rsidP="00C70473">
      <w:pPr>
        <w:spacing w:after="0" w:line="240" w:lineRule="auto"/>
        <w:rPr>
          <w:rFonts w:ascii="Arial" w:hAnsi="Arial" w:cs="Arial"/>
          <w:sz w:val="20"/>
          <w:szCs w:val="20"/>
        </w:rPr>
      </w:pPr>
    </w:p>
    <w:p w:rsidR="00D9102A" w:rsidRPr="00C70473" w:rsidRDefault="004304D4"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 xml:space="preserve">The Committee requested clarity on the functions of the Government </w:t>
      </w:r>
      <w:r w:rsidR="00D9102A" w:rsidRPr="00C70473">
        <w:rPr>
          <w:rFonts w:ascii="Arial" w:hAnsi="Arial" w:cs="Arial"/>
          <w:sz w:val="20"/>
          <w:szCs w:val="20"/>
        </w:rPr>
        <w:t xml:space="preserve">Security </w:t>
      </w:r>
      <w:r w:rsidRPr="00C70473">
        <w:rPr>
          <w:rFonts w:ascii="Arial" w:hAnsi="Arial" w:cs="Arial"/>
          <w:sz w:val="20"/>
          <w:szCs w:val="20"/>
        </w:rPr>
        <w:t xml:space="preserve">Regulator and whether the security </w:t>
      </w:r>
      <w:r w:rsidR="00D9102A" w:rsidRPr="00C70473">
        <w:rPr>
          <w:rFonts w:ascii="Arial" w:hAnsi="Arial" w:cs="Arial"/>
          <w:sz w:val="20"/>
          <w:szCs w:val="20"/>
        </w:rPr>
        <w:t xml:space="preserve">personnel in </w:t>
      </w:r>
      <w:r w:rsidR="005123B1" w:rsidRPr="00C70473">
        <w:rPr>
          <w:rFonts w:ascii="Arial" w:hAnsi="Arial" w:cs="Arial"/>
          <w:sz w:val="20"/>
          <w:szCs w:val="20"/>
        </w:rPr>
        <w:t>Parliament</w:t>
      </w:r>
      <w:r w:rsidRPr="00C70473">
        <w:rPr>
          <w:rFonts w:ascii="Arial" w:hAnsi="Arial" w:cs="Arial"/>
          <w:sz w:val="20"/>
          <w:szCs w:val="20"/>
        </w:rPr>
        <w:t xml:space="preserve"> fall under the mandate of the SAPS. </w:t>
      </w:r>
      <w:r w:rsidR="008C727D" w:rsidRPr="00C70473">
        <w:rPr>
          <w:rFonts w:ascii="Arial" w:hAnsi="Arial" w:cs="Arial"/>
          <w:sz w:val="20"/>
          <w:szCs w:val="20"/>
        </w:rPr>
        <w:t xml:space="preserve">The Department explained that the protection services of Parliament does not report to the SAPS but to the Secretary of Parliament. The Department indicated that they have engaged in talks to possibly reconfigure the structure to clarify the different responsibilities within the Parliamentary precinct. </w:t>
      </w:r>
      <w:r w:rsidR="00D9102A" w:rsidRPr="00C70473">
        <w:rPr>
          <w:rFonts w:ascii="Arial" w:hAnsi="Arial" w:cs="Arial"/>
          <w:sz w:val="20"/>
          <w:szCs w:val="20"/>
        </w:rPr>
        <w:t xml:space="preserve"> </w:t>
      </w:r>
    </w:p>
    <w:p w:rsidR="00D9102A" w:rsidRPr="00C70473" w:rsidRDefault="00D9102A" w:rsidP="00C70473">
      <w:pPr>
        <w:spacing w:after="0" w:line="240" w:lineRule="auto"/>
        <w:rPr>
          <w:rFonts w:ascii="Arial" w:hAnsi="Arial" w:cs="Arial"/>
          <w:sz w:val="20"/>
          <w:szCs w:val="20"/>
        </w:rPr>
      </w:pPr>
    </w:p>
    <w:p w:rsidR="004304D4" w:rsidRPr="00C70473" w:rsidRDefault="004304D4"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The Committee requested the Department to indicate the value of assets seized by the DPCI from the private sector.</w:t>
      </w:r>
      <w:r w:rsidR="004E5289" w:rsidRPr="00C70473">
        <w:rPr>
          <w:rFonts w:ascii="Arial" w:hAnsi="Arial" w:cs="Arial"/>
          <w:sz w:val="20"/>
          <w:szCs w:val="20"/>
        </w:rPr>
        <w:t xml:space="preserve"> The </w:t>
      </w:r>
      <w:r w:rsidR="00E64C6D" w:rsidRPr="00C70473">
        <w:rPr>
          <w:rFonts w:ascii="Arial" w:hAnsi="Arial" w:cs="Arial"/>
          <w:sz w:val="20"/>
          <w:szCs w:val="20"/>
        </w:rPr>
        <w:t>Directorate</w:t>
      </w:r>
      <w:r w:rsidR="004E5289" w:rsidRPr="00C70473">
        <w:rPr>
          <w:rFonts w:ascii="Arial" w:hAnsi="Arial" w:cs="Arial"/>
          <w:sz w:val="20"/>
          <w:szCs w:val="20"/>
        </w:rPr>
        <w:t xml:space="preserve"> indicated that the figure </w:t>
      </w:r>
      <w:r w:rsidR="001058B3" w:rsidRPr="00C70473">
        <w:rPr>
          <w:rFonts w:ascii="Arial" w:hAnsi="Arial" w:cs="Arial"/>
          <w:sz w:val="20"/>
          <w:szCs w:val="20"/>
        </w:rPr>
        <w:t>provided includes</w:t>
      </w:r>
      <w:r w:rsidR="00E64C6D" w:rsidRPr="00C70473">
        <w:rPr>
          <w:rFonts w:ascii="Arial" w:hAnsi="Arial" w:cs="Arial"/>
          <w:sz w:val="20"/>
          <w:szCs w:val="20"/>
        </w:rPr>
        <w:t xml:space="preserve"> assets seized from</w:t>
      </w:r>
      <w:r w:rsidR="001058B3" w:rsidRPr="00C70473">
        <w:rPr>
          <w:rFonts w:ascii="Arial" w:hAnsi="Arial" w:cs="Arial"/>
          <w:sz w:val="20"/>
          <w:szCs w:val="20"/>
        </w:rPr>
        <w:t xml:space="preserve"> individuals from</w:t>
      </w:r>
      <w:r w:rsidR="00E64C6D" w:rsidRPr="00C70473">
        <w:rPr>
          <w:rFonts w:ascii="Arial" w:hAnsi="Arial" w:cs="Arial"/>
          <w:sz w:val="20"/>
          <w:szCs w:val="20"/>
        </w:rPr>
        <w:t xml:space="preserve"> the private and public sectors. </w:t>
      </w:r>
      <w:r w:rsidR="004E5289" w:rsidRPr="00C70473">
        <w:rPr>
          <w:rFonts w:ascii="Arial" w:hAnsi="Arial" w:cs="Arial"/>
          <w:sz w:val="20"/>
          <w:szCs w:val="20"/>
        </w:rPr>
        <w:t xml:space="preserve"> </w:t>
      </w:r>
      <w:r w:rsidRPr="00C70473">
        <w:rPr>
          <w:rFonts w:ascii="Arial" w:hAnsi="Arial" w:cs="Arial"/>
          <w:sz w:val="20"/>
          <w:szCs w:val="20"/>
        </w:rPr>
        <w:t xml:space="preserve"> </w:t>
      </w:r>
    </w:p>
    <w:p w:rsidR="004304D4" w:rsidRPr="00C70473" w:rsidRDefault="004304D4" w:rsidP="00C70473">
      <w:pPr>
        <w:pStyle w:val="ListParagraph"/>
        <w:spacing w:after="0" w:line="240" w:lineRule="auto"/>
        <w:rPr>
          <w:rFonts w:ascii="Arial" w:hAnsi="Arial" w:cs="Arial"/>
          <w:sz w:val="20"/>
          <w:szCs w:val="20"/>
        </w:rPr>
      </w:pPr>
    </w:p>
    <w:p w:rsidR="00D9102A" w:rsidRPr="00C70473" w:rsidRDefault="004304D4"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 xml:space="preserve">The Committee noted concern on the misuse of </w:t>
      </w:r>
      <w:r w:rsidR="00D9102A" w:rsidRPr="00C70473">
        <w:rPr>
          <w:rFonts w:ascii="Arial" w:hAnsi="Arial" w:cs="Arial"/>
          <w:sz w:val="20"/>
          <w:szCs w:val="20"/>
        </w:rPr>
        <w:t xml:space="preserve">Victim Friendly Rooms </w:t>
      </w:r>
      <w:r w:rsidRPr="00C70473">
        <w:rPr>
          <w:rFonts w:ascii="Arial" w:hAnsi="Arial" w:cs="Arial"/>
          <w:sz w:val="20"/>
          <w:szCs w:val="20"/>
        </w:rPr>
        <w:t>at police stations for other purposes</w:t>
      </w:r>
      <w:r w:rsidR="008E36F7" w:rsidRPr="00C70473">
        <w:rPr>
          <w:rFonts w:ascii="Arial" w:hAnsi="Arial" w:cs="Arial"/>
          <w:sz w:val="20"/>
          <w:szCs w:val="20"/>
        </w:rPr>
        <w:t>, including</w:t>
      </w:r>
      <w:r w:rsidRPr="00C70473">
        <w:rPr>
          <w:rFonts w:ascii="Arial" w:hAnsi="Arial" w:cs="Arial"/>
          <w:sz w:val="20"/>
          <w:szCs w:val="20"/>
        </w:rPr>
        <w:t xml:space="preserve"> office accommodation</w:t>
      </w:r>
      <w:r w:rsidR="008E36F7" w:rsidRPr="00C70473">
        <w:rPr>
          <w:rFonts w:ascii="Arial" w:hAnsi="Arial" w:cs="Arial"/>
          <w:sz w:val="20"/>
          <w:szCs w:val="20"/>
        </w:rPr>
        <w:t>,</w:t>
      </w:r>
      <w:r w:rsidRPr="00C70473">
        <w:rPr>
          <w:rFonts w:ascii="Arial" w:hAnsi="Arial" w:cs="Arial"/>
          <w:sz w:val="20"/>
          <w:szCs w:val="20"/>
        </w:rPr>
        <w:t xml:space="preserve"> and not for its </w:t>
      </w:r>
      <w:r w:rsidR="00D9102A" w:rsidRPr="00C70473">
        <w:rPr>
          <w:rFonts w:ascii="Arial" w:hAnsi="Arial" w:cs="Arial"/>
          <w:sz w:val="20"/>
          <w:szCs w:val="20"/>
        </w:rPr>
        <w:t>intended purpose.</w:t>
      </w:r>
      <w:r w:rsidRPr="00C70473">
        <w:rPr>
          <w:rFonts w:ascii="Arial" w:hAnsi="Arial" w:cs="Arial"/>
          <w:sz w:val="20"/>
          <w:szCs w:val="20"/>
        </w:rPr>
        <w:t xml:space="preserve"> It was also noted</w:t>
      </w:r>
      <w:r w:rsidR="00FA1710" w:rsidRPr="00C70473">
        <w:rPr>
          <w:rFonts w:ascii="Arial" w:hAnsi="Arial" w:cs="Arial"/>
          <w:sz w:val="20"/>
          <w:szCs w:val="20"/>
        </w:rPr>
        <w:t xml:space="preserve"> that Victim Friendly Rooms are </w:t>
      </w:r>
      <w:r w:rsidR="008E36F7" w:rsidRPr="00C70473">
        <w:rPr>
          <w:rFonts w:ascii="Arial" w:hAnsi="Arial" w:cs="Arial"/>
          <w:sz w:val="20"/>
          <w:szCs w:val="20"/>
        </w:rPr>
        <w:t xml:space="preserve">often </w:t>
      </w:r>
      <w:r w:rsidR="00FA1710" w:rsidRPr="00C70473">
        <w:rPr>
          <w:rFonts w:ascii="Arial" w:hAnsi="Arial" w:cs="Arial"/>
          <w:sz w:val="20"/>
          <w:szCs w:val="20"/>
        </w:rPr>
        <w:t>not well resourced</w:t>
      </w:r>
      <w:r w:rsidR="000472BF" w:rsidRPr="00C70473">
        <w:rPr>
          <w:rFonts w:ascii="Arial" w:hAnsi="Arial" w:cs="Arial"/>
          <w:sz w:val="20"/>
          <w:szCs w:val="20"/>
        </w:rPr>
        <w:t xml:space="preserve"> and </w:t>
      </w:r>
      <w:r w:rsidR="001058B3" w:rsidRPr="00C70473">
        <w:rPr>
          <w:rFonts w:ascii="Arial" w:hAnsi="Arial" w:cs="Arial"/>
          <w:sz w:val="20"/>
          <w:szCs w:val="20"/>
        </w:rPr>
        <w:t xml:space="preserve">are </w:t>
      </w:r>
      <w:r w:rsidR="000472BF" w:rsidRPr="00C70473">
        <w:rPr>
          <w:rFonts w:ascii="Arial" w:hAnsi="Arial" w:cs="Arial"/>
          <w:sz w:val="20"/>
          <w:szCs w:val="20"/>
        </w:rPr>
        <w:t>not ‘friendly’ at all</w:t>
      </w:r>
      <w:r w:rsidR="00FA1710" w:rsidRPr="00C70473">
        <w:rPr>
          <w:rFonts w:ascii="Arial" w:hAnsi="Arial" w:cs="Arial"/>
          <w:sz w:val="20"/>
          <w:szCs w:val="20"/>
        </w:rPr>
        <w:t xml:space="preserve">. </w:t>
      </w:r>
      <w:r w:rsidR="009E1EB8" w:rsidRPr="00C70473">
        <w:rPr>
          <w:rFonts w:ascii="Arial" w:hAnsi="Arial" w:cs="Arial"/>
          <w:sz w:val="20"/>
          <w:szCs w:val="20"/>
        </w:rPr>
        <w:t xml:space="preserve">The Department indicated that where victim friendly rooms are not available, such facilities are available at other institutions such as hospitals. </w:t>
      </w:r>
      <w:r w:rsidRPr="00C70473">
        <w:rPr>
          <w:rFonts w:ascii="Arial" w:hAnsi="Arial" w:cs="Arial"/>
          <w:sz w:val="20"/>
          <w:szCs w:val="20"/>
        </w:rPr>
        <w:t xml:space="preserve"> </w:t>
      </w:r>
      <w:r w:rsidR="00D9102A" w:rsidRPr="00C70473">
        <w:rPr>
          <w:rFonts w:ascii="Arial" w:hAnsi="Arial" w:cs="Arial"/>
          <w:sz w:val="20"/>
          <w:szCs w:val="20"/>
        </w:rPr>
        <w:t xml:space="preserve"> </w:t>
      </w:r>
    </w:p>
    <w:p w:rsidR="00D9102A" w:rsidRPr="00C70473" w:rsidRDefault="00D9102A" w:rsidP="00C70473">
      <w:pPr>
        <w:spacing w:after="0" w:line="240" w:lineRule="auto"/>
        <w:rPr>
          <w:rFonts w:ascii="Arial" w:hAnsi="Arial" w:cs="Arial"/>
          <w:sz w:val="20"/>
          <w:szCs w:val="20"/>
        </w:rPr>
      </w:pPr>
    </w:p>
    <w:p w:rsidR="00D9102A" w:rsidRPr="00C70473" w:rsidRDefault="002709D1"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The Committee raised concerns about the increase in the number and monetary value of c</w:t>
      </w:r>
      <w:r w:rsidR="00D9102A" w:rsidRPr="00C70473">
        <w:rPr>
          <w:rFonts w:ascii="Arial" w:hAnsi="Arial" w:cs="Arial"/>
          <w:sz w:val="20"/>
          <w:szCs w:val="20"/>
        </w:rPr>
        <w:t>ivil claims</w:t>
      </w:r>
      <w:r w:rsidRPr="00C70473">
        <w:rPr>
          <w:rFonts w:ascii="Arial" w:hAnsi="Arial" w:cs="Arial"/>
          <w:sz w:val="20"/>
          <w:szCs w:val="20"/>
        </w:rPr>
        <w:t xml:space="preserve"> brought against the Department during the 2021/22 financial year. </w:t>
      </w:r>
      <w:r w:rsidR="00A63821" w:rsidRPr="00C70473">
        <w:rPr>
          <w:rFonts w:ascii="Arial" w:hAnsi="Arial" w:cs="Arial"/>
          <w:sz w:val="20"/>
          <w:szCs w:val="20"/>
        </w:rPr>
        <w:t xml:space="preserve">The Department indicated that processes are underway to address the increases in the number of civil claims and to identify the stations that are contributing the most to civil claims and implementing interventions to address this challenge. </w:t>
      </w:r>
      <w:r w:rsidR="00B8245B" w:rsidRPr="00C70473">
        <w:rPr>
          <w:rFonts w:ascii="Arial" w:hAnsi="Arial" w:cs="Arial"/>
          <w:sz w:val="20"/>
          <w:szCs w:val="20"/>
        </w:rPr>
        <w:t xml:space="preserve">The Department further noted that most of the pending cases are </w:t>
      </w:r>
      <w:r w:rsidR="00B8245B" w:rsidRPr="00C70473">
        <w:rPr>
          <w:rFonts w:ascii="Arial" w:hAnsi="Arial" w:cs="Arial"/>
          <w:i/>
          <w:sz w:val="20"/>
          <w:szCs w:val="20"/>
        </w:rPr>
        <w:t>dominus litis</w:t>
      </w:r>
      <w:r w:rsidR="008E36F7" w:rsidRPr="00C70473">
        <w:rPr>
          <w:rFonts w:ascii="Arial" w:hAnsi="Arial" w:cs="Arial"/>
          <w:i/>
          <w:sz w:val="20"/>
          <w:szCs w:val="20"/>
        </w:rPr>
        <w:t>,</w:t>
      </w:r>
      <w:r w:rsidR="00B8245B" w:rsidRPr="00C70473">
        <w:rPr>
          <w:rFonts w:ascii="Arial" w:hAnsi="Arial" w:cs="Arial"/>
          <w:i/>
          <w:sz w:val="20"/>
          <w:szCs w:val="20"/>
        </w:rPr>
        <w:t xml:space="preserve"> </w:t>
      </w:r>
      <w:r w:rsidR="00B8245B" w:rsidRPr="00C70473">
        <w:rPr>
          <w:rFonts w:ascii="Arial" w:hAnsi="Arial" w:cs="Arial"/>
          <w:sz w:val="20"/>
          <w:szCs w:val="20"/>
        </w:rPr>
        <w:t xml:space="preserve">meaning that the plaintive must approach the court in terms </w:t>
      </w:r>
      <w:r w:rsidR="00B8245B" w:rsidRPr="00C70473">
        <w:rPr>
          <w:rFonts w:ascii="Arial" w:hAnsi="Arial" w:cs="Arial"/>
          <w:sz w:val="20"/>
          <w:szCs w:val="20"/>
        </w:rPr>
        <w:lastRenderedPageBreak/>
        <w:t>of obtaining set down dates. It was further noted that the Department is putting proactive steps in place to identify cases that have been dormant for some time and are being worked off in terms of the Standing Operating Procedures of the Department.</w:t>
      </w:r>
      <w:r w:rsidR="00FE46A3" w:rsidRPr="00C70473">
        <w:rPr>
          <w:rFonts w:ascii="Arial" w:hAnsi="Arial" w:cs="Arial"/>
          <w:sz w:val="20"/>
          <w:szCs w:val="20"/>
        </w:rPr>
        <w:t xml:space="preserve"> The claim amounts are beyond the control of the Department and does not indicate the actual amounts that will be paid if so found.</w:t>
      </w:r>
      <w:r w:rsidR="00B8245B" w:rsidRPr="00C70473">
        <w:rPr>
          <w:rFonts w:ascii="Arial" w:hAnsi="Arial" w:cs="Arial"/>
          <w:sz w:val="20"/>
          <w:szCs w:val="20"/>
        </w:rPr>
        <w:t xml:space="preserve">  </w:t>
      </w:r>
    </w:p>
    <w:p w:rsidR="00D9102A" w:rsidRPr="00C70473" w:rsidRDefault="00D9102A" w:rsidP="00C70473">
      <w:pPr>
        <w:spacing w:after="0" w:line="240" w:lineRule="auto"/>
        <w:rPr>
          <w:rFonts w:ascii="Arial" w:hAnsi="Arial" w:cs="Arial"/>
          <w:sz w:val="20"/>
          <w:szCs w:val="20"/>
        </w:rPr>
      </w:pPr>
    </w:p>
    <w:p w:rsidR="00D9102A" w:rsidRPr="00C70473" w:rsidRDefault="002709D1"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The Committee raised concern on the significant i</w:t>
      </w:r>
      <w:r w:rsidR="00D9102A" w:rsidRPr="00C70473">
        <w:rPr>
          <w:rFonts w:ascii="Arial" w:hAnsi="Arial" w:cs="Arial"/>
          <w:sz w:val="20"/>
          <w:szCs w:val="20"/>
        </w:rPr>
        <w:t>ncrease in fruitless and wasteful expenditure over the past four financial years</w:t>
      </w:r>
      <w:r w:rsidRPr="00C70473">
        <w:rPr>
          <w:rFonts w:ascii="Arial" w:hAnsi="Arial" w:cs="Arial"/>
          <w:sz w:val="20"/>
          <w:szCs w:val="20"/>
        </w:rPr>
        <w:t xml:space="preserve">, and that </w:t>
      </w:r>
      <w:r w:rsidR="005123B1" w:rsidRPr="00C70473">
        <w:rPr>
          <w:rFonts w:ascii="Arial" w:hAnsi="Arial" w:cs="Arial"/>
          <w:sz w:val="20"/>
          <w:szCs w:val="20"/>
        </w:rPr>
        <w:t xml:space="preserve">adequately </w:t>
      </w:r>
      <w:r w:rsidRPr="00C70473">
        <w:rPr>
          <w:rFonts w:ascii="Arial" w:hAnsi="Arial" w:cs="Arial"/>
          <w:sz w:val="20"/>
          <w:szCs w:val="20"/>
        </w:rPr>
        <w:t xml:space="preserve">steps to address further increases are not recorded in future </w:t>
      </w:r>
      <w:r w:rsidR="0042363C" w:rsidRPr="00C70473">
        <w:rPr>
          <w:rFonts w:ascii="Arial" w:hAnsi="Arial" w:cs="Arial"/>
          <w:sz w:val="20"/>
          <w:szCs w:val="20"/>
        </w:rPr>
        <w:t>planning.</w:t>
      </w:r>
      <w:r w:rsidR="002D4E4D" w:rsidRPr="00C70473">
        <w:rPr>
          <w:rFonts w:ascii="Arial" w:hAnsi="Arial" w:cs="Arial"/>
          <w:sz w:val="20"/>
          <w:szCs w:val="20"/>
        </w:rPr>
        <w:t xml:space="preserve"> The Department indicated that various factors lead to these cases</w:t>
      </w:r>
      <w:r w:rsidR="008E36F7" w:rsidRPr="00C70473">
        <w:rPr>
          <w:rFonts w:ascii="Arial" w:hAnsi="Arial" w:cs="Arial"/>
          <w:sz w:val="20"/>
          <w:szCs w:val="20"/>
        </w:rPr>
        <w:t>,</w:t>
      </w:r>
      <w:r w:rsidR="002D4E4D" w:rsidRPr="00C70473">
        <w:rPr>
          <w:rFonts w:ascii="Arial" w:hAnsi="Arial" w:cs="Arial"/>
          <w:sz w:val="20"/>
          <w:szCs w:val="20"/>
        </w:rPr>
        <w:t xml:space="preserve"> but that steps are taken to down-manage the number of cases recorded. </w:t>
      </w:r>
      <w:r w:rsidRPr="00C70473">
        <w:rPr>
          <w:rFonts w:ascii="Arial" w:hAnsi="Arial" w:cs="Arial"/>
          <w:sz w:val="20"/>
          <w:szCs w:val="20"/>
        </w:rPr>
        <w:t xml:space="preserve"> </w:t>
      </w:r>
    </w:p>
    <w:p w:rsidR="005123B1" w:rsidRPr="00C70473" w:rsidRDefault="005123B1" w:rsidP="00C70473">
      <w:pPr>
        <w:spacing w:after="0" w:line="240" w:lineRule="auto"/>
        <w:rPr>
          <w:rFonts w:ascii="Arial" w:hAnsi="Arial" w:cs="Arial"/>
          <w:sz w:val="20"/>
          <w:szCs w:val="20"/>
        </w:rPr>
      </w:pPr>
    </w:p>
    <w:p w:rsidR="00535AC9" w:rsidRPr="00C70473" w:rsidRDefault="00F02897"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The Committee raised concern about the b</w:t>
      </w:r>
      <w:r w:rsidR="005123B1" w:rsidRPr="00C70473">
        <w:rPr>
          <w:rFonts w:ascii="Arial" w:hAnsi="Arial" w:cs="Arial"/>
          <w:sz w:val="20"/>
          <w:szCs w:val="20"/>
        </w:rPr>
        <w:t>acklog in cases</w:t>
      </w:r>
      <w:r w:rsidRPr="00C70473">
        <w:rPr>
          <w:rFonts w:ascii="Arial" w:hAnsi="Arial" w:cs="Arial"/>
          <w:sz w:val="20"/>
          <w:szCs w:val="20"/>
        </w:rPr>
        <w:t xml:space="preserve"> not resolved that </w:t>
      </w:r>
      <w:r w:rsidR="004854C0" w:rsidRPr="00C70473">
        <w:rPr>
          <w:rFonts w:ascii="Arial" w:hAnsi="Arial" w:cs="Arial"/>
          <w:sz w:val="20"/>
          <w:szCs w:val="20"/>
        </w:rPr>
        <w:t>are</w:t>
      </w:r>
      <w:r w:rsidR="005123B1" w:rsidRPr="00C70473">
        <w:rPr>
          <w:rFonts w:ascii="Arial" w:hAnsi="Arial" w:cs="Arial"/>
          <w:sz w:val="20"/>
          <w:szCs w:val="20"/>
        </w:rPr>
        <w:t xml:space="preserve"> older than 3 years </w:t>
      </w:r>
      <w:r w:rsidRPr="00C70473">
        <w:rPr>
          <w:rFonts w:ascii="Arial" w:hAnsi="Arial" w:cs="Arial"/>
          <w:sz w:val="20"/>
          <w:szCs w:val="20"/>
        </w:rPr>
        <w:t>and that this backlog translates into unsolved cases. The Committee further raised concern about the caseload of d</w:t>
      </w:r>
      <w:r w:rsidR="005123B1" w:rsidRPr="00C70473">
        <w:rPr>
          <w:rFonts w:ascii="Arial" w:hAnsi="Arial" w:cs="Arial"/>
          <w:sz w:val="20"/>
          <w:szCs w:val="20"/>
        </w:rPr>
        <w:t xml:space="preserve">etectives </w:t>
      </w:r>
      <w:r w:rsidRPr="00C70473">
        <w:rPr>
          <w:rFonts w:ascii="Arial" w:hAnsi="Arial" w:cs="Arial"/>
          <w:sz w:val="20"/>
          <w:szCs w:val="20"/>
        </w:rPr>
        <w:t xml:space="preserve">and indicated that the caseloads on individual detectives are too high and cannot be properly investigated. The Committee further highlighted that fact that a guilty or not guilty verdict are highly dependent on the quality of investigations and that the quality must not be jeopardised due to insufficient personnel/detectives. </w:t>
      </w:r>
      <w:r w:rsidR="001058B3" w:rsidRPr="00C70473">
        <w:rPr>
          <w:rFonts w:ascii="Arial" w:hAnsi="Arial" w:cs="Arial"/>
          <w:sz w:val="20"/>
          <w:szCs w:val="20"/>
        </w:rPr>
        <w:t xml:space="preserve">The Department noted the concerns of the Committee and highlighted that the closure of cases is a priority of the Department and is receiving special attention. </w:t>
      </w:r>
      <w:r w:rsidRPr="00C70473">
        <w:rPr>
          <w:rFonts w:ascii="Arial" w:hAnsi="Arial" w:cs="Arial"/>
          <w:sz w:val="20"/>
          <w:szCs w:val="20"/>
        </w:rPr>
        <w:t xml:space="preserve">  </w:t>
      </w:r>
      <w:r w:rsidR="005123B1" w:rsidRPr="00C70473">
        <w:rPr>
          <w:rFonts w:ascii="Arial" w:hAnsi="Arial" w:cs="Arial"/>
          <w:sz w:val="20"/>
          <w:szCs w:val="20"/>
        </w:rPr>
        <w:t xml:space="preserve"> </w:t>
      </w:r>
    </w:p>
    <w:p w:rsidR="005123B1" w:rsidRPr="00C70473" w:rsidRDefault="005123B1" w:rsidP="00C70473">
      <w:pPr>
        <w:spacing w:after="0" w:line="240" w:lineRule="auto"/>
        <w:rPr>
          <w:rFonts w:ascii="Arial" w:hAnsi="Arial" w:cs="Arial"/>
          <w:sz w:val="20"/>
          <w:szCs w:val="20"/>
        </w:rPr>
      </w:pPr>
    </w:p>
    <w:p w:rsidR="005123B1" w:rsidRPr="00C70473" w:rsidRDefault="00676D45"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 xml:space="preserve">The Committee expressed concern on the continued backlog in the analysis of </w:t>
      </w:r>
      <w:r w:rsidR="005123B1" w:rsidRPr="00C70473">
        <w:rPr>
          <w:rFonts w:ascii="Arial" w:hAnsi="Arial" w:cs="Arial"/>
          <w:sz w:val="20"/>
          <w:szCs w:val="20"/>
        </w:rPr>
        <w:t xml:space="preserve">DNA </w:t>
      </w:r>
      <w:r w:rsidRPr="00C70473">
        <w:rPr>
          <w:rFonts w:ascii="Arial" w:hAnsi="Arial" w:cs="Arial"/>
          <w:sz w:val="20"/>
          <w:szCs w:val="20"/>
        </w:rPr>
        <w:t xml:space="preserve">case exhibits and that this is affecting the entire criminal justice system value chain and leading to a failure to bring perpetrators of gender-based violence and femicide (especially in rape cases) to account and securing justice for the victims of these crimes. The Committee requested the Department to provide the latest backlog in DNA case exhibits. </w:t>
      </w:r>
    </w:p>
    <w:p w:rsidR="00535AC9" w:rsidRPr="00C70473" w:rsidRDefault="00535AC9" w:rsidP="00C70473">
      <w:pPr>
        <w:pStyle w:val="ListParagraph"/>
        <w:spacing w:after="0" w:line="240" w:lineRule="auto"/>
        <w:rPr>
          <w:rFonts w:ascii="Arial" w:hAnsi="Arial" w:cs="Arial"/>
          <w:sz w:val="20"/>
          <w:szCs w:val="20"/>
        </w:rPr>
      </w:pPr>
    </w:p>
    <w:p w:rsidR="00535AC9" w:rsidRPr="00C70473" w:rsidRDefault="00535AC9" w:rsidP="00C70473">
      <w:pPr>
        <w:pStyle w:val="ListParagraph"/>
        <w:spacing w:after="0" w:line="240" w:lineRule="auto"/>
        <w:rPr>
          <w:rFonts w:ascii="Arial" w:hAnsi="Arial" w:cs="Arial"/>
          <w:sz w:val="20"/>
          <w:szCs w:val="20"/>
        </w:rPr>
      </w:pPr>
      <w:r w:rsidRPr="00C70473">
        <w:rPr>
          <w:rFonts w:ascii="Arial" w:hAnsi="Arial" w:cs="Arial"/>
          <w:sz w:val="20"/>
          <w:szCs w:val="20"/>
        </w:rPr>
        <w:t>The Minister indicated that specialists that have left the Department have been brought back to strengthen the capacity of the environment and allocations for overtime have been approved to increase productivity and working-hours to reduce the backlog in DNA analysis. The latest backlog is 84 000 case exhibits</w:t>
      </w:r>
      <w:r w:rsidR="004854C0" w:rsidRPr="00C70473">
        <w:rPr>
          <w:rFonts w:ascii="Arial" w:hAnsi="Arial" w:cs="Arial"/>
          <w:sz w:val="20"/>
          <w:szCs w:val="20"/>
        </w:rPr>
        <w:t>. The Department claimed that this backlog</w:t>
      </w:r>
      <w:r w:rsidRPr="00C70473">
        <w:rPr>
          <w:rFonts w:ascii="Arial" w:hAnsi="Arial" w:cs="Arial"/>
          <w:sz w:val="20"/>
          <w:szCs w:val="20"/>
        </w:rPr>
        <w:t xml:space="preserve"> will be addressed by December 2022 and will only deal with the daily supply of DNA case exhibits.</w:t>
      </w:r>
    </w:p>
    <w:p w:rsidR="005123B1" w:rsidRPr="00C70473" w:rsidRDefault="005123B1" w:rsidP="00C70473">
      <w:pPr>
        <w:spacing w:after="0" w:line="240" w:lineRule="auto"/>
        <w:rPr>
          <w:rFonts w:ascii="Arial" w:hAnsi="Arial" w:cs="Arial"/>
          <w:sz w:val="20"/>
          <w:szCs w:val="20"/>
        </w:rPr>
      </w:pPr>
    </w:p>
    <w:p w:rsidR="005123B1" w:rsidRPr="00C70473" w:rsidRDefault="00730A2F"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 xml:space="preserve">The Committee </w:t>
      </w:r>
      <w:r w:rsidR="007A04AA" w:rsidRPr="00C70473">
        <w:rPr>
          <w:rFonts w:ascii="Arial" w:hAnsi="Arial" w:cs="Arial"/>
          <w:sz w:val="20"/>
          <w:szCs w:val="20"/>
        </w:rPr>
        <w:t xml:space="preserve">questioned what </w:t>
      </w:r>
      <w:r w:rsidRPr="00C70473">
        <w:rPr>
          <w:rFonts w:ascii="Arial" w:hAnsi="Arial" w:cs="Arial"/>
          <w:sz w:val="20"/>
          <w:szCs w:val="20"/>
        </w:rPr>
        <w:t>cha</w:t>
      </w:r>
      <w:r w:rsidR="007A04AA" w:rsidRPr="00C70473">
        <w:rPr>
          <w:rFonts w:ascii="Arial" w:hAnsi="Arial" w:cs="Arial"/>
          <w:sz w:val="20"/>
          <w:szCs w:val="20"/>
        </w:rPr>
        <w:t>rges that were</w:t>
      </w:r>
      <w:r w:rsidRPr="00C70473">
        <w:rPr>
          <w:rFonts w:ascii="Arial" w:hAnsi="Arial" w:cs="Arial"/>
          <w:sz w:val="20"/>
          <w:szCs w:val="20"/>
        </w:rPr>
        <w:t xml:space="preserve"> brought against so-called </w:t>
      </w:r>
      <w:r w:rsidRPr="00C70473">
        <w:rPr>
          <w:rFonts w:ascii="Arial" w:hAnsi="Arial" w:cs="Arial"/>
          <w:i/>
          <w:sz w:val="20"/>
          <w:szCs w:val="20"/>
        </w:rPr>
        <w:t>z</w:t>
      </w:r>
      <w:r w:rsidR="005123B1" w:rsidRPr="00C70473">
        <w:rPr>
          <w:rFonts w:ascii="Arial" w:hAnsi="Arial" w:cs="Arial"/>
          <w:i/>
          <w:sz w:val="20"/>
          <w:szCs w:val="20"/>
        </w:rPr>
        <w:t xml:space="preserve">ama </w:t>
      </w:r>
      <w:r w:rsidRPr="00C70473">
        <w:rPr>
          <w:rFonts w:ascii="Arial" w:hAnsi="Arial" w:cs="Arial"/>
          <w:i/>
          <w:sz w:val="20"/>
          <w:szCs w:val="20"/>
        </w:rPr>
        <w:t>z</w:t>
      </w:r>
      <w:r w:rsidR="005123B1" w:rsidRPr="00C70473">
        <w:rPr>
          <w:rFonts w:ascii="Arial" w:hAnsi="Arial" w:cs="Arial"/>
          <w:i/>
          <w:sz w:val="20"/>
          <w:szCs w:val="20"/>
        </w:rPr>
        <w:t>ama’s</w:t>
      </w:r>
      <w:r w:rsidR="005123B1" w:rsidRPr="00C70473">
        <w:rPr>
          <w:rFonts w:ascii="Arial" w:hAnsi="Arial" w:cs="Arial"/>
          <w:sz w:val="20"/>
          <w:szCs w:val="20"/>
        </w:rPr>
        <w:t xml:space="preserve"> </w:t>
      </w:r>
      <w:r w:rsidR="009A35DC" w:rsidRPr="00C70473">
        <w:rPr>
          <w:rFonts w:ascii="Arial" w:hAnsi="Arial" w:cs="Arial"/>
          <w:sz w:val="20"/>
          <w:szCs w:val="20"/>
        </w:rPr>
        <w:t xml:space="preserve">or illegal miners </w:t>
      </w:r>
      <w:r w:rsidR="007A04AA" w:rsidRPr="00C70473">
        <w:rPr>
          <w:rFonts w:ascii="Arial" w:hAnsi="Arial" w:cs="Arial"/>
          <w:sz w:val="20"/>
          <w:szCs w:val="20"/>
        </w:rPr>
        <w:t>that w</w:t>
      </w:r>
      <w:r w:rsidR="004854C0" w:rsidRPr="00C70473">
        <w:rPr>
          <w:rFonts w:ascii="Arial" w:hAnsi="Arial" w:cs="Arial"/>
          <w:sz w:val="20"/>
          <w:szCs w:val="20"/>
        </w:rPr>
        <w:t>ere</w:t>
      </w:r>
      <w:r w:rsidR="007A04AA" w:rsidRPr="00C70473">
        <w:rPr>
          <w:rFonts w:ascii="Arial" w:hAnsi="Arial" w:cs="Arial"/>
          <w:sz w:val="20"/>
          <w:szCs w:val="20"/>
        </w:rPr>
        <w:t xml:space="preserve"> </w:t>
      </w:r>
      <w:r w:rsidR="005123B1" w:rsidRPr="00C70473">
        <w:rPr>
          <w:rFonts w:ascii="Arial" w:hAnsi="Arial" w:cs="Arial"/>
          <w:sz w:val="20"/>
          <w:szCs w:val="20"/>
        </w:rPr>
        <w:t>arrest</w:t>
      </w:r>
      <w:r w:rsidR="004854C0" w:rsidRPr="00C70473">
        <w:rPr>
          <w:rFonts w:ascii="Arial" w:hAnsi="Arial" w:cs="Arial"/>
          <w:sz w:val="20"/>
          <w:szCs w:val="20"/>
        </w:rPr>
        <w:t>ed</w:t>
      </w:r>
      <w:r w:rsidR="005123B1" w:rsidRPr="00C70473">
        <w:rPr>
          <w:rFonts w:ascii="Arial" w:hAnsi="Arial" w:cs="Arial"/>
          <w:sz w:val="20"/>
          <w:szCs w:val="20"/>
        </w:rPr>
        <w:t xml:space="preserve"> </w:t>
      </w:r>
      <w:r w:rsidR="007A04AA" w:rsidRPr="00C70473">
        <w:rPr>
          <w:rFonts w:ascii="Arial" w:hAnsi="Arial" w:cs="Arial"/>
          <w:sz w:val="20"/>
          <w:szCs w:val="20"/>
        </w:rPr>
        <w:t xml:space="preserve">in Stilfonein as there are rumours that the suspects were arrested on charges of conspiracy to commit robbery, despite many firearms being confiscated during the specific operations. </w:t>
      </w:r>
      <w:r w:rsidR="004E5289" w:rsidRPr="00C70473">
        <w:rPr>
          <w:rFonts w:ascii="Arial" w:hAnsi="Arial" w:cs="Arial"/>
          <w:sz w:val="20"/>
          <w:szCs w:val="20"/>
        </w:rPr>
        <w:t xml:space="preserve">The Directorate </w:t>
      </w:r>
      <w:r w:rsidR="001058B3" w:rsidRPr="00C70473">
        <w:rPr>
          <w:rFonts w:ascii="Arial" w:hAnsi="Arial" w:cs="Arial"/>
          <w:sz w:val="20"/>
          <w:szCs w:val="20"/>
        </w:rPr>
        <w:t xml:space="preserve">(DPCI) </w:t>
      </w:r>
      <w:r w:rsidR="004E5289" w:rsidRPr="00C70473">
        <w:rPr>
          <w:rFonts w:ascii="Arial" w:hAnsi="Arial" w:cs="Arial"/>
          <w:sz w:val="20"/>
          <w:szCs w:val="20"/>
        </w:rPr>
        <w:t>indicated that the suspects have not yet been arraigned</w:t>
      </w:r>
      <w:r w:rsidR="004854C0" w:rsidRPr="00C70473">
        <w:rPr>
          <w:rFonts w:ascii="Arial" w:hAnsi="Arial" w:cs="Arial"/>
          <w:sz w:val="20"/>
          <w:szCs w:val="20"/>
        </w:rPr>
        <w:t>, but that</w:t>
      </w:r>
      <w:r w:rsidR="004E5289" w:rsidRPr="00C70473">
        <w:rPr>
          <w:rFonts w:ascii="Arial" w:hAnsi="Arial" w:cs="Arial"/>
          <w:sz w:val="20"/>
          <w:szCs w:val="20"/>
        </w:rPr>
        <w:t xml:space="preserve"> preliminary charges include conspiracy to commit robbery</w:t>
      </w:r>
      <w:r w:rsidR="004854C0" w:rsidRPr="00C70473">
        <w:rPr>
          <w:rFonts w:ascii="Arial" w:hAnsi="Arial" w:cs="Arial"/>
          <w:sz w:val="20"/>
          <w:szCs w:val="20"/>
        </w:rPr>
        <w:t xml:space="preserve">, </w:t>
      </w:r>
      <w:r w:rsidR="004E5289" w:rsidRPr="00C70473">
        <w:rPr>
          <w:rFonts w:ascii="Arial" w:hAnsi="Arial" w:cs="Arial"/>
          <w:sz w:val="20"/>
          <w:szCs w:val="20"/>
        </w:rPr>
        <w:t>possession of illegal ammunition and firearms and contravention of the Immigration Act</w:t>
      </w:r>
      <w:r w:rsidR="004854C0" w:rsidRPr="00C70473">
        <w:rPr>
          <w:rFonts w:ascii="Arial" w:hAnsi="Arial" w:cs="Arial"/>
          <w:sz w:val="20"/>
          <w:szCs w:val="20"/>
        </w:rPr>
        <w:t>. A</w:t>
      </w:r>
      <w:r w:rsidR="004E5289" w:rsidRPr="00C70473">
        <w:rPr>
          <w:rFonts w:ascii="Arial" w:hAnsi="Arial" w:cs="Arial"/>
          <w:sz w:val="20"/>
          <w:szCs w:val="20"/>
        </w:rPr>
        <w:t xml:space="preserve">dditional charges </w:t>
      </w:r>
      <w:r w:rsidR="004854C0" w:rsidRPr="00C70473">
        <w:rPr>
          <w:rFonts w:ascii="Arial" w:hAnsi="Arial" w:cs="Arial"/>
          <w:sz w:val="20"/>
          <w:szCs w:val="20"/>
        </w:rPr>
        <w:t xml:space="preserve">may </w:t>
      </w:r>
      <w:r w:rsidR="004E5289" w:rsidRPr="00C70473">
        <w:rPr>
          <w:rFonts w:ascii="Arial" w:hAnsi="Arial" w:cs="Arial"/>
          <w:sz w:val="20"/>
          <w:szCs w:val="20"/>
        </w:rPr>
        <w:t xml:space="preserve">follow.  </w:t>
      </w:r>
      <w:r w:rsidR="007A04AA" w:rsidRPr="00C70473">
        <w:rPr>
          <w:rFonts w:ascii="Arial" w:hAnsi="Arial" w:cs="Arial"/>
          <w:sz w:val="20"/>
          <w:szCs w:val="20"/>
        </w:rPr>
        <w:t xml:space="preserve"> </w:t>
      </w:r>
    </w:p>
    <w:p w:rsidR="005123B1" w:rsidRPr="00C70473" w:rsidRDefault="005123B1" w:rsidP="00C70473">
      <w:pPr>
        <w:spacing w:after="0" w:line="240" w:lineRule="auto"/>
        <w:rPr>
          <w:rFonts w:ascii="Arial" w:hAnsi="Arial" w:cs="Arial"/>
          <w:sz w:val="20"/>
          <w:szCs w:val="20"/>
        </w:rPr>
      </w:pPr>
    </w:p>
    <w:p w:rsidR="005123B1" w:rsidRPr="00C70473" w:rsidRDefault="007A04AA"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The Committee raised concern about the l</w:t>
      </w:r>
      <w:r w:rsidR="005123B1" w:rsidRPr="00C70473">
        <w:rPr>
          <w:rFonts w:ascii="Arial" w:hAnsi="Arial" w:cs="Arial"/>
          <w:sz w:val="20"/>
          <w:szCs w:val="20"/>
        </w:rPr>
        <w:t xml:space="preserve">ack of response </w:t>
      </w:r>
      <w:r w:rsidRPr="00C70473">
        <w:rPr>
          <w:rFonts w:ascii="Arial" w:hAnsi="Arial" w:cs="Arial"/>
          <w:sz w:val="20"/>
          <w:szCs w:val="20"/>
        </w:rPr>
        <w:t xml:space="preserve">to telephone calls from Members to the </w:t>
      </w:r>
      <w:r w:rsidR="005123B1" w:rsidRPr="00C70473">
        <w:rPr>
          <w:rFonts w:ascii="Arial" w:hAnsi="Arial" w:cs="Arial"/>
          <w:sz w:val="20"/>
          <w:szCs w:val="20"/>
        </w:rPr>
        <w:t>National Commissioner</w:t>
      </w:r>
      <w:r w:rsidRPr="00C70473">
        <w:rPr>
          <w:rFonts w:ascii="Arial" w:hAnsi="Arial" w:cs="Arial"/>
          <w:sz w:val="20"/>
          <w:szCs w:val="20"/>
        </w:rPr>
        <w:t>.</w:t>
      </w:r>
      <w:r w:rsidR="005123B1" w:rsidRPr="00C70473">
        <w:rPr>
          <w:rFonts w:ascii="Arial" w:hAnsi="Arial" w:cs="Arial"/>
          <w:sz w:val="20"/>
          <w:szCs w:val="20"/>
        </w:rPr>
        <w:t xml:space="preserve"> </w:t>
      </w:r>
    </w:p>
    <w:p w:rsidR="005123B1" w:rsidRPr="00C70473" w:rsidRDefault="005123B1" w:rsidP="00C70473">
      <w:pPr>
        <w:spacing w:after="0" w:line="240" w:lineRule="auto"/>
        <w:rPr>
          <w:rFonts w:ascii="Arial" w:hAnsi="Arial" w:cs="Arial"/>
          <w:sz w:val="20"/>
          <w:szCs w:val="20"/>
        </w:rPr>
      </w:pPr>
    </w:p>
    <w:p w:rsidR="005123B1" w:rsidRPr="00C70473" w:rsidRDefault="007A04AA"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The Committee noted that a collaborative approach is needed to address i</w:t>
      </w:r>
      <w:r w:rsidR="005123B1" w:rsidRPr="00C70473">
        <w:rPr>
          <w:rFonts w:ascii="Arial" w:hAnsi="Arial" w:cs="Arial"/>
          <w:sz w:val="20"/>
          <w:szCs w:val="20"/>
        </w:rPr>
        <w:t xml:space="preserve">llegal mining </w:t>
      </w:r>
      <w:r w:rsidRPr="00C70473">
        <w:rPr>
          <w:rFonts w:ascii="Arial" w:hAnsi="Arial" w:cs="Arial"/>
          <w:sz w:val="20"/>
          <w:szCs w:val="20"/>
        </w:rPr>
        <w:t>in South A</w:t>
      </w:r>
      <w:r w:rsidR="00343D6E" w:rsidRPr="00C70473">
        <w:rPr>
          <w:rFonts w:ascii="Arial" w:hAnsi="Arial" w:cs="Arial"/>
          <w:sz w:val="20"/>
          <w:szCs w:val="20"/>
        </w:rPr>
        <w:t>frica and proposed t</w:t>
      </w:r>
      <w:r w:rsidRPr="00C70473">
        <w:rPr>
          <w:rFonts w:ascii="Arial" w:hAnsi="Arial" w:cs="Arial"/>
          <w:sz w:val="20"/>
          <w:szCs w:val="20"/>
        </w:rPr>
        <w:t xml:space="preserve">hat the </w:t>
      </w:r>
      <w:r w:rsidR="005123B1" w:rsidRPr="00C70473">
        <w:rPr>
          <w:rFonts w:ascii="Arial" w:hAnsi="Arial" w:cs="Arial"/>
          <w:sz w:val="20"/>
          <w:szCs w:val="20"/>
        </w:rPr>
        <w:t>S</w:t>
      </w:r>
      <w:r w:rsidRPr="00C70473">
        <w:rPr>
          <w:rFonts w:ascii="Arial" w:hAnsi="Arial" w:cs="Arial"/>
          <w:sz w:val="20"/>
          <w:szCs w:val="20"/>
        </w:rPr>
        <w:t xml:space="preserve">outh African National Defence Force (SANDF) should be involved in operations to address illegal mining. </w:t>
      </w:r>
    </w:p>
    <w:p w:rsidR="00343D6E" w:rsidRPr="00C70473" w:rsidRDefault="00343D6E" w:rsidP="00C70473">
      <w:pPr>
        <w:pStyle w:val="ListParagraph"/>
        <w:spacing w:after="0" w:line="240" w:lineRule="auto"/>
        <w:rPr>
          <w:rFonts w:ascii="Arial" w:hAnsi="Arial" w:cs="Arial"/>
          <w:sz w:val="20"/>
          <w:szCs w:val="20"/>
        </w:rPr>
      </w:pPr>
    </w:p>
    <w:p w:rsidR="00343D6E" w:rsidRPr="00C70473" w:rsidRDefault="00343D6E" w:rsidP="00C70473">
      <w:pPr>
        <w:pStyle w:val="ListParagraph"/>
        <w:spacing w:after="0" w:line="240" w:lineRule="auto"/>
        <w:rPr>
          <w:rFonts w:ascii="Arial" w:hAnsi="Arial" w:cs="Arial"/>
          <w:sz w:val="20"/>
          <w:szCs w:val="20"/>
        </w:rPr>
      </w:pPr>
      <w:r w:rsidRPr="00C70473">
        <w:rPr>
          <w:rFonts w:ascii="Arial" w:hAnsi="Arial" w:cs="Arial"/>
          <w:sz w:val="20"/>
          <w:szCs w:val="20"/>
        </w:rPr>
        <w:t>The Minister of Police acknowledged that the SAPS cannot deal with illegal mining in isolation from other Departments, especially the Department of Home Affairs</w:t>
      </w:r>
      <w:r w:rsidR="004854C0" w:rsidRPr="00C70473">
        <w:rPr>
          <w:rFonts w:ascii="Arial" w:hAnsi="Arial" w:cs="Arial"/>
          <w:sz w:val="20"/>
          <w:szCs w:val="20"/>
        </w:rPr>
        <w:t>,</w:t>
      </w:r>
      <w:r w:rsidRPr="00C70473">
        <w:rPr>
          <w:rFonts w:ascii="Arial" w:hAnsi="Arial" w:cs="Arial"/>
          <w:sz w:val="20"/>
          <w:szCs w:val="20"/>
        </w:rPr>
        <w:t xml:space="preserve"> to address challenges with illegal immigra</w:t>
      </w:r>
      <w:r w:rsidR="004854C0" w:rsidRPr="00C70473">
        <w:rPr>
          <w:rFonts w:ascii="Arial" w:hAnsi="Arial" w:cs="Arial"/>
          <w:sz w:val="20"/>
          <w:szCs w:val="20"/>
        </w:rPr>
        <w:t>tion</w:t>
      </w:r>
      <w:r w:rsidRPr="00C70473">
        <w:rPr>
          <w:rFonts w:ascii="Arial" w:hAnsi="Arial" w:cs="Arial"/>
          <w:sz w:val="20"/>
          <w:szCs w:val="20"/>
        </w:rPr>
        <w:t xml:space="preserve"> and </w:t>
      </w:r>
      <w:r w:rsidR="00B546B1" w:rsidRPr="00C70473">
        <w:rPr>
          <w:rFonts w:ascii="Arial" w:hAnsi="Arial" w:cs="Arial"/>
          <w:sz w:val="20"/>
          <w:szCs w:val="20"/>
        </w:rPr>
        <w:t xml:space="preserve">the Department of Defence in </w:t>
      </w:r>
      <w:r w:rsidR="004854C0" w:rsidRPr="00C70473">
        <w:rPr>
          <w:rFonts w:ascii="Arial" w:hAnsi="Arial" w:cs="Arial"/>
          <w:sz w:val="20"/>
          <w:szCs w:val="20"/>
        </w:rPr>
        <w:t xml:space="preserve">terms of </w:t>
      </w:r>
      <w:r w:rsidR="00B546B1" w:rsidRPr="00C70473">
        <w:rPr>
          <w:rFonts w:ascii="Arial" w:hAnsi="Arial" w:cs="Arial"/>
          <w:sz w:val="20"/>
          <w:szCs w:val="20"/>
        </w:rPr>
        <w:t xml:space="preserve">border patrols. The Minister indicated that the </w:t>
      </w:r>
      <w:r w:rsidRPr="00C70473">
        <w:rPr>
          <w:rFonts w:ascii="Arial" w:hAnsi="Arial" w:cs="Arial"/>
          <w:sz w:val="20"/>
          <w:szCs w:val="20"/>
        </w:rPr>
        <w:t>Department of Mineral Resources and Energy</w:t>
      </w:r>
      <w:r w:rsidR="00B546B1" w:rsidRPr="00C70473">
        <w:rPr>
          <w:rFonts w:ascii="Arial" w:hAnsi="Arial" w:cs="Arial"/>
          <w:sz w:val="20"/>
          <w:szCs w:val="20"/>
        </w:rPr>
        <w:t xml:space="preserve"> is key to addressing illegal mining</w:t>
      </w:r>
      <w:r w:rsidR="004854C0" w:rsidRPr="00C70473">
        <w:rPr>
          <w:rFonts w:ascii="Arial" w:hAnsi="Arial" w:cs="Arial"/>
          <w:sz w:val="20"/>
          <w:szCs w:val="20"/>
        </w:rPr>
        <w:t>,</w:t>
      </w:r>
      <w:r w:rsidRPr="00C70473">
        <w:rPr>
          <w:rFonts w:ascii="Arial" w:hAnsi="Arial" w:cs="Arial"/>
          <w:sz w:val="20"/>
          <w:szCs w:val="20"/>
        </w:rPr>
        <w:t xml:space="preserve"> to rehabilitate mines and close disused mine shafts. </w:t>
      </w:r>
      <w:r w:rsidR="00110C60" w:rsidRPr="00C70473">
        <w:rPr>
          <w:rFonts w:ascii="Arial" w:hAnsi="Arial" w:cs="Arial"/>
          <w:sz w:val="20"/>
          <w:szCs w:val="20"/>
        </w:rPr>
        <w:t>The Minister indicated that there are approximately 6 000 such mine shafts across South Africa.</w:t>
      </w:r>
      <w:r w:rsidR="00C92758" w:rsidRPr="00C70473">
        <w:rPr>
          <w:rFonts w:ascii="Arial" w:hAnsi="Arial" w:cs="Arial"/>
          <w:sz w:val="20"/>
          <w:szCs w:val="20"/>
        </w:rPr>
        <w:t xml:space="preserve"> </w:t>
      </w:r>
      <w:r w:rsidRPr="00C70473">
        <w:rPr>
          <w:rFonts w:ascii="Arial" w:hAnsi="Arial" w:cs="Arial"/>
          <w:sz w:val="20"/>
          <w:szCs w:val="20"/>
        </w:rPr>
        <w:t xml:space="preserve"> </w:t>
      </w:r>
    </w:p>
    <w:p w:rsidR="005123B1" w:rsidRPr="00C70473" w:rsidRDefault="005123B1" w:rsidP="00C70473">
      <w:pPr>
        <w:spacing w:after="0" w:line="240" w:lineRule="auto"/>
        <w:rPr>
          <w:rFonts w:ascii="Arial" w:hAnsi="Arial" w:cs="Arial"/>
          <w:sz w:val="20"/>
          <w:szCs w:val="20"/>
        </w:rPr>
      </w:pPr>
    </w:p>
    <w:p w:rsidR="005123B1" w:rsidRPr="00C70473" w:rsidRDefault="007A04AA" w:rsidP="00C70473">
      <w:pPr>
        <w:pStyle w:val="ListParagraph"/>
        <w:numPr>
          <w:ilvl w:val="0"/>
          <w:numId w:val="117"/>
        </w:numPr>
        <w:spacing w:after="0" w:line="240" w:lineRule="auto"/>
        <w:rPr>
          <w:rFonts w:ascii="Arial" w:hAnsi="Arial" w:cs="Arial"/>
          <w:sz w:val="20"/>
          <w:szCs w:val="20"/>
        </w:rPr>
      </w:pPr>
      <w:r w:rsidRPr="00C70473">
        <w:rPr>
          <w:rFonts w:ascii="Arial" w:hAnsi="Arial" w:cs="Arial"/>
          <w:sz w:val="20"/>
          <w:szCs w:val="20"/>
        </w:rPr>
        <w:t xml:space="preserve">The Committee raised concern about a lawyer allegedly carrying large sums of cash (R250 000.00) to pay bail for illegal miners that </w:t>
      </w:r>
      <w:r w:rsidR="004854C0" w:rsidRPr="00C70473">
        <w:rPr>
          <w:rFonts w:ascii="Arial" w:hAnsi="Arial" w:cs="Arial"/>
          <w:sz w:val="20"/>
          <w:szCs w:val="20"/>
        </w:rPr>
        <w:t xml:space="preserve">were </w:t>
      </w:r>
      <w:r w:rsidRPr="00C70473">
        <w:rPr>
          <w:rFonts w:ascii="Arial" w:hAnsi="Arial" w:cs="Arial"/>
          <w:sz w:val="20"/>
          <w:szCs w:val="20"/>
        </w:rPr>
        <w:t xml:space="preserve">arrested in Mpumalanga. </w:t>
      </w:r>
      <w:r w:rsidR="0025395D" w:rsidRPr="00C70473">
        <w:rPr>
          <w:rFonts w:ascii="Arial" w:hAnsi="Arial" w:cs="Arial"/>
          <w:sz w:val="20"/>
          <w:szCs w:val="20"/>
        </w:rPr>
        <w:t>The Provincial Commissioner of Mpumalanga did not have knowledge of this</w:t>
      </w:r>
      <w:r w:rsidR="004854C0" w:rsidRPr="00C70473">
        <w:rPr>
          <w:rFonts w:ascii="Arial" w:hAnsi="Arial" w:cs="Arial"/>
          <w:sz w:val="20"/>
          <w:szCs w:val="20"/>
        </w:rPr>
        <w:t xml:space="preserve">, but noted that </w:t>
      </w:r>
      <w:r w:rsidR="0025395D" w:rsidRPr="00C70473">
        <w:rPr>
          <w:rFonts w:ascii="Arial" w:hAnsi="Arial" w:cs="Arial"/>
          <w:sz w:val="20"/>
          <w:szCs w:val="20"/>
        </w:rPr>
        <w:t xml:space="preserve">the allegations will be investigated. </w:t>
      </w:r>
      <w:r w:rsidR="00DE7474" w:rsidRPr="00C70473">
        <w:rPr>
          <w:rFonts w:ascii="Arial" w:hAnsi="Arial" w:cs="Arial"/>
          <w:sz w:val="20"/>
          <w:szCs w:val="20"/>
        </w:rPr>
        <w:t xml:space="preserve">However, the Minister questioned whether it is a crime in itself to carry large sums of cash. The Committee questioned whether the </w:t>
      </w:r>
      <w:r w:rsidR="005123B1" w:rsidRPr="00C70473">
        <w:rPr>
          <w:rFonts w:ascii="Arial" w:hAnsi="Arial" w:cs="Arial"/>
          <w:sz w:val="20"/>
          <w:szCs w:val="20"/>
        </w:rPr>
        <w:t>F</w:t>
      </w:r>
      <w:r w:rsidR="00DE7474" w:rsidRPr="00C70473">
        <w:rPr>
          <w:rFonts w:ascii="Arial" w:hAnsi="Arial" w:cs="Arial"/>
          <w:sz w:val="20"/>
          <w:szCs w:val="20"/>
        </w:rPr>
        <w:t xml:space="preserve">inancial </w:t>
      </w:r>
      <w:r w:rsidR="005123B1" w:rsidRPr="00C70473">
        <w:rPr>
          <w:rFonts w:ascii="Arial" w:hAnsi="Arial" w:cs="Arial"/>
          <w:sz w:val="20"/>
          <w:szCs w:val="20"/>
        </w:rPr>
        <w:t>I</w:t>
      </w:r>
      <w:r w:rsidR="00DE7474" w:rsidRPr="00C70473">
        <w:rPr>
          <w:rFonts w:ascii="Arial" w:hAnsi="Arial" w:cs="Arial"/>
          <w:sz w:val="20"/>
          <w:szCs w:val="20"/>
        </w:rPr>
        <w:t xml:space="preserve">ntelligence </w:t>
      </w:r>
      <w:r w:rsidR="005123B1" w:rsidRPr="00C70473">
        <w:rPr>
          <w:rFonts w:ascii="Arial" w:hAnsi="Arial" w:cs="Arial"/>
          <w:sz w:val="20"/>
          <w:szCs w:val="20"/>
        </w:rPr>
        <w:t>C</w:t>
      </w:r>
      <w:r w:rsidR="00DE7474" w:rsidRPr="00C70473">
        <w:rPr>
          <w:rFonts w:ascii="Arial" w:hAnsi="Arial" w:cs="Arial"/>
          <w:sz w:val="20"/>
          <w:szCs w:val="20"/>
        </w:rPr>
        <w:t xml:space="preserve">entre Act, </w:t>
      </w:r>
      <w:r w:rsidR="00DE7474" w:rsidRPr="00C70473">
        <w:rPr>
          <w:rFonts w:ascii="Arial" w:hAnsi="Arial" w:cs="Arial"/>
          <w:sz w:val="20"/>
          <w:szCs w:val="20"/>
        </w:rPr>
        <w:lastRenderedPageBreak/>
        <w:t>2001 (No 38 of 2001)</w:t>
      </w:r>
      <w:r w:rsidR="005123B1" w:rsidRPr="00C70473">
        <w:rPr>
          <w:rFonts w:ascii="Arial" w:hAnsi="Arial" w:cs="Arial"/>
          <w:sz w:val="20"/>
          <w:szCs w:val="20"/>
        </w:rPr>
        <w:t xml:space="preserve"> </w:t>
      </w:r>
      <w:r w:rsidR="00DE7474" w:rsidRPr="00C70473">
        <w:rPr>
          <w:rFonts w:ascii="Arial" w:hAnsi="Arial" w:cs="Arial"/>
          <w:sz w:val="20"/>
          <w:szCs w:val="20"/>
        </w:rPr>
        <w:t xml:space="preserve">are not used </w:t>
      </w:r>
      <w:r w:rsidR="004854C0" w:rsidRPr="00C70473">
        <w:rPr>
          <w:rFonts w:ascii="Arial" w:hAnsi="Arial" w:cs="Arial"/>
          <w:sz w:val="20"/>
          <w:szCs w:val="20"/>
        </w:rPr>
        <w:t xml:space="preserve">as </w:t>
      </w:r>
      <w:r w:rsidR="00DE7474" w:rsidRPr="00C70473">
        <w:rPr>
          <w:rFonts w:ascii="Arial" w:hAnsi="Arial" w:cs="Arial"/>
          <w:sz w:val="20"/>
          <w:szCs w:val="20"/>
        </w:rPr>
        <w:t xml:space="preserve">a key piece of legislation to investigate serious allegations of money-laundering. </w:t>
      </w:r>
      <w:r w:rsidR="005123B1" w:rsidRPr="00C70473">
        <w:rPr>
          <w:rFonts w:ascii="Arial" w:hAnsi="Arial" w:cs="Arial"/>
          <w:sz w:val="20"/>
          <w:szCs w:val="20"/>
        </w:rPr>
        <w:t xml:space="preserve"> </w:t>
      </w:r>
    </w:p>
    <w:p w:rsidR="00D3612D" w:rsidRPr="00C70473" w:rsidRDefault="00D3612D" w:rsidP="00C70473">
      <w:pPr>
        <w:spacing w:after="0" w:line="240" w:lineRule="auto"/>
        <w:rPr>
          <w:rFonts w:ascii="Arial" w:hAnsi="Arial" w:cs="Arial"/>
          <w:sz w:val="20"/>
          <w:szCs w:val="20"/>
        </w:rPr>
      </w:pPr>
    </w:p>
    <w:p w:rsidR="00D3612D" w:rsidRPr="00C70473" w:rsidRDefault="00D3612D" w:rsidP="00C70473">
      <w:pPr>
        <w:pStyle w:val="Heading1"/>
        <w:numPr>
          <w:ilvl w:val="0"/>
          <w:numId w:val="66"/>
        </w:numPr>
        <w:spacing w:before="0" w:line="240" w:lineRule="auto"/>
        <w:jc w:val="left"/>
        <w:rPr>
          <w:rFonts w:ascii="Arial" w:eastAsia="Calibri" w:hAnsi="Arial" w:cs="Arial"/>
          <w:sz w:val="20"/>
          <w:szCs w:val="20"/>
        </w:rPr>
      </w:pPr>
      <w:r w:rsidRPr="00C70473">
        <w:rPr>
          <w:rFonts w:ascii="Arial" w:eastAsia="Calibri" w:hAnsi="Arial" w:cs="Arial"/>
          <w:sz w:val="20"/>
          <w:szCs w:val="20"/>
        </w:rPr>
        <w:t>COMMITTEE RECOMMENDATIONS</w:t>
      </w:r>
      <w:r w:rsidR="00D717C6" w:rsidRPr="00C70473">
        <w:rPr>
          <w:rFonts w:ascii="Arial" w:eastAsia="Calibri" w:hAnsi="Arial" w:cs="Arial"/>
          <w:sz w:val="20"/>
          <w:szCs w:val="20"/>
        </w:rPr>
        <w:t xml:space="preserve"> and reporting requirements</w:t>
      </w:r>
    </w:p>
    <w:p w:rsidR="00D3612D" w:rsidRPr="00C70473" w:rsidRDefault="00D3612D" w:rsidP="00C70473">
      <w:pPr>
        <w:spacing w:after="0" w:line="240" w:lineRule="auto"/>
        <w:rPr>
          <w:rFonts w:ascii="Arial" w:eastAsia="Calibri" w:hAnsi="Arial" w:cs="Arial"/>
          <w:sz w:val="20"/>
          <w:szCs w:val="20"/>
        </w:rPr>
      </w:pPr>
    </w:p>
    <w:p w:rsidR="00D3612D" w:rsidRPr="00C70473" w:rsidRDefault="00D3612D" w:rsidP="00C70473">
      <w:pPr>
        <w:spacing w:after="0" w:line="240" w:lineRule="auto"/>
        <w:rPr>
          <w:rFonts w:ascii="Arial" w:eastAsia="Calibri" w:hAnsi="Arial" w:cs="Arial"/>
          <w:i/>
          <w:sz w:val="20"/>
          <w:szCs w:val="20"/>
        </w:rPr>
      </w:pPr>
      <w:r w:rsidRPr="00C70473">
        <w:rPr>
          <w:rFonts w:ascii="Arial" w:eastAsia="Calibri" w:hAnsi="Arial" w:cs="Arial"/>
          <w:i/>
          <w:sz w:val="20"/>
          <w:szCs w:val="20"/>
        </w:rPr>
        <w:t xml:space="preserve">Note: Recommendations must adhere to the SMART principle in being specific, measurable, achievable, relevant and time-bound. This enables the Committee to track progress and identify missed milestones. </w:t>
      </w:r>
    </w:p>
    <w:p w:rsidR="00D3612D" w:rsidRPr="00C70473" w:rsidRDefault="00D3612D" w:rsidP="00C70473">
      <w:pPr>
        <w:spacing w:after="0" w:line="240" w:lineRule="auto"/>
        <w:rPr>
          <w:rFonts w:ascii="Arial" w:eastAsia="Calibri" w:hAnsi="Arial" w:cs="Arial"/>
          <w:sz w:val="20"/>
          <w:szCs w:val="20"/>
        </w:rPr>
      </w:pPr>
    </w:p>
    <w:p w:rsidR="00D3612D" w:rsidRPr="00C70473" w:rsidRDefault="00D3612D" w:rsidP="00C70473">
      <w:pPr>
        <w:pStyle w:val="Heading2"/>
        <w:numPr>
          <w:ilvl w:val="1"/>
          <w:numId w:val="66"/>
        </w:numPr>
        <w:spacing w:before="0" w:line="240" w:lineRule="auto"/>
        <w:rPr>
          <w:rFonts w:ascii="Arial" w:eastAsia="Calibri" w:hAnsi="Arial" w:cs="Arial"/>
          <w:sz w:val="20"/>
          <w:szCs w:val="20"/>
        </w:rPr>
      </w:pPr>
      <w:r w:rsidRPr="00C70473">
        <w:rPr>
          <w:rFonts w:ascii="Arial" w:eastAsia="Calibri" w:hAnsi="Arial" w:cs="Arial"/>
          <w:sz w:val="20"/>
          <w:szCs w:val="20"/>
        </w:rPr>
        <w:t xml:space="preserve">Recommendations </w:t>
      </w:r>
      <w:r w:rsidR="0042363C" w:rsidRPr="00C70473">
        <w:rPr>
          <w:rFonts w:ascii="Arial" w:eastAsia="Calibri" w:hAnsi="Arial" w:cs="Arial"/>
          <w:sz w:val="20"/>
          <w:szCs w:val="20"/>
        </w:rPr>
        <w:t>to National Treasury</w:t>
      </w:r>
      <w:r w:rsidRPr="00C70473">
        <w:rPr>
          <w:rFonts w:ascii="Arial" w:eastAsia="Calibri" w:hAnsi="Arial" w:cs="Arial"/>
          <w:sz w:val="20"/>
          <w:szCs w:val="20"/>
        </w:rPr>
        <w:t xml:space="preserve"> </w:t>
      </w:r>
    </w:p>
    <w:p w:rsidR="00D3612D" w:rsidRPr="00C70473" w:rsidRDefault="00D3612D" w:rsidP="00C70473">
      <w:pPr>
        <w:spacing w:after="0" w:line="240" w:lineRule="auto"/>
        <w:rPr>
          <w:rFonts w:ascii="Arial" w:eastAsia="Calibri" w:hAnsi="Arial" w:cs="Arial"/>
          <w:sz w:val="20"/>
          <w:szCs w:val="20"/>
        </w:rPr>
      </w:pPr>
    </w:p>
    <w:p w:rsidR="00D3612D" w:rsidRPr="00C70473" w:rsidRDefault="00D3612D" w:rsidP="00C70473">
      <w:pPr>
        <w:spacing w:after="0" w:line="240" w:lineRule="auto"/>
        <w:rPr>
          <w:rFonts w:ascii="Arial" w:eastAsia="Calibri" w:hAnsi="Arial" w:cs="Arial"/>
          <w:sz w:val="20"/>
          <w:szCs w:val="20"/>
        </w:rPr>
      </w:pPr>
      <w:r w:rsidRPr="00C70473">
        <w:rPr>
          <w:rFonts w:ascii="Arial" w:eastAsia="Calibri" w:hAnsi="Arial" w:cs="Arial"/>
          <w:sz w:val="20"/>
          <w:szCs w:val="20"/>
        </w:rPr>
        <w:t xml:space="preserve">The Committee recommends the following: </w:t>
      </w:r>
    </w:p>
    <w:p w:rsidR="00D3612D" w:rsidRPr="00C70473" w:rsidRDefault="006F53A5" w:rsidP="00C70473">
      <w:pPr>
        <w:pStyle w:val="ListParagraph"/>
        <w:numPr>
          <w:ilvl w:val="0"/>
          <w:numId w:val="121"/>
        </w:numPr>
        <w:spacing w:after="0" w:line="240" w:lineRule="auto"/>
        <w:rPr>
          <w:rFonts w:ascii="Arial" w:hAnsi="Arial" w:cs="Arial"/>
          <w:sz w:val="20"/>
          <w:szCs w:val="20"/>
        </w:rPr>
      </w:pPr>
      <w:r w:rsidRPr="00C70473">
        <w:rPr>
          <w:rFonts w:ascii="Arial" w:hAnsi="Arial" w:cs="Arial"/>
          <w:sz w:val="20"/>
          <w:szCs w:val="20"/>
        </w:rPr>
        <w:t xml:space="preserve">The Committee recommends </w:t>
      </w:r>
      <w:r w:rsidR="00602652" w:rsidRPr="00C70473">
        <w:rPr>
          <w:rFonts w:ascii="Arial" w:hAnsi="Arial" w:cs="Arial"/>
          <w:sz w:val="20"/>
          <w:szCs w:val="20"/>
        </w:rPr>
        <w:t xml:space="preserve">that National Treasury review its decision to disallow the recruitment of additional personnel and that the Department should be adequately resourced, especially in terms of personnel, to execute their mandate. </w:t>
      </w:r>
      <w:r w:rsidR="004172CA" w:rsidRPr="00C70473">
        <w:rPr>
          <w:rFonts w:ascii="Arial" w:hAnsi="Arial" w:cs="Arial"/>
          <w:sz w:val="20"/>
          <w:szCs w:val="20"/>
        </w:rPr>
        <w:t xml:space="preserve">It is recommended that 10 000 recruits be allowed for the 2023/24 financial year. </w:t>
      </w:r>
    </w:p>
    <w:p w:rsidR="004172CA" w:rsidRPr="00C70473" w:rsidRDefault="000F4D3A" w:rsidP="00C70473">
      <w:pPr>
        <w:pStyle w:val="ListParagraph"/>
        <w:numPr>
          <w:ilvl w:val="0"/>
          <w:numId w:val="121"/>
        </w:numPr>
        <w:spacing w:after="0" w:line="240" w:lineRule="auto"/>
        <w:rPr>
          <w:rFonts w:ascii="Arial" w:hAnsi="Arial" w:cs="Arial"/>
          <w:sz w:val="20"/>
          <w:szCs w:val="20"/>
        </w:rPr>
      </w:pPr>
      <w:r w:rsidRPr="00C70473">
        <w:rPr>
          <w:rFonts w:ascii="Arial" w:hAnsi="Arial" w:cs="Arial"/>
          <w:sz w:val="20"/>
          <w:szCs w:val="20"/>
        </w:rPr>
        <w:t>The Committee recommends that National Treasury should increase the budget of the Department to employ additional personnel, especially qualified and skilled detectives. National Treasury could consider ring-fencing this funding to ensure that it is spent as intended.</w:t>
      </w:r>
    </w:p>
    <w:p w:rsidR="000F4D3A" w:rsidRPr="00C70473" w:rsidRDefault="004172CA" w:rsidP="00C70473">
      <w:pPr>
        <w:pStyle w:val="ListParagraph"/>
        <w:numPr>
          <w:ilvl w:val="0"/>
          <w:numId w:val="121"/>
        </w:numPr>
        <w:spacing w:after="0" w:line="240" w:lineRule="auto"/>
        <w:rPr>
          <w:rFonts w:ascii="Arial" w:hAnsi="Arial" w:cs="Arial"/>
          <w:sz w:val="20"/>
          <w:szCs w:val="20"/>
        </w:rPr>
      </w:pPr>
      <w:r w:rsidRPr="00C70473">
        <w:rPr>
          <w:rFonts w:ascii="Arial" w:hAnsi="Arial" w:cs="Arial"/>
          <w:sz w:val="20"/>
          <w:szCs w:val="20"/>
        </w:rPr>
        <w:t xml:space="preserve">The Committee further recommends that ring fenced funds should be made available to adjust the service allowances of detectives to retain skilled personnel and attract new detectives. </w:t>
      </w:r>
      <w:r w:rsidR="000F4D3A" w:rsidRPr="00C70473">
        <w:rPr>
          <w:rFonts w:ascii="Arial" w:hAnsi="Arial" w:cs="Arial"/>
          <w:sz w:val="20"/>
          <w:szCs w:val="20"/>
        </w:rPr>
        <w:t xml:space="preserve">  </w:t>
      </w:r>
    </w:p>
    <w:p w:rsidR="006F53A5" w:rsidRPr="00C70473" w:rsidRDefault="006F53A5" w:rsidP="00C70473">
      <w:pPr>
        <w:spacing w:after="0" w:line="240" w:lineRule="auto"/>
        <w:rPr>
          <w:rFonts w:ascii="Arial" w:hAnsi="Arial" w:cs="Arial"/>
          <w:sz w:val="20"/>
          <w:szCs w:val="20"/>
        </w:rPr>
      </w:pPr>
    </w:p>
    <w:p w:rsidR="00D3612D" w:rsidRPr="00C70473" w:rsidRDefault="00D3612D" w:rsidP="00C70473">
      <w:pPr>
        <w:pStyle w:val="Heading2"/>
        <w:numPr>
          <w:ilvl w:val="1"/>
          <w:numId w:val="66"/>
        </w:numPr>
        <w:spacing w:before="0" w:line="240" w:lineRule="auto"/>
        <w:rPr>
          <w:rFonts w:ascii="Arial" w:eastAsia="Calibri" w:hAnsi="Arial" w:cs="Arial"/>
          <w:sz w:val="20"/>
          <w:szCs w:val="20"/>
        </w:rPr>
      </w:pPr>
      <w:r w:rsidRPr="00C70473">
        <w:rPr>
          <w:rFonts w:ascii="Arial" w:eastAsia="Calibri" w:hAnsi="Arial" w:cs="Arial"/>
          <w:sz w:val="20"/>
          <w:szCs w:val="20"/>
        </w:rPr>
        <w:t xml:space="preserve">Recommendations on service delivery performance </w:t>
      </w:r>
    </w:p>
    <w:p w:rsidR="001902F8" w:rsidRPr="00C70473" w:rsidRDefault="001902F8" w:rsidP="00C70473">
      <w:pPr>
        <w:spacing w:after="0" w:line="240" w:lineRule="auto"/>
        <w:rPr>
          <w:rFonts w:ascii="Arial" w:hAnsi="Arial" w:cs="Arial"/>
          <w:sz w:val="20"/>
          <w:szCs w:val="20"/>
        </w:rPr>
      </w:pPr>
    </w:p>
    <w:p w:rsidR="00D3612D" w:rsidRPr="00C70473" w:rsidRDefault="00D3612D" w:rsidP="00C70473">
      <w:pPr>
        <w:spacing w:after="0" w:line="240" w:lineRule="auto"/>
        <w:rPr>
          <w:rFonts w:ascii="Arial" w:eastAsia="Calibri" w:hAnsi="Arial" w:cs="Arial"/>
          <w:sz w:val="20"/>
          <w:szCs w:val="20"/>
        </w:rPr>
      </w:pPr>
      <w:r w:rsidRPr="00C70473">
        <w:rPr>
          <w:rFonts w:ascii="Arial" w:eastAsia="Calibri" w:hAnsi="Arial" w:cs="Arial"/>
          <w:sz w:val="20"/>
          <w:szCs w:val="20"/>
        </w:rPr>
        <w:t xml:space="preserve">The Committee recommends the following: </w:t>
      </w:r>
    </w:p>
    <w:p w:rsidR="00126469" w:rsidRPr="00C70473" w:rsidRDefault="005A5C35" w:rsidP="00C70473">
      <w:pPr>
        <w:pStyle w:val="ListParagraph"/>
        <w:numPr>
          <w:ilvl w:val="0"/>
          <w:numId w:val="119"/>
        </w:numPr>
        <w:spacing w:after="0" w:line="240" w:lineRule="auto"/>
        <w:rPr>
          <w:rFonts w:ascii="Arial" w:hAnsi="Arial" w:cs="Arial"/>
          <w:sz w:val="20"/>
          <w:szCs w:val="20"/>
        </w:rPr>
      </w:pPr>
      <w:r w:rsidRPr="00C70473">
        <w:rPr>
          <w:rFonts w:ascii="Arial" w:hAnsi="Arial" w:cs="Arial"/>
          <w:sz w:val="20"/>
          <w:szCs w:val="20"/>
        </w:rPr>
        <w:t xml:space="preserve">The Committee recommends </w:t>
      </w:r>
      <w:r w:rsidR="00126469" w:rsidRPr="00C70473">
        <w:rPr>
          <w:rFonts w:ascii="Arial" w:hAnsi="Arial" w:cs="Arial"/>
          <w:sz w:val="20"/>
          <w:szCs w:val="20"/>
        </w:rPr>
        <w:t xml:space="preserve">that the Department should review, refine and reduce their annual performance indicators to focus on apex priorities and the achievement of the Department’s Constitutional mandate. Further thereto, the Department should submit the proposed revised </w:t>
      </w:r>
      <w:r w:rsidR="00D30CBF" w:rsidRPr="00C70473">
        <w:rPr>
          <w:rFonts w:ascii="Arial" w:hAnsi="Arial" w:cs="Arial"/>
          <w:sz w:val="20"/>
          <w:szCs w:val="20"/>
        </w:rPr>
        <w:t>performance indicators for the 2023/24 financial year</w:t>
      </w:r>
      <w:r w:rsidR="00126469" w:rsidRPr="00C70473">
        <w:rPr>
          <w:rFonts w:ascii="Arial" w:hAnsi="Arial" w:cs="Arial"/>
          <w:sz w:val="20"/>
          <w:szCs w:val="20"/>
        </w:rPr>
        <w:t xml:space="preserve"> </w:t>
      </w:r>
      <w:r w:rsidR="00D30CBF" w:rsidRPr="00C70473">
        <w:rPr>
          <w:rFonts w:ascii="Arial" w:hAnsi="Arial" w:cs="Arial"/>
          <w:sz w:val="20"/>
          <w:szCs w:val="20"/>
        </w:rPr>
        <w:t>for</w:t>
      </w:r>
      <w:r w:rsidR="00126469" w:rsidRPr="00C70473">
        <w:rPr>
          <w:rFonts w:ascii="Arial" w:hAnsi="Arial" w:cs="Arial"/>
          <w:sz w:val="20"/>
          <w:szCs w:val="20"/>
        </w:rPr>
        <w:t xml:space="preserve"> the Committee</w:t>
      </w:r>
      <w:r w:rsidR="00D30CBF" w:rsidRPr="00C70473">
        <w:rPr>
          <w:rFonts w:ascii="Arial" w:hAnsi="Arial" w:cs="Arial"/>
          <w:sz w:val="20"/>
          <w:szCs w:val="20"/>
        </w:rPr>
        <w:t>’s consideration</w:t>
      </w:r>
      <w:r w:rsidR="00562BD8" w:rsidRPr="00C70473">
        <w:rPr>
          <w:rFonts w:ascii="Arial" w:hAnsi="Arial" w:cs="Arial"/>
          <w:sz w:val="20"/>
          <w:szCs w:val="20"/>
        </w:rPr>
        <w:t xml:space="preserve"> by </w:t>
      </w:r>
      <w:r w:rsidR="0042363C" w:rsidRPr="00C70473">
        <w:rPr>
          <w:rFonts w:ascii="Arial" w:hAnsi="Arial" w:cs="Arial"/>
          <w:sz w:val="20"/>
          <w:szCs w:val="20"/>
        </w:rPr>
        <w:t xml:space="preserve">20 </w:t>
      </w:r>
      <w:r w:rsidR="00562BD8" w:rsidRPr="00C70473">
        <w:rPr>
          <w:rFonts w:ascii="Arial" w:hAnsi="Arial" w:cs="Arial"/>
          <w:sz w:val="20"/>
          <w:szCs w:val="20"/>
        </w:rPr>
        <w:t xml:space="preserve">January 2023. </w:t>
      </w:r>
      <w:r w:rsidR="00D30CBF" w:rsidRPr="00C70473">
        <w:rPr>
          <w:rFonts w:ascii="Arial" w:hAnsi="Arial" w:cs="Arial"/>
          <w:sz w:val="20"/>
          <w:szCs w:val="20"/>
        </w:rPr>
        <w:t xml:space="preserve">  </w:t>
      </w:r>
    </w:p>
    <w:p w:rsidR="00175427" w:rsidRPr="00C70473" w:rsidRDefault="000F4D3A" w:rsidP="00C70473">
      <w:pPr>
        <w:pStyle w:val="ListParagraph"/>
        <w:numPr>
          <w:ilvl w:val="0"/>
          <w:numId w:val="119"/>
        </w:numPr>
        <w:spacing w:after="0" w:line="240" w:lineRule="auto"/>
        <w:rPr>
          <w:rFonts w:ascii="Arial" w:hAnsi="Arial" w:cs="Arial"/>
          <w:sz w:val="20"/>
          <w:szCs w:val="20"/>
        </w:rPr>
      </w:pPr>
      <w:r w:rsidRPr="00C70473">
        <w:rPr>
          <w:rFonts w:ascii="Arial" w:hAnsi="Arial" w:cs="Arial"/>
          <w:sz w:val="20"/>
          <w:szCs w:val="20"/>
          <w:lang w:val="en-US"/>
        </w:rPr>
        <w:t xml:space="preserve">The Committee recommends that performance indicators and associated targets must be benchmarked against the available resources of each budget programme to ensure that targets can be achieved. </w:t>
      </w:r>
      <w:r w:rsidR="004172CA" w:rsidRPr="00C70473">
        <w:rPr>
          <w:rFonts w:ascii="Arial" w:hAnsi="Arial" w:cs="Arial"/>
          <w:sz w:val="20"/>
          <w:szCs w:val="20"/>
          <w:lang w:val="en-US"/>
        </w:rPr>
        <w:t>A report on this benchmarking should be submitted to the Committee by 20 January 2023.</w:t>
      </w:r>
    </w:p>
    <w:p w:rsidR="00175427" w:rsidRPr="00C70473" w:rsidRDefault="00175427" w:rsidP="00C70473">
      <w:pPr>
        <w:pStyle w:val="ListParagraph"/>
        <w:numPr>
          <w:ilvl w:val="0"/>
          <w:numId w:val="119"/>
        </w:numPr>
        <w:spacing w:after="0" w:line="240" w:lineRule="auto"/>
        <w:rPr>
          <w:rFonts w:ascii="Arial" w:hAnsi="Arial" w:cs="Arial"/>
          <w:sz w:val="20"/>
          <w:szCs w:val="20"/>
        </w:rPr>
      </w:pPr>
      <w:r w:rsidRPr="00C70473">
        <w:rPr>
          <w:rFonts w:ascii="Arial" w:hAnsi="Arial" w:cs="Arial"/>
          <w:sz w:val="20"/>
          <w:szCs w:val="20"/>
          <w:lang w:val="en-US"/>
        </w:rPr>
        <w:t>The Committee recommends that performance indicators should be more proactive in nature as opposed to reactiv</w:t>
      </w:r>
      <w:r w:rsidR="004172CA" w:rsidRPr="00C70473">
        <w:rPr>
          <w:rFonts w:ascii="Arial" w:hAnsi="Arial" w:cs="Arial"/>
          <w:sz w:val="20"/>
          <w:szCs w:val="20"/>
          <w:lang w:val="en-US"/>
        </w:rPr>
        <w:t xml:space="preserve">e, focused on </w:t>
      </w:r>
      <w:r w:rsidR="003B2C01" w:rsidRPr="00C70473">
        <w:rPr>
          <w:rFonts w:ascii="Arial" w:hAnsi="Arial" w:cs="Arial"/>
          <w:sz w:val="20"/>
          <w:szCs w:val="20"/>
          <w:lang w:val="en-US"/>
        </w:rPr>
        <w:t xml:space="preserve">aspect such as </w:t>
      </w:r>
      <w:r w:rsidR="004172CA" w:rsidRPr="00C70473">
        <w:rPr>
          <w:rFonts w:ascii="Arial" w:hAnsi="Arial" w:cs="Arial"/>
          <w:sz w:val="20"/>
          <w:szCs w:val="20"/>
          <w:lang w:val="en-US"/>
        </w:rPr>
        <w:t>crime prevention awareness campaigns.</w:t>
      </w:r>
    </w:p>
    <w:p w:rsidR="00BD5899" w:rsidRPr="00C70473" w:rsidRDefault="00BD5899" w:rsidP="00C70473">
      <w:pPr>
        <w:pStyle w:val="ListParagraph"/>
        <w:numPr>
          <w:ilvl w:val="0"/>
          <w:numId w:val="119"/>
        </w:numPr>
        <w:spacing w:after="0" w:line="240" w:lineRule="auto"/>
        <w:rPr>
          <w:rFonts w:ascii="Arial" w:hAnsi="Arial" w:cs="Arial"/>
          <w:sz w:val="20"/>
          <w:szCs w:val="20"/>
        </w:rPr>
      </w:pPr>
      <w:r w:rsidRPr="00C70473">
        <w:rPr>
          <w:rFonts w:ascii="Arial" w:hAnsi="Arial" w:cs="Arial"/>
          <w:sz w:val="20"/>
          <w:szCs w:val="20"/>
          <w:lang w:val="en-US"/>
        </w:rPr>
        <w:t xml:space="preserve">The Committee recommends that the record-keeping system of the Department should be simplified to ensure reliable information. Efforts should be made to investigate possible interventions such as decentralisation.   </w:t>
      </w:r>
    </w:p>
    <w:p w:rsidR="000F4D3A" w:rsidRPr="00C70473" w:rsidRDefault="00602652" w:rsidP="00C70473">
      <w:pPr>
        <w:pStyle w:val="ListParagraph"/>
        <w:numPr>
          <w:ilvl w:val="0"/>
          <w:numId w:val="119"/>
        </w:numPr>
        <w:spacing w:after="0" w:line="240" w:lineRule="auto"/>
        <w:rPr>
          <w:rFonts w:ascii="Arial" w:hAnsi="Arial" w:cs="Arial"/>
          <w:sz w:val="20"/>
          <w:szCs w:val="20"/>
        </w:rPr>
      </w:pPr>
      <w:r w:rsidRPr="00C70473">
        <w:rPr>
          <w:rFonts w:ascii="Arial" w:hAnsi="Arial" w:cs="Arial"/>
          <w:sz w:val="20"/>
          <w:szCs w:val="20"/>
        </w:rPr>
        <w:t>The Committee recommends that the D</w:t>
      </w:r>
      <w:r w:rsidR="000F4D3A" w:rsidRPr="00C70473">
        <w:rPr>
          <w:rFonts w:ascii="Arial" w:hAnsi="Arial" w:cs="Arial"/>
          <w:sz w:val="20"/>
          <w:szCs w:val="20"/>
        </w:rPr>
        <w:t xml:space="preserve">epartment should expedite </w:t>
      </w:r>
      <w:r w:rsidR="000F4D3A" w:rsidRPr="00C70473">
        <w:rPr>
          <w:rFonts w:ascii="Arial" w:hAnsi="Arial" w:cs="Arial"/>
          <w:sz w:val="20"/>
          <w:szCs w:val="20"/>
          <w:lang w:val="en-US"/>
        </w:rPr>
        <w:t xml:space="preserve">consequence management steps against </w:t>
      </w:r>
      <w:r w:rsidR="002B0E3C" w:rsidRPr="00C70473">
        <w:rPr>
          <w:rFonts w:ascii="Arial" w:hAnsi="Arial" w:cs="Arial"/>
          <w:sz w:val="20"/>
          <w:szCs w:val="20"/>
          <w:lang w:val="en-US"/>
        </w:rPr>
        <w:t>employees incurring irregular, and fruitless and wasteful expenditure.</w:t>
      </w:r>
      <w:r w:rsidR="001D310D" w:rsidRPr="00C70473">
        <w:rPr>
          <w:rFonts w:ascii="Arial" w:hAnsi="Arial" w:cs="Arial"/>
          <w:sz w:val="20"/>
          <w:szCs w:val="20"/>
          <w:lang w:val="en-US"/>
        </w:rPr>
        <w:t xml:space="preserve"> Please see below reporting requirements in this regard. </w:t>
      </w:r>
      <w:r w:rsidR="002B0E3C" w:rsidRPr="00C70473">
        <w:rPr>
          <w:rFonts w:ascii="Arial" w:hAnsi="Arial" w:cs="Arial"/>
          <w:sz w:val="20"/>
          <w:szCs w:val="20"/>
          <w:lang w:val="en-US"/>
        </w:rPr>
        <w:t xml:space="preserve"> </w:t>
      </w:r>
      <w:r w:rsidR="000F4D3A" w:rsidRPr="00C70473">
        <w:rPr>
          <w:rFonts w:ascii="Arial" w:hAnsi="Arial" w:cs="Arial"/>
          <w:sz w:val="20"/>
          <w:szCs w:val="20"/>
          <w:lang w:val="en-US"/>
        </w:rPr>
        <w:t xml:space="preserve"> </w:t>
      </w:r>
    </w:p>
    <w:p w:rsidR="000F4D3A" w:rsidRPr="00C70473" w:rsidRDefault="000F4D3A" w:rsidP="00C70473">
      <w:pPr>
        <w:pStyle w:val="ListParagraph"/>
        <w:numPr>
          <w:ilvl w:val="0"/>
          <w:numId w:val="119"/>
        </w:numPr>
        <w:spacing w:after="0" w:line="240" w:lineRule="auto"/>
        <w:rPr>
          <w:rFonts w:ascii="Arial" w:hAnsi="Arial" w:cs="Arial"/>
          <w:sz w:val="20"/>
          <w:szCs w:val="20"/>
        </w:rPr>
      </w:pPr>
      <w:r w:rsidRPr="00C70473">
        <w:rPr>
          <w:rFonts w:ascii="Arial" w:hAnsi="Arial" w:cs="Arial"/>
          <w:sz w:val="20"/>
          <w:szCs w:val="20"/>
          <w:lang w:val="en-US"/>
        </w:rPr>
        <w:t xml:space="preserve">The Committee recommends that consequence management should be implemented on the most recent cases of irregular, unauthorised, and fruitless and wasteful expenditure and then work backwards to older cases to ensure that members are held to account before leaving the Department. </w:t>
      </w:r>
      <w:r w:rsidR="002B0E3C" w:rsidRPr="00C70473">
        <w:rPr>
          <w:rFonts w:ascii="Arial" w:hAnsi="Arial" w:cs="Arial"/>
          <w:sz w:val="20"/>
          <w:szCs w:val="20"/>
          <w:lang w:val="en-US"/>
        </w:rPr>
        <w:t xml:space="preserve">The speedy </w:t>
      </w:r>
      <w:r w:rsidR="00562BD8" w:rsidRPr="00C70473">
        <w:rPr>
          <w:rFonts w:ascii="Arial" w:hAnsi="Arial" w:cs="Arial"/>
          <w:sz w:val="20"/>
          <w:szCs w:val="20"/>
          <w:lang w:val="en-US"/>
        </w:rPr>
        <w:t>finali</w:t>
      </w:r>
      <w:r w:rsidR="00302517" w:rsidRPr="00C70473">
        <w:rPr>
          <w:rFonts w:ascii="Arial" w:hAnsi="Arial" w:cs="Arial"/>
          <w:sz w:val="20"/>
          <w:szCs w:val="20"/>
          <w:lang w:val="en-US"/>
        </w:rPr>
        <w:t>s</w:t>
      </w:r>
      <w:r w:rsidR="00562BD8" w:rsidRPr="00C70473">
        <w:rPr>
          <w:rFonts w:ascii="Arial" w:hAnsi="Arial" w:cs="Arial"/>
          <w:sz w:val="20"/>
          <w:szCs w:val="20"/>
          <w:lang w:val="en-US"/>
        </w:rPr>
        <w:t xml:space="preserve">ation and </w:t>
      </w:r>
      <w:r w:rsidR="002B0E3C" w:rsidRPr="00C70473">
        <w:rPr>
          <w:rFonts w:ascii="Arial" w:hAnsi="Arial" w:cs="Arial"/>
          <w:sz w:val="20"/>
          <w:szCs w:val="20"/>
          <w:lang w:val="en-US"/>
        </w:rPr>
        <w:t xml:space="preserve">outcome of these cases should act as a deterrent to others in an effort to reduce and prevent incurrence of any expenditure </w:t>
      </w:r>
      <w:r w:rsidR="00562BD8" w:rsidRPr="00C70473">
        <w:rPr>
          <w:rFonts w:ascii="Arial" w:hAnsi="Arial" w:cs="Arial"/>
          <w:sz w:val="20"/>
          <w:szCs w:val="20"/>
          <w:lang w:val="en-US"/>
        </w:rPr>
        <w:t xml:space="preserve">incurred that is </w:t>
      </w:r>
      <w:r w:rsidR="002B0E3C" w:rsidRPr="00C70473">
        <w:rPr>
          <w:rFonts w:ascii="Arial" w:hAnsi="Arial" w:cs="Arial"/>
          <w:sz w:val="20"/>
          <w:szCs w:val="20"/>
          <w:lang w:val="en-US"/>
        </w:rPr>
        <w:t xml:space="preserve">against the provisions of the PMFA.  </w:t>
      </w:r>
    </w:p>
    <w:p w:rsidR="000F4D3A" w:rsidRPr="00C70473" w:rsidRDefault="000F4D3A" w:rsidP="00C70473">
      <w:pPr>
        <w:pStyle w:val="ListParagraph"/>
        <w:numPr>
          <w:ilvl w:val="0"/>
          <w:numId w:val="119"/>
        </w:numPr>
        <w:spacing w:after="0" w:line="240" w:lineRule="auto"/>
        <w:rPr>
          <w:rFonts w:ascii="Arial" w:hAnsi="Arial" w:cs="Arial"/>
          <w:sz w:val="20"/>
          <w:szCs w:val="20"/>
          <w:lang w:val="en-US"/>
        </w:rPr>
      </w:pPr>
      <w:r w:rsidRPr="00C70473">
        <w:rPr>
          <w:rFonts w:ascii="Arial" w:hAnsi="Arial" w:cs="Arial"/>
          <w:sz w:val="20"/>
          <w:szCs w:val="20"/>
          <w:lang w:val="en-US"/>
        </w:rPr>
        <w:t>The Committee recommends that the review of service allowances for Detectives should be completed before the end of 2022 and progress must be reported</w:t>
      </w:r>
      <w:r w:rsidR="0042363C" w:rsidRPr="00C70473">
        <w:rPr>
          <w:rFonts w:ascii="Arial" w:hAnsi="Arial" w:cs="Arial"/>
          <w:sz w:val="20"/>
          <w:szCs w:val="20"/>
          <w:lang w:val="en-US"/>
        </w:rPr>
        <w:t>, in writing by 20</w:t>
      </w:r>
      <w:r w:rsidRPr="00C70473">
        <w:rPr>
          <w:rFonts w:ascii="Arial" w:hAnsi="Arial" w:cs="Arial"/>
          <w:sz w:val="20"/>
          <w:szCs w:val="20"/>
          <w:lang w:val="en-US"/>
        </w:rPr>
        <w:t xml:space="preserve"> January 2023. </w:t>
      </w:r>
    </w:p>
    <w:p w:rsidR="00D369B2" w:rsidRPr="00C70473" w:rsidRDefault="00D369B2" w:rsidP="00C70473">
      <w:pPr>
        <w:pStyle w:val="ListParagraph"/>
        <w:numPr>
          <w:ilvl w:val="0"/>
          <w:numId w:val="119"/>
        </w:numPr>
        <w:spacing w:after="0" w:line="240" w:lineRule="auto"/>
        <w:rPr>
          <w:rFonts w:ascii="Arial" w:hAnsi="Arial" w:cs="Arial"/>
          <w:sz w:val="20"/>
          <w:szCs w:val="20"/>
        </w:rPr>
      </w:pPr>
      <w:r w:rsidRPr="00C70473">
        <w:rPr>
          <w:rFonts w:ascii="Arial" w:hAnsi="Arial" w:cs="Arial"/>
          <w:sz w:val="20"/>
          <w:szCs w:val="20"/>
          <w:lang w:val="en-US"/>
        </w:rPr>
        <w:t xml:space="preserve">The Committee recommends that the Office of the AG considers the inclusion of timeframes in its regulations for consequence management steps to be finalised to prevent the Department from delaying the implementation of consequence management. </w:t>
      </w:r>
    </w:p>
    <w:p w:rsidR="00D369B2" w:rsidRPr="00C70473" w:rsidRDefault="00D369B2" w:rsidP="00C70473">
      <w:pPr>
        <w:pStyle w:val="ListParagraph"/>
        <w:numPr>
          <w:ilvl w:val="0"/>
          <w:numId w:val="119"/>
        </w:numPr>
        <w:spacing w:after="0" w:line="240" w:lineRule="auto"/>
        <w:rPr>
          <w:rFonts w:ascii="Arial" w:hAnsi="Arial" w:cs="Arial"/>
          <w:sz w:val="20"/>
          <w:szCs w:val="20"/>
          <w:lang w:val="en-US"/>
        </w:rPr>
      </w:pPr>
      <w:r w:rsidRPr="00C70473">
        <w:rPr>
          <w:rFonts w:ascii="Arial" w:hAnsi="Arial" w:cs="Arial"/>
          <w:sz w:val="20"/>
          <w:szCs w:val="20"/>
          <w:lang w:val="en-US"/>
        </w:rPr>
        <w:t xml:space="preserve">The Committee recommends that the Department of Public Works and Infrastructure should relocate the forensic laboratory located in Amanzimtoti as a matter of priority. </w:t>
      </w:r>
      <w:r w:rsidR="00830DA9" w:rsidRPr="00C70473">
        <w:rPr>
          <w:rFonts w:ascii="Arial" w:hAnsi="Arial" w:cs="Arial"/>
          <w:sz w:val="20"/>
          <w:szCs w:val="20"/>
          <w:lang w:val="en-US"/>
        </w:rPr>
        <w:t xml:space="preserve">The Committee further recommends that the re-location should be finalized in the second quarter of the </w:t>
      </w:r>
      <w:r w:rsidR="00830DA9" w:rsidRPr="00C70473">
        <w:rPr>
          <w:rFonts w:ascii="Arial" w:hAnsi="Arial" w:cs="Arial"/>
          <w:sz w:val="20"/>
          <w:szCs w:val="20"/>
          <w:lang w:val="en-US"/>
        </w:rPr>
        <w:lastRenderedPageBreak/>
        <w:t xml:space="preserve">2023/24 financial year. </w:t>
      </w:r>
      <w:r w:rsidRPr="00C70473">
        <w:rPr>
          <w:rFonts w:ascii="Arial" w:hAnsi="Arial" w:cs="Arial"/>
          <w:sz w:val="20"/>
          <w:szCs w:val="20"/>
          <w:lang w:val="en-US"/>
        </w:rPr>
        <w:t xml:space="preserve">The Department of Public Works and Infrastructure is requested to submit a progress report on 15 November 2022.   </w:t>
      </w:r>
    </w:p>
    <w:p w:rsidR="00E06D75" w:rsidRPr="00C70473" w:rsidRDefault="00E06D75" w:rsidP="00C70473">
      <w:pPr>
        <w:pStyle w:val="ListParagraph"/>
        <w:numPr>
          <w:ilvl w:val="0"/>
          <w:numId w:val="119"/>
        </w:numPr>
        <w:spacing w:after="0" w:line="240" w:lineRule="auto"/>
        <w:rPr>
          <w:rFonts w:ascii="Arial" w:hAnsi="Arial" w:cs="Arial"/>
          <w:sz w:val="20"/>
          <w:szCs w:val="20"/>
          <w:lang w:val="en-US"/>
        </w:rPr>
      </w:pPr>
      <w:r w:rsidRPr="00C70473">
        <w:rPr>
          <w:rFonts w:ascii="Arial" w:hAnsi="Arial" w:cs="Arial"/>
          <w:sz w:val="20"/>
          <w:szCs w:val="20"/>
          <w:lang w:val="en-US"/>
        </w:rPr>
        <w:t xml:space="preserve">The Committee recommends that the Department should endeavor to clear the backlog in the analysis of DNA (biology) case exhibits by December 2022.  </w:t>
      </w:r>
    </w:p>
    <w:p w:rsidR="00D3612D" w:rsidRPr="00C70473" w:rsidRDefault="00D3612D" w:rsidP="00C70473">
      <w:pPr>
        <w:pStyle w:val="Heading2"/>
        <w:numPr>
          <w:ilvl w:val="1"/>
          <w:numId w:val="66"/>
        </w:numPr>
        <w:spacing w:before="0" w:line="240" w:lineRule="auto"/>
        <w:rPr>
          <w:rFonts w:ascii="Arial" w:eastAsia="Calibri" w:hAnsi="Arial" w:cs="Arial"/>
          <w:sz w:val="20"/>
          <w:szCs w:val="20"/>
        </w:rPr>
      </w:pPr>
      <w:r w:rsidRPr="00C70473">
        <w:rPr>
          <w:rFonts w:ascii="Arial" w:eastAsia="Calibri" w:hAnsi="Arial" w:cs="Arial"/>
          <w:sz w:val="20"/>
          <w:szCs w:val="20"/>
        </w:rPr>
        <w:t xml:space="preserve">Reporting requirements </w:t>
      </w:r>
    </w:p>
    <w:p w:rsidR="00D3612D" w:rsidRPr="00C70473" w:rsidRDefault="00D3612D" w:rsidP="00C70473">
      <w:pPr>
        <w:spacing w:after="0" w:line="240" w:lineRule="auto"/>
        <w:rPr>
          <w:rFonts w:ascii="Arial" w:hAnsi="Arial" w:cs="Arial"/>
          <w:sz w:val="20"/>
          <w:szCs w:val="20"/>
        </w:rPr>
      </w:pPr>
    </w:p>
    <w:p w:rsidR="00D3612D" w:rsidRPr="00C70473" w:rsidRDefault="00D3612D" w:rsidP="00C70473">
      <w:pPr>
        <w:spacing w:after="0" w:line="240" w:lineRule="auto"/>
        <w:rPr>
          <w:rFonts w:ascii="Arial" w:hAnsi="Arial" w:cs="Arial"/>
          <w:sz w:val="20"/>
          <w:szCs w:val="20"/>
        </w:rPr>
      </w:pPr>
      <w:r w:rsidRPr="00C70473">
        <w:rPr>
          <w:rFonts w:ascii="Arial" w:hAnsi="Arial" w:cs="Arial"/>
          <w:sz w:val="20"/>
          <w:szCs w:val="20"/>
        </w:rPr>
        <w:t>The Committee requests the following information to be submitted</w:t>
      </w:r>
      <w:r w:rsidR="0042363C" w:rsidRPr="00C70473">
        <w:rPr>
          <w:rFonts w:ascii="Arial" w:hAnsi="Arial" w:cs="Arial"/>
          <w:sz w:val="20"/>
          <w:szCs w:val="20"/>
        </w:rPr>
        <w:t xml:space="preserve">: </w:t>
      </w:r>
    </w:p>
    <w:p w:rsidR="00154810" w:rsidRPr="00C70473" w:rsidRDefault="001058B3" w:rsidP="00C70473">
      <w:pPr>
        <w:pStyle w:val="ListParagraph"/>
        <w:numPr>
          <w:ilvl w:val="0"/>
          <w:numId w:val="118"/>
        </w:numPr>
        <w:spacing w:after="0" w:line="240" w:lineRule="auto"/>
        <w:rPr>
          <w:rFonts w:ascii="Arial" w:hAnsi="Arial" w:cs="Arial"/>
          <w:sz w:val="20"/>
          <w:szCs w:val="20"/>
        </w:rPr>
      </w:pPr>
      <w:r w:rsidRPr="00C70473">
        <w:rPr>
          <w:rFonts w:ascii="Arial" w:hAnsi="Arial" w:cs="Arial"/>
          <w:sz w:val="20"/>
          <w:szCs w:val="20"/>
        </w:rPr>
        <w:t>The Department should submit a report highlighting the material differences identified by the Office of the AG in reported performance on targets in the Visible Policing and Detective Services Programmes of the Department.</w:t>
      </w:r>
      <w:r w:rsidR="0042363C" w:rsidRPr="00C70473">
        <w:rPr>
          <w:rFonts w:ascii="Arial" w:hAnsi="Arial" w:cs="Arial"/>
          <w:sz w:val="20"/>
          <w:szCs w:val="20"/>
        </w:rPr>
        <w:t xml:space="preserve"> This report should be submitted by </w:t>
      </w:r>
      <w:r w:rsidR="004172CA" w:rsidRPr="00C70473">
        <w:rPr>
          <w:rFonts w:ascii="Arial" w:hAnsi="Arial" w:cs="Arial"/>
          <w:sz w:val="20"/>
          <w:szCs w:val="20"/>
        </w:rPr>
        <w:t>05 November 2022.</w:t>
      </w:r>
    </w:p>
    <w:p w:rsidR="00D3612D" w:rsidRPr="00C70473" w:rsidRDefault="00154810" w:rsidP="00C70473">
      <w:pPr>
        <w:pStyle w:val="ListParagraph"/>
        <w:numPr>
          <w:ilvl w:val="0"/>
          <w:numId w:val="118"/>
        </w:numPr>
        <w:spacing w:after="0" w:line="240" w:lineRule="auto"/>
        <w:rPr>
          <w:rFonts w:ascii="Arial" w:hAnsi="Arial" w:cs="Arial"/>
          <w:sz w:val="20"/>
          <w:szCs w:val="20"/>
          <w:lang w:val="en-US"/>
        </w:rPr>
      </w:pPr>
      <w:r w:rsidRPr="00C70473">
        <w:rPr>
          <w:rFonts w:ascii="Arial" w:hAnsi="Arial" w:cs="Arial"/>
          <w:sz w:val="20"/>
          <w:szCs w:val="20"/>
          <w:lang w:val="en-US"/>
        </w:rPr>
        <w:t xml:space="preserve">The Department should submit an update on the down-management of cases of irregular, and fruitless and wasteful expenditure, and what consequence management steps were taken against personnel found guilty of contravening legislative prescripts. </w:t>
      </w:r>
      <w:r w:rsidR="004172CA" w:rsidRPr="00C70473">
        <w:rPr>
          <w:rFonts w:ascii="Arial" w:hAnsi="Arial" w:cs="Arial"/>
          <w:sz w:val="20"/>
          <w:szCs w:val="20"/>
        </w:rPr>
        <w:t>This report should be submitted by 20 January 2023.</w:t>
      </w:r>
    </w:p>
    <w:p w:rsidR="00860F8D" w:rsidRPr="00C70473" w:rsidRDefault="00860F8D" w:rsidP="00C70473">
      <w:pPr>
        <w:pStyle w:val="ListParagraph"/>
        <w:numPr>
          <w:ilvl w:val="0"/>
          <w:numId w:val="118"/>
        </w:numPr>
        <w:spacing w:after="0" w:line="240" w:lineRule="auto"/>
        <w:rPr>
          <w:rFonts w:ascii="Arial" w:hAnsi="Arial" w:cs="Arial"/>
          <w:sz w:val="20"/>
          <w:szCs w:val="20"/>
          <w:lang w:val="en-US"/>
        </w:rPr>
      </w:pPr>
      <w:r w:rsidRPr="00C70473">
        <w:rPr>
          <w:rFonts w:ascii="Arial" w:hAnsi="Arial" w:cs="Arial"/>
          <w:sz w:val="20"/>
          <w:szCs w:val="20"/>
          <w:lang w:val="en-US"/>
        </w:rPr>
        <w:t xml:space="preserve">The Department should submit bi-annual progress reports on the implementation of its Audit Action Plan focused on addressing the material differences identified by the Office of the AG on various targets in the Visible Policing and Detective Services Programmes. The first such report must be submitted by March 2023.   </w:t>
      </w:r>
    </w:p>
    <w:p w:rsidR="00237128" w:rsidRPr="00C70473" w:rsidRDefault="00237128" w:rsidP="00C70473">
      <w:pPr>
        <w:pStyle w:val="ListParagraph"/>
        <w:numPr>
          <w:ilvl w:val="0"/>
          <w:numId w:val="118"/>
        </w:numPr>
        <w:spacing w:after="0" w:line="240" w:lineRule="auto"/>
        <w:rPr>
          <w:rFonts w:ascii="Arial" w:hAnsi="Arial" w:cs="Arial"/>
          <w:sz w:val="20"/>
          <w:szCs w:val="20"/>
          <w:lang w:val="en-US"/>
        </w:rPr>
      </w:pPr>
      <w:r w:rsidRPr="00C70473">
        <w:rPr>
          <w:rFonts w:ascii="Arial" w:hAnsi="Arial" w:cs="Arial"/>
          <w:sz w:val="20"/>
          <w:szCs w:val="20"/>
          <w:lang w:val="en-US"/>
        </w:rPr>
        <w:t xml:space="preserve">The Department should submit a report detailing the financial losses suffered by the continuous flooding of the forensic laboratory located in Ananzimtoti. </w:t>
      </w:r>
    </w:p>
    <w:p w:rsidR="00830DA9" w:rsidRPr="00C70473" w:rsidRDefault="00830DA9" w:rsidP="00C70473">
      <w:pPr>
        <w:pStyle w:val="ListParagraph"/>
        <w:numPr>
          <w:ilvl w:val="0"/>
          <w:numId w:val="118"/>
        </w:numPr>
        <w:spacing w:after="0" w:line="240" w:lineRule="auto"/>
        <w:rPr>
          <w:rFonts w:ascii="Arial" w:hAnsi="Arial" w:cs="Arial"/>
          <w:sz w:val="20"/>
          <w:szCs w:val="20"/>
          <w:lang w:val="en-US"/>
        </w:rPr>
      </w:pPr>
      <w:r w:rsidRPr="00C70473">
        <w:rPr>
          <w:rFonts w:ascii="Arial" w:hAnsi="Arial" w:cs="Arial"/>
          <w:sz w:val="20"/>
          <w:szCs w:val="20"/>
          <w:lang w:val="en-US"/>
        </w:rPr>
        <w:t>The Department is requested to submit an analysis report highlighting the key policing areas that are negatively impacted by external dependencies, specifically related to the Department of Public Works and Infrastructure, SITA and the Department of Health</w:t>
      </w:r>
      <w:r w:rsidR="00145A31" w:rsidRPr="00C70473">
        <w:rPr>
          <w:rFonts w:ascii="Arial" w:hAnsi="Arial" w:cs="Arial"/>
          <w:sz w:val="20"/>
          <w:szCs w:val="20"/>
          <w:lang w:val="en-US"/>
        </w:rPr>
        <w:t>.</w:t>
      </w:r>
      <w:r w:rsidRPr="00C70473">
        <w:rPr>
          <w:rFonts w:ascii="Arial" w:hAnsi="Arial" w:cs="Arial"/>
          <w:sz w:val="20"/>
          <w:szCs w:val="20"/>
          <w:lang w:val="en-US"/>
        </w:rPr>
        <w:t xml:space="preserve"> </w:t>
      </w:r>
    </w:p>
    <w:p w:rsidR="00D3612D" w:rsidRPr="00C70473" w:rsidRDefault="00D3612D" w:rsidP="00C70473">
      <w:pPr>
        <w:spacing w:after="0" w:line="240" w:lineRule="auto"/>
        <w:rPr>
          <w:rFonts w:ascii="Arial" w:hAnsi="Arial" w:cs="Arial"/>
          <w:sz w:val="20"/>
          <w:szCs w:val="20"/>
        </w:rPr>
      </w:pPr>
    </w:p>
    <w:p w:rsidR="00C051D6" w:rsidRPr="00C70473" w:rsidRDefault="00FE118B" w:rsidP="00C70473">
      <w:pPr>
        <w:spacing w:after="0" w:line="240" w:lineRule="auto"/>
        <w:rPr>
          <w:rFonts w:ascii="Arial" w:hAnsi="Arial" w:cs="Arial"/>
          <w:b/>
          <w:sz w:val="20"/>
          <w:szCs w:val="20"/>
        </w:rPr>
      </w:pPr>
      <w:r w:rsidRPr="00C70473">
        <w:rPr>
          <w:rFonts w:ascii="Arial" w:hAnsi="Arial" w:cs="Arial"/>
          <w:b/>
          <w:sz w:val="20"/>
          <w:szCs w:val="20"/>
        </w:rPr>
        <w:t>10.</w:t>
      </w:r>
      <w:r w:rsidRPr="00C70473">
        <w:rPr>
          <w:rFonts w:ascii="Arial" w:hAnsi="Arial" w:cs="Arial"/>
          <w:b/>
          <w:sz w:val="20"/>
          <w:szCs w:val="20"/>
        </w:rPr>
        <w:tab/>
      </w:r>
      <w:r w:rsidR="00587F48" w:rsidRPr="00C70473">
        <w:rPr>
          <w:rFonts w:ascii="Arial" w:hAnsi="Arial" w:cs="Arial"/>
          <w:b/>
          <w:sz w:val="20"/>
          <w:szCs w:val="20"/>
        </w:rPr>
        <w:t>CONCLUSION</w:t>
      </w:r>
    </w:p>
    <w:p w:rsidR="00D3612D" w:rsidRPr="00C70473" w:rsidRDefault="00D3612D" w:rsidP="00C70473">
      <w:pPr>
        <w:spacing w:after="0" w:line="240" w:lineRule="auto"/>
        <w:rPr>
          <w:rFonts w:ascii="Arial" w:hAnsi="Arial" w:cs="Arial"/>
          <w:sz w:val="20"/>
          <w:szCs w:val="20"/>
        </w:rPr>
      </w:pPr>
    </w:p>
    <w:p w:rsidR="00C051D6" w:rsidRPr="00C70473" w:rsidRDefault="00C051D6" w:rsidP="00C70473">
      <w:pPr>
        <w:spacing w:after="0" w:line="240" w:lineRule="auto"/>
        <w:rPr>
          <w:rFonts w:ascii="Arial" w:hAnsi="Arial" w:cs="Arial"/>
          <w:sz w:val="20"/>
          <w:szCs w:val="20"/>
        </w:rPr>
      </w:pPr>
      <w:r w:rsidRPr="00C70473">
        <w:rPr>
          <w:rFonts w:ascii="Arial" w:hAnsi="Arial" w:cs="Arial"/>
          <w:sz w:val="20"/>
          <w:szCs w:val="20"/>
        </w:rPr>
        <w:t>The Committee thanks the Ministry of Police, the National Commissioner, the Auditor General and the Management of SAPS for their efforts in creating the conditions for progress in the SAPS audit opinion. The Committee is under no illusion that there is a still a long way to go to the ideal finding of a clean audit, but we are hopeful that this will be achieved in the foreseeable future. The Committe</w:t>
      </w:r>
      <w:r w:rsidR="00C454AC" w:rsidRPr="00C70473">
        <w:rPr>
          <w:rFonts w:ascii="Arial" w:hAnsi="Arial" w:cs="Arial"/>
          <w:sz w:val="20"/>
          <w:szCs w:val="20"/>
        </w:rPr>
        <w:t xml:space="preserve">e thanks all its members and </w:t>
      </w:r>
      <w:r w:rsidRPr="00C70473">
        <w:rPr>
          <w:rFonts w:ascii="Arial" w:hAnsi="Arial" w:cs="Arial"/>
          <w:sz w:val="20"/>
          <w:szCs w:val="20"/>
        </w:rPr>
        <w:t xml:space="preserve">its staff for its work to ensure the SAPS and the Executive are held to account. </w:t>
      </w:r>
    </w:p>
    <w:p w:rsidR="00D3612D" w:rsidRPr="00C70473" w:rsidRDefault="00D3612D" w:rsidP="00C70473">
      <w:pPr>
        <w:spacing w:after="0" w:line="240" w:lineRule="auto"/>
        <w:rPr>
          <w:rFonts w:ascii="Arial" w:hAnsi="Arial" w:cs="Arial"/>
          <w:sz w:val="20"/>
          <w:szCs w:val="20"/>
        </w:rPr>
      </w:pPr>
    </w:p>
    <w:p w:rsidR="00C051D6" w:rsidRPr="00C70473" w:rsidRDefault="00C051D6" w:rsidP="00C70473">
      <w:pPr>
        <w:spacing w:after="0" w:line="240" w:lineRule="auto"/>
        <w:rPr>
          <w:rFonts w:ascii="Arial" w:hAnsi="Arial" w:cs="Arial"/>
          <w:b/>
          <w:sz w:val="20"/>
          <w:szCs w:val="20"/>
        </w:rPr>
      </w:pPr>
      <w:r w:rsidRPr="00C70473">
        <w:rPr>
          <w:rFonts w:ascii="Arial" w:hAnsi="Arial" w:cs="Arial"/>
          <w:b/>
          <w:sz w:val="20"/>
          <w:szCs w:val="20"/>
        </w:rPr>
        <w:t>Report to be considered.</w:t>
      </w:r>
    </w:p>
    <w:p w:rsidR="004F27D3" w:rsidRPr="00C70473" w:rsidRDefault="004F27D3" w:rsidP="00C70473">
      <w:pPr>
        <w:spacing w:after="0" w:line="240" w:lineRule="auto"/>
        <w:outlineLvl w:val="0"/>
        <w:rPr>
          <w:rFonts w:ascii="Arial" w:eastAsia="Arial Unicode MS" w:hAnsi="Arial" w:cs="Arial"/>
          <w:b/>
          <w:sz w:val="20"/>
          <w:szCs w:val="20"/>
          <w:lang w:val="en-US"/>
        </w:rPr>
      </w:pPr>
    </w:p>
    <w:sectPr w:rsidR="004F27D3" w:rsidRPr="00C70473" w:rsidSect="00703E7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84F" w:rsidRDefault="0037084F" w:rsidP="000A3627">
      <w:pPr>
        <w:spacing w:after="0" w:line="240" w:lineRule="auto"/>
      </w:pPr>
      <w:r>
        <w:separator/>
      </w:r>
    </w:p>
  </w:endnote>
  <w:endnote w:type="continuationSeparator" w:id="0">
    <w:p w:rsidR="0037084F" w:rsidRDefault="0037084F" w:rsidP="000A3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754146"/>
      <w:docPartObj>
        <w:docPartGallery w:val="Page Numbers (Bottom of Page)"/>
        <w:docPartUnique/>
      </w:docPartObj>
    </w:sdtPr>
    <w:sdtEndPr>
      <w:rPr>
        <w:noProof/>
      </w:rPr>
    </w:sdtEndPr>
    <w:sdtContent>
      <w:p w:rsidR="0042363C" w:rsidRDefault="00703E73">
        <w:pPr>
          <w:pStyle w:val="Footer"/>
          <w:jc w:val="center"/>
        </w:pPr>
        <w:r>
          <w:fldChar w:fldCharType="begin"/>
        </w:r>
        <w:r w:rsidR="0042363C">
          <w:instrText xml:space="preserve"> PAGE   \* MERGEFORMAT </w:instrText>
        </w:r>
        <w:r>
          <w:fldChar w:fldCharType="separate"/>
        </w:r>
        <w:r w:rsidR="00C70473">
          <w:rPr>
            <w:noProof/>
          </w:rPr>
          <w:t>1</w:t>
        </w:r>
        <w:r>
          <w:rPr>
            <w:noProof/>
          </w:rPr>
          <w:fldChar w:fldCharType="end"/>
        </w:r>
      </w:p>
    </w:sdtContent>
  </w:sdt>
  <w:p w:rsidR="0042363C" w:rsidRDefault="004236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84F" w:rsidRDefault="0037084F" w:rsidP="000A3627">
      <w:pPr>
        <w:spacing w:after="0" w:line="240" w:lineRule="auto"/>
      </w:pPr>
      <w:r>
        <w:separator/>
      </w:r>
    </w:p>
  </w:footnote>
  <w:footnote w:type="continuationSeparator" w:id="0">
    <w:p w:rsidR="0037084F" w:rsidRDefault="0037084F" w:rsidP="000A3627">
      <w:pPr>
        <w:spacing w:after="0" w:line="240" w:lineRule="auto"/>
      </w:pPr>
      <w:r>
        <w:continuationSeparator/>
      </w:r>
    </w:p>
  </w:footnote>
  <w:footnote w:id="1">
    <w:p w:rsidR="0042363C" w:rsidRPr="0085532A" w:rsidRDefault="0042363C" w:rsidP="00587F48">
      <w:pPr>
        <w:pStyle w:val="FootnoteText"/>
        <w:rPr>
          <w:sz w:val="18"/>
          <w:szCs w:val="18"/>
        </w:rPr>
      </w:pPr>
      <w:r w:rsidRPr="0085532A">
        <w:rPr>
          <w:rStyle w:val="FootnoteReference"/>
          <w:sz w:val="18"/>
          <w:szCs w:val="18"/>
        </w:rPr>
        <w:footnoteRef/>
      </w:r>
      <w:r w:rsidRPr="0085532A">
        <w:rPr>
          <w:sz w:val="18"/>
          <w:szCs w:val="18"/>
        </w:rPr>
        <w:t xml:space="preserve"> The BMA Commissioner, Dr Mike Masiapata, was appointed in October 2021 with former SAPS Major General David Chilembe as Deputy Commissioner.  </w:t>
      </w:r>
    </w:p>
  </w:footnote>
  <w:footnote w:id="2">
    <w:p w:rsidR="0042363C" w:rsidRPr="0085532A" w:rsidRDefault="0042363C" w:rsidP="00587F48">
      <w:pPr>
        <w:pStyle w:val="FootnoteText"/>
        <w:rPr>
          <w:sz w:val="18"/>
          <w:szCs w:val="18"/>
        </w:rPr>
      </w:pPr>
      <w:r w:rsidRPr="0085532A">
        <w:rPr>
          <w:rStyle w:val="FootnoteReference"/>
          <w:sz w:val="18"/>
          <w:szCs w:val="18"/>
        </w:rPr>
        <w:footnoteRef/>
      </w:r>
      <w:r w:rsidRPr="0085532A">
        <w:rPr>
          <w:sz w:val="18"/>
          <w:szCs w:val="18"/>
        </w:rPr>
        <w:t xml:space="preserve"> </w:t>
      </w:r>
      <w:hyperlink r:id="rId1" w:history="1">
        <w:r w:rsidRPr="0085532A">
          <w:rPr>
            <w:rStyle w:val="Hyperlink"/>
            <w:sz w:val="18"/>
            <w:szCs w:val="18"/>
          </w:rPr>
          <w:t>https://businesstech.co.za/news/government/605642/major-border-change-for-south-africa-takes-effect-this-week/</w:t>
        </w:r>
      </w:hyperlink>
      <w:r w:rsidRPr="0085532A">
        <w:rPr>
          <w:sz w:val="18"/>
          <w:szCs w:val="18"/>
        </w:rPr>
        <w:t xml:space="preserve"> </w:t>
      </w:r>
    </w:p>
  </w:footnote>
  <w:footnote w:id="3">
    <w:p w:rsidR="0042363C" w:rsidRPr="0085532A" w:rsidRDefault="0042363C" w:rsidP="00587F48">
      <w:pPr>
        <w:pStyle w:val="FootnoteText"/>
        <w:rPr>
          <w:sz w:val="18"/>
          <w:szCs w:val="18"/>
        </w:rPr>
      </w:pPr>
      <w:r w:rsidRPr="0085532A">
        <w:rPr>
          <w:rStyle w:val="FootnoteReference"/>
          <w:sz w:val="18"/>
          <w:szCs w:val="18"/>
        </w:rPr>
        <w:footnoteRef/>
      </w:r>
      <w:r w:rsidRPr="0085532A">
        <w:rPr>
          <w:sz w:val="18"/>
          <w:szCs w:val="18"/>
        </w:rPr>
        <w:t xml:space="preserve"> SAPS 2021/22 Annual Report, page 155</w:t>
      </w:r>
    </w:p>
  </w:footnote>
  <w:footnote w:id="4">
    <w:p w:rsidR="0042363C" w:rsidRPr="0085532A" w:rsidRDefault="0042363C" w:rsidP="00587F48">
      <w:pPr>
        <w:pStyle w:val="FootnoteText"/>
        <w:rPr>
          <w:rFonts w:cs="Arial"/>
          <w:sz w:val="18"/>
          <w:szCs w:val="18"/>
        </w:rPr>
      </w:pPr>
      <w:r w:rsidRPr="0085532A">
        <w:rPr>
          <w:rStyle w:val="FootnoteReference"/>
          <w:rFonts w:cs="Arial"/>
          <w:sz w:val="18"/>
          <w:szCs w:val="18"/>
        </w:rPr>
        <w:footnoteRef/>
      </w:r>
      <w:r w:rsidRPr="0085532A">
        <w:rPr>
          <w:rFonts w:cs="Arial"/>
          <w:sz w:val="18"/>
          <w:szCs w:val="18"/>
        </w:rPr>
        <w:t xml:space="preserve"> The Police/Population ratio is calculated on SAPS Act employees only and not the fixed establishment (that includes administration personnel).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3C" w:rsidRDefault="004236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List0"/>
      <w:lvlText w:val="%1."/>
      <w:lvlJc w:val="left"/>
      <w:pPr>
        <w:tabs>
          <w:tab w:val="num" w:pos="393"/>
        </w:tabs>
        <w:ind w:left="393" w:firstLine="0"/>
      </w:pPr>
      <w:rPr>
        <w:position w:val="0"/>
      </w:rPr>
    </w:lvl>
    <w:lvl w:ilvl="1">
      <w:start w:val="1"/>
      <w:numFmt w:val="decimal"/>
      <w:lvlText w:val="%2."/>
      <w:lvlJc w:val="left"/>
      <w:pPr>
        <w:tabs>
          <w:tab w:val="num" w:pos="720"/>
        </w:tabs>
        <w:ind w:left="720" w:firstLine="0"/>
      </w:pPr>
      <w:rPr>
        <w:position w:val="0"/>
      </w:rPr>
    </w:lvl>
    <w:lvl w:ilvl="2">
      <w:start w:val="1"/>
      <w:numFmt w:val="decimal"/>
      <w:lvlText w:val="%3."/>
      <w:lvlJc w:val="left"/>
      <w:pPr>
        <w:tabs>
          <w:tab w:val="num" w:pos="720"/>
        </w:tabs>
        <w:ind w:left="720" w:firstLine="0"/>
      </w:pPr>
      <w:rPr>
        <w:position w:val="0"/>
      </w:rPr>
    </w:lvl>
    <w:lvl w:ilvl="3">
      <w:start w:val="1"/>
      <w:numFmt w:val="decimal"/>
      <w:lvlText w:val="%4."/>
      <w:lvlJc w:val="left"/>
      <w:pPr>
        <w:tabs>
          <w:tab w:val="num" w:pos="1080"/>
        </w:tabs>
        <w:ind w:left="1080" w:firstLine="0"/>
      </w:pPr>
      <w:rPr>
        <w:position w:val="0"/>
      </w:rPr>
    </w:lvl>
    <w:lvl w:ilvl="4">
      <w:start w:val="1"/>
      <w:numFmt w:val="decimal"/>
      <w:lvlText w:val="%5."/>
      <w:lvlJc w:val="left"/>
      <w:pPr>
        <w:tabs>
          <w:tab w:val="num" w:pos="1080"/>
        </w:tabs>
        <w:ind w:left="1080" w:firstLine="0"/>
      </w:pPr>
      <w:rPr>
        <w:position w:val="0"/>
      </w:rPr>
    </w:lvl>
    <w:lvl w:ilvl="5">
      <w:start w:val="1"/>
      <w:numFmt w:val="decimal"/>
      <w:lvlText w:val="%6."/>
      <w:lvlJc w:val="left"/>
      <w:pPr>
        <w:tabs>
          <w:tab w:val="num" w:pos="1440"/>
        </w:tabs>
        <w:ind w:left="1440" w:firstLine="0"/>
      </w:pPr>
      <w:rPr>
        <w:position w:val="0"/>
      </w:rPr>
    </w:lvl>
    <w:lvl w:ilvl="6">
      <w:start w:val="1"/>
      <w:numFmt w:val="decimal"/>
      <w:lvlText w:val="%7."/>
      <w:lvlJc w:val="left"/>
      <w:pPr>
        <w:tabs>
          <w:tab w:val="num" w:pos="1440"/>
        </w:tabs>
        <w:ind w:left="1440" w:firstLine="0"/>
      </w:pPr>
      <w:rPr>
        <w:position w:val="0"/>
      </w:rPr>
    </w:lvl>
    <w:lvl w:ilvl="7">
      <w:start w:val="1"/>
      <w:numFmt w:val="decimal"/>
      <w:lvlText w:val="%8."/>
      <w:lvlJc w:val="left"/>
      <w:pPr>
        <w:tabs>
          <w:tab w:val="num" w:pos="1800"/>
        </w:tabs>
        <w:ind w:left="1800" w:firstLine="0"/>
      </w:pPr>
      <w:rPr>
        <w:position w:val="0"/>
      </w:rPr>
    </w:lvl>
    <w:lvl w:ilvl="8">
      <w:start w:val="1"/>
      <w:numFmt w:val="decimal"/>
      <w:lvlText w:val="%9."/>
      <w:lvlJc w:val="left"/>
      <w:pPr>
        <w:tabs>
          <w:tab w:val="num" w:pos="1800"/>
        </w:tabs>
        <w:ind w:left="1800" w:firstLine="0"/>
      </w:pPr>
      <w:rPr>
        <w:position w:val="0"/>
      </w:rPr>
    </w:lvl>
  </w:abstractNum>
  <w:abstractNum w:abstractNumId="1">
    <w:nsid w:val="00000002"/>
    <w:multiLevelType w:val="multilevel"/>
    <w:tmpl w:val="894EE874"/>
    <w:lvl w:ilvl="0">
      <w:start w:val="1"/>
      <w:numFmt w:val="decimal"/>
      <w:pStyle w:val="ImportWordListStyleDefinition0"/>
      <w:lvlText w:val="%1."/>
      <w:lvlJc w:val="left"/>
      <w:pPr>
        <w:tabs>
          <w:tab w:val="num" w:pos="360"/>
        </w:tabs>
        <w:ind w:left="36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decimal"/>
      <w:lvlText w:val="%2."/>
      <w:lvlJc w:val="left"/>
      <w:pPr>
        <w:tabs>
          <w:tab w:val="num" w:pos="720"/>
        </w:tabs>
        <w:ind w:left="72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decimal"/>
      <w:lvlText w:val="%3."/>
      <w:lvlJc w:val="left"/>
      <w:pPr>
        <w:tabs>
          <w:tab w:val="num" w:pos="720"/>
        </w:tabs>
        <w:ind w:left="72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decimal"/>
      <w:lvlText w:val="%4."/>
      <w:lvlJc w:val="left"/>
      <w:pPr>
        <w:tabs>
          <w:tab w:val="num" w:pos="1080"/>
        </w:tabs>
        <w:ind w:left="108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decimal"/>
      <w:lvlText w:val="%5."/>
      <w:lvlJc w:val="left"/>
      <w:pPr>
        <w:tabs>
          <w:tab w:val="num" w:pos="1080"/>
        </w:tabs>
        <w:ind w:left="108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decimal"/>
      <w:lvlText w:val="%6."/>
      <w:lvlJc w:val="left"/>
      <w:pPr>
        <w:tabs>
          <w:tab w:val="num" w:pos="1440"/>
        </w:tabs>
        <w:ind w:left="144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decimal"/>
      <w:lvlText w:val="%7."/>
      <w:lvlJc w:val="left"/>
      <w:pPr>
        <w:tabs>
          <w:tab w:val="num" w:pos="1440"/>
        </w:tabs>
        <w:ind w:left="144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decimal"/>
      <w:lvlText w:val="%8."/>
      <w:lvlJc w:val="left"/>
      <w:pPr>
        <w:tabs>
          <w:tab w:val="num" w:pos="1800"/>
        </w:tabs>
        <w:ind w:left="180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decimal"/>
      <w:lvlText w:val="%9."/>
      <w:lvlJc w:val="left"/>
      <w:pPr>
        <w:tabs>
          <w:tab w:val="num" w:pos="1800"/>
        </w:tabs>
        <w:ind w:left="180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2">
    <w:nsid w:val="00000004"/>
    <w:multiLevelType w:val="multilevel"/>
    <w:tmpl w:val="894EE876"/>
    <w:lvl w:ilvl="0">
      <w:start w:val="1"/>
      <w:numFmt w:val="decimal"/>
      <w:pStyle w:val="List1"/>
      <w:lvlText w:val="%1."/>
      <w:lvlJc w:val="left"/>
      <w:pPr>
        <w:tabs>
          <w:tab w:val="num" w:pos="360"/>
        </w:tabs>
        <w:ind w:left="360" w:firstLine="0"/>
      </w:pPr>
      <w:rPr>
        <w:position w:val="0"/>
      </w:rPr>
    </w:lvl>
    <w:lvl w:ilvl="1">
      <w:start w:val="1"/>
      <w:numFmt w:val="decimal"/>
      <w:lvlText w:val="%2."/>
      <w:lvlJc w:val="left"/>
      <w:pPr>
        <w:tabs>
          <w:tab w:val="num" w:pos="785"/>
        </w:tabs>
        <w:ind w:left="785" w:firstLine="0"/>
      </w:pPr>
      <w:rPr>
        <w:position w:val="0"/>
      </w:rPr>
    </w:lvl>
    <w:lvl w:ilvl="2">
      <w:start w:val="1"/>
      <w:numFmt w:val="decimal"/>
      <w:lvlText w:val="%3."/>
      <w:lvlJc w:val="left"/>
      <w:pPr>
        <w:tabs>
          <w:tab w:val="num" w:pos="720"/>
        </w:tabs>
        <w:ind w:left="720" w:firstLine="0"/>
      </w:pPr>
      <w:rPr>
        <w:position w:val="0"/>
      </w:rPr>
    </w:lvl>
    <w:lvl w:ilvl="3">
      <w:start w:val="1"/>
      <w:numFmt w:val="decimal"/>
      <w:lvlText w:val="%4."/>
      <w:lvlJc w:val="left"/>
      <w:pPr>
        <w:tabs>
          <w:tab w:val="num" w:pos="1080"/>
        </w:tabs>
        <w:ind w:left="1080" w:firstLine="0"/>
      </w:pPr>
      <w:rPr>
        <w:position w:val="0"/>
      </w:rPr>
    </w:lvl>
    <w:lvl w:ilvl="4">
      <w:start w:val="1"/>
      <w:numFmt w:val="decimal"/>
      <w:lvlText w:val="%5."/>
      <w:lvlJc w:val="left"/>
      <w:pPr>
        <w:tabs>
          <w:tab w:val="num" w:pos="1080"/>
        </w:tabs>
        <w:ind w:left="1080" w:firstLine="0"/>
      </w:pPr>
      <w:rPr>
        <w:position w:val="0"/>
      </w:rPr>
    </w:lvl>
    <w:lvl w:ilvl="5">
      <w:start w:val="1"/>
      <w:numFmt w:val="decimal"/>
      <w:lvlText w:val="%6."/>
      <w:lvlJc w:val="left"/>
      <w:pPr>
        <w:tabs>
          <w:tab w:val="num" w:pos="1440"/>
        </w:tabs>
        <w:ind w:left="1440" w:firstLine="0"/>
      </w:pPr>
      <w:rPr>
        <w:position w:val="0"/>
      </w:rPr>
    </w:lvl>
    <w:lvl w:ilvl="6">
      <w:start w:val="1"/>
      <w:numFmt w:val="decimal"/>
      <w:lvlText w:val="%7."/>
      <w:lvlJc w:val="left"/>
      <w:pPr>
        <w:tabs>
          <w:tab w:val="num" w:pos="1440"/>
        </w:tabs>
        <w:ind w:left="1440" w:firstLine="0"/>
      </w:pPr>
      <w:rPr>
        <w:position w:val="0"/>
      </w:rPr>
    </w:lvl>
    <w:lvl w:ilvl="7">
      <w:start w:val="1"/>
      <w:numFmt w:val="decimal"/>
      <w:lvlText w:val="%8."/>
      <w:lvlJc w:val="left"/>
      <w:pPr>
        <w:tabs>
          <w:tab w:val="num" w:pos="1800"/>
        </w:tabs>
        <w:ind w:left="1800" w:firstLine="0"/>
      </w:pPr>
      <w:rPr>
        <w:position w:val="0"/>
      </w:rPr>
    </w:lvl>
    <w:lvl w:ilvl="8">
      <w:start w:val="1"/>
      <w:numFmt w:val="decimal"/>
      <w:lvlText w:val="%9."/>
      <w:lvlJc w:val="left"/>
      <w:pPr>
        <w:tabs>
          <w:tab w:val="num" w:pos="1800"/>
        </w:tabs>
        <w:ind w:left="1800" w:firstLine="0"/>
      </w:pPr>
      <w:rPr>
        <w:position w:val="0"/>
      </w:rPr>
    </w:lvl>
  </w:abstractNum>
  <w:abstractNum w:abstractNumId="3">
    <w:nsid w:val="00000006"/>
    <w:multiLevelType w:val="multilevel"/>
    <w:tmpl w:val="894EE878"/>
    <w:lvl w:ilvl="0">
      <w:start w:val="1"/>
      <w:numFmt w:val="bullet"/>
      <w:pStyle w:val="List210"/>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4">
    <w:nsid w:val="00000007"/>
    <w:multiLevelType w:val="multilevel"/>
    <w:tmpl w:val="894EE879"/>
    <w:lvl w:ilvl="0">
      <w:start w:val="1"/>
      <w:numFmt w:val="bullet"/>
      <w:pStyle w:val="ImportWordListStyleDefinition1"/>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5">
    <w:nsid w:val="00000009"/>
    <w:multiLevelType w:val="multilevel"/>
    <w:tmpl w:val="894EE87B"/>
    <w:lvl w:ilvl="0">
      <w:start w:val="1"/>
      <w:numFmt w:val="bullet"/>
      <w:pStyle w:val="List32"/>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6">
    <w:nsid w:val="0000000A"/>
    <w:multiLevelType w:val="multilevel"/>
    <w:tmpl w:val="894EE87C"/>
    <w:lvl w:ilvl="0">
      <w:start w:val="1"/>
      <w:numFmt w:val="bullet"/>
      <w:pStyle w:val="ImportWordListStyleDefinition21"/>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7">
    <w:nsid w:val="0000000C"/>
    <w:multiLevelType w:val="multilevel"/>
    <w:tmpl w:val="894EE87E"/>
    <w:lvl w:ilvl="0">
      <w:start w:val="1"/>
      <w:numFmt w:val="bullet"/>
      <w:pStyle w:val="List41"/>
      <w:lvlText w:val="•"/>
      <w:lvlJc w:val="left"/>
      <w:pPr>
        <w:tabs>
          <w:tab w:val="num" w:pos="393"/>
        </w:tabs>
        <w:ind w:left="393" w:firstLine="360"/>
      </w:pPr>
      <w:rPr>
        <w:position w:val="0"/>
      </w:rPr>
    </w:lvl>
    <w:lvl w:ilvl="1">
      <w:start w:val="1"/>
      <w:numFmt w:val="bullet"/>
      <w:lvlText w:val="."/>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8">
    <w:nsid w:val="0000000D"/>
    <w:multiLevelType w:val="multilevel"/>
    <w:tmpl w:val="894EE87F"/>
    <w:lvl w:ilvl="0">
      <w:start w:val="1"/>
      <w:numFmt w:val="bullet"/>
      <w:pStyle w:val="ImportWordListStyleDefinition30"/>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9">
    <w:nsid w:val="0000000F"/>
    <w:multiLevelType w:val="multilevel"/>
    <w:tmpl w:val="894EE881"/>
    <w:lvl w:ilvl="0">
      <w:start w:val="1"/>
      <w:numFmt w:val="bullet"/>
      <w:pStyle w:val="List51"/>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0">
    <w:nsid w:val="00000010"/>
    <w:multiLevelType w:val="multilevel"/>
    <w:tmpl w:val="894EE882"/>
    <w:lvl w:ilvl="0">
      <w:start w:val="1"/>
      <w:numFmt w:val="bullet"/>
      <w:pStyle w:val="ImportWordListStyleDefinition9"/>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11">
    <w:nsid w:val="00000012"/>
    <w:multiLevelType w:val="multilevel"/>
    <w:tmpl w:val="894EE884"/>
    <w:lvl w:ilvl="0">
      <w:start w:val="1"/>
      <w:numFmt w:val="bullet"/>
      <w:pStyle w:val="List6"/>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nsid w:val="00000013"/>
    <w:multiLevelType w:val="multilevel"/>
    <w:tmpl w:val="894EE885"/>
    <w:lvl w:ilvl="0">
      <w:start w:val="1"/>
      <w:numFmt w:val="bullet"/>
      <w:pStyle w:val="ImportWordListStyleDefinition25"/>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abstractNum>
  <w:abstractNum w:abstractNumId="13">
    <w:nsid w:val="00000015"/>
    <w:multiLevelType w:val="multilevel"/>
    <w:tmpl w:val="894EE887"/>
    <w:lvl w:ilvl="0">
      <w:start w:val="1"/>
      <w:numFmt w:val="bullet"/>
      <w:pStyle w:val="List7"/>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4">
    <w:nsid w:val="00000016"/>
    <w:multiLevelType w:val="multilevel"/>
    <w:tmpl w:val="894EE888"/>
    <w:lvl w:ilvl="0">
      <w:start w:val="1"/>
      <w:numFmt w:val="bullet"/>
      <w:pStyle w:val="ImportWordListStyleDefinition4"/>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15">
    <w:nsid w:val="00000018"/>
    <w:multiLevelType w:val="multilevel"/>
    <w:tmpl w:val="894EE88A"/>
    <w:lvl w:ilvl="0">
      <w:start w:val="1"/>
      <w:numFmt w:val="bullet"/>
      <w:pStyle w:val="List8"/>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nsid w:val="00000019"/>
    <w:multiLevelType w:val="multilevel"/>
    <w:tmpl w:val="894EE88B"/>
    <w:lvl w:ilvl="0">
      <w:start w:val="1"/>
      <w:numFmt w:val="bullet"/>
      <w:pStyle w:val="ImportWordListStyleDefinition29"/>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17">
    <w:nsid w:val="0000001B"/>
    <w:multiLevelType w:val="multilevel"/>
    <w:tmpl w:val="894EE88D"/>
    <w:lvl w:ilvl="0">
      <w:start w:val="1"/>
      <w:numFmt w:val="bullet"/>
      <w:pStyle w:val="List9"/>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nsid w:val="0000001C"/>
    <w:multiLevelType w:val="multilevel"/>
    <w:tmpl w:val="894EE88E"/>
    <w:lvl w:ilvl="0">
      <w:start w:val="1"/>
      <w:numFmt w:val="bullet"/>
      <w:pStyle w:val="ImportWordListStyleDefinition2"/>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abstractNum>
  <w:abstractNum w:abstractNumId="19">
    <w:nsid w:val="0000001E"/>
    <w:multiLevelType w:val="multilevel"/>
    <w:tmpl w:val="894EE890"/>
    <w:lvl w:ilvl="0">
      <w:start w:val="1"/>
      <w:numFmt w:val="bullet"/>
      <w:pStyle w:val="List10"/>
      <w:lvlText w:val="•"/>
      <w:lvlJc w:val="left"/>
      <w:pPr>
        <w:tabs>
          <w:tab w:val="num" w:pos="393"/>
        </w:tabs>
        <w:ind w:left="393" w:firstLine="360"/>
      </w:pPr>
      <w:rPr>
        <w:position w:val="0"/>
      </w:rPr>
    </w:lvl>
    <w:lvl w:ilvl="1">
      <w:start w:val="1"/>
      <w:numFmt w:val="bullet"/>
      <w:lvlText w:val="-"/>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nsid w:val="0000001F"/>
    <w:multiLevelType w:val="multilevel"/>
    <w:tmpl w:val="894EE891"/>
    <w:lvl w:ilvl="0">
      <w:start w:val="1"/>
      <w:numFmt w:val="bullet"/>
      <w:pStyle w:val="ImportWordListStyleDefinition26"/>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1">
      <w:start w:val="1"/>
      <w:numFmt w:val="bullet"/>
      <w:lvlText w:val="-"/>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abstractNum>
  <w:abstractNum w:abstractNumId="21">
    <w:nsid w:val="00000021"/>
    <w:multiLevelType w:val="multilevel"/>
    <w:tmpl w:val="894EE893"/>
    <w:lvl w:ilvl="0">
      <w:start w:val="1"/>
      <w:numFmt w:val="bullet"/>
      <w:pStyle w:val="List11"/>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2">
    <w:nsid w:val="00000022"/>
    <w:multiLevelType w:val="multilevel"/>
    <w:tmpl w:val="894EE894"/>
    <w:lvl w:ilvl="0">
      <w:start w:val="1"/>
      <w:numFmt w:val="bullet"/>
      <w:pStyle w:val="ImportWordListStyleDefinition6"/>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abstractNum>
  <w:abstractNum w:abstractNumId="23">
    <w:nsid w:val="00000024"/>
    <w:multiLevelType w:val="multilevel"/>
    <w:tmpl w:val="894EE896"/>
    <w:lvl w:ilvl="0">
      <w:start w:val="1"/>
      <w:numFmt w:val="bullet"/>
      <w:pStyle w:val="List12"/>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4">
    <w:nsid w:val="00000025"/>
    <w:multiLevelType w:val="multilevel"/>
    <w:tmpl w:val="894EE897"/>
    <w:lvl w:ilvl="0">
      <w:start w:val="1"/>
      <w:numFmt w:val="bullet"/>
      <w:pStyle w:val="ImportWordListStyleDefinition18"/>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abstractNum>
  <w:abstractNum w:abstractNumId="25">
    <w:nsid w:val="00000027"/>
    <w:multiLevelType w:val="multilevel"/>
    <w:tmpl w:val="894EE899"/>
    <w:lvl w:ilvl="0">
      <w:start w:val="1"/>
      <w:numFmt w:val="bullet"/>
      <w:pStyle w:val="List13"/>
      <w:lvlText w:val="-"/>
      <w:lvlJc w:val="left"/>
      <w:pPr>
        <w:tabs>
          <w:tab w:val="num" w:pos="393"/>
        </w:tabs>
        <w:ind w:left="393" w:firstLine="720"/>
      </w:pPr>
      <w:rPr>
        <w:position w:val="0"/>
      </w:rPr>
    </w:lvl>
    <w:lvl w:ilvl="1">
      <w:start w:val="1"/>
      <w:numFmt w:val="bullet"/>
      <w:lvlText w:val="o"/>
      <w:lvlJc w:val="left"/>
      <w:pPr>
        <w:tabs>
          <w:tab w:val="num" w:pos="360"/>
        </w:tabs>
        <w:ind w:left="360" w:firstLine="1440"/>
      </w:pPr>
      <w:rPr>
        <w:position w:val="0"/>
      </w:rPr>
    </w:lvl>
    <w:lvl w:ilvl="2">
      <w:start w:val="1"/>
      <w:numFmt w:val="bullet"/>
      <w:lvlText w:val="•"/>
      <w:lvlJc w:val="left"/>
      <w:pPr>
        <w:tabs>
          <w:tab w:val="num" w:pos="360"/>
        </w:tabs>
        <w:ind w:left="360" w:firstLine="2160"/>
      </w:pPr>
      <w:rPr>
        <w:position w:val="0"/>
      </w:rPr>
    </w:lvl>
    <w:lvl w:ilvl="3">
      <w:start w:val="1"/>
      <w:numFmt w:val="bullet"/>
      <w:lvlText w:val="•"/>
      <w:lvlJc w:val="left"/>
      <w:pPr>
        <w:tabs>
          <w:tab w:val="num" w:pos="360"/>
        </w:tabs>
        <w:ind w:left="360" w:firstLine="2880"/>
      </w:pPr>
      <w:rPr>
        <w:position w:val="0"/>
      </w:rPr>
    </w:lvl>
    <w:lvl w:ilvl="4">
      <w:start w:val="1"/>
      <w:numFmt w:val="bullet"/>
      <w:lvlText w:val="o"/>
      <w:lvlJc w:val="left"/>
      <w:pPr>
        <w:tabs>
          <w:tab w:val="num" w:pos="360"/>
        </w:tabs>
        <w:ind w:left="360" w:firstLine="3600"/>
      </w:pPr>
      <w:rPr>
        <w:position w:val="0"/>
      </w:rPr>
    </w:lvl>
    <w:lvl w:ilvl="5">
      <w:start w:val="1"/>
      <w:numFmt w:val="bullet"/>
      <w:lvlText w:val="•"/>
      <w:lvlJc w:val="left"/>
      <w:pPr>
        <w:tabs>
          <w:tab w:val="num" w:pos="360"/>
        </w:tabs>
        <w:ind w:left="360" w:firstLine="4320"/>
      </w:pPr>
      <w:rPr>
        <w:position w:val="0"/>
      </w:rPr>
    </w:lvl>
    <w:lvl w:ilvl="6">
      <w:start w:val="1"/>
      <w:numFmt w:val="bullet"/>
      <w:lvlText w:val="•"/>
      <w:lvlJc w:val="left"/>
      <w:pPr>
        <w:tabs>
          <w:tab w:val="num" w:pos="360"/>
        </w:tabs>
        <w:ind w:left="360" w:firstLine="5040"/>
      </w:pPr>
      <w:rPr>
        <w:position w:val="0"/>
      </w:rPr>
    </w:lvl>
    <w:lvl w:ilvl="7">
      <w:start w:val="1"/>
      <w:numFmt w:val="bullet"/>
      <w:lvlText w:val="o"/>
      <w:lvlJc w:val="left"/>
      <w:pPr>
        <w:tabs>
          <w:tab w:val="num" w:pos="360"/>
        </w:tabs>
        <w:ind w:left="360" w:firstLine="5760"/>
      </w:pPr>
      <w:rPr>
        <w:position w:val="0"/>
      </w:rPr>
    </w:lvl>
    <w:lvl w:ilvl="8">
      <w:start w:val="1"/>
      <w:numFmt w:val="bullet"/>
      <w:lvlText w:val="•"/>
      <w:lvlJc w:val="left"/>
      <w:pPr>
        <w:tabs>
          <w:tab w:val="num" w:pos="360"/>
        </w:tabs>
        <w:ind w:left="360" w:firstLine="6480"/>
      </w:pPr>
      <w:rPr>
        <w:position w:val="0"/>
      </w:rPr>
    </w:lvl>
  </w:abstractNum>
  <w:abstractNum w:abstractNumId="26">
    <w:nsid w:val="00000028"/>
    <w:multiLevelType w:val="multilevel"/>
    <w:tmpl w:val="894EE89A"/>
    <w:lvl w:ilvl="0">
      <w:start w:val="1"/>
      <w:numFmt w:val="bullet"/>
      <w:pStyle w:val="ImportWordListStyleDefinition5"/>
      <w:lvlText w:val="-"/>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1">
      <w:start w:val="1"/>
      <w:numFmt w:val="bullet"/>
      <w:lvlText w:val="o"/>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2">
      <w:start w:val="1"/>
      <w:numFmt w:val="bullet"/>
      <w:lvlText w:val="•"/>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3">
      <w:start w:val="1"/>
      <w:numFmt w:val="bullet"/>
      <w:lvlText w:val="•"/>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4">
      <w:start w:val="1"/>
      <w:numFmt w:val="bullet"/>
      <w:lvlText w:val="o"/>
      <w:lvlJc w:val="left"/>
      <w:pPr>
        <w:tabs>
          <w:tab w:val="num" w:pos="360"/>
        </w:tabs>
        <w:ind w:left="360" w:firstLine="36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5">
      <w:start w:val="1"/>
      <w:numFmt w:val="bullet"/>
      <w:lvlText w:val="•"/>
      <w:lvlJc w:val="left"/>
      <w:pPr>
        <w:tabs>
          <w:tab w:val="num" w:pos="360"/>
        </w:tabs>
        <w:ind w:left="360" w:firstLine="43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6">
      <w:start w:val="1"/>
      <w:numFmt w:val="bullet"/>
      <w:lvlText w:val="•"/>
      <w:lvlJc w:val="left"/>
      <w:pPr>
        <w:tabs>
          <w:tab w:val="num" w:pos="360"/>
        </w:tabs>
        <w:ind w:left="360" w:firstLine="50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7">
      <w:start w:val="1"/>
      <w:numFmt w:val="bullet"/>
      <w:lvlText w:val="o"/>
      <w:lvlJc w:val="left"/>
      <w:pPr>
        <w:tabs>
          <w:tab w:val="num" w:pos="360"/>
        </w:tabs>
        <w:ind w:left="360" w:firstLine="57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8">
      <w:start w:val="1"/>
      <w:numFmt w:val="bullet"/>
      <w:lvlText w:val="•"/>
      <w:lvlJc w:val="left"/>
      <w:pPr>
        <w:tabs>
          <w:tab w:val="num" w:pos="360"/>
        </w:tabs>
        <w:ind w:left="360" w:firstLine="64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abstractNum>
  <w:abstractNum w:abstractNumId="27">
    <w:nsid w:val="0000002A"/>
    <w:multiLevelType w:val="multilevel"/>
    <w:tmpl w:val="894EE89C"/>
    <w:lvl w:ilvl="0">
      <w:start w:val="1"/>
      <w:numFmt w:val="bullet"/>
      <w:pStyle w:val="List14"/>
      <w:lvlText w:val="•"/>
      <w:lvlJc w:val="left"/>
      <w:pPr>
        <w:tabs>
          <w:tab w:val="num" w:pos="393"/>
        </w:tabs>
        <w:ind w:left="393" w:firstLine="0"/>
      </w:pPr>
      <w:rPr>
        <w:position w:val="0"/>
      </w:rPr>
    </w:lvl>
    <w:lvl w:ilvl="1">
      <w:start w:val="1"/>
      <w:numFmt w:val="bullet"/>
      <w:lvlText w:val="."/>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8">
    <w:nsid w:val="0000002B"/>
    <w:multiLevelType w:val="multilevel"/>
    <w:tmpl w:val="894EE89D"/>
    <w:lvl w:ilvl="0">
      <w:start w:val="1"/>
      <w:numFmt w:val="bullet"/>
      <w:pStyle w:val="ImportWordListStyleDefinition17"/>
      <w:lvlText w:val="•"/>
      <w:lvlJc w:val="left"/>
      <w:pPr>
        <w:tabs>
          <w:tab w:val="num" w:pos="360"/>
        </w:tabs>
        <w:ind w:left="36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29">
    <w:nsid w:val="0000002D"/>
    <w:multiLevelType w:val="multilevel"/>
    <w:tmpl w:val="894EE89F"/>
    <w:lvl w:ilvl="0">
      <w:start w:val="1"/>
      <w:numFmt w:val="bullet"/>
      <w:pStyle w:val="List15"/>
      <w:lvlText w:val="•"/>
      <w:lvlJc w:val="left"/>
      <w:pPr>
        <w:tabs>
          <w:tab w:val="num" w:pos="393"/>
        </w:tabs>
        <w:ind w:left="393" w:firstLine="720"/>
      </w:pPr>
      <w:rPr>
        <w:position w:val="0"/>
      </w:rPr>
    </w:lvl>
    <w:lvl w:ilvl="1">
      <w:start w:val="1"/>
      <w:numFmt w:val="bullet"/>
      <w:lvlText w:val="o"/>
      <w:lvlJc w:val="left"/>
      <w:pPr>
        <w:tabs>
          <w:tab w:val="num" w:pos="360"/>
        </w:tabs>
        <w:ind w:left="360" w:firstLine="1440"/>
      </w:pPr>
      <w:rPr>
        <w:position w:val="0"/>
      </w:rPr>
    </w:lvl>
    <w:lvl w:ilvl="2">
      <w:start w:val="1"/>
      <w:numFmt w:val="bullet"/>
      <w:lvlText w:val="•"/>
      <w:lvlJc w:val="left"/>
      <w:pPr>
        <w:tabs>
          <w:tab w:val="num" w:pos="360"/>
        </w:tabs>
        <w:ind w:left="360" w:firstLine="2160"/>
      </w:pPr>
      <w:rPr>
        <w:position w:val="0"/>
      </w:rPr>
    </w:lvl>
    <w:lvl w:ilvl="3">
      <w:start w:val="1"/>
      <w:numFmt w:val="bullet"/>
      <w:lvlText w:val="•"/>
      <w:lvlJc w:val="left"/>
      <w:pPr>
        <w:tabs>
          <w:tab w:val="num" w:pos="360"/>
        </w:tabs>
        <w:ind w:left="360" w:firstLine="2880"/>
      </w:pPr>
      <w:rPr>
        <w:position w:val="0"/>
      </w:rPr>
    </w:lvl>
    <w:lvl w:ilvl="4">
      <w:start w:val="1"/>
      <w:numFmt w:val="bullet"/>
      <w:lvlText w:val="o"/>
      <w:lvlJc w:val="left"/>
      <w:pPr>
        <w:tabs>
          <w:tab w:val="num" w:pos="360"/>
        </w:tabs>
        <w:ind w:left="360" w:firstLine="3600"/>
      </w:pPr>
      <w:rPr>
        <w:position w:val="0"/>
      </w:rPr>
    </w:lvl>
    <w:lvl w:ilvl="5">
      <w:start w:val="1"/>
      <w:numFmt w:val="bullet"/>
      <w:lvlText w:val="•"/>
      <w:lvlJc w:val="left"/>
      <w:pPr>
        <w:tabs>
          <w:tab w:val="num" w:pos="360"/>
        </w:tabs>
        <w:ind w:left="360" w:firstLine="4320"/>
      </w:pPr>
      <w:rPr>
        <w:position w:val="0"/>
      </w:rPr>
    </w:lvl>
    <w:lvl w:ilvl="6">
      <w:start w:val="1"/>
      <w:numFmt w:val="bullet"/>
      <w:lvlText w:val="•"/>
      <w:lvlJc w:val="left"/>
      <w:pPr>
        <w:tabs>
          <w:tab w:val="num" w:pos="360"/>
        </w:tabs>
        <w:ind w:left="360" w:firstLine="5040"/>
      </w:pPr>
      <w:rPr>
        <w:position w:val="0"/>
      </w:rPr>
    </w:lvl>
    <w:lvl w:ilvl="7">
      <w:start w:val="1"/>
      <w:numFmt w:val="bullet"/>
      <w:lvlText w:val="o"/>
      <w:lvlJc w:val="left"/>
      <w:pPr>
        <w:tabs>
          <w:tab w:val="num" w:pos="360"/>
        </w:tabs>
        <w:ind w:left="360" w:firstLine="5760"/>
      </w:pPr>
      <w:rPr>
        <w:position w:val="0"/>
      </w:rPr>
    </w:lvl>
    <w:lvl w:ilvl="8">
      <w:start w:val="1"/>
      <w:numFmt w:val="bullet"/>
      <w:lvlText w:val="•"/>
      <w:lvlJc w:val="left"/>
      <w:pPr>
        <w:tabs>
          <w:tab w:val="num" w:pos="360"/>
        </w:tabs>
        <w:ind w:left="360" w:firstLine="6480"/>
      </w:pPr>
      <w:rPr>
        <w:position w:val="0"/>
      </w:rPr>
    </w:lvl>
  </w:abstractNum>
  <w:abstractNum w:abstractNumId="30">
    <w:nsid w:val="0000002E"/>
    <w:multiLevelType w:val="multilevel"/>
    <w:tmpl w:val="894EE8A0"/>
    <w:lvl w:ilvl="0">
      <w:start w:val="1"/>
      <w:numFmt w:val="bullet"/>
      <w:pStyle w:val="ImportWordListStyleDefinition23"/>
      <w:lvlText w:val="•"/>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1">
      <w:start w:val="1"/>
      <w:numFmt w:val="bullet"/>
      <w:lvlText w:val="o"/>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2">
      <w:start w:val="1"/>
      <w:numFmt w:val="bullet"/>
      <w:lvlText w:val="•"/>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3">
      <w:start w:val="1"/>
      <w:numFmt w:val="bullet"/>
      <w:lvlText w:val="•"/>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4">
      <w:start w:val="1"/>
      <w:numFmt w:val="bullet"/>
      <w:lvlText w:val="o"/>
      <w:lvlJc w:val="left"/>
      <w:pPr>
        <w:tabs>
          <w:tab w:val="num" w:pos="360"/>
        </w:tabs>
        <w:ind w:left="360" w:firstLine="36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5">
      <w:start w:val="1"/>
      <w:numFmt w:val="bullet"/>
      <w:lvlText w:val="•"/>
      <w:lvlJc w:val="left"/>
      <w:pPr>
        <w:tabs>
          <w:tab w:val="num" w:pos="360"/>
        </w:tabs>
        <w:ind w:left="360" w:firstLine="43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6">
      <w:start w:val="1"/>
      <w:numFmt w:val="bullet"/>
      <w:lvlText w:val="•"/>
      <w:lvlJc w:val="left"/>
      <w:pPr>
        <w:tabs>
          <w:tab w:val="num" w:pos="360"/>
        </w:tabs>
        <w:ind w:left="360" w:firstLine="50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7">
      <w:start w:val="1"/>
      <w:numFmt w:val="bullet"/>
      <w:lvlText w:val="o"/>
      <w:lvlJc w:val="left"/>
      <w:pPr>
        <w:tabs>
          <w:tab w:val="num" w:pos="360"/>
        </w:tabs>
        <w:ind w:left="360" w:firstLine="57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8">
      <w:start w:val="1"/>
      <w:numFmt w:val="bullet"/>
      <w:lvlText w:val="•"/>
      <w:lvlJc w:val="left"/>
      <w:pPr>
        <w:tabs>
          <w:tab w:val="num" w:pos="360"/>
        </w:tabs>
        <w:ind w:left="360" w:firstLine="64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abstractNum>
  <w:abstractNum w:abstractNumId="31">
    <w:nsid w:val="00000030"/>
    <w:multiLevelType w:val="multilevel"/>
    <w:tmpl w:val="894EE8A2"/>
    <w:lvl w:ilvl="0">
      <w:start w:val="1"/>
      <w:numFmt w:val="bullet"/>
      <w:pStyle w:val="List16"/>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32">
    <w:nsid w:val="00000031"/>
    <w:multiLevelType w:val="multilevel"/>
    <w:tmpl w:val="894EE8A3"/>
    <w:lvl w:ilvl="0">
      <w:start w:val="1"/>
      <w:numFmt w:val="bullet"/>
      <w:pStyle w:val="ImportWordListStyleDefinition13"/>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33">
    <w:nsid w:val="00000033"/>
    <w:multiLevelType w:val="multilevel"/>
    <w:tmpl w:val="894EE8A5"/>
    <w:lvl w:ilvl="0">
      <w:start w:val="1"/>
      <w:numFmt w:val="bullet"/>
      <w:pStyle w:val="List17"/>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34">
    <w:nsid w:val="00000034"/>
    <w:multiLevelType w:val="multilevel"/>
    <w:tmpl w:val="894EE8A6"/>
    <w:lvl w:ilvl="0">
      <w:start w:val="1"/>
      <w:numFmt w:val="bullet"/>
      <w:pStyle w:val="ImportWordListStyleDefinition28"/>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35">
    <w:nsid w:val="00000036"/>
    <w:multiLevelType w:val="multilevel"/>
    <w:tmpl w:val="894EE8A8"/>
    <w:lvl w:ilvl="0">
      <w:start w:val="1"/>
      <w:numFmt w:val="bullet"/>
      <w:pStyle w:val="List18"/>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36">
    <w:nsid w:val="00000037"/>
    <w:multiLevelType w:val="multilevel"/>
    <w:tmpl w:val="894EE8A9"/>
    <w:lvl w:ilvl="0">
      <w:start w:val="1"/>
      <w:numFmt w:val="bullet"/>
      <w:pStyle w:val="ImportWordListStyleDefinition20"/>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37">
    <w:nsid w:val="00000039"/>
    <w:multiLevelType w:val="multilevel"/>
    <w:tmpl w:val="894EE8AB"/>
    <w:lvl w:ilvl="0">
      <w:start w:val="1"/>
      <w:numFmt w:val="bullet"/>
      <w:pStyle w:val="List19"/>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38">
    <w:nsid w:val="0000003A"/>
    <w:multiLevelType w:val="multilevel"/>
    <w:tmpl w:val="894EE8AC"/>
    <w:lvl w:ilvl="0">
      <w:start w:val="1"/>
      <w:numFmt w:val="bullet"/>
      <w:pStyle w:val="ImportWordListStyleDefinition24"/>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39">
    <w:nsid w:val="0000003C"/>
    <w:multiLevelType w:val="multilevel"/>
    <w:tmpl w:val="894EE8AE"/>
    <w:lvl w:ilvl="0">
      <w:start w:val="1"/>
      <w:numFmt w:val="bullet"/>
      <w:pStyle w:val="List20"/>
      <w:lvlText w:val="•"/>
      <w:lvlJc w:val="left"/>
      <w:pPr>
        <w:tabs>
          <w:tab w:val="num" w:pos="393"/>
        </w:tabs>
        <w:ind w:left="393" w:firstLine="1080"/>
      </w:pPr>
      <w:rPr>
        <w:position w:val="0"/>
      </w:rPr>
    </w:lvl>
    <w:lvl w:ilvl="1">
      <w:start w:val="1"/>
      <w:numFmt w:val="bullet"/>
      <w:lvlText w:val="o"/>
      <w:lvlJc w:val="left"/>
      <w:pPr>
        <w:tabs>
          <w:tab w:val="num" w:pos="360"/>
        </w:tabs>
        <w:ind w:left="360" w:firstLine="1800"/>
      </w:pPr>
      <w:rPr>
        <w:position w:val="0"/>
      </w:rPr>
    </w:lvl>
    <w:lvl w:ilvl="2">
      <w:start w:val="1"/>
      <w:numFmt w:val="bullet"/>
      <w:lvlText w:val="•"/>
      <w:lvlJc w:val="left"/>
      <w:pPr>
        <w:tabs>
          <w:tab w:val="num" w:pos="360"/>
        </w:tabs>
        <w:ind w:left="360" w:firstLine="2520"/>
      </w:pPr>
      <w:rPr>
        <w:position w:val="0"/>
      </w:rPr>
    </w:lvl>
    <w:lvl w:ilvl="3">
      <w:start w:val="1"/>
      <w:numFmt w:val="bullet"/>
      <w:lvlText w:val="•"/>
      <w:lvlJc w:val="left"/>
      <w:pPr>
        <w:tabs>
          <w:tab w:val="num" w:pos="360"/>
        </w:tabs>
        <w:ind w:left="360" w:firstLine="3240"/>
      </w:pPr>
      <w:rPr>
        <w:position w:val="0"/>
      </w:rPr>
    </w:lvl>
    <w:lvl w:ilvl="4">
      <w:start w:val="1"/>
      <w:numFmt w:val="bullet"/>
      <w:lvlText w:val="o"/>
      <w:lvlJc w:val="left"/>
      <w:pPr>
        <w:tabs>
          <w:tab w:val="num" w:pos="360"/>
        </w:tabs>
        <w:ind w:left="360" w:firstLine="3960"/>
      </w:pPr>
      <w:rPr>
        <w:position w:val="0"/>
      </w:rPr>
    </w:lvl>
    <w:lvl w:ilvl="5">
      <w:start w:val="1"/>
      <w:numFmt w:val="bullet"/>
      <w:lvlText w:val="•"/>
      <w:lvlJc w:val="left"/>
      <w:pPr>
        <w:tabs>
          <w:tab w:val="num" w:pos="360"/>
        </w:tabs>
        <w:ind w:left="360" w:firstLine="4680"/>
      </w:pPr>
      <w:rPr>
        <w:position w:val="0"/>
      </w:rPr>
    </w:lvl>
    <w:lvl w:ilvl="6">
      <w:start w:val="1"/>
      <w:numFmt w:val="bullet"/>
      <w:lvlText w:val="•"/>
      <w:lvlJc w:val="left"/>
      <w:pPr>
        <w:tabs>
          <w:tab w:val="num" w:pos="360"/>
        </w:tabs>
        <w:ind w:left="360" w:firstLine="5400"/>
      </w:pPr>
      <w:rPr>
        <w:position w:val="0"/>
      </w:rPr>
    </w:lvl>
    <w:lvl w:ilvl="7">
      <w:start w:val="1"/>
      <w:numFmt w:val="bullet"/>
      <w:lvlText w:val="o"/>
      <w:lvlJc w:val="left"/>
      <w:pPr>
        <w:tabs>
          <w:tab w:val="num" w:pos="360"/>
        </w:tabs>
        <w:ind w:left="360" w:firstLine="6120"/>
      </w:pPr>
      <w:rPr>
        <w:position w:val="0"/>
      </w:rPr>
    </w:lvl>
    <w:lvl w:ilvl="8">
      <w:start w:val="1"/>
      <w:numFmt w:val="bullet"/>
      <w:lvlText w:val="•"/>
      <w:lvlJc w:val="left"/>
      <w:pPr>
        <w:tabs>
          <w:tab w:val="num" w:pos="360"/>
        </w:tabs>
        <w:ind w:left="360" w:firstLine="6840"/>
      </w:pPr>
      <w:rPr>
        <w:position w:val="0"/>
      </w:rPr>
    </w:lvl>
  </w:abstractNum>
  <w:abstractNum w:abstractNumId="40">
    <w:nsid w:val="0000003D"/>
    <w:multiLevelType w:val="multilevel"/>
    <w:tmpl w:val="894EE8AF"/>
    <w:lvl w:ilvl="0">
      <w:start w:val="1"/>
      <w:numFmt w:val="bullet"/>
      <w:pStyle w:val="ImportWordListStyleDefinition11"/>
      <w:lvlText w:val="•"/>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8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41">
    <w:nsid w:val="0000003F"/>
    <w:multiLevelType w:val="multilevel"/>
    <w:tmpl w:val="894EE8B1"/>
    <w:lvl w:ilvl="0">
      <w:start w:val="1"/>
      <w:numFmt w:val="bullet"/>
      <w:pStyle w:val="List21"/>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42">
    <w:nsid w:val="00000040"/>
    <w:multiLevelType w:val="multilevel"/>
    <w:tmpl w:val="894EE8B2"/>
    <w:lvl w:ilvl="0">
      <w:start w:val="1"/>
      <w:numFmt w:val="bullet"/>
      <w:pStyle w:val="ImportWordListStyleDefinition7"/>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43">
    <w:nsid w:val="00000042"/>
    <w:multiLevelType w:val="multilevel"/>
    <w:tmpl w:val="894EE8B4"/>
    <w:lvl w:ilvl="0">
      <w:start w:val="1"/>
      <w:numFmt w:val="bullet"/>
      <w:pStyle w:val="List22"/>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44">
    <w:nsid w:val="00000043"/>
    <w:multiLevelType w:val="multilevel"/>
    <w:tmpl w:val="894EE8B5"/>
    <w:lvl w:ilvl="0">
      <w:start w:val="1"/>
      <w:numFmt w:val="bullet"/>
      <w:pStyle w:val="ImportWordListStyleDefinition16"/>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45">
    <w:nsid w:val="00000045"/>
    <w:multiLevelType w:val="multilevel"/>
    <w:tmpl w:val="894EE8B7"/>
    <w:lvl w:ilvl="0">
      <w:start w:val="1"/>
      <w:numFmt w:val="bullet"/>
      <w:pStyle w:val="List23"/>
      <w:lvlText w:val="•"/>
      <w:lvlJc w:val="left"/>
      <w:pPr>
        <w:tabs>
          <w:tab w:val="num" w:pos="393"/>
        </w:tabs>
        <w:ind w:left="393" w:firstLine="681"/>
      </w:pPr>
      <w:rPr>
        <w:position w:val="0"/>
      </w:rPr>
    </w:lvl>
    <w:lvl w:ilvl="1">
      <w:start w:val="1"/>
      <w:numFmt w:val="bullet"/>
      <w:lvlText w:val="o"/>
      <w:lvlJc w:val="left"/>
      <w:pPr>
        <w:tabs>
          <w:tab w:val="num" w:pos="360"/>
        </w:tabs>
        <w:ind w:left="360" w:firstLine="1401"/>
      </w:pPr>
      <w:rPr>
        <w:position w:val="0"/>
      </w:rPr>
    </w:lvl>
    <w:lvl w:ilvl="2">
      <w:start w:val="1"/>
      <w:numFmt w:val="bullet"/>
      <w:lvlText w:val="•"/>
      <w:lvlJc w:val="left"/>
      <w:pPr>
        <w:tabs>
          <w:tab w:val="num" w:pos="360"/>
        </w:tabs>
        <w:ind w:left="360" w:firstLine="2121"/>
      </w:pPr>
      <w:rPr>
        <w:position w:val="0"/>
      </w:rPr>
    </w:lvl>
    <w:lvl w:ilvl="3">
      <w:start w:val="1"/>
      <w:numFmt w:val="bullet"/>
      <w:lvlText w:val="•"/>
      <w:lvlJc w:val="left"/>
      <w:pPr>
        <w:tabs>
          <w:tab w:val="num" w:pos="360"/>
        </w:tabs>
        <w:ind w:left="360" w:firstLine="2841"/>
      </w:pPr>
      <w:rPr>
        <w:position w:val="0"/>
      </w:rPr>
    </w:lvl>
    <w:lvl w:ilvl="4">
      <w:start w:val="1"/>
      <w:numFmt w:val="bullet"/>
      <w:lvlText w:val="o"/>
      <w:lvlJc w:val="left"/>
      <w:pPr>
        <w:tabs>
          <w:tab w:val="num" w:pos="360"/>
        </w:tabs>
        <w:ind w:left="360" w:firstLine="3561"/>
      </w:pPr>
      <w:rPr>
        <w:position w:val="0"/>
      </w:rPr>
    </w:lvl>
    <w:lvl w:ilvl="5">
      <w:start w:val="1"/>
      <w:numFmt w:val="bullet"/>
      <w:lvlText w:val="•"/>
      <w:lvlJc w:val="left"/>
      <w:pPr>
        <w:tabs>
          <w:tab w:val="num" w:pos="360"/>
        </w:tabs>
        <w:ind w:left="360" w:firstLine="4281"/>
      </w:pPr>
      <w:rPr>
        <w:position w:val="0"/>
      </w:rPr>
    </w:lvl>
    <w:lvl w:ilvl="6">
      <w:start w:val="1"/>
      <w:numFmt w:val="bullet"/>
      <w:lvlText w:val="•"/>
      <w:lvlJc w:val="left"/>
      <w:pPr>
        <w:tabs>
          <w:tab w:val="num" w:pos="360"/>
        </w:tabs>
        <w:ind w:left="360" w:firstLine="5001"/>
      </w:pPr>
      <w:rPr>
        <w:position w:val="0"/>
      </w:rPr>
    </w:lvl>
    <w:lvl w:ilvl="7">
      <w:start w:val="1"/>
      <w:numFmt w:val="bullet"/>
      <w:lvlText w:val="o"/>
      <w:lvlJc w:val="left"/>
      <w:pPr>
        <w:tabs>
          <w:tab w:val="num" w:pos="360"/>
        </w:tabs>
        <w:ind w:left="360" w:firstLine="5721"/>
      </w:pPr>
      <w:rPr>
        <w:position w:val="0"/>
      </w:rPr>
    </w:lvl>
    <w:lvl w:ilvl="8">
      <w:start w:val="1"/>
      <w:numFmt w:val="bullet"/>
      <w:lvlText w:val="•"/>
      <w:lvlJc w:val="left"/>
      <w:pPr>
        <w:tabs>
          <w:tab w:val="num" w:pos="360"/>
        </w:tabs>
        <w:ind w:left="360" w:firstLine="6441"/>
      </w:pPr>
      <w:rPr>
        <w:position w:val="0"/>
      </w:rPr>
    </w:lvl>
  </w:abstractNum>
  <w:abstractNum w:abstractNumId="46">
    <w:nsid w:val="00000046"/>
    <w:multiLevelType w:val="multilevel"/>
    <w:tmpl w:val="894EE8B8"/>
    <w:lvl w:ilvl="0">
      <w:start w:val="1"/>
      <w:numFmt w:val="bullet"/>
      <w:pStyle w:val="ImportWordListStyleDefinition27"/>
      <w:lvlText w:val="•"/>
      <w:lvlJc w:val="left"/>
      <w:pPr>
        <w:tabs>
          <w:tab w:val="num" w:pos="360"/>
        </w:tabs>
        <w:ind w:left="360" w:firstLine="68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40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212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84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56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428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500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72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441"/>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47">
    <w:nsid w:val="00000048"/>
    <w:multiLevelType w:val="multilevel"/>
    <w:tmpl w:val="894EE8BA"/>
    <w:lvl w:ilvl="0">
      <w:start w:val="1"/>
      <w:numFmt w:val="bullet"/>
      <w:pStyle w:val="List24"/>
      <w:lvlText w:val="•"/>
      <w:lvlJc w:val="left"/>
      <w:pPr>
        <w:tabs>
          <w:tab w:val="num" w:pos="393"/>
        </w:tabs>
        <w:ind w:left="393" w:firstLine="720"/>
      </w:pPr>
      <w:rPr>
        <w:position w:val="0"/>
      </w:rPr>
    </w:lvl>
    <w:lvl w:ilvl="1">
      <w:start w:val="1"/>
      <w:numFmt w:val="bullet"/>
      <w:lvlText w:val="o"/>
      <w:lvlJc w:val="left"/>
      <w:pPr>
        <w:tabs>
          <w:tab w:val="num" w:pos="360"/>
        </w:tabs>
        <w:ind w:left="360" w:firstLine="1440"/>
      </w:pPr>
      <w:rPr>
        <w:position w:val="0"/>
      </w:rPr>
    </w:lvl>
    <w:lvl w:ilvl="2">
      <w:start w:val="1"/>
      <w:numFmt w:val="bullet"/>
      <w:lvlText w:val="•"/>
      <w:lvlJc w:val="left"/>
      <w:pPr>
        <w:tabs>
          <w:tab w:val="num" w:pos="360"/>
        </w:tabs>
        <w:ind w:left="360" w:firstLine="2160"/>
      </w:pPr>
      <w:rPr>
        <w:position w:val="0"/>
      </w:rPr>
    </w:lvl>
    <w:lvl w:ilvl="3">
      <w:start w:val="1"/>
      <w:numFmt w:val="bullet"/>
      <w:lvlText w:val="•"/>
      <w:lvlJc w:val="left"/>
      <w:pPr>
        <w:tabs>
          <w:tab w:val="num" w:pos="360"/>
        </w:tabs>
        <w:ind w:left="360" w:firstLine="2880"/>
      </w:pPr>
      <w:rPr>
        <w:position w:val="0"/>
      </w:rPr>
    </w:lvl>
    <w:lvl w:ilvl="4">
      <w:start w:val="1"/>
      <w:numFmt w:val="bullet"/>
      <w:lvlText w:val="o"/>
      <w:lvlJc w:val="left"/>
      <w:pPr>
        <w:tabs>
          <w:tab w:val="num" w:pos="360"/>
        </w:tabs>
        <w:ind w:left="360" w:firstLine="3600"/>
      </w:pPr>
      <w:rPr>
        <w:position w:val="0"/>
      </w:rPr>
    </w:lvl>
    <w:lvl w:ilvl="5">
      <w:start w:val="1"/>
      <w:numFmt w:val="bullet"/>
      <w:lvlText w:val="•"/>
      <w:lvlJc w:val="left"/>
      <w:pPr>
        <w:tabs>
          <w:tab w:val="num" w:pos="360"/>
        </w:tabs>
        <w:ind w:left="360" w:firstLine="4320"/>
      </w:pPr>
      <w:rPr>
        <w:position w:val="0"/>
      </w:rPr>
    </w:lvl>
    <w:lvl w:ilvl="6">
      <w:start w:val="1"/>
      <w:numFmt w:val="bullet"/>
      <w:lvlText w:val="•"/>
      <w:lvlJc w:val="left"/>
      <w:pPr>
        <w:tabs>
          <w:tab w:val="num" w:pos="360"/>
        </w:tabs>
        <w:ind w:left="360" w:firstLine="5040"/>
      </w:pPr>
      <w:rPr>
        <w:position w:val="0"/>
      </w:rPr>
    </w:lvl>
    <w:lvl w:ilvl="7">
      <w:start w:val="1"/>
      <w:numFmt w:val="bullet"/>
      <w:lvlText w:val="o"/>
      <w:lvlJc w:val="left"/>
      <w:pPr>
        <w:tabs>
          <w:tab w:val="num" w:pos="360"/>
        </w:tabs>
        <w:ind w:left="360" w:firstLine="5760"/>
      </w:pPr>
      <w:rPr>
        <w:position w:val="0"/>
      </w:rPr>
    </w:lvl>
    <w:lvl w:ilvl="8">
      <w:start w:val="1"/>
      <w:numFmt w:val="bullet"/>
      <w:lvlText w:val="•"/>
      <w:lvlJc w:val="left"/>
      <w:pPr>
        <w:tabs>
          <w:tab w:val="num" w:pos="360"/>
        </w:tabs>
        <w:ind w:left="360" w:firstLine="6480"/>
      </w:pPr>
      <w:rPr>
        <w:position w:val="0"/>
      </w:rPr>
    </w:lvl>
  </w:abstractNum>
  <w:abstractNum w:abstractNumId="48">
    <w:nsid w:val="00000049"/>
    <w:multiLevelType w:val="multilevel"/>
    <w:tmpl w:val="894EE8BB"/>
    <w:lvl w:ilvl="0">
      <w:start w:val="1"/>
      <w:numFmt w:val="bullet"/>
      <w:pStyle w:val="ImportWordListStyleDefinition19"/>
      <w:lvlText w:val="•"/>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6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43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50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7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4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49">
    <w:nsid w:val="0000004B"/>
    <w:multiLevelType w:val="multilevel"/>
    <w:tmpl w:val="894EE8BD"/>
    <w:lvl w:ilvl="0">
      <w:start w:val="1"/>
      <w:numFmt w:val="bullet"/>
      <w:pStyle w:val="List25"/>
      <w:lvlText w:val="•"/>
      <w:lvlJc w:val="left"/>
      <w:pPr>
        <w:tabs>
          <w:tab w:val="num" w:pos="393"/>
        </w:tabs>
        <w:ind w:left="393" w:firstLine="720"/>
      </w:pPr>
      <w:rPr>
        <w:position w:val="0"/>
      </w:rPr>
    </w:lvl>
    <w:lvl w:ilvl="1">
      <w:start w:val="1"/>
      <w:numFmt w:val="bullet"/>
      <w:lvlText w:val="o"/>
      <w:lvlJc w:val="left"/>
      <w:pPr>
        <w:tabs>
          <w:tab w:val="num" w:pos="360"/>
        </w:tabs>
        <w:ind w:left="360" w:firstLine="1440"/>
      </w:pPr>
      <w:rPr>
        <w:position w:val="0"/>
      </w:rPr>
    </w:lvl>
    <w:lvl w:ilvl="2">
      <w:start w:val="1"/>
      <w:numFmt w:val="bullet"/>
      <w:lvlText w:val="•"/>
      <w:lvlJc w:val="left"/>
      <w:pPr>
        <w:tabs>
          <w:tab w:val="num" w:pos="360"/>
        </w:tabs>
        <w:ind w:left="360" w:firstLine="2160"/>
      </w:pPr>
      <w:rPr>
        <w:position w:val="0"/>
      </w:rPr>
    </w:lvl>
    <w:lvl w:ilvl="3">
      <w:start w:val="1"/>
      <w:numFmt w:val="bullet"/>
      <w:lvlText w:val="•"/>
      <w:lvlJc w:val="left"/>
      <w:pPr>
        <w:tabs>
          <w:tab w:val="num" w:pos="360"/>
        </w:tabs>
        <w:ind w:left="360" w:firstLine="2880"/>
      </w:pPr>
      <w:rPr>
        <w:position w:val="0"/>
      </w:rPr>
    </w:lvl>
    <w:lvl w:ilvl="4">
      <w:start w:val="1"/>
      <w:numFmt w:val="bullet"/>
      <w:lvlText w:val="o"/>
      <w:lvlJc w:val="left"/>
      <w:pPr>
        <w:tabs>
          <w:tab w:val="num" w:pos="360"/>
        </w:tabs>
        <w:ind w:left="360" w:firstLine="3600"/>
      </w:pPr>
      <w:rPr>
        <w:position w:val="0"/>
      </w:rPr>
    </w:lvl>
    <w:lvl w:ilvl="5">
      <w:start w:val="1"/>
      <w:numFmt w:val="bullet"/>
      <w:lvlText w:val="•"/>
      <w:lvlJc w:val="left"/>
      <w:pPr>
        <w:tabs>
          <w:tab w:val="num" w:pos="360"/>
        </w:tabs>
        <w:ind w:left="360" w:firstLine="4320"/>
      </w:pPr>
      <w:rPr>
        <w:position w:val="0"/>
      </w:rPr>
    </w:lvl>
    <w:lvl w:ilvl="6">
      <w:start w:val="1"/>
      <w:numFmt w:val="bullet"/>
      <w:lvlText w:val="•"/>
      <w:lvlJc w:val="left"/>
      <w:pPr>
        <w:tabs>
          <w:tab w:val="num" w:pos="360"/>
        </w:tabs>
        <w:ind w:left="360" w:firstLine="5040"/>
      </w:pPr>
      <w:rPr>
        <w:position w:val="0"/>
      </w:rPr>
    </w:lvl>
    <w:lvl w:ilvl="7">
      <w:start w:val="1"/>
      <w:numFmt w:val="bullet"/>
      <w:lvlText w:val="o"/>
      <w:lvlJc w:val="left"/>
      <w:pPr>
        <w:tabs>
          <w:tab w:val="num" w:pos="360"/>
        </w:tabs>
        <w:ind w:left="360" w:firstLine="5760"/>
      </w:pPr>
      <w:rPr>
        <w:position w:val="0"/>
      </w:rPr>
    </w:lvl>
    <w:lvl w:ilvl="8">
      <w:start w:val="1"/>
      <w:numFmt w:val="bullet"/>
      <w:lvlText w:val="•"/>
      <w:lvlJc w:val="left"/>
      <w:pPr>
        <w:tabs>
          <w:tab w:val="num" w:pos="360"/>
        </w:tabs>
        <w:ind w:left="360" w:firstLine="6480"/>
      </w:pPr>
      <w:rPr>
        <w:position w:val="0"/>
      </w:rPr>
    </w:lvl>
  </w:abstractNum>
  <w:abstractNum w:abstractNumId="50">
    <w:nsid w:val="0000004C"/>
    <w:multiLevelType w:val="multilevel"/>
    <w:tmpl w:val="894EE8BE"/>
    <w:lvl w:ilvl="0">
      <w:start w:val="1"/>
      <w:numFmt w:val="bullet"/>
      <w:pStyle w:val="ImportWordListStyleDefinition14"/>
      <w:lvlText w:val="•"/>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6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43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50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7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4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51">
    <w:nsid w:val="0000004E"/>
    <w:multiLevelType w:val="multilevel"/>
    <w:tmpl w:val="894EE8C0"/>
    <w:lvl w:ilvl="0">
      <w:start w:val="1"/>
      <w:numFmt w:val="bullet"/>
      <w:pStyle w:val="List26"/>
      <w:lvlText w:val="•"/>
      <w:lvlJc w:val="left"/>
      <w:pPr>
        <w:tabs>
          <w:tab w:val="num" w:pos="393"/>
        </w:tabs>
        <w:ind w:left="393" w:firstLine="720"/>
      </w:pPr>
      <w:rPr>
        <w:position w:val="0"/>
      </w:rPr>
    </w:lvl>
    <w:lvl w:ilvl="1">
      <w:start w:val="1"/>
      <w:numFmt w:val="bullet"/>
      <w:lvlText w:val="o"/>
      <w:lvlJc w:val="left"/>
      <w:pPr>
        <w:tabs>
          <w:tab w:val="num" w:pos="360"/>
        </w:tabs>
        <w:ind w:left="360" w:firstLine="1440"/>
      </w:pPr>
      <w:rPr>
        <w:position w:val="0"/>
      </w:rPr>
    </w:lvl>
    <w:lvl w:ilvl="2">
      <w:start w:val="1"/>
      <w:numFmt w:val="bullet"/>
      <w:lvlText w:val="•"/>
      <w:lvlJc w:val="left"/>
      <w:pPr>
        <w:tabs>
          <w:tab w:val="num" w:pos="360"/>
        </w:tabs>
        <w:ind w:left="360" w:firstLine="2160"/>
      </w:pPr>
      <w:rPr>
        <w:position w:val="0"/>
      </w:rPr>
    </w:lvl>
    <w:lvl w:ilvl="3">
      <w:start w:val="1"/>
      <w:numFmt w:val="bullet"/>
      <w:lvlText w:val="•"/>
      <w:lvlJc w:val="left"/>
      <w:pPr>
        <w:tabs>
          <w:tab w:val="num" w:pos="360"/>
        </w:tabs>
        <w:ind w:left="360" w:firstLine="2880"/>
      </w:pPr>
      <w:rPr>
        <w:position w:val="0"/>
      </w:rPr>
    </w:lvl>
    <w:lvl w:ilvl="4">
      <w:start w:val="1"/>
      <w:numFmt w:val="bullet"/>
      <w:lvlText w:val="o"/>
      <w:lvlJc w:val="left"/>
      <w:pPr>
        <w:tabs>
          <w:tab w:val="num" w:pos="360"/>
        </w:tabs>
        <w:ind w:left="360" w:firstLine="3600"/>
      </w:pPr>
      <w:rPr>
        <w:position w:val="0"/>
      </w:rPr>
    </w:lvl>
    <w:lvl w:ilvl="5">
      <w:start w:val="1"/>
      <w:numFmt w:val="bullet"/>
      <w:lvlText w:val="•"/>
      <w:lvlJc w:val="left"/>
      <w:pPr>
        <w:tabs>
          <w:tab w:val="num" w:pos="360"/>
        </w:tabs>
        <w:ind w:left="360" w:firstLine="4320"/>
      </w:pPr>
      <w:rPr>
        <w:position w:val="0"/>
      </w:rPr>
    </w:lvl>
    <w:lvl w:ilvl="6">
      <w:start w:val="1"/>
      <w:numFmt w:val="bullet"/>
      <w:lvlText w:val="•"/>
      <w:lvlJc w:val="left"/>
      <w:pPr>
        <w:tabs>
          <w:tab w:val="num" w:pos="360"/>
        </w:tabs>
        <w:ind w:left="360" w:firstLine="5040"/>
      </w:pPr>
      <w:rPr>
        <w:position w:val="0"/>
      </w:rPr>
    </w:lvl>
    <w:lvl w:ilvl="7">
      <w:start w:val="1"/>
      <w:numFmt w:val="bullet"/>
      <w:lvlText w:val="o"/>
      <w:lvlJc w:val="left"/>
      <w:pPr>
        <w:tabs>
          <w:tab w:val="num" w:pos="360"/>
        </w:tabs>
        <w:ind w:left="360" w:firstLine="5760"/>
      </w:pPr>
      <w:rPr>
        <w:position w:val="0"/>
      </w:rPr>
    </w:lvl>
    <w:lvl w:ilvl="8">
      <w:start w:val="1"/>
      <w:numFmt w:val="bullet"/>
      <w:lvlText w:val="•"/>
      <w:lvlJc w:val="left"/>
      <w:pPr>
        <w:tabs>
          <w:tab w:val="num" w:pos="360"/>
        </w:tabs>
        <w:ind w:left="360" w:firstLine="6480"/>
      </w:pPr>
      <w:rPr>
        <w:position w:val="0"/>
      </w:rPr>
    </w:lvl>
  </w:abstractNum>
  <w:abstractNum w:abstractNumId="52">
    <w:nsid w:val="0000004F"/>
    <w:multiLevelType w:val="multilevel"/>
    <w:tmpl w:val="894EE8C1"/>
    <w:lvl w:ilvl="0">
      <w:start w:val="1"/>
      <w:numFmt w:val="bullet"/>
      <w:pStyle w:val="ImportWordListStyleDefinition22"/>
      <w:lvlText w:val="•"/>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6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43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50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7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4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53">
    <w:nsid w:val="00000051"/>
    <w:multiLevelType w:val="multilevel"/>
    <w:tmpl w:val="894EE8C3"/>
    <w:lvl w:ilvl="0">
      <w:start w:val="1"/>
      <w:numFmt w:val="bullet"/>
      <w:pStyle w:val="List27"/>
      <w:lvlText w:val="•"/>
      <w:lvlJc w:val="left"/>
      <w:pPr>
        <w:tabs>
          <w:tab w:val="num" w:pos="393"/>
        </w:tabs>
        <w:ind w:left="393" w:firstLine="720"/>
      </w:pPr>
      <w:rPr>
        <w:position w:val="0"/>
      </w:rPr>
    </w:lvl>
    <w:lvl w:ilvl="1">
      <w:start w:val="1"/>
      <w:numFmt w:val="bullet"/>
      <w:lvlText w:val="o"/>
      <w:lvlJc w:val="left"/>
      <w:pPr>
        <w:tabs>
          <w:tab w:val="num" w:pos="360"/>
        </w:tabs>
        <w:ind w:left="360" w:firstLine="1440"/>
      </w:pPr>
      <w:rPr>
        <w:position w:val="0"/>
      </w:rPr>
    </w:lvl>
    <w:lvl w:ilvl="2">
      <w:start w:val="1"/>
      <w:numFmt w:val="bullet"/>
      <w:lvlText w:val="•"/>
      <w:lvlJc w:val="left"/>
      <w:pPr>
        <w:tabs>
          <w:tab w:val="num" w:pos="360"/>
        </w:tabs>
        <w:ind w:left="360" w:firstLine="2160"/>
      </w:pPr>
      <w:rPr>
        <w:position w:val="0"/>
      </w:rPr>
    </w:lvl>
    <w:lvl w:ilvl="3">
      <w:start w:val="1"/>
      <w:numFmt w:val="bullet"/>
      <w:lvlText w:val="•"/>
      <w:lvlJc w:val="left"/>
      <w:pPr>
        <w:tabs>
          <w:tab w:val="num" w:pos="360"/>
        </w:tabs>
        <w:ind w:left="360" w:firstLine="2880"/>
      </w:pPr>
      <w:rPr>
        <w:position w:val="0"/>
      </w:rPr>
    </w:lvl>
    <w:lvl w:ilvl="4">
      <w:start w:val="1"/>
      <w:numFmt w:val="bullet"/>
      <w:lvlText w:val="o"/>
      <w:lvlJc w:val="left"/>
      <w:pPr>
        <w:tabs>
          <w:tab w:val="num" w:pos="360"/>
        </w:tabs>
        <w:ind w:left="360" w:firstLine="3600"/>
      </w:pPr>
      <w:rPr>
        <w:position w:val="0"/>
      </w:rPr>
    </w:lvl>
    <w:lvl w:ilvl="5">
      <w:start w:val="1"/>
      <w:numFmt w:val="bullet"/>
      <w:lvlText w:val="•"/>
      <w:lvlJc w:val="left"/>
      <w:pPr>
        <w:tabs>
          <w:tab w:val="num" w:pos="360"/>
        </w:tabs>
        <w:ind w:left="360" w:firstLine="4320"/>
      </w:pPr>
      <w:rPr>
        <w:position w:val="0"/>
      </w:rPr>
    </w:lvl>
    <w:lvl w:ilvl="6">
      <w:start w:val="1"/>
      <w:numFmt w:val="bullet"/>
      <w:lvlText w:val="•"/>
      <w:lvlJc w:val="left"/>
      <w:pPr>
        <w:tabs>
          <w:tab w:val="num" w:pos="360"/>
        </w:tabs>
        <w:ind w:left="360" w:firstLine="5040"/>
      </w:pPr>
      <w:rPr>
        <w:position w:val="0"/>
      </w:rPr>
    </w:lvl>
    <w:lvl w:ilvl="7">
      <w:start w:val="1"/>
      <w:numFmt w:val="bullet"/>
      <w:lvlText w:val="o"/>
      <w:lvlJc w:val="left"/>
      <w:pPr>
        <w:tabs>
          <w:tab w:val="num" w:pos="360"/>
        </w:tabs>
        <w:ind w:left="360" w:firstLine="5760"/>
      </w:pPr>
      <w:rPr>
        <w:position w:val="0"/>
      </w:rPr>
    </w:lvl>
    <w:lvl w:ilvl="8">
      <w:start w:val="1"/>
      <w:numFmt w:val="bullet"/>
      <w:lvlText w:val="•"/>
      <w:lvlJc w:val="left"/>
      <w:pPr>
        <w:tabs>
          <w:tab w:val="num" w:pos="360"/>
        </w:tabs>
        <w:ind w:left="360" w:firstLine="6480"/>
      </w:pPr>
      <w:rPr>
        <w:position w:val="0"/>
      </w:rPr>
    </w:lvl>
  </w:abstractNum>
  <w:abstractNum w:abstractNumId="54">
    <w:nsid w:val="00000052"/>
    <w:multiLevelType w:val="multilevel"/>
    <w:tmpl w:val="894EE8C4"/>
    <w:lvl w:ilvl="0">
      <w:start w:val="1"/>
      <w:numFmt w:val="bullet"/>
      <w:pStyle w:val="ImportWordListStyleDefinition15"/>
      <w:lvlText w:val="•"/>
      <w:lvlJc w:val="left"/>
      <w:pPr>
        <w:tabs>
          <w:tab w:val="num" w:pos="360"/>
        </w:tabs>
        <w:ind w:left="360" w:firstLine="7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4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21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8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6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43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50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7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4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55">
    <w:nsid w:val="00000054"/>
    <w:multiLevelType w:val="multilevel"/>
    <w:tmpl w:val="894EE8C6"/>
    <w:lvl w:ilvl="0">
      <w:start w:val="1"/>
      <w:numFmt w:val="bullet"/>
      <w:pStyle w:val="List28"/>
      <w:lvlText w:val="•"/>
      <w:lvlJc w:val="left"/>
      <w:pPr>
        <w:tabs>
          <w:tab w:val="num" w:pos="393"/>
        </w:tabs>
        <w:ind w:left="393" w:firstLine="0"/>
      </w:pPr>
      <w:rPr>
        <w:position w:val="0"/>
      </w:rPr>
    </w:lvl>
    <w:lvl w:ilvl="1">
      <w:start w:val="1"/>
      <w:numFmt w:val="bullet"/>
      <w:lvlText w:val="."/>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56">
    <w:nsid w:val="00000055"/>
    <w:multiLevelType w:val="multilevel"/>
    <w:tmpl w:val="894EE8C7"/>
    <w:lvl w:ilvl="0">
      <w:start w:val="1"/>
      <w:numFmt w:val="bullet"/>
      <w:pStyle w:val="ImportWordListStyleDefinition8"/>
      <w:lvlText w:val="•"/>
      <w:lvlJc w:val="left"/>
      <w:pPr>
        <w:tabs>
          <w:tab w:val="num" w:pos="360"/>
        </w:tabs>
        <w:ind w:left="36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57">
    <w:nsid w:val="00000057"/>
    <w:multiLevelType w:val="multilevel"/>
    <w:tmpl w:val="894EE8C9"/>
    <w:lvl w:ilvl="0">
      <w:start w:val="1"/>
      <w:numFmt w:val="bullet"/>
      <w:pStyle w:val="List29"/>
      <w:lvlText w:val="•"/>
      <w:lvlJc w:val="left"/>
      <w:pPr>
        <w:tabs>
          <w:tab w:val="num" w:pos="393"/>
        </w:tabs>
        <w:ind w:left="393" w:firstLine="0"/>
      </w:pPr>
      <w:rPr>
        <w:position w:val="0"/>
      </w:rPr>
    </w:lvl>
    <w:lvl w:ilvl="1">
      <w:start w:val="1"/>
      <w:numFmt w:val="bullet"/>
      <w:lvlText w:val="."/>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58">
    <w:nsid w:val="00000058"/>
    <w:multiLevelType w:val="multilevel"/>
    <w:tmpl w:val="894EE8CA"/>
    <w:lvl w:ilvl="0">
      <w:start w:val="1"/>
      <w:numFmt w:val="bullet"/>
      <w:pStyle w:val="ImportWordListStyleDefinition3"/>
      <w:lvlText w:val="•"/>
      <w:lvlJc w:val="left"/>
      <w:pPr>
        <w:tabs>
          <w:tab w:val="num" w:pos="360"/>
        </w:tabs>
        <w:ind w:left="360" w:firstLine="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59">
    <w:nsid w:val="0000005A"/>
    <w:multiLevelType w:val="multilevel"/>
    <w:tmpl w:val="894EE8CC"/>
    <w:lvl w:ilvl="0">
      <w:start w:val="1"/>
      <w:numFmt w:val="bullet"/>
      <w:pStyle w:val="List30"/>
      <w:lvlText w:val="•"/>
      <w:lvlJc w:val="left"/>
      <w:pPr>
        <w:tabs>
          <w:tab w:val="num" w:pos="393"/>
        </w:tabs>
        <w:ind w:left="393"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60">
    <w:nsid w:val="0000005B"/>
    <w:multiLevelType w:val="multilevel"/>
    <w:tmpl w:val="894EE8CD"/>
    <w:lvl w:ilvl="0">
      <w:start w:val="1"/>
      <w:numFmt w:val="bullet"/>
      <w:pStyle w:val="ImportWordListStyleDefinition10"/>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1">
      <w:start w:val="1"/>
      <w:numFmt w:val="bullet"/>
      <w:lvlText w:val="o"/>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4">
      <w:start w:val="1"/>
      <w:numFmt w:val="bullet"/>
      <w:lvlText w:val="o"/>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7">
      <w:start w:val="1"/>
      <w:numFmt w:val="bullet"/>
      <w:lvlText w:val="o"/>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lang w:val="en-US"/>
      </w:rPr>
    </w:lvl>
  </w:abstractNum>
  <w:abstractNum w:abstractNumId="61">
    <w:nsid w:val="0000005D"/>
    <w:multiLevelType w:val="multilevel"/>
    <w:tmpl w:val="894EE8CF"/>
    <w:lvl w:ilvl="0">
      <w:start w:val="1"/>
      <w:numFmt w:val="bullet"/>
      <w:pStyle w:val="List31"/>
      <w:lvlText w:val="•"/>
      <w:lvlJc w:val="left"/>
      <w:pPr>
        <w:tabs>
          <w:tab w:val="num" w:pos="393"/>
        </w:tabs>
        <w:ind w:left="393" w:firstLine="360"/>
      </w:pPr>
      <w:rPr>
        <w:position w:val="0"/>
      </w:rPr>
    </w:lvl>
    <w:lvl w:ilvl="1">
      <w:start w:val="1"/>
      <w:numFmt w:val="bullet"/>
      <w:lvlText w:val="•"/>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62">
    <w:nsid w:val="0000005E"/>
    <w:multiLevelType w:val="multilevel"/>
    <w:tmpl w:val="894EE8D0"/>
    <w:lvl w:ilvl="0">
      <w:start w:val="1"/>
      <w:numFmt w:val="bullet"/>
      <w:pStyle w:val="ImportWordListStyleDefinition12"/>
      <w:lvlText w:val="•"/>
      <w:lvlJc w:val="left"/>
      <w:pPr>
        <w:tabs>
          <w:tab w:val="num" w:pos="360"/>
        </w:tabs>
        <w:ind w:left="360" w:firstLine="3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1">
      <w:start w:val="1"/>
      <w:numFmt w:val="bullet"/>
      <w:lvlText w:val="•"/>
      <w:lvlJc w:val="left"/>
      <w:pPr>
        <w:tabs>
          <w:tab w:val="num" w:pos="360"/>
        </w:tabs>
        <w:ind w:left="360" w:firstLine="10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2">
      <w:start w:val="1"/>
      <w:numFmt w:val="bullet"/>
      <w:lvlText w:val="•"/>
      <w:lvlJc w:val="left"/>
      <w:pPr>
        <w:tabs>
          <w:tab w:val="num" w:pos="360"/>
        </w:tabs>
        <w:ind w:left="360" w:firstLine="18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3">
      <w:start w:val="1"/>
      <w:numFmt w:val="bullet"/>
      <w:lvlText w:val="•"/>
      <w:lvlJc w:val="left"/>
      <w:pPr>
        <w:tabs>
          <w:tab w:val="num" w:pos="360"/>
        </w:tabs>
        <w:ind w:left="360" w:firstLine="25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4">
      <w:start w:val="1"/>
      <w:numFmt w:val="bullet"/>
      <w:lvlText w:val="•"/>
      <w:lvlJc w:val="left"/>
      <w:pPr>
        <w:tabs>
          <w:tab w:val="num" w:pos="360"/>
        </w:tabs>
        <w:ind w:left="360" w:firstLine="324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5">
      <w:start w:val="1"/>
      <w:numFmt w:val="bullet"/>
      <w:lvlText w:val="•"/>
      <w:lvlJc w:val="left"/>
      <w:pPr>
        <w:tabs>
          <w:tab w:val="num" w:pos="360"/>
        </w:tabs>
        <w:ind w:left="360" w:firstLine="396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6">
      <w:start w:val="1"/>
      <w:numFmt w:val="bullet"/>
      <w:lvlText w:val="•"/>
      <w:lvlJc w:val="left"/>
      <w:pPr>
        <w:tabs>
          <w:tab w:val="num" w:pos="360"/>
        </w:tabs>
        <w:ind w:left="360" w:firstLine="468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7">
      <w:start w:val="1"/>
      <w:numFmt w:val="bullet"/>
      <w:lvlText w:val="•"/>
      <w:lvlJc w:val="left"/>
      <w:pPr>
        <w:tabs>
          <w:tab w:val="num" w:pos="360"/>
        </w:tabs>
        <w:ind w:left="360" w:firstLine="540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lvl w:ilvl="8">
      <w:start w:val="1"/>
      <w:numFmt w:val="bullet"/>
      <w:lvlText w:val="•"/>
      <w:lvlJc w:val="left"/>
      <w:pPr>
        <w:tabs>
          <w:tab w:val="num" w:pos="360"/>
        </w:tabs>
        <w:ind w:left="360" w:firstLine="6120"/>
      </w:pPr>
      <w:rPr>
        <w:rFonts w:ascii="Helvetica" w:eastAsia="Arial Unicode MS" w:hAnsi="Helvetica" w:cs="Times New Roman" w:hint="default"/>
        <w:b w:val="0"/>
        <w:i w:val="0"/>
        <w:caps w:val="0"/>
        <w:smallCaps w:val="0"/>
        <w:strike w:val="0"/>
        <w:dstrike w:val="0"/>
        <w:outline w:val="0"/>
        <w:shadow w:val="0"/>
        <w:emboss w:val="0"/>
        <w:imprint w:val="0"/>
        <w:color w:val="000000"/>
        <w:kern w:val="0"/>
        <w:position w:val="0"/>
        <w:sz w:val="22"/>
        <w:u w:val="none" w:color="000000"/>
        <w:effect w:val="none"/>
        <w:vertAlign w:val="baseline"/>
        <w:em w:val="none"/>
      </w:rPr>
    </w:lvl>
  </w:abstractNum>
  <w:abstractNum w:abstractNumId="63">
    <w:nsid w:val="01205C80"/>
    <w:multiLevelType w:val="hybridMultilevel"/>
    <w:tmpl w:val="AADC3B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nsid w:val="01A42595"/>
    <w:multiLevelType w:val="hybridMultilevel"/>
    <w:tmpl w:val="1E3402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5">
    <w:nsid w:val="02CA294D"/>
    <w:multiLevelType w:val="hybridMultilevel"/>
    <w:tmpl w:val="44A2616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nsid w:val="08FA0EB9"/>
    <w:multiLevelType w:val="hybridMultilevel"/>
    <w:tmpl w:val="0FE8BD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0DB21372"/>
    <w:multiLevelType w:val="hybridMultilevel"/>
    <w:tmpl w:val="4B1CCA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0F612B2F"/>
    <w:multiLevelType w:val="hybridMultilevel"/>
    <w:tmpl w:val="DF3803A6"/>
    <w:lvl w:ilvl="0" w:tplc="07A21CAE">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101B1EB9"/>
    <w:multiLevelType w:val="hybridMultilevel"/>
    <w:tmpl w:val="D272FC82"/>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125C7CFF"/>
    <w:multiLevelType w:val="hybridMultilevel"/>
    <w:tmpl w:val="3C5ABE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nsid w:val="12FB57A9"/>
    <w:multiLevelType w:val="hybridMultilevel"/>
    <w:tmpl w:val="6444DD2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nsid w:val="166E2731"/>
    <w:multiLevelType w:val="hybridMultilevel"/>
    <w:tmpl w:val="9B72D80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nsid w:val="167B134A"/>
    <w:multiLevelType w:val="hybridMultilevel"/>
    <w:tmpl w:val="60C0FD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nsid w:val="1CA46337"/>
    <w:multiLevelType w:val="hybridMultilevel"/>
    <w:tmpl w:val="8E4A2A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nsid w:val="1E4D1EEB"/>
    <w:multiLevelType w:val="multilevel"/>
    <w:tmpl w:val="B8FE6AC2"/>
    <w:lvl w:ilvl="0">
      <w:start w:val="5"/>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1EB54E99"/>
    <w:multiLevelType w:val="hybridMultilevel"/>
    <w:tmpl w:val="2FE6E2B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nsid w:val="1EDD4178"/>
    <w:multiLevelType w:val="hybridMultilevel"/>
    <w:tmpl w:val="A3EE8A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nsid w:val="225C5CEF"/>
    <w:multiLevelType w:val="hybridMultilevel"/>
    <w:tmpl w:val="024EA5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nsid w:val="229268E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32215CD"/>
    <w:multiLevelType w:val="hybridMultilevel"/>
    <w:tmpl w:val="5ACA8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nsid w:val="23E1396E"/>
    <w:multiLevelType w:val="hybridMultilevel"/>
    <w:tmpl w:val="DC8C8C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nsid w:val="293345A5"/>
    <w:multiLevelType w:val="hybridMultilevel"/>
    <w:tmpl w:val="02360E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3">
    <w:nsid w:val="29C47993"/>
    <w:multiLevelType w:val="hybridMultilevel"/>
    <w:tmpl w:val="D3DC25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4">
    <w:nsid w:val="2C6A28CA"/>
    <w:multiLevelType w:val="hybridMultilevel"/>
    <w:tmpl w:val="27868B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5">
    <w:nsid w:val="33230086"/>
    <w:multiLevelType w:val="hybridMultilevel"/>
    <w:tmpl w:val="A566E8CA"/>
    <w:lvl w:ilvl="0" w:tplc="07A21CAE">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6">
    <w:nsid w:val="353153FD"/>
    <w:multiLevelType w:val="hybridMultilevel"/>
    <w:tmpl w:val="BC0482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7">
    <w:nsid w:val="3B113099"/>
    <w:multiLevelType w:val="hybridMultilevel"/>
    <w:tmpl w:val="12DA8AF8"/>
    <w:lvl w:ilvl="0" w:tplc="07A21CAE">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8">
    <w:nsid w:val="3BBC6A77"/>
    <w:multiLevelType w:val="hybridMultilevel"/>
    <w:tmpl w:val="6FFCAC4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nsid w:val="404C783A"/>
    <w:multiLevelType w:val="hybridMultilevel"/>
    <w:tmpl w:val="1302783E"/>
    <w:lvl w:ilvl="0" w:tplc="07A21CAE">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0">
    <w:nsid w:val="40802D45"/>
    <w:multiLevelType w:val="multilevel"/>
    <w:tmpl w:val="B3D81D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1">
    <w:nsid w:val="4348515C"/>
    <w:multiLevelType w:val="hybridMultilevel"/>
    <w:tmpl w:val="DFB847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2">
    <w:nsid w:val="4388703B"/>
    <w:multiLevelType w:val="hybridMultilevel"/>
    <w:tmpl w:val="AD2276D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nsid w:val="43C341E5"/>
    <w:multiLevelType w:val="hybridMultilevel"/>
    <w:tmpl w:val="7DF6C4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4">
    <w:nsid w:val="47541650"/>
    <w:multiLevelType w:val="hybridMultilevel"/>
    <w:tmpl w:val="80B2BD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5">
    <w:nsid w:val="485C2320"/>
    <w:multiLevelType w:val="hybridMultilevel"/>
    <w:tmpl w:val="741E45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6">
    <w:nsid w:val="486D46FD"/>
    <w:multiLevelType w:val="hybridMultilevel"/>
    <w:tmpl w:val="599C214C"/>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97">
    <w:nsid w:val="4E35148D"/>
    <w:multiLevelType w:val="hybridMultilevel"/>
    <w:tmpl w:val="1EF02C5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8">
    <w:nsid w:val="51700BA3"/>
    <w:multiLevelType w:val="hybridMultilevel"/>
    <w:tmpl w:val="3B06E5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9">
    <w:nsid w:val="55E862CD"/>
    <w:multiLevelType w:val="hybridMultilevel"/>
    <w:tmpl w:val="1B526A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0">
    <w:nsid w:val="565421C2"/>
    <w:multiLevelType w:val="hybridMultilevel"/>
    <w:tmpl w:val="84F881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1">
    <w:nsid w:val="57C4511D"/>
    <w:multiLevelType w:val="hybridMultilevel"/>
    <w:tmpl w:val="0E48578A"/>
    <w:lvl w:ilvl="0" w:tplc="07A21CAE">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2">
    <w:nsid w:val="584C1E55"/>
    <w:multiLevelType w:val="hybridMultilevel"/>
    <w:tmpl w:val="C9FE90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3">
    <w:nsid w:val="5E4F3D79"/>
    <w:multiLevelType w:val="hybridMultilevel"/>
    <w:tmpl w:val="3D2081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4">
    <w:nsid w:val="60A4454E"/>
    <w:multiLevelType w:val="hybridMultilevel"/>
    <w:tmpl w:val="12E2ADE0"/>
    <w:lvl w:ilvl="0" w:tplc="1C090011">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5">
    <w:nsid w:val="61096485"/>
    <w:multiLevelType w:val="multilevel"/>
    <w:tmpl w:val="312A8D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nsid w:val="6175016E"/>
    <w:multiLevelType w:val="hybridMultilevel"/>
    <w:tmpl w:val="EDDA80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7">
    <w:nsid w:val="638A7AB5"/>
    <w:multiLevelType w:val="hybridMultilevel"/>
    <w:tmpl w:val="AC68AD6E"/>
    <w:lvl w:ilvl="0" w:tplc="07A21CAE">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8">
    <w:nsid w:val="640E36A3"/>
    <w:multiLevelType w:val="multilevel"/>
    <w:tmpl w:val="9E32752A"/>
    <w:lvl w:ilvl="0">
      <w:start w:val="1"/>
      <w:numFmt w:val="decimal"/>
      <w:lvlText w:val="%1."/>
      <w:lvlJc w:val="left"/>
      <w:pPr>
        <w:ind w:left="720" w:hanging="360"/>
      </w:pPr>
      <w:rPr>
        <w:rFonts w:hint="default"/>
        <w:b/>
        <w:color w:val="auto"/>
        <w:sz w:val="22"/>
        <w:szCs w:val="22"/>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9">
    <w:nsid w:val="641C4298"/>
    <w:multiLevelType w:val="hybridMultilevel"/>
    <w:tmpl w:val="18946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0">
    <w:nsid w:val="642E0428"/>
    <w:multiLevelType w:val="hybridMultilevel"/>
    <w:tmpl w:val="2F202C5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1">
    <w:nsid w:val="6526324A"/>
    <w:multiLevelType w:val="hybridMultilevel"/>
    <w:tmpl w:val="4EAA4E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2">
    <w:nsid w:val="65C21FE2"/>
    <w:multiLevelType w:val="multilevel"/>
    <w:tmpl w:val="ACB882C8"/>
    <w:lvl w:ilvl="0">
      <w:start w:val="5"/>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6D4A0389"/>
    <w:multiLevelType w:val="hybridMultilevel"/>
    <w:tmpl w:val="AA14716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4">
    <w:nsid w:val="742043A9"/>
    <w:multiLevelType w:val="hybridMultilevel"/>
    <w:tmpl w:val="FCD2B5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5">
    <w:nsid w:val="763518E3"/>
    <w:multiLevelType w:val="hybridMultilevel"/>
    <w:tmpl w:val="912CD2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6">
    <w:nsid w:val="770A0156"/>
    <w:multiLevelType w:val="hybridMultilevel"/>
    <w:tmpl w:val="DA4670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7">
    <w:nsid w:val="77763225"/>
    <w:multiLevelType w:val="hybridMultilevel"/>
    <w:tmpl w:val="FDD47A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8">
    <w:nsid w:val="779727AF"/>
    <w:multiLevelType w:val="hybridMultilevel"/>
    <w:tmpl w:val="EDE64250"/>
    <w:lvl w:ilvl="0" w:tplc="429CECFC">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9">
    <w:nsid w:val="78E248F3"/>
    <w:multiLevelType w:val="hybridMultilevel"/>
    <w:tmpl w:val="9BE078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0">
    <w:nsid w:val="7BAB3192"/>
    <w:multiLevelType w:val="hybridMultilevel"/>
    <w:tmpl w:val="CB66C1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8"/>
  </w:num>
  <w:num w:numId="6">
    <w:abstractNumId w:val="10"/>
  </w:num>
  <w:num w:numId="7">
    <w:abstractNumId w:val="12"/>
  </w:num>
  <w:num w:numId="8">
    <w:abstractNumId w:val="14"/>
  </w:num>
  <w:num w:numId="9">
    <w:abstractNumId w:val="16"/>
  </w:num>
  <w:num w:numId="10">
    <w:abstractNumId w:val="18"/>
  </w:num>
  <w:num w:numId="11">
    <w:abstractNumId w:val="20"/>
  </w:num>
  <w:num w:numId="12">
    <w:abstractNumId w:val="22"/>
  </w:num>
  <w:num w:numId="13">
    <w:abstractNumId w:val="24"/>
  </w:num>
  <w:num w:numId="14">
    <w:abstractNumId w:val="26"/>
  </w:num>
  <w:num w:numId="15">
    <w:abstractNumId w:val="28"/>
  </w:num>
  <w:num w:numId="16">
    <w:abstractNumId w:val="30"/>
  </w:num>
  <w:num w:numId="17">
    <w:abstractNumId w:val="32"/>
  </w:num>
  <w:num w:numId="18">
    <w:abstractNumId w:val="34"/>
  </w:num>
  <w:num w:numId="19">
    <w:abstractNumId w:val="36"/>
  </w:num>
  <w:num w:numId="20">
    <w:abstractNumId w:val="38"/>
  </w:num>
  <w:num w:numId="21">
    <w:abstractNumId w:val="40"/>
  </w:num>
  <w:num w:numId="22">
    <w:abstractNumId w:val="42"/>
  </w:num>
  <w:num w:numId="23">
    <w:abstractNumId w:val="44"/>
  </w:num>
  <w:num w:numId="24">
    <w:abstractNumId w:val="46"/>
  </w:num>
  <w:num w:numId="25">
    <w:abstractNumId w:val="48"/>
  </w:num>
  <w:num w:numId="26">
    <w:abstractNumId w:val="50"/>
  </w:num>
  <w:num w:numId="27">
    <w:abstractNumId w:val="52"/>
  </w:num>
  <w:num w:numId="28">
    <w:abstractNumId w:val="54"/>
  </w:num>
  <w:num w:numId="29">
    <w:abstractNumId w:val="56"/>
  </w:num>
  <w:num w:numId="30">
    <w:abstractNumId w:val="58"/>
  </w:num>
  <w:num w:numId="31">
    <w:abstractNumId w:val="60"/>
  </w:num>
  <w:num w:numId="32">
    <w:abstractNumId w:val="62"/>
  </w:num>
  <w:num w:numId="33">
    <w:abstractNumId w:val="57"/>
  </w:num>
  <w:num w:numId="34">
    <w:abstractNumId w:val="13"/>
  </w:num>
  <w:num w:numId="35">
    <w:abstractNumId w:val="25"/>
  </w:num>
  <w:num w:numId="36">
    <w:abstractNumId w:val="21"/>
  </w:num>
  <w:num w:numId="37">
    <w:abstractNumId w:val="41"/>
  </w:num>
  <w:num w:numId="38">
    <w:abstractNumId w:val="55"/>
  </w:num>
  <w:num w:numId="39">
    <w:abstractNumId w:val="9"/>
  </w:num>
  <w:num w:numId="40">
    <w:abstractNumId w:val="59"/>
  </w:num>
  <w:num w:numId="41">
    <w:abstractNumId w:val="39"/>
  </w:num>
  <w:num w:numId="42">
    <w:abstractNumId w:val="35"/>
  </w:num>
  <w:num w:numId="43">
    <w:abstractNumId w:val="61"/>
  </w:num>
  <w:num w:numId="44">
    <w:abstractNumId w:val="7"/>
  </w:num>
  <w:num w:numId="45">
    <w:abstractNumId w:val="5"/>
  </w:num>
  <w:num w:numId="46">
    <w:abstractNumId w:val="51"/>
  </w:num>
  <w:num w:numId="47">
    <w:abstractNumId w:val="31"/>
  </w:num>
  <w:num w:numId="48">
    <w:abstractNumId w:val="49"/>
  </w:num>
  <w:num w:numId="49">
    <w:abstractNumId w:val="29"/>
  </w:num>
  <w:num w:numId="50">
    <w:abstractNumId w:val="53"/>
  </w:num>
  <w:num w:numId="51">
    <w:abstractNumId w:val="37"/>
  </w:num>
  <w:num w:numId="52">
    <w:abstractNumId w:val="43"/>
  </w:num>
  <w:num w:numId="53">
    <w:abstractNumId w:val="11"/>
  </w:num>
  <w:num w:numId="54">
    <w:abstractNumId w:val="27"/>
  </w:num>
  <w:num w:numId="55">
    <w:abstractNumId w:val="19"/>
  </w:num>
  <w:num w:numId="56">
    <w:abstractNumId w:val="45"/>
  </w:num>
  <w:num w:numId="57">
    <w:abstractNumId w:val="23"/>
  </w:num>
  <w:num w:numId="58">
    <w:abstractNumId w:val="47"/>
  </w:num>
  <w:num w:numId="59">
    <w:abstractNumId w:val="33"/>
  </w:num>
  <w:num w:numId="60">
    <w:abstractNumId w:val="15"/>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num>
  <w:num w:numId="63">
    <w:abstractNumId w:val="17"/>
  </w:num>
  <w:num w:numId="64">
    <w:abstractNumId w:val="116"/>
  </w:num>
  <w:num w:numId="65">
    <w:abstractNumId w:val="64"/>
  </w:num>
  <w:num w:numId="66">
    <w:abstractNumId w:val="79"/>
  </w:num>
  <w:num w:numId="67">
    <w:abstractNumId w:val="108"/>
  </w:num>
  <w:num w:numId="68">
    <w:abstractNumId w:val="71"/>
  </w:num>
  <w:num w:numId="69">
    <w:abstractNumId w:val="88"/>
  </w:num>
  <w:num w:numId="70">
    <w:abstractNumId w:val="104"/>
  </w:num>
  <w:num w:numId="71">
    <w:abstractNumId w:val="115"/>
  </w:num>
  <w:num w:numId="72">
    <w:abstractNumId w:val="82"/>
  </w:num>
  <w:num w:numId="73">
    <w:abstractNumId w:val="120"/>
  </w:num>
  <w:num w:numId="74">
    <w:abstractNumId w:val="63"/>
  </w:num>
  <w:num w:numId="75">
    <w:abstractNumId w:val="96"/>
  </w:num>
  <w:num w:numId="76">
    <w:abstractNumId w:val="100"/>
  </w:num>
  <w:num w:numId="77">
    <w:abstractNumId w:val="81"/>
  </w:num>
  <w:num w:numId="78">
    <w:abstractNumId w:val="91"/>
  </w:num>
  <w:num w:numId="79">
    <w:abstractNumId w:val="83"/>
  </w:num>
  <w:num w:numId="80">
    <w:abstractNumId w:val="84"/>
  </w:num>
  <w:num w:numId="81">
    <w:abstractNumId w:val="70"/>
  </w:num>
  <w:num w:numId="82">
    <w:abstractNumId w:val="77"/>
  </w:num>
  <w:num w:numId="83">
    <w:abstractNumId w:val="95"/>
  </w:num>
  <w:num w:numId="84">
    <w:abstractNumId w:val="109"/>
  </w:num>
  <w:num w:numId="85">
    <w:abstractNumId w:val="86"/>
  </w:num>
  <w:num w:numId="86">
    <w:abstractNumId w:val="78"/>
  </w:num>
  <w:num w:numId="87">
    <w:abstractNumId w:val="102"/>
  </w:num>
  <w:num w:numId="88">
    <w:abstractNumId w:val="69"/>
  </w:num>
  <w:num w:numId="89">
    <w:abstractNumId w:val="94"/>
  </w:num>
  <w:num w:numId="90">
    <w:abstractNumId w:val="73"/>
  </w:num>
  <w:num w:numId="91">
    <w:abstractNumId w:val="106"/>
  </w:num>
  <w:num w:numId="92">
    <w:abstractNumId w:val="114"/>
  </w:num>
  <w:num w:numId="93">
    <w:abstractNumId w:val="68"/>
  </w:num>
  <w:num w:numId="94">
    <w:abstractNumId w:val="101"/>
  </w:num>
  <w:num w:numId="95">
    <w:abstractNumId w:val="89"/>
  </w:num>
  <w:num w:numId="96">
    <w:abstractNumId w:val="87"/>
  </w:num>
  <w:num w:numId="97">
    <w:abstractNumId w:val="103"/>
  </w:num>
  <w:num w:numId="98">
    <w:abstractNumId w:val="85"/>
  </w:num>
  <w:num w:numId="99">
    <w:abstractNumId w:val="107"/>
  </w:num>
  <w:num w:numId="100">
    <w:abstractNumId w:val="74"/>
  </w:num>
  <w:num w:numId="101">
    <w:abstractNumId w:val="98"/>
  </w:num>
  <w:num w:numId="102">
    <w:abstractNumId w:val="112"/>
  </w:num>
  <w:num w:numId="103">
    <w:abstractNumId w:val="75"/>
  </w:num>
  <w:num w:numId="104">
    <w:abstractNumId w:val="93"/>
  </w:num>
  <w:num w:numId="105">
    <w:abstractNumId w:val="105"/>
  </w:num>
  <w:num w:numId="106">
    <w:abstractNumId w:val="90"/>
  </w:num>
  <w:num w:numId="107">
    <w:abstractNumId w:val="67"/>
  </w:num>
  <w:num w:numId="108">
    <w:abstractNumId w:val="99"/>
  </w:num>
  <w:num w:numId="109">
    <w:abstractNumId w:val="111"/>
  </w:num>
  <w:num w:numId="110">
    <w:abstractNumId w:val="119"/>
  </w:num>
  <w:num w:numId="111">
    <w:abstractNumId w:val="80"/>
  </w:num>
  <w:num w:numId="112">
    <w:abstractNumId w:val="117"/>
  </w:num>
  <w:num w:numId="113">
    <w:abstractNumId w:val="118"/>
  </w:num>
  <w:num w:numId="114">
    <w:abstractNumId w:val="66"/>
  </w:num>
  <w:num w:numId="115">
    <w:abstractNumId w:val="72"/>
  </w:num>
  <w:num w:numId="116">
    <w:abstractNumId w:val="92"/>
  </w:num>
  <w:num w:numId="117">
    <w:abstractNumId w:val="76"/>
  </w:num>
  <w:num w:numId="118">
    <w:abstractNumId w:val="113"/>
  </w:num>
  <w:num w:numId="119">
    <w:abstractNumId w:val="65"/>
  </w:num>
  <w:num w:numId="120">
    <w:abstractNumId w:val="97"/>
  </w:num>
  <w:num w:numId="121">
    <w:abstractNumId w:val="110"/>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4F27D3"/>
    <w:rsid w:val="00011C4E"/>
    <w:rsid w:val="00015D5A"/>
    <w:rsid w:val="00020127"/>
    <w:rsid w:val="00020F92"/>
    <w:rsid w:val="00022CF0"/>
    <w:rsid w:val="000235B0"/>
    <w:rsid w:val="000472BF"/>
    <w:rsid w:val="000472EE"/>
    <w:rsid w:val="00085EEE"/>
    <w:rsid w:val="00090BD3"/>
    <w:rsid w:val="000A3627"/>
    <w:rsid w:val="000A6BC5"/>
    <w:rsid w:val="000F217B"/>
    <w:rsid w:val="000F4D3A"/>
    <w:rsid w:val="001058B3"/>
    <w:rsid w:val="00110C60"/>
    <w:rsid w:val="00113038"/>
    <w:rsid w:val="00113AAE"/>
    <w:rsid w:val="00121A45"/>
    <w:rsid w:val="00126469"/>
    <w:rsid w:val="00145A31"/>
    <w:rsid w:val="001516D0"/>
    <w:rsid w:val="00154810"/>
    <w:rsid w:val="0017196D"/>
    <w:rsid w:val="00175427"/>
    <w:rsid w:val="001902F8"/>
    <w:rsid w:val="0019195D"/>
    <w:rsid w:val="001C0687"/>
    <w:rsid w:val="001C587A"/>
    <w:rsid w:val="001C6437"/>
    <w:rsid w:val="001D310D"/>
    <w:rsid w:val="001D4A9D"/>
    <w:rsid w:val="001D7F04"/>
    <w:rsid w:val="001F4E38"/>
    <w:rsid w:val="002011BB"/>
    <w:rsid w:val="00211B6F"/>
    <w:rsid w:val="00237128"/>
    <w:rsid w:val="00245751"/>
    <w:rsid w:val="0025395D"/>
    <w:rsid w:val="00254417"/>
    <w:rsid w:val="002552BB"/>
    <w:rsid w:val="00256C51"/>
    <w:rsid w:val="00265E04"/>
    <w:rsid w:val="00266F1B"/>
    <w:rsid w:val="002709D1"/>
    <w:rsid w:val="00282AA8"/>
    <w:rsid w:val="00285CC5"/>
    <w:rsid w:val="00286176"/>
    <w:rsid w:val="00290F4E"/>
    <w:rsid w:val="002B0E3C"/>
    <w:rsid w:val="002B3ACE"/>
    <w:rsid w:val="002C08F1"/>
    <w:rsid w:val="002D44FB"/>
    <w:rsid w:val="002D4E4D"/>
    <w:rsid w:val="002D73D4"/>
    <w:rsid w:val="002F0CE4"/>
    <w:rsid w:val="002F31D7"/>
    <w:rsid w:val="002F55D8"/>
    <w:rsid w:val="00302517"/>
    <w:rsid w:val="00330FE1"/>
    <w:rsid w:val="0033221F"/>
    <w:rsid w:val="00332586"/>
    <w:rsid w:val="00343D6E"/>
    <w:rsid w:val="00351621"/>
    <w:rsid w:val="00361EE3"/>
    <w:rsid w:val="0037084F"/>
    <w:rsid w:val="0038546A"/>
    <w:rsid w:val="003878F0"/>
    <w:rsid w:val="003A2164"/>
    <w:rsid w:val="003A652B"/>
    <w:rsid w:val="003B1D23"/>
    <w:rsid w:val="003B2024"/>
    <w:rsid w:val="003B2C01"/>
    <w:rsid w:val="003C543E"/>
    <w:rsid w:val="003D1386"/>
    <w:rsid w:val="003E01E7"/>
    <w:rsid w:val="003E4603"/>
    <w:rsid w:val="003F2251"/>
    <w:rsid w:val="003F2460"/>
    <w:rsid w:val="003F6014"/>
    <w:rsid w:val="00414370"/>
    <w:rsid w:val="004172CA"/>
    <w:rsid w:val="004210DF"/>
    <w:rsid w:val="0042123A"/>
    <w:rsid w:val="0042363C"/>
    <w:rsid w:val="004255A1"/>
    <w:rsid w:val="004304D4"/>
    <w:rsid w:val="0043095E"/>
    <w:rsid w:val="0043476D"/>
    <w:rsid w:val="00435BD2"/>
    <w:rsid w:val="004604DF"/>
    <w:rsid w:val="004678FF"/>
    <w:rsid w:val="004854C0"/>
    <w:rsid w:val="004B47FB"/>
    <w:rsid w:val="004E5289"/>
    <w:rsid w:val="004F27D3"/>
    <w:rsid w:val="0050560C"/>
    <w:rsid w:val="00507424"/>
    <w:rsid w:val="00507563"/>
    <w:rsid w:val="00511D24"/>
    <w:rsid w:val="005123B1"/>
    <w:rsid w:val="00513BC6"/>
    <w:rsid w:val="005146B6"/>
    <w:rsid w:val="005148ED"/>
    <w:rsid w:val="00515004"/>
    <w:rsid w:val="00535AC9"/>
    <w:rsid w:val="005450B8"/>
    <w:rsid w:val="00547C9E"/>
    <w:rsid w:val="00552532"/>
    <w:rsid w:val="00560E8D"/>
    <w:rsid w:val="00562BD8"/>
    <w:rsid w:val="00566FA6"/>
    <w:rsid w:val="005725B7"/>
    <w:rsid w:val="00586609"/>
    <w:rsid w:val="00587F48"/>
    <w:rsid w:val="005941C1"/>
    <w:rsid w:val="005A3839"/>
    <w:rsid w:val="005A5C35"/>
    <w:rsid w:val="005A7AE3"/>
    <w:rsid w:val="005B4DF7"/>
    <w:rsid w:val="005B7098"/>
    <w:rsid w:val="005E6184"/>
    <w:rsid w:val="005F056B"/>
    <w:rsid w:val="005F115B"/>
    <w:rsid w:val="00602652"/>
    <w:rsid w:val="006104B7"/>
    <w:rsid w:val="0061655A"/>
    <w:rsid w:val="0061725F"/>
    <w:rsid w:val="0061726B"/>
    <w:rsid w:val="00636113"/>
    <w:rsid w:val="006436DD"/>
    <w:rsid w:val="00650E80"/>
    <w:rsid w:val="0067057F"/>
    <w:rsid w:val="00676D45"/>
    <w:rsid w:val="00680886"/>
    <w:rsid w:val="0069625F"/>
    <w:rsid w:val="006A21D0"/>
    <w:rsid w:val="006A3FF5"/>
    <w:rsid w:val="006C454B"/>
    <w:rsid w:val="006C7CBF"/>
    <w:rsid w:val="006D7723"/>
    <w:rsid w:val="006E5114"/>
    <w:rsid w:val="006E5B5F"/>
    <w:rsid w:val="006F53A5"/>
    <w:rsid w:val="0070261B"/>
    <w:rsid w:val="00703E73"/>
    <w:rsid w:val="00705C89"/>
    <w:rsid w:val="00730A2F"/>
    <w:rsid w:val="00743743"/>
    <w:rsid w:val="0076192B"/>
    <w:rsid w:val="00761B1D"/>
    <w:rsid w:val="00792DC4"/>
    <w:rsid w:val="0079753B"/>
    <w:rsid w:val="007A04AA"/>
    <w:rsid w:val="007B2541"/>
    <w:rsid w:val="007B49E2"/>
    <w:rsid w:val="007B4E22"/>
    <w:rsid w:val="007C7176"/>
    <w:rsid w:val="007D006C"/>
    <w:rsid w:val="007D07DE"/>
    <w:rsid w:val="007E2DC4"/>
    <w:rsid w:val="007E461C"/>
    <w:rsid w:val="0080788C"/>
    <w:rsid w:val="00825F09"/>
    <w:rsid w:val="00830DA9"/>
    <w:rsid w:val="00832A3E"/>
    <w:rsid w:val="00860F8D"/>
    <w:rsid w:val="00877141"/>
    <w:rsid w:val="00895CA5"/>
    <w:rsid w:val="008C2587"/>
    <w:rsid w:val="008C727D"/>
    <w:rsid w:val="008D3BFA"/>
    <w:rsid w:val="008E31B1"/>
    <w:rsid w:val="008E36F7"/>
    <w:rsid w:val="008F28D2"/>
    <w:rsid w:val="008F7022"/>
    <w:rsid w:val="00932C12"/>
    <w:rsid w:val="009407F1"/>
    <w:rsid w:val="00940F82"/>
    <w:rsid w:val="00941C42"/>
    <w:rsid w:val="00951CA3"/>
    <w:rsid w:val="00972F6D"/>
    <w:rsid w:val="00974B56"/>
    <w:rsid w:val="00980BB5"/>
    <w:rsid w:val="009A35DC"/>
    <w:rsid w:val="009A4891"/>
    <w:rsid w:val="009C0140"/>
    <w:rsid w:val="009E010E"/>
    <w:rsid w:val="009E1EB8"/>
    <w:rsid w:val="009F3E74"/>
    <w:rsid w:val="00A0182B"/>
    <w:rsid w:val="00A0318D"/>
    <w:rsid w:val="00A0368B"/>
    <w:rsid w:val="00A03AAD"/>
    <w:rsid w:val="00A32D90"/>
    <w:rsid w:val="00A46090"/>
    <w:rsid w:val="00A473CC"/>
    <w:rsid w:val="00A5570A"/>
    <w:rsid w:val="00A56D5D"/>
    <w:rsid w:val="00A63821"/>
    <w:rsid w:val="00A66A76"/>
    <w:rsid w:val="00A859A5"/>
    <w:rsid w:val="00A87257"/>
    <w:rsid w:val="00A90CA4"/>
    <w:rsid w:val="00A91F28"/>
    <w:rsid w:val="00A938EF"/>
    <w:rsid w:val="00AB2AE7"/>
    <w:rsid w:val="00AB4FB2"/>
    <w:rsid w:val="00AB79DD"/>
    <w:rsid w:val="00AC0C07"/>
    <w:rsid w:val="00AC2618"/>
    <w:rsid w:val="00AF0D7B"/>
    <w:rsid w:val="00B05ECB"/>
    <w:rsid w:val="00B168E6"/>
    <w:rsid w:val="00B429AB"/>
    <w:rsid w:val="00B50CCA"/>
    <w:rsid w:val="00B546B1"/>
    <w:rsid w:val="00B8245B"/>
    <w:rsid w:val="00BD5899"/>
    <w:rsid w:val="00BD61D1"/>
    <w:rsid w:val="00BD7268"/>
    <w:rsid w:val="00BF4C95"/>
    <w:rsid w:val="00C01C18"/>
    <w:rsid w:val="00C051D6"/>
    <w:rsid w:val="00C1323A"/>
    <w:rsid w:val="00C24D05"/>
    <w:rsid w:val="00C2707F"/>
    <w:rsid w:val="00C32F86"/>
    <w:rsid w:val="00C36B5E"/>
    <w:rsid w:val="00C36F6D"/>
    <w:rsid w:val="00C454AC"/>
    <w:rsid w:val="00C70473"/>
    <w:rsid w:val="00C742E6"/>
    <w:rsid w:val="00C77144"/>
    <w:rsid w:val="00C92758"/>
    <w:rsid w:val="00C94D54"/>
    <w:rsid w:val="00CA009D"/>
    <w:rsid w:val="00CA1211"/>
    <w:rsid w:val="00CA334F"/>
    <w:rsid w:val="00CB267D"/>
    <w:rsid w:val="00CC6F4E"/>
    <w:rsid w:val="00CD6C23"/>
    <w:rsid w:val="00CF1F4B"/>
    <w:rsid w:val="00D22BA2"/>
    <w:rsid w:val="00D30CBF"/>
    <w:rsid w:val="00D3612D"/>
    <w:rsid w:val="00D369B2"/>
    <w:rsid w:val="00D65A04"/>
    <w:rsid w:val="00D67305"/>
    <w:rsid w:val="00D70E92"/>
    <w:rsid w:val="00D717C6"/>
    <w:rsid w:val="00D8620D"/>
    <w:rsid w:val="00D9102A"/>
    <w:rsid w:val="00DA2951"/>
    <w:rsid w:val="00DB1EA7"/>
    <w:rsid w:val="00DC1145"/>
    <w:rsid w:val="00DC39E9"/>
    <w:rsid w:val="00DE7474"/>
    <w:rsid w:val="00DF6997"/>
    <w:rsid w:val="00E06D75"/>
    <w:rsid w:val="00E50978"/>
    <w:rsid w:val="00E64489"/>
    <w:rsid w:val="00E64C6D"/>
    <w:rsid w:val="00E752F0"/>
    <w:rsid w:val="00E85C19"/>
    <w:rsid w:val="00EA19CB"/>
    <w:rsid w:val="00EB349B"/>
    <w:rsid w:val="00EC7912"/>
    <w:rsid w:val="00ED1A34"/>
    <w:rsid w:val="00ED6721"/>
    <w:rsid w:val="00EE0263"/>
    <w:rsid w:val="00EE6F79"/>
    <w:rsid w:val="00F02897"/>
    <w:rsid w:val="00F06576"/>
    <w:rsid w:val="00F101C2"/>
    <w:rsid w:val="00F43EE2"/>
    <w:rsid w:val="00F755F5"/>
    <w:rsid w:val="00F90D7E"/>
    <w:rsid w:val="00FA1710"/>
    <w:rsid w:val="00FA1AAE"/>
    <w:rsid w:val="00FA5735"/>
    <w:rsid w:val="00FA5819"/>
    <w:rsid w:val="00FB4A34"/>
    <w:rsid w:val="00FB4CBB"/>
    <w:rsid w:val="00FB5B45"/>
    <w:rsid w:val="00FB5EE6"/>
    <w:rsid w:val="00FE118B"/>
    <w:rsid w:val="00FE4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7D3"/>
    <w:rPr>
      <w:lang w:val="en-GB"/>
    </w:rPr>
  </w:style>
  <w:style w:type="paragraph" w:styleId="Heading1">
    <w:name w:val="heading 1"/>
    <w:basedOn w:val="Normal"/>
    <w:next w:val="Normal"/>
    <w:link w:val="Heading1Char"/>
    <w:uiPriority w:val="9"/>
    <w:qFormat/>
    <w:rsid w:val="009E010E"/>
    <w:pPr>
      <w:keepNext/>
      <w:keepLines/>
      <w:spacing w:before="240" w:after="0" w:line="280" w:lineRule="exact"/>
      <w:jc w:val="both"/>
      <w:outlineLvl w:val="0"/>
    </w:pPr>
    <w:rPr>
      <w:rFonts w:ascii="Times New Roman" w:eastAsia="Times New Roman" w:hAnsi="Times New Roman" w:cs="Times New Roman"/>
      <w:b/>
      <w:caps/>
      <w:szCs w:val="32"/>
    </w:rPr>
  </w:style>
  <w:style w:type="paragraph" w:styleId="Heading2">
    <w:name w:val="heading 2"/>
    <w:basedOn w:val="Normal"/>
    <w:next w:val="Normal"/>
    <w:link w:val="Heading2Char"/>
    <w:uiPriority w:val="9"/>
    <w:unhideWhenUsed/>
    <w:qFormat/>
    <w:rsid w:val="00587F48"/>
    <w:pPr>
      <w:keepNext/>
      <w:keepLines/>
      <w:spacing w:before="40" w:after="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semiHidden/>
    <w:unhideWhenUsed/>
    <w:qFormat/>
    <w:rsid w:val="004F27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10E"/>
    <w:rPr>
      <w:rFonts w:ascii="Times New Roman" w:eastAsia="Times New Roman" w:hAnsi="Times New Roman" w:cs="Times New Roman"/>
      <w:b/>
      <w:caps/>
      <w:szCs w:val="32"/>
      <w:lang w:val="en-GB"/>
    </w:rPr>
  </w:style>
  <w:style w:type="character" w:customStyle="1" w:styleId="Heading2Char">
    <w:name w:val="Heading 2 Char"/>
    <w:basedOn w:val="DefaultParagraphFont"/>
    <w:link w:val="Heading2"/>
    <w:uiPriority w:val="9"/>
    <w:rsid w:val="00587F48"/>
    <w:rPr>
      <w:rFonts w:ascii="Times New Roman" w:eastAsiaTheme="majorEastAsia" w:hAnsi="Times New Roman" w:cstheme="majorBidi"/>
      <w:b/>
      <w:szCs w:val="26"/>
      <w:lang w:val="en-GB"/>
    </w:rPr>
  </w:style>
  <w:style w:type="character" w:customStyle="1" w:styleId="Heading3Char">
    <w:name w:val="Heading 3 Char"/>
    <w:basedOn w:val="DefaultParagraphFont"/>
    <w:link w:val="Heading3"/>
    <w:uiPriority w:val="9"/>
    <w:semiHidden/>
    <w:rsid w:val="004F27D3"/>
    <w:rPr>
      <w:rFonts w:asciiTheme="majorHAnsi" w:eastAsiaTheme="majorEastAsia" w:hAnsiTheme="majorHAnsi" w:cstheme="majorBidi"/>
      <w:color w:val="1F4D78" w:themeColor="accent1" w:themeShade="7F"/>
      <w:sz w:val="24"/>
      <w:szCs w:val="24"/>
      <w:lang w:val="en-GB"/>
    </w:rPr>
  </w:style>
  <w:style w:type="numbering" w:customStyle="1" w:styleId="NoList1">
    <w:name w:val="No List1"/>
    <w:next w:val="NoList"/>
    <w:uiPriority w:val="99"/>
    <w:semiHidden/>
    <w:unhideWhenUsed/>
    <w:rsid w:val="004F27D3"/>
  </w:style>
  <w:style w:type="character" w:styleId="Hyperlink">
    <w:name w:val="Hyperlink"/>
    <w:semiHidden/>
    <w:unhideWhenUsed/>
    <w:rsid w:val="004F27D3"/>
    <w:rPr>
      <w:color w:val="0000FF"/>
      <w:u w:val="single" w:color="0000FF"/>
    </w:rPr>
  </w:style>
  <w:style w:type="character" w:styleId="FollowedHyperlink">
    <w:name w:val="FollowedHyperlink"/>
    <w:basedOn w:val="DefaultParagraphFont"/>
    <w:uiPriority w:val="99"/>
    <w:semiHidden/>
    <w:unhideWhenUsed/>
    <w:rsid w:val="004F27D3"/>
    <w:rPr>
      <w:color w:val="954F72" w:themeColor="followedHyperlink"/>
      <w:u w:val="single"/>
    </w:rPr>
  </w:style>
  <w:style w:type="paragraph" w:styleId="NormalWeb">
    <w:name w:val="Normal (Web)"/>
    <w:basedOn w:val="Normal"/>
    <w:uiPriority w:val="99"/>
    <w:semiHidden/>
    <w:unhideWhenUsed/>
    <w:rsid w:val="004F27D3"/>
    <w:pPr>
      <w:spacing w:after="0" w:line="240" w:lineRule="auto"/>
    </w:pPr>
    <w:rPr>
      <w:rFonts w:ascii="Times New Roman" w:eastAsia="Times New Roman" w:hAnsi="Times New Roman" w:cs="Times New Roman"/>
      <w:sz w:val="24"/>
      <w:szCs w:val="24"/>
      <w:lang w:val="en-US"/>
    </w:rPr>
  </w:style>
  <w:style w:type="paragraph" w:styleId="FootnoteText">
    <w:name w:val="footnote text"/>
    <w:aliases w:val="Footnote Text Char1,Footnote Text Char Char,fn Char"/>
    <w:basedOn w:val="Normal"/>
    <w:link w:val="FootnoteTextChar"/>
    <w:uiPriority w:val="99"/>
    <w:unhideWhenUsed/>
    <w:rsid w:val="004F27D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1 Char,Footnote Text Char Char Char,fn Char Char"/>
    <w:basedOn w:val="DefaultParagraphFont"/>
    <w:link w:val="FootnoteText"/>
    <w:uiPriority w:val="99"/>
    <w:rsid w:val="004F27D3"/>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4F27D3"/>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4F27D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F27D3"/>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4F27D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27D3"/>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F27D3"/>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4F27D3"/>
    <w:rPr>
      <w:b/>
      <w:bCs/>
    </w:rPr>
  </w:style>
  <w:style w:type="character" w:customStyle="1" w:styleId="CommentSubjectChar">
    <w:name w:val="Comment Subject Char"/>
    <w:basedOn w:val="CommentTextChar"/>
    <w:link w:val="CommentSubject"/>
    <w:uiPriority w:val="99"/>
    <w:semiHidden/>
    <w:rsid w:val="004F27D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F27D3"/>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F27D3"/>
    <w:rPr>
      <w:rFonts w:ascii="Tahoma" w:eastAsia="Times New Roman" w:hAnsi="Tahoma" w:cs="Tahoma"/>
      <w:sz w:val="16"/>
      <w:szCs w:val="16"/>
      <w:lang w:val="en-US"/>
    </w:rPr>
  </w:style>
  <w:style w:type="paragraph" w:styleId="Revision">
    <w:name w:val="Revision"/>
    <w:uiPriority w:val="99"/>
    <w:semiHidden/>
    <w:rsid w:val="004F27D3"/>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4F27D3"/>
    <w:pPr>
      <w:spacing w:after="200" w:line="276" w:lineRule="auto"/>
      <w:ind w:left="720"/>
      <w:contextualSpacing/>
    </w:pPr>
    <w:rPr>
      <w:rFonts w:ascii="Calibri" w:eastAsia="Calibri" w:hAnsi="Calibri" w:cs="Times New Roman"/>
    </w:rPr>
  </w:style>
  <w:style w:type="paragraph" w:customStyle="1" w:styleId="Body1">
    <w:name w:val="Body 1"/>
    <w:rsid w:val="004F27D3"/>
    <w:pPr>
      <w:spacing w:after="200" w:line="276" w:lineRule="auto"/>
      <w:outlineLvl w:val="0"/>
    </w:pPr>
    <w:rPr>
      <w:rFonts w:ascii="Helvetica" w:eastAsia="Arial Unicode MS" w:hAnsi="Helvetica" w:cs="Times New Roman"/>
      <w:color w:val="000000"/>
      <w:szCs w:val="20"/>
      <w:u w:color="000000"/>
      <w:lang w:eastAsia="en-ZA"/>
    </w:rPr>
  </w:style>
  <w:style w:type="paragraph" w:customStyle="1" w:styleId="ImportWordListStyleDefinition0">
    <w:name w:val="Import Word List Style Definition 0"/>
    <w:uiPriority w:val="99"/>
    <w:semiHidden/>
    <w:rsid w:val="004F27D3"/>
    <w:pPr>
      <w:numPr>
        <w:numId w:val="1"/>
      </w:numPr>
      <w:spacing w:after="0" w:line="240" w:lineRule="auto"/>
    </w:pPr>
    <w:rPr>
      <w:rFonts w:ascii="Times New Roman" w:eastAsia="Times New Roman" w:hAnsi="Times New Roman" w:cs="Times New Roman"/>
      <w:sz w:val="20"/>
      <w:szCs w:val="20"/>
      <w:lang w:eastAsia="en-ZA"/>
    </w:rPr>
  </w:style>
  <w:style w:type="paragraph" w:customStyle="1" w:styleId="List1">
    <w:name w:val="List 1"/>
    <w:basedOn w:val="ImportWordListStyleDefinition0"/>
    <w:uiPriority w:val="99"/>
    <w:semiHidden/>
    <w:rsid w:val="004F27D3"/>
    <w:pPr>
      <w:numPr>
        <w:numId w:val="2"/>
      </w:numPr>
    </w:pPr>
  </w:style>
  <w:style w:type="paragraph" w:customStyle="1" w:styleId="ImportWordListStyleDefinition1">
    <w:name w:val="Import Word List Style Definition 1"/>
    <w:autoRedefine/>
    <w:uiPriority w:val="99"/>
    <w:semiHidden/>
    <w:rsid w:val="004F27D3"/>
    <w:pPr>
      <w:numPr>
        <w:numId w:val="3"/>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1">
    <w:name w:val="Import Word List Style Definition 21"/>
    <w:uiPriority w:val="99"/>
    <w:semiHidden/>
    <w:rsid w:val="004F27D3"/>
    <w:pPr>
      <w:numPr>
        <w:numId w:val="4"/>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30">
    <w:name w:val="Import Word List Style Definition 30"/>
    <w:uiPriority w:val="99"/>
    <w:semiHidden/>
    <w:rsid w:val="004F27D3"/>
    <w:pPr>
      <w:numPr>
        <w:numId w:val="5"/>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9">
    <w:name w:val="Import Word List Style Definition 9"/>
    <w:uiPriority w:val="99"/>
    <w:semiHidden/>
    <w:rsid w:val="004F27D3"/>
    <w:pPr>
      <w:numPr>
        <w:numId w:val="6"/>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5">
    <w:name w:val="Import Word List Style Definition 25"/>
    <w:uiPriority w:val="99"/>
    <w:semiHidden/>
    <w:rsid w:val="004F27D3"/>
    <w:pPr>
      <w:numPr>
        <w:numId w:val="7"/>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4">
    <w:name w:val="Import Word List Style Definition 4"/>
    <w:uiPriority w:val="99"/>
    <w:semiHidden/>
    <w:rsid w:val="004F27D3"/>
    <w:pPr>
      <w:numPr>
        <w:numId w:val="8"/>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9">
    <w:name w:val="Import Word List Style Definition 29"/>
    <w:uiPriority w:val="99"/>
    <w:semiHidden/>
    <w:rsid w:val="004F27D3"/>
    <w:pPr>
      <w:numPr>
        <w:numId w:val="9"/>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
    <w:name w:val="Import Word List Style Definition 2"/>
    <w:uiPriority w:val="99"/>
    <w:semiHidden/>
    <w:rsid w:val="004F27D3"/>
    <w:pPr>
      <w:numPr>
        <w:numId w:val="10"/>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6">
    <w:name w:val="Import Word List Style Definition 26"/>
    <w:uiPriority w:val="99"/>
    <w:semiHidden/>
    <w:rsid w:val="004F27D3"/>
    <w:pPr>
      <w:numPr>
        <w:numId w:val="11"/>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6">
    <w:name w:val="Import Word List Style Definition 6"/>
    <w:uiPriority w:val="99"/>
    <w:semiHidden/>
    <w:rsid w:val="004F27D3"/>
    <w:pPr>
      <w:numPr>
        <w:numId w:val="12"/>
      </w:numPr>
      <w:spacing w:after="0" w:line="240" w:lineRule="auto"/>
      <w:ind w:left="0" w:firstLine="0"/>
    </w:pPr>
    <w:rPr>
      <w:rFonts w:ascii="Times New Roman" w:eastAsia="Times New Roman" w:hAnsi="Times New Roman" w:cs="Times New Roman"/>
      <w:sz w:val="20"/>
      <w:szCs w:val="20"/>
      <w:lang w:eastAsia="en-ZA"/>
    </w:rPr>
  </w:style>
  <w:style w:type="paragraph" w:customStyle="1" w:styleId="ImportWordListStyleDefinition18">
    <w:name w:val="Import Word List Style Definition 18"/>
    <w:uiPriority w:val="99"/>
    <w:semiHidden/>
    <w:rsid w:val="004F27D3"/>
    <w:pPr>
      <w:numPr>
        <w:numId w:val="13"/>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5">
    <w:name w:val="Import Word List Style Definition 5"/>
    <w:uiPriority w:val="99"/>
    <w:semiHidden/>
    <w:rsid w:val="004F27D3"/>
    <w:pPr>
      <w:numPr>
        <w:numId w:val="14"/>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7">
    <w:name w:val="Import Word List Style Definition 17"/>
    <w:uiPriority w:val="99"/>
    <w:semiHidden/>
    <w:rsid w:val="004F27D3"/>
    <w:pPr>
      <w:numPr>
        <w:numId w:val="15"/>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3">
    <w:name w:val="Import Word List Style Definition 23"/>
    <w:uiPriority w:val="99"/>
    <w:semiHidden/>
    <w:rsid w:val="004F27D3"/>
    <w:pPr>
      <w:numPr>
        <w:numId w:val="16"/>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3">
    <w:name w:val="Import Word List Style Definition 13"/>
    <w:uiPriority w:val="99"/>
    <w:semiHidden/>
    <w:rsid w:val="004F27D3"/>
    <w:pPr>
      <w:numPr>
        <w:numId w:val="17"/>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8">
    <w:name w:val="Import Word List Style Definition 28"/>
    <w:uiPriority w:val="99"/>
    <w:semiHidden/>
    <w:rsid w:val="004F27D3"/>
    <w:pPr>
      <w:numPr>
        <w:numId w:val="18"/>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0">
    <w:name w:val="Import Word List Style Definition 20"/>
    <w:uiPriority w:val="99"/>
    <w:semiHidden/>
    <w:rsid w:val="004F27D3"/>
    <w:pPr>
      <w:numPr>
        <w:numId w:val="19"/>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4">
    <w:name w:val="Import Word List Style Definition 24"/>
    <w:uiPriority w:val="99"/>
    <w:semiHidden/>
    <w:rsid w:val="004F27D3"/>
    <w:pPr>
      <w:numPr>
        <w:numId w:val="20"/>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1">
    <w:name w:val="Import Word List Style Definition 11"/>
    <w:uiPriority w:val="99"/>
    <w:semiHidden/>
    <w:rsid w:val="004F27D3"/>
    <w:pPr>
      <w:numPr>
        <w:numId w:val="21"/>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7">
    <w:name w:val="Import Word List Style Definition 7"/>
    <w:uiPriority w:val="99"/>
    <w:semiHidden/>
    <w:rsid w:val="004F27D3"/>
    <w:pPr>
      <w:numPr>
        <w:numId w:val="22"/>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6">
    <w:name w:val="Import Word List Style Definition 16"/>
    <w:uiPriority w:val="99"/>
    <w:semiHidden/>
    <w:rsid w:val="004F27D3"/>
    <w:pPr>
      <w:numPr>
        <w:numId w:val="23"/>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7">
    <w:name w:val="Import Word List Style Definition 27"/>
    <w:uiPriority w:val="99"/>
    <w:semiHidden/>
    <w:rsid w:val="004F27D3"/>
    <w:pPr>
      <w:numPr>
        <w:numId w:val="24"/>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9">
    <w:name w:val="Import Word List Style Definition 19"/>
    <w:uiPriority w:val="99"/>
    <w:semiHidden/>
    <w:rsid w:val="004F27D3"/>
    <w:pPr>
      <w:numPr>
        <w:numId w:val="25"/>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4">
    <w:name w:val="Import Word List Style Definition 14"/>
    <w:uiPriority w:val="99"/>
    <w:semiHidden/>
    <w:rsid w:val="004F27D3"/>
    <w:pPr>
      <w:numPr>
        <w:numId w:val="26"/>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22">
    <w:name w:val="Import Word List Style Definition 22"/>
    <w:uiPriority w:val="99"/>
    <w:semiHidden/>
    <w:rsid w:val="004F27D3"/>
    <w:pPr>
      <w:numPr>
        <w:numId w:val="27"/>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5">
    <w:name w:val="Import Word List Style Definition 15"/>
    <w:uiPriority w:val="99"/>
    <w:semiHidden/>
    <w:rsid w:val="004F27D3"/>
    <w:pPr>
      <w:numPr>
        <w:numId w:val="28"/>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8">
    <w:name w:val="Import Word List Style Definition 8"/>
    <w:autoRedefine/>
    <w:uiPriority w:val="99"/>
    <w:semiHidden/>
    <w:rsid w:val="004F27D3"/>
    <w:pPr>
      <w:numPr>
        <w:numId w:val="29"/>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3">
    <w:name w:val="Import Word List Style Definition 3"/>
    <w:autoRedefine/>
    <w:uiPriority w:val="99"/>
    <w:semiHidden/>
    <w:rsid w:val="004F27D3"/>
    <w:pPr>
      <w:numPr>
        <w:numId w:val="30"/>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0">
    <w:name w:val="Import Word List Style Definition 10"/>
    <w:uiPriority w:val="99"/>
    <w:semiHidden/>
    <w:rsid w:val="004F27D3"/>
    <w:pPr>
      <w:numPr>
        <w:numId w:val="31"/>
      </w:numPr>
      <w:spacing w:after="0" w:line="240" w:lineRule="auto"/>
    </w:pPr>
    <w:rPr>
      <w:rFonts w:ascii="Times New Roman" w:eastAsia="Times New Roman" w:hAnsi="Times New Roman" w:cs="Times New Roman"/>
      <w:sz w:val="20"/>
      <w:szCs w:val="20"/>
      <w:lang w:eastAsia="en-ZA"/>
    </w:rPr>
  </w:style>
  <w:style w:type="paragraph" w:customStyle="1" w:styleId="ImportWordListStyleDefinition12">
    <w:name w:val="Import Word List Style Definition 12"/>
    <w:uiPriority w:val="99"/>
    <w:semiHidden/>
    <w:rsid w:val="004F27D3"/>
    <w:pPr>
      <w:numPr>
        <w:numId w:val="32"/>
      </w:numPr>
      <w:spacing w:after="0" w:line="240" w:lineRule="auto"/>
    </w:pPr>
    <w:rPr>
      <w:rFonts w:ascii="Times New Roman" w:eastAsia="Times New Roman" w:hAnsi="Times New Roman" w:cs="Times New Roman"/>
      <w:sz w:val="20"/>
      <w:szCs w:val="20"/>
      <w:lang w:eastAsia="en-ZA"/>
    </w:rPr>
  </w:style>
  <w:style w:type="paragraph" w:customStyle="1" w:styleId="Default">
    <w:name w:val="Default"/>
    <w:rsid w:val="004F27D3"/>
    <w:pPr>
      <w:autoSpaceDE w:val="0"/>
      <w:autoSpaceDN w:val="0"/>
      <w:adjustRightInd w:val="0"/>
      <w:spacing w:after="0" w:line="240" w:lineRule="auto"/>
    </w:pPr>
    <w:rPr>
      <w:rFonts w:ascii="Arial" w:eastAsia="Times New Roman" w:hAnsi="Arial" w:cs="Arial"/>
      <w:color w:val="000000"/>
      <w:sz w:val="24"/>
      <w:szCs w:val="24"/>
      <w:lang w:eastAsia="en-ZA"/>
    </w:rPr>
  </w:style>
  <w:style w:type="paragraph" w:customStyle="1" w:styleId="BodySingle">
    <w:name w:val="Body Single"/>
    <w:uiPriority w:val="99"/>
    <w:semiHidden/>
    <w:rsid w:val="004F27D3"/>
    <w:pPr>
      <w:spacing w:after="0" w:line="240" w:lineRule="auto"/>
      <w:ind w:left="720"/>
      <w:jc w:val="both"/>
    </w:pPr>
    <w:rPr>
      <w:rFonts w:ascii="Arial" w:eastAsia="Times New Roman" w:hAnsi="Arial" w:cs="Times New Roman"/>
      <w:i/>
      <w:noProof/>
      <w:sz w:val="20"/>
      <w:szCs w:val="20"/>
      <w:lang w:val="en-US"/>
    </w:rPr>
  </w:style>
  <w:style w:type="character" w:styleId="FootnoteReference">
    <w:name w:val="footnote reference"/>
    <w:basedOn w:val="DefaultParagraphFont"/>
    <w:uiPriority w:val="99"/>
    <w:unhideWhenUsed/>
    <w:rsid w:val="004F27D3"/>
    <w:rPr>
      <w:vertAlign w:val="superscript"/>
    </w:rPr>
  </w:style>
  <w:style w:type="character" w:styleId="CommentReference">
    <w:name w:val="annotation reference"/>
    <w:basedOn w:val="DefaultParagraphFont"/>
    <w:semiHidden/>
    <w:unhideWhenUsed/>
    <w:rsid w:val="004F27D3"/>
    <w:rPr>
      <w:sz w:val="16"/>
      <w:szCs w:val="16"/>
    </w:rPr>
  </w:style>
  <w:style w:type="character" w:customStyle="1" w:styleId="st">
    <w:name w:val="st"/>
    <w:basedOn w:val="DefaultParagraphFont"/>
    <w:rsid w:val="004F27D3"/>
  </w:style>
  <w:style w:type="table" w:styleId="TableGrid">
    <w:name w:val="Table Grid"/>
    <w:basedOn w:val="TableNormal"/>
    <w:uiPriority w:val="39"/>
    <w:rsid w:val="004F2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29">
    <w:name w:val="List 29"/>
    <w:basedOn w:val="ImportWordListStyleDefinition3"/>
    <w:uiPriority w:val="99"/>
    <w:semiHidden/>
    <w:rsid w:val="004F27D3"/>
    <w:pPr>
      <w:numPr>
        <w:numId w:val="33"/>
      </w:numPr>
    </w:pPr>
  </w:style>
  <w:style w:type="paragraph" w:customStyle="1" w:styleId="List7">
    <w:name w:val="List 7"/>
    <w:basedOn w:val="ImportWordListStyleDefinition4"/>
    <w:uiPriority w:val="99"/>
    <w:semiHidden/>
    <w:rsid w:val="004F27D3"/>
    <w:pPr>
      <w:numPr>
        <w:numId w:val="34"/>
      </w:numPr>
    </w:pPr>
  </w:style>
  <w:style w:type="paragraph" w:customStyle="1" w:styleId="List13">
    <w:name w:val="List 13"/>
    <w:basedOn w:val="ImportWordListStyleDefinition5"/>
    <w:uiPriority w:val="99"/>
    <w:semiHidden/>
    <w:rsid w:val="004F27D3"/>
    <w:pPr>
      <w:numPr>
        <w:numId w:val="35"/>
      </w:numPr>
    </w:pPr>
  </w:style>
  <w:style w:type="paragraph" w:customStyle="1" w:styleId="List11">
    <w:name w:val="List 11"/>
    <w:basedOn w:val="ImportWordListStyleDefinition6"/>
    <w:uiPriority w:val="99"/>
    <w:semiHidden/>
    <w:rsid w:val="004F27D3"/>
    <w:pPr>
      <w:numPr>
        <w:numId w:val="36"/>
      </w:numPr>
    </w:pPr>
  </w:style>
  <w:style w:type="paragraph" w:customStyle="1" w:styleId="List21">
    <w:name w:val="List 21"/>
    <w:basedOn w:val="ImportWordListStyleDefinition7"/>
    <w:uiPriority w:val="99"/>
    <w:semiHidden/>
    <w:rsid w:val="004F27D3"/>
    <w:pPr>
      <w:numPr>
        <w:numId w:val="37"/>
      </w:numPr>
    </w:pPr>
  </w:style>
  <w:style w:type="paragraph" w:customStyle="1" w:styleId="List28">
    <w:name w:val="List 28"/>
    <w:basedOn w:val="ImportWordListStyleDefinition8"/>
    <w:uiPriority w:val="99"/>
    <w:semiHidden/>
    <w:rsid w:val="004F27D3"/>
    <w:pPr>
      <w:numPr>
        <w:numId w:val="38"/>
      </w:numPr>
    </w:pPr>
  </w:style>
  <w:style w:type="paragraph" w:customStyle="1" w:styleId="List51">
    <w:name w:val="List 51"/>
    <w:basedOn w:val="ImportWordListStyleDefinition9"/>
    <w:uiPriority w:val="99"/>
    <w:semiHidden/>
    <w:rsid w:val="004F27D3"/>
    <w:pPr>
      <w:numPr>
        <w:numId w:val="39"/>
      </w:numPr>
    </w:pPr>
  </w:style>
  <w:style w:type="paragraph" w:customStyle="1" w:styleId="List30">
    <w:name w:val="List 30"/>
    <w:basedOn w:val="ImportWordListStyleDefinition10"/>
    <w:uiPriority w:val="99"/>
    <w:semiHidden/>
    <w:rsid w:val="004F27D3"/>
    <w:pPr>
      <w:numPr>
        <w:numId w:val="40"/>
      </w:numPr>
    </w:pPr>
  </w:style>
  <w:style w:type="paragraph" w:customStyle="1" w:styleId="List20">
    <w:name w:val="List 20"/>
    <w:basedOn w:val="ImportWordListStyleDefinition11"/>
    <w:uiPriority w:val="99"/>
    <w:semiHidden/>
    <w:rsid w:val="004F27D3"/>
    <w:pPr>
      <w:numPr>
        <w:numId w:val="41"/>
      </w:numPr>
    </w:pPr>
  </w:style>
  <w:style w:type="paragraph" w:customStyle="1" w:styleId="List18">
    <w:name w:val="List 18"/>
    <w:basedOn w:val="ImportWordListStyleDefinition20"/>
    <w:uiPriority w:val="99"/>
    <w:semiHidden/>
    <w:rsid w:val="004F27D3"/>
    <w:pPr>
      <w:numPr>
        <w:numId w:val="42"/>
      </w:numPr>
    </w:pPr>
  </w:style>
  <w:style w:type="paragraph" w:customStyle="1" w:styleId="List31">
    <w:name w:val="List 31"/>
    <w:basedOn w:val="ImportWordListStyleDefinition12"/>
    <w:uiPriority w:val="99"/>
    <w:semiHidden/>
    <w:rsid w:val="004F27D3"/>
    <w:pPr>
      <w:numPr>
        <w:numId w:val="43"/>
      </w:numPr>
    </w:pPr>
  </w:style>
  <w:style w:type="paragraph" w:customStyle="1" w:styleId="List41">
    <w:name w:val="List 41"/>
    <w:basedOn w:val="ImportWordListStyleDefinition30"/>
    <w:uiPriority w:val="99"/>
    <w:semiHidden/>
    <w:rsid w:val="004F27D3"/>
    <w:pPr>
      <w:numPr>
        <w:numId w:val="44"/>
      </w:numPr>
    </w:pPr>
  </w:style>
  <w:style w:type="paragraph" w:customStyle="1" w:styleId="List32">
    <w:name w:val="List 32"/>
    <w:basedOn w:val="ImportWordListStyleDefinition21"/>
    <w:uiPriority w:val="99"/>
    <w:semiHidden/>
    <w:rsid w:val="004F27D3"/>
    <w:pPr>
      <w:numPr>
        <w:numId w:val="45"/>
      </w:numPr>
    </w:pPr>
  </w:style>
  <w:style w:type="paragraph" w:customStyle="1" w:styleId="List26">
    <w:name w:val="List 26"/>
    <w:basedOn w:val="ImportWordListStyleDefinition22"/>
    <w:uiPriority w:val="99"/>
    <w:semiHidden/>
    <w:rsid w:val="004F27D3"/>
    <w:pPr>
      <w:numPr>
        <w:numId w:val="46"/>
      </w:numPr>
    </w:pPr>
  </w:style>
  <w:style w:type="paragraph" w:customStyle="1" w:styleId="List16">
    <w:name w:val="List 16"/>
    <w:basedOn w:val="ImportWordListStyleDefinition13"/>
    <w:uiPriority w:val="99"/>
    <w:semiHidden/>
    <w:rsid w:val="004F27D3"/>
    <w:pPr>
      <w:numPr>
        <w:numId w:val="47"/>
      </w:numPr>
    </w:pPr>
  </w:style>
  <w:style w:type="paragraph" w:customStyle="1" w:styleId="List25">
    <w:name w:val="List 25"/>
    <w:basedOn w:val="ImportWordListStyleDefinition14"/>
    <w:autoRedefine/>
    <w:uiPriority w:val="99"/>
    <w:semiHidden/>
    <w:rsid w:val="004F27D3"/>
    <w:pPr>
      <w:numPr>
        <w:numId w:val="48"/>
      </w:numPr>
    </w:pPr>
  </w:style>
  <w:style w:type="paragraph" w:customStyle="1" w:styleId="List15">
    <w:name w:val="List 15"/>
    <w:basedOn w:val="ImportWordListStyleDefinition23"/>
    <w:uiPriority w:val="99"/>
    <w:semiHidden/>
    <w:rsid w:val="004F27D3"/>
    <w:pPr>
      <w:numPr>
        <w:numId w:val="49"/>
      </w:numPr>
    </w:pPr>
  </w:style>
  <w:style w:type="paragraph" w:customStyle="1" w:styleId="List27">
    <w:name w:val="List 27"/>
    <w:basedOn w:val="ImportWordListStyleDefinition15"/>
    <w:uiPriority w:val="99"/>
    <w:semiHidden/>
    <w:rsid w:val="004F27D3"/>
    <w:pPr>
      <w:numPr>
        <w:numId w:val="50"/>
      </w:numPr>
    </w:pPr>
  </w:style>
  <w:style w:type="paragraph" w:customStyle="1" w:styleId="List19">
    <w:name w:val="List 19"/>
    <w:basedOn w:val="ImportWordListStyleDefinition24"/>
    <w:uiPriority w:val="99"/>
    <w:semiHidden/>
    <w:rsid w:val="004F27D3"/>
    <w:pPr>
      <w:numPr>
        <w:numId w:val="51"/>
      </w:numPr>
    </w:pPr>
  </w:style>
  <w:style w:type="paragraph" w:customStyle="1" w:styleId="List22">
    <w:name w:val="List 22"/>
    <w:basedOn w:val="ImportWordListStyleDefinition16"/>
    <w:uiPriority w:val="99"/>
    <w:semiHidden/>
    <w:rsid w:val="004F27D3"/>
    <w:pPr>
      <w:numPr>
        <w:numId w:val="52"/>
      </w:numPr>
    </w:pPr>
  </w:style>
  <w:style w:type="paragraph" w:customStyle="1" w:styleId="List6">
    <w:name w:val="List 6"/>
    <w:basedOn w:val="ImportWordListStyleDefinition25"/>
    <w:uiPriority w:val="99"/>
    <w:semiHidden/>
    <w:rsid w:val="004F27D3"/>
    <w:pPr>
      <w:numPr>
        <w:numId w:val="53"/>
      </w:numPr>
    </w:pPr>
  </w:style>
  <w:style w:type="paragraph" w:customStyle="1" w:styleId="List14">
    <w:name w:val="List 14"/>
    <w:basedOn w:val="ImportWordListStyleDefinition17"/>
    <w:uiPriority w:val="99"/>
    <w:semiHidden/>
    <w:rsid w:val="004F27D3"/>
    <w:pPr>
      <w:numPr>
        <w:numId w:val="54"/>
      </w:numPr>
    </w:pPr>
  </w:style>
  <w:style w:type="paragraph" w:customStyle="1" w:styleId="List10">
    <w:name w:val="List 10"/>
    <w:basedOn w:val="ImportWordListStyleDefinition26"/>
    <w:uiPriority w:val="99"/>
    <w:semiHidden/>
    <w:rsid w:val="004F27D3"/>
    <w:pPr>
      <w:numPr>
        <w:numId w:val="55"/>
      </w:numPr>
    </w:pPr>
  </w:style>
  <w:style w:type="paragraph" w:customStyle="1" w:styleId="List23">
    <w:name w:val="List 23"/>
    <w:basedOn w:val="ImportWordListStyleDefinition27"/>
    <w:uiPriority w:val="99"/>
    <w:semiHidden/>
    <w:rsid w:val="004F27D3"/>
    <w:pPr>
      <w:numPr>
        <w:numId w:val="56"/>
      </w:numPr>
    </w:pPr>
  </w:style>
  <w:style w:type="paragraph" w:customStyle="1" w:styleId="List12">
    <w:name w:val="List 12"/>
    <w:basedOn w:val="ImportWordListStyleDefinition18"/>
    <w:uiPriority w:val="99"/>
    <w:semiHidden/>
    <w:rsid w:val="004F27D3"/>
    <w:pPr>
      <w:numPr>
        <w:numId w:val="57"/>
      </w:numPr>
    </w:pPr>
  </w:style>
  <w:style w:type="paragraph" w:customStyle="1" w:styleId="List24">
    <w:name w:val="List 24"/>
    <w:basedOn w:val="ImportWordListStyleDefinition19"/>
    <w:uiPriority w:val="99"/>
    <w:semiHidden/>
    <w:rsid w:val="004F27D3"/>
    <w:pPr>
      <w:numPr>
        <w:numId w:val="58"/>
      </w:numPr>
    </w:pPr>
  </w:style>
  <w:style w:type="paragraph" w:customStyle="1" w:styleId="List17">
    <w:name w:val="List 17"/>
    <w:basedOn w:val="ImportWordListStyleDefinition28"/>
    <w:uiPriority w:val="99"/>
    <w:semiHidden/>
    <w:rsid w:val="004F27D3"/>
    <w:pPr>
      <w:numPr>
        <w:numId w:val="59"/>
      </w:numPr>
    </w:pPr>
  </w:style>
  <w:style w:type="paragraph" w:customStyle="1" w:styleId="List8">
    <w:name w:val="List 8"/>
    <w:basedOn w:val="ImportWordListStyleDefinition29"/>
    <w:uiPriority w:val="99"/>
    <w:semiHidden/>
    <w:rsid w:val="004F27D3"/>
    <w:pPr>
      <w:numPr>
        <w:numId w:val="60"/>
      </w:numPr>
    </w:pPr>
  </w:style>
  <w:style w:type="paragraph" w:customStyle="1" w:styleId="List0">
    <w:name w:val="List 0"/>
    <w:basedOn w:val="ImportWordListStyleDefinition0"/>
    <w:autoRedefine/>
    <w:uiPriority w:val="99"/>
    <w:semiHidden/>
    <w:rsid w:val="004F27D3"/>
    <w:pPr>
      <w:numPr>
        <w:numId w:val="61"/>
      </w:numPr>
    </w:pPr>
  </w:style>
  <w:style w:type="paragraph" w:customStyle="1" w:styleId="List210">
    <w:name w:val="List 210"/>
    <w:basedOn w:val="ImportWordListStyleDefinition1"/>
    <w:uiPriority w:val="99"/>
    <w:semiHidden/>
    <w:rsid w:val="004F27D3"/>
    <w:pPr>
      <w:numPr>
        <w:numId w:val="62"/>
      </w:numPr>
    </w:pPr>
  </w:style>
  <w:style w:type="paragraph" w:customStyle="1" w:styleId="List9">
    <w:name w:val="List 9"/>
    <w:basedOn w:val="ImportWordListStyleDefinition2"/>
    <w:autoRedefine/>
    <w:uiPriority w:val="99"/>
    <w:semiHidden/>
    <w:rsid w:val="004F27D3"/>
    <w:pPr>
      <w:numPr>
        <w:numId w:val="63"/>
      </w:numPr>
    </w:pPr>
  </w:style>
  <w:style w:type="paragraph" w:styleId="Subtitle">
    <w:name w:val="Subtitle"/>
    <w:basedOn w:val="Normal"/>
    <w:next w:val="Normal"/>
    <w:link w:val="SubtitleChar"/>
    <w:uiPriority w:val="11"/>
    <w:qFormat/>
    <w:rsid w:val="004F27D3"/>
    <w:pPr>
      <w:numPr>
        <w:ilvl w:val="1"/>
      </w:num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27D3"/>
    <w:rPr>
      <w:rFonts w:eastAsiaTheme="minorEastAsia"/>
      <w:color w:val="5A5A5A" w:themeColor="text1" w:themeTint="A5"/>
      <w:spacing w:val="15"/>
      <w:lang w:val="en-GB"/>
    </w:rPr>
  </w:style>
  <w:style w:type="paragraph" w:styleId="NoSpacing">
    <w:name w:val="No Spacing"/>
    <w:uiPriority w:val="1"/>
    <w:qFormat/>
    <w:rsid w:val="004F27D3"/>
    <w:pPr>
      <w:spacing w:after="0" w:line="240" w:lineRule="auto"/>
    </w:pPr>
  </w:style>
  <w:style w:type="table" w:customStyle="1" w:styleId="TableGrid1">
    <w:name w:val="Table Grid1"/>
    <w:basedOn w:val="TableNormal"/>
    <w:next w:val="TableGrid"/>
    <w:uiPriority w:val="39"/>
    <w:rsid w:val="004F2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1"/>
    <w:locked/>
    <w:rsid w:val="004F27D3"/>
    <w:rPr>
      <w:rFonts w:ascii="Calibri" w:eastAsia="Calibri" w:hAnsi="Calibri" w:cs="Times New Roman"/>
      <w:lang w:val="en-GB"/>
    </w:rPr>
  </w:style>
  <w:style w:type="character" w:customStyle="1" w:styleId="antenna1">
    <w:name w:val="antenna1"/>
    <w:basedOn w:val="DefaultParagraphFont"/>
    <w:rsid w:val="004F27D3"/>
    <w:rPr>
      <w:rFonts w:ascii="Helvetica" w:hAnsi="Helvetica" w:hint="default"/>
      <w:b w:val="0"/>
      <w:bCs w:val="0"/>
      <w:vanish w:val="0"/>
      <w:webHidden w:val="0"/>
      <w:sz w:val="18"/>
      <w:szCs w:val="18"/>
      <w:specVanish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businesstech.co.za/news/government/605642/major-border-change-for-south-africa-takes-effect-this-wee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nvanzyl-gous\Documents\Annual%20Reports%20complete\Annual%20Reports%202022\SAPS\Performa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1" i="0" u="none" strike="noStrike" kern="1200" cap="all" spc="120" normalizeH="0" baseline="0">
                <a:solidFill>
                  <a:schemeClr val="tx1">
                    <a:lumMod val="85000"/>
                    <a:lumOff val="15000"/>
                  </a:schemeClr>
                </a:solidFill>
                <a:latin typeface="+mn-lt"/>
                <a:ea typeface="+mn-ea"/>
                <a:cs typeface="+mn-cs"/>
              </a:defRPr>
            </a:pPr>
            <a:r>
              <a:rPr lang="en-US" sz="1200"/>
              <a:t>SAPS Performance 2020/21 vs 2021/22</a:t>
            </a:r>
          </a:p>
        </c:rich>
      </c:tx>
      <c:layout>
        <c:manualLayout>
          <c:xMode val="edge"/>
          <c:yMode val="edge"/>
          <c:x val="0.21548300535112047"/>
          <c:y val="3.2369942196531803E-2"/>
        </c:manualLayout>
      </c:layout>
      <c:spPr>
        <a:noFill/>
        <a:ln>
          <a:noFill/>
        </a:ln>
        <a:effectLst/>
      </c:spPr>
    </c:title>
    <c:plotArea>
      <c:layout/>
      <c:lineChart>
        <c:grouping val="standard"/>
        <c:ser>
          <c:idx val="0"/>
          <c:order val="0"/>
          <c:tx>
            <c:strRef>
              <c:f>'202021'!$F$22</c:f>
              <c:strCache>
                <c:ptCount val="1"/>
                <c:pt idx="0">
                  <c:v>2021/22</c:v>
                </c:pt>
              </c:strCache>
            </c:strRef>
          </c:tx>
          <c:spPr>
            <a:ln w="22225" cap="rnd">
              <a:solidFill>
                <a:schemeClr val="accent6"/>
              </a:solidFill>
              <a:round/>
            </a:ln>
            <a:effectLst/>
          </c:spPr>
          <c:marker>
            <c:symbol val="square"/>
            <c:size val="4"/>
            <c:spPr>
              <a:solidFill>
                <a:schemeClr val="tx2">
                  <a:lumMod val="20000"/>
                  <a:lumOff val="80000"/>
                </a:schemeClr>
              </a:solidFill>
              <a:ln w="9525">
                <a:solidFill>
                  <a:schemeClr val="accent6"/>
                </a:solidFill>
                <a:round/>
              </a:ln>
              <a:effectLst/>
            </c:spPr>
          </c:marker>
          <c:dLbls>
            <c:dLbl>
              <c:idx val="2"/>
              <c:layout>
                <c:manualLayout>
                  <c:x val="-3.0000000000000075E-2"/>
                  <c:y val="4.134807270991944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B18-4EAC-9D6B-7D7B9A97500C}"/>
                </c:ext>
              </c:extLst>
            </c:dLbl>
            <c:dLbl>
              <c:idx val="5"/>
              <c:layout>
                <c:manualLayout>
                  <c:x val="-1.9471947194720683E-3"/>
                  <c:y val="-1.03048198520639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B18-4EAC-9D6B-7D7B9A97500C}"/>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85000"/>
                        <a:lumOff val="15000"/>
                      </a:schemeClr>
                    </a:solidFill>
                    <a:latin typeface="+mn-lt"/>
                    <a:ea typeface="+mn-ea"/>
                    <a:cs typeface="+mn-cs"/>
                  </a:defRPr>
                </a:pPr>
                <a:endParaRPr lang="en-US"/>
              </a:p>
            </c:txPr>
            <c:dLblPos val="t"/>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'202021'!$A$23:$A$28</c:f>
              <c:strCache>
                <c:ptCount val="6"/>
                <c:pt idx="0">
                  <c:v>Administration </c:v>
                </c:pt>
                <c:pt idx="1">
                  <c:v>Vispol </c:v>
                </c:pt>
                <c:pt idx="2">
                  <c:v>Detective Services </c:v>
                </c:pt>
                <c:pt idx="3">
                  <c:v>Crime Intelligence </c:v>
                </c:pt>
                <c:pt idx="4">
                  <c:v>Protection and Security </c:v>
                </c:pt>
                <c:pt idx="5">
                  <c:v>Total </c:v>
                </c:pt>
              </c:strCache>
            </c:strRef>
          </c:cat>
          <c:val>
            <c:numRef>
              <c:f>'202021'!$F$23:$F$28</c:f>
              <c:numCache>
                <c:formatCode>0.0%</c:formatCode>
                <c:ptCount val="6"/>
                <c:pt idx="0">
                  <c:v>0.8</c:v>
                </c:pt>
                <c:pt idx="1">
                  <c:v>0.70800000000000018</c:v>
                </c:pt>
                <c:pt idx="2">
                  <c:v>0.51700000000000002</c:v>
                </c:pt>
                <c:pt idx="3">
                  <c:v>0.91600000000000004</c:v>
                </c:pt>
                <c:pt idx="4">
                  <c:v>0.71400000000000019</c:v>
                </c:pt>
                <c:pt idx="5">
                  <c:v>0.70100000000000018</c:v>
                </c:pt>
              </c:numCache>
            </c:numRef>
          </c:val>
          <c:extLst xmlns:c16r2="http://schemas.microsoft.com/office/drawing/2015/06/chart">
            <c:ext xmlns:c16="http://schemas.microsoft.com/office/drawing/2014/chart" uri="{C3380CC4-5D6E-409C-BE32-E72D297353CC}">
              <c16:uniqueId val="{00000002-2B18-4EAC-9D6B-7D7B9A97500C}"/>
            </c:ext>
          </c:extLst>
        </c:ser>
        <c:ser>
          <c:idx val="1"/>
          <c:order val="1"/>
          <c:tx>
            <c:strRef>
              <c:f>'202021'!$G$22</c:f>
              <c:strCache>
                <c:ptCount val="1"/>
                <c:pt idx="0">
                  <c:v>2020/21</c:v>
                </c:pt>
              </c:strCache>
            </c:strRef>
          </c:tx>
          <c:spPr>
            <a:ln w="22225" cap="rnd">
              <a:solidFill>
                <a:schemeClr val="tx2">
                  <a:lumMod val="60000"/>
                  <a:lumOff val="40000"/>
                </a:schemeClr>
              </a:solidFill>
              <a:round/>
            </a:ln>
            <a:effectLst/>
          </c:spPr>
          <c:marker>
            <c:symbol val="square"/>
            <c:size val="4"/>
            <c:spPr>
              <a:solidFill>
                <a:schemeClr val="accent5"/>
              </a:solidFill>
              <a:ln w="9525">
                <a:solidFill>
                  <a:schemeClr val="accent5"/>
                </a:solidFill>
                <a:round/>
              </a:ln>
              <a:effectLst/>
            </c:spPr>
          </c:marker>
          <c:dLbls>
            <c:dLbl>
              <c:idx val="0"/>
              <c:layout>
                <c:manualLayout>
                  <c:x val="-3.4950495049504954E-2"/>
                  <c:y val="5.328680505845859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B18-4EAC-9D6B-7D7B9A97500C}"/>
                </c:ext>
              </c:extLst>
            </c:dLbl>
            <c:dLbl>
              <c:idx val="1"/>
              <c:layout>
                <c:manualLayout>
                  <c:x val="-3.8759777552558411E-2"/>
                  <c:y val="6.254934817032160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B18-4EAC-9D6B-7D7B9A97500C}"/>
                </c:ext>
              </c:extLst>
            </c:dLbl>
            <c:dLbl>
              <c:idx val="2"/>
              <c:layout>
                <c:manualLayout>
                  <c:x val="-3.7834881209314844E-2"/>
                  <c:y val="-5.8540803786809821E-2"/>
                </c:manualLayout>
              </c:layout>
              <c:dLblPos val="r"/>
              <c:showVal val="1"/>
              <c:extLst xmlns:c16r2="http://schemas.microsoft.com/office/drawing/2015/06/chart">
                <c:ext xmlns:c15="http://schemas.microsoft.com/office/drawing/2012/chart" uri="{CE6537A1-D6FC-4f65-9D91-7224C49458BB}">
                  <c15:layout>
                    <c:manualLayout>
                      <c:w val="6.6741050787663292E-2"/>
                      <c:h val="5.7406581402758179E-2"/>
                    </c:manualLayout>
                  </c15:layout>
                </c:ext>
                <c:ext xmlns:c16="http://schemas.microsoft.com/office/drawing/2014/chart" uri="{C3380CC4-5D6E-409C-BE32-E72D297353CC}">
                  <c16:uniqueId val="{00000005-2B18-4EAC-9D6B-7D7B9A97500C}"/>
                </c:ext>
              </c:extLst>
            </c:dLbl>
            <c:dLbl>
              <c:idx val="3"/>
              <c:layout>
                <c:manualLayout>
                  <c:x val="-2.8349834983498468E-2"/>
                  <c:y val="3.790454653912058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B18-4EAC-9D6B-7D7B9A97500C}"/>
                </c:ext>
              </c:extLst>
            </c:dLbl>
            <c:dLbl>
              <c:idx val="5"/>
              <c:layout>
                <c:manualLayout>
                  <c:x val="-1.6798679867986929E-2"/>
                  <c:y val="-4.474008156005292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B18-4EAC-9D6B-7D7B9A97500C}"/>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85000"/>
                        <a:lumOff val="15000"/>
                      </a:schemeClr>
                    </a:solidFill>
                    <a:latin typeface="+mn-lt"/>
                    <a:ea typeface="+mn-ea"/>
                    <a:cs typeface="+mn-cs"/>
                  </a:defRPr>
                </a:pPr>
                <a:endParaRPr lang="en-US"/>
              </a:p>
            </c:txPr>
            <c:dLblPos val="t"/>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'202021'!$A$23:$A$28</c:f>
              <c:strCache>
                <c:ptCount val="6"/>
                <c:pt idx="0">
                  <c:v>Administration </c:v>
                </c:pt>
                <c:pt idx="1">
                  <c:v>Vispol </c:v>
                </c:pt>
                <c:pt idx="2">
                  <c:v>Detective Services </c:v>
                </c:pt>
                <c:pt idx="3">
                  <c:v>Crime Intelligence </c:v>
                </c:pt>
                <c:pt idx="4">
                  <c:v>Protection and Security </c:v>
                </c:pt>
                <c:pt idx="5">
                  <c:v>Total </c:v>
                </c:pt>
              </c:strCache>
            </c:strRef>
          </c:cat>
          <c:val>
            <c:numRef>
              <c:f>'202021'!$G$23:$G$28</c:f>
              <c:numCache>
                <c:formatCode>0.0%</c:formatCode>
                <c:ptCount val="6"/>
                <c:pt idx="0">
                  <c:v>0.80952380952380965</c:v>
                </c:pt>
                <c:pt idx="1">
                  <c:v>0.73076923076923073</c:v>
                </c:pt>
                <c:pt idx="2">
                  <c:v>0.5862068965517242</c:v>
                </c:pt>
                <c:pt idx="3">
                  <c:v>0.83333333333333359</c:v>
                </c:pt>
                <c:pt idx="4">
                  <c:v>1</c:v>
                </c:pt>
                <c:pt idx="5">
                  <c:v>0.73684210526315785</c:v>
                </c:pt>
              </c:numCache>
            </c:numRef>
          </c:val>
          <c:extLst xmlns:c16r2="http://schemas.microsoft.com/office/drawing/2015/06/chart">
            <c:ext xmlns:c16="http://schemas.microsoft.com/office/drawing/2014/chart" uri="{C3380CC4-5D6E-409C-BE32-E72D297353CC}">
              <c16:uniqueId val="{00000008-2B18-4EAC-9D6B-7D7B9A97500C}"/>
            </c:ext>
          </c:extLst>
        </c:ser>
        <c:dLbls>
          <c:showVal val="1"/>
        </c:dLbls>
        <c:marker val="1"/>
        <c:axId val="142194560"/>
        <c:axId val="142196096"/>
      </c:lineChart>
      <c:catAx>
        <c:axId val="14219456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85000"/>
                    <a:lumOff val="15000"/>
                  </a:schemeClr>
                </a:solidFill>
                <a:latin typeface="+mn-lt"/>
                <a:ea typeface="+mn-ea"/>
                <a:cs typeface="+mn-cs"/>
              </a:defRPr>
            </a:pPr>
            <a:endParaRPr lang="en-US"/>
          </a:p>
        </c:txPr>
        <c:crossAx val="142196096"/>
        <c:crosses val="autoZero"/>
        <c:auto val="1"/>
        <c:lblAlgn val="ctr"/>
        <c:lblOffset val="100"/>
      </c:catAx>
      <c:valAx>
        <c:axId val="142196096"/>
        <c:scaling>
          <c:orientation val="minMax"/>
        </c:scaling>
        <c:axPos val="l"/>
        <c:numFmt formatCode="0.0%"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85000"/>
                    <a:lumOff val="15000"/>
                  </a:schemeClr>
                </a:solidFill>
                <a:latin typeface="+mn-lt"/>
                <a:ea typeface="+mn-ea"/>
                <a:cs typeface="+mn-cs"/>
              </a:defRPr>
            </a:pPr>
            <a:endParaRPr lang="en-US"/>
          </a:p>
        </c:txPr>
        <c:crossAx val="14219456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85000"/>
                    <a:lumOff val="15000"/>
                  </a:schemeClr>
                </a:solidFill>
                <a:latin typeface="+mn-lt"/>
                <a:ea typeface="+mn-ea"/>
                <a:cs typeface="+mn-cs"/>
              </a:defRPr>
            </a:pPr>
            <a:endParaRPr lang="en-US"/>
          </a:p>
        </c:txPr>
      </c:dTable>
      <c:spPr>
        <a:noFill/>
        <a:ln>
          <a:noFill/>
        </a:ln>
        <a:effectLst/>
      </c:spPr>
    </c:plotArea>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solidFill>
            <a:schemeClr val="tx1">
              <a:lumMod val="85000"/>
              <a:lumOff val="15000"/>
            </a:schemeClr>
          </a:solidFil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F1C69-69BA-4393-8872-692907C0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14641</Words>
  <Characters>83458</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97904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User</cp:lastModifiedBy>
  <cp:revision>2</cp:revision>
  <dcterms:created xsi:type="dcterms:W3CDTF">2022-10-20T09:35:00Z</dcterms:created>
  <dcterms:modified xsi:type="dcterms:W3CDTF">2022-10-20T09:35:00Z</dcterms:modified>
</cp:coreProperties>
</file>