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F" w:rsidRPr="002738D9" w:rsidRDefault="002738D9" w:rsidP="002738D9">
      <w:pPr>
        <w:tabs>
          <w:tab w:val="left" w:pos="7088"/>
        </w:tabs>
        <w:rPr>
          <w:rFonts w:ascii="Arial" w:hAnsi="Arial" w:cs="Arial"/>
          <w:b/>
          <w:sz w:val="20"/>
          <w:szCs w:val="20"/>
        </w:rPr>
      </w:pPr>
      <w:r>
        <w:rPr>
          <w:rFonts w:ascii="Arial" w:hAnsi="Arial" w:cs="Arial"/>
          <w:b/>
          <w:sz w:val="20"/>
          <w:szCs w:val="20"/>
        </w:rPr>
        <w:t>Report of the Select Committee on Appropriations o</w:t>
      </w:r>
      <w:r w:rsidRPr="002738D9">
        <w:rPr>
          <w:rFonts w:ascii="Arial" w:hAnsi="Arial" w:cs="Arial"/>
          <w:b/>
          <w:sz w:val="20"/>
          <w:szCs w:val="20"/>
        </w:rPr>
        <w:t>n the Expenditure and Performance of the Informal Settlements Upgrading Partnership Grant for Provinces in the First Quarter of the 2022/23 Financial Year; Dated 12 October 2022</w:t>
      </w:r>
    </w:p>
    <w:p w:rsidR="004D38EF" w:rsidRPr="002738D9" w:rsidRDefault="004D38EF" w:rsidP="002738D9">
      <w:pPr>
        <w:rPr>
          <w:rFonts w:ascii="Arial" w:hAnsi="Arial" w:cs="Arial"/>
          <w:b/>
          <w:sz w:val="20"/>
          <w:szCs w:val="20"/>
        </w:rPr>
      </w:pPr>
    </w:p>
    <w:p w:rsidR="004D38EF" w:rsidRPr="002738D9" w:rsidRDefault="004D38EF" w:rsidP="002738D9">
      <w:pPr>
        <w:pStyle w:val="ListParagraph"/>
        <w:numPr>
          <w:ilvl w:val="0"/>
          <w:numId w:val="1"/>
        </w:numPr>
        <w:rPr>
          <w:rFonts w:ascii="Arial" w:hAnsi="Arial" w:cs="Arial"/>
          <w:b/>
          <w:sz w:val="20"/>
          <w:szCs w:val="20"/>
        </w:rPr>
      </w:pPr>
      <w:r w:rsidRPr="002738D9">
        <w:rPr>
          <w:rFonts w:ascii="Arial" w:hAnsi="Arial" w:cs="Arial"/>
          <w:b/>
          <w:sz w:val="20"/>
          <w:szCs w:val="20"/>
        </w:rPr>
        <w:t xml:space="preserve">Background </w:t>
      </w:r>
    </w:p>
    <w:p w:rsidR="009F72D4" w:rsidRPr="002738D9" w:rsidRDefault="004D38EF" w:rsidP="002738D9">
      <w:pPr>
        <w:pStyle w:val="ListParagraph"/>
        <w:ind w:left="0"/>
        <w:rPr>
          <w:rFonts w:ascii="Arial" w:hAnsi="Arial" w:cs="Arial"/>
          <w:sz w:val="20"/>
          <w:szCs w:val="20"/>
          <w:lang w:val="en-GB" w:eastAsia="en-GB"/>
        </w:rPr>
      </w:pPr>
      <w:r w:rsidRPr="002738D9">
        <w:rPr>
          <w:rFonts w:ascii="Arial" w:hAnsi="Arial" w:cs="Arial"/>
          <w:sz w:val="20"/>
          <w:szCs w:val="20"/>
          <w:lang w:val="en-GB" w:eastAsia="en-GB"/>
        </w:rPr>
        <w:t>Section 4(a), (d) and (e) of the Mone</w:t>
      </w:r>
      <w:r w:rsidR="00C5161A" w:rsidRPr="002738D9">
        <w:rPr>
          <w:rFonts w:ascii="Arial" w:hAnsi="Arial" w:cs="Arial"/>
          <w:sz w:val="20"/>
          <w:szCs w:val="20"/>
          <w:lang w:val="en-GB" w:eastAsia="en-GB"/>
        </w:rPr>
        <w:t>y Bills and Related Matters Act</w:t>
      </w:r>
      <w:r w:rsidRPr="002738D9">
        <w:rPr>
          <w:rFonts w:ascii="Arial" w:hAnsi="Arial" w:cs="Arial"/>
          <w:sz w:val="20"/>
          <w:szCs w:val="20"/>
          <w:lang w:val="en-GB" w:eastAsia="en-GB"/>
        </w:rPr>
        <w:t xml:space="preserve"> </w:t>
      </w:r>
      <w:r w:rsidR="000425C0" w:rsidRPr="002738D9">
        <w:rPr>
          <w:rFonts w:ascii="Arial" w:hAnsi="Arial" w:cs="Arial"/>
          <w:sz w:val="20"/>
          <w:szCs w:val="20"/>
          <w:lang w:val="en-GB" w:eastAsia="en-GB"/>
        </w:rPr>
        <w:t>No</w:t>
      </w:r>
      <w:r w:rsidR="00861173" w:rsidRPr="002738D9">
        <w:rPr>
          <w:rFonts w:ascii="Arial" w:hAnsi="Arial" w:cs="Arial"/>
          <w:sz w:val="20"/>
          <w:szCs w:val="20"/>
          <w:lang w:val="en-GB" w:eastAsia="en-GB"/>
        </w:rPr>
        <w:t>.</w:t>
      </w:r>
      <w:r w:rsidR="000425C0" w:rsidRPr="002738D9">
        <w:rPr>
          <w:rFonts w:ascii="Arial" w:hAnsi="Arial" w:cs="Arial"/>
          <w:sz w:val="20"/>
          <w:szCs w:val="20"/>
          <w:lang w:val="en-GB" w:eastAsia="en-GB"/>
        </w:rPr>
        <w:t xml:space="preserve"> </w:t>
      </w:r>
      <w:r w:rsidRPr="002738D9">
        <w:rPr>
          <w:rFonts w:ascii="Arial" w:hAnsi="Arial" w:cs="Arial"/>
          <w:sz w:val="20"/>
          <w:szCs w:val="20"/>
          <w:lang w:val="en-GB" w:eastAsia="en-GB"/>
        </w:rPr>
        <w:t>09 of 2009 (as amended in 2018), mandates the Committee to consider and report on spending issues; reports on statements o</w:t>
      </w:r>
      <w:r w:rsidR="00631A59" w:rsidRPr="002738D9">
        <w:rPr>
          <w:rFonts w:ascii="Arial" w:hAnsi="Arial" w:cs="Arial"/>
          <w:sz w:val="20"/>
          <w:szCs w:val="20"/>
          <w:lang w:val="en-GB" w:eastAsia="en-GB"/>
        </w:rPr>
        <w:t>f</w:t>
      </w:r>
      <w:r w:rsidRPr="002738D9">
        <w:rPr>
          <w:rFonts w:ascii="Arial" w:hAnsi="Arial" w:cs="Arial"/>
          <w:sz w:val="20"/>
          <w:szCs w:val="20"/>
          <w:lang w:val="en-GB" w:eastAsia="en-GB"/>
        </w:rPr>
        <w:t xml:space="preserve"> actual expenditure published by the National Treasury; and any other related matter set out in the Act. These provisions, read together with section 32 of th</w:t>
      </w:r>
      <w:r w:rsidR="00FA0294" w:rsidRPr="002738D9">
        <w:rPr>
          <w:rFonts w:ascii="Arial" w:hAnsi="Arial" w:cs="Arial"/>
          <w:sz w:val="20"/>
          <w:szCs w:val="20"/>
          <w:lang w:val="en-GB" w:eastAsia="en-GB"/>
        </w:rPr>
        <w:t>e Public Finance Management Act</w:t>
      </w:r>
      <w:r w:rsidRPr="002738D9">
        <w:rPr>
          <w:rFonts w:ascii="Arial" w:hAnsi="Arial" w:cs="Arial"/>
          <w:sz w:val="20"/>
          <w:szCs w:val="20"/>
          <w:lang w:val="en-GB" w:eastAsia="en-GB"/>
        </w:rPr>
        <w:t xml:space="preserve"> </w:t>
      </w:r>
      <w:r w:rsidR="000425C0" w:rsidRPr="002738D9">
        <w:rPr>
          <w:rFonts w:ascii="Arial" w:hAnsi="Arial" w:cs="Arial"/>
          <w:sz w:val="20"/>
          <w:szCs w:val="20"/>
          <w:lang w:val="en-GB" w:eastAsia="en-GB"/>
        </w:rPr>
        <w:t>No</w:t>
      </w:r>
      <w:r w:rsidR="00861173" w:rsidRPr="002738D9">
        <w:rPr>
          <w:rFonts w:ascii="Arial" w:hAnsi="Arial" w:cs="Arial"/>
          <w:sz w:val="20"/>
          <w:szCs w:val="20"/>
          <w:lang w:val="en-GB" w:eastAsia="en-GB"/>
        </w:rPr>
        <w:t>.</w:t>
      </w:r>
      <w:r w:rsidR="000425C0" w:rsidRPr="002738D9">
        <w:rPr>
          <w:rFonts w:ascii="Arial" w:hAnsi="Arial" w:cs="Arial"/>
          <w:sz w:val="20"/>
          <w:szCs w:val="20"/>
          <w:lang w:val="en-GB" w:eastAsia="en-GB"/>
        </w:rPr>
        <w:t xml:space="preserve"> </w:t>
      </w:r>
      <w:r w:rsidRPr="002738D9">
        <w:rPr>
          <w:rFonts w:ascii="Arial" w:hAnsi="Arial" w:cs="Arial"/>
          <w:sz w:val="20"/>
          <w:szCs w:val="20"/>
          <w:lang w:val="en-GB" w:eastAsia="en-GB"/>
        </w:rPr>
        <w:t>01 of 1999 (as amended), and section 16 of the Division of Revenue Act</w:t>
      </w:r>
      <w:r w:rsidR="00FA0294" w:rsidRPr="002738D9">
        <w:rPr>
          <w:rFonts w:ascii="Arial" w:hAnsi="Arial" w:cs="Arial"/>
          <w:sz w:val="20"/>
          <w:szCs w:val="20"/>
          <w:lang w:val="en-GB" w:eastAsia="en-GB"/>
        </w:rPr>
        <w:t xml:space="preserve"> No</w:t>
      </w:r>
      <w:r w:rsidR="00CE01DF" w:rsidRPr="002738D9">
        <w:rPr>
          <w:rFonts w:ascii="Arial" w:hAnsi="Arial" w:cs="Arial"/>
          <w:sz w:val="20"/>
          <w:szCs w:val="20"/>
          <w:lang w:val="en-GB" w:eastAsia="en-GB"/>
        </w:rPr>
        <w:t>.</w:t>
      </w:r>
      <w:r w:rsidR="00FA0294" w:rsidRPr="002738D9">
        <w:rPr>
          <w:rFonts w:ascii="Arial" w:hAnsi="Arial" w:cs="Arial"/>
          <w:sz w:val="20"/>
          <w:szCs w:val="20"/>
          <w:lang w:val="en-GB" w:eastAsia="en-GB"/>
        </w:rPr>
        <w:t xml:space="preserve"> 05 of 2022</w:t>
      </w:r>
      <w:r w:rsidRPr="002738D9">
        <w:rPr>
          <w:rFonts w:ascii="Arial" w:hAnsi="Arial" w:cs="Arial"/>
          <w:sz w:val="20"/>
          <w:szCs w:val="20"/>
          <w:lang w:val="en-GB" w:eastAsia="en-GB"/>
        </w:rPr>
        <w:t>, provides the framework for the legislative sector to play an oversight role over the Executive. Against this background, the Committee undertook to assess the implementation</w:t>
      </w:r>
      <w:r w:rsidR="00CE01DF" w:rsidRPr="002738D9">
        <w:rPr>
          <w:rFonts w:ascii="Arial" w:hAnsi="Arial" w:cs="Arial"/>
          <w:sz w:val="20"/>
          <w:szCs w:val="20"/>
          <w:lang w:val="en-GB" w:eastAsia="en-GB"/>
        </w:rPr>
        <w:t>, performance and</w:t>
      </w:r>
      <w:r w:rsidRPr="002738D9">
        <w:rPr>
          <w:rFonts w:ascii="Arial" w:hAnsi="Arial" w:cs="Arial"/>
          <w:sz w:val="20"/>
          <w:szCs w:val="20"/>
          <w:lang w:val="en-GB" w:eastAsia="en-GB"/>
        </w:rPr>
        <w:t xml:space="preserve"> expenditure o</w:t>
      </w:r>
      <w:r w:rsidR="00CE01DF" w:rsidRPr="002738D9">
        <w:rPr>
          <w:rFonts w:ascii="Arial" w:hAnsi="Arial" w:cs="Arial"/>
          <w:sz w:val="20"/>
          <w:szCs w:val="20"/>
          <w:lang w:val="en-GB" w:eastAsia="en-GB"/>
        </w:rPr>
        <w:t>f</w:t>
      </w:r>
      <w:r w:rsidRPr="002738D9">
        <w:rPr>
          <w:rFonts w:ascii="Arial" w:hAnsi="Arial" w:cs="Arial"/>
          <w:sz w:val="20"/>
          <w:szCs w:val="20"/>
          <w:lang w:val="en-GB" w:eastAsia="en-GB"/>
        </w:rPr>
        <w:t xml:space="preserve"> the Informal Settlements Upgrading Partnership Grant</w:t>
      </w:r>
      <w:r w:rsidR="00293355" w:rsidRPr="002738D9">
        <w:rPr>
          <w:rFonts w:ascii="Arial" w:hAnsi="Arial" w:cs="Arial"/>
          <w:sz w:val="20"/>
          <w:szCs w:val="20"/>
          <w:lang w:val="en-GB" w:eastAsia="en-GB"/>
        </w:rPr>
        <w:t xml:space="preserve"> for Provinces</w:t>
      </w:r>
      <w:r w:rsidRPr="002738D9">
        <w:rPr>
          <w:rFonts w:ascii="Arial" w:hAnsi="Arial" w:cs="Arial"/>
          <w:sz w:val="20"/>
          <w:szCs w:val="20"/>
          <w:lang w:val="en-GB" w:eastAsia="en-GB"/>
        </w:rPr>
        <w:t xml:space="preserve"> in the first quarter of the 2022/23 financial year. The purpose of th</w:t>
      </w:r>
      <w:r w:rsidR="00AC2D05" w:rsidRPr="002738D9">
        <w:rPr>
          <w:rFonts w:ascii="Arial" w:hAnsi="Arial" w:cs="Arial"/>
          <w:sz w:val="20"/>
          <w:szCs w:val="20"/>
          <w:lang w:val="en-GB" w:eastAsia="en-GB"/>
        </w:rPr>
        <w:t>e Grant</w:t>
      </w:r>
      <w:r w:rsidRPr="002738D9">
        <w:rPr>
          <w:rFonts w:ascii="Arial" w:hAnsi="Arial" w:cs="Arial"/>
          <w:sz w:val="20"/>
          <w:szCs w:val="20"/>
          <w:lang w:val="en-GB" w:eastAsia="en-GB"/>
        </w:rPr>
        <w:t xml:space="preserve"> is to intensify efforts to upgrade informal settlements by </w:t>
      </w:r>
      <w:r w:rsidR="009F72D4" w:rsidRPr="002738D9">
        <w:rPr>
          <w:rFonts w:ascii="Arial" w:hAnsi="Arial" w:cs="Arial"/>
          <w:sz w:val="20"/>
          <w:szCs w:val="20"/>
          <w:lang w:val="en-GB" w:eastAsia="en-GB"/>
        </w:rPr>
        <w:t xml:space="preserve">providing funding to facilitate a programmatic and inclusive approach. </w:t>
      </w:r>
    </w:p>
    <w:p w:rsidR="009F72D4" w:rsidRPr="002738D9" w:rsidRDefault="009F72D4" w:rsidP="002738D9">
      <w:pPr>
        <w:rPr>
          <w:rFonts w:ascii="Arial" w:hAnsi="Arial" w:cs="Arial"/>
          <w:b/>
          <w:sz w:val="20"/>
          <w:szCs w:val="20"/>
        </w:rPr>
      </w:pPr>
    </w:p>
    <w:p w:rsidR="009F72D4" w:rsidRPr="002738D9" w:rsidRDefault="009F72D4" w:rsidP="002738D9">
      <w:pPr>
        <w:rPr>
          <w:rFonts w:ascii="Arial" w:hAnsi="Arial" w:cs="Arial"/>
          <w:b/>
          <w:sz w:val="20"/>
          <w:szCs w:val="20"/>
        </w:rPr>
      </w:pPr>
      <w:r w:rsidRPr="002738D9">
        <w:rPr>
          <w:rFonts w:ascii="Arial" w:hAnsi="Arial" w:cs="Arial"/>
          <w:b/>
          <w:sz w:val="20"/>
          <w:szCs w:val="20"/>
        </w:rPr>
        <w:t>2. Terms of reference</w:t>
      </w:r>
    </w:p>
    <w:p w:rsidR="004D38EF" w:rsidRPr="002738D9" w:rsidRDefault="009F72D4" w:rsidP="002738D9">
      <w:pPr>
        <w:pStyle w:val="ListParagraph"/>
        <w:ind w:left="0"/>
        <w:rPr>
          <w:rFonts w:ascii="Arial" w:hAnsi="Arial" w:cs="Arial"/>
          <w:sz w:val="20"/>
          <w:szCs w:val="20"/>
        </w:rPr>
      </w:pPr>
      <w:r w:rsidRPr="002738D9">
        <w:rPr>
          <w:rFonts w:ascii="Arial" w:hAnsi="Arial" w:cs="Arial"/>
          <w:sz w:val="20"/>
          <w:szCs w:val="20"/>
        </w:rPr>
        <w:t>Due to the fact that th</w:t>
      </w:r>
      <w:r w:rsidR="000425C0" w:rsidRPr="002738D9">
        <w:rPr>
          <w:rFonts w:ascii="Arial" w:hAnsi="Arial" w:cs="Arial"/>
          <w:sz w:val="20"/>
          <w:szCs w:val="20"/>
        </w:rPr>
        <w:t xml:space="preserve">e </w:t>
      </w:r>
      <w:r w:rsidR="004D432F" w:rsidRPr="002738D9">
        <w:rPr>
          <w:rFonts w:ascii="Arial" w:hAnsi="Arial" w:cs="Arial"/>
          <w:sz w:val="20"/>
          <w:szCs w:val="20"/>
        </w:rPr>
        <w:t>Grant</w:t>
      </w:r>
      <w:r w:rsidR="000425C0" w:rsidRPr="002738D9">
        <w:rPr>
          <w:rFonts w:ascii="Arial" w:hAnsi="Arial" w:cs="Arial"/>
          <w:sz w:val="20"/>
          <w:szCs w:val="20"/>
        </w:rPr>
        <w:t xml:space="preserve"> </w:t>
      </w:r>
      <w:r w:rsidRPr="002738D9">
        <w:rPr>
          <w:rFonts w:ascii="Arial" w:hAnsi="Arial" w:cs="Arial"/>
          <w:sz w:val="20"/>
          <w:szCs w:val="20"/>
        </w:rPr>
        <w:t xml:space="preserve">was recently introduced as a </w:t>
      </w:r>
      <w:r w:rsidR="004D432F" w:rsidRPr="002738D9">
        <w:rPr>
          <w:rFonts w:ascii="Arial" w:hAnsi="Arial" w:cs="Arial"/>
          <w:sz w:val="20"/>
          <w:szCs w:val="20"/>
        </w:rPr>
        <w:t>standalone</w:t>
      </w:r>
      <w:r w:rsidRPr="002738D9">
        <w:rPr>
          <w:rFonts w:ascii="Arial" w:hAnsi="Arial" w:cs="Arial"/>
          <w:sz w:val="20"/>
          <w:szCs w:val="20"/>
        </w:rPr>
        <w:t xml:space="preserve">, the Committee had not </w:t>
      </w:r>
      <w:r w:rsidR="004D432F" w:rsidRPr="002738D9">
        <w:rPr>
          <w:rFonts w:ascii="Arial" w:hAnsi="Arial" w:cs="Arial"/>
          <w:sz w:val="20"/>
          <w:szCs w:val="20"/>
        </w:rPr>
        <w:t>had an opportunity to assess its</w:t>
      </w:r>
      <w:r w:rsidRPr="002738D9">
        <w:rPr>
          <w:rFonts w:ascii="Arial" w:hAnsi="Arial" w:cs="Arial"/>
          <w:sz w:val="20"/>
          <w:szCs w:val="20"/>
        </w:rPr>
        <w:t xml:space="preserve"> implementation and expenditure</w:t>
      </w:r>
      <w:r w:rsidR="004D432F" w:rsidRPr="002738D9">
        <w:rPr>
          <w:rFonts w:ascii="Arial" w:hAnsi="Arial" w:cs="Arial"/>
          <w:sz w:val="20"/>
          <w:szCs w:val="20"/>
        </w:rPr>
        <w:t xml:space="preserve">; and </w:t>
      </w:r>
      <w:r w:rsidRPr="002738D9">
        <w:rPr>
          <w:rFonts w:ascii="Arial" w:hAnsi="Arial" w:cs="Arial"/>
          <w:sz w:val="20"/>
          <w:szCs w:val="20"/>
        </w:rPr>
        <w:t xml:space="preserve">therefore resolved to conduct a hearing on </w:t>
      </w:r>
      <w:r w:rsidR="004D432F" w:rsidRPr="002738D9">
        <w:rPr>
          <w:rFonts w:ascii="Arial" w:hAnsi="Arial" w:cs="Arial"/>
          <w:sz w:val="20"/>
          <w:szCs w:val="20"/>
        </w:rPr>
        <w:t xml:space="preserve">the performance of this Grant </w:t>
      </w:r>
      <w:r w:rsidR="00520FEE" w:rsidRPr="002738D9">
        <w:rPr>
          <w:rFonts w:ascii="Arial" w:hAnsi="Arial" w:cs="Arial"/>
          <w:sz w:val="20"/>
          <w:szCs w:val="20"/>
        </w:rPr>
        <w:t xml:space="preserve">on 10 August 2022. The </w:t>
      </w:r>
      <w:r w:rsidRPr="002738D9">
        <w:rPr>
          <w:rFonts w:ascii="Arial" w:hAnsi="Arial" w:cs="Arial"/>
          <w:sz w:val="20"/>
          <w:szCs w:val="20"/>
        </w:rPr>
        <w:t xml:space="preserve">Department of Human Settlements and </w:t>
      </w:r>
      <w:r w:rsidR="00FA0294" w:rsidRPr="002738D9">
        <w:rPr>
          <w:rFonts w:ascii="Arial" w:hAnsi="Arial" w:cs="Arial"/>
          <w:sz w:val="20"/>
          <w:szCs w:val="20"/>
        </w:rPr>
        <w:t xml:space="preserve">the </w:t>
      </w:r>
      <w:r w:rsidRPr="002738D9">
        <w:rPr>
          <w:rFonts w:ascii="Arial" w:hAnsi="Arial" w:cs="Arial"/>
          <w:sz w:val="20"/>
          <w:szCs w:val="20"/>
        </w:rPr>
        <w:t xml:space="preserve">National Treasury were </w:t>
      </w:r>
      <w:r w:rsidR="00520FEE" w:rsidRPr="002738D9">
        <w:rPr>
          <w:rFonts w:ascii="Arial" w:hAnsi="Arial" w:cs="Arial"/>
          <w:sz w:val="20"/>
          <w:szCs w:val="20"/>
        </w:rPr>
        <w:t xml:space="preserve">invited to report on its financial and non-financial </w:t>
      </w:r>
      <w:r w:rsidRPr="002738D9">
        <w:rPr>
          <w:rFonts w:ascii="Arial" w:hAnsi="Arial" w:cs="Arial"/>
          <w:sz w:val="20"/>
          <w:szCs w:val="20"/>
        </w:rPr>
        <w:t>performance</w:t>
      </w:r>
      <w:r w:rsidR="00520FEE" w:rsidRPr="002738D9">
        <w:rPr>
          <w:rFonts w:ascii="Arial" w:hAnsi="Arial" w:cs="Arial"/>
          <w:sz w:val="20"/>
          <w:szCs w:val="20"/>
        </w:rPr>
        <w:t xml:space="preserve"> </w:t>
      </w:r>
      <w:r w:rsidR="000F63EC" w:rsidRPr="002738D9">
        <w:rPr>
          <w:rFonts w:ascii="Arial" w:hAnsi="Arial" w:cs="Arial"/>
          <w:sz w:val="20"/>
          <w:szCs w:val="20"/>
        </w:rPr>
        <w:t>for</w:t>
      </w:r>
      <w:r w:rsidRPr="002738D9">
        <w:rPr>
          <w:rFonts w:ascii="Arial" w:hAnsi="Arial" w:cs="Arial"/>
          <w:sz w:val="20"/>
          <w:szCs w:val="20"/>
        </w:rPr>
        <w:t xml:space="preserve"> the first quarter of </w:t>
      </w:r>
      <w:r w:rsidR="00520FEE" w:rsidRPr="002738D9">
        <w:rPr>
          <w:rFonts w:ascii="Arial" w:hAnsi="Arial" w:cs="Arial"/>
          <w:sz w:val="20"/>
          <w:szCs w:val="20"/>
        </w:rPr>
        <w:t>the 2022/23 financial year</w:t>
      </w:r>
      <w:r w:rsidRPr="002738D9">
        <w:rPr>
          <w:rFonts w:ascii="Arial" w:hAnsi="Arial" w:cs="Arial"/>
          <w:sz w:val="20"/>
          <w:szCs w:val="20"/>
        </w:rPr>
        <w:t xml:space="preserve">. </w:t>
      </w:r>
      <w:r w:rsidR="00520FEE" w:rsidRPr="002738D9">
        <w:rPr>
          <w:rFonts w:ascii="Arial" w:hAnsi="Arial" w:cs="Arial"/>
          <w:sz w:val="20"/>
          <w:szCs w:val="20"/>
        </w:rPr>
        <w:t xml:space="preserve">In addition, </w:t>
      </w:r>
      <w:r w:rsidRPr="002738D9">
        <w:rPr>
          <w:rFonts w:ascii="Arial" w:hAnsi="Arial" w:cs="Arial"/>
          <w:sz w:val="20"/>
          <w:szCs w:val="20"/>
        </w:rPr>
        <w:t xml:space="preserve">all </w:t>
      </w:r>
      <w:r w:rsidR="00520FEE" w:rsidRPr="002738D9">
        <w:rPr>
          <w:rFonts w:ascii="Arial" w:hAnsi="Arial" w:cs="Arial"/>
          <w:sz w:val="20"/>
          <w:szCs w:val="20"/>
        </w:rPr>
        <w:t>nine</w:t>
      </w:r>
      <w:r w:rsidRPr="002738D9">
        <w:rPr>
          <w:rFonts w:ascii="Arial" w:hAnsi="Arial" w:cs="Arial"/>
          <w:sz w:val="20"/>
          <w:szCs w:val="20"/>
        </w:rPr>
        <w:t xml:space="preserve"> provincial departments of human settlements were invited to attend</w:t>
      </w:r>
      <w:r w:rsidR="008948EE" w:rsidRPr="002738D9">
        <w:rPr>
          <w:rFonts w:ascii="Arial" w:hAnsi="Arial" w:cs="Arial"/>
          <w:sz w:val="20"/>
          <w:szCs w:val="20"/>
        </w:rPr>
        <w:t xml:space="preserve"> and take part in the deliberations.</w:t>
      </w:r>
    </w:p>
    <w:p w:rsidR="0003225A" w:rsidRPr="002738D9" w:rsidRDefault="0003225A" w:rsidP="002738D9">
      <w:pPr>
        <w:rPr>
          <w:rFonts w:ascii="Arial" w:hAnsi="Arial" w:cs="Arial"/>
          <w:sz w:val="20"/>
          <w:szCs w:val="20"/>
        </w:rPr>
      </w:pPr>
    </w:p>
    <w:p w:rsidR="0003225A" w:rsidRPr="002738D9" w:rsidRDefault="0003225A" w:rsidP="002738D9">
      <w:pPr>
        <w:rPr>
          <w:rFonts w:ascii="Arial" w:hAnsi="Arial" w:cs="Arial"/>
          <w:sz w:val="20"/>
          <w:szCs w:val="20"/>
        </w:rPr>
      </w:pPr>
      <w:r w:rsidRPr="002738D9">
        <w:rPr>
          <w:rFonts w:ascii="Arial" w:hAnsi="Arial" w:cs="Arial"/>
          <w:sz w:val="20"/>
          <w:szCs w:val="20"/>
        </w:rPr>
        <w:t>In order to provide a holistic picture on matters relevant to informal settlements upgrading, the D</w:t>
      </w:r>
      <w:r w:rsidR="00AB72FD" w:rsidRPr="002738D9">
        <w:rPr>
          <w:rFonts w:ascii="Arial" w:hAnsi="Arial" w:cs="Arial"/>
          <w:sz w:val="20"/>
          <w:szCs w:val="20"/>
        </w:rPr>
        <w:t xml:space="preserve">epartment </w:t>
      </w:r>
      <w:r w:rsidRPr="002738D9">
        <w:rPr>
          <w:rFonts w:ascii="Arial" w:hAnsi="Arial" w:cs="Arial"/>
          <w:sz w:val="20"/>
          <w:szCs w:val="20"/>
        </w:rPr>
        <w:t>o</w:t>
      </w:r>
      <w:r w:rsidR="00AB72FD" w:rsidRPr="002738D9">
        <w:rPr>
          <w:rFonts w:ascii="Arial" w:hAnsi="Arial" w:cs="Arial"/>
          <w:sz w:val="20"/>
          <w:szCs w:val="20"/>
        </w:rPr>
        <w:t xml:space="preserve">f </w:t>
      </w:r>
      <w:r w:rsidRPr="002738D9">
        <w:rPr>
          <w:rFonts w:ascii="Arial" w:hAnsi="Arial" w:cs="Arial"/>
          <w:sz w:val="20"/>
          <w:szCs w:val="20"/>
        </w:rPr>
        <w:t>H</w:t>
      </w:r>
      <w:r w:rsidR="00AB72FD" w:rsidRPr="002738D9">
        <w:rPr>
          <w:rFonts w:ascii="Arial" w:hAnsi="Arial" w:cs="Arial"/>
          <w:sz w:val="20"/>
          <w:szCs w:val="20"/>
        </w:rPr>
        <w:t xml:space="preserve">uman </w:t>
      </w:r>
      <w:r w:rsidRPr="002738D9">
        <w:rPr>
          <w:rFonts w:ascii="Arial" w:hAnsi="Arial" w:cs="Arial"/>
          <w:sz w:val="20"/>
          <w:szCs w:val="20"/>
        </w:rPr>
        <w:t>S</w:t>
      </w:r>
      <w:r w:rsidR="00AB72FD" w:rsidRPr="002738D9">
        <w:rPr>
          <w:rFonts w:ascii="Arial" w:hAnsi="Arial" w:cs="Arial"/>
          <w:sz w:val="20"/>
          <w:szCs w:val="20"/>
        </w:rPr>
        <w:t>ettlements</w:t>
      </w:r>
      <w:r w:rsidRPr="002738D9">
        <w:rPr>
          <w:rFonts w:ascii="Arial" w:hAnsi="Arial" w:cs="Arial"/>
          <w:sz w:val="20"/>
          <w:szCs w:val="20"/>
        </w:rPr>
        <w:t xml:space="preserve"> also </w:t>
      </w:r>
      <w:r w:rsidR="00AB72FD" w:rsidRPr="002738D9">
        <w:rPr>
          <w:rFonts w:ascii="Arial" w:hAnsi="Arial" w:cs="Arial"/>
          <w:sz w:val="20"/>
          <w:szCs w:val="20"/>
        </w:rPr>
        <w:t xml:space="preserve">shared with the </w:t>
      </w:r>
      <w:r w:rsidRPr="002738D9">
        <w:rPr>
          <w:rFonts w:ascii="Arial" w:hAnsi="Arial" w:cs="Arial"/>
          <w:sz w:val="20"/>
          <w:szCs w:val="20"/>
        </w:rPr>
        <w:t xml:space="preserve">Committee </w:t>
      </w:r>
      <w:r w:rsidR="00AB72FD" w:rsidRPr="002738D9">
        <w:rPr>
          <w:rFonts w:ascii="Arial" w:hAnsi="Arial" w:cs="Arial"/>
          <w:sz w:val="20"/>
          <w:szCs w:val="20"/>
        </w:rPr>
        <w:t xml:space="preserve">financial and non-financial </w:t>
      </w:r>
      <w:r w:rsidRPr="002738D9">
        <w:rPr>
          <w:rFonts w:ascii="Arial" w:hAnsi="Arial" w:cs="Arial"/>
          <w:sz w:val="20"/>
          <w:szCs w:val="20"/>
        </w:rPr>
        <w:t>data</w:t>
      </w:r>
      <w:r w:rsidR="00AB72FD" w:rsidRPr="002738D9">
        <w:rPr>
          <w:rFonts w:ascii="Arial" w:hAnsi="Arial" w:cs="Arial"/>
          <w:sz w:val="20"/>
          <w:szCs w:val="20"/>
        </w:rPr>
        <w:t xml:space="preserve"> </w:t>
      </w:r>
      <w:r w:rsidR="00520FEE" w:rsidRPr="002738D9">
        <w:rPr>
          <w:rFonts w:ascii="Arial" w:hAnsi="Arial" w:cs="Arial"/>
          <w:sz w:val="20"/>
          <w:szCs w:val="20"/>
        </w:rPr>
        <w:t xml:space="preserve">for the 2021/22 financial year and the first quarter of the 2022/23 financial year on </w:t>
      </w:r>
      <w:r w:rsidRPr="002738D9">
        <w:rPr>
          <w:rFonts w:ascii="Arial" w:hAnsi="Arial" w:cs="Arial"/>
          <w:sz w:val="20"/>
          <w:szCs w:val="20"/>
        </w:rPr>
        <w:t>the Informal Settlement</w:t>
      </w:r>
      <w:r w:rsidR="00520FEE" w:rsidRPr="002738D9">
        <w:rPr>
          <w:rFonts w:ascii="Arial" w:hAnsi="Arial" w:cs="Arial"/>
          <w:sz w:val="20"/>
          <w:szCs w:val="20"/>
        </w:rPr>
        <w:t>s</w:t>
      </w:r>
      <w:r w:rsidRPr="002738D9">
        <w:rPr>
          <w:rFonts w:ascii="Arial" w:hAnsi="Arial" w:cs="Arial"/>
          <w:sz w:val="20"/>
          <w:szCs w:val="20"/>
        </w:rPr>
        <w:t xml:space="preserve"> Upgrading Partnership Grant for Metropolitan Municipalities.</w:t>
      </w:r>
      <w:r w:rsidR="00AB72FD" w:rsidRPr="002738D9">
        <w:rPr>
          <w:rFonts w:ascii="Arial" w:hAnsi="Arial" w:cs="Arial"/>
          <w:sz w:val="20"/>
          <w:szCs w:val="20"/>
        </w:rPr>
        <w:t xml:space="preserve"> As much as this data was</w:t>
      </w:r>
      <w:r w:rsidR="00520FEE" w:rsidRPr="002738D9">
        <w:rPr>
          <w:rFonts w:ascii="Arial" w:hAnsi="Arial" w:cs="Arial"/>
          <w:sz w:val="20"/>
          <w:szCs w:val="20"/>
        </w:rPr>
        <w:t xml:space="preserve"> important</w:t>
      </w:r>
      <w:r w:rsidRPr="002738D9">
        <w:rPr>
          <w:rFonts w:ascii="Arial" w:hAnsi="Arial" w:cs="Arial"/>
          <w:sz w:val="20"/>
          <w:szCs w:val="20"/>
        </w:rPr>
        <w:t xml:space="preserve"> and highly appreciated, it was not incorporated in</w:t>
      </w:r>
      <w:r w:rsidR="00520FEE" w:rsidRPr="002738D9">
        <w:rPr>
          <w:rFonts w:ascii="Arial" w:hAnsi="Arial" w:cs="Arial"/>
          <w:sz w:val="20"/>
          <w:szCs w:val="20"/>
        </w:rPr>
        <w:t>to this R</w:t>
      </w:r>
      <w:r w:rsidR="00AB72FD" w:rsidRPr="002738D9">
        <w:rPr>
          <w:rFonts w:ascii="Arial" w:hAnsi="Arial" w:cs="Arial"/>
          <w:sz w:val="20"/>
          <w:szCs w:val="20"/>
        </w:rPr>
        <w:t>eport in order not to widen its</w:t>
      </w:r>
      <w:r w:rsidRPr="002738D9">
        <w:rPr>
          <w:rFonts w:ascii="Arial" w:hAnsi="Arial" w:cs="Arial"/>
          <w:sz w:val="20"/>
          <w:szCs w:val="20"/>
        </w:rPr>
        <w:t xml:space="preserve"> scope. </w:t>
      </w:r>
    </w:p>
    <w:p w:rsidR="008948EE" w:rsidRPr="002738D9" w:rsidRDefault="008948EE" w:rsidP="002738D9">
      <w:pPr>
        <w:pStyle w:val="ListParagraph"/>
        <w:ind w:left="0"/>
        <w:rPr>
          <w:rFonts w:ascii="Arial" w:hAnsi="Arial" w:cs="Arial"/>
          <w:sz w:val="20"/>
          <w:szCs w:val="20"/>
        </w:rPr>
      </w:pPr>
    </w:p>
    <w:p w:rsidR="008948EE" w:rsidRPr="002738D9" w:rsidRDefault="008948EE" w:rsidP="002738D9">
      <w:pPr>
        <w:pStyle w:val="ListParagraph"/>
        <w:numPr>
          <w:ilvl w:val="0"/>
          <w:numId w:val="2"/>
        </w:numPr>
        <w:rPr>
          <w:rFonts w:ascii="Arial" w:hAnsi="Arial" w:cs="Arial"/>
          <w:b/>
          <w:sz w:val="20"/>
          <w:szCs w:val="20"/>
        </w:rPr>
      </w:pPr>
      <w:r w:rsidRPr="002738D9">
        <w:rPr>
          <w:rFonts w:ascii="Arial" w:hAnsi="Arial" w:cs="Arial"/>
          <w:b/>
          <w:sz w:val="20"/>
          <w:szCs w:val="20"/>
        </w:rPr>
        <w:t>Informal Settlements Upgrading Partnership Grant</w:t>
      </w:r>
      <w:r w:rsidR="00293355" w:rsidRPr="002738D9">
        <w:rPr>
          <w:rFonts w:ascii="Arial" w:hAnsi="Arial" w:cs="Arial"/>
          <w:b/>
          <w:sz w:val="20"/>
          <w:szCs w:val="20"/>
        </w:rPr>
        <w:t xml:space="preserve"> for Provinces</w:t>
      </w:r>
    </w:p>
    <w:p w:rsidR="002F260E" w:rsidRPr="002738D9" w:rsidRDefault="008948EE" w:rsidP="002738D9">
      <w:pPr>
        <w:ind w:left="60"/>
        <w:rPr>
          <w:rFonts w:ascii="Arial" w:hAnsi="Arial" w:cs="Arial"/>
          <w:sz w:val="20"/>
          <w:szCs w:val="20"/>
        </w:rPr>
      </w:pPr>
      <w:r w:rsidRPr="002738D9">
        <w:rPr>
          <w:rFonts w:ascii="Arial" w:hAnsi="Arial" w:cs="Arial"/>
          <w:sz w:val="20"/>
          <w:szCs w:val="20"/>
        </w:rPr>
        <w:t>The Informal Settlements Upgrading Partnership Grant</w:t>
      </w:r>
      <w:r w:rsidR="00520FEE" w:rsidRPr="002738D9">
        <w:rPr>
          <w:rFonts w:ascii="Arial" w:hAnsi="Arial" w:cs="Arial"/>
          <w:sz w:val="20"/>
          <w:szCs w:val="20"/>
        </w:rPr>
        <w:t xml:space="preserve"> for Provinces was introduced via</w:t>
      </w:r>
      <w:r w:rsidRPr="002738D9">
        <w:rPr>
          <w:rFonts w:ascii="Arial" w:hAnsi="Arial" w:cs="Arial"/>
          <w:sz w:val="20"/>
          <w:szCs w:val="20"/>
        </w:rPr>
        <w:t xml:space="preserve"> a window within the Human Settlements Development Grant</w:t>
      </w:r>
      <w:r w:rsidR="00520FEE" w:rsidRPr="002738D9">
        <w:rPr>
          <w:rFonts w:ascii="Arial" w:hAnsi="Arial" w:cs="Arial"/>
          <w:sz w:val="20"/>
          <w:szCs w:val="20"/>
        </w:rPr>
        <w:t xml:space="preserve"> (HSDG)</w:t>
      </w:r>
      <w:r w:rsidRPr="002738D9">
        <w:rPr>
          <w:rFonts w:ascii="Arial" w:hAnsi="Arial" w:cs="Arial"/>
          <w:sz w:val="20"/>
          <w:szCs w:val="20"/>
        </w:rPr>
        <w:t xml:space="preserve">, equivalent to 15 </w:t>
      </w:r>
      <w:r w:rsidR="00520FEE" w:rsidRPr="002738D9">
        <w:rPr>
          <w:rFonts w:ascii="Arial" w:hAnsi="Arial" w:cs="Arial"/>
          <w:sz w:val="20"/>
          <w:szCs w:val="20"/>
        </w:rPr>
        <w:t>percent</w:t>
      </w:r>
      <w:r w:rsidRPr="002738D9">
        <w:rPr>
          <w:rFonts w:ascii="Arial" w:hAnsi="Arial" w:cs="Arial"/>
          <w:sz w:val="20"/>
          <w:szCs w:val="20"/>
        </w:rPr>
        <w:t xml:space="preserve"> of the HSDG, in </w:t>
      </w:r>
      <w:r w:rsidR="00520FEE" w:rsidRPr="002738D9">
        <w:rPr>
          <w:rFonts w:ascii="Arial" w:hAnsi="Arial" w:cs="Arial"/>
          <w:sz w:val="20"/>
          <w:szCs w:val="20"/>
        </w:rPr>
        <w:t xml:space="preserve">the </w:t>
      </w:r>
      <w:r w:rsidRPr="002738D9">
        <w:rPr>
          <w:rFonts w:ascii="Arial" w:hAnsi="Arial" w:cs="Arial"/>
          <w:sz w:val="20"/>
          <w:szCs w:val="20"/>
        </w:rPr>
        <w:t>2019/20 financial year. Th</w:t>
      </w:r>
      <w:r w:rsidR="00520FEE" w:rsidRPr="002738D9">
        <w:rPr>
          <w:rFonts w:ascii="Arial" w:hAnsi="Arial" w:cs="Arial"/>
          <w:sz w:val="20"/>
          <w:szCs w:val="20"/>
        </w:rPr>
        <w:t>is</w:t>
      </w:r>
      <w:r w:rsidRPr="002738D9">
        <w:rPr>
          <w:rFonts w:ascii="Arial" w:hAnsi="Arial" w:cs="Arial"/>
          <w:sz w:val="20"/>
          <w:szCs w:val="20"/>
        </w:rPr>
        <w:t xml:space="preserve"> window was </w:t>
      </w:r>
      <w:r w:rsidR="002F260E" w:rsidRPr="002738D9">
        <w:rPr>
          <w:rFonts w:ascii="Arial" w:hAnsi="Arial" w:cs="Arial"/>
          <w:sz w:val="20"/>
          <w:szCs w:val="20"/>
        </w:rPr>
        <w:t xml:space="preserve">intended to serve as a planning </w:t>
      </w:r>
      <w:r w:rsidRPr="002738D9">
        <w:rPr>
          <w:rFonts w:ascii="Arial" w:hAnsi="Arial" w:cs="Arial"/>
          <w:sz w:val="20"/>
          <w:szCs w:val="20"/>
        </w:rPr>
        <w:t>and preparatory platform</w:t>
      </w:r>
      <w:r w:rsidR="00520FEE" w:rsidRPr="002738D9">
        <w:rPr>
          <w:rFonts w:ascii="Arial" w:hAnsi="Arial" w:cs="Arial"/>
          <w:sz w:val="20"/>
          <w:szCs w:val="20"/>
        </w:rPr>
        <w:t xml:space="preserve"> before the Grant would be</w:t>
      </w:r>
      <w:r w:rsidR="002F260E" w:rsidRPr="002738D9">
        <w:rPr>
          <w:rFonts w:ascii="Arial" w:hAnsi="Arial" w:cs="Arial"/>
          <w:sz w:val="20"/>
          <w:szCs w:val="20"/>
        </w:rPr>
        <w:t xml:space="preserve"> established as a standalone</w:t>
      </w:r>
      <w:r w:rsidR="00630DB7" w:rsidRPr="002738D9">
        <w:rPr>
          <w:rFonts w:ascii="Arial" w:hAnsi="Arial" w:cs="Arial"/>
          <w:sz w:val="20"/>
          <w:szCs w:val="20"/>
        </w:rPr>
        <w:t xml:space="preserve"> </w:t>
      </w:r>
      <w:r w:rsidR="00861173" w:rsidRPr="002738D9">
        <w:rPr>
          <w:rFonts w:ascii="Arial" w:hAnsi="Arial" w:cs="Arial"/>
          <w:sz w:val="20"/>
          <w:szCs w:val="20"/>
        </w:rPr>
        <w:t>g</w:t>
      </w:r>
      <w:r w:rsidR="00630DB7" w:rsidRPr="002738D9">
        <w:rPr>
          <w:rFonts w:ascii="Arial" w:hAnsi="Arial" w:cs="Arial"/>
          <w:sz w:val="20"/>
          <w:szCs w:val="20"/>
        </w:rPr>
        <w:t>rant</w:t>
      </w:r>
      <w:r w:rsidR="002F260E" w:rsidRPr="002738D9">
        <w:rPr>
          <w:rFonts w:ascii="Arial" w:hAnsi="Arial" w:cs="Arial"/>
          <w:sz w:val="20"/>
          <w:szCs w:val="20"/>
        </w:rPr>
        <w:t xml:space="preserve"> </w:t>
      </w:r>
      <w:r w:rsidRPr="002738D9">
        <w:rPr>
          <w:rFonts w:ascii="Arial" w:hAnsi="Arial" w:cs="Arial"/>
          <w:sz w:val="20"/>
          <w:szCs w:val="20"/>
        </w:rPr>
        <w:t xml:space="preserve">in </w:t>
      </w:r>
      <w:r w:rsidR="00520FEE" w:rsidRPr="002738D9">
        <w:rPr>
          <w:rFonts w:ascii="Arial" w:hAnsi="Arial" w:cs="Arial"/>
          <w:sz w:val="20"/>
          <w:szCs w:val="20"/>
        </w:rPr>
        <w:t xml:space="preserve">the </w:t>
      </w:r>
      <w:r w:rsidRPr="002738D9">
        <w:rPr>
          <w:rFonts w:ascii="Arial" w:hAnsi="Arial" w:cs="Arial"/>
          <w:sz w:val="20"/>
          <w:szCs w:val="20"/>
        </w:rPr>
        <w:t>2020/21 fi</w:t>
      </w:r>
      <w:r w:rsidR="002F260E" w:rsidRPr="002738D9">
        <w:rPr>
          <w:rFonts w:ascii="Arial" w:hAnsi="Arial" w:cs="Arial"/>
          <w:sz w:val="20"/>
          <w:szCs w:val="20"/>
        </w:rPr>
        <w:t>n</w:t>
      </w:r>
      <w:r w:rsidRPr="002738D9">
        <w:rPr>
          <w:rFonts w:ascii="Arial" w:hAnsi="Arial" w:cs="Arial"/>
          <w:sz w:val="20"/>
          <w:szCs w:val="20"/>
        </w:rPr>
        <w:t xml:space="preserve">ancial year. However, provinces </w:t>
      </w:r>
      <w:r w:rsidR="00520FEE" w:rsidRPr="002738D9">
        <w:rPr>
          <w:rFonts w:ascii="Arial" w:hAnsi="Arial" w:cs="Arial"/>
          <w:sz w:val="20"/>
          <w:szCs w:val="20"/>
        </w:rPr>
        <w:t xml:space="preserve">required additional time </w:t>
      </w:r>
      <w:r w:rsidRPr="002738D9">
        <w:rPr>
          <w:rFonts w:ascii="Arial" w:hAnsi="Arial" w:cs="Arial"/>
          <w:sz w:val="20"/>
          <w:szCs w:val="20"/>
        </w:rPr>
        <w:t>to complete their informal settlem</w:t>
      </w:r>
      <w:r w:rsidR="00520FEE" w:rsidRPr="002738D9">
        <w:rPr>
          <w:rFonts w:ascii="Arial" w:hAnsi="Arial" w:cs="Arial"/>
          <w:sz w:val="20"/>
          <w:szCs w:val="20"/>
        </w:rPr>
        <w:t>ents upgrading strategies. The G</w:t>
      </w:r>
      <w:r w:rsidRPr="002738D9">
        <w:rPr>
          <w:rFonts w:ascii="Arial" w:hAnsi="Arial" w:cs="Arial"/>
          <w:sz w:val="20"/>
          <w:szCs w:val="20"/>
        </w:rPr>
        <w:t xml:space="preserve">rant was, therefore, </w:t>
      </w:r>
      <w:r w:rsidR="002F260E" w:rsidRPr="002738D9">
        <w:rPr>
          <w:rFonts w:ascii="Arial" w:hAnsi="Arial" w:cs="Arial"/>
          <w:sz w:val="20"/>
          <w:szCs w:val="20"/>
        </w:rPr>
        <w:t>formally introduced into the grant system as of the 2021/22 financial year.</w:t>
      </w:r>
    </w:p>
    <w:p w:rsidR="00487E5E" w:rsidRPr="002738D9" w:rsidRDefault="00487E5E" w:rsidP="002738D9">
      <w:pPr>
        <w:ind w:left="60"/>
        <w:rPr>
          <w:rFonts w:ascii="Arial" w:hAnsi="Arial" w:cs="Arial"/>
          <w:sz w:val="20"/>
          <w:szCs w:val="20"/>
        </w:rPr>
      </w:pPr>
    </w:p>
    <w:p w:rsidR="007C4DC5" w:rsidRPr="002738D9" w:rsidRDefault="00BD6540" w:rsidP="002738D9">
      <w:pPr>
        <w:ind w:left="60"/>
        <w:rPr>
          <w:rFonts w:ascii="Arial" w:hAnsi="Arial" w:cs="Arial"/>
          <w:sz w:val="20"/>
          <w:szCs w:val="20"/>
        </w:rPr>
      </w:pPr>
      <w:r w:rsidRPr="002738D9">
        <w:rPr>
          <w:rFonts w:ascii="Arial" w:hAnsi="Arial" w:cs="Arial"/>
          <w:sz w:val="20"/>
          <w:szCs w:val="20"/>
        </w:rPr>
        <w:t xml:space="preserve">The </w:t>
      </w:r>
      <w:r w:rsidR="004D432F" w:rsidRPr="002738D9">
        <w:rPr>
          <w:rFonts w:ascii="Arial" w:hAnsi="Arial" w:cs="Arial"/>
          <w:sz w:val="20"/>
          <w:szCs w:val="20"/>
        </w:rPr>
        <w:t>G</w:t>
      </w:r>
      <w:r w:rsidR="00520FEE" w:rsidRPr="002738D9">
        <w:rPr>
          <w:rFonts w:ascii="Arial" w:hAnsi="Arial" w:cs="Arial"/>
          <w:sz w:val="20"/>
          <w:szCs w:val="20"/>
        </w:rPr>
        <w:t xml:space="preserve">rant </w:t>
      </w:r>
      <w:r w:rsidRPr="002738D9">
        <w:rPr>
          <w:rFonts w:ascii="Arial" w:hAnsi="Arial" w:cs="Arial"/>
          <w:sz w:val="20"/>
          <w:szCs w:val="20"/>
        </w:rPr>
        <w:t>outputs ar</w:t>
      </w:r>
      <w:r w:rsidR="00520FEE" w:rsidRPr="002738D9">
        <w:rPr>
          <w:rFonts w:ascii="Arial" w:hAnsi="Arial" w:cs="Arial"/>
          <w:sz w:val="20"/>
          <w:szCs w:val="20"/>
        </w:rPr>
        <w:t xml:space="preserve">e defined according to Phases 1 to </w:t>
      </w:r>
      <w:r w:rsidRPr="002738D9">
        <w:rPr>
          <w:rFonts w:ascii="Arial" w:hAnsi="Arial" w:cs="Arial"/>
          <w:sz w:val="20"/>
          <w:szCs w:val="20"/>
        </w:rPr>
        <w:t xml:space="preserve">3 of the Upgrading of Informal Settlements Programme </w:t>
      </w:r>
      <w:r w:rsidR="000752E3" w:rsidRPr="002738D9">
        <w:rPr>
          <w:rFonts w:ascii="Arial" w:hAnsi="Arial" w:cs="Arial"/>
          <w:sz w:val="20"/>
          <w:szCs w:val="20"/>
        </w:rPr>
        <w:t xml:space="preserve">(UISP) </w:t>
      </w:r>
      <w:r w:rsidRPr="002738D9">
        <w:rPr>
          <w:rFonts w:ascii="Arial" w:hAnsi="Arial" w:cs="Arial"/>
          <w:sz w:val="20"/>
          <w:szCs w:val="20"/>
        </w:rPr>
        <w:t xml:space="preserve">in the National Housing Code of 2009. The </w:t>
      </w:r>
      <w:r w:rsidR="000075BA" w:rsidRPr="002738D9">
        <w:rPr>
          <w:rFonts w:ascii="Arial" w:hAnsi="Arial" w:cs="Arial"/>
          <w:sz w:val="20"/>
          <w:szCs w:val="20"/>
        </w:rPr>
        <w:t>Phase 1 output is the</w:t>
      </w:r>
      <w:r w:rsidR="00EE19D4" w:rsidRPr="002738D9">
        <w:rPr>
          <w:rFonts w:ascii="Arial" w:hAnsi="Arial" w:cs="Arial"/>
          <w:sz w:val="20"/>
          <w:szCs w:val="20"/>
        </w:rPr>
        <w:t xml:space="preserve"> number of pre-feasibility studies completed. </w:t>
      </w:r>
      <w:r w:rsidR="000075BA" w:rsidRPr="002738D9">
        <w:rPr>
          <w:rFonts w:ascii="Arial" w:hAnsi="Arial" w:cs="Arial"/>
          <w:sz w:val="20"/>
          <w:szCs w:val="20"/>
        </w:rPr>
        <w:t xml:space="preserve">The </w:t>
      </w:r>
      <w:r w:rsidR="00EE19D4" w:rsidRPr="002738D9">
        <w:rPr>
          <w:rFonts w:ascii="Arial" w:hAnsi="Arial" w:cs="Arial"/>
          <w:sz w:val="20"/>
          <w:szCs w:val="20"/>
        </w:rPr>
        <w:t xml:space="preserve">Phase 2 outputs </w:t>
      </w:r>
      <w:r w:rsidR="000075BA" w:rsidRPr="002738D9">
        <w:rPr>
          <w:rFonts w:ascii="Arial" w:hAnsi="Arial" w:cs="Arial"/>
          <w:sz w:val="20"/>
          <w:szCs w:val="20"/>
        </w:rPr>
        <w:t>include</w:t>
      </w:r>
      <w:r w:rsidR="00EE19D4" w:rsidRPr="002738D9">
        <w:rPr>
          <w:rFonts w:ascii="Arial" w:hAnsi="Arial" w:cs="Arial"/>
          <w:sz w:val="20"/>
          <w:szCs w:val="20"/>
        </w:rPr>
        <w:t xml:space="preserve"> pre</w:t>
      </w:r>
      <w:r w:rsidR="00FA0294" w:rsidRPr="002738D9">
        <w:rPr>
          <w:rFonts w:ascii="Arial" w:hAnsi="Arial" w:cs="Arial"/>
          <w:sz w:val="20"/>
          <w:szCs w:val="20"/>
        </w:rPr>
        <w:t>-</w:t>
      </w:r>
      <w:r w:rsidR="00EE19D4" w:rsidRPr="002738D9">
        <w:rPr>
          <w:rFonts w:ascii="Arial" w:hAnsi="Arial" w:cs="Arial"/>
          <w:sz w:val="20"/>
          <w:szCs w:val="20"/>
        </w:rPr>
        <w:t>planning/</w:t>
      </w:r>
      <w:r w:rsidR="000752E3" w:rsidRPr="002738D9">
        <w:rPr>
          <w:rFonts w:ascii="Arial" w:hAnsi="Arial" w:cs="Arial"/>
          <w:sz w:val="20"/>
          <w:szCs w:val="20"/>
        </w:rPr>
        <w:t>feasibility</w:t>
      </w:r>
      <w:r w:rsidR="00EE19D4" w:rsidRPr="002738D9">
        <w:rPr>
          <w:rFonts w:ascii="Arial" w:hAnsi="Arial" w:cs="Arial"/>
          <w:sz w:val="20"/>
          <w:szCs w:val="20"/>
        </w:rPr>
        <w:t xml:space="preserve"> studies</w:t>
      </w:r>
      <w:r w:rsidR="000075BA" w:rsidRPr="002738D9">
        <w:rPr>
          <w:rFonts w:ascii="Arial" w:hAnsi="Arial" w:cs="Arial"/>
          <w:sz w:val="20"/>
          <w:szCs w:val="20"/>
        </w:rPr>
        <w:t>; land acquisition; the</w:t>
      </w:r>
      <w:r w:rsidR="00EE19D4" w:rsidRPr="002738D9">
        <w:rPr>
          <w:rFonts w:ascii="Arial" w:hAnsi="Arial" w:cs="Arial"/>
          <w:sz w:val="20"/>
          <w:szCs w:val="20"/>
        </w:rPr>
        <w:t xml:space="preserve"> number of settlements supplied with bulk infrastructure</w:t>
      </w:r>
      <w:r w:rsidR="000075BA" w:rsidRPr="002738D9">
        <w:rPr>
          <w:rFonts w:ascii="Arial" w:hAnsi="Arial" w:cs="Arial"/>
          <w:sz w:val="20"/>
          <w:szCs w:val="20"/>
        </w:rPr>
        <w:t>; the</w:t>
      </w:r>
      <w:r w:rsidR="00EE19D4" w:rsidRPr="002738D9">
        <w:rPr>
          <w:rFonts w:ascii="Arial" w:hAnsi="Arial" w:cs="Arial"/>
          <w:sz w:val="20"/>
          <w:szCs w:val="20"/>
        </w:rPr>
        <w:t xml:space="preserve"> number of settlements benefitting from interim municipal engineering services </w:t>
      </w:r>
      <w:r w:rsidR="000075BA" w:rsidRPr="002738D9">
        <w:rPr>
          <w:rFonts w:ascii="Arial" w:hAnsi="Arial" w:cs="Arial"/>
          <w:sz w:val="20"/>
          <w:szCs w:val="20"/>
        </w:rPr>
        <w:t>and/or any alternate technology;</w:t>
      </w:r>
      <w:r w:rsidR="00EE19D4" w:rsidRPr="002738D9">
        <w:rPr>
          <w:rFonts w:ascii="Arial" w:hAnsi="Arial" w:cs="Arial"/>
          <w:sz w:val="20"/>
          <w:szCs w:val="20"/>
        </w:rPr>
        <w:t xml:space="preserve"> and </w:t>
      </w:r>
      <w:r w:rsidR="000075BA" w:rsidRPr="002738D9">
        <w:rPr>
          <w:rFonts w:ascii="Arial" w:hAnsi="Arial" w:cs="Arial"/>
          <w:sz w:val="20"/>
          <w:szCs w:val="20"/>
        </w:rPr>
        <w:t xml:space="preserve">the </w:t>
      </w:r>
      <w:r w:rsidR="00EE19D4" w:rsidRPr="002738D9">
        <w:rPr>
          <w:rFonts w:ascii="Arial" w:hAnsi="Arial" w:cs="Arial"/>
          <w:sz w:val="20"/>
          <w:szCs w:val="20"/>
        </w:rPr>
        <w:t xml:space="preserve">number of settlements provided with rudimentary services. </w:t>
      </w:r>
      <w:r w:rsidR="000075BA" w:rsidRPr="002738D9">
        <w:rPr>
          <w:rFonts w:ascii="Arial" w:hAnsi="Arial" w:cs="Arial"/>
          <w:sz w:val="20"/>
          <w:szCs w:val="20"/>
        </w:rPr>
        <w:t>The Phase 3 outputs include the</w:t>
      </w:r>
      <w:r w:rsidR="000752E3" w:rsidRPr="002738D9">
        <w:rPr>
          <w:rFonts w:ascii="Arial" w:hAnsi="Arial" w:cs="Arial"/>
          <w:sz w:val="20"/>
          <w:szCs w:val="20"/>
        </w:rPr>
        <w:t xml:space="preserve"> number of settlements provided with municipal engineering services an</w:t>
      </w:r>
      <w:r w:rsidR="000075BA" w:rsidRPr="002738D9">
        <w:rPr>
          <w:rFonts w:ascii="Arial" w:hAnsi="Arial" w:cs="Arial"/>
          <w:sz w:val="20"/>
          <w:szCs w:val="20"/>
        </w:rPr>
        <w:t>d/or any alternative technology; the</w:t>
      </w:r>
      <w:r w:rsidR="000752E3" w:rsidRPr="002738D9">
        <w:rPr>
          <w:rFonts w:ascii="Arial" w:hAnsi="Arial" w:cs="Arial"/>
          <w:sz w:val="20"/>
          <w:szCs w:val="20"/>
        </w:rPr>
        <w:t xml:space="preserve"> num</w:t>
      </w:r>
      <w:r w:rsidR="000075BA" w:rsidRPr="002738D9">
        <w:rPr>
          <w:rFonts w:ascii="Arial" w:hAnsi="Arial" w:cs="Arial"/>
          <w:sz w:val="20"/>
          <w:szCs w:val="20"/>
        </w:rPr>
        <w:t>ber of serviced sites developed; the</w:t>
      </w:r>
      <w:r w:rsidR="000752E3" w:rsidRPr="002738D9">
        <w:rPr>
          <w:rFonts w:ascii="Arial" w:hAnsi="Arial" w:cs="Arial"/>
          <w:sz w:val="20"/>
          <w:szCs w:val="20"/>
        </w:rPr>
        <w:t xml:space="preserve"> number of social and economic amenities provided by the municipality in consultation</w:t>
      </w:r>
      <w:r w:rsidR="000075BA" w:rsidRPr="002738D9">
        <w:rPr>
          <w:rFonts w:ascii="Arial" w:hAnsi="Arial" w:cs="Arial"/>
          <w:sz w:val="20"/>
          <w:szCs w:val="20"/>
        </w:rPr>
        <w:t xml:space="preserve"> with the communities; the number of</w:t>
      </w:r>
      <w:r w:rsidR="000752E3" w:rsidRPr="002738D9">
        <w:rPr>
          <w:rFonts w:ascii="Arial" w:hAnsi="Arial" w:cs="Arial"/>
          <w:sz w:val="20"/>
          <w:szCs w:val="20"/>
        </w:rPr>
        <w:t xml:space="preserve"> sites transferred to end users</w:t>
      </w:r>
      <w:r w:rsidR="000075BA" w:rsidRPr="002738D9">
        <w:rPr>
          <w:rFonts w:ascii="Arial" w:hAnsi="Arial" w:cs="Arial"/>
          <w:sz w:val="20"/>
          <w:szCs w:val="20"/>
        </w:rPr>
        <w:t>; the</w:t>
      </w:r>
      <w:r w:rsidR="000752E3" w:rsidRPr="002738D9">
        <w:rPr>
          <w:rFonts w:ascii="Arial" w:hAnsi="Arial" w:cs="Arial"/>
          <w:sz w:val="20"/>
          <w:szCs w:val="20"/>
        </w:rPr>
        <w:t xml:space="preserve"> number of households provided with secure tenure, </w:t>
      </w:r>
      <w:r w:rsidR="000075BA" w:rsidRPr="002738D9">
        <w:rPr>
          <w:rFonts w:ascii="Arial" w:hAnsi="Arial" w:cs="Arial"/>
          <w:sz w:val="20"/>
          <w:szCs w:val="20"/>
        </w:rPr>
        <w:t>the number of e</w:t>
      </w:r>
      <w:r w:rsidR="000752E3" w:rsidRPr="002738D9">
        <w:rPr>
          <w:rFonts w:ascii="Arial" w:hAnsi="Arial" w:cs="Arial"/>
          <w:sz w:val="20"/>
          <w:szCs w:val="20"/>
        </w:rPr>
        <w:t>ngineering designs</w:t>
      </w:r>
      <w:r w:rsidR="000075BA" w:rsidRPr="002738D9">
        <w:rPr>
          <w:rFonts w:ascii="Arial" w:hAnsi="Arial" w:cs="Arial"/>
          <w:sz w:val="20"/>
          <w:szCs w:val="20"/>
        </w:rPr>
        <w:t xml:space="preserve"> for</w:t>
      </w:r>
      <w:r w:rsidR="000752E3" w:rsidRPr="002738D9">
        <w:rPr>
          <w:rFonts w:ascii="Arial" w:hAnsi="Arial" w:cs="Arial"/>
          <w:sz w:val="20"/>
          <w:szCs w:val="20"/>
        </w:rPr>
        <w:t xml:space="preserve"> water, sewer, roads, and storm water drainage</w:t>
      </w:r>
      <w:r w:rsidR="000075BA" w:rsidRPr="002738D9">
        <w:rPr>
          <w:rFonts w:ascii="Arial" w:hAnsi="Arial" w:cs="Arial"/>
          <w:sz w:val="20"/>
          <w:szCs w:val="20"/>
        </w:rPr>
        <w:t xml:space="preserve"> concluded; and the </w:t>
      </w:r>
      <w:r w:rsidR="000752E3" w:rsidRPr="002738D9">
        <w:rPr>
          <w:rFonts w:ascii="Arial" w:hAnsi="Arial" w:cs="Arial"/>
          <w:sz w:val="20"/>
          <w:szCs w:val="20"/>
        </w:rPr>
        <w:t>number of layout plans approved.</w:t>
      </w:r>
      <w:r w:rsidR="00EE19D4" w:rsidRPr="002738D9">
        <w:rPr>
          <w:rFonts w:ascii="Arial" w:hAnsi="Arial" w:cs="Arial"/>
          <w:sz w:val="20"/>
          <w:szCs w:val="20"/>
        </w:rPr>
        <w:t xml:space="preserve">  </w:t>
      </w:r>
      <w:r w:rsidR="000752E3" w:rsidRPr="002738D9">
        <w:rPr>
          <w:rFonts w:ascii="Arial" w:hAnsi="Arial" w:cs="Arial"/>
          <w:sz w:val="20"/>
          <w:szCs w:val="20"/>
        </w:rPr>
        <w:t xml:space="preserve"> </w:t>
      </w:r>
    </w:p>
    <w:p w:rsidR="007C4DC5" w:rsidRPr="002738D9" w:rsidRDefault="007C4DC5" w:rsidP="002738D9">
      <w:pPr>
        <w:ind w:left="60"/>
        <w:rPr>
          <w:rFonts w:ascii="Arial" w:hAnsi="Arial" w:cs="Arial"/>
          <w:sz w:val="20"/>
          <w:szCs w:val="20"/>
        </w:rPr>
      </w:pPr>
    </w:p>
    <w:p w:rsidR="002F260E" w:rsidRPr="002738D9" w:rsidRDefault="002F260E" w:rsidP="002738D9">
      <w:pPr>
        <w:ind w:left="60"/>
        <w:rPr>
          <w:rFonts w:ascii="Arial" w:hAnsi="Arial" w:cs="Arial"/>
          <w:sz w:val="20"/>
          <w:szCs w:val="20"/>
        </w:rPr>
      </w:pPr>
      <w:r w:rsidRPr="002738D9">
        <w:rPr>
          <w:rFonts w:ascii="Arial" w:hAnsi="Arial" w:cs="Arial"/>
          <w:sz w:val="20"/>
          <w:szCs w:val="20"/>
        </w:rPr>
        <w:t xml:space="preserve">The </w:t>
      </w:r>
      <w:r w:rsidR="0027012F" w:rsidRPr="002738D9">
        <w:rPr>
          <w:rFonts w:ascii="Arial" w:hAnsi="Arial" w:cs="Arial"/>
          <w:sz w:val="20"/>
          <w:szCs w:val="20"/>
        </w:rPr>
        <w:t xml:space="preserve">key outcomes </w:t>
      </w:r>
      <w:r w:rsidRPr="002738D9">
        <w:rPr>
          <w:rFonts w:ascii="Arial" w:hAnsi="Arial" w:cs="Arial"/>
          <w:sz w:val="20"/>
          <w:szCs w:val="20"/>
        </w:rPr>
        <w:t xml:space="preserve">for households living in informal settlements </w:t>
      </w:r>
      <w:r w:rsidR="000075BA" w:rsidRPr="002738D9">
        <w:rPr>
          <w:rFonts w:ascii="Arial" w:hAnsi="Arial" w:cs="Arial"/>
          <w:sz w:val="20"/>
          <w:szCs w:val="20"/>
        </w:rPr>
        <w:t xml:space="preserve">in the window period </w:t>
      </w:r>
      <w:r w:rsidRPr="002738D9">
        <w:rPr>
          <w:rFonts w:ascii="Arial" w:hAnsi="Arial" w:cs="Arial"/>
          <w:sz w:val="20"/>
          <w:szCs w:val="20"/>
        </w:rPr>
        <w:t>were</w:t>
      </w:r>
      <w:r w:rsidR="000075BA" w:rsidRPr="002738D9">
        <w:rPr>
          <w:rFonts w:ascii="Arial" w:hAnsi="Arial" w:cs="Arial"/>
          <w:sz w:val="20"/>
          <w:szCs w:val="20"/>
        </w:rPr>
        <w:t xml:space="preserve"> -</w:t>
      </w:r>
    </w:p>
    <w:p w:rsidR="008948EE" w:rsidRPr="002738D9" w:rsidRDefault="002F260E" w:rsidP="002738D9">
      <w:pPr>
        <w:pStyle w:val="ListParagraph"/>
        <w:numPr>
          <w:ilvl w:val="0"/>
          <w:numId w:val="3"/>
        </w:numPr>
        <w:rPr>
          <w:rFonts w:ascii="Arial" w:hAnsi="Arial" w:cs="Arial"/>
          <w:sz w:val="20"/>
          <w:szCs w:val="20"/>
        </w:rPr>
      </w:pPr>
      <w:r w:rsidRPr="002738D9">
        <w:rPr>
          <w:rFonts w:ascii="Arial" w:hAnsi="Arial" w:cs="Arial"/>
          <w:sz w:val="20"/>
          <w:szCs w:val="20"/>
        </w:rPr>
        <w:t>To provide tenure rights;</w:t>
      </w:r>
    </w:p>
    <w:p w:rsidR="002F260E" w:rsidRPr="002738D9" w:rsidRDefault="002F260E" w:rsidP="002738D9">
      <w:pPr>
        <w:pStyle w:val="ListParagraph"/>
        <w:numPr>
          <w:ilvl w:val="0"/>
          <w:numId w:val="3"/>
        </w:numPr>
        <w:rPr>
          <w:rFonts w:ascii="Arial" w:hAnsi="Arial" w:cs="Arial"/>
          <w:sz w:val="20"/>
          <w:szCs w:val="20"/>
        </w:rPr>
      </w:pPr>
      <w:r w:rsidRPr="002738D9">
        <w:rPr>
          <w:rFonts w:ascii="Arial" w:hAnsi="Arial" w:cs="Arial"/>
          <w:sz w:val="20"/>
          <w:szCs w:val="20"/>
        </w:rPr>
        <w:t>To ensure the provision of a healthy and secure living environment;</w:t>
      </w:r>
      <w:r w:rsidR="00293355" w:rsidRPr="002738D9">
        <w:rPr>
          <w:rFonts w:ascii="Arial" w:hAnsi="Arial" w:cs="Arial"/>
          <w:sz w:val="20"/>
          <w:szCs w:val="20"/>
        </w:rPr>
        <w:t xml:space="preserve"> and</w:t>
      </w:r>
    </w:p>
    <w:p w:rsidR="002F260E" w:rsidRPr="002738D9" w:rsidRDefault="002F260E" w:rsidP="002738D9">
      <w:pPr>
        <w:pStyle w:val="ListParagraph"/>
        <w:numPr>
          <w:ilvl w:val="0"/>
          <w:numId w:val="3"/>
        </w:numPr>
        <w:rPr>
          <w:rFonts w:ascii="Arial" w:hAnsi="Arial" w:cs="Arial"/>
          <w:sz w:val="20"/>
          <w:szCs w:val="20"/>
        </w:rPr>
      </w:pPr>
      <w:r w:rsidRPr="002738D9">
        <w:rPr>
          <w:rFonts w:ascii="Arial" w:hAnsi="Arial" w:cs="Arial"/>
          <w:sz w:val="20"/>
          <w:szCs w:val="20"/>
        </w:rPr>
        <w:t>To facilitate community partnerships and participation in</w:t>
      </w:r>
      <w:r w:rsidR="00293355" w:rsidRPr="002738D9">
        <w:rPr>
          <w:rFonts w:ascii="Arial" w:hAnsi="Arial" w:cs="Arial"/>
          <w:sz w:val="20"/>
          <w:szCs w:val="20"/>
        </w:rPr>
        <w:t xml:space="preserve"> the development of settlements.</w:t>
      </w:r>
    </w:p>
    <w:p w:rsidR="00293355" w:rsidRPr="002738D9" w:rsidRDefault="00293355" w:rsidP="002738D9">
      <w:pPr>
        <w:pStyle w:val="ListParagraph"/>
        <w:ind w:left="965"/>
        <w:rPr>
          <w:rFonts w:ascii="Arial" w:hAnsi="Arial" w:cs="Arial"/>
          <w:sz w:val="20"/>
          <w:szCs w:val="20"/>
        </w:rPr>
      </w:pPr>
    </w:p>
    <w:p w:rsidR="00293355" w:rsidRPr="002738D9" w:rsidRDefault="00293355" w:rsidP="002738D9">
      <w:pPr>
        <w:rPr>
          <w:rFonts w:ascii="Arial" w:hAnsi="Arial" w:cs="Arial"/>
          <w:sz w:val="20"/>
          <w:szCs w:val="20"/>
        </w:rPr>
      </w:pPr>
      <w:r w:rsidRPr="002738D9">
        <w:rPr>
          <w:rFonts w:ascii="Arial" w:hAnsi="Arial" w:cs="Arial"/>
          <w:sz w:val="20"/>
          <w:szCs w:val="20"/>
        </w:rPr>
        <w:t>During this period, the outputs included the following:</w:t>
      </w:r>
    </w:p>
    <w:p w:rsidR="002F260E"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Programmatic province-wide informal</w:t>
      </w:r>
      <w:r w:rsidR="00FA0294" w:rsidRPr="002738D9">
        <w:rPr>
          <w:rFonts w:ascii="Arial" w:hAnsi="Arial" w:cs="Arial"/>
          <w:sz w:val="20"/>
          <w:szCs w:val="20"/>
        </w:rPr>
        <w:t xml:space="preserve"> settlements upgrading strategy.</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lastRenderedPageBreak/>
        <w:t>Approved individual informal settlements upgrading plans according to the Natio</w:t>
      </w:r>
      <w:r w:rsidR="00FA0294" w:rsidRPr="002738D9">
        <w:rPr>
          <w:rFonts w:ascii="Arial" w:hAnsi="Arial" w:cs="Arial"/>
          <w:sz w:val="20"/>
          <w:szCs w:val="20"/>
        </w:rPr>
        <w:t>nal Upgrading Support Programme.</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Social compacts concluded with c</w:t>
      </w:r>
      <w:r w:rsidR="00FA0294" w:rsidRPr="002738D9">
        <w:rPr>
          <w:rFonts w:ascii="Arial" w:hAnsi="Arial" w:cs="Arial"/>
          <w:sz w:val="20"/>
          <w:szCs w:val="20"/>
        </w:rPr>
        <w:t>ommunities outlining their role.</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Informal settlements designated for upgrading in terms of the Municipa</w:t>
      </w:r>
      <w:r w:rsidR="00FA0294" w:rsidRPr="002738D9">
        <w:rPr>
          <w:rFonts w:ascii="Arial" w:hAnsi="Arial" w:cs="Arial"/>
          <w:sz w:val="20"/>
          <w:szCs w:val="20"/>
        </w:rPr>
        <w:t>l Spatial Development Framework.</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Househo</w:t>
      </w:r>
      <w:r w:rsidR="00FA0294" w:rsidRPr="002738D9">
        <w:rPr>
          <w:rFonts w:ascii="Arial" w:hAnsi="Arial" w:cs="Arial"/>
          <w:sz w:val="20"/>
          <w:szCs w:val="20"/>
        </w:rPr>
        <w:t>lds provided with secure tenure.</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Households provided with water, electricity and sanitati</w:t>
      </w:r>
      <w:r w:rsidR="00FA0294" w:rsidRPr="002738D9">
        <w:rPr>
          <w:rFonts w:ascii="Arial" w:hAnsi="Arial" w:cs="Arial"/>
          <w:sz w:val="20"/>
          <w:szCs w:val="20"/>
        </w:rPr>
        <w:t>on services (grid and non-grid).</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Informal settlements provided with public lighting, roads, storm water, refuse removal and bulk connections for water, electricity and sanitation.</w:t>
      </w:r>
    </w:p>
    <w:p w:rsidR="0027012F" w:rsidRPr="002738D9" w:rsidRDefault="0027012F" w:rsidP="002738D9">
      <w:pPr>
        <w:ind w:left="605"/>
        <w:rPr>
          <w:rFonts w:ascii="Arial" w:hAnsi="Arial" w:cs="Arial"/>
          <w:sz w:val="20"/>
          <w:szCs w:val="20"/>
        </w:rPr>
      </w:pPr>
    </w:p>
    <w:p w:rsidR="0027012F" w:rsidRPr="002738D9" w:rsidRDefault="00293355" w:rsidP="002738D9">
      <w:pPr>
        <w:ind w:left="605"/>
        <w:rPr>
          <w:rFonts w:ascii="Arial" w:hAnsi="Arial" w:cs="Arial"/>
          <w:sz w:val="20"/>
          <w:szCs w:val="20"/>
        </w:rPr>
      </w:pPr>
      <w:r w:rsidRPr="002738D9">
        <w:rPr>
          <w:rFonts w:ascii="Arial" w:hAnsi="Arial" w:cs="Arial"/>
          <w:sz w:val="20"/>
          <w:szCs w:val="20"/>
        </w:rPr>
        <w:t xml:space="preserve">From the </w:t>
      </w:r>
      <w:r w:rsidR="0027012F" w:rsidRPr="002738D9">
        <w:rPr>
          <w:rFonts w:ascii="Arial" w:hAnsi="Arial" w:cs="Arial"/>
          <w:sz w:val="20"/>
          <w:szCs w:val="20"/>
        </w:rPr>
        <w:t>2020/21 financial year</w:t>
      </w:r>
      <w:r w:rsidRPr="002738D9">
        <w:rPr>
          <w:rFonts w:ascii="Arial" w:hAnsi="Arial" w:cs="Arial"/>
          <w:sz w:val="20"/>
          <w:szCs w:val="20"/>
        </w:rPr>
        <w:t xml:space="preserve"> the following outputs were added:</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Hectares of land acquired for relocation o</w:t>
      </w:r>
      <w:r w:rsidR="00FA0294" w:rsidRPr="002738D9">
        <w:rPr>
          <w:rFonts w:ascii="Arial" w:hAnsi="Arial" w:cs="Arial"/>
          <w:sz w:val="20"/>
          <w:szCs w:val="20"/>
        </w:rPr>
        <w:t>f category B2 and C settlements.</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sz w:val="20"/>
          <w:szCs w:val="20"/>
        </w:rPr>
        <w:t xml:space="preserve">Hectares of land acquired for </w:t>
      </w:r>
      <w:r w:rsidR="00293355" w:rsidRPr="002738D9">
        <w:rPr>
          <w:rFonts w:ascii="Arial" w:hAnsi="Arial" w:cs="Arial"/>
          <w:i/>
          <w:sz w:val="20"/>
          <w:szCs w:val="20"/>
        </w:rPr>
        <w:t xml:space="preserve">in </w:t>
      </w:r>
      <w:r w:rsidRPr="002738D9">
        <w:rPr>
          <w:rFonts w:ascii="Arial" w:hAnsi="Arial" w:cs="Arial"/>
          <w:i/>
          <w:sz w:val="20"/>
          <w:szCs w:val="20"/>
        </w:rPr>
        <w:t>situ</w:t>
      </w:r>
      <w:r w:rsidR="00FA0294" w:rsidRPr="002738D9">
        <w:rPr>
          <w:rFonts w:ascii="Arial" w:hAnsi="Arial" w:cs="Arial"/>
          <w:sz w:val="20"/>
          <w:szCs w:val="20"/>
        </w:rPr>
        <w:t xml:space="preserve"> upgrading.</w:t>
      </w:r>
    </w:p>
    <w:p w:rsidR="0027012F" w:rsidRPr="002738D9" w:rsidRDefault="0027012F" w:rsidP="002738D9">
      <w:pPr>
        <w:pStyle w:val="ListParagraph"/>
        <w:numPr>
          <w:ilvl w:val="0"/>
          <w:numId w:val="3"/>
        </w:numPr>
        <w:rPr>
          <w:rFonts w:ascii="Arial" w:hAnsi="Arial" w:cs="Arial"/>
          <w:sz w:val="20"/>
          <w:szCs w:val="20"/>
        </w:rPr>
      </w:pPr>
      <w:r w:rsidRPr="002738D9">
        <w:rPr>
          <w:rFonts w:ascii="Arial" w:hAnsi="Arial" w:cs="Arial"/>
          <w:i/>
          <w:sz w:val="20"/>
          <w:szCs w:val="20"/>
        </w:rPr>
        <w:t>In situ</w:t>
      </w:r>
      <w:r w:rsidRPr="002738D9">
        <w:rPr>
          <w:rFonts w:ascii="Arial" w:hAnsi="Arial" w:cs="Arial"/>
          <w:sz w:val="20"/>
          <w:szCs w:val="20"/>
        </w:rPr>
        <w:t xml:space="preserve"> individual serviced sites developed. </w:t>
      </w:r>
    </w:p>
    <w:p w:rsidR="00BD6540" w:rsidRPr="002738D9" w:rsidRDefault="00BD6540" w:rsidP="002738D9">
      <w:pPr>
        <w:rPr>
          <w:rFonts w:ascii="Arial" w:hAnsi="Arial" w:cs="Arial"/>
          <w:sz w:val="20"/>
          <w:szCs w:val="20"/>
        </w:rPr>
      </w:pPr>
    </w:p>
    <w:p w:rsidR="00BD6540" w:rsidRPr="002738D9" w:rsidRDefault="00BD6540" w:rsidP="002738D9">
      <w:pPr>
        <w:pStyle w:val="ListParagraph"/>
        <w:numPr>
          <w:ilvl w:val="0"/>
          <w:numId w:val="2"/>
        </w:numPr>
        <w:rPr>
          <w:rFonts w:ascii="Arial" w:hAnsi="Arial" w:cs="Arial"/>
          <w:b/>
          <w:sz w:val="20"/>
          <w:szCs w:val="20"/>
        </w:rPr>
      </w:pPr>
      <w:r w:rsidRPr="002738D9">
        <w:rPr>
          <w:rFonts w:ascii="Arial" w:hAnsi="Arial" w:cs="Arial"/>
          <w:b/>
          <w:sz w:val="20"/>
          <w:szCs w:val="20"/>
        </w:rPr>
        <w:t>National Treasury</w:t>
      </w:r>
    </w:p>
    <w:p w:rsidR="002611DB" w:rsidRPr="002738D9" w:rsidRDefault="00052E1C" w:rsidP="002738D9">
      <w:pPr>
        <w:ind w:left="60"/>
        <w:rPr>
          <w:rFonts w:ascii="Arial" w:hAnsi="Arial" w:cs="Arial"/>
          <w:sz w:val="20"/>
          <w:szCs w:val="20"/>
        </w:rPr>
      </w:pPr>
      <w:r w:rsidRPr="002738D9">
        <w:rPr>
          <w:rFonts w:ascii="Arial" w:hAnsi="Arial" w:cs="Arial"/>
          <w:sz w:val="20"/>
          <w:szCs w:val="20"/>
        </w:rPr>
        <w:t xml:space="preserve">Having provided </w:t>
      </w:r>
      <w:r w:rsidR="000215DF" w:rsidRPr="002738D9">
        <w:rPr>
          <w:rFonts w:ascii="Arial" w:hAnsi="Arial" w:cs="Arial"/>
          <w:sz w:val="20"/>
          <w:szCs w:val="20"/>
        </w:rPr>
        <w:t xml:space="preserve">information on the </w:t>
      </w:r>
      <w:r w:rsidRPr="002738D9">
        <w:rPr>
          <w:rFonts w:ascii="Arial" w:hAnsi="Arial" w:cs="Arial"/>
          <w:sz w:val="20"/>
          <w:szCs w:val="20"/>
        </w:rPr>
        <w:t>allocation</w:t>
      </w:r>
      <w:r w:rsidR="000215DF" w:rsidRPr="002738D9">
        <w:rPr>
          <w:rFonts w:ascii="Arial" w:hAnsi="Arial" w:cs="Arial"/>
          <w:sz w:val="20"/>
          <w:szCs w:val="20"/>
        </w:rPr>
        <w:t>s and performance of the G</w:t>
      </w:r>
      <w:r w:rsidRPr="002738D9">
        <w:rPr>
          <w:rFonts w:ascii="Arial" w:hAnsi="Arial" w:cs="Arial"/>
          <w:sz w:val="20"/>
          <w:szCs w:val="20"/>
        </w:rPr>
        <w:t xml:space="preserve">rant since inception, </w:t>
      </w:r>
      <w:r w:rsidR="0025667D" w:rsidRPr="002738D9">
        <w:rPr>
          <w:rFonts w:ascii="Arial" w:hAnsi="Arial" w:cs="Arial"/>
          <w:sz w:val="20"/>
          <w:szCs w:val="20"/>
        </w:rPr>
        <w:t>National Trea</w:t>
      </w:r>
      <w:r w:rsidR="000215DF" w:rsidRPr="002738D9">
        <w:rPr>
          <w:rFonts w:ascii="Arial" w:hAnsi="Arial" w:cs="Arial"/>
          <w:sz w:val="20"/>
          <w:szCs w:val="20"/>
        </w:rPr>
        <w:t>sury reported that the provincial</w:t>
      </w:r>
      <w:r w:rsidR="0025667D" w:rsidRPr="002738D9">
        <w:rPr>
          <w:rFonts w:ascii="Arial" w:hAnsi="Arial" w:cs="Arial"/>
          <w:sz w:val="20"/>
          <w:szCs w:val="20"/>
        </w:rPr>
        <w:t xml:space="preserve"> allocation</w:t>
      </w:r>
      <w:r w:rsidR="000215DF" w:rsidRPr="002738D9">
        <w:rPr>
          <w:rFonts w:ascii="Arial" w:hAnsi="Arial" w:cs="Arial"/>
          <w:sz w:val="20"/>
          <w:szCs w:val="20"/>
        </w:rPr>
        <w:t>s</w:t>
      </w:r>
      <w:r w:rsidR="0025667D" w:rsidRPr="002738D9">
        <w:rPr>
          <w:rFonts w:ascii="Arial" w:hAnsi="Arial" w:cs="Arial"/>
          <w:sz w:val="20"/>
          <w:szCs w:val="20"/>
        </w:rPr>
        <w:t xml:space="preserve"> fo</w:t>
      </w:r>
      <w:r w:rsidR="000215DF" w:rsidRPr="002738D9">
        <w:rPr>
          <w:rFonts w:ascii="Arial" w:hAnsi="Arial" w:cs="Arial"/>
          <w:sz w:val="20"/>
          <w:szCs w:val="20"/>
        </w:rPr>
        <w:t xml:space="preserve">r the 2022/23 financial year had been as </w:t>
      </w:r>
      <w:r w:rsidR="00037A20" w:rsidRPr="002738D9">
        <w:rPr>
          <w:rFonts w:ascii="Arial" w:hAnsi="Arial" w:cs="Arial"/>
          <w:sz w:val="20"/>
          <w:szCs w:val="20"/>
        </w:rPr>
        <w:t xml:space="preserve">per </w:t>
      </w:r>
      <w:r w:rsidR="000215DF" w:rsidRPr="002738D9">
        <w:rPr>
          <w:rFonts w:ascii="Arial" w:hAnsi="Arial" w:cs="Arial"/>
          <w:sz w:val="20"/>
          <w:szCs w:val="20"/>
        </w:rPr>
        <w:t xml:space="preserve">Table 1 below. The Eastern Cape had reportedly not </w:t>
      </w:r>
      <w:r w:rsidR="00037A20" w:rsidRPr="002738D9">
        <w:rPr>
          <w:rFonts w:ascii="Arial" w:hAnsi="Arial" w:cs="Arial"/>
          <w:sz w:val="20"/>
          <w:szCs w:val="20"/>
        </w:rPr>
        <w:t xml:space="preserve">spent </w:t>
      </w:r>
      <w:r w:rsidR="000215DF" w:rsidRPr="002738D9">
        <w:rPr>
          <w:rFonts w:ascii="Arial" w:hAnsi="Arial" w:cs="Arial"/>
          <w:sz w:val="20"/>
          <w:szCs w:val="20"/>
        </w:rPr>
        <w:t xml:space="preserve">any of the </w:t>
      </w:r>
      <w:r w:rsidR="00037A20" w:rsidRPr="002738D9">
        <w:rPr>
          <w:rFonts w:ascii="Arial" w:hAnsi="Arial" w:cs="Arial"/>
          <w:sz w:val="20"/>
          <w:szCs w:val="20"/>
        </w:rPr>
        <w:t>funds transferred as at the end of the first quarter</w:t>
      </w:r>
      <w:r w:rsidR="000215DF" w:rsidRPr="002738D9">
        <w:rPr>
          <w:rFonts w:ascii="Arial" w:hAnsi="Arial" w:cs="Arial"/>
          <w:sz w:val="20"/>
          <w:szCs w:val="20"/>
        </w:rPr>
        <w:t xml:space="preserve">; while the </w:t>
      </w:r>
      <w:r w:rsidR="00037A20" w:rsidRPr="002738D9">
        <w:rPr>
          <w:rFonts w:ascii="Arial" w:hAnsi="Arial" w:cs="Arial"/>
          <w:sz w:val="20"/>
          <w:szCs w:val="20"/>
        </w:rPr>
        <w:t>North</w:t>
      </w:r>
      <w:r w:rsidR="000215DF" w:rsidRPr="002738D9">
        <w:rPr>
          <w:rFonts w:ascii="Arial" w:hAnsi="Arial" w:cs="Arial"/>
          <w:sz w:val="20"/>
          <w:szCs w:val="20"/>
        </w:rPr>
        <w:t xml:space="preserve">ern Cape </w:t>
      </w:r>
      <w:r w:rsidR="00FC4473" w:rsidRPr="002738D9">
        <w:rPr>
          <w:rFonts w:ascii="Arial" w:hAnsi="Arial" w:cs="Arial"/>
          <w:sz w:val="20"/>
          <w:szCs w:val="20"/>
        </w:rPr>
        <w:t>and the North West</w:t>
      </w:r>
      <w:r w:rsidR="002611DB" w:rsidRPr="002738D9">
        <w:rPr>
          <w:rFonts w:ascii="Arial" w:hAnsi="Arial" w:cs="Arial"/>
          <w:sz w:val="20"/>
          <w:szCs w:val="20"/>
        </w:rPr>
        <w:t xml:space="preserve"> </w:t>
      </w:r>
      <w:r w:rsidR="000215DF" w:rsidRPr="002738D9">
        <w:rPr>
          <w:rFonts w:ascii="Arial" w:hAnsi="Arial" w:cs="Arial"/>
          <w:sz w:val="20"/>
          <w:szCs w:val="20"/>
        </w:rPr>
        <w:t xml:space="preserve">had overspent during </w:t>
      </w:r>
      <w:r w:rsidR="002611DB" w:rsidRPr="002738D9">
        <w:rPr>
          <w:rFonts w:ascii="Arial" w:hAnsi="Arial" w:cs="Arial"/>
          <w:sz w:val="20"/>
          <w:szCs w:val="20"/>
        </w:rPr>
        <w:t>the same quarter.</w:t>
      </w:r>
    </w:p>
    <w:p w:rsidR="002611DB" w:rsidRPr="002738D9" w:rsidRDefault="002611DB" w:rsidP="002738D9">
      <w:pPr>
        <w:ind w:left="60"/>
        <w:rPr>
          <w:rFonts w:ascii="Arial" w:hAnsi="Arial" w:cs="Arial"/>
          <w:sz w:val="20"/>
          <w:szCs w:val="20"/>
        </w:rPr>
      </w:pPr>
    </w:p>
    <w:p w:rsidR="0025667D" w:rsidRPr="002738D9" w:rsidRDefault="0025667D" w:rsidP="002738D9">
      <w:pPr>
        <w:ind w:left="60"/>
        <w:rPr>
          <w:rFonts w:ascii="Arial" w:hAnsi="Arial" w:cs="Arial"/>
          <w:sz w:val="20"/>
          <w:szCs w:val="20"/>
        </w:rPr>
      </w:pPr>
      <w:r w:rsidRPr="002738D9">
        <w:rPr>
          <w:rFonts w:ascii="Arial" w:hAnsi="Arial" w:cs="Arial"/>
          <w:sz w:val="20"/>
          <w:szCs w:val="20"/>
        </w:rPr>
        <w:t xml:space="preserve">Table 1: </w:t>
      </w:r>
      <w:r w:rsidR="00052E1C" w:rsidRPr="002738D9">
        <w:rPr>
          <w:rFonts w:ascii="Arial" w:hAnsi="Arial" w:cs="Arial"/>
          <w:sz w:val="20"/>
          <w:szCs w:val="20"/>
        </w:rPr>
        <w:t>2022/23 f</w:t>
      </w:r>
      <w:r w:rsidRPr="002738D9">
        <w:rPr>
          <w:rFonts w:ascii="Arial" w:hAnsi="Arial" w:cs="Arial"/>
          <w:sz w:val="20"/>
          <w:szCs w:val="20"/>
        </w:rPr>
        <w:t>inancial allocation per province</w:t>
      </w:r>
      <w:r w:rsidR="00052E1C" w:rsidRPr="002738D9">
        <w:rPr>
          <w:rFonts w:ascii="Arial" w:hAnsi="Arial" w:cs="Arial"/>
          <w:sz w:val="20"/>
          <w:szCs w:val="20"/>
        </w:rPr>
        <w:t xml:space="preserve"> and first quarter expenditure </w:t>
      </w:r>
    </w:p>
    <w:tbl>
      <w:tblPr>
        <w:tblStyle w:val="TableGrid"/>
        <w:tblW w:w="0" w:type="auto"/>
        <w:tblInd w:w="60" w:type="dxa"/>
        <w:tblLook w:val="04A0"/>
      </w:tblPr>
      <w:tblGrid>
        <w:gridCol w:w="1940"/>
        <w:gridCol w:w="1807"/>
        <w:gridCol w:w="8"/>
        <w:gridCol w:w="1424"/>
        <w:gridCol w:w="1891"/>
        <w:gridCol w:w="1886"/>
      </w:tblGrid>
      <w:tr w:rsidR="0080411E" w:rsidRPr="002738D9" w:rsidTr="0080411E">
        <w:trPr>
          <w:trHeight w:val="217"/>
        </w:trPr>
        <w:tc>
          <w:tcPr>
            <w:tcW w:w="1940" w:type="dxa"/>
            <w:vMerge w:val="restart"/>
          </w:tcPr>
          <w:p w:rsidR="0080411E" w:rsidRPr="002738D9" w:rsidRDefault="0080411E" w:rsidP="002738D9">
            <w:pPr>
              <w:rPr>
                <w:rFonts w:ascii="Arial" w:hAnsi="Arial" w:cs="Arial"/>
                <w:sz w:val="20"/>
                <w:szCs w:val="20"/>
              </w:rPr>
            </w:pPr>
          </w:p>
          <w:p w:rsidR="0080411E" w:rsidRPr="002738D9" w:rsidRDefault="0080411E" w:rsidP="002738D9">
            <w:pPr>
              <w:rPr>
                <w:rFonts w:ascii="Arial" w:hAnsi="Arial" w:cs="Arial"/>
                <w:sz w:val="20"/>
                <w:szCs w:val="20"/>
              </w:rPr>
            </w:pPr>
            <w:r w:rsidRPr="002738D9">
              <w:rPr>
                <w:rFonts w:ascii="Arial" w:hAnsi="Arial" w:cs="Arial"/>
                <w:sz w:val="20"/>
                <w:szCs w:val="20"/>
              </w:rPr>
              <w:t>Province</w:t>
            </w:r>
          </w:p>
        </w:tc>
        <w:tc>
          <w:tcPr>
            <w:tcW w:w="1815" w:type="dxa"/>
            <w:gridSpan w:val="2"/>
          </w:tcPr>
          <w:p w:rsidR="0080411E" w:rsidRPr="002738D9" w:rsidRDefault="0080411E" w:rsidP="002738D9">
            <w:pPr>
              <w:rPr>
                <w:rFonts w:ascii="Arial" w:hAnsi="Arial" w:cs="Arial"/>
                <w:sz w:val="20"/>
                <w:szCs w:val="20"/>
              </w:rPr>
            </w:pPr>
          </w:p>
        </w:tc>
        <w:tc>
          <w:tcPr>
            <w:tcW w:w="5201" w:type="dxa"/>
            <w:gridSpan w:val="3"/>
          </w:tcPr>
          <w:p w:rsidR="0080411E" w:rsidRPr="002738D9" w:rsidRDefault="0080411E" w:rsidP="002738D9">
            <w:pPr>
              <w:rPr>
                <w:rFonts w:ascii="Arial" w:hAnsi="Arial" w:cs="Arial"/>
                <w:sz w:val="20"/>
                <w:szCs w:val="20"/>
              </w:rPr>
            </w:pPr>
            <w:r w:rsidRPr="002738D9">
              <w:rPr>
                <w:rFonts w:ascii="Arial" w:hAnsi="Arial" w:cs="Arial"/>
                <w:sz w:val="20"/>
                <w:szCs w:val="20"/>
              </w:rPr>
              <w:t>2022/23</w:t>
            </w:r>
          </w:p>
        </w:tc>
      </w:tr>
      <w:tr w:rsidR="0080411E" w:rsidRPr="002738D9" w:rsidTr="0080411E">
        <w:trPr>
          <w:trHeight w:val="163"/>
        </w:trPr>
        <w:tc>
          <w:tcPr>
            <w:tcW w:w="1940" w:type="dxa"/>
            <w:vMerge/>
          </w:tcPr>
          <w:p w:rsidR="0080411E" w:rsidRPr="002738D9" w:rsidRDefault="0080411E" w:rsidP="002738D9">
            <w:pPr>
              <w:rPr>
                <w:rFonts w:ascii="Arial" w:hAnsi="Arial" w:cs="Arial"/>
                <w:sz w:val="20"/>
                <w:szCs w:val="20"/>
              </w:rPr>
            </w:pP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Main Allocation R’000</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Transferred funds R’000</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First quarter expenditure</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 xml:space="preserve">Percentage </w:t>
            </w:r>
            <w:r w:rsidR="00037A20" w:rsidRPr="002738D9">
              <w:rPr>
                <w:rFonts w:ascii="Arial" w:hAnsi="Arial" w:cs="Arial"/>
                <w:sz w:val="20"/>
                <w:szCs w:val="20"/>
              </w:rPr>
              <w:t>spent against voted funds</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Eastern Cape</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458 151</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137 445</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0</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Free State</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241 563</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62 983</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14 147</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5.9</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Gauteng</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1 175 155</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235 031</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27 670</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2.4</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KwaZulu-Natal</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756 868</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310 267</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35 943</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4.7</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Limpopo</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269 465</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98 650</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26 529</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9.8</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Mpumalanga</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274 653</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68 226</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66 557</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24.2</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Northern Cape</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81 272</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16 491</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26 876</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33.1</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North West</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379 324</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58 060</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109 799</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28.9</w:t>
            </w:r>
          </w:p>
        </w:tc>
      </w:tr>
      <w:tr w:rsidR="0080411E" w:rsidRPr="002738D9" w:rsidTr="0080411E">
        <w:tc>
          <w:tcPr>
            <w:tcW w:w="1940" w:type="dxa"/>
          </w:tcPr>
          <w:p w:rsidR="0080411E" w:rsidRPr="002738D9" w:rsidRDefault="0080411E" w:rsidP="002738D9">
            <w:pPr>
              <w:rPr>
                <w:rFonts w:ascii="Arial" w:hAnsi="Arial" w:cs="Arial"/>
                <w:sz w:val="20"/>
                <w:szCs w:val="20"/>
              </w:rPr>
            </w:pPr>
            <w:r w:rsidRPr="002738D9">
              <w:rPr>
                <w:rFonts w:ascii="Arial" w:hAnsi="Arial" w:cs="Arial"/>
                <w:sz w:val="20"/>
                <w:szCs w:val="20"/>
              </w:rPr>
              <w:t>Western Cape</w:t>
            </w:r>
          </w:p>
        </w:tc>
        <w:tc>
          <w:tcPr>
            <w:tcW w:w="1807" w:type="dxa"/>
          </w:tcPr>
          <w:p w:rsidR="0080411E" w:rsidRPr="002738D9" w:rsidRDefault="0080411E" w:rsidP="002738D9">
            <w:pPr>
              <w:rPr>
                <w:rFonts w:ascii="Arial" w:hAnsi="Arial" w:cs="Arial"/>
                <w:sz w:val="20"/>
                <w:szCs w:val="20"/>
              </w:rPr>
            </w:pPr>
            <w:r w:rsidRPr="002738D9">
              <w:rPr>
                <w:rFonts w:ascii="Arial" w:hAnsi="Arial" w:cs="Arial"/>
                <w:sz w:val="20"/>
                <w:szCs w:val="20"/>
              </w:rPr>
              <w:t>489 638</w:t>
            </w:r>
          </w:p>
        </w:tc>
        <w:tc>
          <w:tcPr>
            <w:tcW w:w="1432" w:type="dxa"/>
            <w:gridSpan w:val="2"/>
          </w:tcPr>
          <w:p w:rsidR="0080411E" w:rsidRPr="002738D9" w:rsidRDefault="0080411E" w:rsidP="002738D9">
            <w:pPr>
              <w:rPr>
                <w:rFonts w:ascii="Arial" w:hAnsi="Arial" w:cs="Arial"/>
                <w:sz w:val="20"/>
                <w:szCs w:val="20"/>
              </w:rPr>
            </w:pPr>
            <w:r w:rsidRPr="002738D9">
              <w:rPr>
                <w:rFonts w:ascii="Arial" w:hAnsi="Arial" w:cs="Arial"/>
                <w:sz w:val="20"/>
                <w:szCs w:val="20"/>
              </w:rPr>
              <w:t>102 000</w:t>
            </w:r>
          </w:p>
        </w:tc>
        <w:tc>
          <w:tcPr>
            <w:tcW w:w="1891" w:type="dxa"/>
          </w:tcPr>
          <w:p w:rsidR="0080411E" w:rsidRPr="002738D9" w:rsidRDefault="0080411E" w:rsidP="002738D9">
            <w:pPr>
              <w:rPr>
                <w:rFonts w:ascii="Arial" w:hAnsi="Arial" w:cs="Arial"/>
                <w:sz w:val="20"/>
                <w:szCs w:val="20"/>
              </w:rPr>
            </w:pPr>
            <w:r w:rsidRPr="002738D9">
              <w:rPr>
                <w:rFonts w:ascii="Arial" w:hAnsi="Arial" w:cs="Arial"/>
                <w:sz w:val="20"/>
                <w:szCs w:val="20"/>
              </w:rPr>
              <w:t>101 240</w:t>
            </w:r>
          </w:p>
        </w:tc>
        <w:tc>
          <w:tcPr>
            <w:tcW w:w="1886" w:type="dxa"/>
          </w:tcPr>
          <w:p w:rsidR="0080411E" w:rsidRPr="002738D9" w:rsidRDefault="0080411E" w:rsidP="002738D9">
            <w:pPr>
              <w:rPr>
                <w:rFonts w:ascii="Arial" w:hAnsi="Arial" w:cs="Arial"/>
                <w:sz w:val="20"/>
                <w:szCs w:val="20"/>
              </w:rPr>
            </w:pPr>
            <w:r w:rsidRPr="002738D9">
              <w:rPr>
                <w:rFonts w:ascii="Arial" w:hAnsi="Arial" w:cs="Arial"/>
                <w:sz w:val="20"/>
                <w:szCs w:val="20"/>
              </w:rPr>
              <w:t>20.7</w:t>
            </w:r>
          </w:p>
        </w:tc>
      </w:tr>
      <w:tr w:rsidR="0080411E" w:rsidRPr="002738D9" w:rsidTr="0080411E">
        <w:tc>
          <w:tcPr>
            <w:tcW w:w="1940" w:type="dxa"/>
          </w:tcPr>
          <w:p w:rsidR="0080411E" w:rsidRPr="002738D9" w:rsidRDefault="0080411E" w:rsidP="002738D9">
            <w:pPr>
              <w:rPr>
                <w:rFonts w:ascii="Arial" w:hAnsi="Arial" w:cs="Arial"/>
                <w:b/>
                <w:sz w:val="20"/>
                <w:szCs w:val="20"/>
              </w:rPr>
            </w:pPr>
            <w:r w:rsidRPr="002738D9">
              <w:rPr>
                <w:rFonts w:ascii="Arial" w:hAnsi="Arial" w:cs="Arial"/>
                <w:b/>
                <w:sz w:val="20"/>
                <w:szCs w:val="20"/>
              </w:rPr>
              <w:t xml:space="preserve">Total </w:t>
            </w:r>
          </w:p>
        </w:tc>
        <w:tc>
          <w:tcPr>
            <w:tcW w:w="1807" w:type="dxa"/>
          </w:tcPr>
          <w:p w:rsidR="0080411E" w:rsidRPr="002738D9" w:rsidRDefault="0080411E" w:rsidP="002738D9">
            <w:pPr>
              <w:rPr>
                <w:rFonts w:ascii="Arial" w:hAnsi="Arial" w:cs="Arial"/>
                <w:b/>
                <w:sz w:val="20"/>
                <w:szCs w:val="20"/>
              </w:rPr>
            </w:pPr>
            <w:r w:rsidRPr="002738D9">
              <w:rPr>
                <w:rFonts w:ascii="Arial" w:hAnsi="Arial" w:cs="Arial"/>
                <w:b/>
                <w:sz w:val="20"/>
                <w:szCs w:val="20"/>
              </w:rPr>
              <w:t>4 121 089</w:t>
            </w:r>
          </w:p>
        </w:tc>
        <w:tc>
          <w:tcPr>
            <w:tcW w:w="1432" w:type="dxa"/>
            <w:gridSpan w:val="2"/>
          </w:tcPr>
          <w:p w:rsidR="0080411E" w:rsidRPr="002738D9" w:rsidRDefault="0080411E" w:rsidP="002738D9">
            <w:pPr>
              <w:rPr>
                <w:rFonts w:ascii="Arial" w:hAnsi="Arial" w:cs="Arial"/>
                <w:b/>
                <w:sz w:val="20"/>
                <w:szCs w:val="20"/>
              </w:rPr>
            </w:pPr>
            <w:r w:rsidRPr="002738D9">
              <w:rPr>
                <w:rFonts w:ascii="Arial" w:hAnsi="Arial" w:cs="Arial"/>
                <w:b/>
                <w:sz w:val="20"/>
                <w:szCs w:val="20"/>
              </w:rPr>
              <w:t>1 089 153</w:t>
            </w:r>
          </w:p>
        </w:tc>
        <w:tc>
          <w:tcPr>
            <w:tcW w:w="1891" w:type="dxa"/>
          </w:tcPr>
          <w:p w:rsidR="0080411E" w:rsidRPr="002738D9" w:rsidRDefault="0080411E" w:rsidP="002738D9">
            <w:pPr>
              <w:rPr>
                <w:rFonts w:ascii="Arial" w:hAnsi="Arial" w:cs="Arial"/>
                <w:b/>
                <w:sz w:val="20"/>
                <w:szCs w:val="20"/>
              </w:rPr>
            </w:pPr>
            <w:r w:rsidRPr="002738D9">
              <w:rPr>
                <w:rFonts w:ascii="Arial" w:hAnsi="Arial" w:cs="Arial"/>
                <w:b/>
                <w:sz w:val="20"/>
                <w:szCs w:val="20"/>
              </w:rPr>
              <w:t>408 761</w:t>
            </w:r>
          </w:p>
        </w:tc>
        <w:tc>
          <w:tcPr>
            <w:tcW w:w="1886" w:type="dxa"/>
          </w:tcPr>
          <w:p w:rsidR="0080411E" w:rsidRPr="002738D9" w:rsidRDefault="0080411E" w:rsidP="002738D9">
            <w:pPr>
              <w:rPr>
                <w:rFonts w:ascii="Arial" w:hAnsi="Arial" w:cs="Arial"/>
                <w:b/>
                <w:sz w:val="20"/>
                <w:szCs w:val="20"/>
              </w:rPr>
            </w:pPr>
            <w:r w:rsidRPr="002738D9">
              <w:rPr>
                <w:rFonts w:ascii="Arial" w:hAnsi="Arial" w:cs="Arial"/>
                <w:b/>
                <w:sz w:val="20"/>
                <w:szCs w:val="20"/>
              </w:rPr>
              <w:t>9</w:t>
            </w:r>
            <w:r w:rsidR="00AD56C3" w:rsidRPr="002738D9">
              <w:rPr>
                <w:rFonts w:ascii="Arial" w:hAnsi="Arial" w:cs="Arial"/>
                <w:b/>
                <w:sz w:val="20"/>
                <w:szCs w:val="20"/>
              </w:rPr>
              <w:t>%</w:t>
            </w:r>
          </w:p>
        </w:tc>
      </w:tr>
    </w:tbl>
    <w:p w:rsidR="0025667D" w:rsidRPr="002738D9" w:rsidRDefault="0025667D" w:rsidP="002738D9">
      <w:pPr>
        <w:ind w:left="60"/>
        <w:rPr>
          <w:rFonts w:ascii="Arial" w:hAnsi="Arial" w:cs="Arial"/>
          <w:sz w:val="20"/>
          <w:szCs w:val="20"/>
        </w:rPr>
      </w:pPr>
    </w:p>
    <w:p w:rsidR="00052E1C" w:rsidRPr="002738D9" w:rsidRDefault="00052E1C" w:rsidP="002738D9">
      <w:pPr>
        <w:ind w:left="60"/>
        <w:rPr>
          <w:rFonts w:ascii="Arial" w:hAnsi="Arial" w:cs="Arial"/>
          <w:sz w:val="20"/>
          <w:szCs w:val="20"/>
        </w:rPr>
      </w:pPr>
      <w:r w:rsidRPr="002738D9">
        <w:rPr>
          <w:rFonts w:ascii="Arial" w:hAnsi="Arial" w:cs="Arial"/>
          <w:sz w:val="20"/>
          <w:szCs w:val="20"/>
        </w:rPr>
        <w:t>National Treasury further reported the following chal</w:t>
      </w:r>
      <w:r w:rsidR="000215DF" w:rsidRPr="002738D9">
        <w:rPr>
          <w:rFonts w:ascii="Arial" w:hAnsi="Arial" w:cs="Arial"/>
          <w:sz w:val="20"/>
          <w:szCs w:val="20"/>
        </w:rPr>
        <w:t>lenges and risks</w:t>
      </w:r>
      <w:r w:rsidR="00C05A45" w:rsidRPr="002738D9">
        <w:rPr>
          <w:rFonts w:ascii="Arial" w:hAnsi="Arial" w:cs="Arial"/>
          <w:sz w:val="20"/>
          <w:szCs w:val="20"/>
        </w:rPr>
        <w:t>, which</w:t>
      </w:r>
      <w:r w:rsidR="000215DF" w:rsidRPr="002738D9">
        <w:rPr>
          <w:rFonts w:ascii="Arial" w:hAnsi="Arial" w:cs="Arial"/>
          <w:sz w:val="20"/>
          <w:szCs w:val="20"/>
        </w:rPr>
        <w:t xml:space="preserve"> had </w:t>
      </w:r>
      <w:r w:rsidR="00C05A45" w:rsidRPr="002738D9">
        <w:rPr>
          <w:rFonts w:ascii="Arial" w:hAnsi="Arial" w:cs="Arial"/>
          <w:sz w:val="20"/>
          <w:szCs w:val="20"/>
        </w:rPr>
        <w:t xml:space="preserve">been </w:t>
      </w:r>
      <w:r w:rsidRPr="002738D9">
        <w:rPr>
          <w:rFonts w:ascii="Arial" w:hAnsi="Arial" w:cs="Arial"/>
          <w:sz w:val="20"/>
          <w:szCs w:val="20"/>
        </w:rPr>
        <w:t xml:space="preserve">observed with respect to the </w:t>
      </w:r>
      <w:r w:rsidR="000215DF" w:rsidRPr="002738D9">
        <w:rPr>
          <w:rFonts w:ascii="Arial" w:hAnsi="Arial" w:cs="Arial"/>
          <w:sz w:val="20"/>
          <w:szCs w:val="20"/>
        </w:rPr>
        <w:t>Grant</w:t>
      </w:r>
      <w:r w:rsidRPr="002738D9">
        <w:rPr>
          <w:rFonts w:ascii="Arial" w:hAnsi="Arial" w:cs="Arial"/>
          <w:sz w:val="20"/>
          <w:szCs w:val="20"/>
        </w:rPr>
        <w:t>:</w:t>
      </w:r>
    </w:p>
    <w:p w:rsidR="00052E1C" w:rsidRPr="002738D9" w:rsidRDefault="00C536F4" w:rsidP="002738D9">
      <w:pPr>
        <w:pStyle w:val="ListParagraph"/>
        <w:numPr>
          <w:ilvl w:val="0"/>
          <w:numId w:val="4"/>
        </w:numPr>
        <w:rPr>
          <w:rFonts w:ascii="Arial" w:hAnsi="Arial" w:cs="Arial"/>
          <w:sz w:val="20"/>
          <w:szCs w:val="20"/>
        </w:rPr>
      </w:pPr>
      <w:r w:rsidRPr="002738D9">
        <w:rPr>
          <w:rFonts w:ascii="Arial" w:hAnsi="Arial" w:cs="Arial"/>
          <w:sz w:val="20"/>
          <w:szCs w:val="20"/>
        </w:rPr>
        <w:t>Reporting on the G</w:t>
      </w:r>
      <w:r w:rsidR="00052E1C" w:rsidRPr="002738D9">
        <w:rPr>
          <w:rFonts w:ascii="Arial" w:hAnsi="Arial" w:cs="Arial"/>
          <w:sz w:val="20"/>
          <w:szCs w:val="20"/>
        </w:rPr>
        <w:t>rant, as required by the Division of Revenue Act, ha</w:t>
      </w:r>
      <w:r w:rsidRPr="002738D9">
        <w:rPr>
          <w:rFonts w:ascii="Arial" w:hAnsi="Arial" w:cs="Arial"/>
          <w:sz w:val="20"/>
          <w:szCs w:val="20"/>
        </w:rPr>
        <w:t>d</w:t>
      </w:r>
      <w:r w:rsidR="00052E1C" w:rsidRPr="002738D9">
        <w:rPr>
          <w:rFonts w:ascii="Arial" w:hAnsi="Arial" w:cs="Arial"/>
          <w:sz w:val="20"/>
          <w:szCs w:val="20"/>
        </w:rPr>
        <w:t xml:space="preserve"> been inconsistent. </w:t>
      </w:r>
      <w:r w:rsidRPr="002738D9">
        <w:rPr>
          <w:rFonts w:ascii="Arial" w:hAnsi="Arial" w:cs="Arial"/>
          <w:sz w:val="20"/>
          <w:szCs w:val="20"/>
        </w:rPr>
        <w:t>Many provinces we</w:t>
      </w:r>
      <w:r w:rsidR="00052E1C" w:rsidRPr="002738D9">
        <w:rPr>
          <w:rFonts w:ascii="Arial" w:hAnsi="Arial" w:cs="Arial"/>
          <w:sz w:val="20"/>
          <w:szCs w:val="20"/>
        </w:rPr>
        <w:t xml:space="preserve">re not submitting data on outputs and </w:t>
      </w:r>
      <w:r w:rsidR="00C82F24" w:rsidRPr="002738D9">
        <w:rPr>
          <w:rFonts w:ascii="Arial" w:hAnsi="Arial" w:cs="Arial"/>
          <w:sz w:val="20"/>
          <w:szCs w:val="20"/>
        </w:rPr>
        <w:t>achievements. F</w:t>
      </w:r>
      <w:r w:rsidRPr="002738D9">
        <w:rPr>
          <w:rFonts w:ascii="Arial" w:hAnsi="Arial" w:cs="Arial"/>
          <w:sz w:val="20"/>
          <w:szCs w:val="20"/>
        </w:rPr>
        <w:t xml:space="preserve">or example, five provinces had not submitted </w:t>
      </w:r>
      <w:r w:rsidR="00C82F24" w:rsidRPr="002738D9">
        <w:rPr>
          <w:rFonts w:ascii="Arial" w:hAnsi="Arial" w:cs="Arial"/>
          <w:sz w:val="20"/>
          <w:szCs w:val="20"/>
        </w:rPr>
        <w:t xml:space="preserve">a </w:t>
      </w:r>
      <w:r w:rsidR="00052E1C" w:rsidRPr="002738D9">
        <w:rPr>
          <w:rFonts w:ascii="Arial" w:hAnsi="Arial" w:cs="Arial"/>
          <w:sz w:val="20"/>
          <w:szCs w:val="20"/>
        </w:rPr>
        <w:t>2021/22 f</w:t>
      </w:r>
      <w:r w:rsidRPr="002738D9">
        <w:rPr>
          <w:rFonts w:ascii="Arial" w:hAnsi="Arial" w:cs="Arial"/>
          <w:sz w:val="20"/>
          <w:szCs w:val="20"/>
        </w:rPr>
        <w:t xml:space="preserve">inancial year evaluation report. </w:t>
      </w:r>
    </w:p>
    <w:p w:rsidR="00052E1C" w:rsidRPr="002738D9" w:rsidRDefault="001F3EBF" w:rsidP="002738D9">
      <w:pPr>
        <w:pStyle w:val="ListParagraph"/>
        <w:numPr>
          <w:ilvl w:val="0"/>
          <w:numId w:val="4"/>
        </w:numPr>
        <w:rPr>
          <w:rFonts w:ascii="Arial" w:hAnsi="Arial" w:cs="Arial"/>
          <w:sz w:val="20"/>
          <w:szCs w:val="20"/>
        </w:rPr>
      </w:pPr>
      <w:r w:rsidRPr="002738D9">
        <w:rPr>
          <w:rFonts w:ascii="Arial" w:hAnsi="Arial" w:cs="Arial"/>
          <w:sz w:val="20"/>
          <w:szCs w:val="20"/>
        </w:rPr>
        <w:t xml:space="preserve">The delayed approval of provincial business plans by the national </w:t>
      </w:r>
      <w:r w:rsidR="00C82F24" w:rsidRPr="002738D9">
        <w:rPr>
          <w:rFonts w:ascii="Arial" w:hAnsi="Arial" w:cs="Arial"/>
          <w:sz w:val="20"/>
          <w:szCs w:val="20"/>
        </w:rPr>
        <w:t>D</w:t>
      </w:r>
      <w:r w:rsidRPr="002738D9">
        <w:rPr>
          <w:rFonts w:ascii="Arial" w:hAnsi="Arial" w:cs="Arial"/>
          <w:sz w:val="20"/>
          <w:szCs w:val="20"/>
        </w:rPr>
        <w:t xml:space="preserve">epartment </w:t>
      </w:r>
      <w:r w:rsidR="00C82F24" w:rsidRPr="002738D9">
        <w:rPr>
          <w:rFonts w:ascii="Arial" w:hAnsi="Arial" w:cs="Arial"/>
          <w:sz w:val="20"/>
          <w:szCs w:val="20"/>
        </w:rPr>
        <w:t xml:space="preserve">of Human Settlements, had </w:t>
      </w:r>
      <w:r w:rsidRPr="002738D9">
        <w:rPr>
          <w:rFonts w:ascii="Arial" w:hAnsi="Arial" w:cs="Arial"/>
          <w:sz w:val="20"/>
          <w:szCs w:val="20"/>
        </w:rPr>
        <w:t xml:space="preserve">contributed to the delayed implementation of the </w:t>
      </w:r>
      <w:r w:rsidR="00C82F24" w:rsidRPr="002738D9">
        <w:rPr>
          <w:rFonts w:ascii="Arial" w:hAnsi="Arial" w:cs="Arial"/>
          <w:sz w:val="20"/>
          <w:szCs w:val="20"/>
        </w:rPr>
        <w:t>G</w:t>
      </w:r>
      <w:r w:rsidRPr="002738D9">
        <w:rPr>
          <w:rFonts w:ascii="Arial" w:hAnsi="Arial" w:cs="Arial"/>
          <w:sz w:val="20"/>
          <w:szCs w:val="20"/>
        </w:rPr>
        <w:t xml:space="preserve">rant. </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 xml:space="preserve">Planning delays </w:t>
      </w:r>
      <w:r w:rsidR="00C82F24" w:rsidRPr="002738D9">
        <w:rPr>
          <w:rFonts w:ascii="Arial" w:hAnsi="Arial" w:cs="Arial"/>
          <w:sz w:val="20"/>
          <w:szCs w:val="20"/>
        </w:rPr>
        <w:t xml:space="preserve">had been caused by </w:t>
      </w:r>
      <w:r w:rsidRPr="002738D9">
        <w:rPr>
          <w:rFonts w:ascii="Arial" w:hAnsi="Arial" w:cs="Arial"/>
          <w:sz w:val="20"/>
          <w:szCs w:val="20"/>
        </w:rPr>
        <w:t>the comprehensive requirements</w:t>
      </w:r>
      <w:r w:rsidR="00C82F24" w:rsidRPr="002738D9">
        <w:rPr>
          <w:rFonts w:ascii="Arial" w:hAnsi="Arial" w:cs="Arial"/>
          <w:sz w:val="20"/>
          <w:szCs w:val="20"/>
        </w:rPr>
        <w:t>,</w:t>
      </w:r>
      <w:r w:rsidRPr="002738D9">
        <w:rPr>
          <w:rFonts w:ascii="Arial" w:hAnsi="Arial" w:cs="Arial"/>
          <w:sz w:val="20"/>
          <w:szCs w:val="20"/>
        </w:rPr>
        <w:t xml:space="preserve"> such as pre-feasibility studies, Environmental Impact Assessment </w:t>
      </w:r>
      <w:r w:rsidR="00C82F24" w:rsidRPr="002738D9">
        <w:rPr>
          <w:rFonts w:ascii="Arial" w:hAnsi="Arial" w:cs="Arial"/>
          <w:sz w:val="20"/>
          <w:szCs w:val="20"/>
        </w:rPr>
        <w:t xml:space="preserve">(EIA) </w:t>
      </w:r>
      <w:r w:rsidRPr="002738D9">
        <w:rPr>
          <w:rFonts w:ascii="Arial" w:hAnsi="Arial" w:cs="Arial"/>
          <w:sz w:val="20"/>
          <w:szCs w:val="20"/>
        </w:rPr>
        <w:t>approval</w:t>
      </w:r>
      <w:r w:rsidR="00C82F24" w:rsidRPr="002738D9">
        <w:rPr>
          <w:rFonts w:ascii="Arial" w:hAnsi="Arial" w:cs="Arial"/>
          <w:sz w:val="20"/>
          <w:szCs w:val="20"/>
        </w:rPr>
        <w:t>s</w:t>
      </w:r>
      <w:r w:rsidRPr="002738D9">
        <w:rPr>
          <w:rFonts w:ascii="Arial" w:hAnsi="Arial" w:cs="Arial"/>
          <w:sz w:val="20"/>
          <w:szCs w:val="20"/>
        </w:rPr>
        <w:t>, geotechnical reports, social facilitation, and land surveying.</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Municipal approvals</w:t>
      </w:r>
      <w:r w:rsidR="005820B3" w:rsidRPr="002738D9">
        <w:rPr>
          <w:rFonts w:ascii="Arial" w:hAnsi="Arial" w:cs="Arial"/>
          <w:sz w:val="20"/>
          <w:szCs w:val="20"/>
        </w:rPr>
        <w:t>,</w:t>
      </w:r>
      <w:r w:rsidRPr="002738D9">
        <w:rPr>
          <w:rFonts w:ascii="Arial" w:hAnsi="Arial" w:cs="Arial"/>
          <w:sz w:val="20"/>
          <w:szCs w:val="20"/>
        </w:rPr>
        <w:t xml:space="preserve"> such as </w:t>
      </w:r>
      <w:r w:rsidR="005820B3" w:rsidRPr="002738D9">
        <w:rPr>
          <w:rFonts w:ascii="Arial" w:hAnsi="Arial" w:cs="Arial"/>
          <w:sz w:val="20"/>
          <w:szCs w:val="20"/>
        </w:rPr>
        <w:t xml:space="preserve">for </w:t>
      </w:r>
      <w:r w:rsidRPr="002738D9">
        <w:rPr>
          <w:rFonts w:ascii="Arial" w:hAnsi="Arial" w:cs="Arial"/>
          <w:sz w:val="20"/>
          <w:szCs w:val="20"/>
        </w:rPr>
        <w:t>engineering designs</w:t>
      </w:r>
      <w:r w:rsidR="005820B3" w:rsidRPr="002738D9">
        <w:rPr>
          <w:rFonts w:ascii="Arial" w:hAnsi="Arial" w:cs="Arial"/>
          <w:sz w:val="20"/>
          <w:szCs w:val="20"/>
        </w:rPr>
        <w:t>, were</w:t>
      </w:r>
      <w:r w:rsidRPr="002738D9">
        <w:rPr>
          <w:rFonts w:ascii="Arial" w:hAnsi="Arial" w:cs="Arial"/>
          <w:sz w:val="20"/>
          <w:szCs w:val="20"/>
        </w:rPr>
        <w:t xml:space="preserve"> not given swiftly.</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Project</w:t>
      </w:r>
      <w:r w:rsidR="005820B3" w:rsidRPr="002738D9">
        <w:rPr>
          <w:rFonts w:ascii="Arial" w:hAnsi="Arial" w:cs="Arial"/>
          <w:sz w:val="20"/>
          <w:szCs w:val="20"/>
        </w:rPr>
        <w:t>s were</w:t>
      </w:r>
      <w:r w:rsidRPr="002738D9">
        <w:rPr>
          <w:rFonts w:ascii="Arial" w:hAnsi="Arial" w:cs="Arial"/>
          <w:sz w:val="20"/>
          <w:szCs w:val="20"/>
        </w:rPr>
        <w:t xml:space="preserve"> delay</w:t>
      </w:r>
      <w:r w:rsidR="005820B3" w:rsidRPr="002738D9">
        <w:rPr>
          <w:rFonts w:ascii="Arial" w:hAnsi="Arial" w:cs="Arial"/>
          <w:sz w:val="20"/>
          <w:szCs w:val="20"/>
        </w:rPr>
        <w:t>ed</w:t>
      </w:r>
      <w:r w:rsidRPr="002738D9">
        <w:rPr>
          <w:rFonts w:ascii="Arial" w:hAnsi="Arial" w:cs="Arial"/>
          <w:sz w:val="20"/>
          <w:szCs w:val="20"/>
        </w:rPr>
        <w:t xml:space="preserve"> and additional costs incurred due to poor performance by implementing agents</w:t>
      </w:r>
      <w:r w:rsidR="005820B3" w:rsidRPr="002738D9">
        <w:rPr>
          <w:rFonts w:ascii="Arial" w:hAnsi="Arial" w:cs="Arial"/>
          <w:sz w:val="20"/>
          <w:szCs w:val="20"/>
        </w:rPr>
        <w:t xml:space="preserve"> (IAs)</w:t>
      </w:r>
      <w:r w:rsidRPr="002738D9">
        <w:rPr>
          <w:rFonts w:ascii="Arial" w:hAnsi="Arial" w:cs="Arial"/>
          <w:sz w:val="20"/>
          <w:szCs w:val="20"/>
        </w:rPr>
        <w:t xml:space="preserve"> and contractors.</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Social compacts with communities</w:t>
      </w:r>
      <w:r w:rsidR="005820B3" w:rsidRPr="002738D9">
        <w:rPr>
          <w:rFonts w:ascii="Arial" w:hAnsi="Arial" w:cs="Arial"/>
          <w:sz w:val="20"/>
          <w:szCs w:val="20"/>
        </w:rPr>
        <w:t>,</w:t>
      </w:r>
      <w:r w:rsidRPr="002738D9">
        <w:rPr>
          <w:rFonts w:ascii="Arial" w:hAnsi="Arial" w:cs="Arial"/>
          <w:sz w:val="20"/>
          <w:szCs w:val="20"/>
        </w:rPr>
        <w:t xml:space="preserve"> to explain roles and processes</w:t>
      </w:r>
      <w:r w:rsidR="005820B3" w:rsidRPr="002738D9">
        <w:rPr>
          <w:rFonts w:ascii="Arial" w:hAnsi="Arial" w:cs="Arial"/>
          <w:sz w:val="20"/>
          <w:szCs w:val="20"/>
        </w:rPr>
        <w:t>, were</w:t>
      </w:r>
      <w:r w:rsidRPr="002738D9">
        <w:rPr>
          <w:rFonts w:ascii="Arial" w:hAnsi="Arial" w:cs="Arial"/>
          <w:sz w:val="20"/>
          <w:szCs w:val="20"/>
        </w:rPr>
        <w:t xml:space="preserve"> not done according to plan.</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Community unrest and business forums stall</w:t>
      </w:r>
      <w:r w:rsidR="007A732D" w:rsidRPr="002738D9">
        <w:rPr>
          <w:rFonts w:ascii="Arial" w:hAnsi="Arial" w:cs="Arial"/>
          <w:sz w:val="20"/>
          <w:szCs w:val="20"/>
        </w:rPr>
        <w:t>ed</w:t>
      </w:r>
      <w:r w:rsidRPr="002738D9">
        <w:rPr>
          <w:rFonts w:ascii="Arial" w:hAnsi="Arial" w:cs="Arial"/>
          <w:sz w:val="20"/>
          <w:szCs w:val="20"/>
        </w:rPr>
        <w:t xml:space="preserve"> progress with demands to participate in projects.</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 xml:space="preserve">People </w:t>
      </w:r>
      <w:r w:rsidR="007A732D" w:rsidRPr="002738D9">
        <w:rPr>
          <w:rFonts w:ascii="Arial" w:hAnsi="Arial" w:cs="Arial"/>
          <w:sz w:val="20"/>
          <w:szCs w:val="20"/>
        </w:rPr>
        <w:t xml:space="preserve">had </w:t>
      </w:r>
      <w:r w:rsidRPr="002738D9">
        <w:rPr>
          <w:rFonts w:ascii="Arial" w:hAnsi="Arial" w:cs="Arial"/>
          <w:sz w:val="20"/>
          <w:szCs w:val="20"/>
        </w:rPr>
        <w:t xml:space="preserve">settled in </w:t>
      </w:r>
      <w:r w:rsidR="007A732D" w:rsidRPr="002738D9">
        <w:rPr>
          <w:rFonts w:ascii="Arial" w:hAnsi="Arial" w:cs="Arial"/>
          <w:sz w:val="20"/>
          <w:szCs w:val="20"/>
        </w:rPr>
        <w:t xml:space="preserve">the </w:t>
      </w:r>
      <w:r w:rsidRPr="002738D9">
        <w:rPr>
          <w:rFonts w:ascii="Arial" w:hAnsi="Arial" w:cs="Arial"/>
          <w:sz w:val="20"/>
          <w:szCs w:val="20"/>
        </w:rPr>
        <w:t>way of services, and need</w:t>
      </w:r>
      <w:r w:rsidR="007A732D" w:rsidRPr="002738D9">
        <w:rPr>
          <w:rFonts w:ascii="Arial" w:hAnsi="Arial" w:cs="Arial"/>
          <w:sz w:val="20"/>
          <w:szCs w:val="20"/>
        </w:rPr>
        <w:t>ed</w:t>
      </w:r>
      <w:r w:rsidRPr="002738D9">
        <w:rPr>
          <w:rFonts w:ascii="Arial" w:hAnsi="Arial" w:cs="Arial"/>
          <w:sz w:val="20"/>
          <w:szCs w:val="20"/>
        </w:rPr>
        <w:t xml:space="preserve"> to be relocated for services to be fully installed.</w:t>
      </w:r>
    </w:p>
    <w:p w:rsidR="001A7904" w:rsidRPr="002738D9" w:rsidRDefault="001A7904" w:rsidP="002738D9">
      <w:pPr>
        <w:pStyle w:val="ListParagraph"/>
        <w:numPr>
          <w:ilvl w:val="0"/>
          <w:numId w:val="4"/>
        </w:numPr>
        <w:rPr>
          <w:rFonts w:ascii="Arial" w:hAnsi="Arial" w:cs="Arial"/>
          <w:sz w:val="20"/>
          <w:szCs w:val="20"/>
        </w:rPr>
      </w:pPr>
      <w:r w:rsidRPr="002738D9">
        <w:rPr>
          <w:rFonts w:ascii="Arial" w:hAnsi="Arial" w:cs="Arial"/>
          <w:sz w:val="20"/>
          <w:szCs w:val="20"/>
        </w:rPr>
        <w:t xml:space="preserve">Significant financial transfers </w:t>
      </w:r>
      <w:r w:rsidR="007A732D" w:rsidRPr="002738D9">
        <w:rPr>
          <w:rFonts w:ascii="Arial" w:hAnsi="Arial" w:cs="Arial"/>
          <w:sz w:val="20"/>
          <w:szCs w:val="20"/>
        </w:rPr>
        <w:t xml:space="preserve">had been </w:t>
      </w:r>
      <w:r w:rsidRPr="002738D9">
        <w:rPr>
          <w:rFonts w:ascii="Arial" w:hAnsi="Arial" w:cs="Arial"/>
          <w:sz w:val="20"/>
          <w:szCs w:val="20"/>
        </w:rPr>
        <w:t>made to agencies and entities, that need</w:t>
      </w:r>
      <w:r w:rsidR="007A732D" w:rsidRPr="002738D9">
        <w:rPr>
          <w:rFonts w:ascii="Arial" w:hAnsi="Arial" w:cs="Arial"/>
          <w:sz w:val="20"/>
          <w:szCs w:val="20"/>
        </w:rPr>
        <w:t>ed</w:t>
      </w:r>
      <w:r w:rsidRPr="002738D9">
        <w:rPr>
          <w:rFonts w:ascii="Arial" w:hAnsi="Arial" w:cs="Arial"/>
          <w:sz w:val="20"/>
          <w:szCs w:val="20"/>
        </w:rPr>
        <w:t xml:space="preserve"> to be accounted for through verification.  </w:t>
      </w:r>
    </w:p>
    <w:p w:rsidR="001A7904" w:rsidRPr="002738D9" w:rsidRDefault="007A732D" w:rsidP="002738D9">
      <w:pPr>
        <w:pStyle w:val="ListParagraph"/>
        <w:numPr>
          <w:ilvl w:val="0"/>
          <w:numId w:val="4"/>
        </w:numPr>
        <w:rPr>
          <w:rFonts w:ascii="Arial" w:hAnsi="Arial" w:cs="Arial"/>
          <w:sz w:val="20"/>
          <w:szCs w:val="20"/>
        </w:rPr>
      </w:pPr>
      <w:r w:rsidRPr="002738D9">
        <w:rPr>
          <w:rFonts w:ascii="Arial" w:hAnsi="Arial" w:cs="Arial"/>
          <w:sz w:val="20"/>
          <w:szCs w:val="20"/>
        </w:rPr>
        <w:lastRenderedPageBreak/>
        <w:t>There were delays in s</w:t>
      </w:r>
      <w:r w:rsidR="001A7904" w:rsidRPr="002738D9">
        <w:rPr>
          <w:rFonts w:ascii="Arial" w:hAnsi="Arial" w:cs="Arial"/>
          <w:sz w:val="20"/>
          <w:szCs w:val="20"/>
        </w:rPr>
        <w:t xml:space="preserve">upply chain management </w:t>
      </w:r>
      <w:r w:rsidRPr="002738D9">
        <w:rPr>
          <w:rFonts w:ascii="Arial" w:hAnsi="Arial" w:cs="Arial"/>
          <w:sz w:val="20"/>
          <w:szCs w:val="20"/>
        </w:rPr>
        <w:t>processes and procurement</w:t>
      </w:r>
      <w:r w:rsidR="001A7904" w:rsidRPr="002738D9">
        <w:rPr>
          <w:rFonts w:ascii="Arial" w:hAnsi="Arial" w:cs="Arial"/>
          <w:sz w:val="20"/>
          <w:szCs w:val="20"/>
        </w:rPr>
        <w:t>.</w:t>
      </w:r>
    </w:p>
    <w:p w:rsidR="001A7904" w:rsidRPr="002738D9" w:rsidRDefault="001A7904" w:rsidP="002738D9">
      <w:pPr>
        <w:pStyle w:val="ListParagraph"/>
        <w:rPr>
          <w:rFonts w:ascii="Arial" w:hAnsi="Arial" w:cs="Arial"/>
          <w:sz w:val="20"/>
          <w:szCs w:val="20"/>
        </w:rPr>
      </w:pPr>
    </w:p>
    <w:p w:rsidR="00BD6540" w:rsidRPr="002738D9" w:rsidRDefault="00BD6540" w:rsidP="002738D9">
      <w:pPr>
        <w:pStyle w:val="ListParagraph"/>
        <w:numPr>
          <w:ilvl w:val="0"/>
          <w:numId w:val="2"/>
        </w:numPr>
        <w:rPr>
          <w:rFonts w:ascii="Arial" w:hAnsi="Arial" w:cs="Arial"/>
          <w:b/>
          <w:sz w:val="20"/>
          <w:szCs w:val="20"/>
        </w:rPr>
      </w:pPr>
      <w:r w:rsidRPr="002738D9">
        <w:rPr>
          <w:rFonts w:ascii="Arial" w:hAnsi="Arial" w:cs="Arial"/>
          <w:b/>
          <w:sz w:val="20"/>
          <w:szCs w:val="20"/>
        </w:rPr>
        <w:t>Department of Human Settlements</w:t>
      </w:r>
    </w:p>
    <w:p w:rsidR="00AA542F" w:rsidRPr="002738D9" w:rsidRDefault="00BB2B78" w:rsidP="002738D9">
      <w:pPr>
        <w:ind w:left="60"/>
        <w:rPr>
          <w:rFonts w:ascii="Arial" w:hAnsi="Arial" w:cs="Arial"/>
          <w:sz w:val="20"/>
          <w:szCs w:val="20"/>
        </w:rPr>
      </w:pPr>
      <w:r w:rsidRPr="002738D9">
        <w:rPr>
          <w:rFonts w:ascii="Arial" w:hAnsi="Arial" w:cs="Arial"/>
          <w:sz w:val="20"/>
          <w:szCs w:val="20"/>
        </w:rPr>
        <w:t xml:space="preserve">The Department of Human Settlements (DHS) submitted that </w:t>
      </w:r>
      <w:r w:rsidR="00397561" w:rsidRPr="002738D9">
        <w:rPr>
          <w:rFonts w:ascii="Arial" w:hAnsi="Arial" w:cs="Arial"/>
          <w:sz w:val="20"/>
          <w:szCs w:val="20"/>
        </w:rPr>
        <w:t xml:space="preserve">a total of </w:t>
      </w:r>
      <w:r w:rsidRPr="002738D9">
        <w:rPr>
          <w:rFonts w:ascii="Arial" w:hAnsi="Arial" w:cs="Arial"/>
          <w:sz w:val="20"/>
          <w:szCs w:val="20"/>
        </w:rPr>
        <w:t xml:space="preserve">R3.9 billion </w:t>
      </w:r>
      <w:r w:rsidR="007E126E" w:rsidRPr="002738D9">
        <w:rPr>
          <w:rFonts w:ascii="Arial" w:hAnsi="Arial" w:cs="Arial"/>
          <w:sz w:val="20"/>
          <w:szCs w:val="20"/>
        </w:rPr>
        <w:t xml:space="preserve">had been </w:t>
      </w:r>
      <w:r w:rsidR="00AA542F" w:rsidRPr="002738D9">
        <w:rPr>
          <w:rFonts w:ascii="Arial" w:hAnsi="Arial" w:cs="Arial"/>
          <w:sz w:val="20"/>
          <w:szCs w:val="20"/>
        </w:rPr>
        <w:t>allocat</w:t>
      </w:r>
      <w:r w:rsidR="007E126E" w:rsidRPr="002738D9">
        <w:rPr>
          <w:rFonts w:ascii="Arial" w:hAnsi="Arial" w:cs="Arial"/>
          <w:sz w:val="20"/>
          <w:szCs w:val="20"/>
        </w:rPr>
        <w:t>ed to the Grant in th</w:t>
      </w:r>
      <w:r w:rsidRPr="002738D9">
        <w:rPr>
          <w:rFonts w:ascii="Arial" w:hAnsi="Arial" w:cs="Arial"/>
          <w:sz w:val="20"/>
          <w:szCs w:val="20"/>
        </w:rPr>
        <w:t xml:space="preserve">e </w:t>
      </w:r>
      <w:r w:rsidR="00AA542F" w:rsidRPr="002738D9">
        <w:rPr>
          <w:rFonts w:ascii="Arial" w:hAnsi="Arial" w:cs="Arial"/>
          <w:sz w:val="20"/>
          <w:szCs w:val="20"/>
        </w:rPr>
        <w:t xml:space="preserve">2021/22 financial year. During the same </w:t>
      </w:r>
      <w:r w:rsidR="00FC4473" w:rsidRPr="002738D9">
        <w:rPr>
          <w:rFonts w:ascii="Arial" w:hAnsi="Arial" w:cs="Arial"/>
          <w:sz w:val="20"/>
          <w:szCs w:val="20"/>
        </w:rPr>
        <w:t>period</w:t>
      </w:r>
      <w:r w:rsidR="00AA542F" w:rsidRPr="002738D9">
        <w:rPr>
          <w:rFonts w:ascii="Arial" w:hAnsi="Arial" w:cs="Arial"/>
          <w:sz w:val="20"/>
          <w:szCs w:val="20"/>
        </w:rPr>
        <w:t>,</w:t>
      </w:r>
      <w:r w:rsidR="007E126E" w:rsidRPr="002738D9">
        <w:rPr>
          <w:rFonts w:ascii="Arial" w:hAnsi="Arial" w:cs="Arial"/>
          <w:sz w:val="20"/>
          <w:szCs w:val="20"/>
        </w:rPr>
        <w:t xml:space="preserve"> R20 million each had been reallocated from the Free State, Gauteng, and Limpopo provinces and transferred to</w:t>
      </w:r>
      <w:r w:rsidR="00AA542F" w:rsidRPr="002738D9">
        <w:rPr>
          <w:rFonts w:ascii="Arial" w:hAnsi="Arial" w:cs="Arial"/>
          <w:sz w:val="20"/>
          <w:szCs w:val="20"/>
        </w:rPr>
        <w:t xml:space="preserve"> </w:t>
      </w:r>
      <w:r w:rsidR="007E126E" w:rsidRPr="002738D9">
        <w:rPr>
          <w:rFonts w:ascii="Arial" w:hAnsi="Arial" w:cs="Arial"/>
          <w:sz w:val="20"/>
          <w:szCs w:val="20"/>
        </w:rPr>
        <w:t>the Northern Cape P</w:t>
      </w:r>
      <w:r w:rsidR="00AA542F" w:rsidRPr="002738D9">
        <w:rPr>
          <w:rFonts w:ascii="Arial" w:hAnsi="Arial" w:cs="Arial"/>
          <w:sz w:val="20"/>
          <w:szCs w:val="20"/>
        </w:rPr>
        <w:t>rovince</w:t>
      </w:r>
      <w:r w:rsidR="007E126E" w:rsidRPr="002738D9">
        <w:rPr>
          <w:rFonts w:ascii="Arial" w:hAnsi="Arial" w:cs="Arial"/>
          <w:sz w:val="20"/>
          <w:szCs w:val="20"/>
        </w:rPr>
        <w:t>, raising its total allocation f</w:t>
      </w:r>
      <w:r w:rsidR="00AA542F" w:rsidRPr="002738D9">
        <w:rPr>
          <w:rFonts w:ascii="Arial" w:hAnsi="Arial" w:cs="Arial"/>
          <w:sz w:val="20"/>
          <w:szCs w:val="20"/>
        </w:rPr>
        <w:t>rom R76.7 million to R136.7 million. Only four provinces</w:t>
      </w:r>
      <w:r w:rsidR="007E126E" w:rsidRPr="002738D9">
        <w:rPr>
          <w:rFonts w:ascii="Arial" w:hAnsi="Arial" w:cs="Arial"/>
          <w:sz w:val="20"/>
          <w:szCs w:val="20"/>
        </w:rPr>
        <w:t xml:space="preserve">, the </w:t>
      </w:r>
      <w:r w:rsidR="00AA542F" w:rsidRPr="002738D9">
        <w:rPr>
          <w:rFonts w:ascii="Arial" w:hAnsi="Arial" w:cs="Arial"/>
          <w:sz w:val="20"/>
          <w:szCs w:val="20"/>
        </w:rPr>
        <w:t>Eastern Cape, Free State, KwaZulu-Natal and Northern Cape</w:t>
      </w:r>
      <w:r w:rsidR="007E126E" w:rsidRPr="002738D9">
        <w:rPr>
          <w:rFonts w:ascii="Arial" w:hAnsi="Arial" w:cs="Arial"/>
          <w:sz w:val="20"/>
          <w:szCs w:val="20"/>
        </w:rPr>
        <w:t>, had</w:t>
      </w:r>
      <w:r w:rsidR="00AA542F" w:rsidRPr="002738D9">
        <w:rPr>
          <w:rFonts w:ascii="Arial" w:hAnsi="Arial" w:cs="Arial"/>
          <w:sz w:val="20"/>
          <w:szCs w:val="20"/>
        </w:rPr>
        <w:t xml:space="preserve"> spent 100 </w:t>
      </w:r>
      <w:r w:rsidR="00520FEE" w:rsidRPr="002738D9">
        <w:rPr>
          <w:rFonts w:ascii="Arial" w:hAnsi="Arial" w:cs="Arial"/>
          <w:sz w:val="20"/>
          <w:szCs w:val="20"/>
        </w:rPr>
        <w:t>percent</w:t>
      </w:r>
      <w:r w:rsidR="00CE2699" w:rsidRPr="002738D9">
        <w:rPr>
          <w:rFonts w:ascii="Arial" w:hAnsi="Arial" w:cs="Arial"/>
          <w:sz w:val="20"/>
          <w:szCs w:val="20"/>
        </w:rPr>
        <w:t xml:space="preserve"> of their</w:t>
      </w:r>
      <w:r w:rsidR="00AA542F" w:rsidRPr="002738D9">
        <w:rPr>
          <w:rFonts w:ascii="Arial" w:hAnsi="Arial" w:cs="Arial"/>
          <w:sz w:val="20"/>
          <w:szCs w:val="20"/>
        </w:rPr>
        <w:t xml:space="preserve"> allocations. Mpumalanga, North West and Western Cape </w:t>
      </w:r>
      <w:r w:rsidR="00CE2699" w:rsidRPr="002738D9">
        <w:rPr>
          <w:rFonts w:ascii="Arial" w:hAnsi="Arial" w:cs="Arial"/>
          <w:sz w:val="20"/>
          <w:szCs w:val="20"/>
        </w:rPr>
        <w:t xml:space="preserve">had </w:t>
      </w:r>
      <w:r w:rsidR="00AA542F" w:rsidRPr="002738D9">
        <w:rPr>
          <w:rFonts w:ascii="Arial" w:hAnsi="Arial" w:cs="Arial"/>
          <w:sz w:val="20"/>
          <w:szCs w:val="20"/>
        </w:rPr>
        <w:t xml:space="preserve">spent above 90 </w:t>
      </w:r>
      <w:r w:rsidR="00520FEE" w:rsidRPr="002738D9">
        <w:rPr>
          <w:rFonts w:ascii="Arial" w:hAnsi="Arial" w:cs="Arial"/>
          <w:sz w:val="20"/>
          <w:szCs w:val="20"/>
        </w:rPr>
        <w:t>percent</w:t>
      </w:r>
      <w:r w:rsidR="00AA542F" w:rsidRPr="002738D9">
        <w:rPr>
          <w:rFonts w:ascii="Arial" w:hAnsi="Arial" w:cs="Arial"/>
          <w:sz w:val="20"/>
          <w:szCs w:val="20"/>
        </w:rPr>
        <w:t xml:space="preserve"> of their allocated</w:t>
      </w:r>
      <w:r w:rsidR="00BB1B41" w:rsidRPr="002738D9">
        <w:rPr>
          <w:rFonts w:ascii="Arial" w:hAnsi="Arial" w:cs="Arial"/>
          <w:sz w:val="20"/>
          <w:szCs w:val="20"/>
        </w:rPr>
        <w:t xml:space="preserve"> funds. Despite losing R20 million, Limpopo </w:t>
      </w:r>
      <w:r w:rsidR="00CE2699" w:rsidRPr="002738D9">
        <w:rPr>
          <w:rFonts w:ascii="Arial" w:hAnsi="Arial" w:cs="Arial"/>
          <w:sz w:val="20"/>
          <w:szCs w:val="20"/>
        </w:rPr>
        <w:t xml:space="preserve">had </w:t>
      </w:r>
      <w:r w:rsidR="00BB1B41" w:rsidRPr="002738D9">
        <w:rPr>
          <w:rFonts w:ascii="Arial" w:hAnsi="Arial" w:cs="Arial"/>
          <w:sz w:val="20"/>
          <w:szCs w:val="20"/>
        </w:rPr>
        <w:t xml:space="preserve">only spent 58 </w:t>
      </w:r>
      <w:r w:rsidR="00520FEE" w:rsidRPr="002738D9">
        <w:rPr>
          <w:rFonts w:ascii="Arial" w:hAnsi="Arial" w:cs="Arial"/>
          <w:sz w:val="20"/>
          <w:szCs w:val="20"/>
        </w:rPr>
        <w:t>percent</w:t>
      </w:r>
      <w:r w:rsidR="00BB1B41" w:rsidRPr="002738D9">
        <w:rPr>
          <w:rFonts w:ascii="Arial" w:hAnsi="Arial" w:cs="Arial"/>
          <w:sz w:val="20"/>
          <w:szCs w:val="20"/>
        </w:rPr>
        <w:t xml:space="preserve"> of its funds. The </w:t>
      </w:r>
      <w:r w:rsidR="0061013F" w:rsidRPr="002738D9">
        <w:rPr>
          <w:rFonts w:ascii="Arial" w:hAnsi="Arial" w:cs="Arial"/>
          <w:sz w:val="20"/>
          <w:szCs w:val="20"/>
        </w:rPr>
        <w:t>DHS</w:t>
      </w:r>
      <w:r w:rsidR="00BB1B41" w:rsidRPr="002738D9">
        <w:rPr>
          <w:rFonts w:ascii="Arial" w:hAnsi="Arial" w:cs="Arial"/>
          <w:sz w:val="20"/>
          <w:szCs w:val="20"/>
        </w:rPr>
        <w:t xml:space="preserve"> further</w:t>
      </w:r>
      <w:r w:rsidR="00A3739C" w:rsidRPr="002738D9">
        <w:rPr>
          <w:rFonts w:ascii="Arial" w:hAnsi="Arial" w:cs="Arial"/>
          <w:sz w:val="20"/>
          <w:szCs w:val="20"/>
        </w:rPr>
        <w:t xml:space="preserve"> reported that the </w:t>
      </w:r>
      <w:r w:rsidR="00BB1B41" w:rsidRPr="002738D9">
        <w:rPr>
          <w:rFonts w:ascii="Arial" w:hAnsi="Arial" w:cs="Arial"/>
          <w:sz w:val="20"/>
          <w:szCs w:val="20"/>
        </w:rPr>
        <w:t xml:space="preserve">Eastern Cape and Gauteng </w:t>
      </w:r>
      <w:r w:rsidR="00A3739C" w:rsidRPr="002738D9">
        <w:rPr>
          <w:rFonts w:ascii="Arial" w:hAnsi="Arial" w:cs="Arial"/>
          <w:sz w:val="20"/>
          <w:szCs w:val="20"/>
        </w:rPr>
        <w:t>had been transferring their</w:t>
      </w:r>
      <w:r w:rsidR="00BB1B41" w:rsidRPr="002738D9">
        <w:rPr>
          <w:rFonts w:ascii="Arial" w:hAnsi="Arial" w:cs="Arial"/>
          <w:sz w:val="20"/>
          <w:szCs w:val="20"/>
        </w:rPr>
        <w:t xml:space="preserve"> </w:t>
      </w:r>
      <w:r w:rsidR="004D432F" w:rsidRPr="002738D9">
        <w:rPr>
          <w:rFonts w:ascii="Arial" w:hAnsi="Arial" w:cs="Arial"/>
          <w:sz w:val="20"/>
          <w:szCs w:val="20"/>
        </w:rPr>
        <w:t>Grant</w:t>
      </w:r>
      <w:r w:rsidR="00BB1B41" w:rsidRPr="002738D9">
        <w:rPr>
          <w:rFonts w:ascii="Arial" w:hAnsi="Arial" w:cs="Arial"/>
          <w:sz w:val="20"/>
          <w:szCs w:val="20"/>
        </w:rPr>
        <w:t xml:space="preserve"> funds to their provincial </w:t>
      </w:r>
      <w:r w:rsidR="00A3739C" w:rsidRPr="002738D9">
        <w:rPr>
          <w:rFonts w:ascii="Arial" w:hAnsi="Arial" w:cs="Arial"/>
          <w:sz w:val="20"/>
          <w:szCs w:val="20"/>
        </w:rPr>
        <w:t>housing development a</w:t>
      </w:r>
      <w:r w:rsidR="00BB1B41" w:rsidRPr="002738D9">
        <w:rPr>
          <w:rFonts w:ascii="Arial" w:hAnsi="Arial" w:cs="Arial"/>
          <w:sz w:val="20"/>
          <w:szCs w:val="20"/>
        </w:rPr>
        <w:t>gencies</w:t>
      </w:r>
      <w:r w:rsidR="00A3739C" w:rsidRPr="002738D9">
        <w:rPr>
          <w:rFonts w:ascii="Arial" w:hAnsi="Arial" w:cs="Arial"/>
          <w:sz w:val="20"/>
          <w:szCs w:val="20"/>
        </w:rPr>
        <w:t xml:space="preserve"> (HDAs)</w:t>
      </w:r>
      <w:r w:rsidR="00BB1B41" w:rsidRPr="002738D9">
        <w:rPr>
          <w:rFonts w:ascii="Arial" w:hAnsi="Arial" w:cs="Arial"/>
          <w:sz w:val="20"/>
          <w:szCs w:val="20"/>
        </w:rPr>
        <w:t xml:space="preserve">, which </w:t>
      </w:r>
      <w:r w:rsidR="00A3739C" w:rsidRPr="002738D9">
        <w:rPr>
          <w:rFonts w:ascii="Arial" w:hAnsi="Arial" w:cs="Arial"/>
          <w:sz w:val="20"/>
          <w:szCs w:val="20"/>
        </w:rPr>
        <w:t>had been</w:t>
      </w:r>
      <w:r w:rsidR="00BB1B41" w:rsidRPr="002738D9">
        <w:rPr>
          <w:rFonts w:ascii="Arial" w:hAnsi="Arial" w:cs="Arial"/>
          <w:sz w:val="20"/>
          <w:szCs w:val="20"/>
        </w:rPr>
        <w:t xml:space="preserve"> acting as implementing agents </w:t>
      </w:r>
      <w:r w:rsidR="00A3739C" w:rsidRPr="002738D9">
        <w:rPr>
          <w:rFonts w:ascii="Arial" w:hAnsi="Arial" w:cs="Arial"/>
          <w:sz w:val="20"/>
          <w:szCs w:val="20"/>
        </w:rPr>
        <w:t xml:space="preserve">(IAs) </w:t>
      </w:r>
      <w:r w:rsidR="00BB1B41" w:rsidRPr="002738D9">
        <w:rPr>
          <w:rFonts w:ascii="Arial" w:hAnsi="Arial" w:cs="Arial"/>
          <w:sz w:val="20"/>
          <w:szCs w:val="20"/>
        </w:rPr>
        <w:t xml:space="preserve">for this </w:t>
      </w:r>
      <w:r w:rsidR="004D432F" w:rsidRPr="002738D9">
        <w:rPr>
          <w:rFonts w:ascii="Arial" w:hAnsi="Arial" w:cs="Arial"/>
          <w:sz w:val="20"/>
          <w:szCs w:val="20"/>
        </w:rPr>
        <w:t>Grant</w:t>
      </w:r>
      <w:r w:rsidR="00A3739C" w:rsidRPr="002738D9">
        <w:rPr>
          <w:rFonts w:ascii="Arial" w:hAnsi="Arial" w:cs="Arial"/>
          <w:sz w:val="20"/>
          <w:szCs w:val="20"/>
        </w:rPr>
        <w:t xml:space="preserve">. Furthermore, Gauteng had </w:t>
      </w:r>
      <w:r w:rsidR="00BB1B41" w:rsidRPr="002738D9">
        <w:rPr>
          <w:rFonts w:ascii="Arial" w:hAnsi="Arial" w:cs="Arial"/>
          <w:sz w:val="20"/>
          <w:szCs w:val="20"/>
        </w:rPr>
        <w:t xml:space="preserve">also </w:t>
      </w:r>
      <w:r w:rsidR="00A3739C" w:rsidRPr="002738D9">
        <w:rPr>
          <w:rFonts w:ascii="Arial" w:hAnsi="Arial" w:cs="Arial"/>
          <w:sz w:val="20"/>
          <w:szCs w:val="20"/>
        </w:rPr>
        <w:t xml:space="preserve">been </w:t>
      </w:r>
      <w:r w:rsidR="00BB1B41" w:rsidRPr="002738D9">
        <w:rPr>
          <w:rFonts w:ascii="Arial" w:hAnsi="Arial" w:cs="Arial"/>
          <w:sz w:val="20"/>
          <w:szCs w:val="20"/>
        </w:rPr>
        <w:t>using municipalities as</w:t>
      </w:r>
      <w:r w:rsidR="00A3739C" w:rsidRPr="002738D9">
        <w:rPr>
          <w:rFonts w:ascii="Arial" w:hAnsi="Arial" w:cs="Arial"/>
          <w:sz w:val="20"/>
          <w:szCs w:val="20"/>
        </w:rPr>
        <w:t xml:space="preserve"> IAs</w:t>
      </w:r>
      <w:r w:rsidR="00BB1B41" w:rsidRPr="002738D9">
        <w:rPr>
          <w:rFonts w:ascii="Arial" w:hAnsi="Arial" w:cs="Arial"/>
          <w:sz w:val="20"/>
          <w:szCs w:val="20"/>
        </w:rPr>
        <w:t xml:space="preserve">. </w:t>
      </w:r>
      <w:r w:rsidR="00AA542F" w:rsidRPr="002738D9">
        <w:rPr>
          <w:rFonts w:ascii="Arial" w:hAnsi="Arial" w:cs="Arial"/>
          <w:sz w:val="20"/>
          <w:szCs w:val="20"/>
        </w:rPr>
        <w:t xml:space="preserve">  </w:t>
      </w:r>
    </w:p>
    <w:p w:rsidR="00AA542F" w:rsidRPr="002738D9" w:rsidRDefault="00AA542F" w:rsidP="002738D9">
      <w:pPr>
        <w:ind w:left="60"/>
        <w:rPr>
          <w:rFonts w:ascii="Arial" w:hAnsi="Arial" w:cs="Arial"/>
          <w:sz w:val="20"/>
          <w:szCs w:val="20"/>
        </w:rPr>
      </w:pPr>
      <w:r w:rsidRPr="002738D9">
        <w:rPr>
          <w:rFonts w:ascii="Arial" w:hAnsi="Arial" w:cs="Arial"/>
          <w:sz w:val="20"/>
          <w:szCs w:val="20"/>
        </w:rPr>
        <w:t xml:space="preserve"> </w:t>
      </w:r>
    </w:p>
    <w:p w:rsidR="00D22DC1" w:rsidRPr="002738D9" w:rsidRDefault="00D22DC1" w:rsidP="002738D9">
      <w:pPr>
        <w:ind w:left="60"/>
        <w:rPr>
          <w:rFonts w:ascii="Arial" w:hAnsi="Arial" w:cs="Arial"/>
          <w:sz w:val="20"/>
          <w:szCs w:val="20"/>
        </w:rPr>
      </w:pPr>
      <w:r w:rsidRPr="002738D9">
        <w:rPr>
          <w:rFonts w:ascii="Arial" w:hAnsi="Arial" w:cs="Arial"/>
          <w:sz w:val="20"/>
          <w:szCs w:val="20"/>
        </w:rPr>
        <w:t xml:space="preserve">Focusing on the financial report </w:t>
      </w:r>
      <w:r w:rsidR="00FC4473" w:rsidRPr="002738D9">
        <w:rPr>
          <w:rFonts w:ascii="Arial" w:hAnsi="Arial" w:cs="Arial"/>
          <w:sz w:val="20"/>
          <w:szCs w:val="20"/>
        </w:rPr>
        <w:t>for</w:t>
      </w:r>
      <w:r w:rsidRPr="002738D9">
        <w:rPr>
          <w:rFonts w:ascii="Arial" w:hAnsi="Arial" w:cs="Arial"/>
          <w:sz w:val="20"/>
          <w:szCs w:val="20"/>
        </w:rPr>
        <w:t xml:space="preserve"> the first quarter of </w:t>
      </w:r>
      <w:r w:rsidR="00A40336" w:rsidRPr="002738D9">
        <w:rPr>
          <w:rFonts w:ascii="Arial" w:hAnsi="Arial" w:cs="Arial"/>
          <w:sz w:val="20"/>
          <w:szCs w:val="20"/>
        </w:rPr>
        <w:t xml:space="preserve">the </w:t>
      </w:r>
      <w:r w:rsidRPr="002738D9">
        <w:rPr>
          <w:rFonts w:ascii="Arial" w:hAnsi="Arial" w:cs="Arial"/>
          <w:sz w:val="20"/>
          <w:szCs w:val="20"/>
        </w:rPr>
        <w:t xml:space="preserve">2022/23 financial year, the </w:t>
      </w:r>
      <w:r w:rsidR="0061013F" w:rsidRPr="002738D9">
        <w:rPr>
          <w:rFonts w:ascii="Arial" w:hAnsi="Arial" w:cs="Arial"/>
          <w:sz w:val="20"/>
          <w:szCs w:val="20"/>
        </w:rPr>
        <w:t>DHS</w:t>
      </w:r>
      <w:r w:rsidRPr="002738D9">
        <w:rPr>
          <w:rFonts w:ascii="Arial" w:hAnsi="Arial" w:cs="Arial"/>
          <w:sz w:val="20"/>
          <w:szCs w:val="20"/>
        </w:rPr>
        <w:t xml:space="preserve"> </w:t>
      </w:r>
      <w:r w:rsidR="00A40336" w:rsidRPr="002738D9">
        <w:rPr>
          <w:rFonts w:ascii="Arial" w:hAnsi="Arial" w:cs="Arial"/>
          <w:sz w:val="20"/>
          <w:szCs w:val="20"/>
        </w:rPr>
        <w:t xml:space="preserve">concurred with </w:t>
      </w:r>
      <w:r w:rsidRPr="002738D9">
        <w:rPr>
          <w:rFonts w:ascii="Arial" w:hAnsi="Arial" w:cs="Arial"/>
          <w:sz w:val="20"/>
          <w:szCs w:val="20"/>
        </w:rPr>
        <w:t xml:space="preserve">National Treasury’s </w:t>
      </w:r>
      <w:r w:rsidR="00A40336" w:rsidRPr="002738D9">
        <w:rPr>
          <w:rFonts w:ascii="Arial" w:hAnsi="Arial" w:cs="Arial"/>
          <w:sz w:val="20"/>
          <w:szCs w:val="20"/>
        </w:rPr>
        <w:t xml:space="preserve">figures </w:t>
      </w:r>
      <w:r w:rsidRPr="002738D9">
        <w:rPr>
          <w:rFonts w:ascii="Arial" w:hAnsi="Arial" w:cs="Arial"/>
          <w:sz w:val="20"/>
          <w:szCs w:val="20"/>
        </w:rPr>
        <w:t>capture</w:t>
      </w:r>
      <w:r w:rsidR="00A40336" w:rsidRPr="002738D9">
        <w:rPr>
          <w:rFonts w:ascii="Arial" w:hAnsi="Arial" w:cs="Arial"/>
          <w:sz w:val="20"/>
          <w:szCs w:val="20"/>
        </w:rPr>
        <w:t>d</w:t>
      </w:r>
      <w:r w:rsidRPr="002738D9">
        <w:rPr>
          <w:rFonts w:ascii="Arial" w:hAnsi="Arial" w:cs="Arial"/>
          <w:sz w:val="20"/>
          <w:szCs w:val="20"/>
        </w:rPr>
        <w:t xml:space="preserve"> </w:t>
      </w:r>
      <w:r w:rsidR="00A40336" w:rsidRPr="002738D9">
        <w:rPr>
          <w:rFonts w:ascii="Arial" w:hAnsi="Arial" w:cs="Arial"/>
          <w:sz w:val="20"/>
          <w:szCs w:val="20"/>
        </w:rPr>
        <w:t>in T</w:t>
      </w:r>
      <w:r w:rsidRPr="002738D9">
        <w:rPr>
          <w:rFonts w:ascii="Arial" w:hAnsi="Arial" w:cs="Arial"/>
          <w:sz w:val="20"/>
          <w:szCs w:val="20"/>
        </w:rPr>
        <w:t xml:space="preserve">able 1 above. The </w:t>
      </w:r>
      <w:r w:rsidR="0061013F" w:rsidRPr="002738D9">
        <w:rPr>
          <w:rFonts w:ascii="Arial" w:hAnsi="Arial" w:cs="Arial"/>
          <w:sz w:val="20"/>
          <w:szCs w:val="20"/>
        </w:rPr>
        <w:t>DHS</w:t>
      </w:r>
      <w:r w:rsidRPr="002738D9">
        <w:rPr>
          <w:rFonts w:ascii="Arial" w:hAnsi="Arial" w:cs="Arial"/>
          <w:sz w:val="20"/>
          <w:szCs w:val="20"/>
        </w:rPr>
        <w:t xml:space="preserve"> </w:t>
      </w:r>
      <w:r w:rsidR="001845D7" w:rsidRPr="002738D9">
        <w:rPr>
          <w:rFonts w:ascii="Arial" w:hAnsi="Arial" w:cs="Arial"/>
          <w:sz w:val="20"/>
          <w:szCs w:val="20"/>
        </w:rPr>
        <w:t>further indicated that the spending had been poor, wit</w:t>
      </w:r>
      <w:r w:rsidRPr="002738D9">
        <w:rPr>
          <w:rFonts w:ascii="Arial" w:hAnsi="Arial" w:cs="Arial"/>
          <w:sz w:val="20"/>
          <w:szCs w:val="20"/>
        </w:rPr>
        <w:t xml:space="preserve">h only 38 </w:t>
      </w:r>
      <w:r w:rsidR="00520FEE" w:rsidRPr="002738D9">
        <w:rPr>
          <w:rFonts w:ascii="Arial" w:hAnsi="Arial" w:cs="Arial"/>
          <w:sz w:val="20"/>
          <w:szCs w:val="20"/>
        </w:rPr>
        <w:t>percent</w:t>
      </w:r>
      <w:r w:rsidRPr="002738D9">
        <w:rPr>
          <w:rFonts w:ascii="Arial" w:hAnsi="Arial" w:cs="Arial"/>
          <w:sz w:val="20"/>
          <w:szCs w:val="20"/>
        </w:rPr>
        <w:t xml:space="preserve"> </w:t>
      </w:r>
      <w:r w:rsidR="001845D7" w:rsidRPr="002738D9">
        <w:rPr>
          <w:rFonts w:ascii="Arial" w:hAnsi="Arial" w:cs="Arial"/>
          <w:sz w:val="20"/>
          <w:szCs w:val="20"/>
        </w:rPr>
        <w:t xml:space="preserve">of transferred funds being spent; amounting to only </w:t>
      </w:r>
      <w:r w:rsidR="00AD56C3" w:rsidRPr="002738D9">
        <w:rPr>
          <w:rFonts w:ascii="Arial" w:hAnsi="Arial" w:cs="Arial"/>
          <w:sz w:val="20"/>
          <w:szCs w:val="20"/>
        </w:rPr>
        <w:t xml:space="preserve">9 </w:t>
      </w:r>
      <w:r w:rsidR="00520FEE" w:rsidRPr="002738D9">
        <w:rPr>
          <w:rFonts w:ascii="Arial" w:hAnsi="Arial" w:cs="Arial"/>
          <w:sz w:val="20"/>
          <w:szCs w:val="20"/>
        </w:rPr>
        <w:t>percent</w:t>
      </w:r>
      <w:r w:rsidR="00AD56C3" w:rsidRPr="002738D9">
        <w:rPr>
          <w:rFonts w:ascii="Arial" w:hAnsi="Arial" w:cs="Arial"/>
          <w:sz w:val="20"/>
          <w:szCs w:val="20"/>
        </w:rPr>
        <w:t xml:space="preserve"> of the total allocation</w:t>
      </w:r>
      <w:r w:rsidRPr="002738D9">
        <w:rPr>
          <w:rFonts w:ascii="Arial" w:hAnsi="Arial" w:cs="Arial"/>
          <w:sz w:val="20"/>
          <w:szCs w:val="20"/>
        </w:rPr>
        <w:t xml:space="preserve">. </w:t>
      </w:r>
      <w:r w:rsidR="001845D7" w:rsidRPr="002738D9">
        <w:rPr>
          <w:rFonts w:ascii="Arial" w:hAnsi="Arial" w:cs="Arial"/>
          <w:sz w:val="20"/>
          <w:szCs w:val="20"/>
        </w:rPr>
        <w:t xml:space="preserve">The </w:t>
      </w:r>
      <w:r w:rsidRPr="002738D9">
        <w:rPr>
          <w:rFonts w:ascii="Arial" w:hAnsi="Arial" w:cs="Arial"/>
          <w:sz w:val="20"/>
          <w:szCs w:val="20"/>
        </w:rPr>
        <w:t xml:space="preserve">Eastern </w:t>
      </w:r>
      <w:r w:rsidR="001845D7" w:rsidRPr="002738D9">
        <w:rPr>
          <w:rFonts w:ascii="Arial" w:hAnsi="Arial" w:cs="Arial"/>
          <w:sz w:val="20"/>
          <w:szCs w:val="20"/>
        </w:rPr>
        <w:t>C</w:t>
      </w:r>
      <w:r w:rsidRPr="002738D9">
        <w:rPr>
          <w:rFonts w:ascii="Arial" w:hAnsi="Arial" w:cs="Arial"/>
          <w:sz w:val="20"/>
          <w:szCs w:val="20"/>
        </w:rPr>
        <w:t>ape was highl</w:t>
      </w:r>
      <w:r w:rsidR="001845D7" w:rsidRPr="002738D9">
        <w:rPr>
          <w:rFonts w:ascii="Arial" w:hAnsi="Arial" w:cs="Arial"/>
          <w:sz w:val="20"/>
          <w:szCs w:val="20"/>
        </w:rPr>
        <w:t>ighted as the only province reporting</w:t>
      </w:r>
      <w:r w:rsidRPr="002738D9">
        <w:rPr>
          <w:rFonts w:ascii="Arial" w:hAnsi="Arial" w:cs="Arial"/>
          <w:sz w:val="20"/>
          <w:szCs w:val="20"/>
        </w:rPr>
        <w:t xml:space="preserve"> zero expenditure at the end of the first quarter</w:t>
      </w:r>
      <w:r w:rsidR="001845D7" w:rsidRPr="002738D9">
        <w:rPr>
          <w:rFonts w:ascii="Arial" w:hAnsi="Arial" w:cs="Arial"/>
          <w:sz w:val="20"/>
          <w:szCs w:val="20"/>
        </w:rPr>
        <w:t>. O</w:t>
      </w:r>
      <w:r w:rsidR="0048195C" w:rsidRPr="002738D9">
        <w:rPr>
          <w:rFonts w:ascii="Arial" w:hAnsi="Arial" w:cs="Arial"/>
          <w:sz w:val="20"/>
          <w:szCs w:val="20"/>
        </w:rPr>
        <w:t>ther provinces that</w:t>
      </w:r>
      <w:r w:rsidRPr="002738D9">
        <w:rPr>
          <w:rFonts w:ascii="Arial" w:hAnsi="Arial" w:cs="Arial"/>
          <w:sz w:val="20"/>
          <w:szCs w:val="20"/>
        </w:rPr>
        <w:t xml:space="preserve"> had spent below 30 </w:t>
      </w:r>
      <w:r w:rsidR="00520FEE" w:rsidRPr="002738D9">
        <w:rPr>
          <w:rFonts w:ascii="Arial" w:hAnsi="Arial" w:cs="Arial"/>
          <w:sz w:val="20"/>
          <w:szCs w:val="20"/>
        </w:rPr>
        <w:t>percent</w:t>
      </w:r>
      <w:r w:rsidRPr="002738D9">
        <w:rPr>
          <w:rFonts w:ascii="Arial" w:hAnsi="Arial" w:cs="Arial"/>
          <w:sz w:val="20"/>
          <w:szCs w:val="20"/>
        </w:rPr>
        <w:t xml:space="preserve"> of the transferred funds</w:t>
      </w:r>
      <w:r w:rsidR="0048195C" w:rsidRPr="002738D9">
        <w:rPr>
          <w:rFonts w:ascii="Arial" w:hAnsi="Arial" w:cs="Arial"/>
          <w:sz w:val="20"/>
          <w:szCs w:val="20"/>
        </w:rPr>
        <w:t>,</w:t>
      </w:r>
      <w:r w:rsidRPr="002738D9">
        <w:rPr>
          <w:rFonts w:ascii="Arial" w:hAnsi="Arial" w:cs="Arial"/>
          <w:sz w:val="20"/>
          <w:szCs w:val="20"/>
        </w:rPr>
        <w:t xml:space="preserve"> were Free State, Gauteng, KwaZulu-Natal,</w:t>
      </w:r>
      <w:r w:rsidR="0048195C" w:rsidRPr="002738D9">
        <w:rPr>
          <w:rFonts w:ascii="Arial" w:hAnsi="Arial" w:cs="Arial"/>
          <w:sz w:val="20"/>
          <w:szCs w:val="20"/>
        </w:rPr>
        <w:t xml:space="preserve"> and</w:t>
      </w:r>
      <w:r w:rsidRPr="002738D9">
        <w:rPr>
          <w:rFonts w:ascii="Arial" w:hAnsi="Arial" w:cs="Arial"/>
          <w:sz w:val="20"/>
          <w:szCs w:val="20"/>
        </w:rPr>
        <w:t xml:space="preserve"> Limpopo. </w:t>
      </w:r>
      <w:r w:rsidR="0048195C" w:rsidRPr="002738D9">
        <w:rPr>
          <w:rFonts w:ascii="Arial" w:hAnsi="Arial" w:cs="Arial"/>
          <w:sz w:val="20"/>
          <w:szCs w:val="20"/>
        </w:rPr>
        <w:t xml:space="preserve">The </w:t>
      </w:r>
      <w:r w:rsidRPr="002738D9">
        <w:rPr>
          <w:rFonts w:ascii="Arial" w:hAnsi="Arial" w:cs="Arial"/>
          <w:sz w:val="20"/>
          <w:szCs w:val="20"/>
        </w:rPr>
        <w:t xml:space="preserve">Northern Cape and North West </w:t>
      </w:r>
      <w:r w:rsidR="0048195C" w:rsidRPr="002738D9">
        <w:rPr>
          <w:rFonts w:ascii="Arial" w:hAnsi="Arial" w:cs="Arial"/>
          <w:sz w:val="20"/>
          <w:szCs w:val="20"/>
        </w:rPr>
        <w:t xml:space="preserve">had </w:t>
      </w:r>
      <w:r w:rsidRPr="002738D9">
        <w:rPr>
          <w:rFonts w:ascii="Arial" w:hAnsi="Arial" w:cs="Arial"/>
          <w:sz w:val="20"/>
          <w:szCs w:val="20"/>
        </w:rPr>
        <w:t xml:space="preserve">overspent </w:t>
      </w:r>
      <w:r w:rsidR="0048195C" w:rsidRPr="002738D9">
        <w:rPr>
          <w:rFonts w:ascii="Arial" w:hAnsi="Arial" w:cs="Arial"/>
          <w:sz w:val="20"/>
          <w:szCs w:val="20"/>
        </w:rPr>
        <w:t xml:space="preserve">on </w:t>
      </w:r>
      <w:r w:rsidRPr="002738D9">
        <w:rPr>
          <w:rFonts w:ascii="Arial" w:hAnsi="Arial" w:cs="Arial"/>
          <w:sz w:val="20"/>
          <w:szCs w:val="20"/>
        </w:rPr>
        <w:t xml:space="preserve">their </w:t>
      </w:r>
      <w:r w:rsidR="0048195C" w:rsidRPr="002738D9">
        <w:rPr>
          <w:rFonts w:ascii="Arial" w:hAnsi="Arial" w:cs="Arial"/>
          <w:sz w:val="20"/>
          <w:szCs w:val="20"/>
        </w:rPr>
        <w:t>first quarter transfers</w:t>
      </w:r>
      <w:r w:rsidRPr="002738D9">
        <w:rPr>
          <w:rFonts w:ascii="Arial" w:hAnsi="Arial" w:cs="Arial"/>
          <w:sz w:val="20"/>
          <w:szCs w:val="20"/>
        </w:rPr>
        <w:t xml:space="preserve">. </w:t>
      </w:r>
    </w:p>
    <w:p w:rsidR="00D22DC1" w:rsidRPr="002738D9" w:rsidRDefault="00D22DC1" w:rsidP="002738D9">
      <w:pPr>
        <w:ind w:left="60"/>
        <w:rPr>
          <w:rFonts w:ascii="Arial" w:hAnsi="Arial" w:cs="Arial"/>
          <w:sz w:val="20"/>
          <w:szCs w:val="20"/>
        </w:rPr>
      </w:pPr>
      <w:r w:rsidRPr="002738D9">
        <w:rPr>
          <w:rFonts w:ascii="Arial" w:hAnsi="Arial" w:cs="Arial"/>
          <w:sz w:val="20"/>
          <w:szCs w:val="20"/>
        </w:rPr>
        <w:t xml:space="preserve"> </w:t>
      </w:r>
    </w:p>
    <w:p w:rsidR="009B5049" w:rsidRPr="002738D9" w:rsidRDefault="00BF211E" w:rsidP="002738D9">
      <w:pPr>
        <w:ind w:left="60"/>
        <w:rPr>
          <w:rFonts w:ascii="Arial" w:hAnsi="Arial" w:cs="Arial"/>
          <w:sz w:val="20"/>
          <w:szCs w:val="20"/>
        </w:rPr>
      </w:pPr>
      <w:r w:rsidRPr="002738D9">
        <w:rPr>
          <w:rFonts w:ascii="Arial" w:hAnsi="Arial" w:cs="Arial"/>
          <w:sz w:val="20"/>
          <w:szCs w:val="20"/>
        </w:rPr>
        <w:t xml:space="preserve">The </w:t>
      </w:r>
      <w:r w:rsidR="0061013F" w:rsidRPr="002738D9">
        <w:rPr>
          <w:rFonts w:ascii="Arial" w:hAnsi="Arial" w:cs="Arial"/>
          <w:sz w:val="20"/>
          <w:szCs w:val="20"/>
        </w:rPr>
        <w:t>DHS</w:t>
      </w:r>
      <w:r w:rsidR="00C2626A" w:rsidRPr="002738D9">
        <w:rPr>
          <w:rFonts w:ascii="Arial" w:hAnsi="Arial" w:cs="Arial"/>
          <w:sz w:val="20"/>
          <w:szCs w:val="20"/>
        </w:rPr>
        <w:t xml:space="preserve"> </w:t>
      </w:r>
      <w:r w:rsidR="009B5049" w:rsidRPr="002738D9">
        <w:rPr>
          <w:rFonts w:ascii="Arial" w:hAnsi="Arial" w:cs="Arial"/>
          <w:sz w:val="20"/>
          <w:szCs w:val="20"/>
        </w:rPr>
        <w:t>submitted that at the time of reporting, there were 3</w:t>
      </w:r>
      <w:r w:rsidRPr="002738D9">
        <w:rPr>
          <w:rFonts w:ascii="Arial" w:hAnsi="Arial" w:cs="Arial"/>
          <w:sz w:val="20"/>
          <w:szCs w:val="20"/>
        </w:rPr>
        <w:t xml:space="preserve"> </w:t>
      </w:r>
      <w:r w:rsidR="009B5049" w:rsidRPr="002738D9">
        <w:rPr>
          <w:rFonts w:ascii="Arial" w:hAnsi="Arial" w:cs="Arial"/>
          <w:sz w:val="20"/>
          <w:szCs w:val="20"/>
        </w:rPr>
        <w:t>605 informal settlements in the</w:t>
      </w:r>
      <w:r w:rsidR="00BD6540" w:rsidRPr="002738D9">
        <w:rPr>
          <w:rFonts w:ascii="Arial" w:hAnsi="Arial" w:cs="Arial"/>
          <w:sz w:val="20"/>
          <w:szCs w:val="20"/>
        </w:rPr>
        <w:t xml:space="preserve"> </w:t>
      </w:r>
      <w:r w:rsidR="009B5049" w:rsidRPr="002738D9">
        <w:rPr>
          <w:rFonts w:ascii="Arial" w:hAnsi="Arial" w:cs="Arial"/>
          <w:sz w:val="20"/>
          <w:szCs w:val="20"/>
        </w:rPr>
        <w:t>country</w:t>
      </w:r>
      <w:r w:rsidR="00EA2537" w:rsidRPr="002738D9">
        <w:rPr>
          <w:rFonts w:ascii="Arial" w:hAnsi="Arial" w:cs="Arial"/>
          <w:sz w:val="20"/>
          <w:szCs w:val="20"/>
        </w:rPr>
        <w:t>,</w:t>
      </w:r>
      <w:r w:rsidRPr="002738D9">
        <w:rPr>
          <w:rFonts w:ascii="Arial" w:hAnsi="Arial" w:cs="Arial"/>
          <w:sz w:val="20"/>
          <w:szCs w:val="20"/>
        </w:rPr>
        <w:t xml:space="preserve"> with 481 in the </w:t>
      </w:r>
      <w:r w:rsidR="009B5049" w:rsidRPr="002738D9">
        <w:rPr>
          <w:rFonts w:ascii="Arial" w:hAnsi="Arial" w:cs="Arial"/>
          <w:sz w:val="20"/>
          <w:szCs w:val="20"/>
        </w:rPr>
        <w:t>Eastern Cape</w:t>
      </w:r>
      <w:r w:rsidR="00EA2537" w:rsidRPr="002738D9">
        <w:rPr>
          <w:rFonts w:ascii="Arial" w:hAnsi="Arial" w:cs="Arial"/>
          <w:sz w:val="20"/>
          <w:szCs w:val="20"/>
        </w:rPr>
        <w:t>;</w:t>
      </w:r>
      <w:r w:rsidRPr="002738D9">
        <w:rPr>
          <w:rFonts w:ascii="Arial" w:hAnsi="Arial" w:cs="Arial"/>
          <w:sz w:val="20"/>
          <w:szCs w:val="20"/>
        </w:rPr>
        <w:t xml:space="preserve"> 161 in the</w:t>
      </w:r>
      <w:r w:rsidR="009B5049" w:rsidRPr="002738D9">
        <w:rPr>
          <w:rFonts w:ascii="Arial" w:hAnsi="Arial" w:cs="Arial"/>
          <w:sz w:val="20"/>
          <w:szCs w:val="20"/>
        </w:rPr>
        <w:t xml:space="preserve"> Free State; </w:t>
      </w:r>
      <w:r w:rsidRPr="002738D9">
        <w:rPr>
          <w:rFonts w:ascii="Arial" w:hAnsi="Arial" w:cs="Arial"/>
          <w:sz w:val="20"/>
          <w:szCs w:val="20"/>
        </w:rPr>
        <w:t xml:space="preserve">731 in </w:t>
      </w:r>
      <w:r w:rsidR="009B5049" w:rsidRPr="002738D9">
        <w:rPr>
          <w:rFonts w:ascii="Arial" w:hAnsi="Arial" w:cs="Arial"/>
          <w:sz w:val="20"/>
          <w:szCs w:val="20"/>
        </w:rPr>
        <w:t xml:space="preserve">Gauteng; </w:t>
      </w:r>
      <w:r w:rsidRPr="002738D9">
        <w:rPr>
          <w:rFonts w:ascii="Arial" w:hAnsi="Arial" w:cs="Arial"/>
          <w:sz w:val="20"/>
          <w:szCs w:val="20"/>
        </w:rPr>
        <w:t xml:space="preserve">740 in </w:t>
      </w:r>
      <w:r w:rsidR="009B5049" w:rsidRPr="002738D9">
        <w:rPr>
          <w:rFonts w:ascii="Arial" w:hAnsi="Arial" w:cs="Arial"/>
          <w:sz w:val="20"/>
          <w:szCs w:val="20"/>
        </w:rPr>
        <w:t xml:space="preserve">KwaZulu-Natal; </w:t>
      </w:r>
      <w:r w:rsidRPr="002738D9">
        <w:rPr>
          <w:rFonts w:ascii="Arial" w:hAnsi="Arial" w:cs="Arial"/>
          <w:sz w:val="20"/>
          <w:szCs w:val="20"/>
        </w:rPr>
        <w:t xml:space="preserve">74 in </w:t>
      </w:r>
      <w:r w:rsidR="009B5049" w:rsidRPr="002738D9">
        <w:rPr>
          <w:rFonts w:ascii="Arial" w:hAnsi="Arial" w:cs="Arial"/>
          <w:sz w:val="20"/>
          <w:szCs w:val="20"/>
        </w:rPr>
        <w:t xml:space="preserve">Limpopo; </w:t>
      </w:r>
      <w:r w:rsidRPr="002738D9">
        <w:rPr>
          <w:rFonts w:ascii="Arial" w:hAnsi="Arial" w:cs="Arial"/>
          <w:sz w:val="20"/>
          <w:szCs w:val="20"/>
        </w:rPr>
        <w:t>368 in</w:t>
      </w:r>
      <w:r w:rsidR="009B5049" w:rsidRPr="002738D9">
        <w:rPr>
          <w:rFonts w:ascii="Arial" w:hAnsi="Arial" w:cs="Arial"/>
          <w:sz w:val="20"/>
          <w:szCs w:val="20"/>
        </w:rPr>
        <w:t xml:space="preserve"> Mpumalanga</w:t>
      </w:r>
      <w:r w:rsidRPr="002738D9">
        <w:rPr>
          <w:rFonts w:ascii="Arial" w:hAnsi="Arial" w:cs="Arial"/>
          <w:sz w:val="20"/>
          <w:szCs w:val="20"/>
        </w:rPr>
        <w:t>;</w:t>
      </w:r>
      <w:r w:rsidR="009B5049" w:rsidRPr="002738D9">
        <w:rPr>
          <w:rFonts w:ascii="Arial" w:hAnsi="Arial" w:cs="Arial"/>
          <w:sz w:val="20"/>
          <w:szCs w:val="20"/>
        </w:rPr>
        <w:t xml:space="preserve"> </w:t>
      </w:r>
      <w:r w:rsidRPr="002738D9">
        <w:rPr>
          <w:rFonts w:ascii="Arial" w:hAnsi="Arial" w:cs="Arial"/>
          <w:sz w:val="20"/>
          <w:szCs w:val="20"/>
        </w:rPr>
        <w:t xml:space="preserve">151 </w:t>
      </w:r>
      <w:r w:rsidR="009B5049" w:rsidRPr="002738D9">
        <w:rPr>
          <w:rFonts w:ascii="Arial" w:hAnsi="Arial" w:cs="Arial"/>
          <w:sz w:val="20"/>
          <w:szCs w:val="20"/>
        </w:rPr>
        <w:t xml:space="preserve">in </w:t>
      </w:r>
      <w:r w:rsidRPr="002738D9">
        <w:rPr>
          <w:rFonts w:ascii="Arial" w:hAnsi="Arial" w:cs="Arial"/>
          <w:sz w:val="20"/>
          <w:szCs w:val="20"/>
        </w:rPr>
        <w:t xml:space="preserve">the </w:t>
      </w:r>
      <w:r w:rsidR="009B5049" w:rsidRPr="002738D9">
        <w:rPr>
          <w:rFonts w:ascii="Arial" w:hAnsi="Arial" w:cs="Arial"/>
          <w:sz w:val="20"/>
          <w:szCs w:val="20"/>
        </w:rPr>
        <w:t>Northern Cape</w:t>
      </w:r>
      <w:r w:rsidRPr="002738D9">
        <w:rPr>
          <w:rFonts w:ascii="Arial" w:hAnsi="Arial" w:cs="Arial"/>
          <w:sz w:val="20"/>
          <w:szCs w:val="20"/>
        </w:rPr>
        <w:t>;</w:t>
      </w:r>
      <w:r w:rsidR="009B5049" w:rsidRPr="002738D9">
        <w:rPr>
          <w:rFonts w:ascii="Arial" w:hAnsi="Arial" w:cs="Arial"/>
          <w:sz w:val="20"/>
          <w:szCs w:val="20"/>
        </w:rPr>
        <w:t xml:space="preserve"> </w:t>
      </w:r>
      <w:r w:rsidRPr="002738D9">
        <w:rPr>
          <w:rFonts w:ascii="Arial" w:hAnsi="Arial" w:cs="Arial"/>
          <w:sz w:val="20"/>
          <w:szCs w:val="20"/>
        </w:rPr>
        <w:t xml:space="preserve">136 in the </w:t>
      </w:r>
      <w:r w:rsidR="009B5049" w:rsidRPr="002738D9">
        <w:rPr>
          <w:rFonts w:ascii="Arial" w:hAnsi="Arial" w:cs="Arial"/>
          <w:sz w:val="20"/>
          <w:szCs w:val="20"/>
        </w:rPr>
        <w:t xml:space="preserve">North West; and </w:t>
      </w:r>
      <w:r w:rsidRPr="002738D9">
        <w:rPr>
          <w:rFonts w:ascii="Arial" w:hAnsi="Arial" w:cs="Arial"/>
          <w:sz w:val="20"/>
          <w:szCs w:val="20"/>
        </w:rPr>
        <w:t xml:space="preserve">763 in the </w:t>
      </w:r>
      <w:r w:rsidR="009B5049" w:rsidRPr="002738D9">
        <w:rPr>
          <w:rFonts w:ascii="Arial" w:hAnsi="Arial" w:cs="Arial"/>
          <w:sz w:val="20"/>
          <w:szCs w:val="20"/>
        </w:rPr>
        <w:t>Western Cape. Of the 3</w:t>
      </w:r>
      <w:r w:rsidR="00EA2537" w:rsidRPr="002738D9">
        <w:rPr>
          <w:rFonts w:ascii="Arial" w:hAnsi="Arial" w:cs="Arial"/>
          <w:sz w:val="20"/>
          <w:szCs w:val="20"/>
        </w:rPr>
        <w:t xml:space="preserve"> </w:t>
      </w:r>
      <w:r w:rsidR="009B5049" w:rsidRPr="002738D9">
        <w:rPr>
          <w:rFonts w:ascii="Arial" w:hAnsi="Arial" w:cs="Arial"/>
          <w:sz w:val="20"/>
          <w:szCs w:val="20"/>
        </w:rPr>
        <w:t>605, 1</w:t>
      </w:r>
      <w:r w:rsidR="00EA2537" w:rsidRPr="002738D9">
        <w:rPr>
          <w:rFonts w:ascii="Arial" w:hAnsi="Arial" w:cs="Arial"/>
          <w:sz w:val="20"/>
          <w:szCs w:val="20"/>
        </w:rPr>
        <w:t xml:space="preserve"> </w:t>
      </w:r>
      <w:r w:rsidR="009B5049" w:rsidRPr="002738D9">
        <w:rPr>
          <w:rFonts w:ascii="Arial" w:hAnsi="Arial" w:cs="Arial"/>
          <w:sz w:val="20"/>
          <w:szCs w:val="20"/>
        </w:rPr>
        <w:t xml:space="preserve">804 were </w:t>
      </w:r>
      <w:r w:rsidR="005C3962" w:rsidRPr="002738D9">
        <w:rPr>
          <w:rFonts w:ascii="Arial" w:hAnsi="Arial" w:cs="Arial"/>
          <w:sz w:val="20"/>
          <w:szCs w:val="20"/>
        </w:rPr>
        <w:t xml:space="preserve">located </w:t>
      </w:r>
      <w:r w:rsidR="009B5049" w:rsidRPr="002738D9">
        <w:rPr>
          <w:rFonts w:ascii="Arial" w:hAnsi="Arial" w:cs="Arial"/>
          <w:sz w:val="20"/>
          <w:szCs w:val="20"/>
        </w:rPr>
        <w:t>in metropolitan municipalities</w:t>
      </w:r>
      <w:r w:rsidR="00EA2537" w:rsidRPr="002738D9">
        <w:rPr>
          <w:rFonts w:ascii="Arial" w:hAnsi="Arial" w:cs="Arial"/>
          <w:sz w:val="20"/>
          <w:szCs w:val="20"/>
        </w:rPr>
        <w:t xml:space="preserve">, with </w:t>
      </w:r>
      <w:r w:rsidR="009B5049" w:rsidRPr="002738D9">
        <w:rPr>
          <w:rFonts w:ascii="Arial" w:hAnsi="Arial" w:cs="Arial"/>
          <w:sz w:val="20"/>
          <w:szCs w:val="20"/>
        </w:rPr>
        <w:t>154 in Buffalo City</w:t>
      </w:r>
      <w:r w:rsidR="00EA2537" w:rsidRPr="002738D9">
        <w:rPr>
          <w:rFonts w:ascii="Arial" w:hAnsi="Arial" w:cs="Arial"/>
          <w:sz w:val="20"/>
          <w:szCs w:val="20"/>
        </w:rPr>
        <w:t xml:space="preserve">; </w:t>
      </w:r>
      <w:r w:rsidR="009B5049" w:rsidRPr="002738D9">
        <w:rPr>
          <w:rFonts w:ascii="Arial" w:hAnsi="Arial" w:cs="Arial"/>
          <w:sz w:val="20"/>
          <w:szCs w:val="20"/>
        </w:rPr>
        <w:t xml:space="preserve">464 in the City of Cape Town; 119 in the City of Ekurhuleni; </w:t>
      </w:r>
      <w:r w:rsidR="00EA2537" w:rsidRPr="002738D9">
        <w:rPr>
          <w:rFonts w:ascii="Arial" w:hAnsi="Arial" w:cs="Arial"/>
          <w:sz w:val="20"/>
          <w:szCs w:val="20"/>
        </w:rPr>
        <w:t xml:space="preserve">210 in the </w:t>
      </w:r>
      <w:r w:rsidR="009B5049" w:rsidRPr="002738D9">
        <w:rPr>
          <w:rFonts w:ascii="Arial" w:hAnsi="Arial" w:cs="Arial"/>
          <w:sz w:val="20"/>
          <w:szCs w:val="20"/>
        </w:rPr>
        <w:t xml:space="preserve">City of Johannesburg; </w:t>
      </w:r>
      <w:r w:rsidR="00EA2537" w:rsidRPr="002738D9">
        <w:rPr>
          <w:rFonts w:ascii="Arial" w:hAnsi="Arial" w:cs="Arial"/>
          <w:sz w:val="20"/>
          <w:szCs w:val="20"/>
        </w:rPr>
        <w:t xml:space="preserve">186 in the </w:t>
      </w:r>
      <w:r w:rsidR="005C3962" w:rsidRPr="002738D9">
        <w:rPr>
          <w:rFonts w:ascii="Arial" w:hAnsi="Arial" w:cs="Arial"/>
          <w:sz w:val="20"/>
          <w:szCs w:val="20"/>
        </w:rPr>
        <w:t>City of Tshwane</w:t>
      </w:r>
      <w:r w:rsidR="009B5049" w:rsidRPr="002738D9">
        <w:rPr>
          <w:rFonts w:ascii="Arial" w:hAnsi="Arial" w:cs="Arial"/>
          <w:sz w:val="20"/>
          <w:szCs w:val="20"/>
        </w:rPr>
        <w:t xml:space="preserve">; </w:t>
      </w:r>
      <w:r w:rsidR="00EA2537" w:rsidRPr="002738D9">
        <w:rPr>
          <w:rFonts w:ascii="Arial" w:hAnsi="Arial" w:cs="Arial"/>
          <w:sz w:val="20"/>
          <w:szCs w:val="20"/>
        </w:rPr>
        <w:t xml:space="preserve">530 in </w:t>
      </w:r>
      <w:r w:rsidR="009B5049" w:rsidRPr="002738D9">
        <w:rPr>
          <w:rFonts w:ascii="Arial" w:hAnsi="Arial" w:cs="Arial"/>
          <w:sz w:val="20"/>
          <w:szCs w:val="20"/>
        </w:rPr>
        <w:t xml:space="preserve">Ethekwini; </w:t>
      </w:r>
      <w:r w:rsidR="00EA2537" w:rsidRPr="002738D9">
        <w:rPr>
          <w:rFonts w:ascii="Arial" w:hAnsi="Arial" w:cs="Arial"/>
          <w:sz w:val="20"/>
          <w:szCs w:val="20"/>
        </w:rPr>
        <w:t xml:space="preserve">47 in </w:t>
      </w:r>
      <w:r w:rsidR="009B5049" w:rsidRPr="002738D9">
        <w:rPr>
          <w:rFonts w:ascii="Arial" w:hAnsi="Arial" w:cs="Arial"/>
          <w:sz w:val="20"/>
          <w:szCs w:val="20"/>
        </w:rPr>
        <w:t xml:space="preserve">Mangaung; and </w:t>
      </w:r>
      <w:r w:rsidR="00EA2537" w:rsidRPr="002738D9">
        <w:rPr>
          <w:rFonts w:ascii="Arial" w:hAnsi="Arial" w:cs="Arial"/>
          <w:sz w:val="20"/>
          <w:szCs w:val="20"/>
        </w:rPr>
        <w:t xml:space="preserve">94 in </w:t>
      </w:r>
      <w:r w:rsidR="00CF4E1E" w:rsidRPr="002738D9">
        <w:rPr>
          <w:rFonts w:ascii="Arial" w:hAnsi="Arial" w:cs="Arial"/>
          <w:sz w:val="20"/>
          <w:szCs w:val="20"/>
        </w:rPr>
        <w:t xml:space="preserve">the </w:t>
      </w:r>
      <w:r w:rsidR="009B5049" w:rsidRPr="002738D9">
        <w:rPr>
          <w:rFonts w:ascii="Arial" w:hAnsi="Arial" w:cs="Arial"/>
          <w:sz w:val="20"/>
          <w:szCs w:val="20"/>
        </w:rPr>
        <w:t>Nelson Mandela Bay.</w:t>
      </w:r>
    </w:p>
    <w:p w:rsidR="00C2626A" w:rsidRPr="002738D9" w:rsidRDefault="00C2626A" w:rsidP="002738D9">
      <w:pPr>
        <w:ind w:left="60"/>
        <w:rPr>
          <w:rFonts w:ascii="Arial" w:hAnsi="Arial" w:cs="Arial"/>
          <w:sz w:val="20"/>
          <w:szCs w:val="20"/>
        </w:rPr>
      </w:pPr>
    </w:p>
    <w:p w:rsidR="00C2626A" w:rsidRPr="002738D9" w:rsidRDefault="00C2626A" w:rsidP="002738D9">
      <w:pPr>
        <w:ind w:left="60"/>
        <w:rPr>
          <w:rFonts w:ascii="Arial" w:hAnsi="Arial" w:cs="Arial"/>
          <w:sz w:val="20"/>
          <w:szCs w:val="20"/>
        </w:rPr>
      </w:pPr>
      <w:r w:rsidRPr="002738D9">
        <w:rPr>
          <w:rFonts w:ascii="Arial" w:hAnsi="Arial" w:cs="Arial"/>
          <w:sz w:val="20"/>
          <w:szCs w:val="20"/>
        </w:rPr>
        <w:t xml:space="preserve">The </w:t>
      </w:r>
      <w:r w:rsidR="0061013F" w:rsidRPr="002738D9">
        <w:rPr>
          <w:rFonts w:ascii="Arial" w:hAnsi="Arial" w:cs="Arial"/>
          <w:sz w:val="20"/>
          <w:szCs w:val="20"/>
        </w:rPr>
        <w:t>DHS</w:t>
      </w:r>
      <w:r w:rsidR="00526BF4" w:rsidRPr="002738D9">
        <w:rPr>
          <w:rFonts w:ascii="Arial" w:hAnsi="Arial" w:cs="Arial"/>
          <w:sz w:val="20"/>
          <w:szCs w:val="20"/>
        </w:rPr>
        <w:t xml:space="preserve"> reported the following key overall </w:t>
      </w:r>
      <w:r w:rsidRPr="002738D9">
        <w:rPr>
          <w:rFonts w:ascii="Arial" w:hAnsi="Arial" w:cs="Arial"/>
          <w:sz w:val="20"/>
          <w:szCs w:val="20"/>
        </w:rPr>
        <w:t xml:space="preserve">achievements since the inception of the </w:t>
      </w:r>
      <w:r w:rsidR="0061013F" w:rsidRPr="002738D9">
        <w:rPr>
          <w:rFonts w:ascii="Arial" w:hAnsi="Arial" w:cs="Arial"/>
          <w:sz w:val="20"/>
          <w:szCs w:val="20"/>
        </w:rPr>
        <w:t>Grant</w:t>
      </w:r>
      <w:r w:rsidRPr="002738D9">
        <w:rPr>
          <w:rFonts w:ascii="Arial" w:hAnsi="Arial" w:cs="Arial"/>
          <w:sz w:val="20"/>
          <w:szCs w:val="20"/>
        </w:rPr>
        <w:t>:</w:t>
      </w:r>
    </w:p>
    <w:p w:rsidR="00C2626A" w:rsidRPr="002738D9" w:rsidRDefault="00C2626A" w:rsidP="002738D9">
      <w:pPr>
        <w:pStyle w:val="ListParagraph"/>
        <w:numPr>
          <w:ilvl w:val="0"/>
          <w:numId w:val="5"/>
        </w:numPr>
        <w:rPr>
          <w:rFonts w:ascii="Arial" w:hAnsi="Arial" w:cs="Arial"/>
          <w:sz w:val="20"/>
          <w:szCs w:val="20"/>
        </w:rPr>
      </w:pPr>
      <w:r w:rsidRPr="002738D9">
        <w:rPr>
          <w:rFonts w:ascii="Arial" w:hAnsi="Arial" w:cs="Arial"/>
          <w:sz w:val="20"/>
          <w:szCs w:val="20"/>
        </w:rPr>
        <w:t xml:space="preserve">Establishment of </w:t>
      </w:r>
      <w:r w:rsidR="00526BF4" w:rsidRPr="002738D9">
        <w:rPr>
          <w:rFonts w:ascii="Arial" w:hAnsi="Arial" w:cs="Arial"/>
          <w:sz w:val="20"/>
          <w:szCs w:val="20"/>
        </w:rPr>
        <w:t xml:space="preserve">a </w:t>
      </w:r>
      <w:r w:rsidRPr="002738D9">
        <w:rPr>
          <w:rFonts w:ascii="Arial" w:hAnsi="Arial" w:cs="Arial"/>
          <w:sz w:val="20"/>
          <w:szCs w:val="20"/>
        </w:rPr>
        <w:t>baseline for informal settlements upgrading.</w:t>
      </w:r>
    </w:p>
    <w:p w:rsidR="00C2626A" w:rsidRPr="002738D9" w:rsidRDefault="00C2626A" w:rsidP="002738D9">
      <w:pPr>
        <w:pStyle w:val="ListParagraph"/>
        <w:numPr>
          <w:ilvl w:val="0"/>
          <w:numId w:val="5"/>
        </w:numPr>
        <w:rPr>
          <w:rFonts w:ascii="Arial" w:hAnsi="Arial" w:cs="Arial"/>
          <w:sz w:val="20"/>
          <w:szCs w:val="20"/>
        </w:rPr>
      </w:pPr>
      <w:r w:rsidRPr="002738D9">
        <w:rPr>
          <w:rFonts w:ascii="Arial" w:hAnsi="Arial" w:cs="Arial"/>
          <w:sz w:val="20"/>
          <w:szCs w:val="20"/>
        </w:rPr>
        <w:t>Establishment of a framework for monitoring and</w:t>
      </w:r>
      <w:r w:rsidR="00526BF4" w:rsidRPr="002738D9">
        <w:rPr>
          <w:rFonts w:ascii="Arial" w:hAnsi="Arial" w:cs="Arial"/>
          <w:sz w:val="20"/>
          <w:szCs w:val="20"/>
        </w:rPr>
        <w:t xml:space="preserve"> reporting performance (project-</w:t>
      </w:r>
      <w:r w:rsidRPr="002738D9">
        <w:rPr>
          <w:rFonts w:ascii="Arial" w:hAnsi="Arial" w:cs="Arial"/>
          <w:sz w:val="20"/>
          <w:szCs w:val="20"/>
        </w:rPr>
        <w:t>based reporting and direct relationship between plans and reporting).</w:t>
      </w:r>
    </w:p>
    <w:p w:rsidR="00C2626A" w:rsidRPr="002738D9" w:rsidRDefault="00526BF4" w:rsidP="002738D9">
      <w:pPr>
        <w:pStyle w:val="ListParagraph"/>
        <w:numPr>
          <w:ilvl w:val="0"/>
          <w:numId w:val="5"/>
        </w:numPr>
        <w:rPr>
          <w:rFonts w:ascii="Arial" w:hAnsi="Arial" w:cs="Arial"/>
          <w:sz w:val="20"/>
          <w:szCs w:val="20"/>
        </w:rPr>
      </w:pPr>
      <w:r w:rsidRPr="002738D9">
        <w:rPr>
          <w:rFonts w:ascii="Arial" w:hAnsi="Arial" w:cs="Arial"/>
          <w:sz w:val="20"/>
          <w:szCs w:val="20"/>
        </w:rPr>
        <w:t>Institutionalisation of e</w:t>
      </w:r>
      <w:r w:rsidR="00C2626A" w:rsidRPr="002738D9">
        <w:rPr>
          <w:rFonts w:ascii="Arial" w:hAnsi="Arial" w:cs="Arial"/>
          <w:sz w:val="20"/>
          <w:szCs w:val="20"/>
        </w:rPr>
        <w:t xml:space="preserve">ngagements between provinces </w:t>
      </w:r>
      <w:r w:rsidRPr="002738D9">
        <w:rPr>
          <w:rFonts w:ascii="Arial" w:hAnsi="Arial" w:cs="Arial"/>
          <w:sz w:val="20"/>
          <w:szCs w:val="20"/>
        </w:rPr>
        <w:t>and municipalities and support with</w:t>
      </w:r>
      <w:r w:rsidR="00C2626A" w:rsidRPr="002738D9">
        <w:rPr>
          <w:rFonts w:ascii="Arial" w:hAnsi="Arial" w:cs="Arial"/>
          <w:sz w:val="20"/>
          <w:szCs w:val="20"/>
        </w:rPr>
        <w:t xml:space="preserve"> upg</w:t>
      </w:r>
      <w:r w:rsidRPr="002738D9">
        <w:rPr>
          <w:rFonts w:ascii="Arial" w:hAnsi="Arial" w:cs="Arial"/>
          <w:sz w:val="20"/>
          <w:szCs w:val="20"/>
        </w:rPr>
        <w:t xml:space="preserve">rading </w:t>
      </w:r>
      <w:r w:rsidR="00C2626A" w:rsidRPr="002738D9">
        <w:rPr>
          <w:rFonts w:ascii="Arial" w:hAnsi="Arial" w:cs="Arial"/>
          <w:sz w:val="20"/>
          <w:szCs w:val="20"/>
        </w:rPr>
        <w:t>of informal settlements.</w:t>
      </w:r>
    </w:p>
    <w:p w:rsidR="00C2626A" w:rsidRPr="002738D9" w:rsidRDefault="00C2626A" w:rsidP="002738D9">
      <w:pPr>
        <w:pStyle w:val="ListParagraph"/>
        <w:numPr>
          <w:ilvl w:val="0"/>
          <w:numId w:val="5"/>
        </w:numPr>
        <w:rPr>
          <w:rFonts w:ascii="Arial" w:hAnsi="Arial" w:cs="Arial"/>
          <w:sz w:val="20"/>
          <w:szCs w:val="20"/>
        </w:rPr>
      </w:pPr>
      <w:r w:rsidRPr="002738D9">
        <w:rPr>
          <w:rFonts w:ascii="Arial" w:hAnsi="Arial" w:cs="Arial"/>
          <w:sz w:val="20"/>
          <w:szCs w:val="20"/>
        </w:rPr>
        <w:t xml:space="preserve">Establishment of a dashboard for informal settlements in partnership with the Housing Development Agency.  </w:t>
      </w:r>
    </w:p>
    <w:p w:rsidR="00031CAB" w:rsidRPr="002738D9" w:rsidRDefault="00031CAB" w:rsidP="002738D9">
      <w:pPr>
        <w:pStyle w:val="ListParagraph"/>
        <w:numPr>
          <w:ilvl w:val="0"/>
          <w:numId w:val="5"/>
        </w:numPr>
        <w:rPr>
          <w:rFonts w:ascii="Arial" w:hAnsi="Arial" w:cs="Arial"/>
          <w:sz w:val="20"/>
          <w:szCs w:val="20"/>
        </w:rPr>
      </w:pPr>
      <w:r w:rsidRPr="002738D9">
        <w:rPr>
          <w:rFonts w:ascii="Arial" w:hAnsi="Arial" w:cs="Arial"/>
          <w:sz w:val="20"/>
          <w:szCs w:val="20"/>
        </w:rPr>
        <w:t>Moving towards digitalisation of planning and reporting.</w:t>
      </w:r>
    </w:p>
    <w:p w:rsidR="003F437F" w:rsidRPr="002738D9" w:rsidRDefault="003F437F" w:rsidP="002738D9">
      <w:pPr>
        <w:ind w:left="60"/>
        <w:rPr>
          <w:rFonts w:ascii="Arial" w:hAnsi="Arial" w:cs="Arial"/>
          <w:sz w:val="20"/>
          <w:szCs w:val="20"/>
        </w:rPr>
      </w:pPr>
    </w:p>
    <w:p w:rsidR="0080360D" w:rsidRPr="002738D9" w:rsidRDefault="00BB1B41" w:rsidP="002738D9">
      <w:pPr>
        <w:ind w:left="60"/>
        <w:rPr>
          <w:rFonts w:ascii="Arial" w:hAnsi="Arial" w:cs="Arial"/>
          <w:sz w:val="20"/>
          <w:szCs w:val="20"/>
        </w:rPr>
      </w:pPr>
      <w:r w:rsidRPr="002738D9">
        <w:rPr>
          <w:rFonts w:ascii="Arial" w:hAnsi="Arial" w:cs="Arial"/>
          <w:sz w:val="20"/>
          <w:szCs w:val="20"/>
        </w:rPr>
        <w:t xml:space="preserve">Furthermore, </w:t>
      </w:r>
      <w:r w:rsidR="00D22251" w:rsidRPr="002738D9">
        <w:rPr>
          <w:rFonts w:ascii="Arial" w:hAnsi="Arial" w:cs="Arial"/>
          <w:sz w:val="20"/>
          <w:szCs w:val="20"/>
        </w:rPr>
        <w:t xml:space="preserve">the DHS submitted that 610 informal settlements across the country had been upgraded </w:t>
      </w:r>
      <w:r w:rsidR="003F437F" w:rsidRPr="002738D9">
        <w:rPr>
          <w:rFonts w:ascii="Arial" w:hAnsi="Arial" w:cs="Arial"/>
          <w:sz w:val="20"/>
          <w:szCs w:val="20"/>
        </w:rPr>
        <w:t xml:space="preserve">in </w:t>
      </w:r>
      <w:r w:rsidR="00D22251" w:rsidRPr="002738D9">
        <w:rPr>
          <w:rFonts w:ascii="Arial" w:hAnsi="Arial" w:cs="Arial"/>
          <w:sz w:val="20"/>
          <w:szCs w:val="20"/>
        </w:rPr>
        <w:t xml:space="preserve">the </w:t>
      </w:r>
      <w:r w:rsidR="003F437F" w:rsidRPr="002738D9">
        <w:rPr>
          <w:rFonts w:ascii="Arial" w:hAnsi="Arial" w:cs="Arial"/>
          <w:sz w:val="20"/>
          <w:szCs w:val="20"/>
        </w:rPr>
        <w:t xml:space="preserve">2021/22 financial year, using Phases 1 </w:t>
      </w:r>
      <w:r w:rsidR="00D22251" w:rsidRPr="002738D9">
        <w:rPr>
          <w:rFonts w:ascii="Arial" w:hAnsi="Arial" w:cs="Arial"/>
          <w:sz w:val="20"/>
          <w:szCs w:val="20"/>
        </w:rPr>
        <w:t>to</w:t>
      </w:r>
      <w:r w:rsidR="003F437F" w:rsidRPr="002738D9">
        <w:rPr>
          <w:rFonts w:ascii="Arial" w:hAnsi="Arial" w:cs="Arial"/>
          <w:sz w:val="20"/>
          <w:szCs w:val="20"/>
        </w:rPr>
        <w:t xml:space="preserve"> 3 of the </w:t>
      </w:r>
      <w:r w:rsidR="00D22251" w:rsidRPr="002738D9">
        <w:rPr>
          <w:rFonts w:ascii="Arial" w:hAnsi="Arial" w:cs="Arial"/>
          <w:sz w:val="20"/>
          <w:szCs w:val="20"/>
        </w:rPr>
        <w:t>Upgrading of Informal Settlements Programme (UISP) in the National Housing Code of 2009</w:t>
      </w:r>
      <w:r w:rsidR="000752E3" w:rsidRPr="002738D9">
        <w:rPr>
          <w:rFonts w:ascii="Arial" w:hAnsi="Arial" w:cs="Arial"/>
          <w:sz w:val="20"/>
          <w:szCs w:val="20"/>
        </w:rPr>
        <w:t xml:space="preserve"> as </w:t>
      </w:r>
      <w:r w:rsidR="003F437F" w:rsidRPr="002738D9">
        <w:rPr>
          <w:rFonts w:ascii="Arial" w:hAnsi="Arial" w:cs="Arial"/>
          <w:sz w:val="20"/>
          <w:szCs w:val="20"/>
        </w:rPr>
        <w:t>indicator</w:t>
      </w:r>
      <w:r w:rsidR="000752E3" w:rsidRPr="002738D9">
        <w:rPr>
          <w:rFonts w:ascii="Arial" w:hAnsi="Arial" w:cs="Arial"/>
          <w:sz w:val="20"/>
          <w:szCs w:val="20"/>
        </w:rPr>
        <w:t>s</w:t>
      </w:r>
      <w:r w:rsidR="003F437F" w:rsidRPr="002738D9">
        <w:rPr>
          <w:rFonts w:ascii="Arial" w:hAnsi="Arial" w:cs="Arial"/>
          <w:sz w:val="20"/>
          <w:szCs w:val="20"/>
        </w:rPr>
        <w:t xml:space="preserve"> of performance and a manual for the required outputs</w:t>
      </w:r>
      <w:r w:rsidR="00D22251" w:rsidRPr="002738D9">
        <w:rPr>
          <w:rFonts w:ascii="Arial" w:hAnsi="Arial" w:cs="Arial"/>
          <w:sz w:val="20"/>
          <w:szCs w:val="20"/>
        </w:rPr>
        <w:t xml:space="preserve"> and activities</w:t>
      </w:r>
      <w:r w:rsidR="0080360D" w:rsidRPr="002738D9">
        <w:rPr>
          <w:rFonts w:ascii="Arial" w:hAnsi="Arial" w:cs="Arial"/>
          <w:sz w:val="20"/>
          <w:szCs w:val="20"/>
        </w:rPr>
        <w:t>.</w:t>
      </w:r>
      <w:r w:rsidR="00D22251" w:rsidRPr="002738D9">
        <w:rPr>
          <w:rFonts w:ascii="Arial" w:hAnsi="Arial" w:cs="Arial"/>
          <w:sz w:val="20"/>
          <w:szCs w:val="20"/>
        </w:rPr>
        <w:t xml:space="preserve"> However, there had</w:t>
      </w:r>
      <w:r w:rsidR="009963B4" w:rsidRPr="002738D9">
        <w:rPr>
          <w:rFonts w:ascii="Arial" w:hAnsi="Arial" w:cs="Arial"/>
          <w:sz w:val="20"/>
          <w:szCs w:val="20"/>
        </w:rPr>
        <w:t xml:space="preserve"> not</w:t>
      </w:r>
      <w:r w:rsidR="00D22251" w:rsidRPr="002738D9">
        <w:rPr>
          <w:rFonts w:ascii="Arial" w:hAnsi="Arial" w:cs="Arial"/>
          <w:sz w:val="20"/>
          <w:szCs w:val="20"/>
        </w:rPr>
        <w:t xml:space="preserve"> been</w:t>
      </w:r>
      <w:r w:rsidR="009963B4" w:rsidRPr="002738D9">
        <w:rPr>
          <w:rFonts w:ascii="Arial" w:hAnsi="Arial" w:cs="Arial"/>
          <w:sz w:val="20"/>
          <w:szCs w:val="20"/>
        </w:rPr>
        <w:t xml:space="preserve"> much progress </w:t>
      </w:r>
      <w:r w:rsidR="00D22251" w:rsidRPr="002738D9">
        <w:rPr>
          <w:rFonts w:ascii="Arial" w:hAnsi="Arial" w:cs="Arial"/>
          <w:sz w:val="20"/>
          <w:szCs w:val="20"/>
        </w:rPr>
        <w:t xml:space="preserve">by provinces with </w:t>
      </w:r>
      <w:r w:rsidR="009963B4" w:rsidRPr="002738D9">
        <w:rPr>
          <w:rFonts w:ascii="Arial" w:hAnsi="Arial" w:cs="Arial"/>
          <w:sz w:val="20"/>
          <w:szCs w:val="20"/>
        </w:rPr>
        <w:t xml:space="preserve">achieving key outputs </w:t>
      </w:r>
      <w:r w:rsidR="00D22251" w:rsidRPr="002738D9">
        <w:rPr>
          <w:rFonts w:ascii="Arial" w:hAnsi="Arial" w:cs="Arial"/>
          <w:sz w:val="20"/>
          <w:szCs w:val="20"/>
        </w:rPr>
        <w:t>during the first quarter of the 2022/23 financial year and m</w:t>
      </w:r>
      <w:r w:rsidR="009963B4" w:rsidRPr="002738D9">
        <w:rPr>
          <w:rFonts w:ascii="Arial" w:hAnsi="Arial" w:cs="Arial"/>
          <w:sz w:val="20"/>
          <w:szCs w:val="20"/>
        </w:rPr>
        <w:t xml:space="preserve">uch of the </w:t>
      </w:r>
      <w:r w:rsidR="00D22251" w:rsidRPr="002738D9">
        <w:rPr>
          <w:rFonts w:ascii="Arial" w:hAnsi="Arial" w:cs="Arial"/>
          <w:sz w:val="20"/>
          <w:szCs w:val="20"/>
        </w:rPr>
        <w:t xml:space="preserve">work was earmarked to be rolled </w:t>
      </w:r>
      <w:r w:rsidR="009963B4" w:rsidRPr="002738D9">
        <w:rPr>
          <w:rFonts w:ascii="Arial" w:hAnsi="Arial" w:cs="Arial"/>
          <w:sz w:val="20"/>
          <w:szCs w:val="20"/>
        </w:rPr>
        <w:t>out</w:t>
      </w:r>
      <w:r w:rsidR="00D22251" w:rsidRPr="002738D9">
        <w:rPr>
          <w:rFonts w:ascii="Arial" w:hAnsi="Arial" w:cs="Arial"/>
          <w:sz w:val="20"/>
          <w:szCs w:val="20"/>
        </w:rPr>
        <w:t xml:space="preserve"> from the second quarter</w:t>
      </w:r>
      <w:r w:rsidR="009963B4" w:rsidRPr="002738D9">
        <w:rPr>
          <w:rFonts w:ascii="Arial" w:hAnsi="Arial" w:cs="Arial"/>
          <w:sz w:val="20"/>
          <w:szCs w:val="20"/>
        </w:rPr>
        <w:t xml:space="preserve">. </w:t>
      </w:r>
    </w:p>
    <w:p w:rsidR="00BB1B41" w:rsidRPr="002738D9" w:rsidRDefault="00BB1B41" w:rsidP="002738D9">
      <w:pPr>
        <w:rPr>
          <w:rFonts w:ascii="Arial" w:hAnsi="Arial" w:cs="Arial"/>
          <w:sz w:val="20"/>
          <w:szCs w:val="20"/>
        </w:rPr>
      </w:pPr>
    </w:p>
    <w:p w:rsidR="0080360D" w:rsidRPr="002738D9" w:rsidRDefault="00F70C88" w:rsidP="002738D9">
      <w:pPr>
        <w:pStyle w:val="ListParagraph"/>
        <w:numPr>
          <w:ilvl w:val="0"/>
          <w:numId w:val="2"/>
        </w:numPr>
        <w:rPr>
          <w:rFonts w:ascii="Arial" w:hAnsi="Arial" w:cs="Arial"/>
          <w:b/>
          <w:sz w:val="20"/>
          <w:szCs w:val="20"/>
        </w:rPr>
      </w:pPr>
      <w:r w:rsidRPr="002738D9">
        <w:rPr>
          <w:rFonts w:ascii="Arial" w:hAnsi="Arial" w:cs="Arial"/>
          <w:b/>
          <w:sz w:val="20"/>
          <w:szCs w:val="20"/>
        </w:rPr>
        <w:t>Observations and</w:t>
      </w:r>
      <w:r w:rsidR="00041F3F" w:rsidRPr="002738D9">
        <w:rPr>
          <w:rFonts w:ascii="Arial" w:hAnsi="Arial" w:cs="Arial"/>
          <w:b/>
          <w:sz w:val="20"/>
          <w:szCs w:val="20"/>
        </w:rPr>
        <w:t xml:space="preserve"> </w:t>
      </w:r>
      <w:r w:rsidR="005B5A57" w:rsidRPr="002738D9">
        <w:rPr>
          <w:rFonts w:ascii="Arial" w:hAnsi="Arial" w:cs="Arial"/>
          <w:b/>
          <w:sz w:val="20"/>
          <w:szCs w:val="20"/>
        </w:rPr>
        <w:t>findings</w:t>
      </w:r>
    </w:p>
    <w:p w:rsidR="00041F3F" w:rsidRPr="002738D9" w:rsidRDefault="00A82587" w:rsidP="002738D9">
      <w:pPr>
        <w:ind w:left="60"/>
        <w:rPr>
          <w:rFonts w:ascii="Arial" w:hAnsi="Arial" w:cs="Arial"/>
          <w:sz w:val="20"/>
          <w:szCs w:val="20"/>
          <w:lang w:val="en-ZA" w:eastAsia="en-ZA"/>
        </w:rPr>
      </w:pPr>
      <w:r w:rsidRPr="002738D9">
        <w:rPr>
          <w:rFonts w:ascii="Arial" w:hAnsi="Arial" w:cs="Arial"/>
          <w:sz w:val="20"/>
          <w:szCs w:val="20"/>
        </w:rPr>
        <w:t>Having</w:t>
      </w:r>
      <w:r w:rsidRPr="002738D9">
        <w:rPr>
          <w:rFonts w:ascii="Arial" w:hAnsi="Arial" w:cs="Arial"/>
          <w:sz w:val="20"/>
          <w:szCs w:val="20"/>
          <w:lang w:val="en-ZA" w:eastAsia="en-ZA"/>
        </w:rPr>
        <w:t xml:space="preserve"> received submissions from </w:t>
      </w:r>
      <w:r w:rsidR="005C3962" w:rsidRPr="002738D9">
        <w:rPr>
          <w:rFonts w:ascii="Arial" w:hAnsi="Arial" w:cs="Arial"/>
          <w:sz w:val="20"/>
          <w:szCs w:val="20"/>
          <w:lang w:val="en-ZA" w:eastAsia="en-ZA"/>
        </w:rPr>
        <w:t xml:space="preserve">the </w:t>
      </w:r>
      <w:r w:rsidRPr="002738D9">
        <w:rPr>
          <w:rFonts w:ascii="Arial" w:hAnsi="Arial" w:cs="Arial"/>
          <w:sz w:val="20"/>
          <w:szCs w:val="20"/>
          <w:lang w:val="en-ZA" w:eastAsia="en-ZA"/>
        </w:rPr>
        <w:t xml:space="preserve">National </w:t>
      </w:r>
      <w:r w:rsidR="005C3962" w:rsidRPr="002738D9">
        <w:rPr>
          <w:rFonts w:ascii="Arial" w:hAnsi="Arial" w:cs="Arial"/>
          <w:sz w:val="20"/>
          <w:szCs w:val="20"/>
          <w:lang w:val="en-ZA" w:eastAsia="en-ZA"/>
        </w:rPr>
        <w:t xml:space="preserve">Treasury </w:t>
      </w:r>
      <w:r w:rsidRPr="002738D9">
        <w:rPr>
          <w:rFonts w:ascii="Arial" w:hAnsi="Arial" w:cs="Arial"/>
          <w:sz w:val="20"/>
          <w:szCs w:val="20"/>
          <w:lang w:val="en-ZA" w:eastAsia="en-ZA"/>
        </w:rPr>
        <w:t>and the Depart</w:t>
      </w:r>
      <w:r w:rsidR="005C3962" w:rsidRPr="002738D9">
        <w:rPr>
          <w:rFonts w:ascii="Arial" w:hAnsi="Arial" w:cs="Arial"/>
          <w:sz w:val="20"/>
          <w:szCs w:val="20"/>
          <w:lang w:val="en-ZA" w:eastAsia="en-ZA"/>
        </w:rPr>
        <w:t>ment of Human Settlements, the C</w:t>
      </w:r>
      <w:r w:rsidRPr="002738D9">
        <w:rPr>
          <w:rFonts w:ascii="Arial" w:hAnsi="Arial" w:cs="Arial"/>
          <w:sz w:val="20"/>
          <w:szCs w:val="20"/>
          <w:lang w:val="en-ZA" w:eastAsia="en-ZA"/>
        </w:rPr>
        <w:t xml:space="preserve">ommittee </w:t>
      </w:r>
      <w:r w:rsidR="005C3962" w:rsidRPr="002738D9">
        <w:rPr>
          <w:rFonts w:ascii="Arial" w:hAnsi="Arial" w:cs="Arial"/>
          <w:sz w:val="20"/>
          <w:szCs w:val="20"/>
          <w:lang w:val="en-ZA" w:eastAsia="en-ZA"/>
        </w:rPr>
        <w:t xml:space="preserve">observed </w:t>
      </w:r>
      <w:r w:rsidR="00041F3F" w:rsidRPr="002738D9">
        <w:rPr>
          <w:rFonts w:ascii="Arial" w:hAnsi="Arial" w:cs="Arial"/>
          <w:sz w:val="20"/>
          <w:szCs w:val="20"/>
          <w:lang w:val="en-ZA" w:eastAsia="en-ZA"/>
        </w:rPr>
        <w:t>the following:</w:t>
      </w:r>
    </w:p>
    <w:p w:rsidR="00A82587" w:rsidRPr="002738D9" w:rsidRDefault="00A82587" w:rsidP="002738D9">
      <w:pPr>
        <w:ind w:left="60"/>
        <w:rPr>
          <w:rFonts w:ascii="Arial" w:hAnsi="Arial" w:cs="Arial"/>
          <w:sz w:val="20"/>
          <w:szCs w:val="20"/>
          <w:lang w:val="en-ZA" w:eastAsia="en-ZA"/>
        </w:rPr>
      </w:pPr>
      <w:r w:rsidRPr="002738D9">
        <w:rPr>
          <w:rFonts w:ascii="Arial" w:hAnsi="Arial" w:cs="Arial"/>
          <w:sz w:val="20"/>
          <w:szCs w:val="20"/>
          <w:lang w:val="en-ZA" w:eastAsia="en-ZA"/>
        </w:rPr>
        <w:t xml:space="preserve">  </w:t>
      </w:r>
    </w:p>
    <w:p w:rsidR="00733F66" w:rsidRPr="002738D9" w:rsidRDefault="003B14F3"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Th</w:t>
      </w:r>
      <w:r w:rsidR="00472EBA" w:rsidRPr="002738D9">
        <w:rPr>
          <w:rFonts w:ascii="Arial" w:hAnsi="Arial" w:cs="Arial"/>
          <w:sz w:val="20"/>
          <w:szCs w:val="20"/>
        </w:rPr>
        <w:t>e</w:t>
      </w:r>
      <w:r w:rsidRPr="002738D9">
        <w:rPr>
          <w:rFonts w:ascii="Arial" w:hAnsi="Arial" w:cs="Arial"/>
          <w:sz w:val="20"/>
          <w:szCs w:val="20"/>
        </w:rPr>
        <w:t xml:space="preserve"> </w:t>
      </w:r>
      <w:r w:rsidR="0061013F" w:rsidRPr="002738D9">
        <w:rPr>
          <w:rFonts w:ascii="Arial" w:hAnsi="Arial" w:cs="Arial"/>
          <w:sz w:val="20"/>
          <w:szCs w:val="20"/>
          <w:lang w:val="en-GB"/>
        </w:rPr>
        <w:t>Grant</w:t>
      </w:r>
      <w:r w:rsidRPr="002738D9">
        <w:rPr>
          <w:rFonts w:ascii="Arial" w:hAnsi="Arial" w:cs="Arial"/>
          <w:sz w:val="20"/>
          <w:szCs w:val="20"/>
        </w:rPr>
        <w:t xml:space="preserve"> framework may </w:t>
      </w:r>
      <w:r w:rsidR="00F44D89" w:rsidRPr="002738D9">
        <w:rPr>
          <w:rFonts w:ascii="Arial" w:hAnsi="Arial" w:cs="Arial"/>
          <w:sz w:val="20"/>
          <w:szCs w:val="20"/>
        </w:rPr>
        <w:t>contain</w:t>
      </w:r>
      <w:r w:rsidRPr="002738D9">
        <w:rPr>
          <w:rFonts w:ascii="Arial" w:hAnsi="Arial" w:cs="Arial"/>
          <w:sz w:val="20"/>
          <w:szCs w:val="20"/>
        </w:rPr>
        <w:t xml:space="preserve"> monitoring and reporting weaknesses which are contributing to poor levels of performance by </w:t>
      </w:r>
      <w:r w:rsidR="00417573" w:rsidRPr="002738D9">
        <w:rPr>
          <w:rFonts w:ascii="Arial" w:hAnsi="Arial" w:cs="Arial"/>
          <w:sz w:val="20"/>
          <w:szCs w:val="20"/>
        </w:rPr>
        <w:t xml:space="preserve">the </w:t>
      </w:r>
      <w:r w:rsidRPr="002738D9">
        <w:rPr>
          <w:rFonts w:ascii="Arial" w:hAnsi="Arial" w:cs="Arial"/>
          <w:sz w:val="20"/>
          <w:szCs w:val="20"/>
        </w:rPr>
        <w:t>majority of provinces. It appear</w:t>
      </w:r>
      <w:r w:rsidR="00F44D89" w:rsidRPr="002738D9">
        <w:rPr>
          <w:rFonts w:ascii="Arial" w:hAnsi="Arial" w:cs="Arial"/>
          <w:sz w:val="20"/>
          <w:szCs w:val="20"/>
        </w:rPr>
        <w:t>s</w:t>
      </w:r>
      <w:r w:rsidR="00472EBA" w:rsidRPr="002738D9">
        <w:rPr>
          <w:rFonts w:ascii="Arial" w:hAnsi="Arial" w:cs="Arial"/>
          <w:sz w:val="20"/>
          <w:szCs w:val="20"/>
        </w:rPr>
        <w:t xml:space="preserve"> </w:t>
      </w:r>
      <w:r w:rsidRPr="002738D9">
        <w:rPr>
          <w:rFonts w:ascii="Arial" w:hAnsi="Arial" w:cs="Arial"/>
          <w:sz w:val="20"/>
          <w:szCs w:val="20"/>
        </w:rPr>
        <w:t xml:space="preserve">as if the business plans are not complied with and as such, </w:t>
      </w:r>
      <w:r w:rsidR="00F44D89" w:rsidRPr="002738D9">
        <w:rPr>
          <w:rFonts w:ascii="Arial" w:hAnsi="Arial" w:cs="Arial"/>
          <w:sz w:val="20"/>
          <w:szCs w:val="20"/>
        </w:rPr>
        <w:t xml:space="preserve">the </w:t>
      </w:r>
      <w:r w:rsidRPr="002738D9">
        <w:rPr>
          <w:rFonts w:ascii="Arial" w:hAnsi="Arial" w:cs="Arial"/>
          <w:sz w:val="20"/>
          <w:szCs w:val="20"/>
        </w:rPr>
        <w:t>risk of potential under</w:t>
      </w:r>
      <w:r w:rsidR="00417573" w:rsidRPr="002738D9">
        <w:rPr>
          <w:rFonts w:ascii="Arial" w:hAnsi="Arial" w:cs="Arial"/>
          <w:sz w:val="20"/>
          <w:szCs w:val="20"/>
        </w:rPr>
        <w:t>-</w:t>
      </w:r>
      <w:r w:rsidR="00F44D89" w:rsidRPr="002738D9">
        <w:rPr>
          <w:rFonts w:ascii="Arial" w:hAnsi="Arial" w:cs="Arial"/>
          <w:sz w:val="20"/>
          <w:szCs w:val="20"/>
        </w:rPr>
        <w:t>spending by provinces is</w:t>
      </w:r>
      <w:r w:rsidRPr="002738D9">
        <w:rPr>
          <w:rFonts w:ascii="Arial" w:hAnsi="Arial" w:cs="Arial"/>
          <w:sz w:val="20"/>
          <w:szCs w:val="20"/>
        </w:rPr>
        <w:t xml:space="preserve"> </w:t>
      </w:r>
      <w:r w:rsidR="00397090" w:rsidRPr="002738D9">
        <w:rPr>
          <w:rFonts w:ascii="Arial" w:hAnsi="Arial" w:cs="Arial"/>
          <w:sz w:val="20"/>
          <w:szCs w:val="20"/>
        </w:rPr>
        <w:t xml:space="preserve">not </w:t>
      </w:r>
      <w:r w:rsidR="00F44D89" w:rsidRPr="002738D9">
        <w:rPr>
          <w:rFonts w:ascii="Arial" w:hAnsi="Arial" w:cs="Arial"/>
          <w:sz w:val="20"/>
          <w:szCs w:val="20"/>
        </w:rPr>
        <w:t>detected</w:t>
      </w:r>
      <w:r w:rsidRPr="002738D9">
        <w:rPr>
          <w:rFonts w:ascii="Arial" w:hAnsi="Arial" w:cs="Arial"/>
          <w:sz w:val="20"/>
          <w:szCs w:val="20"/>
        </w:rPr>
        <w:t xml:space="preserve"> early. </w:t>
      </w:r>
    </w:p>
    <w:p w:rsidR="009A4D45" w:rsidRPr="002738D9" w:rsidRDefault="009A4D45" w:rsidP="002738D9">
      <w:pPr>
        <w:pStyle w:val="ListParagraph"/>
        <w:ind w:left="709"/>
        <w:rPr>
          <w:rFonts w:ascii="Arial" w:hAnsi="Arial" w:cs="Arial"/>
          <w:sz w:val="20"/>
          <w:szCs w:val="20"/>
        </w:rPr>
      </w:pPr>
    </w:p>
    <w:p w:rsidR="00472EBA" w:rsidRPr="002738D9" w:rsidRDefault="00472EBA"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T</w:t>
      </w:r>
      <w:r w:rsidR="00CF15F0" w:rsidRPr="002738D9">
        <w:rPr>
          <w:rFonts w:ascii="Arial" w:hAnsi="Arial" w:cs="Arial"/>
          <w:sz w:val="20"/>
          <w:szCs w:val="20"/>
        </w:rPr>
        <w:t>h</w:t>
      </w:r>
      <w:r w:rsidRPr="002738D9">
        <w:rPr>
          <w:rFonts w:ascii="Arial" w:hAnsi="Arial" w:cs="Arial"/>
          <w:sz w:val="20"/>
          <w:szCs w:val="20"/>
        </w:rPr>
        <w:t>ere may be shortcoming</w:t>
      </w:r>
      <w:r w:rsidR="00417573" w:rsidRPr="002738D9">
        <w:rPr>
          <w:rFonts w:ascii="Arial" w:hAnsi="Arial" w:cs="Arial"/>
          <w:sz w:val="20"/>
          <w:szCs w:val="20"/>
        </w:rPr>
        <w:t>s</w:t>
      </w:r>
      <w:r w:rsidRPr="002738D9">
        <w:rPr>
          <w:rFonts w:ascii="Arial" w:hAnsi="Arial" w:cs="Arial"/>
          <w:sz w:val="20"/>
          <w:szCs w:val="20"/>
        </w:rPr>
        <w:t xml:space="preserve"> in the process of approving business plans by the </w:t>
      </w:r>
      <w:r w:rsidR="0061013F" w:rsidRPr="002738D9">
        <w:rPr>
          <w:rFonts w:ascii="Arial" w:hAnsi="Arial" w:cs="Arial"/>
          <w:sz w:val="20"/>
          <w:szCs w:val="20"/>
        </w:rPr>
        <w:t>DHS</w:t>
      </w:r>
      <w:r w:rsidRPr="002738D9">
        <w:rPr>
          <w:rFonts w:ascii="Arial" w:hAnsi="Arial" w:cs="Arial"/>
          <w:sz w:val="20"/>
          <w:szCs w:val="20"/>
        </w:rPr>
        <w:t xml:space="preserve">. The process of ensuring that business plans contain all the relevant </w:t>
      </w:r>
      <w:r w:rsidR="00417573" w:rsidRPr="002738D9">
        <w:rPr>
          <w:rFonts w:ascii="Arial" w:hAnsi="Arial" w:cs="Arial"/>
          <w:sz w:val="20"/>
          <w:szCs w:val="20"/>
        </w:rPr>
        <w:t xml:space="preserve">information </w:t>
      </w:r>
      <w:r w:rsidRPr="002738D9">
        <w:rPr>
          <w:rFonts w:ascii="Arial" w:hAnsi="Arial" w:cs="Arial"/>
          <w:sz w:val="20"/>
          <w:szCs w:val="20"/>
        </w:rPr>
        <w:t xml:space="preserve">and the length of interaction periods between the </w:t>
      </w:r>
      <w:r w:rsidR="00417573" w:rsidRPr="002738D9">
        <w:rPr>
          <w:rFonts w:ascii="Arial" w:hAnsi="Arial" w:cs="Arial"/>
          <w:sz w:val="20"/>
          <w:szCs w:val="20"/>
        </w:rPr>
        <w:t>DHS</w:t>
      </w:r>
      <w:r w:rsidRPr="002738D9">
        <w:rPr>
          <w:rFonts w:ascii="Arial" w:hAnsi="Arial" w:cs="Arial"/>
          <w:sz w:val="20"/>
          <w:szCs w:val="20"/>
        </w:rPr>
        <w:t xml:space="preserve"> and provinces could be </w:t>
      </w:r>
      <w:r w:rsidR="00417573" w:rsidRPr="002738D9">
        <w:rPr>
          <w:rFonts w:ascii="Arial" w:hAnsi="Arial" w:cs="Arial"/>
          <w:sz w:val="20"/>
          <w:szCs w:val="20"/>
        </w:rPr>
        <w:t>a</w:t>
      </w:r>
      <w:r w:rsidRPr="002738D9">
        <w:rPr>
          <w:rFonts w:ascii="Arial" w:hAnsi="Arial" w:cs="Arial"/>
          <w:sz w:val="20"/>
          <w:szCs w:val="20"/>
        </w:rPr>
        <w:t xml:space="preserve"> contributing factor to the high under-expenditure by most pr</w:t>
      </w:r>
      <w:r w:rsidR="00417573" w:rsidRPr="002738D9">
        <w:rPr>
          <w:rFonts w:ascii="Arial" w:hAnsi="Arial" w:cs="Arial"/>
          <w:sz w:val="20"/>
          <w:szCs w:val="20"/>
        </w:rPr>
        <w:t xml:space="preserve">ovinces in the first quarter of the </w:t>
      </w:r>
      <w:r w:rsidR="00FC4473" w:rsidRPr="002738D9">
        <w:rPr>
          <w:rFonts w:ascii="Arial" w:hAnsi="Arial" w:cs="Arial"/>
          <w:sz w:val="20"/>
          <w:szCs w:val="20"/>
        </w:rPr>
        <w:t>2022/23 financial year.</w:t>
      </w:r>
    </w:p>
    <w:p w:rsidR="009A4D45" w:rsidRPr="002738D9" w:rsidRDefault="009A4D45" w:rsidP="002738D9">
      <w:pPr>
        <w:pStyle w:val="ListParagraph"/>
        <w:ind w:left="709"/>
        <w:rPr>
          <w:rFonts w:ascii="Arial" w:hAnsi="Arial" w:cs="Arial"/>
          <w:sz w:val="20"/>
          <w:szCs w:val="20"/>
        </w:rPr>
      </w:pPr>
    </w:p>
    <w:p w:rsidR="00A82587" w:rsidRPr="002738D9" w:rsidRDefault="006128DA"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lastRenderedPageBreak/>
        <w:t>Th</w:t>
      </w:r>
      <w:r w:rsidR="00CF15F0" w:rsidRPr="002738D9">
        <w:rPr>
          <w:rFonts w:ascii="Arial" w:hAnsi="Arial" w:cs="Arial"/>
          <w:sz w:val="20"/>
          <w:szCs w:val="20"/>
        </w:rPr>
        <w:t>e</w:t>
      </w:r>
      <w:r w:rsidR="00FC4473" w:rsidRPr="002738D9">
        <w:rPr>
          <w:rFonts w:ascii="Arial" w:hAnsi="Arial" w:cs="Arial"/>
          <w:sz w:val="20"/>
          <w:szCs w:val="20"/>
        </w:rPr>
        <w:t xml:space="preserve"> Committee is concerned over the </w:t>
      </w:r>
      <w:r w:rsidRPr="002738D9">
        <w:rPr>
          <w:rFonts w:ascii="Arial" w:hAnsi="Arial" w:cs="Arial"/>
          <w:sz w:val="20"/>
          <w:szCs w:val="20"/>
        </w:rPr>
        <w:t>po</w:t>
      </w:r>
      <w:r w:rsidR="00BA45CB" w:rsidRPr="002738D9">
        <w:rPr>
          <w:rFonts w:ascii="Arial" w:hAnsi="Arial" w:cs="Arial"/>
          <w:sz w:val="20"/>
          <w:szCs w:val="20"/>
        </w:rPr>
        <w:t>tential insta</w:t>
      </w:r>
      <w:r w:rsidRPr="002738D9">
        <w:rPr>
          <w:rFonts w:ascii="Arial" w:hAnsi="Arial" w:cs="Arial"/>
          <w:sz w:val="20"/>
          <w:szCs w:val="20"/>
        </w:rPr>
        <w:t xml:space="preserve">nces </w:t>
      </w:r>
      <w:r w:rsidR="00417573" w:rsidRPr="002738D9">
        <w:rPr>
          <w:rFonts w:ascii="Arial" w:hAnsi="Arial" w:cs="Arial"/>
          <w:sz w:val="20"/>
          <w:szCs w:val="20"/>
        </w:rPr>
        <w:t>of fiscal dumping</w:t>
      </w:r>
      <w:r w:rsidR="00FC4473" w:rsidRPr="002738D9">
        <w:rPr>
          <w:rFonts w:ascii="Arial" w:hAnsi="Arial" w:cs="Arial"/>
          <w:sz w:val="20"/>
          <w:szCs w:val="20"/>
        </w:rPr>
        <w:t>,</w:t>
      </w:r>
      <w:r w:rsidR="00417573" w:rsidRPr="002738D9">
        <w:rPr>
          <w:rFonts w:ascii="Arial" w:hAnsi="Arial" w:cs="Arial"/>
          <w:sz w:val="20"/>
          <w:szCs w:val="20"/>
        </w:rPr>
        <w:t xml:space="preserve"> where</w:t>
      </w:r>
      <w:r w:rsidRPr="002738D9">
        <w:rPr>
          <w:rFonts w:ascii="Arial" w:hAnsi="Arial" w:cs="Arial"/>
          <w:sz w:val="20"/>
          <w:szCs w:val="20"/>
        </w:rPr>
        <w:t xml:space="preserve"> </w:t>
      </w:r>
      <w:r w:rsidR="00417573" w:rsidRPr="002738D9">
        <w:rPr>
          <w:rFonts w:ascii="Arial" w:hAnsi="Arial" w:cs="Arial"/>
          <w:sz w:val="20"/>
          <w:szCs w:val="20"/>
        </w:rPr>
        <w:t xml:space="preserve">funds transferred by </w:t>
      </w:r>
      <w:r w:rsidRPr="002738D9">
        <w:rPr>
          <w:rFonts w:ascii="Arial" w:hAnsi="Arial" w:cs="Arial"/>
          <w:sz w:val="20"/>
          <w:szCs w:val="20"/>
        </w:rPr>
        <w:t>provinces</w:t>
      </w:r>
      <w:r w:rsidR="00417573" w:rsidRPr="002738D9">
        <w:rPr>
          <w:rFonts w:ascii="Arial" w:hAnsi="Arial" w:cs="Arial"/>
          <w:sz w:val="20"/>
          <w:szCs w:val="20"/>
        </w:rPr>
        <w:t xml:space="preserve"> </w:t>
      </w:r>
      <w:r w:rsidRPr="002738D9">
        <w:rPr>
          <w:rFonts w:ascii="Arial" w:hAnsi="Arial" w:cs="Arial"/>
          <w:sz w:val="20"/>
          <w:szCs w:val="20"/>
        </w:rPr>
        <w:t>to implementing agents</w:t>
      </w:r>
      <w:r w:rsidR="00D658FA" w:rsidRPr="002738D9">
        <w:rPr>
          <w:rFonts w:ascii="Arial" w:hAnsi="Arial" w:cs="Arial"/>
          <w:sz w:val="20"/>
          <w:szCs w:val="20"/>
        </w:rPr>
        <w:t xml:space="preserve"> (provincial </w:t>
      </w:r>
      <w:r w:rsidR="00417573" w:rsidRPr="002738D9">
        <w:rPr>
          <w:rFonts w:ascii="Arial" w:hAnsi="Arial" w:cs="Arial"/>
          <w:sz w:val="20"/>
          <w:szCs w:val="20"/>
        </w:rPr>
        <w:t>housing d</w:t>
      </w:r>
      <w:r w:rsidR="00D658FA" w:rsidRPr="002738D9">
        <w:rPr>
          <w:rFonts w:ascii="Arial" w:hAnsi="Arial" w:cs="Arial"/>
          <w:sz w:val="20"/>
          <w:szCs w:val="20"/>
        </w:rPr>
        <w:t xml:space="preserve">evelopment </w:t>
      </w:r>
      <w:r w:rsidR="00417573" w:rsidRPr="002738D9">
        <w:rPr>
          <w:rFonts w:ascii="Arial" w:hAnsi="Arial" w:cs="Arial"/>
          <w:sz w:val="20"/>
          <w:szCs w:val="20"/>
        </w:rPr>
        <w:t>a</w:t>
      </w:r>
      <w:r w:rsidR="00D658FA" w:rsidRPr="002738D9">
        <w:rPr>
          <w:rFonts w:ascii="Arial" w:hAnsi="Arial" w:cs="Arial"/>
          <w:sz w:val="20"/>
          <w:szCs w:val="20"/>
        </w:rPr>
        <w:t>gencies)</w:t>
      </w:r>
      <w:r w:rsidRPr="002738D9">
        <w:rPr>
          <w:rFonts w:ascii="Arial" w:hAnsi="Arial" w:cs="Arial"/>
          <w:sz w:val="20"/>
          <w:szCs w:val="20"/>
        </w:rPr>
        <w:t xml:space="preserve"> </w:t>
      </w:r>
      <w:r w:rsidR="00417573" w:rsidRPr="002738D9">
        <w:rPr>
          <w:rFonts w:ascii="Arial" w:hAnsi="Arial" w:cs="Arial"/>
          <w:sz w:val="20"/>
          <w:szCs w:val="20"/>
        </w:rPr>
        <w:t xml:space="preserve">are </w:t>
      </w:r>
      <w:r w:rsidRPr="002738D9">
        <w:rPr>
          <w:rFonts w:ascii="Arial" w:hAnsi="Arial" w:cs="Arial"/>
          <w:sz w:val="20"/>
          <w:szCs w:val="20"/>
        </w:rPr>
        <w:t>report</w:t>
      </w:r>
      <w:r w:rsidR="00417573" w:rsidRPr="002738D9">
        <w:rPr>
          <w:rFonts w:ascii="Arial" w:hAnsi="Arial" w:cs="Arial"/>
          <w:sz w:val="20"/>
          <w:szCs w:val="20"/>
        </w:rPr>
        <w:t xml:space="preserve">ed as </w:t>
      </w:r>
      <w:r w:rsidRPr="002738D9">
        <w:rPr>
          <w:rFonts w:ascii="Arial" w:hAnsi="Arial" w:cs="Arial"/>
          <w:sz w:val="20"/>
          <w:szCs w:val="20"/>
        </w:rPr>
        <w:t>expenditure</w:t>
      </w:r>
      <w:r w:rsidR="00BA45CB" w:rsidRPr="002738D9">
        <w:rPr>
          <w:rFonts w:ascii="Arial" w:hAnsi="Arial" w:cs="Arial"/>
          <w:sz w:val="20"/>
          <w:szCs w:val="20"/>
        </w:rPr>
        <w:t xml:space="preserve"> when</w:t>
      </w:r>
      <w:r w:rsidR="00417573" w:rsidRPr="002738D9">
        <w:rPr>
          <w:rFonts w:ascii="Arial" w:hAnsi="Arial" w:cs="Arial"/>
          <w:sz w:val="20"/>
          <w:szCs w:val="20"/>
        </w:rPr>
        <w:t>,</w:t>
      </w:r>
      <w:r w:rsidR="00BA45CB" w:rsidRPr="002738D9">
        <w:rPr>
          <w:rFonts w:ascii="Arial" w:hAnsi="Arial" w:cs="Arial"/>
          <w:sz w:val="20"/>
          <w:szCs w:val="20"/>
        </w:rPr>
        <w:t xml:space="preserve"> in actual fact</w:t>
      </w:r>
      <w:r w:rsidR="00417573" w:rsidRPr="002738D9">
        <w:rPr>
          <w:rFonts w:ascii="Arial" w:hAnsi="Arial" w:cs="Arial"/>
          <w:sz w:val="20"/>
          <w:szCs w:val="20"/>
        </w:rPr>
        <w:t>,</w:t>
      </w:r>
      <w:r w:rsidR="00BA45CB" w:rsidRPr="002738D9">
        <w:rPr>
          <w:rFonts w:ascii="Arial" w:hAnsi="Arial" w:cs="Arial"/>
          <w:sz w:val="20"/>
          <w:szCs w:val="20"/>
        </w:rPr>
        <w:t xml:space="preserve"> such funds had not </w:t>
      </w:r>
      <w:r w:rsidR="00417573" w:rsidRPr="002738D9">
        <w:rPr>
          <w:rFonts w:ascii="Arial" w:hAnsi="Arial" w:cs="Arial"/>
          <w:sz w:val="20"/>
          <w:szCs w:val="20"/>
        </w:rPr>
        <w:t xml:space="preserve">necessarily </w:t>
      </w:r>
      <w:r w:rsidR="00BA45CB" w:rsidRPr="002738D9">
        <w:rPr>
          <w:rFonts w:ascii="Arial" w:hAnsi="Arial" w:cs="Arial"/>
          <w:sz w:val="20"/>
          <w:szCs w:val="20"/>
        </w:rPr>
        <w:t xml:space="preserve">been spent. </w:t>
      </w:r>
      <w:r w:rsidR="00FB6B21" w:rsidRPr="002738D9">
        <w:rPr>
          <w:rFonts w:ascii="Arial" w:hAnsi="Arial" w:cs="Arial"/>
          <w:sz w:val="20"/>
          <w:szCs w:val="20"/>
        </w:rPr>
        <w:t>While noting the measures the DHS is reportedly taking to mitigate that risk, the Committee may still decide to invite</w:t>
      </w:r>
      <w:r w:rsidR="00FB6B21" w:rsidRPr="002738D9">
        <w:rPr>
          <w:rFonts w:ascii="Arial" w:hAnsi="Arial" w:cs="Arial"/>
          <w:sz w:val="20"/>
          <w:szCs w:val="20"/>
          <w:lang w:val="en-GB"/>
        </w:rPr>
        <w:t xml:space="preserve"> some of the IAs to report on their expenditure and deliverables</w:t>
      </w:r>
      <w:r w:rsidR="00FB6B21" w:rsidRPr="002738D9">
        <w:rPr>
          <w:rFonts w:ascii="Arial" w:hAnsi="Arial" w:cs="Arial"/>
          <w:sz w:val="20"/>
          <w:szCs w:val="20"/>
        </w:rPr>
        <w:t>.</w:t>
      </w:r>
    </w:p>
    <w:p w:rsidR="009A4D45" w:rsidRPr="002738D9" w:rsidRDefault="009A4D45" w:rsidP="002738D9">
      <w:pPr>
        <w:pStyle w:val="ListParagraph"/>
        <w:ind w:left="709"/>
        <w:rPr>
          <w:rFonts w:ascii="Arial" w:hAnsi="Arial" w:cs="Arial"/>
          <w:sz w:val="20"/>
          <w:szCs w:val="20"/>
        </w:rPr>
      </w:pPr>
    </w:p>
    <w:p w:rsidR="00EE4593" w:rsidRPr="002738D9" w:rsidRDefault="00417573"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Provincial spending</w:t>
      </w:r>
      <w:r w:rsidR="00E325AE" w:rsidRPr="002738D9">
        <w:rPr>
          <w:rFonts w:ascii="Arial" w:hAnsi="Arial" w:cs="Arial"/>
          <w:sz w:val="20"/>
          <w:szCs w:val="20"/>
        </w:rPr>
        <w:t xml:space="preserve"> o</w:t>
      </w:r>
      <w:r w:rsidR="00A814AB" w:rsidRPr="002738D9">
        <w:rPr>
          <w:rFonts w:ascii="Arial" w:hAnsi="Arial" w:cs="Arial"/>
          <w:sz w:val="20"/>
          <w:szCs w:val="20"/>
        </w:rPr>
        <w:t>n</w:t>
      </w:r>
      <w:r w:rsidR="00E325AE" w:rsidRPr="002738D9">
        <w:rPr>
          <w:rFonts w:ascii="Arial" w:hAnsi="Arial" w:cs="Arial"/>
          <w:sz w:val="20"/>
          <w:szCs w:val="20"/>
        </w:rPr>
        <w:t xml:space="preserve"> this </w:t>
      </w:r>
      <w:r w:rsidR="004D432F" w:rsidRPr="002738D9">
        <w:rPr>
          <w:rFonts w:ascii="Arial" w:hAnsi="Arial" w:cs="Arial"/>
          <w:sz w:val="20"/>
          <w:szCs w:val="20"/>
        </w:rPr>
        <w:t>Grant</w:t>
      </w:r>
      <w:r w:rsidR="00E325AE" w:rsidRPr="002738D9">
        <w:rPr>
          <w:rFonts w:ascii="Arial" w:hAnsi="Arial" w:cs="Arial"/>
          <w:sz w:val="20"/>
          <w:szCs w:val="20"/>
        </w:rPr>
        <w:t xml:space="preserve"> in the first quarter of </w:t>
      </w:r>
      <w:r w:rsidRPr="002738D9">
        <w:rPr>
          <w:rFonts w:ascii="Arial" w:hAnsi="Arial" w:cs="Arial"/>
          <w:sz w:val="20"/>
          <w:szCs w:val="20"/>
        </w:rPr>
        <w:t xml:space="preserve">the </w:t>
      </w:r>
      <w:r w:rsidR="00E325AE" w:rsidRPr="002738D9">
        <w:rPr>
          <w:rFonts w:ascii="Arial" w:hAnsi="Arial" w:cs="Arial"/>
          <w:sz w:val="20"/>
          <w:szCs w:val="20"/>
        </w:rPr>
        <w:t xml:space="preserve">2022/23 financial year </w:t>
      </w:r>
      <w:r w:rsidR="00A814AB" w:rsidRPr="002738D9">
        <w:rPr>
          <w:rFonts w:ascii="Arial" w:hAnsi="Arial" w:cs="Arial"/>
          <w:sz w:val="20"/>
          <w:szCs w:val="20"/>
        </w:rPr>
        <w:t xml:space="preserve">was extremely low for </w:t>
      </w:r>
      <w:r w:rsidR="00E325AE" w:rsidRPr="002738D9">
        <w:rPr>
          <w:rFonts w:ascii="Arial" w:hAnsi="Arial" w:cs="Arial"/>
          <w:sz w:val="20"/>
          <w:szCs w:val="20"/>
        </w:rPr>
        <w:t xml:space="preserve">a country </w:t>
      </w:r>
      <w:r w:rsidR="00397090" w:rsidRPr="002738D9">
        <w:rPr>
          <w:rFonts w:ascii="Arial" w:hAnsi="Arial" w:cs="Arial"/>
          <w:sz w:val="20"/>
          <w:szCs w:val="20"/>
        </w:rPr>
        <w:t xml:space="preserve">with </w:t>
      </w:r>
      <w:r w:rsidR="00E325AE" w:rsidRPr="002738D9">
        <w:rPr>
          <w:rFonts w:ascii="Arial" w:hAnsi="Arial" w:cs="Arial"/>
          <w:sz w:val="20"/>
          <w:szCs w:val="20"/>
        </w:rPr>
        <w:t xml:space="preserve">informal settlements </w:t>
      </w:r>
      <w:r w:rsidR="00EE4593" w:rsidRPr="002738D9">
        <w:rPr>
          <w:rFonts w:ascii="Arial" w:hAnsi="Arial" w:cs="Arial"/>
          <w:sz w:val="20"/>
          <w:szCs w:val="20"/>
        </w:rPr>
        <w:t xml:space="preserve">continuously </w:t>
      </w:r>
      <w:r w:rsidR="00E325AE" w:rsidRPr="002738D9">
        <w:rPr>
          <w:rFonts w:ascii="Arial" w:hAnsi="Arial" w:cs="Arial"/>
          <w:sz w:val="20"/>
          <w:szCs w:val="20"/>
        </w:rPr>
        <w:t>mushrooming</w:t>
      </w:r>
      <w:r w:rsidR="00EE4593" w:rsidRPr="002738D9">
        <w:rPr>
          <w:rFonts w:ascii="Arial" w:hAnsi="Arial" w:cs="Arial"/>
          <w:sz w:val="20"/>
          <w:szCs w:val="20"/>
        </w:rPr>
        <w:t xml:space="preserve">. The Committee found it </w:t>
      </w:r>
      <w:r w:rsidRPr="002738D9">
        <w:rPr>
          <w:rFonts w:ascii="Arial" w:hAnsi="Arial" w:cs="Arial"/>
          <w:sz w:val="20"/>
          <w:szCs w:val="20"/>
        </w:rPr>
        <w:t xml:space="preserve">concerning that the </w:t>
      </w:r>
      <w:r w:rsidR="00E325AE" w:rsidRPr="002738D9">
        <w:rPr>
          <w:rFonts w:ascii="Arial" w:hAnsi="Arial" w:cs="Arial"/>
          <w:sz w:val="20"/>
          <w:szCs w:val="20"/>
        </w:rPr>
        <w:t>Eastern Cape</w:t>
      </w:r>
      <w:r w:rsidR="00EE4593" w:rsidRPr="002738D9">
        <w:rPr>
          <w:rFonts w:ascii="Arial" w:hAnsi="Arial" w:cs="Arial"/>
          <w:sz w:val="20"/>
          <w:szCs w:val="20"/>
        </w:rPr>
        <w:t xml:space="preserve"> </w:t>
      </w:r>
      <w:r w:rsidRPr="002738D9">
        <w:rPr>
          <w:rFonts w:ascii="Arial" w:hAnsi="Arial" w:cs="Arial"/>
          <w:sz w:val="20"/>
          <w:szCs w:val="20"/>
        </w:rPr>
        <w:t xml:space="preserve">had recorded zero expenditure and that most </w:t>
      </w:r>
      <w:r w:rsidR="00E325AE" w:rsidRPr="002738D9">
        <w:rPr>
          <w:rFonts w:ascii="Arial" w:hAnsi="Arial" w:cs="Arial"/>
          <w:sz w:val="20"/>
          <w:szCs w:val="20"/>
        </w:rPr>
        <w:t>provinces ha</w:t>
      </w:r>
      <w:r w:rsidRPr="002738D9">
        <w:rPr>
          <w:rFonts w:ascii="Arial" w:hAnsi="Arial" w:cs="Arial"/>
          <w:sz w:val="20"/>
          <w:szCs w:val="20"/>
        </w:rPr>
        <w:t xml:space="preserve">d </w:t>
      </w:r>
      <w:r w:rsidR="00E325AE" w:rsidRPr="002738D9">
        <w:rPr>
          <w:rFonts w:ascii="Arial" w:hAnsi="Arial" w:cs="Arial"/>
          <w:sz w:val="20"/>
          <w:szCs w:val="20"/>
        </w:rPr>
        <w:t xml:space="preserve">not </w:t>
      </w:r>
      <w:r w:rsidRPr="002738D9">
        <w:rPr>
          <w:rFonts w:ascii="Arial" w:hAnsi="Arial" w:cs="Arial"/>
          <w:sz w:val="20"/>
          <w:szCs w:val="20"/>
        </w:rPr>
        <w:t xml:space="preserve">performed </w:t>
      </w:r>
      <w:r w:rsidR="00E325AE" w:rsidRPr="002738D9">
        <w:rPr>
          <w:rFonts w:ascii="Arial" w:hAnsi="Arial" w:cs="Arial"/>
          <w:sz w:val="20"/>
          <w:szCs w:val="20"/>
        </w:rPr>
        <w:t xml:space="preserve">well, </w:t>
      </w:r>
      <w:r w:rsidRPr="002738D9">
        <w:rPr>
          <w:rFonts w:ascii="Arial" w:hAnsi="Arial" w:cs="Arial"/>
          <w:sz w:val="20"/>
          <w:szCs w:val="20"/>
        </w:rPr>
        <w:t xml:space="preserve">with the </w:t>
      </w:r>
      <w:r w:rsidR="00E325AE" w:rsidRPr="002738D9">
        <w:rPr>
          <w:rFonts w:ascii="Arial" w:hAnsi="Arial" w:cs="Arial"/>
          <w:sz w:val="20"/>
          <w:szCs w:val="20"/>
        </w:rPr>
        <w:t xml:space="preserve">Free State </w:t>
      </w:r>
      <w:r w:rsidRPr="002738D9">
        <w:rPr>
          <w:rFonts w:ascii="Arial" w:hAnsi="Arial" w:cs="Arial"/>
          <w:sz w:val="20"/>
          <w:szCs w:val="20"/>
        </w:rPr>
        <w:t>spending o</w:t>
      </w:r>
      <w:r w:rsidR="00E325AE" w:rsidRPr="002738D9">
        <w:rPr>
          <w:rFonts w:ascii="Arial" w:hAnsi="Arial" w:cs="Arial"/>
          <w:sz w:val="20"/>
          <w:szCs w:val="20"/>
        </w:rPr>
        <w:t>nly 6</w:t>
      </w:r>
      <w:r w:rsidRPr="002738D9">
        <w:rPr>
          <w:rFonts w:ascii="Arial" w:hAnsi="Arial" w:cs="Arial"/>
          <w:sz w:val="20"/>
          <w:szCs w:val="20"/>
        </w:rPr>
        <w:t xml:space="preserve"> percent of its total allocation; </w:t>
      </w:r>
      <w:r w:rsidR="00E325AE" w:rsidRPr="002738D9">
        <w:rPr>
          <w:rFonts w:ascii="Arial" w:hAnsi="Arial" w:cs="Arial"/>
          <w:sz w:val="20"/>
          <w:szCs w:val="20"/>
        </w:rPr>
        <w:t xml:space="preserve">Gauteng </w:t>
      </w:r>
      <w:r w:rsidRPr="002738D9">
        <w:rPr>
          <w:rFonts w:ascii="Arial" w:hAnsi="Arial" w:cs="Arial"/>
          <w:sz w:val="20"/>
          <w:szCs w:val="20"/>
        </w:rPr>
        <w:t>spending 2 percent, KwaZulu-Natal 5 percent</w:t>
      </w:r>
      <w:r w:rsidR="00E325AE" w:rsidRPr="002738D9">
        <w:rPr>
          <w:rFonts w:ascii="Arial" w:hAnsi="Arial" w:cs="Arial"/>
          <w:sz w:val="20"/>
          <w:szCs w:val="20"/>
        </w:rPr>
        <w:t xml:space="preserve"> and Limpopo only 10</w:t>
      </w:r>
      <w:r w:rsidRPr="002738D9">
        <w:rPr>
          <w:rFonts w:ascii="Arial" w:hAnsi="Arial" w:cs="Arial"/>
          <w:sz w:val="20"/>
          <w:szCs w:val="20"/>
        </w:rPr>
        <w:t xml:space="preserve"> percent.</w:t>
      </w:r>
    </w:p>
    <w:p w:rsidR="009A4D45" w:rsidRPr="002738D9" w:rsidRDefault="009A4D45" w:rsidP="002738D9">
      <w:pPr>
        <w:pStyle w:val="ListParagraph"/>
        <w:ind w:left="709"/>
        <w:rPr>
          <w:rFonts w:ascii="Arial" w:hAnsi="Arial" w:cs="Arial"/>
          <w:sz w:val="20"/>
          <w:szCs w:val="20"/>
        </w:rPr>
      </w:pPr>
    </w:p>
    <w:p w:rsidR="00986852" w:rsidRPr="002738D9" w:rsidRDefault="00E325AE"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 xml:space="preserve">The Committee </w:t>
      </w:r>
      <w:r w:rsidR="0041463A" w:rsidRPr="002738D9">
        <w:rPr>
          <w:rFonts w:ascii="Arial" w:hAnsi="Arial" w:cs="Arial"/>
          <w:sz w:val="20"/>
          <w:szCs w:val="20"/>
        </w:rPr>
        <w:t>i</w:t>
      </w:r>
      <w:r w:rsidR="00EE4593" w:rsidRPr="002738D9">
        <w:rPr>
          <w:rFonts w:ascii="Arial" w:hAnsi="Arial" w:cs="Arial"/>
          <w:sz w:val="20"/>
          <w:szCs w:val="20"/>
        </w:rPr>
        <w:t xml:space="preserve">s concerned </w:t>
      </w:r>
      <w:r w:rsidR="00C017B6" w:rsidRPr="002738D9">
        <w:rPr>
          <w:rFonts w:ascii="Arial" w:hAnsi="Arial" w:cs="Arial"/>
          <w:sz w:val="20"/>
          <w:szCs w:val="20"/>
        </w:rPr>
        <w:t xml:space="preserve">about the design and timeframes of the </w:t>
      </w:r>
      <w:r w:rsidRPr="002738D9">
        <w:rPr>
          <w:rFonts w:ascii="Arial" w:hAnsi="Arial" w:cs="Arial"/>
          <w:sz w:val="20"/>
          <w:szCs w:val="20"/>
        </w:rPr>
        <w:t>business plans</w:t>
      </w:r>
      <w:r w:rsidR="00EE4593" w:rsidRPr="002738D9">
        <w:rPr>
          <w:rFonts w:ascii="Arial" w:hAnsi="Arial" w:cs="Arial"/>
          <w:sz w:val="20"/>
          <w:szCs w:val="20"/>
        </w:rPr>
        <w:t xml:space="preserve"> </w:t>
      </w:r>
      <w:r w:rsidR="00C017B6" w:rsidRPr="002738D9">
        <w:rPr>
          <w:rFonts w:ascii="Arial" w:hAnsi="Arial" w:cs="Arial"/>
          <w:sz w:val="20"/>
          <w:szCs w:val="20"/>
        </w:rPr>
        <w:t>o</w:t>
      </w:r>
      <w:r w:rsidRPr="002738D9">
        <w:rPr>
          <w:rFonts w:ascii="Arial" w:hAnsi="Arial" w:cs="Arial"/>
          <w:sz w:val="20"/>
          <w:szCs w:val="20"/>
        </w:rPr>
        <w:t>f the under</w:t>
      </w:r>
      <w:r w:rsidR="00C017B6" w:rsidRPr="002738D9">
        <w:rPr>
          <w:rFonts w:ascii="Arial" w:hAnsi="Arial" w:cs="Arial"/>
          <w:sz w:val="20"/>
          <w:szCs w:val="20"/>
        </w:rPr>
        <w:t>-performing provinces</w:t>
      </w:r>
      <w:r w:rsidR="00EE4593" w:rsidRPr="002738D9">
        <w:rPr>
          <w:rFonts w:ascii="Arial" w:hAnsi="Arial" w:cs="Arial"/>
          <w:sz w:val="20"/>
          <w:szCs w:val="20"/>
        </w:rPr>
        <w:t xml:space="preserve">. </w:t>
      </w:r>
      <w:r w:rsidR="00C017B6" w:rsidRPr="002738D9">
        <w:rPr>
          <w:rFonts w:ascii="Arial" w:hAnsi="Arial" w:cs="Arial"/>
          <w:sz w:val="20"/>
          <w:szCs w:val="20"/>
        </w:rPr>
        <w:t xml:space="preserve">It further </w:t>
      </w:r>
      <w:r w:rsidR="00EE4593" w:rsidRPr="002738D9">
        <w:rPr>
          <w:rFonts w:ascii="Arial" w:hAnsi="Arial" w:cs="Arial"/>
          <w:sz w:val="20"/>
          <w:szCs w:val="20"/>
        </w:rPr>
        <w:t>appear</w:t>
      </w:r>
      <w:r w:rsidR="00C017B6" w:rsidRPr="002738D9">
        <w:rPr>
          <w:rFonts w:ascii="Arial" w:hAnsi="Arial" w:cs="Arial"/>
          <w:sz w:val="20"/>
          <w:szCs w:val="20"/>
        </w:rPr>
        <w:t>ed</w:t>
      </w:r>
      <w:r w:rsidR="00EE4593" w:rsidRPr="002738D9">
        <w:rPr>
          <w:rFonts w:ascii="Arial" w:hAnsi="Arial" w:cs="Arial"/>
          <w:sz w:val="20"/>
          <w:szCs w:val="20"/>
        </w:rPr>
        <w:t xml:space="preserve"> as if the </w:t>
      </w:r>
      <w:r w:rsidR="00C017B6" w:rsidRPr="002738D9">
        <w:rPr>
          <w:rFonts w:ascii="Arial" w:hAnsi="Arial" w:cs="Arial"/>
          <w:sz w:val="20"/>
          <w:szCs w:val="20"/>
        </w:rPr>
        <w:t xml:space="preserve">DHS’ </w:t>
      </w:r>
      <w:r w:rsidR="008D5760" w:rsidRPr="002738D9">
        <w:rPr>
          <w:rFonts w:ascii="Arial" w:hAnsi="Arial" w:cs="Arial"/>
          <w:sz w:val="20"/>
          <w:szCs w:val="20"/>
        </w:rPr>
        <w:t>monitoring and evaluati</w:t>
      </w:r>
      <w:r w:rsidR="00C017B6" w:rsidRPr="002738D9">
        <w:rPr>
          <w:rFonts w:ascii="Arial" w:hAnsi="Arial" w:cs="Arial"/>
          <w:sz w:val="20"/>
          <w:szCs w:val="20"/>
        </w:rPr>
        <w:t>on</w:t>
      </w:r>
      <w:r w:rsidR="008D5760" w:rsidRPr="002738D9">
        <w:rPr>
          <w:rFonts w:ascii="Arial" w:hAnsi="Arial" w:cs="Arial"/>
          <w:sz w:val="20"/>
          <w:szCs w:val="20"/>
        </w:rPr>
        <w:t xml:space="preserve"> </w:t>
      </w:r>
      <w:r w:rsidR="00EE4593" w:rsidRPr="002738D9">
        <w:rPr>
          <w:rFonts w:ascii="Arial" w:hAnsi="Arial" w:cs="Arial"/>
          <w:sz w:val="20"/>
          <w:szCs w:val="20"/>
        </w:rPr>
        <w:t xml:space="preserve">responsibility </w:t>
      </w:r>
      <w:r w:rsidR="00C017B6" w:rsidRPr="002738D9">
        <w:rPr>
          <w:rFonts w:ascii="Arial" w:hAnsi="Arial" w:cs="Arial"/>
          <w:sz w:val="20"/>
          <w:szCs w:val="20"/>
        </w:rPr>
        <w:t xml:space="preserve">was not properly executed as the </w:t>
      </w:r>
      <w:r w:rsidR="004D432F" w:rsidRPr="002738D9">
        <w:rPr>
          <w:rFonts w:ascii="Arial" w:hAnsi="Arial" w:cs="Arial"/>
          <w:sz w:val="20"/>
          <w:szCs w:val="20"/>
        </w:rPr>
        <w:t>Grant</w:t>
      </w:r>
      <w:r w:rsidR="00EE4593" w:rsidRPr="002738D9">
        <w:rPr>
          <w:rFonts w:ascii="Arial" w:hAnsi="Arial" w:cs="Arial"/>
          <w:sz w:val="20"/>
          <w:szCs w:val="20"/>
        </w:rPr>
        <w:t xml:space="preserve"> was continuously implemented during the first quarter of </w:t>
      </w:r>
      <w:r w:rsidR="00C017B6" w:rsidRPr="002738D9">
        <w:rPr>
          <w:rFonts w:ascii="Arial" w:hAnsi="Arial" w:cs="Arial"/>
          <w:sz w:val="20"/>
          <w:szCs w:val="20"/>
        </w:rPr>
        <w:t xml:space="preserve">the </w:t>
      </w:r>
      <w:r w:rsidR="00EE4593" w:rsidRPr="002738D9">
        <w:rPr>
          <w:rFonts w:ascii="Arial" w:hAnsi="Arial" w:cs="Arial"/>
          <w:sz w:val="20"/>
          <w:szCs w:val="20"/>
        </w:rPr>
        <w:t xml:space="preserve">2022/23 financial year. </w:t>
      </w:r>
    </w:p>
    <w:p w:rsidR="009A4D45" w:rsidRPr="002738D9" w:rsidRDefault="009A4D45" w:rsidP="002738D9">
      <w:pPr>
        <w:pStyle w:val="ListParagraph"/>
        <w:ind w:left="709"/>
        <w:rPr>
          <w:rFonts w:ascii="Arial" w:hAnsi="Arial" w:cs="Arial"/>
          <w:sz w:val="20"/>
          <w:szCs w:val="20"/>
        </w:rPr>
      </w:pPr>
    </w:p>
    <w:p w:rsidR="00733F66" w:rsidRPr="002738D9" w:rsidRDefault="00733F66"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The Committee note</w:t>
      </w:r>
      <w:r w:rsidR="0041463A" w:rsidRPr="002738D9">
        <w:rPr>
          <w:rFonts w:ascii="Arial" w:hAnsi="Arial" w:cs="Arial"/>
          <w:sz w:val="20"/>
          <w:szCs w:val="20"/>
        </w:rPr>
        <w:t>s</w:t>
      </w:r>
      <w:r w:rsidRPr="002738D9">
        <w:rPr>
          <w:rFonts w:ascii="Arial" w:hAnsi="Arial" w:cs="Arial"/>
          <w:sz w:val="20"/>
          <w:szCs w:val="20"/>
        </w:rPr>
        <w:t xml:space="preserve"> the planned engagements ar</w:t>
      </w:r>
      <w:r w:rsidR="007E46E4" w:rsidRPr="002738D9">
        <w:rPr>
          <w:rFonts w:ascii="Arial" w:hAnsi="Arial" w:cs="Arial"/>
          <w:sz w:val="20"/>
          <w:szCs w:val="20"/>
        </w:rPr>
        <w:t>ound the social compacts</w:t>
      </w:r>
      <w:r w:rsidRPr="002738D9">
        <w:rPr>
          <w:rFonts w:ascii="Arial" w:hAnsi="Arial" w:cs="Arial"/>
          <w:sz w:val="20"/>
          <w:szCs w:val="20"/>
        </w:rPr>
        <w:t xml:space="preserve"> required by the Grant framework, which may assist to address some of the challenges contributing toward the grievances of the informal settlements communities.</w:t>
      </w:r>
      <w:r w:rsidR="006F0B74" w:rsidRPr="002738D9">
        <w:rPr>
          <w:rFonts w:ascii="Arial" w:hAnsi="Arial" w:cs="Arial"/>
          <w:sz w:val="20"/>
          <w:szCs w:val="20"/>
        </w:rPr>
        <w:t xml:space="preserve"> The Committee is of the view that</w:t>
      </w:r>
      <w:r w:rsidR="007E46E4" w:rsidRPr="002738D9">
        <w:rPr>
          <w:rFonts w:ascii="Arial" w:hAnsi="Arial" w:cs="Arial"/>
          <w:sz w:val="20"/>
          <w:szCs w:val="20"/>
        </w:rPr>
        <w:t xml:space="preserve"> this is an important intervention</w:t>
      </w:r>
      <w:r w:rsidR="006F0B74" w:rsidRPr="002738D9">
        <w:rPr>
          <w:rFonts w:ascii="Arial" w:hAnsi="Arial" w:cs="Arial"/>
          <w:sz w:val="20"/>
          <w:szCs w:val="20"/>
        </w:rPr>
        <w:t xml:space="preserve"> to map out some of the </w:t>
      </w:r>
      <w:r w:rsidR="007E46E4" w:rsidRPr="002738D9">
        <w:rPr>
          <w:rFonts w:ascii="Arial" w:hAnsi="Arial" w:cs="Arial"/>
          <w:sz w:val="20"/>
          <w:szCs w:val="20"/>
        </w:rPr>
        <w:t>measures</w:t>
      </w:r>
      <w:r w:rsidR="006F0B74" w:rsidRPr="002738D9">
        <w:rPr>
          <w:rFonts w:ascii="Arial" w:hAnsi="Arial" w:cs="Arial"/>
          <w:sz w:val="20"/>
          <w:szCs w:val="20"/>
        </w:rPr>
        <w:t xml:space="preserve"> to address</w:t>
      </w:r>
      <w:r w:rsidR="007441E3" w:rsidRPr="002738D9">
        <w:rPr>
          <w:rFonts w:ascii="Arial" w:hAnsi="Arial" w:cs="Arial"/>
          <w:sz w:val="20"/>
          <w:szCs w:val="20"/>
        </w:rPr>
        <w:t xml:space="preserve"> the challenges that have engulfed </w:t>
      </w:r>
      <w:r w:rsidR="006F0B74" w:rsidRPr="002738D9">
        <w:rPr>
          <w:rFonts w:ascii="Arial" w:hAnsi="Arial" w:cs="Arial"/>
          <w:sz w:val="20"/>
          <w:szCs w:val="20"/>
        </w:rPr>
        <w:t xml:space="preserve">informal settlements. </w:t>
      </w:r>
    </w:p>
    <w:p w:rsidR="00733F66" w:rsidRPr="002738D9" w:rsidRDefault="00733F66" w:rsidP="002738D9">
      <w:pPr>
        <w:pStyle w:val="ListParagraph"/>
        <w:ind w:left="435"/>
        <w:rPr>
          <w:rFonts w:ascii="Arial" w:hAnsi="Arial" w:cs="Arial"/>
          <w:sz w:val="20"/>
          <w:szCs w:val="20"/>
        </w:rPr>
      </w:pPr>
    </w:p>
    <w:p w:rsidR="0080360D" w:rsidRPr="002738D9" w:rsidRDefault="00733F66"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rPr>
        <w:t>The Committee note</w:t>
      </w:r>
      <w:r w:rsidR="0041463A" w:rsidRPr="002738D9">
        <w:rPr>
          <w:rFonts w:ascii="Arial" w:hAnsi="Arial" w:cs="Arial"/>
          <w:sz w:val="20"/>
          <w:szCs w:val="20"/>
        </w:rPr>
        <w:t>s</w:t>
      </w:r>
      <w:r w:rsidRPr="002738D9">
        <w:rPr>
          <w:rFonts w:ascii="Arial" w:hAnsi="Arial" w:cs="Arial"/>
          <w:sz w:val="20"/>
          <w:szCs w:val="20"/>
        </w:rPr>
        <w:t xml:space="preserve"> that the </w:t>
      </w:r>
      <w:r w:rsidR="0041463A" w:rsidRPr="002738D9">
        <w:rPr>
          <w:rFonts w:ascii="Arial" w:hAnsi="Arial" w:cs="Arial"/>
          <w:sz w:val="20"/>
          <w:szCs w:val="20"/>
        </w:rPr>
        <w:t>DHS</w:t>
      </w:r>
      <w:r w:rsidR="00674359" w:rsidRPr="002738D9">
        <w:rPr>
          <w:rFonts w:ascii="Arial" w:hAnsi="Arial" w:cs="Arial"/>
          <w:sz w:val="20"/>
          <w:szCs w:val="20"/>
        </w:rPr>
        <w:t xml:space="preserve"> has</w:t>
      </w:r>
      <w:r w:rsidRPr="002738D9">
        <w:rPr>
          <w:rFonts w:ascii="Arial" w:hAnsi="Arial" w:cs="Arial"/>
          <w:sz w:val="20"/>
          <w:szCs w:val="20"/>
        </w:rPr>
        <w:t xml:space="preserve"> taken some steps to address the</w:t>
      </w:r>
      <w:r w:rsidR="0041463A" w:rsidRPr="002738D9">
        <w:rPr>
          <w:rFonts w:ascii="Arial" w:hAnsi="Arial" w:cs="Arial"/>
          <w:sz w:val="20"/>
          <w:szCs w:val="20"/>
        </w:rPr>
        <w:t xml:space="preserve"> matter of</w:t>
      </w:r>
      <w:r w:rsidRPr="002738D9">
        <w:rPr>
          <w:rFonts w:ascii="Arial" w:hAnsi="Arial" w:cs="Arial"/>
          <w:sz w:val="20"/>
          <w:szCs w:val="20"/>
        </w:rPr>
        <w:t xml:space="preserve"> classification of expenditure </w:t>
      </w:r>
      <w:r w:rsidR="00674359" w:rsidRPr="002738D9">
        <w:rPr>
          <w:rFonts w:ascii="Arial" w:hAnsi="Arial" w:cs="Arial"/>
          <w:sz w:val="20"/>
          <w:szCs w:val="20"/>
        </w:rPr>
        <w:t>and accountability</w:t>
      </w:r>
      <w:r w:rsidRPr="002738D9">
        <w:rPr>
          <w:rFonts w:ascii="Arial" w:hAnsi="Arial" w:cs="Arial"/>
          <w:sz w:val="20"/>
          <w:szCs w:val="20"/>
        </w:rPr>
        <w:t>, includ</w:t>
      </w:r>
      <w:r w:rsidR="0041463A" w:rsidRPr="002738D9">
        <w:rPr>
          <w:rFonts w:ascii="Arial" w:hAnsi="Arial" w:cs="Arial"/>
          <w:sz w:val="20"/>
          <w:szCs w:val="20"/>
        </w:rPr>
        <w:t>ing</w:t>
      </w:r>
      <w:r w:rsidRPr="002738D9">
        <w:rPr>
          <w:rFonts w:ascii="Arial" w:hAnsi="Arial" w:cs="Arial"/>
          <w:sz w:val="20"/>
          <w:szCs w:val="20"/>
        </w:rPr>
        <w:t xml:space="preserve"> </w:t>
      </w:r>
      <w:r w:rsidR="0041463A" w:rsidRPr="002738D9">
        <w:rPr>
          <w:rFonts w:ascii="Arial" w:hAnsi="Arial" w:cs="Arial"/>
          <w:sz w:val="20"/>
          <w:szCs w:val="20"/>
        </w:rPr>
        <w:t xml:space="preserve">requiring </w:t>
      </w:r>
      <w:r w:rsidRPr="002738D9">
        <w:rPr>
          <w:rFonts w:ascii="Arial" w:hAnsi="Arial" w:cs="Arial"/>
          <w:sz w:val="20"/>
          <w:szCs w:val="20"/>
        </w:rPr>
        <w:t>t</w:t>
      </w:r>
      <w:r w:rsidR="00EE0BF2" w:rsidRPr="002738D9">
        <w:rPr>
          <w:rFonts w:ascii="Arial" w:hAnsi="Arial" w:cs="Arial"/>
          <w:sz w:val="20"/>
          <w:szCs w:val="20"/>
        </w:rPr>
        <w:t>he housing development a</w:t>
      </w:r>
      <w:r w:rsidRPr="002738D9">
        <w:rPr>
          <w:rFonts w:ascii="Arial" w:hAnsi="Arial" w:cs="Arial"/>
          <w:sz w:val="20"/>
          <w:szCs w:val="20"/>
        </w:rPr>
        <w:t>gency, implementing agent (IA) of most of the provinces</w:t>
      </w:r>
      <w:r w:rsidR="002F7AA5" w:rsidRPr="002738D9">
        <w:rPr>
          <w:rFonts w:ascii="Arial" w:hAnsi="Arial" w:cs="Arial"/>
          <w:sz w:val="20"/>
          <w:szCs w:val="20"/>
        </w:rPr>
        <w:t>,</w:t>
      </w:r>
      <w:r w:rsidRPr="002738D9">
        <w:rPr>
          <w:rFonts w:ascii="Arial" w:hAnsi="Arial" w:cs="Arial"/>
          <w:sz w:val="20"/>
          <w:szCs w:val="20"/>
        </w:rPr>
        <w:t xml:space="preserve"> </w:t>
      </w:r>
      <w:r w:rsidR="0072668D" w:rsidRPr="002738D9">
        <w:rPr>
          <w:rFonts w:ascii="Arial" w:hAnsi="Arial" w:cs="Arial"/>
          <w:sz w:val="20"/>
          <w:szCs w:val="20"/>
        </w:rPr>
        <w:t>t</w:t>
      </w:r>
      <w:r w:rsidRPr="002738D9">
        <w:rPr>
          <w:rFonts w:ascii="Arial" w:hAnsi="Arial" w:cs="Arial"/>
          <w:sz w:val="20"/>
          <w:szCs w:val="20"/>
        </w:rPr>
        <w:t xml:space="preserve">o account to the technical MINMEC on amounts transferred and spent as well as deliverables. </w:t>
      </w:r>
    </w:p>
    <w:p w:rsidR="00733F66" w:rsidRPr="002738D9" w:rsidRDefault="00733F66" w:rsidP="002738D9">
      <w:pPr>
        <w:pStyle w:val="ListParagraph"/>
        <w:rPr>
          <w:rFonts w:ascii="Arial" w:hAnsi="Arial" w:cs="Arial"/>
          <w:sz w:val="20"/>
          <w:szCs w:val="20"/>
        </w:rPr>
      </w:pPr>
    </w:p>
    <w:p w:rsidR="00733F66" w:rsidRPr="002738D9" w:rsidRDefault="00733F66"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 xml:space="preserve">The Committee </w:t>
      </w:r>
      <w:r w:rsidR="00EE0BF2" w:rsidRPr="002738D9">
        <w:rPr>
          <w:rFonts w:ascii="Arial" w:hAnsi="Arial" w:cs="Arial"/>
          <w:sz w:val="20"/>
          <w:szCs w:val="20"/>
        </w:rPr>
        <w:t>further note</w:t>
      </w:r>
      <w:r w:rsidR="0072668D" w:rsidRPr="002738D9">
        <w:rPr>
          <w:rFonts w:ascii="Arial" w:hAnsi="Arial" w:cs="Arial"/>
          <w:sz w:val="20"/>
          <w:szCs w:val="20"/>
        </w:rPr>
        <w:t xml:space="preserve">s </w:t>
      </w:r>
      <w:r w:rsidR="00EE0BF2" w:rsidRPr="002738D9">
        <w:rPr>
          <w:rFonts w:ascii="Arial" w:hAnsi="Arial" w:cs="Arial"/>
          <w:sz w:val="20"/>
          <w:szCs w:val="20"/>
        </w:rPr>
        <w:t xml:space="preserve">that the </w:t>
      </w:r>
      <w:r w:rsidRPr="002738D9">
        <w:rPr>
          <w:rFonts w:ascii="Arial" w:hAnsi="Arial" w:cs="Arial"/>
          <w:sz w:val="20"/>
          <w:szCs w:val="20"/>
        </w:rPr>
        <w:t>D</w:t>
      </w:r>
      <w:r w:rsidR="0072668D" w:rsidRPr="002738D9">
        <w:rPr>
          <w:rFonts w:ascii="Arial" w:hAnsi="Arial" w:cs="Arial"/>
          <w:sz w:val="20"/>
          <w:szCs w:val="20"/>
        </w:rPr>
        <w:t>HS</w:t>
      </w:r>
      <w:r w:rsidRPr="002738D9">
        <w:rPr>
          <w:rFonts w:ascii="Arial" w:hAnsi="Arial" w:cs="Arial"/>
          <w:sz w:val="20"/>
          <w:szCs w:val="20"/>
        </w:rPr>
        <w:t xml:space="preserve"> ha</w:t>
      </w:r>
      <w:r w:rsidR="0072668D" w:rsidRPr="002738D9">
        <w:rPr>
          <w:rFonts w:ascii="Arial" w:hAnsi="Arial" w:cs="Arial"/>
          <w:sz w:val="20"/>
          <w:szCs w:val="20"/>
        </w:rPr>
        <w:t>s</w:t>
      </w:r>
      <w:r w:rsidRPr="002738D9">
        <w:rPr>
          <w:rFonts w:ascii="Arial" w:hAnsi="Arial" w:cs="Arial"/>
          <w:sz w:val="20"/>
          <w:szCs w:val="20"/>
        </w:rPr>
        <w:t xml:space="preserve"> a record of all the </w:t>
      </w:r>
      <w:r w:rsidR="00CA310F" w:rsidRPr="002738D9">
        <w:rPr>
          <w:rFonts w:ascii="Arial" w:hAnsi="Arial" w:cs="Arial"/>
          <w:sz w:val="20"/>
          <w:szCs w:val="20"/>
        </w:rPr>
        <w:t>funds transferred</w:t>
      </w:r>
      <w:r w:rsidRPr="002738D9">
        <w:rPr>
          <w:rFonts w:ascii="Arial" w:hAnsi="Arial" w:cs="Arial"/>
          <w:sz w:val="20"/>
          <w:szCs w:val="20"/>
        </w:rPr>
        <w:t xml:space="preserve"> to other organs of state and ha</w:t>
      </w:r>
      <w:r w:rsidR="0072668D" w:rsidRPr="002738D9">
        <w:rPr>
          <w:rFonts w:ascii="Arial" w:hAnsi="Arial" w:cs="Arial"/>
          <w:sz w:val="20"/>
          <w:szCs w:val="20"/>
        </w:rPr>
        <w:t>s</w:t>
      </w:r>
      <w:r w:rsidRPr="002738D9">
        <w:rPr>
          <w:rFonts w:ascii="Arial" w:hAnsi="Arial" w:cs="Arial"/>
          <w:sz w:val="20"/>
          <w:szCs w:val="20"/>
        </w:rPr>
        <w:t xml:space="preserve"> agreed with provinces that these would be reported as opening balances in the </w:t>
      </w:r>
      <w:r w:rsidR="0072668D" w:rsidRPr="002738D9">
        <w:rPr>
          <w:rFonts w:ascii="Arial" w:hAnsi="Arial" w:cs="Arial"/>
          <w:sz w:val="20"/>
          <w:szCs w:val="20"/>
        </w:rPr>
        <w:t xml:space="preserve">statements of the </w:t>
      </w:r>
      <w:r w:rsidRPr="002738D9">
        <w:rPr>
          <w:rFonts w:ascii="Arial" w:hAnsi="Arial" w:cs="Arial"/>
          <w:sz w:val="20"/>
          <w:szCs w:val="20"/>
        </w:rPr>
        <w:t>new financial year.</w:t>
      </w:r>
      <w:r w:rsidR="00EF0663" w:rsidRPr="002738D9">
        <w:rPr>
          <w:rFonts w:ascii="Arial" w:hAnsi="Arial" w:cs="Arial"/>
          <w:sz w:val="20"/>
          <w:szCs w:val="20"/>
        </w:rPr>
        <w:t xml:space="preserve"> </w:t>
      </w:r>
      <w:r w:rsidR="00516D23" w:rsidRPr="002738D9">
        <w:rPr>
          <w:rFonts w:ascii="Arial" w:hAnsi="Arial" w:cs="Arial"/>
          <w:sz w:val="20"/>
          <w:szCs w:val="20"/>
        </w:rPr>
        <w:t xml:space="preserve">  </w:t>
      </w:r>
    </w:p>
    <w:p w:rsidR="006F0B74" w:rsidRPr="002738D9" w:rsidRDefault="006F0B74" w:rsidP="002738D9">
      <w:pPr>
        <w:pStyle w:val="ListParagraph"/>
        <w:rPr>
          <w:rFonts w:ascii="Arial" w:hAnsi="Arial" w:cs="Arial"/>
          <w:sz w:val="20"/>
          <w:szCs w:val="20"/>
        </w:rPr>
      </w:pPr>
    </w:p>
    <w:p w:rsidR="00892E61" w:rsidRPr="002738D9" w:rsidRDefault="006F0B74"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lang w:val="en-GB"/>
        </w:rPr>
        <w:t xml:space="preserve">The Committee </w:t>
      </w:r>
      <w:r w:rsidR="0072668D" w:rsidRPr="002738D9">
        <w:rPr>
          <w:rFonts w:ascii="Arial" w:hAnsi="Arial" w:cs="Arial"/>
          <w:sz w:val="20"/>
          <w:szCs w:val="20"/>
          <w:lang w:val="en-GB"/>
        </w:rPr>
        <w:t>i</w:t>
      </w:r>
      <w:r w:rsidRPr="002738D9">
        <w:rPr>
          <w:rFonts w:ascii="Arial" w:hAnsi="Arial" w:cs="Arial"/>
          <w:sz w:val="20"/>
          <w:szCs w:val="20"/>
          <w:lang w:val="en-GB"/>
        </w:rPr>
        <w:t>s conce</w:t>
      </w:r>
      <w:r w:rsidR="00F326FB" w:rsidRPr="002738D9">
        <w:rPr>
          <w:rFonts w:ascii="Arial" w:hAnsi="Arial" w:cs="Arial"/>
          <w:sz w:val="20"/>
          <w:szCs w:val="20"/>
          <w:lang w:val="en-GB"/>
        </w:rPr>
        <w:t xml:space="preserve">rned about </w:t>
      </w:r>
      <w:r w:rsidR="00AD2CAB" w:rsidRPr="002738D9">
        <w:rPr>
          <w:rFonts w:ascii="Arial" w:hAnsi="Arial" w:cs="Arial"/>
          <w:sz w:val="20"/>
          <w:szCs w:val="20"/>
          <w:lang w:val="en-GB"/>
        </w:rPr>
        <w:t>proper</w:t>
      </w:r>
      <w:r w:rsidR="00FD2FB6" w:rsidRPr="002738D9">
        <w:rPr>
          <w:rFonts w:ascii="Arial" w:hAnsi="Arial" w:cs="Arial"/>
          <w:sz w:val="20"/>
          <w:szCs w:val="20"/>
          <w:lang w:val="en-GB"/>
        </w:rPr>
        <w:t xml:space="preserve"> </w:t>
      </w:r>
      <w:r w:rsidRPr="002738D9">
        <w:rPr>
          <w:rFonts w:ascii="Arial" w:hAnsi="Arial" w:cs="Arial"/>
          <w:sz w:val="20"/>
          <w:szCs w:val="20"/>
          <w:lang w:val="en-GB"/>
        </w:rPr>
        <w:t xml:space="preserve">alignment between municipal Integrated Development Plans (IDPs) and provincial and national </w:t>
      </w:r>
      <w:r w:rsidR="00EF0663" w:rsidRPr="002738D9">
        <w:rPr>
          <w:rFonts w:ascii="Arial" w:hAnsi="Arial" w:cs="Arial"/>
          <w:sz w:val="20"/>
          <w:szCs w:val="20"/>
          <w:lang w:val="en-GB"/>
        </w:rPr>
        <w:t xml:space="preserve">government </w:t>
      </w:r>
      <w:r w:rsidR="003452EE" w:rsidRPr="002738D9">
        <w:rPr>
          <w:rFonts w:ascii="Arial" w:hAnsi="Arial" w:cs="Arial"/>
          <w:sz w:val="20"/>
          <w:szCs w:val="20"/>
          <w:lang w:val="en-GB"/>
        </w:rPr>
        <w:t>plans</w:t>
      </w:r>
      <w:r w:rsidR="0072668D" w:rsidRPr="002738D9">
        <w:rPr>
          <w:rFonts w:ascii="Arial" w:hAnsi="Arial" w:cs="Arial"/>
          <w:sz w:val="20"/>
          <w:szCs w:val="20"/>
          <w:lang w:val="en-GB"/>
        </w:rPr>
        <w:t xml:space="preserve">, which is required </w:t>
      </w:r>
      <w:r w:rsidRPr="002738D9">
        <w:rPr>
          <w:rFonts w:ascii="Arial" w:hAnsi="Arial" w:cs="Arial"/>
          <w:sz w:val="20"/>
          <w:szCs w:val="20"/>
          <w:lang w:val="en-GB"/>
        </w:rPr>
        <w:t xml:space="preserve">to </w:t>
      </w:r>
      <w:r w:rsidR="001118CF" w:rsidRPr="002738D9">
        <w:rPr>
          <w:rFonts w:ascii="Arial" w:hAnsi="Arial" w:cs="Arial"/>
          <w:sz w:val="20"/>
          <w:szCs w:val="20"/>
          <w:lang w:val="en-GB"/>
        </w:rPr>
        <w:t xml:space="preserve">ensure </w:t>
      </w:r>
      <w:r w:rsidR="00F326FB" w:rsidRPr="002738D9">
        <w:rPr>
          <w:rFonts w:ascii="Arial" w:hAnsi="Arial" w:cs="Arial"/>
          <w:sz w:val="20"/>
          <w:szCs w:val="20"/>
          <w:lang w:val="en-GB"/>
        </w:rPr>
        <w:t>coheren</w:t>
      </w:r>
      <w:r w:rsidR="0072668D" w:rsidRPr="002738D9">
        <w:rPr>
          <w:rFonts w:ascii="Arial" w:hAnsi="Arial" w:cs="Arial"/>
          <w:sz w:val="20"/>
          <w:szCs w:val="20"/>
          <w:lang w:val="en-GB"/>
        </w:rPr>
        <w:t>ce and</w:t>
      </w:r>
      <w:r w:rsidR="00F326FB" w:rsidRPr="002738D9">
        <w:rPr>
          <w:rFonts w:ascii="Arial" w:hAnsi="Arial" w:cs="Arial"/>
          <w:sz w:val="20"/>
          <w:szCs w:val="20"/>
          <w:lang w:val="en-GB"/>
        </w:rPr>
        <w:t xml:space="preserve"> </w:t>
      </w:r>
      <w:r w:rsidRPr="002738D9">
        <w:rPr>
          <w:rFonts w:ascii="Arial" w:hAnsi="Arial" w:cs="Arial"/>
          <w:sz w:val="20"/>
          <w:szCs w:val="20"/>
          <w:lang w:val="en-GB"/>
        </w:rPr>
        <w:t>streamlin</w:t>
      </w:r>
      <w:r w:rsidR="0072668D" w:rsidRPr="002738D9">
        <w:rPr>
          <w:rFonts w:ascii="Arial" w:hAnsi="Arial" w:cs="Arial"/>
          <w:sz w:val="20"/>
          <w:szCs w:val="20"/>
          <w:lang w:val="en-GB"/>
        </w:rPr>
        <w:t>ing</w:t>
      </w:r>
      <w:r w:rsidRPr="002738D9">
        <w:rPr>
          <w:rFonts w:ascii="Arial" w:hAnsi="Arial" w:cs="Arial"/>
          <w:sz w:val="20"/>
          <w:szCs w:val="20"/>
          <w:lang w:val="en-GB"/>
        </w:rPr>
        <w:t xml:space="preserve"> and </w:t>
      </w:r>
      <w:r w:rsidR="00446388" w:rsidRPr="002738D9">
        <w:rPr>
          <w:rFonts w:ascii="Arial" w:hAnsi="Arial" w:cs="Arial"/>
          <w:sz w:val="20"/>
          <w:szCs w:val="20"/>
          <w:lang w:val="en-GB"/>
        </w:rPr>
        <w:t xml:space="preserve">to </w:t>
      </w:r>
      <w:r w:rsidRPr="002738D9">
        <w:rPr>
          <w:rFonts w:ascii="Arial" w:hAnsi="Arial" w:cs="Arial"/>
          <w:sz w:val="20"/>
          <w:szCs w:val="20"/>
          <w:lang w:val="en-GB"/>
        </w:rPr>
        <w:t>enhance Grant performance</w:t>
      </w:r>
      <w:r w:rsidR="001118CF" w:rsidRPr="002738D9">
        <w:rPr>
          <w:rFonts w:ascii="Arial" w:hAnsi="Arial" w:cs="Arial"/>
          <w:sz w:val="20"/>
          <w:szCs w:val="20"/>
          <w:lang w:val="en-GB"/>
        </w:rPr>
        <w:t xml:space="preserve"> across sector plans</w:t>
      </w:r>
      <w:r w:rsidR="00EF0663" w:rsidRPr="002738D9">
        <w:rPr>
          <w:rFonts w:ascii="Arial" w:hAnsi="Arial" w:cs="Arial"/>
          <w:sz w:val="20"/>
          <w:szCs w:val="20"/>
          <w:lang w:val="en-GB"/>
        </w:rPr>
        <w:t>.</w:t>
      </w:r>
    </w:p>
    <w:p w:rsidR="00892E61" w:rsidRPr="002738D9" w:rsidRDefault="00892E61" w:rsidP="002738D9">
      <w:pPr>
        <w:pStyle w:val="ListParagraph"/>
        <w:rPr>
          <w:rFonts w:ascii="Arial" w:hAnsi="Arial" w:cs="Arial"/>
          <w:sz w:val="20"/>
          <w:szCs w:val="20"/>
          <w:lang w:val="en-GB"/>
        </w:rPr>
      </w:pPr>
    </w:p>
    <w:p w:rsidR="0026348E" w:rsidRPr="002738D9" w:rsidRDefault="00892E61"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lang w:val="en-GB"/>
        </w:rPr>
        <w:t>The Committee note</w:t>
      </w:r>
      <w:r w:rsidR="0072668D" w:rsidRPr="002738D9">
        <w:rPr>
          <w:rFonts w:ascii="Arial" w:hAnsi="Arial" w:cs="Arial"/>
          <w:sz w:val="20"/>
          <w:szCs w:val="20"/>
          <w:lang w:val="en-GB"/>
        </w:rPr>
        <w:t>s</w:t>
      </w:r>
      <w:r w:rsidRPr="002738D9">
        <w:rPr>
          <w:rFonts w:ascii="Arial" w:hAnsi="Arial" w:cs="Arial"/>
          <w:sz w:val="20"/>
          <w:szCs w:val="20"/>
          <w:lang w:val="en-GB"/>
        </w:rPr>
        <w:t xml:space="preserve"> that the upgrading of informal settlements provides the basis for housing development</w:t>
      </w:r>
      <w:r w:rsidR="00B302ED" w:rsidRPr="002738D9">
        <w:rPr>
          <w:rFonts w:ascii="Arial" w:hAnsi="Arial" w:cs="Arial"/>
          <w:sz w:val="20"/>
          <w:szCs w:val="20"/>
          <w:lang w:val="en-GB"/>
        </w:rPr>
        <w:t xml:space="preserve">. However, it is </w:t>
      </w:r>
      <w:r w:rsidRPr="002738D9">
        <w:rPr>
          <w:rFonts w:ascii="Arial" w:hAnsi="Arial" w:cs="Arial"/>
          <w:sz w:val="20"/>
          <w:szCs w:val="20"/>
          <w:lang w:val="en-GB"/>
        </w:rPr>
        <w:t xml:space="preserve">concerned that the illegal occupation of land </w:t>
      </w:r>
      <w:r w:rsidR="00B302ED" w:rsidRPr="002738D9">
        <w:rPr>
          <w:rFonts w:ascii="Arial" w:hAnsi="Arial" w:cs="Arial"/>
          <w:sz w:val="20"/>
          <w:szCs w:val="20"/>
          <w:lang w:val="en-GB"/>
        </w:rPr>
        <w:t>i</w:t>
      </w:r>
      <w:r w:rsidRPr="002738D9">
        <w:rPr>
          <w:rFonts w:ascii="Arial" w:hAnsi="Arial" w:cs="Arial"/>
          <w:sz w:val="20"/>
          <w:szCs w:val="20"/>
          <w:lang w:val="en-GB"/>
        </w:rPr>
        <w:t>s hampering government efforts to properly plan, budget and effectively make use of state resources to deliver proper housing projects. The Committee is of the view that this is</w:t>
      </w:r>
      <w:r w:rsidR="00B302ED" w:rsidRPr="002738D9">
        <w:rPr>
          <w:rFonts w:ascii="Arial" w:hAnsi="Arial" w:cs="Arial"/>
          <w:sz w:val="20"/>
          <w:szCs w:val="20"/>
          <w:lang w:val="en-GB"/>
        </w:rPr>
        <w:t xml:space="preserve"> </w:t>
      </w:r>
      <w:r w:rsidRPr="002738D9">
        <w:rPr>
          <w:rFonts w:ascii="Arial" w:hAnsi="Arial" w:cs="Arial"/>
          <w:sz w:val="20"/>
          <w:szCs w:val="20"/>
          <w:lang w:val="en-GB"/>
        </w:rPr>
        <w:t xml:space="preserve">one of the issues creating animosity within communities and putting people’s lives at risk. The Committee </w:t>
      </w:r>
      <w:r w:rsidR="00B302ED" w:rsidRPr="002738D9">
        <w:rPr>
          <w:rFonts w:ascii="Arial" w:hAnsi="Arial" w:cs="Arial"/>
          <w:sz w:val="20"/>
          <w:szCs w:val="20"/>
          <w:lang w:val="en-GB"/>
        </w:rPr>
        <w:t xml:space="preserve">appreciates </w:t>
      </w:r>
      <w:r w:rsidR="00FB4A56" w:rsidRPr="002738D9">
        <w:rPr>
          <w:rFonts w:ascii="Arial" w:hAnsi="Arial" w:cs="Arial"/>
          <w:sz w:val="20"/>
          <w:szCs w:val="20"/>
          <w:lang w:val="en-GB"/>
        </w:rPr>
        <w:t xml:space="preserve">that the </w:t>
      </w:r>
      <w:r w:rsidRPr="002738D9">
        <w:rPr>
          <w:rFonts w:ascii="Arial" w:hAnsi="Arial" w:cs="Arial"/>
          <w:sz w:val="20"/>
          <w:szCs w:val="20"/>
          <w:lang w:val="en-GB"/>
        </w:rPr>
        <w:t>D</w:t>
      </w:r>
      <w:r w:rsidR="00B302ED" w:rsidRPr="002738D9">
        <w:rPr>
          <w:rFonts w:ascii="Arial" w:hAnsi="Arial" w:cs="Arial"/>
          <w:sz w:val="20"/>
          <w:szCs w:val="20"/>
          <w:lang w:val="en-GB"/>
        </w:rPr>
        <w:t>HS is</w:t>
      </w:r>
      <w:r w:rsidRPr="002738D9">
        <w:rPr>
          <w:rFonts w:ascii="Arial" w:hAnsi="Arial" w:cs="Arial"/>
          <w:sz w:val="20"/>
          <w:szCs w:val="20"/>
          <w:lang w:val="en-GB"/>
        </w:rPr>
        <w:t xml:space="preserve"> </w:t>
      </w:r>
      <w:r w:rsidR="00B302ED" w:rsidRPr="002738D9">
        <w:rPr>
          <w:rFonts w:ascii="Arial" w:hAnsi="Arial" w:cs="Arial"/>
          <w:sz w:val="20"/>
          <w:szCs w:val="20"/>
          <w:lang w:val="en-GB"/>
        </w:rPr>
        <w:t xml:space="preserve">investigating </w:t>
      </w:r>
      <w:r w:rsidRPr="002738D9">
        <w:rPr>
          <w:rFonts w:ascii="Arial" w:hAnsi="Arial" w:cs="Arial"/>
          <w:sz w:val="20"/>
          <w:szCs w:val="20"/>
          <w:lang w:val="en-GB"/>
        </w:rPr>
        <w:t>ways to assist municipalities with the capacity to evict illegal occupiers</w:t>
      </w:r>
      <w:r w:rsidR="00FB4A56" w:rsidRPr="002738D9">
        <w:rPr>
          <w:rFonts w:ascii="Arial" w:hAnsi="Arial" w:cs="Arial"/>
          <w:sz w:val="20"/>
          <w:szCs w:val="20"/>
          <w:lang w:val="en-GB"/>
        </w:rPr>
        <w:t xml:space="preserve">. </w:t>
      </w:r>
    </w:p>
    <w:p w:rsidR="0026348E" w:rsidRPr="002738D9" w:rsidRDefault="0026348E" w:rsidP="002738D9">
      <w:pPr>
        <w:pStyle w:val="ListParagraph"/>
        <w:rPr>
          <w:rFonts w:ascii="Arial" w:hAnsi="Arial" w:cs="Arial"/>
          <w:sz w:val="20"/>
          <w:szCs w:val="20"/>
          <w:lang w:val="en-GB"/>
        </w:rPr>
      </w:pPr>
    </w:p>
    <w:p w:rsidR="006F0B74" w:rsidRPr="002738D9" w:rsidRDefault="0026348E" w:rsidP="002738D9">
      <w:pPr>
        <w:pStyle w:val="ListParagraph"/>
        <w:numPr>
          <w:ilvl w:val="1"/>
          <w:numId w:val="2"/>
        </w:numPr>
        <w:ind w:left="709" w:hanging="709"/>
        <w:rPr>
          <w:rFonts w:ascii="Arial" w:hAnsi="Arial" w:cs="Arial"/>
          <w:sz w:val="20"/>
          <w:szCs w:val="20"/>
        </w:rPr>
      </w:pPr>
      <w:r w:rsidRPr="002738D9">
        <w:rPr>
          <w:rFonts w:ascii="Arial" w:hAnsi="Arial" w:cs="Arial"/>
          <w:sz w:val="20"/>
          <w:szCs w:val="20"/>
          <w:lang w:val="en-GB"/>
        </w:rPr>
        <w:t>The Committee note</w:t>
      </w:r>
      <w:r w:rsidR="00E91381" w:rsidRPr="002738D9">
        <w:rPr>
          <w:rFonts w:ascii="Arial" w:hAnsi="Arial" w:cs="Arial"/>
          <w:sz w:val="20"/>
          <w:szCs w:val="20"/>
          <w:lang w:val="en-GB"/>
        </w:rPr>
        <w:t>s</w:t>
      </w:r>
      <w:r w:rsidRPr="002738D9">
        <w:rPr>
          <w:rFonts w:ascii="Arial" w:hAnsi="Arial" w:cs="Arial"/>
          <w:sz w:val="20"/>
          <w:szCs w:val="20"/>
          <w:lang w:val="en-GB"/>
        </w:rPr>
        <w:t xml:space="preserve"> the concern raised by the Minister of Human Settlements that the Grant framework </w:t>
      </w:r>
      <w:r w:rsidR="00E91381" w:rsidRPr="002738D9">
        <w:rPr>
          <w:rFonts w:ascii="Arial" w:hAnsi="Arial" w:cs="Arial"/>
          <w:sz w:val="20"/>
          <w:szCs w:val="20"/>
          <w:lang w:val="en-GB"/>
        </w:rPr>
        <w:t>i</w:t>
      </w:r>
      <w:r w:rsidRPr="002738D9">
        <w:rPr>
          <w:rFonts w:ascii="Arial" w:hAnsi="Arial" w:cs="Arial"/>
          <w:sz w:val="20"/>
          <w:szCs w:val="20"/>
          <w:lang w:val="en-GB"/>
        </w:rPr>
        <w:t xml:space="preserve">s too constrained and not conducive to good performance; as well as that inequality </w:t>
      </w:r>
      <w:r w:rsidR="00E91381" w:rsidRPr="002738D9">
        <w:rPr>
          <w:rFonts w:ascii="Arial" w:hAnsi="Arial" w:cs="Arial"/>
          <w:sz w:val="20"/>
          <w:szCs w:val="20"/>
          <w:lang w:val="en-GB"/>
        </w:rPr>
        <w:t>i</w:t>
      </w:r>
      <w:r w:rsidRPr="002738D9">
        <w:rPr>
          <w:rFonts w:ascii="Arial" w:hAnsi="Arial" w:cs="Arial"/>
          <w:sz w:val="20"/>
          <w:szCs w:val="20"/>
          <w:lang w:val="en-GB"/>
        </w:rPr>
        <w:t xml:space="preserve">s being perpetuated by the way in which funding </w:t>
      </w:r>
      <w:r w:rsidR="00E91381" w:rsidRPr="002738D9">
        <w:rPr>
          <w:rFonts w:ascii="Arial" w:hAnsi="Arial" w:cs="Arial"/>
          <w:sz w:val="20"/>
          <w:szCs w:val="20"/>
          <w:lang w:val="en-GB"/>
        </w:rPr>
        <w:t>i</w:t>
      </w:r>
      <w:r w:rsidRPr="002738D9">
        <w:rPr>
          <w:rFonts w:ascii="Arial" w:hAnsi="Arial" w:cs="Arial"/>
          <w:sz w:val="20"/>
          <w:szCs w:val="20"/>
          <w:lang w:val="en-GB"/>
        </w:rPr>
        <w:t>s allocated between urban, semi-urban and rural areas. The Committee is of the view that there is a need to ensure that funds are appropriated in a way that enable</w:t>
      </w:r>
      <w:r w:rsidR="00E91381" w:rsidRPr="002738D9">
        <w:rPr>
          <w:rFonts w:ascii="Arial" w:hAnsi="Arial" w:cs="Arial"/>
          <w:sz w:val="20"/>
          <w:szCs w:val="20"/>
          <w:lang w:val="en-GB"/>
        </w:rPr>
        <w:t>s</w:t>
      </w:r>
      <w:r w:rsidRPr="002738D9">
        <w:rPr>
          <w:rFonts w:ascii="Arial" w:hAnsi="Arial" w:cs="Arial"/>
          <w:sz w:val="20"/>
          <w:szCs w:val="20"/>
          <w:lang w:val="en-GB"/>
        </w:rPr>
        <w:t xml:space="preserve"> the receiving department to spend effectively.</w:t>
      </w:r>
      <w:r w:rsidR="006F0B74" w:rsidRPr="002738D9">
        <w:rPr>
          <w:rFonts w:ascii="Arial" w:hAnsi="Arial" w:cs="Arial"/>
          <w:sz w:val="20"/>
          <w:szCs w:val="20"/>
          <w:lang w:val="en-GB"/>
        </w:rPr>
        <w:t xml:space="preserve">  </w:t>
      </w:r>
    </w:p>
    <w:p w:rsidR="006F0B74" w:rsidRPr="002738D9" w:rsidRDefault="006F0B74" w:rsidP="002738D9">
      <w:pPr>
        <w:pStyle w:val="ListParagraph"/>
        <w:rPr>
          <w:rFonts w:ascii="Arial" w:hAnsi="Arial" w:cs="Arial"/>
          <w:sz w:val="20"/>
          <w:szCs w:val="20"/>
          <w:lang w:val="en-GB"/>
        </w:rPr>
      </w:pPr>
    </w:p>
    <w:p w:rsidR="00733F66" w:rsidRPr="002738D9" w:rsidRDefault="00733F66" w:rsidP="002738D9">
      <w:pPr>
        <w:pStyle w:val="ListParagraph"/>
        <w:ind w:left="435"/>
        <w:rPr>
          <w:rFonts w:ascii="Arial" w:hAnsi="Arial" w:cs="Arial"/>
          <w:sz w:val="20"/>
          <w:szCs w:val="20"/>
        </w:rPr>
      </w:pPr>
    </w:p>
    <w:p w:rsidR="0080360D" w:rsidRPr="002738D9" w:rsidRDefault="00F70C88" w:rsidP="002738D9">
      <w:pPr>
        <w:pStyle w:val="ListParagraph"/>
        <w:numPr>
          <w:ilvl w:val="0"/>
          <w:numId w:val="2"/>
        </w:numPr>
        <w:rPr>
          <w:rFonts w:ascii="Arial" w:hAnsi="Arial" w:cs="Arial"/>
          <w:b/>
          <w:sz w:val="20"/>
          <w:szCs w:val="20"/>
        </w:rPr>
      </w:pPr>
      <w:r w:rsidRPr="002738D9">
        <w:rPr>
          <w:rFonts w:ascii="Arial" w:hAnsi="Arial" w:cs="Arial"/>
          <w:b/>
          <w:sz w:val="20"/>
          <w:szCs w:val="20"/>
        </w:rPr>
        <w:t>R</w:t>
      </w:r>
      <w:r w:rsidR="005B5A57" w:rsidRPr="002738D9">
        <w:rPr>
          <w:rFonts w:ascii="Arial" w:hAnsi="Arial" w:cs="Arial"/>
          <w:b/>
          <w:sz w:val="20"/>
          <w:szCs w:val="20"/>
        </w:rPr>
        <w:t>ecommendations</w:t>
      </w:r>
    </w:p>
    <w:p w:rsidR="00041F3F" w:rsidRPr="002738D9" w:rsidRDefault="00041F3F" w:rsidP="002738D9">
      <w:pPr>
        <w:ind w:left="60"/>
        <w:rPr>
          <w:rFonts w:ascii="Arial" w:hAnsi="Arial" w:cs="Arial"/>
          <w:sz w:val="20"/>
          <w:szCs w:val="20"/>
        </w:rPr>
      </w:pPr>
      <w:r w:rsidRPr="002738D9">
        <w:rPr>
          <w:rFonts w:ascii="Arial" w:hAnsi="Arial" w:cs="Arial"/>
          <w:sz w:val="20"/>
          <w:szCs w:val="20"/>
        </w:rPr>
        <w:t>Flowing from the ab</w:t>
      </w:r>
      <w:r w:rsidR="005C3962" w:rsidRPr="002738D9">
        <w:rPr>
          <w:rFonts w:ascii="Arial" w:hAnsi="Arial" w:cs="Arial"/>
          <w:sz w:val="20"/>
          <w:szCs w:val="20"/>
        </w:rPr>
        <w:t>ove observations</w:t>
      </w:r>
      <w:r w:rsidRPr="002738D9">
        <w:rPr>
          <w:rFonts w:ascii="Arial" w:hAnsi="Arial" w:cs="Arial"/>
          <w:sz w:val="20"/>
          <w:szCs w:val="20"/>
        </w:rPr>
        <w:t xml:space="preserve">, the </w:t>
      </w:r>
      <w:r w:rsidR="005C3962" w:rsidRPr="002738D9">
        <w:rPr>
          <w:rFonts w:ascii="Arial" w:hAnsi="Arial" w:cs="Arial"/>
          <w:sz w:val="20"/>
          <w:szCs w:val="20"/>
        </w:rPr>
        <w:t>C</w:t>
      </w:r>
      <w:r w:rsidRPr="002738D9">
        <w:rPr>
          <w:rFonts w:ascii="Arial" w:hAnsi="Arial" w:cs="Arial"/>
          <w:sz w:val="20"/>
          <w:szCs w:val="20"/>
        </w:rPr>
        <w:t xml:space="preserve">ommittee </w:t>
      </w:r>
      <w:r w:rsidR="005C3962" w:rsidRPr="002738D9">
        <w:rPr>
          <w:rFonts w:ascii="Arial" w:hAnsi="Arial" w:cs="Arial"/>
          <w:sz w:val="20"/>
          <w:szCs w:val="20"/>
        </w:rPr>
        <w:t>re</w:t>
      </w:r>
      <w:r w:rsidRPr="002738D9">
        <w:rPr>
          <w:rFonts w:ascii="Arial" w:hAnsi="Arial" w:cs="Arial"/>
          <w:sz w:val="20"/>
          <w:szCs w:val="20"/>
        </w:rPr>
        <w:t>commends</w:t>
      </w:r>
      <w:r w:rsidR="005C3962" w:rsidRPr="002738D9">
        <w:rPr>
          <w:rFonts w:ascii="Arial" w:hAnsi="Arial" w:cs="Arial"/>
          <w:sz w:val="20"/>
          <w:szCs w:val="20"/>
        </w:rPr>
        <w:t xml:space="preserve"> as follows</w:t>
      </w:r>
      <w:r w:rsidRPr="002738D9">
        <w:rPr>
          <w:rFonts w:ascii="Arial" w:hAnsi="Arial" w:cs="Arial"/>
          <w:sz w:val="20"/>
          <w:szCs w:val="20"/>
        </w:rPr>
        <w:t>:</w:t>
      </w:r>
    </w:p>
    <w:p w:rsidR="00041F3F" w:rsidRPr="002738D9" w:rsidRDefault="00041F3F" w:rsidP="002738D9">
      <w:pPr>
        <w:ind w:left="60"/>
        <w:rPr>
          <w:rFonts w:ascii="Arial" w:hAnsi="Arial" w:cs="Arial"/>
          <w:b/>
          <w:sz w:val="20"/>
          <w:szCs w:val="20"/>
        </w:rPr>
      </w:pPr>
    </w:p>
    <w:p w:rsidR="00664131" w:rsidRPr="002738D9" w:rsidRDefault="00664131" w:rsidP="002738D9">
      <w:pPr>
        <w:numPr>
          <w:ilvl w:val="1"/>
          <w:numId w:val="2"/>
        </w:numPr>
        <w:ind w:left="709" w:hanging="567"/>
        <w:contextualSpacing/>
        <w:rPr>
          <w:rFonts w:ascii="Arial" w:hAnsi="Arial" w:cs="Arial"/>
          <w:sz w:val="20"/>
          <w:szCs w:val="20"/>
          <w:lang w:val="en-ZA" w:eastAsia="en-ZA"/>
        </w:rPr>
      </w:pPr>
      <w:r w:rsidRPr="002738D9">
        <w:rPr>
          <w:rFonts w:ascii="Arial" w:hAnsi="Arial" w:cs="Arial"/>
          <w:sz w:val="20"/>
          <w:szCs w:val="20"/>
          <w:lang w:val="en-ZA" w:eastAsia="en-ZA"/>
        </w:rPr>
        <w:t xml:space="preserve">The Department of Human Settlements, working together with National Treasury, should strive to tighten the framework of the Informal Settlements Upgrading Partnership Grant for Provinces before the beginning of the 2023/24 financial year. This will ensure more thorough planning, monitoring and reporting by provinces. Furthermore, this should improve the level of </w:t>
      </w:r>
      <w:r w:rsidRPr="002738D9">
        <w:rPr>
          <w:rFonts w:ascii="Arial" w:hAnsi="Arial" w:cs="Arial"/>
          <w:sz w:val="20"/>
          <w:szCs w:val="20"/>
          <w:lang w:val="en-ZA" w:eastAsia="en-ZA"/>
        </w:rPr>
        <w:lastRenderedPageBreak/>
        <w:t xml:space="preserve">performance and correctly assess the risks of under-expenditure to ensure that early interventions are taken to prevent any possible wastage or fruitless expenditure. </w:t>
      </w:r>
    </w:p>
    <w:p w:rsidR="00F326FB" w:rsidRPr="002738D9" w:rsidRDefault="00F326FB" w:rsidP="002738D9">
      <w:pPr>
        <w:pStyle w:val="ListParagraph"/>
        <w:ind w:left="435"/>
        <w:rPr>
          <w:rFonts w:ascii="Arial" w:hAnsi="Arial" w:cs="Arial"/>
          <w:sz w:val="20"/>
          <w:szCs w:val="20"/>
        </w:rPr>
      </w:pPr>
    </w:p>
    <w:p w:rsidR="00A269C6" w:rsidRPr="002738D9" w:rsidRDefault="00A269C6"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The Department of Human Settlements should consider reviewing the business plan approval process</w:t>
      </w:r>
      <w:r w:rsidRPr="002738D9">
        <w:rPr>
          <w:rFonts w:ascii="Arial" w:hAnsi="Arial" w:cs="Arial"/>
          <w:sz w:val="20"/>
          <w:szCs w:val="20"/>
          <w:lang w:val="en-GB"/>
        </w:rPr>
        <w:t xml:space="preserve"> and urgently address the reported delays</w:t>
      </w:r>
      <w:r w:rsidRPr="002738D9">
        <w:rPr>
          <w:rFonts w:ascii="Arial" w:hAnsi="Arial" w:cs="Arial"/>
          <w:sz w:val="20"/>
          <w:szCs w:val="20"/>
        </w:rPr>
        <w:t>. Approval of business plans should not occur in the middle of the financial year. Clear timelines for the approval process should be adopted by the sector and they should be carefully considered in a transparent manner. These timeframes should be included in the business plan framework and adhered to.</w:t>
      </w:r>
    </w:p>
    <w:p w:rsidR="00A82587" w:rsidRPr="002738D9" w:rsidRDefault="00A82587" w:rsidP="002738D9">
      <w:pPr>
        <w:pStyle w:val="ListParagraph"/>
        <w:ind w:left="435"/>
        <w:rPr>
          <w:rFonts w:ascii="Arial" w:hAnsi="Arial" w:cs="Arial"/>
          <w:sz w:val="20"/>
          <w:szCs w:val="20"/>
        </w:rPr>
      </w:pPr>
    </w:p>
    <w:p w:rsidR="005A6BF1" w:rsidRPr="002738D9" w:rsidRDefault="005A6BF1"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lang w:val="en-GB"/>
        </w:rPr>
        <w:t>The Committee implores the Department of Human Settlements, together with provincial departments of human settlements and municipalities, to urgently take steps to intensify efforts to ensure alignment of municipal Integrated Development Plans with those of provincial and national government. The Committee is of the view that this has been a problem for the past years and therefore, specific urgent interventions are required to address this. Parliament together with provincial legislatures will continue to monitor progress in this regard.</w:t>
      </w:r>
    </w:p>
    <w:p w:rsidR="005A6BF1" w:rsidRPr="002738D9" w:rsidRDefault="005A6BF1" w:rsidP="002738D9">
      <w:pPr>
        <w:pStyle w:val="ListParagraph"/>
        <w:ind w:left="709"/>
        <w:rPr>
          <w:rFonts w:ascii="Arial" w:hAnsi="Arial" w:cs="Arial"/>
          <w:sz w:val="20"/>
          <w:szCs w:val="20"/>
        </w:rPr>
      </w:pPr>
    </w:p>
    <w:p w:rsidR="00E957D3" w:rsidRPr="002738D9" w:rsidRDefault="00CF15F0"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T</w:t>
      </w:r>
      <w:r w:rsidR="00EE4593" w:rsidRPr="002738D9">
        <w:rPr>
          <w:rFonts w:ascii="Arial" w:hAnsi="Arial" w:cs="Arial"/>
          <w:sz w:val="20"/>
          <w:szCs w:val="20"/>
        </w:rPr>
        <w:t xml:space="preserve">he </w:t>
      </w:r>
      <w:r w:rsidR="00A4797C" w:rsidRPr="002738D9">
        <w:rPr>
          <w:rFonts w:ascii="Arial" w:hAnsi="Arial" w:cs="Arial"/>
          <w:sz w:val="20"/>
          <w:szCs w:val="20"/>
          <w:lang w:val="en-GB"/>
        </w:rPr>
        <w:t>Department of Human Settlements</w:t>
      </w:r>
      <w:r w:rsidR="0060207E" w:rsidRPr="002738D9">
        <w:rPr>
          <w:rFonts w:ascii="Arial" w:hAnsi="Arial" w:cs="Arial"/>
          <w:sz w:val="20"/>
          <w:szCs w:val="20"/>
          <w:lang w:val="en-GB"/>
        </w:rPr>
        <w:t xml:space="preserve"> (DHS)</w:t>
      </w:r>
      <w:r w:rsidR="00EE4593" w:rsidRPr="002738D9">
        <w:rPr>
          <w:rFonts w:ascii="Arial" w:hAnsi="Arial" w:cs="Arial"/>
          <w:sz w:val="20"/>
          <w:szCs w:val="20"/>
        </w:rPr>
        <w:t xml:space="preserve"> should </w:t>
      </w:r>
      <w:r w:rsidR="001A7904" w:rsidRPr="002738D9">
        <w:rPr>
          <w:rFonts w:ascii="Arial" w:hAnsi="Arial" w:cs="Arial"/>
          <w:sz w:val="20"/>
          <w:szCs w:val="20"/>
        </w:rPr>
        <w:t>perform rigorous programme and contract management</w:t>
      </w:r>
      <w:r w:rsidR="00E957D3" w:rsidRPr="002738D9">
        <w:rPr>
          <w:rFonts w:ascii="Arial" w:hAnsi="Arial" w:cs="Arial"/>
          <w:sz w:val="20"/>
          <w:szCs w:val="20"/>
        </w:rPr>
        <w:t xml:space="preserve"> </w:t>
      </w:r>
      <w:r w:rsidR="001A7904" w:rsidRPr="002738D9">
        <w:rPr>
          <w:rFonts w:ascii="Arial" w:hAnsi="Arial" w:cs="Arial"/>
          <w:sz w:val="20"/>
          <w:szCs w:val="20"/>
        </w:rPr>
        <w:t>to minimise the risk of under</w:t>
      </w:r>
      <w:r w:rsidR="00A4797C" w:rsidRPr="002738D9">
        <w:rPr>
          <w:rFonts w:ascii="Arial" w:hAnsi="Arial" w:cs="Arial"/>
          <w:sz w:val="20"/>
          <w:szCs w:val="20"/>
        </w:rPr>
        <w:t>-</w:t>
      </w:r>
      <w:r w:rsidR="001A7904" w:rsidRPr="002738D9">
        <w:rPr>
          <w:rFonts w:ascii="Arial" w:hAnsi="Arial" w:cs="Arial"/>
          <w:sz w:val="20"/>
          <w:szCs w:val="20"/>
        </w:rPr>
        <w:t>performance</w:t>
      </w:r>
      <w:r w:rsidR="0060207E" w:rsidRPr="002738D9">
        <w:rPr>
          <w:rFonts w:ascii="Arial" w:hAnsi="Arial" w:cs="Arial"/>
          <w:sz w:val="20"/>
          <w:szCs w:val="20"/>
        </w:rPr>
        <w:t xml:space="preserve">; and </w:t>
      </w:r>
      <w:r w:rsidR="00E957D3" w:rsidRPr="002738D9">
        <w:rPr>
          <w:rFonts w:ascii="Arial" w:hAnsi="Arial" w:cs="Arial"/>
          <w:sz w:val="20"/>
          <w:szCs w:val="20"/>
        </w:rPr>
        <w:t>provincial departments, working together with the</w:t>
      </w:r>
      <w:r w:rsidR="0060207E" w:rsidRPr="002738D9">
        <w:rPr>
          <w:rFonts w:ascii="Arial" w:hAnsi="Arial" w:cs="Arial"/>
          <w:sz w:val="20"/>
          <w:szCs w:val="20"/>
        </w:rPr>
        <w:t xml:space="preserve"> DHS</w:t>
      </w:r>
      <w:r w:rsidR="00E957D3" w:rsidRPr="002738D9">
        <w:rPr>
          <w:rFonts w:ascii="Arial" w:hAnsi="Arial" w:cs="Arial"/>
          <w:sz w:val="20"/>
          <w:szCs w:val="20"/>
        </w:rPr>
        <w:t xml:space="preserve">, should continuously </w:t>
      </w:r>
      <w:r w:rsidR="007A4932" w:rsidRPr="002738D9">
        <w:rPr>
          <w:rFonts w:ascii="Arial" w:hAnsi="Arial" w:cs="Arial"/>
          <w:sz w:val="20"/>
          <w:szCs w:val="20"/>
        </w:rPr>
        <w:t xml:space="preserve">improve programme </w:t>
      </w:r>
      <w:r w:rsidR="00F70B5D" w:rsidRPr="002738D9">
        <w:rPr>
          <w:rFonts w:ascii="Arial" w:hAnsi="Arial" w:cs="Arial"/>
          <w:sz w:val="20"/>
          <w:szCs w:val="20"/>
        </w:rPr>
        <w:t>design</w:t>
      </w:r>
      <w:r w:rsidR="007A4932" w:rsidRPr="002738D9">
        <w:rPr>
          <w:rFonts w:ascii="Arial" w:hAnsi="Arial" w:cs="Arial"/>
          <w:sz w:val="20"/>
          <w:szCs w:val="20"/>
        </w:rPr>
        <w:t xml:space="preserve"> and </w:t>
      </w:r>
      <w:r w:rsidR="00E957D3" w:rsidRPr="002738D9">
        <w:rPr>
          <w:rFonts w:ascii="Arial" w:hAnsi="Arial" w:cs="Arial"/>
          <w:sz w:val="20"/>
          <w:szCs w:val="20"/>
        </w:rPr>
        <w:t xml:space="preserve">hold </w:t>
      </w:r>
      <w:r w:rsidR="007A4932" w:rsidRPr="002738D9">
        <w:rPr>
          <w:rFonts w:ascii="Arial" w:hAnsi="Arial" w:cs="Arial"/>
          <w:sz w:val="20"/>
          <w:szCs w:val="20"/>
        </w:rPr>
        <w:t xml:space="preserve">the implementing agencies and </w:t>
      </w:r>
      <w:r w:rsidR="00E957D3" w:rsidRPr="002738D9">
        <w:rPr>
          <w:rFonts w:ascii="Arial" w:hAnsi="Arial" w:cs="Arial"/>
          <w:sz w:val="20"/>
          <w:szCs w:val="20"/>
        </w:rPr>
        <w:t>c</w:t>
      </w:r>
      <w:r w:rsidR="001A7904" w:rsidRPr="002738D9">
        <w:rPr>
          <w:rFonts w:ascii="Arial" w:hAnsi="Arial" w:cs="Arial"/>
          <w:sz w:val="20"/>
          <w:szCs w:val="20"/>
        </w:rPr>
        <w:t>ontractors</w:t>
      </w:r>
      <w:r w:rsidR="00E957D3" w:rsidRPr="002738D9">
        <w:rPr>
          <w:rFonts w:ascii="Arial" w:hAnsi="Arial" w:cs="Arial"/>
          <w:sz w:val="20"/>
          <w:szCs w:val="20"/>
        </w:rPr>
        <w:t xml:space="preserve"> </w:t>
      </w:r>
      <w:r w:rsidR="001A7904" w:rsidRPr="002738D9">
        <w:rPr>
          <w:rFonts w:ascii="Arial" w:hAnsi="Arial" w:cs="Arial"/>
          <w:sz w:val="20"/>
          <w:szCs w:val="20"/>
        </w:rPr>
        <w:t>accountable for poor performance</w:t>
      </w:r>
      <w:r w:rsidR="00E957D3" w:rsidRPr="002738D9">
        <w:rPr>
          <w:rFonts w:ascii="Arial" w:hAnsi="Arial" w:cs="Arial"/>
          <w:sz w:val="20"/>
          <w:szCs w:val="20"/>
        </w:rPr>
        <w:t>.</w:t>
      </w:r>
      <w:r w:rsidR="00F70B5D" w:rsidRPr="002738D9">
        <w:rPr>
          <w:rFonts w:ascii="Arial" w:hAnsi="Arial" w:cs="Arial"/>
          <w:sz w:val="20"/>
          <w:szCs w:val="20"/>
        </w:rPr>
        <w:t xml:space="preserve"> Parliament </w:t>
      </w:r>
      <w:r w:rsidR="00B6575F" w:rsidRPr="002738D9">
        <w:rPr>
          <w:rFonts w:ascii="Arial" w:hAnsi="Arial" w:cs="Arial"/>
          <w:sz w:val="20"/>
          <w:szCs w:val="20"/>
        </w:rPr>
        <w:t xml:space="preserve">and provincial legislatures </w:t>
      </w:r>
      <w:r w:rsidR="00F70B5D" w:rsidRPr="002738D9">
        <w:rPr>
          <w:rFonts w:ascii="Arial" w:hAnsi="Arial" w:cs="Arial"/>
          <w:sz w:val="20"/>
          <w:szCs w:val="20"/>
        </w:rPr>
        <w:t xml:space="preserve">will continue to monitor this going forward. </w:t>
      </w:r>
    </w:p>
    <w:p w:rsidR="005607DF" w:rsidRPr="002738D9" w:rsidRDefault="005607DF" w:rsidP="002738D9">
      <w:pPr>
        <w:pStyle w:val="ListParagraph"/>
        <w:ind w:left="435"/>
        <w:rPr>
          <w:rFonts w:ascii="Arial" w:hAnsi="Arial" w:cs="Arial"/>
          <w:sz w:val="20"/>
          <w:szCs w:val="20"/>
        </w:rPr>
      </w:pPr>
    </w:p>
    <w:p w:rsidR="00A82587" w:rsidRPr="002738D9" w:rsidRDefault="00CF15F0"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T</w:t>
      </w:r>
      <w:r w:rsidR="000F4FE7" w:rsidRPr="002738D9">
        <w:rPr>
          <w:rFonts w:ascii="Arial" w:hAnsi="Arial" w:cs="Arial"/>
          <w:sz w:val="20"/>
          <w:szCs w:val="20"/>
        </w:rPr>
        <w:t>h</w:t>
      </w:r>
      <w:r w:rsidR="00E957D3" w:rsidRPr="002738D9">
        <w:rPr>
          <w:rFonts w:ascii="Arial" w:hAnsi="Arial" w:cs="Arial"/>
          <w:sz w:val="20"/>
          <w:szCs w:val="20"/>
        </w:rPr>
        <w:t xml:space="preserve">e </w:t>
      </w:r>
      <w:r w:rsidR="00A4797C" w:rsidRPr="002738D9">
        <w:rPr>
          <w:rFonts w:ascii="Arial" w:hAnsi="Arial" w:cs="Arial"/>
          <w:sz w:val="20"/>
          <w:szCs w:val="20"/>
          <w:lang w:val="en-GB"/>
        </w:rPr>
        <w:t>Department of Human Settlements</w:t>
      </w:r>
      <w:r w:rsidR="00E957D3" w:rsidRPr="002738D9">
        <w:rPr>
          <w:rFonts w:ascii="Arial" w:hAnsi="Arial" w:cs="Arial"/>
          <w:sz w:val="20"/>
          <w:szCs w:val="20"/>
        </w:rPr>
        <w:t xml:space="preserve"> should continue to hold </w:t>
      </w:r>
      <w:r w:rsidR="000F4FE7" w:rsidRPr="002738D9">
        <w:rPr>
          <w:rFonts w:ascii="Arial" w:hAnsi="Arial" w:cs="Arial"/>
          <w:sz w:val="20"/>
          <w:szCs w:val="20"/>
        </w:rPr>
        <w:t xml:space="preserve">accountable </w:t>
      </w:r>
      <w:r w:rsidR="00E957D3" w:rsidRPr="002738D9">
        <w:rPr>
          <w:rFonts w:ascii="Arial" w:hAnsi="Arial" w:cs="Arial"/>
          <w:sz w:val="20"/>
          <w:szCs w:val="20"/>
        </w:rPr>
        <w:t xml:space="preserve">provinces </w:t>
      </w:r>
      <w:r w:rsidR="000F4FE7" w:rsidRPr="002738D9">
        <w:rPr>
          <w:rFonts w:ascii="Arial" w:hAnsi="Arial" w:cs="Arial"/>
          <w:sz w:val="20"/>
          <w:szCs w:val="20"/>
        </w:rPr>
        <w:t xml:space="preserve">that </w:t>
      </w:r>
      <w:r w:rsidR="00E957D3" w:rsidRPr="002738D9">
        <w:rPr>
          <w:rFonts w:ascii="Arial" w:hAnsi="Arial" w:cs="Arial"/>
          <w:sz w:val="20"/>
          <w:szCs w:val="20"/>
        </w:rPr>
        <w:t>transfer funds to implementing agencies</w:t>
      </w:r>
      <w:r w:rsidR="001A7904" w:rsidRPr="002738D9">
        <w:rPr>
          <w:rFonts w:ascii="Arial" w:hAnsi="Arial" w:cs="Arial"/>
          <w:sz w:val="20"/>
          <w:szCs w:val="20"/>
        </w:rPr>
        <w:t>.</w:t>
      </w:r>
      <w:r w:rsidR="00E957D3" w:rsidRPr="002738D9">
        <w:rPr>
          <w:rFonts w:ascii="Arial" w:hAnsi="Arial" w:cs="Arial"/>
          <w:sz w:val="20"/>
          <w:szCs w:val="20"/>
        </w:rPr>
        <w:t xml:space="preserve"> </w:t>
      </w:r>
      <w:r w:rsidR="00B87EFD" w:rsidRPr="002738D9">
        <w:rPr>
          <w:rFonts w:ascii="Arial" w:hAnsi="Arial" w:cs="Arial"/>
          <w:sz w:val="20"/>
          <w:szCs w:val="20"/>
        </w:rPr>
        <w:t>The Department should</w:t>
      </w:r>
      <w:r w:rsidR="00E957D3" w:rsidRPr="002738D9">
        <w:rPr>
          <w:rFonts w:ascii="Arial" w:hAnsi="Arial" w:cs="Arial"/>
          <w:sz w:val="20"/>
          <w:szCs w:val="20"/>
        </w:rPr>
        <w:t xml:space="preserve"> also demand financial accountability</w:t>
      </w:r>
      <w:r w:rsidR="00B87EFD" w:rsidRPr="002738D9">
        <w:rPr>
          <w:rFonts w:ascii="Arial" w:hAnsi="Arial" w:cs="Arial"/>
          <w:sz w:val="20"/>
          <w:szCs w:val="20"/>
        </w:rPr>
        <w:t xml:space="preserve"> and value for money</w:t>
      </w:r>
      <w:r w:rsidR="00E957D3" w:rsidRPr="002738D9">
        <w:rPr>
          <w:rFonts w:ascii="Arial" w:hAnsi="Arial" w:cs="Arial"/>
          <w:sz w:val="20"/>
          <w:szCs w:val="20"/>
        </w:rPr>
        <w:t xml:space="preserve"> from </w:t>
      </w:r>
      <w:r w:rsidR="00FB6B21" w:rsidRPr="002738D9">
        <w:rPr>
          <w:rFonts w:ascii="Arial" w:hAnsi="Arial" w:cs="Arial"/>
          <w:sz w:val="20"/>
          <w:szCs w:val="20"/>
        </w:rPr>
        <w:t xml:space="preserve">the </w:t>
      </w:r>
      <w:r w:rsidR="00B87EFD" w:rsidRPr="002738D9">
        <w:rPr>
          <w:rFonts w:ascii="Arial" w:hAnsi="Arial" w:cs="Arial"/>
          <w:sz w:val="20"/>
          <w:szCs w:val="20"/>
        </w:rPr>
        <w:t xml:space="preserve">implementing and </w:t>
      </w:r>
      <w:r w:rsidR="00FB6B21" w:rsidRPr="002738D9">
        <w:rPr>
          <w:rFonts w:ascii="Arial" w:hAnsi="Arial" w:cs="Arial"/>
          <w:sz w:val="20"/>
          <w:szCs w:val="20"/>
        </w:rPr>
        <w:t>contracted agencies. This will</w:t>
      </w:r>
      <w:r w:rsidR="00E957D3" w:rsidRPr="002738D9">
        <w:rPr>
          <w:rFonts w:ascii="Arial" w:hAnsi="Arial" w:cs="Arial"/>
          <w:sz w:val="20"/>
          <w:szCs w:val="20"/>
        </w:rPr>
        <w:t xml:space="preserve"> assist to ensure that there are no financial leakages and fiscal dumping, and opportunities for corrupt practices.</w:t>
      </w:r>
    </w:p>
    <w:p w:rsidR="00F326FB" w:rsidRPr="002738D9" w:rsidRDefault="00F326FB" w:rsidP="002738D9">
      <w:pPr>
        <w:pStyle w:val="ListParagraph"/>
        <w:ind w:left="435"/>
        <w:rPr>
          <w:rFonts w:ascii="Arial" w:hAnsi="Arial" w:cs="Arial"/>
          <w:sz w:val="20"/>
          <w:szCs w:val="20"/>
        </w:rPr>
      </w:pPr>
    </w:p>
    <w:p w:rsidR="000F4FE7" w:rsidRPr="002738D9" w:rsidRDefault="00CF15F0"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T</w:t>
      </w:r>
      <w:r w:rsidR="000F4FE7" w:rsidRPr="002738D9">
        <w:rPr>
          <w:rFonts w:ascii="Arial" w:hAnsi="Arial" w:cs="Arial"/>
          <w:sz w:val="20"/>
          <w:szCs w:val="20"/>
        </w:rPr>
        <w:t xml:space="preserve">he provincial departments </w:t>
      </w:r>
      <w:r w:rsidR="0060207E" w:rsidRPr="002738D9">
        <w:rPr>
          <w:rFonts w:ascii="Arial" w:hAnsi="Arial" w:cs="Arial"/>
          <w:sz w:val="20"/>
          <w:szCs w:val="20"/>
        </w:rPr>
        <w:t xml:space="preserve">of human settlements </w:t>
      </w:r>
      <w:r w:rsidR="00580B57" w:rsidRPr="002738D9">
        <w:rPr>
          <w:rFonts w:ascii="Arial" w:hAnsi="Arial" w:cs="Arial"/>
          <w:sz w:val="20"/>
          <w:szCs w:val="20"/>
        </w:rPr>
        <w:t xml:space="preserve">should </w:t>
      </w:r>
      <w:r w:rsidR="000F4FE7" w:rsidRPr="002738D9">
        <w:rPr>
          <w:rFonts w:ascii="Arial" w:hAnsi="Arial" w:cs="Arial"/>
          <w:sz w:val="20"/>
          <w:szCs w:val="20"/>
        </w:rPr>
        <w:t>comply with section 16 of the Division of Revenue Act, which requires provinces to provide agreements it has with</w:t>
      </w:r>
      <w:r w:rsidR="004E6D38" w:rsidRPr="002738D9">
        <w:rPr>
          <w:rFonts w:ascii="Arial" w:hAnsi="Arial" w:cs="Arial"/>
          <w:sz w:val="20"/>
          <w:szCs w:val="20"/>
        </w:rPr>
        <w:t xml:space="preserve"> other</w:t>
      </w:r>
      <w:r w:rsidR="000F4FE7" w:rsidRPr="002738D9">
        <w:rPr>
          <w:rFonts w:ascii="Arial" w:hAnsi="Arial" w:cs="Arial"/>
          <w:sz w:val="20"/>
          <w:szCs w:val="20"/>
        </w:rPr>
        <w:t xml:space="preserve"> organs of state and a schedule of payments to </w:t>
      </w:r>
      <w:r w:rsidR="00D236A6" w:rsidRPr="002738D9">
        <w:rPr>
          <w:rFonts w:ascii="Arial" w:hAnsi="Arial" w:cs="Arial"/>
          <w:sz w:val="20"/>
          <w:szCs w:val="20"/>
        </w:rPr>
        <w:t xml:space="preserve">the </w:t>
      </w:r>
      <w:r w:rsidR="000F4FE7" w:rsidRPr="002738D9">
        <w:rPr>
          <w:rFonts w:ascii="Arial" w:hAnsi="Arial" w:cs="Arial"/>
          <w:sz w:val="20"/>
          <w:szCs w:val="20"/>
        </w:rPr>
        <w:t xml:space="preserve">National Treasury, </w:t>
      </w:r>
      <w:r w:rsidR="00FB6B21" w:rsidRPr="002738D9">
        <w:rPr>
          <w:rFonts w:ascii="Arial" w:hAnsi="Arial" w:cs="Arial"/>
          <w:sz w:val="20"/>
          <w:szCs w:val="20"/>
        </w:rPr>
        <w:t xml:space="preserve">the </w:t>
      </w:r>
      <w:r w:rsidR="000F4FE7" w:rsidRPr="002738D9">
        <w:rPr>
          <w:rFonts w:ascii="Arial" w:hAnsi="Arial" w:cs="Arial"/>
          <w:sz w:val="20"/>
          <w:szCs w:val="20"/>
        </w:rPr>
        <w:t>Transferring Officer and provincial treasuries</w:t>
      </w:r>
      <w:r w:rsidR="00580B57" w:rsidRPr="002738D9">
        <w:rPr>
          <w:rFonts w:ascii="Arial" w:hAnsi="Arial" w:cs="Arial"/>
          <w:sz w:val="20"/>
          <w:szCs w:val="20"/>
        </w:rPr>
        <w:t>. These agreements should be submitted to these institutions as a matter of urgency</w:t>
      </w:r>
      <w:r w:rsidR="00303D07" w:rsidRPr="002738D9">
        <w:rPr>
          <w:rFonts w:ascii="Arial" w:hAnsi="Arial" w:cs="Arial"/>
          <w:sz w:val="20"/>
          <w:szCs w:val="20"/>
        </w:rPr>
        <w:t xml:space="preserve"> and at </w:t>
      </w:r>
      <w:r w:rsidR="0060207E" w:rsidRPr="002738D9">
        <w:rPr>
          <w:rFonts w:ascii="Arial" w:hAnsi="Arial" w:cs="Arial"/>
          <w:sz w:val="20"/>
          <w:szCs w:val="20"/>
        </w:rPr>
        <w:t>the latest</w:t>
      </w:r>
      <w:r w:rsidR="00303D07" w:rsidRPr="002738D9">
        <w:rPr>
          <w:rFonts w:ascii="Arial" w:hAnsi="Arial" w:cs="Arial"/>
          <w:sz w:val="20"/>
          <w:szCs w:val="20"/>
        </w:rPr>
        <w:t>, within two we</w:t>
      </w:r>
      <w:r w:rsidR="0060207E" w:rsidRPr="002738D9">
        <w:rPr>
          <w:rFonts w:ascii="Arial" w:hAnsi="Arial" w:cs="Arial"/>
          <w:sz w:val="20"/>
          <w:szCs w:val="20"/>
        </w:rPr>
        <w:t>eks after the adoption of this R</w:t>
      </w:r>
      <w:r w:rsidR="00303D07" w:rsidRPr="002738D9">
        <w:rPr>
          <w:rFonts w:ascii="Arial" w:hAnsi="Arial" w:cs="Arial"/>
          <w:sz w:val="20"/>
          <w:szCs w:val="20"/>
        </w:rPr>
        <w:t>eport by the National Council of Provinces</w:t>
      </w:r>
      <w:r w:rsidR="004E6D38" w:rsidRPr="002738D9">
        <w:rPr>
          <w:rFonts w:ascii="Arial" w:hAnsi="Arial" w:cs="Arial"/>
          <w:sz w:val="20"/>
          <w:szCs w:val="20"/>
        </w:rPr>
        <w:t xml:space="preserve"> (NCOP)</w:t>
      </w:r>
      <w:r w:rsidR="00303D07" w:rsidRPr="002738D9">
        <w:rPr>
          <w:rFonts w:ascii="Arial" w:hAnsi="Arial" w:cs="Arial"/>
          <w:sz w:val="20"/>
          <w:szCs w:val="20"/>
        </w:rPr>
        <w:t>.</w:t>
      </w:r>
      <w:r w:rsidR="004E6D38" w:rsidRPr="002738D9">
        <w:rPr>
          <w:rFonts w:ascii="Arial" w:hAnsi="Arial" w:cs="Arial"/>
          <w:sz w:val="20"/>
          <w:szCs w:val="20"/>
        </w:rPr>
        <w:t xml:space="preserve"> </w:t>
      </w:r>
    </w:p>
    <w:p w:rsidR="00F326FB" w:rsidRPr="002738D9" w:rsidRDefault="00F326FB" w:rsidP="002738D9">
      <w:pPr>
        <w:pStyle w:val="ListParagraph"/>
        <w:ind w:left="435"/>
        <w:rPr>
          <w:rFonts w:ascii="Arial" w:hAnsi="Arial" w:cs="Arial"/>
          <w:sz w:val="20"/>
          <w:szCs w:val="20"/>
        </w:rPr>
      </w:pPr>
    </w:p>
    <w:p w:rsidR="00F326FB" w:rsidRPr="002738D9" w:rsidRDefault="00CF15F0" w:rsidP="002738D9">
      <w:pPr>
        <w:pStyle w:val="ListParagraph"/>
        <w:numPr>
          <w:ilvl w:val="1"/>
          <w:numId w:val="2"/>
        </w:numPr>
        <w:ind w:left="709" w:hanging="649"/>
        <w:rPr>
          <w:rFonts w:ascii="Arial" w:hAnsi="Arial" w:cs="Arial"/>
          <w:sz w:val="20"/>
          <w:szCs w:val="20"/>
        </w:rPr>
      </w:pPr>
      <w:r w:rsidRPr="002738D9">
        <w:rPr>
          <w:rFonts w:ascii="Arial" w:hAnsi="Arial" w:cs="Arial"/>
          <w:sz w:val="20"/>
          <w:szCs w:val="20"/>
        </w:rPr>
        <w:t>T</w:t>
      </w:r>
      <w:r w:rsidR="000F4FE7" w:rsidRPr="002738D9">
        <w:rPr>
          <w:rFonts w:ascii="Arial" w:hAnsi="Arial" w:cs="Arial"/>
          <w:sz w:val="20"/>
          <w:szCs w:val="20"/>
        </w:rPr>
        <w:t>he p</w:t>
      </w:r>
      <w:r w:rsidR="001A7904" w:rsidRPr="002738D9">
        <w:rPr>
          <w:rFonts w:ascii="Arial" w:hAnsi="Arial" w:cs="Arial"/>
          <w:sz w:val="20"/>
          <w:szCs w:val="20"/>
        </w:rPr>
        <w:t>lanned engagements through social compacts</w:t>
      </w:r>
      <w:r w:rsidR="0060207E" w:rsidRPr="002738D9">
        <w:rPr>
          <w:rFonts w:ascii="Arial" w:hAnsi="Arial" w:cs="Arial"/>
          <w:sz w:val="20"/>
          <w:szCs w:val="20"/>
        </w:rPr>
        <w:t xml:space="preserve">, required by </w:t>
      </w:r>
      <w:r w:rsidR="000F4FE7" w:rsidRPr="002738D9">
        <w:rPr>
          <w:rFonts w:ascii="Arial" w:hAnsi="Arial" w:cs="Arial"/>
          <w:sz w:val="20"/>
          <w:szCs w:val="20"/>
        </w:rPr>
        <w:t xml:space="preserve">the </w:t>
      </w:r>
      <w:r w:rsidR="004D432F" w:rsidRPr="002738D9">
        <w:rPr>
          <w:rFonts w:ascii="Arial" w:hAnsi="Arial" w:cs="Arial"/>
          <w:sz w:val="20"/>
          <w:szCs w:val="20"/>
        </w:rPr>
        <w:t>Grant</w:t>
      </w:r>
      <w:r w:rsidR="000F4FE7" w:rsidRPr="002738D9">
        <w:rPr>
          <w:rFonts w:ascii="Arial" w:hAnsi="Arial" w:cs="Arial"/>
          <w:sz w:val="20"/>
          <w:szCs w:val="20"/>
        </w:rPr>
        <w:t xml:space="preserve"> framework</w:t>
      </w:r>
      <w:r w:rsidR="0060207E" w:rsidRPr="002738D9">
        <w:rPr>
          <w:rFonts w:ascii="Arial" w:hAnsi="Arial" w:cs="Arial"/>
          <w:sz w:val="20"/>
          <w:szCs w:val="20"/>
        </w:rPr>
        <w:t>,</w:t>
      </w:r>
      <w:r w:rsidR="001A7904" w:rsidRPr="002738D9">
        <w:rPr>
          <w:rFonts w:ascii="Arial" w:hAnsi="Arial" w:cs="Arial"/>
          <w:sz w:val="20"/>
          <w:szCs w:val="20"/>
        </w:rPr>
        <w:t xml:space="preserve"> should be prioritised to reduce instances of community protests that often stall projects.</w:t>
      </w:r>
      <w:r w:rsidR="004E6D38" w:rsidRPr="002738D9">
        <w:rPr>
          <w:rFonts w:ascii="Arial" w:hAnsi="Arial" w:cs="Arial"/>
          <w:sz w:val="20"/>
          <w:szCs w:val="20"/>
        </w:rPr>
        <w:t xml:space="preserve"> </w:t>
      </w:r>
      <w:r w:rsidR="0045235F" w:rsidRPr="002738D9">
        <w:rPr>
          <w:rFonts w:ascii="Arial" w:hAnsi="Arial" w:cs="Arial"/>
          <w:sz w:val="20"/>
          <w:szCs w:val="20"/>
        </w:rPr>
        <w:t>S</w:t>
      </w:r>
      <w:r w:rsidR="004E6D38" w:rsidRPr="002738D9">
        <w:rPr>
          <w:rFonts w:ascii="Arial" w:hAnsi="Arial" w:cs="Arial"/>
          <w:sz w:val="20"/>
          <w:szCs w:val="20"/>
        </w:rPr>
        <w:t xml:space="preserve">uch </w:t>
      </w:r>
      <w:r w:rsidR="00375D3A" w:rsidRPr="002738D9">
        <w:rPr>
          <w:rFonts w:ascii="Arial" w:hAnsi="Arial" w:cs="Arial"/>
          <w:sz w:val="20"/>
          <w:szCs w:val="20"/>
        </w:rPr>
        <w:t>public protest do</w:t>
      </w:r>
      <w:r w:rsidR="005B284E" w:rsidRPr="002738D9">
        <w:rPr>
          <w:rFonts w:ascii="Arial" w:hAnsi="Arial" w:cs="Arial"/>
          <w:sz w:val="20"/>
          <w:szCs w:val="20"/>
        </w:rPr>
        <w:t>es</w:t>
      </w:r>
      <w:r w:rsidR="00375D3A" w:rsidRPr="002738D9">
        <w:rPr>
          <w:rFonts w:ascii="Arial" w:hAnsi="Arial" w:cs="Arial"/>
          <w:sz w:val="20"/>
          <w:szCs w:val="20"/>
        </w:rPr>
        <w:t xml:space="preserve"> not only interfere with the</w:t>
      </w:r>
      <w:r w:rsidR="004E6D38" w:rsidRPr="002738D9">
        <w:rPr>
          <w:rFonts w:ascii="Arial" w:hAnsi="Arial" w:cs="Arial"/>
          <w:sz w:val="20"/>
          <w:szCs w:val="20"/>
        </w:rPr>
        <w:t xml:space="preserve"> </w:t>
      </w:r>
      <w:r w:rsidR="00433F52" w:rsidRPr="002738D9">
        <w:rPr>
          <w:rFonts w:ascii="Arial" w:hAnsi="Arial" w:cs="Arial"/>
          <w:sz w:val="20"/>
          <w:szCs w:val="20"/>
        </w:rPr>
        <w:t xml:space="preserve">government </w:t>
      </w:r>
      <w:r w:rsidR="004E6D38" w:rsidRPr="002738D9">
        <w:rPr>
          <w:rFonts w:ascii="Arial" w:hAnsi="Arial" w:cs="Arial"/>
          <w:sz w:val="20"/>
          <w:szCs w:val="20"/>
        </w:rPr>
        <w:t>planned projects but also</w:t>
      </w:r>
      <w:r w:rsidR="00433F52" w:rsidRPr="002738D9">
        <w:rPr>
          <w:rFonts w:ascii="Arial" w:hAnsi="Arial" w:cs="Arial"/>
          <w:sz w:val="20"/>
          <w:szCs w:val="20"/>
        </w:rPr>
        <w:t xml:space="preserve"> results in</w:t>
      </w:r>
      <w:r w:rsidR="00AD634B" w:rsidRPr="002738D9">
        <w:rPr>
          <w:rFonts w:ascii="Arial" w:hAnsi="Arial" w:cs="Arial"/>
          <w:sz w:val="20"/>
          <w:szCs w:val="20"/>
        </w:rPr>
        <w:t xml:space="preserve"> the loss of people’s lives</w:t>
      </w:r>
      <w:r w:rsidR="0045235F" w:rsidRPr="002738D9">
        <w:rPr>
          <w:rFonts w:ascii="Arial" w:hAnsi="Arial" w:cs="Arial"/>
          <w:sz w:val="20"/>
          <w:szCs w:val="20"/>
        </w:rPr>
        <w:t xml:space="preserve"> and</w:t>
      </w:r>
      <w:r w:rsidR="00433F52" w:rsidRPr="002738D9">
        <w:rPr>
          <w:rFonts w:ascii="Arial" w:hAnsi="Arial" w:cs="Arial"/>
          <w:sz w:val="20"/>
          <w:szCs w:val="20"/>
        </w:rPr>
        <w:t xml:space="preserve"> vandalism to the</w:t>
      </w:r>
      <w:r w:rsidR="004E6D38" w:rsidRPr="002738D9">
        <w:rPr>
          <w:rFonts w:ascii="Arial" w:hAnsi="Arial" w:cs="Arial"/>
          <w:sz w:val="20"/>
          <w:szCs w:val="20"/>
        </w:rPr>
        <w:t xml:space="preserve"> existing infrastructure</w:t>
      </w:r>
      <w:r w:rsidR="00AD634B" w:rsidRPr="002738D9">
        <w:rPr>
          <w:rFonts w:ascii="Arial" w:hAnsi="Arial" w:cs="Arial"/>
          <w:sz w:val="20"/>
          <w:szCs w:val="20"/>
        </w:rPr>
        <w:t>, which negatively affect</w:t>
      </w:r>
      <w:r w:rsidR="0045235F" w:rsidRPr="002738D9">
        <w:rPr>
          <w:rFonts w:ascii="Arial" w:hAnsi="Arial" w:cs="Arial"/>
          <w:sz w:val="20"/>
          <w:szCs w:val="20"/>
        </w:rPr>
        <w:t>s</w:t>
      </w:r>
      <w:r w:rsidR="00AD634B" w:rsidRPr="002738D9">
        <w:rPr>
          <w:rFonts w:ascii="Arial" w:hAnsi="Arial" w:cs="Arial"/>
          <w:sz w:val="20"/>
          <w:szCs w:val="20"/>
        </w:rPr>
        <w:t xml:space="preserve"> service delivery</w:t>
      </w:r>
      <w:r w:rsidR="004E6D38" w:rsidRPr="002738D9">
        <w:rPr>
          <w:rFonts w:ascii="Arial" w:hAnsi="Arial" w:cs="Arial"/>
          <w:sz w:val="20"/>
          <w:szCs w:val="20"/>
        </w:rPr>
        <w:t>.</w:t>
      </w:r>
      <w:r w:rsidR="00433F52" w:rsidRPr="002738D9">
        <w:rPr>
          <w:rFonts w:ascii="Arial" w:hAnsi="Arial" w:cs="Arial"/>
          <w:sz w:val="20"/>
          <w:szCs w:val="20"/>
        </w:rPr>
        <w:t xml:space="preserve"> </w:t>
      </w:r>
      <w:r w:rsidR="002316F4" w:rsidRPr="002738D9">
        <w:rPr>
          <w:rFonts w:ascii="Arial" w:hAnsi="Arial" w:cs="Arial"/>
          <w:sz w:val="20"/>
          <w:szCs w:val="20"/>
        </w:rPr>
        <w:t>The</w:t>
      </w:r>
      <w:r w:rsidR="00B91443" w:rsidRPr="002738D9">
        <w:rPr>
          <w:rFonts w:ascii="Arial" w:hAnsi="Arial" w:cs="Arial"/>
          <w:sz w:val="20"/>
          <w:szCs w:val="20"/>
        </w:rPr>
        <w:t>refore, the</w:t>
      </w:r>
      <w:r w:rsidR="002316F4" w:rsidRPr="002738D9">
        <w:rPr>
          <w:rFonts w:ascii="Arial" w:hAnsi="Arial" w:cs="Arial"/>
          <w:sz w:val="20"/>
          <w:szCs w:val="20"/>
        </w:rPr>
        <w:t xml:space="preserve"> Committee implores all community leaders across political organisations, social partners, private sector and government institutions to find a way to address this and its </w:t>
      </w:r>
      <w:r w:rsidR="008F5B3F" w:rsidRPr="002738D9">
        <w:rPr>
          <w:rFonts w:ascii="Arial" w:hAnsi="Arial" w:cs="Arial"/>
          <w:sz w:val="20"/>
          <w:szCs w:val="20"/>
        </w:rPr>
        <w:t>negative</w:t>
      </w:r>
      <w:r w:rsidR="002316F4" w:rsidRPr="002738D9">
        <w:rPr>
          <w:rFonts w:ascii="Arial" w:hAnsi="Arial" w:cs="Arial"/>
          <w:sz w:val="20"/>
          <w:szCs w:val="20"/>
        </w:rPr>
        <w:t xml:space="preserve"> impact o</w:t>
      </w:r>
      <w:r w:rsidR="00C60B5C" w:rsidRPr="002738D9">
        <w:rPr>
          <w:rFonts w:ascii="Arial" w:hAnsi="Arial" w:cs="Arial"/>
          <w:sz w:val="20"/>
          <w:szCs w:val="20"/>
        </w:rPr>
        <w:t>n</w:t>
      </w:r>
      <w:r w:rsidR="002316F4" w:rsidRPr="002738D9">
        <w:rPr>
          <w:rFonts w:ascii="Arial" w:hAnsi="Arial" w:cs="Arial"/>
          <w:sz w:val="20"/>
          <w:szCs w:val="20"/>
        </w:rPr>
        <w:t xml:space="preserve"> the poor and vulnerable communities.</w:t>
      </w:r>
    </w:p>
    <w:p w:rsidR="00F326FB" w:rsidRPr="002738D9" w:rsidRDefault="002316F4" w:rsidP="002738D9">
      <w:pPr>
        <w:pStyle w:val="ListParagraph"/>
        <w:ind w:left="435"/>
        <w:rPr>
          <w:rFonts w:ascii="Arial" w:hAnsi="Arial" w:cs="Arial"/>
          <w:sz w:val="20"/>
          <w:szCs w:val="20"/>
        </w:rPr>
      </w:pPr>
      <w:r w:rsidRPr="002738D9">
        <w:rPr>
          <w:rFonts w:ascii="Arial" w:hAnsi="Arial" w:cs="Arial"/>
          <w:sz w:val="20"/>
          <w:szCs w:val="20"/>
        </w:rPr>
        <w:t xml:space="preserve">  </w:t>
      </w:r>
      <w:r w:rsidR="004E6D38" w:rsidRPr="002738D9">
        <w:rPr>
          <w:rFonts w:ascii="Arial" w:hAnsi="Arial" w:cs="Arial"/>
          <w:sz w:val="20"/>
          <w:szCs w:val="20"/>
        </w:rPr>
        <w:t xml:space="preserve">  </w:t>
      </w:r>
    </w:p>
    <w:p w:rsidR="001868E6" w:rsidRPr="002738D9" w:rsidRDefault="00617C2E" w:rsidP="002738D9">
      <w:pPr>
        <w:pStyle w:val="ListParagraph"/>
        <w:numPr>
          <w:ilvl w:val="1"/>
          <w:numId w:val="2"/>
        </w:numPr>
        <w:ind w:left="709" w:hanging="567"/>
        <w:rPr>
          <w:rFonts w:ascii="Arial" w:hAnsi="Arial" w:cs="Arial"/>
          <w:sz w:val="20"/>
          <w:szCs w:val="20"/>
        </w:rPr>
      </w:pPr>
      <w:r w:rsidRPr="002738D9">
        <w:rPr>
          <w:rFonts w:ascii="Arial" w:hAnsi="Arial" w:cs="Arial"/>
          <w:sz w:val="20"/>
          <w:szCs w:val="20"/>
          <w:lang w:val="en-GB"/>
        </w:rPr>
        <w:t>The Committee implores</w:t>
      </w:r>
      <w:r w:rsidRPr="002738D9">
        <w:rPr>
          <w:rFonts w:ascii="Arial" w:hAnsi="Arial" w:cs="Arial"/>
          <w:sz w:val="20"/>
          <w:szCs w:val="20"/>
        </w:rPr>
        <w:t xml:space="preserve"> the National Treasury to expedite the process of reviewing all conditional grant frameworks to address the Minister</w:t>
      </w:r>
      <w:r w:rsidR="00D236A6" w:rsidRPr="002738D9">
        <w:rPr>
          <w:rFonts w:ascii="Arial" w:hAnsi="Arial" w:cs="Arial"/>
          <w:sz w:val="20"/>
          <w:szCs w:val="20"/>
        </w:rPr>
        <w:t xml:space="preserve"> of Human Settlement</w:t>
      </w:r>
      <w:r w:rsidRPr="002738D9">
        <w:rPr>
          <w:rFonts w:ascii="Arial" w:hAnsi="Arial" w:cs="Arial"/>
          <w:sz w:val="20"/>
          <w:szCs w:val="20"/>
        </w:rPr>
        <w:t>s</w:t>
      </w:r>
      <w:r w:rsidR="007C2C85" w:rsidRPr="002738D9">
        <w:rPr>
          <w:rFonts w:ascii="Arial" w:hAnsi="Arial" w:cs="Arial"/>
          <w:sz w:val="20"/>
          <w:szCs w:val="20"/>
        </w:rPr>
        <w:t>’</w:t>
      </w:r>
      <w:r w:rsidRPr="002738D9">
        <w:rPr>
          <w:rFonts w:ascii="Arial" w:hAnsi="Arial" w:cs="Arial"/>
          <w:sz w:val="20"/>
          <w:szCs w:val="20"/>
        </w:rPr>
        <w:t xml:space="preserve"> concern around the Grant framework being too constr</w:t>
      </w:r>
      <w:r w:rsidR="00D236A6" w:rsidRPr="002738D9">
        <w:rPr>
          <w:rFonts w:ascii="Arial" w:hAnsi="Arial" w:cs="Arial"/>
          <w:sz w:val="20"/>
          <w:szCs w:val="20"/>
        </w:rPr>
        <w:t>ained</w:t>
      </w:r>
      <w:r w:rsidR="007C2C85" w:rsidRPr="002738D9">
        <w:rPr>
          <w:rFonts w:ascii="Arial" w:hAnsi="Arial" w:cs="Arial"/>
          <w:sz w:val="20"/>
          <w:szCs w:val="20"/>
        </w:rPr>
        <w:t xml:space="preserve"> and not</w:t>
      </w:r>
      <w:r w:rsidRPr="002738D9">
        <w:rPr>
          <w:rFonts w:ascii="Arial" w:hAnsi="Arial" w:cs="Arial"/>
          <w:sz w:val="20"/>
          <w:szCs w:val="20"/>
        </w:rPr>
        <w:t xml:space="preserve"> supporti</w:t>
      </w:r>
      <w:r w:rsidR="007C2C85" w:rsidRPr="002738D9">
        <w:rPr>
          <w:rFonts w:ascii="Arial" w:hAnsi="Arial" w:cs="Arial"/>
          <w:sz w:val="20"/>
          <w:szCs w:val="20"/>
        </w:rPr>
        <w:t>ng</w:t>
      </w:r>
      <w:r w:rsidR="00D236A6" w:rsidRPr="002738D9">
        <w:rPr>
          <w:rFonts w:ascii="Arial" w:hAnsi="Arial" w:cs="Arial"/>
          <w:sz w:val="20"/>
          <w:szCs w:val="20"/>
        </w:rPr>
        <w:t xml:space="preserve"> the Department </w:t>
      </w:r>
      <w:r w:rsidR="007C2C85" w:rsidRPr="002738D9">
        <w:rPr>
          <w:rFonts w:ascii="Arial" w:hAnsi="Arial" w:cs="Arial"/>
          <w:sz w:val="20"/>
          <w:szCs w:val="20"/>
        </w:rPr>
        <w:t>to improve</w:t>
      </w:r>
      <w:r w:rsidRPr="002738D9">
        <w:rPr>
          <w:rFonts w:ascii="Arial" w:hAnsi="Arial" w:cs="Arial"/>
          <w:sz w:val="20"/>
          <w:szCs w:val="20"/>
        </w:rPr>
        <w:t xml:space="preserve"> performance.</w:t>
      </w:r>
    </w:p>
    <w:p w:rsidR="001868E6" w:rsidRPr="002738D9" w:rsidRDefault="001868E6" w:rsidP="002738D9">
      <w:pPr>
        <w:pStyle w:val="ListParagraph"/>
        <w:rPr>
          <w:rFonts w:ascii="Arial" w:hAnsi="Arial" w:cs="Arial"/>
          <w:sz w:val="20"/>
          <w:szCs w:val="20"/>
          <w:lang w:val="en-GB"/>
        </w:rPr>
      </w:pPr>
    </w:p>
    <w:p w:rsidR="001868E6" w:rsidRPr="002738D9" w:rsidRDefault="00400834" w:rsidP="002738D9">
      <w:pPr>
        <w:pStyle w:val="ListParagraph"/>
        <w:numPr>
          <w:ilvl w:val="1"/>
          <w:numId w:val="2"/>
        </w:numPr>
        <w:ind w:left="709" w:hanging="567"/>
        <w:rPr>
          <w:rFonts w:ascii="Arial" w:hAnsi="Arial" w:cs="Arial"/>
          <w:sz w:val="20"/>
          <w:szCs w:val="20"/>
        </w:rPr>
      </w:pPr>
      <w:r w:rsidRPr="002738D9">
        <w:rPr>
          <w:rFonts w:ascii="Arial" w:hAnsi="Arial" w:cs="Arial"/>
          <w:sz w:val="20"/>
          <w:szCs w:val="20"/>
          <w:lang w:val="en-GB"/>
        </w:rPr>
        <w:t>Noting t</w:t>
      </w:r>
      <w:r w:rsidR="00733433" w:rsidRPr="002738D9">
        <w:rPr>
          <w:rFonts w:ascii="Arial" w:hAnsi="Arial" w:cs="Arial"/>
          <w:sz w:val="20"/>
          <w:szCs w:val="20"/>
          <w:lang w:val="en-GB"/>
        </w:rPr>
        <w:t>hat provinces seem</w:t>
      </w:r>
      <w:r w:rsidRPr="002738D9">
        <w:rPr>
          <w:rFonts w:ascii="Arial" w:hAnsi="Arial" w:cs="Arial"/>
          <w:sz w:val="20"/>
          <w:szCs w:val="20"/>
          <w:lang w:val="en-GB"/>
        </w:rPr>
        <w:t xml:space="preserve"> </w:t>
      </w:r>
      <w:r w:rsidR="00733433" w:rsidRPr="002738D9">
        <w:rPr>
          <w:rFonts w:ascii="Arial" w:hAnsi="Arial" w:cs="Arial"/>
          <w:sz w:val="20"/>
          <w:szCs w:val="20"/>
          <w:lang w:val="en-GB"/>
        </w:rPr>
        <w:t>to lack the capacity or will to spend the Grant effectively; the Committee recommend</w:t>
      </w:r>
      <w:r w:rsidRPr="002738D9">
        <w:rPr>
          <w:rFonts w:ascii="Arial" w:hAnsi="Arial" w:cs="Arial"/>
          <w:sz w:val="20"/>
          <w:szCs w:val="20"/>
          <w:lang w:val="en-GB"/>
        </w:rPr>
        <w:t xml:space="preserve">s that the </w:t>
      </w:r>
      <w:r w:rsidR="00733433" w:rsidRPr="002738D9">
        <w:rPr>
          <w:rFonts w:ascii="Arial" w:hAnsi="Arial" w:cs="Arial"/>
          <w:sz w:val="20"/>
          <w:szCs w:val="20"/>
          <w:lang w:val="en-GB"/>
        </w:rPr>
        <w:t xml:space="preserve">National Treasury </w:t>
      </w:r>
      <w:r w:rsidR="00B66562" w:rsidRPr="002738D9">
        <w:rPr>
          <w:rFonts w:ascii="Arial" w:hAnsi="Arial" w:cs="Arial"/>
          <w:sz w:val="20"/>
          <w:szCs w:val="20"/>
          <w:lang w:val="en-GB"/>
        </w:rPr>
        <w:t xml:space="preserve">should </w:t>
      </w:r>
      <w:r w:rsidR="00733433" w:rsidRPr="002738D9">
        <w:rPr>
          <w:rFonts w:ascii="Arial" w:hAnsi="Arial" w:cs="Arial"/>
          <w:sz w:val="20"/>
          <w:szCs w:val="20"/>
          <w:lang w:val="en-GB"/>
        </w:rPr>
        <w:t xml:space="preserve">consider </w:t>
      </w:r>
      <w:r w:rsidRPr="002738D9">
        <w:rPr>
          <w:rFonts w:ascii="Arial" w:hAnsi="Arial" w:cs="Arial"/>
          <w:sz w:val="20"/>
          <w:szCs w:val="20"/>
          <w:lang w:val="en-GB"/>
        </w:rPr>
        <w:t xml:space="preserve">the possibility of </w:t>
      </w:r>
      <w:r w:rsidR="00733433" w:rsidRPr="002738D9">
        <w:rPr>
          <w:rFonts w:ascii="Arial" w:hAnsi="Arial" w:cs="Arial"/>
          <w:sz w:val="20"/>
          <w:szCs w:val="20"/>
          <w:lang w:val="en-GB"/>
        </w:rPr>
        <w:t xml:space="preserve">transferring the Grant funds to local municipalities after an accreditation process and upon presentation of business plans; similar to the way the Municipal Infrastructure Grant </w:t>
      </w:r>
      <w:r w:rsidRPr="002738D9">
        <w:rPr>
          <w:rFonts w:ascii="Arial" w:hAnsi="Arial" w:cs="Arial"/>
          <w:sz w:val="20"/>
          <w:szCs w:val="20"/>
          <w:lang w:val="en-GB"/>
        </w:rPr>
        <w:t>i</w:t>
      </w:r>
      <w:r w:rsidR="00733433" w:rsidRPr="002738D9">
        <w:rPr>
          <w:rFonts w:ascii="Arial" w:hAnsi="Arial" w:cs="Arial"/>
          <w:sz w:val="20"/>
          <w:szCs w:val="20"/>
          <w:lang w:val="en-GB"/>
        </w:rPr>
        <w:t>s administered.</w:t>
      </w:r>
    </w:p>
    <w:p w:rsidR="00875752" w:rsidRPr="002738D9" w:rsidRDefault="00875752" w:rsidP="002738D9">
      <w:pPr>
        <w:pStyle w:val="ListParagraph"/>
        <w:numPr>
          <w:ilvl w:val="1"/>
          <w:numId w:val="2"/>
        </w:numPr>
        <w:ind w:left="709" w:hanging="567"/>
        <w:rPr>
          <w:rFonts w:ascii="Arial" w:hAnsi="Arial" w:cs="Arial"/>
          <w:sz w:val="20"/>
          <w:szCs w:val="20"/>
        </w:rPr>
      </w:pPr>
      <w:r w:rsidRPr="002738D9">
        <w:rPr>
          <w:rFonts w:ascii="Arial" w:hAnsi="Arial" w:cs="Arial"/>
          <w:sz w:val="20"/>
          <w:szCs w:val="20"/>
        </w:rPr>
        <w:t>The Committee urges National Treasury, the Department of Human Settlements, and the provincial departments tasked with spending these allocated funds to remember that these are not mere numbers and targets, but that these are in fact the lives of people that they are dealing with.  The people who rely the most on Government support for their quality of life.  As such, the Committee urges all bureaucrats to seek ways in which to ensure that the funds are spent promptly and in the most cost-effective manner in ways designed to enhance the lives of the people living in informal settlements.</w:t>
      </w:r>
    </w:p>
    <w:p w:rsidR="00875752" w:rsidRPr="002738D9" w:rsidRDefault="00875752" w:rsidP="002738D9">
      <w:pPr>
        <w:ind w:left="142"/>
        <w:rPr>
          <w:rFonts w:ascii="Arial" w:hAnsi="Arial" w:cs="Arial"/>
          <w:sz w:val="20"/>
          <w:szCs w:val="20"/>
        </w:rPr>
      </w:pPr>
    </w:p>
    <w:p w:rsidR="00782762" w:rsidRPr="002738D9" w:rsidRDefault="00782762" w:rsidP="002738D9">
      <w:pPr>
        <w:autoSpaceDE w:val="0"/>
        <w:autoSpaceDN w:val="0"/>
        <w:adjustRightInd w:val="0"/>
        <w:rPr>
          <w:rFonts w:ascii="Arial" w:hAnsi="Arial" w:cs="Arial"/>
          <w:sz w:val="20"/>
          <w:szCs w:val="20"/>
          <w:lang w:val="en-ZA" w:eastAsia="en-US"/>
        </w:rPr>
      </w:pPr>
      <w:r w:rsidRPr="002738D9">
        <w:rPr>
          <w:rFonts w:ascii="Arial" w:hAnsi="Arial" w:cs="Arial"/>
          <w:sz w:val="20"/>
          <w:szCs w:val="20"/>
          <w:lang w:val="en-ZA" w:eastAsia="en-US"/>
        </w:rPr>
        <w:t>Report to be considered.</w:t>
      </w:r>
    </w:p>
    <w:sectPr w:rsidR="00782762" w:rsidRPr="002738D9" w:rsidSect="004C2C9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C9" w:rsidRDefault="008667C9" w:rsidP="007C4DC5">
      <w:r>
        <w:separator/>
      </w:r>
    </w:p>
  </w:endnote>
  <w:endnote w:type="continuationSeparator" w:id="0">
    <w:p w:rsidR="008667C9" w:rsidRDefault="008667C9" w:rsidP="007C4DC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76845"/>
      <w:docPartObj>
        <w:docPartGallery w:val="Page Numbers (Bottom of Page)"/>
        <w:docPartUnique/>
      </w:docPartObj>
    </w:sdtPr>
    <w:sdtEndPr>
      <w:rPr>
        <w:noProof/>
      </w:rPr>
    </w:sdtEndPr>
    <w:sdtContent>
      <w:p w:rsidR="00C5161A" w:rsidRDefault="004C2C9C">
        <w:pPr>
          <w:pStyle w:val="Footer"/>
          <w:jc w:val="right"/>
        </w:pPr>
        <w:r>
          <w:fldChar w:fldCharType="begin"/>
        </w:r>
        <w:r w:rsidR="00C5161A">
          <w:instrText xml:space="preserve"> PAGE   \* MERGEFORMAT </w:instrText>
        </w:r>
        <w:r>
          <w:fldChar w:fldCharType="separate"/>
        </w:r>
        <w:r w:rsidR="002738D9">
          <w:rPr>
            <w:noProof/>
          </w:rPr>
          <w:t>1</w:t>
        </w:r>
        <w:r>
          <w:rPr>
            <w:noProof/>
          </w:rPr>
          <w:fldChar w:fldCharType="end"/>
        </w:r>
      </w:p>
    </w:sdtContent>
  </w:sdt>
  <w:p w:rsidR="00C5161A" w:rsidRDefault="00C51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C9" w:rsidRDefault="008667C9" w:rsidP="007C4DC5">
      <w:r>
        <w:separator/>
      </w:r>
    </w:p>
  </w:footnote>
  <w:footnote w:type="continuationSeparator" w:id="0">
    <w:p w:rsidR="008667C9" w:rsidRDefault="008667C9" w:rsidP="007C4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1A" w:rsidRDefault="00C51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78B"/>
    <w:multiLevelType w:val="hybridMultilevel"/>
    <w:tmpl w:val="DE1ED51C"/>
    <w:lvl w:ilvl="0" w:tplc="4E6AC4D6">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
    <w:nsid w:val="21F022D3"/>
    <w:multiLevelType w:val="hybridMultilevel"/>
    <w:tmpl w:val="75DAB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0955E0"/>
    <w:multiLevelType w:val="multilevel"/>
    <w:tmpl w:val="D1763528"/>
    <w:lvl w:ilvl="0">
      <w:start w:val="3"/>
      <w:numFmt w:val="decimal"/>
      <w:lvlText w:val="%1."/>
      <w:lvlJc w:val="left"/>
      <w:pPr>
        <w:ind w:left="420"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7D01532"/>
    <w:multiLevelType w:val="hybridMultilevel"/>
    <w:tmpl w:val="B202A58E"/>
    <w:lvl w:ilvl="0" w:tplc="1C090001">
      <w:start w:val="1"/>
      <w:numFmt w:val="bullet"/>
      <w:lvlText w:val=""/>
      <w:lvlJc w:val="left"/>
      <w:pPr>
        <w:ind w:left="965" w:hanging="360"/>
      </w:pPr>
      <w:rPr>
        <w:rFonts w:ascii="Symbol" w:hAnsi="Symbol" w:hint="default"/>
      </w:rPr>
    </w:lvl>
    <w:lvl w:ilvl="1" w:tplc="1C090003" w:tentative="1">
      <w:start w:val="1"/>
      <w:numFmt w:val="bullet"/>
      <w:lvlText w:val="o"/>
      <w:lvlJc w:val="left"/>
      <w:pPr>
        <w:ind w:left="1685" w:hanging="360"/>
      </w:pPr>
      <w:rPr>
        <w:rFonts w:ascii="Courier New" w:hAnsi="Courier New" w:cs="Courier New" w:hint="default"/>
      </w:rPr>
    </w:lvl>
    <w:lvl w:ilvl="2" w:tplc="1C090005" w:tentative="1">
      <w:start w:val="1"/>
      <w:numFmt w:val="bullet"/>
      <w:lvlText w:val=""/>
      <w:lvlJc w:val="left"/>
      <w:pPr>
        <w:ind w:left="2405" w:hanging="360"/>
      </w:pPr>
      <w:rPr>
        <w:rFonts w:ascii="Wingdings" w:hAnsi="Wingdings" w:hint="default"/>
      </w:rPr>
    </w:lvl>
    <w:lvl w:ilvl="3" w:tplc="1C090001" w:tentative="1">
      <w:start w:val="1"/>
      <w:numFmt w:val="bullet"/>
      <w:lvlText w:val=""/>
      <w:lvlJc w:val="left"/>
      <w:pPr>
        <w:ind w:left="3125" w:hanging="360"/>
      </w:pPr>
      <w:rPr>
        <w:rFonts w:ascii="Symbol" w:hAnsi="Symbol" w:hint="default"/>
      </w:rPr>
    </w:lvl>
    <w:lvl w:ilvl="4" w:tplc="1C090003" w:tentative="1">
      <w:start w:val="1"/>
      <w:numFmt w:val="bullet"/>
      <w:lvlText w:val="o"/>
      <w:lvlJc w:val="left"/>
      <w:pPr>
        <w:ind w:left="3845" w:hanging="360"/>
      </w:pPr>
      <w:rPr>
        <w:rFonts w:ascii="Courier New" w:hAnsi="Courier New" w:cs="Courier New" w:hint="default"/>
      </w:rPr>
    </w:lvl>
    <w:lvl w:ilvl="5" w:tplc="1C090005" w:tentative="1">
      <w:start w:val="1"/>
      <w:numFmt w:val="bullet"/>
      <w:lvlText w:val=""/>
      <w:lvlJc w:val="left"/>
      <w:pPr>
        <w:ind w:left="4565" w:hanging="360"/>
      </w:pPr>
      <w:rPr>
        <w:rFonts w:ascii="Wingdings" w:hAnsi="Wingdings" w:hint="default"/>
      </w:rPr>
    </w:lvl>
    <w:lvl w:ilvl="6" w:tplc="1C090001" w:tentative="1">
      <w:start w:val="1"/>
      <w:numFmt w:val="bullet"/>
      <w:lvlText w:val=""/>
      <w:lvlJc w:val="left"/>
      <w:pPr>
        <w:ind w:left="5285" w:hanging="360"/>
      </w:pPr>
      <w:rPr>
        <w:rFonts w:ascii="Symbol" w:hAnsi="Symbol" w:hint="default"/>
      </w:rPr>
    </w:lvl>
    <w:lvl w:ilvl="7" w:tplc="1C090003" w:tentative="1">
      <w:start w:val="1"/>
      <w:numFmt w:val="bullet"/>
      <w:lvlText w:val="o"/>
      <w:lvlJc w:val="left"/>
      <w:pPr>
        <w:ind w:left="6005" w:hanging="360"/>
      </w:pPr>
      <w:rPr>
        <w:rFonts w:ascii="Courier New" w:hAnsi="Courier New" w:cs="Courier New" w:hint="default"/>
      </w:rPr>
    </w:lvl>
    <w:lvl w:ilvl="8" w:tplc="1C090005" w:tentative="1">
      <w:start w:val="1"/>
      <w:numFmt w:val="bullet"/>
      <w:lvlText w:val=""/>
      <w:lvlJc w:val="left"/>
      <w:pPr>
        <w:ind w:left="6725" w:hanging="360"/>
      </w:pPr>
      <w:rPr>
        <w:rFonts w:ascii="Wingdings" w:hAnsi="Wingdings" w:hint="default"/>
      </w:rPr>
    </w:lvl>
  </w:abstractNum>
  <w:abstractNum w:abstractNumId="4">
    <w:nsid w:val="40DF6BBC"/>
    <w:multiLevelType w:val="hybridMultilevel"/>
    <w:tmpl w:val="9C96B804"/>
    <w:lvl w:ilvl="0" w:tplc="1C090001">
      <w:start w:val="1"/>
      <w:numFmt w:val="bullet"/>
      <w:lvlText w:val=""/>
      <w:lvlJc w:val="left"/>
      <w:pPr>
        <w:ind w:left="847" w:hanging="360"/>
      </w:pPr>
      <w:rPr>
        <w:rFonts w:ascii="Symbol" w:hAnsi="Symbol" w:hint="default"/>
      </w:rPr>
    </w:lvl>
    <w:lvl w:ilvl="1" w:tplc="1C090003" w:tentative="1">
      <w:start w:val="1"/>
      <w:numFmt w:val="bullet"/>
      <w:lvlText w:val="o"/>
      <w:lvlJc w:val="left"/>
      <w:pPr>
        <w:ind w:left="1567" w:hanging="360"/>
      </w:pPr>
      <w:rPr>
        <w:rFonts w:ascii="Courier New" w:hAnsi="Courier New" w:cs="Courier New" w:hint="default"/>
      </w:rPr>
    </w:lvl>
    <w:lvl w:ilvl="2" w:tplc="1C090005" w:tentative="1">
      <w:start w:val="1"/>
      <w:numFmt w:val="bullet"/>
      <w:lvlText w:val=""/>
      <w:lvlJc w:val="left"/>
      <w:pPr>
        <w:ind w:left="2287" w:hanging="360"/>
      </w:pPr>
      <w:rPr>
        <w:rFonts w:ascii="Wingdings" w:hAnsi="Wingdings" w:hint="default"/>
      </w:rPr>
    </w:lvl>
    <w:lvl w:ilvl="3" w:tplc="1C090001" w:tentative="1">
      <w:start w:val="1"/>
      <w:numFmt w:val="bullet"/>
      <w:lvlText w:val=""/>
      <w:lvlJc w:val="left"/>
      <w:pPr>
        <w:ind w:left="3007" w:hanging="360"/>
      </w:pPr>
      <w:rPr>
        <w:rFonts w:ascii="Symbol" w:hAnsi="Symbol" w:hint="default"/>
      </w:rPr>
    </w:lvl>
    <w:lvl w:ilvl="4" w:tplc="1C090003" w:tentative="1">
      <w:start w:val="1"/>
      <w:numFmt w:val="bullet"/>
      <w:lvlText w:val="o"/>
      <w:lvlJc w:val="left"/>
      <w:pPr>
        <w:ind w:left="3727" w:hanging="360"/>
      </w:pPr>
      <w:rPr>
        <w:rFonts w:ascii="Courier New" w:hAnsi="Courier New" w:cs="Courier New" w:hint="default"/>
      </w:rPr>
    </w:lvl>
    <w:lvl w:ilvl="5" w:tplc="1C090005" w:tentative="1">
      <w:start w:val="1"/>
      <w:numFmt w:val="bullet"/>
      <w:lvlText w:val=""/>
      <w:lvlJc w:val="left"/>
      <w:pPr>
        <w:ind w:left="4447" w:hanging="360"/>
      </w:pPr>
      <w:rPr>
        <w:rFonts w:ascii="Wingdings" w:hAnsi="Wingdings" w:hint="default"/>
      </w:rPr>
    </w:lvl>
    <w:lvl w:ilvl="6" w:tplc="1C090001" w:tentative="1">
      <w:start w:val="1"/>
      <w:numFmt w:val="bullet"/>
      <w:lvlText w:val=""/>
      <w:lvlJc w:val="left"/>
      <w:pPr>
        <w:ind w:left="5167" w:hanging="360"/>
      </w:pPr>
      <w:rPr>
        <w:rFonts w:ascii="Symbol" w:hAnsi="Symbol" w:hint="default"/>
      </w:rPr>
    </w:lvl>
    <w:lvl w:ilvl="7" w:tplc="1C090003" w:tentative="1">
      <w:start w:val="1"/>
      <w:numFmt w:val="bullet"/>
      <w:lvlText w:val="o"/>
      <w:lvlJc w:val="left"/>
      <w:pPr>
        <w:ind w:left="5887" w:hanging="360"/>
      </w:pPr>
      <w:rPr>
        <w:rFonts w:ascii="Courier New" w:hAnsi="Courier New" w:cs="Courier New" w:hint="default"/>
      </w:rPr>
    </w:lvl>
    <w:lvl w:ilvl="8" w:tplc="1C090005" w:tentative="1">
      <w:start w:val="1"/>
      <w:numFmt w:val="bullet"/>
      <w:lvlText w:val=""/>
      <w:lvlJc w:val="left"/>
      <w:pPr>
        <w:ind w:left="6607" w:hanging="360"/>
      </w:pPr>
      <w:rPr>
        <w:rFonts w:ascii="Wingdings" w:hAnsi="Wingdings" w:hint="default"/>
      </w:rPr>
    </w:lvl>
  </w:abstractNum>
  <w:abstractNum w:abstractNumId="5">
    <w:nsid w:val="5E3260CA"/>
    <w:multiLevelType w:val="multilevel"/>
    <w:tmpl w:val="D1763528"/>
    <w:lvl w:ilvl="0">
      <w:start w:val="3"/>
      <w:numFmt w:val="decimal"/>
      <w:lvlText w:val="%1."/>
      <w:lvlJc w:val="left"/>
      <w:pPr>
        <w:ind w:left="420"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D38EF"/>
    <w:rsid w:val="00004745"/>
    <w:rsid w:val="000075BA"/>
    <w:rsid w:val="000215DF"/>
    <w:rsid w:val="00031CAB"/>
    <w:rsid w:val="0003225A"/>
    <w:rsid w:val="00037A20"/>
    <w:rsid w:val="00041F3F"/>
    <w:rsid w:val="000425C0"/>
    <w:rsid w:val="00052E1C"/>
    <w:rsid w:val="000550BC"/>
    <w:rsid w:val="000752E3"/>
    <w:rsid w:val="000941D4"/>
    <w:rsid w:val="000C1FA0"/>
    <w:rsid w:val="000C3277"/>
    <w:rsid w:val="000E2F41"/>
    <w:rsid w:val="000F4FE7"/>
    <w:rsid w:val="000F63EC"/>
    <w:rsid w:val="001060BA"/>
    <w:rsid w:val="001118CF"/>
    <w:rsid w:val="00111EC5"/>
    <w:rsid w:val="0012233C"/>
    <w:rsid w:val="00130ACD"/>
    <w:rsid w:val="001845D7"/>
    <w:rsid w:val="0018589D"/>
    <w:rsid w:val="001868E6"/>
    <w:rsid w:val="001A128F"/>
    <w:rsid w:val="001A7904"/>
    <w:rsid w:val="001F3EBF"/>
    <w:rsid w:val="00222B16"/>
    <w:rsid w:val="002316F4"/>
    <w:rsid w:val="002348D5"/>
    <w:rsid w:val="0025667D"/>
    <w:rsid w:val="002611DB"/>
    <w:rsid w:val="0026348E"/>
    <w:rsid w:val="00267CF4"/>
    <w:rsid w:val="0027012F"/>
    <w:rsid w:val="002730A7"/>
    <w:rsid w:val="002738D9"/>
    <w:rsid w:val="00293355"/>
    <w:rsid w:val="002C73FF"/>
    <w:rsid w:val="002D19E9"/>
    <w:rsid w:val="002F0E26"/>
    <w:rsid w:val="002F260E"/>
    <w:rsid w:val="002F5E7B"/>
    <w:rsid w:val="002F7AA5"/>
    <w:rsid w:val="00303D07"/>
    <w:rsid w:val="00322EB5"/>
    <w:rsid w:val="00323878"/>
    <w:rsid w:val="003452EE"/>
    <w:rsid w:val="00375D3A"/>
    <w:rsid w:val="00397090"/>
    <w:rsid w:val="00397561"/>
    <w:rsid w:val="003B14F3"/>
    <w:rsid w:val="003F437F"/>
    <w:rsid w:val="00400834"/>
    <w:rsid w:val="0041463A"/>
    <w:rsid w:val="00417573"/>
    <w:rsid w:val="0042710A"/>
    <w:rsid w:val="00433F52"/>
    <w:rsid w:val="00446388"/>
    <w:rsid w:val="0045235F"/>
    <w:rsid w:val="004604F0"/>
    <w:rsid w:val="004656E3"/>
    <w:rsid w:val="00472EBA"/>
    <w:rsid w:val="0048195C"/>
    <w:rsid w:val="004823B5"/>
    <w:rsid w:val="00487AD0"/>
    <w:rsid w:val="00487E5E"/>
    <w:rsid w:val="00496983"/>
    <w:rsid w:val="004A12C1"/>
    <w:rsid w:val="004C2C9C"/>
    <w:rsid w:val="004D11E8"/>
    <w:rsid w:val="004D38EF"/>
    <w:rsid w:val="004D432F"/>
    <w:rsid w:val="004E6D38"/>
    <w:rsid w:val="004F1D6F"/>
    <w:rsid w:val="005042AD"/>
    <w:rsid w:val="00510D62"/>
    <w:rsid w:val="00516D23"/>
    <w:rsid w:val="00520FEE"/>
    <w:rsid w:val="00524D49"/>
    <w:rsid w:val="00526BF4"/>
    <w:rsid w:val="00545809"/>
    <w:rsid w:val="00555522"/>
    <w:rsid w:val="005607DF"/>
    <w:rsid w:val="00580B57"/>
    <w:rsid w:val="005820B3"/>
    <w:rsid w:val="005A606E"/>
    <w:rsid w:val="005A6BF1"/>
    <w:rsid w:val="005B284E"/>
    <w:rsid w:val="005B5A57"/>
    <w:rsid w:val="005C065F"/>
    <w:rsid w:val="005C3962"/>
    <w:rsid w:val="005F1263"/>
    <w:rsid w:val="0060207E"/>
    <w:rsid w:val="00603978"/>
    <w:rsid w:val="0061013F"/>
    <w:rsid w:val="006128DA"/>
    <w:rsid w:val="00617C2E"/>
    <w:rsid w:val="00630DB7"/>
    <w:rsid w:val="00631A59"/>
    <w:rsid w:val="00644DA9"/>
    <w:rsid w:val="00653BCF"/>
    <w:rsid w:val="00664131"/>
    <w:rsid w:val="00674359"/>
    <w:rsid w:val="006A138C"/>
    <w:rsid w:val="006F0B74"/>
    <w:rsid w:val="0071036E"/>
    <w:rsid w:val="0072668D"/>
    <w:rsid w:val="00733433"/>
    <w:rsid w:val="00733F66"/>
    <w:rsid w:val="00737A23"/>
    <w:rsid w:val="007441E3"/>
    <w:rsid w:val="00747172"/>
    <w:rsid w:val="00747FE3"/>
    <w:rsid w:val="00782762"/>
    <w:rsid w:val="007A4932"/>
    <w:rsid w:val="007A732D"/>
    <w:rsid w:val="007C2C85"/>
    <w:rsid w:val="007C4DC5"/>
    <w:rsid w:val="007D6A63"/>
    <w:rsid w:val="007E126E"/>
    <w:rsid w:val="007E46E4"/>
    <w:rsid w:val="0080360D"/>
    <w:rsid w:val="0080411E"/>
    <w:rsid w:val="00807763"/>
    <w:rsid w:val="00851144"/>
    <w:rsid w:val="00857914"/>
    <w:rsid w:val="00861173"/>
    <w:rsid w:val="008641DD"/>
    <w:rsid w:val="00864FF5"/>
    <w:rsid w:val="008667C9"/>
    <w:rsid w:val="00875752"/>
    <w:rsid w:val="00892E61"/>
    <w:rsid w:val="008948EE"/>
    <w:rsid w:val="008C6EE1"/>
    <w:rsid w:val="008D0EDE"/>
    <w:rsid w:val="008D5760"/>
    <w:rsid w:val="008F5B3F"/>
    <w:rsid w:val="00935D6D"/>
    <w:rsid w:val="0096244C"/>
    <w:rsid w:val="00974902"/>
    <w:rsid w:val="00984632"/>
    <w:rsid w:val="00986852"/>
    <w:rsid w:val="009963B4"/>
    <w:rsid w:val="009A4D45"/>
    <w:rsid w:val="009B5049"/>
    <w:rsid w:val="009C416B"/>
    <w:rsid w:val="009F0F31"/>
    <w:rsid w:val="009F72D4"/>
    <w:rsid w:val="00A21ED1"/>
    <w:rsid w:val="00A269C6"/>
    <w:rsid w:val="00A339C6"/>
    <w:rsid w:val="00A3739C"/>
    <w:rsid w:val="00A40336"/>
    <w:rsid w:val="00A4797C"/>
    <w:rsid w:val="00A6545F"/>
    <w:rsid w:val="00A814AB"/>
    <w:rsid w:val="00A82587"/>
    <w:rsid w:val="00AA542F"/>
    <w:rsid w:val="00AB72FD"/>
    <w:rsid w:val="00AC2D05"/>
    <w:rsid w:val="00AD2CAB"/>
    <w:rsid w:val="00AD56C3"/>
    <w:rsid w:val="00AD634B"/>
    <w:rsid w:val="00B27D4B"/>
    <w:rsid w:val="00B302ED"/>
    <w:rsid w:val="00B6575F"/>
    <w:rsid w:val="00B66562"/>
    <w:rsid w:val="00B87EFD"/>
    <w:rsid w:val="00B91443"/>
    <w:rsid w:val="00BA45CB"/>
    <w:rsid w:val="00BA598D"/>
    <w:rsid w:val="00BB1B41"/>
    <w:rsid w:val="00BB2B78"/>
    <w:rsid w:val="00BC5129"/>
    <w:rsid w:val="00BD6540"/>
    <w:rsid w:val="00BD7A0B"/>
    <w:rsid w:val="00BF211E"/>
    <w:rsid w:val="00C017B6"/>
    <w:rsid w:val="00C05A45"/>
    <w:rsid w:val="00C10D96"/>
    <w:rsid w:val="00C2626A"/>
    <w:rsid w:val="00C33FF6"/>
    <w:rsid w:val="00C5161A"/>
    <w:rsid w:val="00C536F4"/>
    <w:rsid w:val="00C60B5C"/>
    <w:rsid w:val="00C678B9"/>
    <w:rsid w:val="00C75B07"/>
    <w:rsid w:val="00C82F24"/>
    <w:rsid w:val="00CA310F"/>
    <w:rsid w:val="00CE01DF"/>
    <w:rsid w:val="00CE2699"/>
    <w:rsid w:val="00CF15F0"/>
    <w:rsid w:val="00CF3184"/>
    <w:rsid w:val="00CF4E1E"/>
    <w:rsid w:val="00D22251"/>
    <w:rsid w:val="00D22DC1"/>
    <w:rsid w:val="00D236A6"/>
    <w:rsid w:val="00D658FA"/>
    <w:rsid w:val="00D82151"/>
    <w:rsid w:val="00D96AC6"/>
    <w:rsid w:val="00D978A7"/>
    <w:rsid w:val="00E020A2"/>
    <w:rsid w:val="00E07D7E"/>
    <w:rsid w:val="00E17571"/>
    <w:rsid w:val="00E325AE"/>
    <w:rsid w:val="00E54282"/>
    <w:rsid w:val="00E91381"/>
    <w:rsid w:val="00E950AD"/>
    <w:rsid w:val="00E957D3"/>
    <w:rsid w:val="00EA2537"/>
    <w:rsid w:val="00EA3AC9"/>
    <w:rsid w:val="00EA4A72"/>
    <w:rsid w:val="00EE0BF2"/>
    <w:rsid w:val="00EE19D4"/>
    <w:rsid w:val="00EE1EB3"/>
    <w:rsid w:val="00EE4593"/>
    <w:rsid w:val="00EF0663"/>
    <w:rsid w:val="00F02D37"/>
    <w:rsid w:val="00F31587"/>
    <w:rsid w:val="00F326FB"/>
    <w:rsid w:val="00F44D89"/>
    <w:rsid w:val="00F672AD"/>
    <w:rsid w:val="00F70B5D"/>
    <w:rsid w:val="00F70C88"/>
    <w:rsid w:val="00F74EBD"/>
    <w:rsid w:val="00FA0294"/>
    <w:rsid w:val="00FB4A56"/>
    <w:rsid w:val="00FB6B21"/>
    <w:rsid w:val="00FC4473"/>
    <w:rsid w:val="00FD2FB6"/>
    <w:rsid w:val="00FF2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E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EF"/>
    <w:pPr>
      <w:ind w:left="720"/>
      <w:contextualSpacing/>
    </w:pPr>
    <w:rPr>
      <w:lang w:val="en-ZA" w:eastAsia="en-ZA"/>
    </w:rPr>
  </w:style>
  <w:style w:type="table" w:styleId="TableGrid">
    <w:name w:val="Table Grid"/>
    <w:basedOn w:val="TableNormal"/>
    <w:uiPriority w:val="39"/>
    <w:rsid w:val="0025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7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4DC5"/>
    <w:pPr>
      <w:tabs>
        <w:tab w:val="center" w:pos="4513"/>
        <w:tab w:val="right" w:pos="9026"/>
      </w:tabs>
    </w:pPr>
  </w:style>
  <w:style w:type="character" w:customStyle="1" w:styleId="HeaderChar">
    <w:name w:val="Header Char"/>
    <w:basedOn w:val="DefaultParagraphFont"/>
    <w:link w:val="Header"/>
    <w:uiPriority w:val="99"/>
    <w:rsid w:val="007C4DC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C4DC5"/>
    <w:pPr>
      <w:tabs>
        <w:tab w:val="center" w:pos="4513"/>
        <w:tab w:val="right" w:pos="9026"/>
      </w:tabs>
    </w:pPr>
  </w:style>
  <w:style w:type="character" w:customStyle="1" w:styleId="FooterChar">
    <w:name w:val="Footer Char"/>
    <w:basedOn w:val="DefaultParagraphFont"/>
    <w:link w:val="Footer"/>
    <w:uiPriority w:val="99"/>
    <w:rsid w:val="007C4DC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8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52"/>
    <w:rPr>
      <w:rFonts w:ascii="Segoe UI" w:eastAsia="Times New Roman"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2022-10-12T19:23:00Z</dcterms:created>
  <dcterms:modified xsi:type="dcterms:W3CDTF">2022-10-12T19:23:00Z</dcterms:modified>
</cp:coreProperties>
</file>