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25" w:rsidRPr="00FC564B" w:rsidRDefault="00FC564B" w:rsidP="00FC564B">
      <w:pPr>
        <w:rPr>
          <w:rFonts w:ascii="Arial" w:hAnsi="Arial" w:cs="Arial"/>
          <w:b/>
          <w:sz w:val="20"/>
          <w:szCs w:val="20"/>
        </w:rPr>
      </w:pPr>
      <w:r>
        <w:rPr>
          <w:rFonts w:ascii="Arial" w:hAnsi="Arial" w:cs="Arial"/>
          <w:b/>
          <w:sz w:val="20"/>
          <w:szCs w:val="20"/>
        </w:rPr>
        <w:t>Report of the Select Committee on Appropriations on the Expenditure and Performance of t</w:t>
      </w:r>
      <w:r w:rsidRPr="00FC564B">
        <w:rPr>
          <w:rFonts w:ascii="Arial" w:hAnsi="Arial" w:cs="Arial"/>
          <w:b/>
          <w:sz w:val="20"/>
          <w:szCs w:val="20"/>
        </w:rPr>
        <w:t>he Early Chi</w:t>
      </w:r>
      <w:r>
        <w:rPr>
          <w:rFonts w:ascii="Arial" w:hAnsi="Arial" w:cs="Arial"/>
          <w:b/>
          <w:sz w:val="20"/>
          <w:szCs w:val="20"/>
        </w:rPr>
        <w:t>ldhood Development Grant as at t</w:t>
      </w:r>
      <w:r w:rsidRPr="00FC564B">
        <w:rPr>
          <w:rFonts w:ascii="Arial" w:hAnsi="Arial" w:cs="Arial"/>
          <w:b/>
          <w:sz w:val="20"/>
          <w:szCs w:val="20"/>
        </w:rPr>
        <w:t>h</w:t>
      </w:r>
      <w:r>
        <w:rPr>
          <w:rFonts w:ascii="Arial" w:hAnsi="Arial" w:cs="Arial"/>
          <w:b/>
          <w:sz w:val="20"/>
          <w:szCs w:val="20"/>
        </w:rPr>
        <w:t>e end of the Fourth Quarter of t</w:t>
      </w:r>
      <w:r w:rsidRPr="00FC564B">
        <w:rPr>
          <w:rFonts w:ascii="Arial" w:hAnsi="Arial" w:cs="Arial"/>
          <w:b/>
          <w:sz w:val="20"/>
          <w:szCs w:val="20"/>
        </w:rPr>
        <w:t>he 2021/22 Financial Year; Dated 12 October 2022</w:t>
      </w:r>
      <w:r>
        <w:rPr>
          <w:rFonts w:ascii="Arial" w:hAnsi="Arial" w:cs="Arial"/>
          <w:b/>
          <w:sz w:val="20"/>
          <w:szCs w:val="20"/>
        </w:rPr>
        <w:t xml:space="preserve">  </w:t>
      </w:r>
    </w:p>
    <w:p w:rsidR="00101925" w:rsidRPr="00FC564B" w:rsidRDefault="00101925" w:rsidP="00FC564B">
      <w:pPr>
        <w:rPr>
          <w:rFonts w:ascii="Arial" w:hAnsi="Arial" w:cs="Arial"/>
          <w:b/>
          <w:sz w:val="20"/>
          <w:szCs w:val="20"/>
        </w:rPr>
      </w:pPr>
    </w:p>
    <w:p w:rsidR="00101925" w:rsidRPr="00FC564B" w:rsidRDefault="00101925" w:rsidP="00FC564B">
      <w:pPr>
        <w:pStyle w:val="ListParagraph"/>
        <w:numPr>
          <w:ilvl w:val="0"/>
          <w:numId w:val="1"/>
        </w:numPr>
        <w:rPr>
          <w:rFonts w:ascii="Arial" w:hAnsi="Arial" w:cs="Arial"/>
          <w:b/>
          <w:sz w:val="20"/>
          <w:szCs w:val="20"/>
        </w:rPr>
      </w:pPr>
      <w:r w:rsidRPr="00FC564B">
        <w:rPr>
          <w:rFonts w:ascii="Arial" w:hAnsi="Arial" w:cs="Arial"/>
          <w:b/>
          <w:sz w:val="20"/>
          <w:szCs w:val="20"/>
        </w:rPr>
        <w:t xml:space="preserve">Background </w:t>
      </w:r>
    </w:p>
    <w:p w:rsidR="00A21BB4" w:rsidRPr="00FC564B" w:rsidRDefault="00101925" w:rsidP="00FC564B">
      <w:pPr>
        <w:pStyle w:val="ListParagraph"/>
        <w:ind w:left="0"/>
        <w:rPr>
          <w:rFonts w:ascii="Arial" w:hAnsi="Arial" w:cs="Arial"/>
          <w:sz w:val="20"/>
          <w:szCs w:val="20"/>
          <w:lang w:val="en-GB" w:eastAsia="en-GB"/>
        </w:rPr>
      </w:pPr>
      <w:r w:rsidRPr="00FC564B">
        <w:rPr>
          <w:rFonts w:ascii="Arial" w:hAnsi="Arial" w:cs="Arial"/>
          <w:sz w:val="20"/>
          <w:szCs w:val="20"/>
          <w:lang w:val="en-GB" w:eastAsia="en-GB"/>
        </w:rPr>
        <w:t xml:space="preserve">Section 4(a), (d) and (e) of the Money Bills and Related Matters Act No. 09 of 2009 (as amended in 2018), mandates the Committee to consider and report on spending issues; reports on statements of actual expenditure published by the National Treasury; and any other related matter set out in the Act. These provisions, read together with section 32 of the Public Finance Management Act No. 01 of 1999 (as amended), and section 16 of the Division of Revenue Act No. 05 of 2022, provide the framework for the legislative sector to play an oversight role over the Executive. </w:t>
      </w:r>
    </w:p>
    <w:p w:rsidR="00A21BB4" w:rsidRPr="00FC564B" w:rsidRDefault="00A21BB4" w:rsidP="00FC564B">
      <w:pPr>
        <w:pStyle w:val="ListParagraph"/>
        <w:ind w:left="0"/>
        <w:rPr>
          <w:rFonts w:ascii="Arial" w:hAnsi="Arial" w:cs="Arial"/>
          <w:sz w:val="20"/>
          <w:szCs w:val="20"/>
          <w:lang w:val="en-GB" w:eastAsia="en-GB"/>
        </w:rPr>
      </w:pPr>
    </w:p>
    <w:p w:rsidR="00101925" w:rsidRPr="00FC564B" w:rsidRDefault="00101925" w:rsidP="00FC564B">
      <w:pPr>
        <w:pStyle w:val="ListParagraph"/>
        <w:ind w:left="0"/>
        <w:rPr>
          <w:rFonts w:ascii="Arial" w:hAnsi="Arial" w:cs="Arial"/>
          <w:sz w:val="20"/>
          <w:szCs w:val="20"/>
          <w:lang w:val="en-GB" w:eastAsia="en-GB"/>
        </w:rPr>
      </w:pPr>
      <w:r w:rsidRPr="00FC564B">
        <w:rPr>
          <w:rFonts w:ascii="Arial" w:hAnsi="Arial" w:cs="Arial"/>
          <w:sz w:val="20"/>
          <w:szCs w:val="20"/>
          <w:lang w:val="en-GB" w:eastAsia="en-GB"/>
        </w:rPr>
        <w:t>Against this background, the Committee undertook to assess the implementation, performance and expenditure of the Early Childhood Development</w:t>
      </w:r>
      <w:r w:rsidR="007323CF" w:rsidRPr="00FC564B">
        <w:rPr>
          <w:rFonts w:ascii="Arial" w:hAnsi="Arial" w:cs="Arial"/>
          <w:sz w:val="20"/>
          <w:szCs w:val="20"/>
          <w:lang w:val="en-GB" w:eastAsia="en-GB"/>
        </w:rPr>
        <w:t xml:space="preserve"> (ECD)</w:t>
      </w:r>
      <w:r w:rsidRPr="00FC564B">
        <w:rPr>
          <w:rFonts w:ascii="Arial" w:hAnsi="Arial" w:cs="Arial"/>
          <w:sz w:val="20"/>
          <w:szCs w:val="20"/>
          <w:lang w:val="en-GB" w:eastAsia="en-GB"/>
        </w:rPr>
        <w:t xml:space="preserve"> Grant as at the end of the fourth quarter of the 2021/22 financial year. The purpose of the ECD </w:t>
      </w:r>
      <w:r w:rsidR="007323CF" w:rsidRPr="00FC564B">
        <w:rPr>
          <w:rFonts w:ascii="Arial" w:hAnsi="Arial" w:cs="Arial"/>
          <w:sz w:val="20"/>
          <w:szCs w:val="20"/>
          <w:lang w:val="en-GB" w:eastAsia="en-GB"/>
        </w:rPr>
        <w:t>G</w:t>
      </w:r>
      <w:r w:rsidRPr="00FC564B">
        <w:rPr>
          <w:rFonts w:ascii="Arial" w:hAnsi="Arial" w:cs="Arial"/>
          <w:sz w:val="20"/>
          <w:szCs w:val="20"/>
          <w:lang w:val="en-GB" w:eastAsia="en-GB"/>
        </w:rPr>
        <w:t>rant is to increase the number of poor children accessing subs</w:t>
      </w:r>
      <w:r w:rsidR="00587729" w:rsidRPr="00FC564B">
        <w:rPr>
          <w:rFonts w:ascii="Arial" w:hAnsi="Arial" w:cs="Arial"/>
          <w:sz w:val="20"/>
          <w:szCs w:val="20"/>
          <w:lang w:val="en-GB" w:eastAsia="en-GB"/>
        </w:rPr>
        <w:t>i</w:t>
      </w:r>
      <w:r w:rsidRPr="00FC564B">
        <w:rPr>
          <w:rFonts w:ascii="Arial" w:hAnsi="Arial" w:cs="Arial"/>
          <w:sz w:val="20"/>
          <w:szCs w:val="20"/>
          <w:lang w:val="en-GB" w:eastAsia="en-GB"/>
        </w:rPr>
        <w:t>di</w:t>
      </w:r>
      <w:r w:rsidR="00587729" w:rsidRPr="00FC564B">
        <w:rPr>
          <w:rFonts w:ascii="Arial" w:hAnsi="Arial" w:cs="Arial"/>
          <w:sz w:val="20"/>
          <w:szCs w:val="20"/>
          <w:lang w:val="en-GB" w:eastAsia="en-GB"/>
        </w:rPr>
        <w:t xml:space="preserve">sed ECD </w:t>
      </w:r>
      <w:r w:rsidR="007323CF" w:rsidRPr="00FC564B">
        <w:rPr>
          <w:rFonts w:ascii="Arial" w:hAnsi="Arial" w:cs="Arial"/>
          <w:sz w:val="20"/>
          <w:szCs w:val="20"/>
          <w:lang w:val="en-GB" w:eastAsia="en-GB"/>
        </w:rPr>
        <w:t>G</w:t>
      </w:r>
      <w:r w:rsidR="00587729" w:rsidRPr="00FC564B">
        <w:rPr>
          <w:rFonts w:ascii="Arial" w:hAnsi="Arial" w:cs="Arial"/>
          <w:sz w:val="20"/>
          <w:szCs w:val="20"/>
          <w:lang w:val="en-GB" w:eastAsia="en-GB"/>
        </w:rPr>
        <w:t>rant services through centre and non-centre based programmes; to support early childhood development providers delivering an ECD programme to meet basic health and safety requirements for registration; and to pilot the construction of new low-cost ECD ce</w:t>
      </w:r>
      <w:r w:rsidR="00A60B79" w:rsidRPr="00FC564B">
        <w:rPr>
          <w:rFonts w:ascii="Arial" w:hAnsi="Arial" w:cs="Arial"/>
          <w:sz w:val="20"/>
          <w:szCs w:val="20"/>
          <w:lang w:val="en-GB" w:eastAsia="en-GB"/>
        </w:rPr>
        <w:t>ntres.</w:t>
      </w:r>
      <w:r w:rsidR="00587729" w:rsidRPr="00FC564B">
        <w:rPr>
          <w:rFonts w:ascii="Arial" w:hAnsi="Arial" w:cs="Arial"/>
          <w:sz w:val="20"/>
          <w:szCs w:val="20"/>
          <w:lang w:val="en-GB" w:eastAsia="en-GB"/>
        </w:rPr>
        <w:t xml:space="preserve"> </w:t>
      </w:r>
      <w:r w:rsidRPr="00FC564B">
        <w:rPr>
          <w:rFonts w:ascii="Arial" w:hAnsi="Arial" w:cs="Arial"/>
          <w:sz w:val="20"/>
          <w:szCs w:val="20"/>
          <w:lang w:val="en-GB" w:eastAsia="en-GB"/>
        </w:rPr>
        <w:t xml:space="preserve">   </w:t>
      </w:r>
    </w:p>
    <w:p w:rsidR="00101925" w:rsidRPr="00FC564B" w:rsidRDefault="00101925" w:rsidP="00FC564B">
      <w:pPr>
        <w:rPr>
          <w:rFonts w:ascii="Arial" w:hAnsi="Arial" w:cs="Arial"/>
          <w:b/>
          <w:sz w:val="20"/>
          <w:szCs w:val="20"/>
        </w:rPr>
      </w:pPr>
    </w:p>
    <w:p w:rsidR="00101925" w:rsidRPr="00FC564B" w:rsidRDefault="00101925" w:rsidP="00FC564B">
      <w:pPr>
        <w:rPr>
          <w:rFonts w:ascii="Arial" w:hAnsi="Arial" w:cs="Arial"/>
          <w:b/>
          <w:sz w:val="20"/>
          <w:szCs w:val="20"/>
        </w:rPr>
      </w:pPr>
      <w:r w:rsidRPr="00FC564B">
        <w:rPr>
          <w:rFonts w:ascii="Arial" w:hAnsi="Arial" w:cs="Arial"/>
          <w:b/>
          <w:sz w:val="20"/>
          <w:szCs w:val="20"/>
        </w:rPr>
        <w:t>2. Terms of reference</w:t>
      </w:r>
    </w:p>
    <w:p w:rsidR="00101925" w:rsidRPr="00FC564B" w:rsidRDefault="007323CF" w:rsidP="00FC564B">
      <w:pPr>
        <w:pStyle w:val="ListParagraph"/>
        <w:ind w:left="0"/>
        <w:rPr>
          <w:rFonts w:ascii="Arial" w:hAnsi="Arial" w:cs="Arial"/>
          <w:sz w:val="20"/>
          <w:szCs w:val="20"/>
        </w:rPr>
      </w:pPr>
      <w:r w:rsidRPr="00FC564B">
        <w:rPr>
          <w:rFonts w:ascii="Arial" w:hAnsi="Arial" w:cs="Arial"/>
          <w:sz w:val="20"/>
          <w:szCs w:val="20"/>
        </w:rPr>
        <w:t>T</w:t>
      </w:r>
      <w:r w:rsidR="00101925" w:rsidRPr="00FC564B">
        <w:rPr>
          <w:rFonts w:ascii="Arial" w:hAnsi="Arial" w:cs="Arial"/>
          <w:sz w:val="20"/>
          <w:szCs w:val="20"/>
        </w:rPr>
        <w:t>he Committee resolved to conduct a hearing on the expenditure and servic</w:t>
      </w:r>
      <w:r w:rsidRPr="00FC564B">
        <w:rPr>
          <w:rFonts w:ascii="Arial" w:hAnsi="Arial" w:cs="Arial"/>
          <w:sz w:val="20"/>
          <w:szCs w:val="20"/>
        </w:rPr>
        <w:t>e delivery performance of this G</w:t>
      </w:r>
      <w:r w:rsidR="00101925" w:rsidRPr="00FC564B">
        <w:rPr>
          <w:rFonts w:ascii="Arial" w:hAnsi="Arial" w:cs="Arial"/>
          <w:sz w:val="20"/>
          <w:szCs w:val="20"/>
        </w:rPr>
        <w:t xml:space="preserve">rant on </w:t>
      </w:r>
      <w:r w:rsidR="00587729" w:rsidRPr="00FC564B">
        <w:rPr>
          <w:rFonts w:ascii="Arial" w:hAnsi="Arial" w:cs="Arial"/>
          <w:sz w:val="20"/>
          <w:szCs w:val="20"/>
        </w:rPr>
        <w:t xml:space="preserve">07 September </w:t>
      </w:r>
      <w:r w:rsidR="00101925" w:rsidRPr="00FC564B">
        <w:rPr>
          <w:rFonts w:ascii="Arial" w:hAnsi="Arial" w:cs="Arial"/>
          <w:sz w:val="20"/>
          <w:szCs w:val="20"/>
        </w:rPr>
        <w:t xml:space="preserve">2022. </w:t>
      </w:r>
      <w:r w:rsidR="00587729" w:rsidRPr="00FC564B">
        <w:rPr>
          <w:rFonts w:ascii="Arial" w:hAnsi="Arial" w:cs="Arial"/>
          <w:sz w:val="20"/>
          <w:szCs w:val="20"/>
        </w:rPr>
        <w:t>Since the period under r</w:t>
      </w:r>
      <w:r w:rsidRPr="00FC564B">
        <w:rPr>
          <w:rFonts w:ascii="Arial" w:hAnsi="Arial" w:cs="Arial"/>
          <w:sz w:val="20"/>
          <w:szCs w:val="20"/>
        </w:rPr>
        <w:t>eview was the last for the G</w:t>
      </w:r>
      <w:r w:rsidR="00587729" w:rsidRPr="00FC564B">
        <w:rPr>
          <w:rFonts w:ascii="Arial" w:hAnsi="Arial" w:cs="Arial"/>
          <w:sz w:val="20"/>
          <w:szCs w:val="20"/>
        </w:rPr>
        <w:t xml:space="preserve">rant to be managed by </w:t>
      </w:r>
      <w:r w:rsidRPr="00FC564B">
        <w:rPr>
          <w:rFonts w:ascii="Arial" w:hAnsi="Arial" w:cs="Arial"/>
          <w:sz w:val="20"/>
          <w:szCs w:val="20"/>
        </w:rPr>
        <w:t xml:space="preserve">the </w:t>
      </w:r>
      <w:r w:rsidR="00587729" w:rsidRPr="00FC564B">
        <w:rPr>
          <w:rFonts w:ascii="Arial" w:hAnsi="Arial" w:cs="Arial"/>
          <w:sz w:val="20"/>
          <w:szCs w:val="20"/>
        </w:rPr>
        <w:t>Department of Social Development</w:t>
      </w:r>
      <w:r w:rsidR="00A60B79" w:rsidRPr="00FC564B">
        <w:rPr>
          <w:rFonts w:ascii="Arial" w:hAnsi="Arial" w:cs="Arial"/>
          <w:sz w:val="20"/>
          <w:szCs w:val="20"/>
        </w:rPr>
        <w:t xml:space="preserve">, </w:t>
      </w:r>
      <w:r w:rsidR="00916F7C" w:rsidRPr="00FC564B">
        <w:rPr>
          <w:rFonts w:ascii="Arial" w:hAnsi="Arial" w:cs="Arial"/>
          <w:sz w:val="20"/>
          <w:szCs w:val="20"/>
        </w:rPr>
        <w:t xml:space="preserve">before it was transferred to the </w:t>
      </w:r>
      <w:r w:rsidRPr="00FC564B">
        <w:rPr>
          <w:rFonts w:ascii="Arial" w:hAnsi="Arial" w:cs="Arial"/>
          <w:sz w:val="20"/>
          <w:szCs w:val="20"/>
        </w:rPr>
        <w:t>D</w:t>
      </w:r>
      <w:r w:rsidR="00A60B79" w:rsidRPr="00FC564B">
        <w:rPr>
          <w:rFonts w:ascii="Arial" w:hAnsi="Arial" w:cs="Arial"/>
          <w:sz w:val="20"/>
          <w:szCs w:val="20"/>
        </w:rPr>
        <w:t>epartment of Basic Education</w:t>
      </w:r>
      <w:r w:rsidR="00916F7C" w:rsidRPr="00FC564B">
        <w:rPr>
          <w:rFonts w:ascii="Arial" w:hAnsi="Arial" w:cs="Arial"/>
          <w:sz w:val="20"/>
          <w:szCs w:val="20"/>
        </w:rPr>
        <w:t xml:space="preserve"> with effect from </w:t>
      </w:r>
      <w:r w:rsidRPr="00FC564B">
        <w:rPr>
          <w:rFonts w:ascii="Arial" w:hAnsi="Arial" w:cs="Arial"/>
          <w:sz w:val="20"/>
          <w:szCs w:val="20"/>
        </w:rPr>
        <w:t xml:space="preserve">1 April </w:t>
      </w:r>
      <w:r w:rsidR="00916F7C" w:rsidRPr="00FC564B">
        <w:rPr>
          <w:rFonts w:ascii="Arial" w:hAnsi="Arial" w:cs="Arial"/>
          <w:sz w:val="20"/>
          <w:szCs w:val="20"/>
        </w:rPr>
        <w:t>2022</w:t>
      </w:r>
      <w:r w:rsidR="00A60B79" w:rsidRPr="00FC564B">
        <w:rPr>
          <w:rFonts w:ascii="Arial" w:hAnsi="Arial" w:cs="Arial"/>
          <w:sz w:val="20"/>
          <w:szCs w:val="20"/>
        </w:rPr>
        <w:t xml:space="preserve">, </w:t>
      </w:r>
      <w:r w:rsidR="00587729" w:rsidRPr="00FC564B">
        <w:rPr>
          <w:rFonts w:ascii="Arial" w:hAnsi="Arial" w:cs="Arial"/>
          <w:sz w:val="20"/>
          <w:szCs w:val="20"/>
        </w:rPr>
        <w:t xml:space="preserve">the Committee invited the </w:t>
      </w:r>
      <w:r w:rsidRPr="00FC564B">
        <w:rPr>
          <w:rFonts w:ascii="Arial" w:hAnsi="Arial" w:cs="Arial"/>
          <w:sz w:val="20"/>
          <w:szCs w:val="20"/>
        </w:rPr>
        <w:t>Department of Social D</w:t>
      </w:r>
      <w:r w:rsidR="00916F7C" w:rsidRPr="00FC564B">
        <w:rPr>
          <w:rFonts w:ascii="Arial" w:hAnsi="Arial" w:cs="Arial"/>
          <w:sz w:val="20"/>
          <w:szCs w:val="20"/>
        </w:rPr>
        <w:t xml:space="preserve">evelopment </w:t>
      </w:r>
      <w:r w:rsidR="00587729" w:rsidRPr="00FC564B">
        <w:rPr>
          <w:rFonts w:ascii="Arial" w:hAnsi="Arial" w:cs="Arial"/>
          <w:sz w:val="20"/>
          <w:szCs w:val="20"/>
        </w:rPr>
        <w:t xml:space="preserve">to report on </w:t>
      </w:r>
      <w:r w:rsidR="00101925" w:rsidRPr="00FC564B">
        <w:rPr>
          <w:rFonts w:ascii="Arial" w:hAnsi="Arial" w:cs="Arial"/>
          <w:sz w:val="20"/>
          <w:szCs w:val="20"/>
        </w:rPr>
        <w:t>the</w:t>
      </w:r>
      <w:r w:rsidR="00587729" w:rsidRPr="00FC564B">
        <w:rPr>
          <w:rFonts w:ascii="Arial" w:hAnsi="Arial" w:cs="Arial"/>
          <w:sz w:val="20"/>
          <w:szCs w:val="20"/>
        </w:rPr>
        <w:t xml:space="preserve"> </w:t>
      </w:r>
      <w:r w:rsidR="00101925" w:rsidRPr="00FC564B">
        <w:rPr>
          <w:rFonts w:ascii="Arial" w:hAnsi="Arial" w:cs="Arial"/>
          <w:sz w:val="20"/>
          <w:szCs w:val="20"/>
        </w:rPr>
        <w:t>financial and non-financial performance as at the end of the fourth quarter of the 2021/22 financial year. In addition, National Treasury was invited to provide a consolidated report on th</w:t>
      </w:r>
      <w:r w:rsidR="00587729" w:rsidRPr="00FC564B">
        <w:rPr>
          <w:rFonts w:ascii="Arial" w:hAnsi="Arial" w:cs="Arial"/>
          <w:sz w:val="20"/>
          <w:szCs w:val="20"/>
        </w:rPr>
        <w:t xml:space="preserve">is </w:t>
      </w:r>
      <w:r w:rsidRPr="00FC564B">
        <w:rPr>
          <w:rFonts w:ascii="Arial" w:hAnsi="Arial" w:cs="Arial"/>
          <w:sz w:val="20"/>
          <w:szCs w:val="20"/>
        </w:rPr>
        <w:t>G</w:t>
      </w:r>
      <w:r w:rsidR="00101925" w:rsidRPr="00FC564B">
        <w:rPr>
          <w:rFonts w:ascii="Arial" w:hAnsi="Arial" w:cs="Arial"/>
          <w:sz w:val="20"/>
          <w:szCs w:val="20"/>
        </w:rPr>
        <w:t>rant covering the period</w:t>
      </w:r>
      <w:r w:rsidRPr="00FC564B">
        <w:rPr>
          <w:rFonts w:ascii="Arial" w:hAnsi="Arial" w:cs="Arial"/>
          <w:sz w:val="20"/>
          <w:szCs w:val="20"/>
        </w:rPr>
        <w:t xml:space="preserve"> under review</w:t>
      </w:r>
      <w:r w:rsidR="00101925" w:rsidRPr="00FC564B">
        <w:rPr>
          <w:rFonts w:ascii="Arial" w:hAnsi="Arial" w:cs="Arial"/>
          <w:sz w:val="20"/>
          <w:szCs w:val="20"/>
        </w:rPr>
        <w:t>.</w:t>
      </w:r>
    </w:p>
    <w:p w:rsidR="009F0BCF" w:rsidRPr="00FC564B" w:rsidRDefault="009F0BCF" w:rsidP="00FC564B">
      <w:pPr>
        <w:pStyle w:val="ListParagraph"/>
        <w:ind w:left="0"/>
        <w:rPr>
          <w:rFonts w:ascii="Arial" w:hAnsi="Arial" w:cs="Arial"/>
          <w:sz w:val="20"/>
          <w:szCs w:val="20"/>
        </w:rPr>
      </w:pPr>
    </w:p>
    <w:p w:rsidR="00101925" w:rsidRPr="00FC564B" w:rsidRDefault="00A60B79" w:rsidP="00FC564B">
      <w:pPr>
        <w:rPr>
          <w:rFonts w:ascii="Arial" w:hAnsi="Arial" w:cs="Arial"/>
          <w:b/>
          <w:sz w:val="20"/>
          <w:szCs w:val="20"/>
        </w:rPr>
      </w:pPr>
      <w:r w:rsidRPr="00FC564B">
        <w:rPr>
          <w:rFonts w:ascii="Arial" w:hAnsi="Arial" w:cs="Arial"/>
          <w:b/>
          <w:sz w:val="20"/>
          <w:szCs w:val="20"/>
        </w:rPr>
        <w:t xml:space="preserve">3. </w:t>
      </w:r>
      <w:r w:rsidR="00101925" w:rsidRPr="00FC564B">
        <w:rPr>
          <w:rFonts w:ascii="Arial" w:hAnsi="Arial" w:cs="Arial"/>
          <w:b/>
          <w:sz w:val="20"/>
          <w:szCs w:val="20"/>
        </w:rPr>
        <w:t>Grant outputs</w:t>
      </w:r>
      <w:r w:rsidR="00101925" w:rsidRPr="00FC564B">
        <w:rPr>
          <w:rFonts w:ascii="Arial" w:hAnsi="Arial" w:cs="Arial"/>
          <w:sz w:val="20"/>
          <w:szCs w:val="20"/>
        </w:rPr>
        <w:t xml:space="preserve"> </w:t>
      </w:r>
    </w:p>
    <w:p w:rsidR="00A21BB4" w:rsidRPr="00FC564B" w:rsidRDefault="00101925" w:rsidP="00FC564B">
      <w:pPr>
        <w:rPr>
          <w:rFonts w:ascii="Arial" w:hAnsi="Arial" w:cs="Arial"/>
          <w:sz w:val="20"/>
          <w:szCs w:val="20"/>
        </w:rPr>
      </w:pPr>
      <w:r w:rsidRPr="00FC564B">
        <w:rPr>
          <w:rFonts w:ascii="Arial" w:hAnsi="Arial" w:cs="Arial"/>
          <w:sz w:val="20"/>
          <w:szCs w:val="20"/>
        </w:rPr>
        <w:t>Th</w:t>
      </w:r>
      <w:r w:rsidR="007323CF" w:rsidRPr="00FC564B">
        <w:rPr>
          <w:rFonts w:ascii="Arial" w:hAnsi="Arial" w:cs="Arial"/>
          <w:sz w:val="20"/>
          <w:szCs w:val="20"/>
        </w:rPr>
        <w:t>e G</w:t>
      </w:r>
      <w:r w:rsidR="00774BD3" w:rsidRPr="00FC564B">
        <w:rPr>
          <w:rFonts w:ascii="Arial" w:hAnsi="Arial" w:cs="Arial"/>
          <w:sz w:val="20"/>
          <w:szCs w:val="20"/>
        </w:rPr>
        <w:t>rant has two components with detailed outputs, conditions and resp</w:t>
      </w:r>
      <w:r w:rsidR="007323CF" w:rsidRPr="00FC564B">
        <w:rPr>
          <w:rFonts w:ascii="Arial" w:hAnsi="Arial" w:cs="Arial"/>
          <w:sz w:val="20"/>
          <w:szCs w:val="20"/>
        </w:rPr>
        <w:t xml:space="preserve">onsibilities for each, </w:t>
      </w:r>
      <w:r w:rsidR="00774BD3" w:rsidRPr="00FC564B">
        <w:rPr>
          <w:rFonts w:ascii="Arial" w:hAnsi="Arial" w:cs="Arial"/>
          <w:sz w:val="20"/>
          <w:szCs w:val="20"/>
        </w:rPr>
        <w:t xml:space="preserve">specified in separate frameworks. The two </w:t>
      </w:r>
      <w:r w:rsidR="007323CF" w:rsidRPr="00FC564B">
        <w:rPr>
          <w:rFonts w:ascii="Arial" w:hAnsi="Arial" w:cs="Arial"/>
          <w:sz w:val="20"/>
          <w:szCs w:val="20"/>
        </w:rPr>
        <w:t xml:space="preserve">Grant components </w:t>
      </w:r>
      <w:r w:rsidRPr="00FC564B">
        <w:rPr>
          <w:rFonts w:ascii="Arial" w:hAnsi="Arial" w:cs="Arial"/>
          <w:sz w:val="20"/>
          <w:szCs w:val="20"/>
        </w:rPr>
        <w:t>are</w:t>
      </w:r>
      <w:r w:rsidR="007323CF" w:rsidRPr="00FC564B">
        <w:rPr>
          <w:rFonts w:ascii="Arial" w:hAnsi="Arial" w:cs="Arial"/>
          <w:sz w:val="20"/>
          <w:szCs w:val="20"/>
        </w:rPr>
        <w:t xml:space="preserve"> -</w:t>
      </w:r>
    </w:p>
    <w:p w:rsidR="00A21BB4" w:rsidRPr="00FC564B" w:rsidRDefault="00774BD3" w:rsidP="00FC564B">
      <w:pPr>
        <w:pStyle w:val="ListParagraph"/>
        <w:numPr>
          <w:ilvl w:val="0"/>
          <w:numId w:val="3"/>
        </w:numPr>
        <w:rPr>
          <w:rFonts w:ascii="Arial" w:hAnsi="Arial" w:cs="Arial"/>
          <w:sz w:val="20"/>
          <w:szCs w:val="20"/>
        </w:rPr>
      </w:pPr>
      <w:r w:rsidRPr="00FC564B">
        <w:rPr>
          <w:rFonts w:ascii="Arial" w:hAnsi="Arial" w:cs="Arial"/>
          <w:sz w:val="20"/>
          <w:szCs w:val="20"/>
        </w:rPr>
        <w:t>Infrastructure</w:t>
      </w:r>
      <w:r w:rsidR="007323CF" w:rsidRPr="00FC564B">
        <w:rPr>
          <w:rFonts w:ascii="Arial" w:hAnsi="Arial" w:cs="Arial"/>
          <w:sz w:val="20"/>
          <w:szCs w:val="20"/>
        </w:rPr>
        <w:t>: N</w:t>
      </w:r>
      <w:r w:rsidRPr="00FC564B">
        <w:rPr>
          <w:rFonts w:ascii="Arial" w:hAnsi="Arial" w:cs="Arial"/>
          <w:sz w:val="20"/>
          <w:szCs w:val="20"/>
        </w:rPr>
        <w:t xml:space="preserve">umber of ECD centres assessed for infrastructure support and health and safety standards; number of ECD centres whose registration status improved as a result of the infrastructure component within 24 months of receiving the </w:t>
      </w:r>
      <w:r w:rsidR="00A60B79" w:rsidRPr="00FC564B">
        <w:rPr>
          <w:rFonts w:ascii="Arial" w:hAnsi="Arial" w:cs="Arial"/>
          <w:sz w:val="20"/>
          <w:szCs w:val="20"/>
        </w:rPr>
        <w:t>G</w:t>
      </w:r>
      <w:r w:rsidRPr="00FC564B">
        <w:rPr>
          <w:rFonts w:ascii="Arial" w:hAnsi="Arial" w:cs="Arial"/>
          <w:sz w:val="20"/>
          <w:szCs w:val="20"/>
        </w:rPr>
        <w:t>rant; and number of low</w:t>
      </w:r>
      <w:r w:rsidR="00A60B79" w:rsidRPr="00FC564B">
        <w:rPr>
          <w:rFonts w:ascii="Arial" w:hAnsi="Arial" w:cs="Arial"/>
          <w:sz w:val="20"/>
          <w:szCs w:val="20"/>
        </w:rPr>
        <w:t>-</w:t>
      </w:r>
      <w:r w:rsidR="007323CF" w:rsidRPr="00FC564B">
        <w:rPr>
          <w:rFonts w:ascii="Arial" w:hAnsi="Arial" w:cs="Arial"/>
          <w:sz w:val="20"/>
          <w:szCs w:val="20"/>
        </w:rPr>
        <w:t>cost ECD centres constructed; and</w:t>
      </w:r>
    </w:p>
    <w:p w:rsidR="00774BD3" w:rsidRPr="00FC564B" w:rsidRDefault="00774BD3" w:rsidP="00FC564B">
      <w:pPr>
        <w:pStyle w:val="ListParagraph"/>
        <w:numPr>
          <w:ilvl w:val="0"/>
          <w:numId w:val="3"/>
        </w:numPr>
        <w:rPr>
          <w:rFonts w:ascii="Arial" w:hAnsi="Arial" w:cs="Arial"/>
          <w:sz w:val="20"/>
          <w:szCs w:val="20"/>
        </w:rPr>
      </w:pPr>
      <w:r w:rsidRPr="00FC564B">
        <w:rPr>
          <w:rFonts w:ascii="Arial" w:hAnsi="Arial" w:cs="Arial"/>
          <w:sz w:val="20"/>
          <w:szCs w:val="20"/>
        </w:rPr>
        <w:t>Subsidy</w:t>
      </w:r>
      <w:r w:rsidR="007323CF" w:rsidRPr="00FC564B">
        <w:rPr>
          <w:rFonts w:ascii="Arial" w:hAnsi="Arial" w:cs="Arial"/>
          <w:sz w:val="20"/>
          <w:szCs w:val="20"/>
        </w:rPr>
        <w:t>: N</w:t>
      </w:r>
      <w:r w:rsidRPr="00FC564B">
        <w:rPr>
          <w:rFonts w:ascii="Arial" w:hAnsi="Arial" w:cs="Arial"/>
          <w:sz w:val="20"/>
          <w:szCs w:val="20"/>
        </w:rPr>
        <w:t xml:space="preserve">umber of eligible children subsidised, as agreed in the service </w:t>
      </w:r>
      <w:r w:rsidR="00A60B79" w:rsidRPr="00FC564B">
        <w:rPr>
          <w:rFonts w:ascii="Arial" w:hAnsi="Arial" w:cs="Arial"/>
          <w:sz w:val="20"/>
          <w:szCs w:val="20"/>
        </w:rPr>
        <w:t xml:space="preserve">level agreements; number of </w:t>
      </w:r>
      <w:r w:rsidRPr="00FC564B">
        <w:rPr>
          <w:rFonts w:ascii="Arial" w:hAnsi="Arial" w:cs="Arial"/>
          <w:sz w:val="20"/>
          <w:szCs w:val="20"/>
        </w:rPr>
        <w:t>children attending ECD services in fully r</w:t>
      </w:r>
      <w:r w:rsidR="00A60B79" w:rsidRPr="00FC564B">
        <w:rPr>
          <w:rFonts w:ascii="Arial" w:hAnsi="Arial" w:cs="Arial"/>
          <w:sz w:val="20"/>
          <w:szCs w:val="20"/>
        </w:rPr>
        <w:t>egistered centres; number of</w:t>
      </w:r>
      <w:r w:rsidRPr="00FC564B">
        <w:rPr>
          <w:rFonts w:ascii="Arial" w:hAnsi="Arial" w:cs="Arial"/>
          <w:sz w:val="20"/>
          <w:szCs w:val="20"/>
        </w:rPr>
        <w:t xml:space="preserve"> children attending ECD services in conditionally registered centres; number of children subsidised </w:t>
      </w:r>
      <w:r w:rsidR="00A60B79" w:rsidRPr="00FC564B">
        <w:rPr>
          <w:rFonts w:ascii="Arial" w:hAnsi="Arial" w:cs="Arial"/>
          <w:sz w:val="20"/>
          <w:szCs w:val="20"/>
        </w:rPr>
        <w:t>i</w:t>
      </w:r>
      <w:r w:rsidRPr="00FC564B">
        <w:rPr>
          <w:rFonts w:ascii="Arial" w:hAnsi="Arial" w:cs="Arial"/>
          <w:sz w:val="20"/>
          <w:szCs w:val="20"/>
        </w:rPr>
        <w:t>n fully registered centres;</w:t>
      </w:r>
      <w:r w:rsidR="00A60B79" w:rsidRPr="00FC564B">
        <w:rPr>
          <w:rFonts w:ascii="Arial" w:hAnsi="Arial" w:cs="Arial"/>
          <w:sz w:val="20"/>
          <w:szCs w:val="20"/>
        </w:rPr>
        <w:t xml:space="preserve"> number of children subsidised </w:t>
      </w:r>
      <w:r w:rsidRPr="00FC564B">
        <w:rPr>
          <w:rFonts w:ascii="Arial" w:hAnsi="Arial" w:cs="Arial"/>
          <w:sz w:val="20"/>
          <w:szCs w:val="20"/>
        </w:rPr>
        <w:t xml:space="preserve">in conditionally registered centres; number of days subsidised for centre-based programmes; number of children benefiting in registered </w:t>
      </w:r>
      <w:r w:rsidR="00E32E13" w:rsidRPr="00FC564B">
        <w:rPr>
          <w:rFonts w:ascii="Arial" w:hAnsi="Arial" w:cs="Arial"/>
          <w:sz w:val="20"/>
          <w:szCs w:val="20"/>
        </w:rPr>
        <w:t>non-</w:t>
      </w:r>
      <w:r w:rsidRPr="00FC564B">
        <w:rPr>
          <w:rFonts w:ascii="Arial" w:hAnsi="Arial" w:cs="Arial"/>
          <w:sz w:val="20"/>
          <w:szCs w:val="20"/>
        </w:rPr>
        <w:t>centre</w:t>
      </w:r>
      <w:r w:rsidR="00E32E13" w:rsidRPr="00FC564B">
        <w:rPr>
          <w:rFonts w:ascii="Arial" w:hAnsi="Arial" w:cs="Arial"/>
          <w:sz w:val="20"/>
          <w:szCs w:val="20"/>
        </w:rPr>
        <w:t xml:space="preserve"> based ECD programmes; number of children benefiting from the top</w:t>
      </w:r>
      <w:r w:rsidR="00A60B79" w:rsidRPr="00FC564B">
        <w:rPr>
          <w:rFonts w:ascii="Arial" w:hAnsi="Arial" w:cs="Arial"/>
          <w:sz w:val="20"/>
          <w:szCs w:val="20"/>
        </w:rPr>
        <w:t>-</w:t>
      </w:r>
      <w:r w:rsidR="00E32E13" w:rsidRPr="00FC564B">
        <w:rPr>
          <w:rFonts w:ascii="Arial" w:hAnsi="Arial" w:cs="Arial"/>
          <w:sz w:val="20"/>
          <w:szCs w:val="20"/>
        </w:rPr>
        <w:t xml:space="preserve">up grant; and number of ECD practitioners and other </w:t>
      </w:r>
      <w:r w:rsidRPr="00FC564B">
        <w:rPr>
          <w:rFonts w:ascii="Arial" w:hAnsi="Arial" w:cs="Arial"/>
          <w:sz w:val="20"/>
          <w:szCs w:val="20"/>
        </w:rPr>
        <w:t>s</w:t>
      </w:r>
      <w:r w:rsidR="00E32E13" w:rsidRPr="00FC564B">
        <w:rPr>
          <w:rFonts w:ascii="Arial" w:hAnsi="Arial" w:cs="Arial"/>
          <w:sz w:val="20"/>
          <w:szCs w:val="20"/>
        </w:rPr>
        <w:t xml:space="preserve">taff employed in </w:t>
      </w:r>
      <w:r w:rsidR="003757D5" w:rsidRPr="00FC564B">
        <w:rPr>
          <w:rFonts w:ascii="Arial" w:hAnsi="Arial" w:cs="Arial"/>
          <w:sz w:val="20"/>
          <w:szCs w:val="20"/>
        </w:rPr>
        <w:t xml:space="preserve">the </w:t>
      </w:r>
      <w:r w:rsidR="00E32E13" w:rsidRPr="00FC564B">
        <w:rPr>
          <w:rFonts w:ascii="Arial" w:hAnsi="Arial" w:cs="Arial"/>
          <w:sz w:val="20"/>
          <w:szCs w:val="20"/>
        </w:rPr>
        <w:t>registered ECD centres benefi</w:t>
      </w:r>
      <w:r w:rsidR="00A60B79" w:rsidRPr="00FC564B">
        <w:rPr>
          <w:rFonts w:ascii="Arial" w:hAnsi="Arial" w:cs="Arial"/>
          <w:sz w:val="20"/>
          <w:szCs w:val="20"/>
        </w:rPr>
        <w:t>ting from the conditional Grant</w:t>
      </w:r>
      <w:r w:rsidR="00E32E13" w:rsidRPr="00FC564B">
        <w:rPr>
          <w:rFonts w:ascii="Arial" w:hAnsi="Arial" w:cs="Arial"/>
          <w:sz w:val="20"/>
          <w:szCs w:val="20"/>
        </w:rPr>
        <w:t>.</w:t>
      </w:r>
    </w:p>
    <w:p w:rsidR="00E32E13" w:rsidRPr="00FC564B" w:rsidRDefault="00E32E13" w:rsidP="00FC564B">
      <w:pPr>
        <w:rPr>
          <w:rFonts w:ascii="Arial" w:hAnsi="Arial" w:cs="Arial"/>
          <w:sz w:val="20"/>
          <w:szCs w:val="20"/>
        </w:rPr>
      </w:pPr>
    </w:p>
    <w:p w:rsidR="00A21BB4" w:rsidRPr="00FC564B" w:rsidRDefault="00E32E13" w:rsidP="00FC564B">
      <w:pPr>
        <w:pStyle w:val="ListParagraph"/>
        <w:numPr>
          <w:ilvl w:val="0"/>
          <w:numId w:val="2"/>
        </w:numPr>
        <w:rPr>
          <w:rFonts w:ascii="Arial" w:hAnsi="Arial" w:cs="Arial"/>
          <w:b/>
          <w:sz w:val="20"/>
          <w:szCs w:val="20"/>
        </w:rPr>
      </w:pPr>
      <w:r w:rsidRPr="00FC564B">
        <w:rPr>
          <w:rFonts w:ascii="Arial" w:hAnsi="Arial" w:cs="Arial"/>
          <w:b/>
          <w:sz w:val="20"/>
          <w:szCs w:val="20"/>
        </w:rPr>
        <w:t>National Treasury</w:t>
      </w:r>
    </w:p>
    <w:p w:rsidR="00A21BB4" w:rsidRPr="00FC564B" w:rsidRDefault="00E32E13" w:rsidP="00FC564B">
      <w:pPr>
        <w:ind w:left="60"/>
        <w:rPr>
          <w:rFonts w:ascii="Arial" w:hAnsi="Arial" w:cs="Arial"/>
          <w:sz w:val="20"/>
          <w:szCs w:val="20"/>
        </w:rPr>
      </w:pPr>
      <w:r w:rsidRPr="00FC564B">
        <w:rPr>
          <w:rFonts w:ascii="Arial" w:hAnsi="Arial" w:cs="Arial"/>
          <w:sz w:val="20"/>
          <w:szCs w:val="20"/>
        </w:rPr>
        <w:t>National Treasury submitted that</w:t>
      </w:r>
      <w:r w:rsidR="007323CF" w:rsidRPr="00FC564B">
        <w:rPr>
          <w:rFonts w:ascii="Arial" w:hAnsi="Arial" w:cs="Arial"/>
          <w:sz w:val="20"/>
          <w:szCs w:val="20"/>
        </w:rPr>
        <w:t>,</w:t>
      </w:r>
      <w:r w:rsidRPr="00FC564B">
        <w:rPr>
          <w:rFonts w:ascii="Arial" w:hAnsi="Arial" w:cs="Arial"/>
          <w:sz w:val="20"/>
          <w:szCs w:val="20"/>
        </w:rPr>
        <w:t xml:space="preserve"> in t</w:t>
      </w:r>
      <w:r w:rsidR="007323CF" w:rsidRPr="00FC564B">
        <w:rPr>
          <w:rFonts w:ascii="Arial" w:hAnsi="Arial" w:cs="Arial"/>
          <w:sz w:val="20"/>
          <w:szCs w:val="20"/>
        </w:rPr>
        <w:t>he 2021/22 financial year, the G</w:t>
      </w:r>
      <w:r w:rsidRPr="00FC564B">
        <w:rPr>
          <w:rFonts w:ascii="Arial" w:hAnsi="Arial" w:cs="Arial"/>
          <w:sz w:val="20"/>
          <w:szCs w:val="20"/>
        </w:rPr>
        <w:t>rant</w:t>
      </w:r>
      <w:r w:rsidR="00504B6E" w:rsidRPr="00FC564B">
        <w:rPr>
          <w:rFonts w:ascii="Arial" w:hAnsi="Arial" w:cs="Arial"/>
          <w:sz w:val="20"/>
          <w:szCs w:val="20"/>
        </w:rPr>
        <w:t xml:space="preserve"> </w:t>
      </w:r>
      <w:r w:rsidR="007323CF" w:rsidRPr="00FC564B">
        <w:rPr>
          <w:rFonts w:ascii="Arial" w:hAnsi="Arial" w:cs="Arial"/>
          <w:sz w:val="20"/>
          <w:szCs w:val="20"/>
        </w:rPr>
        <w:t xml:space="preserve">had been </w:t>
      </w:r>
      <w:r w:rsidR="00504B6E" w:rsidRPr="00FC564B">
        <w:rPr>
          <w:rFonts w:ascii="Arial" w:hAnsi="Arial" w:cs="Arial"/>
          <w:sz w:val="20"/>
          <w:szCs w:val="20"/>
        </w:rPr>
        <w:t>allocated R1</w:t>
      </w:r>
      <w:r w:rsidR="00AC7019" w:rsidRPr="00FC564B">
        <w:rPr>
          <w:rFonts w:ascii="Arial" w:hAnsi="Arial" w:cs="Arial"/>
          <w:sz w:val="20"/>
          <w:szCs w:val="20"/>
        </w:rPr>
        <w:t xml:space="preserve"> </w:t>
      </w:r>
      <w:r w:rsidR="00504B6E" w:rsidRPr="00FC564B">
        <w:rPr>
          <w:rFonts w:ascii="Arial" w:hAnsi="Arial" w:cs="Arial"/>
          <w:sz w:val="20"/>
          <w:szCs w:val="20"/>
        </w:rPr>
        <w:t xml:space="preserve">billion plus </w:t>
      </w:r>
      <w:r w:rsidR="007323CF" w:rsidRPr="00FC564B">
        <w:rPr>
          <w:rFonts w:ascii="Arial" w:hAnsi="Arial" w:cs="Arial"/>
          <w:sz w:val="20"/>
          <w:szCs w:val="20"/>
        </w:rPr>
        <w:t>a s</w:t>
      </w:r>
      <w:r w:rsidR="00AC7019" w:rsidRPr="00FC564B">
        <w:rPr>
          <w:rFonts w:ascii="Arial" w:hAnsi="Arial" w:cs="Arial"/>
          <w:sz w:val="20"/>
          <w:szCs w:val="20"/>
        </w:rPr>
        <w:t xml:space="preserve">timulus </w:t>
      </w:r>
      <w:r w:rsidR="007323CF" w:rsidRPr="00FC564B">
        <w:rPr>
          <w:rFonts w:ascii="Arial" w:hAnsi="Arial" w:cs="Arial"/>
          <w:sz w:val="20"/>
          <w:szCs w:val="20"/>
        </w:rPr>
        <w:t xml:space="preserve">package </w:t>
      </w:r>
      <w:r w:rsidR="00AC7019" w:rsidRPr="00FC564B">
        <w:rPr>
          <w:rFonts w:ascii="Arial" w:hAnsi="Arial" w:cs="Arial"/>
          <w:sz w:val="20"/>
          <w:szCs w:val="20"/>
        </w:rPr>
        <w:t xml:space="preserve">allocation of R178 million and </w:t>
      </w:r>
      <w:r w:rsidR="00504B6E" w:rsidRPr="00FC564B">
        <w:rPr>
          <w:rFonts w:ascii="Arial" w:hAnsi="Arial" w:cs="Arial"/>
          <w:sz w:val="20"/>
          <w:szCs w:val="20"/>
        </w:rPr>
        <w:t xml:space="preserve">a </w:t>
      </w:r>
      <w:r w:rsidR="00AC7019" w:rsidRPr="00FC564B">
        <w:rPr>
          <w:rFonts w:ascii="Arial" w:hAnsi="Arial" w:cs="Arial"/>
          <w:sz w:val="20"/>
          <w:szCs w:val="20"/>
        </w:rPr>
        <w:t xml:space="preserve">sum of R385.6 million approved </w:t>
      </w:r>
      <w:r w:rsidR="00504B6E" w:rsidRPr="00FC564B">
        <w:rPr>
          <w:rFonts w:ascii="Arial" w:hAnsi="Arial" w:cs="Arial"/>
          <w:sz w:val="20"/>
          <w:szCs w:val="20"/>
        </w:rPr>
        <w:t>roll-over funds</w:t>
      </w:r>
      <w:r w:rsidR="00AC7019" w:rsidRPr="00FC564B">
        <w:rPr>
          <w:rFonts w:ascii="Arial" w:hAnsi="Arial" w:cs="Arial"/>
          <w:sz w:val="20"/>
          <w:szCs w:val="20"/>
        </w:rPr>
        <w:t xml:space="preserve">. </w:t>
      </w:r>
      <w:r w:rsidR="00504B6E" w:rsidRPr="00FC564B">
        <w:rPr>
          <w:rFonts w:ascii="Arial" w:hAnsi="Arial" w:cs="Arial"/>
          <w:sz w:val="20"/>
          <w:szCs w:val="20"/>
        </w:rPr>
        <w:t xml:space="preserve">This resulted </w:t>
      </w:r>
      <w:r w:rsidR="007323CF" w:rsidRPr="00FC564B">
        <w:rPr>
          <w:rFonts w:ascii="Arial" w:hAnsi="Arial" w:cs="Arial"/>
          <w:sz w:val="20"/>
          <w:szCs w:val="20"/>
        </w:rPr>
        <w:t>in</w:t>
      </w:r>
      <w:r w:rsidR="00504B6E" w:rsidRPr="00FC564B">
        <w:rPr>
          <w:rFonts w:ascii="Arial" w:hAnsi="Arial" w:cs="Arial"/>
          <w:sz w:val="20"/>
          <w:szCs w:val="20"/>
        </w:rPr>
        <w:t xml:space="preserve"> a</w:t>
      </w:r>
      <w:r w:rsidR="007323CF" w:rsidRPr="00FC564B">
        <w:rPr>
          <w:rFonts w:ascii="Arial" w:hAnsi="Arial" w:cs="Arial"/>
          <w:sz w:val="20"/>
          <w:szCs w:val="20"/>
        </w:rPr>
        <w:t xml:space="preserve"> total </w:t>
      </w:r>
      <w:r w:rsidR="00504B6E" w:rsidRPr="00FC564B">
        <w:rPr>
          <w:rFonts w:ascii="Arial" w:hAnsi="Arial" w:cs="Arial"/>
          <w:sz w:val="20"/>
          <w:szCs w:val="20"/>
        </w:rPr>
        <w:t xml:space="preserve">budget of R1.6 billion. Of this amount, provinces </w:t>
      </w:r>
      <w:r w:rsidR="007323CF" w:rsidRPr="00FC564B">
        <w:rPr>
          <w:rFonts w:ascii="Arial" w:hAnsi="Arial" w:cs="Arial"/>
          <w:sz w:val="20"/>
          <w:szCs w:val="20"/>
        </w:rPr>
        <w:t xml:space="preserve">had </w:t>
      </w:r>
      <w:r w:rsidR="00504B6E" w:rsidRPr="00FC564B">
        <w:rPr>
          <w:rFonts w:ascii="Arial" w:hAnsi="Arial" w:cs="Arial"/>
          <w:sz w:val="20"/>
          <w:szCs w:val="20"/>
        </w:rPr>
        <w:t>spent R1.</w:t>
      </w:r>
      <w:r w:rsidR="00A60B79" w:rsidRPr="00FC564B">
        <w:rPr>
          <w:rFonts w:ascii="Arial" w:hAnsi="Arial" w:cs="Arial"/>
          <w:sz w:val="20"/>
          <w:szCs w:val="20"/>
        </w:rPr>
        <w:t>18</w:t>
      </w:r>
      <w:r w:rsidR="007323CF" w:rsidRPr="00FC564B">
        <w:rPr>
          <w:rFonts w:ascii="Arial" w:hAnsi="Arial" w:cs="Arial"/>
          <w:sz w:val="20"/>
          <w:szCs w:val="20"/>
        </w:rPr>
        <w:t xml:space="preserve"> billion and failed to s</w:t>
      </w:r>
      <w:r w:rsidR="00504B6E" w:rsidRPr="00FC564B">
        <w:rPr>
          <w:rFonts w:ascii="Arial" w:hAnsi="Arial" w:cs="Arial"/>
          <w:sz w:val="20"/>
          <w:szCs w:val="20"/>
        </w:rPr>
        <w:t>pen</w:t>
      </w:r>
      <w:r w:rsidR="007323CF" w:rsidRPr="00FC564B">
        <w:rPr>
          <w:rFonts w:ascii="Arial" w:hAnsi="Arial" w:cs="Arial"/>
          <w:sz w:val="20"/>
          <w:szCs w:val="20"/>
        </w:rPr>
        <w:t>d</w:t>
      </w:r>
      <w:r w:rsidR="00504B6E" w:rsidRPr="00FC564B">
        <w:rPr>
          <w:rFonts w:ascii="Arial" w:hAnsi="Arial" w:cs="Arial"/>
          <w:sz w:val="20"/>
          <w:szCs w:val="20"/>
        </w:rPr>
        <w:t xml:space="preserve"> R</w:t>
      </w:r>
      <w:r w:rsidR="00AC7019" w:rsidRPr="00FC564B">
        <w:rPr>
          <w:rFonts w:ascii="Arial" w:hAnsi="Arial" w:cs="Arial"/>
          <w:sz w:val="20"/>
          <w:szCs w:val="20"/>
        </w:rPr>
        <w:t xml:space="preserve">416 </w:t>
      </w:r>
      <w:r w:rsidR="00504B6E" w:rsidRPr="00FC564B">
        <w:rPr>
          <w:rFonts w:ascii="Arial" w:hAnsi="Arial" w:cs="Arial"/>
          <w:sz w:val="20"/>
          <w:szCs w:val="20"/>
        </w:rPr>
        <w:t>million</w:t>
      </w:r>
      <w:r w:rsidR="007323CF" w:rsidRPr="00FC564B">
        <w:rPr>
          <w:rFonts w:ascii="Arial" w:hAnsi="Arial" w:cs="Arial"/>
          <w:sz w:val="20"/>
          <w:szCs w:val="20"/>
        </w:rPr>
        <w:t>.</w:t>
      </w:r>
      <w:r w:rsidR="007149D6" w:rsidRPr="00FC564B">
        <w:rPr>
          <w:rFonts w:ascii="Arial" w:hAnsi="Arial" w:cs="Arial"/>
          <w:sz w:val="20"/>
          <w:szCs w:val="20"/>
        </w:rPr>
        <w:t xml:space="preserve"> Of the un</w:t>
      </w:r>
      <w:r w:rsidR="00A21BB4" w:rsidRPr="00FC564B">
        <w:rPr>
          <w:rFonts w:ascii="Arial" w:hAnsi="Arial" w:cs="Arial"/>
          <w:sz w:val="20"/>
          <w:szCs w:val="20"/>
        </w:rPr>
        <w:t xml:space="preserve">spent </w:t>
      </w:r>
      <w:r w:rsidR="007149D6" w:rsidRPr="00FC564B">
        <w:rPr>
          <w:rFonts w:ascii="Arial" w:hAnsi="Arial" w:cs="Arial"/>
          <w:sz w:val="20"/>
          <w:szCs w:val="20"/>
        </w:rPr>
        <w:t>amount</w:t>
      </w:r>
      <w:r w:rsidR="00A21BB4" w:rsidRPr="00FC564B">
        <w:rPr>
          <w:rFonts w:ascii="Arial" w:hAnsi="Arial" w:cs="Arial"/>
          <w:sz w:val="20"/>
          <w:szCs w:val="20"/>
        </w:rPr>
        <w:t xml:space="preserve">, R201 million </w:t>
      </w:r>
      <w:r w:rsidR="007149D6" w:rsidRPr="00FC564B">
        <w:rPr>
          <w:rFonts w:ascii="Arial" w:hAnsi="Arial" w:cs="Arial"/>
          <w:sz w:val="20"/>
          <w:szCs w:val="20"/>
        </w:rPr>
        <w:t>had been</w:t>
      </w:r>
      <w:r w:rsidR="00A21BB4" w:rsidRPr="00FC564B">
        <w:rPr>
          <w:rFonts w:ascii="Arial" w:hAnsi="Arial" w:cs="Arial"/>
          <w:sz w:val="20"/>
          <w:szCs w:val="20"/>
        </w:rPr>
        <w:t xml:space="preserve"> approved as roll</w:t>
      </w:r>
      <w:r w:rsidR="007149D6" w:rsidRPr="00FC564B">
        <w:rPr>
          <w:rFonts w:ascii="Arial" w:hAnsi="Arial" w:cs="Arial"/>
          <w:sz w:val="20"/>
          <w:szCs w:val="20"/>
        </w:rPr>
        <w:t>-</w:t>
      </w:r>
      <w:r w:rsidR="00A21BB4" w:rsidRPr="00FC564B">
        <w:rPr>
          <w:rFonts w:ascii="Arial" w:hAnsi="Arial" w:cs="Arial"/>
          <w:sz w:val="20"/>
          <w:szCs w:val="20"/>
        </w:rPr>
        <w:t xml:space="preserve">over funds. The rest of the </w:t>
      </w:r>
      <w:r w:rsidR="007149D6" w:rsidRPr="00FC564B">
        <w:rPr>
          <w:rFonts w:ascii="Arial" w:hAnsi="Arial" w:cs="Arial"/>
          <w:sz w:val="20"/>
          <w:szCs w:val="20"/>
        </w:rPr>
        <w:t>money</w:t>
      </w:r>
      <w:r w:rsidR="00A21BB4" w:rsidRPr="00FC564B">
        <w:rPr>
          <w:rFonts w:ascii="Arial" w:hAnsi="Arial" w:cs="Arial"/>
          <w:sz w:val="20"/>
          <w:szCs w:val="20"/>
        </w:rPr>
        <w:t xml:space="preserve">, R214.6 million, </w:t>
      </w:r>
      <w:r w:rsidR="007149D6" w:rsidRPr="00FC564B">
        <w:rPr>
          <w:rFonts w:ascii="Arial" w:hAnsi="Arial" w:cs="Arial"/>
          <w:sz w:val="20"/>
          <w:szCs w:val="20"/>
        </w:rPr>
        <w:t xml:space="preserve">had been </w:t>
      </w:r>
      <w:r w:rsidR="00A21BB4" w:rsidRPr="00FC564B">
        <w:rPr>
          <w:rFonts w:ascii="Arial" w:hAnsi="Arial" w:cs="Arial"/>
          <w:sz w:val="20"/>
          <w:szCs w:val="20"/>
        </w:rPr>
        <w:t xml:space="preserve">surrendered back to the National Revenue Fund. </w:t>
      </w:r>
      <w:r w:rsidR="007149D6" w:rsidRPr="00FC564B">
        <w:rPr>
          <w:rFonts w:ascii="Arial" w:hAnsi="Arial" w:cs="Arial"/>
          <w:sz w:val="20"/>
          <w:szCs w:val="20"/>
        </w:rPr>
        <w:t xml:space="preserve">The </w:t>
      </w:r>
      <w:r w:rsidR="00A21BB4" w:rsidRPr="00FC564B">
        <w:rPr>
          <w:rFonts w:ascii="Arial" w:hAnsi="Arial" w:cs="Arial"/>
          <w:sz w:val="20"/>
          <w:szCs w:val="20"/>
        </w:rPr>
        <w:t xml:space="preserve">Eastern Cape </w:t>
      </w:r>
      <w:r w:rsidR="007149D6" w:rsidRPr="00FC564B">
        <w:rPr>
          <w:rFonts w:ascii="Arial" w:hAnsi="Arial" w:cs="Arial"/>
          <w:sz w:val="20"/>
          <w:szCs w:val="20"/>
        </w:rPr>
        <w:t xml:space="preserve">had </w:t>
      </w:r>
      <w:r w:rsidR="00A21BB4" w:rsidRPr="00FC564B">
        <w:rPr>
          <w:rFonts w:ascii="Arial" w:hAnsi="Arial" w:cs="Arial"/>
          <w:sz w:val="20"/>
          <w:szCs w:val="20"/>
        </w:rPr>
        <w:t xml:space="preserve">surrendered R36.3 million; </w:t>
      </w:r>
      <w:r w:rsidR="007149D6" w:rsidRPr="00FC564B">
        <w:rPr>
          <w:rFonts w:ascii="Arial" w:hAnsi="Arial" w:cs="Arial"/>
          <w:sz w:val="20"/>
          <w:szCs w:val="20"/>
        </w:rPr>
        <w:t xml:space="preserve">the </w:t>
      </w:r>
      <w:r w:rsidR="00A21BB4" w:rsidRPr="00FC564B">
        <w:rPr>
          <w:rFonts w:ascii="Arial" w:hAnsi="Arial" w:cs="Arial"/>
          <w:sz w:val="20"/>
          <w:szCs w:val="20"/>
        </w:rPr>
        <w:t>Free State R15.5 million; Gauteng</w:t>
      </w:r>
      <w:r w:rsidR="007149D6" w:rsidRPr="00FC564B">
        <w:rPr>
          <w:rFonts w:ascii="Arial" w:hAnsi="Arial" w:cs="Arial"/>
          <w:sz w:val="20"/>
          <w:szCs w:val="20"/>
        </w:rPr>
        <w:t xml:space="preserve"> R40.9 million; KwaZulu-Natal R43.4 million; Limpopo R5.7 million; Mpumalanga </w:t>
      </w:r>
      <w:r w:rsidR="00A21BB4" w:rsidRPr="00FC564B">
        <w:rPr>
          <w:rFonts w:ascii="Arial" w:hAnsi="Arial" w:cs="Arial"/>
          <w:sz w:val="20"/>
          <w:szCs w:val="20"/>
        </w:rPr>
        <w:t xml:space="preserve">R3.1 million; </w:t>
      </w:r>
      <w:r w:rsidR="007149D6" w:rsidRPr="00FC564B">
        <w:rPr>
          <w:rFonts w:ascii="Arial" w:hAnsi="Arial" w:cs="Arial"/>
          <w:sz w:val="20"/>
          <w:szCs w:val="20"/>
        </w:rPr>
        <w:t xml:space="preserve">the </w:t>
      </w:r>
      <w:r w:rsidR="00A21BB4" w:rsidRPr="00FC564B">
        <w:rPr>
          <w:rFonts w:ascii="Arial" w:hAnsi="Arial" w:cs="Arial"/>
          <w:sz w:val="20"/>
          <w:szCs w:val="20"/>
        </w:rPr>
        <w:t>Northern Cape R</w:t>
      </w:r>
      <w:r w:rsidR="00445509" w:rsidRPr="00FC564B">
        <w:rPr>
          <w:rFonts w:ascii="Arial" w:hAnsi="Arial" w:cs="Arial"/>
          <w:sz w:val="20"/>
          <w:szCs w:val="20"/>
        </w:rPr>
        <w:t xml:space="preserve">14.1 million; and </w:t>
      </w:r>
      <w:r w:rsidR="007149D6" w:rsidRPr="00FC564B">
        <w:rPr>
          <w:rFonts w:ascii="Arial" w:hAnsi="Arial" w:cs="Arial"/>
          <w:sz w:val="20"/>
          <w:szCs w:val="20"/>
        </w:rPr>
        <w:t>the North West</w:t>
      </w:r>
      <w:r w:rsidR="00445509" w:rsidRPr="00FC564B">
        <w:rPr>
          <w:rFonts w:ascii="Arial" w:hAnsi="Arial" w:cs="Arial"/>
          <w:sz w:val="20"/>
          <w:szCs w:val="20"/>
        </w:rPr>
        <w:t xml:space="preserve"> R55.2 million.</w:t>
      </w:r>
      <w:r w:rsidR="00504B6E" w:rsidRPr="00FC564B">
        <w:rPr>
          <w:rFonts w:ascii="Arial" w:hAnsi="Arial" w:cs="Arial"/>
          <w:sz w:val="20"/>
          <w:szCs w:val="20"/>
        </w:rPr>
        <w:t xml:space="preserve"> </w:t>
      </w:r>
    </w:p>
    <w:p w:rsidR="00A21BB4" w:rsidRPr="00FC564B" w:rsidRDefault="00A21BB4" w:rsidP="00FC564B">
      <w:pPr>
        <w:ind w:left="60"/>
        <w:rPr>
          <w:rFonts w:ascii="Arial" w:hAnsi="Arial" w:cs="Arial"/>
          <w:sz w:val="20"/>
          <w:szCs w:val="20"/>
        </w:rPr>
      </w:pPr>
    </w:p>
    <w:p w:rsidR="00504B6E" w:rsidRPr="00FC564B" w:rsidRDefault="00504B6E" w:rsidP="00FC564B">
      <w:pPr>
        <w:ind w:left="60"/>
        <w:rPr>
          <w:rFonts w:ascii="Arial" w:hAnsi="Arial" w:cs="Arial"/>
          <w:sz w:val="20"/>
          <w:szCs w:val="20"/>
        </w:rPr>
      </w:pPr>
      <w:r w:rsidRPr="00FC564B">
        <w:rPr>
          <w:rFonts w:ascii="Arial" w:hAnsi="Arial" w:cs="Arial"/>
          <w:sz w:val="20"/>
          <w:szCs w:val="20"/>
        </w:rPr>
        <w:t>Table 1 below provi</w:t>
      </w:r>
      <w:r w:rsidR="007149D6" w:rsidRPr="00FC564B">
        <w:rPr>
          <w:rFonts w:ascii="Arial" w:hAnsi="Arial" w:cs="Arial"/>
          <w:sz w:val="20"/>
          <w:szCs w:val="20"/>
        </w:rPr>
        <w:t>des a breakdown of the total</w:t>
      </w:r>
      <w:r w:rsidRPr="00FC564B">
        <w:rPr>
          <w:rFonts w:ascii="Arial" w:hAnsi="Arial" w:cs="Arial"/>
          <w:sz w:val="20"/>
          <w:szCs w:val="20"/>
        </w:rPr>
        <w:t xml:space="preserve"> allocation</w:t>
      </w:r>
      <w:r w:rsidR="007149D6" w:rsidRPr="00FC564B">
        <w:rPr>
          <w:rFonts w:ascii="Arial" w:hAnsi="Arial" w:cs="Arial"/>
          <w:sz w:val="20"/>
          <w:szCs w:val="20"/>
        </w:rPr>
        <w:t xml:space="preserve"> per province</w:t>
      </w:r>
      <w:r w:rsidRPr="00FC564B">
        <w:rPr>
          <w:rFonts w:ascii="Arial" w:hAnsi="Arial" w:cs="Arial"/>
          <w:sz w:val="20"/>
          <w:szCs w:val="20"/>
        </w:rPr>
        <w:t>.</w:t>
      </w:r>
    </w:p>
    <w:p w:rsidR="00A21BB4" w:rsidRPr="00FC564B" w:rsidRDefault="00A21BB4" w:rsidP="00FC564B">
      <w:pPr>
        <w:ind w:left="60"/>
        <w:rPr>
          <w:rFonts w:ascii="Arial" w:hAnsi="Arial" w:cs="Arial"/>
          <w:sz w:val="20"/>
          <w:szCs w:val="20"/>
        </w:rPr>
      </w:pPr>
    </w:p>
    <w:p w:rsidR="00C1738A" w:rsidRPr="00FC564B" w:rsidRDefault="00504B6E" w:rsidP="00FC564B">
      <w:pPr>
        <w:rPr>
          <w:rFonts w:ascii="Arial" w:hAnsi="Arial" w:cs="Arial"/>
          <w:sz w:val="20"/>
          <w:szCs w:val="20"/>
        </w:rPr>
      </w:pPr>
      <w:r w:rsidRPr="00FC564B">
        <w:rPr>
          <w:rFonts w:ascii="Arial" w:hAnsi="Arial" w:cs="Arial"/>
          <w:sz w:val="20"/>
          <w:szCs w:val="20"/>
        </w:rPr>
        <w:t>Table 1: ECD Grant allocation in the 2021/22 Financial Year.</w:t>
      </w:r>
    </w:p>
    <w:tbl>
      <w:tblPr>
        <w:tblStyle w:val="TableGrid"/>
        <w:tblW w:w="0" w:type="auto"/>
        <w:tblLook w:val="04A0"/>
      </w:tblPr>
      <w:tblGrid>
        <w:gridCol w:w="2005"/>
        <w:gridCol w:w="1807"/>
        <w:gridCol w:w="1863"/>
        <w:gridCol w:w="1478"/>
        <w:gridCol w:w="1863"/>
      </w:tblGrid>
      <w:tr w:rsidR="00AC7019" w:rsidRPr="00FC564B" w:rsidTr="00AC7019">
        <w:tc>
          <w:tcPr>
            <w:tcW w:w="2005" w:type="dxa"/>
          </w:tcPr>
          <w:p w:rsidR="00AC7019" w:rsidRPr="00FC564B" w:rsidRDefault="00AC7019" w:rsidP="00FC564B">
            <w:pPr>
              <w:rPr>
                <w:rFonts w:ascii="Arial" w:hAnsi="Arial" w:cs="Arial"/>
                <w:b/>
                <w:sz w:val="20"/>
                <w:szCs w:val="20"/>
              </w:rPr>
            </w:pPr>
            <w:r w:rsidRPr="00FC564B">
              <w:rPr>
                <w:rFonts w:ascii="Arial" w:hAnsi="Arial" w:cs="Arial"/>
                <w:b/>
                <w:sz w:val="20"/>
                <w:szCs w:val="20"/>
              </w:rPr>
              <w:t>Provinces</w:t>
            </w:r>
          </w:p>
        </w:tc>
        <w:tc>
          <w:tcPr>
            <w:tcW w:w="1807" w:type="dxa"/>
          </w:tcPr>
          <w:p w:rsidR="00AC7019" w:rsidRPr="00FC564B" w:rsidRDefault="00AC7019" w:rsidP="00FC564B">
            <w:pPr>
              <w:rPr>
                <w:rFonts w:ascii="Arial" w:hAnsi="Arial" w:cs="Arial"/>
                <w:b/>
                <w:sz w:val="20"/>
                <w:szCs w:val="20"/>
              </w:rPr>
            </w:pPr>
            <w:r w:rsidRPr="00FC564B">
              <w:rPr>
                <w:rFonts w:ascii="Arial" w:hAnsi="Arial" w:cs="Arial"/>
                <w:b/>
                <w:sz w:val="20"/>
                <w:szCs w:val="20"/>
              </w:rPr>
              <w:t xml:space="preserve">2021/22 FY Budget </w:t>
            </w:r>
          </w:p>
          <w:p w:rsidR="00AC7019" w:rsidRPr="00FC564B" w:rsidRDefault="00AC7019" w:rsidP="00FC564B">
            <w:pPr>
              <w:rPr>
                <w:rFonts w:ascii="Arial" w:hAnsi="Arial" w:cs="Arial"/>
                <w:b/>
                <w:sz w:val="20"/>
                <w:szCs w:val="20"/>
              </w:rPr>
            </w:pPr>
          </w:p>
          <w:p w:rsidR="00AC7019" w:rsidRPr="00FC564B" w:rsidRDefault="00AC7019" w:rsidP="00FC564B">
            <w:pPr>
              <w:rPr>
                <w:rFonts w:ascii="Arial" w:hAnsi="Arial" w:cs="Arial"/>
                <w:b/>
                <w:sz w:val="20"/>
                <w:szCs w:val="20"/>
              </w:rPr>
            </w:pPr>
            <w:r w:rsidRPr="00FC564B">
              <w:rPr>
                <w:rFonts w:ascii="Arial" w:hAnsi="Arial" w:cs="Arial"/>
                <w:b/>
                <w:sz w:val="20"/>
                <w:szCs w:val="20"/>
              </w:rPr>
              <w:lastRenderedPageBreak/>
              <w:t>R’000</w:t>
            </w:r>
          </w:p>
        </w:tc>
        <w:tc>
          <w:tcPr>
            <w:tcW w:w="1863" w:type="dxa"/>
          </w:tcPr>
          <w:p w:rsidR="00AC7019" w:rsidRPr="00FC564B" w:rsidRDefault="00AC7019" w:rsidP="00FC564B">
            <w:pPr>
              <w:rPr>
                <w:rFonts w:ascii="Arial" w:hAnsi="Arial" w:cs="Arial"/>
                <w:b/>
                <w:sz w:val="20"/>
                <w:szCs w:val="20"/>
              </w:rPr>
            </w:pPr>
            <w:r w:rsidRPr="00FC564B">
              <w:rPr>
                <w:rFonts w:ascii="Arial" w:hAnsi="Arial" w:cs="Arial"/>
                <w:b/>
                <w:sz w:val="20"/>
                <w:szCs w:val="20"/>
              </w:rPr>
              <w:lastRenderedPageBreak/>
              <w:t>2021/22 ECD Stimulus Funds</w:t>
            </w:r>
          </w:p>
          <w:p w:rsidR="00AC7019" w:rsidRPr="00FC564B" w:rsidRDefault="00AC7019" w:rsidP="00FC564B">
            <w:pPr>
              <w:rPr>
                <w:rFonts w:ascii="Arial" w:hAnsi="Arial" w:cs="Arial"/>
                <w:b/>
                <w:sz w:val="20"/>
                <w:szCs w:val="20"/>
              </w:rPr>
            </w:pPr>
            <w:r w:rsidRPr="00FC564B">
              <w:rPr>
                <w:rFonts w:ascii="Arial" w:hAnsi="Arial" w:cs="Arial"/>
                <w:b/>
                <w:sz w:val="20"/>
                <w:szCs w:val="20"/>
              </w:rPr>
              <w:t>R’000</w:t>
            </w:r>
          </w:p>
        </w:tc>
        <w:tc>
          <w:tcPr>
            <w:tcW w:w="1478" w:type="dxa"/>
          </w:tcPr>
          <w:p w:rsidR="00AC7019" w:rsidRPr="00FC564B" w:rsidRDefault="00AC7019" w:rsidP="00FC564B">
            <w:pPr>
              <w:rPr>
                <w:rFonts w:ascii="Arial" w:hAnsi="Arial" w:cs="Arial"/>
                <w:b/>
                <w:sz w:val="20"/>
                <w:szCs w:val="20"/>
              </w:rPr>
            </w:pPr>
            <w:r w:rsidRPr="00FC564B">
              <w:rPr>
                <w:rFonts w:ascii="Arial" w:hAnsi="Arial" w:cs="Arial"/>
                <w:b/>
                <w:sz w:val="20"/>
                <w:szCs w:val="20"/>
              </w:rPr>
              <w:t>Roll-over funds</w:t>
            </w:r>
          </w:p>
          <w:p w:rsidR="00AC7019" w:rsidRPr="00FC564B" w:rsidRDefault="00AC7019" w:rsidP="00FC564B">
            <w:pPr>
              <w:rPr>
                <w:rFonts w:ascii="Arial" w:hAnsi="Arial" w:cs="Arial"/>
                <w:b/>
                <w:sz w:val="20"/>
                <w:szCs w:val="20"/>
              </w:rPr>
            </w:pPr>
          </w:p>
          <w:p w:rsidR="00AC7019" w:rsidRPr="00FC564B" w:rsidRDefault="00AC7019" w:rsidP="00FC564B">
            <w:pPr>
              <w:rPr>
                <w:rFonts w:ascii="Arial" w:hAnsi="Arial" w:cs="Arial"/>
                <w:b/>
                <w:sz w:val="20"/>
                <w:szCs w:val="20"/>
              </w:rPr>
            </w:pPr>
            <w:r w:rsidRPr="00FC564B">
              <w:rPr>
                <w:rFonts w:ascii="Arial" w:hAnsi="Arial" w:cs="Arial"/>
                <w:b/>
                <w:sz w:val="20"/>
                <w:szCs w:val="20"/>
              </w:rPr>
              <w:lastRenderedPageBreak/>
              <w:t>R’000</w:t>
            </w:r>
          </w:p>
        </w:tc>
        <w:tc>
          <w:tcPr>
            <w:tcW w:w="1863" w:type="dxa"/>
          </w:tcPr>
          <w:p w:rsidR="00AC7019" w:rsidRPr="00FC564B" w:rsidRDefault="00AC7019" w:rsidP="00FC564B">
            <w:pPr>
              <w:rPr>
                <w:rFonts w:ascii="Arial" w:hAnsi="Arial" w:cs="Arial"/>
                <w:b/>
                <w:sz w:val="20"/>
                <w:szCs w:val="20"/>
              </w:rPr>
            </w:pPr>
            <w:r w:rsidRPr="00FC564B">
              <w:rPr>
                <w:rFonts w:ascii="Arial" w:hAnsi="Arial" w:cs="Arial"/>
                <w:b/>
                <w:sz w:val="20"/>
                <w:szCs w:val="20"/>
              </w:rPr>
              <w:lastRenderedPageBreak/>
              <w:t>Total Budget per Province</w:t>
            </w:r>
          </w:p>
          <w:p w:rsidR="00AC7019" w:rsidRPr="00FC564B" w:rsidRDefault="00AC7019" w:rsidP="00FC564B">
            <w:pPr>
              <w:rPr>
                <w:rFonts w:ascii="Arial" w:hAnsi="Arial" w:cs="Arial"/>
                <w:b/>
                <w:sz w:val="20"/>
                <w:szCs w:val="20"/>
              </w:rPr>
            </w:pPr>
            <w:r w:rsidRPr="00FC564B">
              <w:rPr>
                <w:rFonts w:ascii="Arial" w:hAnsi="Arial" w:cs="Arial"/>
                <w:b/>
                <w:sz w:val="20"/>
                <w:szCs w:val="20"/>
              </w:rPr>
              <w:t>R’000</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lastRenderedPageBreak/>
              <w:t>Eastern Cape</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157 970</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26 611</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60 270</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244 851</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Free State</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63 533</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10 702</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37 336</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111 571</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Gauteng</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152 107</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25 623</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77 763</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255 493</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KwaZulu-Natal</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227 031</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38 245</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85 185</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350 461</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Limpopo</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143 443</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24 164</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46 589</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214 196</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Mpumalanga</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96 251</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16 214</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38 196</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150 661</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Northern Cape</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25 302</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4 262</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9 519</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39 083</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North West</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88 751</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14 951</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28 795</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132 497</w:t>
            </w:r>
          </w:p>
        </w:tc>
      </w:tr>
      <w:tr w:rsidR="00AC7019" w:rsidRPr="00FC564B" w:rsidTr="00AC7019">
        <w:tc>
          <w:tcPr>
            <w:tcW w:w="2005" w:type="dxa"/>
          </w:tcPr>
          <w:p w:rsidR="00AC7019" w:rsidRPr="00FC564B" w:rsidRDefault="00AC7019" w:rsidP="00FC564B">
            <w:pPr>
              <w:rPr>
                <w:rFonts w:ascii="Arial" w:hAnsi="Arial" w:cs="Arial"/>
                <w:sz w:val="20"/>
                <w:szCs w:val="20"/>
              </w:rPr>
            </w:pPr>
            <w:r w:rsidRPr="00FC564B">
              <w:rPr>
                <w:rFonts w:ascii="Arial" w:hAnsi="Arial" w:cs="Arial"/>
                <w:sz w:val="20"/>
                <w:szCs w:val="20"/>
              </w:rPr>
              <w:t>Western Cape</w:t>
            </w:r>
          </w:p>
        </w:tc>
        <w:tc>
          <w:tcPr>
            <w:tcW w:w="1807" w:type="dxa"/>
          </w:tcPr>
          <w:p w:rsidR="00AC7019" w:rsidRPr="00FC564B" w:rsidRDefault="00AC7019" w:rsidP="00FC564B">
            <w:pPr>
              <w:rPr>
                <w:rFonts w:ascii="Arial" w:hAnsi="Arial" w:cs="Arial"/>
                <w:sz w:val="20"/>
                <w:szCs w:val="20"/>
              </w:rPr>
            </w:pPr>
            <w:r w:rsidRPr="00FC564B">
              <w:rPr>
                <w:rFonts w:ascii="Arial" w:hAnsi="Arial" w:cs="Arial"/>
                <w:sz w:val="20"/>
                <w:szCs w:val="20"/>
              </w:rPr>
              <w:t>102 273</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17 228</w:t>
            </w:r>
          </w:p>
        </w:tc>
        <w:tc>
          <w:tcPr>
            <w:tcW w:w="1478" w:type="dxa"/>
          </w:tcPr>
          <w:p w:rsidR="00AC7019" w:rsidRPr="00FC564B" w:rsidRDefault="00AC7019" w:rsidP="00FC564B">
            <w:pPr>
              <w:rPr>
                <w:rFonts w:ascii="Arial" w:hAnsi="Arial" w:cs="Arial"/>
                <w:sz w:val="20"/>
                <w:szCs w:val="20"/>
              </w:rPr>
            </w:pPr>
            <w:r w:rsidRPr="00FC564B">
              <w:rPr>
                <w:rFonts w:ascii="Arial" w:hAnsi="Arial" w:cs="Arial"/>
                <w:sz w:val="20"/>
                <w:szCs w:val="20"/>
              </w:rPr>
              <w:t>2 005</w:t>
            </w:r>
          </w:p>
        </w:tc>
        <w:tc>
          <w:tcPr>
            <w:tcW w:w="1863" w:type="dxa"/>
          </w:tcPr>
          <w:p w:rsidR="00AC7019" w:rsidRPr="00FC564B" w:rsidRDefault="00AC7019" w:rsidP="00FC564B">
            <w:pPr>
              <w:rPr>
                <w:rFonts w:ascii="Arial" w:hAnsi="Arial" w:cs="Arial"/>
                <w:sz w:val="20"/>
                <w:szCs w:val="20"/>
              </w:rPr>
            </w:pPr>
            <w:r w:rsidRPr="00FC564B">
              <w:rPr>
                <w:rFonts w:ascii="Arial" w:hAnsi="Arial" w:cs="Arial"/>
                <w:sz w:val="20"/>
                <w:szCs w:val="20"/>
              </w:rPr>
              <w:t>121 506</w:t>
            </w:r>
          </w:p>
        </w:tc>
      </w:tr>
      <w:tr w:rsidR="00AC7019" w:rsidRPr="00FC564B" w:rsidTr="00AC7019">
        <w:tc>
          <w:tcPr>
            <w:tcW w:w="2005" w:type="dxa"/>
          </w:tcPr>
          <w:p w:rsidR="00AC7019" w:rsidRPr="00FC564B" w:rsidRDefault="00AC7019" w:rsidP="00FC564B">
            <w:pPr>
              <w:rPr>
                <w:rFonts w:ascii="Arial" w:hAnsi="Arial" w:cs="Arial"/>
                <w:b/>
                <w:sz w:val="20"/>
                <w:szCs w:val="20"/>
              </w:rPr>
            </w:pPr>
            <w:r w:rsidRPr="00FC564B">
              <w:rPr>
                <w:rFonts w:ascii="Arial" w:hAnsi="Arial" w:cs="Arial"/>
                <w:b/>
                <w:sz w:val="20"/>
                <w:szCs w:val="20"/>
              </w:rPr>
              <w:t>Total</w:t>
            </w:r>
          </w:p>
        </w:tc>
        <w:tc>
          <w:tcPr>
            <w:tcW w:w="1807" w:type="dxa"/>
          </w:tcPr>
          <w:p w:rsidR="00AC7019" w:rsidRPr="00FC564B" w:rsidRDefault="00AC7019" w:rsidP="00FC564B">
            <w:pPr>
              <w:rPr>
                <w:rFonts w:ascii="Arial" w:hAnsi="Arial" w:cs="Arial"/>
                <w:b/>
                <w:sz w:val="20"/>
                <w:szCs w:val="20"/>
              </w:rPr>
            </w:pPr>
            <w:r w:rsidRPr="00FC564B">
              <w:rPr>
                <w:rFonts w:ascii="Arial" w:hAnsi="Arial" w:cs="Arial"/>
                <w:b/>
                <w:sz w:val="20"/>
                <w:szCs w:val="20"/>
              </w:rPr>
              <w:t>1 056 661</w:t>
            </w:r>
          </w:p>
        </w:tc>
        <w:tc>
          <w:tcPr>
            <w:tcW w:w="1863" w:type="dxa"/>
          </w:tcPr>
          <w:p w:rsidR="00AC7019" w:rsidRPr="00FC564B" w:rsidRDefault="00AC7019" w:rsidP="00FC564B">
            <w:pPr>
              <w:rPr>
                <w:rFonts w:ascii="Arial" w:hAnsi="Arial" w:cs="Arial"/>
                <w:b/>
                <w:sz w:val="20"/>
                <w:szCs w:val="20"/>
              </w:rPr>
            </w:pPr>
            <w:r w:rsidRPr="00FC564B">
              <w:rPr>
                <w:rFonts w:ascii="Arial" w:hAnsi="Arial" w:cs="Arial"/>
                <w:b/>
                <w:sz w:val="20"/>
                <w:szCs w:val="20"/>
              </w:rPr>
              <w:t>178 000</w:t>
            </w:r>
          </w:p>
        </w:tc>
        <w:tc>
          <w:tcPr>
            <w:tcW w:w="1478" w:type="dxa"/>
          </w:tcPr>
          <w:p w:rsidR="00AC7019" w:rsidRPr="00FC564B" w:rsidRDefault="00AC7019" w:rsidP="00FC564B">
            <w:pPr>
              <w:rPr>
                <w:rFonts w:ascii="Arial" w:hAnsi="Arial" w:cs="Arial"/>
                <w:b/>
                <w:sz w:val="20"/>
                <w:szCs w:val="20"/>
              </w:rPr>
            </w:pPr>
            <w:r w:rsidRPr="00FC564B">
              <w:rPr>
                <w:rFonts w:ascii="Arial" w:hAnsi="Arial" w:cs="Arial"/>
                <w:b/>
                <w:sz w:val="20"/>
                <w:szCs w:val="20"/>
              </w:rPr>
              <w:t>385 658</w:t>
            </w:r>
          </w:p>
        </w:tc>
        <w:tc>
          <w:tcPr>
            <w:tcW w:w="1863" w:type="dxa"/>
          </w:tcPr>
          <w:p w:rsidR="00AC7019" w:rsidRPr="00FC564B" w:rsidRDefault="00AC7019" w:rsidP="00FC564B">
            <w:pPr>
              <w:rPr>
                <w:rFonts w:ascii="Arial" w:hAnsi="Arial" w:cs="Arial"/>
                <w:b/>
                <w:sz w:val="20"/>
                <w:szCs w:val="20"/>
              </w:rPr>
            </w:pPr>
            <w:r w:rsidRPr="00FC564B">
              <w:rPr>
                <w:rFonts w:ascii="Arial" w:hAnsi="Arial" w:cs="Arial"/>
                <w:b/>
                <w:sz w:val="20"/>
                <w:szCs w:val="20"/>
              </w:rPr>
              <w:t>1 620 319</w:t>
            </w:r>
          </w:p>
        </w:tc>
      </w:tr>
    </w:tbl>
    <w:p w:rsidR="00C1738A" w:rsidRPr="00FC564B" w:rsidRDefault="00C1738A" w:rsidP="00FC564B">
      <w:pPr>
        <w:rPr>
          <w:rFonts w:ascii="Arial" w:hAnsi="Arial" w:cs="Arial"/>
          <w:sz w:val="20"/>
          <w:szCs w:val="20"/>
        </w:rPr>
      </w:pPr>
    </w:p>
    <w:p w:rsidR="00445509" w:rsidRPr="00FC564B" w:rsidRDefault="00445509" w:rsidP="00FC564B">
      <w:pPr>
        <w:rPr>
          <w:rFonts w:ascii="Arial" w:hAnsi="Arial" w:cs="Arial"/>
          <w:sz w:val="20"/>
          <w:szCs w:val="20"/>
        </w:rPr>
      </w:pPr>
      <w:r w:rsidRPr="00FC564B">
        <w:rPr>
          <w:rFonts w:ascii="Arial" w:hAnsi="Arial" w:cs="Arial"/>
          <w:sz w:val="20"/>
          <w:szCs w:val="20"/>
        </w:rPr>
        <w:t xml:space="preserve">In terms of non-financial performance, National Treasury reported that the ECD </w:t>
      </w:r>
      <w:r w:rsidR="007149D6" w:rsidRPr="00FC564B">
        <w:rPr>
          <w:rFonts w:ascii="Arial" w:hAnsi="Arial" w:cs="Arial"/>
          <w:sz w:val="20"/>
          <w:szCs w:val="20"/>
        </w:rPr>
        <w:t>G</w:t>
      </w:r>
      <w:r w:rsidRPr="00FC564B">
        <w:rPr>
          <w:rFonts w:ascii="Arial" w:hAnsi="Arial" w:cs="Arial"/>
          <w:sz w:val="20"/>
          <w:szCs w:val="20"/>
        </w:rPr>
        <w:t xml:space="preserve">rant </w:t>
      </w:r>
      <w:r w:rsidR="007149D6" w:rsidRPr="00FC564B">
        <w:rPr>
          <w:rFonts w:ascii="Arial" w:hAnsi="Arial" w:cs="Arial"/>
          <w:sz w:val="20"/>
          <w:szCs w:val="20"/>
        </w:rPr>
        <w:t xml:space="preserve">had </w:t>
      </w:r>
      <w:r w:rsidRPr="00FC564B">
        <w:rPr>
          <w:rFonts w:ascii="Arial" w:hAnsi="Arial" w:cs="Arial"/>
          <w:sz w:val="20"/>
          <w:szCs w:val="20"/>
        </w:rPr>
        <w:t>performed fairly well. However, the following challenges</w:t>
      </w:r>
      <w:r w:rsidR="007149D6" w:rsidRPr="00FC564B">
        <w:rPr>
          <w:rFonts w:ascii="Arial" w:hAnsi="Arial" w:cs="Arial"/>
          <w:sz w:val="20"/>
          <w:szCs w:val="20"/>
        </w:rPr>
        <w:t xml:space="preserve"> had been experienced</w:t>
      </w:r>
      <w:r w:rsidRPr="00FC564B">
        <w:rPr>
          <w:rFonts w:ascii="Arial" w:hAnsi="Arial" w:cs="Arial"/>
          <w:sz w:val="20"/>
          <w:szCs w:val="20"/>
        </w:rPr>
        <w:t>:</w:t>
      </w:r>
    </w:p>
    <w:p w:rsidR="00A21BB4" w:rsidRPr="00FC564B" w:rsidRDefault="00445509" w:rsidP="00FC564B">
      <w:pPr>
        <w:pStyle w:val="ListParagraph"/>
        <w:numPr>
          <w:ilvl w:val="0"/>
          <w:numId w:val="4"/>
        </w:numPr>
        <w:rPr>
          <w:rFonts w:ascii="Arial" w:hAnsi="Arial" w:cs="Arial"/>
          <w:sz w:val="20"/>
          <w:szCs w:val="20"/>
        </w:rPr>
      </w:pPr>
      <w:r w:rsidRPr="00FC564B">
        <w:rPr>
          <w:rFonts w:ascii="Arial" w:hAnsi="Arial" w:cs="Arial"/>
          <w:sz w:val="20"/>
          <w:szCs w:val="20"/>
        </w:rPr>
        <w:t xml:space="preserve">Verification of beneficiaries for the Presidential Employment initiative </w:t>
      </w:r>
      <w:r w:rsidR="00D35A0D" w:rsidRPr="00FC564B">
        <w:rPr>
          <w:rFonts w:ascii="Arial" w:hAnsi="Arial" w:cs="Arial"/>
          <w:sz w:val="20"/>
          <w:szCs w:val="20"/>
        </w:rPr>
        <w:t>had</w:t>
      </w:r>
      <w:r w:rsidRPr="00FC564B">
        <w:rPr>
          <w:rFonts w:ascii="Arial" w:hAnsi="Arial" w:cs="Arial"/>
          <w:sz w:val="20"/>
          <w:szCs w:val="20"/>
        </w:rPr>
        <w:t xml:space="preserve"> not </w:t>
      </w:r>
      <w:r w:rsidR="00D35A0D" w:rsidRPr="00FC564B">
        <w:rPr>
          <w:rFonts w:ascii="Arial" w:hAnsi="Arial" w:cs="Arial"/>
          <w:sz w:val="20"/>
          <w:szCs w:val="20"/>
        </w:rPr>
        <w:t>been completed. Many had</w:t>
      </w:r>
      <w:r w:rsidRPr="00FC564B">
        <w:rPr>
          <w:rFonts w:ascii="Arial" w:hAnsi="Arial" w:cs="Arial"/>
          <w:sz w:val="20"/>
          <w:szCs w:val="20"/>
        </w:rPr>
        <w:t xml:space="preserve"> not </w:t>
      </w:r>
      <w:r w:rsidR="00D35A0D" w:rsidRPr="00FC564B">
        <w:rPr>
          <w:rFonts w:ascii="Arial" w:hAnsi="Arial" w:cs="Arial"/>
          <w:sz w:val="20"/>
          <w:szCs w:val="20"/>
        </w:rPr>
        <w:t xml:space="preserve">been </w:t>
      </w:r>
      <w:r w:rsidRPr="00FC564B">
        <w:rPr>
          <w:rFonts w:ascii="Arial" w:hAnsi="Arial" w:cs="Arial"/>
          <w:sz w:val="20"/>
          <w:szCs w:val="20"/>
        </w:rPr>
        <w:t>finalised because of outstanding inform</w:t>
      </w:r>
      <w:r w:rsidR="00D35A0D" w:rsidRPr="00FC564B">
        <w:rPr>
          <w:rFonts w:ascii="Arial" w:hAnsi="Arial" w:cs="Arial"/>
          <w:sz w:val="20"/>
          <w:szCs w:val="20"/>
        </w:rPr>
        <w:t xml:space="preserve">ation </w:t>
      </w:r>
      <w:r w:rsidRPr="00FC564B">
        <w:rPr>
          <w:rFonts w:ascii="Arial" w:hAnsi="Arial" w:cs="Arial"/>
          <w:sz w:val="20"/>
          <w:szCs w:val="20"/>
        </w:rPr>
        <w:t xml:space="preserve">not </w:t>
      </w:r>
      <w:r w:rsidR="00D35A0D" w:rsidRPr="00FC564B">
        <w:rPr>
          <w:rFonts w:ascii="Arial" w:hAnsi="Arial" w:cs="Arial"/>
          <w:sz w:val="20"/>
          <w:szCs w:val="20"/>
        </w:rPr>
        <w:t xml:space="preserve">being </w:t>
      </w:r>
      <w:r w:rsidRPr="00FC564B">
        <w:rPr>
          <w:rFonts w:ascii="Arial" w:hAnsi="Arial" w:cs="Arial"/>
          <w:sz w:val="20"/>
          <w:szCs w:val="20"/>
        </w:rPr>
        <w:t>provided by the end of the financial year.</w:t>
      </w:r>
    </w:p>
    <w:p w:rsidR="00445509" w:rsidRPr="00FC564B" w:rsidRDefault="00C31B1E" w:rsidP="00FC564B">
      <w:pPr>
        <w:pStyle w:val="ListParagraph"/>
        <w:numPr>
          <w:ilvl w:val="0"/>
          <w:numId w:val="4"/>
        </w:numPr>
        <w:rPr>
          <w:rFonts w:ascii="Arial" w:hAnsi="Arial" w:cs="Arial"/>
          <w:sz w:val="20"/>
          <w:szCs w:val="20"/>
        </w:rPr>
      </w:pPr>
      <w:r w:rsidRPr="00FC564B">
        <w:rPr>
          <w:rFonts w:ascii="Arial" w:hAnsi="Arial" w:cs="Arial"/>
          <w:sz w:val="20"/>
          <w:szCs w:val="20"/>
        </w:rPr>
        <w:t>With regard to m</w:t>
      </w:r>
      <w:r w:rsidR="00445509" w:rsidRPr="00FC564B">
        <w:rPr>
          <w:rFonts w:ascii="Arial" w:hAnsi="Arial" w:cs="Arial"/>
          <w:sz w:val="20"/>
          <w:szCs w:val="20"/>
        </w:rPr>
        <w:t>aintenance</w:t>
      </w:r>
      <w:r w:rsidRPr="00FC564B">
        <w:rPr>
          <w:rFonts w:ascii="Arial" w:hAnsi="Arial" w:cs="Arial"/>
          <w:sz w:val="20"/>
          <w:szCs w:val="20"/>
        </w:rPr>
        <w:t xml:space="preserve"> there had been </w:t>
      </w:r>
      <w:r w:rsidR="00445509" w:rsidRPr="00FC564B">
        <w:rPr>
          <w:rFonts w:ascii="Arial" w:hAnsi="Arial" w:cs="Arial"/>
          <w:sz w:val="20"/>
          <w:szCs w:val="20"/>
        </w:rPr>
        <w:t>de</w:t>
      </w:r>
      <w:r w:rsidRPr="00FC564B">
        <w:rPr>
          <w:rFonts w:ascii="Arial" w:hAnsi="Arial" w:cs="Arial"/>
          <w:sz w:val="20"/>
          <w:szCs w:val="20"/>
        </w:rPr>
        <w:t>lays in the procurement process;</w:t>
      </w:r>
      <w:r w:rsidR="00445509" w:rsidRPr="00FC564B">
        <w:rPr>
          <w:rFonts w:ascii="Arial" w:hAnsi="Arial" w:cs="Arial"/>
          <w:sz w:val="20"/>
          <w:szCs w:val="20"/>
        </w:rPr>
        <w:t xml:space="preserve"> slow delivery by implementing agents and municipal delays in securing land for construction of new centres.</w:t>
      </w:r>
    </w:p>
    <w:p w:rsidR="00445509" w:rsidRPr="00FC564B" w:rsidRDefault="00445509" w:rsidP="00FC564B">
      <w:pPr>
        <w:pStyle w:val="ListParagraph"/>
        <w:numPr>
          <w:ilvl w:val="0"/>
          <w:numId w:val="4"/>
        </w:numPr>
        <w:rPr>
          <w:rFonts w:ascii="Arial" w:hAnsi="Arial" w:cs="Arial"/>
          <w:sz w:val="20"/>
          <w:szCs w:val="20"/>
        </w:rPr>
      </w:pPr>
      <w:r w:rsidRPr="00FC564B">
        <w:rPr>
          <w:rFonts w:ascii="Arial" w:hAnsi="Arial" w:cs="Arial"/>
          <w:sz w:val="20"/>
          <w:szCs w:val="20"/>
        </w:rPr>
        <w:t xml:space="preserve">Late submission of claims by </w:t>
      </w:r>
      <w:r w:rsidR="00C31B1E" w:rsidRPr="00FC564B">
        <w:rPr>
          <w:rFonts w:ascii="Arial" w:hAnsi="Arial" w:cs="Arial"/>
          <w:sz w:val="20"/>
          <w:szCs w:val="20"/>
        </w:rPr>
        <w:t>n</w:t>
      </w:r>
      <w:r w:rsidRPr="00FC564B">
        <w:rPr>
          <w:rFonts w:ascii="Arial" w:hAnsi="Arial" w:cs="Arial"/>
          <w:sz w:val="20"/>
          <w:szCs w:val="20"/>
        </w:rPr>
        <w:t>on</w:t>
      </w:r>
      <w:r w:rsidR="00C31B1E" w:rsidRPr="00FC564B">
        <w:rPr>
          <w:rFonts w:ascii="Arial" w:hAnsi="Arial" w:cs="Arial"/>
          <w:sz w:val="20"/>
          <w:szCs w:val="20"/>
        </w:rPr>
        <w:t>-</w:t>
      </w:r>
      <w:r w:rsidRPr="00FC564B">
        <w:rPr>
          <w:rFonts w:ascii="Arial" w:hAnsi="Arial" w:cs="Arial"/>
          <w:sz w:val="20"/>
          <w:szCs w:val="20"/>
        </w:rPr>
        <w:t xml:space="preserve">profit organisations (NPOs) </w:t>
      </w:r>
      <w:r w:rsidR="00C31B1E" w:rsidRPr="00FC564B">
        <w:rPr>
          <w:rFonts w:ascii="Arial" w:hAnsi="Arial" w:cs="Arial"/>
          <w:sz w:val="20"/>
          <w:szCs w:val="20"/>
        </w:rPr>
        <w:t>had caused</w:t>
      </w:r>
      <w:r w:rsidRPr="00FC564B">
        <w:rPr>
          <w:rFonts w:ascii="Arial" w:hAnsi="Arial" w:cs="Arial"/>
          <w:sz w:val="20"/>
          <w:szCs w:val="20"/>
        </w:rPr>
        <w:t xml:space="preserve"> a delay in transfers. </w:t>
      </w:r>
    </w:p>
    <w:p w:rsidR="00A21BB4" w:rsidRPr="00FC564B" w:rsidRDefault="00A21BB4" w:rsidP="00FC564B">
      <w:pPr>
        <w:rPr>
          <w:rFonts w:ascii="Arial" w:hAnsi="Arial" w:cs="Arial"/>
          <w:sz w:val="20"/>
          <w:szCs w:val="20"/>
        </w:rPr>
      </w:pPr>
    </w:p>
    <w:p w:rsidR="00FD171D" w:rsidRPr="00FC564B" w:rsidRDefault="00FD171D" w:rsidP="00FC564B">
      <w:pPr>
        <w:rPr>
          <w:rFonts w:ascii="Arial" w:hAnsi="Arial" w:cs="Arial"/>
          <w:b/>
          <w:sz w:val="20"/>
          <w:szCs w:val="20"/>
        </w:rPr>
      </w:pPr>
      <w:r w:rsidRPr="00FC564B">
        <w:rPr>
          <w:rFonts w:ascii="Arial" w:hAnsi="Arial" w:cs="Arial"/>
          <w:b/>
          <w:sz w:val="20"/>
          <w:szCs w:val="20"/>
        </w:rPr>
        <w:t>5. Department of Social Development</w:t>
      </w:r>
    </w:p>
    <w:p w:rsidR="00FD171D" w:rsidRPr="00FC564B" w:rsidRDefault="00FD171D" w:rsidP="00FC564B">
      <w:pPr>
        <w:rPr>
          <w:rFonts w:ascii="Arial" w:hAnsi="Arial" w:cs="Arial"/>
          <w:sz w:val="20"/>
          <w:szCs w:val="20"/>
        </w:rPr>
      </w:pPr>
      <w:r w:rsidRPr="00FC564B">
        <w:rPr>
          <w:rFonts w:ascii="Arial" w:hAnsi="Arial" w:cs="Arial"/>
          <w:sz w:val="20"/>
          <w:szCs w:val="20"/>
        </w:rPr>
        <w:t>The Department of Social Development (DSD) reported that</w:t>
      </w:r>
      <w:r w:rsidR="00FA2C0C" w:rsidRPr="00FC564B">
        <w:rPr>
          <w:rFonts w:ascii="Arial" w:hAnsi="Arial" w:cs="Arial"/>
          <w:sz w:val="20"/>
          <w:szCs w:val="20"/>
        </w:rPr>
        <w:t xml:space="preserve"> the key conditions of the Grant we</w:t>
      </w:r>
      <w:r w:rsidRPr="00FC564B">
        <w:rPr>
          <w:rFonts w:ascii="Arial" w:hAnsi="Arial" w:cs="Arial"/>
          <w:sz w:val="20"/>
          <w:szCs w:val="20"/>
        </w:rPr>
        <w:t xml:space="preserve">re centred around </w:t>
      </w:r>
      <w:r w:rsidR="00BD724E" w:rsidRPr="00FC564B">
        <w:rPr>
          <w:rFonts w:ascii="Arial" w:hAnsi="Arial" w:cs="Arial"/>
          <w:sz w:val="20"/>
          <w:szCs w:val="20"/>
        </w:rPr>
        <w:t xml:space="preserve">providing subsidy through </w:t>
      </w:r>
      <w:r w:rsidRPr="00FC564B">
        <w:rPr>
          <w:rFonts w:ascii="Arial" w:hAnsi="Arial" w:cs="Arial"/>
          <w:sz w:val="20"/>
          <w:szCs w:val="20"/>
        </w:rPr>
        <w:t>assisti</w:t>
      </w:r>
      <w:r w:rsidR="00CB25AC" w:rsidRPr="00FC564B">
        <w:rPr>
          <w:rFonts w:ascii="Arial" w:hAnsi="Arial" w:cs="Arial"/>
          <w:sz w:val="20"/>
          <w:szCs w:val="20"/>
        </w:rPr>
        <w:t xml:space="preserve">ng registered ECD centres </w:t>
      </w:r>
      <w:r w:rsidRPr="00FC564B">
        <w:rPr>
          <w:rFonts w:ascii="Arial" w:hAnsi="Arial" w:cs="Arial"/>
          <w:sz w:val="20"/>
          <w:szCs w:val="20"/>
        </w:rPr>
        <w:t>not fully funded from the provincial equitable share; fully and conditi</w:t>
      </w:r>
      <w:r w:rsidR="00CB25AC" w:rsidRPr="00FC564B">
        <w:rPr>
          <w:rFonts w:ascii="Arial" w:hAnsi="Arial" w:cs="Arial"/>
          <w:sz w:val="20"/>
          <w:szCs w:val="20"/>
        </w:rPr>
        <w:t>onally registered centres that we</w:t>
      </w:r>
      <w:r w:rsidRPr="00FC564B">
        <w:rPr>
          <w:rFonts w:ascii="Arial" w:hAnsi="Arial" w:cs="Arial"/>
          <w:sz w:val="20"/>
          <w:szCs w:val="20"/>
        </w:rPr>
        <w:t xml:space="preserve">re not funded; and registered non-centre based ECD programmes </w:t>
      </w:r>
      <w:r w:rsidR="00CB25AC" w:rsidRPr="00FC564B">
        <w:rPr>
          <w:rFonts w:ascii="Arial" w:hAnsi="Arial" w:cs="Arial"/>
          <w:sz w:val="20"/>
          <w:szCs w:val="20"/>
        </w:rPr>
        <w:t>that were not funded. The subsidy</w:t>
      </w:r>
      <w:r w:rsidRPr="00FC564B">
        <w:rPr>
          <w:rFonts w:ascii="Arial" w:hAnsi="Arial" w:cs="Arial"/>
          <w:sz w:val="20"/>
          <w:szCs w:val="20"/>
        </w:rPr>
        <w:t xml:space="preserve"> targeted qualifying children from birth to </w:t>
      </w:r>
      <w:r w:rsidR="00BD724E" w:rsidRPr="00FC564B">
        <w:rPr>
          <w:rFonts w:ascii="Arial" w:hAnsi="Arial" w:cs="Arial"/>
          <w:sz w:val="20"/>
          <w:szCs w:val="20"/>
        </w:rPr>
        <w:t xml:space="preserve">five </w:t>
      </w:r>
      <w:r w:rsidRPr="00FC564B">
        <w:rPr>
          <w:rFonts w:ascii="Arial" w:hAnsi="Arial" w:cs="Arial"/>
          <w:sz w:val="20"/>
          <w:szCs w:val="20"/>
        </w:rPr>
        <w:t>years or until they start Grade R.</w:t>
      </w:r>
      <w:r w:rsidR="00BD724E" w:rsidRPr="00FC564B">
        <w:rPr>
          <w:rFonts w:ascii="Arial" w:hAnsi="Arial" w:cs="Arial"/>
          <w:sz w:val="20"/>
          <w:szCs w:val="20"/>
        </w:rPr>
        <w:t xml:space="preserve"> The DSD added that the subsidy </w:t>
      </w:r>
      <w:r w:rsidR="00CB25AC" w:rsidRPr="00FC564B">
        <w:rPr>
          <w:rFonts w:ascii="Arial" w:hAnsi="Arial" w:cs="Arial"/>
          <w:sz w:val="20"/>
          <w:szCs w:val="20"/>
        </w:rPr>
        <w:t xml:space="preserve">was </w:t>
      </w:r>
      <w:r w:rsidR="00BD724E" w:rsidRPr="00FC564B">
        <w:rPr>
          <w:rFonts w:ascii="Arial" w:hAnsi="Arial" w:cs="Arial"/>
          <w:sz w:val="20"/>
          <w:szCs w:val="20"/>
        </w:rPr>
        <w:t xml:space="preserve">paid at a rate of R17 per child for a maximum period of 264 days. The value of the subsidy for non-centres based programmes </w:t>
      </w:r>
      <w:r w:rsidR="00CB25AC" w:rsidRPr="00FC564B">
        <w:rPr>
          <w:rFonts w:ascii="Arial" w:hAnsi="Arial" w:cs="Arial"/>
          <w:sz w:val="20"/>
          <w:szCs w:val="20"/>
        </w:rPr>
        <w:t>wa</w:t>
      </w:r>
      <w:r w:rsidR="00BD724E" w:rsidRPr="00FC564B">
        <w:rPr>
          <w:rFonts w:ascii="Arial" w:hAnsi="Arial" w:cs="Arial"/>
          <w:sz w:val="20"/>
          <w:szCs w:val="20"/>
        </w:rPr>
        <w:t>s R6 per child for the number of sessions conducted.</w:t>
      </w:r>
    </w:p>
    <w:p w:rsidR="00CB25AC" w:rsidRPr="00FC564B" w:rsidRDefault="00CB25AC" w:rsidP="00FC564B">
      <w:pPr>
        <w:rPr>
          <w:rFonts w:ascii="Arial" w:hAnsi="Arial" w:cs="Arial"/>
          <w:sz w:val="20"/>
          <w:szCs w:val="20"/>
        </w:rPr>
      </w:pPr>
    </w:p>
    <w:p w:rsidR="00BD724E" w:rsidRPr="00FC564B" w:rsidRDefault="00CB25AC" w:rsidP="00FC564B">
      <w:pPr>
        <w:rPr>
          <w:rFonts w:ascii="Arial" w:hAnsi="Arial" w:cs="Arial"/>
          <w:sz w:val="20"/>
          <w:szCs w:val="20"/>
        </w:rPr>
      </w:pPr>
      <w:r w:rsidRPr="00FC564B">
        <w:rPr>
          <w:rFonts w:ascii="Arial" w:hAnsi="Arial" w:cs="Arial"/>
          <w:sz w:val="20"/>
          <w:szCs w:val="20"/>
        </w:rPr>
        <w:t xml:space="preserve">The </w:t>
      </w:r>
      <w:r w:rsidR="00BD724E" w:rsidRPr="00FC564B">
        <w:rPr>
          <w:rFonts w:ascii="Arial" w:hAnsi="Arial" w:cs="Arial"/>
          <w:sz w:val="20"/>
          <w:szCs w:val="20"/>
        </w:rPr>
        <w:t>DSD submitted that partial care facilities offering ECD programmes</w:t>
      </w:r>
      <w:r w:rsidRPr="00FC564B">
        <w:rPr>
          <w:rFonts w:ascii="Arial" w:hAnsi="Arial" w:cs="Arial"/>
          <w:sz w:val="20"/>
          <w:szCs w:val="20"/>
        </w:rPr>
        <w:t>, that we</w:t>
      </w:r>
      <w:r w:rsidR="00BD724E" w:rsidRPr="00FC564B">
        <w:rPr>
          <w:rFonts w:ascii="Arial" w:hAnsi="Arial" w:cs="Arial"/>
          <w:sz w:val="20"/>
          <w:szCs w:val="20"/>
        </w:rPr>
        <w:t xml:space="preserve">re </w:t>
      </w:r>
      <w:r w:rsidRPr="00FC564B">
        <w:rPr>
          <w:rFonts w:ascii="Arial" w:hAnsi="Arial" w:cs="Arial"/>
          <w:sz w:val="20"/>
          <w:szCs w:val="20"/>
        </w:rPr>
        <w:t xml:space="preserve">unregistered or </w:t>
      </w:r>
      <w:r w:rsidR="00BD724E" w:rsidRPr="00FC564B">
        <w:rPr>
          <w:rFonts w:ascii="Arial" w:hAnsi="Arial" w:cs="Arial"/>
          <w:sz w:val="20"/>
          <w:szCs w:val="20"/>
        </w:rPr>
        <w:t>registered conditionally</w:t>
      </w:r>
      <w:r w:rsidRPr="00FC564B">
        <w:rPr>
          <w:rFonts w:ascii="Arial" w:hAnsi="Arial" w:cs="Arial"/>
          <w:sz w:val="20"/>
          <w:szCs w:val="20"/>
        </w:rPr>
        <w:t>, would</w:t>
      </w:r>
      <w:r w:rsidR="00BD724E" w:rsidRPr="00FC564B">
        <w:rPr>
          <w:rFonts w:ascii="Arial" w:hAnsi="Arial" w:cs="Arial"/>
          <w:sz w:val="20"/>
          <w:szCs w:val="20"/>
        </w:rPr>
        <w:t xml:space="preserve"> be eligible for the maintenance </w:t>
      </w:r>
      <w:r w:rsidRPr="00FC564B">
        <w:rPr>
          <w:rFonts w:ascii="Arial" w:hAnsi="Arial" w:cs="Arial"/>
          <w:sz w:val="20"/>
          <w:szCs w:val="20"/>
        </w:rPr>
        <w:t>component of the G</w:t>
      </w:r>
      <w:r w:rsidR="00BD724E" w:rsidRPr="00FC564B">
        <w:rPr>
          <w:rFonts w:ascii="Arial" w:hAnsi="Arial" w:cs="Arial"/>
          <w:sz w:val="20"/>
          <w:szCs w:val="20"/>
        </w:rPr>
        <w:t>rant.</w:t>
      </w:r>
      <w:r w:rsidRPr="00FC564B">
        <w:rPr>
          <w:rFonts w:ascii="Arial" w:hAnsi="Arial" w:cs="Arial"/>
          <w:sz w:val="20"/>
          <w:szCs w:val="20"/>
        </w:rPr>
        <w:t xml:space="preserve"> Moreover, </w:t>
      </w:r>
      <w:r w:rsidR="009C5F24" w:rsidRPr="00FC564B">
        <w:rPr>
          <w:rFonts w:ascii="Arial" w:hAnsi="Arial" w:cs="Arial"/>
          <w:sz w:val="20"/>
          <w:szCs w:val="20"/>
        </w:rPr>
        <w:t>minor building and maintenance improvements aime</w:t>
      </w:r>
      <w:r w:rsidRPr="00FC564B">
        <w:rPr>
          <w:rFonts w:ascii="Arial" w:hAnsi="Arial" w:cs="Arial"/>
          <w:sz w:val="20"/>
          <w:szCs w:val="20"/>
        </w:rPr>
        <w:t>d at ensuring ECD centres complied with</w:t>
      </w:r>
      <w:r w:rsidR="009C5F24" w:rsidRPr="00FC564B">
        <w:rPr>
          <w:rFonts w:ascii="Arial" w:hAnsi="Arial" w:cs="Arial"/>
          <w:sz w:val="20"/>
          <w:szCs w:val="20"/>
        </w:rPr>
        <w:t xml:space="preserve"> health and safety norms and standards, as identified by the </w:t>
      </w:r>
      <w:r w:rsidRPr="00FC564B">
        <w:rPr>
          <w:rFonts w:ascii="Arial" w:hAnsi="Arial" w:cs="Arial"/>
          <w:sz w:val="20"/>
          <w:szCs w:val="20"/>
        </w:rPr>
        <w:t>DSD, were</w:t>
      </w:r>
      <w:r w:rsidR="009C5F24" w:rsidRPr="00FC564B">
        <w:rPr>
          <w:rFonts w:ascii="Arial" w:hAnsi="Arial" w:cs="Arial"/>
          <w:sz w:val="20"/>
          <w:szCs w:val="20"/>
        </w:rPr>
        <w:t xml:space="preserve"> </w:t>
      </w:r>
      <w:r w:rsidRPr="00FC564B">
        <w:rPr>
          <w:rFonts w:ascii="Arial" w:hAnsi="Arial" w:cs="Arial"/>
          <w:sz w:val="20"/>
          <w:szCs w:val="20"/>
        </w:rPr>
        <w:t xml:space="preserve">also </w:t>
      </w:r>
      <w:r w:rsidR="009C5F24" w:rsidRPr="00FC564B">
        <w:rPr>
          <w:rFonts w:ascii="Arial" w:hAnsi="Arial" w:cs="Arial"/>
          <w:sz w:val="20"/>
          <w:szCs w:val="20"/>
        </w:rPr>
        <w:t xml:space="preserve">funded. </w:t>
      </w:r>
      <w:r w:rsidRPr="00FC564B">
        <w:rPr>
          <w:rFonts w:ascii="Arial" w:hAnsi="Arial" w:cs="Arial"/>
          <w:sz w:val="20"/>
          <w:szCs w:val="20"/>
        </w:rPr>
        <w:t>P</w:t>
      </w:r>
      <w:r w:rsidR="009C5F24" w:rsidRPr="00FC564B">
        <w:rPr>
          <w:rFonts w:ascii="Arial" w:hAnsi="Arial" w:cs="Arial"/>
          <w:sz w:val="20"/>
          <w:szCs w:val="20"/>
        </w:rPr>
        <w:t xml:space="preserve">rovinces </w:t>
      </w:r>
      <w:r w:rsidRPr="00FC564B">
        <w:rPr>
          <w:rFonts w:ascii="Arial" w:hAnsi="Arial" w:cs="Arial"/>
          <w:sz w:val="20"/>
          <w:szCs w:val="20"/>
        </w:rPr>
        <w:t xml:space="preserve">were required to </w:t>
      </w:r>
      <w:r w:rsidR="009C5F24" w:rsidRPr="00FC564B">
        <w:rPr>
          <w:rFonts w:ascii="Arial" w:hAnsi="Arial" w:cs="Arial"/>
          <w:sz w:val="20"/>
          <w:szCs w:val="20"/>
        </w:rPr>
        <w:t>conduct assessments of conditionally registered centres</w:t>
      </w:r>
      <w:r w:rsidR="00E374ED" w:rsidRPr="00FC564B">
        <w:rPr>
          <w:rFonts w:ascii="Arial" w:hAnsi="Arial" w:cs="Arial"/>
          <w:sz w:val="20"/>
          <w:szCs w:val="20"/>
        </w:rPr>
        <w:t xml:space="preserve"> and cost them in order to qualify for</w:t>
      </w:r>
      <w:r w:rsidR="00ED6AAB" w:rsidRPr="00FC564B">
        <w:rPr>
          <w:rFonts w:ascii="Arial" w:hAnsi="Arial" w:cs="Arial"/>
          <w:sz w:val="20"/>
          <w:szCs w:val="20"/>
        </w:rPr>
        <w:t xml:space="preserve"> maintenance</w:t>
      </w:r>
      <w:r w:rsidR="00E374ED" w:rsidRPr="00FC564B">
        <w:rPr>
          <w:rFonts w:ascii="Arial" w:hAnsi="Arial" w:cs="Arial"/>
          <w:sz w:val="20"/>
          <w:szCs w:val="20"/>
        </w:rPr>
        <w:t xml:space="preserve"> funding</w:t>
      </w:r>
      <w:r w:rsidR="00ED6AAB" w:rsidRPr="00FC564B">
        <w:rPr>
          <w:rFonts w:ascii="Arial" w:hAnsi="Arial" w:cs="Arial"/>
          <w:sz w:val="20"/>
          <w:szCs w:val="20"/>
        </w:rPr>
        <w:t xml:space="preserve"> from the Grant</w:t>
      </w:r>
      <w:r w:rsidR="00E374ED" w:rsidRPr="00FC564B">
        <w:rPr>
          <w:rFonts w:ascii="Arial" w:hAnsi="Arial" w:cs="Arial"/>
          <w:sz w:val="20"/>
          <w:szCs w:val="20"/>
        </w:rPr>
        <w:t xml:space="preserve"> in </w:t>
      </w:r>
      <w:r w:rsidR="00ED6AAB" w:rsidRPr="00FC564B">
        <w:rPr>
          <w:rFonts w:ascii="Arial" w:hAnsi="Arial" w:cs="Arial"/>
          <w:sz w:val="20"/>
          <w:szCs w:val="20"/>
        </w:rPr>
        <w:t xml:space="preserve">the </w:t>
      </w:r>
      <w:r w:rsidR="00E374ED" w:rsidRPr="00FC564B">
        <w:rPr>
          <w:rFonts w:ascii="Arial" w:hAnsi="Arial" w:cs="Arial"/>
          <w:sz w:val="20"/>
          <w:szCs w:val="20"/>
        </w:rPr>
        <w:t>2022/23 financial year. Lastly, all maintenance p</w:t>
      </w:r>
      <w:r w:rsidR="00ED6AAB" w:rsidRPr="00FC564B">
        <w:rPr>
          <w:rFonts w:ascii="Arial" w:hAnsi="Arial" w:cs="Arial"/>
          <w:sz w:val="20"/>
          <w:szCs w:val="20"/>
        </w:rPr>
        <w:t xml:space="preserve">rojects must be recorded on </w:t>
      </w:r>
      <w:r w:rsidR="002D0207" w:rsidRPr="00FC564B">
        <w:rPr>
          <w:rFonts w:ascii="Arial" w:hAnsi="Arial" w:cs="Arial"/>
          <w:sz w:val="20"/>
          <w:szCs w:val="20"/>
        </w:rPr>
        <w:t xml:space="preserve">the </w:t>
      </w:r>
      <w:r w:rsidR="00E374ED" w:rsidRPr="00FC564B">
        <w:rPr>
          <w:rFonts w:ascii="Arial" w:hAnsi="Arial" w:cs="Arial"/>
          <w:sz w:val="20"/>
          <w:szCs w:val="20"/>
        </w:rPr>
        <w:t>National Treasury</w:t>
      </w:r>
      <w:r w:rsidR="00ED6AAB" w:rsidRPr="00FC564B">
        <w:rPr>
          <w:rFonts w:ascii="Arial" w:hAnsi="Arial" w:cs="Arial"/>
          <w:sz w:val="20"/>
          <w:szCs w:val="20"/>
        </w:rPr>
        <w:t>’s</w:t>
      </w:r>
      <w:r w:rsidR="00E374ED" w:rsidRPr="00FC564B">
        <w:rPr>
          <w:rFonts w:ascii="Arial" w:hAnsi="Arial" w:cs="Arial"/>
          <w:sz w:val="20"/>
          <w:szCs w:val="20"/>
        </w:rPr>
        <w:t xml:space="preserve"> Infrastructure </w:t>
      </w:r>
      <w:r w:rsidR="00ED6AAB" w:rsidRPr="00FC564B">
        <w:rPr>
          <w:rFonts w:ascii="Arial" w:hAnsi="Arial" w:cs="Arial"/>
          <w:sz w:val="20"/>
          <w:szCs w:val="20"/>
        </w:rPr>
        <w:t>R</w:t>
      </w:r>
      <w:r w:rsidR="00E374ED" w:rsidRPr="00FC564B">
        <w:rPr>
          <w:rFonts w:ascii="Arial" w:hAnsi="Arial" w:cs="Arial"/>
          <w:sz w:val="20"/>
          <w:szCs w:val="20"/>
        </w:rPr>
        <w:t xml:space="preserve">eporting Model (IRM). </w:t>
      </w:r>
    </w:p>
    <w:p w:rsidR="00E374ED" w:rsidRPr="00FC564B" w:rsidRDefault="00E374ED" w:rsidP="00FC564B">
      <w:pPr>
        <w:rPr>
          <w:rFonts w:ascii="Arial" w:hAnsi="Arial" w:cs="Arial"/>
          <w:sz w:val="20"/>
          <w:szCs w:val="20"/>
        </w:rPr>
      </w:pPr>
    </w:p>
    <w:p w:rsidR="00661D6D" w:rsidRPr="00FC564B" w:rsidRDefault="00CC7B24" w:rsidP="00FC564B">
      <w:pPr>
        <w:rPr>
          <w:rFonts w:ascii="Arial" w:hAnsi="Arial" w:cs="Arial"/>
          <w:sz w:val="20"/>
          <w:szCs w:val="20"/>
        </w:rPr>
      </w:pPr>
      <w:r w:rsidRPr="00FC564B">
        <w:rPr>
          <w:rFonts w:ascii="Arial" w:hAnsi="Arial" w:cs="Arial"/>
          <w:sz w:val="20"/>
          <w:szCs w:val="20"/>
        </w:rPr>
        <w:t>The DSD reported that ECD service providers</w:t>
      </w:r>
      <w:r w:rsidR="00C77BC7" w:rsidRPr="00FC564B">
        <w:rPr>
          <w:rFonts w:ascii="Arial" w:hAnsi="Arial" w:cs="Arial"/>
          <w:sz w:val="20"/>
          <w:szCs w:val="20"/>
        </w:rPr>
        <w:t xml:space="preserve"> that were fully or conditionally registered </w:t>
      </w:r>
      <w:r w:rsidRPr="00FC564B">
        <w:rPr>
          <w:rFonts w:ascii="Arial" w:hAnsi="Arial" w:cs="Arial"/>
          <w:sz w:val="20"/>
          <w:szCs w:val="20"/>
        </w:rPr>
        <w:t xml:space="preserve">with their provincial social development departments </w:t>
      </w:r>
      <w:r w:rsidR="00C77BC7" w:rsidRPr="00FC564B">
        <w:rPr>
          <w:rFonts w:ascii="Arial" w:hAnsi="Arial" w:cs="Arial"/>
          <w:sz w:val="20"/>
          <w:szCs w:val="20"/>
        </w:rPr>
        <w:t>to provide ECD services</w:t>
      </w:r>
      <w:r w:rsidRPr="00FC564B">
        <w:rPr>
          <w:rFonts w:ascii="Arial" w:hAnsi="Arial" w:cs="Arial"/>
          <w:sz w:val="20"/>
          <w:szCs w:val="20"/>
        </w:rPr>
        <w:t>, as well as u</w:t>
      </w:r>
      <w:r w:rsidR="001603A3" w:rsidRPr="00FC564B">
        <w:rPr>
          <w:rFonts w:ascii="Arial" w:hAnsi="Arial" w:cs="Arial"/>
          <w:sz w:val="20"/>
          <w:szCs w:val="20"/>
        </w:rPr>
        <w:t>n</w:t>
      </w:r>
      <w:r w:rsidR="00444B5A" w:rsidRPr="00FC564B">
        <w:rPr>
          <w:rFonts w:ascii="Arial" w:hAnsi="Arial" w:cs="Arial"/>
          <w:sz w:val="20"/>
          <w:szCs w:val="20"/>
        </w:rPr>
        <w:t>registered ECD services that provide</w:t>
      </w:r>
      <w:r w:rsidRPr="00FC564B">
        <w:rPr>
          <w:rFonts w:ascii="Arial" w:hAnsi="Arial" w:cs="Arial"/>
          <w:sz w:val="20"/>
          <w:szCs w:val="20"/>
        </w:rPr>
        <w:t>d</w:t>
      </w:r>
      <w:r w:rsidR="00444B5A" w:rsidRPr="00FC564B">
        <w:rPr>
          <w:rFonts w:ascii="Arial" w:hAnsi="Arial" w:cs="Arial"/>
          <w:sz w:val="20"/>
          <w:szCs w:val="20"/>
        </w:rPr>
        <w:t xml:space="preserve"> learning</w:t>
      </w:r>
      <w:r w:rsidRPr="00FC564B">
        <w:rPr>
          <w:rFonts w:ascii="Arial" w:hAnsi="Arial" w:cs="Arial"/>
          <w:sz w:val="20"/>
          <w:szCs w:val="20"/>
        </w:rPr>
        <w:t>, were</w:t>
      </w:r>
      <w:r w:rsidR="00444B5A" w:rsidRPr="00FC564B">
        <w:rPr>
          <w:rFonts w:ascii="Arial" w:hAnsi="Arial" w:cs="Arial"/>
          <w:sz w:val="20"/>
          <w:szCs w:val="20"/>
        </w:rPr>
        <w:t xml:space="preserve"> eligible to benefit from the ECD </w:t>
      </w:r>
      <w:r w:rsidRPr="00FC564B">
        <w:rPr>
          <w:rFonts w:ascii="Arial" w:hAnsi="Arial" w:cs="Arial"/>
          <w:sz w:val="20"/>
          <w:szCs w:val="20"/>
        </w:rPr>
        <w:t>stimulus relief fund</w:t>
      </w:r>
      <w:r w:rsidR="001603A3" w:rsidRPr="00FC564B">
        <w:rPr>
          <w:rFonts w:ascii="Arial" w:hAnsi="Arial" w:cs="Arial"/>
          <w:sz w:val="20"/>
          <w:szCs w:val="20"/>
        </w:rPr>
        <w:t>. Th</w:t>
      </w:r>
      <w:r w:rsidRPr="00FC564B">
        <w:rPr>
          <w:rFonts w:ascii="Arial" w:hAnsi="Arial" w:cs="Arial"/>
          <w:sz w:val="20"/>
          <w:szCs w:val="20"/>
        </w:rPr>
        <w:t xml:space="preserve">is </w:t>
      </w:r>
      <w:r w:rsidR="001603A3" w:rsidRPr="00FC564B">
        <w:rPr>
          <w:rFonts w:ascii="Arial" w:hAnsi="Arial" w:cs="Arial"/>
          <w:sz w:val="20"/>
          <w:szCs w:val="20"/>
        </w:rPr>
        <w:t>included</w:t>
      </w:r>
      <w:r w:rsidRPr="00FC564B">
        <w:rPr>
          <w:rFonts w:ascii="Arial" w:hAnsi="Arial" w:cs="Arial"/>
          <w:sz w:val="20"/>
          <w:szCs w:val="20"/>
        </w:rPr>
        <w:t xml:space="preserve"> </w:t>
      </w:r>
      <w:r w:rsidR="001603A3" w:rsidRPr="00FC564B">
        <w:rPr>
          <w:rFonts w:ascii="Arial" w:hAnsi="Arial" w:cs="Arial"/>
          <w:sz w:val="20"/>
          <w:szCs w:val="20"/>
        </w:rPr>
        <w:t>ECD centres</w:t>
      </w:r>
      <w:r w:rsidRPr="00FC564B">
        <w:rPr>
          <w:rFonts w:ascii="Arial" w:hAnsi="Arial" w:cs="Arial"/>
          <w:sz w:val="20"/>
          <w:szCs w:val="20"/>
        </w:rPr>
        <w:t xml:space="preserve"> as well as n</w:t>
      </w:r>
      <w:r w:rsidR="002F35C6" w:rsidRPr="00FC564B">
        <w:rPr>
          <w:rFonts w:ascii="Arial" w:hAnsi="Arial" w:cs="Arial"/>
          <w:sz w:val="20"/>
          <w:szCs w:val="20"/>
        </w:rPr>
        <w:t>on-centre-based services</w:t>
      </w:r>
      <w:r w:rsidRPr="00FC564B">
        <w:rPr>
          <w:rFonts w:ascii="Arial" w:hAnsi="Arial" w:cs="Arial"/>
          <w:sz w:val="20"/>
          <w:szCs w:val="20"/>
        </w:rPr>
        <w:t>,</w:t>
      </w:r>
      <w:r w:rsidR="002F35C6" w:rsidRPr="00FC564B">
        <w:rPr>
          <w:rFonts w:ascii="Arial" w:hAnsi="Arial" w:cs="Arial"/>
          <w:sz w:val="20"/>
          <w:szCs w:val="20"/>
        </w:rPr>
        <w:t xml:space="preserve"> like </w:t>
      </w:r>
      <w:r w:rsidRPr="00FC564B">
        <w:rPr>
          <w:rFonts w:ascii="Arial" w:hAnsi="Arial" w:cs="Arial"/>
          <w:sz w:val="20"/>
          <w:szCs w:val="20"/>
        </w:rPr>
        <w:t>play grounds;</w:t>
      </w:r>
      <w:r w:rsidR="002F35C6" w:rsidRPr="00FC564B">
        <w:rPr>
          <w:rFonts w:ascii="Arial" w:hAnsi="Arial" w:cs="Arial"/>
          <w:sz w:val="20"/>
          <w:szCs w:val="20"/>
        </w:rPr>
        <w:t xml:space="preserve"> toy librar</w:t>
      </w:r>
      <w:r w:rsidRPr="00FC564B">
        <w:rPr>
          <w:rFonts w:ascii="Arial" w:hAnsi="Arial" w:cs="Arial"/>
          <w:sz w:val="20"/>
          <w:szCs w:val="20"/>
        </w:rPr>
        <w:t>ies;</w:t>
      </w:r>
      <w:r w:rsidR="002F35C6" w:rsidRPr="00FC564B">
        <w:rPr>
          <w:rFonts w:ascii="Arial" w:hAnsi="Arial" w:cs="Arial"/>
          <w:sz w:val="20"/>
          <w:szCs w:val="20"/>
        </w:rPr>
        <w:t xml:space="preserve"> child </w:t>
      </w:r>
      <w:r w:rsidRPr="00FC564B">
        <w:rPr>
          <w:rFonts w:ascii="Arial" w:hAnsi="Arial" w:cs="Arial"/>
          <w:sz w:val="20"/>
          <w:szCs w:val="20"/>
        </w:rPr>
        <w:t>m</w:t>
      </w:r>
      <w:r w:rsidR="002F35C6" w:rsidRPr="00FC564B">
        <w:rPr>
          <w:rFonts w:ascii="Arial" w:hAnsi="Arial" w:cs="Arial"/>
          <w:sz w:val="20"/>
          <w:szCs w:val="20"/>
        </w:rPr>
        <w:t>inder</w:t>
      </w:r>
      <w:r w:rsidRPr="00FC564B">
        <w:rPr>
          <w:rFonts w:ascii="Arial" w:hAnsi="Arial" w:cs="Arial"/>
          <w:sz w:val="20"/>
          <w:szCs w:val="20"/>
        </w:rPr>
        <w:t xml:space="preserve">s; and </w:t>
      </w:r>
      <w:r w:rsidR="002F35C6" w:rsidRPr="00FC564B">
        <w:rPr>
          <w:rFonts w:ascii="Arial" w:hAnsi="Arial" w:cs="Arial"/>
          <w:sz w:val="20"/>
          <w:szCs w:val="20"/>
        </w:rPr>
        <w:t>mobile ECD</w:t>
      </w:r>
      <w:r w:rsidRPr="00FC564B">
        <w:rPr>
          <w:rFonts w:ascii="Arial" w:hAnsi="Arial" w:cs="Arial"/>
          <w:sz w:val="20"/>
          <w:szCs w:val="20"/>
        </w:rPr>
        <w:t xml:space="preserve"> services</w:t>
      </w:r>
      <w:r w:rsidR="002F35C6" w:rsidRPr="00FC564B">
        <w:rPr>
          <w:rFonts w:ascii="Arial" w:hAnsi="Arial" w:cs="Arial"/>
          <w:sz w:val="20"/>
          <w:szCs w:val="20"/>
        </w:rPr>
        <w:t>.</w:t>
      </w:r>
      <w:r w:rsidRPr="00FC564B">
        <w:rPr>
          <w:rFonts w:ascii="Arial" w:hAnsi="Arial" w:cs="Arial"/>
          <w:sz w:val="20"/>
          <w:szCs w:val="20"/>
        </w:rPr>
        <w:t xml:space="preserve"> </w:t>
      </w:r>
      <w:r w:rsidR="002F35C6" w:rsidRPr="00FC564B">
        <w:rPr>
          <w:rFonts w:ascii="Arial" w:hAnsi="Arial" w:cs="Arial"/>
          <w:sz w:val="20"/>
          <w:szCs w:val="20"/>
        </w:rPr>
        <w:t>The DSD further cla</w:t>
      </w:r>
      <w:r w:rsidRPr="00FC564B">
        <w:rPr>
          <w:rFonts w:ascii="Arial" w:hAnsi="Arial" w:cs="Arial"/>
          <w:sz w:val="20"/>
          <w:szCs w:val="20"/>
        </w:rPr>
        <w:t>rified that an ECD service did n</w:t>
      </w:r>
      <w:r w:rsidR="002F35C6" w:rsidRPr="00FC564B">
        <w:rPr>
          <w:rFonts w:ascii="Arial" w:hAnsi="Arial" w:cs="Arial"/>
          <w:sz w:val="20"/>
          <w:szCs w:val="20"/>
        </w:rPr>
        <w:t xml:space="preserve">ot </w:t>
      </w:r>
      <w:r w:rsidRPr="00FC564B">
        <w:rPr>
          <w:rFonts w:ascii="Arial" w:hAnsi="Arial" w:cs="Arial"/>
          <w:sz w:val="20"/>
          <w:szCs w:val="20"/>
        </w:rPr>
        <w:t xml:space="preserve">have </w:t>
      </w:r>
      <w:r w:rsidR="002F35C6" w:rsidRPr="00FC564B">
        <w:rPr>
          <w:rFonts w:ascii="Arial" w:hAnsi="Arial" w:cs="Arial"/>
          <w:sz w:val="20"/>
          <w:szCs w:val="20"/>
        </w:rPr>
        <w:t>to be registered as a</w:t>
      </w:r>
      <w:r w:rsidRPr="00FC564B">
        <w:rPr>
          <w:rFonts w:ascii="Arial" w:hAnsi="Arial" w:cs="Arial"/>
          <w:sz w:val="20"/>
          <w:szCs w:val="20"/>
        </w:rPr>
        <w:t>n NPO to receive this benefit; and that o</w:t>
      </w:r>
      <w:r w:rsidR="002F35C6" w:rsidRPr="00FC564B">
        <w:rPr>
          <w:rFonts w:ascii="Arial" w:hAnsi="Arial" w:cs="Arial"/>
          <w:sz w:val="20"/>
          <w:szCs w:val="20"/>
        </w:rPr>
        <w:t xml:space="preserve">rganisations that run, manage or oversee multiple centres and/or non-centre based ECD services, </w:t>
      </w:r>
      <w:r w:rsidR="00762D89" w:rsidRPr="00FC564B">
        <w:rPr>
          <w:rFonts w:ascii="Arial" w:hAnsi="Arial" w:cs="Arial"/>
          <w:sz w:val="20"/>
          <w:szCs w:val="20"/>
        </w:rPr>
        <w:t xml:space="preserve">may apply for more than one </w:t>
      </w:r>
      <w:r w:rsidR="002F35C6" w:rsidRPr="00FC564B">
        <w:rPr>
          <w:rFonts w:ascii="Arial" w:hAnsi="Arial" w:cs="Arial"/>
          <w:sz w:val="20"/>
          <w:szCs w:val="20"/>
        </w:rPr>
        <w:t xml:space="preserve">programme and more than one type of programme. </w:t>
      </w:r>
      <w:r w:rsidR="00762D89" w:rsidRPr="00FC564B">
        <w:rPr>
          <w:rFonts w:ascii="Arial" w:hAnsi="Arial" w:cs="Arial"/>
          <w:sz w:val="20"/>
          <w:szCs w:val="20"/>
        </w:rPr>
        <w:t>If an organisation did</w:t>
      </w:r>
      <w:r w:rsidR="002F35C6" w:rsidRPr="00FC564B">
        <w:rPr>
          <w:rFonts w:ascii="Arial" w:hAnsi="Arial" w:cs="Arial"/>
          <w:sz w:val="20"/>
          <w:szCs w:val="20"/>
        </w:rPr>
        <w:t xml:space="preserve"> not directly employ the staff in the centre </w:t>
      </w:r>
      <w:r w:rsidR="00762D89" w:rsidRPr="00FC564B">
        <w:rPr>
          <w:rFonts w:ascii="Arial" w:hAnsi="Arial" w:cs="Arial"/>
          <w:sz w:val="20"/>
          <w:szCs w:val="20"/>
        </w:rPr>
        <w:t xml:space="preserve">or </w:t>
      </w:r>
      <w:r w:rsidR="002F35C6" w:rsidRPr="00FC564B">
        <w:rPr>
          <w:rFonts w:ascii="Arial" w:hAnsi="Arial" w:cs="Arial"/>
          <w:sz w:val="20"/>
          <w:szCs w:val="20"/>
        </w:rPr>
        <w:t>non-centre based ECD service</w:t>
      </w:r>
      <w:r w:rsidR="00762D89" w:rsidRPr="00FC564B">
        <w:rPr>
          <w:rFonts w:ascii="Arial" w:hAnsi="Arial" w:cs="Arial"/>
          <w:sz w:val="20"/>
          <w:szCs w:val="20"/>
        </w:rPr>
        <w:t xml:space="preserve">, but </w:t>
      </w:r>
      <w:r w:rsidR="002F35C6" w:rsidRPr="00FC564B">
        <w:rPr>
          <w:rFonts w:ascii="Arial" w:hAnsi="Arial" w:cs="Arial"/>
          <w:sz w:val="20"/>
          <w:szCs w:val="20"/>
        </w:rPr>
        <w:t>provided an oversight and support role, a written and signed agreement</w:t>
      </w:r>
      <w:r w:rsidR="00762D89" w:rsidRPr="00FC564B">
        <w:rPr>
          <w:rFonts w:ascii="Arial" w:hAnsi="Arial" w:cs="Arial"/>
          <w:sz w:val="20"/>
          <w:szCs w:val="20"/>
        </w:rPr>
        <w:t xml:space="preserve">, governing the relationship with that programme and setting out respective roles and responsibilities, </w:t>
      </w:r>
      <w:r w:rsidR="002F35C6" w:rsidRPr="00FC564B">
        <w:rPr>
          <w:rFonts w:ascii="Arial" w:hAnsi="Arial" w:cs="Arial"/>
          <w:sz w:val="20"/>
          <w:szCs w:val="20"/>
        </w:rPr>
        <w:t>mu</w:t>
      </w:r>
      <w:r w:rsidR="00762D89" w:rsidRPr="00FC564B">
        <w:rPr>
          <w:rFonts w:ascii="Arial" w:hAnsi="Arial" w:cs="Arial"/>
          <w:sz w:val="20"/>
          <w:szCs w:val="20"/>
        </w:rPr>
        <w:t xml:space="preserve">st have been in place prior to </w:t>
      </w:r>
      <w:r w:rsidR="002F35C6" w:rsidRPr="00FC564B">
        <w:rPr>
          <w:rFonts w:ascii="Arial" w:hAnsi="Arial" w:cs="Arial"/>
          <w:sz w:val="20"/>
          <w:szCs w:val="20"/>
        </w:rPr>
        <w:t>1 March 202</w:t>
      </w:r>
      <w:r w:rsidR="00762D89" w:rsidRPr="00FC564B">
        <w:rPr>
          <w:rFonts w:ascii="Arial" w:hAnsi="Arial" w:cs="Arial"/>
          <w:sz w:val="20"/>
          <w:szCs w:val="20"/>
        </w:rPr>
        <w:t>0</w:t>
      </w:r>
      <w:r w:rsidR="002F35C6" w:rsidRPr="00FC564B">
        <w:rPr>
          <w:rFonts w:ascii="Arial" w:hAnsi="Arial" w:cs="Arial"/>
          <w:sz w:val="20"/>
          <w:szCs w:val="20"/>
        </w:rPr>
        <w:t xml:space="preserve">. </w:t>
      </w:r>
    </w:p>
    <w:p w:rsidR="00661D6D" w:rsidRPr="00FC564B" w:rsidRDefault="00661D6D" w:rsidP="00FC564B">
      <w:pPr>
        <w:rPr>
          <w:rFonts w:ascii="Arial" w:hAnsi="Arial" w:cs="Arial"/>
          <w:sz w:val="20"/>
          <w:szCs w:val="20"/>
        </w:rPr>
      </w:pPr>
    </w:p>
    <w:p w:rsidR="00661D6D" w:rsidRPr="00FC564B" w:rsidRDefault="001E5915" w:rsidP="00FC564B">
      <w:pPr>
        <w:rPr>
          <w:rFonts w:ascii="Arial" w:hAnsi="Arial" w:cs="Arial"/>
          <w:b/>
          <w:sz w:val="20"/>
          <w:szCs w:val="20"/>
        </w:rPr>
      </w:pPr>
      <w:r w:rsidRPr="00FC564B">
        <w:rPr>
          <w:rFonts w:ascii="Arial" w:hAnsi="Arial" w:cs="Arial"/>
          <w:b/>
          <w:sz w:val="20"/>
          <w:szCs w:val="20"/>
        </w:rPr>
        <w:t>5.1</w:t>
      </w:r>
      <w:r w:rsidR="00661D6D" w:rsidRPr="00FC564B">
        <w:rPr>
          <w:rFonts w:ascii="Arial" w:hAnsi="Arial" w:cs="Arial"/>
          <w:b/>
          <w:sz w:val="20"/>
          <w:szCs w:val="20"/>
        </w:rPr>
        <w:t xml:space="preserve"> </w:t>
      </w:r>
      <w:r w:rsidRPr="00FC564B">
        <w:rPr>
          <w:rFonts w:ascii="Arial" w:hAnsi="Arial" w:cs="Arial"/>
          <w:b/>
          <w:sz w:val="20"/>
          <w:szCs w:val="20"/>
        </w:rPr>
        <w:t>Performance on i</w:t>
      </w:r>
      <w:r w:rsidR="00661D6D" w:rsidRPr="00FC564B">
        <w:rPr>
          <w:rFonts w:ascii="Arial" w:hAnsi="Arial" w:cs="Arial"/>
          <w:b/>
          <w:sz w:val="20"/>
          <w:szCs w:val="20"/>
        </w:rPr>
        <w:t>nfrastructure component</w:t>
      </w:r>
    </w:p>
    <w:p w:rsidR="00F242CD" w:rsidRPr="00FC564B" w:rsidRDefault="009A4FDB" w:rsidP="00FC564B">
      <w:pPr>
        <w:rPr>
          <w:rFonts w:ascii="Arial" w:hAnsi="Arial" w:cs="Arial"/>
          <w:sz w:val="20"/>
          <w:szCs w:val="20"/>
        </w:rPr>
      </w:pPr>
      <w:r w:rsidRPr="00FC564B">
        <w:rPr>
          <w:rFonts w:ascii="Arial" w:hAnsi="Arial" w:cs="Arial"/>
          <w:sz w:val="20"/>
          <w:szCs w:val="20"/>
        </w:rPr>
        <w:t xml:space="preserve">The DSD reported that, in 2021/22, </w:t>
      </w:r>
      <w:r w:rsidR="00F242CD" w:rsidRPr="00FC564B">
        <w:rPr>
          <w:rFonts w:ascii="Arial" w:hAnsi="Arial" w:cs="Arial"/>
          <w:sz w:val="20"/>
          <w:szCs w:val="20"/>
        </w:rPr>
        <w:t xml:space="preserve">195 </w:t>
      </w:r>
      <w:r w:rsidRPr="00FC564B">
        <w:rPr>
          <w:rFonts w:ascii="Arial" w:hAnsi="Arial" w:cs="Arial"/>
          <w:sz w:val="20"/>
          <w:szCs w:val="20"/>
        </w:rPr>
        <w:t xml:space="preserve">ECD centres had </w:t>
      </w:r>
      <w:r w:rsidR="00F242CD" w:rsidRPr="00FC564B">
        <w:rPr>
          <w:rFonts w:ascii="Arial" w:hAnsi="Arial" w:cs="Arial"/>
          <w:sz w:val="20"/>
          <w:szCs w:val="20"/>
        </w:rPr>
        <w:t>benefited</w:t>
      </w:r>
      <w:r w:rsidRPr="00FC564B">
        <w:rPr>
          <w:rFonts w:ascii="Arial" w:hAnsi="Arial" w:cs="Arial"/>
          <w:sz w:val="20"/>
          <w:szCs w:val="20"/>
        </w:rPr>
        <w:t xml:space="preserve"> from the Grant, against a target of 273</w:t>
      </w:r>
      <w:r w:rsidR="00F242CD" w:rsidRPr="00FC564B">
        <w:rPr>
          <w:rFonts w:ascii="Arial" w:hAnsi="Arial" w:cs="Arial"/>
          <w:sz w:val="20"/>
          <w:szCs w:val="20"/>
        </w:rPr>
        <w:t xml:space="preserve">. Limpopo and </w:t>
      </w:r>
      <w:r w:rsidR="00DC0613" w:rsidRPr="00FC564B">
        <w:rPr>
          <w:rFonts w:ascii="Arial" w:hAnsi="Arial" w:cs="Arial"/>
          <w:sz w:val="20"/>
          <w:szCs w:val="20"/>
        </w:rPr>
        <w:t xml:space="preserve">the </w:t>
      </w:r>
      <w:r w:rsidR="00F242CD" w:rsidRPr="00FC564B">
        <w:rPr>
          <w:rFonts w:ascii="Arial" w:hAnsi="Arial" w:cs="Arial"/>
          <w:sz w:val="20"/>
          <w:szCs w:val="20"/>
        </w:rPr>
        <w:t xml:space="preserve">Western Cape </w:t>
      </w:r>
      <w:r w:rsidR="00DC0613" w:rsidRPr="00FC564B">
        <w:rPr>
          <w:rFonts w:ascii="Arial" w:hAnsi="Arial" w:cs="Arial"/>
          <w:sz w:val="20"/>
          <w:szCs w:val="20"/>
        </w:rPr>
        <w:t>had achieved</w:t>
      </w:r>
      <w:r w:rsidR="00F242CD" w:rsidRPr="00FC564B">
        <w:rPr>
          <w:rFonts w:ascii="Arial" w:hAnsi="Arial" w:cs="Arial"/>
          <w:sz w:val="20"/>
          <w:szCs w:val="20"/>
        </w:rPr>
        <w:t xml:space="preserve"> 50</w:t>
      </w:r>
      <w:r w:rsidR="00DC0613" w:rsidRPr="00FC564B">
        <w:rPr>
          <w:rFonts w:ascii="Arial" w:hAnsi="Arial" w:cs="Arial"/>
          <w:sz w:val="20"/>
          <w:szCs w:val="20"/>
        </w:rPr>
        <w:t>; Free State</w:t>
      </w:r>
      <w:r w:rsidR="00F242CD" w:rsidRPr="00FC564B">
        <w:rPr>
          <w:rFonts w:ascii="Arial" w:hAnsi="Arial" w:cs="Arial"/>
          <w:sz w:val="20"/>
          <w:szCs w:val="20"/>
        </w:rPr>
        <w:t xml:space="preserve"> 27; Mpumalanga 25; KwaZulu-Natal 14; Gauteng 12; </w:t>
      </w:r>
      <w:r w:rsidR="00DC0613" w:rsidRPr="00FC564B">
        <w:rPr>
          <w:rFonts w:ascii="Arial" w:hAnsi="Arial" w:cs="Arial"/>
          <w:sz w:val="20"/>
          <w:szCs w:val="20"/>
        </w:rPr>
        <w:t xml:space="preserve">the </w:t>
      </w:r>
      <w:r w:rsidR="00F242CD" w:rsidRPr="00FC564B">
        <w:rPr>
          <w:rFonts w:ascii="Arial" w:hAnsi="Arial" w:cs="Arial"/>
          <w:sz w:val="20"/>
          <w:szCs w:val="20"/>
        </w:rPr>
        <w:t xml:space="preserve">Eastern </w:t>
      </w:r>
      <w:r w:rsidR="00DC0613" w:rsidRPr="00FC564B">
        <w:rPr>
          <w:rFonts w:ascii="Arial" w:hAnsi="Arial" w:cs="Arial"/>
          <w:sz w:val="20"/>
          <w:szCs w:val="20"/>
        </w:rPr>
        <w:t>Cape eight</w:t>
      </w:r>
      <w:r w:rsidR="00F242CD" w:rsidRPr="00FC564B">
        <w:rPr>
          <w:rFonts w:ascii="Arial" w:hAnsi="Arial" w:cs="Arial"/>
          <w:sz w:val="20"/>
          <w:szCs w:val="20"/>
        </w:rPr>
        <w:t xml:space="preserve">; </w:t>
      </w:r>
      <w:r w:rsidR="00DC0613" w:rsidRPr="00FC564B">
        <w:rPr>
          <w:rFonts w:ascii="Arial" w:hAnsi="Arial" w:cs="Arial"/>
          <w:sz w:val="20"/>
          <w:szCs w:val="20"/>
        </w:rPr>
        <w:t>and the Northern Cape and North West four</w:t>
      </w:r>
      <w:r w:rsidR="00F242CD" w:rsidRPr="00FC564B">
        <w:rPr>
          <w:rFonts w:ascii="Arial" w:hAnsi="Arial" w:cs="Arial"/>
          <w:sz w:val="20"/>
          <w:szCs w:val="20"/>
        </w:rPr>
        <w:t xml:space="preserve"> each.</w:t>
      </w:r>
    </w:p>
    <w:p w:rsidR="00F242CD" w:rsidRPr="00FC564B" w:rsidRDefault="00F242CD" w:rsidP="00FC564B">
      <w:pPr>
        <w:rPr>
          <w:rFonts w:ascii="Arial" w:hAnsi="Arial" w:cs="Arial"/>
          <w:sz w:val="20"/>
          <w:szCs w:val="20"/>
        </w:rPr>
      </w:pPr>
    </w:p>
    <w:p w:rsidR="00F242CD" w:rsidRPr="00FC564B" w:rsidRDefault="00DC0613" w:rsidP="00FC564B">
      <w:pPr>
        <w:rPr>
          <w:rFonts w:ascii="Arial" w:hAnsi="Arial" w:cs="Arial"/>
          <w:sz w:val="20"/>
          <w:szCs w:val="20"/>
        </w:rPr>
      </w:pPr>
      <w:r w:rsidRPr="00FC564B">
        <w:rPr>
          <w:rFonts w:ascii="Arial" w:hAnsi="Arial" w:cs="Arial"/>
          <w:sz w:val="20"/>
          <w:szCs w:val="20"/>
        </w:rPr>
        <w:t>The r</w:t>
      </w:r>
      <w:r w:rsidR="00F242CD" w:rsidRPr="00FC564B">
        <w:rPr>
          <w:rFonts w:ascii="Arial" w:hAnsi="Arial" w:cs="Arial"/>
          <w:sz w:val="20"/>
          <w:szCs w:val="20"/>
        </w:rPr>
        <w:t xml:space="preserve">easons for </w:t>
      </w:r>
      <w:r w:rsidRPr="00FC564B">
        <w:rPr>
          <w:rFonts w:ascii="Arial" w:hAnsi="Arial" w:cs="Arial"/>
          <w:sz w:val="20"/>
          <w:szCs w:val="20"/>
        </w:rPr>
        <w:t xml:space="preserve">under-expenditure on this component were reportedly the </w:t>
      </w:r>
      <w:r w:rsidR="00F242CD" w:rsidRPr="00FC564B">
        <w:rPr>
          <w:rFonts w:ascii="Arial" w:hAnsi="Arial" w:cs="Arial"/>
          <w:sz w:val="20"/>
          <w:szCs w:val="20"/>
        </w:rPr>
        <w:t>follow</w:t>
      </w:r>
      <w:r w:rsidRPr="00FC564B">
        <w:rPr>
          <w:rFonts w:ascii="Arial" w:hAnsi="Arial" w:cs="Arial"/>
          <w:sz w:val="20"/>
          <w:szCs w:val="20"/>
        </w:rPr>
        <w:t>ing</w:t>
      </w:r>
      <w:r w:rsidR="00F242CD" w:rsidRPr="00FC564B">
        <w:rPr>
          <w:rFonts w:ascii="Arial" w:hAnsi="Arial" w:cs="Arial"/>
          <w:sz w:val="20"/>
          <w:szCs w:val="20"/>
        </w:rPr>
        <w:t>:</w:t>
      </w:r>
    </w:p>
    <w:p w:rsidR="00CF384A" w:rsidRPr="00FC564B" w:rsidRDefault="00DC0613" w:rsidP="00FC564B">
      <w:pPr>
        <w:pStyle w:val="ListParagraph"/>
        <w:numPr>
          <w:ilvl w:val="0"/>
          <w:numId w:val="6"/>
        </w:numPr>
        <w:rPr>
          <w:rFonts w:ascii="Arial" w:hAnsi="Arial" w:cs="Arial"/>
          <w:b/>
          <w:sz w:val="20"/>
          <w:szCs w:val="20"/>
        </w:rPr>
      </w:pPr>
      <w:r w:rsidRPr="00FC564B">
        <w:rPr>
          <w:rFonts w:ascii="Arial" w:hAnsi="Arial" w:cs="Arial"/>
          <w:sz w:val="20"/>
          <w:szCs w:val="20"/>
        </w:rPr>
        <w:lastRenderedPageBreak/>
        <w:t>Eastern Cape: A low-</w:t>
      </w:r>
      <w:r w:rsidR="00F242CD" w:rsidRPr="00FC564B">
        <w:rPr>
          <w:rFonts w:ascii="Arial" w:hAnsi="Arial" w:cs="Arial"/>
          <w:sz w:val="20"/>
          <w:szCs w:val="20"/>
        </w:rPr>
        <w:t xml:space="preserve">cost ECD </w:t>
      </w:r>
      <w:r w:rsidRPr="00FC564B">
        <w:rPr>
          <w:rFonts w:ascii="Arial" w:hAnsi="Arial" w:cs="Arial"/>
          <w:sz w:val="20"/>
          <w:szCs w:val="20"/>
        </w:rPr>
        <w:t xml:space="preserve">centre could not be constructed, as the earmarked land belonged to </w:t>
      </w:r>
      <w:r w:rsidR="00F242CD" w:rsidRPr="00FC564B">
        <w:rPr>
          <w:rFonts w:ascii="Arial" w:hAnsi="Arial" w:cs="Arial"/>
          <w:sz w:val="20"/>
          <w:szCs w:val="20"/>
        </w:rPr>
        <w:t>the traditional authority</w:t>
      </w:r>
      <w:r w:rsidRPr="00FC564B">
        <w:rPr>
          <w:rFonts w:ascii="Arial" w:hAnsi="Arial" w:cs="Arial"/>
          <w:sz w:val="20"/>
          <w:szCs w:val="20"/>
        </w:rPr>
        <w:t xml:space="preserve"> and </w:t>
      </w:r>
      <w:r w:rsidRPr="00FC564B">
        <w:rPr>
          <w:rFonts w:ascii="Arial" w:hAnsi="Arial" w:cs="Arial"/>
          <w:sz w:val="20"/>
          <w:szCs w:val="20"/>
          <w:lang w:val="en-GB"/>
        </w:rPr>
        <w:t>had to be transferred to the NPO</w:t>
      </w:r>
      <w:r w:rsidR="00F242CD" w:rsidRPr="00FC564B">
        <w:rPr>
          <w:rFonts w:ascii="Arial" w:hAnsi="Arial" w:cs="Arial"/>
          <w:sz w:val="20"/>
          <w:szCs w:val="20"/>
        </w:rPr>
        <w:t>. The issue</w:t>
      </w:r>
      <w:r w:rsidRPr="00FC564B">
        <w:rPr>
          <w:rFonts w:ascii="Arial" w:hAnsi="Arial" w:cs="Arial"/>
          <w:sz w:val="20"/>
          <w:szCs w:val="20"/>
        </w:rPr>
        <w:t xml:space="preserve"> had been</w:t>
      </w:r>
      <w:r w:rsidR="00F242CD" w:rsidRPr="00FC564B">
        <w:rPr>
          <w:rFonts w:ascii="Arial" w:hAnsi="Arial" w:cs="Arial"/>
          <w:sz w:val="20"/>
          <w:szCs w:val="20"/>
        </w:rPr>
        <w:t xml:space="preserve"> resolved late</w:t>
      </w:r>
      <w:r w:rsidR="00EE6AB4" w:rsidRPr="00FC564B">
        <w:rPr>
          <w:rFonts w:ascii="Arial" w:hAnsi="Arial" w:cs="Arial"/>
          <w:sz w:val="20"/>
          <w:szCs w:val="20"/>
        </w:rPr>
        <w:t>r</w:t>
      </w:r>
      <w:r w:rsidR="00F242CD" w:rsidRPr="00FC564B">
        <w:rPr>
          <w:rFonts w:ascii="Arial" w:hAnsi="Arial" w:cs="Arial"/>
          <w:sz w:val="20"/>
          <w:szCs w:val="20"/>
        </w:rPr>
        <w:t xml:space="preserve"> in the 2021/22 financial year</w:t>
      </w:r>
      <w:r w:rsidRPr="00FC564B">
        <w:rPr>
          <w:rFonts w:ascii="Arial" w:hAnsi="Arial" w:cs="Arial"/>
          <w:sz w:val="20"/>
          <w:szCs w:val="20"/>
        </w:rPr>
        <w:t xml:space="preserve"> and the </w:t>
      </w:r>
      <w:r w:rsidR="00CF384A" w:rsidRPr="00FC564B">
        <w:rPr>
          <w:rFonts w:ascii="Arial" w:hAnsi="Arial" w:cs="Arial"/>
          <w:sz w:val="20"/>
          <w:szCs w:val="20"/>
        </w:rPr>
        <w:t>DBE</w:t>
      </w:r>
      <w:r w:rsidRPr="00FC564B">
        <w:rPr>
          <w:rFonts w:ascii="Arial" w:hAnsi="Arial" w:cs="Arial"/>
          <w:sz w:val="20"/>
          <w:szCs w:val="20"/>
        </w:rPr>
        <w:t xml:space="preserve">, who had taken </w:t>
      </w:r>
      <w:r w:rsidR="00CF384A" w:rsidRPr="00FC564B">
        <w:rPr>
          <w:rFonts w:ascii="Arial" w:hAnsi="Arial" w:cs="Arial"/>
          <w:sz w:val="20"/>
          <w:szCs w:val="20"/>
        </w:rPr>
        <w:t>over the responsibility to proceed with construction</w:t>
      </w:r>
      <w:r w:rsidRPr="00FC564B">
        <w:rPr>
          <w:rFonts w:ascii="Arial" w:hAnsi="Arial" w:cs="Arial"/>
          <w:sz w:val="20"/>
          <w:szCs w:val="20"/>
        </w:rPr>
        <w:t xml:space="preserve">, planned </w:t>
      </w:r>
      <w:r w:rsidR="00CF384A" w:rsidRPr="00FC564B">
        <w:rPr>
          <w:rFonts w:ascii="Arial" w:hAnsi="Arial" w:cs="Arial"/>
          <w:sz w:val="20"/>
          <w:szCs w:val="20"/>
        </w:rPr>
        <w:t>to complete it within the 2022/23 financial year.</w:t>
      </w:r>
    </w:p>
    <w:p w:rsidR="00A16FB7" w:rsidRPr="00FC564B" w:rsidRDefault="00CF384A" w:rsidP="00FC564B">
      <w:pPr>
        <w:pStyle w:val="ListParagraph"/>
        <w:numPr>
          <w:ilvl w:val="0"/>
          <w:numId w:val="6"/>
        </w:numPr>
        <w:rPr>
          <w:rFonts w:ascii="Arial" w:hAnsi="Arial" w:cs="Arial"/>
          <w:b/>
          <w:sz w:val="20"/>
          <w:szCs w:val="20"/>
        </w:rPr>
      </w:pPr>
      <w:r w:rsidRPr="00FC564B">
        <w:rPr>
          <w:rFonts w:ascii="Arial" w:hAnsi="Arial" w:cs="Arial"/>
          <w:sz w:val="20"/>
          <w:szCs w:val="20"/>
        </w:rPr>
        <w:t xml:space="preserve">Free State: </w:t>
      </w:r>
      <w:r w:rsidR="00DC0613" w:rsidRPr="00FC564B">
        <w:rPr>
          <w:rFonts w:ascii="Arial" w:hAnsi="Arial" w:cs="Arial"/>
          <w:sz w:val="20"/>
          <w:szCs w:val="20"/>
        </w:rPr>
        <w:t xml:space="preserve">Following </w:t>
      </w:r>
      <w:r w:rsidRPr="00FC564B">
        <w:rPr>
          <w:rFonts w:ascii="Arial" w:hAnsi="Arial" w:cs="Arial"/>
          <w:sz w:val="20"/>
          <w:szCs w:val="20"/>
        </w:rPr>
        <w:t>a delay in the appointment of an implementing agent</w:t>
      </w:r>
      <w:r w:rsidR="00EB79FD" w:rsidRPr="00FC564B">
        <w:rPr>
          <w:rFonts w:ascii="Arial" w:hAnsi="Arial" w:cs="Arial"/>
          <w:sz w:val="20"/>
          <w:szCs w:val="20"/>
        </w:rPr>
        <w:t xml:space="preserve"> (IA)</w:t>
      </w:r>
      <w:r w:rsidR="00DC0613" w:rsidRPr="00FC564B">
        <w:rPr>
          <w:rFonts w:ascii="Arial" w:hAnsi="Arial" w:cs="Arial"/>
          <w:sz w:val="20"/>
          <w:szCs w:val="20"/>
        </w:rPr>
        <w:t xml:space="preserve">, there had been </w:t>
      </w:r>
      <w:r w:rsidRPr="00FC564B">
        <w:rPr>
          <w:rFonts w:ascii="Arial" w:hAnsi="Arial" w:cs="Arial"/>
          <w:sz w:val="20"/>
          <w:szCs w:val="20"/>
        </w:rPr>
        <w:t xml:space="preserve">challenges between the </w:t>
      </w:r>
      <w:r w:rsidR="001C4FAA" w:rsidRPr="00FC564B">
        <w:rPr>
          <w:rFonts w:ascii="Arial" w:hAnsi="Arial" w:cs="Arial"/>
          <w:sz w:val="20"/>
          <w:szCs w:val="20"/>
        </w:rPr>
        <w:t xml:space="preserve">Department of Social Development </w:t>
      </w:r>
      <w:r w:rsidRPr="00FC564B">
        <w:rPr>
          <w:rFonts w:ascii="Arial" w:hAnsi="Arial" w:cs="Arial"/>
          <w:sz w:val="20"/>
          <w:szCs w:val="20"/>
        </w:rPr>
        <w:t xml:space="preserve">and </w:t>
      </w:r>
      <w:r w:rsidR="00EB79FD" w:rsidRPr="00FC564B">
        <w:rPr>
          <w:rFonts w:ascii="Arial" w:hAnsi="Arial" w:cs="Arial"/>
          <w:sz w:val="20"/>
          <w:szCs w:val="20"/>
        </w:rPr>
        <w:t xml:space="preserve">the </w:t>
      </w:r>
      <w:r w:rsidRPr="00FC564B">
        <w:rPr>
          <w:rFonts w:ascii="Arial" w:hAnsi="Arial" w:cs="Arial"/>
          <w:sz w:val="20"/>
          <w:szCs w:val="20"/>
        </w:rPr>
        <w:t xml:space="preserve">Department of Public Works and </w:t>
      </w:r>
      <w:r w:rsidR="00EB79FD" w:rsidRPr="00FC564B">
        <w:rPr>
          <w:rFonts w:ascii="Arial" w:hAnsi="Arial" w:cs="Arial"/>
          <w:sz w:val="20"/>
          <w:szCs w:val="20"/>
        </w:rPr>
        <w:t>I</w:t>
      </w:r>
      <w:r w:rsidRPr="00FC564B">
        <w:rPr>
          <w:rFonts w:ascii="Arial" w:hAnsi="Arial" w:cs="Arial"/>
          <w:sz w:val="20"/>
          <w:szCs w:val="20"/>
        </w:rPr>
        <w:t xml:space="preserve">nfrastructure. As a result, the </w:t>
      </w:r>
      <w:r w:rsidR="005B5F66" w:rsidRPr="00FC564B">
        <w:rPr>
          <w:rFonts w:ascii="Arial" w:hAnsi="Arial" w:cs="Arial"/>
          <w:sz w:val="20"/>
          <w:szCs w:val="20"/>
        </w:rPr>
        <w:t>P</w:t>
      </w:r>
      <w:r w:rsidRPr="00FC564B">
        <w:rPr>
          <w:rFonts w:ascii="Arial" w:hAnsi="Arial" w:cs="Arial"/>
          <w:sz w:val="20"/>
          <w:szCs w:val="20"/>
        </w:rPr>
        <w:t xml:space="preserve">rovince did not acquire the Permission to Occupy from the </w:t>
      </w:r>
      <w:r w:rsidR="0024248D" w:rsidRPr="00FC564B">
        <w:rPr>
          <w:rFonts w:ascii="Arial" w:hAnsi="Arial" w:cs="Arial"/>
          <w:sz w:val="20"/>
          <w:szCs w:val="20"/>
        </w:rPr>
        <w:t>M</w:t>
      </w:r>
      <w:r w:rsidRPr="00FC564B">
        <w:rPr>
          <w:rFonts w:ascii="Arial" w:hAnsi="Arial" w:cs="Arial"/>
          <w:sz w:val="20"/>
          <w:szCs w:val="20"/>
        </w:rPr>
        <w:t xml:space="preserve">unicipality for the identified site. </w:t>
      </w:r>
      <w:r w:rsidR="00EB79FD" w:rsidRPr="00FC564B">
        <w:rPr>
          <w:rFonts w:ascii="Arial" w:hAnsi="Arial" w:cs="Arial"/>
          <w:sz w:val="20"/>
          <w:szCs w:val="20"/>
        </w:rPr>
        <w:t xml:space="preserve">The </w:t>
      </w:r>
      <w:r w:rsidRPr="00FC564B">
        <w:rPr>
          <w:rFonts w:ascii="Arial" w:hAnsi="Arial" w:cs="Arial"/>
          <w:sz w:val="20"/>
          <w:szCs w:val="20"/>
        </w:rPr>
        <w:t>DBE</w:t>
      </w:r>
      <w:r w:rsidR="00EB79FD" w:rsidRPr="00FC564B">
        <w:rPr>
          <w:rFonts w:ascii="Arial" w:hAnsi="Arial" w:cs="Arial"/>
          <w:sz w:val="20"/>
          <w:szCs w:val="20"/>
        </w:rPr>
        <w:t>, who would continue and implement t</w:t>
      </w:r>
      <w:r w:rsidRPr="00FC564B">
        <w:rPr>
          <w:rFonts w:ascii="Arial" w:hAnsi="Arial" w:cs="Arial"/>
          <w:sz w:val="20"/>
          <w:szCs w:val="20"/>
        </w:rPr>
        <w:t>he project in-house</w:t>
      </w:r>
      <w:r w:rsidR="00EB79FD" w:rsidRPr="00FC564B">
        <w:rPr>
          <w:rFonts w:ascii="Arial" w:hAnsi="Arial" w:cs="Arial"/>
          <w:sz w:val="20"/>
          <w:szCs w:val="20"/>
        </w:rPr>
        <w:t xml:space="preserve">, was </w:t>
      </w:r>
      <w:r w:rsidRPr="00FC564B">
        <w:rPr>
          <w:rFonts w:ascii="Arial" w:hAnsi="Arial" w:cs="Arial"/>
          <w:sz w:val="20"/>
          <w:szCs w:val="20"/>
        </w:rPr>
        <w:t>busy with the Bill of Quantities and</w:t>
      </w:r>
      <w:r w:rsidR="00A16FB7" w:rsidRPr="00FC564B">
        <w:rPr>
          <w:rFonts w:ascii="Arial" w:hAnsi="Arial" w:cs="Arial"/>
          <w:sz w:val="20"/>
          <w:szCs w:val="20"/>
        </w:rPr>
        <w:t xml:space="preserve"> outstanding engineering drawings </w:t>
      </w:r>
      <w:r w:rsidR="00EB79FD" w:rsidRPr="00FC564B">
        <w:rPr>
          <w:rFonts w:ascii="Arial" w:hAnsi="Arial" w:cs="Arial"/>
          <w:sz w:val="20"/>
          <w:szCs w:val="20"/>
        </w:rPr>
        <w:t>as well as</w:t>
      </w:r>
      <w:r w:rsidR="00A16FB7" w:rsidRPr="00FC564B">
        <w:rPr>
          <w:rFonts w:ascii="Arial" w:hAnsi="Arial" w:cs="Arial"/>
          <w:sz w:val="20"/>
          <w:szCs w:val="20"/>
        </w:rPr>
        <w:t xml:space="preserve"> with other projects that </w:t>
      </w:r>
      <w:r w:rsidR="00EB79FD" w:rsidRPr="00FC564B">
        <w:rPr>
          <w:rFonts w:ascii="Arial" w:hAnsi="Arial" w:cs="Arial"/>
          <w:sz w:val="20"/>
          <w:szCs w:val="20"/>
        </w:rPr>
        <w:t xml:space="preserve">had not been </w:t>
      </w:r>
      <w:r w:rsidR="0024248D" w:rsidRPr="00FC564B">
        <w:rPr>
          <w:rFonts w:ascii="Arial" w:hAnsi="Arial" w:cs="Arial"/>
          <w:sz w:val="20"/>
          <w:szCs w:val="20"/>
        </w:rPr>
        <w:t>implemented</w:t>
      </w:r>
      <w:r w:rsidR="00A16FB7" w:rsidRPr="00FC564B">
        <w:rPr>
          <w:rFonts w:ascii="Arial" w:hAnsi="Arial" w:cs="Arial"/>
          <w:sz w:val="20"/>
          <w:szCs w:val="20"/>
        </w:rPr>
        <w:t xml:space="preserve"> in </w:t>
      </w:r>
      <w:r w:rsidR="00EB79FD" w:rsidRPr="00FC564B">
        <w:rPr>
          <w:rFonts w:ascii="Arial" w:hAnsi="Arial" w:cs="Arial"/>
          <w:sz w:val="20"/>
          <w:szCs w:val="20"/>
        </w:rPr>
        <w:t xml:space="preserve">the </w:t>
      </w:r>
      <w:r w:rsidR="00A16FB7" w:rsidRPr="00FC564B">
        <w:rPr>
          <w:rFonts w:ascii="Arial" w:hAnsi="Arial" w:cs="Arial"/>
          <w:sz w:val="20"/>
          <w:szCs w:val="20"/>
        </w:rPr>
        <w:t>2021/22 financial year.</w:t>
      </w:r>
    </w:p>
    <w:p w:rsidR="00F3484D" w:rsidRPr="00FC564B" w:rsidRDefault="00F3484D" w:rsidP="00FC564B">
      <w:pPr>
        <w:pStyle w:val="ListParagraph"/>
        <w:numPr>
          <w:ilvl w:val="0"/>
          <w:numId w:val="6"/>
        </w:numPr>
        <w:rPr>
          <w:rFonts w:ascii="Arial" w:hAnsi="Arial" w:cs="Arial"/>
          <w:sz w:val="20"/>
          <w:szCs w:val="20"/>
        </w:rPr>
      </w:pPr>
      <w:r w:rsidRPr="00FC564B">
        <w:rPr>
          <w:rFonts w:ascii="Arial" w:hAnsi="Arial" w:cs="Arial"/>
          <w:sz w:val="20"/>
          <w:szCs w:val="20"/>
        </w:rPr>
        <w:t xml:space="preserve">Gauteng: Some of the </w:t>
      </w:r>
      <w:r w:rsidR="00EB79FD" w:rsidRPr="00FC564B">
        <w:rPr>
          <w:rFonts w:ascii="Arial" w:hAnsi="Arial" w:cs="Arial"/>
          <w:sz w:val="20"/>
          <w:szCs w:val="20"/>
        </w:rPr>
        <w:t xml:space="preserve">targeted </w:t>
      </w:r>
      <w:r w:rsidRPr="00FC564B">
        <w:rPr>
          <w:rFonts w:ascii="Arial" w:hAnsi="Arial" w:cs="Arial"/>
          <w:sz w:val="20"/>
          <w:szCs w:val="20"/>
        </w:rPr>
        <w:t xml:space="preserve">ECD centres </w:t>
      </w:r>
      <w:r w:rsidR="00EB79FD" w:rsidRPr="00FC564B">
        <w:rPr>
          <w:rFonts w:ascii="Arial" w:hAnsi="Arial" w:cs="Arial"/>
          <w:sz w:val="20"/>
          <w:szCs w:val="20"/>
        </w:rPr>
        <w:t>had</w:t>
      </w:r>
      <w:r w:rsidRPr="00FC564B">
        <w:rPr>
          <w:rFonts w:ascii="Arial" w:hAnsi="Arial" w:cs="Arial"/>
          <w:sz w:val="20"/>
          <w:szCs w:val="20"/>
        </w:rPr>
        <w:t xml:space="preserve"> closed down and </w:t>
      </w:r>
      <w:r w:rsidR="00EB79FD" w:rsidRPr="00FC564B">
        <w:rPr>
          <w:rFonts w:ascii="Arial" w:hAnsi="Arial" w:cs="Arial"/>
          <w:sz w:val="20"/>
          <w:szCs w:val="20"/>
        </w:rPr>
        <w:t xml:space="preserve">it had been </w:t>
      </w:r>
      <w:r w:rsidRPr="00FC564B">
        <w:rPr>
          <w:rFonts w:ascii="Arial" w:hAnsi="Arial" w:cs="Arial"/>
          <w:sz w:val="20"/>
          <w:szCs w:val="20"/>
        </w:rPr>
        <w:t>too late to replace them.</w:t>
      </w:r>
      <w:r w:rsidR="00EB79FD" w:rsidRPr="00FC564B">
        <w:rPr>
          <w:rFonts w:ascii="Arial" w:hAnsi="Arial" w:cs="Arial"/>
          <w:sz w:val="20"/>
          <w:szCs w:val="20"/>
        </w:rPr>
        <w:t xml:space="preserve"> To date, there had been no work done, as the re</w:t>
      </w:r>
      <w:r w:rsidRPr="00FC564B">
        <w:rPr>
          <w:rFonts w:ascii="Arial" w:hAnsi="Arial" w:cs="Arial"/>
          <w:sz w:val="20"/>
          <w:szCs w:val="20"/>
        </w:rPr>
        <w:t xml:space="preserve">placement list </w:t>
      </w:r>
      <w:r w:rsidR="00EB79FD" w:rsidRPr="00FC564B">
        <w:rPr>
          <w:rFonts w:ascii="Arial" w:hAnsi="Arial" w:cs="Arial"/>
          <w:sz w:val="20"/>
          <w:szCs w:val="20"/>
        </w:rPr>
        <w:t>had not been received yet.</w:t>
      </w:r>
    </w:p>
    <w:p w:rsidR="00F3484D" w:rsidRPr="00FC564B" w:rsidRDefault="00F3484D" w:rsidP="00FC564B">
      <w:pPr>
        <w:pStyle w:val="ListParagraph"/>
        <w:numPr>
          <w:ilvl w:val="0"/>
          <w:numId w:val="6"/>
        </w:numPr>
        <w:rPr>
          <w:rFonts w:ascii="Arial" w:hAnsi="Arial" w:cs="Arial"/>
          <w:sz w:val="20"/>
          <w:szCs w:val="20"/>
        </w:rPr>
      </w:pPr>
      <w:r w:rsidRPr="00FC564B">
        <w:rPr>
          <w:rFonts w:ascii="Arial" w:hAnsi="Arial" w:cs="Arial"/>
          <w:sz w:val="20"/>
          <w:szCs w:val="20"/>
        </w:rPr>
        <w:t xml:space="preserve">KwaZulu-Natal: There </w:t>
      </w:r>
      <w:r w:rsidR="00EB79FD" w:rsidRPr="00FC564B">
        <w:rPr>
          <w:rFonts w:ascii="Arial" w:hAnsi="Arial" w:cs="Arial"/>
          <w:sz w:val="20"/>
          <w:szCs w:val="20"/>
        </w:rPr>
        <w:t xml:space="preserve">had been </w:t>
      </w:r>
      <w:r w:rsidRPr="00FC564B">
        <w:rPr>
          <w:rFonts w:ascii="Arial" w:hAnsi="Arial" w:cs="Arial"/>
          <w:sz w:val="20"/>
          <w:szCs w:val="20"/>
        </w:rPr>
        <w:t xml:space="preserve">challenges with the </w:t>
      </w:r>
      <w:r w:rsidR="00EB79FD" w:rsidRPr="00FC564B">
        <w:rPr>
          <w:rFonts w:ascii="Arial" w:hAnsi="Arial" w:cs="Arial"/>
          <w:sz w:val="20"/>
          <w:szCs w:val="20"/>
        </w:rPr>
        <w:t>IA</w:t>
      </w:r>
      <w:r w:rsidRPr="00FC564B">
        <w:rPr>
          <w:rFonts w:ascii="Arial" w:hAnsi="Arial" w:cs="Arial"/>
          <w:sz w:val="20"/>
          <w:szCs w:val="20"/>
        </w:rPr>
        <w:t xml:space="preserve"> relating to delays in procurement of service providers. The project manager </w:t>
      </w:r>
      <w:r w:rsidR="00EB79FD" w:rsidRPr="00FC564B">
        <w:rPr>
          <w:rFonts w:ascii="Arial" w:hAnsi="Arial" w:cs="Arial"/>
          <w:sz w:val="20"/>
          <w:szCs w:val="20"/>
        </w:rPr>
        <w:t xml:space="preserve">had </w:t>
      </w:r>
      <w:r w:rsidRPr="00FC564B">
        <w:rPr>
          <w:rFonts w:ascii="Arial" w:hAnsi="Arial" w:cs="Arial"/>
          <w:sz w:val="20"/>
          <w:szCs w:val="20"/>
        </w:rPr>
        <w:t>left and</w:t>
      </w:r>
      <w:r w:rsidR="00EB79FD" w:rsidRPr="00FC564B">
        <w:rPr>
          <w:rFonts w:ascii="Arial" w:hAnsi="Arial" w:cs="Arial"/>
          <w:sz w:val="20"/>
          <w:szCs w:val="20"/>
        </w:rPr>
        <w:t xml:space="preserve"> appointing</w:t>
      </w:r>
      <w:r w:rsidR="00A85FAA" w:rsidRPr="00FC564B">
        <w:rPr>
          <w:rFonts w:ascii="Arial" w:hAnsi="Arial" w:cs="Arial"/>
          <w:sz w:val="20"/>
          <w:szCs w:val="20"/>
        </w:rPr>
        <w:t xml:space="preserve"> a replacement</w:t>
      </w:r>
      <w:r w:rsidRPr="00FC564B">
        <w:rPr>
          <w:rFonts w:ascii="Arial" w:hAnsi="Arial" w:cs="Arial"/>
          <w:sz w:val="20"/>
          <w:szCs w:val="20"/>
        </w:rPr>
        <w:t xml:space="preserve"> </w:t>
      </w:r>
      <w:r w:rsidR="00EB79FD" w:rsidRPr="00FC564B">
        <w:rPr>
          <w:rFonts w:ascii="Arial" w:hAnsi="Arial" w:cs="Arial"/>
          <w:sz w:val="20"/>
          <w:szCs w:val="20"/>
        </w:rPr>
        <w:t xml:space="preserve">had </w:t>
      </w:r>
      <w:r w:rsidRPr="00FC564B">
        <w:rPr>
          <w:rFonts w:ascii="Arial" w:hAnsi="Arial" w:cs="Arial"/>
          <w:sz w:val="20"/>
          <w:szCs w:val="20"/>
        </w:rPr>
        <w:t xml:space="preserve">resulted in further delays.  The expenditure </w:t>
      </w:r>
      <w:r w:rsidR="000275CD" w:rsidRPr="00FC564B">
        <w:rPr>
          <w:rFonts w:ascii="Arial" w:hAnsi="Arial" w:cs="Arial"/>
          <w:sz w:val="20"/>
          <w:szCs w:val="20"/>
        </w:rPr>
        <w:t xml:space="preserve">recorded </w:t>
      </w:r>
      <w:r w:rsidR="00A85FAA" w:rsidRPr="00FC564B">
        <w:rPr>
          <w:rFonts w:ascii="Arial" w:hAnsi="Arial" w:cs="Arial"/>
          <w:sz w:val="20"/>
          <w:szCs w:val="20"/>
        </w:rPr>
        <w:t xml:space="preserve">was 100 percent, as </w:t>
      </w:r>
      <w:r w:rsidRPr="00FC564B">
        <w:rPr>
          <w:rFonts w:ascii="Arial" w:hAnsi="Arial" w:cs="Arial"/>
          <w:sz w:val="20"/>
          <w:szCs w:val="20"/>
        </w:rPr>
        <w:t xml:space="preserve">funds </w:t>
      </w:r>
      <w:r w:rsidR="00A85FAA" w:rsidRPr="00FC564B">
        <w:rPr>
          <w:rFonts w:ascii="Arial" w:hAnsi="Arial" w:cs="Arial"/>
          <w:sz w:val="20"/>
          <w:szCs w:val="20"/>
        </w:rPr>
        <w:t>had been</w:t>
      </w:r>
      <w:r w:rsidRPr="00FC564B">
        <w:rPr>
          <w:rFonts w:ascii="Arial" w:hAnsi="Arial" w:cs="Arial"/>
          <w:sz w:val="20"/>
          <w:szCs w:val="20"/>
        </w:rPr>
        <w:t xml:space="preserve"> transferred to the </w:t>
      </w:r>
      <w:r w:rsidR="00A85FAA" w:rsidRPr="00FC564B">
        <w:rPr>
          <w:rFonts w:ascii="Arial" w:hAnsi="Arial" w:cs="Arial"/>
          <w:sz w:val="20"/>
          <w:szCs w:val="20"/>
        </w:rPr>
        <w:t>IA</w:t>
      </w:r>
      <w:r w:rsidR="000275CD" w:rsidRPr="00FC564B">
        <w:rPr>
          <w:rFonts w:ascii="Arial" w:hAnsi="Arial" w:cs="Arial"/>
          <w:sz w:val="20"/>
          <w:szCs w:val="20"/>
        </w:rPr>
        <w:t xml:space="preserve"> to enable it to procure materials and pay contractors, as agreed d</w:t>
      </w:r>
      <w:r w:rsidRPr="00FC564B">
        <w:rPr>
          <w:rFonts w:ascii="Arial" w:hAnsi="Arial" w:cs="Arial"/>
          <w:sz w:val="20"/>
          <w:szCs w:val="20"/>
        </w:rPr>
        <w:t xml:space="preserve">uring the </w:t>
      </w:r>
      <w:r w:rsidR="000275CD" w:rsidRPr="00FC564B">
        <w:rPr>
          <w:rFonts w:ascii="Arial" w:hAnsi="Arial" w:cs="Arial"/>
          <w:sz w:val="20"/>
          <w:szCs w:val="20"/>
        </w:rPr>
        <w:t>first</w:t>
      </w:r>
      <w:r w:rsidRPr="00FC564B">
        <w:rPr>
          <w:rFonts w:ascii="Arial" w:hAnsi="Arial" w:cs="Arial"/>
          <w:sz w:val="20"/>
          <w:szCs w:val="20"/>
        </w:rPr>
        <w:t xml:space="preserve"> quarter</w:t>
      </w:r>
      <w:r w:rsidR="000275CD" w:rsidRPr="00FC564B">
        <w:rPr>
          <w:rFonts w:ascii="Arial" w:hAnsi="Arial" w:cs="Arial"/>
          <w:sz w:val="20"/>
          <w:szCs w:val="20"/>
        </w:rPr>
        <w:t>. All backlog projects would</w:t>
      </w:r>
      <w:r w:rsidRPr="00FC564B">
        <w:rPr>
          <w:rFonts w:ascii="Arial" w:hAnsi="Arial" w:cs="Arial"/>
          <w:sz w:val="20"/>
          <w:szCs w:val="20"/>
        </w:rPr>
        <w:t xml:space="preserve"> be implemented by </w:t>
      </w:r>
      <w:r w:rsidR="000275CD" w:rsidRPr="00FC564B">
        <w:rPr>
          <w:rFonts w:ascii="Arial" w:hAnsi="Arial" w:cs="Arial"/>
          <w:sz w:val="20"/>
          <w:szCs w:val="20"/>
        </w:rPr>
        <w:t xml:space="preserve">the </w:t>
      </w:r>
      <w:r w:rsidRPr="00FC564B">
        <w:rPr>
          <w:rFonts w:ascii="Arial" w:hAnsi="Arial" w:cs="Arial"/>
          <w:sz w:val="20"/>
          <w:szCs w:val="20"/>
        </w:rPr>
        <w:t xml:space="preserve">DBE. </w:t>
      </w:r>
    </w:p>
    <w:p w:rsidR="00F3484D" w:rsidRPr="00FC564B" w:rsidRDefault="000275CD" w:rsidP="00FC564B">
      <w:pPr>
        <w:pStyle w:val="ListParagraph"/>
        <w:numPr>
          <w:ilvl w:val="0"/>
          <w:numId w:val="6"/>
        </w:numPr>
        <w:rPr>
          <w:rFonts w:ascii="Arial" w:hAnsi="Arial" w:cs="Arial"/>
          <w:sz w:val="20"/>
          <w:szCs w:val="20"/>
        </w:rPr>
      </w:pPr>
      <w:r w:rsidRPr="00FC564B">
        <w:rPr>
          <w:rFonts w:ascii="Arial" w:hAnsi="Arial" w:cs="Arial"/>
          <w:sz w:val="20"/>
          <w:szCs w:val="20"/>
        </w:rPr>
        <w:t>Limpopo:  Construction of a</w:t>
      </w:r>
      <w:r w:rsidR="00F3484D" w:rsidRPr="00FC564B">
        <w:rPr>
          <w:rFonts w:ascii="Arial" w:hAnsi="Arial" w:cs="Arial"/>
          <w:sz w:val="20"/>
          <w:szCs w:val="20"/>
        </w:rPr>
        <w:t xml:space="preserve"> l</w:t>
      </w:r>
      <w:r w:rsidRPr="00FC564B">
        <w:rPr>
          <w:rFonts w:ascii="Arial" w:hAnsi="Arial" w:cs="Arial"/>
          <w:sz w:val="20"/>
          <w:szCs w:val="20"/>
        </w:rPr>
        <w:t>ow-</w:t>
      </w:r>
      <w:r w:rsidR="00F3484D" w:rsidRPr="00FC564B">
        <w:rPr>
          <w:rFonts w:ascii="Arial" w:hAnsi="Arial" w:cs="Arial"/>
          <w:sz w:val="20"/>
          <w:szCs w:val="20"/>
        </w:rPr>
        <w:t xml:space="preserve">cost ECD </w:t>
      </w:r>
      <w:r w:rsidRPr="00FC564B">
        <w:rPr>
          <w:rFonts w:ascii="Arial" w:hAnsi="Arial" w:cs="Arial"/>
          <w:sz w:val="20"/>
          <w:szCs w:val="20"/>
        </w:rPr>
        <w:t xml:space="preserve">centre </w:t>
      </w:r>
      <w:r w:rsidR="00F3484D" w:rsidRPr="00FC564B">
        <w:rPr>
          <w:rFonts w:ascii="Arial" w:hAnsi="Arial" w:cs="Arial"/>
          <w:sz w:val="20"/>
          <w:szCs w:val="20"/>
        </w:rPr>
        <w:t xml:space="preserve">was still underway and </w:t>
      </w:r>
      <w:r w:rsidRPr="00FC564B">
        <w:rPr>
          <w:rFonts w:ascii="Arial" w:hAnsi="Arial" w:cs="Arial"/>
          <w:sz w:val="20"/>
          <w:szCs w:val="20"/>
        </w:rPr>
        <w:t xml:space="preserve">the </w:t>
      </w:r>
      <w:r w:rsidR="00F3484D" w:rsidRPr="00FC564B">
        <w:rPr>
          <w:rFonts w:ascii="Arial" w:hAnsi="Arial" w:cs="Arial"/>
          <w:sz w:val="20"/>
          <w:szCs w:val="20"/>
        </w:rPr>
        <w:t xml:space="preserve">contractor not </w:t>
      </w:r>
      <w:r w:rsidRPr="00FC564B">
        <w:rPr>
          <w:rFonts w:ascii="Arial" w:hAnsi="Arial" w:cs="Arial"/>
          <w:sz w:val="20"/>
          <w:szCs w:val="20"/>
        </w:rPr>
        <w:t xml:space="preserve">yet </w:t>
      </w:r>
      <w:r w:rsidR="00F3484D" w:rsidRPr="00FC564B">
        <w:rPr>
          <w:rFonts w:ascii="Arial" w:hAnsi="Arial" w:cs="Arial"/>
          <w:sz w:val="20"/>
          <w:szCs w:val="20"/>
        </w:rPr>
        <w:t xml:space="preserve">paid. The </w:t>
      </w:r>
      <w:r w:rsidRPr="00FC564B">
        <w:rPr>
          <w:rFonts w:ascii="Arial" w:hAnsi="Arial" w:cs="Arial"/>
          <w:sz w:val="20"/>
          <w:szCs w:val="20"/>
        </w:rPr>
        <w:t xml:space="preserve">IA, the </w:t>
      </w:r>
      <w:r w:rsidR="0024248D" w:rsidRPr="00FC564B">
        <w:rPr>
          <w:rFonts w:ascii="Arial" w:hAnsi="Arial" w:cs="Arial"/>
          <w:sz w:val="20"/>
          <w:szCs w:val="20"/>
        </w:rPr>
        <w:t>Department of Public Works and Infrastructure</w:t>
      </w:r>
      <w:r w:rsidRPr="00FC564B">
        <w:rPr>
          <w:rFonts w:ascii="Arial" w:hAnsi="Arial" w:cs="Arial"/>
          <w:sz w:val="20"/>
          <w:szCs w:val="20"/>
        </w:rPr>
        <w:t>, had o</w:t>
      </w:r>
      <w:r w:rsidR="00F3484D" w:rsidRPr="00FC564B">
        <w:rPr>
          <w:rFonts w:ascii="Arial" w:hAnsi="Arial" w:cs="Arial"/>
          <w:sz w:val="20"/>
          <w:szCs w:val="20"/>
        </w:rPr>
        <w:t>nly appointed the se</w:t>
      </w:r>
      <w:r w:rsidRPr="00FC564B">
        <w:rPr>
          <w:rFonts w:ascii="Arial" w:hAnsi="Arial" w:cs="Arial"/>
          <w:sz w:val="20"/>
          <w:szCs w:val="20"/>
        </w:rPr>
        <w:t xml:space="preserve">rvice provider in February 2022; and the project was </w:t>
      </w:r>
      <w:r w:rsidR="00F3484D" w:rsidRPr="00FC564B">
        <w:rPr>
          <w:rFonts w:ascii="Arial" w:hAnsi="Arial" w:cs="Arial"/>
          <w:sz w:val="20"/>
          <w:szCs w:val="20"/>
        </w:rPr>
        <w:t>60</w:t>
      </w:r>
      <w:r w:rsidRPr="00FC564B">
        <w:rPr>
          <w:rFonts w:ascii="Arial" w:hAnsi="Arial" w:cs="Arial"/>
          <w:sz w:val="20"/>
          <w:szCs w:val="20"/>
        </w:rPr>
        <w:t xml:space="preserve"> percent</w:t>
      </w:r>
      <w:r w:rsidR="00F3484D" w:rsidRPr="00FC564B">
        <w:rPr>
          <w:rFonts w:ascii="Arial" w:hAnsi="Arial" w:cs="Arial"/>
          <w:sz w:val="20"/>
          <w:szCs w:val="20"/>
        </w:rPr>
        <w:t xml:space="preserve"> complet</w:t>
      </w:r>
      <w:r w:rsidRPr="00FC564B">
        <w:rPr>
          <w:rFonts w:ascii="Arial" w:hAnsi="Arial" w:cs="Arial"/>
          <w:sz w:val="20"/>
          <w:szCs w:val="20"/>
        </w:rPr>
        <w:t>ed at the time of reporting</w:t>
      </w:r>
      <w:r w:rsidR="00F3484D" w:rsidRPr="00FC564B">
        <w:rPr>
          <w:rFonts w:ascii="Arial" w:hAnsi="Arial" w:cs="Arial"/>
          <w:sz w:val="20"/>
          <w:szCs w:val="20"/>
        </w:rPr>
        <w:t xml:space="preserve">. </w:t>
      </w:r>
    </w:p>
    <w:p w:rsidR="00F3484D" w:rsidRPr="00FC564B" w:rsidRDefault="000275CD" w:rsidP="00FC564B">
      <w:pPr>
        <w:pStyle w:val="ListParagraph"/>
        <w:numPr>
          <w:ilvl w:val="0"/>
          <w:numId w:val="6"/>
        </w:numPr>
        <w:rPr>
          <w:rFonts w:ascii="Arial" w:hAnsi="Arial" w:cs="Arial"/>
          <w:sz w:val="20"/>
          <w:szCs w:val="20"/>
        </w:rPr>
      </w:pPr>
      <w:r w:rsidRPr="00FC564B">
        <w:rPr>
          <w:rFonts w:ascii="Arial" w:hAnsi="Arial" w:cs="Arial"/>
          <w:sz w:val="20"/>
          <w:szCs w:val="20"/>
        </w:rPr>
        <w:t>Mpumalanga: The low-cost ECD and other centres had</w:t>
      </w:r>
      <w:r w:rsidR="00F3484D" w:rsidRPr="00FC564B">
        <w:rPr>
          <w:rFonts w:ascii="Arial" w:hAnsi="Arial" w:cs="Arial"/>
          <w:sz w:val="20"/>
          <w:szCs w:val="20"/>
        </w:rPr>
        <w:t xml:space="preserve"> not </w:t>
      </w:r>
      <w:r w:rsidRPr="00FC564B">
        <w:rPr>
          <w:rFonts w:ascii="Arial" w:hAnsi="Arial" w:cs="Arial"/>
          <w:sz w:val="20"/>
          <w:szCs w:val="20"/>
        </w:rPr>
        <w:t xml:space="preserve">been </w:t>
      </w:r>
      <w:r w:rsidR="00F3484D" w:rsidRPr="00FC564B">
        <w:rPr>
          <w:rFonts w:ascii="Arial" w:hAnsi="Arial" w:cs="Arial"/>
          <w:sz w:val="20"/>
          <w:szCs w:val="20"/>
        </w:rPr>
        <w:t xml:space="preserve">completed and the </w:t>
      </w:r>
      <w:r w:rsidR="00391459" w:rsidRPr="00FC564B">
        <w:rPr>
          <w:rFonts w:ascii="Arial" w:hAnsi="Arial" w:cs="Arial"/>
          <w:sz w:val="20"/>
          <w:szCs w:val="20"/>
        </w:rPr>
        <w:t>P</w:t>
      </w:r>
      <w:r w:rsidR="00F3484D" w:rsidRPr="00FC564B">
        <w:rPr>
          <w:rFonts w:ascii="Arial" w:hAnsi="Arial" w:cs="Arial"/>
          <w:sz w:val="20"/>
          <w:szCs w:val="20"/>
        </w:rPr>
        <w:t xml:space="preserve">rovince </w:t>
      </w:r>
      <w:r w:rsidRPr="00FC564B">
        <w:rPr>
          <w:rFonts w:ascii="Arial" w:hAnsi="Arial" w:cs="Arial"/>
          <w:sz w:val="20"/>
          <w:szCs w:val="20"/>
        </w:rPr>
        <w:t xml:space="preserve">had </w:t>
      </w:r>
      <w:r w:rsidR="00F3484D" w:rsidRPr="00FC564B">
        <w:rPr>
          <w:rFonts w:ascii="Arial" w:hAnsi="Arial" w:cs="Arial"/>
          <w:sz w:val="20"/>
          <w:szCs w:val="20"/>
        </w:rPr>
        <w:t xml:space="preserve">made sectional payments to contractors. The </w:t>
      </w:r>
      <w:r w:rsidRPr="00FC564B">
        <w:rPr>
          <w:rFonts w:ascii="Arial" w:hAnsi="Arial" w:cs="Arial"/>
          <w:sz w:val="20"/>
          <w:szCs w:val="20"/>
        </w:rPr>
        <w:t xml:space="preserve">IA, the </w:t>
      </w:r>
      <w:r w:rsidR="00391459" w:rsidRPr="00FC564B">
        <w:rPr>
          <w:rFonts w:ascii="Arial" w:hAnsi="Arial" w:cs="Arial"/>
          <w:sz w:val="20"/>
          <w:szCs w:val="20"/>
        </w:rPr>
        <w:t>Department of Public Works and Infrastructure</w:t>
      </w:r>
      <w:r w:rsidRPr="00FC564B">
        <w:rPr>
          <w:rFonts w:ascii="Arial" w:hAnsi="Arial" w:cs="Arial"/>
          <w:sz w:val="20"/>
          <w:szCs w:val="20"/>
        </w:rPr>
        <w:t xml:space="preserve">, had only </w:t>
      </w:r>
      <w:r w:rsidR="00F3484D" w:rsidRPr="00FC564B">
        <w:rPr>
          <w:rFonts w:ascii="Arial" w:hAnsi="Arial" w:cs="Arial"/>
          <w:sz w:val="20"/>
          <w:szCs w:val="20"/>
        </w:rPr>
        <w:t>appointed contractors in February 2022.  Projects were no</w:t>
      </w:r>
      <w:r w:rsidRPr="00FC564B">
        <w:rPr>
          <w:rFonts w:ascii="Arial" w:hAnsi="Arial" w:cs="Arial"/>
          <w:sz w:val="20"/>
          <w:szCs w:val="20"/>
        </w:rPr>
        <w:t>w</w:t>
      </w:r>
      <w:r w:rsidR="00F3484D" w:rsidRPr="00FC564B">
        <w:rPr>
          <w:rFonts w:ascii="Arial" w:hAnsi="Arial" w:cs="Arial"/>
          <w:sz w:val="20"/>
          <w:szCs w:val="20"/>
        </w:rPr>
        <w:t xml:space="preserve"> </w:t>
      </w:r>
      <w:r w:rsidRPr="00FC564B">
        <w:rPr>
          <w:rFonts w:ascii="Arial" w:hAnsi="Arial" w:cs="Arial"/>
          <w:sz w:val="20"/>
          <w:szCs w:val="20"/>
        </w:rPr>
        <w:t xml:space="preserve">at 99 percent </w:t>
      </w:r>
      <w:r w:rsidR="00F3484D" w:rsidRPr="00FC564B">
        <w:rPr>
          <w:rFonts w:ascii="Arial" w:hAnsi="Arial" w:cs="Arial"/>
          <w:sz w:val="20"/>
          <w:szCs w:val="20"/>
        </w:rPr>
        <w:t>complet</w:t>
      </w:r>
      <w:r w:rsidRPr="00FC564B">
        <w:rPr>
          <w:rFonts w:ascii="Arial" w:hAnsi="Arial" w:cs="Arial"/>
          <w:sz w:val="20"/>
          <w:szCs w:val="20"/>
        </w:rPr>
        <w:t xml:space="preserve">ion, </w:t>
      </w:r>
      <w:r w:rsidR="00F3484D" w:rsidRPr="00FC564B">
        <w:rPr>
          <w:rFonts w:ascii="Arial" w:hAnsi="Arial" w:cs="Arial"/>
          <w:sz w:val="20"/>
          <w:szCs w:val="20"/>
        </w:rPr>
        <w:t xml:space="preserve">but contractors </w:t>
      </w:r>
      <w:r w:rsidRPr="00FC564B">
        <w:rPr>
          <w:rFonts w:ascii="Arial" w:hAnsi="Arial" w:cs="Arial"/>
          <w:sz w:val="20"/>
          <w:szCs w:val="20"/>
        </w:rPr>
        <w:t>had no</w:t>
      </w:r>
      <w:r w:rsidR="00F3484D" w:rsidRPr="00FC564B">
        <w:rPr>
          <w:rFonts w:ascii="Arial" w:hAnsi="Arial" w:cs="Arial"/>
          <w:sz w:val="20"/>
          <w:szCs w:val="20"/>
        </w:rPr>
        <w:t xml:space="preserve">t </w:t>
      </w:r>
      <w:r w:rsidR="00F4606A" w:rsidRPr="00FC564B">
        <w:rPr>
          <w:rFonts w:ascii="Arial" w:hAnsi="Arial" w:cs="Arial"/>
          <w:sz w:val="20"/>
          <w:szCs w:val="20"/>
        </w:rPr>
        <w:t xml:space="preserve">yet </w:t>
      </w:r>
      <w:r w:rsidRPr="00FC564B">
        <w:rPr>
          <w:rFonts w:ascii="Arial" w:hAnsi="Arial" w:cs="Arial"/>
          <w:sz w:val="20"/>
          <w:szCs w:val="20"/>
        </w:rPr>
        <w:t xml:space="preserve">been </w:t>
      </w:r>
      <w:r w:rsidR="00F3484D" w:rsidRPr="00FC564B">
        <w:rPr>
          <w:rFonts w:ascii="Arial" w:hAnsi="Arial" w:cs="Arial"/>
          <w:sz w:val="20"/>
          <w:szCs w:val="20"/>
        </w:rPr>
        <w:t xml:space="preserve">paid because of the </w:t>
      </w:r>
      <w:r w:rsidRPr="00FC564B">
        <w:rPr>
          <w:rFonts w:ascii="Arial" w:hAnsi="Arial" w:cs="Arial"/>
          <w:sz w:val="20"/>
          <w:szCs w:val="20"/>
        </w:rPr>
        <w:t xml:space="preserve">transfer of the </w:t>
      </w:r>
      <w:r w:rsidR="00F3484D" w:rsidRPr="00FC564B">
        <w:rPr>
          <w:rFonts w:ascii="Arial" w:hAnsi="Arial" w:cs="Arial"/>
          <w:sz w:val="20"/>
          <w:szCs w:val="20"/>
        </w:rPr>
        <w:t xml:space="preserve">funds to </w:t>
      </w:r>
      <w:r w:rsidRPr="00FC564B">
        <w:rPr>
          <w:rFonts w:ascii="Arial" w:hAnsi="Arial" w:cs="Arial"/>
          <w:sz w:val="20"/>
          <w:szCs w:val="20"/>
        </w:rPr>
        <w:t xml:space="preserve">the </w:t>
      </w:r>
      <w:r w:rsidR="00F3484D" w:rsidRPr="00FC564B">
        <w:rPr>
          <w:rFonts w:ascii="Arial" w:hAnsi="Arial" w:cs="Arial"/>
          <w:sz w:val="20"/>
          <w:szCs w:val="20"/>
        </w:rPr>
        <w:t xml:space="preserve">DBE. </w:t>
      </w:r>
    </w:p>
    <w:p w:rsidR="00F3484D" w:rsidRPr="00FC564B" w:rsidRDefault="00F3484D" w:rsidP="00FC564B">
      <w:pPr>
        <w:pStyle w:val="ListParagraph"/>
        <w:numPr>
          <w:ilvl w:val="0"/>
          <w:numId w:val="6"/>
        </w:numPr>
        <w:rPr>
          <w:rFonts w:ascii="Arial" w:hAnsi="Arial" w:cs="Arial"/>
          <w:sz w:val="20"/>
          <w:szCs w:val="20"/>
        </w:rPr>
      </w:pPr>
      <w:r w:rsidRPr="00FC564B">
        <w:rPr>
          <w:rFonts w:ascii="Arial" w:hAnsi="Arial" w:cs="Arial"/>
          <w:sz w:val="20"/>
          <w:szCs w:val="20"/>
        </w:rPr>
        <w:t xml:space="preserve">Northern Cape: The procurement process </w:t>
      </w:r>
      <w:r w:rsidR="000275CD" w:rsidRPr="00FC564B">
        <w:rPr>
          <w:rFonts w:ascii="Arial" w:hAnsi="Arial" w:cs="Arial"/>
          <w:sz w:val="20"/>
          <w:szCs w:val="20"/>
        </w:rPr>
        <w:t xml:space="preserve">had taken </w:t>
      </w:r>
      <w:r w:rsidRPr="00FC564B">
        <w:rPr>
          <w:rFonts w:ascii="Arial" w:hAnsi="Arial" w:cs="Arial"/>
          <w:sz w:val="20"/>
          <w:szCs w:val="20"/>
        </w:rPr>
        <w:t xml:space="preserve">long to </w:t>
      </w:r>
      <w:r w:rsidR="000275CD" w:rsidRPr="00FC564B">
        <w:rPr>
          <w:rFonts w:ascii="Arial" w:hAnsi="Arial" w:cs="Arial"/>
          <w:sz w:val="20"/>
          <w:szCs w:val="20"/>
        </w:rPr>
        <w:t>complete; as s</w:t>
      </w:r>
      <w:r w:rsidRPr="00FC564B">
        <w:rPr>
          <w:rFonts w:ascii="Arial" w:hAnsi="Arial" w:cs="Arial"/>
          <w:sz w:val="20"/>
          <w:szCs w:val="20"/>
        </w:rPr>
        <w:t xml:space="preserve">uitable contractors </w:t>
      </w:r>
      <w:r w:rsidR="000275CD" w:rsidRPr="00FC564B">
        <w:rPr>
          <w:rFonts w:ascii="Arial" w:hAnsi="Arial" w:cs="Arial"/>
          <w:sz w:val="20"/>
          <w:szCs w:val="20"/>
        </w:rPr>
        <w:t>could initially not be found</w:t>
      </w:r>
      <w:r w:rsidRPr="00FC564B">
        <w:rPr>
          <w:rFonts w:ascii="Arial" w:hAnsi="Arial" w:cs="Arial"/>
          <w:sz w:val="20"/>
          <w:szCs w:val="20"/>
        </w:rPr>
        <w:t xml:space="preserve">. </w:t>
      </w:r>
      <w:r w:rsidR="000275CD" w:rsidRPr="00FC564B">
        <w:rPr>
          <w:rFonts w:ascii="Arial" w:hAnsi="Arial" w:cs="Arial"/>
          <w:sz w:val="20"/>
          <w:szCs w:val="20"/>
        </w:rPr>
        <w:t xml:space="preserve">By the time </w:t>
      </w:r>
      <w:r w:rsidRPr="00FC564B">
        <w:rPr>
          <w:rFonts w:ascii="Arial" w:hAnsi="Arial" w:cs="Arial"/>
          <w:sz w:val="20"/>
          <w:szCs w:val="20"/>
        </w:rPr>
        <w:t xml:space="preserve">the </w:t>
      </w:r>
      <w:r w:rsidR="00F469AB" w:rsidRPr="00FC564B">
        <w:rPr>
          <w:rFonts w:ascii="Arial" w:hAnsi="Arial" w:cs="Arial"/>
          <w:sz w:val="20"/>
          <w:szCs w:val="20"/>
        </w:rPr>
        <w:t>P</w:t>
      </w:r>
      <w:r w:rsidRPr="00FC564B">
        <w:rPr>
          <w:rFonts w:ascii="Arial" w:hAnsi="Arial" w:cs="Arial"/>
          <w:sz w:val="20"/>
          <w:szCs w:val="20"/>
        </w:rPr>
        <w:t xml:space="preserve">rovince </w:t>
      </w:r>
      <w:r w:rsidR="000275CD" w:rsidRPr="00FC564B">
        <w:rPr>
          <w:rFonts w:ascii="Arial" w:hAnsi="Arial" w:cs="Arial"/>
          <w:sz w:val="20"/>
          <w:szCs w:val="20"/>
        </w:rPr>
        <w:t xml:space="preserve">had found </w:t>
      </w:r>
      <w:r w:rsidRPr="00FC564B">
        <w:rPr>
          <w:rFonts w:ascii="Arial" w:hAnsi="Arial" w:cs="Arial"/>
          <w:sz w:val="20"/>
          <w:szCs w:val="20"/>
        </w:rPr>
        <w:t>contractors</w:t>
      </w:r>
      <w:r w:rsidR="00645FF5" w:rsidRPr="00FC564B">
        <w:rPr>
          <w:rFonts w:ascii="Arial" w:hAnsi="Arial" w:cs="Arial"/>
          <w:sz w:val="20"/>
          <w:szCs w:val="20"/>
        </w:rPr>
        <w:t xml:space="preserve"> (upon the third attempt), the </w:t>
      </w:r>
      <w:r w:rsidR="0086102B" w:rsidRPr="00FC564B">
        <w:rPr>
          <w:rFonts w:ascii="Arial" w:hAnsi="Arial" w:cs="Arial"/>
          <w:sz w:val="20"/>
          <w:szCs w:val="20"/>
        </w:rPr>
        <w:t>S</w:t>
      </w:r>
      <w:r w:rsidR="00645FF5" w:rsidRPr="00FC564B">
        <w:rPr>
          <w:rFonts w:ascii="Arial" w:hAnsi="Arial" w:cs="Arial"/>
          <w:sz w:val="20"/>
          <w:szCs w:val="20"/>
        </w:rPr>
        <w:t xml:space="preserve">upply </w:t>
      </w:r>
      <w:r w:rsidR="0086102B" w:rsidRPr="00FC564B">
        <w:rPr>
          <w:rFonts w:ascii="Arial" w:hAnsi="Arial" w:cs="Arial"/>
          <w:sz w:val="20"/>
          <w:szCs w:val="20"/>
        </w:rPr>
        <w:t>C</w:t>
      </w:r>
      <w:r w:rsidR="00645FF5" w:rsidRPr="00FC564B">
        <w:rPr>
          <w:rFonts w:ascii="Arial" w:hAnsi="Arial" w:cs="Arial"/>
          <w:sz w:val="20"/>
          <w:szCs w:val="20"/>
        </w:rPr>
        <w:t xml:space="preserve">hain </w:t>
      </w:r>
      <w:r w:rsidR="0086102B" w:rsidRPr="00FC564B">
        <w:rPr>
          <w:rFonts w:ascii="Arial" w:hAnsi="Arial" w:cs="Arial"/>
          <w:sz w:val="20"/>
          <w:szCs w:val="20"/>
        </w:rPr>
        <w:t>M</w:t>
      </w:r>
      <w:r w:rsidR="00645FF5" w:rsidRPr="00FC564B">
        <w:rPr>
          <w:rFonts w:ascii="Arial" w:hAnsi="Arial" w:cs="Arial"/>
          <w:sz w:val="20"/>
          <w:szCs w:val="20"/>
        </w:rPr>
        <w:t>anagement had a</w:t>
      </w:r>
      <w:r w:rsidRPr="00FC564B">
        <w:rPr>
          <w:rFonts w:ascii="Arial" w:hAnsi="Arial" w:cs="Arial"/>
          <w:sz w:val="20"/>
          <w:szCs w:val="20"/>
        </w:rPr>
        <w:t xml:space="preserve">lready </w:t>
      </w:r>
      <w:r w:rsidR="00645FF5" w:rsidRPr="00FC564B">
        <w:rPr>
          <w:rFonts w:ascii="Arial" w:hAnsi="Arial" w:cs="Arial"/>
          <w:sz w:val="20"/>
          <w:szCs w:val="20"/>
        </w:rPr>
        <w:t>i</w:t>
      </w:r>
      <w:r w:rsidRPr="00FC564B">
        <w:rPr>
          <w:rFonts w:ascii="Arial" w:hAnsi="Arial" w:cs="Arial"/>
          <w:sz w:val="20"/>
          <w:szCs w:val="20"/>
        </w:rPr>
        <w:t>ssued an instruction that projects be stopped by the first week of February 2022</w:t>
      </w:r>
      <w:r w:rsidR="00645FF5" w:rsidRPr="00FC564B">
        <w:rPr>
          <w:rFonts w:ascii="Arial" w:hAnsi="Arial" w:cs="Arial"/>
          <w:sz w:val="20"/>
          <w:szCs w:val="20"/>
        </w:rPr>
        <w:t>,</w:t>
      </w:r>
      <w:r w:rsidRPr="00FC564B">
        <w:rPr>
          <w:rFonts w:ascii="Arial" w:hAnsi="Arial" w:cs="Arial"/>
          <w:sz w:val="20"/>
          <w:szCs w:val="20"/>
        </w:rPr>
        <w:t xml:space="preserve"> due to the </w:t>
      </w:r>
      <w:r w:rsidR="00645FF5" w:rsidRPr="00FC564B">
        <w:rPr>
          <w:rFonts w:ascii="Arial" w:hAnsi="Arial" w:cs="Arial"/>
          <w:sz w:val="20"/>
          <w:szCs w:val="20"/>
        </w:rPr>
        <w:t xml:space="preserve">transfer of </w:t>
      </w:r>
      <w:r w:rsidRPr="00FC564B">
        <w:rPr>
          <w:rFonts w:ascii="Arial" w:hAnsi="Arial" w:cs="Arial"/>
          <w:sz w:val="20"/>
          <w:szCs w:val="20"/>
        </w:rPr>
        <w:t>the function to</w:t>
      </w:r>
      <w:r w:rsidR="00645FF5" w:rsidRPr="00FC564B">
        <w:rPr>
          <w:rFonts w:ascii="Arial" w:hAnsi="Arial" w:cs="Arial"/>
          <w:sz w:val="20"/>
          <w:szCs w:val="20"/>
        </w:rPr>
        <w:t xml:space="preserve"> the</w:t>
      </w:r>
      <w:r w:rsidRPr="00FC564B">
        <w:rPr>
          <w:rFonts w:ascii="Arial" w:hAnsi="Arial" w:cs="Arial"/>
          <w:sz w:val="20"/>
          <w:szCs w:val="20"/>
        </w:rPr>
        <w:t xml:space="preserve"> DBE. Th</w:t>
      </w:r>
      <w:r w:rsidR="00645FF5" w:rsidRPr="00FC564B">
        <w:rPr>
          <w:rFonts w:ascii="Arial" w:hAnsi="Arial" w:cs="Arial"/>
          <w:sz w:val="20"/>
          <w:szCs w:val="20"/>
        </w:rPr>
        <w:t>ose</w:t>
      </w:r>
      <w:r w:rsidRPr="00FC564B">
        <w:rPr>
          <w:rFonts w:ascii="Arial" w:hAnsi="Arial" w:cs="Arial"/>
          <w:sz w:val="20"/>
          <w:szCs w:val="20"/>
        </w:rPr>
        <w:t xml:space="preserve"> projects</w:t>
      </w:r>
      <w:r w:rsidR="00645FF5" w:rsidRPr="00FC564B">
        <w:rPr>
          <w:rFonts w:ascii="Arial" w:hAnsi="Arial" w:cs="Arial"/>
          <w:sz w:val="20"/>
          <w:szCs w:val="20"/>
        </w:rPr>
        <w:t>, together with the</w:t>
      </w:r>
      <w:r w:rsidRPr="00FC564B">
        <w:rPr>
          <w:rFonts w:ascii="Arial" w:hAnsi="Arial" w:cs="Arial"/>
          <w:sz w:val="20"/>
          <w:szCs w:val="20"/>
        </w:rPr>
        <w:t xml:space="preserve"> current financial year projects</w:t>
      </w:r>
      <w:r w:rsidR="00645FF5" w:rsidRPr="00FC564B">
        <w:rPr>
          <w:rFonts w:ascii="Arial" w:hAnsi="Arial" w:cs="Arial"/>
          <w:sz w:val="20"/>
          <w:szCs w:val="20"/>
        </w:rPr>
        <w:t>, were still on hold at the time of reporting</w:t>
      </w:r>
      <w:r w:rsidRPr="00FC564B">
        <w:rPr>
          <w:rFonts w:ascii="Arial" w:hAnsi="Arial" w:cs="Arial"/>
          <w:sz w:val="20"/>
          <w:szCs w:val="20"/>
        </w:rPr>
        <w:t xml:space="preserve">. </w:t>
      </w:r>
    </w:p>
    <w:p w:rsidR="00F3484D" w:rsidRPr="00FC564B" w:rsidRDefault="00F3484D" w:rsidP="00FC564B">
      <w:pPr>
        <w:pStyle w:val="ListParagraph"/>
        <w:numPr>
          <w:ilvl w:val="0"/>
          <w:numId w:val="6"/>
        </w:numPr>
        <w:rPr>
          <w:rFonts w:ascii="Arial" w:hAnsi="Arial" w:cs="Arial"/>
          <w:sz w:val="20"/>
          <w:szCs w:val="20"/>
        </w:rPr>
      </w:pPr>
      <w:r w:rsidRPr="00FC564B">
        <w:rPr>
          <w:rFonts w:ascii="Arial" w:hAnsi="Arial" w:cs="Arial"/>
          <w:sz w:val="20"/>
          <w:szCs w:val="20"/>
        </w:rPr>
        <w:t xml:space="preserve">North West: The procurement process </w:t>
      </w:r>
      <w:r w:rsidR="007A1068" w:rsidRPr="00FC564B">
        <w:rPr>
          <w:rFonts w:ascii="Arial" w:hAnsi="Arial" w:cs="Arial"/>
          <w:sz w:val="20"/>
          <w:szCs w:val="20"/>
        </w:rPr>
        <w:t xml:space="preserve">had been delayed, as </w:t>
      </w:r>
      <w:r w:rsidRPr="00FC564B">
        <w:rPr>
          <w:rFonts w:ascii="Arial" w:hAnsi="Arial" w:cs="Arial"/>
          <w:sz w:val="20"/>
          <w:szCs w:val="20"/>
        </w:rPr>
        <w:t xml:space="preserve">the </w:t>
      </w:r>
      <w:r w:rsidR="007A1068" w:rsidRPr="00FC564B">
        <w:rPr>
          <w:rFonts w:ascii="Arial" w:hAnsi="Arial" w:cs="Arial"/>
          <w:sz w:val="20"/>
          <w:szCs w:val="20"/>
        </w:rPr>
        <w:t xml:space="preserve">received </w:t>
      </w:r>
      <w:r w:rsidRPr="00FC564B">
        <w:rPr>
          <w:rFonts w:ascii="Arial" w:hAnsi="Arial" w:cs="Arial"/>
          <w:sz w:val="20"/>
          <w:szCs w:val="20"/>
        </w:rPr>
        <w:t xml:space="preserve">quotations </w:t>
      </w:r>
      <w:r w:rsidR="007A1068" w:rsidRPr="00FC564B">
        <w:rPr>
          <w:rFonts w:ascii="Arial" w:hAnsi="Arial" w:cs="Arial"/>
          <w:sz w:val="20"/>
          <w:szCs w:val="20"/>
        </w:rPr>
        <w:t xml:space="preserve">had exceeded </w:t>
      </w:r>
      <w:r w:rsidRPr="00FC564B">
        <w:rPr>
          <w:rFonts w:ascii="Arial" w:hAnsi="Arial" w:cs="Arial"/>
          <w:sz w:val="20"/>
          <w:szCs w:val="20"/>
        </w:rPr>
        <w:t xml:space="preserve">the available budget. </w:t>
      </w:r>
      <w:r w:rsidR="007A1068" w:rsidRPr="00FC564B">
        <w:rPr>
          <w:rFonts w:ascii="Arial" w:hAnsi="Arial" w:cs="Arial"/>
          <w:sz w:val="20"/>
          <w:szCs w:val="20"/>
        </w:rPr>
        <w:t>By the time t</w:t>
      </w:r>
      <w:r w:rsidRPr="00FC564B">
        <w:rPr>
          <w:rFonts w:ascii="Arial" w:hAnsi="Arial" w:cs="Arial"/>
          <w:sz w:val="20"/>
          <w:szCs w:val="20"/>
        </w:rPr>
        <w:t xml:space="preserve">he </w:t>
      </w:r>
      <w:r w:rsidR="00516360" w:rsidRPr="00FC564B">
        <w:rPr>
          <w:rFonts w:ascii="Arial" w:hAnsi="Arial" w:cs="Arial"/>
          <w:sz w:val="20"/>
          <w:szCs w:val="20"/>
        </w:rPr>
        <w:t>P</w:t>
      </w:r>
      <w:r w:rsidRPr="00FC564B">
        <w:rPr>
          <w:rFonts w:ascii="Arial" w:hAnsi="Arial" w:cs="Arial"/>
          <w:sz w:val="20"/>
          <w:szCs w:val="20"/>
        </w:rPr>
        <w:t xml:space="preserve">rovince </w:t>
      </w:r>
      <w:r w:rsidR="007A1068" w:rsidRPr="00FC564B">
        <w:rPr>
          <w:rFonts w:ascii="Arial" w:hAnsi="Arial" w:cs="Arial"/>
          <w:sz w:val="20"/>
          <w:szCs w:val="20"/>
        </w:rPr>
        <w:t xml:space="preserve">had </w:t>
      </w:r>
      <w:r w:rsidRPr="00FC564B">
        <w:rPr>
          <w:rFonts w:ascii="Arial" w:hAnsi="Arial" w:cs="Arial"/>
          <w:sz w:val="20"/>
          <w:szCs w:val="20"/>
        </w:rPr>
        <w:t xml:space="preserve">received </w:t>
      </w:r>
      <w:r w:rsidR="007A1068" w:rsidRPr="00FC564B">
        <w:rPr>
          <w:rFonts w:ascii="Arial" w:hAnsi="Arial" w:cs="Arial"/>
          <w:sz w:val="20"/>
          <w:szCs w:val="20"/>
        </w:rPr>
        <w:t xml:space="preserve">more </w:t>
      </w:r>
      <w:r w:rsidRPr="00FC564B">
        <w:rPr>
          <w:rFonts w:ascii="Arial" w:hAnsi="Arial" w:cs="Arial"/>
          <w:sz w:val="20"/>
          <w:szCs w:val="20"/>
        </w:rPr>
        <w:t xml:space="preserve">quotations </w:t>
      </w:r>
      <w:r w:rsidR="007A1068" w:rsidRPr="00FC564B">
        <w:rPr>
          <w:rFonts w:ascii="Arial" w:hAnsi="Arial" w:cs="Arial"/>
          <w:sz w:val="20"/>
          <w:szCs w:val="20"/>
        </w:rPr>
        <w:t>after a</w:t>
      </w:r>
      <w:r w:rsidRPr="00FC564B">
        <w:rPr>
          <w:rFonts w:ascii="Arial" w:hAnsi="Arial" w:cs="Arial"/>
          <w:sz w:val="20"/>
          <w:szCs w:val="20"/>
        </w:rPr>
        <w:t xml:space="preserve"> second briefing</w:t>
      </w:r>
      <w:r w:rsidR="007A1068" w:rsidRPr="00FC564B">
        <w:rPr>
          <w:rFonts w:ascii="Arial" w:hAnsi="Arial" w:cs="Arial"/>
          <w:sz w:val="20"/>
          <w:szCs w:val="20"/>
        </w:rPr>
        <w:t xml:space="preserve">, it had </w:t>
      </w:r>
      <w:r w:rsidRPr="00FC564B">
        <w:rPr>
          <w:rFonts w:ascii="Arial" w:hAnsi="Arial" w:cs="Arial"/>
          <w:sz w:val="20"/>
          <w:szCs w:val="20"/>
        </w:rPr>
        <w:t>already</w:t>
      </w:r>
      <w:r w:rsidR="007A1068" w:rsidRPr="00FC564B">
        <w:rPr>
          <w:rFonts w:ascii="Arial" w:hAnsi="Arial" w:cs="Arial"/>
          <w:sz w:val="20"/>
          <w:szCs w:val="20"/>
        </w:rPr>
        <w:t xml:space="preserve"> been</w:t>
      </w:r>
      <w:r w:rsidRPr="00FC564B">
        <w:rPr>
          <w:rFonts w:ascii="Arial" w:hAnsi="Arial" w:cs="Arial"/>
          <w:sz w:val="20"/>
          <w:szCs w:val="20"/>
        </w:rPr>
        <w:t xml:space="preserve"> too late to appoint service provide</w:t>
      </w:r>
      <w:r w:rsidR="007A1068" w:rsidRPr="00FC564B">
        <w:rPr>
          <w:rFonts w:ascii="Arial" w:hAnsi="Arial" w:cs="Arial"/>
          <w:sz w:val="20"/>
          <w:szCs w:val="20"/>
        </w:rPr>
        <w:t>rs/contractors. The backlog would</w:t>
      </w:r>
      <w:r w:rsidRPr="00FC564B">
        <w:rPr>
          <w:rFonts w:ascii="Arial" w:hAnsi="Arial" w:cs="Arial"/>
          <w:sz w:val="20"/>
          <w:szCs w:val="20"/>
        </w:rPr>
        <w:t xml:space="preserve"> be dealt with</w:t>
      </w:r>
      <w:r w:rsidR="007A1068" w:rsidRPr="00FC564B">
        <w:rPr>
          <w:rFonts w:ascii="Arial" w:hAnsi="Arial" w:cs="Arial"/>
          <w:sz w:val="20"/>
          <w:szCs w:val="20"/>
          <w:lang w:val="en-GB" w:eastAsia="en-GB"/>
        </w:rPr>
        <w:t xml:space="preserve"> </w:t>
      </w:r>
      <w:r w:rsidR="007A1068" w:rsidRPr="00FC564B">
        <w:rPr>
          <w:rFonts w:ascii="Arial" w:hAnsi="Arial" w:cs="Arial"/>
          <w:sz w:val="20"/>
          <w:szCs w:val="20"/>
          <w:lang w:val="en-GB"/>
        </w:rPr>
        <w:t>by the DBE</w:t>
      </w:r>
      <w:r w:rsidRPr="00FC564B">
        <w:rPr>
          <w:rFonts w:ascii="Arial" w:hAnsi="Arial" w:cs="Arial"/>
          <w:sz w:val="20"/>
          <w:szCs w:val="20"/>
        </w:rPr>
        <w:t xml:space="preserve"> during </w:t>
      </w:r>
      <w:r w:rsidR="007A1068" w:rsidRPr="00FC564B">
        <w:rPr>
          <w:rFonts w:ascii="Arial" w:hAnsi="Arial" w:cs="Arial"/>
          <w:sz w:val="20"/>
          <w:szCs w:val="20"/>
        </w:rPr>
        <w:t xml:space="preserve">the </w:t>
      </w:r>
      <w:r w:rsidRPr="00FC564B">
        <w:rPr>
          <w:rFonts w:ascii="Arial" w:hAnsi="Arial" w:cs="Arial"/>
          <w:sz w:val="20"/>
          <w:szCs w:val="20"/>
        </w:rPr>
        <w:t xml:space="preserve">2022/23 financial year. </w:t>
      </w:r>
    </w:p>
    <w:p w:rsidR="00F3484D" w:rsidRPr="00FC564B" w:rsidRDefault="007A1068" w:rsidP="00FC564B">
      <w:pPr>
        <w:pStyle w:val="ListParagraph"/>
        <w:numPr>
          <w:ilvl w:val="0"/>
          <w:numId w:val="6"/>
        </w:numPr>
        <w:rPr>
          <w:rFonts w:ascii="Arial" w:hAnsi="Arial" w:cs="Arial"/>
          <w:sz w:val="20"/>
          <w:szCs w:val="20"/>
        </w:rPr>
      </w:pPr>
      <w:r w:rsidRPr="00FC564B">
        <w:rPr>
          <w:rFonts w:ascii="Arial" w:hAnsi="Arial" w:cs="Arial"/>
          <w:sz w:val="20"/>
          <w:szCs w:val="20"/>
        </w:rPr>
        <w:t xml:space="preserve">Western Cape: The </w:t>
      </w:r>
      <w:r w:rsidR="00710EA1" w:rsidRPr="00FC564B">
        <w:rPr>
          <w:rFonts w:ascii="Arial" w:hAnsi="Arial" w:cs="Arial"/>
          <w:sz w:val="20"/>
          <w:szCs w:val="20"/>
        </w:rPr>
        <w:t>P</w:t>
      </w:r>
      <w:r w:rsidRPr="00FC564B">
        <w:rPr>
          <w:rFonts w:ascii="Arial" w:hAnsi="Arial" w:cs="Arial"/>
          <w:sz w:val="20"/>
          <w:szCs w:val="20"/>
        </w:rPr>
        <w:t>rovince had</w:t>
      </w:r>
      <w:r w:rsidR="00F3484D" w:rsidRPr="00FC564B">
        <w:rPr>
          <w:rFonts w:ascii="Arial" w:hAnsi="Arial" w:cs="Arial"/>
          <w:sz w:val="20"/>
          <w:szCs w:val="20"/>
        </w:rPr>
        <w:t xml:space="preserve"> not </w:t>
      </w:r>
      <w:r w:rsidRPr="00FC564B">
        <w:rPr>
          <w:rFonts w:ascii="Arial" w:hAnsi="Arial" w:cs="Arial"/>
          <w:sz w:val="20"/>
          <w:szCs w:val="20"/>
        </w:rPr>
        <w:t xml:space="preserve">been </w:t>
      </w:r>
      <w:r w:rsidR="00F3484D" w:rsidRPr="00FC564B">
        <w:rPr>
          <w:rFonts w:ascii="Arial" w:hAnsi="Arial" w:cs="Arial"/>
          <w:sz w:val="20"/>
          <w:szCs w:val="20"/>
        </w:rPr>
        <w:t>able to</w:t>
      </w:r>
      <w:r w:rsidRPr="00FC564B">
        <w:rPr>
          <w:rFonts w:ascii="Arial" w:hAnsi="Arial" w:cs="Arial"/>
          <w:sz w:val="20"/>
          <w:szCs w:val="20"/>
        </w:rPr>
        <w:t xml:space="preserve"> disburse all funds </w:t>
      </w:r>
      <w:r w:rsidR="00F3484D" w:rsidRPr="00FC564B">
        <w:rPr>
          <w:rFonts w:ascii="Arial" w:hAnsi="Arial" w:cs="Arial"/>
          <w:sz w:val="20"/>
          <w:szCs w:val="20"/>
        </w:rPr>
        <w:t>before the end of the financial year</w:t>
      </w:r>
      <w:r w:rsidRPr="00FC564B">
        <w:rPr>
          <w:rFonts w:ascii="Arial" w:hAnsi="Arial" w:cs="Arial"/>
          <w:sz w:val="20"/>
          <w:szCs w:val="20"/>
        </w:rPr>
        <w:t xml:space="preserve">, but had </w:t>
      </w:r>
      <w:r w:rsidR="00F3484D" w:rsidRPr="00FC564B">
        <w:rPr>
          <w:rFonts w:ascii="Arial" w:hAnsi="Arial" w:cs="Arial"/>
          <w:sz w:val="20"/>
          <w:szCs w:val="20"/>
        </w:rPr>
        <w:t>processed all payments</w:t>
      </w:r>
      <w:r w:rsidRPr="00FC564B">
        <w:rPr>
          <w:rFonts w:ascii="Arial" w:hAnsi="Arial" w:cs="Arial"/>
          <w:sz w:val="20"/>
          <w:szCs w:val="20"/>
        </w:rPr>
        <w:t xml:space="preserve"> by the time of reporting.</w:t>
      </w:r>
    </w:p>
    <w:p w:rsidR="00F3484D" w:rsidRPr="00FC564B" w:rsidRDefault="00F3484D" w:rsidP="00FC564B">
      <w:pPr>
        <w:rPr>
          <w:rFonts w:ascii="Arial" w:hAnsi="Arial" w:cs="Arial"/>
          <w:sz w:val="20"/>
          <w:szCs w:val="20"/>
        </w:rPr>
      </w:pPr>
    </w:p>
    <w:p w:rsidR="00F242CD" w:rsidRPr="00FC564B" w:rsidRDefault="009A13CD" w:rsidP="00FC564B">
      <w:pPr>
        <w:rPr>
          <w:rFonts w:ascii="Arial" w:hAnsi="Arial" w:cs="Arial"/>
          <w:sz w:val="20"/>
          <w:szCs w:val="20"/>
        </w:rPr>
      </w:pPr>
      <w:r w:rsidRPr="00FC564B">
        <w:rPr>
          <w:rFonts w:ascii="Arial" w:hAnsi="Arial" w:cs="Arial"/>
          <w:sz w:val="20"/>
          <w:szCs w:val="20"/>
        </w:rPr>
        <w:t xml:space="preserve">The DSD reported that certain initiatives had been put in place to assist provinces </w:t>
      </w:r>
      <w:r w:rsidR="00F3484D" w:rsidRPr="00FC564B">
        <w:rPr>
          <w:rFonts w:ascii="Arial" w:hAnsi="Arial" w:cs="Arial"/>
          <w:sz w:val="20"/>
          <w:szCs w:val="20"/>
        </w:rPr>
        <w:t>to mitigate the above reasons for under</w:t>
      </w:r>
      <w:r w:rsidRPr="00FC564B">
        <w:rPr>
          <w:rFonts w:ascii="Arial" w:hAnsi="Arial" w:cs="Arial"/>
          <w:sz w:val="20"/>
          <w:szCs w:val="20"/>
        </w:rPr>
        <w:t xml:space="preserve">-performance. Capacity-building </w:t>
      </w:r>
      <w:r w:rsidR="00F3484D" w:rsidRPr="00FC564B">
        <w:rPr>
          <w:rFonts w:ascii="Arial" w:hAnsi="Arial" w:cs="Arial"/>
          <w:sz w:val="20"/>
          <w:szCs w:val="20"/>
        </w:rPr>
        <w:t xml:space="preserve">interventions </w:t>
      </w:r>
      <w:r w:rsidRPr="00FC564B">
        <w:rPr>
          <w:rFonts w:ascii="Arial" w:hAnsi="Arial" w:cs="Arial"/>
          <w:sz w:val="20"/>
          <w:szCs w:val="20"/>
        </w:rPr>
        <w:t>included provision to e</w:t>
      </w:r>
      <w:r w:rsidR="00F3484D" w:rsidRPr="00FC564B">
        <w:rPr>
          <w:rFonts w:ascii="Arial" w:hAnsi="Arial" w:cs="Arial"/>
          <w:sz w:val="20"/>
          <w:szCs w:val="20"/>
        </w:rPr>
        <w:t>mploy qualified built environment technical staff</w:t>
      </w:r>
      <w:r w:rsidR="002720DD" w:rsidRPr="00FC564B">
        <w:rPr>
          <w:rFonts w:ascii="Arial" w:hAnsi="Arial" w:cs="Arial"/>
          <w:sz w:val="20"/>
          <w:szCs w:val="20"/>
        </w:rPr>
        <w:t>; developing guidelines for provinces to implement infrastructure delivery;</w:t>
      </w:r>
      <w:r w:rsidR="00F3484D" w:rsidRPr="00FC564B">
        <w:rPr>
          <w:rFonts w:ascii="Arial" w:hAnsi="Arial" w:cs="Arial"/>
          <w:sz w:val="20"/>
          <w:szCs w:val="20"/>
        </w:rPr>
        <w:t xml:space="preserve"> and involv</w:t>
      </w:r>
      <w:r w:rsidR="002720DD" w:rsidRPr="00FC564B">
        <w:rPr>
          <w:rFonts w:ascii="Arial" w:hAnsi="Arial" w:cs="Arial"/>
          <w:sz w:val="20"/>
          <w:szCs w:val="20"/>
        </w:rPr>
        <w:t xml:space="preserve">ing </w:t>
      </w:r>
      <w:r w:rsidR="00F3484D" w:rsidRPr="00FC564B">
        <w:rPr>
          <w:rFonts w:ascii="Arial" w:hAnsi="Arial" w:cs="Arial"/>
          <w:sz w:val="20"/>
          <w:szCs w:val="20"/>
        </w:rPr>
        <w:t xml:space="preserve">other ECD partners </w:t>
      </w:r>
      <w:r w:rsidR="002720DD" w:rsidRPr="00FC564B">
        <w:rPr>
          <w:rFonts w:ascii="Arial" w:hAnsi="Arial" w:cs="Arial"/>
          <w:sz w:val="20"/>
          <w:szCs w:val="20"/>
        </w:rPr>
        <w:t xml:space="preserve">to </w:t>
      </w:r>
      <w:r w:rsidR="00F3484D" w:rsidRPr="00FC564B">
        <w:rPr>
          <w:rFonts w:ascii="Arial" w:hAnsi="Arial" w:cs="Arial"/>
          <w:sz w:val="20"/>
          <w:szCs w:val="20"/>
        </w:rPr>
        <w:t>provide advisory services</w:t>
      </w:r>
      <w:r w:rsidR="002720DD" w:rsidRPr="00FC564B">
        <w:rPr>
          <w:rFonts w:ascii="Arial" w:hAnsi="Arial" w:cs="Arial"/>
          <w:sz w:val="20"/>
          <w:szCs w:val="20"/>
        </w:rPr>
        <w:t xml:space="preserve">. In addition, </w:t>
      </w:r>
      <w:r w:rsidR="00F3484D" w:rsidRPr="00FC564B">
        <w:rPr>
          <w:rFonts w:ascii="Arial" w:hAnsi="Arial" w:cs="Arial"/>
          <w:sz w:val="20"/>
          <w:szCs w:val="20"/>
        </w:rPr>
        <w:t xml:space="preserve">a procurement strategy </w:t>
      </w:r>
      <w:r w:rsidR="002720DD" w:rsidRPr="00FC564B">
        <w:rPr>
          <w:rFonts w:ascii="Arial" w:hAnsi="Arial" w:cs="Arial"/>
          <w:sz w:val="20"/>
          <w:szCs w:val="20"/>
        </w:rPr>
        <w:t xml:space="preserve">had been developed </w:t>
      </w:r>
      <w:r w:rsidR="00F3484D" w:rsidRPr="00FC564B">
        <w:rPr>
          <w:rFonts w:ascii="Arial" w:hAnsi="Arial" w:cs="Arial"/>
          <w:sz w:val="20"/>
          <w:szCs w:val="20"/>
        </w:rPr>
        <w:t>to address procurement challenges and improve the way provinces appointed contractors to manage projects; uniform low</w:t>
      </w:r>
      <w:r w:rsidRPr="00FC564B">
        <w:rPr>
          <w:rFonts w:ascii="Arial" w:hAnsi="Arial" w:cs="Arial"/>
          <w:sz w:val="20"/>
          <w:szCs w:val="20"/>
        </w:rPr>
        <w:t>-</w:t>
      </w:r>
      <w:r w:rsidR="00F3484D" w:rsidRPr="00FC564B">
        <w:rPr>
          <w:rFonts w:ascii="Arial" w:hAnsi="Arial" w:cs="Arial"/>
          <w:sz w:val="20"/>
          <w:szCs w:val="20"/>
        </w:rPr>
        <w:t>cost ECD centre designs</w:t>
      </w:r>
      <w:r w:rsidR="002720DD" w:rsidRPr="00FC564B">
        <w:rPr>
          <w:rFonts w:ascii="Arial" w:hAnsi="Arial" w:cs="Arial"/>
          <w:sz w:val="20"/>
          <w:szCs w:val="20"/>
        </w:rPr>
        <w:t xml:space="preserve"> had been developed</w:t>
      </w:r>
      <w:r w:rsidR="00F3484D" w:rsidRPr="00FC564B">
        <w:rPr>
          <w:rFonts w:ascii="Arial" w:hAnsi="Arial" w:cs="Arial"/>
          <w:sz w:val="20"/>
          <w:szCs w:val="20"/>
        </w:rPr>
        <w:t xml:space="preserve">; and </w:t>
      </w:r>
      <w:r w:rsidR="002720DD" w:rsidRPr="00FC564B">
        <w:rPr>
          <w:rFonts w:ascii="Arial" w:hAnsi="Arial" w:cs="Arial"/>
          <w:sz w:val="20"/>
          <w:szCs w:val="20"/>
        </w:rPr>
        <w:t>quarterly site visits and meetings to monitor p</w:t>
      </w:r>
      <w:r w:rsidR="00F3484D" w:rsidRPr="00FC564B">
        <w:rPr>
          <w:rFonts w:ascii="Arial" w:hAnsi="Arial" w:cs="Arial"/>
          <w:sz w:val="20"/>
          <w:szCs w:val="20"/>
        </w:rPr>
        <w:t>roject</w:t>
      </w:r>
      <w:r w:rsidR="002720DD" w:rsidRPr="00FC564B">
        <w:rPr>
          <w:rFonts w:ascii="Arial" w:hAnsi="Arial" w:cs="Arial"/>
          <w:sz w:val="20"/>
          <w:szCs w:val="20"/>
        </w:rPr>
        <w:t xml:space="preserve"> implementation and expenditure had been held</w:t>
      </w:r>
      <w:r w:rsidR="00F3484D" w:rsidRPr="00FC564B">
        <w:rPr>
          <w:rFonts w:ascii="Arial" w:hAnsi="Arial" w:cs="Arial"/>
          <w:sz w:val="20"/>
          <w:szCs w:val="20"/>
        </w:rPr>
        <w:t xml:space="preserve">. </w:t>
      </w:r>
      <w:r w:rsidR="00A16FB7" w:rsidRPr="00FC564B">
        <w:rPr>
          <w:rFonts w:ascii="Arial" w:hAnsi="Arial" w:cs="Arial"/>
          <w:sz w:val="20"/>
          <w:szCs w:val="20"/>
        </w:rPr>
        <w:t xml:space="preserve"> </w:t>
      </w:r>
      <w:r w:rsidR="00CF384A" w:rsidRPr="00FC564B">
        <w:rPr>
          <w:rFonts w:ascii="Arial" w:hAnsi="Arial" w:cs="Arial"/>
          <w:sz w:val="20"/>
          <w:szCs w:val="20"/>
        </w:rPr>
        <w:t xml:space="preserve"> </w:t>
      </w:r>
    </w:p>
    <w:p w:rsidR="00F242CD" w:rsidRPr="00FC564B" w:rsidRDefault="00F242CD" w:rsidP="00FC564B">
      <w:pPr>
        <w:rPr>
          <w:rFonts w:ascii="Arial" w:hAnsi="Arial" w:cs="Arial"/>
          <w:b/>
          <w:sz w:val="20"/>
          <w:szCs w:val="20"/>
        </w:rPr>
      </w:pPr>
    </w:p>
    <w:p w:rsidR="00661D6D" w:rsidRPr="00FC564B" w:rsidRDefault="00661D6D" w:rsidP="00FC564B">
      <w:pPr>
        <w:rPr>
          <w:rFonts w:ascii="Arial" w:hAnsi="Arial" w:cs="Arial"/>
          <w:b/>
          <w:sz w:val="20"/>
          <w:szCs w:val="20"/>
        </w:rPr>
      </w:pPr>
      <w:r w:rsidRPr="00FC564B">
        <w:rPr>
          <w:rFonts w:ascii="Arial" w:hAnsi="Arial" w:cs="Arial"/>
          <w:b/>
          <w:sz w:val="20"/>
          <w:szCs w:val="20"/>
        </w:rPr>
        <w:t xml:space="preserve">5.2 </w:t>
      </w:r>
      <w:r w:rsidR="001E5915" w:rsidRPr="00FC564B">
        <w:rPr>
          <w:rFonts w:ascii="Arial" w:hAnsi="Arial" w:cs="Arial"/>
          <w:b/>
          <w:sz w:val="20"/>
          <w:szCs w:val="20"/>
        </w:rPr>
        <w:t>Performance on subsidy c</w:t>
      </w:r>
      <w:r w:rsidRPr="00FC564B">
        <w:rPr>
          <w:rFonts w:ascii="Arial" w:hAnsi="Arial" w:cs="Arial"/>
          <w:b/>
          <w:sz w:val="20"/>
          <w:szCs w:val="20"/>
        </w:rPr>
        <w:t>omponent</w:t>
      </w:r>
    </w:p>
    <w:p w:rsidR="00F22CC9" w:rsidRPr="00FC564B" w:rsidRDefault="00362DBC" w:rsidP="00FC564B">
      <w:pPr>
        <w:rPr>
          <w:rFonts w:ascii="Arial" w:hAnsi="Arial" w:cs="Arial"/>
          <w:sz w:val="20"/>
          <w:szCs w:val="20"/>
        </w:rPr>
      </w:pPr>
      <w:r w:rsidRPr="00FC564B">
        <w:rPr>
          <w:rFonts w:ascii="Arial" w:hAnsi="Arial" w:cs="Arial"/>
          <w:sz w:val="20"/>
          <w:szCs w:val="20"/>
        </w:rPr>
        <w:t xml:space="preserve">The DSD reported that, against a target of 72 388, only 62 907 children had benefited from the subsidy component of the Grant for the </w:t>
      </w:r>
      <w:r w:rsidR="00C961DB" w:rsidRPr="00FC564B">
        <w:rPr>
          <w:rFonts w:ascii="Arial" w:hAnsi="Arial" w:cs="Arial"/>
          <w:sz w:val="20"/>
          <w:szCs w:val="20"/>
        </w:rPr>
        <w:t xml:space="preserve">required </w:t>
      </w:r>
      <w:r w:rsidRPr="00FC564B">
        <w:rPr>
          <w:rFonts w:ascii="Arial" w:hAnsi="Arial" w:cs="Arial"/>
          <w:sz w:val="20"/>
          <w:szCs w:val="20"/>
        </w:rPr>
        <w:t>264 days in 2021/22.</w:t>
      </w:r>
      <w:r w:rsidR="00C961DB" w:rsidRPr="00FC564B">
        <w:rPr>
          <w:rFonts w:ascii="Arial" w:hAnsi="Arial" w:cs="Arial"/>
          <w:sz w:val="20"/>
          <w:szCs w:val="20"/>
        </w:rPr>
        <w:t xml:space="preserve"> The reasons for the under-performance on this component was reportedly the late signing of service level agreements (SLAs), which affected quarterly payments, especially in the North West; and non-compliance by non-profit organisations (NPOs) with regard to submission of reports and compliance documents.</w:t>
      </w:r>
      <w:r w:rsidR="00F22CC9" w:rsidRPr="00FC564B">
        <w:rPr>
          <w:rFonts w:ascii="Arial" w:hAnsi="Arial" w:cs="Arial"/>
          <w:sz w:val="20"/>
          <w:szCs w:val="20"/>
        </w:rPr>
        <w:t xml:space="preserve"> The DSD indicated that it had supported provinces through different structures that had been developed, including quarterly conditional grant and c</w:t>
      </w:r>
      <w:r w:rsidR="00223864" w:rsidRPr="00FC564B">
        <w:rPr>
          <w:rFonts w:ascii="Arial" w:hAnsi="Arial" w:cs="Arial"/>
          <w:sz w:val="20"/>
          <w:szCs w:val="20"/>
        </w:rPr>
        <w:t>oordinators meetings</w:t>
      </w:r>
      <w:r w:rsidR="00AD553A" w:rsidRPr="00FC564B">
        <w:rPr>
          <w:rFonts w:ascii="Arial" w:hAnsi="Arial" w:cs="Arial"/>
          <w:sz w:val="20"/>
          <w:szCs w:val="20"/>
        </w:rPr>
        <w:t>; while senior management structures had been used as consultation platforms and for elevation of challenges and decision making. In addition, t</w:t>
      </w:r>
      <w:r w:rsidR="00F22CC9" w:rsidRPr="00FC564B">
        <w:rPr>
          <w:rFonts w:ascii="Arial" w:hAnsi="Arial" w:cs="Arial"/>
          <w:sz w:val="20"/>
          <w:szCs w:val="20"/>
        </w:rPr>
        <w:t xml:space="preserve">he Project Manager </w:t>
      </w:r>
      <w:r w:rsidR="00AD553A" w:rsidRPr="00FC564B">
        <w:rPr>
          <w:rFonts w:ascii="Arial" w:hAnsi="Arial" w:cs="Arial"/>
          <w:sz w:val="20"/>
          <w:szCs w:val="20"/>
        </w:rPr>
        <w:t xml:space="preserve">had </w:t>
      </w:r>
      <w:r w:rsidR="00F22CC9" w:rsidRPr="00FC564B">
        <w:rPr>
          <w:rFonts w:ascii="Arial" w:hAnsi="Arial" w:cs="Arial"/>
          <w:sz w:val="20"/>
          <w:szCs w:val="20"/>
        </w:rPr>
        <w:t xml:space="preserve">engaged with </w:t>
      </w:r>
      <w:r w:rsidR="00AD553A" w:rsidRPr="00FC564B">
        <w:rPr>
          <w:rFonts w:ascii="Arial" w:hAnsi="Arial" w:cs="Arial"/>
          <w:sz w:val="20"/>
          <w:szCs w:val="20"/>
        </w:rPr>
        <w:t>struggling provinces individually t</w:t>
      </w:r>
      <w:r w:rsidR="00F22CC9" w:rsidRPr="00FC564B">
        <w:rPr>
          <w:rFonts w:ascii="Arial" w:hAnsi="Arial" w:cs="Arial"/>
          <w:sz w:val="20"/>
          <w:szCs w:val="20"/>
        </w:rPr>
        <w:t>o ensure be</w:t>
      </w:r>
      <w:r w:rsidR="00AD553A" w:rsidRPr="00FC564B">
        <w:rPr>
          <w:rFonts w:ascii="Arial" w:hAnsi="Arial" w:cs="Arial"/>
          <w:sz w:val="20"/>
          <w:szCs w:val="20"/>
        </w:rPr>
        <w:t xml:space="preserve">tter understanding of the frame </w:t>
      </w:r>
      <w:r w:rsidR="00F22CC9" w:rsidRPr="00FC564B">
        <w:rPr>
          <w:rFonts w:ascii="Arial" w:hAnsi="Arial" w:cs="Arial"/>
          <w:sz w:val="20"/>
          <w:szCs w:val="20"/>
        </w:rPr>
        <w:t>working and reporting.</w:t>
      </w:r>
    </w:p>
    <w:p w:rsidR="00362DBC" w:rsidRPr="00FC564B" w:rsidRDefault="00362DBC" w:rsidP="00FC564B">
      <w:pPr>
        <w:rPr>
          <w:rFonts w:ascii="Arial" w:hAnsi="Arial" w:cs="Arial"/>
          <w:sz w:val="20"/>
          <w:szCs w:val="20"/>
        </w:rPr>
      </w:pPr>
    </w:p>
    <w:p w:rsidR="00661D6D" w:rsidRPr="00FC564B" w:rsidRDefault="00336FFC" w:rsidP="00FC564B">
      <w:pPr>
        <w:rPr>
          <w:rFonts w:ascii="Arial" w:hAnsi="Arial" w:cs="Arial"/>
          <w:b/>
          <w:sz w:val="20"/>
          <w:szCs w:val="20"/>
        </w:rPr>
      </w:pPr>
      <w:r w:rsidRPr="00FC564B">
        <w:rPr>
          <w:rFonts w:ascii="Arial" w:hAnsi="Arial" w:cs="Arial"/>
          <w:b/>
          <w:sz w:val="20"/>
          <w:szCs w:val="20"/>
        </w:rPr>
        <w:lastRenderedPageBreak/>
        <w:t>5.</w:t>
      </w:r>
      <w:r w:rsidR="001E5915" w:rsidRPr="00FC564B">
        <w:rPr>
          <w:rFonts w:ascii="Arial" w:hAnsi="Arial" w:cs="Arial"/>
          <w:b/>
          <w:sz w:val="20"/>
          <w:szCs w:val="20"/>
        </w:rPr>
        <w:t xml:space="preserve">3 </w:t>
      </w:r>
      <w:r w:rsidR="00661D6D" w:rsidRPr="00FC564B">
        <w:rPr>
          <w:rFonts w:ascii="Arial" w:hAnsi="Arial" w:cs="Arial"/>
          <w:b/>
          <w:sz w:val="20"/>
          <w:szCs w:val="20"/>
        </w:rPr>
        <w:t>Performance on Stimulus Package</w:t>
      </w:r>
    </w:p>
    <w:p w:rsidR="00783777" w:rsidRPr="00FC564B" w:rsidRDefault="00667583" w:rsidP="00FC564B">
      <w:pPr>
        <w:rPr>
          <w:rFonts w:ascii="Arial" w:hAnsi="Arial" w:cs="Arial"/>
          <w:sz w:val="20"/>
          <w:szCs w:val="20"/>
        </w:rPr>
      </w:pPr>
      <w:r w:rsidRPr="00FC564B">
        <w:rPr>
          <w:rFonts w:ascii="Arial" w:hAnsi="Arial" w:cs="Arial"/>
          <w:sz w:val="20"/>
          <w:szCs w:val="20"/>
        </w:rPr>
        <w:t xml:space="preserve">The DSD reported that the Presidential Employment Stimulus fund of R474.3 million had been made available to the employees of ECD services in the 2020/21 financial year and the </w:t>
      </w:r>
      <w:r w:rsidR="00570003" w:rsidRPr="00FC564B">
        <w:rPr>
          <w:rFonts w:ascii="Arial" w:hAnsi="Arial" w:cs="Arial"/>
          <w:sz w:val="20"/>
          <w:szCs w:val="20"/>
        </w:rPr>
        <w:t xml:space="preserve">project </w:t>
      </w:r>
      <w:r w:rsidRPr="00FC564B">
        <w:rPr>
          <w:rFonts w:ascii="Arial" w:hAnsi="Arial" w:cs="Arial"/>
          <w:sz w:val="20"/>
          <w:szCs w:val="20"/>
        </w:rPr>
        <w:t xml:space="preserve">administered by the DSD until 31 March 2022. </w:t>
      </w:r>
      <w:r w:rsidR="00570003" w:rsidRPr="00FC564B">
        <w:rPr>
          <w:rFonts w:ascii="Arial" w:hAnsi="Arial" w:cs="Arial"/>
          <w:sz w:val="20"/>
          <w:szCs w:val="20"/>
        </w:rPr>
        <w:t xml:space="preserve">The Department further reported that </w:t>
      </w:r>
      <w:r w:rsidR="00FA2C0C" w:rsidRPr="00FC564B">
        <w:rPr>
          <w:rFonts w:ascii="Arial" w:hAnsi="Arial" w:cs="Arial"/>
          <w:sz w:val="20"/>
          <w:szCs w:val="20"/>
        </w:rPr>
        <w:t xml:space="preserve">it had received </w:t>
      </w:r>
      <w:r w:rsidRPr="00FC564B">
        <w:rPr>
          <w:rFonts w:ascii="Arial" w:hAnsi="Arial" w:cs="Arial"/>
          <w:sz w:val="20"/>
          <w:szCs w:val="20"/>
        </w:rPr>
        <w:t>applications for a total of 113 620 staff</w:t>
      </w:r>
      <w:r w:rsidR="00570003" w:rsidRPr="00FC564B">
        <w:rPr>
          <w:rFonts w:ascii="Arial" w:hAnsi="Arial" w:cs="Arial"/>
          <w:sz w:val="20"/>
          <w:szCs w:val="20"/>
        </w:rPr>
        <w:t xml:space="preserve"> members</w:t>
      </w:r>
      <w:r w:rsidR="00A07302" w:rsidRPr="00FC564B">
        <w:rPr>
          <w:rFonts w:ascii="Arial" w:hAnsi="Arial" w:cs="Arial"/>
          <w:sz w:val="20"/>
          <w:szCs w:val="20"/>
        </w:rPr>
        <w:t>, of which 1</w:t>
      </w:r>
      <w:r w:rsidRPr="00FC564B">
        <w:rPr>
          <w:rFonts w:ascii="Arial" w:hAnsi="Arial" w:cs="Arial"/>
          <w:sz w:val="20"/>
          <w:szCs w:val="20"/>
        </w:rPr>
        <w:t>09</w:t>
      </w:r>
      <w:r w:rsidR="00B93135" w:rsidRPr="00FC564B">
        <w:rPr>
          <w:rFonts w:ascii="Arial" w:hAnsi="Arial" w:cs="Arial"/>
          <w:sz w:val="20"/>
          <w:szCs w:val="20"/>
        </w:rPr>
        <w:t> </w:t>
      </w:r>
      <w:r w:rsidRPr="00FC564B">
        <w:rPr>
          <w:rFonts w:ascii="Arial" w:hAnsi="Arial" w:cs="Arial"/>
          <w:sz w:val="20"/>
          <w:szCs w:val="20"/>
        </w:rPr>
        <w:t>801</w:t>
      </w:r>
      <w:r w:rsidR="00B93135" w:rsidRPr="00FC564B">
        <w:rPr>
          <w:rFonts w:ascii="Arial" w:hAnsi="Arial" w:cs="Arial"/>
          <w:sz w:val="20"/>
          <w:szCs w:val="20"/>
        </w:rPr>
        <w:t xml:space="preserve"> practitioners were found to be </w:t>
      </w:r>
      <w:r w:rsidRPr="00FC564B">
        <w:rPr>
          <w:rFonts w:ascii="Arial" w:hAnsi="Arial" w:cs="Arial"/>
          <w:sz w:val="20"/>
          <w:szCs w:val="20"/>
        </w:rPr>
        <w:t>eligib</w:t>
      </w:r>
      <w:r w:rsidR="00B93135" w:rsidRPr="00FC564B">
        <w:rPr>
          <w:rFonts w:ascii="Arial" w:hAnsi="Arial" w:cs="Arial"/>
          <w:sz w:val="20"/>
          <w:szCs w:val="20"/>
        </w:rPr>
        <w:t>le</w:t>
      </w:r>
      <w:r w:rsidRPr="00FC564B">
        <w:rPr>
          <w:rFonts w:ascii="Arial" w:hAnsi="Arial" w:cs="Arial"/>
          <w:sz w:val="20"/>
          <w:szCs w:val="20"/>
        </w:rPr>
        <w:t xml:space="preserve"> </w:t>
      </w:r>
      <w:r w:rsidR="00186140" w:rsidRPr="00FC564B">
        <w:rPr>
          <w:rFonts w:ascii="Arial" w:hAnsi="Arial" w:cs="Arial"/>
          <w:sz w:val="20"/>
          <w:szCs w:val="20"/>
        </w:rPr>
        <w:t xml:space="preserve">for </w:t>
      </w:r>
      <w:r w:rsidR="00A07302" w:rsidRPr="00FC564B">
        <w:rPr>
          <w:rFonts w:ascii="Arial" w:hAnsi="Arial" w:cs="Arial"/>
          <w:sz w:val="20"/>
          <w:szCs w:val="20"/>
        </w:rPr>
        <w:t xml:space="preserve">the </w:t>
      </w:r>
      <w:r w:rsidR="00FA2C0C" w:rsidRPr="00FC564B">
        <w:rPr>
          <w:rFonts w:ascii="Arial" w:hAnsi="Arial" w:cs="Arial"/>
          <w:sz w:val="20"/>
          <w:szCs w:val="20"/>
        </w:rPr>
        <w:t>G</w:t>
      </w:r>
      <w:r w:rsidR="00570003" w:rsidRPr="00FC564B">
        <w:rPr>
          <w:rFonts w:ascii="Arial" w:hAnsi="Arial" w:cs="Arial"/>
          <w:sz w:val="20"/>
          <w:szCs w:val="20"/>
        </w:rPr>
        <w:t>ran</w:t>
      </w:r>
      <w:r w:rsidR="00FA2C0C" w:rsidRPr="00FC564B">
        <w:rPr>
          <w:rFonts w:ascii="Arial" w:hAnsi="Arial" w:cs="Arial"/>
          <w:sz w:val="20"/>
          <w:szCs w:val="20"/>
        </w:rPr>
        <w:t>t</w:t>
      </w:r>
      <w:r w:rsidR="00570003" w:rsidRPr="00FC564B">
        <w:rPr>
          <w:rFonts w:ascii="Arial" w:hAnsi="Arial" w:cs="Arial"/>
          <w:sz w:val="20"/>
          <w:szCs w:val="20"/>
        </w:rPr>
        <w:t>;</w:t>
      </w:r>
      <w:r w:rsidR="00783777" w:rsidRPr="00FC564B">
        <w:rPr>
          <w:rFonts w:ascii="Arial" w:hAnsi="Arial" w:cs="Arial"/>
          <w:sz w:val="20"/>
          <w:szCs w:val="20"/>
        </w:rPr>
        <w:t xml:space="preserve"> ho</w:t>
      </w:r>
      <w:r w:rsidR="00A07302" w:rsidRPr="00FC564B">
        <w:rPr>
          <w:rFonts w:ascii="Arial" w:hAnsi="Arial" w:cs="Arial"/>
          <w:sz w:val="20"/>
          <w:szCs w:val="20"/>
        </w:rPr>
        <w:t>wever, were yet to be verified for p</w:t>
      </w:r>
      <w:r w:rsidRPr="00FC564B">
        <w:rPr>
          <w:rFonts w:ascii="Arial" w:hAnsi="Arial" w:cs="Arial"/>
          <w:sz w:val="20"/>
          <w:szCs w:val="20"/>
        </w:rPr>
        <w:t>ayment.</w:t>
      </w:r>
      <w:r w:rsidR="00783777" w:rsidRPr="00FC564B">
        <w:rPr>
          <w:rFonts w:ascii="Arial" w:hAnsi="Arial" w:cs="Arial"/>
          <w:sz w:val="20"/>
          <w:szCs w:val="20"/>
        </w:rPr>
        <w:t xml:space="preserve"> Of the eligible staff, 58 590 had been paid by 31 March 2022, </w:t>
      </w:r>
      <w:r w:rsidR="00570003" w:rsidRPr="00FC564B">
        <w:rPr>
          <w:rFonts w:ascii="Arial" w:hAnsi="Arial" w:cs="Arial"/>
          <w:sz w:val="20"/>
          <w:szCs w:val="20"/>
        </w:rPr>
        <w:t xml:space="preserve">with payment to </w:t>
      </w:r>
      <w:r w:rsidR="00783777" w:rsidRPr="00FC564B">
        <w:rPr>
          <w:rFonts w:ascii="Arial" w:hAnsi="Arial" w:cs="Arial"/>
          <w:sz w:val="20"/>
          <w:szCs w:val="20"/>
        </w:rPr>
        <w:t>48 105 still</w:t>
      </w:r>
      <w:r w:rsidR="00570003" w:rsidRPr="00FC564B">
        <w:rPr>
          <w:rFonts w:ascii="Arial" w:hAnsi="Arial" w:cs="Arial"/>
          <w:sz w:val="20"/>
          <w:szCs w:val="20"/>
        </w:rPr>
        <w:t xml:space="preserve"> outstanding</w:t>
      </w:r>
      <w:r w:rsidR="00783777" w:rsidRPr="00FC564B">
        <w:rPr>
          <w:rFonts w:ascii="Arial" w:hAnsi="Arial" w:cs="Arial"/>
          <w:sz w:val="20"/>
          <w:szCs w:val="20"/>
        </w:rPr>
        <w:t>.</w:t>
      </w:r>
    </w:p>
    <w:p w:rsidR="00783777" w:rsidRPr="00FC564B" w:rsidRDefault="00783777" w:rsidP="00FC564B">
      <w:pPr>
        <w:rPr>
          <w:rFonts w:ascii="Arial" w:hAnsi="Arial" w:cs="Arial"/>
          <w:sz w:val="20"/>
          <w:szCs w:val="20"/>
        </w:rPr>
      </w:pPr>
    </w:p>
    <w:p w:rsidR="00FA2C0C" w:rsidRPr="00FC564B" w:rsidRDefault="00FA2C0C" w:rsidP="00FC564B">
      <w:pPr>
        <w:rPr>
          <w:rFonts w:ascii="Arial" w:hAnsi="Arial" w:cs="Arial"/>
          <w:b/>
          <w:sz w:val="20"/>
          <w:szCs w:val="20"/>
        </w:rPr>
      </w:pPr>
      <w:r w:rsidRPr="00FC564B">
        <w:rPr>
          <w:rFonts w:ascii="Arial" w:hAnsi="Arial" w:cs="Arial"/>
          <w:b/>
          <w:sz w:val="20"/>
          <w:szCs w:val="20"/>
        </w:rPr>
        <w:t>5.4 Support to provinces</w:t>
      </w:r>
    </w:p>
    <w:p w:rsidR="002F66C0" w:rsidRPr="00FC564B" w:rsidRDefault="00171FB2" w:rsidP="00FC564B">
      <w:pPr>
        <w:rPr>
          <w:rFonts w:ascii="Arial" w:hAnsi="Arial" w:cs="Arial"/>
          <w:sz w:val="20"/>
          <w:szCs w:val="20"/>
        </w:rPr>
      </w:pPr>
      <w:r w:rsidRPr="00FC564B">
        <w:rPr>
          <w:rFonts w:ascii="Arial" w:hAnsi="Arial" w:cs="Arial"/>
          <w:sz w:val="20"/>
          <w:szCs w:val="20"/>
        </w:rPr>
        <w:t xml:space="preserve">With regard to the support it had provided to provinces, the DSD reported </w:t>
      </w:r>
      <w:r w:rsidR="002F66C0" w:rsidRPr="00FC564B">
        <w:rPr>
          <w:rFonts w:ascii="Arial" w:hAnsi="Arial" w:cs="Arial"/>
          <w:sz w:val="20"/>
          <w:szCs w:val="20"/>
        </w:rPr>
        <w:t>the following:</w:t>
      </w:r>
    </w:p>
    <w:p w:rsidR="00171FB2" w:rsidRPr="00FC564B" w:rsidRDefault="00171FB2" w:rsidP="00FC564B">
      <w:pPr>
        <w:pStyle w:val="ListParagraph"/>
        <w:numPr>
          <w:ilvl w:val="0"/>
          <w:numId w:val="7"/>
        </w:numPr>
        <w:rPr>
          <w:rFonts w:ascii="Arial" w:hAnsi="Arial" w:cs="Arial"/>
          <w:sz w:val="20"/>
          <w:szCs w:val="20"/>
        </w:rPr>
      </w:pPr>
      <w:r w:rsidRPr="00FC564B">
        <w:rPr>
          <w:rFonts w:ascii="Arial" w:hAnsi="Arial" w:cs="Arial"/>
          <w:sz w:val="20"/>
          <w:szCs w:val="20"/>
        </w:rPr>
        <w:t xml:space="preserve">NPOs had been </w:t>
      </w:r>
      <w:r w:rsidR="002F66C0" w:rsidRPr="00FC564B">
        <w:rPr>
          <w:rFonts w:ascii="Arial" w:hAnsi="Arial" w:cs="Arial"/>
          <w:sz w:val="20"/>
          <w:szCs w:val="20"/>
        </w:rPr>
        <w:t xml:space="preserve">contracted </w:t>
      </w:r>
      <w:r w:rsidRPr="00FC564B">
        <w:rPr>
          <w:rFonts w:ascii="Arial" w:hAnsi="Arial" w:cs="Arial"/>
          <w:sz w:val="20"/>
          <w:szCs w:val="20"/>
        </w:rPr>
        <w:t xml:space="preserve">through a </w:t>
      </w:r>
      <w:r w:rsidR="002F66C0" w:rsidRPr="00FC564B">
        <w:rPr>
          <w:rFonts w:ascii="Arial" w:hAnsi="Arial" w:cs="Arial"/>
          <w:sz w:val="20"/>
          <w:szCs w:val="20"/>
        </w:rPr>
        <w:t xml:space="preserve">partnership </w:t>
      </w:r>
      <w:r w:rsidRPr="00FC564B">
        <w:rPr>
          <w:rFonts w:ascii="Arial" w:hAnsi="Arial" w:cs="Arial"/>
          <w:sz w:val="20"/>
          <w:szCs w:val="20"/>
        </w:rPr>
        <w:t>with the DG Murray Trust to assist ECD organisations to complete the applications.</w:t>
      </w:r>
    </w:p>
    <w:p w:rsidR="00171FB2" w:rsidRPr="00FC564B" w:rsidRDefault="00171FB2" w:rsidP="00FC564B">
      <w:pPr>
        <w:pStyle w:val="ListParagraph"/>
        <w:numPr>
          <w:ilvl w:val="0"/>
          <w:numId w:val="7"/>
        </w:numPr>
        <w:rPr>
          <w:rFonts w:ascii="Arial" w:hAnsi="Arial" w:cs="Arial"/>
          <w:sz w:val="20"/>
          <w:szCs w:val="20"/>
        </w:rPr>
      </w:pPr>
      <w:r w:rsidRPr="00FC564B">
        <w:rPr>
          <w:rFonts w:ascii="Arial" w:hAnsi="Arial" w:cs="Arial"/>
          <w:sz w:val="20"/>
          <w:szCs w:val="20"/>
        </w:rPr>
        <w:t>Capacity bui</w:t>
      </w:r>
      <w:r w:rsidR="002F66C0" w:rsidRPr="00FC564B">
        <w:rPr>
          <w:rFonts w:ascii="Arial" w:hAnsi="Arial" w:cs="Arial"/>
          <w:sz w:val="20"/>
          <w:szCs w:val="20"/>
        </w:rPr>
        <w:t xml:space="preserve">lding and information sessions had been </w:t>
      </w:r>
      <w:r w:rsidRPr="00FC564B">
        <w:rPr>
          <w:rFonts w:ascii="Arial" w:hAnsi="Arial" w:cs="Arial"/>
          <w:sz w:val="20"/>
          <w:szCs w:val="20"/>
        </w:rPr>
        <w:t xml:space="preserve">held with provinces on the implementation and processes for </w:t>
      </w:r>
      <w:r w:rsidR="002F66C0" w:rsidRPr="00FC564B">
        <w:rPr>
          <w:rFonts w:ascii="Arial" w:hAnsi="Arial" w:cs="Arial"/>
          <w:sz w:val="20"/>
          <w:szCs w:val="20"/>
        </w:rPr>
        <w:t xml:space="preserve">the </w:t>
      </w:r>
      <w:r w:rsidRPr="00FC564B">
        <w:rPr>
          <w:rFonts w:ascii="Arial" w:hAnsi="Arial" w:cs="Arial"/>
          <w:sz w:val="20"/>
          <w:szCs w:val="20"/>
        </w:rPr>
        <w:t xml:space="preserve">stimulus package by </w:t>
      </w:r>
      <w:r w:rsidR="002F66C0" w:rsidRPr="00FC564B">
        <w:rPr>
          <w:rFonts w:ascii="Arial" w:hAnsi="Arial" w:cs="Arial"/>
          <w:sz w:val="20"/>
          <w:szCs w:val="20"/>
        </w:rPr>
        <w:t xml:space="preserve">the </w:t>
      </w:r>
      <w:r w:rsidRPr="00FC564B">
        <w:rPr>
          <w:rFonts w:ascii="Arial" w:hAnsi="Arial" w:cs="Arial"/>
          <w:sz w:val="20"/>
          <w:szCs w:val="20"/>
        </w:rPr>
        <w:t>DSD and partners</w:t>
      </w:r>
      <w:r w:rsidR="002F66C0" w:rsidRPr="00FC564B">
        <w:rPr>
          <w:rFonts w:ascii="Arial" w:hAnsi="Arial" w:cs="Arial"/>
          <w:sz w:val="20"/>
          <w:szCs w:val="20"/>
        </w:rPr>
        <w:t xml:space="preserve">, such as the </w:t>
      </w:r>
      <w:r w:rsidRPr="00FC564B">
        <w:rPr>
          <w:rFonts w:ascii="Arial" w:hAnsi="Arial" w:cs="Arial"/>
          <w:sz w:val="20"/>
          <w:szCs w:val="20"/>
        </w:rPr>
        <w:t>Nelson Mandela Foundation.</w:t>
      </w:r>
    </w:p>
    <w:p w:rsidR="00171FB2" w:rsidRPr="00FC564B" w:rsidRDefault="002F66C0" w:rsidP="00FC564B">
      <w:pPr>
        <w:pStyle w:val="ListParagraph"/>
        <w:numPr>
          <w:ilvl w:val="0"/>
          <w:numId w:val="7"/>
        </w:numPr>
        <w:rPr>
          <w:rFonts w:ascii="Arial" w:hAnsi="Arial" w:cs="Arial"/>
          <w:sz w:val="20"/>
          <w:szCs w:val="20"/>
        </w:rPr>
      </w:pPr>
      <w:r w:rsidRPr="00FC564B">
        <w:rPr>
          <w:rFonts w:ascii="Arial" w:hAnsi="Arial" w:cs="Arial"/>
          <w:sz w:val="20"/>
          <w:szCs w:val="20"/>
        </w:rPr>
        <w:t>Different structures had been</w:t>
      </w:r>
      <w:r w:rsidR="00171FB2" w:rsidRPr="00FC564B">
        <w:rPr>
          <w:rFonts w:ascii="Arial" w:hAnsi="Arial" w:cs="Arial"/>
          <w:sz w:val="20"/>
          <w:szCs w:val="20"/>
        </w:rPr>
        <w:t xml:space="preserve"> established with all provinces as a platform to support provinces and meetings were held weekly.</w:t>
      </w:r>
    </w:p>
    <w:p w:rsidR="00171FB2" w:rsidRPr="00FC564B" w:rsidRDefault="002F66C0" w:rsidP="00FC564B">
      <w:pPr>
        <w:pStyle w:val="ListParagraph"/>
        <w:numPr>
          <w:ilvl w:val="0"/>
          <w:numId w:val="7"/>
        </w:numPr>
        <w:rPr>
          <w:rFonts w:ascii="Arial" w:hAnsi="Arial" w:cs="Arial"/>
          <w:sz w:val="20"/>
          <w:szCs w:val="20"/>
        </w:rPr>
      </w:pPr>
      <w:r w:rsidRPr="00FC564B">
        <w:rPr>
          <w:rFonts w:ascii="Arial" w:hAnsi="Arial" w:cs="Arial"/>
          <w:sz w:val="20"/>
          <w:szCs w:val="20"/>
        </w:rPr>
        <w:t xml:space="preserve">Provinces had been </w:t>
      </w:r>
      <w:r w:rsidR="00171FB2" w:rsidRPr="00FC564B">
        <w:rPr>
          <w:rFonts w:ascii="Arial" w:hAnsi="Arial" w:cs="Arial"/>
          <w:sz w:val="20"/>
          <w:szCs w:val="20"/>
        </w:rPr>
        <w:t>assisted and supported during the establishment of help desks at provincial and</w:t>
      </w:r>
      <w:r w:rsidRPr="00FC564B">
        <w:rPr>
          <w:rFonts w:ascii="Arial" w:hAnsi="Arial" w:cs="Arial"/>
          <w:sz w:val="20"/>
          <w:szCs w:val="20"/>
        </w:rPr>
        <w:t xml:space="preserve"> district levels to enable ECDs</w:t>
      </w:r>
      <w:r w:rsidR="00171FB2" w:rsidRPr="00FC564B">
        <w:rPr>
          <w:rFonts w:ascii="Arial" w:hAnsi="Arial" w:cs="Arial"/>
          <w:sz w:val="20"/>
          <w:szCs w:val="20"/>
        </w:rPr>
        <w:t xml:space="preserve"> to obtain assistance.</w:t>
      </w:r>
    </w:p>
    <w:p w:rsidR="00171FB2" w:rsidRPr="00FC564B" w:rsidRDefault="002F66C0" w:rsidP="00FC564B">
      <w:pPr>
        <w:pStyle w:val="ListParagraph"/>
        <w:numPr>
          <w:ilvl w:val="0"/>
          <w:numId w:val="7"/>
        </w:numPr>
        <w:rPr>
          <w:rFonts w:ascii="Arial" w:hAnsi="Arial" w:cs="Arial"/>
          <w:sz w:val="20"/>
          <w:szCs w:val="20"/>
        </w:rPr>
      </w:pPr>
      <w:r w:rsidRPr="00FC564B">
        <w:rPr>
          <w:rFonts w:ascii="Arial" w:hAnsi="Arial" w:cs="Arial"/>
          <w:sz w:val="20"/>
          <w:szCs w:val="20"/>
        </w:rPr>
        <w:t>SMS’s had been sent to advise ECD</w:t>
      </w:r>
      <w:r w:rsidR="00171FB2" w:rsidRPr="00FC564B">
        <w:rPr>
          <w:rFonts w:ascii="Arial" w:hAnsi="Arial" w:cs="Arial"/>
          <w:sz w:val="20"/>
          <w:szCs w:val="20"/>
        </w:rPr>
        <w:t xml:space="preserve">s on their applications and </w:t>
      </w:r>
      <w:r w:rsidRPr="00FC564B">
        <w:rPr>
          <w:rFonts w:ascii="Arial" w:hAnsi="Arial" w:cs="Arial"/>
          <w:sz w:val="20"/>
          <w:szCs w:val="20"/>
        </w:rPr>
        <w:t xml:space="preserve">any outstanding </w:t>
      </w:r>
      <w:r w:rsidR="00171FB2" w:rsidRPr="00FC564B">
        <w:rPr>
          <w:rFonts w:ascii="Arial" w:hAnsi="Arial" w:cs="Arial"/>
          <w:sz w:val="20"/>
          <w:szCs w:val="20"/>
        </w:rPr>
        <w:t>information</w:t>
      </w:r>
      <w:r w:rsidRPr="00FC564B">
        <w:rPr>
          <w:rFonts w:ascii="Arial" w:hAnsi="Arial" w:cs="Arial"/>
          <w:sz w:val="20"/>
          <w:szCs w:val="20"/>
        </w:rPr>
        <w:t>.</w:t>
      </w:r>
    </w:p>
    <w:p w:rsidR="00171FB2" w:rsidRPr="00FC564B" w:rsidRDefault="00171FB2" w:rsidP="00FC564B">
      <w:pPr>
        <w:pStyle w:val="ListParagraph"/>
        <w:numPr>
          <w:ilvl w:val="0"/>
          <w:numId w:val="7"/>
        </w:numPr>
        <w:rPr>
          <w:rFonts w:ascii="Arial" w:hAnsi="Arial" w:cs="Arial"/>
          <w:sz w:val="20"/>
          <w:szCs w:val="20"/>
        </w:rPr>
      </w:pPr>
      <w:r w:rsidRPr="00FC564B">
        <w:rPr>
          <w:rFonts w:ascii="Arial" w:hAnsi="Arial" w:cs="Arial"/>
          <w:sz w:val="20"/>
          <w:szCs w:val="20"/>
        </w:rPr>
        <w:t>R</w:t>
      </w:r>
      <w:r w:rsidR="00DD341A" w:rsidRPr="00FC564B">
        <w:rPr>
          <w:rFonts w:ascii="Arial" w:hAnsi="Arial" w:cs="Arial"/>
          <w:sz w:val="20"/>
          <w:szCs w:val="20"/>
        </w:rPr>
        <w:t>eporting and monitoring tools had been</w:t>
      </w:r>
      <w:r w:rsidRPr="00FC564B">
        <w:rPr>
          <w:rFonts w:ascii="Arial" w:hAnsi="Arial" w:cs="Arial"/>
          <w:sz w:val="20"/>
          <w:szCs w:val="20"/>
        </w:rPr>
        <w:t xml:space="preserve"> developed to promote standardisation across the provinces.</w:t>
      </w:r>
    </w:p>
    <w:p w:rsidR="00667583" w:rsidRPr="00FC564B" w:rsidRDefault="00667583" w:rsidP="00FC564B">
      <w:pPr>
        <w:rPr>
          <w:rFonts w:ascii="Arial" w:hAnsi="Arial" w:cs="Arial"/>
          <w:sz w:val="20"/>
          <w:szCs w:val="20"/>
        </w:rPr>
      </w:pPr>
    </w:p>
    <w:p w:rsidR="006812AA" w:rsidRPr="00FC564B" w:rsidRDefault="007323F7" w:rsidP="00FC564B">
      <w:pPr>
        <w:tabs>
          <w:tab w:val="num" w:pos="720"/>
        </w:tabs>
        <w:rPr>
          <w:rFonts w:ascii="Arial" w:hAnsi="Arial" w:cs="Arial"/>
          <w:sz w:val="20"/>
          <w:szCs w:val="20"/>
          <w:lang w:val="en-ZA"/>
        </w:rPr>
      </w:pPr>
      <w:r w:rsidRPr="00FC564B">
        <w:rPr>
          <w:rFonts w:ascii="Arial" w:hAnsi="Arial" w:cs="Arial"/>
          <w:sz w:val="20"/>
          <w:szCs w:val="20"/>
        </w:rPr>
        <w:t>With regard to the next steps with the stimulus package, the DSD reported that National Treasury had already made r</w:t>
      </w:r>
      <w:r w:rsidR="00497A8B" w:rsidRPr="00FC564B">
        <w:rPr>
          <w:rFonts w:ascii="Arial" w:hAnsi="Arial" w:cs="Arial"/>
          <w:sz w:val="20"/>
          <w:szCs w:val="20"/>
        </w:rPr>
        <w:t>ecommendatio</w:t>
      </w:r>
      <w:r w:rsidRPr="00FC564B">
        <w:rPr>
          <w:rFonts w:ascii="Arial" w:hAnsi="Arial" w:cs="Arial"/>
          <w:sz w:val="20"/>
          <w:szCs w:val="20"/>
        </w:rPr>
        <w:t>ns to provincial t</w:t>
      </w:r>
      <w:r w:rsidR="00533F29" w:rsidRPr="00FC564B">
        <w:rPr>
          <w:rFonts w:ascii="Arial" w:hAnsi="Arial" w:cs="Arial"/>
          <w:sz w:val="20"/>
          <w:szCs w:val="20"/>
        </w:rPr>
        <w:t>reasuries</w:t>
      </w:r>
      <w:r w:rsidRPr="00FC564B">
        <w:rPr>
          <w:rFonts w:ascii="Arial" w:hAnsi="Arial" w:cs="Arial"/>
          <w:sz w:val="20"/>
          <w:szCs w:val="20"/>
        </w:rPr>
        <w:t xml:space="preserve"> on roll-over funds</w:t>
      </w:r>
      <w:r w:rsidR="00533F29" w:rsidRPr="00FC564B">
        <w:rPr>
          <w:rFonts w:ascii="Arial" w:hAnsi="Arial" w:cs="Arial"/>
          <w:sz w:val="20"/>
          <w:szCs w:val="20"/>
        </w:rPr>
        <w:t xml:space="preserve">. </w:t>
      </w:r>
      <w:r w:rsidRPr="00FC564B">
        <w:rPr>
          <w:rFonts w:ascii="Arial" w:hAnsi="Arial" w:cs="Arial"/>
          <w:sz w:val="20"/>
          <w:szCs w:val="20"/>
        </w:rPr>
        <w:t xml:space="preserve">Once allocation letters were </w:t>
      </w:r>
      <w:r w:rsidR="00497A8B" w:rsidRPr="00FC564B">
        <w:rPr>
          <w:rFonts w:ascii="Arial" w:hAnsi="Arial" w:cs="Arial"/>
          <w:sz w:val="20"/>
          <w:szCs w:val="20"/>
        </w:rPr>
        <w:t xml:space="preserve">issued, </w:t>
      </w:r>
      <w:r w:rsidRPr="00FC564B">
        <w:rPr>
          <w:rFonts w:ascii="Arial" w:hAnsi="Arial" w:cs="Arial"/>
          <w:sz w:val="20"/>
          <w:szCs w:val="20"/>
        </w:rPr>
        <w:t xml:space="preserve">it would </w:t>
      </w:r>
      <w:r w:rsidR="00497A8B" w:rsidRPr="00FC564B">
        <w:rPr>
          <w:rFonts w:ascii="Arial" w:hAnsi="Arial" w:cs="Arial"/>
          <w:sz w:val="20"/>
          <w:szCs w:val="20"/>
        </w:rPr>
        <w:t>assist</w:t>
      </w:r>
      <w:r w:rsidRPr="00FC564B">
        <w:rPr>
          <w:rFonts w:ascii="Arial" w:hAnsi="Arial" w:cs="Arial"/>
          <w:sz w:val="20"/>
          <w:szCs w:val="20"/>
        </w:rPr>
        <w:t xml:space="preserve"> the</w:t>
      </w:r>
      <w:r w:rsidR="00497A8B" w:rsidRPr="00FC564B">
        <w:rPr>
          <w:rFonts w:ascii="Arial" w:hAnsi="Arial" w:cs="Arial"/>
          <w:sz w:val="20"/>
          <w:szCs w:val="20"/>
        </w:rPr>
        <w:t xml:space="preserve"> DBE in the processing of the payment to eligible ECD practitioners</w:t>
      </w:r>
      <w:r w:rsidRPr="00FC564B">
        <w:rPr>
          <w:rFonts w:ascii="Arial" w:hAnsi="Arial" w:cs="Arial"/>
          <w:sz w:val="20"/>
          <w:szCs w:val="20"/>
        </w:rPr>
        <w:t xml:space="preserve"> through application and</w:t>
      </w:r>
      <w:r w:rsidR="00497A8B" w:rsidRPr="00FC564B">
        <w:rPr>
          <w:rFonts w:ascii="Arial" w:hAnsi="Arial" w:cs="Arial"/>
          <w:sz w:val="20"/>
          <w:szCs w:val="20"/>
        </w:rPr>
        <w:t xml:space="preserve"> payment verification</w:t>
      </w:r>
      <w:r w:rsidRPr="00FC564B">
        <w:rPr>
          <w:rFonts w:ascii="Arial" w:hAnsi="Arial" w:cs="Arial"/>
          <w:sz w:val="20"/>
          <w:szCs w:val="20"/>
        </w:rPr>
        <w:t xml:space="preserve">; ECD site </w:t>
      </w:r>
      <w:r w:rsidR="00497A8B" w:rsidRPr="00FC564B">
        <w:rPr>
          <w:rFonts w:ascii="Arial" w:hAnsi="Arial" w:cs="Arial"/>
          <w:sz w:val="20"/>
          <w:szCs w:val="20"/>
        </w:rPr>
        <w:t>verification</w:t>
      </w:r>
      <w:r w:rsidR="009A588F" w:rsidRPr="00FC564B">
        <w:rPr>
          <w:rFonts w:ascii="Arial" w:hAnsi="Arial" w:cs="Arial"/>
          <w:sz w:val="20"/>
          <w:szCs w:val="20"/>
        </w:rPr>
        <w:t>;</w:t>
      </w:r>
      <w:r w:rsidRPr="00FC564B">
        <w:rPr>
          <w:rFonts w:ascii="Arial" w:hAnsi="Arial" w:cs="Arial"/>
          <w:sz w:val="20"/>
          <w:szCs w:val="20"/>
        </w:rPr>
        <w:t xml:space="preserve"> and ECD </w:t>
      </w:r>
      <w:r w:rsidR="00497A8B" w:rsidRPr="00FC564B">
        <w:rPr>
          <w:rFonts w:ascii="Arial" w:hAnsi="Arial" w:cs="Arial"/>
          <w:sz w:val="20"/>
          <w:szCs w:val="20"/>
        </w:rPr>
        <w:t xml:space="preserve">guidelines set by </w:t>
      </w:r>
      <w:r w:rsidRPr="00FC564B">
        <w:rPr>
          <w:rFonts w:ascii="Arial" w:hAnsi="Arial" w:cs="Arial"/>
          <w:sz w:val="20"/>
          <w:szCs w:val="20"/>
        </w:rPr>
        <w:t>the social d</w:t>
      </w:r>
      <w:r w:rsidR="00497A8B" w:rsidRPr="00FC564B">
        <w:rPr>
          <w:rFonts w:ascii="Arial" w:hAnsi="Arial" w:cs="Arial"/>
          <w:sz w:val="20"/>
          <w:szCs w:val="20"/>
        </w:rPr>
        <w:t xml:space="preserve">evelopment </w:t>
      </w:r>
      <w:r w:rsidRPr="00FC564B">
        <w:rPr>
          <w:rFonts w:ascii="Arial" w:hAnsi="Arial" w:cs="Arial"/>
          <w:sz w:val="20"/>
          <w:szCs w:val="20"/>
        </w:rPr>
        <w:t>s</w:t>
      </w:r>
      <w:r w:rsidR="00497A8B" w:rsidRPr="00FC564B">
        <w:rPr>
          <w:rFonts w:ascii="Arial" w:hAnsi="Arial" w:cs="Arial"/>
          <w:sz w:val="20"/>
          <w:szCs w:val="20"/>
        </w:rPr>
        <w:t>ector</w:t>
      </w:r>
      <w:r w:rsidRPr="00FC564B">
        <w:rPr>
          <w:rFonts w:ascii="Arial" w:hAnsi="Arial" w:cs="Arial"/>
          <w:sz w:val="20"/>
          <w:szCs w:val="20"/>
        </w:rPr>
        <w:t>.</w:t>
      </w:r>
      <w:r w:rsidR="009A588F" w:rsidRPr="00FC564B">
        <w:rPr>
          <w:rFonts w:ascii="Arial" w:hAnsi="Arial" w:cs="Arial"/>
          <w:sz w:val="20"/>
          <w:szCs w:val="20"/>
        </w:rPr>
        <w:t xml:space="preserve"> </w:t>
      </w:r>
      <w:r w:rsidR="00497A8B" w:rsidRPr="00FC564B">
        <w:rPr>
          <w:rFonts w:ascii="Arial" w:hAnsi="Arial" w:cs="Arial"/>
          <w:sz w:val="20"/>
          <w:szCs w:val="20"/>
        </w:rPr>
        <w:t xml:space="preserve">Payments to all eligible ECD practitioners </w:t>
      </w:r>
      <w:r w:rsidR="006149DA" w:rsidRPr="00FC564B">
        <w:rPr>
          <w:rFonts w:ascii="Arial" w:hAnsi="Arial" w:cs="Arial"/>
          <w:sz w:val="20"/>
          <w:szCs w:val="20"/>
        </w:rPr>
        <w:t>would</w:t>
      </w:r>
      <w:r w:rsidR="009A588F" w:rsidRPr="00FC564B">
        <w:rPr>
          <w:rFonts w:ascii="Arial" w:hAnsi="Arial" w:cs="Arial"/>
          <w:sz w:val="20"/>
          <w:szCs w:val="20"/>
        </w:rPr>
        <w:t xml:space="preserve"> reportedly </w:t>
      </w:r>
      <w:r w:rsidR="00497A8B" w:rsidRPr="00FC564B">
        <w:rPr>
          <w:rFonts w:ascii="Arial" w:hAnsi="Arial" w:cs="Arial"/>
          <w:sz w:val="20"/>
          <w:szCs w:val="20"/>
        </w:rPr>
        <w:t>be finalised</w:t>
      </w:r>
      <w:r w:rsidR="009C189A" w:rsidRPr="00FC564B">
        <w:rPr>
          <w:rFonts w:ascii="Arial" w:hAnsi="Arial" w:cs="Arial"/>
          <w:sz w:val="20"/>
          <w:szCs w:val="20"/>
        </w:rPr>
        <w:t xml:space="preserve"> </w:t>
      </w:r>
      <w:r w:rsidR="009A588F" w:rsidRPr="00FC564B">
        <w:rPr>
          <w:rFonts w:ascii="Arial" w:hAnsi="Arial" w:cs="Arial"/>
          <w:sz w:val="20"/>
          <w:szCs w:val="20"/>
        </w:rPr>
        <w:t>by 31 March 2023</w:t>
      </w:r>
      <w:r w:rsidR="009C189A" w:rsidRPr="00FC564B">
        <w:rPr>
          <w:rFonts w:ascii="Arial" w:hAnsi="Arial" w:cs="Arial"/>
          <w:sz w:val="20"/>
          <w:szCs w:val="20"/>
        </w:rPr>
        <w:t xml:space="preserve"> by DBE</w:t>
      </w:r>
      <w:r w:rsidR="009A588F" w:rsidRPr="00FC564B">
        <w:rPr>
          <w:rFonts w:ascii="Arial" w:hAnsi="Arial" w:cs="Arial"/>
          <w:sz w:val="20"/>
          <w:szCs w:val="20"/>
        </w:rPr>
        <w:t>.</w:t>
      </w:r>
      <w:r w:rsidR="009C189A" w:rsidRPr="00FC564B">
        <w:rPr>
          <w:rFonts w:ascii="Arial" w:hAnsi="Arial" w:cs="Arial"/>
          <w:sz w:val="20"/>
          <w:szCs w:val="20"/>
        </w:rPr>
        <w:t xml:space="preserve"> </w:t>
      </w:r>
    </w:p>
    <w:p w:rsidR="002F35C6" w:rsidRPr="00FC564B" w:rsidRDefault="00661D6D" w:rsidP="00FC564B">
      <w:pPr>
        <w:rPr>
          <w:rFonts w:ascii="Arial" w:hAnsi="Arial" w:cs="Arial"/>
          <w:sz w:val="20"/>
          <w:szCs w:val="20"/>
        </w:rPr>
      </w:pPr>
      <w:r w:rsidRPr="00FC564B">
        <w:rPr>
          <w:rFonts w:ascii="Arial" w:hAnsi="Arial" w:cs="Arial"/>
          <w:sz w:val="20"/>
          <w:szCs w:val="20"/>
        </w:rPr>
        <w:t xml:space="preserve"> </w:t>
      </w:r>
    </w:p>
    <w:p w:rsidR="004926CA" w:rsidRPr="00FC564B" w:rsidRDefault="004926CA" w:rsidP="00FC564B">
      <w:pPr>
        <w:rPr>
          <w:rFonts w:ascii="Arial" w:hAnsi="Arial" w:cs="Arial"/>
          <w:b/>
          <w:sz w:val="20"/>
          <w:szCs w:val="20"/>
        </w:rPr>
      </w:pPr>
      <w:r w:rsidRPr="00FC564B">
        <w:rPr>
          <w:rFonts w:ascii="Arial" w:hAnsi="Arial" w:cs="Arial"/>
          <w:b/>
          <w:sz w:val="20"/>
          <w:szCs w:val="20"/>
        </w:rPr>
        <w:t>5.</w:t>
      </w:r>
      <w:r w:rsidR="00FA2C0C" w:rsidRPr="00FC564B">
        <w:rPr>
          <w:rFonts w:ascii="Arial" w:hAnsi="Arial" w:cs="Arial"/>
          <w:b/>
          <w:sz w:val="20"/>
          <w:szCs w:val="20"/>
        </w:rPr>
        <w:t>5</w:t>
      </w:r>
      <w:r w:rsidRPr="00FC564B">
        <w:rPr>
          <w:rFonts w:ascii="Arial" w:hAnsi="Arial" w:cs="Arial"/>
          <w:b/>
          <w:sz w:val="20"/>
          <w:szCs w:val="20"/>
        </w:rPr>
        <w:t xml:space="preserve"> Migration of function to Department of Basic Education</w:t>
      </w:r>
    </w:p>
    <w:p w:rsidR="004C5F6F" w:rsidRPr="00FC564B" w:rsidRDefault="00C112E6" w:rsidP="00FC564B">
      <w:pPr>
        <w:rPr>
          <w:rFonts w:ascii="Arial" w:hAnsi="Arial" w:cs="Arial"/>
          <w:sz w:val="20"/>
          <w:szCs w:val="20"/>
          <w:lang w:val="en-ZA"/>
        </w:rPr>
      </w:pPr>
      <w:r w:rsidRPr="00FC564B">
        <w:rPr>
          <w:rFonts w:ascii="Arial" w:hAnsi="Arial" w:cs="Arial"/>
          <w:sz w:val="20"/>
          <w:szCs w:val="20"/>
          <w:lang w:val="en-US"/>
        </w:rPr>
        <w:t>The DSD reported that a</w:t>
      </w:r>
      <w:r w:rsidR="004F2D7F" w:rsidRPr="00FC564B">
        <w:rPr>
          <w:rFonts w:ascii="Arial" w:hAnsi="Arial" w:cs="Arial"/>
          <w:sz w:val="20"/>
          <w:szCs w:val="20"/>
          <w:lang w:val="en-US"/>
        </w:rPr>
        <w:t xml:space="preserve"> Cabinet memorandum on the shift </w:t>
      </w:r>
      <w:r w:rsidRPr="00FC564B">
        <w:rPr>
          <w:rFonts w:ascii="Arial" w:hAnsi="Arial" w:cs="Arial"/>
          <w:sz w:val="20"/>
          <w:szCs w:val="20"/>
          <w:lang w:val="en-US"/>
        </w:rPr>
        <w:t>of the ECD function</w:t>
      </w:r>
      <w:r w:rsidR="00651E8A" w:rsidRPr="00FC564B">
        <w:rPr>
          <w:rFonts w:ascii="Arial" w:hAnsi="Arial" w:cs="Arial"/>
          <w:sz w:val="20"/>
          <w:szCs w:val="20"/>
          <w:lang w:val="en-US"/>
        </w:rPr>
        <w:t xml:space="preserve"> from the DSD to the DBE had </w:t>
      </w:r>
      <w:r w:rsidR="004F2D7F" w:rsidRPr="00FC564B">
        <w:rPr>
          <w:rFonts w:ascii="Arial" w:hAnsi="Arial" w:cs="Arial"/>
          <w:sz w:val="20"/>
          <w:szCs w:val="20"/>
          <w:lang w:val="en-US"/>
        </w:rPr>
        <w:t>served in Cabinet in March 2022</w:t>
      </w:r>
      <w:r w:rsidR="00651E8A" w:rsidRPr="00FC564B">
        <w:rPr>
          <w:rFonts w:ascii="Arial" w:hAnsi="Arial" w:cs="Arial"/>
          <w:sz w:val="20"/>
          <w:szCs w:val="20"/>
          <w:lang w:val="en-US"/>
        </w:rPr>
        <w:t>; and o</w:t>
      </w:r>
      <w:r w:rsidR="004F2D7F" w:rsidRPr="00FC564B">
        <w:rPr>
          <w:rFonts w:ascii="Arial" w:hAnsi="Arial" w:cs="Arial"/>
          <w:sz w:val="20"/>
          <w:szCs w:val="20"/>
          <w:lang w:val="en-US"/>
        </w:rPr>
        <w:t>n 1 April 2022, the</w:t>
      </w:r>
      <w:r w:rsidR="00651E8A" w:rsidRPr="00FC564B">
        <w:rPr>
          <w:rFonts w:ascii="Arial" w:hAnsi="Arial" w:cs="Arial"/>
          <w:sz w:val="20"/>
          <w:szCs w:val="20"/>
          <w:lang w:val="en-US"/>
        </w:rPr>
        <w:t xml:space="preserve"> Minister of Social Development had </w:t>
      </w:r>
      <w:r w:rsidR="004F2D7F" w:rsidRPr="00FC564B">
        <w:rPr>
          <w:rFonts w:ascii="Arial" w:hAnsi="Arial" w:cs="Arial"/>
          <w:sz w:val="20"/>
          <w:szCs w:val="20"/>
          <w:lang w:val="en-US"/>
        </w:rPr>
        <w:t xml:space="preserve">officially handed over the </w:t>
      </w:r>
      <w:r w:rsidR="00651E8A" w:rsidRPr="00FC564B">
        <w:rPr>
          <w:rFonts w:ascii="Arial" w:hAnsi="Arial" w:cs="Arial"/>
          <w:sz w:val="20"/>
          <w:szCs w:val="20"/>
          <w:lang w:val="en-US"/>
        </w:rPr>
        <w:t>f</w:t>
      </w:r>
      <w:r w:rsidR="004F2D7F" w:rsidRPr="00FC564B">
        <w:rPr>
          <w:rFonts w:ascii="Arial" w:hAnsi="Arial" w:cs="Arial"/>
          <w:sz w:val="20"/>
          <w:szCs w:val="20"/>
          <w:lang w:val="en-US"/>
        </w:rPr>
        <w:t>unction to the Minister of Basic Educati</w:t>
      </w:r>
      <w:r w:rsidR="00651E8A" w:rsidRPr="00FC564B">
        <w:rPr>
          <w:rFonts w:ascii="Arial" w:hAnsi="Arial" w:cs="Arial"/>
          <w:sz w:val="20"/>
          <w:szCs w:val="20"/>
          <w:lang w:val="en-US"/>
        </w:rPr>
        <w:t>on</w:t>
      </w:r>
      <w:r w:rsidR="004F2D7F" w:rsidRPr="00FC564B">
        <w:rPr>
          <w:rFonts w:ascii="Arial" w:hAnsi="Arial" w:cs="Arial"/>
          <w:sz w:val="20"/>
          <w:szCs w:val="20"/>
          <w:lang w:val="en-US"/>
        </w:rPr>
        <w:t>.</w:t>
      </w:r>
      <w:r w:rsidR="00C008A8" w:rsidRPr="00FC564B">
        <w:rPr>
          <w:rFonts w:ascii="Arial" w:hAnsi="Arial" w:cs="Arial"/>
          <w:sz w:val="20"/>
          <w:szCs w:val="20"/>
          <w:lang w:val="en-US"/>
        </w:rPr>
        <w:t xml:space="preserve"> </w:t>
      </w:r>
      <w:r w:rsidR="00704BFD" w:rsidRPr="00FC564B">
        <w:rPr>
          <w:rFonts w:ascii="Arial" w:hAnsi="Arial" w:cs="Arial"/>
          <w:sz w:val="20"/>
          <w:szCs w:val="20"/>
          <w:lang w:val="en-ZA"/>
        </w:rPr>
        <w:t>This meant that the management and implementation of the Grant wa</w:t>
      </w:r>
      <w:r w:rsidR="009B758B" w:rsidRPr="00FC564B">
        <w:rPr>
          <w:rFonts w:ascii="Arial" w:hAnsi="Arial" w:cs="Arial"/>
          <w:sz w:val="20"/>
          <w:szCs w:val="20"/>
          <w:lang w:val="en-ZA"/>
        </w:rPr>
        <w:t xml:space="preserve">s now </w:t>
      </w:r>
      <w:r w:rsidR="00704BFD" w:rsidRPr="00FC564B">
        <w:rPr>
          <w:rFonts w:ascii="Arial" w:hAnsi="Arial" w:cs="Arial"/>
          <w:sz w:val="20"/>
          <w:szCs w:val="20"/>
          <w:lang w:val="en-ZA"/>
        </w:rPr>
        <w:t>the</w:t>
      </w:r>
      <w:r w:rsidR="009B758B" w:rsidRPr="00FC564B">
        <w:rPr>
          <w:rFonts w:ascii="Arial" w:hAnsi="Arial" w:cs="Arial"/>
          <w:sz w:val="20"/>
          <w:szCs w:val="20"/>
          <w:lang w:val="en-ZA"/>
        </w:rPr>
        <w:t xml:space="preserve"> responsibility of the</w:t>
      </w:r>
      <w:r w:rsidR="00704BFD" w:rsidRPr="00FC564B">
        <w:rPr>
          <w:rFonts w:ascii="Arial" w:hAnsi="Arial" w:cs="Arial"/>
          <w:sz w:val="20"/>
          <w:szCs w:val="20"/>
          <w:lang w:val="en-ZA"/>
        </w:rPr>
        <w:t xml:space="preserve"> DBE</w:t>
      </w:r>
      <w:r w:rsidR="009B758B" w:rsidRPr="00FC564B">
        <w:rPr>
          <w:rFonts w:ascii="Arial" w:hAnsi="Arial" w:cs="Arial"/>
          <w:sz w:val="20"/>
          <w:szCs w:val="20"/>
          <w:lang w:val="en-ZA"/>
        </w:rPr>
        <w:t xml:space="preserve"> and also </w:t>
      </w:r>
      <w:r w:rsidR="004F2D7F" w:rsidRPr="00FC564B">
        <w:rPr>
          <w:rFonts w:ascii="Arial" w:hAnsi="Arial" w:cs="Arial"/>
          <w:sz w:val="20"/>
          <w:szCs w:val="20"/>
          <w:lang w:val="en-ZA"/>
        </w:rPr>
        <w:t>marked a partnership</w:t>
      </w:r>
      <w:r w:rsidR="00C008A8" w:rsidRPr="00FC564B">
        <w:rPr>
          <w:rFonts w:ascii="Arial" w:hAnsi="Arial" w:cs="Arial"/>
          <w:sz w:val="20"/>
          <w:szCs w:val="20"/>
          <w:lang w:val="en-ZA"/>
        </w:rPr>
        <w:t xml:space="preserve"> between the DBE and other government</w:t>
      </w:r>
      <w:r w:rsidR="004F2D7F" w:rsidRPr="00FC564B">
        <w:rPr>
          <w:rFonts w:ascii="Arial" w:hAnsi="Arial" w:cs="Arial"/>
          <w:sz w:val="20"/>
          <w:szCs w:val="20"/>
          <w:lang w:val="en-ZA"/>
        </w:rPr>
        <w:t xml:space="preserve"> d</w:t>
      </w:r>
      <w:r w:rsidR="00C008A8" w:rsidRPr="00FC564B">
        <w:rPr>
          <w:rFonts w:ascii="Arial" w:hAnsi="Arial" w:cs="Arial"/>
          <w:sz w:val="20"/>
          <w:szCs w:val="20"/>
          <w:lang w:val="en-ZA"/>
        </w:rPr>
        <w:t>epartments, NGOs, civil society</w:t>
      </w:r>
      <w:r w:rsidR="004F2D7F" w:rsidRPr="00FC564B">
        <w:rPr>
          <w:rFonts w:ascii="Arial" w:hAnsi="Arial" w:cs="Arial"/>
          <w:sz w:val="20"/>
          <w:szCs w:val="20"/>
          <w:lang w:val="en-ZA"/>
        </w:rPr>
        <w:t xml:space="preserve"> partners and other entities to ensure that all children, including those with disabilities</w:t>
      </w:r>
      <w:r w:rsidR="00C008A8" w:rsidRPr="00FC564B">
        <w:rPr>
          <w:rFonts w:ascii="Arial" w:hAnsi="Arial" w:cs="Arial"/>
          <w:sz w:val="20"/>
          <w:szCs w:val="20"/>
          <w:lang w:val="en-ZA"/>
        </w:rPr>
        <w:t>, we</w:t>
      </w:r>
      <w:r w:rsidR="004F2D7F" w:rsidRPr="00FC564B">
        <w:rPr>
          <w:rFonts w:ascii="Arial" w:hAnsi="Arial" w:cs="Arial"/>
          <w:sz w:val="20"/>
          <w:szCs w:val="20"/>
          <w:lang w:val="en-ZA"/>
        </w:rPr>
        <w:t>re provided with access to quality ECD</w:t>
      </w:r>
      <w:r w:rsidR="00B647A1" w:rsidRPr="00FC564B">
        <w:rPr>
          <w:rFonts w:ascii="Arial" w:hAnsi="Arial" w:cs="Arial"/>
          <w:sz w:val="20"/>
          <w:szCs w:val="20"/>
          <w:lang w:val="en-ZA"/>
        </w:rPr>
        <w:t xml:space="preserve"> services</w:t>
      </w:r>
      <w:r w:rsidR="004F2D7F" w:rsidRPr="00FC564B">
        <w:rPr>
          <w:rFonts w:ascii="Arial" w:hAnsi="Arial" w:cs="Arial"/>
          <w:sz w:val="20"/>
          <w:szCs w:val="20"/>
          <w:lang w:val="en-ZA"/>
        </w:rPr>
        <w:t xml:space="preserve">. </w:t>
      </w:r>
    </w:p>
    <w:p w:rsidR="004926CA" w:rsidRPr="00FC564B" w:rsidRDefault="004926CA" w:rsidP="00FC564B">
      <w:pPr>
        <w:rPr>
          <w:rFonts w:ascii="Arial" w:hAnsi="Arial" w:cs="Arial"/>
          <w:b/>
          <w:sz w:val="20"/>
          <w:szCs w:val="20"/>
        </w:rPr>
      </w:pPr>
    </w:p>
    <w:p w:rsidR="00D91DE0" w:rsidRPr="00FC564B" w:rsidRDefault="003E0F86" w:rsidP="00FC564B">
      <w:pPr>
        <w:pStyle w:val="ListParagraph"/>
        <w:numPr>
          <w:ilvl w:val="0"/>
          <w:numId w:val="11"/>
        </w:numPr>
        <w:rPr>
          <w:rFonts w:ascii="Arial" w:hAnsi="Arial" w:cs="Arial"/>
          <w:b/>
          <w:sz w:val="20"/>
          <w:szCs w:val="20"/>
        </w:rPr>
      </w:pPr>
      <w:r w:rsidRPr="00FC564B">
        <w:rPr>
          <w:rFonts w:ascii="Arial" w:hAnsi="Arial" w:cs="Arial"/>
          <w:b/>
          <w:sz w:val="20"/>
          <w:szCs w:val="20"/>
        </w:rPr>
        <w:t>Findings and observations</w:t>
      </w:r>
    </w:p>
    <w:p w:rsidR="00D3530B" w:rsidRPr="00FC564B" w:rsidRDefault="00D91DE0" w:rsidP="00FC564B">
      <w:pPr>
        <w:pStyle w:val="ListParagraph"/>
        <w:numPr>
          <w:ilvl w:val="1"/>
          <w:numId w:val="11"/>
        </w:numPr>
        <w:rPr>
          <w:rFonts w:ascii="Arial" w:hAnsi="Arial" w:cs="Arial"/>
          <w:b/>
          <w:sz w:val="20"/>
          <w:szCs w:val="20"/>
        </w:rPr>
      </w:pPr>
      <w:r w:rsidRPr="00FC564B">
        <w:rPr>
          <w:rFonts w:ascii="Arial" w:hAnsi="Arial" w:cs="Arial"/>
          <w:sz w:val="20"/>
          <w:szCs w:val="20"/>
        </w:rPr>
        <w:t>The</w:t>
      </w:r>
      <w:r w:rsidR="002F41A3" w:rsidRPr="00FC564B">
        <w:rPr>
          <w:rFonts w:ascii="Arial" w:hAnsi="Arial" w:cs="Arial"/>
          <w:sz w:val="20"/>
          <w:szCs w:val="20"/>
        </w:rPr>
        <w:t xml:space="preserve"> Committee welcome</w:t>
      </w:r>
      <w:r w:rsidR="003F7506" w:rsidRPr="00FC564B">
        <w:rPr>
          <w:rFonts w:ascii="Arial" w:hAnsi="Arial" w:cs="Arial"/>
          <w:sz w:val="20"/>
          <w:szCs w:val="20"/>
        </w:rPr>
        <w:t>d</w:t>
      </w:r>
      <w:r w:rsidR="00A12004" w:rsidRPr="00FC564B">
        <w:rPr>
          <w:rFonts w:ascii="Arial" w:hAnsi="Arial" w:cs="Arial"/>
          <w:sz w:val="20"/>
          <w:szCs w:val="20"/>
        </w:rPr>
        <w:t xml:space="preserve"> the</w:t>
      </w:r>
      <w:r w:rsidRPr="00FC564B">
        <w:rPr>
          <w:rFonts w:ascii="Arial" w:hAnsi="Arial" w:cs="Arial"/>
          <w:sz w:val="20"/>
          <w:szCs w:val="20"/>
        </w:rPr>
        <w:t xml:space="preserve"> </w:t>
      </w:r>
      <w:r w:rsidR="00E1428A" w:rsidRPr="00FC564B">
        <w:rPr>
          <w:rFonts w:ascii="Arial" w:hAnsi="Arial" w:cs="Arial"/>
          <w:sz w:val="20"/>
          <w:szCs w:val="20"/>
        </w:rPr>
        <w:t>main objectives</w:t>
      </w:r>
      <w:r w:rsidRPr="00FC564B">
        <w:rPr>
          <w:rFonts w:ascii="Arial" w:hAnsi="Arial" w:cs="Arial"/>
          <w:sz w:val="20"/>
          <w:szCs w:val="20"/>
        </w:rPr>
        <w:t xml:space="preserve"> of the </w:t>
      </w:r>
      <w:r w:rsidR="005B1CCE" w:rsidRPr="00FC564B">
        <w:rPr>
          <w:rFonts w:ascii="Arial" w:hAnsi="Arial" w:cs="Arial"/>
          <w:sz w:val="20"/>
          <w:szCs w:val="20"/>
        </w:rPr>
        <w:t>G</w:t>
      </w:r>
      <w:r w:rsidRPr="00FC564B">
        <w:rPr>
          <w:rFonts w:ascii="Arial" w:hAnsi="Arial" w:cs="Arial"/>
          <w:sz w:val="20"/>
          <w:szCs w:val="20"/>
        </w:rPr>
        <w:t>rant</w:t>
      </w:r>
      <w:r w:rsidR="00A12004" w:rsidRPr="00FC564B">
        <w:rPr>
          <w:rFonts w:ascii="Arial" w:hAnsi="Arial" w:cs="Arial"/>
          <w:sz w:val="20"/>
          <w:szCs w:val="20"/>
        </w:rPr>
        <w:t xml:space="preserve">, </w:t>
      </w:r>
      <w:r w:rsidR="003F7506" w:rsidRPr="00FC564B">
        <w:rPr>
          <w:rFonts w:ascii="Arial" w:hAnsi="Arial" w:cs="Arial"/>
          <w:sz w:val="20"/>
          <w:szCs w:val="20"/>
        </w:rPr>
        <w:t xml:space="preserve">namely </w:t>
      </w:r>
      <w:r w:rsidRPr="00FC564B">
        <w:rPr>
          <w:rFonts w:ascii="Arial" w:hAnsi="Arial" w:cs="Arial"/>
          <w:sz w:val="20"/>
          <w:szCs w:val="20"/>
        </w:rPr>
        <w:t>to increase the number of poor children accessing subsidi</w:t>
      </w:r>
      <w:r w:rsidR="00A12004" w:rsidRPr="00FC564B">
        <w:rPr>
          <w:rFonts w:ascii="Arial" w:hAnsi="Arial" w:cs="Arial"/>
          <w:sz w:val="20"/>
          <w:szCs w:val="20"/>
        </w:rPr>
        <w:t xml:space="preserve">sed ECD </w:t>
      </w:r>
      <w:r w:rsidRPr="00FC564B">
        <w:rPr>
          <w:rFonts w:ascii="Arial" w:hAnsi="Arial" w:cs="Arial"/>
          <w:sz w:val="20"/>
          <w:szCs w:val="20"/>
        </w:rPr>
        <w:t xml:space="preserve">services through centre and non-centre based programmes; to support </w:t>
      </w:r>
      <w:r w:rsidR="00916A67" w:rsidRPr="00FC564B">
        <w:rPr>
          <w:rFonts w:ascii="Arial" w:hAnsi="Arial" w:cs="Arial"/>
          <w:sz w:val="20"/>
          <w:szCs w:val="20"/>
        </w:rPr>
        <w:t>ECD service</w:t>
      </w:r>
      <w:r w:rsidR="00A12004" w:rsidRPr="00FC564B">
        <w:rPr>
          <w:rFonts w:ascii="Arial" w:hAnsi="Arial" w:cs="Arial"/>
          <w:sz w:val="20"/>
          <w:szCs w:val="20"/>
        </w:rPr>
        <w:t xml:space="preserve"> providers</w:t>
      </w:r>
      <w:r w:rsidRPr="00FC564B">
        <w:rPr>
          <w:rFonts w:ascii="Arial" w:hAnsi="Arial" w:cs="Arial"/>
          <w:sz w:val="20"/>
          <w:szCs w:val="20"/>
        </w:rPr>
        <w:t xml:space="preserve"> to meet basic health and safety requirements for registration; and to pilot the construction of new low-cost ECD centres.</w:t>
      </w:r>
      <w:r w:rsidR="004E5A50" w:rsidRPr="00FC564B">
        <w:rPr>
          <w:rFonts w:ascii="Arial" w:hAnsi="Arial" w:cs="Arial"/>
          <w:sz w:val="20"/>
          <w:szCs w:val="20"/>
        </w:rPr>
        <w:t xml:space="preserve"> </w:t>
      </w:r>
    </w:p>
    <w:p w:rsidR="0037481E" w:rsidRPr="00FC564B" w:rsidRDefault="0037481E" w:rsidP="00FC564B">
      <w:pPr>
        <w:pStyle w:val="ListParagraph"/>
        <w:ind w:left="360"/>
        <w:rPr>
          <w:rFonts w:ascii="Arial" w:hAnsi="Arial" w:cs="Arial"/>
          <w:sz w:val="20"/>
          <w:szCs w:val="20"/>
        </w:rPr>
      </w:pPr>
    </w:p>
    <w:p w:rsidR="00005276" w:rsidRPr="00FC564B" w:rsidRDefault="00ED53F2" w:rsidP="00FC564B">
      <w:pPr>
        <w:pStyle w:val="ListParagraph"/>
        <w:numPr>
          <w:ilvl w:val="1"/>
          <w:numId w:val="11"/>
        </w:numPr>
        <w:rPr>
          <w:rFonts w:ascii="Arial" w:hAnsi="Arial" w:cs="Arial"/>
          <w:sz w:val="20"/>
          <w:szCs w:val="20"/>
        </w:rPr>
      </w:pPr>
      <w:r w:rsidRPr="00FC564B">
        <w:rPr>
          <w:rFonts w:ascii="Arial" w:hAnsi="Arial" w:cs="Arial"/>
          <w:sz w:val="20"/>
          <w:szCs w:val="20"/>
        </w:rPr>
        <w:t>The Committee noted</w:t>
      </w:r>
      <w:r w:rsidR="00DF758D" w:rsidRPr="00FC564B">
        <w:rPr>
          <w:rFonts w:ascii="Arial" w:hAnsi="Arial" w:cs="Arial"/>
          <w:sz w:val="20"/>
          <w:szCs w:val="20"/>
        </w:rPr>
        <w:t xml:space="preserve"> </w:t>
      </w:r>
      <w:r w:rsidRPr="00FC564B">
        <w:rPr>
          <w:rFonts w:ascii="Arial" w:hAnsi="Arial" w:cs="Arial"/>
          <w:sz w:val="20"/>
          <w:szCs w:val="20"/>
        </w:rPr>
        <w:t>that</w:t>
      </w:r>
      <w:r w:rsidR="00D91DE0" w:rsidRPr="00FC564B">
        <w:rPr>
          <w:rFonts w:ascii="Arial" w:hAnsi="Arial" w:cs="Arial"/>
          <w:sz w:val="20"/>
          <w:szCs w:val="20"/>
        </w:rPr>
        <w:t xml:space="preserve"> the Grant had been allocated R1 billion plus a stimulus package allocation of R178 million and a</w:t>
      </w:r>
      <w:r w:rsidR="009A24DB" w:rsidRPr="00FC564B">
        <w:rPr>
          <w:rFonts w:ascii="Arial" w:hAnsi="Arial" w:cs="Arial"/>
          <w:sz w:val="20"/>
          <w:szCs w:val="20"/>
        </w:rPr>
        <w:t xml:space="preserve"> sum of R385.6 million approved roll-over</w:t>
      </w:r>
      <w:r w:rsidR="00DF758D" w:rsidRPr="00FC564B">
        <w:rPr>
          <w:rFonts w:ascii="Arial" w:hAnsi="Arial" w:cs="Arial"/>
          <w:sz w:val="20"/>
          <w:szCs w:val="20"/>
        </w:rPr>
        <w:t xml:space="preserve"> </w:t>
      </w:r>
      <w:r w:rsidR="005B1CCE" w:rsidRPr="00FC564B">
        <w:rPr>
          <w:rFonts w:ascii="Arial" w:hAnsi="Arial" w:cs="Arial"/>
          <w:sz w:val="20"/>
          <w:szCs w:val="20"/>
        </w:rPr>
        <w:t xml:space="preserve">funds </w:t>
      </w:r>
      <w:r w:rsidR="009A24DB" w:rsidRPr="00FC564B">
        <w:rPr>
          <w:rFonts w:ascii="Arial" w:hAnsi="Arial" w:cs="Arial"/>
          <w:sz w:val="20"/>
          <w:szCs w:val="20"/>
        </w:rPr>
        <w:t>for</w:t>
      </w:r>
      <w:r w:rsidR="00DF758D" w:rsidRPr="00FC564B">
        <w:rPr>
          <w:rFonts w:ascii="Arial" w:hAnsi="Arial" w:cs="Arial"/>
          <w:sz w:val="20"/>
          <w:szCs w:val="20"/>
        </w:rPr>
        <w:t xml:space="preserve"> the 2021/22 financial year</w:t>
      </w:r>
      <w:r w:rsidR="005B1CCE" w:rsidRPr="00FC564B">
        <w:rPr>
          <w:rFonts w:ascii="Arial" w:hAnsi="Arial" w:cs="Arial"/>
          <w:sz w:val="20"/>
          <w:szCs w:val="20"/>
        </w:rPr>
        <w:t xml:space="preserve">, totalling </w:t>
      </w:r>
      <w:r w:rsidR="00D91DE0" w:rsidRPr="00FC564B">
        <w:rPr>
          <w:rFonts w:ascii="Arial" w:hAnsi="Arial" w:cs="Arial"/>
          <w:sz w:val="20"/>
          <w:szCs w:val="20"/>
        </w:rPr>
        <w:t xml:space="preserve">R1.6 billion. Of </w:t>
      </w:r>
      <w:r w:rsidR="009A24DB" w:rsidRPr="00FC564B">
        <w:rPr>
          <w:rFonts w:ascii="Arial" w:hAnsi="Arial" w:cs="Arial"/>
          <w:sz w:val="20"/>
          <w:szCs w:val="20"/>
        </w:rPr>
        <w:t xml:space="preserve">the </w:t>
      </w:r>
      <w:r w:rsidR="005B1CCE" w:rsidRPr="00FC564B">
        <w:rPr>
          <w:rFonts w:ascii="Arial" w:hAnsi="Arial" w:cs="Arial"/>
          <w:sz w:val="20"/>
          <w:szCs w:val="20"/>
        </w:rPr>
        <w:t xml:space="preserve">total </w:t>
      </w:r>
      <w:r w:rsidR="009A24DB" w:rsidRPr="00FC564B">
        <w:rPr>
          <w:rFonts w:ascii="Arial" w:hAnsi="Arial" w:cs="Arial"/>
          <w:sz w:val="20"/>
          <w:szCs w:val="20"/>
        </w:rPr>
        <w:t xml:space="preserve">amount, </w:t>
      </w:r>
      <w:r w:rsidR="00DF758D" w:rsidRPr="00FC564B">
        <w:rPr>
          <w:rFonts w:ascii="Arial" w:hAnsi="Arial" w:cs="Arial"/>
          <w:sz w:val="20"/>
          <w:szCs w:val="20"/>
        </w:rPr>
        <w:t xml:space="preserve">provinces </w:t>
      </w:r>
      <w:r w:rsidR="005B1CCE" w:rsidRPr="00FC564B">
        <w:rPr>
          <w:rFonts w:ascii="Arial" w:hAnsi="Arial" w:cs="Arial"/>
          <w:sz w:val="20"/>
          <w:szCs w:val="20"/>
        </w:rPr>
        <w:t xml:space="preserve">had </w:t>
      </w:r>
      <w:r w:rsidR="00DF758D" w:rsidRPr="00FC564B">
        <w:rPr>
          <w:rFonts w:ascii="Arial" w:hAnsi="Arial" w:cs="Arial"/>
          <w:sz w:val="20"/>
          <w:szCs w:val="20"/>
        </w:rPr>
        <w:t xml:space="preserve">only spent </w:t>
      </w:r>
      <w:r w:rsidR="00DF222E" w:rsidRPr="00FC564B">
        <w:rPr>
          <w:rFonts w:ascii="Arial" w:hAnsi="Arial" w:cs="Arial"/>
          <w:sz w:val="20"/>
          <w:szCs w:val="20"/>
        </w:rPr>
        <w:t>R1.18 billion</w:t>
      </w:r>
      <w:r w:rsidR="005B1CCE" w:rsidRPr="00FC564B">
        <w:rPr>
          <w:rFonts w:ascii="Arial" w:hAnsi="Arial" w:cs="Arial"/>
          <w:sz w:val="20"/>
          <w:szCs w:val="20"/>
        </w:rPr>
        <w:t xml:space="preserve">, </w:t>
      </w:r>
      <w:r w:rsidR="00D707D3" w:rsidRPr="00FC564B">
        <w:rPr>
          <w:rFonts w:ascii="Arial" w:hAnsi="Arial" w:cs="Arial"/>
          <w:sz w:val="20"/>
          <w:szCs w:val="20"/>
        </w:rPr>
        <w:t>under</w:t>
      </w:r>
      <w:r w:rsidR="005B1CCE" w:rsidRPr="00FC564B">
        <w:rPr>
          <w:rFonts w:ascii="Arial" w:hAnsi="Arial" w:cs="Arial"/>
          <w:sz w:val="20"/>
          <w:szCs w:val="20"/>
        </w:rPr>
        <w:t>-</w:t>
      </w:r>
      <w:r w:rsidR="00D91DE0" w:rsidRPr="00FC564B">
        <w:rPr>
          <w:rFonts w:ascii="Arial" w:hAnsi="Arial" w:cs="Arial"/>
          <w:sz w:val="20"/>
          <w:szCs w:val="20"/>
        </w:rPr>
        <w:t>spen</w:t>
      </w:r>
      <w:r w:rsidR="005B1CCE" w:rsidRPr="00FC564B">
        <w:rPr>
          <w:rFonts w:ascii="Arial" w:hAnsi="Arial" w:cs="Arial"/>
          <w:sz w:val="20"/>
          <w:szCs w:val="20"/>
        </w:rPr>
        <w:t xml:space="preserve">ding </w:t>
      </w:r>
      <w:r w:rsidR="00D707D3" w:rsidRPr="00FC564B">
        <w:rPr>
          <w:rFonts w:ascii="Arial" w:hAnsi="Arial" w:cs="Arial"/>
          <w:sz w:val="20"/>
          <w:szCs w:val="20"/>
        </w:rPr>
        <w:t>by</w:t>
      </w:r>
      <w:r w:rsidR="00D91DE0" w:rsidRPr="00FC564B">
        <w:rPr>
          <w:rFonts w:ascii="Arial" w:hAnsi="Arial" w:cs="Arial"/>
          <w:sz w:val="20"/>
          <w:szCs w:val="20"/>
        </w:rPr>
        <w:t xml:space="preserve"> R416 million.</w:t>
      </w:r>
      <w:r w:rsidR="002C4200" w:rsidRPr="00FC564B">
        <w:rPr>
          <w:rFonts w:ascii="Arial" w:hAnsi="Arial" w:cs="Arial"/>
          <w:sz w:val="20"/>
          <w:szCs w:val="20"/>
        </w:rPr>
        <w:t xml:space="preserve"> </w:t>
      </w:r>
      <w:r w:rsidR="00D91DE0" w:rsidRPr="00FC564B">
        <w:rPr>
          <w:rFonts w:ascii="Arial" w:hAnsi="Arial" w:cs="Arial"/>
          <w:sz w:val="20"/>
          <w:szCs w:val="20"/>
        </w:rPr>
        <w:t xml:space="preserve"> </w:t>
      </w:r>
      <w:r w:rsidR="005B1CCE" w:rsidRPr="00FC564B">
        <w:rPr>
          <w:rFonts w:ascii="Arial" w:hAnsi="Arial" w:cs="Arial"/>
          <w:sz w:val="20"/>
          <w:szCs w:val="20"/>
        </w:rPr>
        <w:t xml:space="preserve">The Committee was </w:t>
      </w:r>
      <w:r w:rsidR="00AC72BB" w:rsidRPr="00FC564B">
        <w:rPr>
          <w:rFonts w:ascii="Arial" w:hAnsi="Arial" w:cs="Arial"/>
          <w:sz w:val="20"/>
          <w:szCs w:val="20"/>
        </w:rPr>
        <w:t xml:space="preserve">concerned </w:t>
      </w:r>
      <w:r w:rsidR="005B1CCE" w:rsidRPr="00FC564B">
        <w:rPr>
          <w:rFonts w:ascii="Arial" w:hAnsi="Arial" w:cs="Arial"/>
          <w:sz w:val="20"/>
          <w:szCs w:val="20"/>
        </w:rPr>
        <w:t xml:space="preserve">over </w:t>
      </w:r>
      <w:r w:rsidR="00D2450B" w:rsidRPr="00FC564B">
        <w:rPr>
          <w:rFonts w:ascii="Arial" w:hAnsi="Arial" w:cs="Arial"/>
          <w:sz w:val="20"/>
          <w:szCs w:val="20"/>
        </w:rPr>
        <w:t>the service delivery impact of the</w:t>
      </w:r>
      <w:r w:rsidR="005B1CCE" w:rsidRPr="00FC564B">
        <w:rPr>
          <w:rFonts w:ascii="Arial" w:hAnsi="Arial" w:cs="Arial"/>
          <w:sz w:val="20"/>
          <w:szCs w:val="20"/>
        </w:rPr>
        <w:t xml:space="preserve"> </w:t>
      </w:r>
      <w:r w:rsidR="00BC54E4" w:rsidRPr="00FC564B">
        <w:rPr>
          <w:rFonts w:ascii="Arial" w:hAnsi="Arial" w:cs="Arial"/>
          <w:sz w:val="20"/>
          <w:szCs w:val="20"/>
        </w:rPr>
        <w:t xml:space="preserve">total </w:t>
      </w:r>
      <w:r w:rsidR="005B1CCE" w:rsidRPr="00FC564B">
        <w:rPr>
          <w:rFonts w:ascii="Arial" w:hAnsi="Arial" w:cs="Arial"/>
          <w:sz w:val="20"/>
          <w:szCs w:val="20"/>
        </w:rPr>
        <w:t>amount of</w:t>
      </w:r>
      <w:r w:rsidR="00D2450B" w:rsidRPr="00FC564B">
        <w:rPr>
          <w:rFonts w:ascii="Arial" w:hAnsi="Arial" w:cs="Arial"/>
          <w:sz w:val="20"/>
          <w:szCs w:val="20"/>
        </w:rPr>
        <w:t xml:space="preserve"> </w:t>
      </w:r>
      <w:r w:rsidR="00D91DE0" w:rsidRPr="00FC564B">
        <w:rPr>
          <w:rFonts w:ascii="Arial" w:hAnsi="Arial" w:cs="Arial"/>
          <w:sz w:val="20"/>
          <w:szCs w:val="20"/>
        </w:rPr>
        <w:t>R214.6 million</w:t>
      </w:r>
      <w:r w:rsidR="005B1CCE" w:rsidRPr="00FC564B">
        <w:rPr>
          <w:rFonts w:ascii="Arial" w:hAnsi="Arial" w:cs="Arial"/>
          <w:sz w:val="20"/>
          <w:szCs w:val="20"/>
        </w:rPr>
        <w:t xml:space="preserve"> being r</w:t>
      </w:r>
      <w:r w:rsidR="00E44024" w:rsidRPr="00FC564B">
        <w:rPr>
          <w:rFonts w:ascii="Arial" w:hAnsi="Arial" w:cs="Arial"/>
          <w:sz w:val="20"/>
          <w:szCs w:val="20"/>
        </w:rPr>
        <w:t>eturned</w:t>
      </w:r>
      <w:r w:rsidR="00D91DE0" w:rsidRPr="00FC564B">
        <w:rPr>
          <w:rFonts w:ascii="Arial" w:hAnsi="Arial" w:cs="Arial"/>
          <w:sz w:val="20"/>
          <w:szCs w:val="20"/>
        </w:rPr>
        <w:t xml:space="preserve"> t</w:t>
      </w:r>
      <w:r w:rsidR="00AC72BB" w:rsidRPr="00FC564B">
        <w:rPr>
          <w:rFonts w:ascii="Arial" w:hAnsi="Arial" w:cs="Arial"/>
          <w:sz w:val="20"/>
          <w:szCs w:val="20"/>
        </w:rPr>
        <w:t>o the National Revenue Fund (NRF)</w:t>
      </w:r>
      <w:r w:rsidR="00D7042D" w:rsidRPr="00FC564B">
        <w:rPr>
          <w:rFonts w:ascii="Arial" w:hAnsi="Arial" w:cs="Arial"/>
          <w:sz w:val="20"/>
          <w:szCs w:val="20"/>
        </w:rPr>
        <w:t xml:space="preserve"> by</w:t>
      </w:r>
      <w:r w:rsidR="0006255A" w:rsidRPr="00FC564B">
        <w:rPr>
          <w:rFonts w:ascii="Arial" w:hAnsi="Arial" w:cs="Arial"/>
          <w:sz w:val="20"/>
          <w:szCs w:val="20"/>
        </w:rPr>
        <w:t xml:space="preserve"> </w:t>
      </w:r>
      <w:r w:rsidR="00BC54E4" w:rsidRPr="00FC564B">
        <w:rPr>
          <w:rFonts w:ascii="Arial" w:hAnsi="Arial" w:cs="Arial"/>
          <w:sz w:val="20"/>
          <w:szCs w:val="20"/>
        </w:rPr>
        <w:t>the follo</w:t>
      </w:r>
      <w:r w:rsidR="0006255A" w:rsidRPr="00FC564B">
        <w:rPr>
          <w:rFonts w:ascii="Arial" w:hAnsi="Arial" w:cs="Arial"/>
          <w:sz w:val="20"/>
          <w:szCs w:val="20"/>
        </w:rPr>
        <w:t xml:space="preserve">wing </w:t>
      </w:r>
      <w:r w:rsidR="00BC54E4" w:rsidRPr="00FC564B">
        <w:rPr>
          <w:rFonts w:ascii="Arial" w:hAnsi="Arial" w:cs="Arial"/>
          <w:sz w:val="20"/>
          <w:szCs w:val="20"/>
        </w:rPr>
        <w:t xml:space="preserve">provinces: </w:t>
      </w:r>
      <w:r w:rsidR="00AC72BB" w:rsidRPr="00FC564B">
        <w:rPr>
          <w:rFonts w:ascii="Arial" w:hAnsi="Arial" w:cs="Arial"/>
          <w:sz w:val="20"/>
          <w:szCs w:val="20"/>
        </w:rPr>
        <w:t>Eastern Cape</w:t>
      </w:r>
      <w:r w:rsidR="00BC54E4" w:rsidRPr="00FC564B">
        <w:rPr>
          <w:rFonts w:ascii="Arial" w:hAnsi="Arial" w:cs="Arial"/>
          <w:sz w:val="20"/>
          <w:szCs w:val="20"/>
        </w:rPr>
        <w:t>,</w:t>
      </w:r>
      <w:r w:rsidR="00D91DE0" w:rsidRPr="00FC564B">
        <w:rPr>
          <w:rFonts w:ascii="Arial" w:hAnsi="Arial" w:cs="Arial"/>
          <w:sz w:val="20"/>
          <w:szCs w:val="20"/>
        </w:rPr>
        <w:t xml:space="preserve"> R36.3 million; the Free State</w:t>
      </w:r>
      <w:r w:rsidR="00BC54E4" w:rsidRPr="00FC564B">
        <w:rPr>
          <w:rFonts w:ascii="Arial" w:hAnsi="Arial" w:cs="Arial"/>
          <w:sz w:val="20"/>
          <w:szCs w:val="20"/>
        </w:rPr>
        <w:t>,</w:t>
      </w:r>
      <w:r w:rsidR="00D91DE0" w:rsidRPr="00FC564B">
        <w:rPr>
          <w:rFonts w:ascii="Arial" w:hAnsi="Arial" w:cs="Arial"/>
          <w:sz w:val="20"/>
          <w:szCs w:val="20"/>
        </w:rPr>
        <w:t xml:space="preserve"> R15.5 million; Gauteng</w:t>
      </w:r>
      <w:r w:rsidR="00BC54E4" w:rsidRPr="00FC564B">
        <w:rPr>
          <w:rFonts w:ascii="Arial" w:hAnsi="Arial" w:cs="Arial"/>
          <w:sz w:val="20"/>
          <w:szCs w:val="20"/>
        </w:rPr>
        <w:t>,</w:t>
      </w:r>
      <w:r w:rsidR="00D91DE0" w:rsidRPr="00FC564B">
        <w:rPr>
          <w:rFonts w:ascii="Arial" w:hAnsi="Arial" w:cs="Arial"/>
          <w:sz w:val="20"/>
          <w:szCs w:val="20"/>
        </w:rPr>
        <w:t xml:space="preserve"> R40.9 million; KwaZulu-Natal</w:t>
      </w:r>
      <w:r w:rsidR="00BC54E4" w:rsidRPr="00FC564B">
        <w:rPr>
          <w:rFonts w:ascii="Arial" w:hAnsi="Arial" w:cs="Arial"/>
          <w:sz w:val="20"/>
          <w:szCs w:val="20"/>
        </w:rPr>
        <w:t>,</w:t>
      </w:r>
      <w:r w:rsidR="00D91DE0" w:rsidRPr="00FC564B">
        <w:rPr>
          <w:rFonts w:ascii="Arial" w:hAnsi="Arial" w:cs="Arial"/>
          <w:sz w:val="20"/>
          <w:szCs w:val="20"/>
        </w:rPr>
        <w:t xml:space="preserve"> R43.4 million; Limpopo</w:t>
      </w:r>
      <w:r w:rsidR="00BC54E4" w:rsidRPr="00FC564B">
        <w:rPr>
          <w:rFonts w:ascii="Arial" w:hAnsi="Arial" w:cs="Arial"/>
          <w:sz w:val="20"/>
          <w:szCs w:val="20"/>
        </w:rPr>
        <w:t>,</w:t>
      </w:r>
      <w:r w:rsidR="00D91DE0" w:rsidRPr="00FC564B">
        <w:rPr>
          <w:rFonts w:ascii="Arial" w:hAnsi="Arial" w:cs="Arial"/>
          <w:sz w:val="20"/>
          <w:szCs w:val="20"/>
        </w:rPr>
        <w:t xml:space="preserve"> R5.7 million; Mpumalanga</w:t>
      </w:r>
      <w:r w:rsidR="00BC54E4" w:rsidRPr="00FC564B">
        <w:rPr>
          <w:rFonts w:ascii="Arial" w:hAnsi="Arial" w:cs="Arial"/>
          <w:sz w:val="20"/>
          <w:szCs w:val="20"/>
        </w:rPr>
        <w:t>,</w:t>
      </w:r>
      <w:r w:rsidR="00D91DE0" w:rsidRPr="00FC564B">
        <w:rPr>
          <w:rFonts w:ascii="Arial" w:hAnsi="Arial" w:cs="Arial"/>
          <w:sz w:val="20"/>
          <w:szCs w:val="20"/>
        </w:rPr>
        <w:t xml:space="preserve"> R3.1 million; the Northern Cape</w:t>
      </w:r>
      <w:r w:rsidR="00BC54E4" w:rsidRPr="00FC564B">
        <w:rPr>
          <w:rFonts w:ascii="Arial" w:hAnsi="Arial" w:cs="Arial"/>
          <w:sz w:val="20"/>
          <w:szCs w:val="20"/>
        </w:rPr>
        <w:t>,</w:t>
      </w:r>
      <w:r w:rsidR="00D91DE0" w:rsidRPr="00FC564B">
        <w:rPr>
          <w:rFonts w:ascii="Arial" w:hAnsi="Arial" w:cs="Arial"/>
          <w:sz w:val="20"/>
          <w:szCs w:val="20"/>
        </w:rPr>
        <w:t xml:space="preserve"> R14.1 million; and the North West</w:t>
      </w:r>
      <w:r w:rsidR="00BC54E4" w:rsidRPr="00FC564B">
        <w:rPr>
          <w:rFonts w:ascii="Arial" w:hAnsi="Arial" w:cs="Arial"/>
          <w:sz w:val="20"/>
          <w:szCs w:val="20"/>
        </w:rPr>
        <w:t>,</w:t>
      </w:r>
      <w:r w:rsidR="00D91DE0" w:rsidRPr="00FC564B">
        <w:rPr>
          <w:rFonts w:ascii="Arial" w:hAnsi="Arial" w:cs="Arial"/>
          <w:sz w:val="20"/>
          <w:szCs w:val="20"/>
        </w:rPr>
        <w:t xml:space="preserve"> R55.2 million.</w:t>
      </w:r>
    </w:p>
    <w:p w:rsidR="00D3530B" w:rsidRPr="00FC564B" w:rsidRDefault="00D3530B" w:rsidP="00FC564B">
      <w:pPr>
        <w:pStyle w:val="ListParagraph"/>
        <w:rPr>
          <w:rFonts w:ascii="Arial" w:hAnsi="Arial" w:cs="Arial"/>
          <w:sz w:val="20"/>
          <w:szCs w:val="20"/>
        </w:rPr>
      </w:pPr>
    </w:p>
    <w:p w:rsidR="00391241" w:rsidRPr="00FC564B" w:rsidRDefault="00391241" w:rsidP="00FC564B">
      <w:pPr>
        <w:pStyle w:val="ListParagraph"/>
        <w:numPr>
          <w:ilvl w:val="1"/>
          <w:numId w:val="11"/>
        </w:numPr>
        <w:rPr>
          <w:rFonts w:ascii="Arial" w:hAnsi="Arial" w:cs="Arial"/>
          <w:sz w:val="20"/>
          <w:szCs w:val="20"/>
        </w:rPr>
      </w:pPr>
      <w:r w:rsidRPr="00FC564B">
        <w:rPr>
          <w:rFonts w:ascii="Arial" w:hAnsi="Arial" w:cs="Arial"/>
          <w:sz w:val="20"/>
          <w:szCs w:val="20"/>
        </w:rPr>
        <w:t>The Committee welcome</w:t>
      </w:r>
      <w:r w:rsidR="00BC54E4" w:rsidRPr="00FC564B">
        <w:rPr>
          <w:rFonts w:ascii="Arial" w:hAnsi="Arial" w:cs="Arial"/>
          <w:sz w:val="20"/>
          <w:szCs w:val="20"/>
        </w:rPr>
        <w:t>d</w:t>
      </w:r>
      <w:r w:rsidRPr="00FC564B">
        <w:rPr>
          <w:rFonts w:ascii="Arial" w:hAnsi="Arial" w:cs="Arial"/>
          <w:sz w:val="20"/>
          <w:szCs w:val="20"/>
        </w:rPr>
        <w:t xml:space="preserve"> the development of a procurement strategy to address some of the procurement challenges and</w:t>
      </w:r>
      <w:r w:rsidR="00BC54E4" w:rsidRPr="00FC564B">
        <w:rPr>
          <w:rFonts w:ascii="Arial" w:hAnsi="Arial" w:cs="Arial"/>
          <w:sz w:val="20"/>
          <w:szCs w:val="20"/>
        </w:rPr>
        <w:t xml:space="preserve"> to</w:t>
      </w:r>
      <w:r w:rsidRPr="00FC564B">
        <w:rPr>
          <w:rFonts w:ascii="Arial" w:hAnsi="Arial" w:cs="Arial"/>
          <w:sz w:val="20"/>
          <w:szCs w:val="20"/>
        </w:rPr>
        <w:t xml:space="preserve"> improve the way provinces appointed contractors to manage projects; </w:t>
      </w:r>
      <w:r w:rsidR="00BC54E4" w:rsidRPr="00FC564B">
        <w:rPr>
          <w:rFonts w:ascii="Arial" w:hAnsi="Arial" w:cs="Arial"/>
          <w:sz w:val="20"/>
          <w:szCs w:val="20"/>
        </w:rPr>
        <w:t xml:space="preserve">the development of </w:t>
      </w:r>
      <w:r w:rsidRPr="00FC564B">
        <w:rPr>
          <w:rFonts w:ascii="Arial" w:hAnsi="Arial" w:cs="Arial"/>
          <w:sz w:val="20"/>
          <w:szCs w:val="20"/>
        </w:rPr>
        <w:t xml:space="preserve">uniform low-cost ECD centre designs; and </w:t>
      </w:r>
      <w:r w:rsidR="00BC54E4" w:rsidRPr="00FC564B">
        <w:rPr>
          <w:rFonts w:ascii="Arial" w:hAnsi="Arial" w:cs="Arial"/>
          <w:sz w:val="20"/>
          <w:szCs w:val="20"/>
        </w:rPr>
        <w:t xml:space="preserve">the </w:t>
      </w:r>
      <w:r w:rsidRPr="00FC564B">
        <w:rPr>
          <w:rFonts w:ascii="Arial" w:hAnsi="Arial" w:cs="Arial"/>
          <w:sz w:val="20"/>
          <w:szCs w:val="20"/>
        </w:rPr>
        <w:t>quarterly site visits to monitor project implementation and expenditure.</w:t>
      </w:r>
    </w:p>
    <w:p w:rsidR="00391241" w:rsidRPr="00FC564B" w:rsidRDefault="00391241" w:rsidP="00FC564B">
      <w:pPr>
        <w:pStyle w:val="ListParagraph"/>
        <w:rPr>
          <w:rFonts w:ascii="Arial" w:hAnsi="Arial" w:cs="Arial"/>
          <w:sz w:val="20"/>
          <w:szCs w:val="20"/>
        </w:rPr>
      </w:pPr>
    </w:p>
    <w:p w:rsidR="00D3530B" w:rsidRPr="00FC564B" w:rsidRDefault="001304EF" w:rsidP="00FC564B">
      <w:pPr>
        <w:pStyle w:val="ListParagraph"/>
        <w:numPr>
          <w:ilvl w:val="1"/>
          <w:numId w:val="11"/>
        </w:numPr>
        <w:rPr>
          <w:rFonts w:ascii="Arial" w:hAnsi="Arial" w:cs="Arial"/>
          <w:sz w:val="20"/>
          <w:szCs w:val="20"/>
        </w:rPr>
      </w:pPr>
      <w:r w:rsidRPr="00FC564B">
        <w:rPr>
          <w:rFonts w:ascii="Arial" w:hAnsi="Arial" w:cs="Arial"/>
          <w:sz w:val="20"/>
          <w:szCs w:val="20"/>
        </w:rPr>
        <w:lastRenderedPageBreak/>
        <w:t>The C</w:t>
      </w:r>
      <w:r w:rsidR="00C92880" w:rsidRPr="00FC564B">
        <w:rPr>
          <w:rFonts w:ascii="Arial" w:hAnsi="Arial" w:cs="Arial"/>
          <w:sz w:val="20"/>
          <w:szCs w:val="20"/>
        </w:rPr>
        <w:t>ommittee welcomed</w:t>
      </w:r>
      <w:r w:rsidRPr="00FC564B">
        <w:rPr>
          <w:rFonts w:ascii="Arial" w:hAnsi="Arial" w:cs="Arial"/>
          <w:sz w:val="20"/>
          <w:szCs w:val="20"/>
        </w:rPr>
        <w:t xml:space="preserve"> the fact that </w:t>
      </w:r>
      <w:r w:rsidR="00005276" w:rsidRPr="00FC564B">
        <w:rPr>
          <w:rFonts w:ascii="Arial" w:hAnsi="Arial" w:cs="Arial"/>
          <w:sz w:val="20"/>
          <w:szCs w:val="20"/>
        </w:rPr>
        <w:t xml:space="preserve">the non-centre based allocations of the subsidy </w:t>
      </w:r>
      <w:r w:rsidR="003B5516" w:rsidRPr="00FC564B">
        <w:rPr>
          <w:rFonts w:ascii="Arial" w:hAnsi="Arial" w:cs="Arial"/>
          <w:sz w:val="20"/>
          <w:szCs w:val="20"/>
        </w:rPr>
        <w:t>component</w:t>
      </w:r>
      <w:r w:rsidR="00005276" w:rsidRPr="00FC564B">
        <w:rPr>
          <w:rFonts w:ascii="Arial" w:hAnsi="Arial" w:cs="Arial"/>
          <w:sz w:val="20"/>
          <w:szCs w:val="20"/>
        </w:rPr>
        <w:t xml:space="preserve"> were </w:t>
      </w:r>
      <w:r w:rsidRPr="00FC564B">
        <w:rPr>
          <w:rFonts w:ascii="Arial" w:hAnsi="Arial" w:cs="Arial"/>
          <w:sz w:val="20"/>
          <w:szCs w:val="20"/>
        </w:rPr>
        <w:t xml:space="preserve">earmarked for </w:t>
      </w:r>
      <w:r w:rsidR="008C3FB9" w:rsidRPr="00FC564B">
        <w:rPr>
          <w:rFonts w:ascii="Arial" w:hAnsi="Arial" w:cs="Arial"/>
          <w:sz w:val="20"/>
          <w:szCs w:val="20"/>
        </w:rPr>
        <w:t xml:space="preserve">the </w:t>
      </w:r>
      <w:r w:rsidR="00C92880" w:rsidRPr="00FC564B">
        <w:rPr>
          <w:rFonts w:ascii="Arial" w:hAnsi="Arial" w:cs="Arial"/>
          <w:sz w:val="20"/>
          <w:szCs w:val="20"/>
        </w:rPr>
        <w:t>neediest</w:t>
      </w:r>
      <w:r w:rsidRPr="00FC564B">
        <w:rPr>
          <w:rFonts w:ascii="Arial" w:hAnsi="Arial" w:cs="Arial"/>
          <w:sz w:val="20"/>
          <w:szCs w:val="20"/>
        </w:rPr>
        <w:t xml:space="preserve"> </w:t>
      </w:r>
      <w:r w:rsidR="00C92880" w:rsidRPr="00FC564B">
        <w:rPr>
          <w:rFonts w:ascii="Arial" w:hAnsi="Arial" w:cs="Arial"/>
          <w:sz w:val="20"/>
          <w:szCs w:val="20"/>
        </w:rPr>
        <w:t xml:space="preserve">children in </w:t>
      </w:r>
      <w:r w:rsidR="00005276" w:rsidRPr="00FC564B">
        <w:rPr>
          <w:rFonts w:ascii="Arial" w:hAnsi="Arial" w:cs="Arial"/>
          <w:sz w:val="20"/>
          <w:szCs w:val="20"/>
        </w:rPr>
        <w:t>deep rural and disadvantaged</w:t>
      </w:r>
      <w:r w:rsidR="009162D0" w:rsidRPr="00FC564B">
        <w:rPr>
          <w:rFonts w:ascii="Arial" w:hAnsi="Arial" w:cs="Arial"/>
          <w:sz w:val="20"/>
          <w:szCs w:val="20"/>
        </w:rPr>
        <w:t xml:space="preserve"> areas</w:t>
      </w:r>
      <w:r w:rsidR="00005276" w:rsidRPr="00FC564B">
        <w:rPr>
          <w:rFonts w:ascii="Arial" w:hAnsi="Arial" w:cs="Arial"/>
          <w:sz w:val="20"/>
          <w:szCs w:val="20"/>
        </w:rPr>
        <w:t xml:space="preserve">, where there was no </w:t>
      </w:r>
      <w:r w:rsidRPr="00FC564B">
        <w:rPr>
          <w:rFonts w:ascii="Arial" w:hAnsi="Arial" w:cs="Arial"/>
          <w:sz w:val="20"/>
          <w:szCs w:val="20"/>
        </w:rPr>
        <w:t xml:space="preserve">basic </w:t>
      </w:r>
      <w:r w:rsidR="00005276" w:rsidRPr="00FC564B">
        <w:rPr>
          <w:rFonts w:ascii="Arial" w:hAnsi="Arial" w:cs="Arial"/>
          <w:sz w:val="20"/>
          <w:szCs w:val="20"/>
        </w:rPr>
        <w:t xml:space="preserve">infrastructure, </w:t>
      </w:r>
      <w:r w:rsidR="00C92880" w:rsidRPr="00FC564B">
        <w:rPr>
          <w:rFonts w:ascii="Arial" w:hAnsi="Arial" w:cs="Arial"/>
          <w:sz w:val="20"/>
          <w:szCs w:val="20"/>
        </w:rPr>
        <w:t xml:space="preserve">and who only received </w:t>
      </w:r>
      <w:r w:rsidR="00005276" w:rsidRPr="00FC564B">
        <w:rPr>
          <w:rFonts w:ascii="Arial" w:hAnsi="Arial" w:cs="Arial"/>
          <w:sz w:val="20"/>
          <w:szCs w:val="20"/>
        </w:rPr>
        <w:t>so</w:t>
      </w:r>
      <w:r w:rsidR="00D57569" w:rsidRPr="00FC564B">
        <w:rPr>
          <w:rFonts w:ascii="Arial" w:hAnsi="Arial" w:cs="Arial"/>
          <w:sz w:val="20"/>
          <w:szCs w:val="20"/>
        </w:rPr>
        <w:t xml:space="preserve">me early learning stimulation </w:t>
      </w:r>
      <w:r w:rsidR="00C92880" w:rsidRPr="00FC564B">
        <w:rPr>
          <w:rFonts w:ascii="Arial" w:hAnsi="Arial" w:cs="Arial"/>
          <w:sz w:val="20"/>
          <w:szCs w:val="20"/>
        </w:rPr>
        <w:t xml:space="preserve">a </w:t>
      </w:r>
      <w:r w:rsidR="00005276" w:rsidRPr="00FC564B">
        <w:rPr>
          <w:rFonts w:ascii="Arial" w:hAnsi="Arial" w:cs="Arial"/>
          <w:sz w:val="20"/>
          <w:szCs w:val="20"/>
        </w:rPr>
        <w:t>few times a week.</w:t>
      </w:r>
    </w:p>
    <w:p w:rsidR="00D3530B" w:rsidRPr="00FC564B" w:rsidRDefault="00D3530B" w:rsidP="00FC564B">
      <w:pPr>
        <w:pStyle w:val="ListParagraph"/>
        <w:rPr>
          <w:rFonts w:ascii="Arial" w:hAnsi="Arial" w:cs="Arial"/>
          <w:sz w:val="20"/>
          <w:szCs w:val="20"/>
        </w:rPr>
      </w:pPr>
    </w:p>
    <w:p w:rsidR="00542F87" w:rsidRPr="00FC564B" w:rsidRDefault="00542F87" w:rsidP="00FC564B">
      <w:pPr>
        <w:pStyle w:val="ListParagraph"/>
        <w:numPr>
          <w:ilvl w:val="1"/>
          <w:numId w:val="11"/>
        </w:numPr>
        <w:rPr>
          <w:rFonts w:ascii="Arial" w:hAnsi="Arial" w:cs="Arial"/>
          <w:sz w:val="20"/>
          <w:szCs w:val="20"/>
        </w:rPr>
      </w:pPr>
      <w:r w:rsidRPr="00FC564B">
        <w:rPr>
          <w:rFonts w:ascii="Arial" w:hAnsi="Arial" w:cs="Arial"/>
          <w:sz w:val="20"/>
          <w:szCs w:val="20"/>
        </w:rPr>
        <w:t xml:space="preserve">The </w:t>
      </w:r>
      <w:r w:rsidR="00843C52" w:rsidRPr="00FC564B">
        <w:rPr>
          <w:rFonts w:ascii="Arial" w:hAnsi="Arial" w:cs="Arial"/>
          <w:sz w:val="20"/>
          <w:szCs w:val="20"/>
        </w:rPr>
        <w:t>Committee note</w:t>
      </w:r>
      <w:r w:rsidR="00CE712E" w:rsidRPr="00FC564B">
        <w:rPr>
          <w:rFonts w:ascii="Arial" w:hAnsi="Arial" w:cs="Arial"/>
          <w:sz w:val="20"/>
          <w:szCs w:val="20"/>
        </w:rPr>
        <w:t>d</w:t>
      </w:r>
      <w:r w:rsidR="00843C52" w:rsidRPr="00FC564B">
        <w:rPr>
          <w:rFonts w:ascii="Arial" w:hAnsi="Arial" w:cs="Arial"/>
          <w:sz w:val="20"/>
          <w:szCs w:val="20"/>
        </w:rPr>
        <w:t xml:space="preserve"> that</w:t>
      </w:r>
      <w:r w:rsidR="00CE712E" w:rsidRPr="00FC564B">
        <w:rPr>
          <w:rFonts w:ascii="Arial" w:hAnsi="Arial" w:cs="Arial"/>
          <w:sz w:val="20"/>
          <w:szCs w:val="20"/>
        </w:rPr>
        <w:t>,</w:t>
      </w:r>
      <w:r w:rsidR="00843C52" w:rsidRPr="00FC564B">
        <w:rPr>
          <w:rFonts w:ascii="Arial" w:hAnsi="Arial" w:cs="Arial"/>
          <w:sz w:val="20"/>
          <w:szCs w:val="20"/>
        </w:rPr>
        <w:t xml:space="preserve"> while </w:t>
      </w:r>
      <w:r w:rsidRPr="00FC564B">
        <w:rPr>
          <w:rFonts w:ascii="Arial" w:hAnsi="Arial" w:cs="Arial"/>
          <w:sz w:val="20"/>
          <w:szCs w:val="20"/>
        </w:rPr>
        <w:t xml:space="preserve">the official hand-over </w:t>
      </w:r>
      <w:r w:rsidR="00646588" w:rsidRPr="00FC564B">
        <w:rPr>
          <w:rFonts w:ascii="Arial" w:hAnsi="Arial" w:cs="Arial"/>
          <w:sz w:val="20"/>
          <w:szCs w:val="20"/>
        </w:rPr>
        <w:t xml:space="preserve">from the Department of Social Development (DSD) </w:t>
      </w:r>
      <w:r w:rsidR="00CE712E" w:rsidRPr="00FC564B">
        <w:rPr>
          <w:rFonts w:ascii="Arial" w:hAnsi="Arial" w:cs="Arial"/>
          <w:sz w:val="20"/>
          <w:szCs w:val="20"/>
        </w:rPr>
        <w:t xml:space="preserve">to the Department of Basic Education (DBE) had taken </w:t>
      </w:r>
      <w:r w:rsidRPr="00FC564B">
        <w:rPr>
          <w:rFonts w:ascii="Arial" w:hAnsi="Arial" w:cs="Arial"/>
          <w:sz w:val="20"/>
          <w:szCs w:val="20"/>
        </w:rPr>
        <w:t xml:space="preserve">place on 1 April 2022, the migration process had actually started more than two years </w:t>
      </w:r>
      <w:r w:rsidR="00CE712E" w:rsidRPr="00FC564B">
        <w:rPr>
          <w:rFonts w:ascii="Arial" w:hAnsi="Arial" w:cs="Arial"/>
          <w:sz w:val="20"/>
          <w:szCs w:val="20"/>
        </w:rPr>
        <w:t>previously</w:t>
      </w:r>
      <w:r w:rsidR="00C50C34" w:rsidRPr="00FC564B">
        <w:rPr>
          <w:rFonts w:ascii="Arial" w:hAnsi="Arial" w:cs="Arial"/>
          <w:sz w:val="20"/>
          <w:szCs w:val="20"/>
        </w:rPr>
        <w:t xml:space="preserve"> and </w:t>
      </w:r>
      <w:r w:rsidR="00CE712E" w:rsidRPr="00FC564B">
        <w:rPr>
          <w:rFonts w:ascii="Arial" w:hAnsi="Arial" w:cs="Arial"/>
          <w:sz w:val="20"/>
          <w:szCs w:val="20"/>
        </w:rPr>
        <w:t>m</w:t>
      </w:r>
      <w:r w:rsidR="00843C52" w:rsidRPr="00FC564B">
        <w:rPr>
          <w:rFonts w:ascii="Arial" w:hAnsi="Arial" w:cs="Arial"/>
          <w:sz w:val="20"/>
          <w:szCs w:val="20"/>
        </w:rPr>
        <w:t xml:space="preserve">ay </w:t>
      </w:r>
      <w:r w:rsidR="00646588" w:rsidRPr="00FC564B">
        <w:rPr>
          <w:rFonts w:ascii="Arial" w:hAnsi="Arial" w:cs="Arial"/>
          <w:sz w:val="20"/>
          <w:szCs w:val="20"/>
        </w:rPr>
        <w:t>only conclude over the following</w:t>
      </w:r>
      <w:r w:rsidR="00350CFB" w:rsidRPr="00FC564B">
        <w:rPr>
          <w:rFonts w:ascii="Arial" w:hAnsi="Arial" w:cs="Arial"/>
          <w:sz w:val="20"/>
          <w:szCs w:val="20"/>
        </w:rPr>
        <w:t xml:space="preserve"> two years</w:t>
      </w:r>
      <w:r w:rsidR="00646588" w:rsidRPr="00FC564B">
        <w:rPr>
          <w:rFonts w:ascii="Arial" w:hAnsi="Arial" w:cs="Arial"/>
          <w:sz w:val="20"/>
          <w:szCs w:val="20"/>
        </w:rPr>
        <w:t xml:space="preserve">; </w:t>
      </w:r>
      <w:r w:rsidR="00C50C34" w:rsidRPr="00FC564B">
        <w:rPr>
          <w:rFonts w:ascii="Arial" w:hAnsi="Arial" w:cs="Arial"/>
          <w:sz w:val="20"/>
          <w:szCs w:val="20"/>
        </w:rPr>
        <w:t>and that</w:t>
      </w:r>
      <w:r w:rsidRPr="00FC564B">
        <w:rPr>
          <w:rFonts w:ascii="Arial" w:hAnsi="Arial" w:cs="Arial"/>
          <w:sz w:val="20"/>
          <w:szCs w:val="20"/>
        </w:rPr>
        <w:t xml:space="preserve"> </w:t>
      </w:r>
      <w:r w:rsidR="00646588" w:rsidRPr="00FC564B">
        <w:rPr>
          <w:rFonts w:ascii="Arial" w:hAnsi="Arial" w:cs="Arial"/>
          <w:sz w:val="20"/>
          <w:szCs w:val="20"/>
        </w:rPr>
        <w:t xml:space="preserve">the </w:t>
      </w:r>
      <w:r w:rsidRPr="00FC564B">
        <w:rPr>
          <w:rFonts w:ascii="Arial" w:hAnsi="Arial" w:cs="Arial"/>
          <w:sz w:val="20"/>
          <w:szCs w:val="20"/>
        </w:rPr>
        <w:t xml:space="preserve">DSD </w:t>
      </w:r>
      <w:r w:rsidR="00C50C34" w:rsidRPr="00FC564B">
        <w:rPr>
          <w:rFonts w:ascii="Arial" w:hAnsi="Arial" w:cs="Arial"/>
          <w:sz w:val="20"/>
          <w:szCs w:val="20"/>
        </w:rPr>
        <w:t xml:space="preserve">was </w:t>
      </w:r>
      <w:r w:rsidRPr="00FC564B">
        <w:rPr>
          <w:rFonts w:ascii="Arial" w:hAnsi="Arial" w:cs="Arial"/>
          <w:sz w:val="20"/>
          <w:szCs w:val="20"/>
        </w:rPr>
        <w:t>still working closely with the DBE to ensure</w:t>
      </w:r>
      <w:r w:rsidR="00646588" w:rsidRPr="00FC564B">
        <w:rPr>
          <w:rFonts w:ascii="Arial" w:hAnsi="Arial" w:cs="Arial"/>
          <w:sz w:val="20"/>
          <w:szCs w:val="20"/>
        </w:rPr>
        <w:t xml:space="preserve"> a</w:t>
      </w:r>
      <w:r w:rsidRPr="00FC564B">
        <w:rPr>
          <w:rFonts w:ascii="Arial" w:hAnsi="Arial" w:cs="Arial"/>
          <w:sz w:val="20"/>
          <w:szCs w:val="20"/>
        </w:rPr>
        <w:t xml:space="preserve"> </w:t>
      </w:r>
      <w:r w:rsidR="00927090" w:rsidRPr="00FC564B">
        <w:rPr>
          <w:rFonts w:ascii="Arial" w:hAnsi="Arial" w:cs="Arial"/>
          <w:sz w:val="20"/>
          <w:szCs w:val="20"/>
        </w:rPr>
        <w:t xml:space="preserve">smooth handover and </w:t>
      </w:r>
      <w:r w:rsidRPr="00FC564B">
        <w:rPr>
          <w:rFonts w:ascii="Arial" w:hAnsi="Arial" w:cs="Arial"/>
          <w:sz w:val="20"/>
          <w:szCs w:val="20"/>
        </w:rPr>
        <w:t>minimal disruption to services.</w:t>
      </w:r>
    </w:p>
    <w:p w:rsidR="00D3530B" w:rsidRPr="00FC564B" w:rsidRDefault="00D3530B" w:rsidP="00FC564B">
      <w:pPr>
        <w:pStyle w:val="ListParagraph"/>
        <w:rPr>
          <w:rFonts w:ascii="Arial" w:hAnsi="Arial" w:cs="Arial"/>
          <w:sz w:val="20"/>
          <w:szCs w:val="20"/>
        </w:rPr>
      </w:pPr>
    </w:p>
    <w:p w:rsidR="004C74F1" w:rsidRPr="00FC564B" w:rsidRDefault="000A2058" w:rsidP="00FC564B">
      <w:pPr>
        <w:pStyle w:val="ListParagraph"/>
        <w:numPr>
          <w:ilvl w:val="1"/>
          <w:numId w:val="11"/>
        </w:numPr>
        <w:rPr>
          <w:rFonts w:ascii="Arial" w:hAnsi="Arial" w:cs="Arial"/>
          <w:sz w:val="20"/>
          <w:szCs w:val="20"/>
        </w:rPr>
      </w:pPr>
      <w:r w:rsidRPr="00FC564B">
        <w:rPr>
          <w:rFonts w:ascii="Arial" w:hAnsi="Arial" w:cs="Arial"/>
          <w:sz w:val="20"/>
          <w:szCs w:val="20"/>
        </w:rPr>
        <w:t>The C</w:t>
      </w:r>
      <w:r w:rsidR="00845D2E" w:rsidRPr="00FC564B">
        <w:rPr>
          <w:rFonts w:ascii="Arial" w:hAnsi="Arial" w:cs="Arial"/>
          <w:sz w:val="20"/>
          <w:szCs w:val="20"/>
        </w:rPr>
        <w:t>ommittee remain</w:t>
      </w:r>
      <w:r w:rsidR="00D01C3E" w:rsidRPr="00FC564B">
        <w:rPr>
          <w:rFonts w:ascii="Arial" w:hAnsi="Arial" w:cs="Arial"/>
          <w:sz w:val="20"/>
          <w:szCs w:val="20"/>
        </w:rPr>
        <w:t>ed</w:t>
      </w:r>
      <w:r w:rsidRPr="00FC564B">
        <w:rPr>
          <w:rFonts w:ascii="Arial" w:hAnsi="Arial" w:cs="Arial"/>
          <w:sz w:val="20"/>
          <w:szCs w:val="20"/>
        </w:rPr>
        <w:t xml:space="preserve"> concerned </w:t>
      </w:r>
      <w:r w:rsidR="00D01C3E" w:rsidRPr="00FC564B">
        <w:rPr>
          <w:rFonts w:ascii="Arial" w:hAnsi="Arial" w:cs="Arial"/>
          <w:sz w:val="20"/>
          <w:szCs w:val="20"/>
        </w:rPr>
        <w:t>over the reported under-</w:t>
      </w:r>
      <w:r w:rsidRPr="00FC564B">
        <w:rPr>
          <w:rFonts w:ascii="Arial" w:hAnsi="Arial" w:cs="Arial"/>
          <w:sz w:val="20"/>
          <w:szCs w:val="20"/>
        </w:rPr>
        <w:t>expenditure</w:t>
      </w:r>
      <w:r w:rsidR="004D4B1C" w:rsidRPr="00FC564B">
        <w:rPr>
          <w:rFonts w:ascii="Arial" w:hAnsi="Arial" w:cs="Arial"/>
          <w:sz w:val="20"/>
          <w:szCs w:val="20"/>
        </w:rPr>
        <w:t xml:space="preserve"> in various provinces, which </w:t>
      </w:r>
      <w:r w:rsidR="00D01C3E" w:rsidRPr="00FC564B">
        <w:rPr>
          <w:rFonts w:ascii="Arial" w:hAnsi="Arial" w:cs="Arial"/>
          <w:sz w:val="20"/>
          <w:szCs w:val="20"/>
        </w:rPr>
        <w:t>could</w:t>
      </w:r>
      <w:r w:rsidR="000C7E71" w:rsidRPr="00FC564B">
        <w:rPr>
          <w:rFonts w:ascii="Arial" w:hAnsi="Arial" w:cs="Arial"/>
          <w:sz w:val="20"/>
          <w:szCs w:val="20"/>
        </w:rPr>
        <w:t xml:space="preserve"> be</w:t>
      </w:r>
      <w:r w:rsidR="004D4B1C" w:rsidRPr="00FC564B">
        <w:rPr>
          <w:rFonts w:ascii="Arial" w:hAnsi="Arial" w:cs="Arial"/>
          <w:sz w:val="20"/>
          <w:szCs w:val="20"/>
        </w:rPr>
        <w:t xml:space="preserve"> attributed to</w:t>
      </w:r>
      <w:r w:rsidRPr="00FC564B">
        <w:rPr>
          <w:rFonts w:ascii="Arial" w:hAnsi="Arial" w:cs="Arial"/>
          <w:sz w:val="20"/>
          <w:szCs w:val="20"/>
        </w:rPr>
        <w:t xml:space="preserve"> </w:t>
      </w:r>
      <w:r w:rsidR="003850B7" w:rsidRPr="00FC564B">
        <w:rPr>
          <w:rFonts w:ascii="Arial" w:hAnsi="Arial" w:cs="Arial"/>
          <w:sz w:val="20"/>
          <w:szCs w:val="20"/>
        </w:rPr>
        <w:t xml:space="preserve">delays in </w:t>
      </w:r>
      <w:r w:rsidR="004D4B1C" w:rsidRPr="00FC564B">
        <w:rPr>
          <w:rFonts w:ascii="Arial" w:hAnsi="Arial" w:cs="Arial"/>
          <w:sz w:val="20"/>
          <w:szCs w:val="20"/>
        </w:rPr>
        <w:t>procurement process</w:t>
      </w:r>
      <w:r w:rsidR="003850B7" w:rsidRPr="00FC564B">
        <w:rPr>
          <w:rFonts w:ascii="Arial" w:hAnsi="Arial" w:cs="Arial"/>
          <w:sz w:val="20"/>
          <w:szCs w:val="20"/>
        </w:rPr>
        <w:t>es</w:t>
      </w:r>
      <w:r w:rsidR="004D4B1C" w:rsidRPr="00FC564B">
        <w:rPr>
          <w:rFonts w:ascii="Arial" w:hAnsi="Arial" w:cs="Arial"/>
          <w:sz w:val="20"/>
          <w:szCs w:val="20"/>
        </w:rPr>
        <w:t xml:space="preserve"> </w:t>
      </w:r>
      <w:r w:rsidR="004D1708" w:rsidRPr="00FC564B">
        <w:rPr>
          <w:rFonts w:ascii="Arial" w:hAnsi="Arial" w:cs="Arial"/>
          <w:sz w:val="20"/>
          <w:szCs w:val="20"/>
        </w:rPr>
        <w:t xml:space="preserve">negatively affecting </w:t>
      </w:r>
      <w:r w:rsidR="009300C5" w:rsidRPr="00FC564B">
        <w:rPr>
          <w:rFonts w:ascii="Arial" w:hAnsi="Arial" w:cs="Arial"/>
          <w:sz w:val="20"/>
          <w:szCs w:val="20"/>
        </w:rPr>
        <w:t>the construction of</w:t>
      </w:r>
      <w:r w:rsidR="004D4B1C" w:rsidRPr="00FC564B">
        <w:rPr>
          <w:rFonts w:ascii="Arial" w:hAnsi="Arial" w:cs="Arial"/>
          <w:sz w:val="20"/>
          <w:szCs w:val="20"/>
        </w:rPr>
        <w:t xml:space="preserve"> low</w:t>
      </w:r>
      <w:r w:rsidR="00D01C3E" w:rsidRPr="00FC564B">
        <w:rPr>
          <w:rFonts w:ascii="Arial" w:hAnsi="Arial" w:cs="Arial"/>
          <w:sz w:val="20"/>
          <w:szCs w:val="20"/>
        </w:rPr>
        <w:t>-</w:t>
      </w:r>
      <w:r w:rsidR="004D4B1C" w:rsidRPr="00FC564B">
        <w:rPr>
          <w:rFonts w:ascii="Arial" w:hAnsi="Arial" w:cs="Arial"/>
          <w:sz w:val="20"/>
          <w:szCs w:val="20"/>
        </w:rPr>
        <w:t xml:space="preserve">cost </w:t>
      </w:r>
      <w:r w:rsidR="00C02610" w:rsidRPr="00FC564B">
        <w:rPr>
          <w:rFonts w:ascii="Arial" w:hAnsi="Arial" w:cs="Arial"/>
          <w:sz w:val="20"/>
          <w:szCs w:val="20"/>
        </w:rPr>
        <w:t>ECD projects</w:t>
      </w:r>
      <w:r w:rsidR="004D4B1C" w:rsidRPr="00FC564B">
        <w:rPr>
          <w:rFonts w:ascii="Arial" w:hAnsi="Arial" w:cs="Arial"/>
          <w:sz w:val="20"/>
          <w:szCs w:val="20"/>
        </w:rPr>
        <w:t xml:space="preserve"> </w:t>
      </w:r>
      <w:r w:rsidRPr="00FC564B">
        <w:rPr>
          <w:rFonts w:ascii="Arial" w:hAnsi="Arial" w:cs="Arial"/>
          <w:sz w:val="20"/>
          <w:szCs w:val="20"/>
        </w:rPr>
        <w:t>in the Eastern Cape</w:t>
      </w:r>
      <w:r w:rsidR="004D4B1C" w:rsidRPr="00FC564B">
        <w:rPr>
          <w:rFonts w:ascii="Arial" w:hAnsi="Arial" w:cs="Arial"/>
          <w:sz w:val="20"/>
          <w:szCs w:val="20"/>
        </w:rPr>
        <w:t>,</w:t>
      </w:r>
      <w:r w:rsidR="00D01C3E" w:rsidRPr="00FC564B">
        <w:rPr>
          <w:rFonts w:ascii="Arial" w:hAnsi="Arial" w:cs="Arial"/>
          <w:sz w:val="20"/>
          <w:szCs w:val="20"/>
        </w:rPr>
        <w:t xml:space="preserve"> Free State, KwaZulu-</w:t>
      </w:r>
      <w:r w:rsidR="004D4B1C" w:rsidRPr="00FC564B">
        <w:rPr>
          <w:rFonts w:ascii="Arial" w:hAnsi="Arial" w:cs="Arial"/>
          <w:sz w:val="20"/>
          <w:szCs w:val="20"/>
        </w:rPr>
        <w:t>Natal, Limpopo, Mpumalanga, Northern Cape and North West.</w:t>
      </w:r>
      <w:r w:rsidR="00D01C3E" w:rsidRPr="00FC564B">
        <w:rPr>
          <w:rFonts w:ascii="Arial" w:hAnsi="Arial" w:cs="Arial"/>
          <w:sz w:val="20"/>
          <w:szCs w:val="20"/>
        </w:rPr>
        <w:t xml:space="preserve"> The Committee noted</w:t>
      </w:r>
      <w:r w:rsidR="00CA4E1F" w:rsidRPr="00FC564B">
        <w:rPr>
          <w:rFonts w:ascii="Arial" w:hAnsi="Arial" w:cs="Arial"/>
          <w:sz w:val="20"/>
          <w:szCs w:val="20"/>
        </w:rPr>
        <w:t xml:space="preserve"> </w:t>
      </w:r>
      <w:r w:rsidR="00D01C3E" w:rsidRPr="00FC564B">
        <w:rPr>
          <w:rFonts w:ascii="Arial" w:hAnsi="Arial" w:cs="Arial"/>
          <w:sz w:val="20"/>
          <w:szCs w:val="20"/>
        </w:rPr>
        <w:t xml:space="preserve">with concern </w:t>
      </w:r>
      <w:r w:rsidR="00CA4E1F" w:rsidRPr="00FC564B">
        <w:rPr>
          <w:rFonts w:ascii="Arial" w:hAnsi="Arial" w:cs="Arial"/>
          <w:sz w:val="20"/>
          <w:szCs w:val="20"/>
        </w:rPr>
        <w:t>that the</w:t>
      </w:r>
      <w:r w:rsidR="00D01C3E" w:rsidRPr="00FC564B">
        <w:rPr>
          <w:rFonts w:ascii="Arial" w:hAnsi="Arial" w:cs="Arial"/>
          <w:sz w:val="20"/>
          <w:szCs w:val="20"/>
        </w:rPr>
        <w:t>se procurement</w:t>
      </w:r>
      <w:r w:rsidR="00CA4E1F" w:rsidRPr="00FC564B">
        <w:rPr>
          <w:rFonts w:ascii="Arial" w:hAnsi="Arial" w:cs="Arial"/>
          <w:sz w:val="20"/>
          <w:szCs w:val="20"/>
        </w:rPr>
        <w:t xml:space="preserve"> delays were a common problem </w:t>
      </w:r>
      <w:r w:rsidR="00D01C3E" w:rsidRPr="00FC564B">
        <w:rPr>
          <w:rFonts w:ascii="Arial" w:hAnsi="Arial" w:cs="Arial"/>
          <w:sz w:val="20"/>
          <w:szCs w:val="20"/>
        </w:rPr>
        <w:t>across p</w:t>
      </w:r>
      <w:r w:rsidR="00CA4E1F" w:rsidRPr="00FC564B">
        <w:rPr>
          <w:rFonts w:ascii="Arial" w:hAnsi="Arial" w:cs="Arial"/>
          <w:sz w:val="20"/>
          <w:szCs w:val="20"/>
        </w:rPr>
        <w:t>rovinces</w:t>
      </w:r>
      <w:r w:rsidR="00D01C3E" w:rsidRPr="00FC564B">
        <w:rPr>
          <w:rFonts w:ascii="Arial" w:hAnsi="Arial" w:cs="Arial"/>
          <w:sz w:val="20"/>
          <w:szCs w:val="20"/>
        </w:rPr>
        <w:t>, with</w:t>
      </w:r>
      <w:r w:rsidR="00423485" w:rsidRPr="00FC564B">
        <w:rPr>
          <w:rFonts w:ascii="Arial" w:hAnsi="Arial" w:cs="Arial"/>
          <w:sz w:val="20"/>
          <w:szCs w:val="20"/>
        </w:rPr>
        <w:t xml:space="preserve"> negative consequence</w:t>
      </w:r>
      <w:r w:rsidR="00D01C3E" w:rsidRPr="00FC564B">
        <w:rPr>
          <w:rFonts w:ascii="Arial" w:hAnsi="Arial" w:cs="Arial"/>
          <w:sz w:val="20"/>
          <w:szCs w:val="20"/>
        </w:rPr>
        <w:t>s</w:t>
      </w:r>
      <w:r w:rsidR="00231A78" w:rsidRPr="00FC564B">
        <w:rPr>
          <w:rFonts w:ascii="Arial" w:hAnsi="Arial" w:cs="Arial"/>
          <w:sz w:val="20"/>
          <w:szCs w:val="20"/>
        </w:rPr>
        <w:t xml:space="preserve"> for poor and needy children</w:t>
      </w:r>
      <w:r w:rsidR="00CA4E1F" w:rsidRPr="00FC564B">
        <w:rPr>
          <w:rFonts w:ascii="Arial" w:hAnsi="Arial" w:cs="Arial"/>
          <w:sz w:val="20"/>
          <w:szCs w:val="20"/>
        </w:rPr>
        <w:t>.</w:t>
      </w:r>
      <w:r w:rsidR="00231A78" w:rsidRPr="00FC564B">
        <w:rPr>
          <w:rFonts w:ascii="Arial" w:hAnsi="Arial" w:cs="Arial"/>
          <w:sz w:val="20"/>
          <w:szCs w:val="20"/>
        </w:rPr>
        <w:t xml:space="preserve">  </w:t>
      </w:r>
      <w:r w:rsidR="00CA4E1F" w:rsidRPr="00FC564B">
        <w:rPr>
          <w:rFonts w:ascii="Arial" w:hAnsi="Arial" w:cs="Arial"/>
          <w:sz w:val="20"/>
          <w:szCs w:val="20"/>
        </w:rPr>
        <w:t xml:space="preserve"> </w:t>
      </w:r>
      <w:r w:rsidR="004D4B1C" w:rsidRPr="00FC564B">
        <w:rPr>
          <w:rFonts w:ascii="Arial" w:hAnsi="Arial" w:cs="Arial"/>
          <w:sz w:val="20"/>
          <w:szCs w:val="20"/>
        </w:rPr>
        <w:t xml:space="preserve"> </w:t>
      </w:r>
      <w:r w:rsidR="00D91DE0" w:rsidRPr="00FC564B">
        <w:rPr>
          <w:rFonts w:ascii="Arial" w:hAnsi="Arial" w:cs="Arial"/>
          <w:sz w:val="20"/>
          <w:szCs w:val="20"/>
        </w:rPr>
        <w:t xml:space="preserve"> </w:t>
      </w:r>
    </w:p>
    <w:p w:rsidR="004D4B1C" w:rsidRPr="00FC564B" w:rsidRDefault="004D4B1C" w:rsidP="00FC564B">
      <w:pPr>
        <w:pStyle w:val="ListParagraph"/>
        <w:rPr>
          <w:rFonts w:ascii="Arial" w:hAnsi="Arial" w:cs="Arial"/>
          <w:sz w:val="20"/>
          <w:szCs w:val="20"/>
        </w:rPr>
      </w:pPr>
    </w:p>
    <w:p w:rsidR="008558D6" w:rsidRPr="00FC564B" w:rsidRDefault="008558D6" w:rsidP="00FC564B">
      <w:pPr>
        <w:pStyle w:val="ListParagraph"/>
        <w:numPr>
          <w:ilvl w:val="1"/>
          <w:numId w:val="11"/>
        </w:numPr>
        <w:rPr>
          <w:rFonts w:ascii="Arial" w:hAnsi="Arial" w:cs="Arial"/>
          <w:sz w:val="20"/>
          <w:szCs w:val="20"/>
        </w:rPr>
      </w:pPr>
      <w:r w:rsidRPr="00FC564B">
        <w:rPr>
          <w:rFonts w:ascii="Arial" w:hAnsi="Arial" w:cs="Arial"/>
          <w:sz w:val="20"/>
          <w:szCs w:val="20"/>
          <w:lang w:val="en-GB"/>
        </w:rPr>
        <w:t xml:space="preserve">The </w:t>
      </w:r>
      <w:r w:rsidR="0021035E" w:rsidRPr="00FC564B">
        <w:rPr>
          <w:rFonts w:ascii="Arial" w:hAnsi="Arial" w:cs="Arial"/>
          <w:sz w:val="20"/>
          <w:szCs w:val="20"/>
          <w:lang w:val="en-GB"/>
        </w:rPr>
        <w:t>Committee note</w:t>
      </w:r>
      <w:r w:rsidR="004A2F6E" w:rsidRPr="00FC564B">
        <w:rPr>
          <w:rFonts w:ascii="Arial" w:hAnsi="Arial" w:cs="Arial"/>
          <w:sz w:val="20"/>
          <w:szCs w:val="20"/>
          <w:lang w:val="en-GB"/>
        </w:rPr>
        <w:t>d</w:t>
      </w:r>
      <w:r w:rsidR="0021035E" w:rsidRPr="00FC564B">
        <w:rPr>
          <w:rFonts w:ascii="Arial" w:hAnsi="Arial" w:cs="Arial"/>
          <w:sz w:val="20"/>
          <w:szCs w:val="20"/>
          <w:lang w:val="en-GB"/>
        </w:rPr>
        <w:t xml:space="preserve"> that</w:t>
      </w:r>
      <w:r w:rsidR="004A2F6E" w:rsidRPr="00FC564B">
        <w:rPr>
          <w:rFonts w:ascii="Arial" w:hAnsi="Arial" w:cs="Arial"/>
          <w:sz w:val="20"/>
          <w:szCs w:val="20"/>
          <w:lang w:val="en-GB"/>
        </w:rPr>
        <w:t>,</w:t>
      </w:r>
      <w:r w:rsidR="0021035E" w:rsidRPr="00FC564B">
        <w:rPr>
          <w:rFonts w:ascii="Arial" w:hAnsi="Arial" w:cs="Arial"/>
          <w:sz w:val="20"/>
          <w:szCs w:val="20"/>
          <w:lang w:val="en-GB"/>
        </w:rPr>
        <w:t xml:space="preserve"> according to </w:t>
      </w:r>
      <w:r w:rsidR="00981D26" w:rsidRPr="00FC564B">
        <w:rPr>
          <w:rFonts w:ascii="Arial" w:hAnsi="Arial" w:cs="Arial"/>
          <w:sz w:val="20"/>
          <w:szCs w:val="20"/>
          <w:lang w:val="en-GB"/>
        </w:rPr>
        <w:t xml:space="preserve">the </w:t>
      </w:r>
      <w:r w:rsidRPr="00FC564B">
        <w:rPr>
          <w:rFonts w:ascii="Arial" w:hAnsi="Arial" w:cs="Arial"/>
          <w:sz w:val="20"/>
          <w:szCs w:val="20"/>
          <w:lang w:val="en-GB"/>
        </w:rPr>
        <w:t>DSD</w:t>
      </w:r>
      <w:r w:rsidR="0021035E" w:rsidRPr="00FC564B">
        <w:rPr>
          <w:rFonts w:ascii="Arial" w:hAnsi="Arial" w:cs="Arial"/>
          <w:sz w:val="20"/>
          <w:szCs w:val="20"/>
          <w:lang w:val="en-GB"/>
        </w:rPr>
        <w:t>’s audits</w:t>
      </w:r>
      <w:r w:rsidR="004A2F6E" w:rsidRPr="00FC564B">
        <w:rPr>
          <w:rFonts w:ascii="Arial" w:hAnsi="Arial" w:cs="Arial"/>
          <w:sz w:val="20"/>
          <w:szCs w:val="20"/>
          <w:lang w:val="en-GB"/>
        </w:rPr>
        <w:t>,</w:t>
      </w:r>
      <w:r w:rsidRPr="00FC564B">
        <w:rPr>
          <w:rFonts w:ascii="Arial" w:hAnsi="Arial" w:cs="Arial"/>
          <w:sz w:val="20"/>
          <w:szCs w:val="20"/>
          <w:lang w:val="en-GB"/>
        </w:rPr>
        <w:t xml:space="preserve"> there were more unregistered </w:t>
      </w:r>
      <w:r w:rsidR="004A2F6E" w:rsidRPr="00FC564B">
        <w:rPr>
          <w:rFonts w:ascii="Arial" w:hAnsi="Arial" w:cs="Arial"/>
          <w:sz w:val="20"/>
          <w:szCs w:val="20"/>
          <w:lang w:val="en-GB"/>
        </w:rPr>
        <w:t xml:space="preserve">ECD </w:t>
      </w:r>
      <w:r w:rsidR="0021035E" w:rsidRPr="00FC564B">
        <w:rPr>
          <w:rFonts w:ascii="Arial" w:hAnsi="Arial" w:cs="Arial"/>
          <w:sz w:val="20"/>
          <w:szCs w:val="20"/>
          <w:lang w:val="en-GB"/>
        </w:rPr>
        <w:t xml:space="preserve">centres </w:t>
      </w:r>
      <w:r w:rsidRPr="00FC564B">
        <w:rPr>
          <w:rFonts w:ascii="Arial" w:hAnsi="Arial" w:cs="Arial"/>
          <w:sz w:val="20"/>
          <w:szCs w:val="20"/>
          <w:lang w:val="en-GB"/>
        </w:rPr>
        <w:t>than registered</w:t>
      </w:r>
      <w:r w:rsidR="00F14C18" w:rsidRPr="00FC564B">
        <w:rPr>
          <w:rFonts w:ascii="Arial" w:hAnsi="Arial" w:cs="Arial"/>
          <w:sz w:val="20"/>
          <w:szCs w:val="20"/>
          <w:lang w:val="en-GB"/>
        </w:rPr>
        <w:t xml:space="preserve"> ones</w:t>
      </w:r>
      <w:r w:rsidR="004A2F6E" w:rsidRPr="00FC564B">
        <w:rPr>
          <w:rFonts w:ascii="Arial" w:hAnsi="Arial" w:cs="Arial"/>
          <w:sz w:val="20"/>
          <w:szCs w:val="20"/>
          <w:lang w:val="en-GB"/>
        </w:rPr>
        <w:t xml:space="preserve"> in the country</w:t>
      </w:r>
      <w:r w:rsidRPr="00FC564B">
        <w:rPr>
          <w:rFonts w:ascii="Arial" w:hAnsi="Arial" w:cs="Arial"/>
          <w:sz w:val="20"/>
          <w:szCs w:val="20"/>
          <w:lang w:val="en-GB"/>
        </w:rPr>
        <w:t xml:space="preserve">, primarily </w:t>
      </w:r>
      <w:r w:rsidR="00F14C18" w:rsidRPr="00FC564B">
        <w:rPr>
          <w:rFonts w:ascii="Arial" w:hAnsi="Arial" w:cs="Arial"/>
          <w:sz w:val="20"/>
          <w:szCs w:val="20"/>
          <w:lang w:val="en-GB"/>
        </w:rPr>
        <w:t>in disadvantaged communities</w:t>
      </w:r>
      <w:r w:rsidR="004A2F6E" w:rsidRPr="00FC564B">
        <w:rPr>
          <w:rFonts w:ascii="Arial" w:hAnsi="Arial" w:cs="Arial"/>
          <w:sz w:val="20"/>
          <w:szCs w:val="20"/>
          <w:lang w:val="en-GB"/>
        </w:rPr>
        <w:t xml:space="preserve">, </w:t>
      </w:r>
      <w:r w:rsidR="00F14C18" w:rsidRPr="00FC564B">
        <w:rPr>
          <w:rFonts w:ascii="Arial" w:hAnsi="Arial" w:cs="Arial"/>
          <w:sz w:val="20"/>
          <w:szCs w:val="20"/>
          <w:lang w:val="en-GB"/>
        </w:rPr>
        <w:t>and that the</w:t>
      </w:r>
      <w:r w:rsidRPr="00FC564B">
        <w:rPr>
          <w:rFonts w:ascii="Arial" w:hAnsi="Arial" w:cs="Arial"/>
          <w:sz w:val="20"/>
          <w:szCs w:val="20"/>
          <w:lang w:val="en-GB"/>
        </w:rPr>
        <w:t xml:space="preserve"> </w:t>
      </w:r>
      <w:r w:rsidR="004A2F6E" w:rsidRPr="00FC564B">
        <w:rPr>
          <w:rFonts w:ascii="Arial" w:hAnsi="Arial" w:cs="Arial"/>
          <w:sz w:val="20"/>
          <w:szCs w:val="20"/>
          <w:lang w:val="en-GB"/>
        </w:rPr>
        <w:t>DSD</w:t>
      </w:r>
      <w:r w:rsidR="00F14C18" w:rsidRPr="00FC564B">
        <w:rPr>
          <w:rFonts w:ascii="Arial" w:hAnsi="Arial" w:cs="Arial"/>
          <w:sz w:val="20"/>
          <w:szCs w:val="20"/>
          <w:lang w:val="en-GB"/>
        </w:rPr>
        <w:t xml:space="preserve"> </w:t>
      </w:r>
      <w:r w:rsidRPr="00FC564B">
        <w:rPr>
          <w:rFonts w:ascii="Arial" w:hAnsi="Arial" w:cs="Arial"/>
          <w:sz w:val="20"/>
          <w:szCs w:val="20"/>
          <w:lang w:val="en-GB"/>
        </w:rPr>
        <w:t xml:space="preserve">was continually working with these centres to capacitate them. </w:t>
      </w:r>
      <w:r w:rsidR="00F14C18" w:rsidRPr="00FC564B">
        <w:rPr>
          <w:rFonts w:ascii="Arial" w:hAnsi="Arial" w:cs="Arial"/>
          <w:sz w:val="20"/>
          <w:szCs w:val="20"/>
          <w:lang w:val="en-GB"/>
        </w:rPr>
        <w:t>The Committee welcome</w:t>
      </w:r>
      <w:r w:rsidR="004A2F6E" w:rsidRPr="00FC564B">
        <w:rPr>
          <w:rFonts w:ascii="Arial" w:hAnsi="Arial" w:cs="Arial"/>
          <w:sz w:val="20"/>
          <w:szCs w:val="20"/>
          <w:lang w:val="en-GB"/>
        </w:rPr>
        <w:t>d</w:t>
      </w:r>
      <w:r w:rsidR="00F14C18" w:rsidRPr="00FC564B">
        <w:rPr>
          <w:rFonts w:ascii="Arial" w:hAnsi="Arial" w:cs="Arial"/>
          <w:sz w:val="20"/>
          <w:szCs w:val="20"/>
          <w:lang w:val="en-GB"/>
        </w:rPr>
        <w:t xml:space="preserve"> the fact </w:t>
      </w:r>
      <w:r w:rsidR="00F6129E" w:rsidRPr="00FC564B">
        <w:rPr>
          <w:rFonts w:ascii="Arial" w:hAnsi="Arial" w:cs="Arial"/>
          <w:sz w:val="20"/>
          <w:szCs w:val="20"/>
          <w:lang w:val="en-GB"/>
        </w:rPr>
        <w:t>that</w:t>
      </w:r>
      <w:r w:rsidR="004A2F6E" w:rsidRPr="00FC564B">
        <w:rPr>
          <w:rFonts w:ascii="Arial" w:hAnsi="Arial" w:cs="Arial"/>
          <w:sz w:val="20"/>
          <w:szCs w:val="20"/>
          <w:lang w:val="en-GB"/>
        </w:rPr>
        <w:t>, in order</w:t>
      </w:r>
      <w:r w:rsidR="00F6129E" w:rsidRPr="00FC564B">
        <w:rPr>
          <w:rFonts w:ascii="Arial" w:hAnsi="Arial" w:cs="Arial"/>
          <w:sz w:val="20"/>
          <w:szCs w:val="20"/>
          <w:lang w:val="en-GB"/>
        </w:rPr>
        <w:t xml:space="preserve"> to assist </w:t>
      </w:r>
      <w:r w:rsidRPr="00FC564B">
        <w:rPr>
          <w:rFonts w:ascii="Arial" w:hAnsi="Arial" w:cs="Arial"/>
          <w:sz w:val="20"/>
          <w:szCs w:val="20"/>
          <w:lang w:val="en-GB"/>
        </w:rPr>
        <w:t xml:space="preserve">some </w:t>
      </w:r>
      <w:r w:rsidR="00F6129E" w:rsidRPr="00FC564B">
        <w:rPr>
          <w:rFonts w:ascii="Arial" w:hAnsi="Arial" w:cs="Arial"/>
          <w:sz w:val="20"/>
          <w:szCs w:val="20"/>
          <w:lang w:val="en-GB"/>
        </w:rPr>
        <w:t>of the</w:t>
      </w:r>
      <w:r w:rsidR="00FE5678" w:rsidRPr="00FC564B">
        <w:rPr>
          <w:rFonts w:ascii="Arial" w:hAnsi="Arial" w:cs="Arial"/>
          <w:sz w:val="20"/>
          <w:szCs w:val="20"/>
          <w:lang w:val="en-GB"/>
        </w:rPr>
        <w:t>se</w:t>
      </w:r>
      <w:r w:rsidR="00F6129E" w:rsidRPr="00FC564B">
        <w:rPr>
          <w:rFonts w:ascii="Arial" w:hAnsi="Arial" w:cs="Arial"/>
          <w:sz w:val="20"/>
          <w:szCs w:val="20"/>
          <w:lang w:val="en-GB"/>
        </w:rPr>
        <w:t xml:space="preserve"> </w:t>
      </w:r>
      <w:r w:rsidRPr="00FC564B">
        <w:rPr>
          <w:rFonts w:ascii="Arial" w:hAnsi="Arial" w:cs="Arial"/>
          <w:sz w:val="20"/>
          <w:szCs w:val="20"/>
          <w:lang w:val="en-GB"/>
        </w:rPr>
        <w:t xml:space="preserve">unregistered </w:t>
      </w:r>
      <w:r w:rsidR="004A2F6E" w:rsidRPr="00FC564B">
        <w:rPr>
          <w:rFonts w:ascii="Arial" w:hAnsi="Arial" w:cs="Arial"/>
          <w:sz w:val="20"/>
          <w:szCs w:val="20"/>
          <w:lang w:val="en-GB"/>
        </w:rPr>
        <w:t>centres</w:t>
      </w:r>
      <w:r w:rsidRPr="00FC564B">
        <w:rPr>
          <w:rFonts w:ascii="Arial" w:hAnsi="Arial" w:cs="Arial"/>
          <w:sz w:val="20"/>
          <w:szCs w:val="20"/>
          <w:lang w:val="en-GB"/>
        </w:rPr>
        <w:t>, the D</w:t>
      </w:r>
      <w:r w:rsidR="004A2F6E" w:rsidRPr="00FC564B">
        <w:rPr>
          <w:rFonts w:ascii="Arial" w:hAnsi="Arial" w:cs="Arial"/>
          <w:sz w:val="20"/>
          <w:szCs w:val="20"/>
          <w:lang w:val="en-GB"/>
        </w:rPr>
        <w:t>SD</w:t>
      </w:r>
      <w:r w:rsidRPr="00FC564B">
        <w:rPr>
          <w:rFonts w:ascii="Arial" w:hAnsi="Arial" w:cs="Arial"/>
          <w:sz w:val="20"/>
          <w:szCs w:val="20"/>
          <w:lang w:val="en-GB"/>
        </w:rPr>
        <w:t xml:space="preserve"> had developed a pre-registration support package</w:t>
      </w:r>
      <w:r w:rsidR="00025D41" w:rsidRPr="00FC564B">
        <w:rPr>
          <w:rFonts w:ascii="Arial" w:hAnsi="Arial" w:cs="Arial"/>
          <w:sz w:val="20"/>
          <w:szCs w:val="20"/>
          <w:lang w:val="en-GB"/>
        </w:rPr>
        <w:t xml:space="preserve"> to enable them to receive the subsidy</w:t>
      </w:r>
      <w:r w:rsidRPr="00FC564B">
        <w:rPr>
          <w:rFonts w:ascii="Arial" w:hAnsi="Arial" w:cs="Arial"/>
          <w:sz w:val="20"/>
          <w:szCs w:val="20"/>
          <w:lang w:val="en-GB"/>
        </w:rPr>
        <w:t>.</w:t>
      </w:r>
    </w:p>
    <w:p w:rsidR="00D3530B" w:rsidRPr="00FC564B" w:rsidRDefault="00D3530B" w:rsidP="00FC564B">
      <w:pPr>
        <w:pStyle w:val="ListParagraph"/>
        <w:rPr>
          <w:rFonts w:ascii="Arial" w:hAnsi="Arial" w:cs="Arial"/>
          <w:sz w:val="20"/>
          <w:szCs w:val="20"/>
        </w:rPr>
      </w:pPr>
    </w:p>
    <w:p w:rsidR="003E0F86" w:rsidRPr="00FC564B" w:rsidRDefault="008558D6" w:rsidP="00FC564B">
      <w:pPr>
        <w:pStyle w:val="ListParagraph"/>
        <w:numPr>
          <w:ilvl w:val="1"/>
          <w:numId w:val="11"/>
        </w:numPr>
        <w:rPr>
          <w:rFonts w:ascii="Arial" w:hAnsi="Arial" w:cs="Arial"/>
          <w:sz w:val="20"/>
          <w:szCs w:val="20"/>
        </w:rPr>
      </w:pPr>
      <w:r w:rsidRPr="00FC564B">
        <w:rPr>
          <w:rFonts w:ascii="Arial" w:hAnsi="Arial" w:cs="Arial"/>
          <w:sz w:val="20"/>
          <w:szCs w:val="20"/>
          <w:lang w:val="en-GB"/>
        </w:rPr>
        <w:t xml:space="preserve">The </w:t>
      </w:r>
      <w:r w:rsidR="00E441AF" w:rsidRPr="00FC564B">
        <w:rPr>
          <w:rFonts w:ascii="Arial" w:hAnsi="Arial" w:cs="Arial"/>
          <w:sz w:val="20"/>
          <w:szCs w:val="20"/>
          <w:lang w:val="en-GB"/>
        </w:rPr>
        <w:t>Committee welcome</w:t>
      </w:r>
      <w:r w:rsidR="00F13AD5" w:rsidRPr="00FC564B">
        <w:rPr>
          <w:rFonts w:ascii="Arial" w:hAnsi="Arial" w:cs="Arial"/>
          <w:sz w:val="20"/>
          <w:szCs w:val="20"/>
          <w:lang w:val="en-GB"/>
        </w:rPr>
        <w:t>d</w:t>
      </w:r>
      <w:r w:rsidR="00E441AF" w:rsidRPr="00FC564B">
        <w:rPr>
          <w:rFonts w:ascii="Arial" w:hAnsi="Arial" w:cs="Arial"/>
          <w:sz w:val="20"/>
          <w:szCs w:val="20"/>
          <w:lang w:val="en-GB"/>
        </w:rPr>
        <w:t xml:space="preserve"> the </w:t>
      </w:r>
      <w:r w:rsidRPr="00FC564B">
        <w:rPr>
          <w:rFonts w:ascii="Arial" w:hAnsi="Arial" w:cs="Arial"/>
          <w:sz w:val="20"/>
          <w:szCs w:val="20"/>
          <w:lang w:val="en-GB"/>
        </w:rPr>
        <w:t xml:space="preserve">strict guidelines </w:t>
      </w:r>
      <w:r w:rsidR="00E441AF" w:rsidRPr="00FC564B">
        <w:rPr>
          <w:rFonts w:ascii="Arial" w:hAnsi="Arial" w:cs="Arial"/>
          <w:sz w:val="20"/>
          <w:szCs w:val="20"/>
          <w:lang w:val="en-GB"/>
        </w:rPr>
        <w:t>a</w:t>
      </w:r>
      <w:r w:rsidR="00F13AD5" w:rsidRPr="00FC564B">
        <w:rPr>
          <w:rFonts w:ascii="Arial" w:hAnsi="Arial" w:cs="Arial"/>
          <w:sz w:val="20"/>
          <w:szCs w:val="20"/>
          <w:lang w:val="en-GB"/>
        </w:rPr>
        <w:t xml:space="preserve">nd mitigation strategy </w:t>
      </w:r>
      <w:r w:rsidR="00E441AF" w:rsidRPr="00FC564B">
        <w:rPr>
          <w:rFonts w:ascii="Arial" w:hAnsi="Arial" w:cs="Arial"/>
          <w:sz w:val="20"/>
          <w:szCs w:val="20"/>
          <w:lang w:val="en-GB"/>
        </w:rPr>
        <w:t xml:space="preserve">put in place by </w:t>
      </w:r>
      <w:r w:rsidR="00F13AD5" w:rsidRPr="00FC564B">
        <w:rPr>
          <w:rFonts w:ascii="Arial" w:hAnsi="Arial" w:cs="Arial"/>
          <w:sz w:val="20"/>
          <w:szCs w:val="20"/>
          <w:lang w:val="en-GB"/>
        </w:rPr>
        <w:t xml:space="preserve">the </w:t>
      </w:r>
      <w:r w:rsidR="00E441AF" w:rsidRPr="00FC564B">
        <w:rPr>
          <w:rFonts w:ascii="Arial" w:hAnsi="Arial" w:cs="Arial"/>
          <w:sz w:val="20"/>
          <w:szCs w:val="20"/>
          <w:lang w:val="en-GB"/>
        </w:rPr>
        <w:t xml:space="preserve">DSD </w:t>
      </w:r>
      <w:r w:rsidRPr="00FC564B">
        <w:rPr>
          <w:rFonts w:ascii="Arial" w:hAnsi="Arial" w:cs="Arial"/>
          <w:sz w:val="20"/>
          <w:szCs w:val="20"/>
          <w:lang w:val="en-GB"/>
        </w:rPr>
        <w:t>for all provinces to ensure that</w:t>
      </w:r>
      <w:r w:rsidR="00E441AF" w:rsidRPr="00FC564B">
        <w:rPr>
          <w:rFonts w:ascii="Arial" w:hAnsi="Arial" w:cs="Arial"/>
          <w:sz w:val="20"/>
          <w:szCs w:val="20"/>
          <w:lang w:val="en-GB"/>
        </w:rPr>
        <w:t xml:space="preserve"> monies</w:t>
      </w:r>
      <w:r w:rsidRPr="00FC564B">
        <w:rPr>
          <w:rFonts w:ascii="Arial" w:hAnsi="Arial" w:cs="Arial"/>
          <w:sz w:val="20"/>
          <w:szCs w:val="20"/>
          <w:lang w:val="en-GB"/>
        </w:rPr>
        <w:t xml:space="preserve"> were paid to the c</w:t>
      </w:r>
      <w:r w:rsidR="00E441AF" w:rsidRPr="00FC564B">
        <w:rPr>
          <w:rFonts w:ascii="Arial" w:hAnsi="Arial" w:cs="Arial"/>
          <w:sz w:val="20"/>
          <w:szCs w:val="20"/>
          <w:lang w:val="en-GB"/>
        </w:rPr>
        <w:t xml:space="preserve">orrect people </w:t>
      </w:r>
      <w:r w:rsidR="00FD0EE2" w:rsidRPr="00FC564B">
        <w:rPr>
          <w:rFonts w:ascii="Arial" w:hAnsi="Arial" w:cs="Arial"/>
          <w:sz w:val="20"/>
          <w:szCs w:val="20"/>
          <w:lang w:val="en-GB"/>
        </w:rPr>
        <w:t xml:space="preserve">and </w:t>
      </w:r>
      <w:r w:rsidR="00E441AF" w:rsidRPr="00FC564B">
        <w:rPr>
          <w:rFonts w:ascii="Arial" w:hAnsi="Arial" w:cs="Arial"/>
          <w:sz w:val="20"/>
          <w:szCs w:val="20"/>
          <w:lang w:val="en-GB"/>
        </w:rPr>
        <w:t xml:space="preserve">in line with the </w:t>
      </w:r>
      <w:r w:rsidR="00894420" w:rsidRPr="00FC564B">
        <w:rPr>
          <w:rFonts w:ascii="Arial" w:hAnsi="Arial" w:cs="Arial"/>
          <w:sz w:val="20"/>
          <w:szCs w:val="20"/>
          <w:lang w:val="en-GB"/>
        </w:rPr>
        <w:t xml:space="preserve">Grant framework, </w:t>
      </w:r>
      <w:r w:rsidR="00F13AD5" w:rsidRPr="00FC564B">
        <w:rPr>
          <w:rFonts w:ascii="Arial" w:hAnsi="Arial" w:cs="Arial"/>
          <w:sz w:val="20"/>
          <w:szCs w:val="20"/>
          <w:lang w:val="en-GB"/>
        </w:rPr>
        <w:t xml:space="preserve">the </w:t>
      </w:r>
      <w:r w:rsidR="00E441AF" w:rsidRPr="00FC564B">
        <w:rPr>
          <w:rFonts w:ascii="Arial" w:hAnsi="Arial" w:cs="Arial"/>
          <w:sz w:val="20"/>
          <w:szCs w:val="20"/>
          <w:lang w:val="en-GB"/>
        </w:rPr>
        <w:t>Publ</w:t>
      </w:r>
      <w:r w:rsidR="00CB5DE0" w:rsidRPr="00FC564B">
        <w:rPr>
          <w:rFonts w:ascii="Arial" w:hAnsi="Arial" w:cs="Arial"/>
          <w:sz w:val="20"/>
          <w:szCs w:val="20"/>
          <w:lang w:val="en-GB"/>
        </w:rPr>
        <w:t>ic Finance Management Act</w:t>
      </w:r>
      <w:r w:rsidR="00E441AF" w:rsidRPr="00FC564B">
        <w:rPr>
          <w:rFonts w:ascii="Arial" w:hAnsi="Arial" w:cs="Arial"/>
          <w:sz w:val="20"/>
          <w:szCs w:val="20"/>
          <w:lang w:val="en-GB"/>
        </w:rPr>
        <w:t xml:space="preserve"> and Treasury Regulations</w:t>
      </w:r>
      <w:r w:rsidR="00F13AD5" w:rsidRPr="00FC564B">
        <w:rPr>
          <w:rFonts w:ascii="Arial" w:hAnsi="Arial" w:cs="Arial"/>
          <w:sz w:val="20"/>
          <w:szCs w:val="20"/>
          <w:lang w:val="en-GB"/>
        </w:rPr>
        <w:t>;</w:t>
      </w:r>
      <w:r w:rsidRPr="00FC564B">
        <w:rPr>
          <w:rFonts w:ascii="Arial" w:hAnsi="Arial" w:cs="Arial"/>
          <w:sz w:val="20"/>
          <w:szCs w:val="20"/>
          <w:lang w:val="en-GB"/>
        </w:rPr>
        <w:t xml:space="preserve"> and that there had been no audit findings since the inception of the stimulus package. </w:t>
      </w:r>
    </w:p>
    <w:p w:rsidR="00E441AF" w:rsidRPr="00FC564B" w:rsidRDefault="00E441AF" w:rsidP="00FC564B">
      <w:pPr>
        <w:pStyle w:val="ListParagraph"/>
        <w:rPr>
          <w:rFonts w:ascii="Arial" w:hAnsi="Arial" w:cs="Arial"/>
          <w:sz w:val="20"/>
          <w:szCs w:val="20"/>
        </w:rPr>
      </w:pPr>
    </w:p>
    <w:p w:rsidR="00275956" w:rsidRPr="00FC564B" w:rsidRDefault="00275956" w:rsidP="00FC564B">
      <w:pPr>
        <w:pStyle w:val="ListParagraph"/>
        <w:rPr>
          <w:rFonts w:ascii="Arial" w:hAnsi="Arial" w:cs="Arial"/>
          <w:sz w:val="20"/>
          <w:szCs w:val="20"/>
        </w:rPr>
      </w:pPr>
    </w:p>
    <w:p w:rsidR="003E0F86" w:rsidRPr="00FC564B" w:rsidRDefault="003E0F86" w:rsidP="00FC564B">
      <w:pPr>
        <w:pStyle w:val="ListParagraph"/>
        <w:numPr>
          <w:ilvl w:val="0"/>
          <w:numId w:val="11"/>
        </w:numPr>
        <w:rPr>
          <w:rFonts w:ascii="Arial" w:hAnsi="Arial" w:cs="Arial"/>
          <w:b/>
          <w:sz w:val="20"/>
          <w:szCs w:val="20"/>
        </w:rPr>
      </w:pPr>
      <w:r w:rsidRPr="00FC564B">
        <w:rPr>
          <w:rFonts w:ascii="Arial" w:hAnsi="Arial" w:cs="Arial"/>
          <w:b/>
          <w:sz w:val="20"/>
          <w:szCs w:val="20"/>
        </w:rPr>
        <w:t>Recommendations</w:t>
      </w:r>
    </w:p>
    <w:p w:rsidR="008B550F" w:rsidRPr="00FC564B" w:rsidRDefault="008B550F" w:rsidP="00FC564B">
      <w:pPr>
        <w:pStyle w:val="ListParagraph"/>
        <w:numPr>
          <w:ilvl w:val="1"/>
          <w:numId w:val="11"/>
        </w:numPr>
        <w:rPr>
          <w:rFonts w:ascii="Arial" w:hAnsi="Arial" w:cs="Arial"/>
          <w:sz w:val="20"/>
          <w:szCs w:val="20"/>
        </w:rPr>
      </w:pPr>
      <w:r w:rsidRPr="00FC564B">
        <w:rPr>
          <w:rFonts w:ascii="Arial" w:hAnsi="Arial" w:cs="Arial"/>
          <w:sz w:val="20"/>
          <w:szCs w:val="20"/>
        </w:rPr>
        <w:t>The Committee</w:t>
      </w:r>
      <w:r w:rsidR="002F2564" w:rsidRPr="00FC564B">
        <w:rPr>
          <w:rFonts w:ascii="Arial" w:hAnsi="Arial" w:cs="Arial"/>
          <w:sz w:val="20"/>
          <w:szCs w:val="20"/>
        </w:rPr>
        <w:t xml:space="preserve"> believes</w:t>
      </w:r>
      <w:r w:rsidR="007A5DC5" w:rsidRPr="00FC564B">
        <w:rPr>
          <w:rFonts w:ascii="Arial" w:hAnsi="Arial" w:cs="Arial"/>
          <w:sz w:val="20"/>
          <w:szCs w:val="20"/>
        </w:rPr>
        <w:t xml:space="preserve"> that intensifying investment </w:t>
      </w:r>
      <w:r w:rsidR="00D51932" w:rsidRPr="00FC564B">
        <w:rPr>
          <w:rFonts w:ascii="Arial" w:hAnsi="Arial" w:cs="Arial"/>
          <w:sz w:val="20"/>
          <w:szCs w:val="20"/>
        </w:rPr>
        <w:t xml:space="preserve">of </w:t>
      </w:r>
      <w:r w:rsidR="003D3EB2" w:rsidRPr="00FC564B">
        <w:rPr>
          <w:rFonts w:ascii="Arial" w:hAnsi="Arial" w:cs="Arial"/>
          <w:sz w:val="20"/>
          <w:szCs w:val="20"/>
        </w:rPr>
        <w:t xml:space="preserve">resources </w:t>
      </w:r>
      <w:r w:rsidR="007A5DC5" w:rsidRPr="00FC564B">
        <w:rPr>
          <w:rFonts w:ascii="Arial" w:hAnsi="Arial" w:cs="Arial"/>
          <w:sz w:val="20"/>
          <w:szCs w:val="20"/>
        </w:rPr>
        <w:t>at</w:t>
      </w:r>
      <w:r w:rsidR="009A24DB" w:rsidRPr="00FC564B">
        <w:rPr>
          <w:rFonts w:ascii="Arial" w:hAnsi="Arial" w:cs="Arial"/>
          <w:sz w:val="20"/>
          <w:szCs w:val="20"/>
        </w:rPr>
        <w:t xml:space="preserve"> the early stages of education is </w:t>
      </w:r>
      <w:r w:rsidR="00EF2673" w:rsidRPr="00FC564B">
        <w:rPr>
          <w:rFonts w:ascii="Arial" w:hAnsi="Arial" w:cs="Arial"/>
          <w:sz w:val="20"/>
          <w:szCs w:val="20"/>
        </w:rPr>
        <w:t>crucial</w:t>
      </w:r>
      <w:r w:rsidR="00A2223E" w:rsidRPr="00FC564B">
        <w:rPr>
          <w:rFonts w:ascii="Arial" w:hAnsi="Arial" w:cs="Arial"/>
          <w:sz w:val="20"/>
          <w:szCs w:val="20"/>
        </w:rPr>
        <w:t xml:space="preserve"> for the country</w:t>
      </w:r>
      <w:r w:rsidR="009A24DB" w:rsidRPr="00FC564B">
        <w:rPr>
          <w:rFonts w:ascii="Arial" w:hAnsi="Arial" w:cs="Arial"/>
          <w:sz w:val="20"/>
          <w:szCs w:val="20"/>
        </w:rPr>
        <w:t xml:space="preserve">. </w:t>
      </w:r>
      <w:r w:rsidRPr="00FC564B">
        <w:rPr>
          <w:rFonts w:ascii="Arial" w:hAnsi="Arial" w:cs="Arial"/>
          <w:sz w:val="20"/>
          <w:szCs w:val="20"/>
        </w:rPr>
        <w:t xml:space="preserve"> </w:t>
      </w:r>
      <w:r w:rsidR="009A24DB" w:rsidRPr="00FC564B">
        <w:rPr>
          <w:rFonts w:ascii="Arial" w:hAnsi="Arial" w:cs="Arial"/>
          <w:sz w:val="20"/>
          <w:szCs w:val="20"/>
        </w:rPr>
        <w:t xml:space="preserve">Therefore, it </w:t>
      </w:r>
      <w:r w:rsidRPr="00FC564B">
        <w:rPr>
          <w:rFonts w:ascii="Arial" w:hAnsi="Arial" w:cs="Arial"/>
          <w:sz w:val="20"/>
          <w:szCs w:val="20"/>
        </w:rPr>
        <w:t>urges th</w:t>
      </w:r>
      <w:r w:rsidR="007158B5" w:rsidRPr="00FC564B">
        <w:rPr>
          <w:rFonts w:ascii="Arial" w:hAnsi="Arial" w:cs="Arial"/>
          <w:sz w:val="20"/>
          <w:szCs w:val="20"/>
        </w:rPr>
        <w:t>e Department of Basic Education</w:t>
      </w:r>
      <w:r w:rsidR="003A1EC9" w:rsidRPr="00FC564B">
        <w:rPr>
          <w:rFonts w:ascii="Arial" w:hAnsi="Arial" w:cs="Arial"/>
          <w:sz w:val="20"/>
          <w:szCs w:val="20"/>
        </w:rPr>
        <w:t xml:space="preserve"> </w:t>
      </w:r>
      <w:r w:rsidR="00EF2673" w:rsidRPr="00FC564B">
        <w:rPr>
          <w:rFonts w:ascii="Arial" w:hAnsi="Arial" w:cs="Arial"/>
          <w:sz w:val="20"/>
          <w:szCs w:val="20"/>
        </w:rPr>
        <w:t xml:space="preserve">(DBE) </w:t>
      </w:r>
      <w:r w:rsidR="00DA4323" w:rsidRPr="00FC564B">
        <w:rPr>
          <w:rFonts w:ascii="Arial" w:hAnsi="Arial" w:cs="Arial"/>
          <w:sz w:val="20"/>
          <w:szCs w:val="20"/>
        </w:rPr>
        <w:t xml:space="preserve">to continue </w:t>
      </w:r>
      <w:r w:rsidR="00D74DA4" w:rsidRPr="00FC564B">
        <w:rPr>
          <w:rFonts w:ascii="Arial" w:hAnsi="Arial" w:cs="Arial"/>
          <w:sz w:val="20"/>
          <w:szCs w:val="20"/>
        </w:rPr>
        <w:t>effort</w:t>
      </w:r>
      <w:r w:rsidR="00DA4323" w:rsidRPr="00FC564B">
        <w:rPr>
          <w:rFonts w:ascii="Arial" w:hAnsi="Arial" w:cs="Arial"/>
          <w:sz w:val="20"/>
          <w:szCs w:val="20"/>
        </w:rPr>
        <w:t>s</w:t>
      </w:r>
      <w:r w:rsidRPr="00FC564B">
        <w:rPr>
          <w:rFonts w:ascii="Arial" w:hAnsi="Arial" w:cs="Arial"/>
          <w:sz w:val="20"/>
          <w:szCs w:val="20"/>
        </w:rPr>
        <w:t xml:space="preserve"> </w:t>
      </w:r>
      <w:r w:rsidR="00D74DA4" w:rsidRPr="00FC564B">
        <w:rPr>
          <w:rFonts w:ascii="Arial" w:hAnsi="Arial" w:cs="Arial"/>
          <w:sz w:val="20"/>
          <w:szCs w:val="20"/>
        </w:rPr>
        <w:t xml:space="preserve">to increase the </w:t>
      </w:r>
      <w:r w:rsidR="00EF2673" w:rsidRPr="00FC564B">
        <w:rPr>
          <w:rFonts w:ascii="Arial" w:hAnsi="Arial" w:cs="Arial"/>
          <w:sz w:val="20"/>
          <w:szCs w:val="20"/>
        </w:rPr>
        <w:t>number</w:t>
      </w:r>
      <w:r w:rsidRPr="00FC564B">
        <w:rPr>
          <w:rFonts w:ascii="Arial" w:hAnsi="Arial" w:cs="Arial"/>
          <w:sz w:val="20"/>
          <w:szCs w:val="20"/>
        </w:rPr>
        <w:t xml:space="preserve"> of poor children accessing subsidised ECD services through centre and non-centre based programmes</w:t>
      </w:r>
      <w:r w:rsidR="00EF2673" w:rsidRPr="00FC564B">
        <w:rPr>
          <w:rFonts w:ascii="Arial" w:hAnsi="Arial" w:cs="Arial"/>
          <w:sz w:val="20"/>
          <w:szCs w:val="20"/>
        </w:rPr>
        <w:t>.</w:t>
      </w:r>
      <w:r w:rsidR="007742EC" w:rsidRPr="00FC564B">
        <w:rPr>
          <w:rFonts w:ascii="Arial" w:hAnsi="Arial" w:cs="Arial"/>
          <w:sz w:val="20"/>
          <w:szCs w:val="20"/>
        </w:rPr>
        <w:t xml:space="preserve"> </w:t>
      </w:r>
      <w:r w:rsidR="00EF2673" w:rsidRPr="00FC564B">
        <w:rPr>
          <w:rFonts w:ascii="Arial" w:hAnsi="Arial" w:cs="Arial"/>
          <w:sz w:val="20"/>
          <w:szCs w:val="20"/>
        </w:rPr>
        <w:t>The DBE</w:t>
      </w:r>
      <w:r w:rsidR="00297A86" w:rsidRPr="00FC564B">
        <w:rPr>
          <w:rFonts w:ascii="Arial" w:hAnsi="Arial" w:cs="Arial"/>
          <w:sz w:val="20"/>
          <w:szCs w:val="20"/>
        </w:rPr>
        <w:t xml:space="preserve"> should</w:t>
      </w:r>
      <w:r w:rsidR="007742EC" w:rsidRPr="00FC564B">
        <w:rPr>
          <w:rFonts w:ascii="Arial" w:hAnsi="Arial" w:cs="Arial"/>
          <w:sz w:val="20"/>
          <w:szCs w:val="20"/>
        </w:rPr>
        <w:t xml:space="preserve"> fa</w:t>
      </w:r>
      <w:r w:rsidR="00297A86" w:rsidRPr="00FC564B">
        <w:rPr>
          <w:rFonts w:ascii="Arial" w:hAnsi="Arial" w:cs="Arial"/>
          <w:sz w:val="20"/>
          <w:szCs w:val="20"/>
        </w:rPr>
        <w:t>s</w:t>
      </w:r>
      <w:r w:rsidR="007742EC" w:rsidRPr="00FC564B">
        <w:rPr>
          <w:rFonts w:ascii="Arial" w:hAnsi="Arial" w:cs="Arial"/>
          <w:sz w:val="20"/>
          <w:szCs w:val="20"/>
        </w:rPr>
        <w:t>t</w:t>
      </w:r>
      <w:r w:rsidR="00EF2673" w:rsidRPr="00FC564B">
        <w:rPr>
          <w:rFonts w:ascii="Arial" w:hAnsi="Arial" w:cs="Arial"/>
          <w:sz w:val="20"/>
          <w:szCs w:val="20"/>
        </w:rPr>
        <w:t>-</w:t>
      </w:r>
      <w:r w:rsidR="00297A86" w:rsidRPr="00FC564B">
        <w:rPr>
          <w:rFonts w:ascii="Arial" w:hAnsi="Arial" w:cs="Arial"/>
          <w:sz w:val="20"/>
          <w:szCs w:val="20"/>
        </w:rPr>
        <w:t>t</w:t>
      </w:r>
      <w:r w:rsidR="007742EC" w:rsidRPr="00FC564B">
        <w:rPr>
          <w:rFonts w:ascii="Arial" w:hAnsi="Arial" w:cs="Arial"/>
          <w:sz w:val="20"/>
          <w:szCs w:val="20"/>
        </w:rPr>
        <w:t xml:space="preserve">rack the verification of beneficiaries </w:t>
      </w:r>
      <w:r w:rsidR="00C2328B" w:rsidRPr="00FC564B">
        <w:rPr>
          <w:rFonts w:ascii="Arial" w:hAnsi="Arial" w:cs="Arial"/>
          <w:sz w:val="20"/>
          <w:szCs w:val="20"/>
        </w:rPr>
        <w:t xml:space="preserve">and </w:t>
      </w:r>
      <w:r w:rsidR="00EF2673" w:rsidRPr="00FC564B">
        <w:rPr>
          <w:rFonts w:ascii="Arial" w:hAnsi="Arial" w:cs="Arial"/>
          <w:sz w:val="20"/>
          <w:szCs w:val="20"/>
        </w:rPr>
        <w:t xml:space="preserve">urgently </w:t>
      </w:r>
      <w:r w:rsidR="00C2328B" w:rsidRPr="00FC564B">
        <w:rPr>
          <w:rFonts w:ascii="Arial" w:hAnsi="Arial" w:cs="Arial"/>
          <w:sz w:val="20"/>
          <w:szCs w:val="20"/>
        </w:rPr>
        <w:t>address the issue of</w:t>
      </w:r>
      <w:r w:rsidR="007742EC" w:rsidRPr="00FC564B">
        <w:rPr>
          <w:rFonts w:ascii="Arial" w:hAnsi="Arial" w:cs="Arial"/>
          <w:sz w:val="20"/>
          <w:szCs w:val="20"/>
        </w:rPr>
        <w:t xml:space="preserve"> outstanding information</w:t>
      </w:r>
      <w:r w:rsidR="00EF2673" w:rsidRPr="00FC564B">
        <w:rPr>
          <w:rFonts w:ascii="Arial" w:hAnsi="Arial" w:cs="Arial"/>
          <w:sz w:val="20"/>
          <w:szCs w:val="20"/>
        </w:rPr>
        <w:t>.</w:t>
      </w:r>
      <w:r w:rsidR="00C2328B" w:rsidRPr="00FC564B">
        <w:rPr>
          <w:rFonts w:ascii="Arial" w:hAnsi="Arial" w:cs="Arial"/>
          <w:sz w:val="20"/>
          <w:szCs w:val="20"/>
        </w:rPr>
        <w:t xml:space="preserve"> </w:t>
      </w:r>
      <w:r w:rsidR="007742EC" w:rsidRPr="00FC564B">
        <w:rPr>
          <w:rFonts w:ascii="Arial" w:hAnsi="Arial" w:cs="Arial"/>
          <w:sz w:val="20"/>
          <w:szCs w:val="20"/>
        </w:rPr>
        <w:t xml:space="preserve"> </w:t>
      </w:r>
    </w:p>
    <w:p w:rsidR="00EF1053" w:rsidRPr="00FC564B" w:rsidRDefault="00EF1053" w:rsidP="00FC564B">
      <w:pPr>
        <w:rPr>
          <w:rFonts w:ascii="Arial" w:hAnsi="Arial" w:cs="Arial"/>
          <w:sz w:val="20"/>
          <w:szCs w:val="20"/>
        </w:rPr>
      </w:pPr>
    </w:p>
    <w:p w:rsidR="00F8446B" w:rsidRPr="00FC564B" w:rsidRDefault="00661974" w:rsidP="00FC564B">
      <w:pPr>
        <w:pStyle w:val="ListParagraph"/>
        <w:numPr>
          <w:ilvl w:val="1"/>
          <w:numId w:val="11"/>
        </w:numPr>
        <w:rPr>
          <w:rFonts w:ascii="Arial" w:hAnsi="Arial" w:cs="Arial"/>
          <w:sz w:val="20"/>
          <w:szCs w:val="20"/>
        </w:rPr>
      </w:pPr>
      <w:r w:rsidRPr="00FC564B">
        <w:rPr>
          <w:rFonts w:ascii="Arial" w:hAnsi="Arial" w:cs="Arial"/>
          <w:sz w:val="20"/>
          <w:szCs w:val="20"/>
        </w:rPr>
        <w:t xml:space="preserve">The </w:t>
      </w:r>
      <w:r w:rsidR="00817F2F" w:rsidRPr="00FC564B">
        <w:rPr>
          <w:rFonts w:ascii="Arial" w:hAnsi="Arial" w:cs="Arial"/>
          <w:sz w:val="20"/>
          <w:szCs w:val="20"/>
        </w:rPr>
        <w:t xml:space="preserve">Department of Basic Education </w:t>
      </w:r>
      <w:r w:rsidRPr="00FC564B">
        <w:rPr>
          <w:rFonts w:ascii="Arial" w:hAnsi="Arial" w:cs="Arial"/>
          <w:sz w:val="20"/>
          <w:szCs w:val="20"/>
        </w:rPr>
        <w:t>and p</w:t>
      </w:r>
      <w:r w:rsidR="00C236A3" w:rsidRPr="00FC564B">
        <w:rPr>
          <w:rFonts w:ascii="Arial" w:hAnsi="Arial" w:cs="Arial"/>
          <w:sz w:val="20"/>
          <w:szCs w:val="20"/>
        </w:rPr>
        <w:t>rovinces such as</w:t>
      </w:r>
      <w:r w:rsidR="00AA35F4" w:rsidRPr="00FC564B">
        <w:rPr>
          <w:rFonts w:ascii="Arial" w:hAnsi="Arial" w:cs="Arial"/>
          <w:sz w:val="20"/>
          <w:szCs w:val="20"/>
        </w:rPr>
        <w:t xml:space="preserve"> the </w:t>
      </w:r>
      <w:r w:rsidR="00927DC2" w:rsidRPr="00FC564B">
        <w:rPr>
          <w:rFonts w:ascii="Arial" w:hAnsi="Arial" w:cs="Arial"/>
          <w:sz w:val="20"/>
          <w:szCs w:val="20"/>
        </w:rPr>
        <w:t xml:space="preserve">Eastern Cape, Free State, Gauteng, KwaZulu-Natal, Limpopo, Mpumalanga, Northern Cape and North West </w:t>
      </w:r>
      <w:r w:rsidR="00AA35F4" w:rsidRPr="00FC564B">
        <w:rPr>
          <w:rFonts w:ascii="Arial" w:hAnsi="Arial" w:cs="Arial"/>
          <w:sz w:val="20"/>
          <w:szCs w:val="20"/>
        </w:rPr>
        <w:t>should fast</w:t>
      </w:r>
      <w:r w:rsidR="00817F2F" w:rsidRPr="00FC564B">
        <w:rPr>
          <w:rFonts w:ascii="Arial" w:hAnsi="Arial" w:cs="Arial"/>
          <w:sz w:val="20"/>
          <w:szCs w:val="20"/>
        </w:rPr>
        <w:t>-</w:t>
      </w:r>
      <w:r w:rsidR="002A4572" w:rsidRPr="00FC564B">
        <w:rPr>
          <w:rFonts w:ascii="Arial" w:hAnsi="Arial" w:cs="Arial"/>
          <w:sz w:val="20"/>
          <w:szCs w:val="20"/>
        </w:rPr>
        <w:t>track the</w:t>
      </w:r>
      <w:r w:rsidR="00AA35F4" w:rsidRPr="00FC564B">
        <w:rPr>
          <w:rFonts w:ascii="Arial" w:hAnsi="Arial" w:cs="Arial"/>
          <w:sz w:val="20"/>
          <w:szCs w:val="20"/>
        </w:rPr>
        <w:t xml:space="preserve"> implementation of all </w:t>
      </w:r>
      <w:r w:rsidR="007B37D5" w:rsidRPr="00FC564B">
        <w:rPr>
          <w:rFonts w:ascii="Arial" w:hAnsi="Arial" w:cs="Arial"/>
          <w:sz w:val="20"/>
          <w:szCs w:val="20"/>
        </w:rPr>
        <w:t xml:space="preserve">remedial actions </w:t>
      </w:r>
      <w:r w:rsidR="00EF1053" w:rsidRPr="00FC564B">
        <w:rPr>
          <w:rFonts w:ascii="Arial" w:hAnsi="Arial" w:cs="Arial"/>
          <w:sz w:val="20"/>
          <w:szCs w:val="20"/>
        </w:rPr>
        <w:t>outlined to</w:t>
      </w:r>
      <w:r w:rsidR="00AA35F4" w:rsidRPr="00FC564B">
        <w:rPr>
          <w:rFonts w:ascii="Arial" w:hAnsi="Arial" w:cs="Arial"/>
          <w:sz w:val="20"/>
          <w:szCs w:val="20"/>
        </w:rPr>
        <w:t xml:space="preserve"> the </w:t>
      </w:r>
      <w:r w:rsidR="00F8446B" w:rsidRPr="00FC564B">
        <w:rPr>
          <w:rFonts w:ascii="Arial" w:hAnsi="Arial" w:cs="Arial"/>
          <w:sz w:val="20"/>
          <w:szCs w:val="20"/>
        </w:rPr>
        <w:t>Committee</w:t>
      </w:r>
      <w:r w:rsidR="00817F2F" w:rsidRPr="00FC564B">
        <w:rPr>
          <w:rFonts w:ascii="Arial" w:hAnsi="Arial" w:cs="Arial"/>
          <w:sz w:val="20"/>
          <w:szCs w:val="20"/>
        </w:rPr>
        <w:t>,</w:t>
      </w:r>
      <w:r w:rsidR="00F8446B" w:rsidRPr="00FC564B">
        <w:rPr>
          <w:rFonts w:ascii="Arial" w:hAnsi="Arial" w:cs="Arial"/>
          <w:sz w:val="20"/>
          <w:szCs w:val="20"/>
        </w:rPr>
        <w:t xml:space="preserve"> including </w:t>
      </w:r>
      <w:r w:rsidR="00817F2F" w:rsidRPr="00FC564B">
        <w:rPr>
          <w:rFonts w:ascii="Arial" w:hAnsi="Arial" w:cs="Arial"/>
          <w:sz w:val="20"/>
          <w:szCs w:val="20"/>
        </w:rPr>
        <w:t xml:space="preserve">addressing </w:t>
      </w:r>
      <w:r w:rsidR="00F8446B" w:rsidRPr="00FC564B">
        <w:rPr>
          <w:rFonts w:ascii="Arial" w:hAnsi="Arial" w:cs="Arial"/>
          <w:sz w:val="20"/>
          <w:szCs w:val="20"/>
        </w:rPr>
        <w:t xml:space="preserve">delays in </w:t>
      </w:r>
      <w:r w:rsidR="00B755B6" w:rsidRPr="00FC564B">
        <w:rPr>
          <w:rFonts w:ascii="Arial" w:hAnsi="Arial" w:cs="Arial"/>
          <w:sz w:val="20"/>
          <w:szCs w:val="20"/>
        </w:rPr>
        <w:t xml:space="preserve">the </w:t>
      </w:r>
      <w:r w:rsidR="00F8446B" w:rsidRPr="00FC564B">
        <w:rPr>
          <w:rFonts w:ascii="Arial" w:hAnsi="Arial" w:cs="Arial"/>
          <w:sz w:val="20"/>
          <w:szCs w:val="20"/>
        </w:rPr>
        <w:t>procurement processes</w:t>
      </w:r>
      <w:r w:rsidR="00817F2F" w:rsidRPr="00FC564B">
        <w:rPr>
          <w:rFonts w:ascii="Arial" w:hAnsi="Arial" w:cs="Arial"/>
          <w:sz w:val="20"/>
          <w:szCs w:val="20"/>
        </w:rPr>
        <w:t>;</w:t>
      </w:r>
      <w:r w:rsidR="00C57855" w:rsidRPr="00FC564B">
        <w:rPr>
          <w:rFonts w:ascii="Arial" w:hAnsi="Arial" w:cs="Arial"/>
          <w:sz w:val="20"/>
          <w:szCs w:val="20"/>
        </w:rPr>
        <w:t xml:space="preserve"> </w:t>
      </w:r>
      <w:r w:rsidR="00A805D4" w:rsidRPr="00FC564B">
        <w:rPr>
          <w:rFonts w:ascii="Arial" w:hAnsi="Arial" w:cs="Arial"/>
          <w:sz w:val="20"/>
          <w:szCs w:val="20"/>
        </w:rPr>
        <w:t xml:space="preserve">late </w:t>
      </w:r>
      <w:r w:rsidR="00C57855" w:rsidRPr="00FC564B">
        <w:rPr>
          <w:rFonts w:ascii="Arial" w:hAnsi="Arial" w:cs="Arial"/>
          <w:sz w:val="20"/>
          <w:szCs w:val="20"/>
        </w:rPr>
        <w:t>signing of service level agreements (SLAs)</w:t>
      </w:r>
      <w:r w:rsidR="009817C8" w:rsidRPr="00FC564B">
        <w:rPr>
          <w:rFonts w:ascii="Arial" w:hAnsi="Arial" w:cs="Arial"/>
          <w:sz w:val="20"/>
          <w:szCs w:val="20"/>
        </w:rPr>
        <w:t xml:space="preserve"> and </w:t>
      </w:r>
      <w:r w:rsidR="00F3742B" w:rsidRPr="00FC564B">
        <w:rPr>
          <w:rFonts w:ascii="Arial" w:hAnsi="Arial" w:cs="Arial"/>
          <w:sz w:val="20"/>
          <w:szCs w:val="20"/>
        </w:rPr>
        <w:t xml:space="preserve">late </w:t>
      </w:r>
      <w:r w:rsidR="009817C8" w:rsidRPr="00FC564B">
        <w:rPr>
          <w:rFonts w:ascii="Arial" w:hAnsi="Arial" w:cs="Arial"/>
          <w:sz w:val="20"/>
          <w:szCs w:val="20"/>
        </w:rPr>
        <w:t>p</w:t>
      </w:r>
      <w:r w:rsidR="00817F2F" w:rsidRPr="00FC564B">
        <w:rPr>
          <w:rFonts w:ascii="Arial" w:hAnsi="Arial" w:cs="Arial"/>
          <w:sz w:val="20"/>
          <w:szCs w:val="20"/>
        </w:rPr>
        <w:t>ayment of implementing agencies;</w:t>
      </w:r>
      <w:r w:rsidR="005D321B" w:rsidRPr="00FC564B">
        <w:rPr>
          <w:rFonts w:ascii="Arial" w:hAnsi="Arial" w:cs="Arial"/>
          <w:sz w:val="20"/>
          <w:szCs w:val="20"/>
        </w:rPr>
        <w:t xml:space="preserve"> to improve </w:t>
      </w:r>
      <w:r w:rsidR="00817F2F" w:rsidRPr="00FC564B">
        <w:rPr>
          <w:rFonts w:ascii="Arial" w:hAnsi="Arial" w:cs="Arial"/>
          <w:sz w:val="20"/>
          <w:szCs w:val="20"/>
        </w:rPr>
        <w:t>the</w:t>
      </w:r>
      <w:r w:rsidR="005D321B" w:rsidRPr="00FC564B">
        <w:rPr>
          <w:rFonts w:ascii="Arial" w:hAnsi="Arial" w:cs="Arial"/>
          <w:sz w:val="20"/>
          <w:szCs w:val="20"/>
        </w:rPr>
        <w:t xml:space="preserve"> Grant expenditure</w:t>
      </w:r>
      <w:r w:rsidR="00F8446B" w:rsidRPr="00FC564B">
        <w:rPr>
          <w:rFonts w:ascii="Arial" w:hAnsi="Arial" w:cs="Arial"/>
          <w:sz w:val="20"/>
          <w:szCs w:val="20"/>
        </w:rPr>
        <w:t xml:space="preserve"> and performance</w:t>
      </w:r>
      <w:r w:rsidR="002A4572" w:rsidRPr="00FC564B">
        <w:rPr>
          <w:rFonts w:ascii="Arial" w:hAnsi="Arial" w:cs="Arial"/>
          <w:sz w:val="20"/>
          <w:szCs w:val="20"/>
        </w:rPr>
        <w:t xml:space="preserve">. The Committee is of the view that </w:t>
      </w:r>
      <w:r w:rsidR="00416F8A" w:rsidRPr="00FC564B">
        <w:rPr>
          <w:rFonts w:ascii="Arial" w:hAnsi="Arial" w:cs="Arial"/>
          <w:sz w:val="20"/>
          <w:szCs w:val="20"/>
        </w:rPr>
        <w:t xml:space="preserve">the persistent </w:t>
      </w:r>
      <w:r w:rsidR="002A4572" w:rsidRPr="00FC564B">
        <w:rPr>
          <w:rFonts w:ascii="Arial" w:hAnsi="Arial" w:cs="Arial"/>
          <w:sz w:val="20"/>
          <w:szCs w:val="20"/>
        </w:rPr>
        <w:t>un</w:t>
      </w:r>
      <w:r w:rsidR="001E56EF" w:rsidRPr="00FC564B">
        <w:rPr>
          <w:rFonts w:ascii="Arial" w:hAnsi="Arial" w:cs="Arial"/>
          <w:sz w:val="20"/>
          <w:szCs w:val="20"/>
        </w:rPr>
        <w:t>der-</w:t>
      </w:r>
      <w:r w:rsidR="00AD61BE" w:rsidRPr="00FC564B">
        <w:rPr>
          <w:rFonts w:ascii="Arial" w:hAnsi="Arial" w:cs="Arial"/>
          <w:sz w:val="20"/>
          <w:szCs w:val="20"/>
        </w:rPr>
        <w:t>expenditure and returning</w:t>
      </w:r>
      <w:r w:rsidR="002A4572" w:rsidRPr="00FC564B">
        <w:rPr>
          <w:rFonts w:ascii="Arial" w:hAnsi="Arial" w:cs="Arial"/>
          <w:sz w:val="20"/>
          <w:szCs w:val="20"/>
        </w:rPr>
        <w:t xml:space="preserve"> </w:t>
      </w:r>
      <w:r w:rsidR="00BD3A9E" w:rsidRPr="00FC564B">
        <w:rPr>
          <w:rFonts w:ascii="Arial" w:hAnsi="Arial" w:cs="Arial"/>
          <w:sz w:val="20"/>
          <w:szCs w:val="20"/>
        </w:rPr>
        <w:t>of funds back</w:t>
      </w:r>
      <w:r w:rsidR="002A4572" w:rsidRPr="00FC564B">
        <w:rPr>
          <w:rFonts w:ascii="Arial" w:hAnsi="Arial" w:cs="Arial"/>
          <w:sz w:val="20"/>
          <w:szCs w:val="20"/>
        </w:rPr>
        <w:t xml:space="preserve"> to the </w:t>
      </w:r>
      <w:r w:rsidR="001E56EF" w:rsidRPr="00FC564B">
        <w:rPr>
          <w:rFonts w:ascii="Arial" w:hAnsi="Arial" w:cs="Arial"/>
          <w:sz w:val="20"/>
          <w:szCs w:val="20"/>
        </w:rPr>
        <w:t>National Revenue Fund,</w:t>
      </w:r>
      <w:r w:rsidR="002A4572" w:rsidRPr="00FC564B">
        <w:rPr>
          <w:rFonts w:ascii="Arial" w:hAnsi="Arial" w:cs="Arial"/>
          <w:sz w:val="20"/>
          <w:szCs w:val="20"/>
        </w:rPr>
        <w:t xml:space="preserve"> </w:t>
      </w:r>
      <w:r w:rsidR="00BD3A9E" w:rsidRPr="00FC564B">
        <w:rPr>
          <w:rFonts w:ascii="Arial" w:hAnsi="Arial" w:cs="Arial"/>
          <w:sz w:val="20"/>
          <w:szCs w:val="20"/>
        </w:rPr>
        <w:t>due to fai</w:t>
      </w:r>
      <w:r w:rsidR="00C60FF7" w:rsidRPr="00FC564B">
        <w:rPr>
          <w:rFonts w:ascii="Arial" w:hAnsi="Arial" w:cs="Arial"/>
          <w:sz w:val="20"/>
          <w:szCs w:val="20"/>
        </w:rPr>
        <w:t>l</w:t>
      </w:r>
      <w:r w:rsidR="001E56EF" w:rsidRPr="00FC564B">
        <w:rPr>
          <w:rFonts w:ascii="Arial" w:hAnsi="Arial" w:cs="Arial"/>
          <w:sz w:val="20"/>
          <w:szCs w:val="20"/>
        </w:rPr>
        <w:t>ure</w:t>
      </w:r>
      <w:r w:rsidR="00C60FF7" w:rsidRPr="00FC564B">
        <w:rPr>
          <w:rFonts w:ascii="Arial" w:hAnsi="Arial" w:cs="Arial"/>
          <w:sz w:val="20"/>
          <w:szCs w:val="20"/>
        </w:rPr>
        <w:t xml:space="preserve"> to s</w:t>
      </w:r>
      <w:r w:rsidR="00226C92" w:rsidRPr="00FC564B">
        <w:rPr>
          <w:rFonts w:ascii="Arial" w:hAnsi="Arial" w:cs="Arial"/>
          <w:sz w:val="20"/>
          <w:szCs w:val="20"/>
        </w:rPr>
        <w:t>pend according to projections</w:t>
      </w:r>
      <w:r w:rsidR="001E56EF" w:rsidRPr="00FC564B">
        <w:rPr>
          <w:rFonts w:ascii="Arial" w:hAnsi="Arial" w:cs="Arial"/>
          <w:sz w:val="20"/>
          <w:szCs w:val="20"/>
        </w:rPr>
        <w:t>,</w:t>
      </w:r>
      <w:r w:rsidR="00BD3A9E" w:rsidRPr="00FC564B">
        <w:rPr>
          <w:rFonts w:ascii="Arial" w:hAnsi="Arial" w:cs="Arial"/>
          <w:sz w:val="20"/>
          <w:szCs w:val="20"/>
        </w:rPr>
        <w:t xml:space="preserve"> is</w:t>
      </w:r>
      <w:r w:rsidR="002A4572" w:rsidRPr="00FC564B">
        <w:rPr>
          <w:rFonts w:ascii="Arial" w:hAnsi="Arial" w:cs="Arial"/>
          <w:sz w:val="20"/>
          <w:szCs w:val="20"/>
        </w:rPr>
        <w:t xml:space="preserve"> </w:t>
      </w:r>
      <w:r w:rsidR="001E56EF" w:rsidRPr="00FC564B">
        <w:rPr>
          <w:rFonts w:ascii="Arial" w:hAnsi="Arial" w:cs="Arial"/>
          <w:sz w:val="20"/>
          <w:szCs w:val="20"/>
        </w:rPr>
        <w:t>un</w:t>
      </w:r>
      <w:r w:rsidR="002A4572" w:rsidRPr="00FC564B">
        <w:rPr>
          <w:rFonts w:ascii="Arial" w:hAnsi="Arial" w:cs="Arial"/>
          <w:sz w:val="20"/>
          <w:szCs w:val="20"/>
        </w:rPr>
        <w:t>acceptable</w:t>
      </w:r>
      <w:r w:rsidR="00B03BE0" w:rsidRPr="00FC564B">
        <w:rPr>
          <w:rFonts w:ascii="Arial" w:hAnsi="Arial" w:cs="Arial"/>
          <w:sz w:val="20"/>
          <w:szCs w:val="20"/>
        </w:rPr>
        <w:t xml:space="preserve"> </w:t>
      </w:r>
      <w:r w:rsidR="00B228B0" w:rsidRPr="00FC564B">
        <w:rPr>
          <w:rFonts w:ascii="Arial" w:hAnsi="Arial" w:cs="Arial"/>
          <w:sz w:val="20"/>
          <w:szCs w:val="20"/>
        </w:rPr>
        <w:t xml:space="preserve">and continues to </w:t>
      </w:r>
      <w:r w:rsidR="00B03BE0" w:rsidRPr="00FC564B">
        <w:rPr>
          <w:rFonts w:ascii="Arial" w:hAnsi="Arial" w:cs="Arial"/>
          <w:sz w:val="20"/>
          <w:szCs w:val="20"/>
        </w:rPr>
        <w:t>un</w:t>
      </w:r>
      <w:r w:rsidR="00B228B0" w:rsidRPr="00FC564B">
        <w:rPr>
          <w:rFonts w:ascii="Arial" w:hAnsi="Arial" w:cs="Arial"/>
          <w:sz w:val="20"/>
          <w:szCs w:val="20"/>
        </w:rPr>
        <w:t>dermine</w:t>
      </w:r>
      <w:r w:rsidR="00470455" w:rsidRPr="00FC564B">
        <w:rPr>
          <w:rFonts w:ascii="Arial" w:hAnsi="Arial" w:cs="Arial"/>
          <w:sz w:val="20"/>
          <w:szCs w:val="20"/>
        </w:rPr>
        <w:t xml:space="preserve"> the </w:t>
      </w:r>
      <w:r w:rsidR="008301DC" w:rsidRPr="00FC564B">
        <w:rPr>
          <w:rFonts w:ascii="Arial" w:hAnsi="Arial" w:cs="Arial"/>
          <w:sz w:val="20"/>
          <w:szCs w:val="20"/>
        </w:rPr>
        <w:t xml:space="preserve">collective </w:t>
      </w:r>
      <w:r w:rsidR="00470455" w:rsidRPr="00FC564B">
        <w:rPr>
          <w:rFonts w:ascii="Arial" w:hAnsi="Arial" w:cs="Arial"/>
          <w:sz w:val="20"/>
          <w:szCs w:val="20"/>
        </w:rPr>
        <w:t>effort</w:t>
      </w:r>
      <w:r w:rsidR="008301DC" w:rsidRPr="00FC564B">
        <w:rPr>
          <w:rFonts w:ascii="Arial" w:hAnsi="Arial" w:cs="Arial"/>
          <w:sz w:val="20"/>
          <w:szCs w:val="20"/>
        </w:rPr>
        <w:t>s</w:t>
      </w:r>
      <w:r w:rsidR="00470455" w:rsidRPr="00FC564B">
        <w:rPr>
          <w:rFonts w:ascii="Arial" w:hAnsi="Arial" w:cs="Arial"/>
          <w:sz w:val="20"/>
          <w:szCs w:val="20"/>
        </w:rPr>
        <w:t xml:space="preserve"> to</w:t>
      </w:r>
      <w:r w:rsidR="00B03BE0" w:rsidRPr="00FC564B">
        <w:rPr>
          <w:rFonts w:ascii="Arial" w:hAnsi="Arial" w:cs="Arial"/>
          <w:sz w:val="20"/>
          <w:szCs w:val="20"/>
        </w:rPr>
        <w:t xml:space="preserve"> intensify </w:t>
      </w:r>
      <w:r w:rsidR="000A1427" w:rsidRPr="00FC564B">
        <w:rPr>
          <w:rFonts w:ascii="Arial" w:hAnsi="Arial" w:cs="Arial"/>
          <w:sz w:val="20"/>
          <w:szCs w:val="20"/>
        </w:rPr>
        <w:t xml:space="preserve">investment </w:t>
      </w:r>
      <w:r w:rsidR="008301DC" w:rsidRPr="00FC564B">
        <w:rPr>
          <w:rFonts w:ascii="Arial" w:hAnsi="Arial" w:cs="Arial"/>
          <w:sz w:val="20"/>
          <w:szCs w:val="20"/>
        </w:rPr>
        <w:t xml:space="preserve">of resources </w:t>
      </w:r>
      <w:r w:rsidR="000A1427" w:rsidRPr="00FC564B">
        <w:rPr>
          <w:rFonts w:ascii="Arial" w:hAnsi="Arial" w:cs="Arial"/>
          <w:sz w:val="20"/>
          <w:szCs w:val="20"/>
        </w:rPr>
        <w:t>in</w:t>
      </w:r>
      <w:r w:rsidR="00B03BE0" w:rsidRPr="00FC564B">
        <w:rPr>
          <w:rFonts w:ascii="Arial" w:hAnsi="Arial" w:cs="Arial"/>
          <w:sz w:val="20"/>
          <w:szCs w:val="20"/>
        </w:rPr>
        <w:t xml:space="preserve"> the early stages of education.</w:t>
      </w:r>
      <w:r w:rsidR="007E10BA" w:rsidRPr="00FC564B">
        <w:rPr>
          <w:rFonts w:ascii="Arial" w:hAnsi="Arial" w:cs="Arial"/>
          <w:sz w:val="20"/>
          <w:szCs w:val="20"/>
        </w:rPr>
        <w:t xml:space="preserve"> </w:t>
      </w:r>
      <w:r w:rsidR="008301DC" w:rsidRPr="00FC564B">
        <w:rPr>
          <w:rFonts w:ascii="Arial" w:hAnsi="Arial" w:cs="Arial"/>
          <w:sz w:val="20"/>
          <w:szCs w:val="20"/>
        </w:rPr>
        <w:t xml:space="preserve"> </w:t>
      </w:r>
      <w:r w:rsidR="00B03BE0" w:rsidRPr="00FC564B">
        <w:rPr>
          <w:rFonts w:ascii="Arial" w:hAnsi="Arial" w:cs="Arial"/>
          <w:sz w:val="20"/>
          <w:szCs w:val="20"/>
        </w:rPr>
        <w:t xml:space="preserve"> </w:t>
      </w:r>
      <w:r w:rsidR="00C22FE4" w:rsidRPr="00FC564B">
        <w:rPr>
          <w:rFonts w:ascii="Arial" w:hAnsi="Arial" w:cs="Arial"/>
          <w:sz w:val="20"/>
          <w:szCs w:val="20"/>
        </w:rPr>
        <w:t xml:space="preserve"> </w:t>
      </w:r>
      <w:r w:rsidR="002C6E7C" w:rsidRPr="00FC564B">
        <w:rPr>
          <w:rFonts w:ascii="Arial" w:hAnsi="Arial" w:cs="Arial"/>
          <w:sz w:val="20"/>
          <w:szCs w:val="20"/>
        </w:rPr>
        <w:t xml:space="preserve"> </w:t>
      </w:r>
    </w:p>
    <w:p w:rsidR="002A4572" w:rsidRPr="00FC564B" w:rsidRDefault="002A4572" w:rsidP="00FC564B">
      <w:pPr>
        <w:pStyle w:val="ListParagraph"/>
        <w:rPr>
          <w:rFonts w:ascii="Arial" w:hAnsi="Arial" w:cs="Arial"/>
          <w:sz w:val="20"/>
          <w:szCs w:val="20"/>
        </w:rPr>
      </w:pPr>
    </w:p>
    <w:p w:rsidR="008B550F" w:rsidRPr="00FC564B" w:rsidRDefault="008B550F" w:rsidP="00FC564B">
      <w:pPr>
        <w:pStyle w:val="ListParagraph"/>
        <w:numPr>
          <w:ilvl w:val="1"/>
          <w:numId w:val="11"/>
        </w:numPr>
        <w:rPr>
          <w:rFonts w:ascii="Arial" w:hAnsi="Arial" w:cs="Arial"/>
          <w:sz w:val="20"/>
          <w:szCs w:val="20"/>
        </w:rPr>
      </w:pPr>
      <w:r w:rsidRPr="00FC564B">
        <w:rPr>
          <w:rFonts w:ascii="Arial" w:hAnsi="Arial" w:cs="Arial"/>
          <w:sz w:val="20"/>
          <w:szCs w:val="20"/>
        </w:rPr>
        <w:t xml:space="preserve">The Committee </w:t>
      </w:r>
      <w:r w:rsidR="00F25A90" w:rsidRPr="00FC564B">
        <w:rPr>
          <w:rFonts w:ascii="Arial" w:hAnsi="Arial" w:cs="Arial"/>
          <w:sz w:val="20"/>
          <w:szCs w:val="20"/>
        </w:rPr>
        <w:t xml:space="preserve">urges both </w:t>
      </w:r>
      <w:r w:rsidR="00B52A0B" w:rsidRPr="00FC564B">
        <w:rPr>
          <w:rFonts w:ascii="Arial" w:hAnsi="Arial" w:cs="Arial"/>
          <w:sz w:val="20"/>
          <w:szCs w:val="20"/>
        </w:rPr>
        <w:t>the Department of Basic Education (</w:t>
      </w:r>
      <w:r w:rsidR="00F25A90" w:rsidRPr="00FC564B">
        <w:rPr>
          <w:rFonts w:ascii="Arial" w:hAnsi="Arial" w:cs="Arial"/>
          <w:sz w:val="20"/>
          <w:szCs w:val="20"/>
        </w:rPr>
        <w:t>DBE</w:t>
      </w:r>
      <w:r w:rsidR="00B52A0B" w:rsidRPr="00FC564B">
        <w:rPr>
          <w:rFonts w:ascii="Arial" w:hAnsi="Arial" w:cs="Arial"/>
          <w:sz w:val="20"/>
          <w:szCs w:val="20"/>
        </w:rPr>
        <w:t>)</w:t>
      </w:r>
      <w:r w:rsidR="00F25A90" w:rsidRPr="00FC564B">
        <w:rPr>
          <w:rFonts w:ascii="Arial" w:hAnsi="Arial" w:cs="Arial"/>
          <w:sz w:val="20"/>
          <w:szCs w:val="20"/>
        </w:rPr>
        <w:t xml:space="preserve"> and</w:t>
      </w:r>
      <w:r w:rsidR="00B52A0B" w:rsidRPr="00FC564B">
        <w:rPr>
          <w:rFonts w:ascii="Arial" w:hAnsi="Arial" w:cs="Arial"/>
          <w:sz w:val="20"/>
          <w:szCs w:val="20"/>
        </w:rPr>
        <w:t xml:space="preserve"> the Department of Social Development (</w:t>
      </w:r>
      <w:r w:rsidR="00F25A90" w:rsidRPr="00FC564B">
        <w:rPr>
          <w:rFonts w:ascii="Arial" w:hAnsi="Arial" w:cs="Arial"/>
          <w:sz w:val="20"/>
          <w:szCs w:val="20"/>
        </w:rPr>
        <w:t>DSD</w:t>
      </w:r>
      <w:r w:rsidR="00B52A0B" w:rsidRPr="00FC564B">
        <w:rPr>
          <w:rFonts w:ascii="Arial" w:hAnsi="Arial" w:cs="Arial"/>
          <w:sz w:val="20"/>
          <w:szCs w:val="20"/>
        </w:rPr>
        <w:t>)</w:t>
      </w:r>
      <w:r w:rsidR="00F25A90" w:rsidRPr="00FC564B">
        <w:rPr>
          <w:rFonts w:ascii="Arial" w:hAnsi="Arial" w:cs="Arial"/>
          <w:sz w:val="20"/>
          <w:szCs w:val="20"/>
        </w:rPr>
        <w:t xml:space="preserve"> to continue wor</w:t>
      </w:r>
      <w:r w:rsidR="002967FA" w:rsidRPr="00FC564B">
        <w:rPr>
          <w:rFonts w:ascii="Arial" w:hAnsi="Arial" w:cs="Arial"/>
          <w:sz w:val="20"/>
          <w:szCs w:val="20"/>
        </w:rPr>
        <w:t xml:space="preserve">king together to ensure </w:t>
      </w:r>
      <w:r w:rsidR="00F25A90" w:rsidRPr="00FC564B">
        <w:rPr>
          <w:rFonts w:ascii="Arial" w:hAnsi="Arial" w:cs="Arial"/>
          <w:sz w:val="20"/>
          <w:szCs w:val="20"/>
        </w:rPr>
        <w:t>th</w:t>
      </w:r>
      <w:r w:rsidR="00856E51" w:rsidRPr="00FC564B">
        <w:rPr>
          <w:rFonts w:ascii="Arial" w:hAnsi="Arial" w:cs="Arial"/>
          <w:sz w:val="20"/>
          <w:szCs w:val="20"/>
        </w:rPr>
        <w:t>e smooth transition of the ECD P</w:t>
      </w:r>
      <w:r w:rsidR="00F25A90" w:rsidRPr="00FC564B">
        <w:rPr>
          <w:rFonts w:ascii="Arial" w:hAnsi="Arial" w:cs="Arial"/>
          <w:sz w:val="20"/>
          <w:szCs w:val="20"/>
        </w:rPr>
        <w:t>rogramme from</w:t>
      </w:r>
      <w:r w:rsidR="002967FA" w:rsidRPr="00FC564B">
        <w:rPr>
          <w:rFonts w:ascii="Arial" w:hAnsi="Arial" w:cs="Arial"/>
          <w:sz w:val="20"/>
          <w:szCs w:val="20"/>
        </w:rPr>
        <w:t xml:space="preserve"> the</w:t>
      </w:r>
      <w:r w:rsidR="00F25A90" w:rsidRPr="00FC564B">
        <w:rPr>
          <w:rFonts w:ascii="Arial" w:hAnsi="Arial" w:cs="Arial"/>
          <w:sz w:val="20"/>
          <w:szCs w:val="20"/>
        </w:rPr>
        <w:t xml:space="preserve"> DSD to </w:t>
      </w:r>
      <w:r w:rsidR="002967FA" w:rsidRPr="00FC564B">
        <w:rPr>
          <w:rFonts w:ascii="Arial" w:hAnsi="Arial" w:cs="Arial"/>
          <w:sz w:val="20"/>
          <w:szCs w:val="20"/>
        </w:rPr>
        <w:t xml:space="preserve">the </w:t>
      </w:r>
      <w:r w:rsidR="00F25A90" w:rsidRPr="00FC564B">
        <w:rPr>
          <w:rFonts w:ascii="Arial" w:hAnsi="Arial" w:cs="Arial"/>
          <w:sz w:val="20"/>
          <w:szCs w:val="20"/>
        </w:rPr>
        <w:t xml:space="preserve">DBE. </w:t>
      </w:r>
      <w:r w:rsidR="00AF4EE2" w:rsidRPr="00FC564B">
        <w:rPr>
          <w:rFonts w:ascii="Arial" w:hAnsi="Arial" w:cs="Arial"/>
          <w:sz w:val="20"/>
          <w:szCs w:val="20"/>
        </w:rPr>
        <w:t>The Committee further recommends that</w:t>
      </w:r>
      <w:r w:rsidR="004E574B" w:rsidRPr="00FC564B">
        <w:rPr>
          <w:rFonts w:ascii="Arial" w:hAnsi="Arial" w:cs="Arial"/>
          <w:sz w:val="20"/>
          <w:szCs w:val="20"/>
        </w:rPr>
        <w:t>,</w:t>
      </w:r>
      <w:r w:rsidR="00AF4EE2" w:rsidRPr="00FC564B">
        <w:rPr>
          <w:rFonts w:ascii="Arial" w:hAnsi="Arial" w:cs="Arial"/>
          <w:sz w:val="20"/>
          <w:szCs w:val="20"/>
        </w:rPr>
        <w:t xml:space="preserve"> </w:t>
      </w:r>
      <w:r w:rsidR="00CF00AF" w:rsidRPr="00FC564B">
        <w:rPr>
          <w:rFonts w:ascii="Arial" w:hAnsi="Arial" w:cs="Arial"/>
          <w:sz w:val="20"/>
          <w:szCs w:val="20"/>
        </w:rPr>
        <w:t>before t</w:t>
      </w:r>
      <w:r w:rsidR="00C029CE" w:rsidRPr="00FC564B">
        <w:rPr>
          <w:rFonts w:ascii="Arial" w:hAnsi="Arial" w:cs="Arial"/>
          <w:sz w:val="20"/>
          <w:szCs w:val="20"/>
        </w:rPr>
        <w:t>he handover process is finalised</w:t>
      </w:r>
      <w:r w:rsidR="00CF00AF" w:rsidRPr="00FC564B">
        <w:rPr>
          <w:rFonts w:ascii="Arial" w:hAnsi="Arial" w:cs="Arial"/>
          <w:sz w:val="20"/>
          <w:szCs w:val="20"/>
        </w:rPr>
        <w:t xml:space="preserve">, </w:t>
      </w:r>
      <w:r w:rsidR="00AF4EE2" w:rsidRPr="00FC564B">
        <w:rPr>
          <w:rFonts w:ascii="Arial" w:hAnsi="Arial" w:cs="Arial"/>
          <w:sz w:val="20"/>
          <w:szCs w:val="20"/>
        </w:rPr>
        <w:t>the DSD should compile a det</w:t>
      </w:r>
      <w:r w:rsidR="00794BED" w:rsidRPr="00FC564B">
        <w:rPr>
          <w:rFonts w:ascii="Arial" w:hAnsi="Arial" w:cs="Arial"/>
          <w:sz w:val="20"/>
          <w:szCs w:val="20"/>
        </w:rPr>
        <w:t>ailed and thorough</w:t>
      </w:r>
      <w:r w:rsidR="006A7B9C" w:rsidRPr="00FC564B">
        <w:rPr>
          <w:rFonts w:ascii="Arial" w:hAnsi="Arial" w:cs="Arial"/>
          <w:sz w:val="20"/>
          <w:szCs w:val="20"/>
        </w:rPr>
        <w:t xml:space="preserve"> </w:t>
      </w:r>
      <w:r w:rsidR="00AF4EE2" w:rsidRPr="00FC564B">
        <w:rPr>
          <w:rFonts w:ascii="Arial" w:hAnsi="Arial" w:cs="Arial"/>
          <w:sz w:val="20"/>
          <w:szCs w:val="20"/>
        </w:rPr>
        <w:t>report</w:t>
      </w:r>
      <w:r w:rsidR="007E489B" w:rsidRPr="00FC564B">
        <w:rPr>
          <w:rFonts w:ascii="Arial" w:hAnsi="Arial" w:cs="Arial"/>
          <w:sz w:val="20"/>
          <w:szCs w:val="20"/>
        </w:rPr>
        <w:t xml:space="preserve"> to </w:t>
      </w:r>
      <w:r w:rsidR="00A357D9" w:rsidRPr="00FC564B">
        <w:rPr>
          <w:rFonts w:ascii="Arial" w:hAnsi="Arial" w:cs="Arial"/>
          <w:sz w:val="20"/>
          <w:szCs w:val="20"/>
        </w:rPr>
        <w:t xml:space="preserve">further </w:t>
      </w:r>
      <w:r w:rsidR="007E489B" w:rsidRPr="00FC564B">
        <w:rPr>
          <w:rFonts w:ascii="Arial" w:hAnsi="Arial" w:cs="Arial"/>
          <w:sz w:val="20"/>
          <w:szCs w:val="20"/>
        </w:rPr>
        <w:t>assist</w:t>
      </w:r>
      <w:r w:rsidR="00CE299A" w:rsidRPr="00FC564B">
        <w:rPr>
          <w:rFonts w:ascii="Arial" w:hAnsi="Arial" w:cs="Arial"/>
          <w:sz w:val="20"/>
          <w:szCs w:val="20"/>
        </w:rPr>
        <w:t xml:space="preserve"> the</w:t>
      </w:r>
      <w:r w:rsidR="00AF4EE2" w:rsidRPr="00FC564B">
        <w:rPr>
          <w:rFonts w:ascii="Arial" w:hAnsi="Arial" w:cs="Arial"/>
          <w:sz w:val="20"/>
          <w:szCs w:val="20"/>
        </w:rPr>
        <w:t xml:space="preserve"> DBE to address some of the </w:t>
      </w:r>
      <w:r w:rsidR="004E574B" w:rsidRPr="00FC564B">
        <w:rPr>
          <w:rFonts w:ascii="Arial" w:hAnsi="Arial" w:cs="Arial"/>
          <w:sz w:val="20"/>
          <w:szCs w:val="20"/>
        </w:rPr>
        <w:t xml:space="preserve">pertinent challenges, including </w:t>
      </w:r>
      <w:r w:rsidR="00E615E1" w:rsidRPr="00FC564B">
        <w:rPr>
          <w:rFonts w:ascii="Arial" w:hAnsi="Arial" w:cs="Arial"/>
          <w:sz w:val="20"/>
          <w:szCs w:val="20"/>
        </w:rPr>
        <w:t xml:space="preserve">around </w:t>
      </w:r>
      <w:r w:rsidR="00C012A3" w:rsidRPr="00FC564B">
        <w:rPr>
          <w:rFonts w:ascii="Arial" w:hAnsi="Arial" w:cs="Arial"/>
          <w:sz w:val="20"/>
          <w:szCs w:val="20"/>
        </w:rPr>
        <w:t>infrastructure delivery and contract management</w:t>
      </w:r>
      <w:r w:rsidR="00AF4EE2" w:rsidRPr="00FC564B">
        <w:rPr>
          <w:rFonts w:ascii="Arial" w:hAnsi="Arial" w:cs="Arial"/>
          <w:sz w:val="20"/>
          <w:szCs w:val="20"/>
        </w:rPr>
        <w:t>.</w:t>
      </w:r>
      <w:r w:rsidR="00FF78F8" w:rsidRPr="00FC564B">
        <w:rPr>
          <w:rFonts w:ascii="Arial" w:hAnsi="Arial" w:cs="Arial"/>
          <w:sz w:val="20"/>
          <w:szCs w:val="20"/>
        </w:rPr>
        <w:t xml:space="preserve"> </w:t>
      </w:r>
      <w:r w:rsidR="00CE299A" w:rsidRPr="00FC564B">
        <w:rPr>
          <w:rFonts w:ascii="Arial" w:hAnsi="Arial" w:cs="Arial"/>
          <w:sz w:val="20"/>
          <w:szCs w:val="20"/>
        </w:rPr>
        <w:t xml:space="preserve"> </w:t>
      </w:r>
      <w:r w:rsidR="00AF4EE2" w:rsidRPr="00FC564B">
        <w:rPr>
          <w:rFonts w:ascii="Arial" w:hAnsi="Arial" w:cs="Arial"/>
          <w:sz w:val="20"/>
          <w:szCs w:val="20"/>
        </w:rPr>
        <w:t xml:space="preserve">  </w:t>
      </w:r>
    </w:p>
    <w:p w:rsidR="008B550F" w:rsidRPr="00FC564B" w:rsidRDefault="008B550F" w:rsidP="00FC564B">
      <w:pPr>
        <w:pStyle w:val="ListParagraph"/>
        <w:rPr>
          <w:rFonts w:ascii="Arial" w:hAnsi="Arial" w:cs="Arial"/>
          <w:sz w:val="20"/>
          <w:szCs w:val="20"/>
        </w:rPr>
      </w:pPr>
    </w:p>
    <w:p w:rsidR="00590205" w:rsidRPr="00FC564B" w:rsidRDefault="008B550F" w:rsidP="00FC564B">
      <w:pPr>
        <w:pStyle w:val="ListParagraph"/>
        <w:numPr>
          <w:ilvl w:val="1"/>
          <w:numId w:val="11"/>
        </w:numPr>
        <w:rPr>
          <w:rFonts w:ascii="Arial" w:hAnsi="Arial" w:cs="Arial"/>
          <w:sz w:val="20"/>
          <w:szCs w:val="20"/>
        </w:rPr>
      </w:pPr>
      <w:r w:rsidRPr="00FC564B">
        <w:rPr>
          <w:rFonts w:ascii="Arial" w:hAnsi="Arial" w:cs="Arial"/>
          <w:sz w:val="20"/>
          <w:szCs w:val="20"/>
          <w:lang w:val="en-GB"/>
        </w:rPr>
        <w:t xml:space="preserve">The Committee </w:t>
      </w:r>
      <w:r w:rsidR="002E375C" w:rsidRPr="00FC564B">
        <w:rPr>
          <w:rFonts w:ascii="Arial" w:hAnsi="Arial" w:cs="Arial"/>
          <w:sz w:val="20"/>
          <w:szCs w:val="20"/>
          <w:lang w:val="en-GB"/>
        </w:rPr>
        <w:t xml:space="preserve">urges the </w:t>
      </w:r>
      <w:r w:rsidR="00556C79" w:rsidRPr="00FC564B">
        <w:rPr>
          <w:rFonts w:ascii="Arial" w:hAnsi="Arial" w:cs="Arial"/>
          <w:sz w:val="20"/>
          <w:szCs w:val="20"/>
          <w:lang w:val="en-GB"/>
        </w:rPr>
        <w:t>Department of Basic Education</w:t>
      </w:r>
      <w:r w:rsidR="00471C70" w:rsidRPr="00FC564B">
        <w:rPr>
          <w:rFonts w:ascii="Arial" w:hAnsi="Arial" w:cs="Arial"/>
          <w:sz w:val="20"/>
          <w:szCs w:val="20"/>
          <w:lang w:val="en-GB"/>
        </w:rPr>
        <w:t xml:space="preserve"> to </w:t>
      </w:r>
      <w:r w:rsidR="006E02EC" w:rsidRPr="00FC564B">
        <w:rPr>
          <w:rFonts w:ascii="Arial" w:hAnsi="Arial" w:cs="Arial"/>
          <w:sz w:val="20"/>
          <w:szCs w:val="20"/>
          <w:lang w:val="en-GB"/>
        </w:rPr>
        <w:t xml:space="preserve">continue </w:t>
      </w:r>
      <w:r w:rsidR="00471C70" w:rsidRPr="00FC564B">
        <w:rPr>
          <w:rFonts w:ascii="Arial" w:hAnsi="Arial" w:cs="Arial"/>
          <w:sz w:val="20"/>
          <w:szCs w:val="20"/>
          <w:lang w:val="en-GB"/>
        </w:rPr>
        <w:t xml:space="preserve">the implementation of </w:t>
      </w:r>
      <w:r w:rsidR="00D54EE9" w:rsidRPr="00FC564B">
        <w:rPr>
          <w:rFonts w:ascii="Arial" w:hAnsi="Arial" w:cs="Arial"/>
          <w:sz w:val="20"/>
          <w:szCs w:val="20"/>
          <w:lang w:val="en-GB"/>
        </w:rPr>
        <w:t xml:space="preserve">strict </w:t>
      </w:r>
      <w:r w:rsidR="009F03AF" w:rsidRPr="00FC564B">
        <w:rPr>
          <w:rFonts w:ascii="Arial" w:hAnsi="Arial" w:cs="Arial"/>
          <w:sz w:val="20"/>
          <w:szCs w:val="20"/>
          <w:lang w:val="en-GB"/>
        </w:rPr>
        <w:t>measures</w:t>
      </w:r>
      <w:r w:rsidRPr="00FC564B">
        <w:rPr>
          <w:rFonts w:ascii="Arial" w:hAnsi="Arial" w:cs="Arial"/>
          <w:sz w:val="20"/>
          <w:szCs w:val="20"/>
          <w:lang w:val="en-GB"/>
        </w:rPr>
        <w:t xml:space="preserve"> </w:t>
      </w:r>
      <w:r w:rsidR="00E73D04" w:rsidRPr="00FC564B">
        <w:rPr>
          <w:rFonts w:ascii="Arial" w:hAnsi="Arial" w:cs="Arial"/>
          <w:sz w:val="20"/>
          <w:szCs w:val="20"/>
          <w:lang w:val="en-GB"/>
        </w:rPr>
        <w:t>and mitigation systems</w:t>
      </w:r>
      <w:r w:rsidR="00CE20E5" w:rsidRPr="00FC564B">
        <w:rPr>
          <w:rFonts w:ascii="Arial" w:hAnsi="Arial" w:cs="Arial"/>
          <w:sz w:val="20"/>
          <w:szCs w:val="20"/>
          <w:lang w:val="en-GB"/>
        </w:rPr>
        <w:t>, p</w:t>
      </w:r>
      <w:r w:rsidRPr="00FC564B">
        <w:rPr>
          <w:rFonts w:ascii="Arial" w:hAnsi="Arial" w:cs="Arial"/>
          <w:sz w:val="20"/>
          <w:szCs w:val="20"/>
          <w:lang w:val="en-GB"/>
        </w:rPr>
        <w:t xml:space="preserve">ut in place by </w:t>
      </w:r>
      <w:r w:rsidR="00032781" w:rsidRPr="00FC564B">
        <w:rPr>
          <w:rFonts w:ascii="Arial" w:hAnsi="Arial" w:cs="Arial"/>
          <w:sz w:val="20"/>
          <w:szCs w:val="20"/>
          <w:lang w:val="en-GB"/>
        </w:rPr>
        <w:t xml:space="preserve">the </w:t>
      </w:r>
      <w:r w:rsidR="00556C79" w:rsidRPr="00FC564B">
        <w:rPr>
          <w:rFonts w:ascii="Arial" w:hAnsi="Arial" w:cs="Arial"/>
          <w:sz w:val="20"/>
          <w:szCs w:val="20"/>
          <w:lang w:val="en-GB"/>
        </w:rPr>
        <w:t>Department of Social Development</w:t>
      </w:r>
      <w:r w:rsidRPr="00FC564B">
        <w:rPr>
          <w:rFonts w:ascii="Arial" w:hAnsi="Arial" w:cs="Arial"/>
          <w:sz w:val="20"/>
          <w:szCs w:val="20"/>
          <w:lang w:val="en-GB"/>
        </w:rPr>
        <w:t xml:space="preserve"> for all provinces</w:t>
      </w:r>
      <w:r w:rsidR="00CE20E5" w:rsidRPr="00FC564B">
        <w:rPr>
          <w:rFonts w:ascii="Arial" w:hAnsi="Arial" w:cs="Arial"/>
          <w:sz w:val="20"/>
          <w:szCs w:val="20"/>
          <w:lang w:val="en-GB"/>
        </w:rPr>
        <w:t>,</w:t>
      </w:r>
      <w:r w:rsidRPr="00FC564B">
        <w:rPr>
          <w:rFonts w:ascii="Arial" w:hAnsi="Arial" w:cs="Arial"/>
          <w:sz w:val="20"/>
          <w:szCs w:val="20"/>
          <w:lang w:val="en-GB"/>
        </w:rPr>
        <w:t xml:space="preserve"> to ensure that monies</w:t>
      </w:r>
      <w:r w:rsidR="00662CEC" w:rsidRPr="00FC564B">
        <w:rPr>
          <w:rFonts w:ascii="Arial" w:hAnsi="Arial" w:cs="Arial"/>
          <w:sz w:val="20"/>
          <w:szCs w:val="20"/>
          <w:lang w:val="en-GB"/>
        </w:rPr>
        <w:t xml:space="preserve"> are consistently</w:t>
      </w:r>
      <w:r w:rsidR="00D95346" w:rsidRPr="00FC564B">
        <w:rPr>
          <w:rFonts w:ascii="Arial" w:hAnsi="Arial" w:cs="Arial"/>
          <w:sz w:val="20"/>
          <w:szCs w:val="20"/>
          <w:lang w:val="en-GB"/>
        </w:rPr>
        <w:t xml:space="preserve"> paid to the correct beneficiaries</w:t>
      </w:r>
      <w:r w:rsidRPr="00FC564B">
        <w:rPr>
          <w:rFonts w:ascii="Arial" w:hAnsi="Arial" w:cs="Arial"/>
          <w:sz w:val="20"/>
          <w:szCs w:val="20"/>
          <w:lang w:val="en-GB"/>
        </w:rPr>
        <w:t xml:space="preserve"> in line with the </w:t>
      </w:r>
      <w:r w:rsidR="00F044A9" w:rsidRPr="00FC564B">
        <w:rPr>
          <w:rFonts w:ascii="Arial" w:hAnsi="Arial" w:cs="Arial"/>
          <w:sz w:val="20"/>
          <w:szCs w:val="20"/>
          <w:lang w:val="en-GB"/>
        </w:rPr>
        <w:t xml:space="preserve">Grant framework, </w:t>
      </w:r>
      <w:r w:rsidR="00CE20E5" w:rsidRPr="00FC564B">
        <w:rPr>
          <w:rFonts w:ascii="Arial" w:hAnsi="Arial" w:cs="Arial"/>
          <w:sz w:val="20"/>
          <w:szCs w:val="20"/>
          <w:lang w:val="en-GB"/>
        </w:rPr>
        <w:t xml:space="preserve">the </w:t>
      </w:r>
      <w:r w:rsidRPr="00FC564B">
        <w:rPr>
          <w:rFonts w:ascii="Arial" w:hAnsi="Arial" w:cs="Arial"/>
          <w:sz w:val="20"/>
          <w:szCs w:val="20"/>
          <w:lang w:val="en-GB"/>
        </w:rPr>
        <w:t>Publ</w:t>
      </w:r>
      <w:r w:rsidR="001C5C40" w:rsidRPr="00FC564B">
        <w:rPr>
          <w:rFonts w:ascii="Arial" w:hAnsi="Arial" w:cs="Arial"/>
          <w:sz w:val="20"/>
          <w:szCs w:val="20"/>
          <w:lang w:val="en-GB"/>
        </w:rPr>
        <w:t>ic Finance Management Act</w:t>
      </w:r>
      <w:r w:rsidRPr="00FC564B">
        <w:rPr>
          <w:rFonts w:ascii="Arial" w:hAnsi="Arial" w:cs="Arial"/>
          <w:sz w:val="20"/>
          <w:szCs w:val="20"/>
          <w:lang w:val="en-GB"/>
        </w:rPr>
        <w:t xml:space="preserve"> and Treasury Regulations</w:t>
      </w:r>
      <w:r w:rsidR="00D435EE" w:rsidRPr="00FC564B">
        <w:rPr>
          <w:rFonts w:ascii="Arial" w:hAnsi="Arial" w:cs="Arial"/>
          <w:sz w:val="20"/>
          <w:szCs w:val="20"/>
          <w:lang w:val="en-GB"/>
        </w:rPr>
        <w:t>;</w:t>
      </w:r>
      <w:r w:rsidR="00471C70" w:rsidRPr="00FC564B">
        <w:rPr>
          <w:rFonts w:ascii="Arial" w:hAnsi="Arial" w:cs="Arial"/>
          <w:sz w:val="20"/>
          <w:szCs w:val="20"/>
          <w:lang w:val="en-GB"/>
        </w:rPr>
        <w:t xml:space="preserve"> and </w:t>
      </w:r>
      <w:r w:rsidR="00CE20E5" w:rsidRPr="00FC564B">
        <w:rPr>
          <w:rFonts w:ascii="Arial" w:hAnsi="Arial" w:cs="Arial"/>
          <w:sz w:val="20"/>
          <w:szCs w:val="20"/>
          <w:lang w:val="en-GB"/>
        </w:rPr>
        <w:t xml:space="preserve">to ensure </w:t>
      </w:r>
      <w:r w:rsidR="00471C70" w:rsidRPr="00FC564B">
        <w:rPr>
          <w:rFonts w:ascii="Arial" w:hAnsi="Arial" w:cs="Arial"/>
          <w:sz w:val="20"/>
          <w:szCs w:val="20"/>
          <w:lang w:val="en-GB"/>
        </w:rPr>
        <w:t xml:space="preserve">that </w:t>
      </w:r>
      <w:r w:rsidR="001D7DA7" w:rsidRPr="00FC564B">
        <w:rPr>
          <w:rFonts w:ascii="Arial" w:hAnsi="Arial" w:cs="Arial"/>
          <w:sz w:val="20"/>
          <w:szCs w:val="20"/>
          <w:lang w:val="en-GB"/>
        </w:rPr>
        <w:t xml:space="preserve">appropriate </w:t>
      </w:r>
      <w:r w:rsidR="00471C70" w:rsidRPr="00FC564B">
        <w:rPr>
          <w:rFonts w:ascii="Arial" w:hAnsi="Arial" w:cs="Arial"/>
          <w:sz w:val="20"/>
          <w:szCs w:val="20"/>
          <w:lang w:val="en-GB"/>
        </w:rPr>
        <w:t xml:space="preserve">consequence </w:t>
      </w:r>
      <w:r w:rsidR="00D173D7" w:rsidRPr="00FC564B">
        <w:rPr>
          <w:rFonts w:ascii="Arial" w:hAnsi="Arial" w:cs="Arial"/>
          <w:sz w:val="20"/>
          <w:szCs w:val="20"/>
          <w:lang w:val="en-GB"/>
        </w:rPr>
        <w:t>management is</w:t>
      </w:r>
      <w:r w:rsidR="009D16A9" w:rsidRPr="00FC564B">
        <w:rPr>
          <w:rFonts w:ascii="Arial" w:hAnsi="Arial" w:cs="Arial"/>
          <w:sz w:val="20"/>
          <w:szCs w:val="20"/>
          <w:lang w:val="en-GB"/>
        </w:rPr>
        <w:t xml:space="preserve"> implemented </w:t>
      </w:r>
      <w:r w:rsidR="00FA40F4" w:rsidRPr="00FC564B">
        <w:rPr>
          <w:rFonts w:ascii="Arial" w:hAnsi="Arial" w:cs="Arial"/>
          <w:sz w:val="20"/>
          <w:szCs w:val="20"/>
          <w:lang w:val="en-GB"/>
        </w:rPr>
        <w:t>for province</w:t>
      </w:r>
      <w:r w:rsidR="00CE20E5" w:rsidRPr="00FC564B">
        <w:rPr>
          <w:rFonts w:ascii="Arial" w:hAnsi="Arial" w:cs="Arial"/>
          <w:sz w:val="20"/>
          <w:szCs w:val="20"/>
          <w:lang w:val="en-GB"/>
        </w:rPr>
        <w:t>s failing to spend</w:t>
      </w:r>
      <w:r w:rsidR="005259B6" w:rsidRPr="00FC564B">
        <w:rPr>
          <w:rFonts w:ascii="Arial" w:hAnsi="Arial" w:cs="Arial"/>
          <w:sz w:val="20"/>
          <w:szCs w:val="20"/>
          <w:lang w:val="en-GB"/>
        </w:rPr>
        <w:t xml:space="preserve"> according to the projected</w:t>
      </w:r>
      <w:r w:rsidR="00FA40F4" w:rsidRPr="00FC564B">
        <w:rPr>
          <w:rFonts w:ascii="Arial" w:hAnsi="Arial" w:cs="Arial"/>
          <w:sz w:val="20"/>
          <w:szCs w:val="20"/>
          <w:lang w:val="en-GB"/>
        </w:rPr>
        <w:t xml:space="preserve"> budgets</w:t>
      </w:r>
      <w:r w:rsidR="00B073C0" w:rsidRPr="00FC564B">
        <w:rPr>
          <w:rFonts w:ascii="Arial" w:hAnsi="Arial" w:cs="Arial"/>
          <w:sz w:val="20"/>
          <w:szCs w:val="20"/>
          <w:lang w:val="en-GB"/>
        </w:rPr>
        <w:t xml:space="preserve"> </w:t>
      </w:r>
      <w:r w:rsidR="00FA40F4" w:rsidRPr="00FC564B">
        <w:rPr>
          <w:rFonts w:ascii="Arial" w:hAnsi="Arial" w:cs="Arial"/>
          <w:sz w:val="20"/>
          <w:szCs w:val="20"/>
          <w:lang w:val="en-GB"/>
        </w:rPr>
        <w:t>without</w:t>
      </w:r>
      <w:r w:rsidR="00B073C0" w:rsidRPr="00FC564B">
        <w:rPr>
          <w:rFonts w:ascii="Arial" w:hAnsi="Arial" w:cs="Arial"/>
          <w:sz w:val="20"/>
          <w:szCs w:val="20"/>
          <w:lang w:val="en-GB"/>
        </w:rPr>
        <w:t xml:space="preserve"> </w:t>
      </w:r>
      <w:r w:rsidR="00471C70" w:rsidRPr="00FC564B">
        <w:rPr>
          <w:rFonts w:ascii="Arial" w:hAnsi="Arial" w:cs="Arial"/>
          <w:sz w:val="20"/>
          <w:szCs w:val="20"/>
          <w:lang w:val="en-GB"/>
        </w:rPr>
        <w:t>valid reason</w:t>
      </w:r>
      <w:r w:rsidR="00FA40F4" w:rsidRPr="00FC564B">
        <w:rPr>
          <w:rFonts w:ascii="Arial" w:hAnsi="Arial" w:cs="Arial"/>
          <w:sz w:val="20"/>
          <w:szCs w:val="20"/>
          <w:lang w:val="en-GB"/>
        </w:rPr>
        <w:t>s</w:t>
      </w:r>
      <w:r w:rsidR="00471C70" w:rsidRPr="00FC564B">
        <w:rPr>
          <w:rFonts w:ascii="Arial" w:hAnsi="Arial" w:cs="Arial"/>
          <w:sz w:val="20"/>
          <w:szCs w:val="20"/>
          <w:lang w:val="en-GB"/>
        </w:rPr>
        <w:t>.</w:t>
      </w:r>
    </w:p>
    <w:p w:rsidR="00590205" w:rsidRPr="00FC564B" w:rsidRDefault="00590205" w:rsidP="00FC564B">
      <w:pPr>
        <w:pStyle w:val="ListParagraph"/>
        <w:rPr>
          <w:rFonts w:ascii="Arial" w:hAnsi="Arial" w:cs="Arial"/>
          <w:sz w:val="20"/>
          <w:szCs w:val="20"/>
          <w:lang w:val="en-GB"/>
        </w:rPr>
      </w:pPr>
    </w:p>
    <w:p w:rsidR="00590205" w:rsidRPr="00FC564B" w:rsidRDefault="006670A3" w:rsidP="00FC564B">
      <w:pPr>
        <w:pStyle w:val="ListParagraph"/>
        <w:numPr>
          <w:ilvl w:val="1"/>
          <w:numId w:val="11"/>
        </w:numPr>
        <w:rPr>
          <w:rFonts w:ascii="Arial" w:hAnsi="Arial" w:cs="Arial"/>
          <w:sz w:val="20"/>
          <w:szCs w:val="20"/>
        </w:rPr>
      </w:pPr>
      <w:r w:rsidRPr="00FC564B">
        <w:rPr>
          <w:rFonts w:ascii="Arial" w:hAnsi="Arial" w:cs="Arial"/>
          <w:sz w:val="20"/>
          <w:szCs w:val="20"/>
          <w:lang w:val="en-GB"/>
        </w:rPr>
        <w:t xml:space="preserve">The Committee urges </w:t>
      </w:r>
      <w:r w:rsidR="00AB7C26" w:rsidRPr="00FC564B">
        <w:rPr>
          <w:rFonts w:ascii="Arial" w:hAnsi="Arial" w:cs="Arial"/>
          <w:sz w:val="20"/>
          <w:szCs w:val="20"/>
          <w:lang w:val="en-GB"/>
        </w:rPr>
        <w:t xml:space="preserve">the </w:t>
      </w:r>
      <w:r w:rsidR="00CC4D38" w:rsidRPr="00FC564B">
        <w:rPr>
          <w:rFonts w:ascii="Arial" w:hAnsi="Arial" w:cs="Arial"/>
          <w:sz w:val="20"/>
          <w:szCs w:val="20"/>
          <w:lang w:val="en-GB"/>
        </w:rPr>
        <w:t>Department of Basic Education</w:t>
      </w:r>
      <w:r w:rsidR="00ED3BD5" w:rsidRPr="00FC564B">
        <w:rPr>
          <w:rFonts w:ascii="Arial" w:hAnsi="Arial" w:cs="Arial"/>
          <w:sz w:val="20"/>
          <w:szCs w:val="20"/>
          <w:lang w:val="en-GB"/>
        </w:rPr>
        <w:t xml:space="preserve"> </w:t>
      </w:r>
      <w:r w:rsidRPr="00FC564B">
        <w:rPr>
          <w:rFonts w:ascii="Arial" w:hAnsi="Arial" w:cs="Arial"/>
          <w:sz w:val="20"/>
          <w:szCs w:val="20"/>
          <w:lang w:val="en-GB"/>
        </w:rPr>
        <w:t xml:space="preserve">to </w:t>
      </w:r>
      <w:r w:rsidR="00D55F21" w:rsidRPr="00FC564B">
        <w:rPr>
          <w:rFonts w:ascii="Arial" w:hAnsi="Arial" w:cs="Arial"/>
          <w:sz w:val="20"/>
          <w:szCs w:val="20"/>
          <w:lang w:val="en-GB"/>
        </w:rPr>
        <w:t xml:space="preserve">further </w:t>
      </w:r>
      <w:r w:rsidRPr="00FC564B">
        <w:rPr>
          <w:rFonts w:ascii="Arial" w:hAnsi="Arial" w:cs="Arial"/>
          <w:sz w:val="20"/>
          <w:szCs w:val="20"/>
          <w:lang w:val="en-GB"/>
        </w:rPr>
        <w:t xml:space="preserve">collaborate and coordinate the </w:t>
      </w:r>
      <w:r w:rsidR="00121BC2" w:rsidRPr="00FC564B">
        <w:rPr>
          <w:rFonts w:ascii="Arial" w:hAnsi="Arial" w:cs="Arial"/>
          <w:sz w:val="20"/>
          <w:szCs w:val="20"/>
          <w:lang w:val="en-GB"/>
        </w:rPr>
        <w:t xml:space="preserve">policy </w:t>
      </w:r>
      <w:r w:rsidR="009147D1" w:rsidRPr="00FC564B">
        <w:rPr>
          <w:rFonts w:ascii="Arial" w:hAnsi="Arial" w:cs="Arial"/>
          <w:sz w:val="20"/>
          <w:szCs w:val="20"/>
          <w:lang w:val="en-GB"/>
        </w:rPr>
        <w:t xml:space="preserve">development </w:t>
      </w:r>
      <w:r w:rsidRPr="00FC564B">
        <w:rPr>
          <w:rFonts w:ascii="Arial" w:hAnsi="Arial" w:cs="Arial"/>
          <w:sz w:val="20"/>
          <w:szCs w:val="20"/>
          <w:lang w:val="en-GB"/>
        </w:rPr>
        <w:t>process</w:t>
      </w:r>
      <w:r w:rsidR="005F601B" w:rsidRPr="00FC564B">
        <w:rPr>
          <w:rFonts w:ascii="Arial" w:hAnsi="Arial" w:cs="Arial"/>
          <w:sz w:val="20"/>
          <w:szCs w:val="20"/>
          <w:lang w:val="en-GB"/>
        </w:rPr>
        <w:t>es</w:t>
      </w:r>
      <w:r w:rsidRPr="00FC564B">
        <w:rPr>
          <w:rFonts w:ascii="Arial" w:hAnsi="Arial" w:cs="Arial"/>
          <w:sz w:val="20"/>
          <w:szCs w:val="20"/>
          <w:lang w:val="en-GB"/>
        </w:rPr>
        <w:t xml:space="preserve"> with other government departments</w:t>
      </w:r>
      <w:r w:rsidR="00913732" w:rsidRPr="00FC564B">
        <w:rPr>
          <w:rFonts w:ascii="Arial" w:hAnsi="Arial" w:cs="Arial"/>
          <w:sz w:val="20"/>
          <w:szCs w:val="20"/>
          <w:lang w:val="en-GB"/>
        </w:rPr>
        <w:t xml:space="preserve"> where necessary</w:t>
      </w:r>
      <w:r w:rsidRPr="00FC564B">
        <w:rPr>
          <w:rFonts w:ascii="Arial" w:hAnsi="Arial" w:cs="Arial"/>
          <w:sz w:val="20"/>
          <w:szCs w:val="20"/>
          <w:lang w:val="en-GB"/>
        </w:rPr>
        <w:t>, especially those that</w:t>
      </w:r>
      <w:r w:rsidR="007C02A3" w:rsidRPr="00FC564B">
        <w:rPr>
          <w:rFonts w:ascii="Arial" w:hAnsi="Arial" w:cs="Arial"/>
          <w:sz w:val="20"/>
          <w:szCs w:val="20"/>
          <w:lang w:val="en-GB"/>
        </w:rPr>
        <w:t xml:space="preserve"> form part of the value chain in</w:t>
      </w:r>
      <w:r w:rsidRPr="00FC564B">
        <w:rPr>
          <w:rFonts w:ascii="Arial" w:hAnsi="Arial" w:cs="Arial"/>
          <w:sz w:val="20"/>
          <w:szCs w:val="20"/>
          <w:lang w:val="en-GB"/>
        </w:rPr>
        <w:t xml:space="preserve"> the ECD Programme. </w:t>
      </w:r>
      <w:r w:rsidR="007C02A3" w:rsidRPr="00FC564B">
        <w:rPr>
          <w:rFonts w:ascii="Arial" w:hAnsi="Arial" w:cs="Arial"/>
          <w:sz w:val="20"/>
          <w:szCs w:val="20"/>
          <w:lang w:val="en-GB"/>
        </w:rPr>
        <w:t xml:space="preserve">The Committee believes that there is a need for </w:t>
      </w:r>
      <w:r w:rsidR="00B76FD3" w:rsidRPr="00FC564B">
        <w:rPr>
          <w:rFonts w:ascii="Arial" w:hAnsi="Arial" w:cs="Arial"/>
          <w:sz w:val="20"/>
          <w:szCs w:val="20"/>
          <w:lang w:val="en-GB"/>
        </w:rPr>
        <w:t xml:space="preserve">a </w:t>
      </w:r>
      <w:r w:rsidR="007C02A3" w:rsidRPr="00FC564B">
        <w:rPr>
          <w:rFonts w:ascii="Arial" w:hAnsi="Arial" w:cs="Arial"/>
          <w:sz w:val="20"/>
          <w:szCs w:val="20"/>
          <w:lang w:val="en-GB"/>
        </w:rPr>
        <w:t>government- and society wide effort to ensure that this matter</w:t>
      </w:r>
      <w:r w:rsidR="00294F62" w:rsidRPr="00FC564B">
        <w:rPr>
          <w:rFonts w:ascii="Arial" w:hAnsi="Arial" w:cs="Arial"/>
          <w:sz w:val="20"/>
          <w:szCs w:val="20"/>
          <w:lang w:val="en-GB"/>
        </w:rPr>
        <w:t xml:space="preserve"> receives</w:t>
      </w:r>
      <w:r w:rsidR="007C02A3" w:rsidRPr="00FC564B">
        <w:rPr>
          <w:rFonts w:ascii="Arial" w:hAnsi="Arial" w:cs="Arial"/>
          <w:sz w:val="20"/>
          <w:szCs w:val="20"/>
          <w:lang w:val="en-GB"/>
        </w:rPr>
        <w:t xml:space="preserve"> the necessary support</w:t>
      </w:r>
      <w:r w:rsidR="003E0D2A" w:rsidRPr="00FC564B">
        <w:rPr>
          <w:rFonts w:ascii="Arial" w:hAnsi="Arial" w:cs="Arial"/>
          <w:sz w:val="20"/>
          <w:szCs w:val="20"/>
          <w:lang w:val="en-GB"/>
        </w:rPr>
        <w:t xml:space="preserve"> </w:t>
      </w:r>
      <w:r w:rsidR="002B13E1" w:rsidRPr="00FC564B">
        <w:rPr>
          <w:rFonts w:ascii="Arial" w:hAnsi="Arial" w:cs="Arial"/>
          <w:sz w:val="20"/>
          <w:szCs w:val="20"/>
          <w:lang w:val="en-GB"/>
        </w:rPr>
        <w:t>from all stakeholders</w:t>
      </w:r>
      <w:r w:rsidR="00C51809" w:rsidRPr="00FC564B">
        <w:rPr>
          <w:rFonts w:ascii="Arial" w:hAnsi="Arial" w:cs="Arial"/>
          <w:sz w:val="20"/>
          <w:szCs w:val="20"/>
          <w:lang w:val="en-GB"/>
        </w:rPr>
        <w:t>.</w:t>
      </w:r>
      <w:r w:rsidR="002B13E1" w:rsidRPr="00FC564B">
        <w:rPr>
          <w:rFonts w:ascii="Arial" w:hAnsi="Arial" w:cs="Arial"/>
          <w:sz w:val="20"/>
          <w:szCs w:val="20"/>
          <w:lang w:val="en-GB"/>
        </w:rPr>
        <w:t xml:space="preserve"> </w:t>
      </w:r>
      <w:r w:rsidR="00BB3FBC" w:rsidRPr="00FC564B">
        <w:rPr>
          <w:rFonts w:ascii="Arial" w:hAnsi="Arial" w:cs="Arial"/>
          <w:sz w:val="20"/>
          <w:szCs w:val="20"/>
          <w:lang w:val="en-GB"/>
        </w:rPr>
        <w:t xml:space="preserve"> </w:t>
      </w:r>
      <w:r w:rsidR="003E0D2A" w:rsidRPr="00FC564B">
        <w:rPr>
          <w:rFonts w:ascii="Arial" w:hAnsi="Arial" w:cs="Arial"/>
          <w:sz w:val="20"/>
          <w:szCs w:val="20"/>
          <w:lang w:val="en-GB"/>
        </w:rPr>
        <w:t xml:space="preserve"> </w:t>
      </w:r>
    </w:p>
    <w:p w:rsidR="00590205" w:rsidRPr="00FC564B" w:rsidRDefault="00590205" w:rsidP="00FC564B">
      <w:pPr>
        <w:pStyle w:val="ListParagraph"/>
        <w:rPr>
          <w:rFonts w:ascii="Arial" w:hAnsi="Arial" w:cs="Arial"/>
          <w:sz w:val="20"/>
          <w:szCs w:val="20"/>
          <w:lang w:val="en-GB"/>
        </w:rPr>
      </w:pPr>
    </w:p>
    <w:p w:rsidR="00F25535" w:rsidRPr="00FC564B" w:rsidRDefault="00120D5D" w:rsidP="00FC564B">
      <w:pPr>
        <w:pStyle w:val="ListParagraph"/>
        <w:numPr>
          <w:ilvl w:val="1"/>
          <w:numId w:val="11"/>
        </w:numPr>
        <w:rPr>
          <w:rFonts w:ascii="Arial" w:hAnsi="Arial" w:cs="Arial"/>
          <w:sz w:val="20"/>
          <w:szCs w:val="20"/>
        </w:rPr>
      </w:pPr>
      <w:r w:rsidRPr="00FC564B">
        <w:rPr>
          <w:rFonts w:ascii="Arial" w:hAnsi="Arial" w:cs="Arial"/>
          <w:sz w:val="20"/>
          <w:szCs w:val="20"/>
          <w:lang w:val="en-GB"/>
        </w:rPr>
        <w:t xml:space="preserve">Whilst the Committee urges National Treasury </w:t>
      </w:r>
      <w:r w:rsidR="003F033E" w:rsidRPr="00FC564B">
        <w:rPr>
          <w:rFonts w:ascii="Arial" w:hAnsi="Arial" w:cs="Arial"/>
          <w:sz w:val="20"/>
          <w:szCs w:val="20"/>
          <w:lang w:val="en-GB"/>
        </w:rPr>
        <w:t xml:space="preserve">to </w:t>
      </w:r>
      <w:r w:rsidR="005616A2" w:rsidRPr="00FC564B">
        <w:rPr>
          <w:rFonts w:ascii="Arial" w:hAnsi="Arial" w:cs="Arial"/>
          <w:sz w:val="20"/>
          <w:szCs w:val="20"/>
          <w:lang w:val="en-GB"/>
        </w:rPr>
        <w:t>ensure that roll-</w:t>
      </w:r>
      <w:r w:rsidR="005A0EE2" w:rsidRPr="00FC564B">
        <w:rPr>
          <w:rFonts w:ascii="Arial" w:hAnsi="Arial" w:cs="Arial"/>
          <w:sz w:val="20"/>
          <w:szCs w:val="20"/>
          <w:lang w:val="en-GB"/>
        </w:rPr>
        <w:t>over requests</w:t>
      </w:r>
      <w:r w:rsidRPr="00FC564B">
        <w:rPr>
          <w:rFonts w:ascii="Arial" w:hAnsi="Arial" w:cs="Arial"/>
          <w:sz w:val="20"/>
          <w:szCs w:val="20"/>
          <w:lang w:val="en-GB"/>
        </w:rPr>
        <w:t xml:space="preserve"> are</w:t>
      </w:r>
      <w:r w:rsidR="003F033E" w:rsidRPr="00FC564B">
        <w:rPr>
          <w:rFonts w:ascii="Arial" w:hAnsi="Arial" w:cs="Arial"/>
          <w:sz w:val="20"/>
          <w:szCs w:val="20"/>
          <w:lang w:val="en-GB"/>
        </w:rPr>
        <w:t xml:space="preserve"> always</w:t>
      </w:r>
      <w:r w:rsidRPr="00FC564B">
        <w:rPr>
          <w:rFonts w:ascii="Arial" w:hAnsi="Arial" w:cs="Arial"/>
          <w:sz w:val="20"/>
          <w:szCs w:val="20"/>
          <w:lang w:val="en-GB"/>
        </w:rPr>
        <w:t xml:space="preserve"> </w:t>
      </w:r>
      <w:r w:rsidR="005616A2" w:rsidRPr="00FC564B">
        <w:rPr>
          <w:rFonts w:ascii="Arial" w:hAnsi="Arial" w:cs="Arial"/>
          <w:sz w:val="20"/>
          <w:szCs w:val="20"/>
          <w:lang w:val="en-GB"/>
        </w:rPr>
        <w:t>considered</w:t>
      </w:r>
      <w:r w:rsidRPr="00FC564B">
        <w:rPr>
          <w:rFonts w:ascii="Arial" w:hAnsi="Arial" w:cs="Arial"/>
          <w:sz w:val="20"/>
          <w:szCs w:val="20"/>
          <w:lang w:val="en-GB"/>
        </w:rPr>
        <w:t xml:space="preserve"> according to the conditions set out in section 6.4 of the Treasury R</w:t>
      </w:r>
      <w:r w:rsidR="00086B6F" w:rsidRPr="00FC564B">
        <w:rPr>
          <w:rFonts w:ascii="Arial" w:hAnsi="Arial" w:cs="Arial"/>
          <w:sz w:val="20"/>
          <w:szCs w:val="20"/>
          <w:lang w:val="en-GB"/>
        </w:rPr>
        <w:t>egulations</w:t>
      </w:r>
      <w:r w:rsidR="005616A2" w:rsidRPr="00FC564B">
        <w:rPr>
          <w:rFonts w:ascii="Arial" w:hAnsi="Arial" w:cs="Arial"/>
          <w:sz w:val="20"/>
          <w:szCs w:val="20"/>
          <w:lang w:val="en-GB"/>
        </w:rPr>
        <w:t xml:space="preserve"> and </w:t>
      </w:r>
      <w:r w:rsidRPr="00FC564B">
        <w:rPr>
          <w:rFonts w:ascii="Arial" w:hAnsi="Arial" w:cs="Arial"/>
          <w:sz w:val="20"/>
          <w:szCs w:val="20"/>
          <w:lang w:val="en-GB"/>
        </w:rPr>
        <w:t>section 30 and 31 of the Public Finance Management A</w:t>
      </w:r>
      <w:r w:rsidR="00086B6F" w:rsidRPr="00FC564B">
        <w:rPr>
          <w:rFonts w:ascii="Arial" w:hAnsi="Arial" w:cs="Arial"/>
          <w:sz w:val="20"/>
          <w:szCs w:val="20"/>
          <w:lang w:val="en-GB"/>
        </w:rPr>
        <w:t>ct</w:t>
      </w:r>
      <w:r w:rsidR="00FA4326" w:rsidRPr="00FC564B">
        <w:rPr>
          <w:rFonts w:ascii="Arial" w:hAnsi="Arial" w:cs="Arial"/>
          <w:sz w:val="20"/>
          <w:szCs w:val="20"/>
          <w:lang w:val="en-GB"/>
        </w:rPr>
        <w:t>, the Committee believes that the</w:t>
      </w:r>
      <w:r w:rsidR="00641132" w:rsidRPr="00FC564B">
        <w:rPr>
          <w:rFonts w:ascii="Arial" w:hAnsi="Arial" w:cs="Arial"/>
          <w:sz w:val="20"/>
          <w:szCs w:val="20"/>
          <w:lang w:val="en-GB"/>
        </w:rPr>
        <w:t xml:space="preserve"> alignment of plans with </w:t>
      </w:r>
      <w:r w:rsidRPr="00FC564B">
        <w:rPr>
          <w:rFonts w:ascii="Arial" w:hAnsi="Arial" w:cs="Arial"/>
          <w:sz w:val="20"/>
          <w:szCs w:val="20"/>
          <w:lang w:val="en-GB"/>
        </w:rPr>
        <w:t>approve</w:t>
      </w:r>
      <w:r w:rsidR="00641132" w:rsidRPr="00FC564B">
        <w:rPr>
          <w:rFonts w:ascii="Arial" w:hAnsi="Arial" w:cs="Arial"/>
          <w:sz w:val="20"/>
          <w:szCs w:val="20"/>
          <w:lang w:val="en-GB"/>
        </w:rPr>
        <w:t>d budgets</w:t>
      </w:r>
      <w:r w:rsidR="00D57BE2" w:rsidRPr="00FC564B">
        <w:rPr>
          <w:rFonts w:ascii="Arial" w:hAnsi="Arial" w:cs="Arial"/>
          <w:sz w:val="20"/>
          <w:szCs w:val="20"/>
          <w:lang w:val="en-GB"/>
        </w:rPr>
        <w:t xml:space="preserve"> and</w:t>
      </w:r>
      <w:r w:rsidRPr="00FC564B">
        <w:rPr>
          <w:rFonts w:ascii="Arial" w:hAnsi="Arial" w:cs="Arial"/>
          <w:sz w:val="20"/>
          <w:szCs w:val="20"/>
          <w:lang w:val="en-GB"/>
        </w:rPr>
        <w:t xml:space="preserve"> </w:t>
      </w:r>
      <w:r w:rsidR="00D60D16" w:rsidRPr="00FC564B">
        <w:rPr>
          <w:rFonts w:ascii="Arial" w:hAnsi="Arial" w:cs="Arial"/>
          <w:sz w:val="20"/>
          <w:szCs w:val="20"/>
          <w:lang w:val="en-GB"/>
        </w:rPr>
        <w:t xml:space="preserve">monitoring and evaluation </w:t>
      </w:r>
      <w:r w:rsidRPr="00FC564B">
        <w:rPr>
          <w:rFonts w:ascii="Arial" w:hAnsi="Arial" w:cs="Arial"/>
          <w:sz w:val="20"/>
          <w:szCs w:val="20"/>
          <w:lang w:val="en-GB"/>
        </w:rPr>
        <w:t>systems need</w:t>
      </w:r>
      <w:r w:rsidR="00F65283" w:rsidRPr="00FC564B">
        <w:rPr>
          <w:rFonts w:ascii="Arial" w:hAnsi="Arial" w:cs="Arial"/>
          <w:sz w:val="20"/>
          <w:szCs w:val="20"/>
          <w:lang w:val="en-GB"/>
        </w:rPr>
        <w:t xml:space="preserve"> to be </w:t>
      </w:r>
      <w:r w:rsidR="00366953" w:rsidRPr="00FC564B">
        <w:rPr>
          <w:rFonts w:ascii="Arial" w:hAnsi="Arial" w:cs="Arial"/>
          <w:sz w:val="20"/>
          <w:szCs w:val="20"/>
          <w:lang w:val="en-GB"/>
        </w:rPr>
        <w:t xml:space="preserve">improved </w:t>
      </w:r>
      <w:r w:rsidR="0069781E" w:rsidRPr="00FC564B">
        <w:rPr>
          <w:rFonts w:ascii="Arial" w:hAnsi="Arial" w:cs="Arial"/>
          <w:sz w:val="20"/>
          <w:szCs w:val="20"/>
          <w:lang w:val="en-GB"/>
        </w:rPr>
        <w:t>in all three spheres of government</w:t>
      </w:r>
      <w:r w:rsidRPr="00FC564B">
        <w:rPr>
          <w:rFonts w:ascii="Arial" w:hAnsi="Arial" w:cs="Arial"/>
          <w:sz w:val="20"/>
          <w:szCs w:val="20"/>
          <w:lang w:val="en-GB"/>
        </w:rPr>
        <w:t>.</w:t>
      </w:r>
      <w:r w:rsidR="009614A0" w:rsidRPr="00FC564B">
        <w:rPr>
          <w:rFonts w:ascii="Arial" w:hAnsi="Arial" w:cs="Arial"/>
          <w:sz w:val="20"/>
          <w:szCs w:val="20"/>
          <w:lang w:val="en-GB"/>
        </w:rPr>
        <w:t xml:space="preserve"> Both Parliament and provincial legislatures</w:t>
      </w:r>
      <w:r w:rsidR="00366953" w:rsidRPr="00FC564B">
        <w:rPr>
          <w:rFonts w:ascii="Arial" w:hAnsi="Arial" w:cs="Arial"/>
          <w:sz w:val="20"/>
          <w:szCs w:val="20"/>
          <w:lang w:val="en-GB"/>
        </w:rPr>
        <w:t>,</w:t>
      </w:r>
      <w:r w:rsidR="009614A0" w:rsidRPr="00FC564B">
        <w:rPr>
          <w:rFonts w:ascii="Arial" w:hAnsi="Arial" w:cs="Arial"/>
          <w:sz w:val="20"/>
          <w:szCs w:val="20"/>
          <w:lang w:val="en-GB"/>
        </w:rPr>
        <w:t xml:space="preserve"> </w:t>
      </w:r>
      <w:r w:rsidR="00950D33" w:rsidRPr="00FC564B">
        <w:rPr>
          <w:rFonts w:ascii="Arial" w:hAnsi="Arial" w:cs="Arial"/>
          <w:sz w:val="20"/>
          <w:szCs w:val="20"/>
          <w:lang w:val="en-GB"/>
        </w:rPr>
        <w:t>through sector committees</w:t>
      </w:r>
      <w:r w:rsidR="00366953" w:rsidRPr="00FC564B">
        <w:rPr>
          <w:rFonts w:ascii="Arial" w:hAnsi="Arial" w:cs="Arial"/>
          <w:sz w:val="20"/>
          <w:szCs w:val="20"/>
          <w:lang w:val="en-GB"/>
        </w:rPr>
        <w:t>,</w:t>
      </w:r>
      <w:r w:rsidR="00950D33" w:rsidRPr="00FC564B">
        <w:rPr>
          <w:rFonts w:ascii="Arial" w:hAnsi="Arial" w:cs="Arial"/>
          <w:sz w:val="20"/>
          <w:szCs w:val="20"/>
          <w:lang w:val="en-GB"/>
        </w:rPr>
        <w:t xml:space="preserve"> </w:t>
      </w:r>
      <w:r w:rsidR="004E435D" w:rsidRPr="00FC564B">
        <w:rPr>
          <w:rFonts w:ascii="Arial" w:hAnsi="Arial" w:cs="Arial"/>
          <w:sz w:val="20"/>
          <w:szCs w:val="20"/>
          <w:lang w:val="en-GB"/>
        </w:rPr>
        <w:t>should</w:t>
      </w:r>
      <w:r w:rsidR="009614A0" w:rsidRPr="00FC564B">
        <w:rPr>
          <w:rFonts w:ascii="Arial" w:hAnsi="Arial" w:cs="Arial"/>
          <w:sz w:val="20"/>
          <w:szCs w:val="20"/>
          <w:lang w:val="en-GB"/>
        </w:rPr>
        <w:t xml:space="preserve"> </w:t>
      </w:r>
      <w:r w:rsidR="00A774FA" w:rsidRPr="00FC564B">
        <w:rPr>
          <w:rFonts w:ascii="Arial" w:hAnsi="Arial" w:cs="Arial"/>
          <w:sz w:val="20"/>
          <w:szCs w:val="20"/>
          <w:lang w:val="en-GB"/>
        </w:rPr>
        <w:t xml:space="preserve">continue to </w:t>
      </w:r>
      <w:r w:rsidR="009614A0" w:rsidRPr="00FC564B">
        <w:rPr>
          <w:rFonts w:ascii="Arial" w:hAnsi="Arial" w:cs="Arial"/>
          <w:sz w:val="20"/>
          <w:szCs w:val="20"/>
          <w:lang w:val="en-GB"/>
        </w:rPr>
        <w:t xml:space="preserve">intensify efforts to scrutinise departmental </w:t>
      </w:r>
      <w:r w:rsidR="006175E6" w:rsidRPr="00FC564B">
        <w:rPr>
          <w:rFonts w:ascii="Arial" w:hAnsi="Arial" w:cs="Arial"/>
          <w:sz w:val="20"/>
          <w:szCs w:val="20"/>
          <w:lang w:val="en-GB"/>
        </w:rPr>
        <w:t>plans du</w:t>
      </w:r>
      <w:r w:rsidR="009575C7" w:rsidRPr="00FC564B">
        <w:rPr>
          <w:rFonts w:ascii="Arial" w:hAnsi="Arial" w:cs="Arial"/>
          <w:sz w:val="20"/>
          <w:szCs w:val="20"/>
          <w:lang w:val="en-GB"/>
        </w:rPr>
        <w:t>ring budget vote</w:t>
      </w:r>
      <w:r w:rsidR="00950D33" w:rsidRPr="00FC564B">
        <w:rPr>
          <w:rFonts w:ascii="Arial" w:hAnsi="Arial" w:cs="Arial"/>
          <w:sz w:val="20"/>
          <w:szCs w:val="20"/>
          <w:lang w:val="en-GB"/>
        </w:rPr>
        <w:t xml:space="preserve"> </w:t>
      </w:r>
      <w:r w:rsidR="009575C7" w:rsidRPr="00FC564B">
        <w:rPr>
          <w:rFonts w:ascii="Arial" w:hAnsi="Arial" w:cs="Arial"/>
          <w:sz w:val="20"/>
          <w:szCs w:val="20"/>
          <w:lang w:val="en-GB"/>
        </w:rPr>
        <w:t>process</w:t>
      </w:r>
      <w:r w:rsidR="001B067B" w:rsidRPr="00FC564B">
        <w:rPr>
          <w:rFonts w:ascii="Arial" w:hAnsi="Arial" w:cs="Arial"/>
          <w:sz w:val="20"/>
          <w:szCs w:val="20"/>
          <w:lang w:val="en-GB"/>
        </w:rPr>
        <w:t>es</w:t>
      </w:r>
      <w:r w:rsidR="008C2689" w:rsidRPr="00FC564B">
        <w:rPr>
          <w:rFonts w:ascii="Arial" w:hAnsi="Arial" w:cs="Arial"/>
          <w:sz w:val="20"/>
          <w:szCs w:val="20"/>
          <w:lang w:val="en-GB"/>
        </w:rPr>
        <w:t xml:space="preserve">, to </w:t>
      </w:r>
      <w:r w:rsidR="00906C05" w:rsidRPr="00FC564B">
        <w:rPr>
          <w:rFonts w:ascii="Arial" w:hAnsi="Arial" w:cs="Arial"/>
          <w:sz w:val="20"/>
          <w:szCs w:val="20"/>
          <w:lang w:val="en-GB"/>
        </w:rPr>
        <w:t>ensure</w:t>
      </w:r>
      <w:r w:rsidR="008C2689" w:rsidRPr="00FC564B">
        <w:rPr>
          <w:rFonts w:ascii="Arial" w:hAnsi="Arial" w:cs="Arial"/>
          <w:sz w:val="20"/>
          <w:szCs w:val="20"/>
          <w:lang w:val="en-GB"/>
        </w:rPr>
        <w:t xml:space="preserve"> </w:t>
      </w:r>
      <w:r w:rsidR="00CF715B" w:rsidRPr="00FC564B">
        <w:rPr>
          <w:rFonts w:ascii="Arial" w:hAnsi="Arial" w:cs="Arial"/>
          <w:sz w:val="20"/>
          <w:szCs w:val="20"/>
          <w:lang w:val="en-GB"/>
        </w:rPr>
        <w:t xml:space="preserve">that </w:t>
      </w:r>
      <w:r w:rsidR="00FB6FD1" w:rsidRPr="00FC564B">
        <w:rPr>
          <w:rFonts w:ascii="Arial" w:hAnsi="Arial" w:cs="Arial"/>
          <w:sz w:val="20"/>
          <w:szCs w:val="20"/>
          <w:lang w:val="en-GB"/>
        </w:rPr>
        <w:t>alignment</w:t>
      </w:r>
      <w:r w:rsidR="00371C81" w:rsidRPr="00FC564B">
        <w:rPr>
          <w:rFonts w:ascii="Arial" w:hAnsi="Arial" w:cs="Arial"/>
          <w:sz w:val="20"/>
          <w:szCs w:val="20"/>
          <w:lang w:val="en-GB"/>
        </w:rPr>
        <w:t xml:space="preserve"> </w:t>
      </w:r>
      <w:r w:rsidR="00B00820" w:rsidRPr="00FC564B">
        <w:rPr>
          <w:rFonts w:ascii="Arial" w:hAnsi="Arial" w:cs="Arial"/>
          <w:sz w:val="20"/>
          <w:szCs w:val="20"/>
          <w:lang w:val="en-GB"/>
        </w:rPr>
        <w:t xml:space="preserve">of plans </w:t>
      </w:r>
      <w:r w:rsidR="00371C81" w:rsidRPr="00FC564B">
        <w:rPr>
          <w:rFonts w:ascii="Arial" w:hAnsi="Arial" w:cs="Arial"/>
          <w:sz w:val="20"/>
          <w:szCs w:val="20"/>
          <w:lang w:val="en-GB"/>
        </w:rPr>
        <w:t>and better</w:t>
      </w:r>
      <w:r w:rsidR="001B067B" w:rsidRPr="00FC564B">
        <w:rPr>
          <w:rFonts w:ascii="Arial" w:hAnsi="Arial" w:cs="Arial"/>
          <w:sz w:val="20"/>
          <w:szCs w:val="20"/>
          <w:lang w:val="en-GB"/>
        </w:rPr>
        <w:t xml:space="preserve"> service delivery</w:t>
      </w:r>
      <w:r w:rsidR="001528A9" w:rsidRPr="00FC564B">
        <w:rPr>
          <w:rFonts w:ascii="Arial" w:hAnsi="Arial" w:cs="Arial"/>
          <w:sz w:val="20"/>
          <w:szCs w:val="20"/>
          <w:lang w:val="en-GB"/>
        </w:rPr>
        <w:t xml:space="preserve"> are</w:t>
      </w:r>
      <w:r w:rsidR="00371C81" w:rsidRPr="00FC564B">
        <w:rPr>
          <w:rFonts w:ascii="Arial" w:hAnsi="Arial" w:cs="Arial"/>
          <w:sz w:val="20"/>
          <w:szCs w:val="20"/>
          <w:lang w:val="en-GB"/>
        </w:rPr>
        <w:t xml:space="preserve"> achieved</w:t>
      </w:r>
      <w:r w:rsidR="00D07C15" w:rsidRPr="00FC564B">
        <w:rPr>
          <w:rFonts w:ascii="Arial" w:hAnsi="Arial" w:cs="Arial"/>
          <w:sz w:val="20"/>
          <w:szCs w:val="20"/>
          <w:lang w:val="en-GB"/>
        </w:rPr>
        <w:t xml:space="preserve"> </w:t>
      </w:r>
      <w:r w:rsidR="00DE4B0F" w:rsidRPr="00FC564B">
        <w:rPr>
          <w:rFonts w:ascii="Arial" w:hAnsi="Arial" w:cs="Arial"/>
          <w:sz w:val="20"/>
          <w:szCs w:val="20"/>
          <w:lang w:val="en-GB"/>
        </w:rPr>
        <w:t>at all levels of government</w:t>
      </w:r>
      <w:r w:rsidR="009614A0" w:rsidRPr="00FC564B">
        <w:rPr>
          <w:rFonts w:ascii="Arial" w:hAnsi="Arial" w:cs="Arial"/>
          <w:sz w:val="20"/>
          <w:szCs w:val="20"/>
          <w:lang w:val="en-GB"/>
        </w:rPr>
        <w:t>.</w:t>
      </w:r>
      <w:r w:rsidR="00DE4B0F" w:rsidRPr="00FC564B">
        <w:rPr>
          <w:rFonts w:ascii="Arial" w:hAnsi="Arial" w:cs="Arial"/>
          <w:sz w:val="20"/>
          <w:szCs w:val="20"/>
          <w:lang w:val="en-GB"/>
        </w:rPr>
        <w:t xml:space="preserve"> </w:t>
      </w:r>
      <w:r w:rsidR="00371C81" w:rsidRPr="00FC564B">
        <w:rPr>
          <w:rFonts w:ascii="Arial" w:hAnsi="Arial" w:cs="Arial"/>
          <w:sz w:val="20"/>
          <w:szCs w:val="20"/>
          <w:lang w:val="en-GB"/>
        </w:rPr>
        <w:t xml:space="preserve"> </w:t>
      </w:r>
      <w:r w:rsidR="001B067B" w:rsidRPr="00FC564B">
        <w:rPr>
          <w:rFonts w:ascii="Arial" w:hAnsi="Arial" w:cs="Arial"/>
          <w:sz w:val="20"/>
          <w:szCs w:val="20"/>
          <w:lang w:val="en-GB"/>
        </w:rPr>
        <w:t xml:space="preserve"> </w:t>
      </w:r>
    </w:p>
    <w:p w:rsidR="00F25535" w:rsidRPr="00FC564B" w:rsidRDefault="00FB6FD1" w:rsidP="00FC564B">
      <w:pPr>
        <w:rPr>
          <w:rFonts w:ascii="Arial" w:hAnsi="Arial" w:cs="Arial"/>
          <w:sz w:val="20"/>
          <w:szCs w:val="20"/>
        </w:rPr>
      </w:pPr>
      <w:r w:rsidRPr="00FC564B">
        <w:rPr>
          <w:rFonts w:ascii="Arial" w:hAnsi="Arial" w:cs="Arial"/>
          <w:sz w:val="20"/>
          <w:szCs w:val="20"/>
        </w:rPr>
        <w:t xml:space="preserve"> </w:t>
      </w:r>
    </w:p>
    <w:p w:rsidR="00F25535" w:rsidRPr="00FC564B" w:rsidRDefault="00F25535" w:rsidP="00FC564B">
      <w:pPr>
        <w:rPr>
          <w:rFonts w:ascii="Arial" w:hAnsi="Arial" w:cs="Arial"/>
          <w:sz w:val="20"/>
          <w:szCs w:val="20"/>
        </w:rPr>
      </w:pPr>
      <w:r w:rsidRPr="00FC564B">
        <w:rPr>
          <w:rFonts w:ascii="Arial" w:hAnsi="Arial" w:cs="Arial"/>
          <w:sz w:val="20"/>
          <w:szCs w:val="20"/>
        </w:rPr>
        <w:t>Report to be considered.</w:t>
      </w:r>
    </w:p>
    <w:p w:rsidR="00F25535" w:rsidRPr="00FC564B" w:rsidRDefault="00F25535" w:rsidP="00FC564B">
      <w:pPr>
        <w:rPr>
          <w:rFonts w:ascii="Arial" w:hAnsi="Arial" w:cs="Arial"/>
          <w:sz w:val="20"/>
          <w:szCs w:val="20"/>
        </w:rPr>
      </w:pPr>
    </w:p>
    <w:sectPr w:rsidR="00F25535" w:rsidRPr="00FC564B" w:rsidSect="0005227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18" w:rsidRDefault="006D1418" w:rsidP="00F242CD">
      <w:r>
        <w:separator/>
      </w:r>
    </w:p>
  </w:endnote>
  <w:endnote w:type="continuationSeparator" w:id="0">
    <w:p w:rsidR="006D1418" w:rsidRDefault="006D1418" w:rsidP="00F242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9802"/>
      <w:docPartObj>
        <w:docPartGallery w:val="Page Numbers (Bottom of Page)"/>
        <w:docPartUnique/>
      </w:docPartObj>
    </w:sdtPr>
    <w:sdtEndPr>
      <w:rPr>
        <w:noProof/>
      </w:rPr>
    </w:sdtEndPr>
    <w:sdtContent>
      <w:p w:rsidR="00F242CD" w:rsidRDefault="00052276">
        <w:pPr>
          <w:pStyle w:val="Footer"/>
          <w:jc w:val="right"/>
        </w:pPr>
        <w:r>
          <w:fldChar w:fldCharType="begin"/>
        </w:r>
        <w:r w:rsidR="00F242CD">
          <w:instrText xml:space="preserve"> PAGE   \* MERGEFORMAT </w:instrText>
        </w:r>
        <w:r>
          <w:fldChar w:fldCharType="separate"/>
        </w:r>
        <w:r w:rsidR="00FC564B">
          <w:rPr>
            <w:noProof/>
          </w:rPr>
          <w:t>1</w:t>
        </w:r>
        <w:r>
          <w:rPr>
            <w:noProof/>
          </w:rPr>
          <w:fldChar w:fldCharType="end"/>
        </w:r>
      </w:p>
    </w:sdtContent>
  </w:sdt>
  <w:p w:rsidR="00F242CD" w:rsidRDefault="00F24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18" w:rsidRDefault="006D1418" w:rsidP="00F242CD">
      <w:r>
        <w:separator/>
      </w:r>
    </w:p>
  </w:footnote>
  <w:footnote w:type="continuationSeparator" w:id="0">
    <w:p w:rsidR="006D1418" w:rsidRDefault="006D1418" w:rsidP="00F24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850"/>
    <w:multiLevelType w:val="multilevel"/>
    <w:tmpl w:val="09FC6F1A"/>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5AD7370"/>
    <w:multiLevelType w:val="hybridMultilevel"/>
    <w:tmpl w:val="D6422636"/>
    <w:lvl w:ilvl="0" w:tplc="47061DBC">
      <w:start w:val="1"/>
      <w:numFmt w:val="bullet"/>
      <w:lvlText w:val="•"/>
      <w:lvlJc w:val="left"/>
      <w:pPr>
        <w:tabs>
          <w:tab w:val="num" w:pos="720"/>
        </w:tabs>
        <w:ind w:left="720" w:hanging="360"/>
      </w:pPr>
      <w:rPr>
        <w:rFonts w:ascii="Times New Roman" w:hAnsi="Times New Roman" w:hint="default"/>
      </w:rPr>
    </w:lvl>
    <w:lvl w:ilvl="1" w:tplc="0D9A2BCA">
      <w:numFmt w:val="bullet"/>
      <w:lvlText w:val="–"/>
      <w:lvlJc w:val="left"/>
      <w:pPr>
        <w:tabs>
          <w:tab w:val="num" w:pos="1440"/>
        </w:tabs>
        <w:ind w:left="1440" w:hanging="360"/>
      </w:pPr>
      <w:rPr>
        <w:rFonts w:ascii="Times New Roman" w:hAnsi="Times New Roman" w:hint="default"/>
      </w:rPr>
    </w:lvl>
    <w:lvl w:ilvl="2" w:tplc="30A46D5E" w:tentative="1">
      <w:start w:val="1"/>
      <w:numFmt w:val="bullet"/>
      <w:lvlText w:val="•"/>
      <w:lvlJc w:val="left"/>
      <w:pPr>
        <w:tabs>
          <w:tab w:val="num" w:pos="2160"/>
        </w:tabs>
        <w:ind w:left="2160" w:hanging="360"/>
      </w:pPr>
      <w:rPr>
        <w:rFonts w:ascii="Times New Roman" w:hAnsi="Times New Roman" w:hint="default"/>
      </w:rPr>
    </w:lvl>
    <w:lvl w:ilvl="3" w:tplc="473E7988" w:tentative="1">
      <w:start w:val="1"/>
      <w:numFmt w:val="bullet"/>
      <w:lvlText w:val="•"/>
      <w:lvlJc w:val="left"/>
      <w:pPr>
        <w:tabs>
          <w:tab w:val="num" w:pos="2880"/>
        </w:tabs>
        <w:ind w:left="2880" w:hanging="360"/>
      </w:pPr>
      <w:rPr>
        <w:rFonts w:ascii="Times New Roman" w:hAnsi="Times New Roman" w:hint="default"/>
      </w:rPr>
    </w:lvl>
    <w:lvl w:ilvl="4" w:tplc="D326EAFA" w:tentative="1">
      <w:start w:val="1"/>
      <w:numFmt w:val="bullet"/>
      <w:lvlText w:val="•"/>
      <w:lvlJc w:val="left"/>
      <w:pPr>
        <w:tabs>
          <w:tab w:val="num" w:pos="3600"/>
        </w:tabs>
        <w:ind w:left="3600" w:hanging="360"/>
      </w:pPr>
      <w:rPr>
        <w:rFonts w:ascii="Times New Roman" w:hAnsi="Times New Roman" w:hint="default"/>
      </w:rPr>
    </w:lvl>
    <w:lvl w:ilvl="5" w:tplc="15E080CC" w:tentative="1">
      <w:start w:val="1"/>
      <w:numFmt w:val="bullet"/>
      <w:lvlText w:val="•"/>
      <w:lvlJc w:val="left"/>
      <w:pPr>
        <w:tabs>
          <w:tab w:val="num" w:pos="4320"/>
        </w:tabs>
        <w:ind w:left="4320" w:hanging="360"/>
      </w:pPr>
      <w:rPr>
        <w:rFonts w:ascii="Times New Roman" w:hAnsi="Times New Roman" w:hint="default"/>
      </w:rPr>
    </w:lvl>
    <w:lvl w:ilvl="6" w:tplc="8D3A9612" w:tentative="1">
      <w:start w:val="1"/>
      <w:numFmt w:val="bullet"/>
      <w:lvlText w:val="•"/>
      <w:lvlJc w:val="left"/>
      <w:pPr>
        <w:tabs>
          <w:tab w:val="num" w:pos="5040"/>
        </w:tabs>
        <w:ind w:left="5040" w:hanging="360"/>
      </w:pPr>
      <w:rPr>
        <w:rFonts w:ascii="Times New Roman" w:hAnsi="Times New Roman" w:hint="default"/>
      </w:rPr>
    </w:lvl>
    <w:lvl w:ilvl="7" w:tplc="97F87554" w:tentative="1">
      <w:start w:val="1"/>
      <w:numFmt w:val="bullet"/>
      <w:lvlText w:val="•"/>
      <w:lvlJc w:val="left"/>
      <w:pPr>
        <w:tabs>
          <w:tab w:val="num" w:pos="5760"/>
        </w:tabs>
        <w:ind w:left="5760" w:hanging="360"/>
      </w:pPr>
      <w:rPr>
        <w:rFonts w:ascii="Times New Roman" w:hAnsi="Times New Roman" w:hint="default"/>
      </w:rPr>
    </w:lvl>
    <w:lvl w:ilvl="8" w:tplc="AD2C0D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78B"/>
    <w:multiLevelType w:val="hybridMultilevel"/>
    <w:tmpl w:val="DE1ED51C"/>
    <w:lvl w:ilvl="0" w:tplc="4E6AC4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CF25955"/>
    <w:multiLevelType w:val="hybridMultilevel"/>
    <w:tmpl w:val="8F6CB9C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
    <w:nsid w:val="0DB20B94"/>
    <w:multiLevelType w:val="hybridMultilevel"/>
    <w:tmpl w:val="97762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AE38D3"/>
    <w:multiLevelType w:val="hybridMultilevel"/>
    <w:tmpl w:val="149C2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301F3B"/>
    <w:multiLevelType w:val="hybridMultilevel"/>
    <w:tmpl w:val="9FF293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F13FF"/>
    <w:multiLevelType w:val="hybridMultilevel"/>
    <w:tmpl w:val="9DBCDA7A"/>
    <w:lvl w:ilvl="0" w:tplc="1C090001">
      <w:start w:val="1"/>
      <w:numFmt w:val="bullet"/>
      <w:lvlText w:val=""/>
      <w:lvlJc w:val="left"/>
      <w:pPr>
        <w:ind w:left="856" w:hanging="360"/>
      </w:pPr>
      <w:rPr>
        <w:rFonts w:ascii="Symbol" w:hAnsi="Symbol" w:hint="default"/>
      </w:rPr>
    </w:lvl>
    <w:lvl w:ilvl="1" w:tplc="1C090003" w:tentative="1">
      <w:start w:val="1"/>
      <w:numFmt w:val="bullet"/>
      <w:lvlText w:val="o"/>
      <w:lvlJc w:val="left"/>
      <w:pPr>
        <w:ind w:left="1576" w:hanging="360"/>
      </w:pPr>
      <w:rPr>
        <w:rFonts w:ascii="Courier New" w:hAnsi="Courier New" w:cs="Courier New" w:hint="default"/>
      </w:rPr>
    </w:lvl>
    <w:lvl w:ilvl="2" w:tplc="1C090005" w:tentative="1">
      <w:start w:val="1"/>
      <w:numFmt w:val="bullet"/>
      <w:lvlText w:val=""/>
      <w:lvlJc w:val="left"/>
      <w:pPr>
        <w:ind w:left="2296" w:hanging="360"/>
      </w:pPr>
      <w:rPr>
        <w:rFonts w:ascii="Wingdings" w:hAnsi="Wingdings" w:hint="default"/>
      </w:rPr>
    </w:lvl>
    <w:lvl w:ilvl="3" w:tplc="1C090001" w:tentative="1">
      <w:start w:val="1"/>
      <w:numFmt w:val="bullet"/>
      <w:lvlText w:val=""/>
      <w:lvlJc w:val="left"/>
      <w:pPr>
        <w:ind w:left="3016" w:hanging="360"/>
      </w:pPr>
      <w:rPr>
        <w:rFonts w:ascii="Symbol" w:hAnsi="Symbol" w:hint="default"/>
      </w:rPr>
    </w:lvl>
    <w:lvl w:ilvl="4" w:tplc="1C090003" w:tentative="1">
      <w:start w:val="1"/>
      <w:numFmt w:val="bullet"/>
      <w:lvlText w:val="o"/>
      <w:lvlJc w:val="left"/>
      <w:pPr>
        <w:ind w:left="3736" w:hanging="360"/>
      </w:pPr>
      <w:rPr>
        <w:rFonts w:ascii="Courier New" w:hAnsi="Courier New" w:cs="Courier New" w:hint="default"/>
      </w:rPr>
    </w:lvl>
    <w:lvl w:ilvl="5" w:tplc="1C090005" w:tentative="1">
      <w:start w:val="1"/>
      <w:numFmt w:val="bullet"/>
      <w:lvlText w:val=""/>
      <w:lvlJc w:val="left"/>
      <w:pPr>
        <w:ind w:left="4456" w:hanging="360"/>
      </w:pPr>
      <w:rPr>
        <w:rFonts w:ascii="Wingdings" w:hAnsi="Wingdings" w:hint="default"/>
      </w:rPr>
    </w:lvl>
    <w:lvl w:ilvl="6" w:tplc="1C090001" w:tentative="1">
      <w:start w:val="1"/>
      <w:numFmt w:val="bullet"/>
      <w:lvlText w:val=""/>
      <w:lvlJc w:val="left"/>
      <w:pPr>
        <w:ind w:left="5176" w:hanging="360"/>
      </w:pPr>
      <w:rPr>
        <w:rFonts w:ascii="Symbol" w:hAnsi="Symbol" w:hint="default"/>
      </w:rPr>
    </w:lvl>
    <w:lvl w:ilvl="7" w:tplc="1C090003" w:tentative="1">
      <w:start w:val="1"/>
      <w:numFmt w:val="bullet"/>
      <w:lvlText w:val="o"/>
      <w:lvlJc w:val="left"/>
      <w:pPr>
        <w:ind w:left="5896" w:hanging="360"/>
      </w:pPr>
      <w:rPr>
        <w:rFonts w:ascii="Courier New" w:hAnsi="Courier New" w:cs="Courier New" w:hint="default"/>
      </w:rPr>
    </w:lvl>
    <w:lvl w:ilvl="8" w:tplc="1C090005" w:tentative="1">
      <w:start w:val="1"/>
      <w:numFmt w:val="bullet"/>
      <w:lvlText w:val=""/>
      <w:lvlJc w:val="left"/>
      <w:pPr>
        <w:ind w:left="6616" w:hanging="360"/>
      </w:pPr>
      <w:rPr>
        <w:rFonts w:ascii="Wingdings" w:hAnsi="Wingdings" w:hint="default"/>
      </w:rPr>
    </w:lvl>
  </w:abstractNum>
  <w:abstractNum w:abstractNumId="8">
    <w:nsid w:val="2A610E61"/>
    <w:multiLevelType w:val="hybridMultilevel"/>
    <w:tmpl w:val="824073E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9">
    <w:nsid w:val="412141A3"/>
    <w:multiLevelType w:val="hybridMultilevel"/>
    <w:tmpl w:val="98A0D132"/>
    <w:lvl w:ilvl="0" w:tplc="F3E8A3A0">
      <w:start w:val="1"/>
      <w:numFmt w:val="bullet"/>
      <w:lvlText w:val="•"/>
      <w:lvlJc w:val="left"/>
      <w:pPr>
        <w:tabs>
          <w:tab w:val="num" w:pos="720"/>
        </w:tabs>
        <w:ind w:left="720" w:hanging="360"/>
      </w:pPr>
      <w:rPr>
        <w:rFonts w:ascii="Arial" w:hAnsi="Arial" w:hint="default"/>
      </w:rPr>
    </w:lvl>
    <w:lvl w:ilvl="1" w:tplc="D668FAB8" w:tentative="1">
      <w:start w:val="1"/>
      <w:numFmt w:val="bullet"/>
      <w:lvlText w:val="•"/>
      <w:lvlJc w:val="left"/>
      <w:pPr>
        <w:tabs>
          <w:tab w:val="num" w:pos="1440"/>
        </w:tabs>
        <w:ind w:left="1440" w:hanging="360"/>
      </w:pPr>
      <w:rPr>
        <w:rFonts w:ascii="Arial" w:hAnsi="Arial" w:hint="default"/>
      </w:rPr>
    </w:lvl>
    <w:lvl w:ilvl="2" w:tplc="1C38156A" w:tentative="1">
      <w:start w:val="1"/>
      <w:numFmt w:val="bullet"/>
      <w:lvlText w:val="•"/>
      <w:lvlJc w:val="left"/>
      <w:pPr>
        <w:tabs>
          <w:tab w:val="num" w:pos="2160"/>
        </w:tabs>
        <w:ind w:left="2160" w:hanging="360"/>
      </w:pPr>
      <w:rPr>
        <w:rFonts w:ascii="Arial" w:hAnsi="Arial" w:hint="default"/>
      </w:rPr>
    </w:lvl>
    <w:lvl w:ilvl="3" w:tplc="F660613E" w:tentative="1">
      <w:start w:val="1"/>
      <w:numFmt w:val="bullet"/>
      <w:lvlText w:val="•"/>
      <w:lvlJc w:val="left"/>
      <w:pPr>
        <w:tabs>
          <w:tab w:val="num" w:pos="2880"/>
        </w:tabs>
        <w:ind w:left="2880" w:hanging="360"/>
      </w:pPr>
      <w:rPr>
        <w:rFonts w:ascii="Arial" w:hAnsi="Arial" w:hint="default"/>
      </w:rPr>
    </w:lvl>
    <w:lvl w:ilvl="4" w:tplc="E842A854" w:tentative="1">
      <w:start w:val="1"/>
      <w:numFmt w:val="bullet"/>
      <w:lvlText w:val="•"/>
      <w:lvlJc w:val="left"/>
      <w:pPr>
        <w:tabs>
          <w:tab w:val="num" w:pos="3600"/>
        </w:tabs>
        <w:ind w:left="3600" w:hanging="360"/>
      </w:pPr>
      <w:rPr>
        <w:rFonts w:ascii="Arial" w:hAnsi="Arial" w:hint="default"/>
      </w:rPr>
    </w:lvl>
    <w:lvl w:ilvl="5" w:tplc="2354D57E" w:tentative="1">
      <w:start w:val="1"/>
      <w:numFmt w:val="bullet"/>
      <w:lvlText w:val="•"/>
      <w:lvlJc w:val="left"/>
      <w:pPr>
        <w:tabs>
          <w:tab w:val="num" w:pos="4320"/>
        </w:tabs>
        <w:ind w:left="4320" w:hanging="360"/>
      </w:pPr>
      <w:rPr>
        <w:rFonts w:ascii="Arial" w:hAnsi="Arial" w:hint="default"/>
      </w:rPr>
    </w:lvl>
    <w:lvl w:ilvl="6" w:tplc="BB7AAB74" w:tentative="1">
      <w:start w:val="1"/>
      <w:numFmt w:val="bullet"/>
      <w:lvlText w:val="•"/>
      <w:lvlJc w:val="left"/>
      <w:pPr>
        <w:tabs>
          <w:tab w:val="num" w:pos="5040"/>
        </w:tabs>
        <w:ind w:left="5040" w:hanging="360"/>
      </w:pPr>
      <w:rPr>
        <w:rFonts w:ascii="Arial" w:hAnsi="Arial" w:hint="default"/>
      </w:rPr>
    </w:lvl>
    <w:lvl w:ilvl="7" w:tplc="1F5EC838" w:tentative="1">
      <w:start w:val="1"/>
      <w:numFmt w:val="bullet"/>
      <w:lvlText w:val="•"/>
      <w:lvlJc w:val="left"/>
      <w:pPr>
        <w:tabs>
          <w:tab w:val="num" w:pos="5760"/>
        </w:tabs>
        <w:ind w:left="5760" w:hanging="360"/>
      </w:pPr>
      <w:rPr>
        <w:rFonts w:ascii="Arial" w:hAnsi="Arial" w:hint="default"/>
      </w:rPr>
    </w:lvl>
    <w:lvl w:ilvl="8" w:tplc="A38A6F4C" w:tentative="1">
      <w:start w:val="1"/>
      <w:numFmt w:val="bullet"/>
      <w:lvlText w:val="•"/>
      <w:lvlJc w:val="left"/>
      <w:pPr>
        <w:tabs>
          <w:tab w:val="num" w:pos="6480"/>
        </w:tabs>
        <w:ind w:left="6480" w:hanging="360"/>
      </w:pPr>
      <w:rPr>
        <w:rFonts w:ascii="Arial" w:hAnsi="Arial" w:hint="default"/>
      </w:rPr>
    </w:lvl>
  </w:abstractNum>
  <w:abstractNum w:abstractNumId="10">
    <w:nsid w:val="4EE148EC"/>
    <w:multiLevelType w:val="multilevel"/>
    <w:tmpl w:val="09FC6F1A"/>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55C775B6"/>
    <w:multiLevelType w:val="multilevel"/>
    <w:tmpl w:val="09FC6F1A"/>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5E3260CA"/>
    <w:multiLevelType w:val="multilevel"/>
    <w:tmpl w:val="D1763528"/>
    <w:lvl w:ilvl="0">
      <w:start w:val="3"/>
      <w:numFmt w:val="decimal"/>
      <w:lvlText w:val="%1."/>
      <w:lvlJc w:val="left"/>
      <w:pPr>
        <w:ind w:left="420"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664A5EF4"/>
    <w:multiLevelType w:val="hybridMultilevel"/>
    <w:tmpl w:val="97308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3"/>
  </w:num>
  <w:num w:numId="5">
    <w:abstractNumId w:val="7"/>
  </w:num>
  <w:num w:numId="6">
    <w:abstractNumId w:val="8"/>
  </w:num>
  <w:num w:numId="7">
    <w:abstractNumId w:val="4"/>
  </w:num>
  <w:num w:numId="8">
    <w:abstractNumId w:val="1"/>
  </w:num>
  <w:num w:numId="9">
    <w:abstractNumId w:val="9"/>
  </w:num>
  <w:num w:numId="10">
    <w:abstractNumId w:val="6"/>
  </w:num>
  <w:num w:numId="11">
    <w:abstractNumId w:val="11"/>
  </w:num>
  <w:num w:numId="12">
    <w:abstractNumId w:val="1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1925"/>
    <w:rsid w:val="000020F5"/>
    <w:rsid w:val="00005276"/>
    <w:rsid w:val="0002548A"/>
    <w:rsid w:val="00025D41"/>
    <w:rsid w:val="000275CD"/>
    <w:rsid w:val="00032781"/>
    <w:rsid w:val="00052276"/>
    <w:rsid w:val="000528E0"/>
    <w:rsid w:val="00053F91"/>
    <w:rsid w:val="00055BAA"/>
    <w:rsid w:val="0006255A"/>
    <w:rsid w:val="00070FF8"/>
    <w:rsid w:val="00072EDD"/>
    <w:rsid w:val="00086B6F"/>
    <w:rsid w:val="000934EF"/>
    <w:rsid w:val="000A031B"/>
    <w:rsid w:val="000A0DDA"/>
    <w:rsid w:val="000A1427"/>
    <w:rsid w:val="000A2058"/>
    <w:rsid w:val="000A3548"/>
    <w:rsid w:val="000B1724"/>
    <w:rsid w:val="000B5FF9"/>
    <w:rsid w:val="000B7413"/>
    <w:rsid w:val="000C7E71"/>
    <w:rsid w:val="000F6B66"/>
    <w:rsid w:val="000F6EC6"/>
    <w:rsid w:val="00101925"/>
    <w:rsid w:val="001060BA"/>
    <w:rsid w:val="00106C85"/>
    <w:rsid w:val="00120D5D"/>
    <w:rsid w:val="00121BC2"/>
    <w:rsid w:val="001224E9"/>
    <w:rsid w:val="001304EF"/>
    <w:rsid w:val="00130ACD"/>
    <w:rsid w:val="00131D35"/>
    <w:rsid w:val="001356B9"/>
    <w:rsid w:val="001528A9"/>
    <w:rsid w:val="001543E6"/>
    <w:rsid w:val="001603A3"/>
    <w:rsid w:val="00171FB2"/>
    <w:rsid w:val="00185D3A"/>
    <w:rsid w:val="00186140"/>
    <w:rsid w:val="0019010F"/>
    <w:rsid w:val="001B067B"/>
    <w:rsid w:val="001C4FAA"/>
    <w:rsid w:val="001C5C40"/>
    <w:rsid w:val="001D7C55"/>
    <w:rsid w:val="001D7DA7"/>
    <w:rsid w:val="001E56EF"/>
    <w:rsid w:val="001E5915"/>
    <w:rsid w:val="001F06CA"/>
    <w:rsid w:val="001F4F4C"/>
    <w:rsid w:val="00207E71"/>
    <w:rsid w:val="0021035E"/>
    <w:rsid w:val="00223864"/>
    <w:rsid w:val="00226C92"/>
    <w:rsid w:val="00231A78"/>
    <w:rsid w:val="002348D5"/>
    <w:rsid w:val="0024010D"/>
    <w:rsid w:val="0024248D"/>
    <w:rsid w:val="00244352"/>
    <w:rsid w:val="00252136"/>
    <w:rsid w:val="002626C7"/>
    <w:rsid w:val="00266E2D"/>
    <w:rsid w:val="00267D9A"/>
    <w:rsid w:val="002720DD"/>
    <w:rsid w:val="002730A7"/>
    <w:rsid w:val="00275160"/>
    <w:rsid w:val="00275956"/>
    <w:rsid w:val="00281FEA"/>
    <w:rsid w:val="0029027D"/>
    <w:rsid w:val="00294F62"/>
    <w:rsid w:val="002967FA"/>
    <w:rsid w:val="00297A86"/>
    <w:rsid w:val="002A4572"/>
    <w:rsid w:val="002B13E1"/>
    <w:rsid w:val="002C4200"/>
    <w:rsid w:val="002C6E7C"/>
    <w:rsid w:val="002D0207"/>
    <w:rsid w:val="002E375C"/>
    <w:rsid w:val="002E7EC0"/>
    <w:rsid w:val="002F091E"/>
    <w:rsid w:val="002F2564"/>
    <w:rsid w:val="002F35C6"/>
    <w:rsid w:val="002F41A3"/>
    <w:rsid w:val="002F66C0"/>
    <w:rsid w:val="003001AA"/>
    <w:rsid w:val="00322C65"/>
    <w:rsid w:val="00332A12"/>
    <w:rsid w:val="00336FFC"/>
    <w:rsid w:val="0034474A"/>
    <w:rsid w:val="00350A7A"/>
    <w:rsid w:val="00350CFB"/>
    <w:rsid w:val="00352D35"/>
    <w:rsid w:val="00354BE7"/>
    <w:rsid w:val="00362DBC"/>
    <w:rsid w:val="00366953"/>
    <w:rsid w:val="00371C81"/>
    <w:rsid w:val="0037481E"/>
    <w:rsid w:val="003757D5"/>
    <w:rsid w:val="003850B7"/>
    <w:rsid w:val="003900A4"/>
    <w:rsid w:val="00391241"/>
    <w:rsid w:val="00391459"/>
    <w:rsid w:val="00397DFA"/>
    <w:rsid w:val="003A1EC9"/>
    <w:rsid w:val="003B5516"/>
    <w:rsid w:val="003D3EB2"/>
    <w:rsid w:val="003E0D2A"/>
    <w:rsid w:val="003E0F86"/>
    <w:rsid w:val="003F033E"/>
    <w:rsid w:val="003F41AF"/>
    <w:rsid w:val="003F7506"/>
    <w:rsid w:val="004106E3"/>
    <w:rsid w:val="00416F8A"/>
    <w:rsid w:val="004175AD"/>
    <w:rsid w:val="00423485"/>
    <w:rsid w:val="00427278"/>
    <w:rsid w:val="00444B5A"/>
    <w:rsid w:val="00445509"/>
    <w:rsid w:val="00470455"/>
    <w:rsid w:val="00471C70"/>
    <w:rsid w:val="00487641"/>
    <w:rsid w:val="004926CA"/>
    <w:rsid w:val="00492E1B"/>
    <w:rsid w:val="00497A8B"/>
    <w:rsid w:val="004A2F6E"/>
    <w:rsid w:val="004C48E7"/>
    <w:rsid w:val="004C5F6F"/>
    <w:rsid w:val="004C74F1"/>
    <w:rsid w:val="004D1708"/>
    <w:rsid w:val="004D4B1C"/>
    <w:rsid w:val="004E435D"/>
    <w:rsid w:val="004E4758"/>
    <w:rsid w:val="004E574B"/>
    <w:rsid w:val="004E5A50"/>
    <w:rsid w:val="004F2D7F"/>
    <w:rsid w:val="00504B6E"/>
    <w:rsid w:val="005075A1"/>
    <w:rsid w:val="005100DD"/>
    <w:rsid w:val="00516360"/>
    <w:rsid w:val="00524DC7"/>
    <w:rsid w:val="005259B6"/>
    <w:rsid w:val="00533F29"/>
    <w:rsid w:val="00537B2C"/>
    <w:rsid w:val="00542F87"/>
    <w:rsid w:val="00556AA4"/>
    <w:rsid w:val="00556C79"/>
    <w:rsid w:val="005616A2"/>
    <w:rsid w:val="00570003"/>
    <w:rsid w:val="00572F56"/>
    <w:rsid w:val="00587729"/>
    <w:rsid w:val="005901E8"/>
    <w:rsid w:val="00590205"/>
    <w:rsid w:val="00592909"/>
    <w:rsid w:val="005A0EE2"/>
    <w:rsid w:val="005B1CCE"/>
    <w:rsid w:val="005B5F66"/>
    <w:rsid w:val="005B6615"/>
    <w:rsid w:val="005D321B"/>
    <w:rsid w:val="005F3606"/>
    <w:rsid w:val="005F601B"/>
    <w:rsid w:val="006149DA"/>
    <w:rsid w:val="006175E6"/>
    <w:rsid w:val="00624478"/>
    <w:rsid w:val="00627E36"/>
    <w:rsid w:val="00641132"/>
    <w:rsid w:val="00645FF5"/>
    <w:rsid w:val="00646588"/>
    <w:rsid w:val="00651E8A"/>
    <w:rsid w:val="00661974"/>
    <w:rsid w:val="00661D6D"/>
    <w:rsid w:val="00662CEC"/>
    <w:rsid w:val="006670A3"/>
    <w:rsid w:val="00667583"/>
    <w:rsid w:val="006812AA"/>
    <w:rsid w:val="00693AD2"/>
    <w:rsid w:val="0069781E"/>
    <w:rsid w:val="006A4E88"/>
    <w:rsid w:val="006A7B9C"/>
    <w:rsid w:val="006B6746"/>
    <w:rsid w:val="006D1418"/>
    <w:rsid w:val="006D3B5B"/>
    <w:rsid w:val="006D7C55"/>
    <w:rsid w:val="006E02EC"/>
    <w:rsid w:val="006E4658"/>
    <w:rsid w:val="006F2BC6"/>
    <w:rsid w:val="006F7DAA"/>
    <w:rsid w:val="00704BFD"/>
    <w:rsid w:val="00706DC4"/>
    <w:rsid w:val="00710EA1"/>
    <w:rsid w:val="007149D6"/>
    <w:rsid w:val="007158B5"/>
    <w:rsid w:val="00717F3F"/>
    <w:rsid w:val="007231F7"/>
    <w:rsid w:val="00730927"/>
    <w:rsid w:val="007323CF"/>
    <w:rsid w:val="007323F7"/>
    <w:rsid w:val="0073699A"/>
    <w:rsid w:val="00762D89"/>
    <w:rsid w:val="007639E0"/>
    <w:rsid w:val="007742EC"/>
    <w:rsid w:val="00774BD3"/>
    <w:rsid w:val="00777738"/>
    <w:rsid w:val="00783777"/>
    <w:rsid w:val="00794BED"/>
    <w:rsid w:val="007A0F8E"/>
    <w:rsid w:val="007A1068"/>
    <w:rsid w:val="007A5DC5"/>
    <w:rsid w:val="007B37D5"/>
    <w:rsid w:val="007B4BE6"/>
    <w:rsid w:val="007C02A3"/>
    <w:rsid w:val="007E10BA"/>
    <w:rsid w:val="007E191F"/>
    <w:rsid w:val="007E3665"/>
    <w:rsid w:val="007E489B"/>
    <w:rsid w:val="00801170"/>
    <w:rsid w:val="00817F2F"/>
    <w:rsid w:val="00822382"/>
    <w:rsid w:val="008301DC"/>
    <w:rsid w:val="00843C52"/>
    <w:rsid w:val="00845D2E"/>
    <w:rsid w:val="008558D6"/>
    <w:rsid w:val="00856E51"/>
    <w:rsid w:val="0086102B"/>
    <w:rsid w:val="008678F3"/>
    <w:rsid w:val="00872580"/>
    <w:rsid w:val="00874DEA"/>
    <w:rsid w:val="00894420"/>
    <w:rsid w:val="00897213"/>
    <w:rsid w:val="008B550F"/>
    <w:rsid w:val="008C2689"/>
    <w:rsid w:val="008C3FB9"/>
    <w:rsid w:val="008D0EDE"/>
    <w:rsid w:val="008D38DD"/>
    <w:rsid w:val="008E3358"/>
    <w:rsid w:val="00906C05"/>
    <w:rsid w:val="00913732"/>
    <w:rsid w:val="009147D1"/>
    <w:rsid w:val="009162D0"/>
    <w:rsid w:val="00916A67"/>
    <w:rsid w:val="00916F7C"/>
    <w:rsid w:val="00927090"/>
    <w:rsid w:val="00927DC2"/>
    <w:rsid w:val="009300C5"/>
    <w:rsid w:val="00935D6D"/>
    <w:rsid w:val="00950D33"/>
    <w:rsid w:val="009575C7"/>
    <w:rsid w:val="009614A0"/>
    <w:rsid w:val="009817C8"/>
    <w:rsid w:val="00981D26"/>
    <w:rsid w:val="009A13CD"/>
    <w:rsid w:val="009A24DB"/>
    <w:rsid w:val="009A4FDB"/>
    <w:rsid w:val="009A588F"/>
    <w:rsid w:val="009B758B"/>
    <w:rsid w:val="009C189A"/>
    <w:rsid w:val="009C3EED"/>
    <w:rsid w:val="009C5F24"/>
    <w:rsid w:val="009D098D"/>
    <w:rsid w:val="009D16A9"/>
    <w:rsid w:val="009F03AF"/>
    <w:rsid w:val="009F0BCF"/>
    <w:rsid w:val="00A07302"/>
    <w:rsid w:val="00A12004"/>
    <w:rsid w:val="00A16FB7"/>
    <w:rsid w:val="00A21BB4"/>
    <w:rsid w:val="00A2223E"/>
    <w:rsid w:val="00A22241"/>
    <w:rsid w:val="00A357D9"/>
    <w:rsid w:val="00A60B79"/>
    <w:rsid w:val="00A774FA"/>
    <w:rsid w:val="00A805D4"/>
    <w:rsid w:val="00A85FAA"/>
    <w:rsid w:val="00A935A9"/>
    <w:rsid w:val="00AA35F4"/>
    <w:rsid w:val="00AB7C26"/>
    <w:rsid w:val="00AC7019"/>
    <w:rsid w:val="00AC72BB"/>
    <w:rsid w:val="00AD553A"/>
    <w:rsid w:val="00AD61BE"/>
    <w:rsid w:val="00AE6B20"/>
    <w:rsid w:val="00AF4EE2"/>
    <w:rsid w:val="00B00820"/>
    <w:rsid w:val="00B00FD7"/>
    <w:rsid w:val="00B03BE0"/>
    <w:rsid w:val="00B073C0"/>
    <w:rsid w:val="00B160E7"/>
    <w:rsid w:val="00B228B0"/>
    <w:rsid w:val="00B42E1C"/>
    <w:rsid w:val="00B52A0B"/>
    <w:rsid w:val="00B575EE"/>
    <w:rsid w:val="00B647A1"/>
    <w:rsid w:val="00B755B6"/>
    <w:rsid w:val="00B76FD3"/>
    <w:rsid w:val="00B81D5C"/>
    <w:rsid w:val="00B93135"/>
    <w:rsid w:val="00B962F6"/>
    <w:rsid w:val="00BB3FBC"/>
    <w:rsid w:val="00BC400F"/>
    <w:rsid w:val="00BC54E4"/>
    <w:rsid w:val="00BD38C7"/>
    <w:rsid w:val="00BD3A9E"/>
    <w:rsid w:val="00BD6716"/>
    <w:rsid w:val="00BD724E"/>
    <w:rsid w:val="00BE7B66"/>
    <w:rsid w:val="00C000EF"/>
    <w:rsid w:val="00C008A8"/>
    <w:rsid w:val="00C012A3"/>
    <w:rsid w:val="00C02610"/>
    <w:rsid w:val="00C029CE"/>
    <w:rsid w:val="00C112E6"/>
    <w:rsid w:val="00C11D6D"/>
    <w:rsid w:val="00C13947"/>
    <w:rsid w:val="00C141FC"/>
    <w:rsid w:val="00C153DC"/>
    <w:rsid w:val="00C1738A"/>
    <w:rsid w:val="00C22FE4"/>
    <w:rsid w:val="00C2328B"/>
    <w:rsid w:val="00C236A3"/>
    <w:rsid w:val="00C31B1E"/>
    <w:rsid w:val="00C402D3"/>
    <w:rsid w:val="00C50C34"/>
    <w:rsid w:val="00C51809"/>
    <w:rsid w:val="00C57855"/>
    <w:rsid w:val="00C60FF7"/>
    <w:rsid w:val="00C63275"/>
    <w:rsid w:val="00C77BC7"/>
    <w:rsid w:val="00C803B8"/>
    <w:rsid w:val="00C92880"/>
    <w:rsid w:val="00C933F6"/>
    <w:rsid w:val="00C961DB"/>
    <w:rsid w:val="00CA27C0"/>
    <w:rsid w:val="00CA4E1F"/>
    <w:rsid w:val="00CB25AC"/>
    <w:rsid w:val="00CB5DE0"/>
    <w:rsid w:val="00CC4D38"/>
    <w:rsid w:val="00CC6D4A"/>
    <w:rsid w:val="00CC7B24"/>
    <w:rsid w:val="00CD26B0"/>
    <w:rsid w:val="00CD6340"/>
    <w:rsid w:val="00CE20E5"/>
    <w:rsid w:val="00CE299A"/>
    <w:rsid w:val="00CE6336"/>
    <w:rsid w:val="00CE6CDB"/>
    <w:rsid w:val="00CE712E"/>
    <w:rsid w:val="00CF00AF"/>
    <w:rsid w:val="00CF384A"/>
    <w:rsid w:val="00CF4B76"/>
    <w:rsid w:val="00CF715B"/>
    <w:rsid w:val="00D01C3E"/>
    <w:rsid w:val="00D07C15"/>
    <w:rsid w:val="00D173D7"/>
    <w:rsid w:val="00D177DF"/>
    <w:rsid w:val="00D20749"/>
    <w:rsid w:val="00D2450B"/>
    <w:rsid w:val="00D3530B"/>
    <w:rsid w:val="00D35A0D"/>
    <w:rsid w:val="00D367DB"/>
    <w:rsid w:val="00D435EE"/>
    <w:rsid w:val="00D44EAF"/>
    <w:rsid w:val="00D51932"/>
    <w:rsid w:val="00D54EE9"/>
    <w:rsid w:val="00D55F21"/>
    <w:rsid w:val="00D57569"/>
    <w:rsid w:val="00D57BE2"/>
    <w:rsid w:val="00D60D16"/>
    <w:rsid w:val="00D7042D"/>
    <w:rsid w:val="00D707D3"/>
    <w:rsid w:val="00D716FC"/>
    <w:rsid w:val="00D71903"/>
    <w:rsid w:val="00D74BA4"/>
    <w:rsid w:val="00D74DA4"/>
    <w:rsid w:val="00D85439"/>
    <w:rsid w:val="00D91DE0"/>
    <w:rsid w:val="00D93711"/>
    <w:rsid w:val="00D95346"/>
    <w:rsid w:val="00DA4323"/>
    <w:rsid w:val="00DC0613"/>
    <w:rsid w:val="00DC32E4"/>
    <w:rsid w:val="00DC4B4C"/>
    <w:rsid w:val="00DD341A"/>
    <w:rsid w:val="00DE4B0F"/>
    <w:rsid w:val="00DF222E"/>
    <w:rsid w:val="00DF758D"/>
    <w:rsid w:val="00E03358"/>
    <w:rsid w:val="00E05AAF"/>
    <w:rsid w:val="00E1428A"/>
    <w:rsid w:val="00E14529"/>
    <w:rsid w:val="00E323DC"/>
    <w:rsid w:val="00E32E13"/>
    <w:rsid w:val="00E374ED"/>
    <w:rsid w:val="00E44024"/>
    <w:rsid w:val="00E441AF"/>
    <w:rsid w:val="00E454D2"/>
    <w:rsid w:val="00E60F37"/>
    <w:rsid w:val="00E615E1"/>
    <w:rsid w:val="00E73D04"/>
    <w:rsid w:val="00E761D9"/>
    <w:rsid w:val="00E76A74"/>
    <w:rsid w:val="00EA2ADC"/>
    <w:rsid w:val="00EB79FD"/>
    <w:rsid w:val="00EC7209"/>
    <w:rsid w:val="00ED3BD5"/>
    <w:rsid w:val="00ED53F2"/>
    <w:rsid w:val="00ED609B"/>
    <w:rsid w:val="00ED6AAB"/>
    <w:rsid w:val="00EE1EB3"/>
    <w:rsid w:val="00EE6AB4"/>
    <w:rsid w:val="00EF1053"/>
    <w:rsid w:val="00EF2673"/>
    <w:rsid w:val="00EF4540"/>
    <w:rsid w:val="00F044A9"/>
    <w:rsid w:val="00F13AD5"/>
    <w:rsid w:val="00F14C18"/>
    <w:rsid w:val="00F22CC9"/>
    <w:rsid w:val="00F242CD"/>
    <w:rsid w:val="00F25535"/>
    <w:rsid w:val="00F25A90"/>
    <w:rsid w:val="00F31970"/>
    <w:rsid w:val="00F3484D"/>
    <w:rsid w:val="00F3742B"/>
    <w:rsid w:val="00F4606A"/>
    <w:rsid w:val="00F469AB"/>
    <w:rsid w:val="00F6129E"/>
    <w:rsid w:val="00F65283"/>
    <w:rsid w:val="00F71490"/>
    <w:rsid w:val="00F8446B"/>
    <w:rsid w:val="00F84FB7"/>
    <w:rsid w:val="00F9191E"/>
    <w:rsid w:val="00F955E1"/>
    <w:rsid w:val="00FA0609"/>
    <w:rsid w:val="00FA2C0C"/>
    <w:rsid w:val="00FA3930"/>
    <w:rsid w:val="00FA40F4"/>
    <w:rsid w:val="00FA4326"/>
    <w:rsid w:val="00FB6FD1"/>
    <w:rsid w:val="00FC564B"/>
    <w:rsid w:val="00FD0EE2"/>
    <w:rsid w:val="00FD171D"/>
    <w:rsid w:val="00FE0359"/>
    <w:rsid w:val="00FE37C4"/>
    <w:rsid w:val="00FE5678"/>
    <w:rsid w:val="00FF2602"/>
    <w:rsid w:val="00FF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25"/>
    <w:pPr>
      <w:ind w:left="720"/>
      <w:contextualSpacing/>
    </w:pPr>
    <w:rPr>
      <w:lang w:val="en-ZA" w:eastAsia="en-ZA"/>
    </w:rPr>
  </w:style>
  <w:style w:type="table" w:styleId="TableGrid">
    <w:name w:val="Table Grid"/>
    <w:basedOn w:val="TableNormal"/>
    <w:uiPriority w:val="39"/>
    <w:rsid w:val="00C1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2CD"/>
    <w:pPr>
      <w:tabs>
        <w:tab w:val="center" w:pos="4513"/>
        <w:tab w:val="right" w:pos="9026"/>
      </w:tabs>
    </w:pPr>
  </w:style>
  <w:style w:type="character" w:customStyle="1" w:styleId="HeaderChar">
    <w:name w:val="Header Char"/>
    <w:basedOn w:val="DefaultParagraphFont"/>
    <w:link w:val="Header"/>
    <w:uiPriority w:val="99"/>
    <w:rsid w:val="00F242C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242CD"/>
    <w:pPr>
      <w:tabs>
        <w:tab w:val="center" w:pos="4513"/>
        <w:tab w:val="right" w:pos="9026"/>
      </w:tabs>
    </w:pPr>
  </w:style>
  <w:style w:type="character" w:customStyle="1" w:styleId="FooterChar">
    <w:name w:val="Footer Char"/>
    <w:basedOn w:val="DefaultParagraphFont"/>
    <w:link w:val="Footer"/>
    <w:uiPriority w:val="99"/>
    <w:rsid w:val="00F242C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7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EC"/>
    <w:rPr>
      <w:rFonts w:ascii="Segoe UI" w:eastAsia="Times New Roman"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324403833">
      <w:bodyDiv w:val="1"/>
      <w:marLeft w:val="0"/>
      <w:marRight w:val="0"/>
      <w:marTop w:val="0"/>
      <w:marBottom w:val="0"/>
      <w:divBdr>
        <w:top w:val="none" w:sz="0" w:space="0" w:color="auto"/>
        <w:left w:val="none" w:sz="0" w:space="0" w:color="auto"/>
        <w:bottom w:val="none" w:sz="0" w:space="0" w:color="auto"/>
        <w:right w:val="none" w:sz="0" w:space="0" w:color="auto"/>
      </w:divBdr>
      <w:divsChild>
        <w:div w:id="277109145">
          <w:marLeft w:val="547"/>
          <w:marRight w:val="0"/>
          <w:marTop w:val="91"/>
          <w:marBottom w:val="160"/>
          <w:divBdr>
            <w:top w:val="none" w:sz="0" w:space="0" w:color="auto"/>
            <w:left w:val="none" w:sz="0" w:space="0" w:color="auto"/>
            <w:bottom w:val="none" w:sz="0" w:space="0" w:color="auto"/>
            <w:right w:val="none" w:sz="0" w:space="0" w:color="auto"/>
          </w:divBdr>
        </w:div>
        <w:div w:id="1794129372">
          <w:marLeft w:val="547"/>
          <w:marRight w:val="0"/>
          <w:marTop w:val="91"/>
          <w:marBottom w:val="160"/>
          <w:divBdr>
            <w:top w:val="none" w:sz="0" w:space="0" w:color="auto"/>
            <w:left w:val="none" w:sz="0" w:space="0" w:color="auto"/>
            <w:bottom w:val="none" w:sz="0" w:space="0" w:color="auto"/>
            <w:right w:val="none" w:sz="0" w:space="0" w:color="auto"/>
          </w:divBdr>
        </w:div>
        <w:div w:id="352536827">
          <w:marLeft w:val="547"/>
          <w:marRight w:val="0"/>
          <w:marTop w:val="91"/>
          <w:marBottom w:val="160"/>
          <w:divBdr>
            <w:top w:val="none" w:sz="0" w:space="0" w:color="auto"/>
            <w:left w:val="none" w:sz="0" w:space="0" w:color="auto"/>
            <w:bottom w:val="none" w:sz="0" w:space="0" w:color="auto"/>
            <w:right w:val="none" w:sz="0" w:space="0" w:color="auto"/>
          </w:divBdr>
        </w:div>
        <w:div w:id="988483294">
          <w:marLeft w:val="547"/>
          <w:marRight w:val="0"/>
          <w:marTop w:val="91"/>
          <w:marBottom w:val="160"/>
          <w:divBdr>
            <w:top w:val="none" w:sz="0" w:space="0" w:color="auto"/>
            <w:left w:val="none" w:sz="0" w:space="0" w:color="auto"/>
            <w:bottom w:val="none" w:sz="0" w:space="0" w:color="auto"/>
            <w:right w:val="none" w:sz="0" w:space="0" w:color="auto"/>
          </w:divBdr>
        </w:div>
        <w:div w:id="1733307118">
          <w:marLeft w:val="547"/>
          <w:marRight w:val="0"/>
          <w:marTop w:val="91"/>
          <w:marBottom w:val="160"/>
          <w:divBdr>
            <w:top w:val="none" w:sz="0" w:space="0" w:color="auto"/>
            <w:left w:val="none" w:sz="0" w:space="0" w:color="auto"/>
            <w:bottom w:val="none" w:sz="0" w:space="0" w:color="auto"/>
            <w:right w:val="none" w:sz="0" w:space="0" w:color="auto"/>
          </w:divBdr>
        </w:div>
      </w:divsChild>
    </w:div>
    <w:div w:id="690230987">
      <w:bodyDiv w:val="1"/>
      <w:marLeft w:val="0"/>
      <w:marRight w:val="0"/>
      <w:marTop w:val="0"/>
      <w:marBottom w:val="0"/>
      <w:divBdr>
        <w:top w:val="none" w:sz="0" w:space="0" w:color="auto"/>
        <w:left w:val="none" w:sz="0" w:space="0" w:color="auto"/>
        <w:bottom w:val="none" w:sz="0" w:space="0" w:color="auto"/>
        <w:right w:val="none" w:sz="0" w:space="0" w:color="auto"/>
      </w:divBdr>
      <w:divsChild>
        <w:div w:id="1588349496">
          <w:marLeft w:val="547"/>
          <w:marRight w:val="0"/>
          <w:marTop w:val="115"/>
          <w:marBottom w:val="0"/>
          <w:divBdr>
            <w:top w:val="none" w:sz="0" w:space="0" w:color="auto"/>
            <w:left w:val="none" w:sz="0" w:space="0" w:color="auto"/>
            <w:bottom w:val="none" w:sz="0" w:space="0" w:color="auto"/>
            <w:right w:val="none" w:sz="0" w:space="0" w:color="auto"/>
          </w:divBdr>
        </w:div>
        <w:div w:id="1600483710">
          <w:marLeft w:val="547"/>
          <w:marRight w:val="0"/>
          <w:marTop w:val="115"/>
          <w:marBottom w:val="0"/>
          <w:divBdr>
            <w:top w:val="none" w:sz="0" w:space="0" w:color="auto"/>
            <w:left w:val="none" w:sz="0" w:space="0" w:color="auto"/>
            <w:bottom w:val="none" w:sz="0" w:space="0" w:color="auto"/>
            <w:right w:val="none" w:sz="0" w:space="0" w:color="auto"/>
          </w:divBdr>
        </w:div>
        <w:div w:id="680470813">
          <w:marLeft w:val="1166"/>
          <w:marRight w:val="0"/>
          <w:marTop w:val="115"/>
          <w:marBottom w:val="0"/>
          <w:divBdr>
            <w:top w:val="none" w:sz="0" w:space="0" w:color="auto"/>
            <w:left w:val="none" w:sz="0" w:space="0" w:color="auto"/>
            <w:bottom w:val="none" w:sz="0" w:space="0" w:color="auto"/>
            <w:right w:val="none" w:sz="0" w:space="0" w:color="auto"/>
          </w:divBdr>
        </w:div>
        <w:div w:id="749932946">
          <w:marLeft w:val="1166"/>
          <w:marRight w:val="0"/>
          <w:marTop w:val="115"/>
          <w:marBottom w:val="0"/>
          <w:divBdr>
            <w:top w:val="none" w:sz="0" w:space="0" w:color="auto"/>
            <w:left w:val="none" w:sz="0" w:space="0" w:color="auto"/>
            <w:bottom w:val="none" w:sz="0" w:space="0" w:color="auto"/>
            <w:right w:val="none" w:sz="0" w:space="0" w:color="auto"/>
          </w:divBdr>
        </w:div>
        <w:div w:id="1952859125">
          <w:marLeft w:val="1166"/>
          <w:marRight w:val="0"/>
          <w:marTop w:val="115"/>
          <w:marBottom w:val="0"/>
          <w:divBdr>
            <w:top w:val="none" w:sz="0" w:space="0" w:color="auto"/>
            <w:left w:val="none" w:sz="0" w:space="0" w:color="auto"/>
            <w:bottom w:val="none" w:sz="0" w:space="0" w:color="auto"/>
            <w:right w:val="none" w:sz="0" w:space="0" w:color="auto"/>
          </w:divBdr>
        </w:div>
        <w:div w:id="1273319060">
          <w:marLeft w:val="547"/>
          <w:marRight w:val="0"/>
          <w:marTop w:val="115"/>
          <w:marBottom w:val="0"/>
          <w:divBdr>
            <w:top w:val="none" w:sz="0" w:space="0" w:color="auto"/>
            <w:left w:val="none" w:sz="0" w:space="0" w:color="auto"/>
            <w:bottom w:val="none" w:sz="0" w:space="0" w:color="auto"/>
            <w:right w:val="none" w:sz="0" w:space="0" w:color="auto"/>
          </w:divBdr>
        </w:div>
      </w:divsChild>
    </w:div>
    <w:div w:id="780222664">
      <w:bodyDiv w:val="1"/>
      <w:marLeft w:val="0"/>
      <w:marRight w:val="0"/>
      <w:marTop w:val="0"/>
      <w:marBottom w:val="0"/>
      <w:divBdr>
        <w:top w:val="none" w:sz="0" w:space="0" w:color="auto"/>
        <w:left w:val="none" w:sz="0" w:space="0" w:color="auto"/>
        <w:bottom w:val="none" w:sz="0" w:space="0" w:color="auto"/>
        <w:right w:val="none" w:sz="0" w:space="0" w:color="auto"/>
      </w:divBdr>
      <w:divsChild>
        <w:div w:id="29384016">
          <w:marLeft w:val="547"/>
          <w:marRight w:val="0"/>
          <w:marTop w:val="115"/>
          <w:marBottom w:val="0"/>
          <w:divBdr>
            <w:top w:val="none" w:sz="0" w:space="0" w:color="auto"/>
            <w:left w:val="none" w:sz="0" w:space="0" w:color="auto"/>
            <w:bottom w:val="none" w:sz="0" w:space="0" w:color="auto"/>
            <w:right w:val="none" w:sz="0" w:space="0" w:color="auto"/>
          </w:divBdr>
        </w:div>
        <w:div w:id="1609116915">
          <w:marLeft w:val="547"/>
          <w:marRight w:val="0"/>
          <w:marTop w:val="115"/>
          <w:marBottom w:val="0"/>
          <w:divBdr>
            <w:top w:val="none" w:sz="0" w:space="0" w:color="auto"/>
            <w:left w:val="none" w:sz="0" w:space="0" w:color="auto"/>
            <w:bottom w:val="none" w:sz="0" w:space="0" w:color="auto"/>
            <w:right w:val="none" w:sz="0" w:space="0" w:color="auto"/>
          </w:divBdr>
        </w:div>
        <w:div w:id="735861142">
          <w:marLeft w:val="1166"/>
          <w:marRight w:val="0"/>
          <w:marTop w:val="115"/>
          <w:marBottom w:val="0"/>
          <w:divBdr>
            <w:top w:val="none" w:sz="0" w:space="0" w:color="auto"/>
            <w:left w:val="none" w:sz="0" w:space="0" w:color="auto"/>
            <w:bottom w:val="none" w:sz="0" w:space="0" w:color="auto"/>
            <w:right w:val="none" w:sz="0" w:space="0" w:color="auto"/>
          </w:divBdr>
        </w:div>
        <w:div w:id="1136332933">
          <w:marLeft w:val="1166"/>
          <w:marRight w:val="0"/>
          <w:marTop w:val="115"/>
          <w:marBottom w:val="0"/>
          <w:divBdr>
            <w:top w:val="none" w:sz="0" w:space="0" w:color="auto"/>
            <w:left w:val="none" w:sz="0" w:space="0" w:color="auto"/>
            <w:bottom w:val="none" w:sz="0" w:space="0" w:color="auto"/>
            <w:right w:val="none" w:sz="0" w:space="0" w:color="auto"/>
          </w:divBdr>
        </w:div>
        <w:div w:id="342823808">
          <w:marLeft w:val="1166"/>
          <w:marRight w:val="0"/>
          <w:marTop w:val="115"/>
          <w:marBottom w:val="0"/>
          <w:divBdr>
            <w:top w:val="none" w:sz="0" w:space="0" w:color="auto"/>
            <w:left w:val="none" w:sz="0" w:space="0" w:color="auto"/>
            <w:bottom w:val="none" w:sz="0" w:space="0" w:color="auto"/>
            <w:right w:val="none" w:sz="0" w:space="0" w:color="auto"/>
          </w:divBdr>
        </w:div>
        <w:div w:id="753665165">
          <w:marLeft w:val="547"/>
          <w:marRight w:val="0"/>
          <w:marTop w:val="115"/>
          <w:marBottom w:val="0"/>
          <w:divBdr>
            <w:top w:val="none" w:sz="0" w:space="0" w:color="auto"/>
            <w:left w:val="none" w:sz="0" w:space="0" w:color="auto"/>
            <w:bottom w:val="none" w:sz="0" w:space="0" w:color="auto"/>
            <w:right w:val="none" w:sz="0" w:space="0" w:color="auto"/>
          </w:divBdr>
        </w:div>
      </w:divsChild>
    </w:div>
    <w:div w:id="1393194681">
      <w:bodyDiv w:val="1"/>
      <w:marLeft w:val="0"/>
      <w:marRight w:val="0"/>
      <w:marTop w:val="0"/>
      <w:marBottom w:val="0"/>
      <w:divBdr>
        <w:top w:val="none" w:sz="0" w:space="0" w:color="auto"/>
        <w:left w:val="none" w:sz="0" w:space="0" w:color="auto"/>
        <w:bottom w:val="none" w:sz="0" w:space="0" w:color="auto"/>
        <w:right w:val="none" w:sz="0" w:space="0" w:color="auto"/>
      </w:divBdr>
      <w:divsChild>
        <w:div w:id="2146047801">
          <w:marLeft w:val="547"/>
          <w:marRight w:val="0"/>
          <w:marTop w:val="91"/>
          <w:marBottom w:val="160"/>
          <w:divBdr>
            <w:top w:val="none" w:sz="0" w:space="0" w:color="auto"/>
            <w:left w:val="none" w:sz="0" w:space="0" w:color="auto"/>
            <w:bottom w:val="none" w:sz="0" w:space="0" w:color="auto"/>
            <w:right w:val="none" w:sz="0" w:space="0" w:color="auto"/>
          </w:divBdr>
        </w:div>
        <w:div w:id="2140103062">
          <w:marLeft w:val="547"/>
          <w:marRight w:val="0"/>
          <w:marTop w:val="91"/>
          <w:marBottom w:val="160"/>
          <w:divBdr>
            <w:top w:val="none" w:sz="0" w:space="0" w:color="auto"/>
            <w:left w:val="none" w:sz="0" w:space="0" w:color="auto"/>
            <w:bottom w:val="none" w:sz="0" w:space="0" w:color="auto"/>
            <w:right w:val="none" w:sz="0" w:space="0" w:color="auto"/>
          </w:divBdr>
        </w:div>
        <w:div w:id="1302274399">
          <w:marLeft w:val="547"/>
          <w:marRight w:val="0"/>
          <w:marTop w:val="91"/>
          <w:marBottom w:val="160"/>
          <w:divBdr>
            <w:top w:val="none" w:sz="0" w:space="0" w:color="auto"/>
            <w:left w:val="none" w:sz="0" w:space="0" w:color="auto"/>
            <w:bottom w:val="none" w:sz="0" w:space="0" w:color="auto"/>
            <w:right w:val="none" w:sz="0" w:space="0" w:color="auto"/>
          </w:divBdr>
        </w:div>
        <w:div w:id="600070913">
          <w:marLeft w:val="547"/>
          <w:marRight w:val="0"/>
          <w:marTop w:val="91"/>
          <w:marBottom w:val="160"/>
          <w:divBdr>
            <w:top w:val="none" w:sz="0" w:space="0" w:color="auto"/>
            <w:left w:val="none" w:sz="0" w:space="0" w:color="auto"/>
            <w:bottom w:val="none" w:sz="0" w:space="0" w:color="auto"/>
            <w:right w:val="none" w:sz="0" w:space="0" w:color="auto"/>
          </w:divBdr>
        </w:div>
        <w:div w:id="1661882119">
          <w:marLeft w:val="547"/>
          <w:marRight w:val="0"/>
          <w:marTop w:val="91"/>
          <w:marBottom w:val="160"/>
          <w:divBdr>
            <w:top w:val="none" w:sz="0" w:space="0" w:color="auto"/>
            <w:left w:val="none" w:sz="0" w:space="0" w:color="auto"/>
            <w:bottom w:val="none" w:sz="0" w:space="0" w:color="auto"/>
            <w:right w:val="none" w:sz="0" w:space="0" w:color="auto"/>
          </w:divBdr>
        </w:div>
      </w:divsChild>
    </w:div>
    <w:div w:id="19879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2022-10-12T19:19:00Z</dcterms:created>
  <dcterms:modified xsi:type="dcterms:W3CDTF">2022-10-12T19:19:00Z</dcterms:modified>
</cp:coreProperties>
</file>