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5" w:rsidRPr="00495FCF" w:rsidRDefault="00495FCF" w:rsidP="00495FCF">
      <w:pPr>
        <w:spacing w:line="240" w:lineRule="auto"/>
        <w:jc w:val="left"/>
        <w:rPr>
          <w:rFonts w:cs="Arial"/>
          <w:b/>
          <w:sz w:val="20"/>
          <w:szCs w:val="20"/>
          <w:lang w:val="en-ZA"/>
        </w:rPr>
      </w:pPr>
      <w:r w:rsidRPr="00495FCF">
        <w:rPr>
          <w:rFonts w:cs="Arial"/>
          <w:b/>
          <w:sz w:val="20"/>
          <w:szCs w:val="20"/>
          <w:lang w:val="en-ZA"/>
        </w:rPr>
        <w:t>Report of the Portfolio Committee on Transport on the 2022/23 First Quarter Expenditure of the</w:t>
      </w:r>
      <w:r>
        <w:rPr>
          <w:rFonts w:cs="Arial"/>
          <w:b/>
          <w:sz w:val="20"/>
          <w:szCs w:val="20"/>
          <w:lang w:val="en-ZA"/>
        </w:rPr>
        <w:t xml:space="preserve"> Department o</w:t>
      </w:r>
      <w:r w:rsidRPr="00495FCF">
        <w:rPr>
          <w:rFonts w:cs="Arial"/>
          <w:b/>
          <w:sz w:val="20"/>
          <w:szCs w:val="20"/>
          <w:lang w:val="en-ZA"/>
        </w:rPr>
        <w:t>f Transport Dated 27 September 2022</w:t>
      </w:r>
    </w:p>
    <w:p w:rsidR="005C2CF5" w:rsidRPr="00495FCF" w:rsidRDefault="005C2CF5" w:rsidP="00495FCF">
      <w:pPr>
        <w:spacing w:line="240" w:lineRule="auto"/>
        <w:jc w:val="left"/>
        <w:rPr>
          <w:rFonts w:cs="Arial"/>
          <w:sz w:val="20"/>
          <w:szCs w:val="20"/>
          <w:lang w:val="en-ZA"/>
        </w:rPr>
      </w:pPr>
    </w:p>
    <w:p w:rsidR="005C2CF5" w:rsidRPr="00495FCF" w:rsidRDefault="005C2CF5" w:rsidP="00495FCF">
      <w:pPr>
        <w:spacing w:line="240" w:lineRule="auto"/>
        <w:jc w:val="left"/>
        <w:rPr>
          <w:rFonts w:cs="Arial"/>
          <w:sz w:val="20"/>
          <w:szCs w:val="20"/>
          <w:lang w:val="en-ZA"/>
        </w:rPr>
      </w:pPr>
      <w:r w:rsidRPr="00495FCF">
        <w:rPr>
          <w:rFonts w:cs="Arial"/>
          <w:sz w:val="20"/>
          <w:szCs w:val="20"/>
          <w:lang w:val="en-ZA"/>
        </w:rPr>
        <w:t xml:space="preserve">The Portfolio Committee on Transport, having considered the expenditure of the Department of Transport for the </w:t>
      </w:r>
      <w:r w:rsidR="00615155" w:rsidRPr="00495FCF">
        <w:rPr>
          <w:rFonts w:cs="Arial"/>
          <w:sz w:val="20"/>
          <w:szCs w:val="20"/>
          <w:lang w:val="en-ZA"/>
        </w:rPr>
        <w:t>F</w:t>
      </w:r>
      <w:r w:rsidRPr="00495FCF">
        <w:rPr>
          <w:rFonts w:cs="Arial"/>
          <w:sz w:val="20"/>
          <w:szCs w:val="20"/>
          <w:lang w:val="en-ZA"/>
        </w:rPr>
        <w:t>irst Quarter of the 2022/23 financial year on 6 September 2022, reports as follows:</w:t>
      </w:r>
    </w:p>
    <w:p w:rsidR="005C2CF5" w:rsidRPr="00495FCF" w:rsidRDefault="005C2CF5" w:rsidP="00495FCF">
      <w:pPr>
        <w:spacing w:line="240" w:lineRule="auto"/>
        <w:jc w:val="left"/>
        <w:rPr>
          <w:rFonts w:cs="Arial"/>
          <w:sz w:val="20"/>
          <w:szCs w:val="20"/>
          <w:lang w:val="en-ZA"/>
        </w:rPr>
      </w:pPr>
    </w:p>
    <w:p w:rsidR="005C2CF5" w:rsidRPr="00495FCF" w:rsidRDefault="005C2CF5" w:rsidP="00495FCF">
      <w:pPr>
        <w:numPr>
          <w:ilvl w:val="0"/>
          <w:numId w:val="10"/>
        </w:numPr>
        <w:spacing w:line="240" w:lineRule="auto"/>
        <w:ind w:hanging="720"/>
        <w:contextualSpacing/>
        <w:jc w:val="left"/>
        <w:rPr>
          <w:rFonts w:cs="Arial"/>
          <w:b/>
          <w:sz w:val="20"/>
          <w:szCs w:val="20"/>
          <w:lang w:val="en-ZA"/>
        </w:rPr>
      </w:pPr>
      <w:r w:rsidRPr="00495FCF">
        <w:rPr>
          <w:rFonts w:cs="Arial"/>
          <w:b/>
          <w:sz w:val="20"/>
          <w:szCs w:val="20"/>
          <w:lang w:val="en-ZA"/>
        </w:rPr>
        <w:t>INTRODUCTION</w:t>
      </w:r>
    </w:p>
    <w:p w:rsidR="00FA7422" w:rsidRPr="00495FCF" w:rsidRDefault="00FA7422" w:rsidP="00495FCF">
      <w:pPr>
        <w:spacing w:line="240" w:lineRule="auto"/>
        <w:jc w:val="left"/>
        <w:rPr>
          <w:rFonts w:cs="Arial"/>
          <w:sz w:val="20"/>
          <w:szCs w:val="20"/>
          <w:lang w:val="en-ZA"/>
        </w:rPr>
      </w:pPr>
    </w:p>
    <w:p w:rsidR="005C2CF5" w:rsidRPr="00495FCF" w:rsidRDefault="005C2CF5" w:rsidP="00495FCF">
      <w:pPr>
        <w:spacing w:line="240" w:lineRule="auto"/>
        <w:jc w:val="left"/>
        <w:rPr>
          <w:rFonts w:cs="Arial"/>
          <w:sz w:val="20"/>
          <w:szCs w:val="20"/>
          <w:lang w:val="en-ZA"/>
        </w:rPr>
      </w:pPr>
      <w:r w:rsidRPr="00495FCF">
        <w:rPr>
          <w:rFonts w:cs="Arial"/>
          <w:sz w:val="20"/>
          <w:szCs w:val="20"/>
          <w:lang w:val="en-ZA"/>
        </w:rPr>
        <w:t xml:space="preserve">The prime mandate of the Committee is governed by the Constitution of the Republic of South Africa, 1996 (“the Constitution”), in respect of its legislative and oversight responsibilities as public representatives. It is required to consider legislation referred to it and consider all matters referred to it in terms of the Constitution, the Rules of the National Assembly or resolutions of the House. It is also required to respond to matters referred to it by Government within its mandate. In addition, the Committee is entrusted with considering the budgets, Strategic Plans and Annual Performance Plans of the Department and entities that fall within the transport portfolio. This report provides an overview of the expenditure of the Department of Transport for the First Quarter of the 2022/23 financial year, as presented to the Committee on 6 September 2022. </w:t>
      </w:r>
    </w:p>
    <w:p w:rsidR="005C2CF5" w:rsidRPr="00495FCF" w:rsidRDefault="005C2CF5" w:rsidP="00495FCF">
      <w:pPr>
        <w:spacing w:line="240" w:lineRule="auto"/>
        <w:jc w:val="left"/>
        <w:rPr>
          <w:rFonts w:cs="Arial"/>
          <w:b/>
          <w:sz w:val="20"/>
          <w:szCs w:val="20"/>
          <w:lang w:val="en-ZA"/>
        </w:rPr>
      </w:pPr>
    </w:p>
    <w:p w:rsidR="005C2CF5" w:rsidRPr="00495FCF" w:rsidRDefault="005C2CF5" w:rsidP="00495FCF">
      <w:pPr>
        <w:keepNext/>
        <w:keepLines/>
        <w:numPr>
          <w:ilvl w:val="0"/>
          <w:numId w:val="10"/>
        </w:numPr>
        <w:spacing w:line="240" w:lineRule="auto"/>
        <w:ind w:hanging="720"/>
        <w:contextualSpacing/>
        <w:jc w:val="left"/>
        <w:outlineLvl w:val="0"/>
        <w:rPr>
          <w:rFonts w:eastAsia="Calibri" w:cs="Arial"/>
          <w:b/>
          <w:sz w:val="20"/>
          <w:szCs w:val="20"/>
        </w:rPr>
      </w:pPr>
      <w:r w:rsidRPr="00495FCF">
        <w:rPr>
          <w:rFonts w:eastAsia="Calibri" w:cs="Arial"/>
          <w:b/>
          <w:sz w:val="20"/>
          <w:szCs w:val="20"/>
        </w:rPr>
        <w:t xml:space="preserve">ANALYSIS OF THE 2022/23 FIRST QUARTER EXPENDITURE OF THE DEPARTMENT </w:t>
      </w:r>
    </w:p>
    <w:p w:rsidR="005C2CF5" w:rsidRPr="00495FCF" w:rsidRDefault="005C2CF5" w:rsidP="00495FCF">
      <w:pPr>
        <w:spacing w:line="240" w:lineRule="auto"/>
        <w:jc w:val="left"/>
        <w:rPr>
          <w:rFonts w:eastAsia="Calibri" w:cs="Arial"/>
          <w:b/>
          <w:color w:val="000000" w:themeColor="text1"/>
          <w:sz w:val="20"/>
          <w:szCs w:val="20"/>
        </w:rPr>
      </w:pPr>
    </w:p>
    <w:p w:rsidR="0086542C" w:rsidRPr="00495FCF" w:rsidRDefault="0086542C" w:rsidP="00495FCF">
      <w:pPr>
        <w:spacing w:line="240" w:lineRule="auto"/>
        <w:jc w:val="left"/>
        <w:rPr>
          <w:rFonts w:cs="Arial"/>
          <w:sz w:val="20"/>
          <w:szCs w:val="20"/>
        </w:rPr>
      </w:pPr>
      <w:r w:rsidRPr="00495FCF">
        <w:rPr>
          <w:rFonts w:cs="Arial"/>
          <w:sz w:val="20"/>
          <w:szCs w:val="20"/>
        </w:rPr>
        <w:t xml:space="preserve">In 2022/23, the budget allocation of the Department of Transport (“the Department”) stands at R69.1 billion. By the end of the </w:t>
      </w:r>
      <w:r w:rsidR="009212ED" w:rsidRPr="00495FCF">
        <w:rPr>
          <w:rFonts w:cs="Arial"/>
          <w:sz w:val="20"/>
          <w:szCs w:val="20"/>
        </w:rPr>
        <w:t>1</w:t>
      </w:r>
      <w:r w:rsidR="009212ED" w:rsidRPr="00495FCF">
        <w:rPr>
          <w:rFonts w:cs="Arial"/>
          <w:sz w:val="20"/>
          <w:szCs w:val="20"/>
          <w:vertAlign w:val="superscript"/>
        </w:rPr>
        <w:t>st</w:t>
      </w:r>
      <w:r w:rsidR="009212ED" w:rsidRPr="00495FCF">
        <w:rPr>
          <w:rFonts w:cs="Arial"/>
          <w:sz w:val="20"/>
          <w:szCs w:val="20"/>
        </w:rPr>
        <w:t xml:space="preserve"> </w:t>
      </w:r>
      <w:r w:rsidRPr="00495FCF">
        <w:rPr>
          <w:rFonts w:cs="Arial"/>
          <w:sz w:val="20"/>
          <w:szCs w:val="20"/>
        </w:rPr>
        <w:t>Quarter of the financial year, the Department had spent R15.6 billion (or 22.5</w:t>
      </w:r>
      <w:r w:rsidR="009212ED" w:rsidRPr="00495FCF">
        <w:rPr>
          <w:rFonts w:cs="Arial"/>
          <w:sz w:val="20"/>
          <w:szCs w:val="20"/>
        </w:rPr>
        <w:t xml:space="preserve"> per cent) </w:t>
      </w:r>
      <w:r w:rsidRPr="00495FCF">
        <w:rPr>
          <w:rFonts w:cs="Arial"/>
          <w:sz w:val="20"/>
          <w:szCs w:val="20"/>
        </w:rPr>
        <w:t>of the total available budget.</w:t>
      </w:r>
      <w:r w:rsidRPr="00495FCF">
        <w:rPr>
          <w:rStyle w:val="FootnoteReference"/>
          <w:rFonts w:cs="Arial"/>
          <w:sz w:val="20"/>
          <w:szCs w:val="20"/>
        </w:rPr>
        <w:footnoteReference w:id="1"/>
      </w:r>
      <w:r w:rsidRPr="00495FCF">
        <w:rPr>
          <w:rFonts w:cs="Arial"/>
          <w:sz w:val="20"/>
          <w:szCs w:val="20"/>
        </w:rPr>
        <w:t xml:space="preserve"> The Department had projected that it would </w:t>
      </w:r>
      <w:r w:rsidR="009212ED" w:rsidRPr="00495FCF">
        <w:rPr>
          <w:rFonts w:cs="Arial"/>
          <w:sz w:val="20"/>
          <w:szCs w:val="20"/>
        </w:rPr>
        <w:t xml:space="preserve">spend </w:t>
      </w:r>
      <w:r w:rsidRPr="00495FCF">
        <w:rPr>
          <w:rFonts w:cs="Arial"/>
          <w:sz w:val="20"/>
          <w:szCs w:val="20"/>
        </w:rPr>
        <w:t xml:space="preserve">R15.7 billion by this time, and this translated into </w:t>
      </w:r>
      <w:r w:rsidR="0055336E" w:rsidRPr="00495FCF">
        <w:rPr>
          <w:rFonts w:cs="Arial"/>
          <w:sz w:val="20"/>
          <w:szCs w:val="20"/>
        </w:rPr>
        <w:t xml:space="preserve">a </w:t>
      </w:r>
      <w:r w:rsidRPr="00495FCF">
        <w:rPr>
          <w:rFonts w:cs="Arial"/>
          <w:sz w:val="20"/>
          <w:szCs w:val="20"/>
        </w:rPr>
        <w:t>delay in spending of R124.3 million (or 0.8</w:t>
      </w:r>
      <w:r w:rsidR="009212ED" w:rsidRPr="00495FCF">
        <w:rPr>
          <w:rFonts w:cs="Arial"/>
          <w:sz w:val="20"/>
          <w:szCs w:val="20"/>
        </w:rPr>
        <w:t xml:space="preserve"> per cent). </w:t>
      </w:r>
      <w:r w:rsidRPr="00495FCF">
        <w:rPr>
          <w:rFonts w:cs="Arial"/>
          <w:sz w:val="20"/>
          <w:szCs w:val="20"/>
        </w:rPr>
        <w:t>The slower than projected spending was largely due to expenditure delays under the Taxi Recapitalisation Programme (TRP) and various Goods and Services across programmes.</w:t>
      </w:r>
      <w:r w:rsidRPr="00495FCF">
        <w:rPr>
          <w:rStyle w:val="FootnoteReference"/>
          <w:rFonts w:cs="Arial"/>
          <w:sz w:val="20"/>
          <w:szCs w:val="20"/>
        </w:rPr>
        <w:footnoteReference w:id="2"/>
      </w:r>
    </w:p>
    <w:p w:rsidR="0086542C" w:rsidRPr="00495FCF" w:rsidRDefault="0086542C" w:rsidP="00495FCF">
      <w:pPr>
        <w:spacing w:line="240" w:lineRule="auto"/>
        <w:jc w:val="left"/>
        <w:rPr>
          <w:rFonts w:cs="Arial"/>
          <w:sz w:val="20"/>
          <w:szCs w:val="20"/>
        </w:rPr>
      </w:pPr>
    </w:p>
    <w:p w:rsidR="0086542C" w:rsidRPr="00495FCF" w:rsidRDefault="0086542C" w:rsidP="00495FCF">
      <w:pPr>
        <w:spacing w:line="240" w:lineRule="auto"/>
        <w:jc w:val="left"/>
        <w:rPr>
          <w:rFonts w:cs="Arial"/>
          <w:sz w:val="20"/>
          <w:szCs w:val="20"/>
        </w:rPr>
      </w:pPr>
      <w:r w:rsidRPr="00495FCF">
        <w:rPr>
          <w:rFonts w:cs="Arial"/>
          <w:sz w:val="20"/>
          <w:szCs w:val="20"/>
        </w:rPr>
        <w:t xml:space="preserve">As at the end of the </w:t>
      </w:r>
      <w:r w:rsidR="009212ED" w:rsidRPr="00495FCF">
        <w:rPr>
          <w:rFonts w:cs="Arial"/>
          <w:sz w:val="20"/>
          <w:szCs w:val="20"/>
        </w:rPr>
        <w:t>1</w:t>
      </w:r>
      <w:r w:rsidR="009212ED" w:rsidRPr="00495FCF">
        <w:rPr>
          <w:rFonts w:cs="Arial"/>
          <w:sz w:val="20"/>
          <w:szCs w:val="20"/>
          <w:vertAlign w:val="superscript"/>
        </w:rPr>
        <w:t>st</w:t>
      </w:r>
      <w:r w:rsidR="009212ED" w:rsidRPr="00495FCF">
        <w:rPr>
          <w:rFonts w:cs="Arial"/>
          <w:sz w:val="20"/>
          <w:szCs w:val="20"/>
        </w:rPr>
        <w:t xml:space="preserve"> </w:t>
      </w:r>
      <w:r w:rsidRPr="00495FCF">
        <w:rPr>
          <w:rFonts w:cs="Arial"/>
          <w:sz w:val="20"/>
          <w:szCs w:val="20"/>
        </w:rPr>
        <w:t>Quarter of 2022/23, the Department had spent R118.6 million against the Quarter’s projection of R126.6 million on the Compensation of Employees (CoE). The Depart</w:t>
      </w:r>
      <w:r w:rsidR="009212ED" w:rsidRPr="00495FCF">
        <w:rPr>
          <w:rFonts w:cs="Arial"/>
          <w:sz w:val="20"/>
          <w:szCs w:val="20"/>
        </w:rPr>
        <w:t>ment spent R8 million (or 6.3 per cent</w:t>
      </w:r>
      <w:r w:rsidRPr="00495FCF">
        <w:rPr>
          <w:rFonts w:cs="Arial"/>
          <w:sz w:val="20"/>
          <w:szCs w:val="20"/>
        </w:rPr>
        <w:t>) slower than projected mainly owing to the slow filling of vacant posts.</w:t>
      </w:r>
      <w:r w:rsidRPr="00495FCF">
        <w:rPr>
          <w:rStyle w:val="FootnoteReference"/>
          <w:rFonts w:cs="Arial"/>
          <w:sz w:val="20"/>
          <w:szCs w:val="20"/>
        </w:rPr>
        <w:footnoteReference w:id="3"/>
      </w:r>
      <w:r w:rsidRPr="00495FCF">
        <w:rPr>
          <w:rFonts w:cs="Arial"/>
          <w:sz w:val="20"/>
          <w:szCs w:val="20"/>
        </w:rPr>
        <w:t xml:space="preserve"> The Department had 732 filled posts against a funded establishment of 813 posts. This represented a vacancy rate of 10</w:t>
      </w:r>
      <w:r w:rsidR="009212ED" w:rsidRPr="00495FCF">
        <w:rPr>
          <w:rFonts w:cs="Arial"/>
          <w:sz w:val="20"/>
          <w:szCs w:val="20"/>
        </w:rPr>
        <w:t xml:space="preserve"> per cent </w:t>
      </w:r>
      <w:r w:rsidRPr="00495FCF">
        <w:rPr>
          <w:rFonts w:cs="Arial"/>
          <w:sz w:val="20"/>
          <w:szCs w:val="20"/>
        </w:rPr>
        <w:t>(or 81 vacant posts).</w:t>
      </w:r>
      <w:r w:rsidRPr="00495FCF">
        <w:rPr>
          <w:rStyle w:val="FootnoteReference"/>
          <w:rFonts w:cs="Arial"/>
          <w:sz w:val="20"/>
          <w:szCs w:val="20"/>
        </w:rPr>
        <w:footnoteReference w:id="4"/>
      </w:r>
    </w:p>
    <w:p w:rsidR="0086542C" w:rsidRPr="00495FCF" w:rsidRDefault="0086542C" w:rsidP="00495FCF">
      <w:pPr>
        <w:spacing w:line="240" w:lineRule="auto"/>
        <w:jc w:val="left"/>
        <w:rPr>
          <w:rFonts w:cs="Arial"/>
          <w:sz w:val="20"/>
          <w:szCs w:val="20"/>
        </w:rPr>
      </w:pPr>
    </w:p>
    <w:p w:rsidR="0086542C" w:rsidRPr="00495FCF" w:rsidRDefault="00C13587" w:rsidP="00495FCF">
      <w:pPr>
        <w:pStyle w:val="Heading1"/>
        <w:spacing w:before="0" w:line="240" w:lineRule="auto"/>
        <w:jc w:val="left"/>
        <w:rPr>
          <w:rFonts w:cs="Arial"/>
          <w:color w:val="000000" w:themeColor="text1"/>
          <w:sz w:val="20"/>
          <w:szCs w:val="20"/>
        </w:rPr>
      </w:pPr>
      <w:r w:rsidRPr="00495FCF">
        <w:rPr>
          <w:rFonts w:cs="Arial"/>
          <w:color w:val="000000" w:themeColor="text1"/>
          <w:sz w:val="20"/>
          <w:szCs w:val="20"/>
        </w:rPr>
        <w:t xml:space="preserve">2.1   </w:t>
      </w:r>
      <w:bookmarkStart w:id="0" w:name="_Toc112062796"/>
      <w:r w:rsidR="0065520C" w:rsidRPr="00495FCF">
        <w:rPr>
          <w:rFonts w:cs="Arial"/>
          <w:color w:val="000000" w:themeColor="text1"/>
          <w:sz w:val="20"/>
          <w:szCs w:val="20"/>
        </w:rPr>
        <w:t xml:space="preserve">     </w:t>
      </w:r>
      <w:r w:rsidR="0086542C" w:rsidRPr="00495FCF">
        <w:rPr>
          <w:rFonts w:cs="Arial"/>
          <w:color w:val="000000" w:themeColor="text1"/>
          <w:sz w:val="20"/>
          <w:szCs w:val="20"/>
        </w:rPr>
        <w:t>budget expenditure per programme</w:t>
      </w:r>
      <w:bookmarkEnd w:id="0"/>
    </w:p>
    <w:p w:rsidR="00BC57AF" w:rsidRPr="00495FCF" w:rsidRDefault="00BC57AF" w:rsidP="00495FCF">
      <w:pPr>
        <w:spacing w:line="240" w:lineRule="auto"/>
        <w:jc w:val="left"/>
        <w:rPr>
          <w:rFonts w:cs="Arial"/>
          <w:sz w:val="20"/>
          <w:szCs w:val="20"/>
        </w:rPr>
      </w:pPr>
    </w:p>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Table 1: Budget Expenditure per Programme</w:t>
      </w:r>
    </w:p>
    <w:tbl>
      <w:tblPr>
        <w:tblStyle w:val="TableGrid"/>
        <w:tblW w:w="10270" w:type="dxa"/>
        <w:tblLook w:val="04A0"/>
      </w:tblPr>
      <w:tblGrid>
        <w:gridCol w:w="1670"/>
        <w:gridCol w:w="1155"/>
        <w:gridCol w:w="1134"/>
        <w:gridCol w:w="1134"/>
        <w:gridCol w:w="979"/>
        <w:gridCol w:w="1148"/>
        <w:gridCol w:w="965"/>
        <w:gridCol w:w="974"/>
        <w:gridCol w:w="1111"/>
      </w:tblGrid>
      <w:tr w:rsidR="00BC57AF" w:rsidRPr="00495FCF" w:rsidTr="001A05D4">
        <w:trPr>
          <w:cantSplit/>
          <w:trHeight w:val="2280"/>
          <w:tblHeader/>
        </w:trPr>
        <w:tc>
          <w:tcPr>
            <w:tcW w:w="1670"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Programme</w:t>
            </w:r>
          </w:p>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R’Million</w:t>
            </w:r>
          </w:p>
        </w:tc>
        <w:tc>
          <w:tcPr>
            <w:tcW w:w="1155"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Main Appropriation</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Available Budget</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Quarter 1 Actual Expenditure</w:t>
            </w:r>
          </w:p>
        </w:tc>
        <w:tc>
          <w:tcPr>
            <w:tcW w:w="979"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Expenditure as % of Available Budget</w:t>
            </w:r>
          </w:p>
        </w:tc>
        <w:tc>
          <w:tcPr>
            <w:tcW w:w="1148"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Quarter 1 Projected Expenditure</w:t>
            </w:r>
          </w:p>
        </w:tc>
        <w:tc>
          <w:tcPr>
            <w:tcW w:w="965"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Variance from Projected Expenditure</w:t>
            </w:r>
          </w:p>
        </w:tc>
        <w:tc>
          <w:tcPr>
            <w:tcW w:w="974"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 Variance from Projected Expenditure</w:t>
            </w:r>
          </w:p>
        </w:tc>
        <w:tc>
          <w:tcPr>
            <w:tcW w:w="1111"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tcPr>
          <w:p w:rsidR="0086542C" w:rsidRPr="00495FCF" w:rsidRDefault="0086542C" w:rsidP="00495FCF">
            <w:pPr>
              <w:spacing w:line="240" w:lineRule="auto"/>
              <w:ind w:left="113" w:right="113"/>
              <w:jc w:val="left"/>
              <w:rPr>
                <w:rFonts w:cs="Arial"/>
                <w:b/>
                <w:color w:val="000000" w:themeColor="text1"/>
                <w:sz w:val="20"/>
                <w:szCs w:val="20"/>
              </w:rPr>
            </w:pPr>
            <w:r w:rsidRPr="00495FCF">
              <w:rPr>
                <w:rFonts w:cs="Arial"/>
                <w:b/>
                <w:color w:val="000000" w:themeColor="text1"/>
                <w:sz w:val="20"/>
                <w:szCs w:val="20"/>
              </w:rPr>
              <w:t>COVID-19 Spending</w:t>
            </w:r>
          </w:p>
        </w:tc>
      </w:tr>
      <w:tr w:rsidR="00BC57AF" w:rsidRPr="00495FCF" w:rsidTr="001A05D4">
        <w:tc>
          <w:tcPr>
            <w:tcW w:w="1670" w:type="dxa"/>
            <w:tcBorders>
              <w:top w:val="single" w:sz="8" w:space="0" w:color="auto"/>
              <w:lef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Administration</w:t>
            </w:r>
          </w:p>
        </w:tc>
        <w:tc>
          <w:tcPr>
            <w:tcW w:w="1155" w:type="dxa"/>
            <w:tcBorders>
              <w:top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507.8</w:t>
            </w:r>
          </w:p>
        </w:tc>
        <w:tc>
          <w:tcPr>
            <w:tcW w:w="1134" w:type="dxa"/>
            <w:tcBorders>
              <w:top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507.8</w:t>
            </w:r>
          </w:p>
        </w:tc>
        <w:tc>
          <w:tcPr>
            <w:tcW w:w="1134" w:type="dxa"/>
            <w:tcBorders>
              <w:top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83.6</w:t>
            </w:r>
          </w:p>
        </w:tc>
        <w:tc>
          <w:tcPr>
            <w:tcW w:w="979" w:type="dxa"/>
            <w:tcBorders>
              <w:top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16.5%</w:t>
            </w:r>
          </w:p>
        </w:tc>
        <w:tc>
          <w:tcPr>
            <w:tcW w:w="1148" w:type="dxa"/>
            <w:tcBorders>
              <w:top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111</w:t>
            </w:r>
          </w:p>
        </w:tc>
        <w:tc>
          <w:tcPr>
            <w:tcW w:w="965" w:type="dxa"/>
            <w:tcBorders>
              <w:top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27.4</w:t>
            </w:r>
          </w:p>
        </w:tc>
        <w:tc>
          <w:tcPr>
            <w:tcW w:w="974" w:type="dxa"/>
            <w:tcBorders>
              <w:top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24.7%</w:t>
            </w:r>
          </w:p>
        </w:tc>
        <w:tc>
          <w:tcPr>
            <w:tcW w:w="1111" w:type="dxa"/>
            <w:tcBorders>
              <w:top w:val="single" w:sz="8" w:space="0" w:color="auto"/>
              <w:righ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0.0</w:t>
            </w:r>
          </w:p>
        </w:tc>
      </w:tr>
      <w:tr w:rsidR="00BC57AF" w:rsidRPr="00495FCF" w:rsidTr="001A05D4">
        <w:tc>
          <w:tcPr>
            <w:tcW w:w="1670" w:type="dxa"/>
            <w:tcBorders>
              <w:lef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Integrated Transport Planning</w:t>
            </w:r>
          </w:p>
        </w:tc>
        <w:tc>
          <w:tcPr>
            <w:tcW w:w="115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93</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93</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14.2</w:t>
            </w:r>
          </w:p>
        </w:tc>
        <w:tc>
          <w:tcPr>
            <w:tcW w:w="979"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15.3%</w:t>
            </w:r>
          </w:p>
        </w:tc>
        <w:tc>
          <w:tcPr>
            <w:tcW w:w="1148"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15.5</w:t>
            </w:r>
          </w:p>
        </w:tc>
        <w:tc>
          <w:tcPr>
            <w:tcW w:w="96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1.3</w:t>
            </w:r>
          </w:p>
        </w:tc>
        <w:tc>
          <w:tcPr>
            <w:tcW w:w="97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8.2%</w:t>
            </w:r>
          </w:p>
        </w:tc>
        <w:tc>
          <w:tcPr>
            <w:tcW w:w="1111" w:type="dxa"/>
            <w:tcBorders>
              <w:righ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0.0</w:t>
            </w:r>
          </w:p>
        </w:tc>
      </w:tr>
      <w:tr w:rsidR="00BC57AF" w:rsidRPr="00495FCF" w:rsidTr="001A05D4">
        <w:tc>
          <w:tcPr>
            <w:tcW w:w="1670" w:type="dxa"/>
            <w:tcBorders>
              <w:lef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lastRenderedPageBreak/>
              <w:t>Rail Transport</w:t>
            </w:r>
          </w:p>
        </w:tc>
        <w:tc>
          <w:tcPr>
            <w:tcW w:w="115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19 991.8</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19 991.8</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5 046.2</w:t>
            </w:r>
          </w:p>
        </w:tc>
        <w:tc>
          <w:tcPr>
            <w:tcW w:w="979"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25.2%</w:t>
            </w:r>
          </w:p>
        </w:tc>
        <w:tc>
          <w:tcPr>
            <w:tcW w:w="1148"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5 047.4</w:t>
            </w:r>
          </w:p>
        </w:tc>
        <w:tc>
          <w:tcPr>
            <w:tcW w:w="96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1.2</w:t>
            </w:r>
          </w:p>
        </w:tc>
        <w:tc>
          <w:tcPr>
            <w:tcW w:w="97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w:t>
            </w:r>
          </w:p>
        </w:tc>
        <w:tc>
          <w:tcPr>
            <w:tcW w:w="1111" w:type="dxa"/>
            <w:tcBorders>
              <w:righ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0.0</w:t>
            </w:r>
          </w:p>
        </w:tc>
      </w:tr>
      <w:tr w:rsidR="00BC57AF" w:rsidRPr="00495FCF" w:rsidTr="001A05D4">
        <w:tc>
          <w:tcPr>
            <w:tcW w:w="1670" w:type="dxa"/>
            <w:tcBorders>
              <w:lef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Road Transport</w:t>
            </w:r>
          </w:p>
        </w:tc>
        <w:tc>
          <w:tcPr>
            <w:tcW w:w="115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33 983.4</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33 983.4</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8 963.6</w:t>
            </w:r>
          </w:p>
        </w:tc>
        <w:tc>
          <w:tcPr>
            <w:tcW w:w="979"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26.4%</w:t>
            </w:r>
          </w:p>
        </w:tc>
        <w:tc>
          <w:tcPr>
            <w:tcW w:w="1148"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8 927.7</w:t>
            </w:r>
          </w:p>
        </w:tc>
        <w:tc>
          <w:tcPr>
            <w:tcW w:w="96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-35.9</w:t>
            </w:r>
          </w:p>
        </w:tc>
        <w:tc>
          <w:tcPr>
            <w:tcW w:w="97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-0.4%</w:t>
            </w:r>
          </w:p>
        </w:tc>
        <w:tc>
          <w:tcPr>
            <w:tcW w:w="1111" w:type="dxa"/>
            <w:tcBorders>
              <w:righ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0.0</w:t>
            </w:r>
          </w:p>
        </w:tc>
      </w:tr>
      <w:tr w:rsidR="00BC57AF" w:rsidRPr="00495FCF" w:rsidTr="001A05D4">
        <w:tc>
          <w:tcPr>
            <w:tcW w:w="1670" w:type="dxa"/>
            <w:tcBorders>
              <w:left w:val="single" w:sz="8" w:space="0" w:color="auto"/>
            </w:tcBorders>
          </w:tcPr>
          <w:p w:rsidR="0086542C" w:rsidRPr="00495FCF" w:rsidRDefault="0086542C" w:rsidP="00495FCF">
            <w:pPr>
              <w:spacing w:line="240" w:lineRule="auto"/>
              <w:jc w:val="left"/>
              <w:rPr>
                <w:rFonts w:cs="Arial"/>
                <w:color w:val="000000" w:themeColor="text1"/>
                <w:sz w:val="20"/>
                <w:szCs w:val="20"/>
              </w:rPr>
            </w:pPr>
            <w:bookmarkStart w:id="1" w:name="_GoBack"/>
            <w:r w:rsidRPr="00495FCF">
              <w:rPr>
                <w:rFonts w:cs="Arial"/>
                <w:color w:val="000000" w:themeColor="text1"/>
                <w:sz w:val="20"/>
                <w:szCs w:val="20"/>
              </w:rPr>
              <w:t>Civil Aviation Transport</w:t>
            </w:r>
          </w:p>
        </w:tc>
        <w:tc>
          <w:tcPr>
            <w:tcW w:w="115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424.8</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424.8</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89.5</w:t>
            </w:r>
          </w:p>
        </w:tc>
        <w:tc>
          <w:tcPr>
            <w:tcW w:w="979"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21.1%</w:t>
            </w:r>
          </w:p>
        </w:tc>
        <w:tc>
          <w:tcPr>
            <w:tcW w:w="1148"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93.7</w:t>
            </w:r>
          </w:p>
        </w:tc>
        <w:tc>
          <w:tcPr>
            <w:tcW w:w="96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4.3</w:t>
            </w:r>
          </w:p>
        </w:tc>
        <w:tc>
          <w:tcPr>
            <w:tcW w:w="97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4.5%</w:t>
            </w:r>
          </w:p>
        </w:tc>
        <w:tc>
          <w:tcPr>
            <w:tcW w:w="1111" w:type="dxa"/>
            <w:tcBorders>
              <w:righ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0.0</w:t>
            </w:r>
          </w:p>
        </w:tc>
      </w:tr>
      <w:bookmarkEnd w:id="1"/>
      <w:tr w:rsidR="00BC57AF" w:rsidRPr="00495FCF" w:rsidTr="001A05D4">
        <w:tc>
          <w:tcPr>
            <w:tcW w:w="1670" w:type="dxa"/>
            <w:tcBorders>
              <w:lef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Maritime Transport</w:t>
            </w:r>
          </w:p>
        </w:tc>
        <w:tc>
          <w:tcPr>
            <w:tcW w:w="115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155.4</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155.4</w:t>
            </w:r>
          </w:p>
        </w:tc>
        <w:tc>
          <w:tcPr>
            <w:tcW w:w="113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29.1</w:t>
            </w:r>
          </w:p>
        </w:tc>
        <w:tc>
          <w:tcPr>
            <w:tcW w:w="979"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18.7%</w:t>
            </w:r>
          </w:p>
        </w:tc>
        <w:tc>
          <w:tcPr>
            <w:tcW w:w="1148"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33.1</w:t>
            </w:r>
          </w:p>
        </w:tc>
        <w:tc>
          <w:tcPr>
            <w:tcW w:w="965"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4</w:t>
            </w:r>
          </w:p>
        </w:tc>
        <w:tc>
          <w:tcPr>
            <w:tcW w:w="974" w:type="dxa"/>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12%</w:t>
            </w:r>
          </w:p>
        </w:tc>
        <w:tc>
          <w:tcPr>
            <w:tcW w:w="1111" w:type="dxa"/>
            <w:tcBorders>
              <w:righ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0.0</w:t>
            </w:r>
          </w:p>
        </w:tc>
      </w:tr>
      <w:tr w:rsidR="00BC57AF" w:rsidRPr="00495FCF" w:rsidTr="001A05D4">
        <w:tc>
          <w:tcPr>
            <w:tcW w:w="1670" w:type="dxa"/>
            <w:tcBorders>
              <w:left w:val="single" w:sz="8" w:space="0" w:color="auto"/>
              <w:bottom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Public Transport</w:t>
            </w:r>
          </w:p>
        </w:tc>
        <w:tc>
          <w:tcPr>
            <w:tcW w:w="1155" w:type="dxa"/>
            <w:tcBorders>
              <w:bottom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13 969.9</w:t>
            </w:r>
          </w:p>
        </w:tc>
        <w:tc>
          <w:tcPr>
            <w:tcW w:w="1134" w:type="dxa"/>
            <w:tcBorders>
              <w:bottom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13 969.9</w:t>
            </w:r>
          </w:p>
        </w:tc>
        <w:tc>
          <w:tcPr>
            <w:tcW w:w="1134" w:type="dxa"/>
            <w:tcBorders>
              <w:bottom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1 357.4</w:t>
            </w:r>
          </w:p>
        </w:tc>
        <w:tc>
          <w:tcPr>
            <w:tcW w:w="979" w:type="dxa"/>
            <w:tcBorders>
              <w:bottom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9.7%</w:t>
            </w:r>
          </w:p>
        </w:tc>
        <w:tc>
          <w:tcPr>
            <w:tcW w:w="1148" w:type="dxa"/>
            <w:tcBorders>
              <w:bottom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1 479.5</w:t>
            </w:r>
          </w:p>
        </w:tc>
        <w:tc>
          <w:tcPr>
            <w:tcW w:w="965" w:type="dxa"/>
            <w:tcBorders>
              <w:bottom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122.1</w:t>
            </w:r>
          </w:p>
        </w:tc>
        <w:tc>
          <w:tcPr>
            <w:tcW w:w="974" w:type="dxa"/>
            <w:tcBorders>
              <w:bottom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8.3%</w:t>
            </w:r>
          </w:p>
        </w:tc>
        <w:tc>
          <w:tcPr>
            <w:tcW w:w="1111" w:type="dxa"/>
            <w:tcBorders>
              <w:bottom w:val="single" w:sz="8" w:space="0" w:color="auto"/>
              <w:right w:val="single" w:sz="8" w:space="0" w:color="auto"/>
            </w:tcBorders>
          </w:tcPr>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0.0</w:t>
            </w:r>
          </w:p>
        </w:tc>
      </w:tr>
      <w:tr w:rsidR="00BC57AF" w:rsidRPr="00495FCF" w:rsidTr="001A05D4">
        <w:tc>
          <w:tcPr>
            <w:tcW w:w="1670"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Total</w:t>
            </w:r>
          </w:p>
        </w:tc>
        <w:tc>
          <w:tcPr>
            <w:tcW w:w="1155"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69 125.9</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69 125.9</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15 583.6</w:t>
            </w:r>
          </w:p>
        </w:tc>
        <w:tc>
          <w:tcPr>
            <w:tcW w:w="979"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22.5%</w:t>
            </w:r>
          </w:p>
        </w:tc>
        <w:tc>
          <w:tcPr>
            <w:tcW w:w="114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15 707.9</w:t>
            </w:r>
          </w:p>
        </w:tc>
        <w:tc>
          <w:tcPr>
            <w:tcW w:w="965"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124.3</w:t>
            </w:r>
          </w:p>
        </w:tc>
        <w:tc>
          <w:tcPr>
            <w:tcW w:w="974"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0.8%</w:t>
            </w:r>
          </w:p>
        </w:tc>
        <w:tc>
          <w:tcPr>
            <w:tcW w:w="1111"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86542C" w:rsidRPr="00495FCF" w:rsidRDefault="0086542C" w:rsidP="00495FCF">
            <w:pPr>
              <w:spacing w:line="240" w:lineRule="auto"/>
              <w:jc w:val="left"/>
              <w:rPr>
                <w:rFonts w:cs="Arial"/>
                <w:b/>
                <w:color w:val="000000" w:themeColor="text1"/>
                <w:sz w:val="20"/>
                <w:szCs w:val="20"/>
              </w:rPr>
            </w:pPr>
            <w:r w:rsidRPr="00495FCF">
              <w:rPr>
                <w:rFonts w:cs="Arial"/>
                <w:b/>
                <w:color w:val="000000" w:themeColor="text1"/>
                <w:sz w:val="20"/>
                <w:szCs w:val="20"/>
              </w:rPr>
              <w:t>0.0</w:t>
            </w:r>
          </w:p>
        </w:tc>
      </w:tr>
    </w:tbl>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w:t>
      </w:r>
      <w:r w:rsidRPr="00495FCF">
        <w:rPr>
          <w:rFonts w:cs="Arial"/>
          <w:b/>
          <w:color w:val="000000" w:themeColor="text1"/>
          <w:sz w:val="20"/>
          <w:szCs w:val="20"/>
        </w:rPr>
        <w:t>Source: National Treasury (2022)</w:t>
      </w:r>
      <w:r w:rsidRPr="00495FCF">
        <w:rPr>
          <w:rFonts w:cs="Arial"/>
          <w:color w:val="000000" w:themeColor="text1"/>
          <w:sz w:val="20"/>
          <w:szCs w:val="20"/>
        </w:rPr>
        <w:t>.</w:t>
      </w:r>
    </w:p>
    <w:p w:rsidR="0086542C" w:rsidRPr="00495FCF" w:rsidRDefault="0086542C" w:rsidP="00495FCF">
      <w:pPr>
        <w:spacing w:line="240" w:lineRule="auto"/>
        <w:jc w:val="left"/>
        <w:rPr>
          <w:rFonts w:cs="Arial"/>
          <w:color w:val="000000" w:themeColor="text1"/>
          <w:sz w:val="20"/>
          <w:szCs w:val="20"/>
        </w:rPr>
      </w:pPr>
    </w:p>
    <w:p w:rsidR="0086542C" w:rsidRPr="00495FCF" w:rsidRDefault="005C2CF5" w:rsidP="00495FCF">
      <w:pPr>
        <w:pStyle w:val="Heading2"/>
        <w:spacing w:before="0" w:line="240" w:lineRule="auto"/>
        <w:rPr>
          <w:rFonts w:cs="Arial"/>
          <w:color w:val="000000" w:themeColor="text1"/>
          <w:sz w:val="20"/>
          <w:szCs w:val="20"/>
        </w:rPr>
      </w:pPr>
      <w:bookmarkStart w:id="2" w:name="_Toc112062797"/>
      <w:r w:rsidRPr="00495FCF">
        <w:rPr>
          <w:rFonts w:cs="Arial"/>
          <w:color w:val="000000" w:themeColor="text1"/>
          <w:sz w:val="20"/>
          <w:szCs w:val="20"/>
        </w:rPr>
        <w:t xml:space="preserve">2.1.1 </w:t>
      </w:r>
      <w:r w:rsidR="0086542C" w:rsidRPr="00495FCF">
        <w:rPr>
          <w:rFonts w:cs="Arial"/>
          <w:color w:val="000000" w:themeColor="text1"/>
          <w:sz w:val="20"/>
          <w:szCs w:val="20"/>
        </w:rPr>
        <w:t>Programme 1: Administration</w:t>
      </w:r>
      <w:bookmarkEnd w:id="2"/>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 xml:space="preserve">By the end of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of 2022/23, the Administration programme had spent R83.6 million against the Quarter’s projection of R111 million, indicating a slower than planned spending of 24.7</w:t>
      </w:r>
      <w:r w:rsidR="009212ED" w:rsidRPr="00495FCF">
        <w:rPr>
          <w:rFonts w:cs="Arial"/>
          <w:color w:val="000000" w:themeColor="text1"/>
          <w:sz w:val="20"/>
          <w:szCs w:val="20"/>
        </w:rPr>
        <w:t xml:space="preserve"> per cent</w:t>
      </w:r>
      <w:r w:rsidRPr="00495FCF">
        <w:rPr>
          <w:rFonts w:cs="Arial"/>
          <w:color w:val="000000" w:themeColor="text1"/>
          <w:sz w:val="20"/>
          <w:szCs w:val="20"/>
        </w:rPr>
        <w:t>– equivalent to R27.4 million. Expenditure delays were mainly on the CoE and on Goods and Services “for the bulk procurement of laptops and legal services”, as well as less than anticipated travelling.</w:t>
      </w:r>
      <w:r w:rsidRPr="00495FCF">
        <w:rPr>
          <w:rStyle w:val="FootnoteReference"/>
          <w:rFonts w:cs="Arial"/>
          <w:color w:val="000000" w:themeColor="text1"/>
          <w:sz w:val="20"/>
          <w:szCs w:val="20"/>
        </w:rPr>
        <w:footnoteReference w:id="5"/>
      </w:r>
    </w:p>
    <w:p w:rsidR="0086542C" w:rsidRPr="00495FCF" w:rsidRDefault="0086542C" w:rsidP="00495FCF">
      <w:pPr>
        <w:spacing w:line="240" w:lineRule="auto"/>
        <w:jc w:val="left"/>
        <w:rPr>
          <w:rFonts w:cs="Arial"/>
          <w:color w:val="000000" w:themeColor="text1"/>
          <w:sz w:val="20"/>
          <w:szCs w:val="20"/>
        </w:rPr>
      </w:pPr>
    </w:p>
    <w:p w:rsidR="0086542C" w:rsidRPr="00495FCF" w:rsidRDefault="0086542C" w:rsidP="00495FCF">
      <w:pPr>
        <w:pStyle w:val="Heading2"/>
        <w:spacing w:before="0" w:line="240" w:lineRule="auto"/>
        <w:rPr>
          <w:rFonts w:cs="Arial"/>
          <w:color w:val="000000" w:themeColor="text1"/>
          <w:sz w:val="20"/>
          <w:szCs w:val="20"/>
        </w:rPr>
      </w:pPr>
      <w:bookmarkStart w:id="3" w:name="_Toc112062798"/>
      <w:r w:rsidRPr="00495FCF">
        <w:rPr>
          <w:rFonts w:cs="Arial"/>
          <w:color w:val="000000" w:themeColor="text1"/>
          <w:sz w:val="20"/>
          <w:szCs w:val="20"/>
        </w:rPr>
        <w:t>2.</w:t>
      </w:r>
      <w:r w:rsidR="005C2CF5" w:rsidRPr="00495FCF">
        <w:rPr>
          <w:rFonts w:cs="Arial"/>
          <w:color w:val="000000" w:themeColor="text1"/>
          <w:sz w:val="20"/>
          <w:szCs w:val="20"/>
        </w:rPr>
        <w:t>1.</w:t>
      </w:r>
      <w:r w:rsidRPr="00495FCF">
        <w:rPr>
          <w:rFonts w:cs="Arial"/>
          <w:color w:val="000000" w:themeColor="text1"/>
          <w:sz w:val="20"/>
          <w:szCs w:val="20"/>
        </w:rPr>
        <w:t>2 Programme 2: Integrated Transport Planning</w:t>
      </w:r>
      <w:bookmarkEnd w:id="3"/>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 xml:space="preserve">In the Integrated Transport Planning programme, the Department spent R14.2 million against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projection of R15.5 million. The delay in the expenditure of 8.2</w:t>
      </w:r>
      <w:r w:rsidR="009212ED" w:rsidRPr="00495FCF">
        <w:rPr>
          <w:rFonts w:cs="Arial"/>
          <w:color w:val="000000" w:themeColor="text1"/>
          <w:sz w:val="20"/>
          <w:szCs w:val="20"/>
        </w:rPr>
        <w:t xml:space="preserve"> per cent, </w:t>
      </w:r>
      <w:r w:rsidRPr="00495FCF">
        <w:rPr>
          <w:rFonts w:cs="Arial"/>
          <w:color w:val="000000" w:themeColor="text1"/>
          <w:sz w:val="20"/>
          <w:szCs w:val="20"/>
        </w:rPr>
        <w:t>equivalent to R1.3 million, was due to</w:t>
      </w:r>
      <w:r w:rsidRPr="00495FCF">
        <w:rPr>
          <w:rFonts w:cs="Arial"/>
          <w:b/>
          <w:color w:val="000000" w:themeColor="text1"/>
          <w:sz w:val="20"/>
          <w:szCs w:val="20"/>
        </w:rPr>
        <w:t xml:space="preserve"> </w:t>
      </w:r>
      <w:r w:rsidRPr="00495FCF">
        <w:rPr>
          <w:rFonts w:cs="Arial"/>
          <w:color w:val="000000" w:themeColor="text1"/>
          <w:sz w:val="20"/>
          <w:szCs w:val="20"/>
        </w:rPr>
        <w:t>the slow progress on the Regional Corridor Strategy and the Autonomous Vehicles Regulations.</w:t>
      </w:r>
      <w:r w:rsidRPr="00495FCF">
        <w:rPr>
          <w:rStyle w:val="FootnoteReference"/>
          <w:rFonts w:cs="Arial"/>
          <w:color w:val="000000" w:themeColor="text1"/>
          <w:sz w:val="20"/>
          <w:szCs w:val="20"/>
        </w:rPr>
        <w:footnoteReference w:id="6"/>
      </w:r>
      <w:r w:rsidRPr="00495FCF">
        <w:rPr>
          <w:rFonts w:cs="Arial"/>
          <w:color w:val="000000" w:themeColor="text1"/>
          <w:sz w:val="20"/>
          <w:szCs w:val="20"/>
        </w:rPr>
        <w:t xml:space="preserve"> </w:t>
      </w:r>
    </w:p>
    <w:p w:rsidR="0086542C" w:rsidRPr="00495FCF" w:rsidRDefault="0086542C" w:rsidP="00495FCF">
      <w:pPr>
        <w:spacing w:line="240" w:lineRule="auto"/>
        <w:jc w:val="left"/>
        <w:rPr>
          <w:rFonts w:cs="Arial"/>
          <w:color w:val="000000" w:themeColor="text1"/>
          <w:sz w:val="20"/>
          <w:szCs w:val="20"/>
        </w:rPr>
      </w:pPr>
    </w:p>
    <w:p w:rsidR="0086542C" w:rsidRPr="00495FCF" w:rsidRDefault="0086542C" w:rsidP="00495FCF">
      <w:pPr>
        <w:pStyle w:val="Heading2"/>
        <w:spacing w:before="0" w:line="240" w:lineRule="auto"/>
        <w:rPr>
          <w:rFonts w:cs="Arial"/>
          <w:color w:val="000000" w:themeColor="text1"/>
          <w:sz w:val="20"/>
          <w:szCs w:val="20"/>
        </w:rPr>
      </w:pPr>
      <w:bookmarkStart w:id="4" w:name="_Toc112062799"/>
      <w:r w:rsidRPr="00495FCF">
        <w:rPr>
          <w:rFonts w:cs="Arial"/>
          <w:color w:val="000000" w:themeColor="text1"/>
          <w:sz w:val="20"/>
          <w:szCs w:val="20"/>
        </w:rPr>
        <w:t>2.</w:t>
      </w:r>
      <w:r w:rsidR="005C2CF5" w:rsidRPr="00495FCF">
        <w:rPr>
          <w:rFonts w:cs="Arial"/>
          <w:color w:val="000000" w:themeColor="text1"/>
          <w:sz w:val="20"/>
          <w:szCs w:val="20"/>
        </w:rPr>
        <w:t>1.</w:t>
      </w:r>
      <w:r w:rsidRPr="00495FCF">
        <w:rPr>
          <w:rFonts w:cs="Arial"/>
          <w:color w:val="000000" w:themeColor="text1"/>
          <w:sz w:val="20"/>
          <w:szCs w:val="20"/>
        </w:rPr>
        <w:t>3 Programme 3: Rail Transport</w:t>
      </w:r>
      <w:bookmarkEnd w:id="4"/>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 xml:space="preserve">The Department spent R5 046.2 million against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projection of R5 047.4 million in the Rail Transport programme. Expenditure was largely on track, with only R1.2 million in delayed spending. The spending delay was as a result of slower spending on Goods and Services for projects such as the Establishment of the Interim Rail Economic Regulator and the National Rail Policy.</w:t>
      </w:r>
      <w:r w:rsidRPr="00495FCF">
        <w:rPr>
          <w:rStyle w:val="FootnoteReference"/>
          <w:rFonts w:cs="Arial"/>
          <w:color w:val="000000" w:themeColor="text1"/>
          <w:sz w:val="20"/>
          <w:szCs w:val="20"/>
        </w:rPr>
        <w:footnoteReference w:id="7"/>
      </w:r>
    </w:p>
    <w:p w:rsidR="0086542C" w:rsidRPr="00495FCF" w:rsidRDefault="0086542C" w:rsidP="00495FCF">
      <w:pPr>
        <w:spacing w:line="240" w:lineRule="auto"/>
        <w:jc w:val="left"/>
        <w:rPr>
          <w:rFonts w:cs="Arial"/>
          <w:color w:val="000000" w:themeColor="text1"/>
          <w:sz w:val="20"/>
          <w:szCs w:val="20"/>
        </w:rPr>
      </w:pPr>
    </w:p>
    <w:p w:rsidR="0086542C" w:rsidRPr="00495FCF" w:rsidRDefault="0086542C" w:rsidP="00495FCF">
      <w:pPr>
        <w:pStyle w:val="Heading2"/>
        <w:spacing w:before="0" w:line="240" w:lineRule="auto"/>
        <w:rPr>
          <w:rFonts w:cs="Arial"/>
          <w:color w:val="000000" w:themeColor="text1"/>
          <w:sz w:val="20"/>
          <w:szCs w:val="20"/>
        </w:rPr>
      </w:pPr>
      <w:bookmarkStart w:id="5" w:name="_Toc112062800"/>
      <w:r w:rsidRPr="00495FCF">
        <w:rPr>
          <w:rFonts w:cs="Arial"/>
          <w:color w:val="000000" w:themeColor="text1"/>
          <w:sz w:val="20"/>
          <w:szCs w:val="20"/>
        </w:rPr>
        <w:t>2.</w:t>
      </w:r>
      <w:r w:rsidR="005C2CF5" w:rsidRPr="00495FCF">
        <w:rPr>
          <w:rFonts w:cs="Arial"/>
          <w:color w:val="000000" w:themeColor="text1"/>
          <w:sz w:val="20"/>
          <w:szCs w:val="20"/>
        </w:rPr>
        <w:t>1.</w:t>
      </w:r>
      <w:r w:rsidRPr="00495FCF">
        <w:rPr>
          <w:rFonts w:cs="Arial"/>
          <w:color w:val="000000" w:themeColor="text1"/>
          <w:sz w:val="20"/>
          <w:szCs w:val="20"/>
        </w:rPr>
        <w:t>4 Programme 4: Road Transport</w:t>
      </w:r>
      <w:bookmarkEnd w:id="5"/>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 xml:space="preserve">In the Road Transport programme, the Department spent R8 963.6 million against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projection of R8 927.7 million, indicating a slower than planned spending of 0.4</w:t>
      </w:r>
      <w:r w:rsidR="009212ED" w:rsidRPr="00495FCF">
        <w:rPr>
          <w:rFonts w:cs="Arial"/>
          <w:color w:val="000000" w:themeColor="text1"/>
          <w:sz w:val="20"/>
          <w:szCs w:val="20"/>
        </w:rPr>
        <w:t xml:space="preserve"> per cent</w:t>
      </w:r>
      <w:r w:rsidRPr="00495FCF">
        <w:rPr>
          <w:rFonts w:cs="Arial"/>
          <w:color w:val="000000" w:themeColor="text1"/>
          <w:sz w:val="20"/>
          <w:szCs w:val="20"/>
        </w:rPr>
        <w:t>– equivalent to R35.4 million. However, the programme had higher than planned spending that was mainly due to earlier than projected transfer payment to the Road Traffic Management Corporation (RTMC).</w:t>
      </w:r>
      <w:r w:rsidRPr="00495FCF">
        <w:rPr>
          <w:rStyle w:val="FootnoteReference"/>
          <w:rFonts w:cs="Arial"/>
          <w:color w:val="000000" w:themeColor="text1"/>
          <w:sz w:val="20"/>
          <w:szCs w:val="20"/>
        </w:rPr>
        <w:footnoteReference w:id="8"/>
      </w:r>
      <w:r w:rsidRPr="00495FCF">
        <w:rPr>
          <w:rFonts w:cs="Arial"/>
          <w:color w:val="000000" w:themeColor="text1"/>
          <w:sz w:val="20"/>
          <w:szCs w:val="20"/>
        </w:rPr>
        <w:t xml:space="preserve"> In addition, there were spending delays in Goods and Services for projects such as </w:t>
      </w:r>
      <w:r w:rsidRPr="00495FCF">
        <w:rPr>
          <w:rFonts w:cs="Arial"/>
          <w:i/>
          <w:color w:val="000000" w:themeColor="text1"/>
          <w:sz w:val="20"/>
          <w:szCs w:val="20"/>
        </w:rPr>
        <w:t>S’hamba Sonke</w:t>
      </w:r>
      <w:r w:rsidRPr="00495FCF">
        <w:rPr>
          <w:rFonts w:cs="Arial"/>
          <w:color w:val="000000" w:themeColor="text1"/>
          <w:sz w:val="20"/>
          <w:szCs w:val="20"/>
        </w:rPr>
        <w:t>, Development of the Road Disaster Management Plan, and the Development of the Road Asset Management Tool.</w:t>
      </w:r>
      <w:r w:rsidRPr="00495FCF">
        <w:rPr>
          <w:rStyle w:val="FootnoteReference"/>
          <w:rFonts w:cs="Arial"/>
          <w:color w:val="000000" w:themeColor="text1"/>
          <w:sz w:val="20"/>
          <w:szCs w:val="20"/>
        </w:rPr>
        <w:footnoteReference w:id="9"/>
      </w:r>
    </w:p>
    <w:p w:rsidR="0086542C" w:rsidRPr="00495FCF" w:rsidRDefault="0086542C" w:rsidP="00495FCF">
      <w:pPr>
        <w:spacing w:line="240" w:lineRule="auto"/>
        <w:jc w:val="left"/>
        <w:rPr>
          <w:rFonts w:cs="Arial"/>
          <w:color w:val="000000" w:themeColor="text1"/>
          <w:sz w:val="20"/>
          <w:szCs w:val="20"/>
        </w:rPr>
      </w:pPr>
    </w:p>
    <w:p w:rsidR="0086542C" w:rsidRPr="00495FCF" w:rsidRDefault="0086542C" w:rsidP="00495FCF">
      <w:pPr>
        <w:pStyle w:val="Heading2"/>
        <w:spacing w:before="0" w:line="240" w:lineRule="auto"/>
        <w:rPr>
          <w:rFonts w:cs="Arial"/>
          <w:color w:val="000000" w:themeColor="text1"/>
          <w:sz w:val="20"/>
          <w:szCs w:val="20"/>
        </w:rPr>
      </w:pPr>
      <w:bookmarkStart w:id="6" w:name="_Toc112062801"/>
      <w:r w:rsidRPr="00495FCF">
        <w:rPr>
          <w:rFonts w:cs="Arial"/>
          <w:color w:val="000000" w:themeColor="text1"/>
          <w:sz w:val="20"/>
          <w:szCs w:val="20"/>
        </w:rPr>
        <w:lastRenderedPageBreak/>
        <w:t>2.</w:t>
      </w:r>
      <w:r w:rsidR="005C2CF5" w:rsidRPr="00495FCF">
        <w:rPr>
          <w:rFonts w:cs="Arial"/>
          <w:color w:val="000000" w:themeColor="text1"/>
          <w:sz w:val="20"/>
          <w:szCs w:val="20"/>
        </w:rPr>
        <w:t>1.</w:t>
      </w:r>
      <w:r w:rsidRPr="00495FCF">
        <w:rPr>
          <w:rFonts w:cs="Arial"/>
          <w:color w:val="000000" w:themeColor="text1"/>
          <w:sz w:val="20"/>
          <w:szCs w:val="20"/>
        </w:rPr>
        <w:t>5 Programme 5: Civil Aviation Transport</w:t>
      </w:r>
      <w:bookmarkEnd w:id="6"/>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 xml:space="preserve">The Department spent R89.5 million against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projection of R93.7 million, translating into a delay in planned spending of 4.5</w:t>
      </w:r>
      <w:r w:rsidR="009212ED" w:rsidRPr="00495FCF">
        <w:rPr>
          <w:rFonts w:cs="Arial"/>
          <w:color w:val="000000" w:themeColor="text1"/>
          <w:sz w:val="20"/>
          <w:szCs w:val="20"/>
        </w:rPr>
        <w:t xml:space="preserve"> per cent-</w:t>
      </w:r>
      <w:r w:rsidRPr="00495FCF">
        <w:rPr>
          <w:rFonts w:cs="Arial"/>
          <w:color w:val="000000" w:themeColor="text1"/>
          <w:sz w:val="20"/>
          <w:szCs w:val="20"/>
        </w:rPr>
        <w:t>equivalent to R3.4 million. Delay in expenditure was largely owing to slower than anticipated resumption of spending on venues and facilities, travel and subsistence.</w:t>
      </w:r>
      <w:r w:rsidRPr="00495FCF">
        <w:rPr>
          <w:rStyle w:val="FootnoteReference"/>
          <w:rFonts w:cs="Arial"/>
          <w:color w:val="000000" w:themeColor="text1"/>
          <w:sz w:val="20"/>
          <w:szCs w:val="20"/>
        </w:rPr>
        <w:footnoteReference w:id="10"/>
      </w:r>
    </w:p>
    <w:p w:rsidR="0086542C" w:rsidRPr="00495FCF" w:rsidRDefault="0086542C" w:rsidP="00495FCF">
      <w:pPr>
        <w:spacing w:line="240" w:lineRule="auto"/>
        <w:jc w:val="left"/>
        <w:rPr>
          <w:rFonts w:cs="Arial"/>
          <w:color w:val="000000" w:themeColor="text1"/>
          <w:sz w:val="20"/>
          <w:szCs w:val="20"/>
        </w:rPr>
      </w:pPr>
    </w:p>
    <w:p w:rsidR="0086542C" w:rsidRPr="00495FCF" w:rsidRDefault="0086542C" w:rsidP="00495FCF">
      <w:pPr>
        <w:pStyle w:val="Heading2"/>
        <w:spacing w:before="0" w:line="240" w:lineRule="auto"/>
        <w:rPr>
          <w:rFonts w:cs="Arial"/>
          <w:color w:val="000000" w:themeColor="text1"/>
          <w:sz w:val="20"/>
          <w:szCs w:val="20"/>
        </w:rPr>
      </w:pPr>
      <w:bookmarkStart w:id="7" w:name="_Toc112062802"/>
      <w:r w:rsidRPr="00495FCF">
        <w:rPr>
          <w:rFonts w:cs="Arial"/>
          <w:color w:val="000000" w:themeColor="text1"/>
          <w:sz w:val="20"/>
          <w:szCs w:val="20"/>
        </w:rPr>
        <w:t>2.</w:t>
      </w:r>
      <w:r w:rsidR="005C2CF5" w:rsidRPr="00495FCF">
        <w:rPr>
          <w:rFonts w:cs="Arial"/>
          <w:color w:val="000000" w:themeColor="text1"/>
          <w:sz w:val="20"/>
          <w:szCs w:val="20"/>
        </w:rPr>
        <w:t>1.</w:t>
      </w:r>
      <w:r w:rsidRPr="00495FCF">
        <w:rPr>
          <w:rFonts w:cs="Arial"/>
          <w:color w:val="000000" w:themeColor="text1"/>
          <w:sz w:val="20"/>
          <w:szCs w:val="20"/>
        </w:rPr>
        <w:t>6 Programme 6: Maritime Transport</w:t>
      </w:r>
      <w:bookmarkEnd w:id="7"/>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 xml:space="preserve">In the Maritime Transport programme, the Department spent R29.1 million against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projection of R33.1 million, translating into a slower than planned spending of 12</w:t>
      </w:r>
      <w:r w:rsidR="009212ED" w:rsidRPr="00495FCF">
        <w:rPr>
          <w:rFonts w:cs="Arial"/>
          <w:color w:val="000000" w:themeColor="text1"/>
          <w:sz w:val="20"/>
          <w:szCs w:val="20"/>
        </w:rPr>
        <w:t xml:space="preserve"> per cent</w:t>
      </w:r>
      <w:r w:rsidRPr="00495FCF">
        <w:rPr>
          <w:rFonts w:cs="Arial"/>
          <w:color w:val="000000" w:themeColor="text1"/>
          <w:sz w:val="20"/>
          <w:szCs w:val="20"/>
        </w:rPr>
        <w:t>– equivalent to R4 million. Spending delays were on Goods and Services and slow progress on projects such as:</w:t>
      </w:r>
      <w:r w:rsidRPr="00495FCF">
        <w:rPr>
          <w:rStyle w:val="FootnoteReference"/>
          <w:rFonts w:cs="Arial"/>
          <w:color w:val="000000" w:themeColor="text1"/>
          <w:sz w:val="20"/>
          <w:szCs w:val="20"/>
        </w:rPr>
        <w:footnoteReference w:id="11"/>
      </w:r>
    </w:p>
    <w:p w:rsidR="0086542C" w:rsidRPr="00495FCF" w:rsidRDefault="0086542C" w:rsidP="00495FCF">
      <w:pPr>
        <w:pStyle w:val="ListParagraph"/>
        <w:numPr>
          <w:ilvl w:val="0"/>
          <w:numId w:val="5"/>
        </w:numPr>
        <w:spacing w:line="240" w:lineRule="auto"/>
        <w:jc w:val="left"/>
        <w:rPr>
          <w:rFonts w:cs="Arial"/>
          <w:color w:val="000000" w:themeColor="text1"/>
          <w:sz w:val="20"/>
          <w:szCs w:val="20"/>
        </w:rPr>
      </w:pPr>
      <w:r w:rsidRPr="00495FCF">
        <w:rPr>
          <w:rFonts w:cs="Arial"/>
          <w:color w:val="000000" w:themeColor="text1"/>
          <w:sz w:val="20"/>
          <w:szCs w:val="20"/>
        </w:rPr>
        <w:t>The Ballast Water Management Bill; and</w:t>
      </w:r>
    </w:p>
    <w:p w:rsidR="0086542C" w:rsidRPr="00495FCF" w:rsidRDefault="0086542C" w:rsidP="00495FCF">
      <w:pPr>
        <w:pStyle w:val="ListParagraph"/>
        <w:numPr>
          <w:ilvl w:val="0"/>
          <w:numId w:val="5"/>
        </w:numPr>
        <w:spacing w:line="240" w:lineRule="auto"/>
        <w:jc w:val="left"/>
        <w:rPr>
          <w:rFonts w:cs="Arial"/>
          <w:color w:val="000000" w:themeColor="text1"/>
          <w:sz w:val="20"/>
          <w:szCs w:val="20"/>
        </w:rPr>
      </w:pPr>
      <w:r w:rsidRPr="00495FCF">
        <w:rPr>
          <w:rFonts w:cs="Arial"/>
          <w:color w:val="000000" w:themeColor="text1"/>
          <w:sz w:val="20"/>
          <w:szCs w:val="20"/>
        </w:rPr>
        <w:t>Review of the Merchant Shipping Bill.</w:t>
      </w:r>
    </w:p>
    <w:p w:rsidR="0086542C" w:rsidRPr="00495FCF" w:rsidRDefault="0086542C" w:rsidP="00495FCF">
      <w:pPr>
        <w:spacing w:line="240" w:lineRule="auto"/>
        <w:jc w:val="left"/>
        <w:rPr>
          <w:rFonts w:cs="Arial"/>
          <w:color w:val="000000" w:themeColor="text1"/>
          <w:sz w:val="20"/>
          <w:szCs w:val="20"/>
        </w:rPr>
      </w:pPr>
    </w:p>
    <w:p w:rsidR="0086542C" w:rsidRPr="00495FCF" w:rsidRDefault="0086542C" w:rsidP="00495FCF">
      <w:pPr>
        <w:pStyle w:val="Heading2"/>
        <w:spacing w:before="0" w:line="240" w:lineRule="auto"/>
        <w:rPr>
          <w:rFonts w:cs="Arial"/>
          <w:color w:val="000000" w:themeColor="text1"/>
          <w:sz w:val="20"/>
          <w:szCs w:val="20"/>
        </w:rPr>
      </w:pPr>
      <w:bookmarkStart w:id="8" w:name="_Toc112062803"/>
      <w:r w:rsidRPr="00495FCF">
        <w:rPr>
          <w:rFonts w:cs="Arial"/>
          <w:color w:val="000000" w:themeColor="text1"/>
          <w:sz w:val="20"/>
          <w:szCs w:val="20"/>
        </w:rPr>
        <w:t>2.</w:t>
      </w:r>
      <w:r w:rsidR="005C2CF5" w:rsidRPr="00495FCF">
        <w:rPr>
          <w:rFonts w:cs="Arial"/>
          <w:color w:val="000000" w:themeColor="text1"/>
          <w:sz w:val="20"/>
          <w:szCs w:val="20"/>
        </w:rPr>
        <w:t>1.</w:t>
      </w:r>
      <w:r w:rsidRPr="00495FCF">
        <w:rPr>
          <w:rFonts w:cs="Arial"/>
          <w:color w:val="000000" w:themeColor="text1"/>
          <w:sz w:val="20"/>
          <w:szCs w:val="20"/>
        </w:rPr>
        <w:t>7 Programme 7: Public Transport</w:t>
      </w:r>
      <w:bookmarkEnd w:id="8"/>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 xml:space="preserve">As at the end of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of 2022/23, the Department had spent R1.4 billion against the Quarter’s projection of R1.5 billion, indicating a slower than planned spending of 8.3</w:t>
      </w:r>
      <w:r w:rsidR="009212ED" w:rsidRPr="00495FCF">
        <w:rPr>
          <w:rFonts w:cs="Arial"/>
          <w:color w:val="000000" w:themeColor="text1"/>
          <w:sz w:val="20"/>
          <w:szCs w:val="20"/>
        </w:rPr>
        <w:t xml:space="preserve"> per cent</w:t>
      </w:r>
      <w:r w:rsidRPr="00495FCF">
        <w:rPr>
          <w:rFonts w:cs="Arial"/>
          <w:color w:val="000000" w:themeColor="text1"/>
          <w:sz w:val="20"/>
          <w:szCs w:val="20"/>
        </w:rPr>
        <w:t>– equivalent to 122.1 million. Spending delays were largely in Transfers and Subsidies owing to slower than projected demand on the Taxi Recapitalisation Programme (TRP), and in Goods and Services</w:t>
      </w:r>
      <w:r w:rsidRPr="00495FCF">
        <w:rPr>
          <w:rFonts w:cs="Arial"/>
          <w:b/>
          <w:color w:val="000000" w:themeColor="text1"/>
          <w:sz w:val="20"/>
          <w:szCs w:val="20"/>
        </w:rPr>
        <w:t xml:space="preserve"> </w:t>
      </w:r>
      <w:r w:rsidRPr="00495FCF">
        <w:rPr>
          <w:rFonts w:cs="Arial"/>
          <w:color w:val="000000" w:themeColor="text1"/>
          <w:sz w:val="20"/>
          <w:szCs w:val="20"/>
        </w:rPr>
        <w:t>thanks to delays in projects such as:</w:t>
      </w:r>
      <w:r w:rsidRPr="00495FCF">
        <w:rPr>
          <w:rStyle w:val="FootnoteReference"/>
          <w:rFonts w:cs="Arial"/>
          <w:color w:val="000000" w:themeColor="text1"/>
          <w:sz w:val="20"/>
          <w:szCs w:val="20"/>
        </w:rPr>
        <w:footnoteReference w:id="12"/>
      </w:r>
    </w:p>
    <w:p w:rsidR="0086542C" w:rsidRPr="00495FCF" w:rsidRDefault="0086542C" w:rsidP="00495FCF">
      <w:pPr>
        <w:pStyle w:val="ListParagraph"/>
        <w:numPr>
          <w:ilvl w:val="0"/>
          <w:numId w:val="8"/>
        </w:numPr>
        <w:spacing w:line="240" w:lineRule="auto"/>
        <w:jc w:val="left"/>
        <w:rPr>
          <w:rFonts w:cs="Arial"/>
          <w:color w:val="000000" w:themeColor="text1"/>
          <w:sz w:val="20"/>
          <w:szCs w:val="20"/>
        </w:rPr>
      </w:pPr>
      <w:r w:rsidRPr="00495FCF">
        <w:rPr>
          <w:rFonts w:cs="Arial"/>
          <w:color w:val="000000" w:themeColor="text1"/>
          <w:sz w:val="20"/>
          <w:szCs w:val="20"/>
        </w:rPr>
        <w:t>The implementation of the integrated public transport networks (IPTNs) in district municipalities; and</w:t>
      </w:r>
    </w:p>
    <w:p w:rsidR="0086542C" w:rsidRPr="00495FCF" w:rsidRDefault="0086542C" w:rsidP="00495FCF">
      <w:pPr>
        <w:pStyle w:val="ListParagraph"/>
        <w:numPr>
          <w:ilvl w:val="0"/>
          <w:numId w:val="8"/>
        </w:numPr>
        <w:spacing w:line="240" w:lineRule="auto"/>
        <w:jc w:val="left"/>
        <w:rPr>
          <w:rFonts w:cs="Arial"/>
          <w:color w:val="000000" w:themeColor="text1"/>
          <w:sz w:val="20"/>
          <w:szCs w:val="20"/>
        </w:rPr>
      </w:pPr>
      <w:r w:rsidRPr="00495FCF">
        <w:rPr>
          <w:rFonts w:cs="Arial"/>
          <w:i/>
          <w:color w:val="000000" w:themeColor="text1"/>
          <w:sz w:val="20"/>
          <w:szCs w:val="20"/>
        </w:rPr>
        <w:t>Shova-Kalula</w:t>
      </w:r>
      <w:r w:rsidRPr="00495FCF">
        <w:rPr>
          <w:rFonts w:cs="Arial"/>
          <w:color w:val="000000" w:themeColor="text1"/>
          <w:sz w:val="20"/>
          <w:szCs w:val="20"/>
        </w:rPr>
        <w:t xml:space="preserve"> Bicycle Programme.</w:t>
      </w:r>
    </w:p>
    <w:p w:rsidR="0086542C" w:rsidRPr="00495FCF" w:rsidRDefault="0065520C" w:rsidP="00495FCF">
      <w:pPr>
        <w:spacing w:line="240" w:lineRule="auto"/>
        <w:jc w:val="left"/>
        <w:rPr>
          <w:rFonts w:cs="Arial"/>
          <w:color w:val="000000" w:themeColor="text1"/>
          <w:sz w:val="20"/>
          <w:szCs w:val="20"/>
        </w:rPr>
      </w:pPr>
      <w:r w:rsidRPr="00495FCF">
        <w:rPr>
          <w:rFonts w:cs="Arial"/>
          <w:color w:val="000000" w:themeColor="text1"/>
          <w:sz w:val="20"/>
          <w:szCs w:val="20"/>
        </w:rPr>
        <w:t xml:space="preserve"> </w:t>
      </w:r>
    </w:p>
    <w:p w:rsidR="0086542C" w:rsidRPr="00495FCF" w:rsidRDefault="0065520C" w:rsidP="00495FCF">
      <w:pPr>
        <w:pStyle w:val="Heading1"/>
        <w:numPr>
          <w:ilvl w:val="1"/>
          <w:numId w:val="11"/>
        </w:numPr>
        <w:spacing w:before="0" w:line="240" w:lineRule="auto"/>
        <w:jc w:val="left"/>
        <w:rPr>
          <w:rFonts w:cs="Arial"/>
          <w:color w:val="000000" w:themeColor="text1"/>
          <w:sz w:val="20"/>
          <w:szCs w:val="20"/>
        </w:rPr>
      </w:pPr>
      <w:bookmarkStart w:id="9" w:name="_Toc112062804"/>
      <w:r w:rsidRPr="00495FCF">
        <w:rPr>
          <w:rFonts w:cs="Arial"/>
          <w:color w:val="000000" w:themeColor="text1"/>
          <w:sz w:val="20"/>
          <w:szCs w:val="20"/>
        </w:rPr>
        <w:t xml:space="preserve">        </w:t>
      </w:r>
      <w:r w:rsidR="0086542C" w:rsidRPr="00495FCF">
        <w:rPr>
          <w:rFonts w:cs="Arial"/>
          <w:color w:val="000000" w:themeColor="text1"/>
          <w:sz w:val="20"/>
          <w:szCs w:val="20"/>
        </w:rPr>
        <w:t>disaster response</w:t>
      </w:r>
      <w:bookmarkEnd w:id="9"/>
    </w:p>
    <w:p w:rsidR="00FA7422" w:rsidRPr="00495FCF" w:rsidRDefault="00FA7422" w:rsidP="00495FCF">
      <w:pPr>
        <w:spacing w:line="240" w:lineRule="auto"/>
        <w:jc w:val="left"/>
        <w:rPr>
          <w:rFonts w:cs="Arial"/>
          <w:color w:val="000000" w:themeColor="text1"/>
          <w:sz w:val="20"/>
          <w:szCs w:val="20"/>
        </w:rPr>
      </w:pPr>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By the end of the period under review, the Department had spent R122.5 million on disasters caused by flood damages to provinces.</w:t>
      </w:r>
      <w:r w:rsidRPr="00495FCF">
        <w:rPr>
          <w:rStyle w:val="FootnoteReference"/>
          <w:rFonts w:cs="Arial"/>
          <w:color w:val="000000" w:themeColor="text1"/>
          <w:sz w:val="20"/>
          <w:szCs w:val="20"/>
        </w:rPr>
        <w:footnoteReference w:id="13"/>
      </w:r>
      <w:r w:rsidRPr="00495FCF">
        <w:rPr>
          <w:rFonts w:cs="Arial"/>
          <w:color w:val="000000" w:themeColor="text1"/>
          <w:sz w:val="20"/>
          <w:szCs w:val="20"/>
        </w:rPr>
        <w:t xml:space="preserve">By the end of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of 2022/23, the Department had spent R15.6 billion (or 22.5</w:t>
      </w:r>
      <w:r w:rsidR="009212ED" w:rsidRPr="00495FCF">
        <w:rPr>
          <w:rFonts w:cs="Arial"/>
          <w:color w:val="000000" w:themeColor="text1"/>
          <w:sz w:val="20"/>
          <w:szCs w:val="20"/>
        </w:rPr>
        <w:t xml:space="preserve"> per cent) </w:t>
      </w:r>
      <w:r w:rsidRPr="00495FCF">
        <w:rPr>
          <w:rFonts w:cs="Arial"/>
          <w:color w:val="000000" w:themeColor="text1"/>
          <w:sz w:val="20"/>
          <w:szCs w:val="20"/>
        </w:rPr>
        <w:t>against the Quarter’s projection of R15.7 billion of the R69.1 billion. This expenditure improved slightly from 21.9</w:t>
      </w:r>
      <w:r w:rsidR="009212ED" w:rsidRPr="00495FCF">
        <w:rPr>
          <w:rFonts w:cs="Arial"/>
          <w:color w:val="000000" w:themeColor="text1"/>
          <w:sz w:val="20"/>
          <w:szCs w:val="20"/>
        </w:rPr>
        <w:t xml:space="preserve"> per cent </w:t>
      </w:r>
      <w:r w:rsidRPr="00495FCF">
        <w:rPr>
          <w:rFonts w:cs="Arial"/>
          <w:color w:val="000000" w:themeColor="text1"/>
          <w:sz w:val="20"/>
          <w:szCs w:val="20"/>
        </w:rPr>
        <w:t xml:space="preserve">it had spent as at the end of the </w:t>
      </w:r>
      <w:r w:rsidR="009212ED" w:rsidRPr="00495FCF">
        <w:rPr>
          <w:rFonts w:cs="Arial"/>
          <w:color w:val="000000" w:themeColor="text1"/>
          <w:sz w:val="20"/>
          <w:szCs w:val="20"/>
        </w:rPr>
        <w:t>1</w:t>
      </w:r>
      <w:r w:rsidR="009212ED" w:rsidRPr="00495FCF">
        <w:rPr>
          <w:rFonts w:cs="Arial"/>
          <w:color w:val="000000" w:themeColor="text1"/>
          <w:sz w:val="20"/>
          <w:szCs w:val="20"/>
          <w:vertAlign w:val="superscript"/>
        </w:rPr>
        <w:t>st</w:t>
      </w:r>
      <w:r w:rsidR="009212ED" w:rsidRPr="00495FCF">
        <w:rPr>
          <w:rFonts w:cs="Arial"/>
          <w:color w:val="000000" w:themeColor="text1"/>
          <w:sz w:val="20"/>
          <w:szCs w:val="20"/>
        </w:rPr>
        <w:t xml:space="preserve"> </w:t>
      </w:r>
      <w:r w:rsidRPr="00495FCF">
        <w:rPr>
          <w:rFonts w:cs="Arial"/>
          <w:color w:val="000000" w:themeColor="text1"/>
          <w:sz w:val="20"/>
          <w:szCs w:val="20"/>
        </w:rPr>
        <w:t>Quarter of 2021/22.</w:t>
      </w:r>
      <w:r w:rsidRPr="00495FCF">
        <w:rPr>
          <w:rStyle w:val="FootnoteReference"/>
          <w:rFonts w:cs="Arial"/>
          <w:color w:val="000000" w:themeColor="text1"/>
          <w:sz w:val="20"/>
          <w:szCs w:val="20"/>
        </w:rPr>
        <w:footnoteReference w:id="14"/>
      </w:r>
    </w:p>
    <w:p w:rsidR="0086542C" w:rsidRPr="00495FCF" w:rsidRDefault="0086542C" w:rsidP="00495FCF">
      <w:pPr>
        <w:spacing w:line="240" w:lineRule="auto"/>
        <w:jc w:val="left"/>
        <w:rPr>
          <w:rFonts w:cs="Arial"/>
          <w:color w:val="000000" w:themeColor="text1"/>
          <w:sz w:val="20"/>
          <w:szCs w:val="20"/>
        </w:rPr>
      </w:pPr>
    </w:p>
    <w:p w:rsidR="0086542C" w:rsidRPr="00495FCF" w:rsidRDefault="0086542C" w:rsidP="00495FCF">
      <w:pPr>
        <w:spacing w:line="240" w:lineRule="auto"/>
        <w:jc w:val="left"/>
        <w:rPr>
          <w:rFonts w:cs="Arial"/>
          <w:color w:val="000000" w:themeColor="text1"/>
          <w:sz w:val="20"/>
          <w:szCs w:val="20"/>
        </w:rPr>
      </w:pPr>
      <w:r w:rsidRPr="00495FCF">
        <w:rPr>
          <w:rFonts w:cs="Arial"/>
          <w:color w:val="000000" w:themeColor="text1"/>
          <w:sz w:val="20"/>
          <w:szCs w:val="20"/>
        </w:rPr>
        <w:t>With 24.7</w:t>
      </w:r>
      <w:r w:rsidR="009212ED" w:rsidRPr="00495FCF">
        <w:rPr>
          <w:rFonts w:cs="Arial"/>
          <w:color w:val="000000" w:themeColor="text1"/>
          <w:sz w:val="20"/>
          <w:szCs w:val="20"/>
        </w:rPr>
        <w:t xml:space="preserve"> per cent </w:t>
      </w:r>
      <w:r w:rsidRPr="00495FCF">
        <w:rPr>
          <w:rFonts w:cs="Arial"/>
          <w:color w:val="000000" w:themeColor="text1"/>
          <w:sz w:val="20"/>
          <w:szCs w:val="20"/>
        </w:rPr>
        <w:t>variance from projected expenditure, the Administration programme was the slowest spending programme of the Department during the reporting period. This was a regression from the 18.6</w:t>
      </w:r>
      <w:r w:rsidR="009212ED" w:rsidRPr="00495FCF">
        <w:rPr>
          <w:rFonts w:cs="Arial"/>
          <w:color w:val="000000" w:themeColor="text1"/>
          <w:sz w:val="20"/>
          <w:szCs w:val="20"/>
        </w:rPr>
        <w:t xml:space="preserve"> per cent v</w:t>
      </w:r>
      <w:r w:rsidRPr="00495FCF">
        <w:rPr>
          <w:rFonts w:cs="Arial"/>
          <w:color w:val="000000" w:themeColor="text1"/>
          <w:sz w:val="20"/>
          <w:szCs w:val="20"/>
        </w:rPr>
        <w:t xml:space="preserve">ariance from projected expenditure in the </w:t>
      </w:r>
      <w:r w:rsidR="000314E0" w:rsidRPr="00495FCF">
        <w:rPr>
          <w:rFonts w:cs="Arial"/>
          <w:color w:val="000000" w:themeColor="text1"/>
          <w:sz w:val="20"/>
          <w:szCs w:val="20"/>
        </w:rPr>
        <w:t>1</w:t>
      </w:r>
      <w:r w:rsidR="000314E0" w:rsidRPr="00495FCF">
        <w:rPr>
          <w:rFonts w:cs="Arial"/>
          <w:color w:val="000000" w:themeColor="text1"/>
          <w:sz w:val="20"/>
          <w:szCs w:val="20"/>
          <w:vertAlign w:val="superscript"/>
        </w:rPr>
        <w:t>st</w:t>
      </w:r>
      <w:r w:rsidR="000314E0" w:rsidRPr="00495FCF">
        <w:rPr>
          <w:rFonts w:cs="Arial"/>
          <w:color w:val="000000" w:themeColor="text1"/>
          <w:sz w:val="20"/>
          <w:szCs w:val="20"/>
        </w:rPr>
        <w:t xml:space="preserve"> </w:t>
      </w:r>
      <w:r w:rsidRPr="00495FCF">
        <w:rPr>
          <w:rFonts w:cs="Arial"/>
          <w:color w:val="000000" w:themeColor="text1"/>
          <w:sz w:val="20"/>
          <w:szCs w:val="20"/>
        </w:rPr>
        <w:t>Quarter of 2021/22.</w:t>
      </w:r>
      <w:r w:rsidRPr="00495FCF">
        <w:rPr>
          <w:rStyle w:val="FootnoteReference"/>
          <w:rFonts w:cs="Arial"/>
          <w:color w:val="000000" w:themeColor="text1"/>
          <w:sz w:val="20"/>
          <w:szCs w:val="20"/>
        </w:rPr>
        <w:footnoteReference w:id="15"/>
      </w:r>
      <w:r w:rsidRPr="00495FCF">
        <w:rPr>
          <w:rFonts w:cs="Arial"/>
          <w:color w:val="000000" w:themeColor="text1"/>
          <w:sz w:val="20"/>
          <w:szCs w:val="20"/>
        </w:rPr>
        <w:t xml:space="preserve"> This programme requires closer oversight scrutiny to ensure not only better spending, but that performance targets are not compromised by poor spending.</w:t>
      </w:r>
    </w:p>
    <w:p w:rsidR="005C2CF5" w:rsidRPr="00495FCF" w:rsidRDefault="005C2CF5" w:rsidP="00495FCF">
      <w:pPr>
        <w:spacing w:line="240" w:lineRule="auto"/>
        <w:jc w:val="left"/>
        <w:rPr>
          <w:rFonts w:cs="Arial"/>
          <w:color w:val="000000" w:themeColor="text1"/>
          <w:sz w:val="20"/>
          <w:szCs w:val="20"/>
        </w:rPr>
      </w:pPr>
    </w:p>
    <w:p w:rsidR="005C2CF5" w:rsidRPr="00495FCF" w:rsidRDefault="005C2CF5" w:rsidP="00495FCF">
      <w:pPr>
        <w:numPr>
          <w:ilvl w:val="0"/>
          <w:numId w:val="12"/>
        </w:numPr>
        <w:spacing w:line="240" w:lineRule="auto"/>
        <w:ind w:hanging="810"/>
        <w:contextualSpacing/>
        <w:jc w:val="left"/>
        <w:rPr>
          <w:rFonts w:eastAsia="Calibri" w:cs="Arial"/>
          <w:b/>
          <w:color w:val="000000" w:themeColor="text1"/>
          <w:sz w:val="20"/>
          <w:szCs w:val="20"/>
        </w:rPr>
      </w:pPr>
      <w:r w:rsidRPr="00495FCF">
        <w:rPr>
          <w:rFonts w:eastAsia="Calibri" w:cs="Arial"/>
          <w:b/>
          <w:color w:val="000000" w:themeColor="text1"/>
          <w:sz w:val="20"/>
          <w:szCs w:val="20"/>
        </w:rPr>
        <w:t xml:space="preserve">COMMITTEE OBSERVATIONS </w:t>
      </w:r>
    </w:p>
    <w:p w:rsidR="005C2CF5" w:rsidRPr="00495FCF" w:rsidRDefault="005C2CF5" w:rsidP="00495FCF">
      <w:pPr>
        <w:spacing w:line="240" w:lineRule="auto"/>
        <w:ind w:left="-90"/>
        <w:jc w:val="left"/>
        <w:rPr>
          <w:rFonts w:eastAsia="Calibri" w:cs="Arial"/>
          <w:color w:val="000000" w:themeColor="text1"/>
          <w:sz w:val="20"/>
          <w:szCs w:val="20"/>
        </w:rPr>
      </w:pPr>
    </w:p>
    <w:p w:rsidR="005C2CF5" w:rsidRPr="00495FCF" w:rsidRDefault="005C2CF5" w:rsidP="00495FCF">
      <w:pPr>
        <w:spacing w:line="240" w:lineRule="auto"/>
        <w:ind w:left="-90"/>
        <w:jc w:val="left"/>
        <w:rPr>
          <w:rFonts w:eastAsia="Calibri" w:cs="Arial"/>
          <w:color w:val="000000" w:themeColor="text1"/>
          <w:sz w:val="20"/>
          <w:szCs w:val="20"/>
        </w:rPr>
      </w:pPr>
      <w:r w:rsidRPr="00495FCF">
        <w:rPr>
          <w:rFonts w:eastAsia="Calibri" w:cs="Arial"/>
          <w:color w:val="000000" w:themeColor="text1"/>
          <w:sz w:val="20"/>
          <w:szCs w:val="20"/>
        </w:rPr>
        <w:t>Members made the following observations during discussions:</w:t>
      </w:r>
    </w:p>
    <w:p w:rsidR="00A93107" w:rsidRPr="00495FCF" w:rsidRDefault="00C13587" w:rsidP="00495FCF">
      <w:pPr>
        <w:spacing w:line="240" w:lineRule="auto"/>
        <w:ind w:left="720" w:hanging="720"/>
        <w:contextualSpacing/>
        <w:jc w:val="left"/>
        <w:rPr>
          <w:rFonts w:eastAsia="Calibri" w:cs="Arial"/>
          <w:color w:val="000000" w:themeColor="text1"/>
          <w:sz w:val="20"/>
          <w:szCs w:val="20"/>
        </w:rPr>
      </w:pPr>
      <w:r w:rsidRPr="00495FCF">
        <w:rPr>
          <w:rFonts w:eastAsia="Calibri" w:cs="Arial"/>
          <w:color w:val="000000" w:themeColor="text1"/>
          <w:sz w:val="20"/>
          <w:szCs w:val="20"/>
        </w:rPr>
        <w:t>3.1</w:t>
      </w:r>
      <w:r w:rsidRPr="00495FCF">
        <w:rPr>
          <w:rFonts w:eastAsia="Calibri" w:cs="Arial"/>
          <w:color w:val="000000" w:themeColor="text1"/>
          <w:sz w:val="20"/>
          <w:szCs w:val="20"/>
        </w:rPr>
        <w:tab/>
      </w:r>
      <w:r w:rsidR="00A93107" w:rsidRPr="00495FCF">
        <w:rPr>
          <w:rFonts w:eastAsia="Calibri" w:cs="Arial"/>
          <w:color w:val="000000" w:themeColor="text1"/>
          <w:sz w:val="20"/>
          <w:szCs w:val="20"/>
        </w:rPr>
        <w:t xml:space="preserve">It was noted that the PRASA Capital projects had limited progress in terms of implementation in the period under review as there was no deployment of new trains. </w:t>
      </w:r>
      <w:r w:rsidR="00524311" w:rsidRPr="00495FCF">
        <w:rPr>
          <w:rFonts w:eastAsia="Calibri" w:cs="Arial"/>
          <w:color w:val="000000" w:themeColor="text1"/>
          <w:sz w:val="20"/>
          <w:szCs w:val="20"/>
        </w:rPr>
        <w:t xml:space="preserve"> </w:t>
      </w:r>
      <w:r w:rsidR="00615155" w:rsidRPr="00495FCF">
        <w:rPr>
          <w:rFonts w:eastAsia="Calibri" w:cs="Arial"/>
          <w:color w:val="000000" w:themeColor="text1"/>
          <w:sz w:val="20"/>
          <w:szCs w:val="20"/>
        </w:rPr>
        <w:t>Members queried</w:t>
      </w:r>
      <w:r w:rsidR="00524311" w:rsidRPr="00495FCF">
        <w:rPr>
          <w:rFonts w:eastAsia="Calibri" w:cs="Arial"/>
          <w:color w:val="000000" w:themeColor="text1"/>
          <w:sz w:val="20"/>
          <w:szCs w:val="20"/>
        </w:rPr>
        <w:t xml:space="preserve"> the percentages indicated as progress in meeting targets when compared to</w:t>
      </w:r>
      <w:r w:rsidR="00FA7422" w:rsidRPr="00495FCF">
        <w:rPr>
          <w:rFonts w:eastAsia="Calibri" w:cs="Arial"/>
          <w:color w:val="000000" w:themeColor="text1"/>
          <w:sz w:val="20"/>
          <w:szCs w:val="20"/>
        </w:rPr>
        <w:t xml:space="preserve"> actual</w:t>
      </w:r>
      <w:r w:rsidR="00524311" w:rsidRPr="00495FCF">
        <w:rPr>
          <w:rFonts w:eastAsia="Calibri" w:cs="Arial"/>
          <w:color w:val="000000" w:themeColor="text1"/>
          <w:sz w:val="20"/>
          <w:szCs w:val="20"/>
        </w:rPr>
        <w:t xml:space="preserve"> rail programme performance as well as road maintenance performed.</w:t>
      </w:r>
    </w:p>
    <w:p w:rsidR="00A93107" w:rsidRPr="00495FCF" w:rsidRDefault="00C13587" w:rsidP="00495FCF">
      <w:pPr>
        <w:spacing w:line="240" w:lineRule="auto"/>
        <w:ind w:left="720" w:hanging="720"/>
        <w:contextualSpacing/>
        <w:jc w:val="left"/>
        <w:rPr>
          <w:rFonts w:eastAsia="Calibri" w:cs="Arial"/>
          <w:color w:val="000000" w:themeColor="text1"/>
          <w:sz w:val="20"/>
          <w:szCs w:val="20"/>
        </w:rPr>
      </w:pPr>
      <w:r w:rsidRPr="00495FCF">
        <w:rPr>
          <w:rFonts w:eastAsia="Calibri" w:cs="Arial"/>
          <w:color w:val="000000" w:themeColor="text1"/>
          <w:sz w:val="20"/>
          <w:szCs w:val="20"/>
        </w:rPr>
        <w:t>3.2</w:t>
      </w:r>
      <w:r w:rsidRPr="00495FCF">
        <w:rPr>
          <w:rFonts w:eastAsia="Calibri" w:cs="Arial"/>
          <w:color w:val="000000" w:themeColor="text1"/>
          <w:sz w:val="20"/>
          <w:szCs w:val="20"/>
        </w:rPr>
        <w:tab/>
      </w:r>
      <w:r w:rsidR="00A93107" w:rsidRPr="00495FCF">
        <w:rPr>
          <w:rFonts w:eastAsia="Calibri" w:cs="Arial"/>
          <w:color w:val="000000" w:themeColor="text1"/>
          <w:sz w:val="20"/>
          <w:szCs w:val="20"/>
        </w:rPr>
        <w:t>The Department failed to implement the integrated ticketing system. It was noted that Rustenburg Local Municipality undertook to pilot the system in August</w:t>
      </w:r>
      <w:r w:rsidR="00615155" w:rsidRPr="00495FCF">
        <w:rPr>
          <w:rFonts w:eastAsia="Calibri" w:cs="Arial"/>
          <w:color w:val="000000" w:themeColor="text1"/>
          <w:sz w:val="20"/>
          <w:szCs w:val="20"/>
        </w:rPr>
        <w:t xml:space="preserve"> 2022</w:t>
      </w:r>
      <w:r w:rsidR="00A93107" w:rsidRPr="00495FCF">
        <w:rPr>
          <w:rFonts w:eastAsia="Calibri" w:cs="Arial"/>
          <w:color w:val="000000" w:themeColor="text1"/>
          <w:sz w:val="20"/>
          <w:szCs w:val="20"/>
        </w:rPr>
        <w:t>, but there was no report on its implementation.</w:t>
      </w:r>
    </w:p>
    <w:p w:rsidR="00BC57AF" w:rsidRPr="00495FCF" w:rsidRDefault="00C13587" w:rsidP="00495FCF">
      <w:pPr>
        <w:spacing w:line="240" w:lineRule="auto"/>
        <w:ind w:left="720" w:hanging="720"/>
        <w:contextualSpacing/>
        <w:jc w:val="left"/>
        <w:rPr>
          <w:rFonts w:eastAsia="Calibri" w:cs="Arial"/>
          <w:color w:val="000000" w:themeColor="text1"/>
          <w:sz w:val="20"/>
          <w:szCs w:val="20"/>
        </w:rPr>
      </w:pPr>
      <w:r w:rsidRPr="00495FCF">
        <w:rPr>
          <w:rFonts w:eastAsia="Calibri" w:cs="Arial"/>
          <w:color w:val="000000" w:themeColor="text1"/>
          <w:sz w:val="20"/>
          <w:szCs w:val="20"/>
        </w:rPr>
        <w:t>3.3</w:t>
      </w:r>
      <w:r w:rsidRPr="00495FCF">
        <w:rPr>
          <w:rFonts w:eastAsia="Calibri" w:cs="Arial"/>
          <w:color w:val="000000" w:themeColor="text1"/>
          <w:sz w:val="20"/>
          <w:szCs w:val="20"/>
        </w:rPr>
        <w:tab/>
      </w:r>
      <w:r w:rsidR="00A93107" w:rsidRPr="00495FCF">
        <w:rPr>
          <w:rFonts w:eastAsia="Calibri" w:cs="Arial"/>
          <w:color w:val="000000" w:themeColor="text1"/>
          <w:sz w:val="20"/>
          <w:szCs w:val="20"/>
        </w:rPr>
        <w:t>In terms of the implementation of the IPTN it was noted that Mangaung Metro and the City of Cape Town were struggling to remove taxis from</w:t>
      </w:r>
      <w:r w:rsidR="00BC57AF" w:rsidRPr="00495FCF">
        <w:rPr>
          <w:rFonts w:eastAsia="Calibri" w:cs="Arial"/>
          <w:color w:val="000000" w:themeColor="text1"/>
          <w:sz w:val="20"/>
          <w:szCs w:val="20"/>
        </w:rPr>
        <w:t xml:space="preserve"> IPTN routes. </w:t>
      </w:r>
      <w:r w:rsidR="00A93107" w:rsidRPr="00495FCF">
        <w:rPr>
          <w:rFonts w:eastAsia="Calibri" w:cs="Arial"/>
          <w:color w:val="000000" w:themeColor="text1"/>
          <w:sz w:val="20"/>
          <w:szCs w:val="20"/>
        </w:rPr>
        <w:t xml:space="preserve"> The implementation of the IPTN in </w:t>
      </w:r>
      <w:r w:rsidR="00A93107" w:rsidRPr="00495FCF">
        <w:rPr>
          <w:rFonts w:eastAsia="Calibri" w:cs="Arial"/>
          <w:color w:val="000000" w:themeColor="text1"/>
          <w:sz w:val="20"/>
          <w:szCs w:val="20"/>
        </w:rPr>
        <w:lastRenderedPageBreak/>
        <w:t>Rustenburg Local Municipality was re</w:t>
      </w:r>
      <w:r w:rsidR="00615155" w:rsidRPr="00495FCF">
        <w:rPr>
          <w:rFonts w:eastAsia="Calibri" w:cs="Arial"/>
          <w:color w:val="000000" w:themeColor="text1"/>
          <w:sz w:val="20"/>
          <w:szCs w:val="20"/>
        </w:rPr>
        <w:t xml:space="preserve">garded as dysfunctional and the Committee </w:t>
      </w:r>
      <w:r w:rsidR="00BC57AF" w:rsidRPr="00495FCF">
        <w:rPr>
          <w:rFonts w:eastAsia="Calibri" w:cs="Arial"/>
          <w:color w:val="000000" w:themeColor="text1"/>
          <w:sz w:val="20"/>
          <w:szCs w:val="20"/>
        </w:rPr>
        <w:t xml:space="preserve">queried how the Department </w:t>
      </w:r>
      <w:r w:rsidR="00A93107" w:rsidRPr="00495FCF">
        <w:rPr>
          <w:rFonts w:eastAsia="Calibri" w:cs="Arial"/>
          <w:color w:val="000000" w:themeColor="text1"/>
          <w:sz w:val="20"/>
          <w:szCs w:val="20"/>
        </w:rPr>
        <w:t>monitor</w:t>
      </w:r>
      <w:r w:rsidR="00BC57AF" w:rsidRPr="00495FCF">
        <w:rPr>
          <w:rFonts w:eastAsia="Calibri" w:cs="Arial"/>
          <w:color w:val="000000" w:themeColor="text1"/>
          <w:sz w:val="20"/>
          <w:szCs w:val="20"/>
        </w:rPr>
        <w:t>ed</w:t>
      </w:r>
      <w:r w:rsidR="00A93107" w:rsidRPr="00495FCF">
        <w:rPr>
          <w:rFonts w:eastAsia="Calibri" w:cs="Arial"/>
          <w:color w:val="000000" w:themeColor="text1"/>
          <w:sz w:val="20"/>
          <w:szCs w:val="20"/>
        </w:rPr>
        <w:t xml:space="preserve"> the implementation of IPTN in all cities with specific reference to the IPTN in Msunduzi Local Municipality.</w:t>
      </w:r>
    </w:p>
    <w:p w:rsidR="00A93107" w:rsidRPr="00495FCF" w:rsidRDefault="00A93107" w:rsidP="00495FCF">
      <w:pPr>
        <w:spacing w:line="240" w:lineRule="auto"/>
        <w:ind w:left="720" w:hanging="720"/>
        <w:contextualSpacing/>
        <w:jc w:val="left"/>
        <w:rPr>
          <w:rFonts w:eastAsia="Calibri" w:cs="Arial"/>
          <w:color w:val="000000" w:themeColor="text1"/>
          <w:sz w:val="20"/>
          <w:szCs w:val="20"/>
        </w:rPr>
      </w:pPr>
      <w:r w:rsidRPr="00495FCF">
        <w:rPr>
          <w:rFonts w:eastAsia="Calibri" w:cs="Arial"/>
          <w:color w:val="000000" w:themeColor="text1"/>
          <w:sz w:val="20"/>
          <w:szCs w:val="20"/>
        </w:rPr>
        <w:t xml:space="preserve"> </w:t>
      </w:r>
      <w:r w:rsidR="00C13587" w:rsidRPr="00495FCF">
        <w:rPr>
          <w:rFonts w:eastAsia="Calibri" w:cs="Arial"/>
          <w:color w:val="000000" w:themeColor="text1"/>
          <w:sz w:val="20"/>
          <w:szCs w:val="20"/>
        </w:rPr>
        <w:t>3.4</w:t>
      </w:r>
      <w:r w:rsidR="00C13587" w:rsidRPr="00495FCF">
        <w:rPr>
          <w:rFonts w:eastAsia="Calibri" w:cs="Arial"/>
          <w:color w:val="000000" w:themeColor="text1"/>
          <w:sz w:val="20"/>
          <w:szCs w:val="20"/>
        </w:rPr>
        <w:tab/>
      </w:r>
      <w:r w:rsidRPr="00495FCF">
        <w:rPr>
          <w:rFonts w:eastAsia="Calibri" w:cs="Arial"/>
          <w:color w:val="000000" w:themeColor="text1"/>
          <w:sz w:val="20"/>
          <w:szCs w:val="20"/>
        </w:rPr>
        <w:t xml:space="preserve">The underspending in the Taxi Recapitalisation and </w:t>
      </w:r>
      <w:r w:rsidRPr="00495FCF">
        <w:rPr>
          <w:rFonts w:eastAsia="Calibri" w:cs="Arial"/>
          <w:i/>
          <w:color w:val="000000" w:themeColor="text1"/>
          <w:sz w:val="20"/>
          <w:szCs w:val="20"/>
        </w:rPr>
        <w:t>S</w:t>
      </w:r>
      <w:r w:rsidR="004F7845" w:rsidRPr="00495FCF">
        <w:rPr>
          <w:rFonts w:eastAsia="Calibri" w:cs="Arial"/>
          <w:i/>
          <w:color w:val="000000" w:themeColor="text1"/>
          <w:sz w:val="20"/>
          <w:szCs w:val="20"/>
        </w:rPr>
        <w:t>hova-</w:t>
      </w:r>
      <w:r w:rsidRPr="00495FCF">
        <w:rPr>
          <w:rFonts w:eastAsia="Calibri" w:cs="Arial"/>
          <w:i/>
          <w:color w:val="000000" w:themeColor="text1"/>
          <w:sz w:val="20"/>
          <w:szCs w:val="20"/>
        </w:rPr>
        <w:t>Kalula</w:t>
      </w:r>
      <w:r w:rsidRPr="00495FCF">
        <w:rPr>
          <w:rFonts w:eastAsia="Calibri" w:cs="Arial"/>
          <w:color w:val="000000" w:themeColor="text1"/>
          <w:sz w:val="20"/>
          <w:szCs w:val="20"/>
        </w:rPr>
        <w:t xml:space="preserve"> programmes continued as in previous financial years and members commented that the reports on the programmes seemed like a cut and paste of reports of the previous financial year. Members noted that the illegally converted quantum vans were still used to transport passengers and needed to be scrapped to avoid deaths.</w:t>
      </w:r>
    </w:p>
    <w:p w:rsidR="00A93107" w:rsidRPr="00495FCF" w:rsidRDefault="00C13587" w:rsidP="00495FCF">
      <w:pPr>
        <w:spacing w:line="240" w:lineRule="auto"/>
        <w:ind w:left="720" w:hanging="720"/>
        <w:contextualSpacing/>
        <w:jc w:val="left"/>
        <w:rPr>
          <w:rFonts w:eastAsia="Calibri" w:cs="Arial"/>
          <w:color w:val="000000" w:themeColor="text1"/>
          <w:sz w:val="20"/>
          <w:szCs w:val="20"/>
        </w:rPr>
      </w:pPr>
      <w:r w:rsidRPr="00495FCF">
        <w:rPr>
          <w:rFonts w:eastAsia="Calibri" w:cs="Arial"/>
          <w:color w:val="000000" w:themeColor="text1"/>
          <w:sz w:val="20"/>
          <w:szCs w:val="20"/>
        </w:rPr>
        <w:t>3.5</w:t>
      </w:r>
      <w:r w:rsidRPr="00495FCF">
        <w:rPr>
          <w:rFonts w:eastAsia="Calibri" w:cs="Arial"/>
          <w:color w:val="000000" w:themeColor="text1"/>
          <w:sz w:val="20"/>
          <w:szCs w:val="20"/>
        </w:rPr>
        <w:tab/>
      </w:r>
      <w:r w:rsidR="00A93107" w:rsidRPr="00495FCF">
        <w:rPr>
          <w:rFonts w:eastAsia="Calibri" w:cs="Arial"/>
          <w:color w:val="000000" w:themeColor="text1"/>
          <w:sz w:val="20"/>
          <w:szCs w:val="20"/>
        </w:rPr>
        <w:t>There seemed to be no real movement with the Department addressing its vacancy rate and there was clarity sought on the indicated 114 unfunded vacancies.</w:t>
      </w:r>
    </w:p>
    <w:p w:rsidR="00A93107" w:rsidRPr="00495FCF" w:rsidRDefault="00C13587" w:rsidP="00495FCF">
      <w:pPr>
        <w:spacing w:line="240" w:lineRule="auto"/>
        <w:ind w:left="720" w:hanging="720"/>
        <w:contextualSpacing/>
        <w:jc w:val="left"/>
        <w:rPr>
          <w:rFonts w:eastAsia="Calibri" w:cs="Arial"/>
          <w:color w:val="000000" w:themeColor="text1"/>
          <w:sz w:val="20"/>
          <w:szCs w:val="20"/>
        </w:rPr>
      </w:pPr>
      <w:r w:rsidRPr="00495FCF">
        <w:rPr>
          <w:rFonts w:eastAsia="Calibri" w:cs="Arial"/>
          <w:color w:val="000000" w:themeColor="text1"/>
          <w:sz w:val="20"/>
          <w:szCs w:val="20"/>
        </w:rPr>
        <w:t>3.6</w:t>
      </w:r>
      <w:r w:rsidRPr="00495FCF">
        <w:rPr>
          <w:rFonts w:eastAsia="Calibri" w:cs="Arial"/>
          <w:color w:val="000000" w:themeColor="text1"/>
          <w:sz w:val="20"/>
          <w:szCs w:val="20"/>
        </w:rPr>
        <w:tab/>
      </w:r>
      <w:r w:rsidR="00A93107" w:rsidRPr="00495FCF">
        <w:rPr>
          <w:rFonts w:eastAsia="Calibri" w:cs="Arial"/>
          <w:color w:val="000000" w:themeColor="text1"/>
          <w:sz w:val="20"/>
          <w:szCs w:val="20"/>
        </w:rPr>
        <w:t>In the Maritime programme indicated only 3 out of the 5 programmes achieved their targets</w:t>
      </w:r>
      <w:r w:rsidR="00BC57AF" w:rsidRPr="00495FCF">
        <w:rPr>
          <w:rFonts w:eastAsia="Calibri" w:cs="Arial"/>
          <w:color w:val="000000" w:themeColor="text1"/>
          <w:sz w:val="20"/>
          <w:szCs w:val="20"/>
        </w:rPr>
        <w:t>.</w:t>
      </w:r>
    </w:p>
    <w:p w:rsidR="00A93107" w:rsidRPr="00495FCF" w:rsidRDefault="00C13587" w:rsidP="00495FCF">
      <w:pPr>
        <w:spacing w:line="240" w:lineRule="auto"/>
        <w:ind w:left="720" w:hanging="720"/>
        <w:contextualSpacing/>
        <w:jc w:val="left"/>
        <w:rPr>
          <w:rFonts w:eastAsia="Calibri" w:cs="Arial"/>
          <w:color w:val="000000" w:themeColor="text1"/>
          <w:sz w:val="20"/>
          <w:szCs w:val="20"/>
        </w:rPr>
      </w:pPr>
      <w:r w:rsidRPr="00495FCF">
        <w:rPr>
          <w:rFonts w:eastAsia="Calibri" w:cs="Arial"/>
          <w:color w:val="000000" w:themeColor="text1"/>
          <w:sz w:val="20"/>
          <w:szCs w:val="20"/>
        </w:rPr>
        <w:t>3.7</w:t>
      </w:r>
      <w:r w:rsidRPr="00495FCF">
        <w:rPr>
          <w:rFonts w:eastAsia="Calibri" w:cs="Arial"/>
          <w:color w:val="000000" w:themeColor="text1"/>
          <w:sz w:val="20"/>
          <w:szCs w:val="20"/>
        </w:rPr>
        <w:tab/>
      </w:r>
      <w:r w:rsidR="00A93107" w:rsidRPr="00495FCF">
        <w:rPr>
          <w:rFonts w:eastAsia="Calibri" w:cs="Arial"/>
          <w:color w:val="000000" w:themeColor="text1"/>
          <w:sz w:val="20"/>
          <w:szCs w:val="20"/>
        </w:rPr>
        <w:t>Members were concerned about recent reports that the Netreg Metrorail train station was allegedly take</w:t>
      </w:r>
      <w:r w:rsidR="009A5322" w:rsidRPr="00495FCF">
        <w:rPr>
          <w:rFonts w:eastAsia="Calibri" w:cs="Arial"/>
          <w:color w:val="000000" w:themeColor="text1"/>
          <w:sz w:val="20"/>
          <w:szCs w:val="20"/>
        </w:rPr>
        <w:t>n</w:t>
      </w:r>
      <w:r w:rsidR="00A93107" w:rsidRPr="00495FCF">
        <w:rPr>
          <w:rFonts w:eastAsia="Calibri" w:cs="Arial"/>
          <w:color w:val="000000" w:themeColor="text1"/>
          <w:sz w:val="20"/>
          <w:szCs w:val="20"/>
        </w:rPr>
        <w:t xml:space="preserve"> over by thugs who prevented the station infrastructure maintenance. </w:t>
      </w:r>
    </w:p>
    <w:p w:rsidR="00A93107" w:rsidRPr="00495FCF" w:rsidRDefault="00B42A85" w:rsidP="00495FCF">
      <w:pPr>
        <w:spacing w:line="240" w:lineRule="auto"/>
        <w:ind w:left="720" w:hanging="720"/>
        <w:contextualSpacing/>
        <w:jc w:val="left"/>
        <w:rPr>
          <w:rFonts w:eastAsia="Calibri" w:cs="Arial"/>
          <w:color w:val="000000" w:themeColor="text1"/>
          <w:sz w:val="20"/>
          <w:szCs w:val="20"/>
        </w:rPr>
      </w:pPr>
      <w:r w:rsidRPr="00495FCF">
        <w:rPr>
          <w:rFonts w:eastAsia="Calibri" w:cs="Arial"/>
          <w:color w:val="000000" w:themeColor="text1"/>
          <w:sz w:val="20"/>
          <w:szCs w:val="20"/>
        </w:rPr>
        <w:t>3.8</w:t>
      </w:r>
      <w:r w:rsidR="00C13587" w:rsidRPr="00495FCF">
        <w:rPr>
          <w:rFonts w:eastAsia="Calibri" w:cs="Arial"/>
          <w:color w:val="000000" w:themeColor="text1"/>
          <w:sz w:val="20"/>
          <w:szCs w:val="20"/>
        </w:rPr>
        <w:tab/>
        <w:t>It was noted that th</w:t>
      </w:r>
      <w:r w:rsidR="00A93107" w:rsidRPr="00495FCF">
        <w:rPr>
          <w:rFonts w:eastAsia="Calibri" w:cs="Arial"/>
          <w:color w:val="000000" w:themeColor="text1"/>
          <w:sz w:val="20"/>
          <w:szCs w:val="20"/>
        </w:rPr>
        <w:t xml:space="preserve">at there should be an adequate budget to address challenges in the Aviation programme as the country was still without a calibration aircraft, </w:t>
      </w:r>
      <w:r w:rsidR="009A5322" w:rsidRPr="00495FCF">
        <w:rPr>
          <w:rFonts w:eastAsia="Calibri" w:cs="Arial"/>
          <w:color w:val="000000" w:themeColor="text1"/>
          <w:sz w:val="20"/>
          <w:szCs w:val="20"/>
        </w:rPr>
        <w:t>ILS</w:t>
      </w:r>
      <w:r w:rsidR="00A93107" w:rsidRPr="00495FCF">
        <w:rPr>
          <w:rFonts w:eastAsia="Calibri" w:cs="Arial"/>
          <w:color w:val="000000" w:themeColor="text1"/>
          <w:sz w:val="20"/>
          <w:szCs w:val="20"/>
        </w:rPr>
        <w:t xml:space="preserve"> was not working properly in Cape Town and there has been a number of small aircraft accidents.</w:t>
      </w:r>
    </w:p>
    <w:p w:rsidR="0017567F" w:rsidRPr="00495FCF" w:rsidRDefault="0017567F" w:rsidP="00495FCF">
      <w:pPr>
        <w:spacing w:line="240" w:lineRule="auto"/>
        <w:contextualSpacing/>
        <w:jc w:val="left"/>
        <w:rPr>
          <w:rFonts w:eastAsia="Calibri" w:cs="Arial"/>
          <w:color w:val="000000" w:themeColor="text1"/>
          <w:sz w:val="20"/>
          <w:szCs w:val="20"/>
        </w:rPr>
      </w:pPr>
    </w:p>
    <w:p w:rsidR="0017567F" w:rsidRPr="00495FCF" w:rsidRDefault="0017567F" w:rsidP="00495FCF">
      <w:pPr>
        <w:pStyle w:val="ListParagraph"/>
        <w:numPr>
          <w:ilvl w:val="0"/>
          <w:numId w:val="12"/>
        </w:numPr>
        <w:spacing w:line="240" w:lineRule="auto"/>
        <w:ind w:hanging="720"/>
        <w:jc w:val="left"/>
        <w:rPr>
          <w:rFonts w:cs="Arial"/>
          <w:b/>
          <w:color w:val="000000" w:themeColor="text1"/>
          <w:sz w:val="20"/>
          <w:szCs w:val="20"/>
        </w:rPr>
      </w:pPr>
      <w:r w:rsidRPr="00495FCF">
        <w:rPr>
          <w:rFonts w:cs="Arial"/>
          <w:b/>
          <w:color w:val="000000" w:themeColor="text1"/>
          <w:sz w:val="20"/>
          <w:szCs w:val="20"/>
        </w:rPr>
        <w:t>COMMITTEE RECOMMENDATIONS</w:t>
      </w:r>
    </w:p>
    <w:p w:rsidR="0017567F" w:rsidRPr="00495FCF" w:rsidRDefault="0017567F" w:rsidP="00495FCF">
      <w:pPr>
        <w:spacing w:line="240" w:lineRule="auto"/>
        <w:ind w:left="720" w:hanging="720"/>
        <w:jc w:val="left"/>
        <w:rPr>
          <w:rFonts w:cs="Arial"/>
          <w:color w:val="000000" w:themeColor="text1"/>
          <w:sz w:val="20"/>
          <w:szCs w:val="20"/>
        </w:rPr>
      </w:pPr>
      <w:r w:rsidRPr="00495FCF">
        <w:rPr>
          <w:rFonts w:cs="Arial"/>
          <w:color w:val="000000" w:themeColor="text1"/>
          <w:sz w:val="20"/>
          <w:szCs w:val="20"/>
        </w:rPr>
        <w:t>The Committee recommends that the Minister ensure that:</w:t>
      </w:r>
    </w:p>
    <w:p w:rsidR="00B42A85" w:rsidRPr="00495FCF" w:rsidRDefault="00B42A85" w:rsidP="00495FCF">
      <w:pPr>
        <w:spacing w:line="240" w:lineRule="auto"/>
        <w:jc w:val="left"/>
        <w:rPr>
          <w:rFonts w:cs="Arial"/>
          <w:sz w:val="20"/>
          <w:szCs w:val="20"/>
        </w:rPr>
      </w:pPr>
    </w:p>
    <w:p w:rsidR="00B42A85" w:rsidRPr="00495FCF" w:rsidRDefault="00B42A85" w:rsidP="00495FCF">
      <w:pPr>
        <w:pStyle w:val="ListParagraph"/>
        <w:numPr>
          <w:ilvl w:val="1"/>
          <w:numId w:val="12"/>
        </w:numPr>
        <w:spacing w:line="240" w:lineRule="auto"/>
        <w:ind w:hanging="780"/>
        <w:jc w:val="left"/>
        <w:rPr>
          <w:rFonts w:cs="Arial"/>
          <w:sz w:val="20"/>
          <w:szCs w:val="20"/>
        </w:rPr>
      </w:pPr>
      <w:r w:rsidRPr="00495FCF">
        <w:rPr>
          <w:rFonts w:cs="Arial"/>
          <w:sz w:val="20"/>
          <w:szCs w:val="20"/>
        </w:rPr>
        <w:t xml:space="preserve">The Department align the performance targets to service delivery. </w:t>
      </w:r>
    </w:p>
    <w:p w:rsidR="0005494F" w:rsidRPr="00495FCF" w:rsidRDefault="00B42A85" w:rsidP="00495FCF">
      <w:pPr>
        <w:spacing w:line="240" w:lineRule="auto"/>
        <w:ind w:left="720" w:hanging="720"/>
        <w:jc w:val="left"/>
        <w:rPr>
          <w:rFonts w:cs="Arial"/>
          <w:sz w:val="20"/>
          <w:szCs w:val="20"/>
        </w:rPr>
      </w:pPr>
      <w:r w:rsidRPr="00495FCF">
        <w:rPr>
          <w:rFonts w:cs="Arial"/>
          <w:sz w:val="20"/>
          <w:szCs w:val="20"/>
        </w:rPr>
        <w:t>4.2</w:t>
      </w:r>
      <w:r w:rsidRPr="00495FCF">
        <w:rPr>
          <w:rFonts w:cs="Arial"/>
          <w:sz w:val="20"/>
          <w:szCs w:val="20"/>
        </w:rPr>
        <w:tab/>
      </w:r>
      <w:r w:rsidR="0005494F" w:rsidRPr="00495FCF">
        <w:rPr>
          <w:rFonts w:cs="Arial"/>
          <w:sz w:val="20"/>
          <w:szCs w:val="20"/>
        </w:rPr>
        <w:t xml:space="preserve"> The Department provides reasons for</w:t>
      </w:r>
      <w:r w:rsidR="005F1FBC" w:rsidRPr="00495FCF">
        <w:rPr>
          <w:rFonts w:cs="Arial"/>
          <w:sz w:val="20"/>
          <w:szCs w:val="20"/>
        </w:rPr>
        <w:t xml:space="preserve"> the under-expenditure in the implementation of IPTNs; including the </w:t>
      </w:r>
      <w:r w:rsidR="0005494F" w:rsidRPr="00495FCF">
        <w:rPr>
          <w:rFonts w:cs="Arial"/>
          <w:sz w:val="20"/>
          <w:szCs w:val="20"/>
        </w:rPr>
        <w:t xml:space="preserve">names of the district municipalities where it underspent on IPTNs, as well as indicate whether the under-expenditure had </w:t>
      </w:r>
      <w:r w:rsidR="008E16C1" w:rsidRPr="00495FCF">
        <w:rPr>
          <w:rFonts w:cs="Arial"/>
          <w:sz w:val="20"/>
          <w:szCs w:val="20"/>
        </w:rPr>
        <w:t xml:space="preserve">an </w:t>
      </w:r>
      <w:r w:rsidR="0005494F" w:rsidRPr="00495FCF">
        <w:rPr>
          <w:rFonts w:cs="Arial"/>
          <w:sz w:val="20"/>
          <w:szCs w:val="20"/>
        </w:rPr>
        <w:t>impact on service delivery.</w:t>
      </w:r>
    </w:p>
    <w:p w:rsidR="00B42A85" w:rsidRPr="00495FCF" w:rsidRDefault="0005494F" w:rsidP="00495FCF">
      <w:pPr>
        <w:spacing w:line="240" w:lineRule="auto"/>
        <w:ind w:left="720" w:hanging="720"/>
        <w:jc w:val="left"/>
        <w:rPr>
          <w:rFonts w:cs="Arial"/>
          <w:sz w:val="20"/>
          <w:szCs w:val="20"/>
        </w:rPr>
      </w:pPr>
      <w:r w:rsidRPr="00495FCF">
        <w:rPr>
          <w:rFonts w:cs="Arial"/>
          <w:sz w:val="20"/>
          <w:szCs w:val="20"/>
        </w:rPr>
        <w:t>4.3</w:t>
      </w:r>
      <w:r w:rsidRPr="00495FCF">
        <w:rPr>
          <w:rFonts w:cs="Arial"/>
          <w:sz w:val="20"/>
          <w:szCs w:val="20"/>
        </w:rPr>
        <w:tab/>
      </w:r>
      <w:r w:rsidR="00722350" w:rsidRPr="00495FCF">
        <w:rPr>
          <w:rFonts w:cs="Arial"/>
          <w:sz w:val="20"/>
          <w:szCs w:val="20"/>
        </w:rPr>
        <w:t xml:space="preserve">The Department provides the Committee with a report </w:t>
      </w:r>
      <w:r w:rsidR="00BC57AF" w:rsidRPr="00495FCF">
        <w:rPr>
          <w:rFonts w:cs="Arial"/>
          <w:sz w:val="20"/>
          <w:szCs w:val="20"/>
        </w:rPr>
        <w:t>on the way forward once the outcomes of the forensic audit reports on the IPTNs in Rustenburg and Msunduzi Loca</w:t>
      </w:r>
      <w:r w:rsidR="00615155" w:rsidRPr="00495FCF">
        <w:rPr>
          <w:rFonts w:cs="Arial"/>
          <w:sz w:val="20"/>
          <w:szCs w:val="20"/>
        </w:rPr>
        <w:t xml:space="preserve">l Municipalities were received; </w:t>
      </w:r>
      <w:r w:rsidR="00722350" w:rsidRPr="00495FCF">
        <w:rPr>
          <w:rFonts w:cs="Arial"/>
          <w:sz w:val="20"/>
          <w:szCs w:val="20"/>
        </w:rPr>
        <w:t xml:space="preserve">indicate </w:t>
      </w:r>
      <w:r w:rsidR="00BC57AF" w:rsidRPr="00495FCF">
        <w:rPr>
          <w:rFonts w:cs="Arial"/>
          <w:sz w:val="20"/>
          <w:szCs w:val="20"/>
        </w:rPr>
        <w:t>whether the reports would be tabled in Parliament and whether there would be any consequence management as a number of officials have left the employ of these municipalities since the project was undertaken.</w:t>
      </w:r>
    </w:p>
    <w:p w:rsidR="00A93107" w:rsidRPr="00495FCF" w:rsidRDefault="0005494F" w:rsidP="00495FCF">
      <w:pPr>
        <w:spacing w:line="240" w:lineRule="auto"/>
        <w:ind w:left="720" w:hanging="720"/>
        <w:jc w:val="left"/>
        <w:rPr>
          <w:rFonts w:cs="Arial"/>
          <w:sz w:val="20"/>
          <w:szCs w:val="20"/>
        </w:rPr>
      </w:pPr>
      <w:r w:rsidRPr="00495FCF">
        <w:rPr>
          <w:rFonts w:cs="Arial"/>
          <w:sz w:val="20"/>
          <w:szCs w:val="20"/>
        </w:rPr>
        <w:t>4.4</w:t>
      </w:r>
      <w:r w:rsidR="00B42A85" w:rsidRPr="00495FCF">
        <w:rPr>
          <w:rFonts w:cs="Arial"/>
          <w:sz w:val="20"/>
          <w:szCs w:val="20"/>
        </w:rPr>
        <w:tab/>
      </w:r>
      <w:r w:rsidR="00A93107" w:rsidRPr="00495FCF">
        <w:rPr>
          <w:rFonts w:cs="Arial"/>
          <w:sz w:val="20"/>
          <w:szCs w:val="20"/>
        </w:rPr>
        <w:t xml:space="preserve">The Department </w:t>
      </w:r>
      <w:r w:rsidR="003306C7" w:rsidRPr="00495FCF">
        <w:rPr>
          <w:rFonts w:cs="Arial"/>
          <w:sz w:val="20"/>
          <w:szCs w:val="20"/>
        </w:rPr>
        <w:t>furnish</w:t>
      </w:r>
      <w:r w:rsidR="00B73FCC" w:rsidRPr="00495FCF">
        <w:rPr>
          <w:rFonts w:cs="Arial"/>
          <w:sz w:val="20"/>
          <w:szCs w:val="20"/>
        </w:rPr>
        <w:t>es</w:t>
      </w:r>
      <w:r w:rsidR="003306C7" w:rsidRPr="00495FCF">
        <w:rPr>
          <w:rFonts w:cs="Arial"/>
          <w:sz w:val="20"/>
          <w:szCs w:val="20"/>
        </w:rPr>
        <w:t xml:space="preserve"> the Committee with reasons</w:t>
      </w:r>
      <w:r w:rsidR="00B73FCC" w:rsidRPr="00495FCF">
        <w:rPr>
          <w:rFonts w:cs="Arial"/>
          <w:sz w:val="20"/>
          <w:szCs w:val="20"/>
        </w:rPr>
        <w:t>,</w:t>
      </w:r>
      <w:r w:rsidR="003306C7" w:rsidRPr="00495FCF">
        <w:rPr>
          <w:rFonts w:cs="Arial"/>
          <w:sz w:val="20"/>
          <w:szCs w:val="20"/>
        </w:rPr>
        <w:t xml:space="preserve"> in the quarterly</w:t>
      </w:r>
      <w:r w:rsidR="00B73FCC" w:rsidRPr="00495FCF">
        <w:rPr>
          <w:rFonts w:cs="Arial"/>
          <w:sz w:val="20"/>
          <w:szCs w:val="20"/>
        </w:rPr>
        <w:t xml:space="preserve"> expenditure</w:t>
      </w:r>
      <w:r w:rsidR="003306C7" w:rsidRPr="00495FCF">
        <w:rPr>
          <w:rFonts w:cs="Arial"/>
          <w:sz w:val="20"/>
          <w:szCs w:val="20"/>
        </w:rPr>
        <w:t xml:space="preserve"> reports, </w:t>
      </w:r>
      <w:r w:rsidR="00A93107" w:rsidRPr="00495FCF">
        <w:rPr>
          <w:rFonts w:cs="Arial"/>
          <w:sz w:val="20"/>
          <w:szCs w:val="20"/>
        </w:rPr>
        <w:t xml:space="preserve">why it continues to underspend on </w:t>
      </w:r>
      <w:r w:rsidR="003306C7" w:rsidRPr="00495FCF">
        <w:rPr>
          <w:rFonts w:cs="Arial"/>
          <w:sz w:val="20"/>
          <w:szCs w:val="20"/>
        </w:rPr>
        <w:t>the Taxi R</w:t>
      </w:r>
      <w:r w:rsidR="0065520C" w:rsidRPr="00495FCF">
        <w:rPr>
          <w:rFonts w:cs="Arial"/>
          <w:sz w:val="20"/>
          <w:szCs w:val="20"/>
        </w:rPr>
        <w:t>ecapitalisation P</w:t>
      </w:r>
      <w:r w:rsidR="00B80B55" w:rsidRPr="00495FCF">
        <w:rPr>
          <w:rFonts w:cs="Arial"/>
          <w:sz w:val="20"/>
          <w:szCs w:val="20"/>
        </w:rPr>
        <w:t xml:space="preserve">rogramme and </w:t>
      </w:r>
      <w:r w:rsidR="00B80B55" w:rsidRPr="00495FCF">
        <w:rPr>
          <w:rFonts w:cs="Arial"/>
          <w:i/>
          <w:sz w:val="20"/>
          <w:szCs w:val="20"/>
        </w:rPr>
        <w:t>S</w:t>
      </w:r>
      <w:r w:rsidR="003306C7" w:rsidRPr="00495FCF">
        <w:rPr>
          <w:rFonts w:cs="Arial"/>
          <w:i/>
          <w:sz w:val="20"/>
          <w:szCs w:val="20"/>
        </w:rPr>
        <w:t>hova</w:t>
      </w:r>
      <w:r w:rsidR="00014015" w:rsidRPr="00495FCF">
        <w:rPr>
          <w:rFonts w:cs="Arial"/>
          <w:i/>
          <w:sz w:val="20"/>
          <w:szCs w:val="20"/>
        </w:rPr>
        <w:t>-</w:t>
      </w:r>
      <w:r w:rsidR="003306C7" w:rsidRPr="00495FCF">
        <w:rPr>
          <w:rFonts w:cs="Arial"/>
          <w:i/>
          <w:sz w:val="20"/>
          <w:szCs w:val="20"/>
        </w:rPr>
        <w:t>Kalula</w:t>
      </w:r>
      <w:r w:rsidR="003306C7" w:rsidRPr="00495FCF">
        <w:rPr>
          <w:rFonts w:cs="Arial"/>
          <w:sz w:val="20"/>
          <w:szCs w:val="20"/>
        </w:rPr>
        <w:t xml:space="preserve">. The report should state </w:t>
      </w:r>
      <w:r w:rsidR="00B73FCC" w:rsidRPr="00495FCF">
        <w:rPr>
          <w:rFonts w:cs="Arial"/>
          <w:sz w:val="20"/>
          <w:szCs w:val="20"/>
        </w:rPr>
        <w:t xml:space="preserve">what </w:t>
      </w:r>
      <w:r w:rsidR="003306C7" w:rsidRPr="00495FCF">
        <w:rPr>
          <w:rFonts w:cs="Arial"/>
          <w:sz w:val="20"/>
          <w:szCs w:val="20"/>
        </w:rPr>
        <w:t>c</w:t>
      </w:r>
      <w:r w:rsidR="00A93107" w:rsidRPr="00495FCF">
        <w:rPr>
          <w:rFonts w:cs="Arial"/>
          <w:sz w:val="20"/>
          <w:szCs w:val="20"/>
        </w:rPr>
        <w:t>orrective measures</w:t>
      </w:r>
      <w:r w:rsidR="003306C7" w:rsidRPr="00495FCF">
        <w:rPr>
          <w:rFonts w:cs="Arial"/>
          <w:sz w:val="20"/>
          <w:szCs w:val="20"/>
        </w:rPr>
        <w:t xml:space="preserve"> are in place</w:t>
      </w:r>
      <w:r w:rsidR="00A93107" w:rsidRPr="00495FCF">
        <w:rPr>
          <w:rFonts w:cs="Arial"/>
          <w:sz w:val="20"/>
          <w:szCs w:val="20"/>
        </w:rPr>
        <w:t xml:space="preserve"> to ensure that the under-expenditure on these projects does not persist.</w:t>
      </w:r>
    </w:p>
    <w:p w:rsidR="005C2CF5" w:rsidRPr="00495FCF" w:rsidRDefault="0005494F" w:rsidP="00495FCF">
      <w:pPr>
        <w:spacing w:line="240" w:lineRule="auto"/>
        <w:ind w:left="720" w:hanging="720"/>
        <w:jc w:val="left"/>
        <w:rPr>
          <w:rFonts w:cs="Arial"/>
          <w:sz w:val="20"/>
          <w:szCs w:val="20"/>
        </w:rPr>
      </w:pPr>
      <w:r w:rsidRPr="00495FCF">
        <w:rPr>
          <w:rFonts w:cs="Arial"/>
          <w:sz w:val="20"/>
          <w:szCs w:val="20"/>
        </w:rPr>
        <w:t>4.5</w:t>
      </w:r>
      <w:r w:rsidR="00B42A85" w:rsidRPr="00495FCF">
        <w:rPr>
          <w:rFonts w:cs="Arial"/>
          <w:sz w:val="20"/>
          <w:szCs w:val="20"/>
        </w:rPr>
        <w:tab/>
      </w:r>
      <w:r w:rsidR="00B73FCC" w:rsidRPr="00495FCF">
        <w:rPr>
          <w:rFonts w:cs="Arial"/>
          <w:sz w:val="20"/>
          <w:szCs w:val="20"/>
        </w:rPr>
        <w:t xml:space="preserve">The Department provide </w:t>
      </w:r>
      <w:r w:rsidR="007C0259" w:rsidRPr="00495FCF">
        <w:rPr>
          <w:rFonts w:cs="Arial"/>
          <w:sz w:val="20"/>
          <w:szCs w:val="20"/>
        </w:rPr>
        <w:t>the reasons for the slow progress on the following projects in the Maritime Transport programme:</w:t>
      </w:r>
      <w:r w:rsidR="003306C7" w:rsidRPr="00495FCF">
        <w:rPr>
          <w:rFonts w:cs="Arial"/>
          <w:sz w:val="20"/>
          <w:szCs w:val="20"/>
        </w:rPr>
        <w:t xml:space="preserve"> t</w:t>
      </w:r>
      <w:r w:rsidR="007C0259" w:rsidRPr="00495FCF">
        <w:rPr>
          <w:rFonts w:cs="Arial"/>
          <w:sz w:val="20"/>
          <w:szCs w:val="20"/>
        </w:rPr>
        <w:t>he</w:t>
      </w:r>
      <w:r w:rsidR="003306C7" w:rsidRPr="00495FCF">
        <w:rPr>
          <w:rFonts w:cs="Arial"/>
          <w:sz w:val="20"/>
          <w:szCs w:val="20"/>
        </w:rPr>
        <w:t xml:space="preserve"> Ballast Water Management Bill and the r</w:t>
      </w:r>
      <w:r w:rsidR="007C0259" w:rsidRPr="00495FCF">
        <w:rPr>
          <w:rFonts w:cs="Arial"/>
          <w:sz w:val="20"/>
          <w:szCs w:val="20"/>
        </w:rPr>
        <w:t>eview of the Merchant Shipping Bill.</w:t>
      </w:r>
    </w:p>
    <w:p w:rsidR="00DF21B9" w:rsidRPr="00495FCF" w:rsidRDefault="00DF21B9" w:rsidP="00495FCF">
      <w:pPr>
        <w:spacing w:line="240" w:lineRule="auto"/>
        <w:ind w:left="360" w:hanging="360"/>
        <w:jc w:val="left"/>
        <w:rPr>
          <w:rFonts w:cs="Arial"/>
          <w:sz w:val="20"/>
          <w:szCs w:val="20"/>
        </w:rPr>
      </w:pPr>
    </w:p>
    <w:p w:rsidR="006367D7" w:rsidRPr="00495FCF" w:rsidRDefault="000314E0" w:rsidP="00495FCF">
      <w:pPr>
        <w:spacing w:line="240" w:lineRule="auto"/>
        <w:ind w:left="360" w:hanging="360"/>
        <w:jc w:val="left"/>
        <w:rPr>
          <w:rFonts w:cs="Arial"/>
          <w:sz w:val="20"/>
          <w:szCs w:val="20"/>
        </w:rPr>
      </w:pPr>
      <w:r w:rsidRPr="00495FCF">
        <w:rPr>
          <w:rFonts w:cs="Arial"/>
          <w:sz w:val="20"/>
          <w:szCs w:val="20"/>
        </w:rPr>
        <w:t xml:space="preserve">The Report, further sates that the </w:t>
      </w:r>
      <w:r w:rsidR="0011112E" w:rsidRPr="00495FCF">
        <w:rPr>
          <w:rFonts w:cs="Arial"/>
          <w:sz w:val="20"/>
          <w:szCs w:val="20"/>
        </w:rPr>
        <w:t>The Economic Freedom Fighters (</w:t>
      </w:r>
      <w:r w:rsidR="006367D7" w:rsidRPr="00495FCF">
        <w:rPr>
          <w:rFonts w:cs="Arial"/>
          <w:sz w:val="20"/>
          <w:szCs w:val="20"/>
        </w:rPr>
        <w:t>EFF</w:t>
      </w:r>
      <w:r w:rsidR="0011112E" w:rsidRPr="00495FCF">
        <w:rPr>
          <w:rFonts w:cs="Arial"/>
          <w:sz w:val="20"/>
          <w:szCs w:val="20"/>
        </w:rPr>
        <w:t>) abstained from the adoption of the report.</w:t>
      </w:r>
    </w:p>
    <w:p w:rsidR="006367D7" w:rsidRPr="00495FCF" w:rsidRDefault="006367D7" w:rsidP="00495FCF">
      <w:pPr>
        <w:spacing w:line="240" w:lineRule="auto"/>
        <w:ind w:left="360" w:hanging="360"/>
        <w:jc w:val="left"/>
        <w:rPr>
          <w:rFonts w:cs="Arial"/>
          <w:sz w:val="20"/>
          <w:szCs w:val="20"/>
        </w:rPr>
      </w:pPr>
    </w:p>
    <w:p w:rsidR="00DF21B9" w:rsidRPr="00495FCF" w:rsidRDefault="00DF21B9" w:rsidP="00495FCF">
      <w:pPr>
        <w:spacing w:line="240" w:lineRule="auto"/>
        <w:ind w:left="360" w:hanging="360"/>
        <w:jc w:val="left"/>
        <w:rPr>
          <w:rFonts w:cs="Arial"/>
          <w:sz w:val="20"/>
          <w:szCs w:val="20"/>
        </w:rPr>
      </w:pPr>
      <w:r w:rsidRPr="00495FCF">
        <w:rPr>
          <w:rFonts w:cs="Arial"/>
          <w:sz w:val="20"/>
          <w:szCs w:val="20"/>
        </w:rPr>
        <w:t>Report to be considered.</w:t>
      </w:r>
    </w:p>
    <w:sectPr w:rsidR="00DF21B9" w:rsidRPr="00495FCF" w:rsidSect="00C115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65" w:rsidRDefault="007E2D65" w:rsidP="0086542C">
      <w:pPr>
        <w:spacing w:line="240" w:lineRule="auto"/>
      </w:pPr>
      <w:r>
        <w:separator/>
      </w:r>
    </w:p>
  </w:endnote>
  <w:endnote w:type="continuationSeparator" w:id="0">
    <w:p w:rsidR="007E2D65" w:rsidRDefault="007E2D65" w:rsidP="008654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65" w:rsidRDefault="007E2D65" w:rsidP="0086542C">
      <w:pPr>
        <w:spacing w:line="240" w:lineRule="auto"/>
      </w:pPr>
      <w:r>
        <w:separator/>
      </w:r>
    </w:p>
  </w:footnote>
  <w:footnote w:type="continuationSeparator" w:id="0">
    <w:p w:rsidR="007E2D65" w:rsidRDefault="007E2D65" w:rsidP="0086542C">
      <w:pPr>
        <w:spacing w:line="240" w:lineRule="auto"/>
      </w:pPr>
      <w:r>
        <w:continuationSeparator/>
      </w:r>
    </w:p>
  </w:footnote>
  <w:footnote w:id="1">
    <w:p w:rsidR="0086542C" w:rsidRPr="006C3FA3" w:rsidRDefault="0086542C" w:rsidP="0086542C">
      <w:pPr>
        <w:pStyle w:val="FootnoteText"/>
        <w:spacing w:line="280" w:lineRule="exact"/>
        <w:rPr>
          <w:sz w:val="18"/>
          <w:szCs w:val="18"/>
          <w:lang w:val="en-ZA"/>
        </w:rPr>
      </w:pPr>
      <w:r w:rsidRPr="006C3FA3">
        <w:rPr>
          <w:rStyle w:val="FootnoteReference"/>
          <w:sz w:val="18"/>
          <w:szCs w:val="18"/>
        </w:rPr>
        <w:footnoteRef/>
      </w:r>
      <w:r w:rsidRPr="006C3FA3">
        <w:rPr>
          <w:sz w:val="18"/>
          <w:szCs w:val="18"/>
        </w:rPr>
        <w:t xml:space="preserve"> National Treasury (2022</w:t>
      </w:r>
      <w:r>
        <w:rPr>
          <w:sz w:val="18"/>
          <w:szCs w:val="18"/>
        </w:rPr>
        <w:t>a</w:t>
      </w:r>
      <w:r w:rsidRPr="006C3FA3">
        <w:rPr>
          <w:sz w:val="18"/>
          <w:szCs w:val="18"/>
        </w:rPr>
        <w:t>), p. 143</w:t>
      </w:r>
      <w:r w:rsidR="00CB5D52">
        <w:rPr>
          <w:sz w:val="18"/>
          <w:szCs w:val="18"/>
        </w:rPr>
        <w:t>.</w:t>
      </w:r>
    </w:p>
  </w:footnote>
  <w:footnote w:id="2">
    <w:p w:rsidR="0086542C" w:rsidRPr="006C3FA3" w:rsidRDefault="0086542C" w:rsidP="0086542C">
      <w:pPr>
        <w:pStyle w:val="FootnoteText"/>
        <w:spacing w:line="280" w:lineRule="exact"/>
        <w:rPr>
          <w:sz w:val="18"/>
          <w:szCs w:val="18"/>
          <w:lang w:val="en-ZA"/>
        </w:rPr>
      </w:pPr>
      <w:r w:rsidRPr="006C3FA3">
        <w:rPr>
          <w:rStyle w:val="FootnoteReference"/>
          <w:sz w:val="18"/>
          <w:szCs w:val="18"/>
        </w:rPr>
        <w:footnoteRef/>
      </w:r>
      <w:r w:rsidRPr="006C3FA3">
        <w:rPr>
          <w:sz w:val="18"/>
          <w:szCs w:val="18"/>
        </w:rPr>
        <w:t xml:space="preserve"> Ibid, p. 144.</w:t>
      </w:r>
    </w:p>
  </w:footnote>
  <w:footnote w:id="3">
    <w:p w:rsidR="0086542C" w:rsidRPr="006C3FA3" w:rsidRDefault="0086542C" w:rsidP="0086542C">
      <w:pPr>
        <w:pStyle w:val="FootnoteText"/>
        <w:spacing w:line="280" w:lineRule="exact"/>
        <w:rPr>
          <w:sz w:val="18"/>
          <w:szCs w:val="18"/>
          <w:lang w:val="en-ZA"/>
        </w:rPr>
      </w:pPr>
      <w:r w:rsidRPr="006C3FA3">
        <w:rPr>
          <w:rStyle w:val="FootnoteReference"/>
          <w:sz w:val="18"/>
          <w:szCs w:val="18"/>
        </w:rPr>
        <w:footnoteRef/>
      </w:r>
      <w:r w:rsidRPr="006C3FA3">
        <w:rPr>
          <w:sz w:val="18"/>
          <w:szCs w:val="18"/>
        </w:rPr>
        <w:t xml:space="preserve"> Ibid, p. 145.</w:t>
      </w:r>
    </w:p>
  </w:footnote>
  <w:footnote w:id="4">
    <w:p w:rsidR="0086542C" w:rsidRPr="006C3FA3" w:rsidRDefault="0086542C" w:rsidP="0086542C">
      <w:pPr>
        <w:pStyle w:val="FootnoteText"/>
        <w:spacing w:line="280" w:lineRule="exact"/>
        <w:rPr>
          <w:sz w:val="18"/>
          <w:szCs w:val="18"/>
          <w:lang w:val="en-ZA"/>
        </w:rPr>
      </w:pPr>
      <w:r w:rsidRPr="006C3FA3">
        <w:rPr>
          <w:rStyle w:val="FootnoteReference"/>
          <w:sz w:val="18"/>
          <w:szCs w:val="18"/>
        </w:rPr>
        <w:footnoteRef/>
      </w:r>
      <w:r>
        <w:t xml:space="preserve"> </w:t>
      </w:r>
      <w:r w:rsidRPr="006C3FA3">
        <w:rPr>
          <w:sz w:val="18"/>
          <w:szCs w:val="18"/>
        </w:rPr>
        <w:t>Ibid.</w:t>
      </w:r>
    </w:p>
  </w:footnote>
  <w:footnote w:id="5">
    <w:p w:rsidR="0086542C" w:rsidRPr="00B61A12" w:rsidRDefault="0086542C" w:rsidP="0086542C">
      <w:pPr>
        <w:pStyle w:val="FootnoteText"/>
        <w:spacing w:line="280" w:lineRule="exact"/>
        <w:rPr>
          <w:sz w:val="18"/>
          <w:szCs w:val="18"/>
          <w:lang w:val="en-ZA"/>
        </w:rPr>
      </w:pPr>
      <w:r w:rsidRPr="00B61A12">
        <w:rPr>
          <w:rStyle w:val="FootnoteReference"/>
          <w:sz w:val="18"/>
          <w:szCs w:val="18"/>
        </w:rPr>
        <w:footnoteRef/>
      </w:r>
      <w:r w:rsidRPr="00B61A12">
        <w:rPr>
          <w:sz w:val="18"/>
          <w:szCs w:val="18"/>
        </w:rPr>
        <w:t xml:space="preserve"> </w:t>
      </w:r>
      <w:r w:rsidR="00CB5D52" w:rsidRPr="00CB5D52">
        <w:rPr>
          <w:sz w:val="18"/>
          <w:szCs w:val="18"/>
        </w:rPr>
        <w:t>N</w:t>
      </w:r>
      <w:r w:rsidR="00CB5D52">
        <w:rPr>
          <w:sz w:val="18"/>
          <w:szCs w:val="18"/>
        </w:rPr>
        <w:t>ational Treasury (2022a), p. 145.</w:t>
      </w:r>
    </w:p>
  </w:footnote>
  <w:footnote w:id="6">
    <w:p w:rsidR="0086542C" w:rsidRPr="00B61A12" w:rsidRDefault="0086542C" w:rsidP="0086542C">
      <w:pPr>
        <w:pStyle w:val="FootnoteText"/>
        <w:spacing w:line="280" w:lineRule="exact"/>
        <w:rPr>
          <w:sz w:val="18"/>
          <w:szCs w:val="18"/>
          <w:lang w:val="en-ZA"/>
        </w:rPr>
      </w:pPr>
      <w:r w:rsidRPr="00B61A12">
        <w:rPr>
          <w:rStyle w:val="FootnoteReference"/>
          <w:sz w:val="18"/>
          <w:szCs w:val="18"/>
        </w:rPr>
        <w:footnoteRef/>
      </w:r>
      <w:r>
        <w:t xml:space="preserve"> </w:t>
      </w:r>
      <w:r w:rsidR="00CB5D52">
        <w:rPr>
          <w:sz w:val="18"/>
          <w:szCs w:val="18"/>
        </w:rPr>
        <w:t>Ibid</w:t>
      </w:r>
      <w:r>
        <w:rPr>
          <w:sz w:val="18"/>
          <w:szCs w:val="18"/>
        </w:rPr>
        <w:t>, p. 144.</w:t>
      </w:r>
    </w:p>
  </w:footnote>
  <w:footnote w:id="7">
    <w:p w:rsidR="0086542C" w:rsidRPr="00F13556" w:rsidRDefault="0086542C" w:rsidP="0086542C">
      <w:pPr>
        <w:pStyle w:val="FootnoteText"/>
        <w:spacing w:line="280" w:lineRule="exact"/>
        <w:rPr>
          <w:sz w:val="18"/>
          <w:szCs w:val="18"/>
          <w:lang w:val="en-ZA"/>
        </w:rPr>
      </w:pPr>
      <w:r w:rsidRPr="00F13556">
        <w:rPr>
          <w:rStyle w:val="FootnoteReference"/>
          <w:sz w:val="18"/>
          <w:szCs w:val="18"/>
        </w:rPr>
        <w:footnoteRef/>
      </w:r>
      <w:r w:rsidRPr="00F13556">
        <w:rPr>
          <w:sz w:val="18"/>
          <w:szCs w:val="18"/>
        </w:rPr>
        <w:t xml:space="preserve"> </w:t>
      </w:r>
      <w:r w:rsidR="00CB5D52" w:rsidRPr="00CB5D52">
        <w:rPr>
          <w:sz w:val="18"/>
          <w:szCs w:val="18"/>
        </w:rPr>
        <w:t>N</w:t>
      </w:r>
      <w:r w:rsidR="00CB5D52">
        <w:rPr>
          <w:sz w:val="18"/>
          <w:szCs w:val="18"/>
        </w:rPr>
        <w:t>ational Treasury (2022a), p. 144.</w:t>
      </w:r>
      <w:r w:rsidRPr="00F13556">
        <w:rPr>
          <w:sz w:val="18"/>
          <w:szCs w:val="18"/>
        </w:rPr>
        <w:t>.</w:t>
      </w:r>
    </w:p>
  </w:footnote>
  <w:footnote w:id="8">
    <w:p w:rsidR="0086542C" w:rsidRPr="00F13556" w:rsidRDefault="0086542C" w:rsidP="0086542C">
      <w:pPr>
        <w:pStyle w:val="FootnoteText"/>
        <w:spacing w:line="240" w:lineRule="exact"/>
        <w:rPr>
          <w:sz w:val="18"/>
          <w:szCs w:val="18"/>
          <w:lang w:val="en-ZA"/>
        </w:rPr>
      </w:pPr>
      <w:r w:rsidRPr="00F13556">
        <w:rPr>
          <w:rStyle w:val="FootnoteReference"/>
          <w:sz w:val="18"/>
          <w:szCs w:val="18"/>
        </w:rPr>
        <w:footnoteRef/>
      </w:r>
      <w:r>
        <w:t xml:space="preserve"> </w:t>
      </w:r>
      <w:r>
        <w:rPr>
          <w:sz w:val="18"/>
          <w:szCs w:val="18"/>
        </w:rPr>
        <w:t>Ibid.</w:t>
      </w:r>
    </w:p>
  </w:footnote>
  <w:footnote w:id="9">
    <w:p w:rsidR="0086542C" w:rsidRPr="00C300CC" w:rsidRDefault="0086542C" w:rsidP="0086542C">
      <w:pPr>
        <w:pStyle w:val="FootnoteText"/>
        <w:spacing w:line="280" w:lineRule="exact"/>
        <w:rPr>
          <w:sz w:val="18"/>
          <w:szCs w:val="18"/>
          <w:lang w:val="en-ZA"/>
        </w:rPr>
      </w:pPr>
      <w:r w:rsidRPr="00C300CC">
        <w:rPr>
          <w:rStyle w:val="FootnoteReference"/>
          <w:sz w:val="18"/>
          <w:szCs w:val="18"/>
        </w:rPr>
        <w:footnoteRef/>
      </w:r>
      <w:r w:rsidRPr="00C300CC">
        <w:rPr>
          <w:sz w:val="18"/>
          <w:szCs w:val="18"/>
        </w:rPr>
        <w:t xml:space="preserve"> </w:t>
      </w:r>
      <w:r>
        <w:rPr>
          <w:sz w:val="18"/>
          <w:szCs w:val="18"/>
        </w:rPr>
        <w:t>Ibid.</w:t>
      </w:r>
    </w:p>
  </w:footnote>
  <w:footnote w:id="10">
    <w:p w:rsidR="0086542C" w:rsidRPr="00E4666C" w:rsidRDefault="0086542C" w:rsidP="0086542C">
      <w:pPr>
        <w:pStyle w:val="FootnoteText"/>
        <w:spacing w:line="280" w:lineRule="exact"/>
        <w:rPr>
          <w:sz w:val="18"/>
          <w:szCs w:val="18"/>
          <w:lang w:val="en-ZA"/>
        </w:rPr>
      </w:pPr>
      <w:r w:rsidRPr="00E4666C">
        <w:rPr>
          <w:rStyle w:val="FootnoteReference"/>
          <w:sz w:val="18"/>
          <w:szCs w:val="18"/>
        </w:rPr>
        <w:footnoteRef/>
      </w:r>
      <w:r w:rsidRPr="00E4666C">
        <w:rPr>
          <w:sz w:val="18"/>
          <w:szCs w:val="18"/>
        </w:rPr>
        <w:t xml:space="preserve"> </w:t>
      </w:r>
      <w:r>
        <w:rPr>
          <w:sz w:val="18"/>
          <w:szCs w:val="18"/>
        </w:rPr>
        <w:t>Ibid.</w:t>
      </w:r>
    </w:p>
  </w:footnote>
  <w:footnote w:id="11">
    <w:p w:rsidR="0086542C" w:rsidRPr="00D175CC" w:rsidRDefault="0086542C" w:rsidP="0086542C">
      <w:pPr>
        <w:pStyle w:val="FootnoteText"/>
        <w:spacing w:line="280" w:lineRule="exact"/>
        <w:rPr>
          <w:sz w:val="18"/>
          <w:szCs w:val="18"/>
          <w:lang w:val="en-ZA"/>
        </w:rPr>
      </w:pPr>
      <w:r w:rsidRPr="00D175CC">
        <w:rPr>
          <w:rStyle w:val="FootnoteReference"/>
          <w:sz w:val="18"/>
          <w:szCs w:val="18"/>
        </w:rPr>
        <w:footnoteRef/>
      </w:r>
      <w:r w:rsidRPr="00D175CC">
        <w:rPr>
          <w:sz w:val="18"/>
          <w:szCs w:val="18"/>
        </w:rPr>
        <w:t xml:space="preserve"> </w:t>
      </w:r>
      <w:r w:rsidR="00CB5D52" w:rsidRPr="00CB5D52">
        <w:rPr>
          <w:sz w:val="18"/>
          <w:szCs w:val="18"/>
        </w:rPr>
        <w:t>N</w:t>
      </w:r>
      <w:r w:rsidR="00CB5D52">
        <w:rPr>
          <w:sz w:val="18"/>
          <w:szCs w:val="18"/>
        </w:rPr>
        <w:t>ational Treasury (2022a), p. 144.</w:t>
      </w:r>
      <w:r>
        <w:rPr>
          <w:sz w:val="18"/>
          <w:szCs w:val="18"/>
        </w:rPr>
        <w:t>.</w:t>
      </w:r>
    </w:p>
  </w:footnote>
  <w:footnote w:id="12">
    <w:p w:rsidR="0086542C" w:rsidRPr="00D1557E" w:rsidRDefault="0086542C" w:rsidP="0086542C">
      <w:pPr>
        <w:pStyle w:val="FootnoteText"/>
        <w:spacing w:line="280" w:lineRule="exact"/>
        <w:rPr>
          <w:sz w:val="18"/>
          <w:szCs w:val="18"/>
          <w:lang w:val="en-ZA"/>
        </w:rPr>
      </w:pPr>
      <w:r w:rsidRPr="00D1557E">
        <w:rPr>
          <w:rStyle w:val="FootnoteReference"/>
          <w:sz w:val="18"/>
          <w:szCs w:val="18"/>
        </w:rPr>
        <w:footnoteRef/>
      </w:r>
      <w:r w:rsidRPr="00D1557E">
        <w:rPr>
          <w:sz w:val="18"/>
          <w:szCs w:val="18"/>
        </w:rPr>
        <w:t xml:space="preserve"> </w:t>
      </w:r>
      <w:r>
        <w:rPr>
          <w:sz w:val="18"/>
          <w:szCs w:val="18"/>
        </w:rPr>
        <w:t>Ibid.</w:t>
      </w:r>
    </w:p>
  </w:footnote>
  <w:footnote w:id="13">
    <w:p w:rsidR="0086542C" w:rsidRPr="004128AD" w:rsidRDefault="0086542C" w:rsidP="0086542C">
      <w:pPr>
        <w:pStyle w:val="FootnoteText"/>
        <w:spacing w:line="280" w:lineRule="exact"/>
        <w:rPr>
          <w:sz w:val="18"/>
          <w:szCs w:val="18"/>
          <w:lang w:val="en-ZA"/>
        </w:rPr>
      </w:pPr>
      <w:r w:rsidRPr="004128AD">
        <w:rPr>
          <w:rStyle w:val="FootnoteReference"/>
          <w:sz w:val="18"/>
          <w:szCs w:val="18"/>
        </w:rPr>
        <w:footnoteRef/>
      </w:r>
      <w:r w:rsidRPr="004128AD">
        <w:rPr>
          <w:sz w:val="18"/>
          <w:szCs w:val="18"/>
        </w:rPr>
        <w:t xml:space="preserve"> </w:t>
      </w:r>
      <w:r w:rsidR="00CB5D52">
        <w:rPr>
          <w:sz w:val="18"/>
          <w:szCs w:val="18"/>
        </w:rPr>
        <w:t>Ibid</w:t>
      </w:r>
      <w:r>
        <w:rPr>
          <w:sz w:val="18"/>
          <w:szCs w:val="18"/>
        </w:rPr>
        <w:t>.</w:t>
      </w:r>
    </w:p>
  </w:footnote>
  <w:footnote w:id="14">
    <w:p w:rsidR="0086542C" w:rsidRPr="00357F81" w:rsidRDefault="0086542C" w:rsidP="0086542C">
      <w:pPr>
        <w:pStyle w:val="FootnoteText"/>
        <w:spacing w:line="280" w:lineRule="exact"/>
        <w:rPr>
          <w:sz w:val="18"/>
          <w:szCs w:val="18"/>
          <w:lang w:val="en-ZA"/>
        </w:rPr>
      </w:pPr>
      <w:r w:rsidRPr="00357F81">
        <w:rPr>
          <w:rStyle w:val="FootnoteReference"/>
          <w:sz w:val="18"/>
          <w:szCs w:val="18"/>
        </w:rPr>
        <w:footnoteRef/>
      </w:r>
      <w:r w:rsidRPr="00357F81">
        <w:rPr>
          <w:sz w:val="18"/>
          <w:szCs w:val="18"/>
        </w:rPr>
        <w:t xml:space="preserve"> </w:t>
      </w:r>
      <w:r>
        <w:rPr>
          <w:sz w:val="18"/>
          <w:szCs w:val="18"/>
        </w:rPr>
        <w:t>National Treasury (2021).</w:t>
      </w:r>
    </w:p>
  </w:footnote>
  <w:footnote w:id="15">
    <w:p w:rsidR="0086542C" w:rsidRPr="00817A96" w:rsidRDefault="0086542C" w:rsidP="0086542C">
      <w:pPr>
        <w:pStyle w:val="FootnoteText"/>
        <w:spacing w:line="280" w:lineRule="exact"/>
        <w:rPr>
          <w:sz w:val="18"/>
          <w:szCs w:val="18"/>
          <w:lang w:val="en-ZA"/>
        </w:rPr>
      </w:pPr>
      <w:r w:rsidRPr="00817A96">
        <w:rPr>
          <w:rStyle w:val="FootnoteReference"/>
          <w:sz w:val="18"/>
          <w:szCs w:val="18"/>
        </w:rPr>
        <w:footnoteRef/>
      </w:r>
      <w:r w:rsidRPr="00817A96">
        <w:rPr>
          <w:sz w:val="18"/>
          <w:szCs w:val="18"/>
        </w:rPr>
        <w:t xml:space="preserve"> </w:t>
      </w:r>
      <w:r w:rsidR="00CB5D52" w:rsidRPr="00CB5D52">
        <w:rPr>
          <w:sz w:val="18"/>
          <w:szCs w:val="18"/>
        </w:rPr>
        <w:t>National Treasury (2021).</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37A"/>
    <w:multiLevelType w:val="hybridMultilevel"/>
    <w:tmpl w:val="02A2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470AF"/>
    <w:multiLevelType w:val="hybridMultilevel"/>
    <w:tmpl w:val="7C763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50695B"/>
    <w:multiLevelType w:val="hybridMultilevel"/>
    <w:tmpl w:val="3240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C77BBB"/>
    <w:multiLevelType w:val="hybridMultilevel"/>
    <w:tmpl w:val="0BB6B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AC038A"/>
    <w:multiLevelType w:val="multilevel"/>
    <w:tmpl w:val="C4B614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532D9C"/>
    <w:multiLevelType w:val="hybridMultilevel"/>
    <w:tmpl w:val="E4D2E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A41FDF"/>
    <w:multiLevelType w:val="hybridMultilevel"/>
    <w:tmpl w:val="89E4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B34511"/>
    <w:multiLevelType w:val="hybridMultilevel"/>
    <w:tmpl w:val="DB784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B44908"/>
    <w:multiLevelType w:val="multilevel"/>
    <w:tmpl w:val="018E110A"/>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39C1FDA"/>
    <w:multiLevelType w:val="hybridMultilevel"/>
    <w:tmpl w:val="4CA2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92046A8"/>
    <w:multiLevelType w:val="multilevel"/>
    <w:tmpl w:val="0FEAC9E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A9D5C8C"/>
    <w:multiLevelType w:val="multilevel"/>
    <w:tmpl w:val="0FEAC9E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CF7146B"/>
    <w:multiLevelType w:val="hybridMultilevel"/>
    <w:tmpl w:val="A6964A42"/>
    <w:lvl w:ilvl="0" w:tplc="26C0E7A2">
      <w:start w:val="1"/>
      <w:numFmt w:val="decimal"/>
      <w:lvlText w:val="%1."/>
      <w:lvlJc w:val="left"/>
      <w:pPr>
        <w:ind w:left="36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6945F81"/>
    <w:multiLevelType w:val="hybridMultilevel"/>
    <w:tmpl w:val="34EC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1"/>
  </w:num>
  <w:num w:numId="6">
    <w:abstractNumId w:val="7"/>
  </w:num>
  <w:num w:numId="7">
    <w:abstractNumId w:val="3"/>
  </w:num>
  <w:num w:numId="8">
    <w:abstractNumId w:val="2"/>
  </w:num>
  <w:num w:numId="9">
    <w:abstractNumId w:val="6"/>
  </w:num>
  <w:num w:numId="10">
    <w:abstractNumId w:val="8"/>
  </w:num>
  <w:num w:numId="11">
    <w:abstractNumId w:val="4"/>
  </w:num>
  <w:num w:numId="12">
    <w:abstractNumId w:val="10"/>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6542C"/>
    <w:rsid w:val="00013A3F"/>
    <w:rsid w:val="00014015"/>
    <w:rsid w:val="000314E0"/>
    <w:rsid w:val="0005494F"/>
    <w:rsid w:val="000D64A3"/>
    <w:rsid w:val="0011112E"/>
    <w:rsid w:val="00144F6A"/>
    <w:rsid w:val="0017567F"/>
    <w:rsid w:val="001A05D4"/>
    <w:rsid w:val="00226B47"/>
    <w:rsid w:val="002B09EA"/>
    <w:rsid w:val="00327B2F"/>
    <w:rsid w:val="003306C7"/>
    <w:rsid w:val="00337928"/>
    <w:rsid w:val="003A29E3"/>
    <w:rsid w:val="00460E0F"/>
    <w:rsid w:val="00495FCF"/>
    <w:rsid w:val="004F7845"/>
    <w:rsid w:val="00524311"/>
    <w:rsid w:val="0055336E"/>
    <w:rsid w:val="005C2CF5"/>
    <w:rsid w:val="005F1FBC"/>
    <w:rsid w:val="00615155"/>
    <w:rsid w:val="006367D7"/>
    <w:rsid w:val="0065520C"/>
    <w:rsid w:val="006F53CF"/>
    <w:rsid w:val="00722350"/>
    <w:rsid w:val="00735194"/>
    <w:rsid w:val="00797DAC"/>
    <w:rsid w:val="007C0259"/>
    <w:rsid w:val="007E2D65"/>
    <w:rsid w:val="0084757F"/>
    <w:rsid w:val="0086542C"/>
    <w:rsid w:val="008A76CE"/>
    <w:rsid w:val="008B02FD"/>
    <w:rsid w:val="008E16C1"/>
    <w:rsid w:val="008E31F7"/>
    <w:rsid w:val="009212ED"/>
    <w:rsid w:val="00941548"/>
    <w:rsid w:val="009A5322"/>
    <w:rsid w:val="009F528C"/>
    <w:rsid w:val="00A0168D"/>
    <w:rsid w:val="00A93107"/>
    <w:rsid w:val="00AA46D1"/>
    <w:rsid w:val="00AC23F2"/>
    <w:rsid w:val="00B02EF2"/>
    <w:rsid w:val="00B377FB"/>
    <w:rsid w:val="00B42A85"/>
    <w:rsid w:val="00B73FCC"/>
    <w:rsid w:val="00B80B55"/>
    <w:rsid w:val="00BA0193"/>
    <w:rsid w:val="00BC57AF"/>
    <w:rsid w:val="00BF3439"/>
    <w:rsid w:val="00C1157E"/>
    <w:rsid w:val="00C13587"/>
    <w:rsid w:val="00C1770D"/>
    <w:rsid w:val="00C461B2"/>
    <w:rsid w:val="00CB5D52"/>
    <w:rsid w:val="00CE6F3E"/>
    <w:rsid w:val="00D45C83"/>
    <w:rsid w:val="00DF21B9"/>
    <w:rsid w:val="00E30B20"/>
    <w:rsid w:val="00E339ED"/>
    <w:rsid w:val="00EE1C59"/>
    <w:rsid w:val="00F11749"/>
    <w:rsid w:val="00F63CAC"/>
    <w:rsid w:val="00F67AD3"/>
    <w:rsid w:val="00FA7422"/>
    <w:rsid w:val="00FF0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2C"/>
    <w:pPr>
      <w:spacing w:after="0" w:line="280" w:lineRule="exact"/>
      <w:jc w:val="both"/>
    </w:pPr>
    <w:rPr>
      <w:rFonts w:ascii="Arial" w:hAnsi="Arial"/>
      <w:lang w:val="en-GB"/>
    </w:rPr>
  </w:style>
  <w:style w:type="paragraph" w:styleId="Heading1">
    <w:name w:val="heading 1"/>
    <w:basedOn w:val="Normal"/>
    <w:next w:val="Normal"/>
    <w:link w:val="Heading1Char"/>
    <w:uiPriority w:val="9"/>
    <w:qFormat/>
    <w:rsid w:val="0086542C"/>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86542C"/>
    <w:pPr>
      <w:keepNext/>
      <w:keepLines/>
      <w:spacing w:before="40"/>
      <w:jc w:val="left"/>
      <w:outlineLvl w:val="1"/>
    </w:pPr>
    <w:rPr>
      <w:rFonts w:eastAsiaTheme="majorEastAsi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2C"/>
    <w:rPr>
      <w:rFonts w:ascii="Arial" w:eastAsiaTheme="majorEastAsia" w:hAnsi="Arial" w:cstheme="majorBidi"/>
      <w:b/>
      <w:caps/>
      <w:color w:val="538135" w:themeColor="accent6" w:themeShade="BF"/>
      <w:szCs w:val="32"/>
      <w:lang w:val="en-GB"/>
    </w:rPr>
  </w:style>
  <w:style w:type="character" w:customStyle="1" w:styleId="Heading2Char">
    <w:name w:val="Heading 2 Char"/>
    <w:basedOn w:val="DefaultParagraphFont"/>
    <w:link w:val="Heading2"/>
    <w:uiPriority w:val="9"/>
    <w:rsid w:val="0086542C"/>
    <w:rPr>
      <w:rFonts w:ascii="Arial" w:eastAsiaTheme="majorEastAsia" w:hAnsi="Arial" w:cstheme="majorBidi"/>
      <w:b/>
      <w:color w:val="538135" w:themeColor="accent6" w:themeShade="BF"/>
      <w:szCs w:val="26"/>
      <w:lang w:val="en-GB"/>
    </w:rPr>
  </w:style>
  <w:style w:type="paragraph" w:styleId="ListParagraph">
    <w:name w:val="List Paragraph"/>
    <w:basedOn w:val="Normal"/>
    <w:uiPriority w:val="34"/>
    <w:qFormat/>
    <w:rsid w:val="0086542C"/>
    <w:pPr>
      <w:ind w:left="720"/>
      <w:contextualSpacing/>
    </w:pPr>
  </w:style>
  <w:style w:type="table" w:styleId="TableGrid">
    <w:name w:val="Table Grid"/>
    <w:basedOn w:val="TableNormal"/>
    <w:rsid w:val="0086542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ootnote Text Char1,fn Char"/>
    <w:basedOn w:val="Normal"/>
    <w:link w:val="FootnoteTextChar"/>
    <w:unhideWhenUsed/>
    <w:rsid w:val="0086542C"/>
    <w:pPr>
      <w:spacing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86542C"/>
    <w:rPr>
      <w:rFonts w:ascii="Arial" w:hAnsi="Arial"/>
      <w:sz w:val="20"/>
      <w:szCs w:val="20"/>
      <w:lang w:val="en-GB"/>
    </w:rPr>
  </w:style>
  <w:style w:type="character" w:styleId="FootnoteReference">
    <w:name w:val="footnote reference"/>
    <w:aliases w:val="ftref"/>
    <w:basedOn w:val="DefaultParagraphFont"/>
    <w:rsid w:val="0086542C"/>
    <w:rPr>
      <w:vertAlign w:val="superscript"/>
    </w:rPr>
  </w:style>
  <w:style w:type="paragraph" w:styleId="Header">
    <w:name w:val="header"/>
    <w:basedOn w:val="Normal"/>
    <w:link w:val="HeaderChar"/>
    <w:uiPriority w:val="99"/>
    <w:unhideWhenUsed/>
    <w:rsid w:val="009F528C"/>
    <w:pPr>
      <w:tabs>
        <w:tab w:val="center" w:pos="4680"/>
        <w:tab w:val="right" w:pos="9360"/>
      </w:tabs>
      <w:spacing w:line="240" w:lineRule="auto"/>
    </w:pPr>
  </w:style>
  <w:style w:type="character" w:customStyle="1" w:styleId="HeaderChar">
    <w:name w:val="Header Char"/>
    <w:basedOn w:val="DefaultParagraphFont"/>
    <w:link w:val="Header"/>
    <w:uiPriority w:val="99"/>
    <w:rsid w:val="009F528C"/>
    <w:rPr>
      <w:rFonts w:ascii="Arial" w:hAnsi="Arial"/>
      <w:lang w:val="en-GB"/>
    </w:rPr>
  </w:style>
  <w:style w:type="paragraph" w:styleId="Footer">
    <w:name w:val="footer"/>
    <w:basedOn w:val="Normal"/>
    <w:link w:val="FooterChar"/>
    <w:uiPriority w:val="99"/>
    <w:unhideWhenUsed/>
    <w:rsid w:val="009F528C"/>
    <w:pPr>
      <w:tabs>
        <w:tab w:val="center" w:pos="4680"/>
        <w:tab w:val="right" w:pos="9360"/>
      </w:tabs>
      <w:spacing w:line="240" w:lineRule="auto"/>
    </w:pPr>
  </w:style>
  <w:style w:type="character" w:customStyle="1" w:styleId="FooterChar">
    <w:name w:val="Footer Char"/>
    <w:basedOn w:val="DefaultParagraphFont"/>
    <w:link w:val="Footer"/>
    <w:uiPriority w:val="99"/>
    <w:rsid w:val="009F528C"/>
    <w:rPr>
      <w:rFonts w:ascii="Arial" w:hAnsi="Arial"/>
      <w:lang w:val="en-GB"/>
    </w:rPr>
  </w:style>
  <w:style w:type="paragraph" w:styleId="BalloonText">
    <w:name w:val="Balloon Text"/>
    <w:basedOn w:val="Normal"/>
    <w:link w:val="BalloonTextChar"/>
    <w:uiPriority w:val="99"/>
    <w:semiHidden/>
    <w:unhideWhenUsed/>
    <w:rsid w:val="00B02E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F2"/>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594C-4E4D-41ED-9869-0FF31516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2022-09-29T16:39:00Z</dcterms:created>
  <dcterms:modified xsi:type="dcterms:W3CDTF">2022-09-29T16:39:00Z</dcterms:modified>
</cp:coreProperties>
</file>