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9CA0" w14:textId="77777777" w:rsidR="00A01517" w:rsidRDefault="00A01517" w:rsidP="005F08CF">
      <w:pPr>
        <w:pStyle w:val="Heading1"/>
      </w:pPr>
    </w:p>
    <w:p w14:paraId="734F97F0" w14:textId="77777777" w:rsidR="00A01517" w:rsidRDefault="00A01517" w:rsidP="005F08CF">
      <w:pPr>
        <w:pStyle w:val="Heading1"/>
      </w:pPr>
      <w:r>
        <w:t xml:space="preserve">SUBMISSION OF THE ELECTORAL COMMISSION TO THE PORTFOLIO COMMITTEE </w:t>
      </w:r>
    </w:p>
    <w:p w14:paraId="4F84CF04" w14:textId="77777777" w:rsidR="00FE02CC" w:rsidRDefault="004A62E9" w:rsidP="005F08CF">
      <w:pPr>
        <w:pStyle w:val="Heading1"/>
      </w:pPr>
      <w:r>
        <w:t>P</w:t>
      </w:r>
      <w:r w:rsidR="00FE02CC">
        <w:t>roportionality</w:t>
      </w:r>
      <w:r>
        <w:t xml:space="preserve"> in comparative perspective</w:t>
      </w:r>
    </w:p>
    <w:p w14:paraId="3506BDF8" w14:textId="77777777" w:rsidR="001E5A18" w:rsidRDefault="002321BB" w:rsidP="00851CCD">
      <w:pPr>
        <w:pStyle w:val="ListParagraph"/>
        <w:numPr>
          <w:ilvl w:val="0"/>
          <w:numId w:val="18"/>
        </w:numPr>
      </w:pPr>
      <w:r>
        <w:t xml:space="preserve">The </w:t>
      </w:r>
      <w:r w:rsidR="00AA2318">
        <w:t>central claim</w:t>
      </w:r>
      <w:r w:rsidR="00A01517">
        <w:t xml:space="preserve"> of</w:t>
      </w:r>
      <w:r w:rsidR="00AA2318">
        <w:t xml:space="preserve"> submission</w:t>
      </w:r>
      <w:r w:rsidR="00A01517">
        <w:t>s</w:t>
      </w:r>
      <w:r w:rsidR="00AA2318">
        <w:t xml:space="preserve"> </w:t>
      </w:r>
      <w:r w:rsidR="00A01517">
        <w:t xml:space="preserve">relating to seat calculation </w:t>
      </w:r>
      <w:r w:rsidR="00AA2318">
        <w:t xml:space="preserve">is that the Bill will </w:t>
      </w:r>
      <w:r w:rsidR="007F2707">
        <w:t>lead to disproportionality</w:t>
      </w:r>
      <w:r w:rsidR="00FD38A2">
        <w:t xml:space="preserve">, </w:t>
      </w:r>
      <w:r w:rsidR="00D17671">
        <w:t xml:space="preserve">thus </w:t>
      </w:r>
      <w:r w:rsidR="00FD38A2">
        <w:t>violating sections 46 and 105</w:t>
      </w:r>
      <w:r w:rsidR="00FD38A2" w:rsidRPr="003468E8">
        <w:t xml:space="preserve"> </w:t>
      </w:r>
      <w:r w:rsidR="00FD38A2">
        <w:t>of the Constitution</w:t>
      </w:r>
      <w:r w:rsidR="007F2707">
        <w:t>.</w:t>
      </w:r>
      <w:r w:rsidR="00273E32">
        <w:t xml:space="preserve"> </w:t>
      </w:r>
    </w:p>
    <w:p w14:paraId="5EB2B40D" w14:textId="77777777" w:rsidR="00851CCD" w:rsidRDefault="00851CCD" w:rsidP="00851CCD">
      <w:pPr>
        <w:pStyle w:val="ListParagraph"/>
        <w:numPr>
          <w:ilvl w:val="0"/>
          <w:numId w:val="0"/>
        </w:numPr>
        <w:ind w:left="720"/>
      </w:pPr>
    </w:p>
    <w:p w14:paraId="08B23237" w14:textId="77777777" w:rsidR="00851CCD" w:rsidRDefault="00A01517" w:rsidP="00851CCD">
      <w:pPr>
        <w:pStyle w:val="ListParagraph"/>
        <w:numPr>
          <w:ilvl w:val="0"/>
          <w:numId w:val="18"/>
        </w:numPr>
      </w:pPr>
      <w:r>
        <w:t xml:space="preserve">Studies to electoral systems </w:t>
      </w:r>
      <w:r w:rsidR="001B7952">
        <w:t>g</w:t>
      </w:r>
      <w:r w:rsidR="00851CCD">
        <w:t>e</w:t>
      </w:r>
      <w:r w:rsidR="00706751">
        <w:t xml:space="preserve">nerally agree that perfect proportionality, meaning an electoral system where </w:t>
      </w:r>
      <w:r w:rsidR="004763D6">
        <w:t xml:space="preserve">each </w:t>
      </w:r>
      <w:r w:rsidR="00706751">
        <w:t>party receives exactly the same share of seats as it received of the votes, is unattainable</w:t>
      </w:r>
      <w:r w:rsidR="00851CCD">
        <w:t>.</w:t>
      </w:r>
    </w:p>
    <w:p w14:paraId="373D1324" w14:textId="77777777" w:rsidR="00851CCD" w:rsidRDefault="00851CCD" w:rsidP="00851CCD">
      <w:pPr>
        <w:pStyle w:val="ListParagraph"/>
        <w:numPr>
          <w:ilvl w:val="0"/>
          <w:numId w:val="0"/>
        </w:numPr>
        <w:ind w:left="770"/>
      </w:pPr>
    </w:p>
    <w:p w14:paraId="3D141788" w14:textId="77777777" w:rsidR="007F2707" w:rsidRDefault="00706751" w:rsidP="00851CCD">
      <w:pPr>
        <w:pStyle w:val="ListParagraph"/>
        <w:numPr>
          <w:ilvl w:val="0"/>
          <w:numId w:val="18"/>
        </w:numPr>
      </w:pPr>
      <w:r>
        <w:t xml:space="preserve">It logically follows that some deviation </w:t>
      </w:r>
      <w:r w:rsidR="004763D6">
        <w:t xml:space="preserve">from perfect proportionality (i.e., disproportionality) is unavoidable. </w:t>
      </w:r>
      <w:r w:rsidR="00FD38A2">
        <w:t>Presumably, this is the reason why the drafters of the Constitution used the phrase “</w:t>
      </w:r>
      <w:r w:rsidR="00FD38A2" w:rsidRPr="003468E8">
        <w:rPr>
          <w:lang w:eastAsia="en-GB"/>
        </w:rPr>
        <w:t>in general, in proportional representation</w:t>
      </w:r>
      <w:r w:rsidR="00FD38A2">
        <w:rPr>
          <w:lang w:eastAsia="en-GB"/>
        </w:rPr>
        <w:t>”, when specifying the electoral system.</w:t>
      </w:r>
    </w:p>
    <w:p w14:paraId="46D792E0" w14:textId="77777777" w:rsidR="00851CCD" w:rsidRDefault="00851CCD" w:rsidP="00851CCD">
      <w:pPr>
        <w:pStyle w:val="ListParagraph"/>
        <w:numPr>
          <w:ilvl w:val="0"/>
          <w:numId w:val="0"/>
        </w:numPr>
        <w:ind w:left="720"/>
      </w:pPr>
    </w:p>
    <w:p w14:paraId="572A6661" w14:textId="77777777" w:rsidR="00851CCD" w:rsidRDefault="00FD38A2" w:rsidP="00851CCD">
      <w:pPr>
        <w:pStyle w:val="ListParagraph"/>
        <w:numPr>
          <w:ilvl w:val="0"/>
          <w:numId w:val="18"/>
        </w:numPr>
      </w:pPr>
      <w:r w:rsidRPr="001E5A18">
        <w:t xml:space="preserve">Three </w:t>
      </w:r>
      <w:r w:rsidR="00D17671">
        <w:t>(</w:t>
      </w:r>
      <w:r w:rsidR="005554D3">
        <w:t>primary</w:t>
      </w:r>
      <w:r w:rsidR="00D17671">
        <w:t>)</w:t>
      </w:r>
      <w:r w:rsidR="005554D3">
        <w:t xml:space="preserve"> </w:t>
      </w:r>
      <w:r w:rsidRPr="001E5A18">
        <w:t>factors determine the proportionality</w:t>
      </w:r>
      <w:r w:rsidR="00D17671">
        <w:t xml:space="preserve"> of an electoral system</w:t>
      </w:r>
      <w:r w:rsidR="00862523">
        <w:t>:</w:t>
      </w:r>
      <w:r w:rsidRPr="001E5A18">
        <w:t xml:space="preserve"> </w:t>
      </w:r>
    </w:p>
    <w:p w14:paraId="10A66A43" w14:textId="77777777" w:rsidR="00851CCD" w:rsidRDefault="00851CCD" w:rsidP="00851CCD">
      <w:pPr>
        <w:pStyle w:val="ListParagraph"/>
        <w:numPr>
          <w:ilvl w:val="0"/>
          <w:numId w:val="0"/>
        </w:numPr>
        <w:ind w:left="770"/>
      </w:pPr>
    </w:p>
    <w:p w14:paraId="5B4749B4" w14:textId="77777777" w:rsidR="00851CCD" w:rsidRDefault="00851CCD" w:rsidP="00A01517">
      <w:pPr>
        <w:pStyle w:val="ListParagraph"/>
        <w:numPr>
          <w:ilvl w:val="1"/>
          <w:numId w:val="18"/>
        </w:numPr>
        <w:ind w:left="1276"/>
      </w:pPr>
      <w:r w:rsidRPr="00A01517">
        <w:rPr>
          <w:b/>
        </w:rPr>
        <w:t>Electoral threshold</w:t>
      </w:r>
      <w:r>
        <w:t xml:space="preserve">: Refers to the </w:t>
      </w:r>
      <w:r w:rsidRPr="00851CCD">
        <w:t>minimum share of votes, in percentage, that a party or candidate must win to obtain a seat in parliament.</w:t>
      </w:r>
    </w:p>
    <w:p w14:paraId="58E37587" w14:textId="77777777" w:rsidR="00851CCD" w:rsidRDefault="00851CCD" w:rsidP="00A01517">
      <w:pPr>
        <w:pStyle w:val="ListParagraph"/>
        <w:numPr>
          <w:ilvl w:val="1"/>
          <w:numId w:val="18"/>
        </w:numPr>
        <w:ind w:left="1276"/>
      </w:pPr>
      <w:r w:rsidRPr="00A01517">
        <w:rPr>
          <w:b/>
        </w:rPr>
        <w:t>T</w:t>
      </w:r>
      <w:r w:rsidR="00862523" w:rsidRPr="00A01517">
        <w:rPr>
          <w:b/>
        </w:rPr>
        <w:t xml:space="preserve">he </w:t>
      </w:r>
      <w:r w:rsidR="00FD38A2" w:rsidRPr="00A01517">
        <w:rPr>
          <w:b/>
        </w:rPr>
        <w:t>district magnitude</w:t>
      </w:r>
      <w:r w:rsidR="00A01517">
        <w:t>: T</w:t>
      </w:r>
      <w:r w:rsidR="001E5A18" w:rsidRPr="00851CCD">
        <w:t>he number of candidates to be elected in an electoral district</w:t>
      </w:r>
    </w:p>
    <w:p w14:paraId="29208E8A" w14:textId="77777777" w:rsidR="00851CCD" w:rsidRDefault="00851CCD" w:rsidP="00A01517">
      <w:pPr>
        <w:pStyle w:val="ListParagraph"/>
        <w:numPr>
          <w:ilvl w:val="1"/>
          <w:numId w:val="18"/>
        </w:numPr>
        <w:ind w:left="1276"/>
      </w:pPr>
      <w:r w:rsidRPr="00A01517">
        <w:rPr>
          <w:b/>
        </w:rPr>
        <w:t xml:space="preserve">The </w:t>
      </w:r>
      <w:r w:rsidR="00862523" w:rsidRPr="00A01517">
        <w:rPr>
          <w:b/>
        </w:rPr>
        <w:t>electoral formula</w:t>
      </w:r>
      <w:r w:rsidR="00A01517">
        <w:t>:</w:t>
      </w:r>
      <w:r w:rsidR="001E5A18" w:rsidRPr="001E5A18">
        <w:t xml:space="preserve"> </w:t>
      </w:r>
      <w:r>
        <w:t>I</w:t>
      </w:r>
      <w:r w:rsidRPr="00851CCD">
        <w:t>s the mathematical equation that determines how votes are translated into parliamentary seats.</w:t>
      </w:r>
    </w:p>
    <w:p w14:paraId="61091D72" w14:textId="77777777" w:rsidR="00851CCD" w:rsidRPr="00851CCD" w:rsidRDefault="00851CCD" w:rsidP="00851CCD">
      <w:pPr>
        <w:pStyle w:val="ListParagraph"/>
        <w:numPr>
          <w:ilvl w:val="0"/>
          <w:numId w:val="0"/>
        </w:numPr>
        <w:ind w:left="770"/>
      </w:pPr>
    </w:p>
    <w:p w14:paraId="35BB8C09" w14:textId="77777777" w:rsidR="00A01517" w:rsidRDefault="00862523" w:rsidP="00A01517">
      <w:pPr>
        <w:pStyle w:val="ListParagraph"/>
        <w:numPr>
          <w:ilvl w:val="0"/>
          <w:numId w:val="18"/>
        </w:numPr>
      </w:pPr>
      <w:r>
        <w:t>Overall, the proportionality of an electoral system increases with:</w:t>
      </w:r>
    </w:p>
    <w:p w14:paraId="76F80524" w14:textId="77777777" w:rsidR="00A01517" w:rsidRDefault="00A01517" w:rsidP="00A01517">
      <w:pPr>
        <w:pStyle w:val="ListParagraph"/>
        <w:numPr>
          <w:ilvl w:val="0"/>
          <w:numId w:val="0"/>
        </w:numPr>
        <w:ind w:left="720"/>
      </w:pPr>
    </w:p>
    <w:p w14:paraId="23EA280C" w14:textId="77777777" w:rsidR="00A01517" w:rsidRDefault="00862523" w:rsidP="00A01517">
      <w:pPr>
        <w:pStyle w:val="ListParagraph"/>
        <w:numPr>
          <w:ilvl w:val="1"/>
          <w:numId w:val="18"/>
        </w:numPr>
        <w:ind w:left="1276"/>
      </w:pPr>
      <w:r>
        <w:t xml:space="preserve">Decreases in the </w:t>
      </w:r>
      <w:r w:rsidRPr="001E5A18">
        <w:t>electoral threshold</w:t>
      </w:r>
      <w:r>
        <w:t>;</w:t>
      </w:r>
    </w:p>
    <w:p w14:paraId="690F1279" w14:textId="77777777" w:rsidR="00A01517" w:rsidRPr="00A01517" w:rsidRDefault="00862523" w:rsidP="00A01517">
      <w:pPr>
        <w:pStyle w:val="ListParagraph"/>
        <w:numPr>
          <w:ilvl w:val="1"/>
          <w:numId w:val="18"/>
        </w:numPr>
        <w:ind w:left="1276"/>
      </w:pPr>
      <w:r>
        <w:t xml:space="preserve">Increases in the </w:t>
      </w:r>
      <w:r w:rsidRPr="00A01517">
        <w:rPr>
          <w:color w:val="000000" w:themeColor="text1"/>
        </w:rPr>
        <w:t xml:space="preserve">average </w:t>
      </w:r>
      <w:r w:rsidR="00C50690" w:rsidRPr="00A01517">
        <w:rPr>
          <w:color w:val="000000" w:themeColor="text1"/>
        </w:rPr>
        <w:t xml:space="preserve">district </w:t>
      </w:r>
      <w:r w:rsidRPr="00A01517">
        <w:rPr>
          <w:color w:val="000000" w:themeColor="text1"/>
        </w:rPr>
        <w:t>magnitude; and</w:t>
      </w:r>
    </w:p>
    <w:p w14:paraId="02449C0E" w14:textId="77777777" w:rsidR="00862523" w:rsidRPr="00851CCD" w:rsidRDefault="00862523" w:rsidP="00A01517">
      <w:pPr>
        <w:pStyle w:val="ListParagraph"/>
        <w:numPr>
          <w:ilvl w:val="1"/>
          <w:numId w:val="18"/>
        </w:numPr>
        <w:ind w:left="1276"/>
      </w:pPr>
      <w:r w:rsidRPr="00A01517">
        <w:rPr>
          <w:color w:val="000000" w:themeColor="text1"/>
        </w:rPr>
        <w:t>Improvements in the proportionality of the electoral formula.</w:t>
      </w:r>
    </w:p>
    <w:p w14:paraId="1D236E60" w14:textId="77777777" w:rsidR="00851CCD" w:rsidRPr="005554D3" w:rsidRDefault="00851CCD" w:rsidP="00851CCD">
      <w:pPr>
        <w:pStyle w:val="ListParagraph"/>
        <w:numPr>
          <w:ilvl w:val="0"/>
          <w:numId w:val="0"/>
        </w:numPr>
        <w:ind w:left="770"/>
      </w:pPr>
    </w:p>
    <w:p w14:paraId="734E0F92" w14:textId="77777777" w:rsidR="00A01517" w:rsidRPr="00A01517" w:rsidRDefault="005554D3" w:rsidP="00851CCD">
      <w:pPr>
        <w:pStyle w:val="ListParagraph"/>
        <w:numPr>
          <w:ilvl w:val="0"/>
          <w:numId w:val="18"/>
        </w:numPr>
        <w:rPr>
          <w:color w:val="000000" w:themeColor="text1"/>
        </w:rPr>
      </w:pPr>
      <w:r>
        <w:t xml:space="preserve">Across all </w:t>
      </w:r>
      <w:r w:rsidR="00D17671">
        <w:t xml:space="preserve">three </w:t>
      </w:r>
      <w:r>
        <w:t xml:space="preserve">factors, South </w:t>
      </w:r>
      <w:r w:rsidR="00242805">
        <w:t xml:space="preserve">Africa’s </w:t>
      </w:r>
      <w:r>
        <w:t xml:space="preserve">electoral system </w:t>
      </w:r>
      <w:r w:rsidR="00242805">
        <w:t xml:space="preserve">is ranked </w:t>
      </w:r>
      <w:r>
        <w:t xml:space="preserve">among the most </w:t>
      </w:r>
      <w:r w:rsidR="006F19C8">
        <w:t>proportional</w:t>
      </w:r>
      <w:r>
        <w:t xml:space="preserve"> in the world. </w:t>
      </w:r>
      <w:r w:rsidR="00181703">
        <w:t>T</w:t>
      </w:r>
      <w:r w:rsidR="00242805">
        <w:t>here is no electoral threshold</w:t>
      </w:r>
      <w:r w:rsidR="00C50690">
        <w:t xml:space="preserve">, </w:t>
      </w:r>
      <w:r w:rsidR="00D17671">
        <w:t xml:space="preserve">meaning </w:t>
      </w:r>
      <w:r w:rsidR="00C50690">
        <w:t xml:space="preserve">that relatively few votes are wasted. </w:t>
      </w:r>
    </w:p>
    <w:p w14:paraId="14B85BD0" w14:textId="77777777" w:rsidR="00A01517" w:rsidRPr="00A01517" w:rsidRDefault="00A01517" w:rsidP="00A01517">
      <w:pPr>
        <w:pStyle w:val="ListParagraph"/>
        <w:numPr>
          <w:ilvl w:val="0"/>
          <w:numId w:val="0"/>
        </w:numPr>
        <w:ind w:left="720"/>
        <w:rPr>
          <w:color w:val="000000" w:themeColor="text1"/>
        </w:rPr>
      </w:pPr>
    </w:p>
    <w:p w14:paraId="7FA6F321" w14:textId="77777777" w:rsidR="00851CCD" w:rsidRPr="00851CCD" w:rsidRDefault="00181703" w:rsidP="00851CCD">
      <w:pPr>
        <w:pStyle w:val="ListParagraph"/>
        <w:numPr>
          <w:ilvl w:val="0"/>
          <w:numId w:val="18"/>
        </w:numPr>
        <w:rPr>
          <w:color w:val="000000" w:themeColor="text1"/>
        </w:rPr>
      </w:pPr>
      <w:r>
        <w:t xml:space="preserve">The </w:t>
      </w:r>
      <w:r w:rsidR="00C50690" w:rsidRPr="00851CCD">
        <w:rPr>
          <w:color w:val="000000" w:themeColor="text1"/>
        </w:rPr>
        <w:t xml:space="preserve">average district magnitude is high, exceeded only by countries with just one (national) district (e.g., </w:t>
      </w:r>
      <w:r w:rsidR="00C50690" w:rsidRPr="00851CCD">
        <w:rPr>
          <w:bCs/>
        </w:rPr>
        <w:t>East Timor, Israel, Netherlands, San Marino, and Slovakia).</w:t>
      </w:r>
      <w:r w:rsidR="00A01517">
        <w:rPr>
          <w:bCs/>
        </w:rPr>
        <w:t xml:space="preserve"> Pertinently, section </w:t>
      </w:r>
      <w:r w:rsidR="00F53879">
        <w:rPr>
          <w:bCs/>
        </w:rPr>
        <w:t xml:space="preserve">46(1) </w:t>
      </w:r>
      <w:r w:rsidR="00A01517">
        <w:rPr>
          <w:bCs/>
        </w:rPr>
        <w:t>of the Constitution</w:t>
      </w:r>
      <w:r w:rsidR="00F53879">
        <w:rPr>
          <w:bCs/>
        </w:rPr>
        <w:t xml:space="preserve"> provides that the National Assembly consists of 350-400 members. On the other hand, item …Schedule 1A provides that the 400 seats of the national assembly will be contested on the bases of 200 national compensatory seats and 200 regional seats. The Commission is empowered to proportionally determine the regional allocation of regional seats. Furthermore, schedule 3 of the Electoral Act </w:t>
      </w:r>
      <w:r w:rsidR="00344274">
        <w:rPr>
          <w:bCs/>
        </w:rPr>
        <w:t xml:space="preserve">provides that ahead of an election, </w:t>
      </w:r>
      <w:r w:rsidR="00F53879">
        <w:rPr>
          <w:bCs/>
        </w:rPr>
        <w:t>the Commission must determine the size of provincial legislatures.</w:t>
      </w:r>
    </w:p>
    <w:p w14:paraId="42CA3E83" w14:textId="77777777" w:rsidR="00851CCD" w:rsidRPr="00851CCD" w:rsidRDefault="00851CCD" w:rsidP="00851CCD">
      <w:pPr>
        <w:pStyle w:val="ListParagraph"/>
        <w:numPr>
          <w:ilvl w:val="0"/>
          <w:numId w:val="0"/>
        </w:numPr>
        <w:ind w:left="720"/>
        <w:rPr>
          <w:color w:val="000000" w:themeColor="text1"/>
        </w:rPr>
      </w:pPr>
    </w:p>
    <w:p w14:paraId="63CCF570" w14:textId="77777777" w:rsidR="00FE02CC" w:rsidRPr="00851CCD" w:rsidRDefault="00181703" w:rsidP="00851CCD">
      <w:pPr>
        <w:pStyle w:val="ListParagraph"/>
        <w:numPr>
          <w:ilvl w:val="0"/>
          <w:numId w:val="18"/>
        </w:numPr>
        <w:rPr>
          <w:color w:val="000000" w:themeColor="text1"/>
        </w:rPr>
      </w:pPr>
      <w:r w:rsidRPr="00851CCD">
        <w:rPr>
          <w:bCs/>
        </w:rPr>
        <w:t xml:space="preserve">Finally, Droop </w:t>
      </w:r>
      <w:r w:rsidRPr="00851CCD">
        <w:rPr>
          <w:color w:val="000000" w:themeColor="text1"/>
        </w:rPr>
        <w:t xml:space="preserve">is considered one of the most proportionate electoral formulas, along with Hare and </w:t>
      </w:r>
      <w:r w:rsidRPr="00AA2318">
        <w:t>Sainte-Laguë</w:t>
      </w:r>
      <w:r w:rsidRPr="00851CCD">
        <w:rPr>
          <w:color w:val="000000" w:themeColor="text1"/>
        </w:rPr>
        <w:t>.</w:t>
      </w:r>
      <w:r w:rsidR="00F53879">
        <w:rPr>
          <w:color w:val="000000" w:themeColor="text1"/>
        </w:rPr>
        <w:t xml:space="preserve"> Based on the submissions two additional refinements are proposed to optimize the seat calculation </w:t>
      </w:r>
      <w:r w:rsidR="00344274">
        <w:rPr>
          <w:color w:val="000000" w:themeColor="text1"/>
        </w:rPr>
        <w:t>formula</w:t>
      </w:r>
      <w:r w:rsidR="00F53879">
        <w:rPr>
          <w:color w:val="000000" w:themeColor="text1"/>
        </w:rPr>
        <w:t>.</w:t>
      </w:r>
    </w:p>
    <w:p w14:paraId="48F0BF53" w14:textId="77777777" w:rsidR="009304E4" w:rsidRDefault="00BC5D5A" w:rsidP="009304E4">
      <w:pPr>
        <w:pStyle w:val="Heading1"/>
      </w:pPr>
      <w:r>
        <w:t xml:space="preserve">Theme </w:t>
      </w:r>
      <w:r w:rsidR="004E5A4B" w:rsidRPr="004E5A4B">
        <w:t>#1</w:t>
      </w:r>
    </w:p>
    <w:p w14:paraId="56E8B3BC" w14:textId="77777777" w:rsidR="009304E4" w:rsidRDefault="009304E4" w:rsidP="009304E4">
      <w:pPr>
        <w:rPr>
          <w:i/>
          <w:iCs/>
          <w:lang w:val="en-GB"/>
        </w:rPr>
      </w:pPr>
      <w:r w:rsidRPr="009304E4">
        <w:rPr>
          <w:i/>
          <w:iCs/>
          <w:lang w:val="en-GB"/>
        </w:rPr>
        <w:t>The allocation of regional seats is “biased in favour of larger parties, and can have the unintended consequence of transferring a seat from a smaller party to a larger party”</w:t>
      </w:r>
    </w:p>
    <w:p w14:paraId="3844124F" w14:textId="77777777" w:rsidR="00BC5D5A" w:rsidRPr="00BC5D5A" w:rsidRDefault="00BC5D5A" w:rsidP="00BC5D5A">
      <w:pPr>
        <w:pStyle w:val="ListParagraph"/>
        <w:numPr>
          <w:ilvl w:val="0"/>
          <w:numId w:val="19"/>
        </w:numPr>
      </w:pPr>
      <w:r w:rsidRPr="00BC5D5A">
        <w:rPr>
          <w:lang w:val="en-GB"/>
        </w:rPr>
        <w:t xml:space="preserve">While the </w:t>
      </w:r>
      <w:r w:rsidR="00C33D25" w:rsidRPr="00BC5D5A">
        <w:rPr>
          <w:lang w:val="en-GB"/>
        </w:rPr>
        <w:t>argument is mathematically correct</w:t>
      </w:r>
      <w:r>
        <w:rPr>
          <w:lang w:val="en-GB"/>
        </w:rPr>
        <w:t xml:space="preserve">, </w:t>
      </w:r>
      <w:r w:rsidR="00D879EC" w:rsidRPr="00BC5D5A">
        <w:rPr>
          <w:lang w:val="en-GB"/>
        </w:rPr>
        <w:t xml:space="preserve">it is important to keep in mind that </w:t>
      </w:r>
      <w:r w:rsidRPr="00BC5D5A">
        <w:rPr>
          <w:lang w:val="en-GB"/>
        </w:rPr>
        <w:t xml:space="preserve">most </w:t>
      </w:r>
      <w:r w:rsidR="00D879EC" w:rsidRPr="00BC5D5A">
        <w:rPr>
          <w:lang w:val="en-GB"/>
        </w:rPr>
        <w:t xml:space="preserve">electoral systems </w:t>
      </w:r>
      <w:r w:rsidRPr="00BC5D5A">
        <w:rPr>
          <w:lang w:val="en-GB"/>
        </w:rPr>
        <w:t xml:space="preserve">tend to reward parties with large electoral support except where contestants with small support bases </w:t>
      </w:r>
      <w:r w:rsidR="006F19C8" w:rsidRPr="00BC5D5A">
        <w:rPr>
          <w:lang w:val="en-GB"/>
        </w:rPr>
        <w:t xml:space="preserve">are protected, for example, through </w:t>
      </w:r>
      <w:r w:rsidR="006854BA" w:rsidRPr="00BC5D5A">
        <w:rPr>
          <w:lang w:val="en-GB"/>
        </w:rPr>
        <w:t xml:space="preserve">minority </w:t>
      </w:r>
      <w:r w:rsidR="00024371" w:rsidRPr="00BC5D5A">
        <w:rPr>
          <w:lang w:val="en-GB"/>
        </w:rPr>
        <w:t>quotas</w:t>
      </w:r>
      <w:r w:rsidR="006F19C8" w:rsidRPr="00BC5D5A">
        <w:rPr>
          <w:lang w:val="en-GB"/>
        </w:rPr>
        <w:t>.</w:t>
      </w:r>
    </w:p>
    <w:p w14:paraId="267F2077" w14:textId="77777777" w:rsidR="009304E4" w:rsidRPr="00922660" w:rsidRDefault="00BC5D5A" w:rsidP="00BC5D5A">
      <w:pPr>
        <w:pStyle w:val="ListParagraph"/>
        <w:numPr>
          <w:ilvl w:val="0"/>
          <w:numId w:val="19"/>
        </w:numPr>
      </w:pPr>
      <w:r w:rsidRPr="00BC5D5A">
        <w:rPr>
          <w:lang w:val="en-GB"/>
        </w:rPr>
        <w:t xml:space="preserve">The </w:t>
      </w:r>
      <w:r>
        <w:t>Bill does</w:t>
      </w:r>
      <w:r w:rsidR="00024371">
        <w:t xml:space="preserve"> not fundamentally violate</w:t>
      </w:r>
      <w:r w:rsidR="00024371" w:rsidRPr="00024371">
        <w:t xml:space="preserve"> </w:t>
      </w:r>
      <w:r w:rsidR="006854BA">
        <w:t>the principle of proportionality</w:t>
      </w:r>
      <w:r w:rsidR="00024371">
        <w:t xml:space="preserve">. Moreover, a review of </w:t>
      </w:r>
      <w:r w:rsidR="00575527">
        <w:t>the example</w:t>
      </w:r>
      <w:r w:rsidR="004F6234">
        <w:t>s</w:t>
      </w:r>
      <w:r w:rsidR="00575527">
        <w:t xml:space="preserve"> provided in </w:t>
      </w:r>
      <w:r w:rsidR="006854BA">
        <w:t xml:space="preserve">the </w:t>
      </w:r>
      <w:r w:rsidR="00575527">
        <w:t>annex</w:t>
      </w:r>
      <w:r>
        <w:t>ure</w:t>
      </w:r>
      <w:r w:rsidR="00575527">
        <w:t xml:space="preserve"> to </w:t>
      </w:r>
      <w:r w:rsidR="00024371">
        <w:t>the submission suggest</w:t>
      </w:r>
      <w:r w:rsidR="00575527">
        <w:t>s</w:t>
      </w:r>
      <w:r w:rsidR="00024371">
        <w:t xml:space="preserve"> that </w:t>
      </w:r>
      <w:r w:rsidR="00575527">
        <w:t xml:space="preserve">the bias has </w:t>
      </w:r>
      <w:r w:rsidR="006854BA">
        <w:t xml:space="preserve">a measurable </w:t>
      </w:r>
      <w:r w:rsidR="00575527">
        <w:t xml:space="preserve">effect only in extreme cases. </w:t>
      </w:r>
      <w:r w:rsidR="006854BA">
        <w:t xml:space="preserve"> </w:t>
      </w:r>
    </w:p>
    <w:p w14:paraId="760D3ECF" w14:textId="77777777" w:rsidR="009304E4" w:rsidRDefault="00BC5D5A" w:rsidP="009304E4">
      <w:pPr>
        <w:pStyle w:val="Heading1"/>
      </w:pPr>
      <w:r>
        <w:t xml:space="preserve">Theme </w:t>
      </w:r>
      <w:r w:rsidR="009304E4" w:rsidRPr="004E5A4B">
        <w:t>#</w:t>
      </w:r>
      <w:r w:rsidR="009304E4">
        <w:t>2</w:t>
      </w:r>
    </w:p>
    <w:p w14:paraId="752F7346" w14:textId="77777777" w:rsidR="009304E4" w:rsidRDefault="009304E4" w:rsidP="009304E4">
      <w:pPr>
        <w:rPr>
          <w:i/>
          <w:iCs/>
          <w:lang w:val="en-GB"/>
        </w:rPr>
      </w:pPr>
      <w:r w:rsidRPr="009304E4">
        <w:rPr>
          <w:i/>
          <w:iCs/>
          <w:lang w:val="en-GB"/>
        </w:rPr>
        <w:t>The use of a single ballot for provincial legislatures</w:t>
      </w:r>
      <w:r w:rsidR="004A62E9">
        <w:rPr>
          <w:i/>
          <w:iCs/>
          <w:lang w:val="en-GB"/>
        </w:rPr>
        <w:t xml:space="preserve"> </w:t>
      </w:r>
      <w:r w:rsidRPr="009304E4">
        <w:rPr>
          <w:i/>
          <w:iCs/>
          <w:lang w:val="en-GB"/>
        </w:rPr>
        <w:t>“causes the results to be disproportional”</w:t>
      </w:r>
      <w:r>
        <w:rPr>
          <w:i/>
          <w:iCs/>
          <w:lang w:val="en-GB"/>
        </w:rPr>
        <w:t>.</w:t>
      </w:r>
    </w:p>
    <w:p w14:paraId="386629CF" w14:textId="77777777" w:rsidR="00EA6E42" w:rsidRDefault="00297DF5" w:rsidP="00EA6E42">
      <w:r w:rsidRPr="00EA6E42">
        <w:rPr>
          <w:lang w:val="en-GB"/>
        </w:rPr>
        <w:t>The Submission claims that “</w:t>
      </w:r>
      <w:r w:rsidRPr="00297DF5">
        <w:t>because individuals (independent candidates) are placed on the same ballot as parties, disproportionality in outcomes is inevitable”</w:t>
      </w:r>
      <w:r>
        <w:t>,</w:t>
      </w:r>
      <w:r w:rsidRPr="00297DF5">
        <w:t xml:space="preserve"> and that </w:t>
      </w:r>
      <w:r w:rsidR="007D6C9A">
        <w:t xml:space="preserve">elections for provincial </w:t>
      </w:r>
      <w:r w:rsidR="007D6C9A" w:rsidRPr="00297DF5">
        <w:t>legislatures</w:t>
      </w:r>
      <w:r w:rsidR="007D6C9A">
        <w:t xml:space="preserve"> </w:t>
      </w:r>
      <w:r w:rsidRPr="00297DF5">
        <w:t>“cannot meet the constitutional requirement of proportionality (s 105(1)(d)) without having some form of sub-provincial constituencies</w:t>
      </w:r>
      <w:r>
        <w:t xml:space="preserve">”. </w:t>
      </w:r>
    </w:p>
    <w:p w14:paraId="425EBAE6" w14:textId="77777777" w:rsidR="00697904" w:rsidRDefault="00697904" w:rsidP="00697904">
      <w:pPr>
        <w:pStyle w:val="ListParagraph"/>
        <w:numPr>
          <w:ilvl w:val="0"/>
          <w:numId w:val="22"/>
        </w:numPr>
      </w:pPr>
      <w:r w:rsidRPr="00697904">
        <w:t>The issue raise</w:t>
      </w:r>
      <w:r>
        <w:t>d</w:t>
      </w:r>
      <w:r w:rsidRPr="00697904">
        <w:t xml:space="preserve"> is the fact that a province does not have 2 ballots like the national assembly. However, the provincial legislature should be likened to the regional seat calculations where independents are included and compete on the same basis as the parties and therefore a spilt is not indicated. A spilt would furthermore require some sort of geographical determination inside the provinces, which, </w:t>
      </w:r>
      <w:r>
        <w:t>is not provided for in the Bill.</w:t>
      </w:r>
    </w:p>
    <w:p w14:paraId="4734D515" w14:textId="77777777" w:rsidR="007D6C9A" w:rsidRDefault="00297DF5" w:rsidP="00EA6E42">
      <w:pPr>
        <w:pStyle w:val="ListParagraph"/>
        <w:numPr>
          <w:ilvl w:val="0"/>
          <w:numId w:val="22"/>
        </w:numPr>
      </w:pPr>
      <w:r>
        <w:t xml:space="preserve">The claim is </w:t>
      </w:r>
      <w:r w:rsidR="00697904">
        <w:t xml:space="preserve">also </w:t>
      </w:r>
      <w:r w:rsidR="007D6C9A">
        <w:t>not</w:t>
      </w:r>
      <w:r w:rsidR="00697904">
        <w:t xml:space="preserve"> properly </w:t>
      </w:r>
      <w:r w:rsidR="007D6C9A">
        <w:t xml:space="preserve">explained and runs counter to the </w:t>
      </w:r>
      <w:r w:rsidR="00FE568D">
        <w:t xml:space="preserve">basic </w:t>
      </w:r>
      <w:r w:rsidR="00EA6E42">
        <w:t xml:space="preserve">thesis that </w:t>
      </w:r>
      <w:r w:rsidR="007B4591">
        <w:t>i</w:t>
      </w:r>
      <w:r w:rsidR="007D6C9A">
        <w:t xml:space="preserve">ncreases in the </w:t>
      </w:r>
      <w:r w:rsidR="007D6C9A" w:rsidRPr="00EA6E42">
        <w:rPr>
          <w:color w:val="000000" w:themeColor="text1"/>
        </w:rPr>
        <w:t>average district magnitude</w:t>
      </w:r>
      <w:r w:rsidR="007D6C9A" w:rsidRPr="007D6C9A">
        <w:t xml:space="preserve"> </w:t>
      </w:r>
      <w:r w:rsidR="007D6C9A">
        <w:t>increases the proportionality of an electoral system.</w:t>
      </w:r>
      <w:r w:rsidR="007B4591">
        <w:t xml:space="preserve"> Further </w:t>
      </w:r>
      <w:r w:rsidR="00BE1B17">
        <w:t>explanation is necessary to fully understand the claim.</w:t>
      </w:r>
    </w:p>
    <w:p w14:paraId="50DF6410" w14:textId="77777777" w:rsidR="009304E4" w:rsidRDefault="00EA6E42" w:rsidP="009304E4">
      <w:pPr>
        <w:pStyle w:val="Heading1"/>
      </w:pPr>
      <w:r>
        <w:t xml:space="preserve">Theme </w:t>
      </w:r>
      <w:r w:rsidR="009304E4" w:rsidRPr="004E5A4B">
        <w:t>#</w:t>
      </w:r>
      <w:r w:rsidR="009304E4">
        <w:t>3</w:t>
      </w:r>
    </w:p>
    <w:p w14:paraId="250EA70F" w14:textId="77777777" w:rsidR="009304E4" w:rsidRDefault="009304E4" w:rsidP="009304E4">
      <w:pPr>
        <w:rPr>
          <w:i/>
          <w:iCs/>
        </w:rPr>
      </w:pPr>
      <w:r w:rsidRPr="009304E4">
        <w:rPr>
          <w:i/>
          <w:iCs/>
        </w:rPr>
        <w:t>The inclusion of regional ballots in PR calculations for the National Assembly “violates the s 46 requirement of ‘in general, proportional representation’, and the s 19 right to fair elections”</w:t>
      </w:r>
      <w:r>
        <w:rPr>
          <w:i/>
          <w:iCs/>
        </w:rPr>
        <w:t>.</w:t>
      </w:r>
    </w:p>
    <w:p w14:paraId="3E2BBDD8" w14:textId="77777777" w:rsidR="009304E4" w:rsidRPr="004530D3" w:rsidRDefault="007B4591" w:rsidP="009304E4">
      <w:r w:rsidRPr="004530D3">
        <w:t xml:space="preserve">Referencing the IEC’s proposal that a second ballot is required for the National Assembly to meet the constitutional requirement of proportionality, the Submission argues that “the calculation of PR totals using both regional and PR ballots is incorrect, and creates a situation where the disproportionality of the regional ballots (having had votes and seats for independents removed) is transferred to the overall PR calculations”. </w:t>
      </w:r>
    </w:p>
    <w:p w14:paraId="2F1EE7AE" w14:textId="77777777" w:rsidR="004530D3" w:rsidRPr="004530D3" w:rsidRDefault="004530D3" w:rsidP="009304E4"/>
    <w:p w14:paraId="4FAABA61" w14:textId="77777777" w:rsidR="004530D3" w:rsidRPr="004530D3" w:rsidRDefault="004530D3" w:rsidP="004530D3">
      <w:pPr>
        <w:pStyle w:val="ListParagraph"/>
        <w:numPr>
          <w:ilvl w:val="0"/>
          <w:numId w:val="22"/>
        </w:numPr>
      </w:pPr>
      <w:r w:rsidRPr="004530D3">
        <w:lastRenderedPageBreak/>
        <w:t>The quota is determined by the sum of valid votes across both ballots. Party votes are also determined from both ballots before being divided by the quota. This is similar to the overall municipal calculations in LGEs and remains proportional in general.</w:t>
      </w:r>
    </w:p>
    <w:p w14:paraId="63BCEF9B" w14:textId="77777777" w:rsidR="009304E4" w:rsidRDefault="00EA6E42" w:rsidP="009304E4">
      <w:pPr>
        <w:pStyle w:val="Heading1"/>
      </w:pPr>
      <w:r>
        <w:t xml:space="preserve">Theme </w:t>
      </w:r>
      <w:r w:rsidR="009304E4" w:rsidRPr="004E5A4B">
        <w:t>#</w:t>
      </w:r>
      <w:r w:rsidR="005415C1">
        <w:t>4</w:t>
      </w:r>
    </w:p>
    <w:p w14:paraId="6240FB60" w14:textId="77777777" w:rsidR="009304E4" w:rsidRDefault="009304E4" w:rsidP="009304E4">
      <w:pPr>
        <w:rPr>
          <w:i/>
          <w:iCs/>
        </w:rPr>
      </w:pPr>
      <w:r w:rsidRPr="009304E4">
        <w:rPr>
          <w:i/>
          <w:iCs/>
        </w:rPr>
        <w:t>The provisions allowing independent candidates to contest multiple elections (National Assembly regions, and a provincial legislature) “disenfranchises voters, and creates disproportionality […] with a bias towards larger parties”</w:t>
      </w:r>
      <w:r>
        <w:rPr>
          <w:i/>
          <w:iCs/>
        </w:rPr>
        <w:t>.</w:t>
      </w:r>
    </w:p>
    <w:p w14:paraId="71F88B8E" w14:textId="77777777" w:rsidR="001B7952" w:rsidRDefault="00922660" w:rsidP="001B7952">
      <w:pPr>
        <w:pStyle w:val="ListParagraph"/>
        <w:numPr>
          <w:ilvl w:val="0"/>
          <w:numId w:val="22"/>
        </w:numPr>
      </w:pPr>
      <w:r w:rsidRPr="001B7952">
        <w:rPr>
          <w:lang w:val="en-GB"/>
        </w:rPr>
        <w:t xml:space="preserve">The argument is mathematically correct. When an independent candidate forfeits a seat in the </w:t>
      </w:r>
      <w:r w:rsidRPr="00922660">
        <w:t>provincial legislature</w:t>
      </w:r>
      <w:r>
        <w:t xml:space="preserve"> in favour of a seat in the national assembly, </w:t>
      </w:r>
      <w:r w:rsidR="0094647A">
        <w:t xml:space="preserve">the former is reallocated as described in the Bill and </w:t>
      </w:r>
      <w:r w:rsidR="001B7952">
        <w:t xml:space="preserve">may benefit </w:t>
      </w:r>
      <w:r w:rsidR="0094647A" w:rsidRPr="0094647A">
        <w:t>parties</w:t>
      </w:r>
      <w:r w:rsidR="001B7952">
        <w:t xml:space="preserve"> with large electoral support.</w:t>
      </w:r>
    </w:p>
    <w:p w14:paraId="670EC630" w14:textId="77777777" w:rsidR="005415C1" w:rsidRDefault="001B7952" w:rsidP="004B2294">
      <w:pPr>
        <w:pStyle w:val="ListParagraph"/>
        <w:numPr>
          <w:ilvl w:val="0"/>
          <w:numId w:val="22"/>
        </w:numPr>
      </w:pPr>
      <w:r>
        <w:t>T</w:t>
      </w:r>
      <w:r w:rsidR="00C7352D">
        <w:t>his does not fundamentally violate the principle of proportionality</w:t>
      </w:r>
      <w:r>
        <w:t>.</w:t>
      </w:r>
      <w:r w:rsidR="00C7352D">
        <w:t xml:space="preserve"> </w:t>
      </w:r>
    </w:p>
    <w:p w14:paraId="3CD6062A" w14:textId="77777777" w:rsidR="009304E4" w:rsidRDefault="00EA6E42" w:rsidP="009304E4">
      <w:pPr>
        <w:pStyle w:val="Heading1"/>
      </w:pPr>
      <w:r>
        <w:t xml:space="preserve">Theme </w:t>
      </w:r>
      <w:r w:rsidR="009304E4" w:rsidRPr="004E5A4B">
        <w:t>#</w:t>
      </w:r>
      <w:r w:rsidR="005415C1">
        <w:t>5</w:t>
      </w:r>
    </w:p>
    <w:p w14:paraId="79B75438" w14:textId="77777777" w:rsidR="009304E4" w:rsidRPr="009304E4" w:rsidRDefault="009304E4" w:rsidP="009304E4">
      <w:r w:rsidRPr="009304E4">
        <w:rPr>
          <w:i/>
          <w:iCs/>
        </w:rPr>
        <w:t>The method of filling vacancies “relies on a defective recalculation method that is unnecessarily complicated, and that has a built-in bias in favour of larger parties”.</w:t>
      </w:r>
    </w:p>
    <w:p w14:paraId="0926D5D1" w14:textId="77777777" w:rsidR="00697904" w:rsidRDefault="00A904EE" w:rsidP="00E51856">
      <w:r w:rsidRPr="00F70C5B">
        <w:t xml:space="preserve">The Bill proposes to fill vacancies by making use of the re-calculations described in Items 7 and 12 of Schedule 1A. According to the Submission, “these recalculations rely on removing votes from the system, which has the effect of reducing the Quota”, which means that “parties with Quota seats benefit by the amount of the reduction in the Quota multiplied by the number of Quota seats”. </w:t>
      </w:r>
      <w:r w:rsidR="00F70C5B" w:rsidRPr="00F70C5B">
        <w:t xml:space="preserve"> The Submission proposes that “vacancies can be filled by using the original seat allocation calculations, and allocating the seat to the party or candidate with the highest Remainder out of those parties and candidates that have not yet secured a Remainder seat</w:t>
      </w:r>
      <w:r w:rsidR="00F70C5B">
        <w:t xml:space="preserve">”. </w:t>
      </w:r>
    </w:p>
    <w:p w14:paraId="31E574F0" w14:textId="77777777" w:rsidR="00770172" w:rsidRDefault="00F70C5B" w:rsidP="00697904">
      <w:pPr>
        <w:pStyle w:val="ListParagraph"/>
        <w:numPr>
          <w:ilvl w:val="0"/>
          <w:numId w:val="22"/>
        </w:numPr>
      </w:pPr>
      <w:r>
        <w:t>This does not seem advisable, as it could theoreti</w:t>
      </w:r>
      <w:r w:rsidR="001B7952">
        <w:t xml:space="preserve">cally allocate seats to contestants with few </w:t>
      </w:r>
      <w:r>
        <w:t>vote</w:t>
      </w:r>
      <w:r w:rsidR="001B7952">
        <w:t xml:space="preserve">s in the </w:t>
      </w:r>
      <w:r>
        <w:t>e</w:t>
      </w:r>
      <w:r w:rsidR="001B7952">
        <w:t>le</w:t>
      </w:r>
      <w:r>
        <w:t>ctions.</w:t>
      </w:r>
    </w:p>
    <w:p w14:paraId="4AC3F600" w14:textId="77777777" w:rsidR="00697904" w:rsidRDefault="00697904" w:rsidP="00697904">
      <w:pPr>
        <w:pStyle w:val="ListParagraph"/>
        <w:numPr>
          <w:ilvl w:val="0"/>
          <w:numId w:val="22"/>
        </w:numPr>
      </w:pPr>
      <w:r w:rsidRPr="00697904">
        <w:t xml:space="preserve">Also, during the </w:t>
      </w:r>
      <w:r w:rsidR="00A01517" w:rsidRPr="00697904">
        <w:t>5-year</w:t>
      </w:r>
      <w:r w:rsidRPr="00697904">
        <w:t xml:space="preserve"> te</w:t>
      </w:r>
      <w:r>
        <w:t>rm</w:t>
      </w:r>
      <w:r w:rsidRPr="00697904">
        <w:t xml:space="preserve">, </w:t>
      </w:r>
      <w:r>
        <w:t xml:space="preserve">remainders may be depleted. Without a recalculation </w:t>
      </w:r>
      <w:r w:rsidRPr="00697904">
        <w:t>there could be a shortage of remainders to allocate seats to.</w:t>
      </w:r>
    </w:p>
    <w:p w14:paraId="5AC13D88" w14:textId="77777777" w:rsidR="0086641A" w:rsidRDefault="0086641A" w:rsidP="004F6234">
      <w:pPr>
        <w:pStyle w:val="Heading1"/>
      </w:pPr>
      <w:r>
        <w:t>Drafting Proposals</w:t>
      </w:r>
    </w:p>
    <w:p w14:paraId="42627AF3" w14:textId="77777777" w:rsidR="001432EB" w:rsidRDefault="001432EB"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Pr>
          <w:rFonts w:ascii="Arial" w:eastAsia="Times New Roman" w:hAnsi="Arial" w:cs="Arial"/>
          <w:u w:val="single"/>
          <w:lang w:val="en-GB" w:eastAsia="en-GB"/>
        </w:rPr>
        <w:t xml:space="preserve">Item </w:t>
      </w:r>
      <w:r w:rsidR="005B07B9">
        <w:rPr>
          <w:rFonts w:ascii="Arial" w:eastAsia="Times New Roman" w:hAnsi="Arial" w:cs="Arial"/>
          <w:u w:val="single"/>
          <w:lang w:val="en-GB" w:eastAsia="en-GB"/>
        </w:rPr>
        <w:t xml:space="preserve">7 </w:t>
      </w:r>
      <w:r>
        <w:rPr>
          <w:rFonts w:ascii="Arial" w:eastAsia="Times New Roman" w:hAnsi="Arial" w:cs="Arial"/>
          <w:u w:val="single"/>
          <w:lang w:val="en-GB" w:eastAsia="en-GB"/>
        </w:rPr>
        <w:t>2(a) and (b)</w:t>
      </w:r>
    </w:p>
    <w:p w14:paraId="57138F5F" w14:textId="77777777" w:rsidR="0086641A" w:rsidRPr="0086641A" w:rsidRDefault="0086641A"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86641A">
        <w:rPr>
          <w:rFonts w:ascii="Arial" w:eastAsia="Times New Roman" w:hAnsi="Arial" w:cs="Arial"/>
          <w:u w:val="single"/>
          <w:lang w:val="en-GB" w:eastAsia="en-GB"/>
        </w:rPr>
        <w:t xml:space="preserve">(2) </w:t>
      </w:r>
      <w:r w:rsidRPr="0086641A">
        <w:rPr>
          <w:rFonts w:ascii="Arial" w:eastAsia="Times New Roman" w:hAnsi="Arial" w:cs="Arial"/>
          <w:i/>
          <w:u w:val="single"/>
          <w:lang w:val="en-GB" w:eastAsia="en-GB"/>
        </w:rPr>
        <w:t>(a)</w:t>
      </w:r>
      <w:r w:rsidRPr="0086641A">
        <w:rPr>
          <w:rFonts w:ascii="Arial" w:eastAsia="Times New Roman" w:hAnsi="Arial" w:cs="Arial"/>
          <w:u w:val="single"/>
          <w:lang w:val="en-GB" w:eastAsia="en-GB"/>
        </w:rPr>
        <w:t xml:space="preserve"> If an independent candidate has been allocated more than one seat in a region, he or she is allocated one seat and forfeits any additional seat.</w:t>
      </w:r>
    </w:p>
    <w:p w14:paraId="24701A36" w14:textId="77777777" w:rsidR="0086641A" w:rsidRDefault="0086641A"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86641A">
        <w:rPr>
          <w:rFonts w:ascii="Arial" w:eastAsia="Times New Roman" w:hAnsi="Arial" w:cs="Arial"/>
          <w:i/>
          <w:u w:val="single"/>
          <w:lang w:val="en-GB" w:eastAsia="en-GB"/>
        </w:rPr>
        <w:t>(b)</w:t>
      </w:r>
      <w:r w:rsidRPr="0086641A">
        <w:rPr>
          <w:rFonts w:ascii="Arial" w:eastAsia="Times New Roman" w:hAnsi="Arial" w:cs="Arial"/>
          <w:u w:val="single"/>
          <w:lang w:val="en-GB" w:eastAsia="en-GB"/>
        </w:rPr>
        <w:t xml:space="preserve"> Where an independent candidate has been allocated a seat in more than one region, he or she is allocated the seat in the region where he or she received the most number of votes and shall forfeit any additional </w:t>
      </w:r>
      <w:r w:rsidRPr="0086641A">
        <w:rPr>
          <w:rFonts w:ascii="Arial" w:eastAsia="Times New Roman" w:hAnsi="Arial" w:cs="Arial"/>
          <w:u w:val="single"/>
          <w:lang w:val="en-GB" w:eastAsia="en-GB"/>
        </w:rPr>
        <w:lastRenderedPageBreak/>
        <w:t xml:space="preserve">seats. </w:t>
      </w:r>
    </w:p>
    <w:p w14:paraId="7BAA5644" w14:textId="77777777" w:rsidR="001432EB" w:rsidRDefault="001432EB"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p>
    <w:p w14:paraId="50BC67F0" w14:textId="77777777" w:rsidR="001432EB" w:rsidRDefault="001432EB"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p>
    <w:p w14:paraId="66EC3821" w14:textId="77777777" w:rsidR="001432EB" w:rsidRDefault="001432EB"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Pr>
          <w:rFonts w:ascii="Arial" w:eastAsia="Times New Roman" w:hAnsi="Arial" w:cs="Arial"/>
          <w:u w:val="single"/>
          <w:lang w:val="en-GB" w:eastAsia="en-GB"/>
        </w:rPr>
        <w:t>Item 12(d)</w:t>
      </w:r>
    </w:p>
    <w:p w14:paraId="0F3230F1" w14:textId="77777777" w:rsidR="001432EB" w:rsidRPr="001432EB" w:rsidRDefault="001432EB" w:rsidP="001432EB">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1432EB">
        <w:rPr>
          <w:rFonts w:ascii="Arial" w:eastAsia="Times New Roman" w:hAnsi="Arial" w:cs="Arial"/>
          <w:i/>
          <w:u w:val="single"/>
          <w:lang w:val="en-GB" w:eastAsia="en-GB"/>
        </w:rPr>
        <w:t>(d)</w:t>
      </w:r>
      <w:r w:rsidRPr="001432EB">
        <w:rPr>
          <w:rFonts w:ascii="Arial" w:eastAsia="Times New Roman" w:hAnsi="Arial" w:cs="Arial"/>
          <w:u w:val="single"/>
          <w:lang w:val="en-GB" w:eastAsia="en-GB"/>
        </w:rPr>
        <w:t xml:space="preserve"> The number of seats to be awarded for the purposes of paragraph (</w:t>
      </w:r>
      <w:r w:rsidRPr="001432EB">
        <w:rPr>
          <w:rFonts w:ascii="Arial" w:eastAsia="Times New Roman" w:hAnsi="Arial" w:cs="Arial"/>
          <w:i/>
          <w:u w:val="single"/>
          <w:lang w:val="en-GB" w:eastAsia="en-GB"/>
        </w:rPr>
        <w:t>f</w:t>
      </w:r>
      <w:r w:rsidRPr="001432EB">
        <w:rPr>
          <w:rFonts w:ascii="Arial" w:eastAsia="Times New Roman" w:hAnsi="Arial" w:cs="Arial"/>
          <w:u w:val="single"/>
          <w:lang w:val="en-GB" w:eastAsia="en-GB"/>
        </w:rPr>
        <w:t>) in respect of such province to a party or independent candidate participating in the recalculation must, subject to paragraph (</w:t>
      </w:r>
      <w:r w:rsidRPr="001432EB">
        <w:rPr>
          <w:rFonts w:ascii="Arial" w:eastAsia="Times New Roman" w:hAnsi="Arial" w:cs="Arial"/>
          <w:i/>
          <w:u w:val="single"/>
          <w:lang w:val="en-GB" w:eastAsia="en-GB"/>
        </w:rPr>
        <w:t>e</w:t>
      </w:r>
      <w:r w:rsidRPr="001432EB">
        <w:rPr>
          <w:rFonts w:ascii="Arial" w:eastAsia="Times New Roman" w:hAnsi="Arial" w:cs="Arial"/>
          <w:u w:val="single"/>
          <w:lang w:val="en-GB" w:eastAsia="en-GB"/>
        </w:rPr>
        <w:t xml:space="preserve">), be determined by dividing the total number of votes cast in favour of such party or independent candidate in such province by the amended quota of votes per seat indicated by paragraph </w:t>
      </w:r>
      <w:r w:rsidRPr="001432EB">
        <w:rPr>
          <w:rFonts w:ascii="Arial" w:eastAsia="Times New Roman" w:hAnsi="Arial" w:cs="Arial"/>
          <w:i/>
          <w:u w:val="single"/>
          <w:lang w:val="en-GB" w:eastAsia="en-GB"/>
        </w:rPr>
        <w:t>(c)</w:t>
      </w:r>
      <w:r w:rsidRPr="001432EB">
        <w:rPr>
          <w:rFonts w:ascii="Arial" w:eastAsia="Times New Roman" w:hAnsi="Arial" w:cs="Arial"/>
          <w:u w:val="single"/>
          <w:lang w:val="en-GB" w:eastAsia="en-GB"/>
        </w:rPr>
        <w:t xml:space="preserve"> for such province. </w:t>
      </w:r>
    </w:p>
    <w:p w14:paraId="138C570F" w14:textId="77777777" w:rsidR="00A01517" w:rsidRDefault="00A01517"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b/>
          <w:i/>
          <w:lang w:val="en-GB" w:eastAsia="en-GB"/>
        </w:rPr>
      </w:pPr>
    </w:p>
    <w:p w14:paraId="09F49532" w14:textId="77777777" w:rsidR="001432EB" w:rsidRPr="00A01517" w:rsidRDefault="00A01517"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b/>
          <w:i/>
          <w:lang w:val="en-GB" w:eastAsia="en-GB"/>
        </w:rPr>
      </w:pPr>
      <w:r w:rsidRPr="00A01517">
        <w:rPr>
          <w:rFonts w:ascii="Arial" w:eastAsia="Times New Roman" w:hAnsi="Arial" w:cs="Arial"/>
          <w:b/>
          <w:i/>
          <w:lang w:val="en-GB" w:eastAsia="en-GB"/>
        </w:rPr>
        <w:t>Filling of Vacancies</w:t>
      </w:r>
    </w:p>
    <w:p w14:paraId="070C623B" w14:textId="77777777" w:rsidR="004530D3" w:rsidRDefault="004530D3"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Pr>
          <w:rFonts w:ascii="Arial" w:eastAsia="Times New Roman" w:hAnsi="Arial" w:cs="Arial"/>
          <w:u w:val="single"/>
          <w:lang w:val="en-GB" w:eastAsia="en-GB"/>
        </w:rPr>
        <w:t>Item 22</w:t>
      </w:r>
    </w:p>
    <w:p w14:paraId="0121145B"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GB" w:eastAsia="en-GB"/>
        </w:rPr>
      </w:pPr>
      <w:r w:rsidRPr="004530D3">
        <w:rPr>
          <w:rFonts w:ascii="Arial" w:eastAsia="Times New Roman" w:hAnsi="Arial" w:cs="Arial"/>
          <w:iCs/>
          <w:u w:val="single"/>
          <w:lang w:val="en-GB" w:eastAsia="en-GB"/>
        </w:rPr>
        <w:t xml:space="preserve">(1) In the event of a vacancy in a region or provincial legislature with respect to a seat allocated to an independent candidate, the chief electoral officer must in writing allocate the seat by recalculating the result as follows: </w:t>
      </w:r>
    </w:p>
    <w:p w14:paraId="6D168CE5" w14:textId="77777777" w:rsidR="004530D3" w:rsidRPr="004530D3" w:rsidRDefault="004530D3" w:rsidP="00A01517">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GB" w:eastAsia="en-GB"/>
        </w:rPr>
      </w:pPr>
      <w:r w:rsidRPr="004530D3">
        <w:rPr>
          <w:rFonts w:ascii="Arial" w:eastAsia="Times New Roman" w:hAnsi="Arial" w:cs="Arial"/>
          <w:i/>
          <w:u w:val="single"/>
          <w:lang w:val="en-GB" w:eastAsia="en-GB"/>
        </w:rPr>
        <w:t>(a)</w:t>
      </w:r>
      <w:r w:rsidRPr="004530D3">
        <w:rPr>
          <w:rFonts w:ascii="Arial" w:eastAsia="Times New Roman" w:hAnsi="Arial" w:cs="Arial"/>
          <w:iCs/>
          <w:u w:val="single"/>
          <w:lang w:val="en-GB" w:eastAsia="en-GB"/>
        </w:rPr>
        <w:t xml:space="preserve"> disregarding the votes allocated to the independent candidate causing the vacancy;</w:t>
      </w:r>
    </w:p>
    <w:p w14:paraId="152822FC" w14:textId="77777777" w:rsidR="004530D3" w:rsidRPr="004530D3" w:rsidRDefault="004530D3" w:rsidP="00A01517">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GB" w:eastAsia="en-GB"/>
        </w:rPr>
      </w:pPr>
      <w:r w:rsidRPr="004530D3">
        <w:rPr>
          <w:rFonts w:ascii="Arial" w:eastAsia="Times New Roman" w:hAnsi="Arial" w:cs="Arial"/>
          <w:i/>
          <w:u w:val="single"/>
          <w:lang w:val="en-GB" w:eastAsia="en-GB"/>
        </w:rPr>
        <w:t>(b)</w:t>
      </w:r>
      <w:r w:rsidRPr="004530D3">
        <w:rPr>
          <w:rFonts w:ascii="Arial" w:eastAsia="Times New Roman" w:hAnsi="Arial" w:cs="Arial"/>
          <w:iCs/>
          <w:u w:val="single"/>
          <w:lang w:val="en-GB" w:eastAsia="en-GB"/>
        </w:rPr>
        <w:t xml:space="preserve"> disregarding the votes and seats allocated to the independent candidates already in office; and</w:t>
      </w:r>
    </w:p>
    <w:p w14:paraId="3FD2CAE1" w14:textId="77777777" w:rsidR="004530D3" w:rsidRPr="004530D3" w:rsidRDefault="004530D3" w:rsidP="00A01517">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GB" w:eastAsia="en-GB"/>
        </w:rPr>
      </w:pPr>
      <w:r w:rsidRPr="004530D3">
        <w:rPr>
          <w:rFonts w:ascii="Arial" w:eastAsia="Times New Roman" w:hAnsi="Arial" w:cs="Arial"/>
          <w:i/>
          <w:u w:val="single"/>
          <w:lang w:val="en-GB" w:eastAsia="en-GB"/>
        </w:rPr>
        <w:t>(c)</w:t>
      </w:r>
      <w:r w:rsidRPr="004530D3">
        <w:rPr>
          <w:rFonts w:ascii="Arial" w:eastAsia="Times New Roman" w:hAnsi="Arial" w:cs="Arial"/>
          <w:iCs/>
          <w:u w:val="single"/>
          <w:lang w:val="en-GB" w:eastAsia="en-GB"/>
        </w:rPr>
        <w:t xml:space="preserve"> recalculating the result for the region or provincial legislature in terms of the provisions in subitem 3.</w:t>
      </w:r>
    </w:p>
    <w:p w14:paraId="14BDEF76"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US" w:eastAsia="en-GB"/>
        </w:rPr>
      </w:pPr>
      <w:r w:rsidRPr="004530D3">
        <w:rPr>
          <w:rFonts w:ascii="Arial" w:eastAsia="Times New Roman" w:hAnsi="Arial" w:cs="Arial"/>
          <w:iCs/>
          <w:u w:val="single"/>
          <w:lang w:val="en-GB" w:eastAsia="en-GB"/>
        </w:rPr>
        <w:t xml:space="preserve">(2) The vacant seat is awarded to an </w:t>
      </w:r>
      <w:r w:rsidRPr="004530D3">
        <w:rPr>
          <w:rFonts w:ascii="Arial" w:eastAsia="Times New Roman" w:hAnsi="Arial" w:cs="Arial"/>
          <w:iCs/>
          <w:u w:val="single"/>
          <w:lang w:val="en-US" w:eastAsia="en-GB"/>
        </w:rPr>
        <w:t>eligible independent candidate or party that contested the preceding election in terms of subitem 1</w:t>
      </w:r>
      <w:r w:rsidRPr="004530D3">
        <w:rPr>
          <w:rFonts w:ascii="Arial" w:eastAsia="Times New Roman" w:hAnsi="Arial" w:cs="Arial"/>
          <w:i/>
          <w:u w:val="single"/>
          <w:lang w:val="en-US" w:eastAsia="en-GB"/>
        </w:rPr>
        <w:t>(c)</w:t>
      </w:r>
      <w:r w:rsidRPr="004530D3">
        <w:rPr>
          <w:rFonts w:ascii="Arial" w:eastAsia="Times New Roman" w:hAnsi="Arial" w:cs="Arial"/>
          <w:iCs/>
          <w:u w:val="single"/>
          <w:lang w:val="en-US" w:eastAsia="en-GB"/>
        </w:rPr>
        <w:t>.</w:t>
      </w:r>
    </w:p>
    <w:p w14:paraId="55982D8D"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iCs/>
          <w:u w:val="single"/>
          <w:lang w:val="en-US" w:eastAsia="en-GB"/>
        </w:rPr>
        <w:lastRenderedPageBreak/>
        <w:t xml:space="preserve">(3)  </w:t>
      </w:r>
      <w:r w:rsidRPr="004530D3">
        <w:rPr>
          <w:rFonts w:ascii="Arial" w:eastAsia="Times New Roman" w:hAnsi="Arial" w:cs="Arial"/>
          <w:i/>
          <w:iCs/>
          <w:u w:val="single"/>
          <w:lang w:val="en-US" w:eastAsia="en-GB"/>
        </w:rPr>
        <w:t>(a)</w:t>
      </w:r>
      <w:r w:rsidRPr="004530D3">
        <w:rPr>
          <w:rFonts w:ascii="Arial" w:eastAsia="Times New Roman" w:hAnsi="Arial" w:cs="Arial"/>
          <w:u w:val="single"/>
          <w:lang w:val="en-GB" w:eastAsia="en-GB"/>
        </w:rPr>
        <w:t xml:space="preserve"> An amended quota of votes per seat must be determined in respect of such region or province by dividing the total number of votes cast in the region or province, minus the number of votes cast in the region or province in favour of the party or independent candidate causing the vacancy, minus the votes cast in such region or province in favour of independent candidates already allocated one seat, by the number of seats, plus one, determined in terms of item 4 or item 8 in respect of the region or province concerned, minus the seats held by independent candidates in terms of paragraph 5</w:t>
      </w:r>
      <w:r w:rsidRPr="004530D3">
        <w:rPr>
          <w:rFonts w:ascii="Arial" w:eastAsia="Times New Roman" w:hAnsi="Arial" w:cs="Arial"/>
          <w:i/>
          <w:u w:val="single"/>
          <w:lang w:val="en-GB" w:eastAsia="en-GB"/>
        </w:rPr>
        <w:t>(i)</w:t>
      </w:r>
      <w:r w:rsidRPr="004530D3">
        <w:rPr>
          <w:rFonts w:ascii="Arial" w:eastAsia="Times New Roman" w:hAnsi="Arial" w:cs="Arial"/>
          <w:u w:val="single"/>
          <w:lang w:val="en-GB" w:eastAsia="en-GB"/>
        </w:rPr>
        <w:t xml:space="preserve"> or 11</w:t>
      </w:r>
      <w:r w:rsidRPr="004530D3">
        <w:rPr>
          <w:rFonts w:ascii="Arial" w:eastAsia="Times New Roman" w:hAnsi="Arial" w:cs="Arial"/>
          <w:i/>
          <w:u w:val="single"/>
          <w:lang w:val="en-GB" w:eastAsia="en-GB"/>
        </w:rPr>
        <w:t>(f)</w:t>
      </w:r>
      <w:r w:rsidRPr="004530D3">
        <w:rPr>
          <w:rFonts w:ascii="Arial" w:eastAsia="Times New Roman" w:hAnsi="Arial" w:cs="Arial"/>
          <w:u w:val="single"/>
          <w:lang w:val="en-GB" w:eastAsia="en-GB"/>
        </w:rPr>
        <w:t>.</w:t>
      </w:r>
    </w:p>
    <w:p w14:paraId="4A185017"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i/>
          <w:u w:val="single"/>
          <w:lang w:val="en-GB" w:eastAsia="en-GB"/>
        </w:rPr>
        <w:t>(b)</w:t>
      </w:r>
      <w:r w:rsidRPr="004530D3">
        <w:rPr>
          <w:rFonts w:ascii="Arial" w:eastAsia="Times New Roman" w:hAnsi="Arial" w:cs="Arial"/>
          <w:u w:val="single"/>
          <w:lang w:val="en-GB" w:eastAsia="en-GB"/>
        </w:rPr>
        <w:t xml:space="preserve"> The result plus one, disregarding fractions, is the amended quota of votes per seat in respect of such region or province for purposes of the said recalculation.</w:t>
      </w:r>
    </w:p>
    <w:p w14:paraId="21C56257"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i/>
          <w:u w:val="single"/>
          <w:lang w:val="en-GB" w:eastAsia="en-GB"/>
        </w:rPr>
        <w:t>(c)</w:t>
      </w:r>
      <w:r w:rsidRPr="004530D3">
        <w:rPr>
          <w:rFonts w:ascii="Arial" w:eastAsia="Times New Roman" w:hAnsi="Arial" w:cs="Arial"/>
          <w:u w:val="single"/>
          <w:lang w:val="en-GB" w:eastAsia="en-GB"/>
        </w:rPr>
        <w:t xml:space="preserve"> The number of seats to be awarded for the purposes of paragraph (</w:t>
      </w:r>
      <w:r w:rsidRPr="004530D3">
        <w:rPr>
          <w:rFonts w:ascii="Arial" w:eastAsia="Times New Roman" w:hAnsi="Arial" w:cs="Arial"/>
          <w:i/>
          <w:u w:val="single"/>
          <w:lang w:val="en-GB" w:eastAsia="en-GB"/>
        </w:rPr>
        <w:t>e</w:t>
      </w:r>
      <w:r w:rsidRPr="004530D3">
        <w:rPr>
          <w:rFonts w:ascii="Arial" w:eastAsia="Times New Roman" w:hAnsi="Arial" w:cs="Arial"/>
          <w:u w:val="single"/>
          <w:lang w:val="en-GB" w:eastAsia="en-GB"/>
        </w:rPr>
        <w:t>) in respect of such region or province to a party or independent candidate participating in the recalculation must, subject to paragraph (</w:t>
      </w:r>
      <w:r w:rsidRPr="004530D3">
        <w:rPr>
          <w:rFonts w:ascii="Arial" w:eastAsia="Times New Roman" w:hAnsi="Arial" w:cs="Arial"/>
          <w:i/>
          <w:u w:val="single"/>
          <w:lang w:val="en-GB" w:eastAsia="en-GB"/>
        </w:rPr>
        <w:t>d</w:t>
      </w:r>
      <w:r w:rsidRPr="004530D3">
        <w:rPr>
          <w:rFonts w:ascii="Arial" w:eastAsia="Times New Roman" w:hAnsi="Arial" w:cs="Arial"/>
          <w:u w:val="single"/>
          <w:lang w:val="en-GB" w:eastAsia="en-GB"/>
        </w:rPr>
        <w:t xml:space="preserve">), be determined by dividing the total number of votes cast in favour of such party or independent candidate in such region or province by the amended quota of votes per seat indicated by paragraph </w:t>
      </w:r>
      <w:r w:rsidRPr="004530D3">
        <w:rPr>
          <w:rFonts w:ascii="Arial" w:eastAsia="Times New Roman" w:hAnsi="Arial" w:cs="Arial"/>
          <w:i/>
          <w:u w:val="single"/>
          <w:lang w:val="en-GB" w:eastAsia="en-GB"/>
        </w:rPr>
        <w:t>(b)</w:t>
      </w:r>
      <w:r w:rsidRPr="004530D3">
        <w:rPr>
          <w:rFonts w:ascii="Arial" w:eastAsia="Times New Roman" w:hAnsi="Arial" w:cs="Arial"/>
          <w:u w:val="single"/>
          <w:lang w:val="en-GB" w:eastAsia="en-GB"/>
        </w:rPr>
        <w:t xml:space="preserve"> for such province. </w:t>
      </w:r>
    </w:p>
    <w:p w14:paraId="2C5A713C"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i/>
          <w:u w:val="single"/>
          <w:lang w:val="en-GB" w:eastAsia="en-GB"/>
        </w:rPr>
        <w:t>(d)</w:t>
      </w:r>
      <w:r w:rsidRPr="004530D3">
        <w:rPr>
          <w:rFonts w:ascii="Arial" w:eastAsia="Times New Roman" w:hAnsi="Arial" w:cs="Arial"/>
          <w:u w:val="single"/>
          <w:lang w:val="en-GB" w:eastAsia="en-GB"/>
        </w:rPr>
        <w:t xml:space="preserve"> Where the result of the recalculation in terms of paragraph </w:t>
      </w:r>
      <w:r w:rsidRPr="004530D3">
        <w:rPr>
          <w:rFonts w:ascii="Arial" w:eastAsia="Times New Roman" w:hAnsi="Arial" w:cs="Arial"/>
          <w:i/>
          <w:u w:val="single"/>
          <w:lang w:val="en-GB" w:eastAsia="en-GB"/>
        </w:rPr>
        <w:t>(c)</w:t>
      </w:r>
      <w:r w:rsidRPr="004530D3">
        <w:rPr>
          <w:rFonts w:ascii="Arial" w:eastAsia="Times New Roman" w:hAnsi="Arial" w:cs="Arial"/>
          <w:u w:val="single"/>
          <w:lang w:val="en-GB" w:eastAsia="en-GB"/>
        </w:rPr>
        <w:t xml:space="preserve"> yields a surplus not absorbed by the number of seats awarded to a party concerned or independent candidate who has not been awarded a seat, such surplus competes with other similar surpluses accruing to any other party, parties or independent candidates participating in the recalculation, and any seat or seats in respect of such region or province not awarded </w:t>
      </w:r>
      <w:r w:rsidRPr="004530D3">
        <w:rPr>
          <w:rFonts w:ascii="Arial" w:eastAsia="Times New Roman" w:hAnsi="Arial" w:cs="Arial"/>
          <w:u w:val="single"/>
          <w:lang w:val="en-GB" w:eastAsia="en-GB"/>
        </w:rPr>
        <w:lastRenderedPageBreak/>
        <w:t xml:space="preserve">in terms of paragraph </w:t>
      </w:r>
      <w:r w:rsidRPr="004530D3">
        <w:rPr>
          <w:rFonts w:ascii="Arial" w:eastAsia="Times New Roman" w:hAnsi="Arial" w:cs="Arial"/>
          <w:i/>
          <w:u w:val="single"/>
          <w:lang w:val="en-GB" w:eastAsia="en-GB"/>
        </w:rPr>
        <w:t>(c)</w:t>
      </w:r>
      <w:r w:rsidRPr="004530D3">
        <w:rPr>
          <w:rFonts w:ascii="Arial" w:eastAsia="Times New Roman" w:hAnsi="Arial" w:cs="Arial"/>
          <w:u w:val="single"/>
          <w:lang w:val="en-GB" w:eastAsia="en-GB"/>
        </w:rPr>
        <w:t>, must be awarded to the party, parties or independent candidates concerned in sequence of the highest surplus.</w:t>
      </w:r>
    </w:p>
    <w:p w14:paraId="24B6C52B"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i/>
          <w:u w:val="single"/>
          <w:lang w:val="en-GB" w:eastAsia="en-GB"/>
        </w:rPr>
        <w:t>(e)</w:t>
      </w:r>
      <w:r w:rsidRPr="004530D3">
        <w:rPr>
          <w:rFonts w:ascii="Arial" w:eastAsia="Times New Roman" w:hAnsi="Arial" w:cs="Arial"/>
          <w:u w:val="single"/>
          <w:lang w:val="en-GB" w:eastAsia="en-GB"/>
        </w:rPr>
        <w:t xml:space="preserve"> The aggregate of such a party's awards in terms of paragraphs </w:t>
      </w:r>
      <w:r w:rsidRPr="004530D3">
        <w:rPr>
          <w:rFonts w:ascii="Arial" w:eastAsia="Times New Roman" w:hAnsi="Arial" w:cs="Arial"/>
          <w:i/>
          <w:u w:val="single"/>
          <w:lang w:val="en-GB" w:eastAsia="en-GB"/>
        </w:rPr>
        <w:t>(c)</w:t>
      </w:r>
      <w:r w:rsidRPr="004530D3">
        <w:rPr>
          <w:rFonts w:ascii="Arial" w:eastAsia="Times New Roman" w:hAnsi="Arial" w:cs="Arial"/>
          <w:u w:val="single"/>
          <w:lang w:val="en-GB" w:eastAsia="en-GB"/>
        </w:rPr>
        <w:t xml:space="preserve"> and (</w:t>
      </w:r>
      <w:r w:rsidRPr="004530D3">
        <w:rPr>
          <w:rFonts w:ascii="Arial" w:eastAsia="Times New Roman" w:hAnsi="Arial" w:cs="Arial"/>
          <w:i/>
          <w:u w:val="single"/>
          <w:lang w:val="en-GB" w:eastAsia="en-GB"/>
        </w:rPr>
        <w:t>d</w:t>
      </w:r>
      <w:r w:rsidRPr="004530D3">
        <w:rPr>
          <w:rFonts w:ascii="Arial" w:eastAsia="Times New Roman" w:hAnsi="Arial" w:cs="Arial"/>
          <w:u w:val="single"/>
          <w:lang w:val="en-GB" w:eastAsia="en-GB"/>
        </w:rPr>
        <w:t xml:space="preserve">) in respect of such region or province, subject to paragraphs </w:t>
      </w:r>
      <w:r w:rsidRPr="004530D3">
        <w:rPr>
          <w:rFonts w:ascii="Arial" w:eastAsia="Times New Roman" w:hAnsi="Arial" w:cs="Arial"/>
          <w:i/>
          <w:u w:val="single"/>
          <w:lang w:val="en-GB" w:eastAsia="en-GB"/>
        </w:rPr>
        <w:t>(f)</w:t>
      </w:r>
      <w:r w:rsidRPr="004530D3">
        <w:rPr>
          <w:rFonts w:ascii="Arial" w:eastAsia="Times New Roman" w:hAnsi="Arial" w:cs="Arial"/>
          <w:u w:val="single"/>
          <w:lang w:val="en-GB" w:eastAsia="en-GB"/>
        </w:rPr>
        <w:t xml:space="preserve"> and </w:t>
      </w:r>
      <w:r w:rsidRPr="004530D3">
        <w:rPr>
          <w:rFonts w:ascii="Arial" w:eastAsia="Times New Roman" w:hAnsi="Arial" w:cs="Arial"/>
          <w:i/>
          <w:u w:val="single"/>
          <w:lang w:val="en-GB" w:eastAsia="en-GB"/>
        </w:rPr>
        <w:t>(g)</w:t>
      </w:r>
      <w:r w:rsidRPr="004530D3">
        <w:rPr>
          <w:rFonts w:ascii="Arial" w:eastAsia="Times New Roman" w:hAnsi="Arial" w:cs="Arial"/>
          <w:u w:val="single"/>
          <w:lang w:val="en-GB" w:eastAsia="en-GB"/>
        </w:rPr>
        <w:t>, indicates that party's or independent candidate’s final allocation of the seats determined under item 4 or item 8 in respect of that region or province.</w:t>
      </w:r>
    </w:p>
    <w:p w14:paraId="12B6C935"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u w:val="single"/>
          <w:lang w:val="en-GB" w:eastAsia="en-GB"/>
        </w:rPr>
        <w:t>(f) In the event of a party being allocated an additional number of seats in terms of this item and if its list in question then does not contain the names of a sufficient number of candidates as set out in item 7(1) or item 12(1), the process provided for in item 7 or item 12 must be repeated with the changes required by the context until all seats have been allocated.</w:t>
      </w:r>
    </w:p>
    <w:p w14:paraId="0951ADC8"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sidRPr="004530D3">
        <w:rPr>
          <w:rFonts w:ascii="Arial" w:eastAsia="Times New Roman" w:hAnsi="Arial" w:cs="Arial"/>
          <w:u w:val="single"/>
          <w:lang w:val="en-GB" w:eastAsia="en-GB"/>
        </w:rPr>
        <w:t>(g)  In the event of an independent candidate being allocated more than one seat in terms of this item, the procedure provided for in item 7 and item 12, must be repeated with the changes required by context until all seats have been allocated.</w:t>
      </w:r>
    </w:p>
    <w:p w14:paraId="1D8475A0" w14:textId="77777777" w:rsidR="004530D3" w:rsidRDefault="004530D3"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p>
    <w:p w14:paraId="7DA135CA" w14:textId="77777777" w:rsidR="004530D3" w:rsidRDefault="004530D3" w:rsidP="0086641A">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GB" w:eastAsia="en-GB"/>
        </w:rPr>
      </w:pPr>
      <w:r>
        <w:rPr>
          <w:rFonts w:ascii="Arial" w:eastAsia="Times New Roman" w:hAnsi="Arial" w:cs="Arial"/>
          <w:u w:val="single"/>
          <w:lang w:val="en-GB" w:eastAsia="en-GB"/>
        </w:rPr>
        <w:t>Item 23</w:t>
      </w:r>
    </w:p>
    <w:p w14:paraId="2C998F34"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US" w:eastAsia="en-GB"/>
        </w:rPr>
      </w:pPr>
      <w:r w:rsidRPr="004530D3">
        <w:rPr>
          <w:rFonts w:ascii="Arial" w:eastAsia="Times New Roman" w:hAnsi="Arial" w:cs="Arial"/>
          <w:iCs/>
          <w:u w:val="single"/>
          <w:lang w:val="en-US" w:eastAsia="en-GB"/>
        </w:rPr>
        <w:t>(1)</w:t>
      </w:r>
      <w:r w:rsidRPr="004530D3">
        <w:rPr>
          <w:rFonts w:ascii="Arial" w:eastAsia="Times New Roman" w:hAnsi="Arial" w:cs="Arial"/>
          <w:b/>
          <w:iCs/>
          <w:u w:val="single"/>
          <w:lang w:val="en-US" w:eastAsia="en-GB"/>
        </w:rPr>
        <w:t xml:space="preserve"> </w:t>
      </w:r>
      <w:r w:rsidRPr="004530D3">
        <w:rPr>
          <w:rFonts w:ascii="Arial" w:eastAsia="Times New Roman" w:hAnsi="Arial" w:cs="Arial"/>
          <w:iCs/>
          <w:u w:val="single"/>
          <w:lang w:val="en-US" w:eastAsia="en-GB"/>
        </w:rPr>
        <w:t>Should any party or independent candidate stand to lose a seat during the recalculation contemplated in item 22, the party or independent candidate will retain the seat.</w:t>
      </w:r>
    </w:p>
    <w:p w14:paraId="1A178B72"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iCs/>
          <w:u w:val="single"/>
          <w:lang w:val="en-US" w:eastAsia="en-GB"/>
        </w:rPr>
      </w:pPr>
      <w:r w:rsidRPr="004530D3">
        <w:rPr>
          <w:rFonts w:ascii="Arial" w:eastAsia="Times New Roman" w:hAnsi="Arial" w:cs="Arial"/>
          <w:iCs/>
          <w:u w:val="single"/>
          <w:lang w:val="en-US" w:eastAsia="en-GB"/>
        </w:rPr>
        <w:t xml:space="preserve">(2) </w:t>
      </w:r>
      <w:r w:rsidRPr="004530D3">
        <w:rPr>
          <w:rFonts w:ascii="Arial" w:eastAsia="Times New Roman" w:hAnsi="Arial" w:cs="Arial"/>
          <w:u w:val="single"/>
          <w:lang w:val="en-US" w:eastAsia="en-GB"/>
        </w:rPr>
        <w:t>A recalculation must be done as follows:</w:t>
      </w:r>
    </w:p>
    <w:p w14:paraId="144D47D1"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eastAsia="en-GB"/>
        </w:rPr>
      </w:pPr>
      <w:r w:rsidRPr="004530D3">
        <w:rPr>
          <w:rFonts w:ascii="Arial" w:eastAsia="Times New Roman" w:hAnsi="Arial" w:cs="Arial"/>
          <w:i/>
          <w:u w:val="single"/>
          <w:lang w:val="en-US" w:eastAsia="en-GB"/>
        </w:rPr>
        <w:t>(a)</w:t>
      </w:r>
      <w:r w:rsidRPr="004530D3">
        <w:rPr>
          <w:rFonts w:ascii="Arial" w:eastAsia="Times New Roman" w:hAnsi="Arial" w:cs="Arial"/>
          <w:u w:val="single"/>
          <w:lang w:val="en-US" w:eastAsia="en-GB"/>
        </w:rPr>
        <w:t xml:space="preserve"> disregarding the votes and seat allocated to the party or independent candidate contemplated in subitem (1);</w:t>
      </w:r>
    </w:p>
    <w:p w14:paraId="73C8E7A0" w14:textId="77777777"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val="en-US" w:eastAsia="en-GB"/>
        </w:rPr>
      </w:pPr>
      <w:r w:rsidRPr="004530D3">
        <w:rPr>
          <w:rFonts w:ascii="Arial" w:eastAsia="Times New Roman" w:hAnsi="Arial" w:cs="Arial"/>
          <w:i/>
          <w:u w:val="single"/>
          <w:lang w:val="en-US" w:eastAsia="en-GB"/>
        </w:rPr>
        <w:t>(b)</w:t>
      </w:r>
      <w:r w:rsidRPr="004530D3">
        <w:rPr>
          <w:rFonts w:ascii="Arial" w:eastAsia="Times New Roman" w:hAnsi="Arial" w:cs="Arial"/>
          <w:u w:val="single"/>
          <w:lang w:val="en-US" w:eastAsia="en-GB"/>
        </w:rPr>
        <w:t xml:space="preserve"> disregarding the votes and seats allocated to independent candidates </w:t>
      </w:r>
      <w:r w:rsidRPr="004530D3">
        <w:rPr>
          <w:rFonts w:ascii="Arial" w:eastAsia="Times New Roman" w:hAnsi="Arial" w:cs="Arial"/>
          <w:u w:val="single"/>
          <w:lang w:val="en-US" w:eastAsia="en-GB"/>
        </w:rPr>
        <w:lastRenderedPageBreak/>
        <w:t>already in office; and</w:t>
      </w:r>
    </w:p>
    <w:p w14:paraId="7D6AE8FF" w14:textId="76D739DF" w:rsidR="004530D3" w:rsidRPr="004530D3" w:rsidRDefault="004530D3" w:rsidP="004530D3">
      <w:pPr>
        <w:widowControl w:val="0"/>
        <w:kinsoku w:val="0"/>
        <w:overflowPunct w:val="0"/>
        <w:autoSpaceDE w:val="0"/>
        <w:autoSpaceDN w:val="0"/>
        <w:adjustRightInd w:val="0"/>
        <w:spacing w:before="0" w:after="0" w:line="480" w:lineRule="auto"/>
        <w:ind w:left="720" w:right="588"/>
        <w:contextualSpacing/>
        <w:rPr>
          <w:rFonts w:ascii="Arial" w:eastAsia="Times New Roman" w:hAnsi="Arial" w:cs="Arial"/>
          <w:u w:val="single"/>
          <w:lang w:eastAsia="en-GB"/>
        </w:rPr>
      </w:pPr>
      <w:r w:rsidRPr="004530D3">
        <w:rPr>
          <w:rFonts w:ascii="Arial" w:eastAsia="Times New Roman" w:hAnsi="Arial" w:cs="Arial"/>
          <w:i/>
          <w:u w:val="single"/>
          <w:lang w:val="en-US" w:eastAsia="en-GB"/>
        </w:rPr>
        <w:t>(c)</w:t>
      </w:r>
      <w:r w:rsidRPr="004530D3">
        <w:rPr>
          <w:rFonts w:ascii="Arial" w:eastAsia="Times New Roman" w:hAnsi="Arial" w:cs="Arial"/>
          <w:u w:val="single"/>
          <w:lang w:val="en-US" w:eastAsia="en-GB"/>
        </w:rPr>
        <w:t xml:space="preserve"> recalculating the result for the region or provincial legislature in terms of the provisions in </w:t>
      </w:r>
      <w:r w:rsidR="002E6BD9">
        <w:rPr>
          <w:rFonts w:ascii="Arial" w:eastAsia="Times New Roman" w:hAnsi="Arial" w:cs="Arial"/>
          <w:u w:val="single"/>
          <w:lang w:val="en-US" w:eastAsia="en-GB"/>
        </w:rPr>
        <w:t>item 7 or item 12</w:t>
      </w:r>
      <w:r w:rsidRPr="004530D3">
        <w:rPr>
          <w:rFonts w:ascii="Arial" w:eastAsia="Times New Roman" w:hAnsi="Arial" w:cs="Arial"/>
          <w:u w:val="single"/>
          <w:lang w:val="en-US" w:eastAsia="en-GB"/>
        </w:rPr>
        <w:t xml:space="preserve">.  </w:t>
      </w:r>
    </w:p>
    <w:sectPr w:rsidR="004530D3" w:rsidRPr="004530D3" w:rsidSect="00741D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1264" w14:textId="77777777" w:rsidR="00D05EAA" w:rsidRDefault="00D05EAA" w:rsidP="004E5A4B">
      <w:pPr>
        <w:spacing w:before="0" w:after="0"/>
      </w:pPr>
      <w:r>
        <w:separator/>
      </w:r>
    </w:p>
  </w:endnote>
  <w:endnote w:type="continuationSeparator" w:id="0">
    <w:p w14:paraId="64E0456F" w14:textId="77777777" w:rsidR="00D05EAA" w:rsidRDefault="00D05EAA" w:rsidP="004E5A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72DB" w14:textId="77777777" w:rsidR="00D05EAA" w:rsidRDefault="00D05EAA" w:rsidP="004E5A4B">
      <w:pPr>
        <w:spacing w:before="0" w:after="0"/>
      </w:pPr>
      <w:r>
        <w:separator/>
      </w:r>
    </w:p>
  </w:footnote>
  <w:footnote w:type="continuationSeparator" w:id="0">
    <w:p w14:paraId="6247900C" w14:textId="77777777" w:rsidR="00D05EAA" w:rsidRDefault="00D05EAA" w:rsidP="004E5A4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744B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B1F96"/>
    <w:multiLevelType w:val="hybridMultilevel"/>
    <w:tmpl w:val="E6DC193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54E"/>
    <w:multiLevelType w:val="hybridMultilevel"/>
    <w:tmpl w:val="97064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DA5688"/>
    <w:multiLevelType w:val="hybridMultilevel"/>
    <w:tmpl w:val="F2506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1B6FD3"/>
    <w:multiLevelType w:val="hybridMultilevel"/>
    <w:tmpl w:val="F43E8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264FBA"/>
    <w:multiLevelType w:val="hybridMultilevel"/>
    <w:tmpl w:val="F43E8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B64C6"/>
    <w:multiLevelType w:val="hybridMultilevel"/>
    <w:tmpl w:val="B548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92E7D"/>
    <w:multiLevelType w:val="hybridMultilevel"/>
    <w:tmpl w:val="A92EED04"/>
    <w:lvl w:ilvl="0" w:tplc="97F2964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51A225D"/>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6E6005E"/>
    <w:multiLevelType w:val="hybridMultilevel"/>
    <w:tmpl w:val="A3B49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DC5E58"/>
    <w:multiLevelType w:val="multilevel"/>
    <w:tmpl w:val="BB206824"/>
    <w:lvl w:ilvl="0">
      <w:start w:val="1"/>
      <w:numFmt w:val="decimal"/>
      <w:lvlText w:val="%1."/>
      <w:lvlJc w:val="left"/>
      <w:pPr>
        <w:ind w:left="72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11" w15:restartNumberingAfterBreak="0">
    <w:nsid w:val="29D62713"/>
    <w:multiLevelType w:val="hybridMultilevel"/>
    <w:tmpl w:val="60B47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D052C7"/>
    <w:multiLevelType w:val="hybridMultilevel"/>
    <w:tmpl w:val="C45A2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504647"/>
    <w:multiLevelType w:val="hybridMultilevel"/>
    <w:tmpl w:val="885A4BA6"/>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419A03AD"/>
    <w:multiLevelType w:val="hybridMultilevel"/>
    <w:tmpl w:val="53CE81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AD7705D"/>
    <w:multiLevelType w:val="hybridMultilevel"/>
    <w:tmpl w:val="FD60D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11B3E43"/>
    <w:multiLevelType w:val="hybridMultilevel"/>
    <w:tmpl w:val="95CEA0A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87C38"/>
    <w:multiLevelType w:val="hybridMultilevel"/>
    <w:tmpl w:val="7D407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E2F79F3"/>
    <w:multiLevelType w:val="hybridMultilevel"/>
    <w:tmpl w:val="F43E8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D3CC4"/>
    <w:multiLevelType w:val="hybridMultilevel"/>
    <w:tmpl w:val="BF222BB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A27E6"/>
    <w:multiLevelType w:val="hybridMultilevel"/>
    <w:tmpl w:val="87F418DC"/>
    <w:lvl w:ilvl="0" w:tplc="A15241F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15283F"/>
    <w:multiLevelType w:val="hybridMultilevel"/>
    <w:tmpl w:val="0D5AB5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5D0F4D"/>
    <w:multiLevelType w:val="hybridMultilevel"/>
    <w:tmpl w:val="0D5AB5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4398709">
    <w:abstractNumId w:val="18"/>
  </w:num>
  <w:num w:numId="2" w16cid:durableId="1241677370">
    <w:abstractNumId w:val="0"/>
  </w:num>
  <w:num w:numId="3" w16cid:durableId="252051479">
    <w:abstractNumId w:val="3"/>
  </w:num>
  <w:num w:numId="4" w16cid:durableId="849638031">
    <w:abstractNumId w:val="6"/>
  </w:num>
  <w:num w:numId="5" w16cid:durableId="187793372">
    <w:abstractNumId w:val="20"/>
  </w:num>
  <w:num w:numId="6" w16cid:durableId="1446579180">
    <w:abstractNumId w:val="22"/>
  </w:num>
  <w:num w:numId="7" w16cid:durableId="1300920665">
    <w:abstractNumId w:val="21"/>
  </w:num>
  <w:num w:numId="8" w16cid:durableId="375742688">
    <w:abstractNumId w:val="4"/>
  </w:num>
  <w:num w:numId="9" w16cid:durableId="808060927">
    <w:abstractNumId w:val="1"/>
  </w:num>
  <w:num w:numId="10" w16cid:durableId="741684328">
    <w:abstractNumId w:val="19"/>
  </w:num>
  <w:num w:numId="11" w16cid:durableId="1231966291">
    <w:abstractNumId w:val="16"/>
  </w:num>
  <w:num w:numId="12" w16cid:durableId="1568877586">
    <w:abstractNumId w:val="5"/>
  </w:num>
  <w:num w:numId="13" w16cid:durableId="234631183">
    <w:abstractNumId w:val="13"/>
  </w:num>
  <w:num w:numId="14" w16cid:durableId="602107040">
    <w:abstractNumId w:val="7"/>
  </w:num>
  <w:num w:numId="15" w16cid:durableId="182061222">
    <w:abstractNumId w:val="17"/>
  </w:num>
  <w:num w:numId="16" w16cid:durableId="1240362301">
    <w:abstractNumId w:val="12"/>
  </w:num>
  <w:num w:numId="17" w16cid:durableId="72896436">
    <w:abstractNumId w:val="14"/>
  </w:num>
  <w:num w:numId="18" w16cid:durableId="2056199048">
    <w:abstractNumId w:val="10"/>
  </w:num>
  <w:num w:numId="19" w16cid:durableId="1322661346">
    <w:abstractNumId w:val="11"/>
  </w:num>
  <w:num w:numId="20" w16cid:durableId="869953469">
    <w:abstractNumId w:val="9"/>
  </w:num>
  <w:num w:numId="21" w16cid:durableId="1681545000">
    <w:abstractNumId w:val="15"/>
  </w:num>
  <w:num w:numId="22" w16cid:durableId="711228496">
    <w:abstractNumId w:val="2"/>
  </w:num>
  <w:num w:numId="23" w16cid:durableId="805974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C0"/>
    <w:rsid w:val="0000304A"/>
    <w:rsid w:val="00024371"/>
    <w:rsid w:val="00054696"/>
    <w:rsid w:val="000E1CE8"/>
    <w:rsid w:val="000F1596"/>
    <w:rsid w:val="0011323C"/>
    <w:rsid w:val="00136D8F"/>
    <w:rsid w:val="001432EB"/>
    <w:rsid w:val="0017099A"/>
    <w:rsid w:val="00181703"/>
    <w:rsid w:val="0019784B"/>
    <w:rsid w:val="001A7645"/>
    <w:rsid w:val="001B5F36"/>
    <w:rsid w:val="001B7952"/>
    <w:rsid w:val="001D0567"/>
    <w:rsid w:val="001E5A18"/>
    <w:rsid w:val="00220DE3"/>
    <w:rsid w:val="002321BB"/>
    <w:rsid w:val="00242805"/>
    <w:rsid w:val="00273E32"/>
    <w:rsid w:val="00297DF5"/>
    <w:rsid w:val="002A3EDD"/>
    <w:rsid w:val="002D3F40"/>
    <w:rsid w:val="002E6BD9"/>
    <w:rsid w:val="00301E5C"/>
    <w:rsid w:val="0031466B"/>
    <w:rsid w:val="00331437"/>
    <w:rsid w:val="00344274"/>
    <w:rsid w:val="0034641B"/>
    <w:rsid w:val="003468E8"/>
    <w:rsid w:val="003C66B0"/>
    <w:rsid w:val="004011D1"/>
    <w:rsid w:val="00410AD9"/>
    <w:rsid w:val="00442D2D"/>
    <w:rsid w:val="004530D3"/>
    <w:rsid w:val="004763D6"/>
    <w:rsid w:val="004A62E9"/>
    <w:rsid w:val="004B33E3"/>
    <w:rsid w:val="004D00B4"/>
    <w:rsid w:val="004D682D"/>
    <w:rsid w:val="004E5A4B"/>
    <w:rsid w:val="004F2A67"/>
    <w:rsid w:val="004F6234"/>
    <w:rsid w:val="00515EE1"/>
    <w:rsid w:val="005163FE"/>
    <w:rsid w:val="00533614"/>
    <w:rsid w:val="005415C1"/>
    <w:rsid w:val="005554D3"/>
    <w:rsid w:val="0055556D"/>
    <w:rsid w:val="00575527"/>
    <w:rsid w:val="005B07B9"/>
    <w:rsid w:val="005F08CF"/>
    <w:rsid w:val="006108DE"/>
    <w:rsid w:val="00627C18"/>
    <w:rsid w:val="00636BF3"/>
    <w:rsid w:val="00680F36"/>
    <w:rsid w:val="006838EE"/>
    <w:rsid w:val="006854BA"/>
    <w:rsid w:val="00697904"/>
    <w:rsid w:val="006F19C8"/>
    <w:rsid w:val="006F6471"/>
    <w:rsid w:val="006F7626"/>
    <w:rsid w:val="00706751"/>
    <w:rsid w:val="00725D7B"/>
    <w:rsid w:val="00726C86"/>
    <w:rsid w:val="00741D50"/>
    <w:rsid w:val="00755476"/>
    <w:rsid w:val="00770172"/>
    <w:rsid w:val="007A774B"/>
    <w:rsid w:val="007B4591"/>
    <w:rsid w:val="007D6C9A"/>
    <w:rsid w:val="007F2707"/>
    <w:rsid w:val="008073D0"/>
    <w:rsid w:val="00851CCD"/>
    <w:rsid w:val="00862523"/>
    <w:rsid w:val="0086641A"/>
    <w:rsid w:val="008746C7"/>
    <w:rsid w:val="009010E8"/>
    <w:rsid w:val="00903AB2"/>
    <w:rsid w:val="00906D5D"/>
    <w:rsid w:val="00922660"/>
    <w:rsid w:val="009304E4"/>
    <w:rsid w:val="0094647A"/>
    <w:rsid w:val="009A5ADD"/>
    <w:rsid w:val="00A01517"/>
    <w:rsid w:val="00A02C7A"/>
    <w:rsid w:val="00A06E8C"/>
    <w:rsid w:val="00A331E0"/>
    <w:rsid w:val="00A73397"/>
    <w:rsid w:val="00A904EE"/>
    <w:rsid w:val="00AA2318"/>
    <w:rsid w:val="00AF0686"/>
    <w:rsid w:val="00B074C0"/>
    <w:rsid w:val="00B256DA"/>
    <w:rsid w:val="00B661E1"/>
    <w:rsid w:val="00B67074"/>
    <w:rsid w:val="00B9118A"/>
    <w:rsid w:val="00BC5D5A"/>
    <w:rsid w:val="00BE1B17"/>
    <w:rsid w:val="00C02E60"/>
    <w:rsid w:val="00C23C23"/>
    <w:rsid w:val="00C33D25"/>
    <w:rsid w:val="00C50690"/>
    <w:rsid w:val="00C672D1"/>
    <w:rsid w:val="00C7352D"/>
    <w:rsid w:val="00D05EAA"/>
    <w:rsid w:val="00D17671"/>
    <w:rsid w:val="00D51309"/>
    <w:rsid w:val="00D879EC"/>
    <w:rsid w:val="00DB43FB"/>
    <w:rsid w:val="00E11AA8"/>
    <w:rsid w:val="00E51856"/>
    <w:rsid w:val="00EA6E42"/>
    <w:rsid w:val="00EB4954"/>
    <w:rsid w:val="00ED30C4"/>
    <w:rsid w:val="00F15D3A"/>
    <w:rsid w:val="00F313FB"/>
    <w:rsid w:val="00F5037D"/>
    <w:rsid w:val="00F53879"/>
    <w:rsid w:val="00F70C5B"/>
    <w:rsid w:val="00FC0D1C"/>
    <w:rsid w:val="00FD38A2"/>
    <w:rsid w:val="00FD5FC5"/>
    <w:rsid w:val="00FE02CC"/>
    <w:rsid w:val="00FE56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331EB"/>
  <w15:chartTrackingRefBased/>
  <w15:docId w15:val="{D2233A4A-6F23-2844-A502-8710C813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76"/>
    <w:pPr>
      <w:spacing w:before="120" w:after="120"/>
      <w:jc w:val="both"/>
    </w:pPr>
  </w:style>
  <w:style w:type="paragraph" w:styleId="Heading1">
    <w:name w:val="heading 1"/>
    <w:basedOn w:val="Normal"/>
    <w:next w:val="Normal"/>
    <w:link w:val="Heading1Char"/>
    <w:uiPriority w:val="9"/>
    <w:qFormat/>
    <w:rsid w:val="009304E4"/>
    <w:pPr>
      <w:keepNext/>
      <w:spacing w:before="360"/>
      <w:outlineLvl w:val="0"/>
    </w:pPr>
    <w:rPr>
      <w:b/>
      <w:bCs/>
    </w:rPr>
  </w:style>
  <w:style w:type="paragraph" w:styleId="Heading2">
    <w:name w:val="heading 2"/>
    <w:basedOn w:val="Normal"/>
    <w:next w:val="Normal"/>
    <w:link w:val="Heading2Char"/>
    <w:uiPriority w:val="9"/>
    <w:unhideWhenUsed/>
    <w:qFormat/>
    <w:rsid w:val="005554D3"/>
    <w:pPr>
      <w:spacing w:before="360"/>
      <w:outlineLvl w:val="1"/>
    </w:pPr>
    <w:rPr>
      <w:i/>
      <w:iCs/>
      <w:lang w:val="en-GB"/>
    </w:rPr>
  </w:style>
  <w:style w:type="paragraph" w:styleId="Heading4">
    <w:name w:val="heading 4"/>
    <w:basedOn w:val="Normal"/>
    <w:next w:val="Normal"/>
    <w:link w:val="Heading4Char"/>
    <w:uiPriority w:val="9"/>
    <w:unhideWhenUsed/>
    <w:qFormat/>
    <w:rsid w:val="003468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9A"/>
    <w:pPr>
      <w:numPr>
        <w:numId w:val="5"/>
      </w:numPr>
      <w:contextualSpacing/>
    </w:pPr>
  </w:style>
  <w:style w:type="paragraph" w:customStyle="1" w:styleId="Default">
    <w:name w:val="Default"/>
    <w:rsid w:val="00C02E60"/>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4B33E3"/>
    <w:rPr>
      <w:sz w:val="18"/>
      <w:szCs w:val="18"/>
    </w:rPr>
  </w:style>
  <w:style w:type="paragraph" w:styleId="CommentText">
    <w:name w:val="annotation text"/>
    <w:basedOn w:val="Normal"/>
    <w:link w:val="CommentTextChar"/>
    <w:uiPriority w:val="99"/>
    <w:unhideWhenUsed/>
    <w:rsid w:val="004B33E3"/>
    <w:rPr>
      <w:rFonts w:ascii="Times New Roman" w:eastAsiaTheme="minorEastAsia" w:hAnsi="Times New Roman" w:cs="Times New Roman"/>
      <w:lang w:val="en-GB"/>
    </w:rPr>
  </w:style>
  <w:style w:type="character" w:customStyle="1" w:styleId="CommentTextChar">
    <w:name w:val="Comment Text Char"/>
    <w:basedOn w:val="DefaultParagraphFont"/>
    <w:link w:val="CommentText"/>
    <w:uiPriority w:val="99"/>
    <w:rsid w:val="004B33E3"/>
    <w:rPr>
      <w:rFonts w:ascii="Times New Roman" w:eastAsiaTheme="minorEastAsia" w:hAnsi="Times New Roman" w:cs="Times New Roman"/>
      <w:lang w:val="en-GB"/>
    </w:rPr>
  </w:style>
  <w:style w:type="character" w:customStyle="1" w:styleId="Heading1Char">
    <w:name w:val="Heading 1 Char"/>
    <w:basedOn w:val="DefaultParagraphFont"/>
    <w:link w:val="Heading1"/>
    <w:uiPriority w:val="9"/>
    <w:rsid w:val="009304E4"/>
    <w:rPr>
      <w:b/>
      <w:bCs/>
    </w:rPr>
  </w:style>
  <w:style w:type="table" w:styleId="TableGrid">
    <w:name w:val="Table Grid"/>
    <w:basedOn w:val="TableNormal"/>
    <w:uiPriority w:val="59"/>
    <w:rsid w:val="001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1309"/>
    <w:rPr>
      <w:i/>
      <w:iCs/>
    </w:rPr>
  </w:style>
  <w:style w:type="paragraph" w:styleId="Caption">
    <w:name w:val="caption"/>
    <w:basedOn w:val="Normal"/>
    <w:next w:val="Normal"/>
    <w:uiPriority w:val="35"/>
    <w:unhideWhenUsed/>
    <w:qFormat/>
    <w:rsid w:val="00D51309"/>
    <w:pPr>
      <w:keepNext/>
      <w:spacing w:before="360"/>
    </w:pPr>
    <w:rPr>
      <w:color w:val="000000" w:themeColor="text1"/>
    </w:rPr>
  </w:style>
  <w:style w:type="paragraph" w:styleId="NormalWeb">
    <w:name w:val="Normal (Web)"/>
    <w:basedOn w:val="Normal"/>
    <w:uiPriority w:val="99"/>
    <w:unhideWhenUsed/>
    <w:rsid w:val="00A02C7A"/>
    <w:pPr>
      <w:spacing w:before="100" w:beforeAutospacing="1" w:after="100" w:afterAutospacing="1"/>
      <w:jc w:val="left"/>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554D3"/>
    <w:rPr>
      <w:i/>
      <w:iCs/>
      <w:lang w:val="en-GB"/>
    </w:rPr>
  </w:style>
  <w:style w:type="character" w:customStyle="1" w:styleId="Heading4Char">
    <w:name w:val="Heading 4 Char"/>
    <w:basedOn w:val="DefaultParagraphFont"/>
    <w:link w:val="Heading4"/>
    <w:uiPriority w:val="9"/>
    <w:rsid w:val="003468E8"/>
    <w:rPr>
      <w:rFonts w:asciiTheme="majorHAnsi" w:eastAsiaTheme="majorEastAsia" w:hAnsiTheme="majorHAnsi" w:cstheme="majorBidi"/>
      <w:i/>
      <w:iCs/>
      <w:color w:val="2F5496" w:themeColor="accent1" w:themeShade="BF"/>
    </w:rPr>
  </w:style>
  <w:style w:type="paragraph" w:customStyle="1" w:styleId="subscript">
    <w:name w:val="subscript"/>
    <w:basedOn w:val="Normal"/>
    <w:rsid w:val="003468E8"/>
    <w:pPr>
      <w:spacing w:before="100" w:beforeAutospacing="1" w:after="100" w:afterAutospacing="1"/>
      <w:jc w:val="left"/>
    </w:pPr>
    <w:rPr>
      <w:rFonts w:ascii="Times New Roman" w:eastAsia="Times New Roman" w:hAnsi="Times New Roman" w:cs="Times New Roman"/>
      <w:lang w:eastAsia="en-GB"/>
    </w:rPr>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Normal"/>
    <w:link w:val="FootnoteTextChar"/>
    <w:uiPriority w:val="99"/>
    <w:unhideWhenUsed/>
    <w:qFormat/>
    <w:rsid w:val="004E5A4B"/>
    <w:rPr>
      <w:sz w:val="20"/>
      <w:szCs w:val="20"/>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qFormat/>
    <w:rsid w:val="004E5A4B"/>
    <w:rPr>
      <w:sz w:val="20"/>
      <w:szCs w:val="20"/>
    </w:rPr>
  </w:style>
  <w:style w:type="character" w:styleId="FootnoteReference">
    <w:name w:val="footnote reference"/>
    <w:aliases w:val="BVI fnr,fr,ftref,Footnote Refernece,Fußnotenzeichen_Raxen,callout,Footnote Reference Number,4_G,Footnote Text1,Ref. de nota al pie1,Footnote number,Texto de nota al pie,Appel note de bas de page,Footnotes refss,f,16 Point,10 pt"/>
    <w:basedOn w:val="DefaultParagraphFont"/>
    <w:link w:val="CharCharCharChar"/>
    <w:uiPriority w:val="99"/>
    <w:unhideWhenUsed/>
    <w:qFormat/>
    <w:rsid w:val="004E5A4B"/>
    <w:rPr>
      <w:vertAlign w:val="superscript"/>
    </w:rPr>
  </w:style>
  <w:style w:type="paragraph" w:customStyle="1" w:styleId="Tabletext">
    <w:name w:val="Table text"/>
    <w:qFormat/>
    <w:rsid w:val="00AA2318"/>
    <w:rPr>
      <w:sz w:val="20"/>
      <w:szCs w:val="20"/>
    </w:rPr>
  </w:style>
  <w:style w:type="paragraph" w:customStyle="1" w:styleId="Tablesandfiguresnumbers">
    <w:name w:val="Tables and figures numbers"/>
    <w:basedOn w:val="Normal"/>
    <w:qFormat/>
    <w:rsid w:val="00F5037D"/>
    <w:pPr>
      <w:framePr w:wrap="around" w:vAnchor="text" w:hAnchor="text" w:y="1"/>
      <w:spacing w:before="0" w:after="0"/>
      <w:contextualSpacing/>
      <w:jc w:val="center"/>
    </w:pPr>
    <w:rPr>
      <w:rFonts w:ascii="Times New Roman" w:eastAsiaTheme="minorEastAsia" w:hAnsi="Times New Roman" w:cs="Times New Roman"/>
      <w:sz w:val="20"/>
      <w:lang w:val="en-GB"/>
    </w:rPr>
  </w:style>
  <w:style w:type="paragraph" w:customStyle="1" w:styleId="Tablecentred">
    <w:name w:val="Table centred"/>
    <w:basedOn w:val="Normal"/>
    <w:qFormat/>
    <w:rsid w:val="006838EE"/>
    <w:pPr>
      <w:spacing w:before="0" w:after="0"/>
      <w:jc w:val="center"/>
    </w:pPr>
    <w:rPr>
      <w:rFonts w:eastAsia="Times New Roman" w:cstheme="minorHAnsi"/>
      <w:sz w:val="20"/>
      <w:szCs w:val="20"/>
      <w:lang w:val="en-US"/>
    </w:rPr>
  </w:style>
  <w:style w:type="paragraph" w:customStyle="1" w:styleId="Tableleft">
    <w:name w:val="Table left"/>
    <w:basedOn w:val="Tablecentred"/>
    <w:qFormat/>
    <w:rsid w:val="00F5037D"/>
    <w:pPr>
      <w:jc w:val="left"/>
    </w:pPr>
    <w:rPr>
      <w:rFonts w:eastAsiaTheme="minorHAnsi"/>
      <w:lang w:val="en-GB"/>
    </w:rPr>
  </w:style>
  <w:style w:type="paragraph" w:customStyle="1" w:styleId="Tablenotes">
    <w:name w:val="Table notes"/>
    <w:basedOn w:val="Tableleft"/>
    <w:qFormat/>
    <w:rsid w:val="00F5037D"/>
    <w:pPr>
      <w:spacing w:after="360"/>
      <w:contextualSpacing/>
    </w:pPr>
  </w:style>
  <w:style w:type="paragraph" w:customStyle="1" w:styleId="Tableheader">
    <w:name w:val="Table header"/>
    <w:qFormat/>
    <w:rsid w:val="006838EE"/>
    <w:pPr>
      <w:spacing w:before="120" w:after="120"/>
      <w:jc w:val="center"/>
    </w:pPr>
    <w:rPr>
      <w:rFonts w:eastAsia="Times New Roman" w:cstheme="minorHAnsi"/>
      <w:sz w:val="20"/>
      <w:szCs w:val="20"/>
      <w:lang w:val="en-US"/>
    </w:rPr>
  </w:style>
  <w:style w:type="paragraph" w:customStyle="1" w:styleId="Tablefigures">
    <w:name w:val="Table figures"/>
    <w:basedOn w:val="Tabletext"/>
    <w:qFormat/>
    <w:rsid w:val="006838EE"/>
    <w:pPr>
      <w:jc w:val="right"/>
    </w:pPr>
  </w:style>
  <w:style w:type="paragraph" w:customStyle="1" w:styleId="CharCharCharChar">
    <w:name w:val="Char Char Char Char"/>
    <w:aliases w:val="Car Char Car Char Car Char Char Char Char Char Char Char Char Char Zchn Char Char,Footnote Refernece Char Char1 Char Zchn Char Char Carattere"/>
    <w:basedOn w:val="Normal"/>
    <w:link w:val="FootnoteReference"/>
    <w:uiPriority w:val="99"/>
    <w:rsid w:val="0019784B"/>
    <w:pPr>
      <w:autoSpaceDE w:val="0"/>
      <w:autoSpaceDN w:val="0"/>
      <w:spacing w:before="0" w:after="160" w:line="240" w:lineRule="exact"/>
    </w:pPr>
    <w:rPr>
      <w:vertAlign w:val="superscript"/>
    </w:rPr>
  </w:style>
  <w:style w:type="character" w:styleId="EndnoteReference">
    <w:name w:val="endnote reference"/>
    <w:basedOn w:val="DefaultParagraphFont"/>
    <w:uiPriority w:val="99"/>
    <w:semiHidden/>
    <w:unhideWhenUsed/>
    <w:rsid w:val="00903AB2"/>
    <w:rPr>
      <w:vertAlign w:val="superscript"/>
    </w:rPr>
  </w:style>
  <w:style w:type="paragraph" w:styleId="BalloonText">
    <w:name w:val="Balloon Text"/>
    <w:basedOn w:val="Normal"/>
    <w:link w:val="BalloonTextChar"/>
    <w:uiPriority w:val="99"/>
    <w:semiHidden/>
    <w:unhideWhenUsed/>
    <w:rsid w:val="008664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6848">
      <w:bodyDiv w:val="1"/>
      <w:marLeft w:val="0"/>
      <w:marRight w:val="0"/>
      <w:marTop w:val="0"/>
      <w:marBottom w:val="0"/>
      <w:divBdr>
        <w:top w:val="none" w:sz="0" w:space="0" w:color="auto"/>
        <w:left w:val="none" w:sz="0" w:space="0" w:color="auto"/>
        <w:bottom w:val="none" w:sz="0" w:space="0" w:color="auto"/>
        <w:right w:val="none" w:sz="0" w:space="0" w:color="auto"/>
      </w:divBdr>
    </w:div>
    <w:div w:id="1145397460">
      <w:bodyDiv w:val="1"/>
      <w:marLeft w:val="0"/>
      <w:marRight w:val="0"/>
      <w:marTop w:val="0"/>
      <w:marBottom w:val="0"/>
      <w:divBdr>
        <w:top w:val="none" w:sz="0" w:space="0" w:color="auto"/>
        <w:left w:val="none" w:sz="0" w:space="0" w:color="auto"/>
        <w:bottom w:val="none" w:sz="0" w:space="0" w:color="auto"/>
        <w:right w:val="none" w:sz="0" w:space="0" w:color="auto"/>
      </w:divBdr>
    </w:div>
    <w:div w:id="1260791620">
      <w:bodyDiv w:val="1"/>
      <w:marLeft w:val="0"/>
      <w:marRight w:val="0"/>
      <w:marTop w:val="0"/>
      <w:marBottom w:val="0"/>
      <w:divBdr>
        <w:top w:val="none" w:sz="0" w:space="0" w:color="auto"/>
        <w:left w:val="none" w:sz="0" w:space="0" w:color="auto"/>
        <w:bottom w:val="none" w:sz="0" w:space="0" w:color="auto"/>
        <w:right w:val="none" w:sz="0" w:space="0" w:color="auto"/>
      </w:divBdr>
    </w:div>
    <w:div w:id="1942954116">
      <w:bodyDiv w:val="1"/>
      <w:marLeft w:val="0"/>
      <w:marRight w:val="0"/>
      <w:marTop w:val="0"/>
      <w:marBottom w:val="0"/>
      <w:divBdr>
        <w:top w:val="none" w:sz="0" w:space="0" w:color="auto"/>
        <w:left w:val="none" w:sz="0" w:space="0" w:color="auto"/>
        <w:bottom w:val="none" w:sz="0" w:space="0" w:color="auto"/>
        <w:right w:val="none" w:sz="0" w:space="0" w:color="auto"/>
      </w:divBdr>
    </w:div>
    <w:div w:id="19548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823E-E420-42C5-B1AE-1E431B1A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Halfdan Lynge-Mangueira</dc:creator>
  <cp:keywords/>
  <dc:description/>
  <cp:lastModifiedBy>Melanie du Plessis</cp:lastModifiedBy>
  <cp:revision>3</cp:revision>
  <dcterms:created xsi:type="dcterms:W3CDTF">2022-09-27T08:10:00Z</dcterms:created>
  <dcterms:modified xsi:type="dcterms:W3CDTF">2022-09-27T08:10:00Z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c6412bb6-d703-3e07-90e5-b6b9a4f94d76</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http://www.zotero.org/styles/sage-harvard</vt:lpwstr>
  </property>
  <property fmtid="{D5CDD505-2E9C-101B-9397-08002B2CF9AE}" pid="24" name="Mendeley Recent Style Name 9_1">
    <vt:lpwstr>SAGE - Harvard</vt:lpwstr>
  </property>
</Properties>
</file>