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4A183" w14:textId="77777777" w:rsidR="00C82146" w:rsidRPr="002F45E7" w:rsidRDefault="00C82146" w:rsidP="00884761">
      <w:pPr>
        <w:spacing w:after="0" w:line="240" w:lineRule="auto"/>
        <w:jc w:val="center"/>
        <w:rPr>
          <w:rFonts w:ascii="Arial" w:hAnsi="Arial" w:cs="Arial"/>
          <w:b/>
          <w:sz w:val="24"/>
          <w:szCs w:val="24"/>
        </w:rPr>
      </w:pPr>
      <w:r w:rsidRPr="002F45E7">
        <w:rPr>
          <w:rFonts w:ascii="Arial" w:hAnsi="Arial" w:cs="Arial"/>
          <w:b/>
          <w:sz w:val="24"/>
          <w:szCs w:val="24"/>
        </w:rPr>
        <w:t>RESPONSE ON THE PUBLIC COMMENTS TO THE</w:t>
      </w:r>
    </w:p>
    <w:p w14:paraId="1AF4D4EA" w14:textId="77777777" w:rsidR="00C82146" w:rsidRPr="002F45E7" w:rsidRDefault="00C82146" w:rsidP="00884761">
      <w:pPr>
        <w:spacing w:after="0" w:line="240" w:lineRule="auto"/>
        <w:jc w:val="center"/>
        <w:rPr>
          <w:rFonts w:ascii="Arial" w:hAnsi="Arial" w:cs="Arial"/>
          <w:b/>
          <w:sz w:val="24"/>
          <w:szCs w:val="24"/>
        </w:rPr>
      </w:pPr>
      <w:r w:rsidRPr="002F45E7">
        <w:rPr>
          <w:rFonts w:ascii="Arial" w:hAnsi="Arial" w:cs="Arial"/>
          <w:b/>
          <w:sz w:val="24"/>
          <w:szCs w:val="24"/>
        </w:rPr>
        <w:t>PROTECTION OF CONSTITUTIONAL DEMOCRACY AGAINST</w:t>
      </w:r>
    </w:p>
    <w:p w14:paraId="3D98E2EF" w14:textId="77777777" w:rsidR="00C82146" w:rsidRPr="002F45E7" w:rsidRDefault="00C82146" w:rsidP="00884761">
      <w:pPr>
        <w:spacing w:after="0" w:line="240" w:lineRule="auto"/>
        <w:jc w:val="center"/>
        <w:rPr>
          <w:rFonts w:ascii="Arial" w:hAnsi="Arial" w:cs="Arial"/>
          <w:b/>
          <w:sz w:val="24"/>
          <w:szCs w:val="24"/>
        </w:rPr>
      </w:pPr>
      <w:r w:rsidRPr="002F45E7">
        <w:rPr>
          <w:rFonts w:ascii="Arial" w:hAnsi="Arial" w:cs="Arial"/>
          <w:b/>
          <w:sz w:val="24"/>
          <w:szCs w:val="24"/>
        </w:rPr>
        <w:t>TERRORIST AND RELATED ACTIVITIES AMENDMENT BILL, 2022</w:t>
      </w:r>
    </w:p>
    <w:p w14:paraId="2D46C111" w14:textId="77777777" w:rsidR="00C82146" w:rsidRPr="002F45E7" w:rsidRDefault="00C82146" w:rsidP="00884761">
      <w:pPr>
        <w:spacing w:after="0" w:line="240" w:lineRule="auto"/>
        <w:jc w:val="center"/>
        <w:rPr>
          <w:rFonts w:ascii="Arial" w:hAnsi="Arial" w:cs="Arial"/>
          <w:b/>
          <w:sz w:val="24"/>
          <w:szCs w:val="24"/>
        </w:rPr>
      </w:pPr>
      <w:r w:rsidRPr="002F45E7">
        <w:rPr>
          <w:rFonts w:ascii="Arial" w:hAnsi="Arial" w:cs="Arial"/>
          <w:b/>
          <w:sz w:val="24"/>
          <w:szCs w:val="24"/>
        </w:rPr>
        <w:t>CIVILIAN SECRETARIAT FOR POLICE SERVICE</w:t>
      </w:r>
    </w:p>
    <w:p w14:paraId="0E6985A4" w14:textId="77777777" w:rsidR="00C82146" w:rsidRPr="002F45E7" w:rsidRDefault="00C82146" w:rsidP="00884761">
      <w:pPr>
        <w:spacing w:after="0" w:line="240" w:lineRule="auto"/>
        <w:jc w:val="both"/>
        <w:rPr>
          <w:rFonts w:ascii="Arial" w:hAnsi="Arial" w:cs="Arial"/>
          <w:b/>
          <w:sz w:val="24"/>
          <w:szCs w:val="24"/>
        </w:rPr>
      </w:pPr>
    </w:p>
    <w:tbl>
      <w:tblPr>
        <w:tblStyle w:val="TableGrid"/>
        <w:tblW w:w="0" w:type="auto"/>
        <w:tblLook w:val="04A0" w:firstRow="1" w:lastRow="0" w:firstColumn="1" w:lastColumn="0" w:noHBand="0" w:noVBand="1"/>
      </w:tblPr>
      <w:tblGrid>
        <w:gridCol w:w="1288"/>
        <w:gridCol w:w="1446"/>
        <w:gridCol w:w="6759"/>
        <w:gridCol w:w="3457"/>
      </w:tblGrid>
      <w:tr w:rsidR="00C82146" w:rsidRPr="002F45E7" w14:paraId="29B1E164" w14:textId="77777777" w:rsidTr="00F14186">
        <w:trPr>
          <w:trHeight w:val="368"/>
          <w:tblHeader/>
        </w:trPr>
        <w:tc>
          <w:tcPr>
            <w:tcW w:w="1288" w:type="dxa"/>
            <w:shd w:val="clear" w:color="auto" w:fill="D9D9D9" w:themeFill="background1" w:themeFillShade="D9"/>
          </w:tcPr>
          <w:p w14:paraId="01389D9A" w14:textId="77777777" w:rsidR="00C82146" w:rsidRPr="002F45E7" w:rsidRDefault="00C82146" w:rsidP="00884761">
            <w:pPr>
              <w:jc w:val="both"/>
              <w:rPr>
                <w:rFonts w:ascii="Arial" w:hAnsi="Arial" w:cs="Arial"/>
                <w:b/>
                <w:sz w:val="24"/>
                <w:szCs w:val="24"/>
              </w:rPr>
            </w:pPr>
            <w:r w:rsidRPr="002F45E7">
              <w:rPr>
                <w:rFonts w:ascii="Arial" w:hAnsi="Arial" w:cs="Arial"/>
                <w:b/>
                <w:sz w:val="24"/>
                <w:szCs w:val="24"/>
              </w:rPr>
              <w:t>CLAUSE</w:t>
            </w:r>
          </w:p>
        </w:tc>
        <w:tc>
          <w:tcPr>
            <w:tcW w:w="1446" w:type="dxa"/>
            <w:shd w:val="clear" w:color="auto" w:fill="D9D9D9" w:themeFill="background1" w:themeFillShade="D9"/>
          </w:tcPr>
          <w:p w14:paraId="7402D92F" w14:textId="77777777" w:rsidR="00C82146" w:rsidRPr="002F45E7" w:rsidRDefault="00C82146" w:rsidP="00884761">
            <w:pPr>
              <w:jc w:val="both"/>
              <w:rPr>
                <w:rFonts w:ascii="Arial" w:hAnsi="Arial" w:cs="Arial"/>
                <w:b/>
                <w:sz w:val="24"/>
                <w:szCs w:val="24"/>
              </w:rPr>
            </w:pPr>
            <w:r w:rsidRPr="002F45E7">
              <w:rPr>
                <w:rFonts w:ascii="Arial" w:hAnsi="Arial" w:cs="Arial"/>
                <w:b/>
                <w:sz w:val="24"/>
                <w:szCs w:val="24"/>
              </w:rPr>
              <w:t>SECTION</w:t>
            </w:r>
          </w:p>
        </w:tc>
        <w:tc>
          <w:tcPr>
            <w:tcW w:w="6759" w:type="dxa"/>
            <w:shd w:val="clear" w:color="auto" w:fill="D9D9D9" w:themeFill="background1" w:themeFillShade="D9"/>
          </w:tcPr>
          <w:p w14:paraId="2C52E1C7" w14:textId="77777777" w:rsidR="00C82146" w:rsidRPr="002F45E7" w:rsidRDefault="00C82146" w:rsidP="00884761">
            <w:pPr>
              <w:jc w:val="both"/>
              <w:rPr>
                <w:rFonts w:ascii="Arial" w:hAnsi="Arial" w:cs="Arial"/>
                <w:b/>
                <w:sz w:val="24"/>
                <w:szCs w:val="24"/>
              </w:rPr>
            </w:pPr>
            <w:r w:rsidRPr="002F45E7">
              <w:rPr>
                <w:rFonts w:ascii="Arial" w:hAnsi="Arial" w:cs="Arial"/>
                <w:b/>
                <w:sz w:val="24"/>
                <w:szCs w:val="24"/>
              </w:rPr>
              <w:t>COMMENTS</w:t>
            </w:r>
          </w:p>
        </w:tc>
        <w:tc>
          <w:tcPr>
            <w:tcW w:w="3457" w:type="dxa"/>
            <w:shd w:val="clear" w:color="auto" w:fill="D9D9D9" w:themeFill="background1" w:themeFillShade="D9"/>
          </w:tcPr>
          <w:p w14:paraId="02AC5E7F" w14:textId="77777777" w:rsidR="00C82146" w:rsidRPr="002F45E7" w:rsidRDefault="00C82146" w:rsidP="00884761">
            <w:pPr>
              <w:jc w:val="both"/>
              <w:rPr>
                <w:rFonts w:ascii="Arial" w:hAnsi="Arial" w:cs="Arial"/>
                <w:b/>
                <w:sz w:val="24"/>
                <w:szCs w:val="24"/>
              </w:rPr>
            </w:pPr>
            <w:r w:rsidRPr="002F45E7">
              <w:rPr>
                <w:rFonts w:ascii="Arial" w:hAnsi="Arial" w:cs="Arial"/>
                <w:b/>
                <w:sz w:val="24"/>
                <w:szCs w:val="24"/>
              </w:rPr>
              <w:t>RESPONSE</w:t>
            </w:r>
          </w:p>
        </w:tc>
      </w:tr>
      <w:tr w:rsidR="00304FB4" w:rsidRPr="002F45E7" w14:paraId="0E789256" w14:textId="77777777" w:rsidTr="00F14186">
        <w:tc>
          <w:tcPr>
            <w:tcW w:w="1288" w:type="dxa"/>
          </w:tcPr>
          <w:p w14:paraId="28207619" w14:textId="77777777" w:rsidR="00304FB4" w:rsidRPr="002F45E7" w:rsidRDefault="00304FB4" w:rsidP="00884761">
            <w:pPr>
              <w:jc w:val="both"/>
              <w:rPr>
                <w:rFonts w:ascii="Arial" w:hAnsi="Arial" w:cs="Arial"/>
                <w:b/>
                <w:sz w:val="24"/>
                <w:szCs w:val="24"/>
              </w:rPr>
            </w:pPr>
          </w:p>
        </w:tc>
        <w:tc>
          <w:tcPr>
            <w:tcW w:w="1446" w:type="dxa"/>
          </w:tcPr>
          <w:p w14:paraId="005F737B" w14:textId="77777777" w:rsidR="00304FB4" w:rsidRPr="002F45E7" w:rsidRDefault="00304FB4" w:rsidP="00884761">
            <w:pPr>
              <w:jc w:val="both"/>
              <w:rPr>
                <w:rFonts w:ascii="Arial" w:hAnsi="Arial" w:cs="Arial"/>
                <w:b/>
                <w:sz w:val="24"/>
                <w:szCs w:val="24"/>
              </w:rPr>
            </w:pPr>
          </w:p>
        </w:tc>
        <w:tc>
          <w:tcPr>
            <w:tcW w:w="6759" w:type="dxa"/>
          </w:tcPr>
          <w:p w14:paraId="68DDD35A" w14:textId="77777777" w:rsidR="00304FB4" w:rsidRPr="002F45E7" w:rsidRDefault="00304FB4" w:rsidP="00884761">
            <w:pPr>
              <w:pStyle w:val="Default"/>
              <w:jc w:val="both"/>
              <w:rPr>
                <w:b/>
              </w:rPr>
            </w:pPr>
            <w:r w:rsidRPr="002F45E7">
              <w:rPr>
                <w:b/>
              </w:rPr>
              <w:t>AFRIFORUM</w:t>
            </w:r>
          </w:p>
          <w:p w14:paraId="21022134" w14:textId="77777777" w:rsidR="00304FB4" w:rsidRPr="002F45E7" w:rsidRDefault="00B81E75" w:rsidP="00884761">
            <w:pPr>
              <w:pStyle w:val="Default"/>
              <w:jc w:val="both"/>
              <w:rPr>
                <w:b/>
              </w:rPr>
            </w:pPr>
            <w:r w:rsidRPr="002F45E7">
              <w:rPr>
                <w:b/>
              </w:rPr>
              <w:t>General comments:</w:t>
            </w:r>
          </w:p>
          <w:p w14:paraId="69C09344" w14:textId="77777777" w:rsidR="00E75125" w:rsidRPr="002F45E7" w:rsidRDefault="00E75125" w:rsidP="00884761">
            <w:pPr>
              <w:pStyle w:val="Default"/>
              <w:jc w:val="both"/>
              <w:rPr>
                <w:b/>
              </w:rPr>
            </w:pPr>
          </w:p>
          <w:p w14:paraId="1BDE8D91" w14:textId="77777777" w:rsidR="00304FB4" w:rsidRPr="002F45E7" w:rsidRDefault="00304FB4" w:rsidP="00884761">
            <w:pPr>
              <w:pStyle w:val="Default"/>
              <w:jc w:val="both"/>
            </w:pPr>
            <w:r w:rsidRPr="002F45E7">
              <w:t>25.</w:t>
            </w:r>
            <w:r w:rsidR="00E75125" w:rsidRPr="002F45E7">
              <w:t xml:space="preserve"> </w:t>
            </w:r>
            <w:r w:rsidRPr="002F45E7">
              <w:t>As revealed in a recent report authored by the Global Initiative Against Transnational Organised Crime group, which is quoted at length for its cogency:</w:t>
            </w:r>
            <w:r w:rsidR="00E75125" w:rsidRPr="002F45E7">
              <w:t xml:space="preserve"> </w:t>
            </w:r>
          </w:p>
          <w:p w14:paraId="43E9C2CD" w14:textId="77777777" w:rsidR="00E75125" w:rsidRPr="002F45E7" w:rsidRDefault="00E75125" w:rsidP="00884761">
            <w:pPr>
              <w:jc w:val="both"/>
              <w:rPr>
                <w:rFonts w:ascii="Arial" w:hAnsi="Arial" w:cs="Arial"/>
                <w:sz w:val="24"/>
                <w:szCs w:val="24"/>
              </w:rPr>
            </w:pPr>
          </w:p>
          <w:p w14:paraId="79E3051E" w14:textId="77777777" w:rsidR="00304FB4" w:rsidRPr="002F45E7" w:rsidRDefault="00304FB4" w:rsidP="00E75125">
            <w:pPr>
              <w:jc w:val="both"/>
              <w:rPr>
                <w:rFonts w:ascii="Arial" w:hAnsi="Arial" w:cs="Arial"/>
                <w:b/>
                <w:sz w:val="24"/>
                <w:szCs w:val="24"/>
              </w:rPr>
            </w:pPr>
            <w:r w:rsidRPr="002F45E7">
              <w:rPr>
                <w:rFonts w:ascii="Arial" w:hAnsi="Arial" w:cs="Arial"/>
                <w:sz w:val="24"/>
                <w:szCs w:val="24"/>
              </w:rPr>
              <w:t xml:space="preserve">“The institutions tasked with identifying, prosecuting, and preventing terrorism cases in South Africa are          </w:t>
            </w:r>
            <w:r w:rsidRPr="002F45E7">
              <w:rPr>
                <w:rFonts w:ascii="Arial" w:hAnsi="Arial" w:cs="Arial"/>
                <w:b/>
                <w:bCs/>
                <w:sz w:val="24"/>
                <w:szCs w:val="24"/>
              </w:rPr>
              <w:t>fundamentally weak</w:t>
            </w:r>
            <w:r w:rsidRPr="002F45E7">
              <w:rPr>
                <w:rFonts w:ascii="Arial" w:hAnsi="Arial" w:cs="Arial"/>
                <w:sz w:val="24"/>
                <w:szCs w:val="24"/>
              </w:rPr>
              <w:t>. Investigators with close knowledge of Islamic State-linked groups told GI-TOC that</w:t>
            </w:r>
            <w:r w:rsidR="00E75125" w:rsidRPr="002F45E7">
              <w:rPr>
                <w:rFonts w:ascii="Arial" w:hAnsi="Arial" w:cs="Arial"/>
                <w:sz w:val="24"/>
                <w:szCs w:val="24"/>
              </w:rPr>
              <w:t xml:space="preserve"> </w:t>
            </w:r>
            <w:r w:rsidRPr="002F45E7">
              <w:rPr>
                <w:rFonts w:ascii="Arial" w:hAnsi="Arial" w:cs="Arial"/>
                <w:sz w:val="24"/>
                <w:szCs w:val="24"/>
              </w:rPr>
              <w:t xml:space="preserve">South African authorities </w:t>
            </w:r>
            <w:r w:rsidRPr="002F45E7">
              <w:rPr>
                <w:rFonts w:ascii="Arial" w:hAnsi="Arial" w:cs="Arial"/>
                <w:b/>
                <w:bCs/>
                <w:sz w:val="24"/>
                <w:szCs w:val="24"/>
              </w:rPr>
              <w:t>do not currently have enough technical and specialist capacity to deal with cases</w:t>
            </w:r>
            <w:r w:rsidR="00E75125" w:rsidRPr="002F45E7">
              <w:rPr>
                <w:rFonts w:ascii="Arial" w:hAnsi="Arial" w:cs="Arial"/>
                <w:b/>
                <w:bCs/>
                <w:sz w:val="24"/>
                <w:szCs w:val="24"/>
              </w:rPr>
              <w:t xml:space="preserve"> </w:t>
            </w:r>
            <w:r w:rsidRPr="002F45E7">
              <w:rPr>
                <w:rFonts w:ascii="Arial" w:hAnsi="Arial" w:cs="Arial"/>
                <w:b/>
                <w:bCs/>
                <w:sz w:val="24"/>
                <w:szCs w:val="24"/>
              </w:rPr>
              <w:t xml:space="preserve">of this nature. </w:t>
            </w:r>
            <w:r w:rsidRPr="002F45E7">
              <w:rPr>
                <w:rFonts w:ascii="Arial" w:hAnsi="Arial" w:cs="Arial"/>
                <w:sz w:val="24"/>
                <w:szCs w:val="24"/>
              </w:rPr>
              <w:t xml:space="preserve">An officer in the Hawks unit for Crimes Against the State expressed concerns that the unit is “seriously </w:t>
            </w:r>
            <w:r w:rsidRPr="002F45E7">
              <w:rPr>
                <w:rFonts w:ascii="Arial" w:hAnsi="Arial" w:cs="Arial"/>
                <w:b/>
                <w:bCs/>
                <w:sz w:val="24"/>
                <w:szCs w:val="24"/>
              </w:rPr>
              <w:t>understaffed</w:t>
            </w:r>
            <w:r w:rsidRPr="002F45E7">
              <w:rPr>
                <w:rFonts w:ascii="Arial" w:hAnsi="Arial" w:cs="Arial"/>
                <w:sz w:val="24"/>
                <w:szCs w:val="24"/>
              </w:rPr>
              <w:t>”, with only around 20 officers with the requisite knowledge and experience</w:t>
            </w:r>
            <w:r w:rsidR="00E75125" w:rsidRPr="002F45E7">
              <w:rPr>
                <w:rFonts w:ascii="Arial" w:hAnsi="Arial" w:cs="Arial"/>
                <w:sz w:val="24"/>
                <w:szCs w:val="24"/>
              </w:rPr>
              <w:t xml:space="preserve"> </w:t>
            </w:r>
            <w:r w:rsidRPr="002F45E7">
              <w:rPr>
                <w:rFonts w:ascii="Arial" w:hAnsi="Arial" w:cs="Arial"/>
                <w:sz w:val="24"/>
                <w:szCs w:val="24"/>
              </w:rPr>
              <w:t xml:space="preserve">nationwide. Several sources told GI-TOC that there is a single South African Police Service expert who analyses data seized in terror raids... This </w:t>
            </w:r>
            <w:r w:rsidRPr="002F45E7">
              <w:rPr>
                <w:rFonts w:ascii="Arial" w:hAnsi="Arial" w:cs="Arial"/>
                <w:b/>
                <w:bCs/>
                <w:sz w:val="24"/>
                <w:szCs w:val="24"/>
              </w:rPr>
              <w:t>lack of investigative capacity has led to delays in prosecutions</w:t>
            </w:r>
            <w:r w:rsidRPr="002F45E7">
              <w:rPr>
                <w:rFonts w:ascii="Arial" w:hAnsi="Arial" w:cs="Arial"/>
                <w:sz w:val="24"/>
                <w:szCs w:val="24"/>
              </w:rPr>
              <w:t>. The magistrate in the Verulam mosque attack prosecution criticised “unreasonable” delays, which led to the case</w:t>
            </w:r>
            <w:r w:rsidR="00E75125" w:rsidRPr="002F45E7">
              <w:rPr>
                <w:rFonts w:ascii="Arial" w:hAnsi="Arial" w:cs="Arial"/>
                <w:sz w:val="24"/>
                <w:szCs w:val="24"/>
              </w:rPr>
              <w:t xml:space="preserve"> </w:t>
            </w:r>
            <w:r w:rsidRPr="002F45E7">
              <w:rPr>
                <w:rFonts w:ascii="Arial" w:hAnsi="Arial" w:cs="Arial"/>
                <w:sz w:val="24"/>
                <w:szCs w:val="24"/>
              </w:rPr>
              <w:t xml:space="preserve">        being dropped.” (own emphasis)</w:t>
            </w:r>
          </w:p>
        </w:tc>
        <w:tc>
          <w:tcPr>
            <w:tcW w:w="3457" w:type="dxa"/>
          </w:tcPr>
          <w:p w14:paraId="5EEDF1D7" w14:textId="5C852733" w:rsidR="00304FB4" w:rsidRPr="009E7787" w:rsidRDefault="00220804" w:rsidP="00884761">
            <w:pPr>
              <w:jc w:val="both"/>
              <w:rPr>
                <w:rFonts w:ascii="Arial" w:hAnsi="Arial" w:cs="Arial"/>
                <w:sz w:val="24"/>
                <w:szCs w:val="24"/>
              </w:rPr>
            </w:pPr>
            <w:r w:rsidRPr="009E7787">
              <w:rPr>
                <w:rFonts w:ascii="Arial" w:hAnsi="Arial" w:cs="Arial"/>
                <w:sz w:val="24"/>
                <w:szCs w:val="24"/>
              </w:rPr>
              <w:t xml:space="preserve">The issue of capacity to deal with investigations into terrorist and related activities is important. </w:t>
            </w:r>
            <w:r w:rsidR="000E4218" w:rsidRPr="009E7787">
              <w:rPr>
                <w:rFonts w:ascii="Arial" w:hAnsi="Arial" w:cs="Arial"/>
                <w:sz w:val="24"/>
                <w:szCs w:val="24"/>
              </w:rPr>
              <w:t>H</w:t>
            </w:r>
            <w:r w:rsidRPr="009E7787">
              <w:rPr>
                <w:rFonts w:ascii="Arial" w:hAnsi="Arial" w:cs="Arial"/>
                <w:sz w:val="24"/>
                <w:szCs w:val="24"/>
              </w:rPr>
              <w:t>owever</w:t>
            </w:r>
            <w:r w:rsidR="000E4218" w:rsidRPr="009E7787">
              <w:rPr>
                <w:rFonts w:ascii="Arial" w:hAnsi="Arial" w:cs="Arial"/>
                <w:sz w:val="24"/>
                <w:szCs w:val="24"/>
              </w:rPr>
              <w:t>,</w:t>
            </w:r>
            <w:r w:rsidRPr="009E7787">
              <w:rPr>
                <w:rFonts w:ascii="Arial" w:hAnsi="Arial" w:cs="Arial"/>
                <w:sz w:val="24"/>
                <w:szCs w:val="24"/>
              </w:rPr>
              <w:t xml:space="preserve"> </w:t>
            </w:r>
            <w:r w:rsidR="000E4218" w:rsidRPr="009E7787">
              <w:rPr>
                <w:rFonts w:ascii="Arial" w:hAnsi="Arial" w:cs="Arial"/>
                <w:sz w:val="24"/>
                <w:szCs w:val="24"/>
              </w:rPr>
              <w:t xml:space="preserve">there had been </w:t>
            </w:r>
            <w:r w:rsidRPr="009E7787">
              <w:rPr>
                <w:rFonts w:ascii="Arial" w:hAnsi="Arial" w:cs="Arial"/>
                <w:sz w:val="24"/>
                <w:szCs w:val="24"/>
              </w:rPr>
              <w:t>a</w:t>
            </w:r>
            <w:r w:rsidR="000E4218" w:rsidRPr="009E7787">
              <w:rPr>
                <w:rFonts w:ascii="Arial" w:hAnsi="Arial" w:cs="Arial"/>
                <w:sz w:val="24"/>
                <w:szCs w:val="24"/>
              </w:rPr>
              <w:t xml:space="preserve"> </w:t>
            </w:r>
            <w:r w:rsidRPr="009E7787">
              <w:rPr>
                <w:rFonts w:ascii="Arial" w:hAnsi="Arial" w:cs="Arial"/>
                <w:sz w:val="24"/>
                <w:szCs w:val="24"/>
              </w:rPr>
              <w:t>number</w:t>
            </w:r>
            <w:r w:rsidR="00811ED6" w:rsidRPr="009E7787">
              <w:rPr>
                <w:rFonts w:ascii="Arial" w:hAnsi="Arial" w:cs="Arial"/>
                <w:sz w:val="24"/>
                <w:szCs w:val="24"/>
              </w:rPr>
              <w:t xml:space="preserve"> </w:t>
            </w:r>
            <w:r w:rsidRPr="009E7787">
              <w:rPr>
                <w:rFonts w:ascii="Arial" w:hAnsi="Arial" w:cs="Arial"/>
                <w:sz w:val="24"/>
                <w:szCs w:val="24"/>
              </w:rPr>
              <w:t xml:space="preserve">of convictions in terms of the Protection of Constitutional Democracy against Terrorist and Related Activities Amendment Act, including the conviction of Mr </w:t>
            </w:r>
            <w:r w:rsidR="009E7787" w:rsidRPr="009E7787">
              <w:rPr>
                <w:rFonts w:ascii="Arial" w:hAnsi="Arial" w:cs="Arial"/>
                <w:sz w:val="24"/>
                <w:szCs w:val="24"/>
              </w:rPr>
              <w:t xml:space="preserve">H </w:t>
            </w:r>
            <w:r w:rsidRPr="009E7787">
              <w:rPr>
                <w:rFonts w:ascii="Arial" w:hAnsi="Arial" w:cs="Arial"/>
                <w:sz w:val="24"/>
                <w:szCs w:val="24"/>
              </w:rPr>
              <w:t>Okah in respect of terrorism committed in Nigeria.</w:t>
            </w:r>
          </w:p>
          <w:p w14:paraId="2D570147" w14:textId="77777777" w:rsidR="00220804" w:rsidRPr="009E7787" w:rsidRDefault="00220804" w:rsidP="00884761">
            <w:pPr>
              <w:jc w:val="both"/>
              <w:rPr>
                <w:rFonts w:ascii="Arial" w:hAnsi="Arial" w:cs="Arial"/>
                <w:sz w:val="24"/>
                <w:szCs w:val="24"/>
              </w:rPr>
            </w:pPr>
          </w:p>
          <w:p w14:paraId="15483727" w14:textId="67323998" w:rsidR="00220804" w:rsidRPr="009E7787" w:rsidRDefault="00220804" w:rsidP="00884761">
            <w:pPr>
              <w:jc w:val="both"/>
              <w:rPr>
                <w:rFonts w:ascii="Arial" w:hAnsi="Arial" w:cs="Arial"/>
                <w:sz w:val="24"/>
                <w:szCs w:val="24"/>
              </w:rPr>
            </w:pPr>
            <w:r w:rsidRPr="009E7787">
              <w:rPr>
                <w:rFonts w:ascii="Arial" w:hAnsi="Arial" w:cs="Arial"/>
                <w:sz w:val="24"/>
                <w:szCs w:val="24"/>
              </w:rPr>
              <w:t xml:space="preserve">The South African law on the subject needs to be updated </w:t>
            </w:r>
            <w:r w:rsidR="0054086C" w:rsidRPr="009E7787">
              <w:rPr>
                <w:rFonts w:ascii="Arial" w:hAnsi="Arial" w:cs="Arial"/>
                <w:sz w:val="24"/>
                <w:szCs w:val="24"/>
              </w:rPr>
              <w:t xml:space="preserve">to comply with all the requirements of the International Law: The capacity of South African law enforcement institutions is important, especially from an oversight point of view to ensure that </w:t>
            </w:r>
            <w:r w:rsidR="000E4218" w:rsidRPr="009E7787">
              <w:rPr>
                <w:rFonts w:ascii="Arial" w:hAnsi="Arial" w:cs="Arial"/>
                <w:sz w:val="24"/>
                <w:szCs w:val="24"/>
              </w:rPr>
              <w:t>crime threats can be dealt with, but this should not delay the improvement of the legislation.</w:t>
            </w:r>
          </w:p>
        </w:tc>
      </w:tr>
      <w:tr w:rsidR="00C82146" w:rsidRPr="002F45E7" w14:paraId="4D488D2A" w14:textId="77777777" w:rsidTr="00F14186">
        <w:tc>
          <w:tcPr>
            <w:tcW w:w="1288" w:type="dxa"/>
          </w:tcPr>
          <w:p w14:paraId="4292A570" w14:textId="77777777" w:rsidR="00C82146" w:rsidRPr="002F45E7" w:rsidRDefault="00C82146" w:rsidP="00884761">
            <w:pPr>
              <w:jc w:val="both"/>
              <w:rPr>
                <w:rFonts w:ascii="Arial" w:hAnsi="Arial" w:cs="Arial"/>
                <w:b/>
                <w:sz w:val="24"/>
                <w:szCs w:val="24"/>
              </w:rPr>
            </w:pPr>
            <w:r w:rsidRPr="002F45E7">
              <w:rPr>
                <w:rFonts w:ascii="Arial" w:hAnsi="Arial" w:cs="Arial"/>
                <w:b/>
                <w:sz w:val="24"/>
                <w:szCs w:val="24"/>
              </w:rPr>
              <w:lastRenderedPageBreak/>
              <w:t>1</w:t>
            </w:r>
          </w:p>
        </w:tc>
        <w:tc>
          <w:tcPr>
            <w:tcW w:w="1446" w:type="dxa"/>
          </w:tcPr>
          <w:p w14:paraId="0EE19C5F" w14:textId="77777777" w:rsidR="00C82146" w:rsidRPr="002F45E7" w:rsidRDefault="00C82146" w:rsidP="00884761">
            <w:pPr>
              <w:jc w:val="both"/>
              <w:rPr>
                <w:rFonts w:ascii="Arial" w:hAnsi="Arial" w:cs="Arial"/>
                <w:b/>
                <w:sz w:val="24"/>
                <w:szCs w:val="24"/>
              </w:rPr>
            </w:pPr>
            <w:r w:rsidRPr="002F45E7">
              <w:rPr>
                <w:rFonts w:ascii="Arial" w:hAnsi="Arial" w:cs="Arial"/>
                <w:b/>
                <w:sz w:val="24"/>
                <w:szCs w:val="24"/>
              </w:rPr>
              <w:t>1(4)</w:t>
            </w:r>
          </w:p>
        </w:tc>
        <w:tc>
          <w:tcPr>
            <w:tcW w:w="6759" w:type="dxa"/>
          </w:tcPr>
          <w:p w14:paraId="0038A475" w14:textId="77777777" w:rsidR="00C82146" w:rsidRPr="00B00B8A" w:rsidRDefault="00C82146" w:rsidP="00E75125">
            <w:pPr>
              <w:jc w:val="both"/>
              <w:rPr>
                <w:rFonts w:ascii="Arial" w:hAnsi="Arial" w:cs="Arial"/>
                <w:sz w:val="24"/>
                <w:szCs w:val="24"/>
              </w:rPr>
            </w:pPr>
            <w:r w:rsidRPr="00B00B8A">
              <w:rPr>
                <w:rFonts w:ascii="Arial" w:hAnsi="Arial" w:cs="Arial"/>
                <w:sz w:val="24"/>
                <w:szCs w:val="24"/>
              </w:rPr>
              <w:t>AfriForum, for example, welcomes certain aspects of the Amendment such as</w:t>
            </w:r>
            <w:r w:rsidR="00E75125" w:rsidRPr="00B00B8A">
              <w:rPr>
                <w:rFonts w:ascii="Arial" w:hAnsi="Arial" w:cs="Arial"/>
                <w:sz w:val="24"/>
                <w:szCs w:val="24"/>
              </w:rPr>
              <w:t xml:space="preserve">, </w:t>
            </w:r>
            <w:r w:rsidRPr="00B00B8A">
              <w:rPr>
                <w:rFonts w:ascii="Arial" w:hAnsi="Arial" w:cs="Arial"/>
                <w:sz w:val="24"/>
                <w:szCs w:val="24"/>
              </w:rPr>
              <w:t>removing infamous ‘national liberation’ clause</w:t>
            </w:r>
            <w:r w:rsidR="00E75125" w:rsidRPr="00B00B8A">
              <w:rPr>
                <w:rFonts w:ascii="Arial" w:hAnsi="Arial" w:cs="Arial"/>
                <w:sz w:val="24"/>
                <w:szCs w:val="24"/>
              </w:rPr>
              <w:t xml:space="preserve">, </w:t>
            </w:r>
            <w:r w:rsidRPr="00B00B8A">
              <w:rPr>
                <w:rFonts w:ascii="Arial" w:hAnsi="Arial" w:cs="Arial"/>
                <w:sz w:val="24"/>
                <w:szCs w:val="24"/>
              </w:rPr>
              <w:t>s1(4) to address tension between commitments to African Union and United Nations</w:t>
            </w:r>
            <w:r w:rsidR="00E75125" w:rsidRPr="00B00B8A">
              <w:rPr>
                <w:rFonts w:ascii="Arial" w:hAnsi="Arial" w:cs="Arial"/>
                <w:sz w:val="24"/>
                <w:szCs w:val="24"/>
              </w:rPr>
              <w:t>.</w:t>
            </w:r>
          </w:p>
        </w:tc>
        <w:tc>
          <w:tcPr>
            <w:tcW w:w="3457" w:type="dxa"/>
          </w:tcPr>
          <w:p w14:paraId="3A941B30" w14:textId="524D79B0" w:rsidR="00C82146" w:rsidRPr="00B00B8A" w:rsidRDefault="00F77817" w:rsidP="00884761">
            <w:pPr>
              <w:jc w:val="both"/>
              <w:rPr>
                <w:rFonts w:ascii="Arial" w:hAnsi="Arial" w:cs="Arial"/>
                <w:color w:val="000000" w:themeColor="text1"/>
                <w:sz w:val="24"/>
                <w:szCs w:val="24"/>
              </w:rPr>
            </w:pPr>
            <w:r w:rsidRPr="00B00B8A">
              <w:rPr>
                <w:rFonts w:ascii="Arial" w:hAnsi="Arial" w:cs="Arial"/>
                <w:color w:val="000000" w:themeColor="text1"/>
                <w:sz w:val="24"/>
                <w:szCs w:val="24"/>
              </w:rPr>
              <w:t>The repeal of section 1(4) of the Act, must be understood within the context of International Law and the implementation thereof in South Africa. In respect of the two additional Protocols to the Geneva Conventions, South Africa’s position is as follows:</w:t>
            </w:r>
          </w:p>
          <w:p w14:paraId="11E8D5AE" w14:textId="6CA59F21" w:rsidR="00F77817" w:rsidRPr="00B00B8A" w:rsidRDefault="00F77817" w:rsidP="00F77817">
            <w:pPr>
              <w:jc w:val="both"/>
              <w:rPr>
                <w:rFonts w:ascii="Arial" w:hAnsi="Arial" w:cs="Arial"/>
                <w:color w:val="000000" w:themeColor="text1"/>
                <w:sz w:val="24"/>
                <w:szCs w:val="24"/>
              </w:rPr>
            </w:pPr>
            <w:r w:rsidRPr="00B00B8A">
              <w:rPr>
                <w:rFonts w:ascii="Arial" w:hAnsi="Arial" w:cs="Arial"/>
                <w:color w:val="000000" w:themeColor="text1"/>
                <w:sz w:val="24"/>
                <w:szCs w:val="24"/>
              </w:rPr>
              <w:t>"Protocol I": Protocol Additional to the Geneva Conventions of 12</w:t>
            </w:r>
          </w:p>
          <w:p w14:paraId="297F130E" w14:textId="035A1766" w:rsidR="00F77817" w:rsidRPr="00B00B8A" w:rsidRDefault="00F77817" w:rsidP="00F77817">
            <w:pPr>
              <w:jc w:val="both"/>
              <w:rPr>
                <w:rFonts w:ascii="Arial" w:hAnsi="Arial" w:cs="Arial"/>
                <w:color w:val="000000" w:themeColor="text1"/>
                <w:sz w:val="24"/>
                <w:szCs w:val="24"/>
              </w:rPr>
            </w:pPr>
            <w:r w:rsidRPr="00B00B8A">
              <w:rPr>
                <w:rFonts w:ascii="Arial" w:hAnsi="Arial" w:cs="Arial"/>
                <w:color w:val="000000" w:themeColor="text1"/>
                <w:sz w:val="24"/>
                <w:szCs w:val="24"/>
              </w:rPr>
              <w:t>August 1949, and Relating to the Protection of Victims of International Armed Conflicts, adopted at Geneva on 10 June 1977, was signed by the Republic on 8 June 1977 and ratified by the Republic on 21 November 1995;</w:t>
            </w:r>
          </w:p>
          <w:p w14:paraId="0B0ABA4F" w14:textId="77777777" w:rsidR="00F77817" w:rsidRPr="00B00B8A" w:rsidRDefault="00F77817" w:rsidP="00F77817">
            <w:pPr>
              <w:jc w:val="both"/>
              <w:rPr>
                <w:rFonts w:ascii="Arial" w:hAnsi="Arial" w:cs="Arial"/>
                <w:color w:val="000000" w:themeColor="text1"/>
                <w:sz w:val="24"/>
                <w:szCs w:val="24"/>
              </w:rPr>
            </w:pPr>
            <w:r w:rsidRPr="00B00B8A">
              <w:rPr>
                <w:rFonts w:ascii="Arial" w:hAnsi="Arial" w:cs="Arial"/>
                <w:color w:val="000000" w:themeColor="text1"/>
                <w:sz w:val="24"/>
                <w:szCs w:val="24"/>
              </w:rPr>
              <w:t>"Protocol II" means the Protocol Additional to the Geneva Conventions of 12</w:t>
            </w:r>
          </w:p>
          <w:p w14:paraId="36C740B4" w14:textId="6788AC31" w:rsidR="00F77817" w:rsidRPr="00B00B8A" w:rsidRDefault="00F77817" w:rsidP="00F77817">
            <w:pPr>
              <w:jc w:val="both"/>
              <w:rPr>
                <w:rFonts w:ascii="Arial" w:hAnsi="Arial" w:cs="Arial"/>
                <w:color w:val="000000" w:themeColor="text1"/>
                <w:sz w:val="24"/>
                <w:szCs w:val="24"/>
              </w:rPr>
            </w:pPr>
            <w:r w:rsidRPr="00B00B8A">
              <w:rPr>
                <w:rFonts w:ascii="Arial" w:hAnsi="Arial" w:cs="Arial"/>
                <w:color w:val="000000" w:themeColor="text1"/>
                <w:sz w:val="24"/>
                <w:szCs w:val="24"/>
              </w:rPr>
              <w:t>August 1949, and Relating to the Protection of Victims of Non-International</w:t>
            </w:r>
            <w:r w:rsidR="000E4218" w:rsidRPr="00B00B8A">
              <w:rPr>
                <w:rFonts w:ascii="Arial" w:hAnsi="Arial" w:cs="Arial"/>
                <w:color w:val="000000" w:themeColor="text1"/>
                <w:sz w:val="24"/>
                <w:szCs w:val="24"/>
              </w:rPr>
              <w:t xml:space="preserve"> </w:t>
            </w:r>
            <w:r w:rsidRPr="00B00B8A">
              <w:rPr>
                <w:rFonts w:ascii="Arial" w:hAnsi="Arial" w:cs="Arial"/>
                <w:color w:val="000000" w:themeColor="text1"/>
                <w:sz w:val="24"/>
                <w:szCs w:val="24"/>
              </w:rPr>
              <w:t>Armed Conflicts, adopted at Geneva on 8 June 1977, was signed by the Republic on 8 June 1977 and ratified by the Republic on 21 November 1995.</w:t>
            </w:r>
          </w:p>
          <w:p w14:paraId="50E880C3" w14:textId="77777777" w:rsidR="00F77817" w:rsidRPr="00B00B8A" w:rsidRDefault="00F77817" w:rsidP="00F77817">
            <w:pPr>
              <w:jc w:val="both"/>
              <w:rPr>
                <w:rFonts w:ascii="Arial" w:hAnsi="Arial" w:cs="Arial"/>
                <w:color w:val="000000" w:themeColor="text1"/>
                <w:sz w:val="24"/>
                <w:szCs w:val="24"/>
              </w:rPr>
            </w:pPr>
            <w:r w:rsidRPr="00B00B8A">
              <w:rPr>
                <w:rFonts w:ascii="Arial" w:hAnsi="Arial" w:cs="Arial"/>
                <w:color w:val="000000" w:themeColor="text1"/>
                <w:sz w:val="24"/>
                <w:szCs w:val="24"/>
              </w:rPr>
              <w:lastRenderedPageBreak/>
              <w:t xml:space="preserve">The Geneva Conventions and these two additional Protocols were incorporated in South African law by means of the </w:t>
            </w:r>
            <w:r w:rsidR="00D76F0A" w:rsidRPr="00B00B8A">
              <w:rPr>
                <w:rFonts w:ascii="Arial" w:hAnsi="Arial" w:cs="Arial"/>
                <w:color w:val="000000" w:themeColor="text1"/>
                <w:sz w:val="24"/>
                <w:szCs w:val="24"/>
              </w:rPr>
              <w:t>Implementation of the Geneva Conventions Act, 2012 (Act No. 8 of 2012).</w:t>
            </w:r>
          </w:p>
          <w:p w14:paraId="299FBCBE" w14:textId="0DAA6781" w:rsidR="00D76F0A" w:rsidRPr="00B00B8A" w:rsidRDefault="00D76F0A" w:rsidP="00D76F0A">
            <w:pPr>
              <w:jc w:val="both"/>
              <w:rPr>
                <w:rFonts w:ascii="Arial" w:hAnsi="Arial" w:cs="Arial"/>
                <w:color w:val="000000" w:themeColor="text1"/>
                <w:sz w:val="24"/>
                <w:szCs w:val="24"/>
              </w:rPr>
            </w:pPr>
            <w:r w:rsidRPr="00B00B8A">
              <w:rPr>
                <w:rFonts w:ascii="Arial" w:hAnsi="Arial" w:cs="Arial"/>
                <w:color w:val="000000" w:themeColor="text1"/>
                <w:sz w:val="24"/>
                <w:szCs w:val="24"/>
              </w:rPr>
              <w:t>The two additional Protocols apply amongst others, to armed conflicts in which peoples are fighting against colonial domination and alien occupation and</w:t>
            </w:r>
            <w:r w:rsidR="000E4218" w:rsidRPr="00B00B8A">
              <w:rPr>
                <w:rFonts w:ascii="Arial" w:hAnsi="Arial" w:cs="Arial"/>
                <w:color w:val="000000" w:themeColor="text1"/>
                <w:sz w:val="24"/>
                <w:szCs w:val="24"/>
              </w:rPr>
              <w:t xml:space="preserve"> </w:t>
            </w:r>
            <w:r w:rsidRPr="00B00B8A">
              <w:rPr>
                <w:rFonts w:ascii="Arial" w:hAnsi="Arial" w:cs="Arial"/>
                <w:color w:val="000000" w:themeColor="text1"/>
                <w:sz w:val="24"/>
                <w:szCs w:val="24"/>
              </w:rPr>
              <w:t>against racist regimes in the exercise of their right of self-determination, as</w:t>
            </w:r>
            <w:r w:rsidR="006A0ACF" w:rsidRPr="00B00B8A">
              <w:rPr>
                <w:rFonts w:ascii="Arial" w:hAnsi="Arial" w:cs="Arial"/>
                <w:color w:val="000000" w:themeColor="text1"/>
                <w:sz w:val="24"/>
                <w:szCs w:val="24"/>
              </w:rPr>
              <w:t xml:space="preserve"> </w:t>
            </w:r>
            <w:r w:rsidRPr="00B00B8A">
              <w:rPr>
                <w:rFonts w:ascii="Arial" w:hAnsi="Arial" w:cs="Arial"/>
                <w:color w:val="000000" w:themeColor="text1"/>
                <w:sz w:val="24"/>
                <w:szCs w:val="24"/>
              </w:rPr>
              <w:t>enshrined in the Charter of the United Nations and the Declaration on Principles of</w:t>
            </w:r>
            <w:r w:rsidR="006A0ACF" w:rsidRPr="00B00B8A">
              <w:rPr>
                <w:rFonts w:ascii="Arial" w:hAnsi="Arial" w:cs="Arial"/>
                <w:color w:val="000000" w:themeColor="text1"/>
                <w:sz w:val="24"/>
                <w:szCs w:val="24"/>
              </w:rPr>
              <w:t xml:space="preserve"> </w:t>
            </w:r>
            <w:r w:rsidRPr="00B00B8A">
              <w:rPr>
                <w:rFonts w:ascii="Arial" w:hAnsi="Arial" w:cs="Arial"/>
                <w:color w:val="000000" w:themeColor="text1"/>
                <w:sz w:val="24"/>
                <w:szCs w:val="24"/>
              </w:rPr>
              <w:t>International Law concerning Friendly Relations and Co-operation among States</w:t>
            </w:r>
            <w:r w:rsidR="006A0ACF" w:rsidRPr="00B00B8A">
              <w:rPr>
                <w:rFonts w:ascii="Arial" w:hAnsi="Arial" w:cs="Arial"/>
                <w:color w:val="000000" w:themeColor="text1"/>
                <w:sz w:val="24"/>
                <w:szCs w:val="24"/>
              </w:rPr>
              <w:t xml:space="preserve"> </w:t>
            </w:r>
            <w:r w:rsidRPr="00B00B8A">
              <w:rPr>
                <w:rFonts w:ascii="Arial" w:hAnsi="Arial" w:cs="Arial"/>
                <w:color w:val="000000" w:themeColor="text1"/>
                <w:sz w:val="24"/>
                <w:szCs w:val="24"/>
              </w:rPr>
              <w:t>in accordance with the Charter of the United Nations.</w:t>
            </w:r>
          </w:p>
          <w:p w14:paraId="5D5184DF" w14:textId="77777777" w:rsidR="000E4218" w:rsidRPr="00B00B8A" w:rsidRDefault="000E4218" w:rsidP="00D76F0A">
            <w:pPr>
              <w:jc w:val="both"/>
              <w:rPr>
                <w:rFonts w:ascii="Arial" w:hAnsi="Arial" w:cs="Arial"/>
                <w:color w:val="000000" w:themeColor="text1"/>
                <w:sz w:val="24"/>
                <w:szCs w:val="24"/>
              </w:rPr>
            </w:pPr>
          </w:p>
          <w:p w14:paraId="54C61B09" w14:textId="51DE632C" w:rsidR="000E4218" w:rsidRPr="00B00B8A" w:rsidRDefault="006A0ACF" w:rsidP="00D76F0A">
            <w:pPr>
              <w:jc w:val="both"/>
              <w:rPr>
                <w:rFonts w:ascii="Arial" w:hAnsi="Arial" w:cs="Arial"/>
                <w:color w:val="000000" w:themeColor="text1"/>
                <w:sz w:val="24"/>
                <w:szCs w:val="24"/>
              </w:rPr>
            </w:pPr>
            <w:r w:rsidRPr="00B00B8A">
              <w:rPr>
                <w:rFonts w:ascii="Arial" w:hAnsi="Arial" w:cs="Arial"/>
                <w:color w:val="000000" w:themeColor="text1"/>
                <w:sz w:val="24"/>
                <w:szCs w:val="24"/>
              </w:rPr>
              <w:t xml:space="preserve">The Protocols make certain important principles in the Geneva Conventions applicable also to non-international armed conflicts. </w:t>
            </w:r>
            <w:r w:rsidR="002B184A" w:rsidRPr="00B00B8A">
              <w:rPr>
                <w:rFonts w:ascii="Arial" w:hAnsi="Arial" w:cs="Arial"/>
                <w:color w:val="000000" w:themeColor="text1"/>
                <w:sz w:val="24"/>
                <w:szCs w:val="24"/>
              </w:rPr>
              <w:t xml:space="preserve">The Protocols lay down the obligations of both State Parties and other combatants </w:t>
            </w:r>
            <w:r w:rsidR="002B184A" w:rsidRPr="00B00B8A">
              <w:rPr>
                <w:rFonts w:ascii="Arial" w:hAnsi="Arial" w:cs="Arial"/>
                <w:color w:val="000000" w:themeColor="text1"/>
                <w:sz w:val="24"/>
                <w:szCs w:val="24"/>
              </w:rPr>
              <w:lastRenderedPageBreak/>
              <w:t xml:space="preserve">which may </w:t>
            </w:r>
            <w:r w:rsidR="000E4218" w:rsidRPr="00B00B8A">
              <w:rPr>
                <w:rFonts w:ascii="Arial" w:hAnsi="Arial" w:cs="Arial"/>
                <w:color w:val="000000" w:themeColor="text1"/>
                <w:sz w:val="24"/>
                <w:szCs w:val="24"/>
              </w:rPr>
              <w:t>include</w:t>
            </w:r>
            <w:r w:rsidR="002B184A" w:rsidRPr="00B00B8A">
              <w:rPr>
                <w:rFonts w:ascii="Arial" w:hAnsi="Arial" w:cs="Arial"/>
                <w:color w:val="000000" w:themeColor="text1"/>
                <w:sz w:val="24"/>
                <w:szCs w:val="24"/>
              </w:rPr>
              <w:t xml:space="preserve"> guerilla groups which want to benefit from the</w:t>
            </w:r>
            <w:r w:rsidR="000E4218" w:rsidRPr="00B00B8A">
              <w:rPr>
                <w:rFonts w:ascii="Arial" w:hAnsi="Arial" w:cs="Arial"/>
                <w:color w:val="000000" w:themeColor="text1"/>
                <w:sz w:val="24"/>
                <w:szCs w:val="24"/>
              </w:rPr>
              <w:t xml:space="preserve"> protection of the </w:t>
            </w:r>
            <w:r w:rsidR="002B184A" w:rsidRPr="00B00B8A">
              <w:rPr>
                <w:rFonts w:ascii="Arial" w:hAnsi="Arial" w:cs="Arial"/>
                <w:color w:val="000000" w:themeColor="text1"/>
                <w:sz w:val="24"/>
                <w:szCs w:val="24"/>
              </w:rPr>
              <w:t xml:space="preserve"> Protocols.</w:t>
            </w:r>
            <w:r w:rsidR="000E4218" w:rsidRPr="00B00B8A">
              <w:rPr>
                <w:rFonts w:ascii="Arial" w:hAnsi="Arial" w:cs="Arial"/>
                <w:color w:val="000000" w:themeColor="text1"/>
                <w:sz w:val="24"/>
                <w:szCs w:val="24"/>
              </w:rPr>
              <w:t xml:space="preserve"> </w:t>
            </w:r>
          </w:p>
          <w:p w14:paraId="5B8F70B1" w14:textId="77777777" w:rsidR="000E4218" w:rsidRPr="00B00B8A" w:rsidRDefault="000E4218" w:rsidP="00D76F0A">
            <w:pPr>
              <w:jc w:val="both"/>
              <w:rPr>
                <w:rFonts w:ascii="Arial" w:hAnsi="Arial" w:cs="Arial"/>
                <w:color w:val="000000" w:themeColor="text1"/>
                <w:sz w:val="24"/>
                <w:szCs w:val="24"/>
              </w:rPr>
            </w:pPr>
          </w:p>
          <w:p w14:paraId="4D8E8EA5" w14:textId="28E321C0" w:rsidR="006A0ACF" w:rsidRPr="00B00B8A" w:rsidRDefault="002B184A" w:rsidP="00D76F0A">
            <w:pPr>
              <w:jc w:val="both"/>
              <w:rPr>
                <w:rFonts w:ascii="Arial" w:hAnsi="Arial" w:cs="Arial"/>
                <w:color w:val="000000" w:themeColor="text1"/>
                <w:sz w:val="24"/>
                <w:szCs w:val="24"/>
              </w:rPr>
            </w:pPr>
            <w:r w:rsidRPr="00B00B8A">
              <w:rPr>
                <w:rFonts w:ascii="Arial" w:hAnsi="Arial" w:cs="Arial"/>
                <w:color w:val="000000" w:themeColor="text1"/>
                <w:sz w:val="24"/>
                <w:szCs w:val="24"/>
              </w:rPr>
              <w:t>The</w:t>
            </w:r>
            <w:r w:rsidR="000E4218" w:rsidRPr="00B00B8A">
              <w:rPr>
                <w:rFonts w:ascii="Arial" w:hAnsi="Arial" w:cs="Arial"/>
                <w:color w:val="000000" w:themeColor="text1"/>
                <w:sz w:val="24"/>
                <w:szCs w:val="24"/>
              </w:rPr>
              <w:t xml:space="preserve"> I</w:t>
            </w:r>
            <w:r w:rsidRPr="00B00B8A">
              <w:rPr>
                <w:rFonts w:ascii="Arial" w:hAnsi="Arial" w:cs="Arial"/>
                <w:color w:val="000000" w:themeColor="text1"/>
                <w:sz w:val="24"/>
                <w:szCs w:val="24"/>
              </w:rPr>
              <w:t>mplementation of the Geneva Conventions Act, 2012 (Act No. 8 of 2012) was adopted quite some time after the adoption of the Protection of Constitutional Democracy again</w:t>
            </w:r>
            <w:r w:rsidR="004923D8" w:rsidRPr="00B00B8A">
              <w:rPr>
                <w:rFonts w:ascii="Arial" w:hAnsi="Arial" w:cs="Arial"/>
                <w:color w:val="000000" w:themeColor="text1"/>
                <w:sz w:val="24"/>
                <w:szCs w:val="24"/>
              </w:rPr>
              <w:t>s</w:t>
            </w:r>
            <w:r w:rsidRPr="00B00B8A">
              <w:rPr>
                <w:rFonts w:ascii="Arial" w:hAnsi="Arial" w:cs="Arial"/>
                <w:color w:val="000000" w:themeColor="text1"/>
                <w:sz w:val="24"/>
                <w:szCs w:val="24"/>
              </w:rPr>
              <w:t>t Ter</w:t>
            </w:r>
            <w:r w:rsidR="004923D8" w:rsidRPr="00B00B8A">
              <w:rPr>
                <w:rFonts w:ascii="Arial" w:hAnsi="Arial" w:cs="Arial"/>
                <w:color w:val="000000" w:themeColor="text1"/>
                <w:sz w:val="24"/>
                <w:szCs w:val="24"/>
              </w:rPr>
              <w:t>r</w:t>
            </w:r>
            <w:r w:rsidRPr="00B00B8A">
              <w:rPr>
                <w:rFonts w:ascii="Arial" w:hAnsi="Arial" w:cs="Arial"/>
                <w:color w:val="000000" w:themeColor="text1"/>
                <w:sz w:val="24"/>
                <w:szCs w:val="24"/>
              </w:rPr>
              <w:t>orist and Related Activities Act, 2004.</w:t>
            </w:r>
          </w:p>
          <w:p w14:paraId="2C92885C" w14:textId="77777777" w:rsidR="000E4218" w:rsidRPr="00B00B8A" w:rsidRDefault="000E4218" w:rsidP="00D76F0A">
            <w:pPr>
              <w:jc w:val="both"/>
              <w:rPr>
                <w:rFonts w:ascii="Arial" w:hAnsi="Arial" w:cs="Arial"/>
                <w:color w:val="000000" w:themeColor="text1"/>
                <w:sz w:val="24"/>
                <w:szCs w:val="24"/>
              </w:rPr>
            </w:pPr>
          </w:p>
          <w:p w14:paraId="7AD028E3" w14:textId="676BC435" w:rsidR="00220804" w:rsidRPr="00B00B8A" w:rsidRDefault="00220804" w:rsidP="00220804">
            <w:pPr>
              <w:jc w:val="both"/>
              <w:rPr>
                <w:rFonts w:ascii="Arial" w:hAnsi="Arial" w:cs="Arial"/>
                <w:color w:val="000000" w:themeColor="text1"/>
                <w:sz w:val="24"/>
                <w:szCs w:val="24"/>
              </w:rPr>
            </w:pPr>
            <w:r w:rsidRPr="00B00B8A">
              <w:rPr>
                <w:rFonts w:ascii="Arial" w:hAnsi="Arial" w:cs="Arial"/>
                <w:color w:val="000000" w:themeColor="text1"/>
                <w:sz w:val="24"/>
                <w:szCs w:val="24"/>
              </w:rPr>
              <w:t>South Africa is a member of the Financial Action Task Force (FATF) as well as the Eastern and Southern Africa</w:t>
            </w:r>
            <w:r w:rsidR="004F3774" w:rsidRPr="00B00B8A">
              <w:rPr>
                <w:rFonts w:ascii="Arial" w:hAnsi="Arial" w:cs="Arial"/>
                <w:color w:val="000000" w:themeColor="text1"/>
                <w:sz w:val="24"/>
                <w:szCs w:val="24"/>
              </w:rPr>
              <w:t>n</w:t>
            </w:r>
            <w:r w:rsidRPr="00B00B8A">
              <w:rPr>
                <w:rFonts w:ascii="Arial" w:hAnsi="Arial" w:cs="Arial"/>
                <w:color w:val="000000" w:themeColor="text1"/>
                <w:sz w:val="24"/>
                <w:szCs w:val="24"/>
              </w:rPr>
              <w:t xml:space="preserve"> Anti-Money Laundering group (ESAAMLG). The FATF and ESAAMLG</w:t>
            </w:r>
            <w:r w:rsidR="004F3774" w:rsidRPr="00B00B8A">
              <w:rPr>
                <w:rFonts w:ascii="Arial" w:hAnsi="Arial" w:cs="Arial"/>
                <w:color w:val="000000" w:themeColor="text1"/>
                <w:sz w:val="24"/>
                <w:szCs w:val="24"/>
              </w:rPr>
              <w:t xml:space="preserve"> conducted </w:t>
            </w:r>
            <w:r w:rsidRPr="00B00B8A">
              <w:rPr>
                <w:rFonts w:ascii="Arial" w:hAnsi="Arial" w:cs="Arial"/>
                <w:color w:val="000000" w:themeColor="text1"/>
                <w:sz w:val="24"/>
                <w:szCs w:val="24"/>
              </w:rPr>
              <w:t>a</w:t>
            </w:r>
            <w:r w:rsidR="004F3774" w:rsidRPr="00B00B8A">
              <w:rPr>
                <w:rFonts w:ascii="Arial" w:hAnsi="Arial" w:cs="Arial"/>
                <w:color w:val="000000" w:themeColor="text1"/>
                <w:sz w:val="24"/>
                <w:szCs w:val="24"/>
              </w:rPr>
              <w:t xml:space="preserve"> joint </w:t>
            </w:r>
            <w:r w:rsidR="00431593" w:rsidRPr="00B00B8A">
              <w:rPr>
                <w:rFonts w:ascii="Arial" w:hAnsi="Arial" w:cs="Arial"/>
                <w:color w:val="000000" w:themeColor="text1"/>
                <w:sz w:val="24"/>
                <w:szCs w:val="24"/>
              </w:rPr>
              <w:t xml:space="preserve"> </w:t>
            </w:r>
            <w:r w:rsidR="00337E1C" w:rsidRPr="00B00B8A">
              <w:rPr>
                <w:rFonts w:ascii="Arial" w:hAnsi="Arial" w:cs="Arial"/>
                <w:color w:val="000000" w:themeColor="text1"/>
                <w:sz w:val="24"/>
                <w:szCs w:val="24"/>
              </w:rPr>
              <w:t>M</w:t>
            </w:r>
            <w:r w:rsidRPr="00B00B8A">
              <w:rPr>
                <w:rFonts w:ascii="Arial" w:hAnsi="Arial" w:cs="Arial"/>
                <w:color w:val="000000" w:themeColor="text1"/>
                <w:sz w:val="24"/>
                <w:szCs w:val="24"/>
              </w:rPr>
              <w:t>utual</w:t>
            </w:r>
            <w:r w:rsidR="004F3774" w:rsidRPr="00B00B8A">
              <w:rPr>
                <w:rFonts w:ascii="Arial" w:hAnsi="Arial" w:cs="Arial"/>
                <w:color w:val="000000" w:themeColor="text1"/>
                <w:sz w:val="24"/>
                <w:szCs w:val="24"/>
              </w:rPr>
              <w:t xml:space="preserve"> Evaluation </w:t>
            </w:r>
            <w:r w:rsidRPr="00B00B8A">
              <w:rPr>
                <w:rFonts w:ascii="Arial" w:hAnsi="Arial" w:cs="Arial"/>
                <w:color w:val="000000" w:themeColor="text1"/>
                <w:sz w:val="24"/>
                <w:szCs w:val="24"/>
              </w:rPr>
              <w:t>of South Africa</w:t>
            </w:r>
            <w:r w:rsidR="004F3774" w:rsidRPr="00B00B8A">
              <w:rPr>
                <w:rFonts w:ascii="Arial" w:hAnsi="Arial" w:cs="Arial"/>
                <w:color w:val="000000" w:themeColor="text1"/>
                <w:sz w:val="24"/>
                <w:szCs w:val="24"/>
              </w:rPr>
              <w:t xml:space="preserve">’s measures against money laundering and terrorist financing, </w:t>
            </w:r>
            <w:r w:rsidRPr="00B00B8A">
              <w:rPr>
                <w:rFonts w:ascii="Arial" w:hAnsi="Arial" w:cs="Arial"/>
                <w:color w:val="000000" w:themeColor="text1"/>
                <w:sz w:val="24"/>
                <w:szCs w:val="24"/>
              </w:rPr>
              <w:t xml:space="preserve">and published </w:t>
            </w:r>
            <w:r w:rsidR="004F3774" w:rsidRPr="00B00B8A">
              <w:rPr>
                <w:rFonts w:ascii="Arial" w:hAnsi="Arial" w:cs="Arial"/>
                <w:color w:val="000000" w:themeColor="text1"/>
                <w:sz w:val="24"/>
                <w:szCs w:val="24"/>
              </w:rPr>
              <w:t xml:space="preserve">the </w:t>
            </w:r>
            <w:r w:rsidRPr="00B00B8A">
              <w:rPr>
                <w:rFonts w:ascii="Arial" w:hAnsi="Arial" w:cs="Arial"/>
                <w:color w:val="000000" w:themeColor="text1"/>
                <w:sz w:val="24"/>
                <w:szCs w:val="24"/>
              </w:rPr>
              <w:t xml:space="preserve">final report in this regard in October 2021. </w:t>
            </w:r>
          </w:p>
          <w:p w14:paraId="1EBD9942" w14:textId="47EFD0D9" w:rsidR="00220804" w:rsidRPr="00B00B8A" w:rsidRDefault="00220804" w:rsidP="00220804">
            <w:pPr>
              <w:jc w:val="both"/>
              <w:rPr>
                <w:rFonts w:ascii="Arial" w:hAnsi="Arial" w:cs="Arial"/>
                <w:color w:val="000000" w:themeColor="text1"/>
                <w:sz w:val="24"/>
                <w:szCs w:val="24"/>
              </w:rPr>
            </w:pPr>
            <w:r w:rsidRPr="00B00B8A">
              <w:rPr>
                <w:rFonts w:ascii="Arial" w:hAnsi="Arial" w:cs="Arial"/>
                <w:color w:val="000000" w:themeColor="text1"/>
                <w:sz w:val="24"/>
                <w:szCs w:val="24"/>
              </w:rPr>
              <w:t xml:space="preserve">On page 165 of the Mutual </w:t>
            </w:r>
            <w:r w:rsidR="004F3774" w:rsidRPr="00B00B8A">
              <w:rPr>
                <w:rFonts w:ascii="Arial" w:hAnsi="Arial" w:cs="Arial"/>
                <w:color w:val="000000" w:themeColor="text1"/>
                <w:sz w:val="24"/>
                <w:szCs w:val="24"/>
              </w:rPr>
              <w:t xml:space="preserve">Evaluation </w:t>
            </w:r>
            <w:r w:rsidRPr="00B00B8A">
              <w:rPr>
                <w:rFonts w:ascii="Arial" w:hAnsi="Arial" w:cs="Arial"/>
                <w:color w:val="000000" w:themeColor="text1"/>
                <w:sz w:val="24"/>
                <w:szCs w:val="24"/>
              </w:rPr>
              <w:t>Report under Recommendation 5, the following is stated:</w:t>
            </w:r>
          </w:p>
          <w:p w14:paraId="71664F87" w14:textId="03EF594B" w:rsidR="00220804" w:rsidRPr="00B00B8A" w:rsidRDefault="00220804" w:rsidP="00220804">
            <w:pPr>
              <w:jc w:val="both"/>
              <w:rPr>
                <w:rFonts w:ascii="Arial" w:hAnsi="Arial" w:cs="Arial"/>
                <w:color w:val="000000" w:themeColor="text1"/>
                <w:sz w:val="24"/>
                <w:szCs w:val="24"/>
              </w:rPr>
            </w:pPr>
            <w:r w:rsidRPr="00B00B8A">
              <w:rPr>
                <w:rFonts w:ascii="Arial" w:hAnsi="Arial" w:cs="Arial"/>
                <w:color w:val="000000" w:themeColor="text1"/>
                <w:sz w:val="24"/>
                <w:szCs w:val="24"/>
              </w:rPr>
              <w:lastRenderedPageBreak/>
              <w:t>“Criterion 5.1 – The Protection of Constitutional Democracy Against Terrorist and</w:t>
            </w:r>
            <w:r w:rsidR="000E4218" w:rsidRPr="00B00B8A">
              <w:rPr>
                <w:rFonts w:ascii="Arial" w:hAnsi="Arial" w:cs="Arial"/>
                <w:color w:val="000000" w:themeColor="text1"/>
                <w:sz w:val="24"/>
                <w:szCs w:val="24"/>
              </w:rPr>
              <w:t xml:space="preserve"> </w:t>
            </w:r>
            <w:r w:rsidRPr="00B00B8A">
              <w:rPr>
                <w:rFonts w:ascii="Arial" w:hAnsi="Arial" w:cs="Arial"/>
                <w:color w:val="000000" w:themeColor="text1"/>
                <w:sz w:val="24"/>
                <w:szCs w:val="24"/>
              </w:rPr>
              <w:t xml:space="preserve">Related Activities Act No. 33 </w:t>
            </w:r>
            <w:r w:rsidR="000E4218" w:rsidRPr="00B00B8A">
              <w:rPr>
                <w:rFonts w:ascii="Arial" w:hAnsi="Arial" w:cs="Arial"/>
                <w:color w:val="000000" w:themeColor="text1"/>
                <w:sz w:val="24"/>
                <w:szCs w:val="24"/>
              </w:rPr>
              <w:t>o</w:t>
            </w:r>
            <w:r w:rsidRPr="00B00B8A">
              <w:rPr>
                <w:rFonts w:ascii="Arial" w:hAnsi="Arial" w:cs="Arial"/>
                <w:color w:val="000000" w:themeColor="text1"/>
                <w:sz w:val="24"/>
                <w:szCs w:val="24"/>
              </w:rPr>
              <w:t>f 2004 (POCDATARA) came into effect on 20 May 2005</w:t>
            </w:r>
            <w:r w:rsidR="000E4218" w:rsidRPr="00B00B8A">
              <w:rPr>
                <w:rFonts w:ascii="Arial" w:hAnsi="Arial" w:cs="Arial"/>
                <w:color w:val="000000" w:themeColor="text1"/>
                <w:sz w:val="24"/>
                <w:szCs w:val="24"/>
              </w:rPr>
              <w:t xml:space="preserve"> </w:t>
            </w:r>
            <w:r w:rsidRPr="00B00B8A">
              <w:rPr>
                <w:rFonts w:ascii="Arial" w:hAnsi="Arial" w:cs="Arial"/>
                <w:color w:val="000000" w:themeColor="text1"/>
                <w:sz w:val="24"/>
                <w:szCs w:val="24"/>
              </w:rPr>
              <w:t>and it contains several offenses related to TF (s.4).</w:t>
            </w:r>
          </w:p>
          <w:p w14:paraId="66A0437F" w14:textId="77777777" w:rsidR="00220804" w:rsidRPr="00B00B8A" w:rsidRDefault="00220804" w:rsidP="004923D8">
            <w:pPr>
              <w:jc w:val="both"/>
              <w:rPr>
                <w:rFonts w:ascii="Arial" w:hAnsi="Arial" w:cs="Arial"/>
                <w:color w:val="000000" w:themeColor="text1"/>
                <w:sz w:val="24"/>
                <w:szCs w:val="24"/>
              </w:rPr>
            </w:pPr>
          </w:p>
          <w:p w14:paraId="0872A8EB" w14:textId="7D05E7F3" w:rsidR="004923D8" w:rsidRPr="00B00B8A" w:rsidRDefault="004923D8" w:rsidP="004923D8">
            <w:pPr>
              <w:jc w:val="both"/>
              <w:rPr>
                <w:rFonts w:ascii="Arial" w:hAnsi="Arial" w:cs="Arial"/>
                <w:color w:val="000000" w:themeColor="text1"/>
                <w:sz w:val="24"/>
                <w:szCs w:val="24"/>
              </w:rPr>
            </w:pPr>
            <w:r w:rsidRPr="00B00B8A">
              <w:rPr>
                <w:rFonts w:ascii="Arial" w:hAnsi="Arial" w:cs="Arial"/>
                <w:color w:val="000000" w:themeColor="text1"/>
                <w:sz w:val="24"/>
                <w:szCs w:val="24"/>
              </w:rPr>
              <w:t>Generally, the criminalization of TF in South Africa is broadly consistent with most of the TF Convention. The</w:t>
            </w:r>
          </w:p>
          <w:p w14:paraId="65F8FEA1" w14:textId="40F5A2F3" w:rsidR="004923D8" w:rsidRPr="00B00B8A" w:rsidRDefault="004923D8" w:rsidP="004923D8">
            <w:pPr>
              <w:jc w:val="both"/>
              <w:rPr>
                <w:rFonts w:ascii="Arial" w:hAnsi="Arial" w:cs="Arial"/>
                <w:color w:val="000000" w:themeColor="text1"/>
                <w:sz w:val="24"/>
                <w:szCs w:val="24"/>
              </w:rPr>
            </w:pPr>
            <w:r w:rsidRPr="00B00B8A">
              <w:rPr>
                <w:rFonts w:ascii="Arial" w:hAnsi="Arial" w:cs="Arial"/>
                <w:color w:val="000000" w:themeColor="text1"/>
                <w:sz w:val="24"/>
                <w:szCs w:val="24"/>
              </w:rPr>
              <w:t>POCDATARA, however, does exclude from the definition of terrorist activity certain acts committed during an armed struggle. This exemption therefore narrows the scope of the TF Convention. Article 6 of the TF Convention states that ‘Each State Party shall adopt such measures as may be necessary, including, where appropriate, domestic</w:t>
            </w:r>
          </w:p>
          <w:p w14:paraId="1809DBF9" w14:textId="04A10987" w:rsidR="004923D8" w:rsidRPr="00B00B8A" w:rsidRDefault="004923D8" w:rsidP="004923D8">
            <w:pPr>
              <w:jc w:val="both"/>
              <w:rPr>
                <w:rFonts w:ascii="Arial" w:hAnsi="Arial" w:cs="Arial"/>
                <w:color w:val="000000" w:themeColor="text1"/>
                <w:sz w:val="24"/>
                <w:szCs w:val="24"/>
              </w:rPr>
            </w:pPr>
            <w:r w:rsidRPr="00B00B8A">
              <w:rPr>
                <w:rFonts w:ascii="Arial" w:hAnsi="Arial" w:cs="Arial"/>
                <w:color w:val="000000" w:themeColor="text1"/>
                <w:sz w:val="24"/>
                <w:szCs w:val="24"/>
              </w:rPr>
              <w:t xml:space="preserve">legislation, to ensure that criminal acts within the scope of this Convention are under no circumstances justifiable by considerations of a political, philosophical, ideological, </w:t>
            </w:r>
            <w:r w:rsidRPr="00B00B8A">
              <w:rPr>
                <w:rFonts w:ascii="Arial" w:hAnsi="Arial" w:cs="Arial"/>
                <w:color w:val="000000" w:themeColor="text1"/>
                <w:sz w:val="24"/>
                <w:szCs w:val="24"/>
              </w:rPr>
              <w:lastRenderedPageBreak/>
              <w:t>racial, ethnic, religious or other similar nature’.”</w:t>
            </w:r>
          </w:p>
        </w:tc>
      </w:tr>
      <w:tr w:rsidR="00C82146" w:rsidRPr="002F45E7" w14:paraId="4A8A4EA5" w14:textId="77777777" w:rsidTr="00F14186">
        <w:tc>
          <w:tcPr>
            <w:tcW w:w="1288" w:type="dxa"/>
          </w:tcPr>
          <w:p w14:paraId="735C64D2" w14:textId="77777777" w:rsidR="00C82146" w:rsidRPr="002F45E7" w:rsidRDefault="00ED3BB2" w:rsidP="00884761">
            <w:pPr>
              <w:jc w:val="both"/>
              <w:rPr>
                <w:rFonts w:ascii="Arial" w:hAnsi="Arial" w:cs="Arial"/>
                <w:b/>
                <w:sz w:val="24"/>
                <w:szCs w:val="24"/>
              </w:rPr>
            </w:pPr>
            <w:r w:rsidRPr="002F45E7">
              <w:rPr>
                <w:rFonts w:ascii="Arial" w:hAnsi="Arial" w:cs="Arial"/>
                <w:b/>
                <w:sz w:val="24"/>
                <w:szCs w:val="24"/>
              </w:rPr>
              <w:lastRenderedPageBreak/>
              <w:t>1</w:t>
            </w:r>
          </w:p>
        </w:tc>
        <w:tc>
          <w:tcPr>
            <w:tcW w:w="1446" w:type="dxa"/>
          </w:tcPr>
          <w:p w14:paraId="3A94B32B" w14:textId="77777777" w:rsidR="00C82146" w:rsidRPr="002F45E7" w:rsidRDefault="00ED3BB2" w:rsidP="00884761">
            <w:pPr>
              <w:jc w:val="both"/>
              <w:rPr>
                <w:rFonts w:ascii="Arial" w:hAnsi="Arial" w:cs="Arial"/>
                <w:b/>
                <w:sz w:val="24"/>
                <w:szCs w:val="24"/>
              </w:rPr>
            </w:pPr>
            <w:r w:rsidRPr="002F45E7">
              <w:rPr>
                <w:rFonts w:ascii="Arial" w:hAnsi="Arial" w:cs="Arial"/>
                <w:b/>
                <w:sz w:val="24"/>
                <w:szCs w:val="24"/>
              </w:rPr>
              <w:t>1</w:t>
            </w:r>
          </w:p>
        </w:tc>
        <w:tc>
          <w:tcPr>
            <w:tcW w:w="6759" w:type="dxa"/>
          </w:tcPr>
          <w:p w14:paraId="75AA3B3B" w14:textId="77777777" w:rsidR="00ED3BB2" w:rsidRPr="00B00B8A" w:rsidRDefault="00884761" w:rsidP="00884761">
            <w:pPr>
              <w:jc w:val="both"/>
              <w:rPr>
                <w:rFonts w:ascii="Arial" w:hAnsi="Arial" w:cs="Arial"/>
                <w:b/>
                <w:i/>
                <w:sz w:val="24"/>
                <w:szCs w:val="24"/>
              </w:rPr>
            </w:pPr>
            <w:r w:rsidRPr="00B00B8A">
              <w:rPr>
                <w:rFonts w:ascii="Arial" w:hAnsi="Arial" w:cs="Arial"/>
                <w:b/>
                <w:sz w:val="24"/>
                <w:szCs w:val="24"/>
              </w:rPr>
              <w:t xml:space="preserve">5.1.1 </w:t>
            </w:r>
            <w:r w:rsidR="00ED3BB2" w:rsidRPr="00B00B8A">
              <w:rPr>
                <w:rFonts w:ascii="Arial" w:hAnsi="Arial" w:cs="Arial"/>
                <w:b/>
                <w:i/>
                <w:sz w:val="24"/>
                <w:szCs w:val="24"/>
              </w:rPr>
              <w:t>“Property”</w:t>
            </w:r>
          </w:p>
          <w:p w14:paraId="1EAF32A2" w14:textId="77777777" w:rsidR="00D55CF1" w:rsidRPr="00B00B8A" w:rsidRDefault="00D55CF1" w:rsidP="00884761">
            <w:pPr>
              <w:jc w:val="both"/>
              <w:rPr>
                <w:rFonts w:ascii="Arial" w:hAnsi="Arial" w:cs="Arial"/>
                <w:b/>
                <w:sz w:val="24"/>
                <w:szCs w:val="24"/>
              </w:rPr>
            </w:pPr>
          </w:p>
          <w:p w14:paraId="55D21A4C" w14:textId="77777777" w:rsidR="00C82146" w:rsidRPr="00B00B8A" w:rsidRDefault="00ED3BB2" w:rsidP="00884761">
            <w:pPr>
              <w:jc w:val="both"/>
              <w:rPr>
                <w:rFonts w:ascii="Arial" w:hAnsi="Arial" w:cs="Arial"/>
                <w:sz w:val="24"/>
                <w:szCs w:val="24"/>
              </w:rPr>
            </w:pPr>
            <w:r w:rsidRPr="00B00B8A">
              <w:rPr>
                <w:rFonts w:ascii="Arial" w:hAnsi="Arial" w:cs="Arial"/>
                <w:sz w:val="24"/>
                <w:szCs w:val="24"/>
              </w:rPr>
              <w:t>5.1.1.1</w:t>
            </w:r>
            <w:r w:rsidR="00884761" w:rsidRPr="00B00B8A">
              <w:rPr>
                <w:rFonts w:ascii="Arial" w:hAnsi="Arial" w:cs="Arial"/>
                <w:sz w:val="24"/>
                <w:szCs w:val="24"/>
              </w:rPr>
              <w:t xml:space="preserve"> </w:t>
            </w:r>
            <w:r w:rsidRPr="00B00B8A">
              <w:rPr>
                <w:rFonts w:ascii="Arial" w:hAnsi="Arial" w:cs="Arial"/>
                <w:sz w:val="24"/>
                <w:szCs w:val="24"/>
              </w:rPr>
              <w:t>The section was already overbroad and vague. The expansion thereof has exacerbated the problem.</w:t>
            </w:r>
          </w:p>
          <w:p w14:paraId="7178DC91" w14:textId="77777777" w:rsidR="0045472E" w:rsidRPr="00B00B8A" w:rsidRDefault="0045472E" w:rsidP="00884761">
            <w:pPr>
              <w:jc w:val="both"/>
              <w:rPr>
                <w:rFonts w:ascii="Arial" w:hAnsi="Arial" w:cs="Arial"/>
                <w:sz w:val="24"/>
                <w:szCs w:val="24"/>
              </w:rPr>
            </w:pPr>
          </w:p>
          <w:p w14:paraId="135FE702" w14:textId="77777777" w:rsidR="0045472E" w:rsidRPr="00B00B8A" w:rsidRDefault="0045472E" w:rsidP="00884761">
            <w:pPr>
              <w:jc w:val="both"/>
              <w:rPr>
                <w:rFonts w:ascii="Arial" w:hAnsi="Arial" w:cs="Arial"/>
                <w:sz w:val="24"/>
                <w:szCs w:val="24"/>
              </w:rPr>
            </w:pPr>
          </w:p>
          <w:p w14:paraId="42362F6B" w14:textId="79731F02" w:rsidR="0045472E" w:rsidRPr="00B00B8A" w:rsidRDefault="0045472E" w:rsidP="00884761">
            <w:pPr>
              <w:jc w:val="both"/>
              <w:rPr>
                <w:rFonts w:ascii="Arial" w:hAnsi="Arial" w:cs="Arial"/>
                <w:b/>
                <w:sz w:val="24"/>
                <w:szCs w:val="24"/>
              </w:rPr>
            </w:pPr>
          </w:p>
        </w:tc>
        <w:tc>
          <w:tcPr>
            <w:tcW w:w="3457" w:type="dxa"/>
          </w:tcPr>
          <w:p w14:paraId="48D86ED4" w14:textId="1D39F8AE" w:rsidR="00762563" w:rsidRPr="00B00B8A" w:rsidRDefault="00762563" w:rsidP="00762563">
            <w:pPr>
              <w:jc w:val="both"/>
              <w:rPr>
                <w:rFonts w:ascii="Arial" w:hAnsi="Arial" w:cs="Arial"/>
                <w:sz w:val="24"/>
                <w:szCs w:val="24"/>
              </w:rPr>
            </w:pPr>
            <w:r w:rsidRPr="00B00B8A">
              <w:rPr>
                <w:rFonts w:ascii="Arial" w:hAnsi="Arial" w:cs="Arial"/>
                <w:sz w:val="24"/>
                <w:szCs w:val="24"/>
                <w:lang w:val="en-ZA"/>
              </w:rPr>
              <w:t>The definition of "property” is aligned with the definitions of the same concept in the Prevention of Orga</w:t>
            </w:r>
            <w:r w:rsidR="00720FB7" w:rsidRPr="00B00B8A">
              <w:rPr>
                <w:rFonts w:ascii="Arial" w:hAnsi="Arial" w:cs="Arial"/>
                <w:sz w:val="24"/>
                <w:szCs w:val="24"/>
                <w:lang w:val="en-ZA"/>
              </w:rPr>
              <w:t xml:space="preserve">nised </w:t>
            </w:r>
            <w:r w:rsidRPr="00B00B8A">
              <w:rPr>
                <w:rFonts w:ascii="Arial" w:hAnsi="Arial" w:cs="Arial"/>
                <w:sz w:val="24"/>
                <w:szCs w:val="24"/>
                <w:lang w:val="en-ZA"/>
              </w:rPr>
              <w:t>Crime Act (POC Act) and the Financial Intelligence Centre Act (FIC Act).  These Acts have to be implemented in conjunction with each other to address illicit financial flows related to terrorism and therefore the definitions should be aligned.</w:t>
            </w:r>
          </w:p>
          <w:p w14:paraId="33C5E90C" w14:textId="32209AB3" w:rsidR="00C82146" w:rsidRPr="00B00B8A" w:rsidRDefault="00762563" w:rsidP="00762563">
            <w:pPr>
              <w:jc w:val="both"/>
              <w:rPr>
                <w:rFonts w:ascii="Arial" w:hAnsi="Arial" w:cs="Arial"/>
                <w:sz w:val="24"/>
                <w:szCs w:val="24"/>
              </w:rPr>
            </w:pPr>
            <w:r w:rsidRPr="00B00B8A">
              <w:rPr>
                <w:rFonts w:ascii="Arial" w:hAnsi="Arial" w:cs="Arial"/>
                <w:sz w:val="24"/>
                <w:szCs w:val="24"/>
              </w:rPr>
              <w:t xml:space="preserve">2. The UN-CTED pointed out in its compliance Report following their follow-up visit from 7 – 9 May 2008, that the term property applies to assets of any kind, regardless of whether they are legitimate or illegitimate, or wholly or jointly owned or controlled, directly or indirectly, by one or more persons. The authorities indicated that the definition of “property” is broad enough to cover any type of property. Natural resources, economic resources or trade resources such as commodities or </w:t>
            </w:r>
            <w:r w:rsidRPr="00B00B8A">
              <w:rPr>
                <w:rFonts w:ascii="Arial" w:hAnsi="Arial" w:cs="Arial"/>
                <w:sz w:val="24"/>
                <w:szCs w:val="24"/>
              </w:rPr>
              <w:lastRenderedPageBreak/>
              <w:t>instruments for trade financing would either be moveable property, or rights in, or claims to moveable property, and would therefore be covered by the current definition.</w:t>
            </w:r>
          </w:p>
        </w:tc>
      </w:tr>
      <w:tr w:rsidR="00C82146" w:rsidRPr="002F45E7" w14:paraId="3EDCAD67" w14:textId="77777777" w:rsidTr="00F14186">
        <w:tc>
          <w:tcPr>
            <w:tcW w:w="1288" w:type="dxa"/>
          </w:tcPr>
          <w:p w14:paraId="36F7EF40" w14:textId="77777777" w:rsidR="00C82146" w:rsidRPr="002F45E7" w:rsidRDefault="00C82146" w:rsidP="00884761">
            <w:pPr>
              <w:jc w:val="both"/>
              <w:rPr>
                <w:rFonts w:ascii="Arial" w:hAnsi="Arial" w:cs="Arial"/>
                <w:b/>
                <w:sz w:val="24"/>
                <w:szCs w:val="24"/>
              </w:rPr>
            </w:pPr>
          </w:p>
        </w:tc>
        <w:tc>
          <w:tcPr>
            <w:tcW w:w="1446" w:type="dxa"/>
          </w:tcPr>
          <w:p w14:paraId="60A245E3" w14:textId="77777777" w:rsidR="00C82146" w:rsidRPr="002F45E7" w:rsidRDefault="00C82146" w:rsidP="00884761">
            <w:pPr>
              <w:jc w:val="both"/>
              <w:rPr>
                <w:rFonts w:ascii="Arial" w:hAnsi="Arial" w:cs="Arial"/>
                <w:b/>
                <w:sz w:val="24"/>
                <w:szCs w:val="24"/>
              </w:rPr>
            </w:pPr>
          </w:p>
        </w:tc>
        <w:tc>
          <w:tcPr>
            <w:tcW w:w="6759" w:type="dxa"/>
          </w:tcPr>
          <w:p w14:paraId="4C5FF4EC" w14:textId="77777777" w:rsidR="00ED3BB2" w:rsidRPr="00B00B8A" w:rsidRDefault="00ED3BB2" w:rsidP="00884761">
            <w:pPr>
              <w:jc w:val="both"/>
              <w:rPr>
                <w:rFonts w:ascii="Arial" w:hAnsi="Arial" w:cs="Arial"/>
                <w:b/>
                <w:i/>
                <w:iCs/>
                <w:sz w:val="24"/>
                <w:szCs w:val="24"/>
              </w:rPr>
            </w:pPr>
            <w:r w:rsidRPr="00B00B8A">
              <w:rPr>
                <w:rFonts w:ascii="Arial" w:hAnsi="Arial" w:cs="Arial"/>
                <w:b/>
                <w:sz w:val="24"/>
                <w:szCs w:val="24"/>
              </w:rPr>
              <w:t>5.1.2</w:t>
            </w:r>
            <w:r w:rsidRPr="00B00B8A">
              <w:rPr>
                <w:rFonts w:ascii="Arial" w:hAnsi="Arial" w:cs="Arial"/>
                <w:b/>
                <w:i/>
                <w:sz w:val="24"/>
                <w:szCs w:val="24"/>
              </w:rPr>
              <w:t xml:space="preserve"> </w:t>
            </w:r>
            <w:r w:rsidRPr="00B00B8A">
              <w:rPr>
                <w:rFonts w:ascii="Arial" w:hAnsi="Arial" w:cs="Arial"/>
                <w:b/>
                <w:i/>
                <w:iCs/>
                <w:sz w:val="24"/>
                <w:szCs w:val="24"/>
              </w:rPr>
              <w:t xml:space="preserve">“Terrorist activity” </w:t>
            </w:r>
          </w:p>
          <w:p w14:paraId="1843EB50" w14:textId="77777777" w:rsidR="00300BF7" w:rsidRPr="00B00B8A" w:rsidRDefault="00300BF7" w:rsidP="00884761">
            <w:pPr>
              <w:jc w:val="both"/>
              <w:rPr>
                <w:rFonts w:ascii="Arial" w:hAnsi="Arial" w:cs="Arial"/>
                <w:i/>
                <w:iCs/>
                <w:sz w:val="24"/>
                <w:szCs w:val="24"/>
              </w:rPr>
            </w:pPr>
          </w:p>
          <w:p w14:paraId="00A70CEC" w14:textId="470E34A9" w:rsidR="00ED3BB2" w:rsidRPr="00B00B8A" w:rsidRDefault="00ED3BB2" w:rsidP="00884761">
            <w:pPr>
              <w:jc w:val="both"/>
              <w:rPr>
                <w:rFonts w:ascii="Arial" w:hAnsi="Arial" w:cs="Arial"/>
                <w:sz w:val="24"/>
                <w:szCs w:val="24"/>
              </w:rPr>
            </w:pPr>
            <w:r w:rsidRPr="00B00B8A">
              <w:rPr>
                <w:rFonts w:ascii="Arial" w:hAnsi="Arial" w:cs="Arial"/>
                <w:sz w:val="24"/>
                <w:szCs w:val="24"/>
              </w:rPr>
              <w:t>5.1.2.1</w:t>
            </w:r>
            <w:r w:rsidR="00884761" w:rsidRPr="00B00B8A">
              <w:rPr>
                <w:rFonts w:ascii="Arial" w:hAnsi="Arial" w:cs="Arial"/>
                <w:sz w:val="24"/>
                <w:szCs w:val="24"/>
              </w:rPr>
              <w:t xml:space="preserve"> </w:t>
            </w:r>
            <w:r w:rsidRPr="00B00B8A">
              <w:rPr>
                <w:rFonts w:ascii="Arial" w:hAnsi="Arial" w:cs="Arial"/>
                <w:sz w:val="24"/>
                <w:szCs w:val="24"/>
              </w:rPr>
              <w:t>The addition of 1(b)(iv), to wit, “can reasonably be regarded as being intended, in whole or in</w:t>
            </w:r>
            <w:r w:rsidR="00884761" w:rsidRPr="00B00B8A">
              <w:rPr>
                <w:rFonts w:ascii="Arial" w:hAnsi="Arial" w:cs="Arial"/>
                <w:sz w:val="24"/>
                <w:szCs w:val="24"/>
              </w:rPr>
              <w:t xml:space="preserve"> </w:t>
            </w:r>
            <w:r w:rsidRPr="00B00B8A">
              <w:rPr>
                <w:rFonts w:ascii="Arial" w:hAnsi="Arial" w:cs="Arial"/>
                <w:sz w:val="24"/>
                <w:szCs w:val="24"/>
              </w:rPr>
              <w:t xml:space="preserve">part, directly or indirectly, to… further the objectives of an entity engaged in terrorist activity”, </w:t>
            </w:r>
            <w:r w:rsidR="00884761" w:rsidRPr="00B00B8A">
              <w:rPr>
                <w:rFonts w:ascii="Arial" w:hAnsi="Arial" w:cs="Arial"/>
                <w:sz w:val="24"/>
                <w:szCs w:val="24"/>
              </w:rPr>
              <w:t>f</w:t>
            </w:r>
            <w:r w:rsidRPr="00B00B8A">
              <w:rPr>
                <w:rFonts w:ascii="Arial" w:hAnsi="Arial" w:cs="Arial"/>
                <w:sz w:val="24"/>
                <w:szCs w:val="24"/>
              </w:rPr>
              <w:t xml:space="preserve">urther complicates an already notoriously contested definition. </w:t>
            </w:r>
          </w:p>
          <w:p w14:paraId="07070181" w14:textId="32D157A1" w:rsidR="005A7CD4" w:rsidRPr="00B00B8A" w:rsidRDefault="005A7CD4" w:rsidP="00884761">
            <w:pPr>
              <w:jc w:val="both"/>
              <w:rPr>
                <w:rFonts w:ascii="Arial" w:hAnsi="Arial" w:cs="Arial"/>
                <w:sz w:val="24"/>
                <w:szCs w:val="24"/>
              </w:rPr>
            </w:pPr>
          </w:p>
          <w:p w14:paraId="241B83F2" w14:textId="4EA1A731" w:rsidR="005A7CD4" w:rsidRPr="00B00B8A" w:rsidRDefault="005A7CD4" w:rsidP="00884761">
            <w:pPr>
              <w:jc w:val="both"/>
              <w:rPr>
                <w:rFonts w:ascii="Arial" w:hAnsi="Arial" w:cs="Arial"/>
                <w:sz w:val="24"/>
                <w:szCs w:val="24"/>
              </w:rPr>
            </w:pPr>
          </w:p>
          <w:p w14:paraId="2A97D932" w14:textId="1E741734" w:rsidR="005A7CD4" w:rsidRPr="00B00B8A" w:rsidRDefault="005A7CD4" w:rsidP="00884761">
            <w:pPr>
              <w:jc w:val="both"/>
              <w:rPr>
                <w:rFonts w:ascii="Arial" w:hAnsi="Arial" w:cs="Arial"/>
                <w:sz w:val="24"/>
                <w:szCs w:val="24"/>
              </w:rPr>
            </w:pPr>
          </w:p>
          <w:p w14:paraId="66AAD6AB" w14:textId="42FA417A" w:rsidR="005A7CD4" w:rsidRPr="00B00B8A" w:rsidRDefault="005A7CD4" w:rsidP="00884761">
            <w:pPr>
              <w:jc w:val="both"/>
              <w:rPr>
                <w:rFonts w:ascii="Arial" w:hAnsi="Arial" w:cs="Arial"/>
                <w:sz w:val="24"/>
                <w:szCs w:val="24"/>
              </w:rPr>
            </w:pPr>
          </w:p>
          <w:p w14:paraId="15AEB99E" w14:textId="6B13A322" w:rsidR="005A7CD4" w:rsidRPr="00B00B8A" w:rsidRDefault="005A7CD4" w:rsidP="00884761">
            <w:pPr>
              <w:jc w:val="both"/>
              <w:rPr>
                <w:rFonts w:ascii="Arial" w:hAnsi="Arial" w:cs="Arial"/>
                <w:sz w:val="24"/>
                <w:szCs w:val="24"/>
              </w:rPr>
            </w:pPr>
          </w:p>
          <w:p w14:paraId="6B664D27" w14:textId="77777777" w:rsidR="005A7CD4" w:rsidRPr="00B00B8A" w:rsidRDefault="005A7CD4" w:rsidP="00884761">
            <w:pPr>
              <w:jc w:val="both"/>
              <w:rPr>
                <w:rFonts w:ascii="Arial" w:hAnsi="Arial" w:cs="Arial"/>
                <w:sz w:val="24"/>
                <w:szCs w:val="24"/>
              </w:rPr>
            </w:pPr>
          </w:p>
          <w:p w14:paraId="23A75755" w14:textId="77777777" w:rsidR="00300BF7" w:rsidRPr="00B00B8A" w:rsidRDefault="00300BF7" w:rsidP="00884761">
            <w:pPr>
              <w:jc w:val="both"/>
              <w:rPr>
                <w:rFonts w:ascii="Arial" w:hAnsi="Arial" w:cs="Arial"/>
                <w:sz w:val="24"/>
                <w:szCs w:val="24"/>
              </w:rPr>
            </w:pPr>
          </w:p>
          <w:p w14:paraId="65CE280D" w14:textId="77777777" w:rsidR="00ED3BB2" w:rsidRPr="00B00B8A" w:rsidRDefault="00ED3BB2" w:rsidP="00884761">
            <w:pPr>
              <w:jc w:val="both"/>
              <w:rPr>
                <w:rFonts w:ascii="Arial" w:hAnsi="Arial" w:cs="Arial"/>
                <w:sz w:val="24"/>
                <w:szCs w:val="24"/>
              </w:rPr>
            </w:pPr>
            <w:r w:rsidRPr="00B00B8A">
              <w:rPr>
                <w:rFonts w:ascii="Arial" w:hAnsi="Arial" w:cs="Arial"/>
                <w:sz w:val="24"/>
                <w:szCs w:val="24"/>
              </w:rPr>
              <w:t>5.1.2.2</w:t>
            </w:r>
            <w:r w:rsidR="00884761" w:rsidRPr="00B00B8A">
              <w:rPr>
                <w:rFonts w:ascii="Arial" w:hAnsi="Arial" w:cs="Arial"/>
                <w:sz w:val="24"/>
                <w:szCs w:val="24"/>
              </w:rPr>
              <w:t xml:space="preserve"> </w:t>
            </w:r>
            <w:r w:rsidRPr="00B00B8A">
              <w:rPr>
                <w:rFonts w:ascii="Arial" w:hAnsi="Arial" w:cs="Arial"/>
                <w:sz w:val="24"/>
                <w:szCs w:val="24"/>
              </w:rPr>
              <w:t xml:space="preserve">‘Reasonably be regarded’ unacceptably introduces negligence as a form of </w:t>
            </w:r>
            <w:r w:rsidRPr="00B00B8A">
              <w:rPr>
                <w:rFonts w:ascii="Arial" w:hAnsi="Arial" w:cs="Arial"/>
                <w:i/>
                <w:iCs/>
                <w:sz w:val="24"/>
                <w:szCs w:val="24"/>
              </w:rPr>
              <w:t xml:space="preserve">mens rea </w:t>
            </w:r>
            <w:r w:rsidRPr="00B00B8A">
              <w:rPr>
                <w:rFonts w:ascii="Arial" w:hAnsi="Arial" w:cs="Arial"/>
                <w:sz w:val="24"/>
                <w:szCs w:val="24"/>
              </w:rPr>
              <w:t xml:space="preserve">for committing terrorist offences. </w:t>
            </w:r>
          </w:p>
          <w:p w14:paraId="30E36DB4" w14:textId="36AFD864" w:rsidR="00300BF7" w:rsidRPr="00B00B8A" w:rsidRDefault="00300BF7" w:rsidP="00884761">
            <w:pPr>
              <w:jc w:val="both"/>
              <w:rPr>
                <w:rFonts w:ascii="Arial" w:hAnsi="Arial" w:cs="Arial"/>
                <w:sz w:val="24"/>
                <w:szCs w:val="24"/>
              </w:rPr>
            </w:pPr>
          </w:p>
          <w:p w14:paraId="130D475A" w14:textId="77777777" w:rsidR="005A7CD4" w:rsidRPr="00B00B8A" w:rsidRDefault="005A7CD4" w:rsidP="00884761">
            <w:pPr>
              <w:jc w:val="both"/>
              <w:rPr>
                <w:rFonts w:ascii="Arial" w:hAnsi="Arial" w:cs="Arial"/>
                <w:sz w:val="24"/>
                <w:szCs w:val="24"/>
              </w:rPr>
            </w:pPr>
          </w:p>
          <w:p w14:paraId="1FF44EA3" w14:textId="77777777" w:rsidR="00300BF7" w:rsidRPr="00B00B8A" w:rsidRDefault="00ED3BB2" w:rsidP="00884761">
            <w:pPr>
              <w:jc w:val="both"/>
              <w:rPr>
                <w:rFonts w:ascii="Arial" w:hAnsi="Arial" w:cs="Arial"/>
                <w:sz w:val="24"/>
                <w:szCs w:val="24"/>
              </w:rPr>
            </w:pPr>
            <w:r w:rsidRPr="00B00B8A">
              <w:rPr>
                <w:rFonts w:ascii="Arial" w:hAnsi="Arial" w:cs="Arial"/>
                <w:sz w:val="24"/>
                <w:szCs w:val="24"/>
              </w:rPr>
              <w:t>5.1.2.3</w:t>
            </w:r>
            <w:r w:rsidR="00884761" w:rsidRPr="00B00B8A">
              <w:rPr>
                <w:rFonts w:ascii="Arial" w:hAnsi="Arial" w:cs="Arial"/>
                <w:sz w:val="24"/>
                <w:szCs w:val="24"/>
              </w:rPr>
              <w:t xml:space="preserve"> </w:t>
            </w:r>
            <w:r w:rsidRPr="00B00B8A">
              <w:rPr>
                <w:rFonts w:ascii="Arial" w:hAnsi="Arial" w:cs="Arial"/>
                <w:sz w:val="24"/>
                <w:szCs w:val="24"/>
              </w:rPr>
              <w:t>This is legally imprecise for purposes of criminal law and is a common issue with anti-terrorism</w:t>
            </w:r>
            <w:r w:rsidR="00884761" w:rsidRPr="00B00B8A">
              <w:rPr>
                <w:rFonts w:ascii="Arial" w:hAnsi="Arial" w:cs="Arial"/>
                <w:sz w:val="24"/>
                <w:szCs w:val="24"/>
              </w:rPr>
              <w:t xml:space="preserve"> </w:t>
            </w:r>
            <w:r w:rsidRPr="00B00B8A">
              <w:rPr>
                <w:rFonts w:ascii="Arial" w:hAnsi="Arial" w:cs="Arial"/>
                <w:sz w:val="24"/>
                <w:szCs w:val="24"/>
              </w:rPr>
              <w:t>legislation globally.</w:t>
            </w:r>
          </w:p>
          <w:p w14:paraId="7A797830" w14:textId="77777777" w:rsidR="00D87986" w:rsidRPr="00B00B8A" w:rsidRDefault="00D87986" w:rsidP="00884761">
            <w:pPr>
              <w:jc w:val="both"/>
              <w:rPr>
                <w:rFonts w:ascii="Arial" w:hAnsi="Arial" w:cs="Arial"/>
                <w:sz w:val="24"/>
                <w:szCs w:val="24"/>
              </w:rPr>
            </w:pPr>
          </w:p>
          <w:p w14:paraId="2104B363" w14:textId="77777777" w:rsidR="00300BF7" w:rsidRPr="00B00B8A" w:rsidRDefault="00300BF7" w:rsidP="00884761">
            <w:pPr>
              <w:jc w:val="both"/>
              <w:rPr>
                <w:rFonts w:ascii="Arial" w:hAnsi="Arial" w:cs="Arial"/>
                <w:sz w:val="24"/>
                <w:szCs w:val="24"/>
              </w:rPr>
            </w:pPr>
            <w:r w:rsidRPr="00B00B8A">
              <w:rPr>
                <w:rFonts w:ascii="Arial" w:hAnsi="Arial" w:cs="Arial"/>
                <w:sz w:val="24"/>
                <w:szCs w:val="24"/>
              </w:rPr>
              <w:t>31.</w:t>
            </w:r>
            <w:r w:rsidR="00D87986" w:rsidRPr="00B00B8A">
              <w:rPr>
                <w:rFonts w:ascii="Arial" w:hAnsi="Arial" w:cs="Arial"/>
                <w:sz w:val="24"/>
                <w:szCs w:val="24"/>
              </w:rPr>
              <w:t xml:space="preserve"> </w:t>
            </w:r>
            <w:r w:rsidRPr="00B00B8A">
              <w:rPr>
                <w:rFonts w:ascii="Arial" w:hAnsi="Arial" w:cs="Arial"/>
                <w:sz w:val="24"/>
                <w:szCs w:val="24"/>
              </w:rPr>
              <w:t xml:space="preserve">It should above all be recalled that </w:t>
            </w:r>
            <w:r w:rsidRPr="00B00B8A">
              <w:rPr>
                <w:rFonts w:ascii="Arial" w:hAnsi="Arial" w:cs="Arial"/>
                <w:b/>
                <w:bCs/>
                <w:sz w:val="24"/>
                <w:szCs w:val="24"/>
              </w:rPr>
              <w:t>the definition of ‘terrorism’ is notoriously contested across the world</w:t>
            </w:r>
            <w:r w:rsidRPr="00B00B8A">
              <w:rPr>
                <w:rFonts w:ascii="Arial" w:hAnsi="Arial" w:cs="Arial"/>
                <w:sz w:val="24"/>
                <w:szCs w:val="24"/>
              </w:rPr>
              <w:t>. There is no single internationally agreed upon meaning. The South African definition is generally</w:t>
            </w:r>
            <w:r w:rsidR="00D87986" w:rsidRPr="00B00B8A">
              <w:rPr>
                <w:rFonts w:ascii="Arial" w:hAnsi="Arial" w:cs="Arial"/>
                <w:sz w:val="24"/>
                <w:szCs w:val="24"/>
              </w:rPr>
              <w:t xml:space="preserve"> </w:t>
            </w:r>
            <w:r w:rsidRPr="00B00B8A">
              <w:rPr>
                <w:rFonts w:ascii="Arial" w:hAnsi="Arial" w:cs="Arial"/>
                <w:sz w:val="24"/>
                <w:szCs w:val="24"/>
              </w:rPr>
              <w:t xml:space="preserve">no poorer or better than </w:t>
            </w:r>
            <w:r w:rsidRPr="00B00B8A">
              <w:rPr>
                <w:rFonts w:ascii="Arial" w:hAnsi="Arial" w:cs="Arial"/>
                <w:sz w:val="24"/>
                <w:szCs w:val="24"/>
              </w:rPr>
              <w:lastRenderedPageBreak/>
              <w:t>any other. The fact remains that the inherent uncertainty and vagueness</w:t>
            </w:r>
            <w:r w:rsidR="00D87986" w:rsidRPr="00B00B8A">
              <w:rPr>
                <w:rFonts w:ascii="Arial" w:hAnsi="Arial" w:cs="Arial"/>
                <w:sz w:val="24"/>
                <w:szCs w:val="24"/>
              </w:rPr>
              <w:t xml:space="preserve"> </w:t>
            </w:r>
            <w:r w:rsidRPr="00B00B8A">
              <w:rPr>
                <w:rFonts w:ascii="Arial" w:hAnsi="Arial" w:cs="Arial"/>
                <w:sz w:val="24"/>
                <w:szCs w:val="24"/>
              </w:rPr>
              <w:t xml:space="preserve">associated with the act of ‘terrorism’ </w:t>
            </w:r>
            <w:r w:rsidRPr="00B00B8A">
              <w:rPr>
                <w:rFonts w:ascii="Arial" w:hAnsi="Arial" w:cs="Arial"/>
                <w:b/>
                <w:bCs/>
                <w:sz w:val="24"/>
                <w:szCs w:val="24"/>
              </w:rPr>
              <w:t>enjoins the legislature to tread extremely carefully where criminal liability is tied to such a vague, flexible, and broad definition</w:t>
            </w:r>
            <w:r w:rsidRPr="00B00B8A">
              <w:rPr>
                <w:rFonts w:ascii="Arial" w:hAnsi="Arial" w:cs="Arial"/>
                <w:sz w:val="24"/>
                <w:szCs w:val="24"/>
              </w:rPr>
              <w:t xml:space="preserve">, which is also politically loaded. </w:t>
            </w:r>
          </w:p>
          <w:p w14:paraId="4C62B0CF" w14:textId="77777777" w:rsidR="00ED3BB2" w:rsidRPr="00B00B8A" w:rsidRDefault="00ED3BB2" w:rsidP="00884761">
            <w:pPr>
              <w:jc w:val="both"/>
              <w:rPr>
                <w:rFonts w:ascii="Arial" w:hAnsi="Arial" w:cs="Arial"/>
                <w:sz w:val="24"/>
                <w:szCs w:val="24"/>
              </w:rPr>
            </w:pPr>
          </w:p>
          <w:p w14:paraId="0125D8DC" w14:textId="77777777" w:rsidR="00C82146" w:rsidRPr="00B00B8A" w:rsidRDefault="00C82146" w:rsidP="00884761">
            <w:pPr>
              <w:jc w:val="both"/>
              <w:rPr>
                <w:rFonts w:ascii="Arial" w:hAnsi="Arial" w:cs="Arial"/>
                <w:sz w:val="24"/>
                <w:szCs w:val="24"/>
              </w:rPr>
            </w:pPr>
          </w:p>
        </w:tc>
        <w:tc>
          <w:tcPr>
            <w:tcW w:w="3457" w:type="dxa"/>
          </w:tcPr>
          <w:p w14:paraId="37939F31" w14:textId="77777777" w:rsidR="00C82146" w:rsidRPr="00B00B8A" w:rsidRDefault="00C82146" w:rsidP="00884761">
            <w:pPr>
              <w:jc w:val="both"/>
              <w:rPr>
                <w:rFonts w:ascii="Arial" w:hAnsi="Arial" w:cs="Arial"/>
                <w:b/>
                <w:sz w:val="24"/>
                <w:szCs w:val="24"/>
              </w:rPr>
            </w:pPr>
          </w:p>
          <w:p w14:paraId="2E31EA1A" w14:textId="77777777" w:rsidR="002E3CEC" w:rsidRPr="00B00B8A" w:rsidRDefault="002E3CEC" w:rsidP="00884761">
            <w:pPr>
              <w:jc w:val="both"/>
              <w:rPr>
                <w:rFonts w:ascii="Arial" w:hAnsi="Arial" w:cs="Arial"/>
                <w:b/>
                <w:sz w:val="24"/>
                <w:szCs w:val="24"/>
              </w:rPr>
            </w:pPr>
          </w:p>
          <w:p w14:paraId="65531C6E" w14:textId="77777777" w:rsidR="002E3CEC" w:rsidRPr="00B00B8A" w:rsidRDefault="002E3CEC" w:rsidP="00884761">
            <w:pPr>
              <w:jc w:val="both"/>
              <w:rPr>
                <w:rFonts w:ascii="Arial" w:hAnsi="Arial" w:cs="Arial"/>
                <w:color w:val="000000" w:themeColor="text1"/>
                <w:sz w:val="24"/>
                <w:szCs w:val="24"/>
              </w:rPr>
            </w:pPr>
            <w:r w:rsidRPr="00B00B8A">
              <w:rPr>
                <w:rFonts w:ascii="Arial" w:hAnsi="Arial" w:cs="Arial"/>
                <w:color w:val="000000" w:themeColor="text1"/>
                <w:sz w:val="24"/>
                <w:szCs w:val="24"/>
              </w:rPr>
              <w:t xml:space="preserve">This part is the exact wording of the Act since its adoption in 2004 and there is no proposed amendment to this part. The only substantive amendment is the insertion of subparagraph (iv) namely: </w:t>
            </w:r>
          </w:p>
          <w:p w14:paraId="2B0648ED" w14:textId="0EE94E8B" w:rsidR="005A7CD4" w:rsidRPr="00B00B8A" w:rsidRDefault="00E25589" w:rsidP="005A7CD4">
            <w:pPr>
              <w:jc w:val="both"/>
              <w:rPr>
                <w:rFonts w:ascii="Arial" w:hAnsi="Arial" w:cs="Arial"/>
                <w:color w:val="000000" w:themeColor="text1"/>
                <w:sz w:val="24"/>
                <w:szCs w:val="24"/>
                <w:u w:val="single"/>
              </w:rPr>
            </w:pPr>
            <w:r w:rsidRPr="00B00B8A">
              <w:rPr>
                <w:rFonts w:ascii="Arial" w:hAnsi="Arial" w:cs="Arial"/>
                <w:color w:val="000000" w:themeColor="text1"/>
                <w:sz w:val="24"/>
                <w:szCs w:val="24"/>
                <w:u w:val="single"/>
              </w:rPr>
              <w:t xml:space="preserve">or </w:t>
            </w:r>
          </w:p>
          <w:p w14:paraId="0728BA83" w14:textId="2EF93F83" w:rsidR="005A7CD4" w:rsidRPr="00B00B8A" w:rsidRDefault="005A7CD4" w:rsidP="005A7CD4">
            <w:pPr>
              <w:jc w:val="both"/>
              <w:rPr>
                <w:rFonts w:ascii="Arial" w:hAnsi="Arial" w:cs="Arial"/>
                <w:color w:val="000000" w:themeColor="text1"/>
                <w:sz w:val="24"/>
                <w:szCs w:val="24"/>
                <w:u w:val="single"/>
              </w:rPr>
            </w:pPr>
            <w:r w:rsidRPr="00B00B8A">
              <w:rPr>
                <w:rFonts w:ascii="Arial" w:hAnsi="Arial" w:cs="Arial"/>
                <w:color w:val="000000" w:themeColor="text1"/>
                <w:sz w:val="24"/>
                <w:szCs w:val="24"/>
                <w:u w:val="single"/>
              </w:rPr>
              <w:t>(iv) further the objectives of an entity engaged in terrorist</w:t>
            </w:r>
          </w:p>
          <w:p w14:paraId="0A0C7CD0" w14:textId="0BAA64EE" w:rsidR="002E3CEC" w:rsidRPr="00B00B8A" w:rsidRDefault="00E25589" w:rsidP="005A7CD4">
            <w:pPr>
              <w:jc w:val="both"/>
              <w:rPr>
                <w:rFonts w:ascii="Arial" w:hAnsi="Arial" w:cs="Arial"/>
                <w:color w:val="000000" w:themeColor="text1"/>
                <w:sz w:val="24"/>
                <w:szCs w:val="24"/>
                <w:u w:val="single"/>
              </w:rPr>
            </w:pPr>
            <w:r w:rsidRPr="00B00B8A">
              <w:rPr>
                <w:rFonts w:ascii="Arial" w:hAnsi="Arial" w:cs="Arial"/>
                <w:color w:val="000000" w:themeColor="text1"/>
                <w:sz w:val="24"/>
                <w:szCs w:val="24"/>
                <w:u w:val="single"/>
              </w:rPr>
              <w:t>A</w:t>
            </w:r>
            <w:r w:rsidR="005A7CD4" w:rsidRPr="00B00B8A">
              <w:rPr>
                <w:rFonts w:ascii="Arial" w:hAnsi="Arial" w:cs="Arial"/>
                <w:color w:val="000000" w:themeColor="text1"/>
                <w:sz w:val="24"/>
                <w:szCs w:val="24"/>
                <w:u w:val="single"/>
              </w:rPr>
              <w:t>ctivity</w:t>
            </w:r>
            <w:r w:rsidRPr="00B00B8A">
              <w:rPr>
                <w:rFonts w:ascii="Arial" w:hAnsi="Arial" w:cs="Arial"/>
                <w:color w:val="000000" w:themeColor="text1"/>
                <w:sz w:val="24"/>
                <w:szCs w:val="24"/>
                <w:u w:val="single"/>
              </w:rPr>
              <w:t>.</w:t>
            </w:r>
          </w:p>
          <w:p w14:paraId="32A94272" w14:textId="2266EB94" w:rsidR="005A7CD4" w:rsidRPr="00B00B8A" w:rsidRDefault="005A7CD4" w:rsidP="005A7CD4">
            <w:pPr>
              <w:jc w:val="both"/>
              <w:rPr>
                <w:rFonts w:ascii="Arial" w:hAnsi="Arial" w:cs="Arial"/>
                <w:b/>
                <w:sz w:val="24"/>
                <w:szCs w:val="24"/>
                <w:u w:val="single"/>
              </w:rPr>
            </w:pPr>
          </w:p>
          <w:p w14:paraId="1B3B4828" w14:textId="129D46BF" w:rsidR="005A7CD4" w:rsidRPr="00B00B8A" w:rsidRDefault="005A7CD4" w:rsidP="005A7CD4">
            <w:pPr>
              <w:jc w:val="both"/>
              <w:rPr>
                <w:rFonts w:ascii="Arial" w:hAnsi="Arial" w:cs="Arial"/>
                <w:sz w:val="24"/>
                <w:szCs w:val="24"/>
              </w:rPr>
            </w:pPr>
            <w:r w:rsidRPr="00B00B8A">
              <w:rPr>
                <w:rFonts w:ascii="Arial" w:hAnsi="Arial" w:cs="Arial"/>
                <w:sz w:val="24"/>
                <w:szCs w:val="24"/>
              </w:rPr>
              <w:t xml:space="preserve">Wording is existing wording of the Act: It refers to intended </w:t>
            </w:r>
            <w:r w:rsidRPr="00B00B8A">
              <w:rPr>
                <w:rFonts w:ascii="Arial" w:hAnsi="Arial" w:cs="Arial"/>
                <w:sz w:val="24"/>
                <w:szCs w:val="24"/>
                <w:u w:val="single"/>
              </w:rPr>
              <w:t>or</w:t>
            </w:r>
            <w:r w:rsidRPr="00B00B8A">
              <w:rPr>
                <w:rFonts w:ascii="Arial" w:hAnsi="Arial" w:cs="Arial"/>
                <w:sz w:val="24"/>
                <w:szCs w:val="24"/>
              </w:rPr>
              <w:t xml:space="preserve"> can be reasonably regarded as intended”.</w:t>
            </w:r>
          </w:p>
          <w:p w14:paraId="140A0797" w14:textId="77777777" w:rsidR="005A7CD4" w:rsidRPr="00B00B8A" w:rsidRDefault="005A7CD4" w:rsidP="005A7CD4">
            <w:pPr>
              <w:jc w:val="both"/>
              <w:rPr>
                <w:rFonts w:ascii="Arial" w:hAnsi="Arial" w:cs="Arial"/>
                <w:b/>
                <w:sz w:val="24"/>
                <w:szCs w:val="24"/>
              </w:rPr>
            </w:pPr>
          </w:p>
          <w:p w14:paraId="105D9DF8" w14:textId="77777777" w:rsidR="005A7CD4" w:rsidRPr="00B00B8A" w:rsidRDefault="005A7CD4" w:rsidP="005A7CD4">
            <w:pPr>
              <w:jc w:val="both"/>
              <w:rPr>
                <w:rFonts w:ascii="Arial" w:hAnsi="Arial" w:cs="Arial"/>
                <w:b/>
                <w:sz w:val="24"/>
                <w:szCs w:val="24"/>
              </w:rPr>
            </w:pPr>
          </w:p>
          <w:p w14:paraId="7E31ECCB" w14:textId="77777777" w:rsidR="005A7CD4" w:rsidRPr="00B00B8A" w:rsidRDefault="005A7CD4" w:rsidP="005A7CD4">
            <w:pPr>
              <w:jc w:val="both"/>
              <w:rPr>
                <w:rFonts w:ascii="Arial" w:hAnsi="Arial" w:cs="Arial"/>
                <w:b/>
                <w:sz w:val="24"/>
                <w:szCs w:val="24"/>
              </w:rPr>
            </w:pPr>
          </w:p>
          <w:p w14:paraId="3CC517FC" w14:textId="77777777" w:rsidR="00E25589" w:rsidRPr="00B00B8A" w:rsidRDefault="00E25589" w:rsidP="005A7CD4">
            <w:pPr>
              <w:jc w:val="both"/>
              <w:rPr>
                <w:rFonts w:ascii="Arial" w:hAnsi="Arial" w:cs="Arial"/>
                <w:b/>
                <w:sz w:val="24"/>
                <w:szCs w:val="24"/>
              </w:rPr>
            </w:pPr>
          </w:p>
          <w:p w14:paraId="23FD135D" w14:textId="22EEC33F" w:rsidR="005A7CD4" w:rsidRPr="00B00B8A" w:rsidRDefault="005A7CD4" w:rsidP="005A7CD4">
            <w:pPr>
              <w:jc w:val="both"/>
              <w:rPr>
                <w:rFonts w:ascii="Arial" w:hAnsi="Arial" w:cs="Arial"/>
                <w:sz w:val="24"/>
                <w:szCs w:val="24"/>
              </w:rPr>
            </w:pPr>
            <w:r w:rsidRPr="00B00B8A">
              <w:rPr>
                <w:rFonts w:ascii="Arial" w:hAnsi="Arial" w:cs="Arial"/>
                <w:sz w:val="24"/>
                <w:szCs w:val="24"/>
              </w:rPr>
              <w:t xml:space="preserve">It is correct that there is no globally accepted definition of terrorism. The Sixth Committee of the UN had not </w:t>
            </w:r>
            <w:r w:rsidRPr="00B00B8A">
              <w:rPr>
                <w:rFonts w:ascii="Arial" w:hAnsi="Arial" w:cs="Arial"/>
                <w:sz w:val="24"/>
                <w:szCs w:val="24"/>
              </w:rPr>
              <w:lastRenderedPageBreak/>
              <w:t xml:space="preserve">been successful in the quest to </w:t>
            </w:r>
            <w:r w:rsidR="00811ED6" w:rsidRPr="00B00B8A">
              <w:rPr>
                <w:rFonts w:ascii="Arial" w:hAnsi="Arial" w:cs="Arial"/>
                <w:sz w:val="24"/>
                <w:szCs w:val="24"/>
              </w:rPr>
              <w:t>propose such a universally accepted definition. Following the recommendations of the South African Law Reform Commission, “terrorism” as such was not defined, but terrorist activity. The same model had been followed elsewhere in the word, e.g. Canada. A prosecution in terms of the POCDATARA Act, is only possible with the written authority of the National Director of Public Prosecutions, except in respect of section 13.</w:t>
            </w:r>
          </w:p>
        </w:tc>
      </w:tr>
      <w:tr w:rsidR="00C82146" w:rsidRPr="002F45E7" w14:paraId="3E16E35C" w14:textId="77777777" w:rsidTr="00F14186">
        <w:tc>
          <w:tcPr>
            <w:tcW w:w="1288" w:type="dxa"/>
          </w:tcPr>
          <w:p w14:paraId="32F52CDC" w14:textId="77777777" w:rsidR="00C82146" w:rsidRPr="002F45E7" w:rsidRDefault="00ED3BB2" w:rsidP="00884761">
            <w:pPr>
              <w:jc w:val="both"/>
              <w:rPr>
                <w:rFonts w:ascii="Arial" w:hAnsi="Arial" w:cs="Arial"/>
                <w:b/>
                <w:sz w:val="24"/>
                <w:szCs w:val="24"/>
              </w:rPr>
            </w:pPr>
            <w:r w:rsidRPr="002F45E7">
              <w:rPr>
                <w:rFonts w:ascii="Arial" w:hAnsi="Arial" w:cs="Arial"/>
                <w:b/>
                <w:sz w:val="24"/>
                <w:szCs w:val="24"/>
              </w:rPr>
              <w:lastRenderedPageBreak/>
              <w:t>3</w:t>
            </w:r>
          </w:p>
        </w:tc>
        <w:tc>
          <w:tcPr>
            <w:tcW w:w="1446" w:type="dxa"/>
          </w:tcPr>
          <w:p w14:paraId="02C6CD64" w14:textId="77777777" w:rsidR="00C82146" w:rsidRPr="002F45E7" w:rsidRDefault="001B0AC8" w:rsidP="00884761">
            <w:pPr>
              <w:jc w:val="both"/>
              <w:rPr>
                <w:rFonts w:ascii="Arial" w:hAnsi="Arial" w:cs="Arial"/>
                <w:b/>
                <w:sz w:val="24"/>
                <w:szCs w:val="24"/>
              </w:rPr>
            </w:pPr>
            <w:r w:rsidRPr="002F45E7">
              <w:rPr>
                <w:rFonts w:ascii="Arial" w:hAnsi="Arial" w:cs="Arial"/>
                <w:b/>
                <w:sz w:val="24"/>
                <w:szCs w:val="24"/>
              </w:rPr>
              <w:t xml:space="preserve">New section </w:t>
            </w:r>
            <w:r w:rsidR="00ED3BB2" w:rsidRPr="002F45E7">
              <w:rPr>
                <w:rFonts w:ascii="Arial" w:hAnsi="Arial" w:cs="Arial"/>
                <w:b/>
                <w:sz w:val="24"/>
                <w:szCs w:val="24"/>
              </w:rPr>
              <w:t>3A</w:t>
            </w:r>
          </w:p>
        </w:tc>
        <w:tc>
          <w:tcPr>
            <w:tcW w:w="6759" w:type="dxa"/>
          </w:tcPr>
          <w:p w14:paraId="1FC22429" w14:textId="77777777" w:rsidR="001B0AC8" w:rsidRPr="00B00B8A" w:rsidRDefault="001B0AC8" w:rsidP="00884761">
            <w:pPr>
              <w:jc w:val="both"/>
              <w:rPr>
                <w:rFonts w:ascii="Arial" w:hAnsi="Arial" w:cs="Arial"/>
                <w:sz w:val="24"/>
                <w:szCs w:val="24"/>
              </w:rPr>
            </w:pPr>
            <w:r w:rsidRPr="00B00B8A">
              <w:rPr>
                <w:rFonts w:ascii="Arial" w:hAnsi="Arial" w:cs="Arial"/>
                <w:sz w:val="24"/>
                <w:szCs w:val="24"/>
              </w:rPr>
              <w:t xml:space="preserve">5.2 Insertion of clause 3A </w:t>
            </w:r>
          </w:p>
          <w:p w14:paraId="75F20086" w14:textId="77777777" w:rsidR="00D55CF1" w:rsidRPr="00B00B8A" w:rsidRDefault="00B9645C" w:rsidP="00884761">
            <w:pPr>
              <w:jc w:val="both"/>
              <w:rPr>
                <w:rFonts w:ascii="Arial" w:hAnsi="Arial" w:cs="Arial"/>
                <w:b/>
                <w:sz w:val="24"/>
                <w:szCs w:val="24"/>
              </w:rPr>
            </w:pPr>
            <w:r w:rsidRPr="00B00B8A">
              <w:rPr>
                <w:rFonts w:ascii="Arial" w:hAnsi="Arial" w:cs="Arial"/>
                <w:b/>
                <w:sz w:val="24"/>
                <w:szCs w:val="24"/>
              </w:rPr>
              <w:t>Prohibition of publication with unlawful terrorism related content</w:t>
            </w:r>
          </w:p>
          <w:p w14:paraId="600B1E65" w14:textId="77777777" w:rsidR="00B9645C" w:rsidRPr="00B00B8A" w:rsidRDefault="00B9645C" w:rsidP="00884761">
            <w:pPr>
              <w:jc w:val="both"/>
              <w:rPr>
                <w:rFonts w:ascii="Arial" w:hAnsi="Arial" w:cs="Arial"/>
                <w:sz w:val="24"/>
                <w:szCs w:val="24"/>
              </w:rPr>
            </w:pPr>
          </w:p>
          <w:p w14:paraId="259A0380" w14:textId="77777777" w:rsidR="001B0AC8" w:rsidRPr="00B00B8A" w:rsidRDefault="001B0AC8" w:rsidP="00884761">
            <w:pPr>
              <w:jc w:val="both"/>
              <w:rPr>
                <w:rFonts w:ascii="Arial" w:hAnsi="Arial" w:cs="Arial"/>
                <w:sz w:val="24"/>
                <w:szCs w:val="24"/>
              </w:rPr>
            </w:pPr>
            <w:r w:rsidRPr="00B00B8A">
              <w:rPr>
                <w:rFonts w:ascii="Arial" w:hAnsi="Arial" w:cs="Arial"/>
                <w:sz w:val="24"/>
                <w:szCs w:val="24"/>
              </w:rPr>
              <w:t>5.2.1</w:t>
            </w:r>
            <w:r w:rsidR="00B9645C" w:rsidRPr="00B00B8A">
              <w:rPr>
                <w:rFonts w:ascii="Arial" w:hAnsi="Arial" w:cs="Arial"/>
                <w:sz w:val="24"/>
                <w:szCs w:val="24"/>
              </w:rPr>
              <w:t xml:space="preserve"> </w:t>
            </w:r>
            <w:r w:rsidRPr="00B00B8A">
              <w:rPr>
                <w:rFonts w:ascii="Arial" w:hAnsi="Arial" w:cs="Arial"/>
                <w:sz w:val="24"/>
                <w:szCs w:val="24"/>
              </w:rPr>
              <w:t xml:space="preserve">Unjustifiably violates rights to freedom of expression, association, and conscience. </w:t>
            </w:r>
          </w:p>
          <w:p w14:paraId="2085142D" w14:textId="77777777" w:rsidR="00D55CF1" w:rsidRPr="00B00B8A" w:rsidRDefault="00D55CF1" w:rsidP="00884761">
            <w:pPr>
              <w:jc w:val="both"/>
              <w:rPr>
                <w:rFonts w:ascii="Arial" w:hAnsi="Arial" w:cs="Arial"/>
                <w:sz w:val="24"/>
                <w:szCs w:val="24"/>
              </w:rPr>
            </w:pPr>
          </w:p>
          <w:p w14:paraId="2C63D18C" w14:textId="77777777" w:rsidR="001B0AC8" w:rsidRPr="00B00B8A" w:rsidRDefault="001B0AC8" w:rsidP="00884761">
            <w:pPr>
              <w:jc w:val="both"/>
              <w:rPr>
                <w:rFonts w:ascii="Arial" w:hAnsi="Arial" w:cs="Arial"/>
                <w:sz w:val="24"/>
                <w:szCs w:val="24"/>
              </w:rPr>
            </w:pPr>
            <w:r w:rsidRPr="00B00B8A">
              <w:rPr>
                <w:rFonts w:ascii="Arial" w:hAnsi="Arial" w:cs="Arial"/>
                <w:sz w:val="24"/>
                <w:szCs w:val="24"/>
              </w:rPr>
              <w:t>5.2.2</w:t>
            </w:r>
            <w:r w:rsidR="00B9645C" w:rsidRPr="00B00B8A">
              <w:rPr>
                <w:rFonts w:ascii="Arial" w:hAnsi="Arial" w:cs="Arial"/>
                <w:sz w:val="24"/>
                <w:szCs w:val="24"/>
              </w:rPr>
              <w:t xml:space="preserve"> </w:t>
            </w:r>
            <w:r w:rsidRPr="00B00B8A">
              <w:rPr>
                <w:rFonts w:ascii="Arial" w:hAnsi="Arial" w:cs="Arial"/>
                <w:sz w:val="24"/>
                <w:szCs w:val="24"/>
              </w:rPr>
              <w:t xml:space="preserve">Vulnerable to disproportionate, arbitrary, discretionary abuse. </w:t>
            </w:r>
          </w:p>
          <w:p w14:paraId="0C6AC17A" w14:textId="77777777" w:rsidR="00B9645C" w:rsidRPr="00B00B8A" w:rsidRDefault="00B9645C" w:rsidP="00884761">
            <w:pPr>
              <w:jc w:val="both"/>
              <w:rPr>
                <w:rFonts w:ascii="Arial" w:hAnsi="Arial" w:cs="Arial"/>
                <w:sz w:val="24"/>
                <w:szCs w:val="24"/>
              </w:rPr>
            </w:pPr>
          </w:p>
          <w:p w14:paraId="768D2216" w14:textId="77777777" w:rsidR="00B9645C" w:rsidRPr="00B00B8A" w:rsidRDefault="00B9645C" w:rsidP="00B9645C">
            <w:pPr>
              <w:jc w:val="both"/>
              <w:rPr>
                <w:rFonts w:ascii="Arial" w:hAnsi="Arial" w:cs="Arial"/>
                <w:sz w:val="24"/>
                <w:szCs w:val="24"/>
              </w:rPr>
            </w:pPr>
            <w:r w:rsidRPr="00B00B8A">
              <w:rPr>
                <w:rFonts w:ascii="Arial" w:hAnsi="Arial" w:cs="Arial"/>
                <w:sz w:val="24"/>
                <w:szCs w:val="24"/>
              </w:rPr>
              <w:t xml:space="preserve">5.2.3 Overbroad definition and form of intent violates principle of legality. </w:t>
            </w:r>
          </w:p>
          <w:p w14:paraId="1F618BBF" w14:textId="77777777" w:rsidR="0044232C" w:rsidRPr="00B00B8A" w:rsidRDefault="0044232C" w:rsidP="00884761">
            <w:pPr>
              <w:jc w:val="both"/>
              <w:rPr>
                <w:rFonts w:ascii="Arial" w:hAnsi="Arial" w:cs="Arial"/>
                <w:sz w:val="24"/>
                <w:szCs w:val="24"/>
              </w:rPr>
            </w:pPr>
          </w:p>
          <w:p w14:paraId="7C3AEBA2" w14:textId="77777777" w:rsidR="005D388C" w:rsidRPr="00B00B8A" w:rsidRDefault="005D388C" w:rsidP="005D388C">
            <w:pPr>
              <w:autoSpaceDE w:val="0"/>
              <w:autoSpaceDN w:val="0"/>
              <w:adjustRightInd w:val="0"/>
              <w:rPr>
                <w:rFonts w:ascii="Arial" w:hAnsi="Arial" w:cs="Arial"/>
                <w:color w:val="000000"/>
                <w:sz w:val="24"/>
                <w:szCs w:val="24"/>
              </w:rPr>
            </w:pPr>
          </w:p>
          <w:p w14:paraId="7B6EB077" w14:textId="6B46E77B" w:rsidR="005D388C" w:rsidRDefault="005D388C" w:rsidP="005D388C">
            <w:pPr>
              <w:autoSpaceDE w:val="0"/>
              <w:autoSpaceDN w:val="0"/>
              <w:adjustRightInd w:val="0"/>
              <w:rPr>
                <w:rFonts w:ascii="Arial" w:hAnsi="Arial" w:cs="Arial"/>
                <w:sz w:val="24"/>
                <w:szCs w:val="24"/>
              </w:rPr>
            </w:pPr>
            <w:r w:rsidRPr="00B00B8A">
              <w:rPr>
                <w:rFonts w:ascii="Arial" w:hAnsi="Arial" w:cs="Arial"/>
                <w:color w:val="000000"/>
                <w:sz w:val="23"/>
                <w:szCs w:val="23"/>
              </w:rPr>
              <w:lastRenderedPageBreak/>
              <w:t xml:space="preserve">19. </w:t>
            </w:r>
            <w:r w:rsidRPr="00B00B8A">
              <w:rPr>
                <w:rFonts w:ascii="Arial" w:hAnsi="Arial" w:cs="Arial"/>
                <w:color w:val="000000"/>
                <w:sz w:val="24"/>
                <w:szCs w:val="24"/>
              </w:rPr>
              <w:t xml:space="preserve">The state has not identified in its explanatory </w:t>
            </w:r>
            <w:r w:rsidRPr="00B00B8A">
              <w:rPr>
                <w:rFonts w:ascii="Arial" w:hAnsi="Arial" w:cs="Arial"/>
                <w:sz w:val="24"/>
                <w:szCs w:val="24"/>
              </w:rPr>
              <w:t xml:space="preserve">memorandum exactly why highly invasive measures such as the proposed s3A is necessary to combat terrorism at a local level. </w:t>
            </w:r>
          </w:p>
          <w:p w14:paraId="1A2B5C70" w14:textId="0C85E6D1" w:rsidR="00844D47" w:rsidRDefault="00844D47" w:rsidP="005D388C">
            <w:pPr>
              <w:autoSpaceDE w:val="0"/>
              <w:autoSpaceDN w:val="0"/>
              <w:adjustRightInd w:val="0"/>
              <w:rPr>
                <w:rFonts w:ascii="Arial" w:hAnsi="Arial" w:cs="Arial"/>
                <w:sz w:val="24"/>
                <w:szCs w:val="24"/>
              </w:rPr>
            </w:pPr>
          </w:p>
          <w:p w14:paraId="07F4A743" w14:textId="4FC165D1" w:rsidR="00844D47" w:rsidRDefault="00844D47" w:rsidP="005D388C">
            <w:pPr>
              <w:autoSpaceDE w:val="0"/>
              <w:autoSpaceDN w:val="0"/>
              <w:adjustRightInd w:val="0"/>
              <w:rPr>
                <w:rFonts w:ascii="Arial" w:hAnsi="Arial" w:cs="Arial"/>
                <w:sz w:val="24"/>
                <w:szCs w:val="24"/>
              </w:rPr>
            </w:pPr>
          </w:p>
          <w:p w14:paraId="496BF0C5" w14:textId="4D009A58" w:rsidR="00844D47" w:rsidRDefault="00844D47" w:rsidP="005D388C">
            <w:pPr>
              <w:autoSpaceDE w:val="0"/>
              <w:autoSpaceDN w:val="0"/>
              <w:adjustRightInd w:val="0"/>
              <w:rPr>
                <w:rFonts w:ascii="Arial" w:hAnsi="Arial" w:cs="Arial"/>
                <w:sz w:val="24"/>
                <w:szCs w:val="24"/>
              </w:rPr>
            </w:pPr>
          </w:p>
          <w:p w14:paraId="2B2E0793" w14:textId="1FE55192" w:rsidR="00844D47" w:rsidRDefault="00844D47" w:rsidP="005D388C">
            <w:pPr>
              <w:autoSpaceDE w:val="0"/>
              <w:autoSpaceDN w:val="0"/>
              <w:adjustRightInd w:val="0"/>
              <w:rPr>
                <w:rFonts w:ascii="Arial" w:hAnsi="Arial" w:cs="Arial"/>
                <w:sz w:val="24"/>
                <w:szCs w:val="24"/>
              </w:rPr>
            </w:pPr>
          </w:p>
          <w:p w14:paraId="3B77063C" w14:textId="7D64F0C6" w:rsidR="00844D47" w:rsidRDefault="00844D47" w:rsidP="005D388C">
            <w:pPr>
              <w:autoSpaceDE w:val="0"/>
              <w:autoSpaceDN w:val="0"/>
              <w:adjustRightInd w:val="0"/>
              <w:rPr>
                <w:rFonts w:ascii="Arial" w:hAnsi="Arial" w:cs="Arial"/>
                <w:sz w:val="24"/>
                <w:szCs w:val="24"/>
              </w:rPr>
            </w:pPr>
          </w:p>
          <w:p w14:paraId="2475C847" w14:textId="55911872" w:rsidR="002622FA" w:rsidRDefault="002622FA" w:rsidP="005D388C">
            <w:pPr>
              <w:autoSpaceDE w:val="0"/>
              <w:autoSpaceDN w:val="0"/>
              <w:adjustRightInd w:val="0"/>
              <w:rPr>
                <w:rFonts w:ascii="Arial" w:hAnsi="Arial" w:cs="Arial"/>
                <w:sz w:val="24"/>
                <w:szCs w:val="24"/>
              </w:rPr>
            </w:pPr>
          </w:p>
          <w:p w14:paraId="3A63A049" w14:textId="1B08E651" w:rsidR="002622FA" w:rsidRDefault="002622FA" w:rsidP="005D388C">
            <w:pPr>
              <w:autoSpaceDE w:val="0"/>
              <w:autoSpaceDN w:val="0"/>
              <w:adjustRightInd w:val="0"/>
              <w:rPr>
                <w:rFonts w:ascii="Arial" w:hAnsi="Arial" w:cs="Arial"/>
                <w:sz w:val="24"/>
                <w:szCs w:val="24"/>
              </w:rPr>
            </w:pPr>
          </w:p>
          <w:p w14:paraId="3F786414" w14:textId="08A42504" w:rsidR="002622FA" w:rsidRDefault="002622FA" w:rsidP="005D388C">
            <w:pPr>
              <w:autoSpaceDE w:val="0"/>
              <w:autoSpaceDN w:val="0"/>
              <w:adjustRightInd w:val="0"/>
              <w:rPr>
                <w:rFonts w:ascii="Arial" w:hAnsi="Arial" w:cs="Arial"/>
                <w:sz w:val="24"/>
                <w:szCs w:val="24"/>
              </w:rPr>
            </w:pPr>
          </w:p>
          <w:p w14:paraId="1C2CC473" w14:textId="7C7939E1" w:rsidR="002622FA" w:rsidRDefault="002622FA" w:rsidP="005D388C">
            <w:pPr>
              <w:autoSpaceDE w:val="0"/>
              <w:autoSpaceDN w:val="0"/>
              <w:adjustRightInd w:val="0"/>
              <w:rPr>
                <w:rFonts w:ascii="Arial" w:hAnsi="Arial" w:cs="Arial"/>
                <w:sz w:val="24"/>
                <w:szCs w:val="24"/>
              </w:rPr>
            </w:pPr>
          </w:p>
          <w:p w14:paraId="51AE5F3A" w14:textId="298822E4" w:rsidR="002622FA" w:rsidRDefault="002622FA" w:rsidP="005D388C">
            <w:pPr>
              <w:autoSpaceDE w:val="0"/>
              <w:autoSpaceDN w:val="0"/>
              <w:adjustRightInd w:val="0"/>
              <w:rPr>
                <w:rFonts w:ascii="Arial" w:hAnsi="Arial" w:cs="Arial"/>
                <w:sz w:val="24"/>
                <w:szCs w:val="24"/>
              </w:rPr>
            </w:pPr>
          </w:p>
          <w:p w14:paraId="66AF511A" w14:textId="6EC74F33" w:rsidR="002622FA" w:rsidRDefault="002622FA" w:rsidP="005D388C">
            <w:pPr>
              <w:autoSpaceDE w:val="0"/>
              <w:autoSpaceDN w:val="0"/>
              <w:adjustRightInd w:val="0"/>
              <w:rPr>
                <w:rFonts w:ascii="Arial" w:hAnsi="Arial" w:cs="Arial"/>
                <w:sz w:val="24"/>
                <w:szCs w:val="24"/>
              </w:rPr>
            </w:pPr>
          </w:p>
          <w:p w14:paraId="6F3641EC" w14:textId="77777777" w:rsidR="002622FA" w:rsidRPr="00B00B8A" w:rsidRDefault="002622FA" w:rsidP="005D388C">
            <w:pPr>
              <w:autoSpaceDE w:val="0"/>
              <w:autoSpaceDN w:val="0"/>
              <w:adjustRightInd w:val="0"/>
              <w:rPr>
                <w:rFonts w:ascii="Arial" w:hAnsi="Arial" w:cs="Arial"/>
                <w:sz w:val="24"/>
                <w:szCs w:val="24"/>
              </w:rPr>
            </w:pPr>
          </w:p>
          <w:p w14:paraId="6074C6EE" w14:textId="77777777" w:rsidR="00307423" w:rsidRPr="00B00B8A" w:rsidRDefault="00307423" w:rsidP="005D388C">
            <w:pPr>
              <w:autoSpaceDE w:val="0"/>
              <w:autoSpaceDN w:val="0"/>
              <w:adjustRightInd w:val="0"/>
              <w:rPr>
                <w:rFonts w:ascii="Arial" w:hAnsi="Arial" w:cs="Arial"/>
                <w:sz w:val="24"/>
                <w:szCs w:val="24"/>
              </w:rPr>
            </w:pPr>
          </w:p>
          <w:p w14:paraId="7B00827B" w14:textId="77777777" w:rsidR="00307423" w:rsidRPr="00B00B8A" w:rsidRDefault="00307423" w:rsidP="00307423">
            <w:pPr>
              <w:autoSpaceDE w:val="0"/>
              <w:autoSpaceDN w:val="0"/>
              <w:adjustRightInd w:val="0"/>
              <w:jc w:val="both"/>
              <w:rPr>
                <w:rFonts w:ascii="Arial" w:hAnsi="Arial" w:cs="Arial"/>
                <w:color w:val="000000"/>
                <w:sz w:val="24"/>
                <w:szCs w:val="24"/>
              </w:rPr>
            </w:pPr>
            <w:r w:rsidRPr="00B00B8A">
              <w:rPr>
                <w:rFonts w:ascii="Arial" w:hAnsi="Arial" w:cs="Arial"/>
                <w:color w:val="000000"/>
                <w:sz w:val="24"/>
                <w:szCs w:val="24"/>
              </w:rPr>
              <w:t xml:space="preserve">26. The introduction of new measures such as the proposed s3A cannot address the problem as described. Any obstacles or issues experienced by the state are fundamentally capacity, training, and resource related. </w:t>
            </w:r>
          </w:p>
          <w:p w14:paraId="5D9AA9B5" w14:textId="77777777" w:rsidR="00AE14A4" w:rsidRPr="00B00B8A" w:rsidRDefault="00AE14A4" w:rsidP="00307423">
            <w:pPr>
              <w:autoSpaceDE w:val="0"/>
              <w:autoSpaceDN w:val="0"/>
              <w:adjustRightInd w:val="0"/>
              <w:jc w:val="both"/>
              <w:rPr>
                <w:rFonts w:ascii="Arial" w:hAnsi="Arial" w:cs="Arial"/>
                <w:color w:val="000000"/>
                <w:sz w:val="24"/>
                <w:szCs w:val="24"/>
              </w:rPr>
            </w:pPr>
          </w:p>
          <w:p w14:paraId="116D7CDE" w14:textId="77777777" w:rsidR="0044232C" w:rsidRPr="00B00B8A" w:rsidRDefault="0044232C" w:rsidP="00884761">
            <w:pPr>
              <w:jc w:val="both"/>
              <w:rPr>
                <w:rFonts w:ascii="Arial" w:hAnsi="Arial" w:cs="Arial"/>
                <w:sz w:val="24"/>
                <w:szCs w:val="24"/>
              </w:rPr>
            </w:pPr>
            <w:r w:rsidRPr="00B00B8A">
              <w:rPr>
                <w:rFonts w:ascii="Arial" w:hAnsi="Arial" w:cs="Arial"/>
                <w:sz w:val="24"/>
                <w:szCs w:val="24"/>
              </w:rPr>
              <w:t>31.1</w:t>
            </w:r>
            <w:r w:rsidR="00AE14A4" w:rsidRPr="00B00B8A">
              <w:rPr>
                <w:rFonts w:ascii="Arial" w:hAnsi="Arial" w:cs="Arial"/>
                <w:sz w:val="24"/>
                <w:szCs w:val="24"/>
              </w:rPr>
              <w:t xml:space="preserve"> </w:t>
            </w:r>
            <w:r w:rsidRPr="00B00B8A">
              <w:rPr>
                <w:rFonts w:ascii="Arial" w:hAnsi="Arial" w:cs="Arial"/>
                <w:sz w:val="24"/>
                <w:szCs w:val="24"/>
              </w:rPr>
              <w:t xml:space="preserve">To mention but one practical example – </w:t>
            </w:r>
            <w:r w:rsidRPr="00B00B8A">
              <w:rPr>
                <w:rFonts w:ascii="Arial" w:hAnsi="Arial" w:cs="Arial"/>
                <w:b/>
                <w:bCs/>
                <w:sz w:val="24"/>
                <w:szCs w:val="24"/>
              </w:rPr>
              <w:t>the proposed s3A contains the word ‘encourage’ as an act or conduct attracting criminal liability</w:t>
            </w:r>
            <w:r w:rsidRPr="00B00B8A">
              <w:rPr>
                <w:rFonts w:ascii="Arial" w:hAnsi="Arial" w:cs="Arial"/>
                <w:sz w:val="24"/>
                <w:szCs w:val="24"/>
              </w:rPr>
              <w:t>. The U.N has itself advised that the word ‘encourage’ is part of a package of terminology that is overbroad in terms of anti-terror legislation, with reference specifically to legislation adopted in Southern Africa.</w:t>
            </w:r>
          </w:p>
          <w:p w14:paraId="305C0AA5" w14:textId="77777777" w:rsidR="00023078" w:rsidRPr="00B00B8A" w:rsidRDefault="00023078" w:rsidP="00884761">
            <w:pPr>
              <w:jc w:val="both"/>
              <w:rPr>
                <w:rFonts w:ascii="Arial" w:hAnsi="Arial" w:cs="Arial"/>
                <w:sz w:val="24"/>
                <w:szCs w:val="24"/>
              </w:rPr>
            </w:pPr>
          </w:p>
          <w:p w14:paraId="5611260B" w14:textId="77777777" w:rsidR="00023078" w:rsidRPr="00B00B8A" w:rsidRDefault="00023078" w:rsidP="00884761">
            <w:pPr>
              <w:jc w:val="both"/>
              <w:rPr>
                <w:rFonts w:ascii="Arial" w:hAnsi="Arial" w:cs="Arial"/>
                <w:sz w:val="24"/>
                <w:szCs w:val="24"/>
              </w:rPr>
            </w:pPr>
            <w:r w:rsidRPr="00B00B8A">
              <w:rPr>
                <w:rFonts w:ascii="Arial" w:hAnsi="Arial" w:cs="Arial"/>
                <w:sz w:val="24"/>
                <w:szCs w:val="24"/>
              </w:rPr>
              <w:t>31.3</w:t>
            </w:r>
            <w:r w:rsidR="00010FC2" w:rsidRPr="00B00B8A">
              <w:rPr>
                <w:rFonts w:ascii="Arial" w:hAnsi="Arial" w:cs="Arial"/>
                <w:sz w:val="24"/>
                <w:szCs w:val="24"/>
              </w:rPr>
              <w:t xml:space="preserve"> </w:t>
            </w:r>
            <w:r w:rsidRPr="00B00B8A">
              <w:rPr>
                <w:rFonts w:ascii="Arial" w:hAnsi="Arial" w:cs="Arial"/>
                <w:sz w:val="24"/>
                <w:szCs w:val="24"/>
              </w:rPr>
              <w:t>S3A</w:t>
            </w:r>
            <w:r w:rsidR="00010FC2" w:rsidRPr="00B00B8A">
              <w:rPr>
                <w:rFonts w:ascii="Arial" w:hAnsi="Arial" w:cs="Arial"/>
                <w:sz w:val="24"/>
                <w:szCs w:val="24"/>
              </w:rPr>
              <w:t xml:space="preserve"> </w:t>
            </w:r>
            <w:r w:rsidRPr="00B00B8A">
              <w:rPr>
                <w:rFonts w:ascii="Arial" w:hAnsi="Arial" w:cs="Arial"/>
                <w:sz w:val="24"/>
                <w:szCs w:val="24"/>
              </w:rPr>
              <w:t>could also</w:t>
            </w:r>
            <w:r w:rsidR="00010FC2" w:rsidRPr="00B00B8A">
              <w:rPr>
                <w:rFonts w:ascii="Arial" w:hAnsi="Arial" w:cs="Arial"/>
                <w:sz w:val="24"/>
                <w:szCs w:val="24"/>
              </w:rPr>
              <w:t xml:space="preserve"> </w:t>
            </w:r>
            <w:r w:rsidRPr="00B00B8A">
              <w:rPr>
                <w:rFonts w:ascii="Arial" w:hAnsi="Arial" w:cs="Arial"/>
                <w:sz w:val="24"/>
                <w:szCs w:val="24"/>
              </w:rPr>
              <w:t>criminalise conduct that would not otherwise constitute terrorism. Criminalising the mere</w:t>
            </w:r>
            <w:r w:rsidR="00010FC2" w:rsidRPr="00B00B8A">
              <w:rPr>
                <w:rFonts w:ascii="Arial" w:hAnsi="Arial" w:cs="Arial"/>
                <w:sz w:val="24"/>
                <w:szCs w:val="24"/>
              </w:rPr>
              <w:t xml:space="preserve"> </w:t>
            </w:r>
            <w:r w:rsidRPr="00B00B8A">
              <w:rPr>
                <w:rFonts w:ascii="Arial" w:hAnsi="Arial" w:cs="Arial"/>
                <w:sz w:val="24"/>
                <w:szCs w:val="24"/>
              </w:rPr>
              <w:t xml:space="preserve">      ownership of such material self-evidently creates enormous </w:t>
            </w:r>
            <w:r w:rsidRPr="00B00B8A">
              <w:rPr>
                <w:rFonts w:ascii="Arial" w:hAnsi="Arial" w:cs="Arial"/>
                <w:sz w:val="24"/>
                <w:szCs w:val="24"/>
              </w:rPr>
              <w:lastRenderedPageBreak/>
              <w:t>potential for abuse and is wholly</w:t>
            </w:r>
            <w:r w:rsidR="00010FC2" w:rsidRPr="00B00B8A">
              <w:rPr>
                <w:rFonts w:ascii="Arial" w:hAnsi="Arial" w:cs="Arial"/>
                <w:sz w:val="24"/>
                <w:szCs w:val="24"/>
              </w:rPr>
              <w:t xml:space="preserve"> </w:t>
            </w:r>
            <w:r w:rsidRPr="00B00B8A">
              <w:rPr>
                <w:rFonts w:ascii="Arial" w:hAnsi="Arial" w:cs="Arial"/>
                <w:sz w:val="24"/>
                <w:szCs w:val="24"/>
              </w:rPr>
              <w:t>disproportionate to the threat actually posed by domestic terrorism. The Amendment would criminalise</w:t>
            </w:r>
            <w:r w:rsidR="00010FC2" w:rsidRPr="00B00B8A">
              <w:rPr>
                <w:rFonts w:ascii="Arial" w:hAnsi="Arial" w:cs="Arial"/>
                <w:sz w:val="24"/>
                <w:szCs w:val="24"/>
              </w:rPr>
              <w:t xml:space="preserve"> </w:t>
            </w:r>
            <w:r w:rsidRPr="00B00B8A">
              <w:rPr>
                <w:rFonts w:ascii="Arial" w:hAnsi="Arial" w:cs="Arial"/>
                <w:sz w:val="24"/>
                <w:szCs w:val="24"/>
              </w:rPr>
              <w:t xml:space="preserve">curious individuals who may have no link whatsoever to terrorist groups or intend to act in any way. </w:t>
            </w:r>
          </w:p>
          <w:p w14:paraId="6AED667C" w14:textId="77777777" w:rsidR="00023078" w:rsidRPr="00B00B8A" w:rsidRDefault="00023078" w:rsidP="00884761">
            <w:pPr>
              <w:jc w:val="both"/>
              <w:rPr>
                <w:rFonts w:ascii="Arial" w:hAnsi="Arial" w:cs="Arial"/>
                <w:sz w:val="24"/>
                <w:szCs w:val="24"/>
              </w:rPr>
            </w:pPr>
          </w:p>
          <w:p w14:paraId="308191DE" w14:textId="77777777" w:rsidR="00D55CF1" w:rsidRPr="00B00B8A" w:rsidRDefault="00D55CF1" w:rsidP="00884761">
            <w:pPr>
              <w:jc w:val="both"/>
              <w:rPr>
                <w:rFonts w:ascii="Arial" w:hAnsi="Arial" w:cs="Arial"/>
                <w:b/>
                <w:sz w:val="24"/>
                <w:szCs w:val="24"/>
              </w:rPr>
            </w:pPr>
          </w:p>
        </w:tc>
        <w:tc>
          <w:tcPr>
            <w:tcW w:w="3457" w:type="dxa"/>
          </w:tcPr>
          <w:p w14:paraId="3BAB8680" w14:textId="77777777" w:rsidR="00C82146" w:rsidRPr="00B00B8A" w:rsidRDefault="00826850" w:rsidP="00884761">
            <w:pPr>
              <w:jc w:val="both"/>
              <w:rPr>
                <w:rFonts w:ascii="Arial" w:hAnsi="Arial" w:cs="Arial"/>
                <w:sz w:val="24"/>
                <w:szCs w:val="24"/>
              </w:rPr>
            </w:pPr>
            <w:r w:rsidRPr="00B00B8A">
              <w:rPr>
                <w:rFonts w:ascii="Arial" w:hAnsi="Arial" w:cs="Arial"/>
                <w:sz w:val="24"/>
                <w:szCs w:val="24"/>
              </w:rPr>
              <w:lastRenderedPageBreak/>
              <w:t>T</w:t>
            </w:r>
            <w:r w:rsidR="000D505F" w:rsidRPr="00B00B8A">
              <w:rPr>
                <w:rFonts w:ascii="Arial" w:hAnsi="Arial" w:cs="Arial"/>
                <w:sz w:val="24"/>
                <w:szCs w:val="24"/>
              </w:rPr>
              <w:t xml:space="preserve">he media and in particular electronic media </w:t>
            </w:r>
            <w:r w:rsidRPr="00B00B8A">
              <w:rPr>
                <w:rFonts w:ascii="Arial" w:hAnsi="Arial" w:cs="Arial"/>
                <w:sz w:val="24"/>
                <w:szCs w:val="24"/>
              </w:rPr>
              <w:t>and platforms are</w:t>
            </w:r>
            <w:r w:rsidR="000D505F" w:rsidRPr="00B00B8A">
              <w:rPr>
                <w:rFonts w:ascii="Arial" w:hAnsi="Arial" w:cs="Arial"/>
                <w:sz w:val="24"/>
                <w:szCs w:val="24"/>
              </w:rPr>
              <w:t xml:space="preserve"> being used</w:t>
            </w:r>
            <w:r w:rsidRPr="00B00B8A">
              <w:rPr>
                <w:rFonts w:ascii="Arial" w:hAnsi="Arial" w:cs="Arial"/>
                <w:sz w:val="24"/>
                <w:szCs w:val="24"/>
              </w:rPr>
              <w:t xml:space="preserve"> extensively to recruit persons to join terrorist organisations or to commit terrorist acts. Any prosecution in terms of these provisions may only be instituted with the written authorization of the National Director of Public Prosecutions.</w:t>
            </w:r>
          </w:p>
          <w:p w14:paraId="295F3D9F" w14:textId="7F27BB9E" w:rsidR="005D09FB" w:rsidRPr="00B00B8A" w:rsidRDefault="005D09FB" w:rsidP="00884761">
            <w:pPr>
              <w:jc w:val="both"/>
              <w:rPr>
                <w:rFonts w:ascii="Arial" w:hAnsi="Arial" w:cs="Arial"/>
                <w:b/>
                <w:sz w:val="24"/>
                <w:szCs w:val="24"/>
              </w:rPr>
            </w:pPr>
          </w:p>
          <w:p w14:paraId="32558A8B" w14:textId="16B0D0F0" w:rsidR="00F37064" w:rsidRPr="00B00B8A" w:rsidRDefault="00F37064" w:rsidP="00884761">
            <w:pPr>
              <w:jc w:val="both"/>
              <w:rPr>
                <w:rFonts w:ascii="Arial" w:hAnsi="Arial" w:cs="Arial"/>
                <w:b/>
                <w:sz w:val="24"/>
                <w:szCs w:val="24"/>
              </w:rPr>
            </w:pPr>
          </w:p>
          <w:p w14:paraId="184C43E2" w14:textId="40D4ED86" w:rsidR="00F37064" w:rsidRPr="00B00B8A" w:rsidRDefault="00F37064" w:rsidP="00884761">
            <w:pPr>
              <w:jc w:val="both"/>
              <w:rPr>
                <w:rFonts w:ascii="Arial" w:hAnsi="Arial" w:cs="Arial"/>
                <w:b/>
                <w:sz w:val="24"/>
                <w:szCs w:val="24"/>
              </w:rPr>
            </w:pPr>
          </w:p>
          <w:p w14:paraId="43A8FEE7" w14:textId="4547B9DC" w:rsidR="00F37064" w:rsidRPr="00B00B8A" w:rsidRDefault="00F37064" w:rsidP="00884761">
            <w:pPr>
              <w:jc w:val="both"/>
              <w:rPr>
                <w:rFonts w:ascii="Arial" w:hAnsi="Arial" w:cs="Arial"/>
                <w:b/>
                <w:sz w:val="24"/>
                <w:szCs w:val="24"/>
              </w:rPr>
            </w:pPr>
          </w:p>
          <w:p w14:paraId="6BB213DF" w14:textId="110384AD" w:rsidR="00F37064" w:rsidRDefault="00844D47" w:rsidP="00884761">
            <w:pPr>
              <w:jc w:val="both"/>
              <w:rPr>
                <w:rFonts w:ascii="Arial" w:hAnsi="Arial" w:cs="Arial"/>
                <w:sz w:val="24"/>
                <w:szCs w:val="24"/>
              </w:rPr>
            </w:pPr>
            <w:r w:rsidRPr="00844D47">
              <w:rPr>
                <w:rFonts w:ascii="Arial" w:hAnsi="Arial" w:cs="Arial"/>
                <w:sz w:val="24"/>
                <w:szCs w:val="24"/>
              </w:rPr>
              <w:lastRenderedPageBreak/>
              <w:t>There is no other law that deals with the decryption of encryption of information lawfully obtained.  This measure is not only required in respect of the investigation of offences under the Terrorism Act but should extend to all criminal investigations.</w:t>
            </w:r>
          </w:p>
          <w:p w14:paraId="4F059DFD" w14:textId="357C5210" w:rsidR="002622FA" w:rsidRPr="002622FA" w:rsidRDefault="002622FA" w:rsidP="00884761">
            <w:pPr>
              <w:jc w:val="both"/>
              <w:rPr>
                <w:rFonts w:ascii="Arial" w:hAnsi="Arial" w:cs="Arial"/>
                <w:b/>
                <w:sz w:val="24"/>
                <w:szCs w:val="24"/>
              </w:rPr>
            </w:pPr>
            <w:r w:rsidRPr="002622FA">
              <w:rPr>
                <w:rFonts w:ascii="Arial" w:hAnsi="Arial" w:cs="Arial"/>
                <w:sz w:val="24"/>
                <w:szCs w:val="24"/>
              </w:rPr>
              <w:t>Unlike the publication of terrorism-related content in document format, special measures are required to limit availability of terrorism-related content by means of electronic communications</w:t>
            </w:r>
            <w:r>
              <w:rPr>
                <w:rFonts w:ascii="Arial" w:hAnsi="Arial" w:cs="Arial"/>
                <w:sz w:val="24"/>
                <w:szCs w:val="24"/>
              </w:rPr>
              <w:t>.</w:t>
            </w:r>
          </w:p>
          <w:p w14:paraId="103935EC" w14:textId="7DD668C3" w:rsidR="00F37064" w:rsidRPr="00B00B8A" w:rsidRDefault="00F37064" w:rsidP="00884761">
            <w:pPr>
              <w:jc w:val="both"/>
              <w:rPr>
                <w:rFonts w:ascii="Arial" w:hAnsi="Arial" w:cs="Arial"/>
                <w:b/>
                <w:sz w:val="24"/>
                <w:szCs w:val="24"/>
              </w:rPr>
            </w:pPr>
          </w:p>
          <w:p w14:paraId="257DEC5D" w14:textId="6AE1786F" w:rsidR="00F37064" w:rsidRPr="00B00B8A" w:rsidRDefault="00F37064" w:rsidP="00884761">
            <w:pPr>
              <w:jc w:val="both"/>
              <w:rPr>
                <w:rFonts w:ascii="Arial" w:hAnsi="Arial" w:cs="Arial"/>
                <w:b/>
                <w:sz w:val="24"/>
                <w:szCs w:val="24"/>
              </w:rPr>
            </w:pPr>
          </w:p>
          <w:p w14:paraId="66D6338E" w14:textId="4284CAE4" w:rsidR="00F37064" w:rsidRPr="00B00B8A" w:rsidRDefault="00F37064" w:rsidP="00884761">
            <w:pPr>
              <w:jc w:val="both"/>
              <w:rPr>
                <w:rFonts w:ascii="Arial" w:hAnsi="Arial" w:cs="Arial"/>
                <w:b/>
                <w:sz w:val="24"/>
                <w:szCs w:val="24"/>
              </w:rPr>
            </w:pPr>
          </w:p>
          <w:p w14:paraId="7B6873C7" w14:textId="712E8929" w:rsidR="00F37064" w:rsidRPr="00B00B8A" w:rsidRDefault="00F37064" w:rsidP="00884761">
            <w:pPr>
              <w:jc w:val="both"/>
              <w:rPr>
                <w:rFonts w:ascii="Arial" w:hAnsi="Arial" w:cs="Arial"/>
                <w:b/>
                <w:sz w:val="24"/>
                <w:szCs w:val="24"/>
              </w:rPr>
            </w:pPr>
          </w:p>
          <w:p w14:paraId="2150CB14" w14:textId="338B885F" w:rsidR="00F37064" w:rsidRPr="00B00B8A" w:rsidRDefault="00F37064" w:rsidP="00884761">
            <w:pPr>
              <w:jc w:val="both"/>
              <w:rPr>
                <w:rFonts w:ascii="Arial" w:hAnsi="Arial" w:cs="Arial"/>
                <w:b/>
                <w:sz w:val="24"/>
                <w:szCs w:val="24"/>
              </w:rPr>
            </w:pPr>
          </w:p>
          <w:p w14:paraId="0AFB70A4" w14:textId="6B1D0C08" w:rsidR="00F37064" w:rsidRPr="00B00B8A" w:rsidRDefault="00F37064" w:rsidP="00884761">
            <w:pPr>
              <w:jc w:val="both"/>
              <w:rPr>
                <w:rFonts w:ascii="Arial" w:hAnsi="Arial" w:cs="Arial"/>
                <w:b/>
                <w:sz w:val="24"/>
                <w:szCs w:val="24"/>
              </w:rPr>
            </w:pPr>
          </w:p>
          <w:p w14:paraId="419D0B23" w14:textId="378BE18C" w:rsidR="005D09FB" w:rsidRPr="00B00B8A" w:rsidRDefault="005D09FB" w:rsidP="00884761">
            <w:pPr>
              <w:jc w:val="both"/>
              <w:rPr>
                <w:rFonts w:ascii="Arial" w:hAnsi="Arial" w:cs="Arial"/>
                <w:sz w:val="24"/>
                <w:szCs w:val="24"/>
              </w:rPr>
            </w:pPr>
            <w:r w:rsidRPr="00B00B8A">
              <w:rPr>
                <w:rFonts w:ascii="Arial" w:hAnsi="Arial" w:cs="Arial"/>
                <w:sz w:val="24"/>
                <w:szCs w:val="24"/>
              </w:rPr>
              <w:t xml:space="preserve">The </w:t>
            </w:r>
            <w:r w:rsidR="00F37064" w:rsidRPr="00B00B8A">
              <w:rPr>
                <w:rFonts w:ascii="Arial" w:hAnsi="Arial" w:cs="Arial"/>
                <w:sz w:val="24"/>
                <w:szCs w:val="24"/>
              </w:rPr>
              <w:t>section 3A</w:t>
            </w:r>
            <w:r w:rsidRPr="00B00B8A">
              <w:rPr>
                <w:rFonts w:ascii="Arial" w:hAnsi="Arial" w:cs="Arial"/>
                <w:sz w:val="24"/>
                <w:szCs w:val="24"/>
              </w:rPr>
              <w:t xml:space="preserve"> is based on </w:t>
            </w:r>
            <w:r w:rsidR="00F37064" w:rsidRPr="00B00B8A">
              <w:rPr>
                <w:rFonts w:ascii="Arial" w:hAnsi="Arial" w:cs="Arial"/>
                <w:sz w:val="24"/>
                <w:szCs w:val="24"/>
              </w:rPr>
              <w:t xml:space="preserve">provisions in Chapter 11 </w:t>
            </w:r>
            <w:r w:rsidRPr="00B00B8A">
              <w:rPr>
                <w:rFonts w:ascii="Arial" w:hAnsi="Arial" w:cs="Arial"/>
                <w:sz w:val="24"/>
                <w:szCs w:val="24"/>
              </w:rPr>
              <w:t>in the United Kingdom</w:t>
            </w:r>
            <w:r w:rsidR="006408D7" w:rsidRPr="00B00B8A">
              <w:rPr>
                <w:rFonts w:ascii="Arial" w:hAnsi="Arial" w:cs="Arial"/>
                <w:sz w:val="24"/>
                <w:szCs w:val="24"/>
              </w:rPr>
              <w:t xml:space="preserve"> </w:t>
            </w:r>
            <w:r w:rsidR="00F37064" w:rsidRPr="00B00B8A">
              <w:rPr>
                <w:rFonts w:ascii="Arial" w:hAnsi="Arial" w:cs="Arial"/>
                <w:sz w:val="24"/>
                <w:szCs w:val="24"/>
              </w:rPr>
              <w:t>Terrorism Act, 2006, in which the word “encourage” is also used.</w:t>
            </w:r>
          </w:p>
          <w:p w14:paraId="494184D0" w14:textId="77777777" w:rsidR="00F37064" w:rsidRPr="00B00B8A" w:rsidRDefault="00F37064" w:rsidP="00884761">
            <w:pPr>
              <w:jc w:val="both"/>
              <w:rPr>
                <w:rFonts w:ascii="Arial" w:hAnsi="Arial" w:cs="Arial"/>
                <w:b/>
                <w:sz w:val="24"/>
                <w:szCs w:val="24"/>
              </w:rPr>
            </w:pPr>
          </w:p>
          <w:p w14:paraId="57FC64D7" w14:textId="77777777" w:rsidR="009E7787" w:rsidRPr="00B00B8A" w:rsidRDefault="009E7787" w:rsidP="00884761">
            <w:pPr>
              <w:jc w:val="both"/>
              <w:rPr>
                <w:rFonts w:ascii="Arial" w:hAnsi="Arial" w:cs="Arial"/>
                <w:b/>
                <w:sz w:val="24"/>
                <w:szCs w:val="24"/>
              </w:rPr>
            </w:pPr>
          </w:p>
          <w:p w14:paraId="75C5BDFF" w14:textId="6FBBBF7C" w:rsidR="00F37064" w:rsidRPr="00B00B8A" w:rsidRDefault="00F37064" w:rsidP="006408D7">
            <w:pPr>
              <w:jc w:val="both"/>
              <w:rPr>
                <w:rFonts w:ascii="Arial" w:hAnsi="Arial" w:cs="Arial"/>
                <w:sz w:val="24"/>
                <w:szCs w:val="24"/>
              </w:rPr>
            </w:pPr>
            <w:r w:rsidRPr="00B00B8A">
              <w:rPr>
                <w:rFonts w:ascii="Arial" w:hAnsi="Arial" w:cs="Arial"/>
                <w:sz w:val="24"/>
                <w:szCs w:val="24"/>
              </w:rPr>
              <w:t>The Bill do</w:t>
            </w:r>
            <w:r w:rsidR="0045472E" w:rsidRPr="00B00B8A">
              <w:rPr>
                <w:rFonts w:ascii="Arial" w:hAnsi="Arial" w:cs="Arial"/>
                <w:sz w:val="24"/>
                <w:szCs w:val="24"/>
              </w:rPr>
              <w:t>es</w:t>
            </w:r>
            <w:r w:rsidRPr="00B00B8A">
              <w:rPr>
                <w:rFonts w:ascii="Arial" w:hAnsi="Arial" w:cs="Arial"/>
                <w:sz w:val="24"/>
                <w:szCs w:val="24"/>
              </w:rPr>
              <w:t xml:space="preserve"> not address only “terrorist acts” or the commission of the offence of </w:t>
            </w:r>
            <w:r w:rsidRPr="00B00B8A">
              <w:rPr>
                <w:rFonts w:ascii="Arial" w:hAnsi="Arial" w:cs="Arial"/>
                <w:sz w:val="24"/>
                <w:szCs w:val="24"/>
              </w:rPr>
              <w:lastRenderedPageBreak/>
              <w:t>terrorism, but also issues such as training</w:t>
            </w:r>
            <w:r w:rsidR="00A85935" w:rsidRPr="00B00B8A">
              <w:rPr>
                <w:rFonts w:ascii="Arial" w:hAnsi="Arial" w:cs="Arial"/>
                <w:sz w:val="24"/>
                <w:szCs w:val="24"/>
              </w:rPr>
              <w:t>, support of</w:t>
            </w:r>
            <w:r w:rsidR="006408D7" w:rsidRPr="00B00B8A">
              <w:rPr>
                <w:rFonts w:ascii="Arial" w:hAnsi="Arial" w:cs="Arial"/>
                <w:sz w:val="24"/>
                <w:szCs w:val="24"/>
              </w:rPr>
              <w:t xml:space="preserve"> </w:t>
            </w:r>
            <w:r w:rsidRPr="00B00B8A">
              <w:rPr>
                <w:rFonts w:ascii="Arial" w:hAnsi="Arial" w:cs="Arial"/>
                <w:sz w:val="24"/>
                <w:szCs w:val="24"/>
              </w:rPr>
              <w:t xml:space="preserve">and recruitment. </w:t>
            </w:r>
          </w:p>
        </w:tc>
      </w:tr>
      <w:tr w:rsidR="00C82146" w:rsidRPr="002F45E7" w14:paraId="3B24A48E" w14:textId="77777777" w:rsidTr="00F14186">
        <w:tc>
          <w:tcPr>
            <w:tcW w:w="1288" w:type="dxa"/>
          </w:tcPr>
          <w:p w14:paraId="0F1D26DA" w14:textId="77777777" w:rsidR="00C82146" w:rsidRPr="002F45E7" w:rsidRDefault="001B0AC8" w:rsidP="00884761">
            <w:pPr>
              <w:jc w:val="both"/>
              <w:rPr>
                <w:rFonts w:ascii="Arial" w:hAnsi="Arial" w:cs="Arial"/>
                <w:b/>
                <w:sz w:val="24"/>
                <w:szCs w:val="24"/>
              </w:rPr>
            </w:pPr>
            <w:r w:rsidRPr="002F45E7">
              <w:rPr>
                <w:rFonts w:ascii="Arial" w:hAnsi="Arial" w:cs="Arial"/>
                <w:b/>
                <w:sz w:val="24"/>
                <w:szCs w:val="24"/>
              </w:rPr>
              <w:lastRenderedPageBreak/>
              <w:t>5</w:t>
            </w:r>
          </w:p>
        </w:tc>
        <w:tc>
          <w:tcPr>
            <w:tcW w:w="1446" w:type="dxa"/>
          </w:tcPr>
          <w:p w14:paraId="6C683848" w14:textId="77777777" w:rsidR="00C82146" w:rsidRPr="002F45E7" w:rsidRDefault="001B0AC8" w:rsidP="00884761">
            <w:pPr>
              <w:jc w:val="both"/>
              <w:rPr>
                <w:rFonts w:ascii="Arial" w:hAnsi="Arial" w:cs="Arial"/>
                <w:b/>
                <w:sz w:val="24"/>
                <w:szCs w:val="24"/>
              </w:rPr>
            </w:pPr>
            <w:r w:rsidRPr="002F45E7">
              <w:rPr>
                <w:rFonts w:ascii="Arial" w:hAnsi="Arial" w:cs="Arial"/>
                <w:b/>
                <w:sz w:val="24"/>
                <w:szCs w:val="24"/>
              </w:rPr>
              <w:t>New section 4A</w:t>
            </w:r>
          </w:p>
        </w:tc>
        <w:tc>
          <w:tcPr>
            <w:tcW w:w="6759" w:type="dxa"/>
          </w:tcPr>
          <w:p w14:paraId="7544201C" w14:textId="77777777" w:rsidR="00C83F6A" w:rsidRPr="00B00B8A" w:rsidRDefault="001B0AC8" w:rsidP="00884761">
            <w:pPr>
              <w:jc w:val="both"/>
              <w:rPr>
                <w:rFonts w:ascii="Arial" w:hAnsi="Arial" w:cs="Arial"/>
                <w:sz w:val="24"/>
                <w:szCs w:val="24"/>
              </w:rPr>
            </w:pPr>
            <w:r w:rsidRPr="00B00B8A">
              <w:rPr>
                <w:rFonts w:ascii="Arial" w:hAnsi="Arial" w:cs="Arial"/>
                <w:sz w:val="24"/>
                <w:szCs w:val="24"/>
              </w:rPr>
              <w:t>5.3</w:t>
            </w:r>
            <w:r w:rsidR="00B9645C" w:rsidRPr="00B00B8A">
              <w:rPr>
                <w:rFonts w:ascii="Arial" w:hAnsi="Arial" w:cs="Arial"/>
                <w:sz w:val="24"/>
                <w:szCs w:val="24"/>
              </w:rPr>
              <w:t xml:space="preserve"> </w:t>
            </w:r>
            <w:r w:rsidRPr="00B00B8A">
              <w:rPr>
                <w:rFonts w:ascii="Arial" w:hAnsi="Arial" w:cs="Arial"/>
                <w:sz w:val="24"/>
                <w:szCs w:val="24"/>
              </w:rPr>
              <w:t xml:space="preserve">Insertion of clause 4A </w:t>
            </w:r>
          </w:p>
          <w:p w14:paraId="5190B90C" w14:textId="77777777" w:rsidR="00C83F6A" w:rsidRPr="00B00B8A" w:rsidRDefault="00C83F6A" w:rsidP="00884761">
            <w:pPr>
              <w:jc w:val="both"/>
              <w:rPr>
                <w:rFonts w:ascii="Arial" w:hAnsi="Arial" w:cs="Arial"/>
                <w:b/>
                <w:bCs/>
                <w:sz w:val="24"/>
                <w:szCs w:val="24"/>
              </w:rPr>
            </w:pPr>
            <w:r w:rsidRPr="00B00B8A">
              <w:rPr>
                <w:rFonts w:ascii="Arial" w:hAnsi="Arial" w:cs="Arial"/>
                <w:b/>
                <w:bCs/>
                <w:sz w:val="24"/>
                <w:szCs w:val="24"/>
              </w:rPr>
              <w:t>Offence relating to attempt to leave the Republic</w:t>
            </w:r>
          </w:p>
          <w:p w14:paraId="3817EA56" w14:textId="77777777" w:rsidR="00C83F6A" w:rsidRPr="00B00B8A" w:rsidRDefault="00C83F6A" w:rsidP="00884761">
            <w:pPr>
              <w:jc w:val="both"/>
              <w:rPr>
                <w:rFonts w:ascii="Arial" w:hAnsi="Arial" w:cs="Arial"/>
                <w:b/>
                <w:bCs/>
                <w:sz w:val="24"/>
                <w:szCs w:val="24"/>
              </w:rPr>
            </w:pPr>
          </w:p>
          <w:p w14:paraId="0885AB14" w14:textId="77777777" w:rsidR="001B0AC8" w:rsidRPr="00B00B8A" w:rsidRDefault="001B0AC8" w:rsidP="00B9645C">
            <w:pPr>
              <w:jc w:val="both"/>
              <w:rPr>
                <w:rFonts w:ascii="Arial" w:hAnsi="Arial" w:cs="Arial"/>
                <w:b/>
                <w:sz w:val="24"/>
                <w:szCs w:val="24"/>
              </w:rPr>
            </w:pPr>
            <w:r w:rsidRPr="00B00B8A">
              <w:rPr>
                <w:rFonts w:ascii="Arial" w:hAnsi="Arial" w:cs="Arial"/>
                <w:sz w:val="24"/>
                <w:szCs w:val="24"/>
              </w:rPr>
              <w:t>5.3.1</w:t>
            </w:r>
            <w:r w:rsidR="00B9645C" w:rsidRPr="00B00B8A">
              <w:rPr>
                <w:rFonts w:ascii="Arial" w:hAnsi="Arial" w:cs="Arial"/>
                <w:sz w:val="24"/>
                <w:szCs w:val="24"/>
              </w:rPr>
              <w:t xml:space="preserve"> </w:t>
            </w:r>
            <w:r w:rsidRPr="00B00B8A">
              <w:rPr>
                <w:rFonts w:ascii="Arial" w:hAnsi="Arial" w:cs="Arial"/>
                <w:sz w:val="24"/>
                <w:szCs w:val="24"/>
              </w:rPr>
              <w:t xml:space="preserve">Unjustifiable violation of freedom of movement and unnecessary duplication of pre-existing offence captured in other legislation. </w:t>
            </w:r>
          </w:p>
        </w:tc>
        <w:tc>
          <w:tcPr>
            <w:tcW w:w="3457" w:type="dxa"/>
          </w:tcPr>
          <w:p w14:paraId="24C3EF87" w14:textId="77777777" w:rsidR="00143E12" w:rsidRPr="00B00B8A" w:rsidRDefault="00143E12" w:rsidP="00A057B1">
            <w:pPr>
              <w:jc w:val="both"/>
              <w:rPr>
                <w:rFonts w:ascii="Arial" w:hAnsi="Arial" w:cs="Arial"/>
                <w:sz w:val="24"/>
                <w:szCs w:val="24"/>
                <w:lang w:val="en-ZA"/>
              </w:rPr>
            </w:pPr>
            <w:r w:rsidRPr="00B00B8A">
              <w:rPr>
                <w:rFonts w:ascii="Arial" w:hAnsi="Arial" w:cs="Arial"/>
                <w:sz w:val="24"/>
                <w:szCs w:val="24"/>
                <w:lang w:val="en-ZA"/>
              </w:rPr>
              <w:t>The provision is necessary to provide legal certainty that the South African law criminalises situations where persons abuse the freedom of movement and use the South African territory as a springboard to join foreign terrorist organisations or further their objectives.</w:t>
            </w:r>
          </w:p>
          <w:p w14:paraId="52D3922F" w14:textId="4730589A" w:rsidR="00A057B1" w:rsidRPr="00B00B8A" w:rsidRDefault="00A057B1" w:rsidP="00A057B1">
            <w:pPr>
              <w:jc w:val="both"/>
              <w:rPr>
                <w:rFonts w:ascii="Arial" w:hAnsi="Arial" w:cs="Arial"/>
                <w:sz w:val="24"/>
                <w:szCs w:val="24"/>
              </w:rPr>
            </w:pPr>
            <w:r w:rsidRPr="00B00B8A">
              <w:rPr>
                <w:rFonts w:ascii="Arial" w:hAnsi="Arial" w:cs="Arial"/>
                <w:sz w:val="24"/>
                <w:szCs w:val="24"/>
              </w:rPr>
              <w:t>The United Nations Counter-terrorism Executive Directorate (UN-CTED) pointed out in its compliance Report following their follow-up visit from 7 – 9 May 2008: PRIORITY ACTION RECOMMENDED</w:t>
            </w:r>
          </w:p>
          <w:p w14:paraId="0B00DCD6" w14:textId="199BEAB8" w:rsidR="00C82146" w:rsidRPr="00B00B8A" w:rsidRDefault="00A057B1" w:rsidP="00A057B1">
            <w:pPr>
              <w:jc w:val="both"/>
              <w:rPr>
                <w:rFonts w:ascii="Arial" w:hAnsi="Arial" w:cs="Arial"/>
                <w:sz w:val="24"/>
                <w:szCs w:val="24"/>
              </w:rPr>
            </w:pPr>
            <w:r w:rsidRPr="00B00B8A">
              <w:rPr>
                <w:rFonts w:ascii="Arial" w:hAnsi="Arial" w:cs="Arial"/>
                <w:sz w:val="24"/>
                <w:szCs w:val="24"/>
              </w:rPr>
              <w:t xml:space="preserve">3. Criminalize autonomously, in accordance with Council resolutions 2178 (2014) and 2396 (2017), </w:t>
            </w:r>
            <w:r w:rsidRPr="00B00B8A">
              <w:rPr>
                <w:rFonts w:ascii="Arial" w:hAnsi="Arial" w:cs="Arial"/>
                <w:sz w:val="24"/>
                <w:szCs w:val="24"/>
                <w:u w:val="single"/>
              </w:rPr>
              <w:t>travel or attempted travel</w:t>
            </w:r>
            <w:r w:rsidRPr="00B00B8A">
              <w:rPr>
                <w:rFonts w:ascii="Arial" w:hAnsi="Arial" w:cs="Arial"/>
                <w:sz w:val="24"/>
                <w:szCs w:val="24"/>
              </w:rPr>
              <w:t xml:space="preserve"> to another State for the purpose of the perpetration, planning, preparation of, or participation </w:t>
            </w:r>
            <w:r w:rsidRPr="00B00B8A">
              <w:rPr>
                <w:rFonts w:ascii="Arial" w:hAnsi="Arial" w:cs="Arial"/>
                <w:sz w:val="24"/>
                <w:szCs w:val="24"/>
              </w:rPr>
              <w:lastRenderedPageBreak/>
              <w:t>in, terrorist acts, or participation in training.</w:t>
            </w:r>
          </w:p>
        </w:tc>
      </w:tr>
      <w:tr w:rsidR="00023078" w:rsidRPr="002F45E7" w14:paraId="534260C4" w14:textId="77777777" w:rsidTr="00F14186">
        <w:tc>
          <w:tcPr>
            <w:tcW w:w="1288" w:type="dxa"/>
          </w:tcPr>
          <w:p w14:paraId="07C9B8E0" w14:textId="77777777" w:rsidR="00023078" w:rsidRPr="002F45E7" w:rsidRDefault="00304FB4" w:rsidP="00884761">
            <w:pPr>
              <w:jc w:val="both"/>
              <w:rPr>
                <w:rFonts w:ascii="Arial" w:hAnsi="Arial" w:cs="Arial"/>
                <w:b/>
                <w:sz w:val="24"/>
                <w:szCs w:val="24"/>
              </w:rPr>
            </w:pPr>
            <w:r w:rsidRPr="002F45E7">
              <w:rPr>
                <w:rFonts w:ascii="Arial" w:hAnsi="Arial" w:cs="Arial"/>
                <w:b/>
                <w:sz w:val="24"/>
                <w:szCs w:val="24"/>
              </w:rPr>
              <w:lastRenderedPageBreak/>
              <w:t>17</w:t>
            </w:r>
          </w:p>
        </w:tc>
        <w:tc>
          <w:tcPr>
            <w:tcW w:w="1446" w:type="dxa"/>
          </w:tcPr>
          <w:p w14:paraId="60C62252" w14:textId="77777777" w:rsidR="00023078" w:rsidRPr="002F45E7" w:rsidRDefault="00304FB4" w:rsidP="00884761">
            <w:pPr>
              <w:jc w:val="both"/>
              <w:rPr>
                <w:rFonts w:ascii="Arial" w:hAnsi="Arial" w:cs="Arial"/>
                <w:b/>
                <w:sz w:val="24"/>
                <w:szCs w:val="24"/>
              </w:rPr>
            </w:pPr>
            <w:r w:rsidRPr="002F45E7">
              <w:rPr>
                <w:rFonts w:ascii="Arial" w:hAnsi="Arial" w:cs="Arial"/>
                <w:b/>
                <w:sz w:val="24"/>
                <w:szCs w:val="24"/>
              </w:rPr>
              <w:t>18</w:t>
            </w:r>
          </w:p>
        </w:tc>
        <w:tc>
          <w:tcPr>
            <w:tcW w:w="6759" w:type="dxa"/>
          </w:tcPr>
          <w:p w14:paraId="2C1F7F6E" w14:textId="77777777" w:rsidR="006279B0" w:rsidRPr="00B00B8A" w:rsidRDefault="006279B0" w:rsidP="00884761">
            <w:pPr>
              <w:jc w:val="both"/>
              <w:rPr>
                <w:rFonts w:ascii="Arial" w:hAnsi="Arial" w:cs="Arial"/>
                <w:sz w:val="24"/>
                <w:szCs w:val="24"/>
              </w:rPr>
            </w:pPr>
            <w:r w:rsidRPr="00B00B8A">
              <w:rPr>
                <w:rFonts w:ascii="Arial" w:hAnsi="Arial" w:cs="Arial"/>
                <w:sz w:val="24"/>
                <w:szCs w:val="24"/>
              </w:rPr>
              <w:t>Amendment of clause 18</w:t>
            </w:r>
          </w:p>
          <w:p w14:paraId="4F68580E" w14:textId="77777777" w:rsidR="006279B0" w:rsidRPr="00B00B8A" w:rsidRDefault="006279B0" w:rsidP="00884761">
            <w:pPr>
              <w:jc w:val="both"/>
              <w:rPr>
                <w:rFonts w:ascii="Arial" w:hAnsi="Arial" w:cs="Arial"/>
                <w:b/>
                <w:sz w:val="24"/>
                <w:szCs w:val="24"/>
              </w:rPr>
            </w:pPr>
            <w:r w:rsidRPr="00B00B8A">
              <w:rPr>
                <w:rFonts w:ascii="Arial" w:hAnsi="Arial" w:cs="Arial"/>
                <w:b/>
                <w:sz w:val="24"/>
                <w:szCs w:val="24"/>
              </w:rPr>
              <w:t>Penalties</w:t>
            </w:r>
          </w:p>
          <w:p w14:paraId="7106FAA8" w14:textId="77777777" w:rsidR="006279B0" w:rsidRPr="00B00B8A" w:rsidRDefault="006279B0" w:rsidP="00884761">
            <w:pPr>
              <w:jc w:val="both"/>
              <w:rPr>
                <w:rFonts w:ascii="Arial" w:hAnsi="Arial" w:cs="Arial"/>
                <w:b/>
                <w:sz w:val="24"/>
                <w:szCs w:val="24"/>
              </w:rPr>
            </w:pPr>
          </w:p>
          <w:p w14:paraId="33CAFC9D" w14:textId="77777777" w:rsidR="00304FB4" w:rsidRPr="00B00B8A" w:rsidRDefault="00304FB4" w:rsidP="00884761">
            <w:pPr>
              <w:jc w:val="both"/>
              <w:rPr>
                <w:rFonts w:ascii="Arial" w:hAnsi="Arial" w:cs="Arial"/>
                <w:sz w:val="24"/>
                <w:szCs w:val="24"/>
              </w:rPr>
            </w:pPr>
            <w:r w:rsidRPr="00B00B8A">
              <w:rPr>
                <w:rFonts w:ascii="Arial" w:hAnsi="Arial" w:cs="Arial"/>
                <w:sz w:val="24"/>
                <w:szCs w:val="24"/>
              </w:rPr>
              <w:t xml:space="preserve">34.3 </w:t>
            </w:r>
            <w:r w:rsidR="006279B0" w:rsidRPr="00B00B8A">
              <w:rPr>
                <w:rFonts w:ascii="Arial" w:hAnsi="Arial" w:cs="Arial"/>
                <w:sz w:val="24"/>
                <w:szCs w:val="24"/>
              </w:rPr>
              <w:t>T</w:t>
            </w:r>
            <w:r w:rsidRPr="00B00B8A">
              <w:rPr>
                <w:rFonts w:ascii="Arial" w:hAnsi="Arial" w:cs="Arial"/>
                <w:sz w:val="24"/>
                <w:szCs w:val="24"/>
              </w:rPr>
              <w:t xml:space="preserve">he Amendment </w:t>
            </w:r>
            <w:r w:rsidRPr="00B00B8A">
              <w:rPr>
                <w:rFonts w:ascii="Arial" w:hAnsi="Arial" w:cs="Arial"/>
                <w:b/>
                <w:bCs/>
                <w:sz w:val="24"/>
                <w:szCs w:val="24"/>
              </w:rPr>
              <w:t>proposes severe increases in</w:t>
            </w:r>
            <w:r w:rsidR="006279B0" w:rsidRPr="00B00B8A">
              <w:rPr>
                <w:rFonts w:ascii="Arial" w:hAnsi="Arial" w:cs="Arial"/>
                <w:b/>
                <w:bCs/>
                <w:sz w:val="24"/>
                <w:szCs w:val="24"/>
              </w:rPr>
              <w:t xml:space="preserve"> </w:t>
            </w:r>
            <w:r w:rsidRPr="00B00B8A">
              <w:rPr>
                <w:rFonts w:ascii="Arial" w:hAnsi="Arial" w:cs="Arial"/>
                <w:b/>
                <w:bCs/>
                <w:sz w:val="24"/>
                <w:szCs w:val="24"/>
              </w:rPr>
              <w:t xml:space="preserve">         sentence for offences thereunder. </w:t>
            </w:r>
          </w:p>
          <w:p w14:paraId="0D49D700" w14:textId="77777777" w:rsidR="00304FB4" w:rsidRPr="00B00B8A" w:rsidRDefault="00304FB4" w:rsidP="00884761">
            <w:pPr>
              <w:jc w:val="both"/>
              <w:rPr>
                <w:rFonts w:ascii="Arial" w:hAnsi="Arial" w:cs="Arial"/>
                <w:sz w:val="24"/>
                <w:szCs w:val="24"/>
              </w:rPr>
            </w:pPr>
          </w:p>
          <w:p w14:paraId="64C9C4CF" w14:textId="77777777" w:rsidR="00023078" w:rsidRPr="00B00B8A" w:rsidRDefault="00023078" w:rsidP="00884761">
            <w:pPr>
              <w:jc w:val="both"/>
              <w:rPr>
                <w:rFonts w:ascii="Arial" w:hAnsi="Arial" w:cs="Arial"/>
                <w:sz w:val="24"/>
                <w:szCs w:val="24"/>
              </w:rPr>
            </w:pPr>
          </w:p>
        </w:tc>
        <w:tc>
          <w:tcPr>
            <w:tcW w:w="3457" w:type="dxa"/>
          </w:tcPr>
          <w:p w14:paraId="7B2BBC40" w14:textId="77777777" w:rsidR="00143E12" w:rsidRPr="00B00B8A" w:rsidRDefault="00143E12" w:rsidP="00884761">
            <w:pPr>
              <w:jc w:val="both"/>
              <w:rPr>
                <w:rFonts w:ascii="Arial" w:hAnsi="Arial" w:cs="Arial"/>
                <w:sz w:val="24"/>
                <w:szCs w:val="24"/>
              </w:rPr>
            </w:pPr>
            <w:r w:rsidRPr="00B00B8A">
              <w:rPr>
                <w:rFonts w:ascii="Arial" w:hAnsi="Arial" w:cs="Arial"/>
                <w:sz w:val="24"/>
                <w:szCs w:val="24"/>
              </w:rPr>
              <w:t>The amendment relating to the penalties for terrorist financing offences is necessary to establish parity with equally serious offences of the POC Act such as the offence of money laundering.</w:t>
            </w:r>
          </w:p>
          <w:p w14:paraId="2B9020AD" w14:textId="6DE6BAC1" w:rsidR="00023078" w:rsidRPr="00B00B8A" w:rsidRDefault="00A93D7B" w:rsidP="007B4D08">
            <w:pPr>
              <w:jc w:val="both"/>
              <w:rPr>
                <w:rFonts w:ascii="Arial" w:hAnsi="Arial" w:cs="Arial"/>
                <w:sz w:val="24"/>
                <w:szCs w:val="24"/>
              </w:rPr>
            </w:pPr>
            <w:r w:rsidRPr="00B00B8A">
              <w:rPr>
                <w:rFonts w:ascii="Arial" w:hAnsi="Arial" w:cs="Arial"/>
                <w:sz w:val="24"/>
                <w:szCs w:val="24"/>
              </w:rPr>
              <w:t>The United Nations Counter-terrorism Executive Directorate (UN-CTED) pointed out in its compliance Report following their follow-up visit from 7 – 9 May 2008: “33. The ‘terrorism-financing’ offence defined in section 4 of the POCDATARA is punishable, by its article 18 (1)(c) (i), by a sanction not exceeding 15 years’ imprisonment or a fine not exceeding R100 million (c. $7.5 million)</w:t>
            </w:r>
            <w:r w:rsidR="007B4D08" w:rsidRPr="00B00B8A">
              <w:rPr>
                <w:rFonts w:ascii="Arial" w:hAnsi="Arial" w:cs="Arial"/>
                <w:sz w:val="24"/>
                <w:szCs w:val="24"/>
              </w:rPr>
              <w:t>. T</w:t>
            </w:r>
            <w:r w:rsidRPr="00B00B8A">
              <w:rPr>
                <w:rFonts w:ascii="Arial" w:hAnsi="Arial" w:cs="Arial"/>
                <w:sz w:val="24"/>
                <w:szCs w:val="24"/>
              </w:rPr>
              <w:t>he interpretation of the relevant TF offences and related offences should be clarified in the POCDATARA independently from any linking to the offences stipulated under POCA (see recommendation 10).”.</w:t>
            </w:r>
            <w:r w:rsidR="00A057B1" w:rsidRPr="00B00B8A">
              <w:rPr>
                <w:rFonts w:ascii="Arial" w:hAnsi="Arial" w:cs="Arial"/>
                <w:sz w:val="24"/>
                <w:szCs w:val="24"/>
              </w:rPr>
              <w:t xml:space="preserve"> </w:t>
            </w:r>
            <w:r w:rsidR="00A057B1" w:rsidRPr="00B00B8A">
              <w:rPr>
                <w:rFonts w:ascii="Arial" w:hAnsi="Arial" w:cs="Arial"/>
                <w:sz w:val="24"/>
                <w:szCs w:val="24"/>
              </w:rPr>
              <w:lastRenderedPageBreak/>
              <w:t>Recommendation 10: Clarify and align the scope of penalties for the terrorism-financing offence with the sanctions provided for money-laundering in the POCDATARA and the sanctions provided for in the Prevention of Organized Crime Act 121 of 1998.</w:t>
            </w:r>
          </w:p>
        </w:tc>
      </w:tr>
      <w:tr w:rsidR="00C82146" w:rsidRPr="002F45E7" w14:paraId="34E67A2A" w14:textId="77777777" w:rsidTr="00F14186">
        <w:tc>
          <w:tcPr>
            <w:tcW w:w="1288" w:type="dxa"/>
          </w:tcPr>
          <w:p w14:paraId="348729D4" w14:textId="77777777" w:rsidR="00C82146" w:rsidRPr="002F45E7" w:rsidRDefault="00304FB4" w:rsidP="00884761">
            <w:pPr>
              <w:jc w:val="both"/>
              <w:rPr>
                <w:rFonts w:ascii="Arial" w:hAnsi="Arial" w:cs="Arial"/>
                <w:b/>
                <w:sz w:val="24"/>
                <w:szCs w:val="24"/>
              </w:rPr>
            </w:pPr>
            <w:r w:rsidRPr="002F45E7">
              <w:rPr>
                <w:rFonts w:ascii="Arial" w:hAnsi="Arial" w:cs="Arial"/>
                <w:b/>
                <w:sz w:val="24"/>
                <w:szCs w:val="24"/>
              </w:rPr>
              <w:lastRenderedPageBreak/>
              <w:t>18</w:t>
            </w:r>
          </w:p>
        </w:tc>
        <w:tc>
          <w:tcPr>
            <w:tcW w:w="1446" w:type="dxa"/>
          </w:tcPr>
          <w:p w14:paraId="405C6FB3" w14:textId="77777777" w:rsidR="00C82146" w:rsidRPr="002F45E7" w:rsidRDefault="001B0AC8" w:rsidP="00884761">
            <w:pPr>
              <w:jc w:val="both"/>
              <w:rPr>
                <w:rFonts w:ascii="Arial" w:hAnsi="Arial" w:cs="Arial"/>
                <w:b/>
                <w:sz w:val="24"/>
                <w:szCs w:val="24"/>
              </w:rPr>
            </w:pPr>
            <w:r w:rsidRPr="002F45E7">
              <w:rPr>
                <w:rFonts w:ascii="Arial" w:hAnsi="Arial" w:cs="Arial"/>
                <w:b/>
                <w:sz w:val="24"/>
                <w:szCs w:val="24"/>
              </w:rPr>
              <w:t>23(2)(a)</w:t>
            </w:r>
          </w:p>
        </w:tc>
        <w:tc>
          <w:tcPr>
            <w:tcW w:w="6759" w:type="dxa"/>
          </w:tcPr>
          <w:p w14:paraId="3535FD05" w14:textId="77777777" w:rsidR="00B9645C" w:rsidRPr="00B00B8A" w:rsidRDefault="00B9645C" w:rsidP="00B9645C">
            <w:pPr>
              <w:jc w:val="both"/>
              <w:rPr>
                <w:rFonts w:ascii="Arial" w:hAnsi="Arial" w:cs="Arial"/>
                <w:sz w:val="24"/>
                <w:szCs w:val="24"/>
              </w:rPr>
            </w:pPr>
            <w:r w:rsidRPr="00B00B8A">
              <w:rPr>
                <w:rFonts w:ascii="Arial" w:hAnsi="Arial" w:cs="Arial"/>
                <w:sz w:val="24"/>
                <w:szCs w:val="24"/>
              </w:rPr>
              <w:t>5.4 Amendment of s23(2)(a)</w:t>
            </w:r>
          </w:p>
          <w:p w14:paraId="73387E3B" w14:textId="77777777" w:rsidR="00304FB4" w:rsidRPr="00B00B8A" w:rsidRDefault="00304FB4" w:rsidP="00884761">
            <w:pPr>
              <w:jc w:val="both"/>
              <w:rPr>
                <w:rFonts w:ascii="Arial" w:hAnsi="Arial" w:cs="Arial"/>
                <w:sz w:val="24"/>
                <w:szCs w:val="24"/>
              </w:rPr>
            </w:pPr>
            <w:r w:rsidRPr="00B00B8A">
              <w:rPr>
                <w:rFonts w:ascii="Arial" w:hAnsi="Arial" w:cs="Arial"/>
                <w:b/>
                <w:bCs/>
                <w:sz w:val="24"/>
                <w:szCs w:val="24"/>
              </w:rPr>
              <w:t xml:space="preserve">Freezing Orders </w:t>
            </w:r>
            <w:r w:rsidRPr="00B00B8A">
              <w:rPr>
                <w:rFonts w:ascii="Arial" w:hAnsi="Arial" w:cs="Arial"/>
                <w:sz w:val="24"/>
                <w:szCs w:val="24"/>
              </w:rPr>
              <w:t>– “</w:t>
            </w:r>
            <w:r w:rsidRPr="00B00B8A">
              <w:rPr>
                <w:rFonts w:ascii="Arial" w:hAnsi="Arial" w:cs="Arial"/>
                <w:b/>
                <w:bCs/>
                <w:sz w:val="24"/>
                <w:szCs w:val="24"/>
              </w:rPr>
              <w:t>reasonable grounds</w:t>
            </w:r>
            <w:r w:rsidRPr="00B00B8A">
              <w:rPr>
                <w:rFonts w:ascii="Arial" w:hAnsi="Arial" w:cs="Arial"/>
                <w:sz w:val="24"/>
                <w:szCs w:val="24"/>
              </w:rPr>
              <w:t xml:space="preserve">’ </w:t>
            </w:r>
          </w:p>
          <w:p w14:paraId="594FA055" w14:textId="77777777" w:rsidR="00304FB4" w:rsidRPr="00B00B8A" w:rsidRDefault="00304FB4" w:rsidP="00884761">
            <w:pPr>
              <w:jc w:val="both"/>
              <w:rPr>
                <w:rFonts w:ascii="Arial" w:hAnsi="Arial" w:cs="Arial"/>
                <w:sz w:val="24"/>
                <w:szCs w:val="24"/>
              </w:rPr>
            </w:pPr>
          </w:p>
          <w:p w14:paraId="5EC6C34E" w14:textId="77777777" w:rsidR="001B0AC8" w:rsidRPr="00B00B8A" w:rsidRDefault="001B0AC8" w:rsidP="00884761">
            <w:pPr>
              <w:jc w:val="both"/>
              <w:rPr>
                <w:rFonts w:ascii="Arial" w:hAnsi="Arial" w:cs="Arial"/>
                <w:sz w:val="24"/>
                <w:szCs w:val="24"/>
              </w:rPr>
            </w:pPr>
            <w:r w:rsidRPr="00B00B8A">
              <w:rPr>
                <w:rFonts w:ascii="Arial" w:hAnsi="Arial" w:cs="Arial"/>
                <w:sz w:val="24"/>
                <w:szCs w:val="24"/>
              </w:rPr>
              <w:t>5.4.1</w:t>
            </w:r>
            <w:r w:rsidR="00B9645C" w:rsidRPr="00B00B8A">
              <w:rPr>
                <w:rFonts w:ascii="Arial" w:hAnsi="Arial" w:cs="Arial"/>
                <w:sz w:val="24"/>
                <w:szCs w:val="24"/>
              </w:rPr>
              <w:t xml:space="preserve"> </w:t>
            </w:r>
            <w:r w:rsidRPr="00B00B8A">
              <w:rPr>
                <w:rFonts w:ascii="Arial" w:hAnsi="Arial" w:cs="Arial"/>
                <w:sz w:val="24"/>
                <w:szCs w:val="24"/>
              </w:rPr>
              <w:t xml:space="preserve">‘Reasonably be regarded’ introduces a form of negligence as sufficient </w:t>
            </w:r>
            <w:r w:rsidRPr="00B00B8A">
              <w:rPr>
                <w:rFonts w:ascii="Arial" w:hAnsi="Arial" w:cs="Arial"/>
                <w:i/>
                <w:iCs/>
                <w:sz w:val="24"/>
                <w:szCs w:val="24"/>
              </w:rPr>
              <w:t xml:space="preserve">mens rea </w:t>
            </w:r>
            <w:r w:rsidRPr="00B00B8A">
              <w:rPr>
                <w:rFonts w:ascii="Arial" w:hAnsi="Arial" w:cs="Arial"/>
                <w:sz w:val="24"/>
                <w:szCs w:val="24"/>
              </w:rPr>
              <w:t xml:space="preserve">for criminal liability – see above. Overextends the power of police officials. </w:t>
            </w:r>
          </w:p>
          <w:p w14:paraId="0A3F6CCB" w14:textId="2C96B384" w:rsidR="00D55CF1" w:rsidRPr="00B00B8A" w:rsidRDefault="00D55CF1" w:rsidP="00884761">
            <w:pPr>
              <w:jc w:val="both"/>
              <w:rPr>
                <w:rFonts w:ascii="Arial" w:hAnsi="Arial" w:cs="Arial"/>
                <w:sz w:val="24"/>
                <w:szCs w:val="24"/>
              </w:rPr>
            </w:pPr>
          </w:p>
          <w:p w14:paraId="2C719610" w14:textId="1C96A5C0" w:rsidR="001953CA" w:rsidRPr="00B00B8A" w:rsidRDefault="001953CA" w:rsidP="00884761">
            <w:pPr>
              <w:jc w:val="both"/>
              <w:rPr>
                <w:rFonts w:ascii="Arial" w:hAnsi="Arial" w:cs="Arial"/>
                <w:sz w:val="24"/>
                <w:szCs w:val="24"/>
              </w:rPr>
            </w:pPr>
          </w:p>
          <w:p w14:paraId="5A618A98" w14:textId="6B0ECCDF" w:rsidR="001953CA" w:rsidRPr="00B00B8A" w:rsidRDefault="001953CA" w:rsidP="00884761">
            <w:pPr>
              <w:jc w:val="both"/>
              <w:rPr>
                <w:rFonts w:ascii="Arial" w:hAnsi="Arial" w:cs="Arial"/>
                <w:sz w:val="24"/>
                <w:szCs w:val="24"/>
              </w:rPr>
            </w:pPr>
          </w:p>
          <w:p w14:paraId="31D6772E" w14:textId="0BA6F668" w:rsidR="001953CA" w:rsidRPr="00B00B8A" w:rsidRDefault="001953CA" w:rsidP="00884761">
            <w:pPr>
              <w:jc w:val="both"/>
              <w:rPr>
                <w:rFonts w:ascii="Arial" w:hAnsi="Arial" w:cs="Arial"/>
                <w:sz w:val="24"/>
                <w:szCs w:val="24"/>
              </w:rPr>
            </w:pPr>
          </w:p>
          <w:p w14:paraId="1F47AD54" w14:textId="1BD1362D" w:rsidR="001953CA" w:rsidRPr="00B00B8A" w:rsidRDefault="001953CA" w:rsidP="00884761">
            <w:pPr>
              <w:jc w:val="both"/>
              <w:rPr>
                <w:rFonts w:ascii="Arial" w:hAnsi="Arial" w:cs="Arial"/>
                <w:sz w:val="24"/>
                <w:szCs w:val="24"/>
              </w:rPr>
            </w:pPr>
          </w:p>
          <w:p w14:paraId="44181AD7" w14:textId="6BCA7050" w:rsidR="001953CA" w:rsidRPr="00B00B8A" w:rsidRDefault="001953CA" w:rsidP="00884761">
            <w:pPr>
              <w:jc w:val="both"/>
              <w:rPr>
                <w:rFonts w:ascii="Arial" w:hAnsi="Arial" w:cs="Arial"/>
                <w:sz w:val="24"/>
                <w:szCs w:val="24"/>
              </w:rPr>
            </w:pPr>
          </w:p>
          <w:p w14:paraId="50438E78" w14:textId="4ABD7087" w:rsidR="001953CA" w:rsidRPr="00B00B8A" w:rsidRDefault="001953CA" w:rsidP="00884761">
            <w:pPr>
              <w:jc w:val="both"/>
              <w:rPr>
                <w:rFonts w:ascii="Arial" w:hAnsi="Arial" w:cs="Arial"/>
                <w:sz w:val="24"/>
                <w:szCs w:val="24"/>
              </w:rPr>
            </w:pPr>
          </w:p>
          <w:p w14:paraId="6092CA33" w14:textId="7A63FA97" w:rsidR="001953CA" w:rsidRPr="00B00B8A" w:rsidRDefault="001953CA" w:rsidP="00884761">
            <w:pPr>
              <w:jc w:val="both"/>
              <w:rPr>
                <w:rFonts w:ascii="Arial" w:hAnsi="Arial" w:cs="Arial"/>
                <w:sz w:val="24"/>
                <w:szCs w:val="24"/>
              </w:rPr>
            </w:pPr>
          </w:p>
          <w:p w14:paraId="68915A8E" w14:textId="2B4BE26A" w:rsidR="001953CA" w:rsidRPr="00B00B8A" w:rsidRDefault="001953CA" w:rsidP="00884761">
            <w:pPr>
              <w:jc w:val="both"/>
              <w:rPr>
                <w:rFonts w:ascii="Arial" w:hAnsi="Arial" w:cs="Arial"/>
                <w:sz w:val="24"/>
                <w:szCs w:val="24"/>
              </w:rPr>
            </w:pPr>
          </w:p>
          <w:p w14:paraId="1939B468" w14:textId="55CAC096" w:rsidR="001953CA" w:rsidRPr="00B00B8A" w:rsidRDefault="001953CA" w:rsidP="00884761">
            <w:pPr>
              <w:jc w:val="both"/>
              <w:rPr>
                <w:rFonts w:ascii="Arial" w:hAnsi="Arial" w:cs="Arial"/>
                <w:sz w:val="24"/>
                <w:szCs w:val="24"/>
              </w:rPr>
            </w:pPr>
          </w:p>
          <w:p w14:paraId="5E4B2D48" w14:textId="0515077D" w:rsidR="001953CA" w:rsidRPr="00B00B8A" w:rsidRDefault="001953CA" w:rsidP="00884761">
            <w:pPr>
              <w:jc w:val="both"/>
              <w:rPr>
                <w:rFonts w:ascii="Arial" w:hAnsi="Arial" w:cs="Arial"/>
                <w:sz w:val="24"/>
                <w:szCs w:val="24"/>
              </w:rPr>
            </w:pPr>
          </w:p>
          <w:p w14:paraId="12CD0235" w14:textId="5DDA5CC8" w:rsidR="001953CA" w:rsidRPr="00B00B8A" w:rsidRDefault="001953CA" w:rsidP="00884761">
            <w:pPr>
              <w:jc w:val="both"/>
              <w:rPr>
                <w:rFonts w:ascii="Arial" w:hAnsi="Arial" w:cs="Arial"/>
                <w:sz w:val="24"/>
                <w:szCs w:val="24"/>
              </w:rPr>
            </w:pPr>
          </w:p>
          <w:p w14:paraId="1D2640F8" w14:textId="5F973B8A" w:rsidR="001953CA" w:rsidRPr="00B00B8A" w:rsidRDefault="001953CA" w:rsidP="00884761">
            <w:pPr>
              <w:jc w:val="both"/>
              <w:rPr>
                <w:rFonts w:ascii="Arial" w:hAnsi="Arial" w:cs="Arial"/>
                <w:sz w:val="24"/>
                <w:szCs w:val="24"/>
              </w:rPr>
            </w:pPr>
          </w:p>
          <w:p w14:paraId="47D407FB" w14:textId="2C4302C6" w:rsidR="001953CA" w:rsidRPr="00B00B8A" w:rsidRDefault="001953CA" w:rsidP="00884761">
            <w:pPr>
              <w:jc w:val="both"/>
              <w:rPr>
                <w:rFonts w:ascii="Arial" w:hAnsi="Arial" w:cs="Arial"/>
                <w:sz w:val="24"/>
                <w:szCs w:val="24"/>
              </w:rPr>
            </w:pPr>
          </w:p>
          <w:p w14:paraId="21CE308F" w14:textId="7E29B47D" w:rsidR="001953CA" w:rsidRPr="00B00B8A" w:rsidRDefault="001953CA" w:rsidP="00884761">
            <w:pPr>
              <w:jc w:val="both"/>
              <w:rPr>
                <w:rFonts w:ascii="Arial" w:hAnsi="Arial" w:cs="Arial"/>
                <w:sz w:val="24"/>
                <w:szCs w:val="24"/>
              </w:rPr>
            </w:pPr>
          </w:p>
          <w:p w14:paraId="20FE17BF" w14:textId="4EE1C96F" w:rsidR="001953CA" w:rsidRPr="00B00B8A" w:rsidRDefault="001953CA" w:rsidP="00884761">
            <w:pPr>
              <w:jc w:val="both"/>
              <w:rPr>
                <w:rFonts w:ascii="Arial" w:hAnsi="Arial" w:cs="Arial"/>
                <w:sz w:val="24"/>
                <w:szCs w:val="24"/>
              </w:rPr>
            </w:pPr>
          </w:p>
          <w:p w14:paraId="46F9995D" w14:textId="707D7028" w:rsidR="001953CA" w:rsidRPr="00B00B8A" w:rsidRDefault="001953CA" w:rsidP="00884761">
            <w:pPr>
              <w:jc w:val="both"/>
              <w:rPr>
                <w:rFonts w:ascii="Arial" w:hAnsi="Arial" w:cs="Arial"/>
                <w:sz w:val="24"/>
                <w:szCs w:val="24"/>
              </w:rPr>
            </w:pPr>
          </w:p>
          <w:p w14:paraId="1744938A" w14:textId="3CDCC2EA" w:rsidR="001953CA" w:rsidRPr="00B00B8A" w:rsidRDefault="001953CA" w:rsidP="00884761">
            <w:pPr>
              <w:jc w:val="both"/>
              <w:rPr>
                <w:rFonts w:ascii="Arial" w:hAnsi="Arial" w:cs="Arial"/>
                <w:sz w:val="24"/>
                <w:szCs w:val="24"/>
              </w:rPr>
            </w:pPr>
          </w:p>
          <w:p w14:paraId="7C2E642B" w14:textId="1AC5CBAC" w:rsidR="001953CA" w:rsidRPr="00B00B8A" w:rsidRDefault="001953CA" w:rsidP="00884761">
            <w:pPr>
              <w:jc w:val="both"/>
              <w:rPr>
                <w:rFonts w:ascii="Arial" w:hAnsi="Arial" w:cs="Arial"/>
                <w:sz w:val="24"/>
                <w:szCs w:val="24"/>
              </w:rPr>
            </w:pPr>
          </w:p>
          <w:p w14:paraId="31233750" w14:textId="2F0DC9E3" w:rsidR="001953CA" w:rsidRPr="00B00B8A" w:rsidRDefault="001953CA" w:rsidP="00884761">
            <w:pPr>
              <w:jc w:val="both"/>
              <w:rPr>
                <w:rFonts w:ascii="Arial" w:hAnsi="Arial" w:cs="Arial"/>
                <w:sz w:val="24"/>
                <w:szCs w:val="24"/>
              </w:rPr>
            </w:pPr>
          </w:p>
          <w:p w14:paraId="3F06CA6E" w14:textId="0290A3F3" w:rsidR="001953CA" w:rsidRPr="00B00B8A" w:rsidRDefault="001953CA" w:rsidP="00884761">
            <w:pPr>
              <w:jc w:val="both"/>
              <w:rPr>
                <w:rFonts w:ascii="Arial" w:hAnsi="Arial" w:cs="Arial"/>
                <w:sz w:val="24"/>
                <w:szCs w:val="24"/>
              </w:rPr>
            </w:pPr>
          </w:p>
          <w:p w14:paraId="01EE476C" w14:textId="2D3698CF" w:rsidR="001953CA" w:rsidRPr="00B00B8A" w:rsidRDefault="001953CA" w:rsidP="00884761">
            <w:pPr>
              <w:jc w:val="both"/>
              <w:rPr>
                <w:rFonts w:ascii="Arial" w:hAnsi="Arial" w:cs="Arial"/>
                <w:sz w:val="24"/>
                <w:szCs w:val="24"/>
              </w:rPr>
            </w:pPr>
          </w:p>
          <w:p w14:paraId="22910BDF" w14:textId="31813192" w:rsidR="001953CA" w:rsidRPr="00B00B8A" w:rsidRDefault="001953CA" w:rsidP="00884761">
            <w:pPr>
              <w:jc w:val="both"/>
              <w:rPr>
                <w:rFonts w:ascii="Arial" w:hAnsi="Arial" w:cs="Arial"/>
                <w:sz w:val="24"/>
                <w:szCs w:val="24"/>
              </w:rPr>
            </w:pPr>
          </w:p>
          <w:p w14:paraId="4457736C" w14:textId="69F3D7B7" w:rsidR="001953CA" w:rsidRPr="00B00B8A" w:rsidRDefault="001953CA" w:rsidP="00884761">
            <w:pPr>
              <w:jc w:val="both"/>
              <w:rPr>
                <w:rFonts w:ascii="Arial" w:hAnsi="Arial" w:cs="Arial"/>
                <w:sz w:val="24"/>
                <w:szCs w:val="24"/>
              </w:rPr>
            </w:pPr>
          </w:p>
          <w:p w14:paraId="4AA76D62" w14:textId="141C23A4" w:rsidR="001953CA" w:rsidRPr="00B00B8A" w:rsidRDefault="001953CA" w:rsidP="00884761">
            <w:pPr>
              <w:jc w:val="both"/>
              <w:rPr>
                <w:rFonts w:ascii="Arial" w:hAnsi="Arial" w:cs="Arial"/>
                <w:sz w:val="24"/>
                <w:szCs w:val="24"/>
              </w:rPr>
            </w:pPr>
          </w:p>
          <w:p w14:paraId="169018A8" w14:textId="77777777" w:rsidR="001953CA" w:rsidRPr="00B00B8A" w:rsidRDefault="001953CA" w:rsidP="00884761">
            <w:pPr>
              <w:jc w:val="both"/>
              <w:rPr>
                <w:rFonts w:ascii="Arial" w:hAnsi="Arial" w:cs="Arial"/>
                <w:sz w:val="24"/>
                <w:szCs w:val="24"/>
              </w:rPr>
            </w:pPr>
          </w:p>
          <w:p w14:paraId="3E3D58F9" w14:textId="77777777" w:rsidR="001B0AC8" w:rsidRPr="00B00B8A" w:rsidRDefault="001B0AC8" w:rsidP="00884761">
            <w:pPr>
              <w:jc w:val="both"/>
              <w:rPr>
                <w:rFonts w:ascii="Arial" w:hAnsi="Arial" w:cs="Arial"/>
                <w:sz w:val="24"/>
                <w:szCs w:val="24"/>
              </w:rPr>
            </w:pPr>
            <w:r w:rsidRPr="00B00B8A">
              <w:rPr>
                <w:rFonts w:ascii="Arial" w:hAnsi="Arial" w:cs="Arial"/>
                <w:sz w:val="24"/>
                <w:szCs w:val="24"/>
              </w:rPr>
              <w:t xml:space="preserve">5.4.2 </w:t>
            </w:r>
            <w:r w:rsidR="00304FB4" w:rsidRPr="00B00B8A">
              <w:rPr>
                <w:rFonts w:ascii="Arial" w:hAnsi="Arial" w:cs="Arial"/>
                <w:sz w:val="24"/>
                <w:szCs w:val="24"/>
              </w:rPr>
              <w:t xml:space="preserve">  </w:t>
            </w:r>
            <w:r w:rsidRPr="00B00B8A">
              <w:rPr>
                <w:rFonts w:ascii="Arial" w:hAnsi="Arial" w:cs="Arial"/>
                <w:sz w:val="24"/>
                <w:szCs w:val="24"/>
              </w:rPr>
              <w:t xml:space="preserve">Likely to lead to complex litigation. </w:t>
            </w:r>
          </w:p>
          <w:p w14:paraId="528B2F42" w14:textId="310EA2D9" w:rsidR="00D55CF1" w:rsidRPr="00B00B8A" w:rsidRDefault="00D55CF1" w:rsidP="00884761">
            <w:pPr>
              <w:jc w:val="both"/>
              <w:rPr>
                <w:rFonts w:ascii="Arial" w:hAnsi="Arial" w:cs="Arial"/>
                <w:sz w:val="24"/>
                <w:szCs w:val="24"/>
              </w:rPr>
            </w:pPr>
          </w:p>
          <w:p w14:paraId="198A330E" w14:textId="65D559DB" w:rsidR="001953CA" w:rsidRPr="00B00B8A" w:rsidRDefault="001953CA" w:rsidP="00884761">
            <w:pPr>
              <w:jc w:val="both"/>
              <w:rPr>
                <w:rFonts w:ascii="Arial" w:hAnsi="Arial" w:cs="Arial"/>
                <w:sz w:val="24"/>
                <w:szCs w:val="24"/>
              </w:rPr>
            </w:pPr>
          </w:p>
          <w:p w14:paraId="44E5021F" w14:textId="208F37C1" w:rsidR="001953CA" w:rsidRPr="00B00B8A" w:rsidRDefault="001953CA" w:rsidP="00884761">
            <w:pPr>
              <w:jc w:val="both"/>
              <w:rPr>
                <w:rFonts w:ascii="Arial" w:hAnsi="Arial" w:cs="Arial"/>
                <w:sz w:val="24"/>
                <w:szCs w:val="24"/>
              </w:rPr>
            </w:pPr>
          </w:p>
          <w:p w14:paraId="315AAE72" w14:textId="7EE32241" w:rsidR="001953CA" w:rsidRPr="00B00B8A" w:rsidRDefault="001953CA" w:rsidP="00884761">
            <w:pPr>
              <w:jc w:val="both"/>
              <w:rPr>
                <w:rFonts w:ascii="Arial" w:hAnsi="Arial" w:cs="Arial"/>
                <w:sz w:val="24"/>
                <w:szCs w:val="24"/>
              </w:rPr>
            </w:pPr>
          </w:p>
          <w:p w14:paraId="6AA60575" w14:textId="7E2C3E6E" w:rsidR="001953CA" w:rsidRPr="00B00B8A" w:rsidRDefault="001953CA" w:rsidP="00884761">
            <w:pPr>
              <w:jc w:val="both"/>
              <w:rPr>
                <w:rFonts w:ascii="Arial" w:hAnsi="Arial" w:cs="Arial"/>
                <w:sz w:val="24"/>
                <w:szCs w:val="24"/>
              </w:rPr>
            </w:pPr>
          </w:p>
          <w:p w14:paraId="0263F581" w14:textId="4FCE0CEF" w:rsidR="001953CA" w:rsidRPr="00B00B8A" w:rsidRDefault="001953CA" w:rsidP="00884761">
            <w:pPr>
              <w:jc w:val="both"/>
              <w:rPr>
                <w:rFonts w:ascii="Arial" w:hAnsi="Arial" w:cs="Arial"/>
                <w:sz w:val="24"/>
                <w:szCs w:val="24"/>
              </w:rPr>
            </w:pPr>
          </w:p>
          <w:p w14:paraId="2ED31A13" w14:textId="739C0EEF" w:rsidR="001953CA" w:rsidRPr="00B00B8A" w:rsidRDefault="001953CA" w:rsidP="00884761">
            <w:pPr>
              <w:jc w:val="both"/>
              <w:rPr>
                <w:rFonts w:ascii="Arial" w:hAnsi="Arial" w:cs="Arial"/>
                <w:sz w:val="24"/>
                <w:szCs w:val="24"/>
              </w:rPr>
            </w:pPr>
          </w:p>
          <w:p w14:paraId="44F5E454" w14:textId="28454DF2" w:rsidR="001953CA" w:rsidRPr="00B00B8A" w:rsidRDefault="001953CA" w:rsidP="00884761">
            <w:pPr>
              <w:jc w:val="both"/>
              <w:rPr>
                <w:rFonts w:ascii="Arial" w:hAnsi="Arial" w:cs="Arial"/>
                <w:sz w:val="24"/>
                <w:szCs w:val="24"/>
              </w:rPr>
            </w:pPr>
          </w:p>
          <w:p w14:paraId="05CC182E" w14:textId="01C85955" w:rsidR="001953CA" w:rsidRPr="00B00B8A" w:rsidRDefault="001953CA" w:rsidP="00884761">
            <w:pPr>
              <w:jc w:val="both"/>
              <w:rPr>
                <w:rFonts w:ascii="Arial" w:hAnsi="Arial" w:cs="Arial"/>
                <w:sz w:val="24"/>
                <w:szCs w:val="24"/>
              </w:rPr>
            </w:pPr>
          </w:p>
          <w:p w14:paraId="7E17C354" w14:textId="70AD6939" w:rsidR="001953CA" w:rsidRPr="00B00B8A" w:rsidRDefault="001953CA" w:rsidP="00884761">
            <w:pPr>
              <w:jc w:val="both"/>
              <w:rPr>
                <w:rFonts w:ascii="Arial" w:hAnsi="Arial" w:cs="Arial"/>
                <w:sz w:val="24"/>
                <w:szCs w:val="24"/>
              </w:rPr>
            </w:pPr>
          </w:p>
          <w:p w14:paraId="47AA9C47" w14:textId="773A3146" w:rsidR="001953CA" w:rsidRPr="00B00B8A" w:rsidRDefault="001953CA" w:rsidP="00884761">
            <w:pPr>
              <w:jc w:val="both"/>
              <w:rPr>
                <w:rFonts w:ascii="Arial" w:hAnsi="Arial" w:cs="Arial"/>
                <w:sz w:val="24"/>
                <w:szCs w:val="24"/>
              </w:rPr>
            </w:pPr>
          </w:p>
          <w:p w14:paraId="0E813056" w14:textId="0D2807EC" w:rsidR="001953CA" w:rsidRPr="00B00B8A" w:rsidRDefault="001953CA" w:rsidP="00884761">
            <w:pPr>
              <w:jc w:val="both"/>
              <w:rPr>
                <w:rFonts w:ascii="Arial" w:hAnsi="Arial" w:cs="Arial"/>
                <w:sz w:val="24"/>
                <w:szCs w:val="24"/>
              </w:rPr>
            </w:pPr>
          </w:p>
          <w:p w14:paraId="53C49072" w14:textId="36E64998" w:rsidR="001953CA" w:rsidRPr="00B00B8A" w:rsidRDefault="001953CA" w:rsidP="00884761">
            <w:pPr>
              <w:jc w:val="both"/>
              <w:rPr>
                <w:rFonts w:ascii="Arial" w:hAnsi="Arial" w:cs="Arial"/>
                <w:sz w:val="24"/>
                <w:szCs w:val="24"/>
              </w:rPr>
            </w:pPr>
          </w:p>
          <w:p w14:paraId="3BA22070" w14:textId="55C348D2" w:rsidR="001953CA" w:rsidRPr="00B00B8A" w:rsidRDefault="001953CA" w:rsidP="00884761">
            <w:pPr>
              <w:jc w:val="both"/>
              <w:rPr>
                <w:rFonts w:ascii="Arial" w:hAnsi="Arial" w:cs="Arial"/>
                <w:sz w:val="24"/>
                <w:szCs w:val="24"/>
              </w:rPr>
            </w:pPr>
          </w:p>
          <w:p w14:paraId="3FCD7BDA" w14:textId="491532AF" w:rsidR="001953CA" w:rsidRPr="00B00B8A" w:rsidRDefault="001953CA" w:rsidP="00884761">
            <w:pPr>
              <w:jc w:val="both"/>
              <w:rPr>
                <w:rFonts w:ascii="Arial" w:hAnsi="Arial" w:cs="Arial"/>
                <w:sz w:val="24"/>
                <w:szCs w:val="24"/>
              </w:rPr>
            </w:pPr>
          </w:p>
          <w:p w14:paraId="4D465145" w14:textId="77777777" w:rsidR="001953CA" w:rsidRPr="00B00B8A" w:rsidRDefault="001953CA" w:rsidP="00884761">
            <w:pPr>
              <w:jc w:val="both"/>
              <w:rPr>
                <w:rFonts w:ascii="Arial" w:hAnsi="Arial" w:cs="Arial"/>
                <w:sz w:val="24"/>
                <w:szCs w:val="24"/>
              </w:rPr>
            </w:pPr>
          </w:p>
          <w:p w14:paraId="40A0D8E8" w14:textId="77777777" w:rsidR="001B0AC8" w:rsidRPr="00B00B8A" w:rsidRDefault="001B0AC8" w:rsidP="00B9645C">
            <w:pPr>
              <w:jc w:val="both"/>
              <w:rPr>
                <w:rFonts w:ascii="Arial" w:hAnsi="Arial" w:cs="Arial"/>
                <w:sz w:val="24"/>
                <w:szCs w:val="24"/>
              </w:rPr>
            </w:pPr>
            <w:r w:rsidRPr="00B00B8A">
              <w:rPr>
                <w:rFonts w:ascii="Arial" w:hAnsi="Arial" w:cs="Arial"/>
                <w:sz w:val="24"/>
                <w:szCs w:val="24"/>
              </w:rPr>
              <w:t xml:space="preserve">5.4.3 </w:t>
            </w:r>
            <w:r w:rsidR="00304FB4" w:rsidRPr="00B00B8A">
              <w:rPr>
                <w:rFonts w:ascii="Arial" w:hAnsi="Arial" w:cs="Arial"/>
                <w:sz w:val="24"/>
                <w:szCs w:val="24"/>
              </w:rPr>
              <w:t xml:space="preserve">  </w:t>
            </w:r>
            <w:r w:rsidRPr="00B00B8A">
              <w:rPr>
                <w:rFonts w:ascii="Arial" w:hAnsi="Arial" w:cs="Arial"/>
                <w:sz w:val="24"/>
                <w:szCs w:val="24"/>
              </w:rPr>
              <w:t xml:space="preserve">Soon to be dealt with in specialist amendments to FICA. </w:t>
            </w:r>
          </w:p>
        </w:tc>
        <w:tc>
          <w:tcPr>
            <w:tcW w:w="3457" w:type="dxa"/>
          </w:tcPr>
          <w:p w14:paraId="1FE3FD6C" w14:textId="3224344A" w:rsidR="00B1140D" w:rsidRPr="00B00B8A" w:rsidRDefault="003B591B" w:rsidP="00884761">
            <w:pPr>
              <w:jc w:val="both"/>
              <w:rPr>
                <w:rFonts w:ascii="Arial" w:hAnsi="Arial" w:cs="Arial"/>
                <w:sz w:val="24"/>
                <w:szCs w:val="24"/>
              </w:rPr>
            </w:pPr>
            <w:r w:rsidRPr="00B00B8A">
              <w:rPr>
                <w:rFonts w:ascii="Arial" w:hAnsi="Arial" w:cs="Arial"/>
                <w:sz w:val="24"/>
                <w:szCs w:val="24"/>
              </w:rPr>
              <w:lastRenderedPageBreak/>
              <w:t xml:space="preserve">The term which is used in the proposed section 23(2)(a) is “reasonable grounds to believe” and not as stated “reasonably regarded”. </w:t>
            </w:r>
            <w:r w:rsidR="00464823" w:rsidRPr="00B00B8A">
              <w:rPr>
                <w:rFonts w:ascii="Arial" w:hAnsi="Arial" w:cs="Arial"/>
                <w:sz w:val="24"/>
                <w:szCs w:val="24"/>
              </w:rPr>
              <w:t>“</w:t>
            </w:r>
            <w:r w:rsidRPr="00B00B8A">
              <w:rPr>
                <w:rFonts w:ascii="Arial" w:hAnsi="Arial" w:cs="Arial"/>
                <w:sz w:val="24"/>
                <w:szCs w:val="24"/>
              </w:rPr>
              <w:t>Reasonable grounds to believe</w:t>
            </w:r>
            <w:r w:rsidR="00464823" w:rsidRPr="00B00B8A">
              <w:rPr>
                <w:rFonts w:ascii="Arial" w:hAnsi="Arial" w:cs="Arial"/>
                <w:sz w:val="24"/>
                <w:szCs w:val="24"/>
              </w:rPr>
              <w:t>” within the context of this section does not relate to criminal liability</w:t>
            </w:r>
            <w:r w:rsidR="00B1140D" w:rsidRPr="00B00B8A">
              <w:rPr>
                <w:rFonts w:ascii="Arial" w:hAnsi="Arial" w:cs="Arial"/>
                <w:sz w:val="24"/>
                <w:szCs w:val="24"/>
              </w:rPr>
              <w:t xml:space="preserve">. Therefore, the phrase does not establish a form of </w:t>
            </w:r>
            <w:r w:rsidR="00B1140D" w:rsidRPr="00B00B8A">
              <w:rPr>
                <w:rFonts w:ascii="Arial" w:hAnsi="Arial" w:cs="Arial"/>
                <w:i/>
                <w:iCs/>
                <w:sz w:val="24"/>
                <w:szCs w:val="24"/>
              </w:rPr>
              <w:t>mens rea</w:t>
            </w:r>
            <w:r w:rsidR="00B1140D" w:rsidRPr="00B00B8A">
              <w:rPr>
                <w:rFonts w:ascii="Arial" w:hAnsi="Arial" w:cs="Arial"/>
                <w:sz w:val="24"/>
                <w:szCs w:val="24"/>
              </w:rPr>
              <w:t>.  Instead it sets an evidentiary standard that the State must meet to obtain a freezing order. The evidentiary standard is applied by a judge when the National Director of Public Prosecutions brings an application for a freezing order. The power is not exercised by a police official.</w:t>
            </w:r>
          </w:p>
          <w:p w14:paraId="49934A5A" w14:textId="256A7B66" w:rsidR="006E58CC" w:rsidRPr="00B00B8A" w:rsidRDefault="00B1140D" w:rsidP="00884761">
            <w:pPr>
              <w:jc w:val="both"/>
              <w:rPr>
                <w:rFonts w:ascii="Arial" w:hAnsi="Arial" w:cs="Arial"/>
                <w:sz w:val="24"/>
                <w:szCs w:val="24"/>
              </w:rPr>
            </w:pPr>
            <w:r w:rsidRPr="00B00B8A">
              <w:rPr>
                <w:rFonts w:ascii="Arial" w:hAnsi="Arial" w:cs="Arial"/>
                <w:sz w:val="24"/>
                <w:szCs w:val="24"/>
              </w:rPr>
              <w:lastRenderedPageBreak/>
              <w:t>A judge applies this standard to determine whether the State has proved the</w:t>
            </w:r>
            <w:r w:rsidR="00464823" w:rsidRPr="00B00B8A">
              <w:rPr>
                <w:rFonts w:ascii="Arial" w:hAnsi="Arial" w:cs="Arial"/>
                <w:sz w:val="24"/>
                <w:szCs w:val="24"/>
              </w:rPr>
              <w:t xml:space="preserve"> jurisdictional</w:t>
            </w:r>
            <w:r w:rsidR="006E58CC" w:rsidRPr="00B00B8A">
              <w:rPr>
                <w:rFonts w:ascii="Arial" w:hAnsi="Arial" w:cs="Arial"/>
                <w:sz w:val="24"/>
                <w:szCs w:val="24"/>
                <w:lang w:val="en-ZA"/>
              </w:rPr>
              <w:t xml:space="preserve"> facts that are required for the granting of the freezing order</w:t>
            </w:r>
            <w:r w:rsidR="00464823" w:rsidRPr="00B00B8A">
              <w:rPr>
                <w:rFonts w:ascii="Arial" w:hAnsi="Arial" w:cs="Arial"/>
                <w:sz w:val="24"/>
                <w:szCs w:val="24"/>
              </w:rPr>
              <w:t xml:space="preserve">. </w:t>
            </w:r>
          </w:p>
          <w:p w14:paraId="068F4C05" w14:textId="77777777" w:rsidR="006E58CC" w:rsidRPr="00B00B8A" w:rsidRDefault="006E58CC" w:rsidP="00884761">
            <w:pPr>
              <w:jc w:val="both"/>
              <w:rPr>
                <w:rFonts w:ascii="Arial" w:hAnsi="Arial" w:cs="Arial"/>
                <w:sz w:val="24"/>
                <w:szCs w:val="24"/>
              </w:rPr>
            </w:pPr>
          </w:p>
          <w:p w14:paraId="24000A66" w14:textId="098E9245" w:rsidR="00C82146" w:rsidRPr="00B00B8A" w:rsidRDefault="006E58CC" w:rsidP="00884761">
            <w:pPr>
              <w:jc w:val="both"/>
              <w:rPr>
                <w:rFonts w:ascii="Arial" w:hAnsi="Arial" w:cs="Arial"/>
                <w:sz w:val="24"/>
                <w:szCs w:val="24"/>
              </w:rPr>
            </w:pPr>
            <w:r w:rsidRPr="00B00B8A">
              <w:rPr>
                <w:rFonts w:ascii="Arial" w:hAnsi="Arial" w:cs="Arial"/>
                <w:sz w:val="24"/>
                <w:szCs w:val="24"/>
              </w:rPr>
              <w:t xml:space="preserve">This evidentiary standard is much lower than the standard for criminal prosecution, which is “beyond reasonable doubt”. </w:t>
            </w:r>
            <w:r w:rsidR="00464823" w:rsidRPr="00B00B8A">
              <w:rPr>
                <w:rFonts w:ascii="Arial" w:hAnsi="Arial" w:cs="Arial"/>
                <w:sz w:val="24"/>
                <w:szCs w:val="24"/>
              </w:rPr>
              <w:t xml:space="preserve">The term </w:t>
            </w:r>
            <w:r w:rsidR="000541CC" w:rsidRPr="00B00B8A">
              <w:rPr>
                <w:rFonts w:ascii="Arial" w:hAnsi="Arial" w:cs="Arial"/>
                <w:sz w:val="24"/>
                <w:szCs w:val="24"/>
              </w:rPr>
              <w:t xml:space="preserve">“reasonable grounds to believe” </w:t>
            </w:r>
            <w:r w:rsidR="00464823" w:rsidRPr="00B00B8A">
              <w:rPr>
                <w:rFonts w:ascii="Arial" w:hAnsi="Arial" w:cs="Arial"/>
                <w:sz w:val="24"/>
                <w:szCs w:val="24"/>
              </w:rPr>
              <w:t xml:space="preserve">is often used </w:t>
            </w:r>
            <w:r w:rsidR="000541CC" w:rsidRPr="00B00B8A">
              <w:rPr>
                <w:rFonts w:ascii="Arial" w:hAnsi="Arial" w:cs="Arial"/>
                <w:sz w:val="24"/>
                <w:szCs w:val="24"/>
              </w:rPr>
              <w:t xml:space="preserve">in legislation in respect of a discretion to be exercised by a judicial officer for example when </w:t>
            </w:r>
            <w:r w:rsidRPr="00B00B8A">
              <w:rPr>
                <w:rFonts w:ascii="Arial" w:hAnsi="Arial" w:cs="Arial"/>
                <w:sz w:val="24"/>
                <w:szCs w:val="24"/>
                <w:lang w:val="en-ZA"/>
              </w:rPr>
              <w:t xml:space="preserve">a magistrate decides whether </w:t>
            </w:r>
            <w:r w:rsidR="000541CC" w:rsidRPr="00B00B8A">
              <w:rPr>
                <w:rFonts w:ascii="Arial" w:hAnsi="Arial" w:cs="Arial"/>
                <w:sz w:val="24"/>
                <w:szCs w:val="24"/>
              </w:rPr>
              <w:t xml:space="preserve">a </w:t>
            </w:r>
            <w:r w:rsidRPr="00B00B8A">
              <w:rPr>
                <w:rFonts w:ascii="Arial" w:hAnsi="Arial" w:cs="Arial"/>
                <w:sz w:val="24"/>
                <w:szCs w:val="24"/>
              </w:rPr>
              <w:t xml:space="preserve">search </w:t>
            </w:r>
            <w:r w:rsidR="000541CC" w:rsidRPr="00B00B8A">
              <w:rPr>
                <w:rFonts w:ascii="Arial" w:hAnsi="Arial" w:cs="Arial"/>
                <w:sz w:val="24"/>
                <w:szCs w:val="24"/>
              </w:rPr>
              <w:t xml:space="preserve">warrant </w:t>
            </w:r>
            <w:r w:rsidRPr="00B00B8A">
              <w:rPr>
                <w:rFonts w:ascii="Arial" w:hAnsi="Arial" w:cs="Arial"/>
                <w:sz w:val="24"/>
                <w:szCs w:val="24"/>
              </w:rPr>
              <w:t xml:space="preserve">should be issued </w:t>
            </w:r>
            <w:r w:rsidR="000541CC" w:rsidRPr="00B00B8A">
              <w:rPr>
                <w:rFonts w:ascii="Arial" w:hAnsi="Arial" w:cs="Arial"/>
                <w:sz w:val="24"/>
                <w:szCs w:val="24"/>
              </w:rPr>
              <w:t xml:space="preserve">in terms of section 21 </w:t>
            </w:r>
            <w:r w:rsidR="00464823" w:rsidRPr="00B00B8A">
              <w:rPr>
                <w:rFonts w:ascii="Arial" w:hAnsi="Arial" w:cs="Arial"/>
                <w:sz w:val="24"/>
                <w:szCs w:val="24"/>
              </w:rPr>
              <w:t>of the Criminal Procedure Act</w:t>
            </w:r>
            <w:r w:rsidR="000541CC" w:rsidRPr="00B00B8A">
              <w:rPr>
                <w:rFonts w:ascii="Arial" w:hAnsi="Arial" w:cs="Arial"/>
                <w:sz w:val="24"/>
                <w:szCs w:val="24"/>
              </w:rPr>
              <w:t>, 1977.</w:t>
            </w:r>
            <w:r w:rsidR="00464823" w:rsidRPr="00B00B8A">
              <w:rPr>
                <w:rFonts w:ascii="Arial" w:hAnsi="Arial" w:cs="Arial"/>
                <w:sz w:val="24"/>
                <w:szCs w:val="24"/>
              </w:rPr>
              <w:t xml:space="preserve">   </w:t>
            </w:r>
            <w:r w:rsidR="003B591B" w:rsidRPr="00B00B8A">
              <w:rPr>
                <w:rFonts w:ascii="Arial" w:hAnsi="Arial" w:cs="Arial"/>
                <w:sz w:val="24"/>
                <w:szCs w:val="24"/>
              </w:rPr>
              <w:t xml:space="preserve"> </w:t>
            </w:r>
          </w:p>
          <w:p w14:paraId="3B58D282" w14:textId="77777777" w:rsidR="006E58CC" w:rsidRPr="00B00B8A" w:rsidRDefault="006E58CC" w:rsidP="00884761">
            <w:pPr>
              <w:jc w:val="both"/>
              <w:rPr>
                <w:rFonts w:ascii="Arial" w:hAnsi="Arial" w:cs="Arial"/>
                <w:sz w:val="24"/>
                <w:szCs w:val="24"/>
              </w:rPr>
            </w:pPr>
          </w:p>
          <w:p w14:paraId="75AE25A1" w14:textId="441FFBC8" w:rsidR="006E58CC" w:rsidRPr="00B00B8A" w:rsidRDefault="006E58CC" w:rsidP="00884761">
            <w:pPr>
              <w:jc w:val="both"/>
              <w:rPr>
                <w:rFonts w:ascii="Arial" w:hAnsi="Arial" w:cs="Arial"/>
                <w:sz w:val="24"/>
                <w:szCs w:val="24"/>
              </w:rPr>
            </w:pPr>
            <w:r w:rsidRPr="00B00B8A">
              <w:rPr>
                <w:rFonts w:ascii="Arial" w:hAnsi="Arial" w:cs="Arial"/>
                <w:sz w:val="24"/>
                <w:szCs w:val="24"/>
              </w:rPr>
              <w:t>The proposed amendments to the FIC Act that are contained in the General Laws (Anti-Money Laundering and Combating Terrorism Financing) Amendment Bill, (B18-2022), are not aimed at addressing the objective of these amendments.</w:t>
            </w:r>
          </w:p>
        </w:tc>
      </w:tr>
      <w:tr w:rsidR="00C82146" w:rsidRPr="002F45E7" w14:paraId="3B9D276F" w14:textId="77777777" w:rsidTr="00F14186">
        <w:tc>
          <w:tcPr>
            <w:tcW w:w="1288" w:type="dxa"/>
          </w:tcPr>
          <w:p w14:paraId="08E96DA9" w14:textId="77777777" w:rsidR="00C82146" w:rsidRPr="002F45E7" w:rsidRDefault="00D25E59" w:rsidP="00884761">
            <w:pPr>
              <w:jc w:val="both"/>
              <w:rPr>
                <w:rFonts w:ascii="Arial" w:hAnsi="Arial" w:cs="Arial"/>
                <w:b/>
                <w:sz w:val="24"/>
                <w:szCs w:val="24"/>
              </w:rPr>
            </w:pPr>
            <w:r w:rsidRPr="002F45E7">
              <w:rPr>
                <w:rFonts w:ascii="Arial" w:hAnsi="Arial" w:cs="Arial"/>
                <w:b/>
                <w:sz w:val="24"/>
                <w:szCs w:val="24"/>
              </w:rPr>
              <w:lastRenderedPageBreak/>
              <w:t>20</w:t>
            </w:r>
          </w:p>
        </w:tc>
        <w:tc>
          <w:tcPr>
            <w:tcW w:w="1446" w:type="dxa"/>
          </w:tcPr>
          <w:p w14:paraId="7E209C0C" w14:textId="77777777" w:rsidR="00C82146" w:rsidRPr="002F45E7" w:rsidRDefault="00D55CF1" w:rsidP="00884761">
            <w:pPr>
              <w:jc w:val="both"/>
              <w:rPr>
                <w:rFonts w:ascii="Arial" w:hAnsi="Arial" w:cs="Arial"/>
                <w:b/>
                <w:sz w:val="24"/>
                <w:szCs w:val="24"/>
              </w:rPr>
            </w:pPr>
            <w:r w:rsidRPr="002F45E7">
              <w:rPr>
                <w:rFonts w:ascii="Arial" w:hAnsi="Arial" w:cs="Arial"/>
                <w:b/>
                <w:sz w:val="24"/>
                <w:szCs w:val="24"/>
              </w:rPr>
              <w:t xml:space="preserve">New sections </w:t>
            </w:r>
            <w:r w:rsidRPr="002F45E7">
              <w:rPr>
                <w:rFonts w:ascii="Arial" w:hAnsi="Arial" w:cs="Arial"/>
                <w:b/>
                <w:sz w:val="24"/>
                <w:szCs w:val="24"/>
              </w:rPr>
              <w:lastRenderedPageBreak/>
              <w:t>24A and 24B</w:t>
            </w:r>
          </w:p>
        </w:tc>
        <w:tc>
          <w:tcPr>
            <w:tcW w:w="6759" w:type="dxa"/>
          </w:tcPr>
          <w:p w14:paraId="440F6647" w14:textId="77777777" w:rsidR="001B0AC8" w:rsidRPr="00B00B8A" w:rsidRDefault="001B0AC8" w:rsidP="00884761">
            <w:pPr>
              <w:jc w:val="both"/>
              <w:rPr>
                <w:rFonts w:ascii="Arial" w:hAnsi="Arial" w:cs="Arial"/>
                <w:sz w:val="24"/>
                <w:szCs w:val="24"/>
              </w:rPr>
            </w:pPr>
            <w:r w:rsidRPr="00B00B8A">
              <w:rPr>
                <w:rFonts w:ascii="Arial" w:hAnsi="Arial" w:cs="Arial"/>
                <w:sz w:val="24"/>
                <w:szCs w:val="24"/>
              </w:rPr>
              <w:lastRenderedPageBreak/>
              <w:t xml:space="preserve">5.5 Insertion of s24A &amp; s24B </w:t>
            </w:r>
          </w:p>
          <w:p w14:paraId="1DD39D9E" w14:textId="77777777" w:rsidR="00C82146" w:rsidRPr="00B00B8A" w:rsidRDefault="001B0AC8" w:rsidP="00884761">
            <w:pPr>
              <w:jc w:val="both"/>
              <w:rPr>
                <w:rFonts w:ascii="Arial" w:hAnsi="Arial" w:cs="Arial"/>
                <w:b/>
                <w:bCs/>
                <w:sz w:val="24"/>
                <w:szCs w:val="24"/>
              </w:rPr>
            </w:pPr>
            <w:r w:rsidRPr="00B00B8A">
              <w:rPr>
                <w:rFonts w:ascii="Arial" w:hAnsi="Arial" w:cs="Arial"/>
                <w:b/>
                <w:bCs/>
                <w:sz w:val="24"/>
                <w:szCs w:val="24"/>
              </w:rPr>
              <w:lastRenderedPageBreak/>
              <w:t>Application for Decryption Direction &amp; Order to Disable Access to Internet or Social Media Site</w:t>
            </w:r>
          </w:p>
          <w:p w14:paraId="5A52787C" w14:textId="77777777" w:rsidR="00D55CF1" w:rsidRPr="00B00B8A" w:rsidRDefault="00D55CF1" w:rsidP="00884761">
            <w:pPr>
              <w:jc w:val="both"/>
              <w:rPr>
                <w:rFonts w:ascii="Arial" w:hAnsi="Arial" w:cs="Arial"/>
                <w:b/>
                <w:bCs/>
                <w:sz w:val="24"/>
                <w:szCs w:val="24"/>
              </w:rPr>
            </w:pPr>
          </w:p>
          <w:p w14:paraId="28E50ED4" w14:textId="27B0E236" w:rsidR="00D55CF1" w:rsidRDefault="00D55CF1" w:rsidP="00884761">
            <w:pPr>
              <w:jc w:val="both"/>
              <w:rPr>
                <w:rFonts w:ascii="Arial" w:hAnsi="Arial" w:cs="Arial"/>
                <w:sz w:val="24"/>
                <w:szCs w:val="24"/>
              </w:rPr>
            </w:pPr>
            <w:r w:rsidRPr="00B00B8A">
              <w:rPr>
                <w:rFonts w:ascii="Arial" w:hAnsi="Arial" w:cs="Arial"/>
                <w:sz w:val="24"/>
                <w:szCs w:val="24"/>
              </w:rPr>
              <w:t>5.5.1</w:t>
            </w:r>
            <w:r w:rsidR="00D25E59" w:rsidRPr="00B00B8A">
              <w:rPr>
                <w:rFonts w:ascii="Arial" w:hAnsi="Arial" w:cs="Arial"/>
                <w:sz w:val="24"/>
                <w:szCs w:val="24"/>
              </w:rPr>
              <w:t xml:space="preserve"> </w:t>
            </w:r>
            <w:r w:rsidRPr="00B00B8A">
              <w:rPr>
                <w:rFonts w:ascii="Arial" w:hAnsi="Arial" w:cs="Arial"/>
                <w:sz w:val="24"/>
                <w:szCs w:val="24"/>
              </w:rPr>
              <w:t>Potential for abuse as seen with RICA legislation.</w:t>
            </w:r>
          </w:p>
          <w:p w14:paraId="47E3084F" w14:textId="6BC29E9B" w:rsidR="00287CE9" w:rsidRDefault="00287CE9" w:rsidP="00884761">
            <w:pPr>
              <w:jc w:val="both"/>
              <w:rPr>
                <w:rFonts w:ascii="Arial" w:hAnsi="Arial" w:cs="Arial"/>
                <w:sz w:val="24"/>
                <w:szCs w:val="24"/>
              </w:rPr>
            </w:pPr>
          </w:p>
          <w:p w14:paraId="244B8D55" w14:textId="0179B473" w:rsidR="00287CE9" w:rsidRDefault="00287CE9" w:rsidP="00884761">
            <w:pPr>
              <w:jc w:val="both"/>
              <w:rPr>
                <w:rFonts w:ascii="Arial" w:hAnsi="Arial" w:cs="Arial"/>
                <w:sz w:val="24"/>
                <w:szCs w:val="24"/>
              </w:rPr>
            </w:pPr>
          </w:p>
          <w:p w14:paraId="350C4697" w14:textId="32FCEC25" w:rsidR="00287CE9" w:rsidRDefault="00287CE9" w:rsidP="00884761">
            <w:pPr>
              <w:jc w:val="both"/>
              <w:rPr>
                <w:rFonts w:ascii="Arial" w:hAnsi="Arial" w:cs="Arial"/>
                <w:sz w:val="24"/>
                <w:szCs w:val="24"/>
              </w:rPr>
            </w:pPr>
          </w:p>
          <w:p w14:paraId="2BFC0BE4" w14:textId="7F60EDBF" w:rsidR="00287CE9" w:rsidRDefault="00287CE9" w:rsidP="00884761">
            <w:pPr>
              <w:jc w:val="both"/>
              <w:rPr>
                <w:rFonts w:ascii="Arial" w:hAnsi="Arial" w:cs="Arial"/>
                <w:sz w:val="24"/>
                <w:szCs w:val="24"/>
              </w:rPr>
            </w:pPr>
          </w:p>
          <w:p w14:paraId="448DBE9F" w14:textId="0CD6B028" w:rsidR="00287CE9" w:rsidRDefault="00287CE9" w:rsidP="00884761">
            <w:pPr>
              <w:jc w:val="both"/>
              <w:rPr>
                <w:rFonts w:ascii="Arial" w:hAnsi="Arial" w:cs="Arial"/>
                <w:sz w:val="24"/>
                <w:szCs w:val="24"/>
              </w:rPr>
            </w:pPr>
          </w:p>
          <w:p w14:paraId="2330B291" w14:textId="1E3F3BD2" w:rsidR="00287CE9" w:rsidRDefault="00287CE9" w:rsidP="00884761">
            <w:pPr>
              <w:jc w:val="both"/>
              <w:rPr>
                <w:rFonts w:ascii="Arial" w:hAnsi="Arial" w:cs="Arial"/>
                <w:sz w:val="24"/>
                <w:szCs w:val="24"/>
              </w:rPr>
            </w:pPr>
          </w:p>
          <w:p w14:paraId="7676B66D" w14:textId="7D393272" w:rsidR="00D55CF1" w:rsidRDefault="00D55CF1" w:rsidP="00884761">
            <w:pPr>
              <w:jc w:val="both"/>
              <w:rPr>
                <w:rFonts w:ascii="Arial" w:hAnsi="Arial" w:cs="Arial"/>
                <w:sz w:val="24"/>
                <w:szCs w:val="24"/>
              </w:rPr>
            </w:pPr>
            <w:r w:rsidRPr="00B00B8A">
              <w:rPr>
                <w:rFonts w:ascii="Arial" w:hAnsi="Arial" w:cs="Arial"/>
                <w:sz w:val="24"/>
                <w:szCs w:val="24"/>
              </w:rPr>
              <w:t xml:space="preserve"> </w:t>
            </w:r>
          </w:p>
          <w:p w14:paraId="16514CF5" w14:textId="77777777" w:rsidR="00287CE9" w:rsidRPr="00B00B8A" w:rsidRDefault="00287CE9" w:rsidP="00884761">
            <w:pPr>
              <w:jc w:val="both"/>
              <w:rPr>
                <w:rFonts w:ascii="Arial" w:hAnsi="Arial" w:cs="Arial"/>
                <w:sz w:val="24"/>
                <w:szCs w:val="24"/>
              </w:rPr>
            </w:pPr>
          </w:p>
          <w:p w14:paraId="43416484" w14:textId="0D1D459E" w:rsidR="00D55CF1" w:rsidRDefault="00D55CF1" w:rsidP="00884761">
            <w:pPr>
              <w:jc w:val="both"/>
              <w:rPr>
                <w:rFonts w:ascii="Arial" w:hAnsi="Arial" w:cs="Arial"/>
                <w:sz w:val="24"/>
                <w:szCs w:val="24"/>
              </w:rPr>
            </w:pPr>
            <w:r w:rsidRPr="00B00B8A">
              <w:rPr>
                <w:rFonts w:ascii="Arial" w:hAnsi="Arial" w:cs="Arial"/>
                <w:sz w:val="24"/>
                <w:szCs w:val="24"/>
              </w:rPr>
              <w:t>5.5.2</w:t>
            </w:r>
            <w:r w:rsidR="00D25E59" w:rsidRPr="00B00B8A">
              <w:rPr>
                <w:rFonts w:ascii="Arial" w:hAnsi="Arial" w:cs="Arial"/>
                <w:sz w:val="24"/>
                <w:szCs w:val="24"/>
              </w:rPr>
              <w:t xml:space="preserve"> </w:t>
            </w:r>
            <w:r w:rsidRPr="00B00B8A">
              <w:rPr>
                <w:rFonts w:ascii="Arial" w:hAnsi="Arial" w:cs="Arial"/>
                <w:sz w:val="24"/>
                <w:szCs w:val="24"/>
              </w:rPr>
              <w:t xml:space="preserve">Potentially unjustifiable violation of the right to privacy, given nebulous definition of ‘terrorist activity’ and relaxed burden of proof. </w:t>
            </w:r>
          </w:p>
          <w:p w14:paraId="37047FE3" w14:textId="42AAF7DD" w:rsidR="00DD6A44" w:rsidRDefault="00DD6A44" w:rsidP="00884761">
            <w:pPr>
              <w:jc w:val="both"/>
              <w:rPr>
                <w:rFonts w:ascii="Arial" w:hAnsi="Arial" w:cs="Arial"/>
                <w:sz w:val="24"/>
                <w:szCs w:val="24"/>
              </w:rPr>
            </w:pPr>
          </w:p>
          <w:p w14:paraId="33F3AF4E" w14:textId="26990AE5" w:rsidR="00DD6A44" w:rsidRDefault="00DD6A44" w:rsidP="00884761">
            <w:pPr>
              <w:jc w:val="both"/>
              <w:rPr>
                <w:rFonts w:ascii="Arial" w:hAnsi="Arial" w:cs="Arial"/>
                <w:sz w:val="24"/>
                <w:szCs w:val="24"/>
              </w:rPr>
            </w:pPr>
          </w:p>
          <w:p w14:paraId="5843B893" w14:textId="390CC0E3" w:rsidR="00DD6A44" w:rsidRDefault="00DD6A44" w:rsidP="00884761">
            <w:pPr>
              <w:jc w:val="both"/>
              <w:rPr>
                <w:rFonts w:ascii="Arial" w:hAnsi="Arial" w:cs="Arial"/>
                <w:sz w:val="24"/>
                <w:szCs w:val="24"/>
              </w:rPr>
            </w:pPr>
          </w:p>
          <w:p w14:paraId="39508401" w14:textId="60E4F566" w:rsidR="00DD6A44" w:rsidRDefault="00DD6A44" w:rsidP="00884761">
            <w:pPr>
              <w:jc w:val="both"/>
              <w:rPr>
                <w:rFonts w:ascii="Arial" w:hAnsi="Arial" w:cs="Arial"/>
                <w:sz w:val="24"/>
                <w:szCs w:val="24"/>
              </w:rPr>
            </w:pPr>
          </w:p>
          <w:p w14:paraId="4AA73E7E" w14:textId="0D154BF5" w:rsidR="00DD6A44" w:rsidRDefault="00DD6A44" w:rsidP="00884761">
            <w:pPr>
              <w:jc w:val="both"/>
              <w:rPr>
                <w:rFonts w:ascii="Arial" w:hAnsi="Arial" w:cs="Arial"/>
                <w:sz w:val="24"/>
                <w:szCs w:val="24"/>
              </w:rPr>
            </w:pPr>
          </w:p>
          <w:p w14:paraId="050FA3DD" w14:textId="440E0F0E" w:rsidR="00DD6A44" w:rsidRDefault="00DD6A44" w:rsidP="00884761">
            <w:pPr>
              <w:jc w:val="both"/>
              <w:rPr>
                <w:rFonts w:ascii="Arial" w:hAnsi="Arial" w:cs="Arial"/>
                <w:sz w:val="24"/>
                <w:szCs w:val="24"/>
              </w:rPr>
            </w:pPr>
          </w:p>
          <w:p w14:paraId="6A6467A5" w14:textId="28E923CC" w:rsidR="00DD6A44" w:rsidRDefault="00DD6A44" w:rsidP="00884761">
            <w:pPr>
              <w:jc w:val="both"/>
              <w:rPr>
                <w:rFonts w:ascii="Arial" w:hAnsi="Arial" w:cs="Arial"/>
                <w:sz w:val="24"/>
                <w:szCs w:val="24"/>
              </w:rPr>
            </w:pPr>
          </w:p>
          <w:p w14:paraId="130F1072" w14:textId="43F695E5" w:rsidR="00DD6A44" w:rsidRDefault="00DD6A44" w:rsidP="00884761">
            <w:pPr>
              <w:jc w:val="both"/>
              <w:rPr>
                <w:rFonts w:ascii="Arial" w:hAnsi="Arial" w:cs="Arial"/>
                <w:sz w:val="24"/>
                <w:szCs w:val="24"/>
              </w:rPr>
            </w:pPr>
          </w:p>
          <w:p w14:paraId="65E139AC" w14:textId="0C6E6044" w:rsidR="00DD6A44" w:rsidRDefault="00DD6A44" w:rsidP="00884761">
            <w:pPr>
              <w:jc w:val="both"/>
              <w:rPr>
                <w:rFonts w:ascii="Arial" w:hAnsi="Arial" w:cs="Arial"/>
                <w:sz w:val="24"/>
                <w:szCs w:val="24"/>
              </w:rPr>
            </w:pPr>
          </w:p>
          <w:p w14:paraId="016FCFF2" w14:textId="39893614" w:rsidR="00DD6A44" w:rsidRDefault="00DD6A44" w:rsidP="00884761">
            <w:pPr>
              <w:jc w:val="both"/>
              <w:rPr>
                <w:rFonts w:ascii="Arial" w:hAnsi="Arial" w:cs="Arial"/>
                <w:sz w:val="24"/>
                <w:szCs w:val="24"/>
              </w:rPr>
            </w:pPr>
          </w:p>
          <w:p w14:paraId="5FEC7BD3" w14:textId="0E573BCD" w:rsidR="00DD6A44" w:rsidRDefault="00DD6A44" w:rsidP="00884761">
            <w:pPr>
              <w:jc w:val="both"/>
              <w:rPr>
                <w:rFonts w:ascii="Arial" w:hAnsi="Arial" w:cs="Arial"/>
                <w:sz w:val="24"/>
                <w:szCs w:val="24"/>
              </w:rPr>
            </w:pPr>
          </w:p>
          <w:p w14:paraId="439DDB66" w14:textId="19F6AD2D" w:rsidR="00DD6A44" w:rsidRDefault="00DD6A44" w:rsidP="00884761">
            <w:pPr>
              <w:jc w:val="both"/>
              <w:rPr>
                <w:rFonts w:ascii="Arial" w:hAnsi="Arial" w:cs="Arial"/>
                <w:sz w:val="24"/>
                <w:szCs w:val="24"/>
              </w:rPr>
            </w:pPr>
          </w:p>
          <w:p w14:paraId="275E5803" w14:textId="69633B90" w:rsidR="00DD6A44" w:rsidRDefault="00DD6A44" w:rsidP="00884761">
            <w:pPr>
              <w:jc w:val="both"/>
              <w:rPr>
                <w:rFonts w:ascii="Arial" w:hAnsi="Arial" w:cs="Arial"/>
                <w:sz w:val="24"/>
                <w:szCs w:val="24"/>
              </w:rPr>
            </w:pPr>
          </w:p>
          <w:p w14:paraId="1EF0E04D" w14:textId="19D9AD69" w:rsidR="00DD6A44" w:rsidRDefault="00DD6A44" w:rsidP="00884761">
            <w:pPr>
              <w:jc w:val="both"/>
              <w:rPr>
                <w:rFonts w:ascii="Arial" w:hAnsi="Arial" w:cs="Arial"/>
                <w:sz w:val="24"/>
                <w:szCs w:val="24"/>
              </w:rPr>
            </w:pPr>
          </w:p>
          <w:p w14:paraId="4EDE5AE7" w14:textId="43522DE1" w:rsidR="00DD6A44" w:rsidRDefault="00DD6A44" w:rsidP="00884761">
            <w:pPr>
              <w:jc w:val="both"/>
              <w:rPr>
                <w:rFonts w:ascii="Arial" w:hAnsi="Arial" w:cs="Arial"/>
                <w:sz w:val="24"/>
                <w:szCs w:val="24"/>
              </w:rPr>
            </w:pPr>
          </w:p>
          <w:p w14:paraId="42B6E209" w14:textId="7D0A502D" w:rsidR="00DD6A44" w:rsidRDefault="00DD6A44" w:rsidP="00884761">
            <w:pPr>
              <w:jc w:val="both"/>
              <w:rPr>
                <w:rFonts w:ascii="Arial" w:hAnsi="Arial" w:cs="Arial"/>
                <w:sz w:val="24"/>
                <w:szCs w:val="24"/>
              </w:rPr>
            </w:pPr>
          </w:p>
          <w:p w14:paraId="0FB2D78B" w14:textId="5B03B973" w:rsidR="00DD6A44" w:rsidRDefault="00DD6A44" w:rsidP="00884761">
            <w:pPr>
              <w:jc w:val="both"/>
              <w:rPr>
                <w:rFonts w:ascii="Arial" w:hAnsi="Arial" w:cs="Arial"/>
                <w:sz w:val="24"/>
                <w:szCs w:val="24"/>
              </w:rPr>
            </w:pPr>
          </w:p>
          <w:p w14:paraId="38EE5555" w14:textId="2A4C6E94" w:rsidR="00DD6A44" w:rsidRDefault="00DD6A44" w:rsidP="00884761">
            <w:pPr>
              <w:jc w:val="both"/>
              <w:rPr>
                <w:rFonts w:ascii="Arial" w:hAnsi="Arial" w:cs="Arial"/>
                <w:sz w:val="24"/>
                <w:szCs w:val="24"/>
              </w:rPr>
            </w:pPr>
          </w:p>
          <w:p w14:paraId="513AEF4B" w14:textId="5CFAEDAE" w:rsidR="00DD6A44" w:rsidRDefault="00DD6A44" w:rsidP="00884761">
            <w:pPr>
              <w:jc w:val="both"/>
              <w:rPr>
                <w:rFonts w:ascii="Arial" w:hAnsi="Arial" w:cs="Arial"/>
                <w:sz w:val="24"/>
                <w:szCs w:val="24"/>
              </w:rPr>
            </w:pPr>
          </w:p>
          <w:p w14:paraId="217D1975" w14:textId="574670E6" w:rsidR="00DD6A44" w:rsidRDefault="00DD6A44" w:rsidP="00884761">
            <w:pPr>
              <w:jc w:val="both"/>
              <w:rPr>
                <w:rFonts w:ascii="Arial" w:hAnsi="Arial" w:cs="Arial"/>
                <w:sz w:val="24"/>
                <w:szCs w:val="24"/>
              </w:rPr>
            </w:pPr>
          </w:p>
          <w:p w14:paraId="446607C3" w14:textId="1944A660" w:rsidR="00DD6A44" w:rsidRDefault="00DD6A44" w:rsidP="00884761">
            <w:pPr>
              <w:jc w:val="both"/>
              <w:rPr>
                <w:rFonts w:ascii="Arial" w:hAnsi="Arial" w:cs="Arial"/>
                <w:sz w:val="24"/>
                <w:szCs w:val="24"/>
              </w:rPr>
            </w:pPr>
          </w:p>
          <w:p w14:paraId="79AF5EE1" w14:textId="57D7CBCF" w:rsidR="00DD6A44" w:rsidRDefault="00DD6A44" w:rsidP="00884761">
            <w:pPr>
              <w:jc w:val="both"/>
              <w:rPr>
                <w:rFonts w:ascii="Arial" w:hAnsi="Arial" w:cs="Arial"/>
                <w:sz w:val="24"/>
                <w:szCs w:val="24"/>
              </w:rPr>
            </w:pPr>
          </w:p>
          <w:p w14:paraId="0CB29799" w14:textId="3A6E826D" w:rsidR="00DD6A44" w:rsidRDefault="00DD6A44" w:rsidP="00884761">
            <w:pPr>
              <w:jc w:val="both"/>
              <w:rPr>
                <w:rFonts w:ascii="Arial" w:hAnsi="Arial" w:cs="Arial"/>
                <w:sz w:val="24"/>
                <w:szCs w:val="24"/>
              </w:rPr>
            </w:pPr>
          </w:p>
          <w:p w14:paraId="3C8E7221" w14:textId="3FBD305C" w:rsidR="00DD6A44" w:rsidRDefault="00DD6A44" w:rsidP="00884761">
            <w:pPr>
              <w:jc w:val="both"/>
              <w:rPr>
                <w:rFonts w:ascii="Arial" w:hAnsi="Arial" w:cs="Arial"/>
                <w:sz w:val="24"/>
                <w:szCs w:val="24"/>
              </w:rPr>
            </w:pPr>
          </w:p>
          <w:p w14:paraId="57F50121" w14:textId="6D39224E" w:rsidR="00DD6A44" w:rsidRDefault="00DD6A44" w:rsidP="00884761">
            <w:pPr>
              <w:jc w:val="both"/>
              <w:rPr>
                <w:rFonts w:ascii="Arial" w:hAnsi="Arial" w:cs="Arial"/>
                <w:sz w:val="24"/>
                <w:szCs w:val="24"/>
              </w:rPr>
            </w:pPr>
          </w:p>
          <w:p w14:paraId="43E609F0" w14:textId="6B1822E9" w:rsidR="00DD6A44" w:rsidRDefault="00DD6A44" w:rsidP="00884761">
            <w:pPr>
              <w:jc w:val="both"/>
              <w:rPr>
                <w:rFonts w:ascii="Arial" w:hAnsi="Arial" w:cs="Arial"/>
                <w:sz w:val="24"/>
                <w:szCs w:val="24"/>
              </w:rPr>
            </w:pPr>
          </w:p>
          <w:p w14:paraId="180045F9" w14:textId="5D8928B6" w:rsidR="00DD6A44" w:rsidRDefault="00DD6A44" w:rsidP="00884761">
            <w:pPr>
              <w:jc w:val="both"/>
              <w:rPr>
                <w:rFonts w:ascii="Arial" w:hAnsi="Arial" w:cs="Arial"/>
                <w:sz w:val="24"/>
                <w:szCs w:val="24"/>
              </w:rPr>
            </w:pPr>
          </w:p>
          <w:p w14:paraId="71EBC45A" w14:textId="7CD8A2A8" w:rsidR="00DD6A44" w:rsidRDefault="00DD6A44" w:rsidP="00884761">
            <w:pPr>
              <w:jc w:val="both"/>
              <w:rPr>
                <w:rFonts w:ascii="Arial" w:hAnsi="Arial" w:cs="Arial"/>
                <w:sz w:val="24"/>
                <w:szCs w:val="24"/>
              </w:rPr>
            </w:pPr>
          </w:p>
          <w:p w14:paraId="1DE511E0" w14:textId="77EB882D" w:rsidR="00DD6A44" w:rsidRDefault="00DD6A44" w:rsidP="00884761">
            <w:pPr>
              <w:jc w:val="both"/>
              <w:rPr>
                <w:rFonts w:ascii="Arial" w:hAnsi="Arial" w:cs="Arial"/>
                <w:sz w:val="24"/>
                <w:szCs w:val="24"/>
              </w:rPr>
            </w:pPr>
          </w:p>
          <w:p w14:paraId="21D42355" w14:textId="625C2674" w:rsidR="00DD6A44" w:rsidRDefault="00DD6A44" w:rsidP="00884761">
            <w:pPr>
              <w:jc w:val="both"/>
              <w:rPr>
                <w:rFonts w:ascii="Arial" w:hAnsi="Arial" w:cs="Arial"/>
                <w:sz w:val="24"/>
                <w:szCs w:val="24"/>
              </w:rPr>
            </w:pPr>
          </w:p>
          <w:p w14:paraId="043C2149" w14:textId="11D5ABA3" w:rsidR="00DD6A44" w:rsidRDefault="00DD6A44" w:rsidP="00884761">
            <w:pPr>
              <w:jc w:val="both"/>
              <w:rPr>
                <w:rFonts w:ascii="Arial" w:hAnsi="Arial" w:cs="Arial"/>
                <w:sz w:val="24"/>
                <w:szCs w:val="24"/>
              </w:rPr>
            </w:pPr>
          </w:p>
          <w:p w14:paraId="4D2655F2" w14:textId="52BBF490" w:rsidR="00DD6A44" w:rsidRDefault="00DD6A44" w:rsidP="00884761">
            <w:pPr>
              <w:jc w:val="both"/>
              <w:rPr>
                <w:rFonts w:ascii="Arial" w:hAnsi="Arial" w:cs="Arial"/>
                <w:sz w:val="24"/>
                <w:szCs w:val="24"/>
              </w:rPr>
            </w:pPr>
          </w:p>
          <w:p w14:paraId="0FA21560" w14:textId="581ACE47" w:rsidR="00DD6A44" w:rsidRDefault="00DD6A44" w:rsidP="00884761">
            <w:pPr>
              <w:jc w:val="both"/>
              <w:rPr>
                <w:rFonts w:ascii="Arial" w:hAnsi="Arial" w:cs="Arial"/>
                <w:sz w:val="24"/>
                <w:szCs w:val="24"/>
              </w:rPr>
            </w:pPr>
          </w:p>
          <w:p w14:paraId="176861CC" w14:textId="1A7C8715" w:rsidR="00DD6A44" w:rsidRDefault="00DD6A44" w:rsidP="00884761">
            <w:pPr>
              <w:jc w:val="both"/>
              <w:rPr>
                <w:rFonts w:ascii="Arial" w:hAnsi="Arial" w:cs="Arial"/>
                <w:sz w:val="24"/>
                <w:szCs w:val="24"/>
              </w:rPr>
            </w:pPr>
          </w:p>
          <w:p w14:paraId="3656FE68" w14:textId="426AA416" w:rsidR="00DD6A44" w:rsidRDefault="00DD6A44" w:rsidP="00884761">
            <w:pPr>
              <w:jc w:val="both"/>
              <w:rPr>
                <w:rFonts w:ascii="Arial" w:hAnsi="Arial" w:cs="Arial"/>
                <w:sz w:val="24"/>
                <w:szCs w:val="24"/>
              </w:rPr>
            </w:pPr>
          </w:p>
          <w:p w14:paraId="1025C4B3" w14:textId="13F7BF4D" w:rsidR="00DD6A44" w:rsidRDefault="00DD6A44" w:rsidP="00884761">
            <w:pPr>
              <w:jc w:val="both"/>
              <w:rPr>
                <w:rFonts w:ascii="Arial" w:hAnsi="Arial" w:cs="Arial"/>
                <w:sz w:val="24"/>
                <w:szCs w:val="24"/>
              </w:rPr>
            </w:pPr>
          </w:p>
          <w:p w14:paraId="2272B043" w14:textId="24E0B22A" w:rsidR="00DD6A44" w:rsidRDefault="00DD6A44" w:rsidP="00884761">
            <w:pPr>
              <w:jc w:val="both"/>
              <w:rPr>
                <w:rFonts w:ascii="Arial" w:hAnsi="Arial" w:cs="Arial"/>
                <w:sz w:val="24"/>
                <w:szCs w:val="24"/>
              </w:rPr>
            </w:pPr>
          </w:p>
          <w:p w14:paraId="5B1FB518" w14:textId="6A7350A1" w:rsidR="00DD6A44" w:rsidRDefault="00DD6A44" w:rsidP="00884761">
            <w:pPr>
              <w:jc w:val="both"/>
              <w:rPr>
                <w:rFonts w:ascii="Arial" w:hAnsi="Arial" w:cs="Arial"/>
                <w:sz w:val="24"/>
                <w:szCs w:val="24"/>
              </w:rPr>
            </w:pPr>
          </w:p>
          <w:p w14:paraId="64E91471" w14:textId="5CC218BA" w:rsidR="00DD6A44" w:rsidRDefault="00DD6A44" w:rsidP="00884761">
            <w:pPr>
              <w:jc w:val="both"/>
              <w:rPr>
                <w:rFonts w:ascii="Arial" w:hAnsi="Arial" w:cs="Arial"/>
                <w:sz w:val="24"/>
                <w:szCs w:val="24"/>
              </w:rPr>
            </w:pPr>
          </w:p>
          <w:p w14:paraId="1D3B8412" w14:textId="0F465A9E" w:rsidR="00DD6A44" w:rsidRDefault="00DD6A44" w:rsidP="00884761">
            <w:pPr>
              <w:jc w:val="both"/>
              <w:rPr>
                <w:rFonts w:ascii="Arial" w:hAnsi="Arial" w:cs="Arial"/>
                <w:sz w:val="24"/>
                <w:szCs w:val="24"/>
              </w:rPr>
            </w:pPr>
          </w:p>
          <w:p w14:paraId="190F1C18" w14:textId="73B57D23" w:rsidR="00DD6A44" w:rsidRDefault="00DD6A44" w:rsidP="00884761">
            <w:pPr>
              <w:jc w:val="both"/>
              <w:rPr>
                <w:rFonts w:ascii="Arial" w:hAnsi="Arial" w:cs="Arial"/>
                <w:sz w:val="24"/>
                <w:szCs w:val="24"/>
              </w:rPr>
            </w:pPr>
          </w:p>
          <w:p w14:paraId="148E9F4E" w14:textId="3E8222EA" w:rsidR="00DD6A44" w:rsidRDefault="00DD6A44" w:rsidP="00884761">
            <w:pPr>
              <w:jc w:val="both"/>
              <w:rPr>
                <w:rFonts w:ascii="Arial" w:hAnsi="Arial" w:cs="Arial"/>
                <w:sz w:val="24"/>
                <w:szCs w:val="24"/>
              </w:rPr>
            </w:pPr>
          </w:p>
          <w:p w14:paraId="218251F6" w14:textId="1F8F13E0" w:rsidR="00DD6A44" w:rsidRDefault="00DD6A44" w:rsidP="00884761">
            <w:pPr>
              <w:jc w:val="both"/>
              <w:rPr>
                <w:rFonts w:ascii="Arial" w:hAnsi="Arial" w:cs="Arial"/>
                <w:sz w:val="24"/>
                <w:szCs w:val="24"/>
              </w:rPr>
            </w:pPr>
          </w:p>
          <w:p w14:paraId="4EFA331E" w14:textId="6F87EF52" w:rsidR="00DD6A44" w:rsidRDefault="00DD6A44" w:rsidP="00884761">
            <w:pPr>
              <w:jc w:val="both"/>
              <w:rPr>
                <w:rFonts w:ascii="Arial" w:hAnsi="Arial" w:cs="Arial"/>
                <w:sz w:val="24"/>
                <w:szCs w:val="24"/>
              </w:rPr>
            </w:pPr>
          </w:p>
          <w:p w14:paraId="4CF50C6F" w14:textId="6FEACAAC" w:rsidR="00DD6A44" w:rsidRDefault="00DD6A44" w:rsidP="00884761">
            <w:pPr>
              <w:jc w:val="both"/>
              <w:rPr>
                <w:rFonts w:ascii="Arial" w:hAnsi="Arial" w:cs="Arial"/>
                <w:sz w:val="24"/>
                <w:szCs w:val="24"/>
              </w:rPr>
            </w:pPr>
          </w:p>
          <w:p w14:paraId="1D6E2C36" w14:textId="26A2D3AF" w:rsidR="00DD6A44" w:rsidRDefault="00DD6A44" w:rsidP="00884761">
            <w:pPr>
              <w:jc w:val="both"/>
              <w:rPr>
                <w:rFonts w:ascii="Arial" w:hAnsi="Arial" w:cs="Arial"/>
                <w:sz w:val="24"/>
                <w:szCs w:val="24"/>
              </w:rPr>
            </w:pPr>
          </w:p>
          <w:p w14:paraId="4F9F9FAA" w14:textId="39BD145A" w:rsidR="00DD6A44" w:rsidRDefault="00DD6A44" w:rsidP="00884761">
            <w:pPr>
              <w:jc w:val="both"/>
              <w:rPr>
                <w:rFonts w:ascii="Arial" w:hAnsi="Arial" w:cs="Arial"/>
                <w:sz w:val="24"/>
                <w:szCs w:val="24"/>
              </w:rPr>
            </w:pPr>
          </w:p>
          <w:p w14:paraId="25C28123" w14:textId="31E0D749" w:rsidR="00DD6A44" w:rsidRDefault="00DD6A44" w:rsidP="00884761">
            <w:pPr>
              <w:jc w:val="both"/>
              <w:rPr>
                <w:rFonts w:ascii="Arial" w:hAnsi="Arial" w:cs="Arial"/>
                <w:sz w:val="24"/>
                <w:szCs w:val="24"/>
              </w:rPr>
            </w:pPr>
          </w:p>
          <w:p w14:paraId="19AFCE82" w14:textId="0892138B" w:rsidR="00DD6A44" w:rsidRDefault="00DD6A44" w:rsidP="00884761">
            <w:pPr>
              <w:jc w:val="both"/>
              <w:rPr>
                <w:rFonts w:ascii="Arial" w:hAnsi="Arial" w:cs="Arial"/>
                <w:sz w:val="24"/>
                <w:szCs w:val="24"/>
              </w:rPr>
            </w:pPr>
          </w:p>
          <w:p w14:paraId="67046574" w14:textId="2EB5088E" w:rsidR="00DD6A44" w:rsidRDefault="00DD6A44" w:rsidP="00884761">
            <w:pPr>
              <w:jc w:val="both"/>
              <w:rPr>
                <w:rFonts w:ascii="Arial" w:hAnsi="Arial" w:cs="Arial"/>
                <w:sz w:val="24"/>
                <w:szCs w:val="24"/>
              </w:rPr>
            </w:pPr>
          </w:p>
          <w:p w14:paraId="7215FB43" w14:textId="505524B6" w:rsidR="00DD6A44" w:rsidRDefault="00DD6A44" w:rsidP="00884761">
            <w:pPr>
              <w:jc w:val="both"/>
              <w:rPr>
                <w:rFonts w:ascii="Arial" w:hAnsi="Arial" w:cs="Arial"/>
                <w:sz w:val="24"/>
                <w:szCs w:val="24"/>
              </w:rPr>
            </w:pPr>
          </w:p>
          <w:p w14:paraId="6D6E3F31" w14:textId="397B3C47" w:rsidR="00DD6A44" w:rsidRDefault="00DD6A44" w:rsidP="00884761">
            <w:pPr>
              <w:jc w:val="both"/>
              <w:rPr>
                <w:rFonts w:ascii="Arial" w:hAnsi="Arial" w:cs="Arial"/>
                <w:sz w:val="24"/>
                <w:szCs w:val="24"/>
              </w:rPr>
            </w:pPr>
          </w:p>
          <w:p w14:paraId="47C444D6" w14:textId="4F91A5CD" w:rsidR="00DD6A44" w:rsidRDefault="00DD6A44" w:rsidP="00884761">
            <w:pPr>
              <w:jc w:val="both"/>
              <w:rPr>
                <w:rFonts w:ascii="Arial" w:hAnsi="Arial" w:cs="Arial"/>
                <w:sz w:val="24"/>
                <w:szCs w:val="24"/>
              </w:rPr>
            </w:pPr>
          </w:p>
          <w:p w14:paraId="21927E12" w14:textId="0BFB2ECA" w:rsidR="00DD6A44" w:rsidRDefault="00DD6A44" w:rsidP="00884761">
            <w:pPr>
              <w:jc w:val="both"/>
              <w:rPr>
                <w:rFonts w:ascii="Arial" w:hAnsi="Arial" w:cs="Arial"/>
                <w:sz w:val="24"/>
                <w:szCs w:val="24"/>
              </w:rPr>
            </w:pPr>
          </w:p>
          <w:p w14:paraId="3E3EC257" w14:textId="08B25DF9" w:rsidR="00DD6A44" w:rsidRDefault="00DD6A44" w:rsidP="00884761">
            <w:pPr>
              <w:jc w:val="both"/>
              <w:rPr>
                <w:rFonts w:ascii="Arial" w:hAnsi="Arial" w:cs="Arial"/>
                <w:sz w:val="24"/>
                <w:szCs w:val="24"/>
              </w:rPr>
            </w:pPr>
          </w:p>
          <w:p w14:paraId="3DCBCF2E" w14:textId="4ED7FA9E" w:rsidR="00DD6A44" w:rsidRDefault="00DD6A44" w:rsidP="00884761">
            <w:pPr>
              <w:jc w:val="both"/>
              <w:rPr>
                <w:rFonts w:ascii="Arial" w:hAnsi="Arial" w:cs="Arial"/>
                <w:sz w:val="24"/>
                <w:szCs w:val="24"/>
              </w:rPr>
            </w:pPr>
          </w:p>
          <w:p w14:paraId="4EB6503F" w14:textId="43315A5A" w:rsidR="00DD6A44" w:rsidRDefault="00DD6A44" w:rsidP="00884761">
            <w:pPr>
              <w:jc w:val="both"/>
              <w:rPr>
                <w:rFonts w:ascii="Arial" w:hAnsi="Arial" w:cs="Arial"/>
                <w:sz w:val="24"/>
                <w:szCs w:val="24"/>
              </w:rPr>
            </w:pPr>
          </w:p>
          <w:p w14:paraId="576403E3" w14:textId="32F60976" w:rsidR="00DD6A44" w:rsidRDefault="00DD6A44" w:rsidP="00884761">
            <w:pPr>
              <w:jc w:val="both"/>
              <w:rPr>
                <w:rFonts w:ascii="Arial" w:hAnsi="Arial" w:cs="Arial"/>
                <w:sz w:val="24"/>
                <w:szCs w:val="24"/>
              </w:rPr>
            </w:pPr>
          </w:p>
          <w:p w14:paraId="23D5C039" w14:textId="5A3C01B4" w:rsidR="00DD6A44" w:rsidRDefault="00DD6A44" w:rsidP="00884761">
            <w:pPr>
              <w:jc w:val="both"/>
              <w:rPr>
                <w:rFonts w:ascii="Arial" w:hAnsi="Arial" w:cs="Arial"/>
                <w:sz w:val="24"/>
                <w:szCs w:val="24"/>
              </w:rPr>
            </w:pPr>
          </w:p>
          <w:p w14:paraId="4B1A3CAB" w14:textId="489643A3" w:rsidR="00DD6A44" w:rsidRDefault="00DD6A44" w:rsidP="00884761">
            <w:pPr>
              <w:jc w:val="both"/>
              <w:rPr>
                <w:rFonts w:ascii="Arial" w:hAnsi="Arial" w:cs="Arial"/>
                <w:sz w:val="24"/>
                <w:szCs w:val="24"/>
              </w:rPr>
            </w:pPr>
          </w:p>
          <w:p w14:paraId="47ADA40C" w14:textId="6B7B4669" w:rsidR="00DD6A44" w:rsidRDefault="00DD6A44" w:rsidP="00884761">
            <w:pPr>
              <w:jc w:val="both"/>
              <w:rPr>
                <w:rFonts w:ascii="Arial" w:hAnsi="Arial" w:cs="Arial"/>
                <w:sz w:val="24"/>
                <w:szCs w:val="24"/>
              </w:rPr>
            </w:pPr>
          </w:p>
          <w:p w14:paraId="7349131E" w14:textId="556F522B" w:rsidR="00DD6A44" w:rsidRDefault="00DD6A44" w:rsidP="00884761">
            <w:pPr>
              <w:jc w:val="both"/>
              <w:rPr>
                <w:rFonts w:ascii="Arial" w:hAnsi="Arial" w:cs="Arial"/>
                <w:sz w:val="24"/>
                <w:szCs w:val="24"/>
              </w:rPr>
            </w:pPr>
          </w:p>
          <w:p w14:paraId="2AB02798" w14:textId="42EBC23E" w:rsidR="00DD6A44" w:rsidRDefault="00DD6A44" w:rsidP="00884761">
            <w:pPr>
              <w:jc w:val="both"/>
              <w:rPr>
                <w:rFonts w:ascii="Arial" w:hAnsi="Arial" w:cs="Arial"/>
                <w:sz w:val="24"/>
                <w:szCs w:val="24"/>
              </w:rPr>
            </w:pPr>
          </w:p>
          <w:p w14:paraId="69879E0F" w14:textId="12C7A7FA" w:rsidR="00DD6A44" w:rsidRDefault="00DD6A44" w:rsidP="00884761">
            <w:pPr>
              <w:jc w:val="both"/>
              <w:rPr>
                <w:rFonts w:ascii="Arial" w:hAnsi="Arial" w:cs="Arial"/>
                <w:sz w:val="24"/>
                <w:szCs w:val="24"/>
              </w:rPr>
            </w:pPr>
          </w:p>
          <w:p w14:paraId="1083E555" w14:textId="2F01BA9B" w:rsidR="00DD6A44" w:rsidRDefault="00DD6A44" w:rsidP="00884761">
            <w:pPr>
              <w:jc w:val="both"/>
              <w:rPr>
                <w:rFonts w:ascii="Arial" w:hAnsi="Arial" w:cs="Arial"/>
                <w:sz w:val="24"/>
                <w:szCs w:val="24"/>
              </w:rPr>
            </w:pPr>
          </w:p>
          <w:p w14:paraId="7060A625" w14:textId="46D2D17A" w:rsidR="00DD6A44" w:rsidRDefault="00DD6A44" w:rsidP="00884761">
            <w:pPr>
              <w:jc w:val="both"/>
              <w:rPr>
                <w:rFonts w:ascii="Arial" w:hAnsi="Arial" w:cs="Arial"/>
                <w:sz w:val="24"/>
                <w:szCs w:val="24"/>
              </w:rPr>
            </w:pPr>
          </w:p>
          <w:p w14:paraId="20BB0EDD" w14:textId="4335EA15" w:rsidR="00DD6A44" w:rsidRDefault="00DD6A44" w:rsidP="00884761">
            <w:pPr>
              <w:jc w:val="both"/>
              <w:rPr>
                <w:rFonts w:ascii="Arial" w:hAnsi="Arial" w:cs="Arial"/>
                <w:sz w:val="24"/>
                <w:szCs w:val="24"/>
              </w:rPr>
            </w:pPr>
          </w:p>
          <w:p w14:paraId="06621182" w14:textId="7B464E96" w:rsidR="00DD6A44" w:rsidRDefault="00DD6A44" w:rsidP="00884761">
            <w:pPr>
              <w:jc w:val="both"/>
              <w:rPr>
                <w:rFonts w:ascii="Arial" w:hAnsi="Arial" w:cs="Arial"/>
                <w:sz w:val="24"/>
                <w:szCs w:val="24"/>
              </w:rPr>
            </w:pPr>
          </w:p>
          <w:p w14:paraId="5341D0B2" w14:textId="1EF00E6A" w:rsidR="00DD6A44" w:rsidRDefault="00DD6A44" w:rsidP="00884761">
            <w:pPr>
              <w:jc w:val="both"/>
              <w:rPr>
                <w:rFonts w:ascii="Arial" w:hAnsi="Arial" w:cs="Arial"/>
                <w:sz w:val="24"/>
                <w:szCs w:val="24"/>
              </w:rPr>
            </w:pPr>
          </w:p>
          <w:p w14:paraId="7A65B280" w14:textId="2A7DC8F8" w:rsidR="00DD6A44" w:rsidRDefault="00DD6A44" w:rsidP="00884761">
            <w:pPr>
              <w:jc w:val="both"/>
              <w:rPr>
                <w:rFonts w:ascii="Arial" w:hAnsi="Arial" w:cs="Arial"/>
                <w:sz w:val="24"/>
                <w:szCs w:val="24"/>
              </w:rPr>
            </w:pPr>
          </w:p>
          <w:p w14:paraId="36939E4C" w14:textId="582C9908" w:rsidR="00DD6A44" w:rsidRDefault="00DD6A44" w:rsidP="00884761">
            <w:pPr>
              <w:jc w:val="both"/>
              <w:rPr>
                <w:rFonts w:ascii="Arial" w:hAnsi="Arial" w:cs="Arial"/>
                <w:sz w:val="24"/>
                <w:szCs w:val="24"/>
              </w:rPr>
            </w:pPr>
          </w:p>
          <w:p w14:paraId="41F7B66D" w14:textId="571E4A5D" w:rsidR="00DD6A44" w:rsidRDefault="00DD6A44" w:rsidP="00884761">
            <w:pPr>
              <w:jc w:val="both"/>
              <w:rPr>
                <w:rFonts w:ascii="Arial" w:hAnsi="Arial" w:cs="Arial"/>
                <w:sz w:val="24"/>
                <w:szCs w:val="24"/>
              </w:rPr>
            </w:pPr>
          </w:p>
          <w:p w14:paraId="4017B8A9" w14:textId="6914144B" w:rsidR="00DD6A44" w:rsidRDefault="00DD6A44" w:rsidP="00884761">
            <w:pPr>
              <w:jc w:val="both"/>
              <w:rPr>
                <w:rFonts w:ascii="Arial" w:hAnsi="Arial" w:cs="Arial"/>
                <w:sz w:val="24"/>
                <w:szCs w:val="24"/>
              </w:rPr>
            </w:pPr>
          </w:p>
          <w:p w14:paraId="425B6679" w14:textId="47771902" w:rsidR="00DD6A44" w:rsidRDefault="00DD6A44" w:rsidP="00884761">
            <w:pPr>
              <w:jc w:val="both"/>
              <w:rPr>
                <w:rFonts w:ascii="Arial" w:hAnsi="Arial" w:cs="Arial"/>
                <w:sz w:val="24"/>
                <w:szCs w:val="24"/>
              </w:rPr>
            </w:pPr>
          </w:p>
          <w:p w14:paraId="3F072E87" w14:textId="1190D1DA" w:rsidR="00DD6A44" w:rsidRDefault="00DD6A44" w:rsidP="00884761">
            <w:pPr>
              <w:jc w:val="both"/>
              <w:rPr>
                <w:rFonts w:ascii="Arial" w:hAnsi="Arial" w:cs="Arial"/>
                <w:sz w:val="24"/>
                <w:szCs w:val="24"/>
              </w:rPr>
            </w:pPr>
          </w:p>
          <w:p w14:paraId="7BCF65BE" w14:textId="5E7F2A26" w:rsidR="00DD6A44" w:rsidRDefault="00DD6A44" w:rsidP="00884761">
            <w:pPr>
              <w:jc w:val="both"/>
              <w:rPr>
                <w:rFonts w:ascii="Arial" w:hAnsi="Arial" w:cs="Arial"/>
                <w:sz w:val="24"/>
                <w:szCs w:val="24"/>
              </w:rPr>
            </w:pPr>
          </w:p>
          <w:p w14:paraId="4F80E505" w14:textId="1EDEDC44" w:rsidR="00DD6A44" w:rsidRDefault="00DD6A44" w:rsidP="00884761">
            <w:pPr>
              <w:jc w:val="both"/>
              <w:rPr>
                <w:rFonts w:ascii="Arial" w:hAnsi="Arial" w:cs="Arial"/>
                <w:sz w:val="24"/>
                <w:szCs w:val="24"/>
              </w:rPr>
            </w:pPr>
          </w:p>
          <w:p w14:paraId="66B4E24F" w14:textId="445AE716" w:rsidR="00DD6A44" w:rsidRDefault="00DD6A44" w:rsidP="00884761">
            <w:pPr>
              <w:jc w:val="both"/>
              <w:rPr>
                <w:rFonts w:ascii="Arial" w:hAnsi="Arial" w:cs="Arial"/>
                <w:sz w:val="24"/>
                <w:szCs w:val="24"/>
              </w:rPr>
            </w:pPr>
          </w:p>
          <w:p w14:paraId="6E601087" w14:textId="76670D91" w:rsidR="00DD6A44" w:rsidRDefault="00DD6A44" w:rsidP="00884761">
            <w:pPr>
              <w:jc w:val="both"/>
              <w:rPr>
                <w:rFonts w:ascii="Arial" w:hAnsi="Arial" w:cs="Arial"/>
                <w:sz w:val="24"/>
                <w:szCs w:val="24"/>
              </w:rPr>
            </w:pPr>
          </w:p>
          <w:p w14:paraId="6A805DB2" w14:textId="599776C4" w:rsidR="00DD6A44" w:rsidRDefault="00DD6A44" w:rsidP="00884761">
            <w:pPr>
              <w:jc w:val="both"/>
              <w:rPr>
                <w:rFonts w:ascii="Arial" w:hAnsi="Arial" w:cs="Arial"/>
                <w:sz w:val="24"/>
                <w:szCs w:val="24"/>
              </w:rPr>
            </w:pPr>
          </w:p>
          <w:p w14:paraId="22B415C5" w14:textId="71B3F4DD" w:rsidR="00DD6A44" w:rsidRDefault="00DD6A44" w:rsidP="00884761">
            <w:pPr>
              <w:jc w:val="both"/>
              <w:rPr>
                <w:rFonts w:ascii="Arial" w:hAnsi="Arial" w:cs="Arial"/>
                <w:sz w:val="24"/>
                <w:szCs w:val="24"/>
              </w:rPr>
            </w:pPr>
          </w:p>
          <w:p w14:paraId="1FC5BB5F" w14:textId="7FB1F35D" w:rsidR="00DD6A44" w:rsidRDefault="00DD6A44" w:rsidP="00884761">
            <w:pPr>
              <w:jc w:val="both"/>
              <w:rPr>
                <w:rFonts w:ascii="Arial" w:hAnsi="Arial" w:cs="Arial"/>
                <w:sz w:val="24"/>
                <w:szCs w:val="24"/>
              </w:rPr>
            </w:pPr>
          </w:p>
          <w:p w14:paraId="68D23E67" w14:textId="64B0ECED" w:rsidR="00DD6A44" w:rsidRDefault="00DD6A44" w:rsidP="00884761">
            <w:pPr>
              <w:jc w:val="both"/>
              <w:rPr>
                <w:rFonts w:ascii="Arial" w:hAnsi="Arial" w:cs="Arial"/>
                <w:sz w:val="24"/>
                <w:szCs w:val="24"/>
              </w:rPr>
            </w:pPr>
          </w:p>
          <w:p w14:paraId="727E356F" w14:textId="6ED4CE65" w:rsidR="00DD6A44" w:rsidRDefault="00DD6A44" w:rsidP="00884761">
            <w:pPr>
              <w:jc w:val="both"/>
              <w:rPr>
                <w:rFonts w:ascii="Arial" w:hAnsi="Arial" w:cs="Arial"/>
                <w:sz w:val="24"/>
                <w:szCs w:val="24"/>
              </w:rPr>
            </w:pPr>
          </w:p>
          <w:p w14:paraId="74FEE842" w14:textId="722117A5" w:rsidR="00DD6A44" w:rsidRDefault="00DD6A44" w:rsidP="00884761">
            <w:pPr>
              <w:jc w:val="both"/>
              <w:rPr>
                <w:rFonts w:ascii="Arial" w:hAnsi="Arial" w:cs="Arial"/>
                <w:sz w:val="24"/>
                <w:szCs w:val="24"/>
              </w:rPr>
            </w:pPr>
          </w:p>
          <w:p w14:paraId="7A9515E4" w14:textId="4475BCE5" w:rsidR="00DD6A44" w:rsidRDefault="00DD6A44" w:rsidP="00884761">
            <w:pPr>
              <w:jc w:val="both"/>
              <w:rPr>
                <w:rFonts w:ascii="Arial" w:hAnsi="Arial" w:cs="Arial"/>
                <w:sz w:val="24"/>
                <w:szCs w:val="24"/>
              </w:rPr>
            </w:pPr>
          </w:p>
          <w:p w14:paraId="73DC7AC6" w14:textId="6C5EF91C" w:rsidR="00DD6A44" w:rsidRDefault="00DD6A44" w:rsidP="00884761">
            <w:pPr>
              <w:jc w:val="both"/>
              <w:rPr>
                <w:rFonts w:ascii="Arial" w:hAnsi="Arial" w:cs="Arial"/>
                <w:sz w:val="24"/>
                <w:szCs w:val="24"/>
              </w:rPr>
            </w:pPr>
          </w:p>
          <w:p w14:paraId="128798B1" w14:textId="76F978F7" w:rsidR="00DD6A44" w:rsidRDefault="00DD6A44" w:rsidP="00884761">
            <w:pPr>
              <w:jc w:val="both"/>
              <w:rPr>
                <w:rFonts w:ascii="Arial" w:hAnsi="Arial" w:cs="Arial"/>
                <w:sz w:val="24"/>
                <w:szCs w:val="24"/>
              </w:rPr>
            </w:pPr>
          </w:p>
          <w:p w14:paraId="5BA2A48C" w14:textId="098F82C7" w:rsidR="00DD6A44" w:rsidRDefault="00DD6A44" w:rsidP="00884761">
            <w:pPr>
              <w:jc w:val="both"/>
              <w:rPr>
                <w:rFonts w:ascii="Arial" w:hAnsi="Arial" w:cs="Arial"/>
                <w:sz w:val="24"/>
                <w:szCs w:val="24"/>
              </w:rPr>
            </w:pPr>
          </w:p>
          <w:p w14:paraId="6198BFB1" w14:textId="3BFEDA5E" w:rsidR="00DD6A44" w:rsidRDefault="00DD6A44" w:rsidP="00884761">
            <w:pPr>
              <w:jc w:val="both"/>
              <w:rPr>
                <w:rFonts w:ascii="Arial" w:hAnsi="Arial" w:cs="Arial"/>
                <w:sz w:val="24"/>
                <w:szCs w:val="24"/>
              </w:rPr>
            </w:pPr>
          </w:p>
          <w:p w14:paraId="3B0C25A9" w14:textId="5C0D923E" w:rsidR="00DD6A44" w:rsidRDefault="00DD6A44" w:rsidP="00884761">
            <w:pPr>
              <w:jc w:val="both"/>
              <w:rPr>
                <w:rFonts w:ascii="Arial" w:hAnsi="Arial" w:cs="Arial"/>
                <w:sz w:val="24"/>
                <w:szCs w:val="24"/>
              </w:rPr>
            </w:pPr>
          </w:p>
          <w:p w14:paraId="0FB04A2A" w14:textId="7919E779" w:rsidR="00DD6A44" w:rsidRDefault="00DD6A44" w:rsidP="00884761">
            <w:pPr>
              <w:jc w:val="both"/>
              <w:rPr>
                <w:rFonts w:ascii="Arial" w:hAnsi="Arial" w:cs="Arial"/>
                <w:sz w:val="24"/>
                <w:szCs w:val="24"/>
              </w:rPr>
            </w:pPr>
          </w:p>
          <w:p w14:paraId="71D21254" w14:textId="231606A5" w:rsidR="00DD6A44" w:rsidRDefault="00DD6A44" w:rsidP="00884761">
            <w:pPr>
              <w:jc w:val="both"/>
              <w:rPr>
                <w:rFonts w:ascii="Arial" w:hAnsi="Arial" w:cs="Arial"/>
                <w:sz w:val="24"/>
                <w:szCs w:val="24"/>
              </w:rPr>
            </w:pPr>
          </w:p>
          <w:p w14:paraId="1F09B199" w14:textId="51EF0343" w:rsidR="00DD6A44" w:rsidRDefault="00DD6A44" w:rsidP="00884761">
            <w:pPr>
              <w:jc w:val="both"/>
              <w:rPr>
                <w:rFonts w:ascii="Arial" w:hAnsi="Arial" w:cs="Arial"/>
                <w:sz w:val="24"/>
                <w:szCs w:val="24"/>
              </w:rPr>
            </w:pPr>
          </w:p>
          <w:p w14:paraId="595D0285" w14:textId="603698B5" w:rsidR="00DD6A44" w:rsidRDefault="00DD6A44" w:rsidP="00884761">
            <w:pPr>
              <w:jc w:val="both"/>
              <w:rPr>
                <w:rFonts w:ascii="Arial" w:hAnsi="Arial" w:cs="Arial"/>
                <w:sz w:val="24"/>
                <w:szCs w:val="24"/>
              </w:rPr>
            </w:pPr>
          </w:p>
          <w:p w14:paraId="298D4347" w14:textId="2B5AC75F" w:rsidR="00DD6A44" w:rsidRDefault="00DD6A44" w:rsidP="00884761">
            <w:pPr>
              <w:jc w:val="both"/>
              <w:rPr>
                <w:rFonts w:ascii="Arial" w:hAnsi="Arial" w:cs="Arial"/>
                <w:sz w:val="24"/>
                <w:szCs w:val="24"/>
              </w:rPr>
            </w:pPr>
          </w:p>
          <w:p w14:paraId="549F536A" w14:textId="7F4FE36B" w:rsidR="00DD6A44" w:rsidRDefault="00DD6A44" w:rsidP="00884761">
            <w:pPr>
              <w:jc w:val="both"/>
              <w:rPr>
                <w:rFonts w:ascii="Arial" w:hAnsi="Arial" w:cs="Arial"/>
                <w:sz w:val="24"/>
                <w:szCs w:val="24"/>
              </w:rPr>
            </w:pPr>
          </w:p>
          <w:p w14:paraId="36D47EE0" w14:textId="11142CB9" w:rsidR="00DD6A44" w:rsidRDefault="00DD6A44" w:rsidP="00884761">
            <w:pPr>
              <w:jc w:val="both"/>
              <w:rPr>
                <w:rFonts w:ascii="Arial" w:hAnsi="Arial" w:cs="Arial"/>
                <w:sz w:val="24"/>
                <w:szCs w:val="24"/>
              </w:rPr>
            </w:pPr>
          </w:p>
          <w:p w14:paraId="4E046469" w14:textId="198CFA9F" w:rsidR="00DD6A44" w:rsidRDefault="00DD6A44" w:rsidP="00884761">
            <w:pPr>
              <w:jc w:val="both"/>
              <w:rPr>
                <w:rFonts w:ascii="Arial" w:hAnsi="Arial" w:cs="Arial"/>
                <w:sz w:val="24"/>
                <w:szCs w:val="24"/>
              </w:rPr>
            </w:pPr>
          </w:p>
          <w:p w14:paraId="50775D82" w14:textId="0E4B2377" w:rsidR="00DD6A44" w:rsidRDefault="00DD6A44" w:rsidP="00884761">
            <w:pPr>
              <w:jc w:val="both"/>
              <w:rPr>
                <w:rFonts w:ascii="Arial" w:hAnsi="Arial" w:cs="Arial"/>
                <w:sz w:val="24"/>
                <w:szCs w:val="24"/>
              </w:rPr>
            </w:pPr>
          </w:p>
          <w:p w14:paraId="739C3A89" w14:textId="4B7E7D59" w:rsidR="00DD6A44" w:rsidRDefault="00DD6A44" w:rsidP="00884761">
            <w:pPr>
              <w:jc w:val="both"/>
              <w:rPr>
                <w:rFonts w:ascii="Arial" w:hAnsi="Arial" w:cs="Arial"/>
                <w:sz w:val="24"/>
                <w:szCs w:val="24"/>
              </w:rPr>
            </w:pPr>
          </w:p>
          <w:p w14:paraId="4E9BA89B" w14:textId="44A02404" w:rsidR="00DD6A44" w:rsidRDefault="00DD6A44" w:rsidP="00884761">
            <w:pPr>
              <w:jc w:val="both"/>
              <w:rPr>
                <w:rFonts w:ascii="Arial" w:hAnsi="Arial" w:cs="Arial"/>
                <w:sz w:val="24"/>
                <w:szCs w:val="24"/>
              </w:rPr>
            </w:pPr>
          </w:p>
          <w:p w14:paraId="4E9281E6" w14:textId="658E233A" w:rsidR="00DD6A44" w:rsidRDefault="00DD6A44" w:rsidP="00884761">
            <w:pPr>
              <w:jc w:val="both"/>
              <w:rPr>
                <w:rFonts w:ascii="Arial" w:hAnsi="Arial" w:cs="Arial"/>
                <w:sz w:val="24"/>
                <w:szCs w:val="24"/>
              </w:rPr>
            </w:pPr>
          </w:p>
          <w:p w14:paraId="18EA5DA3" w14:textId="7216E977" w:rsidR="00DD6A44" w:rsidRDefault="00DD6A44" w:rsidP="00884761">
            <w:pPr>
              <w:jc w:val="both"/>
              <w:rPr>
                <w:rFonts w:ascii="Arial" w:hAnsi="Arial" w:cs="Arial"/>
                <w:sz w:val="24"/>
                <w:szCs w:val="24"/>
              </w:rPr>
            </w:pPr>
          </w:p>
          <w:p w14:paraId="74075D5C" w14:textId="59957840" w:rsidR="00DD6A44" w:rsidRDefault="00DD6A44" w:rsidP="00884761">
            <w:pPr>
              <w:jc w:val="both"/>
              <w:rPr>
                <w:rFonts w:ascii="Arial" w:hAnsi="Arial" w:cs="Arial"/>
                <w:sz w:val="24"/>
                <w:szCs w:val="24"/>
              </w:rPr>
            </w:pPr>
          </w:p>
          <w:p w14:paraId="56330365" w14:textId="7E1612DA" w:rsidR="00DD6A44" w:rsidRDefault="00DD6A44" w:rsidP="00884761">
            <w:pPr>
              <w:jc w:val="both"/>
              <w:rPr>
                <w:rFonts w:ascii="Arial" w:hAnsi="Arial" w:cs="Arial"/>
                <w:sz w:val="24"/>
                <w:szCs w:val="24"/>
              </w:rPr>
            </w:pPr>
          </w:p>
          <w:p w14:paraId="2FDE3B3E" w14:textId="7B9391B6" w:rsidR="00DD6A44" w:rsidRDefault="00DD6A44" w:rsidP="00884761">
            <w:pPr>
              <w:jc w:val="both"/>
              <w:rPr>
                <w:rFonts w:ascii="Arial" w:hAnsi="Arial" w:cs="Arial"/>
                <w:sz w:val="24"/>
                <w:szCs w:val="24"/>
              </w:rPr>
            </w:pPr>
          </w:p>
          <w:p w14:paraId="6749EB4D" w14:textId="19D4D04D" w:rsidR="00DD6A44" w:rsidRDefault="00DD6A44" w:rsidP="00884761">
            <w:pPr>
              <w:jc w:val="both"/>
              <w:rPr>
                <w:rFonts w:ascii="Arial" w:hAnsi="Arial" w:cs="Arial"/>
                <w:sz w:val="24"/>
                <w:szCs w:val="24"/>
              </w:rPr>
            </w:pPr>
          </w:p>
          <w:p w14:paraId="1447DFF5" w14:textId="24678682" w:rsidR="00DD6A44" w:rsidRDefault="00DD6A44" w:rsidP="00884761">
            <w:pPr>
              <w:jc w:val="both"/>
              <w:rPr>
                <w:rFonts w:ascii="Arial" w:hAnsi="Arial" w:cs="Arial"/>
                <w:sz w:val="24"/>
                <w:szCs w:val="24"/>
              </w:rPr>
            </w:pPr>
          </w:p>
          <w:p w14:paraId="329FEE29" w14:textId="3C8078EE" w:rsidR="00DD6A44" w:rsidRDefault="00DD6A44" w:rsidP="00884761">
            <w:pPr>
              <w:jc w:val="both"/>
              <w:rPr>
                <w:rFonts w:ascii="Arial" w:hAnsi="Arial" w:cs="Arial"/>
                <w:sz w:val="24"/>
                <w:szCs w:val="24"/>
              </w:rPr>
            </w:pPr>
          </w:p>
          <w:p w14:paraId="27AC1ABA" w14:textId="108A2A5D" w:rsidR="00DD6A44" w:rsidRDefault="00DD6A44" w:rsidP="00884761">
            <w:pPr>
              <w:jc w:val="both"/>
              <w:rPr>
                <w:rFonts w:ascii="Arial" w:hAnsi="Arial" w:cs="Arial"/>
                <w:sz w:val="24"/>
                <w:szCs w:val="24"/>
              </w:rPr>
            </w:pPr>
          </w:p>
          <w:p w14:paraId="1F87EEA1" w14:textId="3CDA5CD9" w:rsidR="00DD6A44" w:rsidRDefault="00DD6A44" w:rsidP="00884761">
            <w:pPr>
              <w:jc w:val="both"/>
              <w:rPr>
                <w:rFonts w:ascii="Arial" w:hAnsi="Arial" w:cs="Arial"/>
                <w:sz w:val="24"/>
                <w:szCs w:val="24"/>
              </w:rPr>
            </w:pPr>
          </w:p>
          <w:p w14:paraId="2028B9D1" w14:textId="556D3741" w:rsidR="00DD6A44" w:rsidRDefault="00DD6A44" w:rsidP="00884761">
            <w:pPr>
              <w:jc w:val="both"/>
              <w:rPr>
                <w:rFonts w:ascii="Arial" w:hAnsi="Arial" w:cs="Arial"/>
                <w:sz w:val="24"/>
                <w:szCs w:val="24"/>
              </w:rPr>
            </w:pPr>
          </w:p>
          <w:p w14:paraId="59ED9885" w14:textId="0B011357" w:rsidR="00DD6A44" w:rsidRDefault="00DD6A44" w:rsidP="00884761">
            <w:pPr>
              <w:jc w:val="both"/>
              <w:rPr>
                <w:rFonts w:ascii="Arial" w:hAnsi="Arial" w:cs="Arial"/>
                <w:sz w:val="24"/>
                <w:szCs w:val="24"/>
              </w:rPr>
            </w:pPr>
          </w:p>
          <w:p w14:paraId="434FAF19" w14:textId="62FD184A" w:rsidR="00DD6A44" w:rsidRDefault="00DD6A44" w:rsidP="00884761">
            <w:pPr>
              <w:jc w:val="both"/>
              <w:rPr>
                <w:rFonts w:ascii="Arial" w:hAnsi="Arial" w:cs="Arial"/>
                <w:sz w:val="24"/>
                <w:szCs w:val="24"/>
              </w:rPr>
            </w:pPr>
          </w:p>
          <w:p w14:paraId="2299B04B" w14:textId="7D0CE5D0" w:rsidR="00DD6A44" w:rsidRDefault="00DD6A44" w:rsidP="00884761">
            <w:pPr>
              <w:jc w:val="both"/>
              <w:rPr>
                <w:rFonts w:ascii="Arial" w:hAnsi="Arial" w:cs="Arial"/>
                <w:sz w:val="24"/>
                <w:szCs w:val="24"/>
              </w:rPr>
            </w:pPr>
          </w:p>
          <w:p w14:paraId="72D96215" w14:textId="1894B3D8" w:rsidR="00DD6A44" w:rsidRDefault="00DD6A44" w:rsidP="00884761">
            <w:pPr>
              <w:jc w:val="both"/>
              <w:rPr>
                <w:rFonts w:ascii="Arial" w:hAnsi="Arial" w:cs="Arial"/>
                <w:sz w:val="24"/>
                <w:szCs w:val="24"/>
              </w:rPr>
            </w:pPr>
          </w:p>
          <w:p w14:paraId="1BC434D2" w14:textId="512B1D7A" w:rsidR="00DD6A44" w:rsidRDefault="00DD6A44" w:rsidP="00884761">
            <w:pPr>
              <w:jc w:val="both"/>
              <w:rPr>
                <w:rFonts w:ascii="Arial" w:hAnsi="Arial" w:cs="Arial"/>
                <w:sz w:val="24"/>
                <w:szCs w:val="24"/>
              </w:rPr>
            </w:pPr>
          </w:p>
          <w:p w14:paraId="7E16AC34" w14:textId="46D953C1" w:rsidR="00DD6A44" w:rsidRDefault="00DD6A44" w:rsidP="00884761">
            <w:pPr>
              <w:jc w:val="both"/>
              <w:rPr>
                <w:rFonts w:ascii="Arial" w:hAnsi="Arial" w:cs="Arial"/>
                <w:sz w:val="24"/>
                <w:szCs w:val="24"/>
              </w:rPr>
            </w:pPr>
          </w:p>
          <w:p w14:paraId="1A6EFF8A" w14:textId="2F4DFE3E" w:rsidR="00DD6A44" w:rsidRDefault="00DD6A44" w:rsidP="00884761">
            <w:pPr>
              <w:jc w:val="both"/>
              <w:rPr>
                <w:rFonts w:ascii="Arial" w:hAnsi="Arial" w:cs="Arial"/>
                <w:sz w:val="24"/>
                <w:szCs w:val="24"/>
              </w:rPr>
            </w:pPr>
          </w:p>
          <w:p w14:paraId="5E1F5156" w14:textId="72802EA6" w:rsidR="00DD6A44" w:rsidRDefault="00DD6A44" w:rsidP="00884761">
            <w:pPr>
              <w:jc w:val="both"/>
              <w:rPr>
                <w:rFonts w:ascii="Arial" w:hAnsi="Arial" w:cs="Arial"/>
                <w:sz w:val="24"/>
                <w:szCs w:val="24"/>
              </w:rPr>
            </w:pPr>
          </w:p>
          <w:p w14:paraId="3A8A916A" w14:textId="70F953C4" w:rsidR="00DD6A44" w:rsidRDefault="00DD6A44" w:rsidP="00884761">
            <w:pPr>
              <w:jc w:val="both"/>
              <w:rPr>
                <w:rFonts w:ascii="Arial" w:hAnsi="Arial" w:cs="Arial"/>
                <w:sz w:val="24"/>
                <w:szCs w:val="24"/>
              </w:rPr>
            </w:pPr>
          </w:p>
          <w:p w14:paraId="280F7240" w14:textId="739ED864" w:rsidR="00DD6A44" w:rsidRDefault="00DD6A44" w:rsidP="00884761">
            <w:pPr>
              <w:jc w:val="both"/>
              <w:rPr>
                <w:rFonts w:ascii="Arial" w:hAnsi="Arial" w:cs="Arial"/>
                <w:sz w:val="24"/>
                <w:szCs w:val="24"/>
              </w:rPr>
            </w:pPr>
          </w:p>
          <w:p w14:paraId="2FE057AF" w14:textId="4C90A905" w:rsidR="00DD6A44" w:rsidRDefault="00DD6A44" w:rsidP="00884761">
            <w:pPr>
              <w:jc w:val="both"/>
              <w:rPr>
                <w:rFonts w:ascii="Arial" w:hAnsi="Arial" w:cs="Arial"/>
                <w:sz w:val="24"/>
                <w:szCs w:val="24"/>
              </w:rPr>
            </w:pPr>
          </w:p>
          <w:p w14:paraId="64B0F37D" w14:textId="7379F7F8" w:rsidR="00DD6A44" w:rsidRDefault="00DD6A44" w:rsidP="00884761">
            <w:pPr>
              <w:jc w:val="both"/>
              <w:rPr>
                <w:rFonts w:ascii="Arial" w:hAnsi="Arial" w:cs="Arial"/>
                <w:sz w:val="24"/>
                <w:szCs w:val="24"/>
              </w:rPr>
            </w:pPr>
          </w:p>
          <w:p w14:paraId="292AE513" w14:textId="6DA2C6AB" w:rsidR="00DD6A44" w:rsidRDefault="00DD6A44" w:rsidP="00884761">
            <w:pPr>
              <w:jc w:val="both"/>
              <w:rPr>
                <w:rFonts w:ascii="Arial" w:hAnsi="Arial" w:cs="Arial"/>
                <w:sz w:val="24"/>
                <w:szCs w:val="24"/>
              </w:rPr>
            </w:pPr>
          </w:p>
          <w:p w14:paraId="18AC73E0" w14:textId="2AE625A1" w:rsidR="00DD6A44" w:rsidRDefault="00DD6A44" w:rsidP="00884761">
            <w:pPr>
              <w:jc w:val="both"/>
              <w:rPr>
                <w:rFonts w:ascii="Arial" w:hAnsi="Arial" w:cs="Arial"/>
                <w:sz w:val="24"/>
                <w:szCs w:val="24"/>
              </w:rPr>
            </w:pPr>
          </w:p>
          <w:p w14:paraId="5A3E4F61" w14:textId="2378176E" w:rsidR="00DD6A44" w:rsidRDefault="00DD6A44" w:rsidP="00884761">
            <w:pPr>
              <w:jc w:val="both"/>
              <w:rPr>
                <w:rFonts w:ascii="Arial" w:hAnsi="Arial" w:cs="Arial"/>
                <w:sz w:val="24"/>
                <w:szCs w:val="24"/>
              </w:rPr>
            </w:pPr>
          </w:p>
          <w:p w14:paraId="51278C9C" w14:textId="754A189B" w:rsidR="00DD6A44" w:rsidRDefault="00DD6A44" w:rsidP="00884761">
            <w:pPr>
              <w:jc w:val="both"/>
              <w:rPr>
                <w:rFonts w:ascii="Arial" w:hAnsi="Arial" w:cs="Arial"/>
                <w:sz w:val="24"/>
                <w:szCs w:val="24"/>
              </w:rPr>
            </w:pPr>
          </w:p>
          <w:p w14:paraId="369EEDA4" w14:textId="0A0F85D2" w:rsidR="00DD6A44" w:rsidRDefault="00DD6A44" w:rsidP="00884761">
            <w:pPr>
              <w:jc w:val="both"/>
              <w:rPr>
                <w:rFonts w:ascii="Arial" w:hAnsi="Arial" w:cs="Arial"/>
                <w:sz w:val="24"/>
                <w:szCs w:val="24"/>
              </w:rPr>
            </w:pPr>
          </w:p>
          <w:p w14:paraId="108D8995" w14:textId="20E3C6C3" w:rsidR="00DD6A44" w:rsidRDefault="00DD6A44" w:rsidP="00884761">
            <w:pPr>
              <w:jc w:val="both"/>
              <w:rPr>
                <w:rFonts w:ascii="Arial" w:hAnsi="Arial" w:cs="Arial"/>
                <w:sz w:val="24"/>
                <w:szCs w:val="24"/>
              </w:rPr>
            </w:pPr>
          </w:p>
          <w:p w14:paraId="5D4CF211" w14:textId="6BEF5E19" w:rsidR="00DD6A44" w:rsidRDefault="00DD6A44" w:rsidP="00884761">
            <w:pPr>
              <w:jc w:val="both"/>
              <w:rPr>
                <w:rFonts w:ascii="Arial" w:hAnsi="Arial" w:cs="Arial"/>
                <w:sz w:val="24"/>
                <w:szCs w:val="24"/>
              </w:rPr>
            </w:pPr>
          </w:p>
          <w:p w14:paraId="58F9E2CF" w14:textId="057F179D" w:rsidR="00DD6A44" w:rsidRDefault="00DD6A44" w:rsidP="00884761">
            <w:pPr>
              <w:jc w:val="both"/>
              <w:rPr>
                <w:rFonts w:ascii="Arial" w:hAnsi="Arial" w:cs="Arial"/>
                <w:sz w:val="24"/>
                <w:szCs w:val="24"/>
              </w:rPr>
            </w:pPr>
          </w:p>
          <w:p w14:paraId="77B99189" w14:textId="25113B1E" w:rsidR="00DD6A44" w:rsidRDefault="00DD6A44" w:rsidP="00884761">
            <w:pPr>
              <w:jc w:val="both"/>
              <w:rPr>
                <w:rFonts w:ascii="Arial" w:hAnsi="Arial" w:cs="Arial"/>
                <w:sz w:val="24"/>
                <w:szCs w:val="24"/>
              </w:rPr>
            </w:pPr>
          </w:p>
          <w:p w14:paraId="2115BB9A" w14:textId="59CAC448" w:rsidR="00DD6A44" w:rsidRDefault="00DD6A44" w:rsidP="00884761">
            <w:pPr>
              <w:jc w:val="both"/>
              <w:rPr>
                <w:rFonts w:ascii="Arial" w:hAnsi="Arial" w:cs="Arial"/>
                <w:sz w:val="24"/>
                <w:szCs w:val="24"/>
              </w:rPr>
            </w:pPr>
          </w:p>
          <w:p w14:paraId="52D8E6FB" w14:textId="66220971" w:rsidR="00DD6A44" w:rsidRDefault="00DD6A44" w:rsidP="00884761">
            <w:pPr>
              <w:jc w:val="both"/>
              <w:rPr>
                <w:rFonts w:ascii="Arial" w:hAnsi="Arial" w:cs="Arial"/>
                <w:sz w:val="24"/>
                <w:szCs w:val="24"/>
              </w:rPr>
            </w:pPr>
          </w:p>
          <w:p w14:paraId="42D12139" w14:textId="6BF45422" w:rsidR="00DD6A44" w:rsidRDefault="00DD6A44" w:rsidP="00884761">
            <w:pPr>
              <w:jc w:val="both"/>
              <w:rPr>
                <w:rFonts w:ascii="Arial" w:hAnsi="Arial" w:cs="Arial"/>
                <w:sz w:val="24"/>
                <w:szCs w:val="24"/>
              </w:rPr>
            </w:pPr>
          </w:p>
          <w:p w14:paraId="174C80AF" w14:textId="6CF17571" w:rsidR="00DD6A44" w:rsidRDefault="00DD6A44" w:rsidP="00884761">
            <w:pPr>
              <w:jc w:val="both"/>
              <w:rPr>
                <w:rFonts w:ascii="Arial" w:hAnsi="Arial" w:cs="Arial"/>
                <w:sz w:val="24"/>
                <w:szCs w:val="24"/>
              </w:rPr>
            </w:pPr>
          </w:p>
          <w:p w14:paraId="06334EEA" w14:textId="796718FB" w:rsidR="00DD6A44" w:rsidRDefault="00DD6A44" w:rsidP="00884761">
            <w:pPr>
              <w:jc w:val="both"/>
              <w:rPr>
                <w:rFonts w:ascii="Arial" w:hAnsi="Arial" w:cs="Arial"/>
                <w:sz w:val="24"/>
                <w:szCs w:val="24"/>
              </w:rPr>
            </w:pPr>
          </w:p>
          <w:p w14:paraId="03365B4F" w14:textId="57599E92" w:rsidR="00DD6A44" w:rsidRDefault="00DD6A44" w:rsidP="00884761">
            <w:pPr>
              <w:jc w:val="both"/>
              <w:rPr>
                <w:rFonts w:ascii="Arial" w:hAnsi="Arial" w:cs="Arial"/>
                <w:sz w:val="24"/>
                <w:szCs w:val="24"/>
              </w:rPr>
            </w:pPr>
          </w:p>
          <w:p w14:paraId="24251BB6" w14:textId="3EA4E956" w:rsidR="00DD6A44" w:rsidRDefault="00DD6A44" w:rsidP="00884761">
            <w:pPr>
              <w:jc w:val="both"/>
              <w:rPr>
                <w:rFonts w:ascii="Arial" w:hAnsi="Arial" w:cs="Arial"/>
                <w:sz w:val="24"/>
                <w:szCs w:val="24"/>
              </w:rPr>
            </w:pPr>
          </w:p>
          <w:p w14:paraId="57986860" w14:textId="0CE90671" w:rsidR="00DD6A44" w:rsidRDefault="00DD6A44" w:rsidP="00884761">
            <w:pPr>
              <w:jc w:val="both"/>
              <w:rPr>
                <w:rFonts w:ascii="Arial" w:hAnsi="Arial" w:cs="Arial"/>
                <w:sz w:val="24"/>
                <w:szCs w:val="24"/>
              </w:rPr>
            </w:pPr>
          </w:p>
          <w:p w14:paraId="62A8CF2D" w14:textId="0120DF0C" w:rsidR="00DD6A44" w:rsidRDefault="00DD6A44" w:rsidP="00884761">
            <w:pPr>
              <w:jc w:val="both"/>
              <w:rPr>
                <w:rFonts w:ascii="Arial" w:hAnsi="Arial" w:cs="Arial"/>
                <w:sz w:val="24"/>
                <w:szCs w:val="24"/>
              </w:rPr>
            </w:pPr>
          </w:p>
          <w:p w14:paraId="65197FD6" w14:textId="1E4A2297" w:rsidR="00DD6A44" w:rsidRDefault="00DD6A44" w:rsidP="00884761">
            <w:pPr>
              <w:jc w:val="both"/>
              <w:rPr>
                <w:rFonts w:ascii="Arial" w:hAnsi="Arial" w:cs="Arial"/>
                <w:sz w:val="24"/>
                <w:szCs w:val="24"/>
              </w:rPr>
            </w:pPr>
          </w:p>
          <w:p w14:paraId="1D1DC4BD" w14:textId="1A113DE3" w:rsidR="00DD6A44" w:rsidRDefault="00DD6A44" w:rsidP="00884761">
            <w:pPr>
              <w:jc w:val="both"/>
              <w:rPr>
                <w:rFonts w:ascii="Arial" w:hAnsi="Arial" w:cs="Arial"/>
                <w:sz w:val="24"/>
                <w:szCs w:val="24"/>
              </w:rPr>
            </w:pPr>
          </w:p>
          <w:p w14:paraId="7D3F9DC8" w14:textId="77777777" w:rsidR="00DD6A44" w:rsidRPr="00B00B8A" w:rsidRDefault="00DD6A44" w:rsidP="00884761">
            <w:pPr>
              <w:jc w:val="both"/>
              <w:rPr>
                <w:rFonts w:ascii="Arial" w:hAnsi="Arial" w:cs="Arial"/>
                <w:sz w:val="24"/>
                <w:szCs w:val="24"/>
              </w:rPr>
            </w:pPr>
          </w:p>
          <w:p w14:paraId="3EB9EB9A" w14:textId="6FF71F64" w:rsidR="00D55CF1" w:rsidRDefault="00D55CF1" w:rsidP="00884761">
            <w:pPr>
              <w:jc w:val="both"/>
              <w:rPr>
                <w:rFonts w:ascii="Arial" w:hAnsi="Arial" w:cs="Arial"/>
                <w:sz w:val="24"/>
                <w:szCs w:val="24"/>
              </w:rPr>
            </w:pPr>
          </w:p>
          <w:p w14:paraId="767C411A" w14:textId="17DA735D" w:rsidR="00844D47" w:rsidRDefault="00844D47" w:rsidP="00884761">
            <w:pPr>
              <w:jc w:val="both"/>
              <w:rPr>
                <w:rFonts w:ascii="Arial" w:hAnsi="Arial" w:cs="Arial"/>
                <w:sz w:val="24"/>
                <w:szCs w:val="24"/>
              </w:rPr>
            </w:pPr>
          </w:p>
          <w:p w14:paraId="3288866F" w14:textId="3A9A2D63" w:rsidR="00844D47" w:rsidRDefault="00844D47" w:rsidP="00884761">
            <w:pPr>
              <w:jc w:val="both"/>
              <w:rPr>
                <w:rFonts w:ascii="Arial" w:hAnsi="Arial" w:cs="Arial"/>
                <w:sz w:val="24"/>
                <w:szCs w:val="24"/>
              </w:rPr>
            </w:pPr>
          </w:p>
          <w:p w14:paraId="47CBF95E" w14:textId="772A7325" w:rsidR="00844D47" w:rsidRDefault="00844D47" w:rsidP="00884761">
            <w:pPr>
              <w:jc w:val="both"/>
              <w:rPr>
                <w:rFonts w:ascii="Arial" w:hAnsi="Arial" w:cs="Arial"/>
                <w:sz w:val="24"/>
                <w:szCs w:val="24"/>
              </w:rPr>
            </w:pPr>
          </w:p>
          <w:p w14:paraId="32905724" w14:textId="666BCDED" w:rsidR="00844D47" w:rsidRDefault="00844D47" w:rsidP="00884761">
            <w:pPr>
              <w:jc w:val="both"/>
              <w:rPr>
                <w:rFonts w:ascii="Arial" w:hAnsi="Arial" w:cs="Arial"/>
                <w:sz w:val="24"/>
                <w:szCs w:val="24"/>
              </w:rPr>
            </w:pPr>
          </w:p>
          <w:p w14:paraId="50C7F2BC" w14:textId="21B7F6E2" w:rsidR="00844D47" w:rsidRDefault="00844D47" w:rsidP="00884761">
            <w:pPr>
              <w:jc w:val="both"/>
              <w:rPr>
                <w:rFonts w:ascii="Arial" w:hAnsi="Arial" w:cs="Arial"/>
                <w:sz w:val="24"/>
                <w:szCs w:val="24"/>
              </w:rPr>
            </w:pPr>
          </w:p>
          <w:p w14:paraId="2986F4C0" w14:textId="39682984" w:rsidR="00844D47" w:rsidRDefault="00844D47" w:rsidP="00884761">
            <w:pPr>
              <w:jc w:val="both"/>
              <w:rPr>
                <w:rFonts w:ascii="Arial" w:hAnsi="Arial" w:cs="Arial"/>
                <w:sz w:val="24"/>
                <w:szCs w:val="24"/>
              </w:rPr>
            </w:pPr>
          </w:p>
          <w:p w14:paraId="6C0D7688" w14:textId="5B89277B" w:rsidR="00844D47" w:rsidRDefault="00844D47" w:rsidP="00884761">
            <w:pPr>
              <w:jc w:val="both"/>
              <w:rPr>
                <w:rFonts w:ascii="Arial" w:hAnsi="Arial" w:cs="Arial"/>
                <w:sz w:val="24"/>
                <w:szCs w:val="24"/>
              </w:rPr>
            </w:pPr>
          </w:p>
          <w:p w14:paraId="37BC7F10" w14:textId="5563596F" w:rsidR="00844D47" w:rsidRDefault="00844D47" w:rsidP="00884761">
            <w:pPr>
              <w:jc w:val="both"/>
              <w:rPr>
                <w:rFonts w:ascii="Arial" w:hAnsi="Arial" w:cs="Arial"/>
                <w:sz w:val="24"/>
                <w:szCs w:val="24"/>
              </w:rPr>
            </w:pPr>
          </w:p>
          <w:p w14:paraId="5F6AE23F" w14:textId="22766C72" w:rsidR="00844D47" w:rsidRDefault="00844D47" w:rsidP="00884761">
            <w:pPr>
              <w:jc w:val="both"/>
              <w:rPr>
                <w:rFonts w:ascii="Arial" w:hAnsi="Arial" w:cs="Arial"/>
                <w:sz w:val="24"/>
                <w:szCs w:val="24"/>
              </w:rPr>
            </w:pPr>
          </w:p>
          <w:p w14:paraId="342B17EC" w14:textId="74418FA6" w:rsidR="00844D47" w:rsidRDefault="00844D47" w:rsidP="00884761">
            <w:pPr>
              <w:jc w:val="both"/>
              <w:rPr>
                <w:rFonts w:ascii="Arial" w:hAnsi="Arial" w:cs="Arial"/>
                <w:sz w:val="24"/>
                <w:szCs w:val="24"/>
              </w:rPr>
            </w:pPr>
          </w:p>
          <w:p w14:paraId="1230C81F" w14:textId="747A07A1" w:rsidR="00844D47" w:rsidRDefault="00844D47" w:rsidP="00884761">
            <w:pPr>
              <w:jc w:val="both"/>
              <w:rPr>
                <w:rFonts w:ascii="Arial" w:hAnsi="Arial" w:cs="Arial"/>
                <w:sz w:val="24"/>
                <w:szCs w:val="24"/>
              </w:rPr>
            </w:pPr>
          </w:p>
          <w:p w14:paraId="08839870" w14:textId="3B7BB85C" w:rsidR="00844D47" w:rsidRDefault="00844D47" w:rsidP="00884761">
            <w:pPr>
              <w:jc w:val="both"/>
              <w:rPr>
                <w:rFonts w:ascii="Arial" w:hAnsi="Arial" w:cs="Arial"/>
                <w:sz w:val="24"/>
                <w:szCs w:val="24"/>
              </w:rPr>
            </w:pPr>
          </w:p>
          <w:p w14:paraId="145C79B1" w14:textId="3AB52DBA" w:rsidR="00844D47" w:rsidRDefault="00844D47" w:rsidP="00884761">
            <w:pPr>
              <w:jc w:val="both"/>
              <w:rPr>
                <w:rFonts w:ascii="Arial" w:hAnsi="Arial" w:cs="Arial"/>
                <w:sz w:val="24"/>
                <w:szCs w:val="24"/>
              </w:rPr>
            </w:pPr>
          </w:p>
          <w:p w14:paraId="53A81BC6" w14:textId="733E67A6" w:rsidR="00844D47" w:rsidRDefault="00844D47" w:rsidP="00884761">
            <w:pPr>
              <w:jc w:val="both"/>
              <w:rPr>
                <w:rFonts w:ascii="Arial" w:hAnsi="Arial" w:cs="Arial"/>
                <w:sz w:val="24"/>
                <w:szCs w:val="24"/>
              </w:rPr>
            </w:pPr>
          </w:p>
          <w:p w14:paraId="3C1B3AA6" w14:textId="7BA5C925" w:rsidR="00844D47" w:rsidRDefault="00844D47" w:rsidP="00884761">
            <w:pPr>
              <w:jc w:val="both"/>
              <w:rPr>
                <w:rFonts w:ascii="Arial" w:hAnsi="Arial" w:cs="Arial"/>
                <w:sz w:val="24"/>
                <w:szCs w:val="24"/>
              </w:rPr>
            </w:pPr>
          </w:p>
          <w:p w14:paraId="22227E4A" w14:textId="20539B73" w:rsidR="00844D47" w:rsidRDefault="00844D47" w:rsidP="00884761">
            <w:pPr>
              <w:jc w:val="both"/>
              <w:rPr>
                <w:rFonts w:ascii="Arial" w:hAnsi="Arial" w:cs="Arial"/>
                <w:sz w:val="24"/>
                <w:szCs w:val="24"/>
              </w:rPr>
            </w:pPr>
          </w:p>
          <w:p w14:paraId="427F57F4" w14:textId="2A5E08EE" w:rsidR="00844D47" w:rsidRDefault="00844D47" w:rsidP="00884761">
            <w:pPr>
              <w:jc w:val="both"/>
              <w:rPr>
                <w:rFonts w:ascii="Arial" w:hAnsi="Arial" w:cs="Arial"/>
                <w:sz w:val="24"/>
                <w:szCs w:val="24"/>
              </w:rPr>
            </w:pPr>
          </w:p>
          <w:p w14:paraId="74894B67" w14:textId="521EB06B" w:rsidR="00844D47" w:rsidRDefault="00844D47" w:rsidP="00884761">
            <w:pPr>
              <w:jc w:val="both"/>
              <w:rPr>
                <w:rFonts w:ascii="Arial" w:hAnsi="Arial" w:cs="Arial"/>
                <w:sz w:val="24"/>
                <w:szCs w:val="24"/>
              </w:rPr>
            </w:pPr>
          </w:p>
          <w:p w14:paraId="7E62D867" w14:textId="3114D7F6" w:rsidR="00844D47" w:rsidRDefault="00844D47" w:rsidP="00884761">
            <w:pPr>
              <w:jc w:val="both"/>
              <w:rPr>
                <w:rFonts w:ascii="Arial" w:hAnsi="Arial" w:cs="Arial"/>
                <w:sz w:val="24"/>
                <w:szCs w:val="24"/>
              </w:rPr>
            </w:pPr>
          </w:p>
          <w:p w14:paraId="07ADCB9E" w14:textId="3169184F" w:rsidR="00844D47" w:rsidRDefault="00844D47" w:rsidP="00884761">
            <w:pPr>
              <w:jc w:val="both"/>
              <w:rPr>
                <w:rFonts w:ascii="Arial" w:hAnsi="Arial" w:cs="Arial"/>
                <w:sz w:val="24"/>
                <w:szCs w:val="24"/>
              </w:rPr>
            </w:pPr>
          </w:p>
          <w:p w14:paraId="27D6531C" w14:textId="643F2CCA" w:rsidR="00844D47" w:rsidRDefault="00844D47" w:rsidP="00884761">
            <w:pPr>
              <w:jc w:val="both"/>
              <w:rPr>
                <w:rFonts w:ascii="Arial" w:hAnsi="Arial" w:cs="Arial"/>
                <w:sz w:val="24"/>
                <w:szCs w:val="24"/>
              </w:rPr>
            </w:pPr>
          </w:p>
          <w:p w14:paraId="66A6367E" w14:textId="11857C4F" w:rsidR="00844D47" w:rsidRDefault="00844D47" w:rsidP="00884761">
            <w:pPr>
              <w:jc w:val="both"/>
              <w:rPr>
                <w:rFonts w:ascii="Arial" w:hAnsi="Arial" w:cs="Arial"/>
                <w:sz w:val="24"/>
                <w:szCs w:val="24"/>
              </w:rPr>
            </w:pPr>
          </w:p>
          <w:p w14:paraId="48FE91D4" w14:textId="692D5585" w:rsidR="00844D47" w:rsidRDefault="00844D47" w:rsidP="00884761">
            <w:pPr>
              <w:jc w:val="both"/>
              <w:rPr>
                <w:rFonts w:ascii="Arial" w:hAnsi="Arial" w:cs="Arial"/>
                <w:sz w:val="24"/>
                <w:szCs w:val="24"/>
              </w:rPr>
            </w:pPr>
          </w:p>
          <w:p w14:paraId="0B36B18D" w14:textId="77777777" w:rsidR="00844D47" w:rsidRPr="00B00B8A" w:rsidRDefault="00844D47" w:rsidP="00884761">
            <w:pPr>
              <w:jc w:val="both"/>
              <w:rPr>
                <w:rFonts w:ascii="Arial" w:hAnsi="Arial" w:cs="Arial"/>
                <w:sz w:val="24"/>
                <w:szCs w:val="24"/>
              </w:rPr>
            </w:pPr>
          </w:p>
          <w:p w14:paraId="7D905001" w14:textId="345EA6FE" w:rsidR="00D55CF1" w:rsidRDefault="00D55CF1" w:rsidP="00884761">
            <w:pPr>
              <w:jc w:val="both"/>
              <w:rPr>
                <w:rFonts w:ascii="Arial" w:hAnsi="Arial" w:cs="Arial"/>
                <w:sz w:val="24"/>
                <w:szCs w:val="24"/>
              </w:rPr>
            </w:pPr>
            <w:r w:rsidRPr="00B00B8A">
              <w:rPr>
                <w:rFonts w:ascii="Arial" w:hAnsi="Arial" w:cs="Arial"/>
                <w:sz w:val="24"/>
                <w:szCs w:val="24"/>
              </w:rPr>
              <w:t>5.5.3</w:t>
            </w:r>
            <w:r w:rsidR="00D25E59" w:rsidRPr="00B00B8A">
              <w:rPr>
                <w:rFonts w:ascii="Arial" w:hAnsi="Arial" w:cs="Arial"/>
                <w:sz w:val="24"/>
                <w:szCs w:val="24"/>
              </w:rPr>
              <w:t xml:space="preserve"> </w:t>
            </w:r>
            <w:r w:rsidRPr="00B00B8A">
              <w:rPr>
                <w:rFonts w:ascii="Arial" w:hAnsi="Arial" w:cs="Arial"/>
                <w:sz w:val="24"/>
                <w:szCs w:val="24"/>
              </w:rPr>
              <w:t xml:space="preserve">Impractical as it duplicates similar but tempered processes already tested and accepted by judiciary. </w:t>
            </w:r>
          </w:p>
          <w:p w14:paraId="2E39230F" w14:textId="6102C68C" w:rsidR="00C537F4" w:rsidRDefault="00C537F4" w:rsidP="00884761">
            <w:pPr>
              <w:jc w:val="both"/>
              <w:rPr>
                <w:rFonts w:ascii="Arial" w:hAnsi="Arial" w:cs="Arial"/>
                <w:sz w:val="24"/>
                <w:szCs w:val="24"/>
              </w:rPr>
            </w:pPr>
          </w:p>
          <w:p w14:paraId="4287C95E" w14:textId="6E44F330" w:rsidR="00C537F4" w:rsidRDefault="00C537F4" w:rsidP="00884761">
            <w:pPr>
              <w:jc w:val="both"/>
              <w:rPr>
                <w:rFonts w:ascii="Arial" w:hAnsi="Arial" w:cs="Arial"/>
                <w:sz w:val="24"/>
                <w:szCs w:val="24"/>
              </w:rPr>
            </w:pPr>
          </w:p>
          <w:p w14:paraId="663262AF" w14:textId="3600C34B" w:rsidR="00C537F4" w:rsidRDefault="00C537F4" w:rsidP="00884761">
            <w:pPr>
              <w:jc w:val="both"/>
              <w:rPr>
                <w:rFonts w:ascii="Arial" w:hAnsi="Arial" w:cs="Arial"/>
                <w:sz w:val="24"/>
                <w:szCs w:val="24"/>
              </w:rPr>
            </w:pPr>
          </w:p>
          <w:p w14:paraId="5650E76A" w14:textId="78CABF2C" w:rsidR="00C537F4" w:rsidRDefault="00C537F4" w:rsidP="00884761">
            <w:pPr>
              <w:jc w:val="both"/>
              <w:rPr>
                <w:rFonts w:ascii="Arial" w:hAnsi="Arial" w:cs="Arial"/>
                <w:sz w:val="24"/>
                <w:szCs w:val="24"/>
              </w:rPr>
            </w:pPr>
          </w:p>
          <w:p w14:paraId="1514E9E2" w14:textId="5E5D2FFB" w:rsidR="00C537F4" w:rsidRDefault="00C537F4" w:rsidP="00884761">
            <w:pPr>
              <w:jc w:val="both"/>
              <w:rPr>
                <w:rFonts w:ascii="Arial" w:hAnsi="Arial" w:cs="Arial"/>
                <w:sz w:val="24"/>
                <w:szCs w:val="24"/>
              </w:rPr>
            </w:pPr>
          </w:p>
          <w:p w14:paraId="3806A8D2" w14:textId="728744B2" w:rsidR="00C537F4" w:rsidRDefault="00C537F4" w:rsidP="00884761">
            <w:pPr>
              <w:jc w:val="both"/>
              <w:rPr>
                <w:rFonts w:ascii="Arial" w:hAnsi="Arial" w:cs="Arial"/>
                <w:sz w:val="24"/>
                <w:szCs w:val="24"/>
              </w:rPr>
            </w:pPr>
          </w:p>
          <w:p w14:paraId="4A635AA6" w14:textId="6099610D" w:rsidR="00C537F4" w:rsidRDefault="00C537F4" w:rsidP="00884761">
            <w:pPr>
              <w:jc w:val="both"/>
              <w:rPr>
                <w:rFonts w:ascii="Arial" w:hAnsi="Arial" w:cs="Arial"/>
                <w:sz w:val="24"/>
                <w:szCs w:val="24"/>
              </w:rPr>
            </w:pPr>
          </w:p>
          <w:p w14:paraId="772D2C40" w14:textId="1B078F1C" w:rsidR="00C537F4" w:rsidRDefault="00C537F4" w:rsidP="00884761">
            <w:pPr>
              <w:jc w:val="both"/>
              <w:rPr>
                <w:rFonts w:ascii="Arial" w:hAnsi="Arial" w:cs="Arial"/>
                <w:sz w:val="24"/>
                <w:szCs w:val="24"/>
              </w:rPr>
            </w:pPr>
          </w:p>
          <w:p w14:paraId="0C09E264" w14:textId="723ED929" w:rsidR="00C537F4" w:rsidRDefault="00C537F4" w:rsidP="00884761">
            <w:pPr>
              <w:jc w:val="both"/>
              <w:rPr>
                <w:rFonts w:ascii="Arial" w:hAnsi="Arial" w:cs="Arial"/>
                <w:sz w:val="24"/>
                <w:szCs w:val="24"/>
              </w:rPr>
            </w:pPr>
          </w:p>
          <w:p w14:paraId="701DFAFE" w14:textId="4932E147" w:rsidR="00C537F4" w:rsidRDefault="00C537F4" w:rsidP="00884761">
            <w:pPr>
              <w:jc w:val="both"/>
              <w:rPr>
                <w:rFonts w:ascii="Arial" w:hAnsi="Arial" w:cs="Arial"/>
                <w:sz w:val="24"/>
                <w:szCs w:val="24"/>
              </w:rPr>
            </w:pPr>
          </w:p>
          <w:p w14:paraId="3FF93623" w14:textId="569EB248" w:rsidR="00C537F4" w:rsidRDefault="00C537F4" w:rsidP="00884761">
            <w:pPr>
              <w:jc w:val="both"/>
              <w:rPr>
                <w:rFonts w:ascii="Arial" w:hAnsi="Arial" w:cs="Arial"/>
                <w:sz w:val="24"/>
                <w:szCs w:val="24"/>
              </w:rPr>
            </w:pPr>
          </w:p>
          <w:p w14:paraId="212A5EA2" w14:textId="717D2498" w:rsidR="00C537F4" w:rsidRDefault="00C537F4" w:rsidP="00884761">
            <w:pPr>
              <w:jc w:val="both"/>
              <w:rPr>
                <w:rFonts w:ascii="Arial" w:hAnsi="Arial" w:cs="Arial"/>
                <w:sz w:val="24"/>
                <w:szCs w:val="24"/>
              </w:rPr>
            </w:pPr>
          </w:p>
          <w:p w14:paraId="68F1E0D0" w14:textId="224A86AC" w:rsidR="00C537F4" w:rsidRDefault="00C537F4" w:rsidP="00884761">
            <w:pPr>
              <w:jc w:val="both"/>
              <w:rPr>
                <w:rFonts w:ascii="Arial" w:hAnsi="Arial" w:cs="Arial"/>
                <w:sz w:val="24"/>
                <w:szCs w:val="24"/>
              </w:rPr>
            </w:pPr>
          </w:p>
          <w:p w14:paraId="201D38AC" w14:textId="1C13DD34" w:rsidR="00C537F4" w:rsidRDefault="00C537F4" w:rsidP="00884761">
            <w:pPr>
              <w:jc w:val="both"/>
              <w:rPr>
                <w:rFonts w:ascii="Arial" w:hAnsi="Arial" w:cs="Arial"/>
                <w:sz w:val="24"/>
                <w:szCs w:val="24"/>
              </w:rPr>
            </w:pPr>
          </w:p>
          <w:p w14:paraId="4119C8A4" w14:textId="153310A0" w:rsidR="00C537F4" w:rsidRDefault="00C537F4" w:rsidP="00884761">
            <w:pPr>
              <w:jc w:val="both"/>
              <w:rPr>
                <w:rFonts w:ascii="Arial" w:hAnsi="Arial" w:cs="Arial"/>
                <w:sz w:val="24"/>
                <w:szCs w:val="24"/>
              </w:rPr>
            </w:pPr>
          </w:p>
          <w:p w14:paraId="631183D1" w14:textId="31FAE3E2" w:rsidR="00C537F4" w:rsidRDefault="00C537F4" w:rsidP="00884761">
            <w:pPr>
              <w:jc w:val="both"/>
              <w:rPr>
                <w:rFonts w:ascii="Arial" w:hAnsi="Arial" w:cs="Arial"/>
                <w:sz w:val="24"/>
                <w:szCs w:val="24"/>
              </w:rPr>
            </w:pPr>
          </w:p>
          <w:p w14:paraId="010531B8" w14:textId="3F510070" w:rsidR="00C537F4" w:rsidRDefault="00C537F4" w:rsidP="00884761">
            <w:pPr>
              <w:jc w:val="both"/>
              <w:rPr>
                <w:rFonts w:ascii="Arial" w:hAnsi="Arial" w:cs="Arial"/>
                <w:sz w:val="24"/>
                <w:szCs w:val="24"/>
              </w:rPr>
            </w:pPr>
          </w:p>
          <w:p w14:paraId="218AA30E" w14:textId="5E9E1146" w:rsidR="00C537F4" w:rsidRDefault="00C537F4" w:rsidP="00884761">
            <w:pPr>
              <w:jc w:val="both"/>
              <w:rPr>
                <w:rFonts w:ascii="Arial" w:hAnsi="Arial" w:cs="Arial"/>
                <w:sz w:val="24"/>
                <w:szCs w:val="24"/>
              </w:rPr>
            </w:pPr>
          </w:p>
          <w:p w14:paraId="71098551" w14:textId="154C5AEE" w:rsidR="00C537F4" w:rsidRDefault="00C537F4" w:rsidP="00884761">
            <w:pPr>
              <w:jc w:val="both"/>
              <w:rPr>
                <w:rFonts w:ascii="Arial" w:hAnsi="Arial" w:cs="Arial"/>
                <w:sz w:val="24"/>
                <w:szCs w:val="24"/>
              </w:rPr>
            </w:pPr>
          </w:p>
          <w:p w14:paraId="2D492285" w14:textId="69BE1BC9" w:rsidR="00C537F4" w:rsidRDefault="00C537F4" w:rsidP="00884761">
            <w:pPr>
              <w:jc w:val="both"/>
              <w:rPr>
                <w:rFonts w:ascii="Arial" w:hAnsi="Arial" w:cs="Arial"/>
                <w:sz w:val="24"/>
                <w:szCs w:val="24"/>
              </w:rPr>
            </w:pPr>
          </w:p>
          <w:p w14:paraId="3D3CD532" w14:textId="61CBBD92" w:rsidR="00C537F4" w:rsidRDefault="00C537F4" w:rsidP="00884761">
            <w:pPr>
              <w:jc w:val="both"/>
              <w:rPr>
                <w:rFonts w:ascii="Arial" w:hAnsi="Arial" w:cs="Arial"/>
                <w:sz w:val="24"/>
                <w:szCs w:val="24"/>
              </w:rPr>
            </w:pPr>
          </w:p>
          <w:p w14:paraId="60348525" w14:textId="0F196128" w:rsidR="00C537F4" w:rsidRDefault="00C537F4" w:rsidP="00884761">
            <w:pPr>
              <w:jc w:val="both"/>
              <w:rPr>
                <w:rFonts w:ascii="Arial" w:hAnsi="Arial" w:cs="Arial"/>
                <w:sz w:val="24"/>
                <w:szCs w:val="24"/>
              </w:rPr>
            </w:pPr>
          </w:p>
          <w:p w14:paraId="5BB0EF15" w14:textId="2DD0D145" w:rsidR="00705C0A" w:rsidRDefault="00705C0A" w:rsidP="00884761">
            <w:pPr>
              <w:jc w:val="both"/>
              <w:rPr>
                <w:rFonts w:ascii="Arial" w:hAnsi="Arial" w:cs="Arial"/>
                <w:sz w:val="24"/>
                <w:szCs w:val="24"/>
              </w:rPr>
            </w:pPr>
          </w:p>
          <w:p w14:paraId="3EF91956" w14:textId="754DC6D7" w:rsidR="00705C0A" w:rsidRDefault="00705C0A" w:rsidP="00884761">
            <w:pPr>
              <w:jc w:val="both"/>
              <w:rPr>
                <w:rFonts w:ascii="Arial" w:hAnsi="Arial" w:cs="Arial"/>
                <w:sz w:val="24"/>
                <w:szCs w:val="24"/>
              </w:rPr>
            </w:pPr>
          </w:p>
          <w:p w14:paraId="43D214B3" w14:textId="6D70F4C3" w:rsidR="00705C0A" w:rsidRDefault="00705C0A" w:rsidP="00884761">
            <w:pPr>
              <w:jc w:val="both"/>
              <w:rPr>
                <w:rFonts w:ascii="Arial" w:hAnsi="Arial" w:cs="Arial"/>
                <w:sz w:val="24"/>
                <w:szCs w:val="24"/>
              </w:rPr>
            </w:pPr>
          </w:p>
          <w:p w14:paraId="216ABF99" w14:textId="174513A5" w:rsidR="00705C0A" w:rsidRDefault="00705C0A" w:rsidP="00884761">
            <w:pPr>
              <w:jc w:val="both"/>
              <w:rPr>
                <w:rFonts w:ascii="Arial" w:hAnsi="Arial" w:cs="Arial"/>
                <w:sz w:val="24"/>
                <w:szCs w:val="24"/>
              </w:rPr>
            </w:pPr>
          </w:p>
          <w:p w14:paraId="500F6A38" w14:textId="7A6AD8E8" w:rsidR="00705C0A" w:rsidRDefault="00705C0A" w:rsidP="00884761">
            <w:pPr>
              <w:jc w:val="both"/>
              <w:rPr>
                <w:rFonts w:ascii="Arial" w:hAnsi="Arial" w:cs="Arial"/>
                <w:sz w:val="24"/>
                <w:szCs w:val="24"/>
              </w:rPr>
            </w:pPr>
          </w:p>
          <w:p w14:paraId="70103211" w14:textId="385DA4B2" w:rsidR="00705C0A" w:rsidRDefault="00705C0A" w:rsidP="00884761">
            <w:pPr>
              <w:jc w:val="both"/>
              <w:rPr>
                <w:rFonts w:ascii="Arial" w:hAnsi="Arial" w:cs="Arial"/>
                <w:sz w:val="24"/>
                <w:szCs w:val="24"/>
              </w:rPr>
            </w:pPr>
          </w:p>
          <w:p w14:paraId="7B841781" w14:textId="15869DB6" w:rsidR="00705C0A" w:rsidRDefault="00705C0A" w:rsidP="00884761">
            <w:pPr>
              <w:jc w:val="both"/>
              <w:rPr>
                <w:rFonts w:ascii="Arial" w:hAnsi="Arial" w:cs="Arial"/>
                <w:sz w:val="24"/>
                <w:szCs w:val="24"/>
              </w:rPr>
            </w:pPr>
          </w:p>
          <w:p w14:paraId="685D0DAE" w14:textId="54E2BFC0" w:rsidR="00705C0A" w:rsidRDefault="00705C0A" w:rsidP="00884761">
            <w:pPr>
              <w:jc w:val="both"/>
              <w:rPr>
                <w:rFonts w:ascii="Arial" w:hAnsi="Arial" w:cs="Arial"/>
                <w:sz w:val="24"/>
                <w:szCs w:val="24"/>
              </w:rPr>
            </w:pPr>
          </w:p>
          <w:p w14:paraId="19E3060A" w14:textId="356B6694" w:rsidR="00705C0A" w:rsidRDefault="00705C0A" w:rsidP="00884761">
            <w:pPr>
              <w:jc w:val="both"/>
              <w:rPr>
                <w:rFonts w:ascii="Arial" w:hAnsi="Arial" w:cs="Arial"/>
                <w:sz w:val="24"/>
                <w:szCs w:val="24"/>
              </w:rPr>
            </w:pPr>
          </w:p>
          <w:p w14:paraId="744B1766" w14:textId="7FCDA9E0" w:rsidR="00705C0A" w:rsidRDefault="00705C0A" w:rsidP="00884761">
            <w:pPr>
              <w:jc w:val="both"/>
              <w:rPr>
                <w:rFonts w:ascii="Arial" w:hAnsi="Arial" w:cs="Arial"/>
                <w:sz w:val="24"/>
                <w:szCs w:val="24"/>
              </w:rPr>
            </w:pPr>
          </w:p>
          <w:p w14:paraId="0FFAE01A" w14:textId="26740450" w:rsidR="00705C0A" w:rsidRDefault="00705C0A" w:rsidP="00884761">
            <w:pPr>
              <w:jc w:val="both"/>
              <w:rPr>
                <w:rFonts w:ascii="Arial" w:hAnsi="Arial" w:cs="Arial"/>
                <w:sz w:val="24"/>
                <w:szCs w:val="24"/>
              </w:rPr>
            </w:pPr>
          </w:p>
          <w:p w14:paraId="4BD633C0" w14:textId="738C198C" w:rsidR="00705C0A" w:rsidRDefault="00705C0A" w:rsidP="00884761">
            <w:pPr>
              <w:jc w:val="both"/>
              <w:rPr>
                <w:rFonts w:ascii="Arial" w:hAnsi="Arial" w:cs="Arial"/>
                <w:sz w:val="24"/>
                <w:szCs w:val="24"/>
              </w:rPr>
            </w:pPr>
          </w:p>
          <w:p w14:paraId="60BD1707" w14:textId="51295B75" w:rsidR="00705C0A" w:rsidRDefault="00705C0A" w:rsidP="00884761">
            <w:pPr>
              <w:jc w:val="both"/>
              <w:rPr>
                <w:rFonts w:ascii="Arial" w:hAnsi="Arial" w:cs="Arial"/>
                <w:sz w:val="24"/>
                <w:szCs w:val="24"/>
              </w:rPr>
            </w:pPr>
          </w:p>
          <w:p w14:paraId="3AA67145" w14:textId="1E542EC6" w:rsidR="00705C0A" w:rsidRDefault="00705C0A" w:rsidP="00884761">
            <w:pPr>
              <w:jc w:val="both"/>
              <w:rPr>
                <w:rFonts w:ascii="Arial" w:hAnsi="Arial" w:cs="Arial"/>
                <w:sz w:val="24"/>
                <w:szCs w:val="24"/>
              </w:rPr>
            </w:pPr>
          </w:p>
          <w:p w14:paraId="1E931914" w14:textId="0C35E21F" w:rsidR="00705C0A" w:rsidRDefault="00705C0A" w:rsidP="00884761">
            <w:pPr>
              <w:jc w:val="both"/>
              <w:rPr>
                <w:rFonts w:ascii="Arial" w:hAnsi="Arial" w:cs="Arial"/>
                <w:sz w:val="24"/>
                <w:szCs w:val="24"/>
              </w:rPr>
            </w:pPr>
          </w:p>
          <w:p w14:paraId="0A30682D" w14:textId="77777777" w:rsidR="00705C0A" w:rsidRPr="00B00B8A" w:rsidRDefault="00705C0A" w:rsidP="00884761">
            <w:pPr>
              <w:jc w:val="both"/>
              <w:rPr>
                <w:rFonts w:ascii="Arial" w:hAnsi="Arial" w:cs="Arial"/>
                <w:sz w:val="24"/>
                <w:szCs w:val="24"/>
              </w:rPr>
            </w:pPr>
          </w:p>
          <w:p w14:paraId="245A2722" w14:textId="54D44E6A" w:rsidR="00D55CF1" w:rsidRDefault="00D55CF1" w:rsidP="00884761">
            <w:pPr>
              <w:jc w:val="both"/>
              <w:rPr>
                <w:rFonts w:ascii="Arial" w:hAnsi="Arial" w:cs="Arial"/>
                <w:sz w:val="24"/>
                <w:szCs w:val="24"/>
              </w:rPr>
            </w:pPr>
          </w:p>
          <w:p w14:paraId="6FD11E09" w14:textId="77777777" w:rsidR="003F360C" w:rsidRPr="00B00B8A" w:rsidRDefault="003F360C" w:rsidP="00884761">
            <w:pPr>
              <w:jc w:val="both"/>
              <w:rPr>
                <w:rFonts w:ascii="Arial" w:hAnsi="Arial" w:cs="Arial"/>
                <w:sz w:val="24"/>
                <w:szCs w:val="24"/>
              </w:rPr>
            </w:pPr>
          </w:p>
          <w:p w14:paraId="319C0511" w14:textId="424B81B7" w:rsidR="00D55CF1" w:rsidRDefault="00D55CF1" w:rsidP="00884761">
            <w:pPr>
              <w:jc w:val="both"/>
              <w:rPr>
                <w:rFonts w:ascii="Arial" w:hAnsi="Arial" w:cs="Arial"/>
                <w:sz w:val="24"/>
                <w:szCs w:val="24"/>
              </w:rPr>
            </w:pPr>
            <w:r w:rsidRPr="00B00B8A">
              <w:rPr>
                <w:rFonts w:ascii="Arial" w:hAnsi="Arial" w:cs="Arial"/>
                <w:sz w:val="24"/>
                <w:szCs w:val="24"/>
              </w:rPr>
              <w:t xml:space="preserve">5.5.4    Likely to lead to litigation. </w:t>
            </w:r>
          </w:p>
          <w:p w14:paraId="65BC1408" w14:textId="7B596CD7" w:rsidR="00B74532" w:rsidRDefault="00B74532" w:rsidP="00884761">
            <w:pPr>
              <w:jc w:val="both"/>
              <w:rPr>
                <w:rFonts w:ascii="Arial" w:hAnsi="Arial" w:cs="Arial"/>
                <w:sz w:val="24"/>
                <w:szCs w:val="24"/>
              </w:rPr>
            </w:pPr>
          </w:p>
          <w:p w14:paraId="30B17090" w14:textId="223812EA" w:rsidR="00B74532" w:rsidRDefault="00B74532" w:rsidP="00884761">
            <w:pPr>
              <w:jc w:val="both"/>
              <w:rPr>
                <w:rFonts w:ascii="Arial" w:hAnsi="Arial" w:cs="Arial"/>
                <w:sz w:val="24"/>
                <w:szCs w:val="24"/>
              </w:rPr>
            </w:pPr>
          </w:p>
          <w:p w14:paraId="5C3A633D" w14:textId="46FDF8E5" w:rsidR="00B74532" w:rsidRDefault="00B74532" w:rsidP="00884761">
            <w:pPr>
              <w:jc w:val="both"/>
              <w:rPr>
                <w:rFonts w:ascii="Arial" w:hAnsi="Arial" w:cs="Arial"/>
                <w:sz w:val="24"/>
                <w:szCs w:val="24"/>
              </w:rPr>
            </w:pPr>
          </w:p>
          <w:p w14:paraId="18424BF3" w14:textId="42686C30" w:rsidR="00B74532" w:rsidRDefault="00B74532" w:rsidP="00884761">
            <w:pPr>
              <w:jc w:val="both"/>
              <w:rPr>
                <w:rFonts w:ascii="Arial" w:hAnsi="Arial" w:cs="Arial"/>
                <w:sz w:val="24"/>
                <w:szCs w:val="24"/>
              </w:rPr>
            </w:pPr>
          </w:p>
          <w:p w14:paraId="3B0B4F25" w14:textId="3BE812E3" w:rsidR="00B74532" w:rsidRDefault="00B74532" w:rsidP="00884761">
            <w:pPr>
              <w:jc w:val="both"/>
              <w:rPr>
                <w:rFonts w:ascii="Arial" w:hAnsi="Arial" w:cs="Arial"/>
                <w:sz w:val="24"/>
                <w:szCs w:val="24"/>
              </w:rPr>
            </w:pPr>
          </w:p>
          <w:p w14:paraId="51295D24" w14:textId="3AE6FD47" w:rsidR="00B74532" w:rsidRDefault="00B74532" w:rsidP="00884761">
            <w:pPr>
              <w:jc w:val="both"/>
              <w:rPr>
                <w:rFonts w:ascii="Arial" w:hAnsi="Arial" w:cs="Arial"/>
                <w:sz w:val="24"/>
                <w:szCs w:val="24"/>
              </w:rPr>
            </w:pPr>
          </w:p>
          <w:p w14:paraId="4A8F6668" w14:textId="7A5886E8" w:rsidR="00B74532" w:rsidRDefault="00B74532" w:rsidP="00884761">
            <w:pPr>
              <w:jc w:val="both"/>
              <w:rPr>
                <w:rFonts w:ascii="Arial" w:hAnsi="Arial" w:cs="Arial"/>
                <w:sz w:val="24"/>
                <w:szCs w:val="24"/>
              </w:rPr>
            </w:pPr>
          </w:p>
          <w:p w14:paraId="313C7E66" w14:textId="78C9DC4D" w:rsidR="00B74532" w:rsidRDefault="00B74532" w:rsidP="00884761">
            <w:pPr>
              <w:jc w:val="both"/>
              <w:rPr>
                <w:rFonts w:ascii="Arial" w:hAnsi="Arial" w:cs="Arial"/>
                <w:sz w:val="24"/>
                <w:szCs w:val="24"/>
              </w:rPr>
            </w:pPr>
          </w:p>
          <w:p w14:paraId="73158096" w14:textId="1AF2FC32" w:rsidR="00B74532" w:rsidRDefault="00B74532" w:rsidP="00884761">
            <w:pPr>
              <w:jc w:val="both"/>
              <w:rPr>
                <w:rFonts w:ascii="Arial" w:hAnsi="Arial" w:cs="Arial"/>
                <w:sz w:val="24"/>
                <w:szCs w:val="24"/>
              </w:rPr>
            </w:pPr>
          </w:p>
          <w:p w14:paraId="76C1CDD2" w14:textId="0401F252" w:rsidR="00B74532" w:rsidRDefault="00B74532" w:rsidP="00884761">
            <w:pPr>
              <w:jc w:val="both"/>
              <w:rPr>
                <w:rFonts w:ascii="Arial" w:hAnsi="Arial" w:cs="Arial"/>
                <w:sz w:val="24"/>
                <w:szCs w:val="24"/>
              </w:rPr>
            </w:pPr>
          </w:p>
          <w:p w14:paraId="59B9DF2C" w14:textId="4AB37B58" w:rsidR="00B74532" w:rsidRDefault="00B74532" w:rsidP="00884761">
            <w:pPr>
              <w:jc w:val="both"/>
              <w:rPr>
                <w:rFonts w:ascii="Arial" w:hAnsi="Arial" w:cs="Arial"/>
                <w:sz w:val="24"/>
                <w:szCs w:val="24"/>
              </w:rPr>
            </w:pPr>
          </w:p>
          <w:p w14:paraId="628FA912" w14:textId="3C560A08" w:rsidR="00B74532" w:rsidRDefault="00B74532" w:rsidP="00884761">
            <w:pPr>
              <w:jc w:val="both"/>
              <w:rPr>
                <w:rFonts w:ascii="Arial" w:hAnsi="Arial" w:cs="Arial"/>
                <w:sz w:val="24"/>
                <w:szCs w:val="24"/>
              </w:rPr>
            </w:pPr>
          </w:p>
          <w:p w14:paraId="4BCB9D5D" w14:textId="5D60C510" w:rsidR="00B74532" w:rsidRDefault="00B74532" w:rsidP="00884761">
            <w:pPr>
              <w:jc w:val="both"/>
              <w:rPr>
                <w:rFonts w:ascii="Arial" w:hAnsi="Arial" w:cs="Arial"/>
                <w:sz w:val="24"/>
                <w:szCs w:val="24"/>
              </w:rPr>
            </w:pPr>
          </w:p>
          <w:p w14:paraId="6474CD34" w14:textId="6FF12E49" w:rsidR="00B74532" w:rsidRDefault="00B74532" w:rsidP="00884761">
            <w:pPr>
              <w:jc w:val="both"/>
              <w:rPr>
                <w:rFonts w:ascii="Arial" w:hAnsi="Arial" w:cs="Arial"/>
                <w:sz w:val="24"/>
                <w:szCs w:val="24"/>
              </w:rPr>
            </w:pPr>
          </w:p>
          <w:p w14:paraId="1289A407" w14:textId="45665D9C" w:rsidR="00B74532" w:rsidRDefault="00B74532" w:rsidP="00884761">
            <w:pPr>
              <w:jc w:val="both"/>
              <w:rPr>
                <w:rFonts w:ascii="Arial" w:hAnsi="Arial" w:cs="Arial"/>
                <w:sz w:val="24"/>
                <w:szCs w:val="24"/>
              </w:rPr>
            </w:pPr>
          </w:p>
          <w:p w14:paraId="032204F0" w14:textId="4B2427CE" w:rsidR="00B74532" w:rsidRDefault="00B74532" w:rsidP="00884761">
            <w:pPr>
              <w:jc w:val="both"/>
              <w:rPr>
                <w:rFonts w:ascii="Arial" w:hAnsi="Arial" w:cs="Arial"/>
                <w:sz w:val="24"/>
                <w:szCs w:val="24"/>
              </w:rPr>
            </w:pPr>
          </w:p>
          <w:p w14:paraId="4517E1A7" w14:textId="4038B004" w:rsidR="00B74532" w:rsidRDefault="00B74532" w:rsidP="00884761">
            <w:pPr>
              <w:jc w:val="both"/>
              <w:rPr>
                <w:rFonts w:ascii="Arial" w:hAnsi="Arial" w:cs="Arial"/>
                <w:sz w:val="24"/>
                <w:szCs w:val="24"/>
              </w:rPr>
            </w:pPr>
          </w:p>
          <w:p w14:paraId="59C555F4" w14:textId="77777777" w:rsidR="00B74532" w:rsidRPr="00B00B8A" w:rsidRDefault="00B74532" w:rsidP="00884761">
            <w:pPr>
              <w:jc w:val="both"/>
              <w:rPr>
                <w:rFonts w:ascii="Arial" w:hAnsi="Arial" w:cs="Arial"/>
                <w:sz w:val="24"/>
                <w:szCs w:val="24"/>
              </w:rPr>
            </w:pPr>
          </w:p>
          <w:p w14:paraId="497B1C1E" w14:textId="77777777" w:rsidR="005D388C" w:rsidRPr="00B00B8A" w:rsidRDefault="005D388C" w:rsidP="00884761">
            <w:pPr>
              <w:jc w:val="both"/>
              <w:rPr>
                <w:rFonts w:ascii="Arial" w:hAnsi="Arial" w:cs="Arial"/>
                <w:sz w:val="24"/>
                <w:szCs w:val="24"/>
              </w:rPr>
            </w:pPr>
          </w:p>
          <w:p w14:paraId="6B1D4138" w14:textId="77777777" w:rsidR="00B74532" w:rsidRDefault="00B74532" w:rsidP="00884761">
            <w:pPr>
              <w:jc w:val="both"/>
              <w:rPr>
                <w:rFonts w:ascii="Arial" w:hAnsi="Arial" w:cs="Arial"/>
                <w:color w:val="000000"/>
                <w:sz w:val="23"/>
                <w:szCs w:val="23"/>
              </w:rPr>
            </w:pPr>
          </w:p>
          <w:p w14:paraId="5077E353" w14:textId="77777777" w:rsidR="00B74532" w:rsidRDefault="00B74532" w:rsidP="00884761">
            <w:pPr>
              <w:jc w:val="both"/>
              <w:rPr>
                <w:rFonts w:ascii="Arial" w:hAnsi="Arial" w:cs="Arial"/>
                <w:color w:val="000000"/>
                <w:sz w:val="23"/>
                <w:szCs w:val="23"/>
              </w:rPr>
            </w:pPr>
          </w:p>
          <w:p w14:paraId="6FA275E5" w14:textId="5E4929B8" w:rsidR="000E5954" w:rsidRPr="00BE78A6" w:rsidRDefault="005D388C" w:rsidP="00884761">
            <w:pPr>
              <w:jc w:val="both"/>
              <w:rPr>
                <w:rFonts w:ascii="Arial" w:hAnsi="Arial" w:cs="Arial"/>
                <w:sz w:val="24"/>
                <w:szCs w:val="24"/>
                <w:highlight w:val="red"/>
              </w:rPr>
            </w:pPr>
            <w:r w:rsidRPr="00B00B8A">
              <w:rPr>
                <w:rFonts w:ascii="Arial" w:hAnsi="Arial" w:cs="Arial"/>
                <w:color w:val="000000"/>
                <w:sz w:val="23"/>
                <w:szCs w:val="23"/>
              </w:rPr>
              <w:t xml:space="preserve">19. </w:t>
            </w:r>
            <w:r w:rsidRPr="00915959">
              <w:rPr>
                <w:rFonts w:ascii="Arial" w:hAnsi="Arial" w:cs="Arial"/>
                <w:color w:val="000000"/>
                <w:sz w:val="24"/>
                <w:szCs w:val="24"/>
              </w:rPr>
              <w:t xml:space="preserve">The state has not identified in its explanatory </w:t>
            </w:r>
            <w:r w:rsidRPr="00915959">
              <w:rPr>
                <w:rFonts w:ascii="Arial" w:hAnsi="Arial" w:cs="Arial"/>
                <w:sz w:val="24"/>
                <w:szCs w:val="24"/>
              </w:rPr>
              <w:t>memorandum exactly why highly invasive measures such as the proposed s24A and B are necessary to combat terrorism at a local level.</w:t>
            </w:r>
          </w:p>
          <w:p w14:paraId="7FCD6A94" w14:textId="067EBC2F" w:rsidR="008A66B5" w:rsidRPr="00BE78A6" w:rsidRDefault="008A66B5" w:rsidP="00884761">
            <w:pPr>
              <w:jc w:val="both"/>
              <w:rPr>
                <w:rFonts w:ascii="Arial" w:hAnsi="Arial" w:cs="Arial"/>
                <w:sz w:val="24"/>
                <w:szCs w:val="24"/>
                <w:highlight w:val="red"/>
              </w:rPr>
            </w:pPr>
          </w:p>
          <w:p w14:paraId="470619D6" w14:textId="5019FA83" w:rsidR="008A66B5" w:rsidRPr="00BE78A6" w:rsidRDefault="008A66B5" w:rsidP="00884761">
            <w:pPr>
              <w:jc w:val="both"/>
              <w:rPr>
                <w:rFonts w:ascii="Arial" w:hAnsi="Arial" w:cs="Arial"/>
                <w:sz w:val="24"/>
                <w:szCs w:val="24"/>
                <w:highlight w:val="red"/>
              </w:rPr>
            </w:pPr>
          </w:p>
          <w:p w14:paraId="0FAC5048" w14:textId="609081B7" w:rsidR="008A66B5" w:rsidRPr="00BE78A6" w:rsidRDefault="008A66B5" w:rsidP="00884761">
            <w:pPr>
              <w:jc w:val="both"/>
              <w:rPr>
                <w:rFonts w:ascii="Arial" w:hAnsi="Arial" w:cs="Arial"/>
                <w:sz w:val="24"/>
                <w:szCs w:val="24"/>
                <w:highlight w:val="red"/>
              </w:rPr>
            </w:pPr>
          </w:p>
          <w:p w14:paraId="22CD4617" w14:textId="38069674" w:rsidR="008A66B5" w:rsidRPr="00BE78A6" w:rsidRDefault="008A66B5" w:rsidP="00884761">
            <w:pPr>
              <w:jc w:val="both"/>
              <w:rPr>
                <w:rFonts w:ascii="Arial" w:hAnsi="Arial" w:cs="Arial"/>
                <w:sz w:val="24"/>
                <w:szCs w:val="24"/>
                <w:highlight w:val="red"/>
              </w:rPr>
            </w:pPr>
          </w:p>
          <w:p w14:paraId="6FC6BF86" w14:textId="36AE5A49" w:rsidR="008A66B5" w:rsidRPr="00BE78A6" w:rsidRDefault="008A66B5" w:rsidP="00884761">
            <w:pPr>
              <w:jc w:val="both"/>
              <w:rPr>
                <w:rFonts w:ascii="Arial" w:hAnsi="Arial" w:cs="Arial"/>
                <w:sz w:val="24"/>
                <w:szCs w:val="24"/>
                <w:highlight w:val="red"/>
              </w:rPr>
            </w:pPr>
          </w:p>
          <w:p w14:paraId="59CA7DDB" w14:textId="77777777" w:rsidR="008A66B5" w:rsidRPr="00BE78A6" w:rsidRDefault="008A66B5" w:rsidP="00884761">
            <w:pPr>
              <w:jc w:val="both"/>
              <w:rPr>
                <w:rFonts w:ascii="Arial" w:hAnsi="Arial" w:cs="Arial"/>
                <w:sz w:val="24"/>
                <w:szCs w:val="24"/>
                <w:highlight w:val="red"/>
              </w:rPr>
            </w:pPr>
          </w:p>
          <w:p w14:paraId="3E0D8832" w14:textId="77777777" w:rsidR="008730D5" w:rsidRDefault="00300BF7" w:rsidP="00884761">
            <w:pPr>
              <w:jc w:val="both"/>
              <w:rPr>
                <w:rFonts w:ascii="Arial" w:hAnsi="Arial" w:cs="Arial"/>
                <w:sz w:val="24"/>
                <w:szCs w:val="24"/>
              </w:rPr>
            </w:pPr>
            <w:r w:rsidRPr="008730D5">
              <w:rPr>
                <w:rFonts w:ascii="Arial" w:hAnsi="Arial" w:cs="Arial"/>
                <w:sz w:val="24"/>
                <w:szCs w:val="24"/>
              </w:rPr>
              <w:t xml:space="preserve">27.  This is not to mention the fact that measures like the proposed s24B will likely prove </w:t>
            </w:r>
            <w:r w:rsidRPr="008730D5">
              <w:rPr>
                <w:rFonts w:ascii="Arial" w:hAnsi="Arial" w:cs="Arial"/>
                <w:b/>
                <w:bCs/>
                <w:sz w:val="24"/>
                <w:szCs w:val="24"/>
              </w:rPr>
              <w:t>unenforceable</w:t>
            </w:r>
            <w:r w:rsidRPr="008730D5">
              <w:rPr>
                <w:rFonts w:ascii="Arial" w:hAnsi="Arial" w:cs="Arial"/>
                <w:sz w:val="24"/>
                <w:szCs w:val="24"/>
              </w:rPr>
              <w:t>,</w:t>
            </w:r>
            <w:r w:rsidR="00307423" w:rsidRPr="008730D5">
              <w:rPr>
                <w:rFonts w:ascii="Arial" w:hAnsi="Arial" w:cs="Arial"/>
                <w:sz w:val="24"/>
                <w:szCs w:val="24"/>
              </w:rPr>
              <w:t xml:space="preserve"> </w:t>
            </w:r>
            <w:r w:rsidRPr="008730D5">
              <w:rPr>
                <w:rFonts w:ascii="Arial" w:hAnsi="Arial" w:cs="Arial"/>
                <w:sz w:val="24"/>
                <w:szCs w:val="24"/>
              </w:rPr>
              <w:t>given that most of the content on the internet is hosted and/or disseminated by massive supranational companies such as Meta, who act as secondary publishers, or alternatively not hosted on traceable servers at all – such as on the so-called ‘dark web’.</w:t>
            </w:r>
          </w:p>
          <w:p w14:paraId="23A2C262" w14:textId="77777777" w:rsidR="008730D5" w:rsidRDefault="008730D5" w:rsidP="00884761">
            <w:pPr>
              <w:jc w:val="both"/>
              <w:rPr>
                <w:rFonts w:ascii="Arial" w:hAnsi="Arial" w:cs="Arial"/>
                <w:sz w:val="24"/>
                <w:szCs w:val="24"/>
              </w:rPr>
            </w:pPr>
          </w:p>
          <w:p w14:paraId="6A11B365" w14:textId="77777777" w:rsidR="008730D5" w:rsidRDefault="008730D5" w:rsidP="00884761">
            <w:pPr>
              <w:jc w:val="both"/>
              <w:rPr>
                <w:rFonts w:ascii="Arial" w:hAnsi="Arial" w:cs="Arial"/>
                <w:sz w:val="24"/>
                <w:szCs w:val="24"/>
              </w:rPr>
            </w:pPr>
          </w:p>
          <w:p w14:paraId="075D896B" w14:textId="77777777" w:rsidR="008730D5" w:rsidRDefault="008730D5" w:rsidP="00884761">
            <w:pPr>
              <w:jc w:val="both"/>
              <w:rPr>
                <w:rFonts w:ascii="Arial" w:hAnsi="Arial" w:cs="Arial"/>
                <w:sz w:val="24"/>
                <w:szCs w:val="24"/>
              </w:rPr>
            </w:pPr>
          </w:p>
          <w:p w14:paraId="47A032A4" w14:textId="77777777" w:rsidR="008730D5" w:rsidRDefault="008730D5" w:rsidP="00884761">
            <w:pPr>
              <w:jc w:val="both"/>
              <w:rPr>
                <w:rFonts w:ascii="Arial" w:hAnsi="Arial" w:cs="Arial"/>
                <w:sz w:val="24"/>
                <w:szCs w:val="24"/>
              </w:rPr>
            </w:pPr>
          </w:p>
          <w:p w14:paraId="540DC721" w14:textId="77777777" w:rsidR="008730D5" w:rsidRDefault="008730D5" w:rsidP="00884761">
            <w:pPr>
              <w:jc w:val="both"/>
              <w:rPr>
                <w:rFonts w:ascii="Arial" w:hAnsi="Arial" w:cs="Arial"/>
                <w:sz w:val="24"/>
                <w:szCs w:val="24"/>
              </w:rPr>
            </w:pPr>
          </w:p>
          <w:p w14:paraId="3BF12D1D" w14:textId="77777777" w:rsidR="008730D5" w:rsidRDefault="008730D5" w:rsidP="00884761">
            <w:pPr>
              <w:jc w:val="both"/>
              <w:rPr>
                <w:rFonts w:ascii="Arial" w:hAnsi="Arial" w:cs="Arial"/>
                <w:sz w:val="24"/>
                <w:szCs w:val="24"/>
              </w:rPr>
            </w:pPr>
          </w:p>
          <w:p w14:paraId="30082BCA" w14:textId="77777777" w:rsidR="008730D5" w:rsidRDefault="008730D5" w:rsidP="00884761">
            <w:pPr>
              <w:jc w:val="both"/>
              <w:rPr>
                <w:rFonts w:ascii="Arial" w:hAnsi="Arial" w:cs="Arial"/>
                <w:sz w:val="24"/>
                <w:szCs w:val="24"/>
              </w:rPr>
            </w:pPr>
          </w:p>
          <w:p w14:paraId="30E1C0A4" w14:textId="77777777" w:rsidR="008730D5" w:rsidRDefault="008730D5" w:rsidP="00884761">
            <w:pPr>
              <w:jc w:val="both"/>
              <w:rPr>
                <w:rFonts w:ascii="Arial" w:hAnsi="Arial" w:cs="Arial"/>
                <w:sz w:val="24"/>
                <w:szCs w:val="24"/>
              </w:rPr>
            </w:pPr>
          </w:p>
          <w:p w14:paraId="529B2B44" w14:textId="77777777" w:rsidR="008730D5" w:rsidRDefault="008730D5" w:rsidP="00884761">
            <w:pPr>
              <w:jc w:val="both"/>
              <w:rPr>
                <w:rFonts w:ascii="Arial" w:hAnsi="Arial" w:cs="Arial"/>
                <w:sz w:val="24"/>
                <w:szCs w:val="24"/>
              </w:rPr>
            </w:pPr>
          </w:p>
          <w:p w14:paraId="70D7F5E2" w14:textId="5FA83236" w:rsidR="00300BF7" w:rsidRPr="00B00B8A" w:rsidRDefault="00300BF7" w:rsidP="00884761">
            <w:pPr>
              <w:jc w:val="both"/>
              <w:rPr>
                <w:rFonts w:ascii="Arial" w:hAnsi="Arial" w:cs="Arial"/>
                <w:sz w:val="24"/>
                <w:szCs w:val="24"/>
              </w:rPr>
            </w:pPr>
            <w:r w:rsidRPr="00B00B8A">
              <w:rPr>
                <w:rFonts w:ascii="Arial" w:hAnsi="Arial" w:cs="Arial"/>
                <w:sz w:val="24"/>
                <w:szCs w:val="24"/>
              </w:rPr>
              <w:t xml:space="preserve"> </w:t>
            </w:r>
          </w:p>
          <w:p w14:paraId="2800CF92" w14:textId="3F73662B" w:rsidR="00D55CF1" w:rsidRPr="00B00B8A" w:rsidRDefault="00D55CF1" w:rsidP="00884761">
            <w:pPr>
              <w:jc w:val="both"/>
              <w:rPr>
                <w:rFonts w:ascii="Arial" w:hAnsi="Arial" w:cs="Arial"/>
                <w:sz w:val="24"/>
                <w:szCs w:val="24"/>
              </w:rPr>
            </w:pPr>
          </w:p>
          <w:p w14:paraId="492356EA" w14:textId="6BCA19EF" w:rsidR="00A85935" w:rsidRPr="00B00B8A" w:rsidRDefault="00A85935" w:rsidP="00884761">
            <w:pPr>
              <w:jc w:val="both"/>
              <w:rPr>
                <w:rFonts w:ascii="Arial" w:hAnsi="Arial" w:cs="Arial"/>
                <w:sz w:val="24"/>
                <w:szCs w:val="24"/>
              </w:rPr>
            </w:pPr>
          </w:p>
          <w:p w14:paraId="4351D83D" w14:textId="35E18416" w:rsidR="00A85935" w:rsidRPr="00B00B8A" w:rsidRDefault="00A85935" w:rsidP="00884761">
            <w:pPr>
              <w:jc w:val="both"/>
              <w:rPr>
                <w:rFonts w:ascii="Arial" w:hAnsi="Arial" w:cs="Arial"/>
                <w:sz w:val="24"/>
                <w:szCs w:val="24"/>
              </w:rPr>
            </w:pPr>
          </w:p>
          <w:p w14:paraId="2795175C" w14:textId="1DADF652" w:rsidR="00A85935" w:rsidRPr="00B00B8A" w:rsidRDefault="00A85935" w:rsidP="00884761">
            <w:pPr>
              <w:jc w:val="both"/>
              <w:rPr>
                <w:rFonts w:ascii="Arial" w:hAnsi="Arial" w:cs="Arial"/>
                <w:sz w:val="24"/>
                <w:szCs w:val="24"/>
              </w:rPr>
            </w:pPr>
          </w:p>
          <w:p w14:paraId="35CF6FB9" w14:textId="71FDCE11" w:rsidR="00A85935" w:rsidRPr="00B00B8A" w:rsidRDefault="00A85935" w:rsidP="00884761">
            <w:pPr>
              <w:jc w:val="both"/>
              <w:rPr>
                <w:rFonts w:ascii="Arial" w:hAnsi="Arial" w:cs="Arial"/>
                <w:sz w:val="24"/>
                <w:szCs w:val="24"/>
              </w:rPr>
            </w:pPr>
          </w:p>
          <w:p w14:paraId="30D7556B" w14:textId="4FF4AB6F" w:rsidR="00A85935" w:rsidRPr="00B00B8A" w:rsidRDefault="00A85935" w:rsidP="00884761">
            <w:pPr>
              <w:jc w:val="both"/>
              <w:rPr>
                <w:rFonts w:ascii="Arial" w:hAnsi="Arial" w:cs="Arial"/>
                <w:sz w:val="24"/>
                <w:szCs w:val="24"/>
              </w:rPr>
            </w:pPr>
          </w:p>
          <w:p w14:paraId="786198B0" w14:textId="532B9032" w:rsidR="00A85935" w:rsidRPr="00B00B8A" w:rsidRDefault="00A85935" w:rsidP="00884761">
            <w:pPr>
              <w:jc w:val="both"/>
              <w:rPr>
                <w:rFonts w:ascii="Arial" w:hAnsi="Arial" w:cs="Arial"/>
                <w:sz w:val="24"/>
                <w:szCs w:val="24"/>
              </w:rPr>
            </w:pPr>
          </w:p>
          <w:p w14:paraId="4947BC88" w14:textId="25D7ADE4" w:rsidR="00A85935" w:rsidRDefault="00A85935" w:rsidP="00884761">
            <w:pPr>
              <w:jc w:val="both"/>
              <w:rPr>
                <w:rFonts w:ascii="Arial" w:hAnsi="Arial" w:cs="Arial"/>
                <w:sz w:val="24"/>
                <w:szCs w:val="24"/>
              </w:rPr>
            </w:pPr>
          </w:p>
          <w:p w14:paraId="5E36C3AA" w14:textId="5D5E239D" w:rsidR="008730D5" w:rsidRDefault="008730D5" w:rsidP="00884761">
            <w:pPr>
              <w:jc w:val="both"/>
              <w:rPr>
                <w:rFonts w:ascii="Arial" w:hAnsi="Arial" w:cs="Arial"/>
                <w:sz w:val="24"/>
                <w:szCs w:val="24"/>
              </w:rPr>
            </w:pPr>
          </w:p>
          <w:p w14:paraId="7F89189F" w14:textId="49827CC1" w:rsidR="00915959" w:rsidRDefault="00915959" w:rsidP="00884761">
            <w:pPr>
              <w:jc w:val="both"/>
              <w:rPr>
                <w:rFonts w:ascii="Arial" w:hAnsi="Arial" w:cs="Arial"/>
                <w:sz w:val="24"/>
                <w:szCs w:val="24"/>
              </w:rPr>
            </w:pPr>
          </w:p>
          <w:p w14:paraId="2DF8CEA8" w14:textId="3D1CD501" w:rsidR="00915959" w:rsidRDefault="00915959" w:rsidP="00884761">
            <w:pPr>
              <w:jc w:val="both"/>
              <w:rPr>
                <w:rFonts w:ascii="Arial" w:hAnsi="Arial" w:cs="Arial"/>
                <w:sz w:val="24"/>
                <w:szCs w:val="24"/>
              </w:rPr>
            </w:pPr>
          </w:p>
          <w:p w14:paraId="16245644" w14:textId="0B0E2C73" w:rsidR="00915959" w:rsidRDefault="00915959" w:rsidP="00884761">
            <w:pPr>
              <w:jc w:val="both"/>
              <w:rPr>
                <w:rFonts w:ascii="Arial" w:hAnsi="Arial" w:cs="Arial"/>
                <w:sz w:val="24"/>
                <w:szCs w:val="24"/>
              </w:rPr>
            </w:pPr>
          </w:p>
          <w:p w14:paraId="39CBDEAA" w14:textId="5D2A0403" w:rsidR="00915959" w:rsidRDefault="00915959" w:rsidP="00884761">
            <w:pPr>
              <w:jc w:val="both"/>
              <w:rPr>
                <w:rFonts w:ascii="Arial" w:hAnsi="Arial" w:cs="Arial"/>
                <w:sz w:val="24"/>
                <w:szCs w:val="24"/>
              </w:rPr>
            </w:pPr>
          </w:p>
          <w:p w14:paraId="2FE8C247" w14:textId="0F71F9CF" w:rsidR="00915959" w:rsidRDefault="00915959" w:rsidP="00884761">
            <w:pPr>
              <w:jc w:val="both"/>
              <w:rPr>
                <w:rFonts w:ascii="Arial" w:hAnsi="Arial" w:cs="Arial"/>
                <w:sz w:val="24"/>
                <w:szCs w:val="24"/>
              </w:rPr>
            </w:pPr>
          </w:p>
          <w:p w14:paraId="22892FC6" w14:textId="03FA93E7" w:rsidR="00915959" w:rsidRDefault="00915959" w:rsidP="00884761">
            <w:pPr>
              <w:jc w:val="both"/>
              <w:rPr>
                <w:rFonts w:ascii="Arial" w:hAnsi="Arial" w:cs="Arial"/>
                <w:sz w:val="24"/>
                <w:szCs w:val="24"/>
              </w:rPr>
            </w:pPr>
          </w:p>
          <w:p w14:paraId="3F08B7A5" w14:textId="4C7A0DA8" w:rsidR="00915959" w:rsidRDefault="00915959" w:rsidP="00884761">
            <w:pPr>
              <w:jc w:val="both"/>
              <w:rPr>
                <w:rFonts w:ascii="Arial" w:hAnsi="Arial" w:cs="Arial"/>
                <w:sz w:val="24"/>
                <w:szCs w:val="24"/>
              </w:rPr>
            </w:pPr>
          </w:p>
          <w:p w14:paraId="016AC246" w14:textId="77AB9B8B" w:rsidR="00915959" w:rsidRDefault="00915959" w:rsidP="00884761">
            <w:pPr>
              <w:jc w:val="both"/>
              <w:rPr>
                <w:rFonts w:ascii="Arial" w:hAnsi="Arial" w:cs="Arial"/>
                <w:sz w:val="24"/>
                <w:szCs w:val="24"/>
              </w:rPr>
            </w:pPr>
          </w:p>
          <w:p w14:paraId="0D7B1278" w14:textId="2E56DD26" w:rsidR="00915959" w:rsidRDefault="00915959" w:rsidP="00884761">
            <w:pPr>
              <w:jc w:val="both"/>
              <w:rPr>
                <w:rFonts w:ascii="Arial" w:hAnsi="Arial" w:cs="Arial"/>
                <w:sz w:val="24"/>
                <w:szCs w:val="24"/>
              </w:rPr>
            </w:pPr>
          </w:p>
          <w:p w14:paraId="1D6EC7DB" w14:textId="77777777" w:rsidR="00915959" w:rsidRPr="00B00B8A" w:rsidRDefault="00915959" w:rsidP="00884761">
            <w:pPr>
              <w:jc w:val="both"/>
              <w:rPr>
                <w:rFonts w:ascii="Arial" w:hAnsi="Arial" w:cs="Arial"/>
                <w:sz w:val="24"/>
                <w:szCs w:val="24"/>
              </w:rPr>
            </w:pPr>
          </w:p>
          <w:p w14:paraId="4227E03E" w14:textId="77777777" w:rsidR="00D55CF1" w:rsidRPr="00B00B8A" w:rsidRDefault="00D55CF1" w:rsidP="006279B0">
            <w:pPr>
              <w:jc w:val="both"/>
              <w:rPr>
                <w:rFonts w:ascii="Arial" w:hAnsi="Arial" w:cs="Arial"/>
                <w:sz w:val="24"/>
                <w:szCs w:val="24"/>
              </w:rPr>
            </w:pPr>
            <w:r w:rsidRPr="00B00B8A">
              <w:rPr>
                <w:rFonts w:ascii="Arial" w:hAnsi="Arial" w:cs="Arial"/>
                <w:sz w:val="24"/>
                <w:szCs w:val="24"/>
              </w:rPr>
              <w:t xml:space="preserve">30.    </w:t>
            </w:r>
            <w:r w:rsidRPr="00915959">
              <w:rPr>
                <w:rFonts w:ascii="Arial" w:hAnsi="Arial" w:cs="Arial"/>
                <w:sz w:val="24"/>
                <w:szCs w:val="24"/>
              </w:rPr>
              <w:t xml:space="preserve">Measures such as s24B ostensibly violate all established principles of due process by disdaining the </w:t>
            </w:r>
            <w:r w:rsidRPr="00915959">
              <w:rPr>
                <w:rFonts w:ascii="Arial" w:hAnsi="Arial" w:cs="Arial"/>
                <w:i/>
                <w:iCs/>
                <w:sz w:val="24"/>
                <w:szCs w:val="24"/>
              </w:rPr>
              <w:t>audi</w:t>
            </w:r>
            <w:r w:rsidR="00225398" w:rsidRPr="00915959">
              <w:rPr>
                <w:rFonts w:ascii="Arial" w:hAnsi="Arial" w:cs="Arial"/>
                <w:i/>
                <w:iCs/>
                <w:sz w:val="24"/>
                <w:szCs w:val="24"/>
              </w:rPr>
              <w:t xml:space="preserve"> </w:t>
            </w:r>
            <w:r w:rsidRPr="00915959">
              <w:rPr>
                <w:rFonts w:ascii="Arial" w:hAnsi="Arial" w:cs="Arial"/>
                <w:i/>
                <w:iCs/>
                <w:sz w:val="24"/>
                <w:szCs w:val="24"/>
              </w:rPr>
              <w:t xml:space="preserve">alteram partem </w:t>
            </w:r>
            <w:r w:rsidRPr="00915959">
              <w:rPr>
                <w:rFonts w:ascii="Arial" w:hAnsi="Arial" w:cs="Arial"/>
                <w:sz w:val="24"/>
                <w:szCs w:val="24"/>
              </w:rPr>
              <w:t>doctrine and the right to be presumed innocent without any concomitant justification.</w:t>
            </w:r>
            <w:r w:rsidR="00225398" w:rsidRPr="00915959">
              <w:rPr>
                <w:rFonts w:ascii="Arial" w:hAnsi="Arial" w:cs="Arial"/>
                <w:sz w:val="24"/>
                <w:szCs w:val="24"/>
              </w:rPr>
              <w:t xml:space="preserve"> </w:t>
            </w:r>
            <w:r w:rsidRPr="00915959">
              <w:rPr>
                <w:rFonts w:ascii="Arial" w:hAnsi="Arial" w:cs="Arial"/>
                <w:sz w:val="24"/>
                <w:szCs w:val="24"/>
              </w:rPr>
              <w:t>Such a step is self-evidently capable of abuse, particularly in South Africa, and allows for disproportionate</w:t>
            </w:r>
            <w:r w:rsidR="00225398" w:rsidRPr="00915959">
              <w:rPr>
                <w:rFonts w:ascii="Arial" w:hAnsi="Arial" w:cs="Arial"/>
                <w:sz w:val="24"/>
                <w:szCs w:val="24"/>
              </w:rPr>
              <w:t xml:space="preserve"> </w:t>
            </w:r>
            <w:r w:rsidRPr="00915959">
              <w:rPr>
                <w:rFonts w:ascii="Arial" w:hAnsi="Arial" w:cs="Arial"/>
                <w:sz w:val="24"/>
                <w:szCs w:val="24"/>
              </w:rPr>
              <w:t>and</w:t>
            </w:r>
            <w:r w:rsidR="00225398" w:rsidRPr="00915959">
              <w:rPr>
                <w:rFonts w:ascii="Arial" w:hAnsi="Arial" w:cs="Arial"/>
                <w:sz w:val="24"/>
                <w:szCs w:val="24"/>
              </w:rPr>
              <w:t xml:space="preserve"> </w:t>
            </w:r>
            <w:r w:rsidRPr="00915959">
              <w:rPr>
                <w:rFonts w:ascii="Arial" w:hAnsi="Arial" w:cs="Arial"/>
                <w:sz w:val="24"/>
                <w:szCs w:val="24"/>
              </w:rPr>
              <w:t>discretionary</w:t>
            </w:r>
            <w:r w:rsidR="00225398" w:rsidRPr="00915959">
              <w:rPr>
                <w:rFonts w:ascii="Arial" w:hAnsi="Arial" w:cs="Arial"/>
                <w:sz w:val="24"/>
                <w:szCs w:val="24"/>
              </w:rPr>
              <w:t xml:space="preserve"> utilization </w:t>
            </w:r>
            <w:r w:rsidRPr="00915959">
              <w:rPr>
                <w:rFonts w:ascii="Arial" w:hAnsi="Arial" w:cs="Arial"/>
                <w:sz w:val="24"/>
                <w:szCs w:val="24"/>
              </w:rPr>
              <w:t>and enforcement.</w:t>
            </w:r>
            <w:r w:rsidRPr="00B00B8A">
              <w:rPr>
                <w:rFonts w:ascii="Arial" w:hAnsi="Arial" w:cs="Arial"/>
                <w:sz w:val="24"/>
                <w:szCs w:val="24"/>
              </w:rPr>
              <w:t xml:space="preserve"> </w:t>
            </w:r>
          </w:p>
        </w:tc>
        <w:tc>
          <w:tcPr>
            <w:tcW w:w="3457" w:type="dxa"/>
          </w:tcPr>
          <w:p w14:paraId="630A2B46" w14:textId="77777777" w:rsidR="00C82146" w:rsidRPr="00CC5E3C" w:rsidRDefault="00C82146" w:rsidP="00884761">
            <w:pPr>
              <w:jc w:val="both"/>
              <w:rPr>
                <w:rFonts w:ascii="Arial" w:hAnsi="Arial" w:cs="Arial"/>
                <w:sz w:val="24"/>
                <w:szCs w:val="24"/>
                <w:highlight w:val="red"/>
              </w:rPr>
            </w:pPr>
          </w:p>
          <w:p w14:paraId="42CD4F69" w14:textId="77777777" w:rsidR="00287CE9" w:rsidRDefault="00287CE9" w:rsidP="00884761">
            <w:pPr>
              <w:jc w:val="both"/>
              <w:rPr>
                <w:rFonts w:ascii="Arial" w:hAnsi="Arial" w:cs="Arial"/>
              </w:rPr>
            </w:pPr>
          </w:p>
          <w:p w14:paraId="2980C57F" w14:textId="77777777" w:rsidR="00287CE9" w:rsidRDefault="00287CE9" w:rsidP="00884761">
            <w:pPr>
              <w:jc w:val="both"/>
              <w:rPr>
                <w:rFonts w:ascii="Arial" w:hAnsi="Arial" w:cs="Arial"/>
              </w:rPr>
            </w:pPr>
          </w:p>
          <w:p w14:paraId="52EF7B8B" w14:textId="5C428CDD" w:rsidR="00287CE9" w:rsidRDefault="00287CE9" w:rsidP="00884761">
            <w:pPr>
              <w:jc w:val="both"/>
              <w:rPr>
                <w:rFonts w:ascii="Arial" w:hAnsi="Arial" w:cs="Arial"/>
              </w:rPr>
            </w:pPr>
          </w:p>
          <w:p w14:paraId="0022DF11" w14:textId="77777777" w:rsidR="003F360C" w:rsidRDefault="003F360C" w:rsidP="00884761">
            <w:pPr>
              <w:jc w:val="both"/>
              <w:rPr>
                <w:rFonts w:ascii="Arial" w:hAnsi="Arial" w:cs="Arial"/>
              </w:rPr>
            </w:pPr>
          </w:p>
          <w:p w14:paraId="2B46BC3D" w14:textId="48020B20" w:rsidR="000E5954" w:rsidRDefault="00287CE9" w:rsidP="00884761">
            <w:pPr>
              <w:jc w:val="both"/>
              <w:rPr>
                <w:rFonts w:ascii="Arial" w:hAnsi="Arial" w:cs="Arial"/>
                <w:sz w:val="24"/>
                <w:szCs w:val="24"/>
              </w:rPr>
            </w:pPr>
            <w:r>
              <w:rPr>
                <w:rFonts w:ascii="Arial" w:hAnsi="Arial" w:cs="Arial"/>
                <w:sz w:val="24"/>
                <w:szCs w:val="24"/>
              </w:rPr>
              <w:t xml:space="preserve">5.5.1 </w:t>
            </w:r>
            <w:r w:rsidRPr="00287CE9">
              <w:rPr>
                <w:rFonts w:ascii="Arial" w:hAnsi="Arial" w:cs="Arial"/>
                <w:sz w:val="24"/>
                <w:szCs w:val="24"/>
              </w:rPr>
              <w:t>The requirements for a decryption direction are discussed in paragraphs 2.1 and 2.2 of the discussion document. It is submitted that these requirements provide sufficient safeguards against abuses.</w:t>
            </w:r>
          </w:p>
          <w:p w14:paraId="1171A657" w14:textId="77777777" w:rsidR="00287CE9" w:rsidRPr="00287CE9" w:rsidRDefault="00287CE9" w:rsidP="00884761">
            <w:pPr>
              <w:jc w:val="both"/>
              <w:rPr>
                <w:rFonts w:ascii="Arial" w:hAnsi="Arial" w:cs="Arial"/>
                <w:sz w:val="24"/>
                <w:szCs w:val="24"/>
                <w:highlight w:val="red"/>
              </w:rPr>
            </w:pPr>
          </w:p>
          <w:p w14:paraId="2494D38A" w14:textId="00668BBB" w:rsidR="00287CE9" w:rsidRPr="00287CE9" w:rsidRDefault="00287CE9" w:rsidP="00287CE9">
            <w:pPr>
              <w:jc w:val="both"/>
              <w:rPr>
                <w:rFonts w:ascii="Arial" w:eastAsia="Calibri" w:hAnsi="Arial" w:cs="Arial"/>
                <w:sz w:val="24"/>
                <w:szCs w:val="24"/>
              </w:rPr>
            </w:pPr>
            <w:r>
              <w:rPr>
                <w:rFonts w:ascii="Arial" w:eastAsia="Calibri" w:hAnsi="Arial" w:cs="Arial"/>
                <w:sz w:val="24"/>
                <w:szCs w:val="24"/>
              </w:rPr>
              <w:t xml:space="preserve">5.5.2 </w:t>
            </w:r>
            <w:r w:rsidRPr="00287CE9">
              <w:rPr>
                <w:rFonts w:ascii="Arial" w:eastAsia="Calibri" w:hAnsi="Arial" w:cs="Arial"/>
                <w:sz w:val="24"/>
                <w:szCs w:val="24"/>
              </w:rPr>
              <w:t xml:space="preserve">The constitutional right to privacy is not meant to shield criminal activity or to conceal evidence of crime from criminal investigations. The powers of law enforcement to investigate crimes have been interpreted extensively in relation to the right to privacy and it is submitted that the Bill complies with these standards. The infringement on the right of privacy caused by the decryption of information is on par with the infringement caused by searches and seizures in terms of Chapter 2 of the Criminal Procedure Act, 1977 (Act 51 of 1977). </w:t>
            </w:r>
          </w:p>
          <w:p w14:paraId="7C841C76" w14:textId="77777777" w:rsidR="00287CE9" w:rsidRPr="00287CE9" w:rsidRDefault="00287CE9" w:rsidP="00287CE9">
            <w:pPr>
              <w:jc w:val="both"/>
              <w:rPr>
                <w:rFonts w:ascii="Arial" w:eastAsia="Calibri" w:hAnsi="Arial" w:cs="Arial"/>
                <w:sz w:val="24"/>
                <w:szCs w:val="24"/>
              </w:rPr>
            </w:pPr>
          </w:p>
          <w:p w14:paraId="7344D812" w14:textId="77777777" w:rsidR="00287CE9" w:rsidRPr="00287CE9" w:rsidRDefault="00287CE9" w:rsidP="00287CE9">
            <w:pPr>
              <w:jc w:val="both"/>
              <w:rPr>
                <w:rFonts w:ascii="Arial" w:eastAsia="Calibri" w:hAnsi="Arial" w:cs="Arial"/>
                <w:sz w:val="24"/>
                <w:szCs w:val="24"/>
              </w:rPr>
            </w:pPr>
            <w:r w:rsidRPr="00287CE9">
              <w:rPr>
                <w:rFonts w:ascii="Arial" w:eastAsia="Calibri" w:hAnsi="Arial" w:cs="Arial"/>
                <w:sz w:val="24"/>
                <w:szCs w:val="24"/>
              </w:rPr>
              <w:lastRenderedPageBreak/>
              <w:t xml:space="preserve">In </w:t>
            </w:r>
            <w:r w:rsidRPr="00287CE9">
              <w:rPr>
                <w:rFonts w:ascii="Arial" w:eastAsia="Calibri" w:hAnsi="Arial" w:cs="Arial"/>
                <w:b/>
                <w:i/>
                <w:sz w:val="24"/>
                <w:szCs w:val="24"/>
              </w:rPr>
              <w:t>INVESTIGATING DIRECTORATE: SERIOUS ECONOMIC OFFENCES AND OTHERS v HYUNDAI MOTOR DISTRIBUTORS (PTY) LTD AND OTHERS; IN RE HYUNDAI MOTOR DISTRIBUTORS (PTY) LTD AND OTHERS v SMIT NO AND OTHERS</w:t>
            </w:r>
            <w:r w:rsidRPr="00287CE9">
              <w:rPr>
                <w:rFonts w:ascii="Arial" w:eastAsia="Calibri" w:hAnsi="Arial" w:cs="Arial"/>
                <w:sz w:val="24"/>
                <w:szCs w:val="24"/>
              </w:rPr>
              <w:t xml:space="preserve"> 2000 (2) SACR 349 (CC), the court remarked:</w:t>
            </w:r>
            <w:r w:rsidRPr="00287CE9">
              <w:rPr>
                <w:rFonts w:ascii="Arial" w:eastAsia="Calibri" w:hAnsi="Arial" w:cs="Arial"/>
                <w:sz w:val="24"/>
                <w:szCs w:val="24"/>
              </w:rPr>
              <w:tab/>
            </w:r>
          </w:p>
          <w:p w14:paraId="33221876" w14:textId="77777777" w:rsidR="00287CE9" w:rsidRPr="00287CE9" w:rsidRDefault="00287CE9" w:rsidP="00287CE9">
            <w:pPr>
              <w:jc w:val="both"/>
              <w:rPr>
                <w:rFonts w:ascii="Arial" w:eastAsia="Calibri" w:hAnsi="Arial" w:cs="Arial"/>
                <w:sz w:val="24"/>
                <w:szCs w:val="24"/>
              </w:rPr>
            </w:pPr>
            <w:r w:rsidRPr="00287CE9">
              <w:rPr>
                <w:rFonts w:ascii="Arial" w:eastAsia="Calibri" w:hAnsi="Arial" w:cs="Arial"/>
                <w:sz w:val="24"/>
                <w:szCs w:val="24"/>
              </w:rPr>
              <w:t xml:space="preserve">[53] It is a notorious fact that the rate of crime in South Africa is unacceptably high. There are frequent reports of violent crime and incessant disclosures of fraudulent activity. This has a seriously adverse effect not only on the security of citizens and the morale of the community but also on the country's economy. This ultimately affects the Government's ability to address the pressing social welfare problems in South Africa. The need to fight crime is thus an important objective in our society, and the setting up of special Investigating Directorates should be seen in </w:t>
            </w:r>
            <w:r w:rsidRPr="00287CE9">
              <w:rPr>
                <w:rFonts w:ascii="Arial" w:eastAsia="Calibri" w:hAnsi="Arial" w:cs="Arial"/>
                <w:sz w:val="24"/>
                <w:szCs w:val="24"/>
              </w:rPr>
              <w:lastRenderedPageBreak/>
              <w:t xml:space="preserve">that light. The Legislature has sought to prioritise the investigation of certain serious offences detrimentally affecting our communities and has set up a specialised structure, the Investigating Directorate, to deal with them. For purposes of conducting its investigatory functions, the Investigating Directorates have been granted the powers of search and seizure. The importance of these powers for the purposes of a preparatory investigation has been canvassed above.   </w:t>
            </w:r>
          </w:p>
          <w:p w14:paraId="3E112C53" w14:textId="77777777" w:rsidR="00287CE9" w:rsidRPr="00287CE9" w:rsidRDefault="00287CE9" w:rsidP="00287CE9">
            <w:pPr>
              <w:jc w:val="both"/>
              <w:rPr>
                <w:rFonts w:ascii="Arial" w:eastAsia="Calibri" w:hAnsi="Arial" w:cs="Arial"/>
                <w:sz w:val="24"/>
                <w:szCs w:val="24"/>
              </w:rPr>
            </w:pPr>
          </w:p>
          <w:p w14:paraId="33DE549A" w14:textId="77777777" w:rsidR="00287CE9" w:rsidRPr="00287CE9" w:rsidRDefault="00287CE9" w:rsidP="00287CE9">
            <w:pPr>
              <w:jc w:val="both"/>
              <w:rPr>
                <w:rFonts w:ascii="Arial" w:eastAsia="Calibri" w:hAnsi="Arial" w:cs="Arial"/>
                <w:sz w:val="24"/>
                <w:szCs w:val="24"/>
              </w:rPr>
            </w:pPr>
            <w:r w:rsidRPr="00287CE9">
              <w:rPr>
                <w:rFonts w:ascii="Arial" w:eastAsia="Calibri" w:hAnsi="Arial" w:cs="Arial"/>
                <w:sz w:val="24"/>
                <w:szCs w:val="24"/>
              </w:rPr>
              <w:t xml:space="preserve">[54] I now turn to weigh the extent of the limitation of the right against the purpose for which the legislation was enacted. There is no doubt that search and seizure provisions, in the context of a preparatory investigation, serve an important purpose in the fight against crime. That the State has a pressing interest which involves the security and freedom of the community as a whole is beyond question. It is </w:t>
            </w:r>
            <w:r w:rsidRPr="00287CE9">
              <w:rPr>
                <w:rFonts w:ascii="Arial" w:eastAsia="Calibri" w:hAnsi="Arial" w:cs="Arial"/>
                <w:sz w:val="24"/>
                <w:szCs w:val="24"/>
              </w:rPr>
              <w:lastRenderedPageBreak/>
              <w:t xml:space="preserve">an objective which is sufficiently important to justify the limitation of the right to privacy of an individual in certain circumstances. The right is not meant to shield criminal activity or to conceal evidence of crime from the criminal justice process (See California v Ciraolo 476 US 207 (1985) at 213-4, where Chief Justice Warren Burger held that a person who was using a garden to grow illicit drugs could not expect it not to be searched by the State. The following has been said in Colb 'Innocence, Privacy, and Targeting in Fourth Amendment Jurisprudence' (1996) 96 Columbia Law Review 1456, 1460: '[I]f a government official knows that an individual is using her privacy to commit crimes and to hide evidence of those crimes, the official is legally entitled to a warrant authorizing a search of the individual's premises. By committing a crime, the individual in effect creates the </w:t>
            </w:r>
            <w:r w:rsidRPr="00287CE9">
              <w:rPr>
                <w:rFonts w:ascii="Arial" w:eastAsia="Calibri" w:hAnsi="Arial" w:cs="Arial"/>
                <w:sz w:val="24"/>
                <w:szCs w:val="24"/>
              </w:rPr>
              <w:lastRenderedPageBreak/>
              <w:t>circumstances that may ultimately relieve the government of its obligation to respect her privacy).  On the other hand, State officials are not entitled without good cause to invade the premises of persons for purposes of searching and seizing property; there would otherwise be little content left to the right to privacy. A balance must therefore be struck between the interests of the individual and that of the State, a task that lies at the heart of the inquiry into the limitation of rights.".</w:t>
            </w:r>
          </w:p>
          <w:p w14:paraId="736079B9" w14:textId="77777777" w:rsidR="00287CE9" w:rsidRPr="00287CE9" w:rsidRDefault="00287CE9" w:rsidP="00287CE9">
            <w:pPr>
              <w:jc w:val="both"/>
              <w:rPr>
                <w:rFonts w:ascii="Arial" w:hAnsi="Arial" w:cs="Arial"/>
                <w:b/>
                <w:sz w:val="24"/>
                <w:szCs w:val="24"/>
              </w:rPr>
            </w:pPr>
          </w:p>
          <w:p w14:paraId="4BE541B3" w14:textId="2C87C351" w:rsidR="002D6726" w:rsidRDefault="00287CE9" w:rsidP="00287CE9">
            <w:pPr>
              <w:jc w:val="both"/>
              <w:rPr>
                <w:rFonts w:ascii="Arial" w:hAnsi="Arial" w:cs="Arial"/>
                <w:sz w:val="24"/>
                <w:szCs w:val="24"/>
              </w:rPr>
            </w:pPr>
            <w:r w:rsidRPr="00287CE9">
              <w:rPr>
                <w:rFonts w:ascii="Arial" w:hAnsi="Arial" w:cs="Arial"/>
                <w:sz w:val="24"/>
                <w:szCs w:val="24"/>
              </w:rPr>
              <w:t>Also see among others</w:t>
            </w:r>
            <w:r w:rsidRPr="00287CE9">
              <w:rPr>
                <w:rFonts w:ascii="Arial" w:hAnsi="Arial" w:cs="Arial"/>
                <w:b/>
                <w:sz w:val="24"/>
                <w:szCs w:val="24"/>
              </w:rPr>
              <w:t xml:space="preserve"> </w:t>
            </w:r>
            <w:r w:rsidRPr="00287CE9">
              <w:rPr>
                <w:rFonts w:ascii="Arial" w:hAnsi="Arial" w:cs="Arial"/>
                <w:b/>
                <w:i/>
                <w:sz w:val="24"/>
                <w:szCs w:val="24"/>
              </w:rPr>
              <w:t xml:space="preserve">MAGAJANE v CHAIRPERSON, NORTH WEST GAMBLING BOARD AND OTHERS </w:t>
            </w:r>
            <w:r w:rsidRPr="00287CE9">
              <w:rPr>
                <w:rFonts w:ascii="Arial" w:hAnsi="Arial" w:cs="Arial"/>
                <w:sz w:val="24"/>
                <w:szCs w:val="24"/>
              </w:rPr>
              <w:t>2006 (2) SACR 447 (CC);</w:t>
            </w:r>
            <w:r w:rsidRPr="00287CE9">
              <w:rPr>
                <w:rFonts w:ascii="Arial" w:hAnsi="Arial" w:cs="Arial"/>
                <w:b/>
                <w:i/>
                <w:sz w:val="24"/>
                <w:szCs w:val="24"/>
              </w:rPr>
              <w:t xml:space="preserve"> </w:t>
            </w:r>
            <w:r w:rsidRPr="00287CE9">
              <w:rPr>
                <w:rFonts w:ascii="Arial" w:hAnsi="Arial" w:cs="Arial"/>
                <w:sz w:val="24"/>
                <w:szCs w:val="24"/>
              </w:rPr>
              <w:t>and</w:t>
            </w:r>
            <w:r w:rsidRPr="00287CE9">
              <w:rPr>
                <w:rFonts w:ascii="Arial" w:hAnsi="Arial" w:cs="Arial"/>
                <w:b/>
                <w:i/>
                <w:sz w:val="24"/>
                <w:szCs w:val="24"/>
              </w:rPr>
              <w:t xml:space="preserve"> MISTRY v INTERIM MEDICAL AND DENTAL COUNCIL OF SOUTH AFRICA AND OTHERS 1998 (4) SA 1127 (CC) at 1147D - 1148B</w:t>
            </w:r>
            <w:r w:rsidRPr="00287CE9">
              <w:rPr>
                <w:rFonts w:ascii="Arial" w:hAnsi="Arial" w:cs="Arial"/>
                <w:b/>
                <w:sz w:val="24"/>
                <w:szCs w:val="24"/>
              </w:rPr>
              <w:t xml:space="preserve">, </w:t>
            </w:r>
            <w:r w:rsidRPr="00287CE9">
              <w:rPr>
                <w:rFonts w:ascii="Arial" w:hAnsi="Arial" w:cs="Arial"/>
                <w:sz w:val="24"/>
                <w:szCs w:val="24"/>
              </w:rPr>
              <w:t xml:space="preserve">that deals with the appropriate </w:t>
            </w:r>
            <w:r w:rsidRPr="00287CE9">
              <w:rPr>
                <w:rFonts w:ascii="Arial" w:hAnsi="Arial" w:cs="Arial"/>
                <w:sz w:val="24"/>
                <w:szCs w:val="24"/>
              </w:rPr>
              <w:lastRenderedPageBreak/>
              <w:t>safeguards before a search and seizure ca</w:t>
            </w:r>
            <w:r w:rsidRPr="00C537F4">
              <w:rPr>
                <w:rFonts w:ascii="Arial" w:hAnsi="Arial" w:cs="Arial"/>
                <w:sz w:val="24"/>
                <w:szCs w:val="24"/>
              </w:rPr>
              <w:t>n take place.</w:t>
            </w:r>
          </w:p>
          <w:p w14:paraId="6F5CB7DE" w14:textId="5306AE64" w:rsidR="00844D47" w:rsidRPr="00844D47" w:rsidRDefault="00844D47" w:rsidP="00287CE9">
            <w:pPr>
              <w:jc w:val="both"/>
              <w:rPr>
                <w:rFonts w:ascii="Arial" w:hAnsi="Arial" w:cs="Arial"/>
                <w:sz w:val="24"/>
                <w:szCs w:val="24"/>
              </w:rPr>
            </w:pPr>
            <w:r w:rsidRPr="00844D47">
              <w:rPr>
                <w:rFonts w:ascii="Arial" w:hAnsi="Arial" w:cs="Arial"/>
                <w:sz w:val="24"/>
                <w:szCs w:val="24"/>
              </w:rPr>
              <w:t xml:space="preserve">It is submitted that the protected rights of freedom of expression and opinion are mainly limited in terms of section 24B, and not the right of privacy. See paragraph 2.2, above regarding the limitation of the right to privacy in respect of criminal conduct. Although the rights to freedom of expression are of the utmost importance in an open and democratic society, it is neither absolute nor does it rank higher than other protected rights and is therefore susceptible to limitation by a law of general application – see </w:t>
            </w:r>
            <w:r w:rsidRPr="00844D47">
              <w:rPr>
                <w:rFonts w:ascii="Arial" w:hAnsi="Arial" w:cs="Arial"/>
                <w:b/>
                <w:i/>
                <w:sz w:val="24"/>
                <w:szCs w:val="24"/>
              </w:rPr>
              <w:t>ECONOMIC FREEDOM FIGHTERS AND OTHERS V MINISTER OF JUSTICE AND CORRECTIONAL SERVICES AND OTHERS</w:t>
            </w:r>
            <w:r w:rsidRPr="00844D47">
              <w:rPr>
                <w:rFonts w:ascii="Arial" w:hAnsi="Arial" w:cs="Arial"/>
                <w:sz w:val="24"/>
                <w:szCs w:val="24"/>
              </w:rPr>
              <w:t xml:space="preserve"> (Case CCT 201/19).</w:t>
            </w:r>
          </w:p>
          <w:p w14:paraId="340B3096" w14:textId="77777777" w:rsidR="00DD6A44" w:rsidRPr="00C537F4" w:rsidRDefault="00DD6A44" w:rsidP="00287CE9">
            <w:pPr>
              <w:jc w:val="both"/>
              <w:rPr>
                <w:rFonts w:ascii="Arial" w:hAnsi="Arial" w:cs="Arial"/>
                <w:sz w:val="24"/>
                <w:szCs w:val="24"/>
              </w:rPr>
            </w:pPr>
          </w:p>
          <w:p w14:paraId="5C9DDB09" w14:textId="5C7ABFDE" w:rsidR="00DD6A44" w:rsidRDefault="00C537F4" w:rsidP="00287CE9">
            <w:pPr>
              <w:jc w:val="both"/>
              <w:rPr>
                <w:rFonts w:ascii="Arial" w:hAnsi="Arial" w:cs="Arial"/>
                <w:sz w:val="24"/>
                <w:szCs w:val="24"/>
              </w:rPr>
            </w:pPr>
            <w:r>
              <w:rPr>
                <w:rFonts w:ascii="Arial" w:hAnsi="Arial" w:cs="Arial"/>
                <w:sz w:val="24"/>
                <w:szCs w:val="24"/>
              </w:rPr>
              <w:t xml:space="preserve">5.5.3 </w:t>
            </w:r>
            <w:r w:rsidRPr="00C537F4">
              <w:rPr>
                <w:rFonts w:ascii="Arial" w:hAnsi="Arial" w:cs="Arial"/>
                <w:sz w:val="24"/>
                <w:szCs w:val="24"/>
              </w:rPr>
              <w:t xml:space="preserve">A decryption direction in section 21 of the RICA applies only in respect of the interception of indirect communications and does not </w:t>
            </w:r>
            <w:r w:rsidRPr="00C537F4">
              <w:rPr>
                <w:rFonts w:ascii="Arial" w:hAnsi="Arial" w:cs="Arial"/>
                <w:sz w:val="24"/>
                <w:szCs w:val="24"/>
              </w:rPr>
              <w:lastRenderedPageBreak/>
              <w:t>extend to encrypted information contained in "computer hardware or electronic storage instrument or equipment" that was obtained as contemplated in section 24A of the Bill. There is also no other law that deals with the encryption of information. Section 24A of the Bill aims to address this shortcoming by providing for the decryption of encrypted information that was lawfully obtained, other by means of the interception of communications, in terms of the exercise of a statutory power.</w:t>
            </w:r>
          </w:p>
          <w:p w14:paraId="6C1F7FC3" w14:textId="7E194090" w:rsidR="00705C0A" w:rsidRPr="00705C0A" w:rsidRDefault="00705C0A" w:rsidP="00287CE9">
            <w:pPr>
              <w:jc w:val="both"/>
              <w:rPr>
                <w:rFonts w:ascii="Arial" w:hAnsi="Arial" w:cs="Arial"/>
                <w:sz w:val="24"/>
                <w:szCs w:val="24"/>
              </w:rPr>
            </w:pPr>
            <w:r w:rsidRPr="00705C0A">
              <w:rPr>
                <w:rFonts w:ascii="Arial" w:hAnsi="Arial" w:cs="Arial"/>
                <w:sz w:val="24"/>
                <w:szCs w:val="24"/>
              </w:rPr>
              <w:t xml:space="preserve">The only measure available on the Statute Book to achieve the objectives of section 24B of the Bill are those provided for in section 77 of the ECTA, which does not provide for adequate safeguards against infringements of the protected rights concerned. Section 24B is similar to the laws referred to in paragraph 3.4.2 of the discussion document and provide for adequate </w:t>
            </w:r>
            <w:r w:rsidRPr="00705C0A">
              <w:rPr>
                <w:rFonts w:ascii="Arial" w:hAnsi="Arial" w:cs="Arial"/>
                <w:sz w:val="24"/>
                <w:szCs w:val="24"/>
              </w:rPr>
              <w:lastRenderedPageBreak/>
              <w:t>safeguards against the infringement of protected rights</w:t>
            </w:r>
            <w:r>
              <w:rPr>
                <w:rFonts w:ascii="Arial" w:hAnsi="Arial" w:cs="Arial"/>
                <w:sz w:val="24"/>
                <w:szCs w:val="24"/>
              </w:rPr>
              <w:t>.</w:t>
            </w:r>
          </w:p>
          <w:p w14:paraId="31E1840D" w14:textId="77777777" w:rsidR="00C537F4" w:rsidRDefault="00C537F4" w:rsidP="00287CE9">
            <w:pPr>
              <w:jc w:val="both"/>
              <w:rPr>
                <w:rFonts w:ascii="Arial" w:hAnsi="Arial" w:cs="Arial"/>
                <w:sz w:val="24"/>
                <w:szCs w:val="24"/>
              </w:rPr>
            </w:pPr>
          </w:p>
          <w:p w14:paraId="3C688FD2" w14:textId="77777777" w:rsidR="00C537F4" w:rsidRDefault="00C537F4" w:rsidP="00287CE9">
            <w:pPr>
              <w:jc w:val="both"/>
              <w:rPr>
                <w:rFonts w:ascii="Arial" w:hAnsi="Arial" w:cs="Arial"/>
                <w:sz w:val="24"/>
                <w:szCs w:val="24"/>
              </w:rPr>
            </w:pPr>
            <w:r w:rsidRPr="00C537F4">
              <w:rPr>
                <w:rFonts w:ascii="Arial" w:hAnsi="Arial" w:cs="Arial"/>
                <w:sz w:val="24"/>
                <w:szCs w:val="24"/>
              </w:rPr>
              <w:t xml:space="preserve">5.5.4 </w:t>
            </w:r>
            <w:r w:rsidRPr="00C537F4">
              <w:rPr>
                <w:rFonts w:ascii="Arial" w:hAnsi="Arial" w:cs="Arial"/>
                <w:sz w:val="24"/>
                <w:szCs w:val="24"/>
              </w:rPr>
              <w:t>As indicated in paragraph 2.3(d) of the discussion document, section 21 of the RICA, if applied in the context of section 24A, will give rise to interpretational uncertainties. A decryption key holder, who contravenes or fails to comply with section 29(1), is in terms of see section 51(4) of the RICA, guilty of an offence.  A person who is on reasonable grounds suspected to be involved in a terrorism offence who is in possession of a decryption key (or a password), will be under judicial compulsion to provide a decryption key or decryption assistance or face a period of imprisonment.</w:t>
            </w:r>
          </w:p>
          <w:p w14:paraId="5BF217F7" w14:textId="77777777" w:rsidR="008730D5" w:rsidRDefault="008730D5" w:rsidP="00287CE9">
            <w:pPr>
              <w:jc w:val="both"/>
              <w:rPr>
                <w:rFonts w:ascii="Arial" w:hAnsi="Arial" w:cs="Arial"/>
                <w:sz w:val="24"/>
                <w:szCs w:val="24"/>
              </w:rPr>
            </w:pPr>
          </w:p>
          <w:p w14:paraId="79EBD5E3" w14:textId="77777777" w:rsidR="008730D5" w:rsidRDefault="008730D5" w:rsidP="00287CE9">
            <w:pPr>
              <w:jc w:val="both"/>
              <w:rPr>
                <w:rFonts w:ascii="Arial" w:hAnsi="Arial" w:cs="Arial"/>
                <w:sz w:val="24"/>
                <w:szCs w:val="24"/>
              </w:rPr>
            </w:pPr>
          </w:p>
          <w:p w14:paraId="357DB70B" w14:textId="77777777" w:rsidR="008730D5" w:rsidRDefault="008730D5" w:rsidP="00287CE9">
            <w:pPr>
              <w:jc w:val="both"/>
              <w:rPr>
                <w:rFonts w:ascii="Arial" w:hAnsi="Arial" w:cs="Arial"/>
                <w:sz w:val="24"/>
                <w:szCs w:val="24"/>
              </w:rPr>
            </w:pPr>
          </w:p>
          <w:p w14:paraId="6EB05A32" w14:textId="77777777" w:rsidR="008730D5" w:rsidRDefault="008730D5" w:rsidP="00287CE9">
            <w:pPr>
              <w:jc w:val="both"/>
              <w:rPr>
                <w:rFonts w:ascii="Arial" w:hAnsi="Arial" w:cs="Arial"/>
                <w:sz w:val="24"/>
                <w:szCs w:val="24"/>
              </w:rPr>
            </w:pPr>
          </w:p>
          <w:p w14:paraId="3CF2BA47" w14:textId="77777777" w:rsidR="008730D5" w:rsidRDefault="008730D5" w:rsidP="00287CE9">
            <w:pPr>
              <w:jc w:val="both"/>
              <w:rPr>
                <w:rFonts w:ascii="Arial" w:hAnsi="Arial" w:cs="Arial"/>
                <w:sz w:val="24"/>
                <w:szCs w:val="24"/>
              </w:rPr>
            </w:pPr>
          </w:p>
          <w:p w14:paraId="434F8974" w14:textId="77777777" w:rsidR="008730D5" w:rsidRDefault="008730D5" w:rsidP="00287CE9">
            <w:pPr>
              <w:jc w:val="both"/>
              <w:rPr>
                <w:rFonts w:ascii="Arial" w:hAnsi="Arial" w:cs="Arial"/>
                <w:sz w:val="24"/>
                <w:szCs w:val="24"/>
              </w:rPr>
            </w:pPr>
          </w:p>
          <w:p w14:paraId="3C141D02" w14:textId="77777777" w:rsidR="008730D5" w:rsidRDefault="008730D5" w:rsidP="00287CE9">
            <w:pPr>
              <w:jc w:val="both"/>
              <w:rPr>
                <w:rFonts w:ascii="Arial" w:hAnsi="Arial" w:cs="Arial"/>
                <w:sz w:val="24"/>
                <w:szCs w:val="24"/>
              </w:rPr>
            </w:pPr>
          </w:p>
          <w:p w14:paraId="0BB2947D" w14:textId="77777777" w:rsidR="008730D5" w:rsidRDefault="008730D5" w:rsidP="00287CE9">
            <w:pPr>
              <w:jc w:val="both"/>
              <w:rPr>
                <w:rFonts w:ascii="Arial" w:hAnsi="Arial" w:cs="Arial"/>
                <w:sz w:val="24"/>
                <w:szCs w:val="24"/>
              </w:rPr>
            </w:pPr>
          </w:p>
          <w:p w14:paraId="12344278" w14:textId="77777777" w:rsidR="008730D5" w:rsidRDefault="008730D5" w:rsidP="00287CE9">
            <w:pPr>
              <w:jc w:val="both"/>
              <w:rPr>
                <w:rFonts w:ascii="Arial" w:hAnsi="Arial" w:cs="Arial"/>
                <w:sz w:val="24"/>
                <w:szCs w:val="24"/>
              </w:rPr>
            </w:pPr>
          </w:p>
          <w:p w14:paraId="207DEE63" w14:textId="77777777" w:rsidR="008730D5" w:rsidRDefault="008730D5" w:rsidP="00287CE9">
            <w:pPr>
              <w:jc w:val="both"/>
              <w:rPr>
                <w:rFonts w:ascii="Arial" w:hAnsi="Arial" w:cs="Arial"/>
                <w:sz w:val="24"/>
                <w:szCs w:val="24"/>
              </w:rPr>
            </w:pPr>
          </w:p>
          <w:p w14:paraId="53A9E14A" w14:textId="69C41C25" w:rsidR="008730D5" w:rsidRPr="00915959" w:rsidRDefault="008730D5" w:rsidP="008730D5">
            <w:pPr>
              <w:jc w:val="both"/>
              <w:rPr>
                <w:rFonts w:ascii="Arial" w:hAnsi="Arial" w:cs="Arial"/>
                <w:sz w:val="24"/>
                <w:szCs w:val="24"/>
              </w:rPr>
            </w:pPr>
            <w:r>
              <w:rPr>
                <w:rFonts w:ascii="Arial" w:hAnsi="Arial" w:cs="Arial"/>
              </w:rPr>
              <w:t xml:space="preserve">27. </w:t>
            </w:r>
            <w:r w:rsidRPr="008730D5">
              <w:rPr>
                <w:rFonts w:ascii="Arial" w:hAnsi="Arial" w:cs="Arial"/>
                <w:sz w:val="24"/>
                <w:szCs w:val="24"/>
              </w:rPr>
              <w:t>Section 24B relates to the removal of, or disabling access to a publication on an internet or social media site with unlawful terrorism-related content. The removal of a publication that is hosted by a foreign electronic communications service provider is in general problematic. However, most foreign electronic communications service providers do provide for the removal of harmful content in accordance with their legal systems and on the receipt of a warrant by a judicial officer. The second option is to impose obligations on local electronic communications service providers to disable access to a website that is hosted by a foreig</w:t>
            </w:r>
            <w:r w:rsidRPr="00915959">
              <w:rPr>
                <w:rFonts w:ascii="Arial" w:hAnsi="Arial" w:cs="Arial"/>
                <w:sz w:val="24"/>
                <w:szCs w:val="24"/>
              </w:rPr>
              <w:t>n electronic communications service provider.</w:t>
            </w:r>
          </w:p>
          <w:p w14:paraId="3734B909" w14:textId="77777777" w:rsidR="008730D5" w:rsidRPr="00915959" w:rsidRDefault="008730D5" w:rsidP="008730D5">
            <w:pPr>
              <w:jc w:val="both"/>
              <w:rPr>
                <w:rFonts w:ascii="Arial" w:hAnsi="Arial" w:cs="Arial"/>
                <w:sz w:val="24"/>
                <w:szCs w:val="24"/>
              </w:rPr>
            </w:pPr>
          </w:p>
          <w:p w14:paraId="7CAB7059" w14:textId="4580450F" w:rsidR="008730D5" w:rsidRPr="00915959" w:rsidRDefault="008730D5" w:rsidP="008730D5">
            <w:pPr>
              <w:jc w:val="both"/>
              <w:rPr>
                <w:rFonts w:ascii="Arial" w:hAnsi="Arial" w:cs="Arial"/>
                <w:sz w:val="24"/>
                <w:szCs w:val="24"/>
              </w:rPr>
            </w:pPr>
            <w:r w:rsidRPr="00915959">
              <w:rPr>
                <w:rFonts w:ascii="Arial" w:hAnsi="Arial" w:cs="Arial"/>
                <w:sz w:val="24"/>
                <w:szCs w:val="24"/>
              </w:rPr>
              <w:t xml:space="preserve">To effectively enforce the order provided for in section </w:t>
            </w:r>
            <w:r w:rsidRPr="00915959">
              <w:rPr>
                <w:rFonts w:ascii="Arial" w:hAnsi="Arial" w:cs="Arial"/>
                <w:sz w:val="24"/>
                <w:szCs w:val="24"/>
              </w:rPr>
              <w:lastRenderedPageBreak/>
              <w:t>24B of the Bill, assistance by electronic communications service providers are required. A provision similar to section 21 of the Cybercrimes Act, need to be considered.</w:t>
            </w:r>
          </w:p>
          <w:p w14:paraId="64E62484" w14:textId="6C13D483" w:rsidR="00915959" w:rsidRPr="00915959" w:rsidRDefault="00915959" w:rsidP="008730D5">
            <w:pPr>
              <w:jc w:val="both"/>
              <w:rPr>
                <w:rFonts w:ascii="Arial" w:hAnsi="Arial" w:cs="Arial"/>
                <w:sz w:val="24"/>
                <w:szCs w:val="24"/>
              </w:rPr>
            </w:pPr>
          </w:p>
          <w:p w14:paraId="4FCC8965" w14:textId="6121B8FA" w:rsidR="00915959" w:rsidRPr="00915959" w:rsidRDefault="00915959" w:rsidP="008730D5">
            <w:pPr>
              <w:jc w:val="both"/>
              <w:rPr>
                <w:rFonts w:ascii="Arial" w:hAnsi="Arial" w:cs="Arial"/>
                <w:sz w:val="24"/>
                <w:szCs w:val="24"/>
              </w:rPr>
            </w:pPr>
            <w:r w:rsidRPr="00915959">
              <w:rPr>
                <w:rFonts w:ascii="Arial" w:hAnsi="Arial" w:cs="Arial"/>
                <w:sz w:val="24"/>
                <w:szCs w:val="24"/>
              </w:rPr>
              <w:t xml:space="preserve">30. </w:t>
            </w:r>
            <w:r w:rsidRPr="00915959">
              <w:rPr>
                <w:rFonts w:ascii="Arial" w:hAnsi="Arial" w:cs="Arial"/>
                <w:sz w:val="24"/>
                <w:szCs w:val="24"/>
              </w:rPr>
              <w:t>Section 24B provides for adequate safeguards against protected right infringements and abuse</w:t>
            </w:r>
            <w:r w:rsidRPr="00915959">
              <w:rPr>
                <w:rFonts w:ascii="Arial" w:hAnsi="Arial" w:cs="Arial"/>
                <w:sz w:val="24"/>
                <w:szCs w:val="24"/>
              </w:rPr>
              <w:t>.</w:t>
            </w:r>
          </w:p>
          <w:p w14:paraId="49621AC5" w14:textId="77777777" w:rsidR="008730D5" w:rsidRDefault="008730D5" w:rsidP="00287CE9">
            <w:pPr>
              <w:jc w:val="both"/>
              <w:rPr>
                <w:rFonts w:ascii="Arial" w:hAnsi="Arial" w:cs="Arial"/>
                <w:sz w:val="24"/>
                <w:szCs w:val="24"/>
              </w:rPr>
            </w:pPr>
          </w:p>
          <w:p w14:paraId="0ED279F3" w14:textId="7D15D38F" w:rsidR="008730D5" w:rsidRPr="00C537F4" w:rsidRDefault="008730D5" w:rsidP="00287CE9">
            <w:pPr>
              <w:jc w:val="both"/>
              <w:rPr>
                <w:rFonts w:ascii="Arial" w:hAnsi="Arial" w:cs="Arial"/>
                <w:sz w:val="24"/>
                <w:szCs w:val="24"/>
                <w:highlight w:val="red"/>
              </w:rPr>
            </w:pPr>
          </w:p>
        </w:tc>
      </w:tr>
      <w:tr w:rsidR="00C82146" w:rsidRPr="00884761" w14:paraId="7873FBC8" w14:textId="77777777" w:rsidTr="00F14186">
        <w:tc>
          <w:tcPr>
            <w:tcW w:w="1288" w:type="dxa"/>
          </w:tcPr>
          <w:p w14:paraId="16FEA418" w14:textId="77777777" w:rsidR="00C82146" w:rsidRPr="002F45E7" w:rsidRDefault="00B81E75" w:rsidP="00884761">
            <w:pPr>
              <w:jc w:val="both"/>
              <w:rPr>
                <w:rFonts w:ascii="Arial" w:hAnsi="Arial" w:cs="Arial"/>
                <w:b/>
                <w:sz w:val="24"/>
                <w:szCs w:val="24"/>
              </w:rPr>
            </w:pPr>
            <w:r w:rsidRPr="002F45E7">
              <w:rPr>
                <w:rFonts w:ascii="Arial" w:hAnsi="Arial" w:cs="Arial"/>
                <w:b/>
                <w:sz w:val="24"/>
                <w:szCs w:val="24"/>
              </w:rPr>
              <w:lastRenderedPageBreak/>
              <w:t>21</w:t>
            </w:r>
          </w:p>
        </w:tc>
        <w:tc>
          <w:tcPr>
            <w:tcW w:w="1446" w:type="dxa"/>
          </w:tcPr>
          <w:p w14:paraId="41E9ED3B" w14:textId="77777777" w:rsidR="00C82146" w:rsidRPr="002F45E7" w:rsidRDefault="00D55CF1" w:rsidP="00884761">
            <w:pPr>
              <w:jc w:val="both"/>
              <w:rPr>
                <w:rFonts w:ascii="Arial" w:hAnsi="Arial" w:cs="Arial"/>
                <w:b/>
                <w:sz w:val="24"/>
                <w:szCs w:val="24"/>
              </w:rPr>
            </w:pPr>
            <w:r w:rsidRPr="002F45E7">
              <w:rPr>
                <w:rFonts w:ascii="Arial" w:hAnsi="Arial" w:cs="Arial"/>
                <w:b/>
                <w:sz w:val="24"/>
                <w:szCs w:val="24"/>
              </w:rPr>
              <w:t>26</w:t>
            </w:r>
          </w:p>
        </w:tc>
        <w:tc>
          <w:tcPr>
            <w:tcW w:w="6759" w:type="dxa"/>
          </w:tcPr>
          <w:p w14:paraId="463ED955" w14:textId="77777777" w:rsidR="00B81E75" w:rsidRPr="00B00B8A" w:rsidRDefault="00D55CF1" w:rsidP="00884761">
            <w:pPr>
              <w:jc w:val="both"/>
              <w:rPr>
                <w:rFonts w:ascii="Arial" w:hAnsi="Arial" w:cs="Arial"/>
                <w:sz w:val="24"/>
                <w:szCs w:val="24"/>
              </w:rPr>
            </w:pPr>
            <w:r w:rsidRPr="00B00B8A">
              <w:rPr>
                <w:rFonts w:ascii="Arial" w:hAnsi="Arial" w:cs="Arial"/>
                <w:sz w:val="24"/>
                <w:szCs w:val="24"/>
              </w:rPr>
              <w:t>5.6</w:t>
            </w:r>
            <w:r w:rsidR="00D25E59" w:rsidRPr="00B00B8A">
              <w:rPr>
                <w:rFonts w:ascii="Arial" w:hAnsi="Arial" w:cs="Arial"/>
                <w:sz w:val="24"/>
                <w:szCs w:val="24"/>
              </w:rPr>
              <w:t xml:space="preserve"> </w:t>
            </w:r>
            <w:r w:rsidRPr="00B00B8A">
              <w:rPr>
                <w:rFonts w:ascii="Arial" w:hAnsi="Arial" w:cs="Arial"/>
                <w:sz w:val="24"/>
                <w:szCs w:val="24"/>
              </w:rPr>
              <w:t xml:space="preserve">Repeal of s26 </w:t>
            </w:r>
          </w:p>
          <w:p w14:paraId="7424771B" w14:textId="77777777" w:rsidR="00B81E75" w:rsidRPr="00B00B8A" w:rsidRDefault="00B81E75" w:rsidP="00884761">
            <w:pPr>
              <w:jc w:val="both"/>
              <w:rPr>
                <w:rFonts w:ascii="Arial" w:hAnsi="Arial" w:cs="Arial"/>
                <w:b/>
                <w:bCs/>
                <w:sz w:val="24"/>
                <w:szCs w:val="24"/>
              </w:rPr>
            </w:pPr>
            <w:r w:rsidRPr="00B00B8A">
              <w:rPr>
                <w:rFonts w:ascii="Arial" w:hAnsi="Arial" w:cs="Arial"/>
                <w:b/>
                <w:bCs/>
                <w:sz w:val="24"/>
                <w:szCs w:val="24"/>
              </w:rPr>
              <w:t>Parliamentary supervision</w:t>
            </w:r>
          </w:p>
          <w:p w14:paraId="35FA2FDC" w14:textId="77777777" w:rsidR="00D55CF1" w:rsidRPr="00B00B8A" w:rsidRDefault="00D55CF1" w:rsidP="00884761">
            <w:pPr>
              <w:jc w:val="both"/>
              <w:rPr>
                <w:rFonts w:ascii="Arial" w:hAnsi="Arial" w:cs="Arial"/>
                <w:sz w:val="24"/>
                <w:szCs w:val="24"/>
              </w:rPr>
            </w:pPr>
          </w:p>
          <w:p w14:paraId="5A0AD7DF" w14:textId="77777777" w:rsidR="00D55CF1" w:rsidRPr="00B00B8A" w:rsidRDefault="00D55CF1" w:rsidP="00D25E59">
            <w:pPr>
              <w:jc w:val="both"/>
              <w:rPr>
                <w:rFonts w:ascii="Arial" w:hAnsi="Arial" w:cs="Arial"/>
                <w:sz w:val="24"/>
                <w:szCs w:val="24"/>
              </w:rPr>
            </w:pPr>
            <w:r w:rsidRPr="00B00B8A">
              <w:rPr>
                <w:rFonts w:ascii="Arial" w:hAnsi="Arial" w:cs="Arial"/>
                <w:sz w:val="24"/>
                <w:szCs w:val="24"/>
              </w:rPr>
              <w:t>5.6.1</w:t>
            </w:r>
            <w:r w:rsidR="00D25E59" w:rsidRPr="00B00B8A">
              <w:rPr>
                <w:rFonts w:ascii="Arial" w:hAnsi="Arial" w:cs="Arial"/>
                <w:sz w:val="24"/>
                <w:szCs w:val="24"/>
              </w:rPr>
              <w:t xml:space="preserve"> </w:t>
            </w:r>
            <w:r w:rsidRPr="00B00B8A">
              <w:rPr>
                <w:rFonts w:ascii="Arial" w:hAnsi="Arial" w:cs="Arial"/>
                <w:sz w:val="24"/>
                <w:szCs w:val="24"/>
              </w:rPr>
              <w:t>Unjustifiable violation of separation of powers doctrine. S26A of Financial Intelligence Centre Act makes no provision for tabling of announcement/</w:t>
            </w:r>
            <w:r w:rsidR="00D25E59" w:rsidRPr="00B00B8A">
              <w:rPr>
                <w:rFonts w:ascii="Arial" w:hAnsi="Arial" w:cs="Arial"/>
                <w:sz w:val="24"/>
                <w:szCs w:val="24"/>
              </w:rPr>
              <w:t xml:space="preserve"> </w:t>
            </w:r>
            <w:r w:rsidRPr="00B00B8A">
              <w:rPr>
                <w:rFonts w:ascii="Arial" w:hAnsi="Arial" w:cs="Arial"/>
                <w:sz w:val="24"/>
                <w:szCs w:val="24"/>
              </w:rPr>
              <w:t xml:space="preserve">designation in Parliament. </w:t>
            </w:r>
          </w:p>
        </w:tc>
        <w:tc>
          <w:tcPr>
            <w:tcW w:w="3457" w:type="dxa"/>
          </w:tcPr>
          <w:p w14:paraId="383D46B9" w14:textId="54B686CB" w:rsidR="001953CA" w:rsidRPr="00B00B8A" w:rsidRDefault="002D6726" w:rsidP="00884761">
            <w:pPr>
              <w:jc w:val="both"/>
              <w:rPr>
                <w:rFonts w:ascii="Arial" w:hAnsi="Arial" w:cs="Arial"/>
                <w:sz w:val="24"/>
                <w:szCs w:val="24"/>
              </w:rPr>
            </w:pPr>
            <w:r w:rsidRPr="00B00B8A">
              <w:rPr>
                <w:rFonts w:ascii="Arial" w:hAnsi="Arial" w:cs="Arial"/>
                <w:sz w:val="24"/>
                <w:szCs w:val="24"/>
              </w:rPr>
              <w:t xml:space="preserve">The submission of designations by the United Nations Security Council </w:t>
            </w:r>
            <w:r w:rsidR="00A85935" w:rsidRPr="00B00B8A">
              <w:rPr>
                <w:rFonts w:ascii="Arial" w:hAnsi="Arial" w:cs="Arial"/>
                <w:sz w:val="24"/>
                <w:szCs w:val="24"/>
              </w:rPr>
              <w:t>is</w:t>
            </w:r>
            <w:r w:rsidR="001953CA" w:rsidRPr="00B00B8A">
              <w:rPr>
                <w:rFonts w:ascii="Arial" w:hAnsi="Arial" w:cs="Arial"/>
                <w:sz w:val="24"/>
                <w:szCs w:val="24"/>
              </w:rPr>
              <w:t>,</w:t>
            </w:r>
            <w:r w:rsidR="00A85935" w:rsidRPr="00B00B8A">
              <w:rPr>
                <w:rFonts w:ascii="Arial" w:hAnsi="Arial" w:cs="Arial"/>
                <w:sz w:val="24"/>
                <w:szCs w:val="24"/>
              </w:rPr>
              <w:t xml:space="preserve"> at most</w:t>
            </w:r>
            <w:r w:rsidR="001953CA" w:rsidRPr="00B00B8A">
              <w:rPr>
                <w:rFonts w:ascii="Arial" w:hAnsi="Arial" w:cs="Arial"/>
                <w:sz w:val="24"/>
                <w:szCs w:val="24"/>
              </w:rPr>
              <w:t>,</w:t>
            </w:r>
            <w:r w:rsidR="00A85935" w:rsidRPr="00B00B8A">
              <w:rPr>
                <w:rFonts w:ascii="Arial" w:hAnsi="Arial" w:cs="Arial"/>
                <w:sz w:val="24"/>
                <w:szCs w:val="24"/>
              </w:rPr>
              <w:t xml:space="preserve"> for the information of Parliament, as Parliament cannot reject or amend resolutions of listings of the United Nations Security Council.</w:t>
            </w:r>
          </w:p>
          <w:p w14:paraId="7B1F4D5A" w14:textId="2184E3C5" w:rsidR="001953CA" w:rsidRPr="00B00B8A" w:rsidRDefault="001953CA" w:rsidP="00884761">
            <w:pPr>
              <w:jc w:val="both"/>
              <w:rPr>
                <w:rFonts w:ascii="Arial" w:hAnsi="Arial" w:cs="Arial"/>
                <w:sz w:val="24"/>
                <w:szCs w:val="24"/>
              </w:rPr>
            </w:pPr>
            <w:r w:rsidRPr="00B00B8A">
              <w:rPr>
                <w:rFonts w:ascii="Arial" w:hAnsi="Arial" w:cs="Arial"/>
                <w:sz w:val="24"/>
                <w:szCs w:val="24"/>
                <w:lang w:val="en-ZA"/>
              </w:rPr>
              <w:t>Moreover, the implementation of</w:t>
            </w:r>
            <w:r w:rsidRPr="00B00B8A">
              <w:rPr>
                <w:rFonts w:ascii="Arial" w:hAnsi="Arial" w:cs="Arial"/>
                <w:sz w:val="24"/>
                <w:szCs w:val="24"/>
              </w:rPr>
              <w:t xml:space="preserve"> designations following the adoption of Resolutions by the United Nations Security Council under Chapter VII of the UN Charter, is an executive function.</w:t>
            </w:r>
          </w:p>
          <w:p w14:paraId="6D0874C1" w14:textId="18C413E5" w:rsidR="00C82146" w:rsidRPr="00B00B8A" w:rsidRDefault="00571DF7" w:rsidP="00884761">
            <w:pPr>
              <w:jc w:val="both"/>
              <w:rPr>
                <w:rFonts w:ascii="Arial" w:hAnsi="Arial" w:cs="Arial"/>
                <w:sz w:val="24"/>
                <w:szCs w:val="24"/>
              </w:rPr>
            </w:pPr>
            <w:r w:rsidRPr="00B00B8A">
              <w:rPr>
                <w:rFonts w:ascii="Arial" w:hAnsi="Arial" w:cs="Arial"/>
                <w:sz w:val="24"/>
                <w:szCs w:val="24"/>
              </w:rPr>
              <w:t>The General Law (Anti-Money Laundering and Combating Terrorism</w:t>
            </w:r>
            <w:r w:rsidR="000E457E" w:rsidRPr="00B00B8A">
              <w:rPr>
                <w:rFonts w:ascii="Arial" w:hAnsi="Arial" w:cs="Arial"/>
                <w:sz w:val="24"/>
                <w:szCs w:val="24"/>
              </w:rPr>
              <w:t>)</w:t>
            </w:r>
            <w:r w:rsidRPr="00B00B8A">
              <w:rPr>
                <w:rFonts w:ascii="Arial" w:hAnsi="Arial" w:cs="Arial"/>
                <w:sz w:val="24"/>
                <w:szCs w:val="24"/>
              </w:rPr>
              <w:t xml:space="preserve"> Amendment Bill, </w:t>
            </w:r>
            <w:r w:rsidR="006B6A62" w:rsidRPr="00B00B8A">
              <w:rPr>
                <w:rFonts w:ascii="Arial" w:hAnsi="Arial" w:cs="Arial"/>
                <w:sz w:val="24"/>
                <w:szCs w:val="24"/>
              </w:rPr>
              <w:lastRenderedPageBreak/>
              <w:t xml:space="preserve">provides in effect that all notices </w:t>
            </w:r>
            <w:r w:rsidR="00EE6328" w:rsidRPr="00B00B8A">
              <w:rPr>
                <w:rFonts w:ascii="Arial" w:hAnsi="Arial" w:cs="Arial"/>
                <w:sz w:val="24"/>
                <w:szCs w:val="24"/>
                <w:lang w:val="en-ZA"/>
              </w:rPr>
              <w:t>that relate to the adoption of Resolutions of the UN Security Council and subsequent designations and delistings of entities under those Resolutions, will be issued</w:t>
            </w:r>
            <w:r w:rsidR="00EE6328" w:rsidRPr="00B00B8A">
              <w:rPr>
                <w:rFonts w:ascii="Arial" w:hAnsi="Arial" w:cs="Arial"/>
                <w:sz w:val="24"/>
                <w:szCs w:val="24"/>
              </w:rPr>
              <w:t xml:space="preserve"> </w:t>
            </w:r>
            <w:r w:rsidR="000E457E" w:rsidRPr="00B00B8A">
              <w:rPr>
                <w:rFonts w:ascii="Arial" w:hAnsi="Arial" w:cs="Arial"/>
                <w:sz w:val="24"/>
                <w:szCs w:val="24"/>
              </w:rPr>
              <w:t>by the Director of the FIC.</w:t>
            </w:r>
          </w:p>
        </w:tc>
      </w:tr>
      <w:tr w:rsidR="001F589A" w:rsidRPr="00884761" w14:paraId="51521734" w14:textId="77777777" w:rsidTr="00F14186">
        <w:tc>
          <w:tcPr>
            <w:tcW w:w="1288" w:type="dxa"/>
          </w:tcPr>
          <w:p w14:paraId="148F289C" w14:textId="77777777" w:rsidR="001F589A" w:rsidRPr="002F45E7" w:rsidRDefault="001F589A" w:rsidP="00884761">
            <w:pPr>
              <w:jc w:val="both"/>
              <w:rPr>
                <w:rFonts w:ascii="Arial" w:hAnsi="Arial" w:cs="Arial"/>
                <w:b/>
                <w:sz w:val="24"/>
                <w:szCs w:val="24"/>
              </w:rPr>
            </w:pPr>
          </w:p>
        </w:tc>
        <w:tc>
          <w:tcPr>
            <w:tcW w:w="1446" w:type="dxa"/>
          </w:tcPr>
          <w:p w14:paraId="5315B360" w14:textId="77777777" w:rsidR="001F589A" w:rsidRPr="002F45E7" w:rsidRDefault="001F589A" w:rsidP="00884761">
            <w:pPr>
              <w:jc w:val="both"/>
              <w:rPr>
                <w:rFonts w:ascii="Arial" w:hAnsi="Arial" w:cs="Arial"/>
                <w:b/>
                <w:sz w:val="24"/>
                <w:szCs w:val="24"/>
              </w:rPr>
            </w:pPr>
          </w:p>
        </w:tc>
        <w:tc>
          <w:tcPr>
            <w:tcW w:w="6759" w:type="dxa"/>
          </w:tcPr>
          <w:p w14:paraId="028F4764" w14:textId="77777777" w:rsidR="001F589A" w:rsidRPr="002F45E7" w:rsidRDefault="001F589A" w:rsidP="00884761">
            <w:pPr>
              <w:jc w:val="both"/>
              <w:rPr>
                <w:rFonts w:ascii="Arial" w:hAnsi="Arial" w:cs="Arial"/>
                <w:sz w:val="24"/>
                <w:szCs w:val="24"/>
              </w:rPr>
            </w:pPr>
          </w:p>
        </w:tc>
        <w:tc>
          <w:tcPr>
            <w:tcW w:w="3457" w:type="dxa"/>
          </w:tcPr>
          <w:p w14:paraId="4DB26ED1" w14:textId="77777777" w:rsidR="001F589A" w:rsidRPr="00884761" w:rsidRDefault="001F589A" w:rsidP="00884761">
            <w:pPr>
              <w:jc w:val="both"/>
              <w:rPr>
                <w:rFonts w:ascii="Arial" w:hAnsi="Arial" w:cs="Arial"/>
                <w:b/>
                <w:sz w:val="24"/>
                <w:szCs w:val="24"/>
              </w:rPr>
            </w:pPr>
          </w:p>
        </w:tc>
      </w:tr>
      <w:tr w:rsidR="001F589A" w:rsidRPr="00884761" w14:paraId="40F893EE" w14:textId="77777777" w:rsidTr="00F14186">
        <w:tc>
          <w:tcPr>
            <w:tcW w:w="1288" w:type="dxa"/>
          </w:tcPr>
          <w:p w14:paraId="5550F71D" w14:textId="77777777" w:rsidR="001F589A" w:rsidRPr="002F45E7" w:rsidRDefault="001F589A" w:rsidP="00884761">
            <w:pPr>
              <w:jc w:val="both"/>
              <w:rPr>
                <w:rFonts w:ascii="Arial" w:hAnsi="Arial" w:cs="Arial"/>
                <w:b/>
                <w:sz w:val="24"/>
                <w:szCs w:val="24"/>
              </w:rPr>
            </w:pPr>
          </w:p>
        </w:tc>
        <w:tc>
          <w:tcPr>
            <w:tcW w:w="1446" w:type="dxa"/>
          </w:tcPr>
          <w:p w14:paraId="1E24E97B" w14:textId="77777777" w:rsidR="001F589A" w:rsidRPr="002F45E7" w:rsidRDefault="001F589A" w:rsidP="00884761">
            <w:pPr>
              <w:jc w:val="both"/>
              <w:rPr>
                <w:rFonts w:ascii="Arial" w:hAnsi="Arial" w:cs="Arial"/>
                <w:b/>
                <w:sz w:val="24"/>
                <w:szCs w:val="24"/>
              </w:rPr>
            </w:pPr>
          </w:p>
        </w:tc>
        <w:tc>
          <w:tcPr>
            <w:tcW w:w="6759" w:type="dxa"/>
          </w:tcPr>
          <w:p w14:paraId="091DD447" w14:textId="77777777" w:rsidR="001F589A" w:rsidRPr="001F589A" w:rsidRDefault="001F589A" w:rsidP="001F589A">
            <w:pPr>
              <w:jc w:val="both"/>
              <w:rPr>
                <w:rFonts w:ascii="Arial" w:hAnsi="Arial" w:cs="Arial"/>
                <w:b/>
                <w:sz w:val="24"/>
                <w:szCs w:val="24"/>
              </w:rPr>
            </w:pPr>
            <w:r w:rsidRPr="001F589A">
              <w:rPr>
                <w:rFonts w:ascii="Arial" w:hAnsi="Arial" w:cs="Arial"/>
                <w:b/>
                <w:sz w:val="24"/>
                <w:szCs w:val="24"/>
              </w:rPr>
              <w:t>THE BANKING ASSOCIATION SOUTH AFRICA (“BASA”)</w:t>
            </w:r>
          </w:p>
        </w:tc>
        <w:tc>
          <w:tcPr>
            <w:tcW w:w="3457" w:type="dxa"/>
          </w:tcPr>
          <w:p w14:paraId="58654AEF" w14:textId="77777777" w:rsidR="001F589A" w:rsidRPr="00884761" w:rsidRDefault="001F589A" w:rsidP="00884761">
            <w:pPr>
              <w:jc w:val="both"/>
              <w:rPr>
                <w:rFonts w:ascii="Arial" w:hAnsi="Arial" w:cs="Arial"/>
                <w:b/>
                <w:sz w:val="24"/>
                <w:szCs w:val="24"/>
              </w:rPr>
            </w:pPr>
          </w:p>
        </w:tc>
      </w:tr>
      <w:tr w:rsidR="001F589A" w:rsidRPr="00884761" w14:paraId="61ACB2E4" w14:textId="77777777" w:rsidTr="00F14186">
        <w:tc>
          <w:tcPr>
            <w:tcW w:w="1288" w:type="dxa"/>
          </w:tcPr>
          <w:p w14:paraId="1B4FFAE3" w14:textId="77777777" w:rsidR="001F589A" w:rsidRPr="002F45E7" w:rsidRDefault="001F589A" w:rsidP="00884761">
            <w:pPr>
              <w:jc w:val="both"/>
              <w:rPr>
                <w:rFonts w:ascii="Arial" w:hAnsi="Arial" w:cs="Arial"/>
                <w:b/>
                <w:sz w:val="24"/>
                <w:szCs w:val="24"/>
              </w:rPr>
            </w:pPr>
            <w:r>
              <w:rPr>
                <w:rFonts w:ascii="Arial" w:hAnsi="Arial" w:cs="Arial"/>
                <w:b/>
                <w:sz w:val="24"/>
                <w:szCs w:val="24"/>
              </w:rPr>
              <w:t>1</w:t>
            </w:r>
          </w:p>
        </w:tc>
        <w:tc>
          <w:tcPr>
            <w:tcW w:w="1446" w:type="dxa"/>
          </w:tcPr>
          <w:p w14:paraId="66589FBE" w14:textId="77777777" w:rsidR="001F589A" w:rsidRPr="002F45E7" w:rsidRDefault="001F589A" w:rsidP="001F589A">
            <w:pPr>
              <w:jc w:val="both"/>
              <w:rPr>
                <w:rFonts w:ascii="Arial" w:hAnsi="Arial" w:cs="Arial"/>
                <w:b/>
                <w:sz w:val="24"/>
                <w:szCs w:val="24"/>
              </w:rPr>
            </w:pPr>
            <w:r>
              <w:rPr>
                <w:rFonts w:ascii="Arial" w:hAnsi="Arial" w:cs="Arial"/>
                <w:b/>
                <w:sz w:val="24"/>
                <w:szCs w:val="24"/>
              </w:rPr>
              <w:t>1(e)</w:t>
            </w:r>
          </w:p>
        </w:tc>
        <w:tc>
          <w:tcPr>
            <w:tcW w:w="6759" w:type="dxa"/>
          </w:tcPr>
          <w:p w14:paraId="70F52E96" w14:textId="4FB8B6DE" w:rsidR="001F589A" w:rsidRDefault="001F589A" w:rsidP="00E049EF">
            <w:pPr>
              <w:pStyle w:val="Default"/>
              <w:numPr>
                <w:ilvl w:val="0"/>
                <w:numId w:val="1"/>
              </w:numPr>
              <w:ind w:left="300" w:hanging="300"/>
              <w:jc w:val="both"/>
            </w:pPr>
            <w:r w:rsidRPr="00B00B8A">
              <w:t xml:space="preserve">Clarify if section 1(e) is limited to ‘independent’ service providers that operate such service as an only (sole) service – an independent Mobile Network Operator, or also applicable where this is provided as a service offering by another type of business, e.g., in collaboration with a primary 'electronic communications service provider’? </w:t>
            </w:r>
          </w:p>
          <w:p w14:paraId="7C4C4028" w14:textId="144649C0" w:rsidR="00830253" w:rsidRDefault="00830253" w:rsidP="00830253">
            <w:pPr>
              <w:pStyle w:val="Default"/>
              <w:jc w:val="both"/>
            </w:pPr>
          </w:p>
          <w:p w14:paraId="6788111B" w14:textId="6A052826" w:rsidR="00830253" w:rsidRDefault="00830253" w:rsidP="00830253">
            <w:pPr>
              <w:pStyle w:val="Default"/>
              <w:jc w:val="both"/>
            </w:pPr>
          </w:p>
          <w:p w14:paraId="62E236DC" w14:textId="1B5F75D5" w:rsidR="00830253" w:rsidRDefault="00830253" w:rsidP="00830253">
            <w:pPr>
              <w:pStyle w:val="Default"/>
              <w:jc w:val="both"/>
            </w:pPr>
          </w:p>
          <w:p w14:paraId="38383309" w14:textId="5F0AC51F" w:rsidR="00830253" w:rsidRDefault="00830253" w:rsidP="00830253">
            <w:pPr>
              <w:pStyle w:val="Default"/>
              <w:jc w:val="both"/>
            </w:pPr>
          </w:p>
          <w:p w14:paraId="3B3922D5" w14:textId="19FA26CA" w:rsidR="00830253" w:rsidRDefault="00830253" w:rsidP="00830253">
            <w:pPr>
              <w:pStyle w:val="Default"/>
              <w:jc w:val="both"/>
            </w:pPr>
          </w:p>
          <w:p w14:paraId="2CAECBF5" w14:textId="48D32ECD" w:rsidR="00830253" w:rsidRDefault="00830253" w:rsidP="00830253">
            <w:pPr>
              <w:pStyle w:val="Default"/>
              <w:jc w:val="both"/>
            </w:pPr>
          </w:p>
          <w:p w14:paraId="68B73C2C" w14:textId="588C4BAF" w:rsidR="00830253" w:rsidRDefault="00830253" w:rsidP="00830253">
            <w:pPr>
              <w:pStyle w:val="Default"/>
              <w:jc w:val="both"/>
            </w:pPr>
          </w:p>
          <w:p w14:paraId="19406167" w14:textId="55E56450" w:rsidR="00830253" w:rsidRDefault="00830253" w:rsidP="00830253">
            <w:pPr>
              <w:pStyle w:val="Default"/>
              <w:jc w:val="both"/>
            </w:pPr>
          </w:p>
          <w:p w14:paraId="5C463E3B" w14:textId="0DCE503A" w:rsidR="00830253" w:rsidRDefault="00830253" w:rsidP="00830253">
            <w:pPr>
              <w:pStyle w:val="Default"/>
              <w:jc w:val="both"/>
            </w:pPr>
          </w:p>
          <w:p w14:paraId="3EE87F09" w14:textId="785E5E6C" w:rsidR="00830253" w:rsidRDefault="00830253" w:rsidP="00830253">
            <w:pPr>
              <w:pStyle w:val="Default"/>
              <w:jc w:val="both"/>
            </w:pPr>
          </w:p>
          <w:p w14:paraId="5759537D" w14:textId="18E4BECD" w:rsidR="00830253" w:rsidRDefault="00830253" w:rsidP="00830253">
            <w:pPr>
              <w:pStyle w:val="Default"/>
              <w:jc w:val="both"/>
            </w:pPr>
          </w:p>
          <w:p w14:paraId="1A787087" w14:textId="1981AB69" w:rsidR="00830253" w:rsidRDefault="00830253" w:rsidP="00830253">
            <w:pPr>
              <w:pStyle w:val="Default"/>
              <w:jc w:val="both"/>
            </w:pPr>
          </w:p>
          <w:p w14:paraId="1E998FBF" w14:textId="042C597F" w:rsidR="00830253" w:rsidRDefault="00830253" w:rsidP="00830253">
            <w:pPr>
              <w:pStyle w:val="Default"/>
              <w:jc w:val="both"/>
            </w:pPr>
          </w:p>
          <w:p w14:paraId="34721F13" w14:textId="191EEFC0" w:rsidR="00830253" w:rsidRDefault="00830253" w:rsidP="00830253">
            <w:pPr>
              <w:pStyle w:val="Default"/>
              <w:jc w:val="both"/>
            </w:pPr>
          </w:p>
          <w:p w14:paraId="52E0560A" w14:textId="0351ADCE" w:rsidR="00830253" w:rsidRDefault="00830253" w:rsidP="00830253">
            <w:pPr>
              <w:pStyle w:val="Default"/>
              <w:jc w:val="both"/>
            </w:pPr>
          </w:p>
          <w:p w14:paraId="6F856816" w14:textId="6BF7134C" w:rsidR="00830253" w:rsidRDefault="00830253" w:rsidP="00830253">
            <w:pPr>
              <w:pStyle w:val="Default"/>
              <w:jc w:val="both"/>
            </w:pPr>
          </w:p>
          <w:p w14:paraId="00AC2C65" w14:textId="682FD3D0" w:rsidR="00830253" w:rsidRDefault="00830253" w:rsidP="00830253">
            <w:pPr>
              <w:pStyle w:val="Default"/>
              <w:jc w:val="both"/>
            </w:pPr>
          </w:p>
          <w:p w14:paraId="0DDDCA74" w14:textId="10AC74B3" w:rsidR="00830253" w:rsidRDefault="00830253" w:rsidP="00830253">
            <w:pPr>
              <w:pStyle w:val="Default"/>
              <w:jc w:val="both"/>
            </w:pPr>
          </w:p>
          <w:p w14:paraId="43059F1D" w14:textId="49B5FC31" w:rsidR="00830253" w:rsidRDefault="00830253" w:rsidP="00830253">
            <w:pPr>
              <w:pStyle w:val="Default"/>
              <w:jc w:val="both"/>
            </w:pPr>
          </w:p>
          <w:p w14:paraId="6598C9C7" w14:textId="3181B94D" w:rsidR="00830253" w:rsidRDefault="00830253" w:rsidP="00830253">
            <w:pPr>
              <w:pStyle w:val="Default"/>
              <w:jc w:val="both"/>
            </w:pPr>
          </w:p>
          <w:p w14:paraId="58AE88ED" w14:textId="3AC7D0A7" w:rsidR="00830253" w:rsidRDefault="00830253" w:rsidP="00830253">
            <w:pPr>
              <w:pStyle w:val="Default"/>
              <w:jc w:val="both"/>
            </w:pPr>
          </w:p>
          <w:p w14:paraId="1E9C675E" w14:textId="71364CAC" w:rsidR="00830253" w:rsidRDefault="00830253" w:rsidP="00830253">
            <w:pPr>
              <w:pStyle w:val="Default"/>
              <w:jc w:val="both"/>
            </w:pPr>
          </w:p>
          <w:p w14:paraId="4B286648" w14:textId="77777777" w:rsidR="00830253" w:rsidRPr="00B00B8A" w:rsidRDefault="00830253" w:rsidP="00830253">
            <w:pPr>
              <w:pStyle w:val="Default"/>
              <w:jc w:val="both"/>
            </w:pPr>
          </w:p>
          <w:p w14:paraId="09092648" w14:textId="180C0FC4" w:rsidR="00E049EF" w:rsidRDefault="001F589A" w:rsidP="00E049EF">
            <w:pPr>
              <w:pStyle w:val="Default"/>
              <w:numPr>
                <w:ilvl w:val="0"/>
                <w:numId w:val="1"/>
              </w:numPr>
              <w:ind w:left="300" w:hanging="300"/>
              <w:jc w:val="both"/>
            </w:pPr>
            <w:r w:rsidRPr="00B00B8A">
              <w:t xml:space="preserve">Clarify what is considered “who is deemed to be licensed”. Does this extend to a telecommunications service provided which comprises of a Mobile Virtual Network Operator (MVNO), which is characterised as a mobile virtual network operator that </w:t>
            </w:r>
            <w:r w:rsidRPr="00B00B8A">
              <w:rPr>
                <w:b/>
                <w:bCs/>
              </w:rPr>
              <w:t xml:space="preserve">does not operate under its own license </w:t>
            </w:r>
            <w:r w:rsidRPr="00B00B8A">
              <w:t>and does not have the infrastructure to provide mobile services to its customers. Instead, it leases wireless capacity from</w:t>
            </w:r>
            <w:r w:rsidR="00E049EF" w:rsidRPr="00B00B8A">
              <w:t xml:space="preserve"> pre-existing Mobile Network Operator (MNO). </w:t>
            </w:r>
          </w:p>
          <w:p w14:paraId="21C5A05B" w14:textId="35A587D8" w:rsidR="00830253" w:rsidRDefault="00830253" w:rsidP="00830253">
            <w:pPr>
              <w:pStyle w:val="Default"/>
              <w:jc w:val="both"/>
            </w:pPr>
          </w:p>
          <w:p w14:paraId="2A593992" w14:textId="3C02502F" w:rsidR="00830253" w:rsidRDefault="00830253" w:rsidP="00830253">
            <w:pPr>
              <w:pStyle w:val="Default"/>
              <w:jc w:val="both"/>
            </w:pPr>
          </w:p>
          <w:p w14:paraId="3FCAF31E" w14:textId="67DD89C8" w:rsidR="00830253" w:rsidRDefault="00830253" w:rsidP="00830253">
            <w:pPr>
              <w:pStyle w:val="Default"/>
              <w:jc w:val="both"/>
            </w:pPr>
          </w:p>
          <w:p w14:paraId="38FBAD3A" w14:textId="2A314F4E" w:rsidR="00830253" w:rsidRDefault="00830253" w:rsidP="00830253">
            <w:pPr>
              <w:pStyle w:val="Default"/>
              <w:jc w:val="both"/>
            </w:pPr>
          </w:p>
          <w:p w14:paraId="40BC36E2" w14:textId="0F9243E3" w:rsidR="00830253" w:rsidRDefault="00830253" w:rsidP="00830253">
            <w:pPr>
              <w:pStyle w:val="Default"/>
              <w:jc w:val="both"/>
            </w:pPr>
          </w:p>
          <w:p w14:paraId="79430F63" w14:textId="1CB24473" w:rsidR="00830253" w:rsidRDefault="00830253" w:rsidP="00830253">
            <w:pPr>
              <w:pStyle w:val="Default"/>
              <w:jc w:val="both"/>
            </w:pPr>
          </w:p>
          <w:p w14:paraId="7DF8B070" w14:textId="4895AF86" w:rsidR="00830253" w:rsidRDefault="00830253" w:rsidP="00830253">
            <w:pPr>
              <w:pStyle w:val="Default"/>
              <w:jc w:val="both"/>
            </w:pPr>
          </w:p>
          <w:p w14:paraId="317B84D1" w14:textId="6AA3174C" w:rsidR="00830253" w:rsidRDefault="00830253" w:rsidP="00830253">
            <w:pPr>
              <w:pStyle w:val="Default"/>
              <w:jc w:val="both"/>
            </w:pPr>
          </w:p>
          <w:p w14:paraId="0DC1A27E" w14:textId="5883741E" w:rsidR="00830253" w:rsidRDefault="00830253" w:rsidP="00830253">
            <w:pPr>
              <w:pStyle w:val="Default"/>
              <w:jc w:val="both"/>
            </w:pPr>
          </w:p>
          <w:p w14:paraId="460A9384" w14:textId="1ECA0905" w:rsidR="00830253" w:rsidRDefault="00830253" w:rsidP="00830253">
            <w:pPr>
              <w:pStyle w:val="Default"/>
              <w:jc w:val="both"/>
            </w:pPr>
          </w:p>
          <w:p w14:paraId="47C8C508" w14:textId="7C3B90EE" w:rsidR="00830253" w:rsidRDefault="00830253" w:rsidP="00830253">
            <w:pPr>
              <w:pStyle w:val="Default"/>
              <w:jc w:val="both"/>
            </w:pPr>
          </w:p>
          <w:p w14:paraId="1433F02D" w14:textId="2791AF9D" w:rsidR="00830253" w:rsidRDefault="00830253" w:rsidP="00830253">
            <w:pPr>
              <w:pStyle w:val="Default"/>
              <w:jc w:val="both"/>
            </w:pPr>
          </w:p>
          <w:p w14:paraId="1B0AD588" w14:textId="77777777" w:rsidR="00830253" w:rsidRPr="00B00B8A" w:rsidRDefault="00830253" w:rsidP="00830253">
            <w:pPr>
              <w:pStyle w:val="Default"/>
              <w:jc w:val="both"/>
            </w:pPr>
          </w:p>
          <w:p w14:paraId="3F0E6050" w14:textId="77777777" w:rsidR="001F589A" w:rsidRPr="00B00B8A" w:rsidRDefault="008B598C" w:rsidP="008B598C">
            <w:pPr>
              <w:pStyle w:val="Default"/>
              <w:ind w:left="300" w:hanging="300"/>
              <w:jc w:val="both"/>
              <w:rPr>
                <w:b/>
              </w:rPr>
            </w:pPr>
            <w:r w:rsidRPr="00B00B8A">
              <w:t xml:space="preserve">3. </w:t>
            </w:r>
            <w:r w:rsidR="00E049EF" w:rsidRPr="00B00B8A">
              <w:t xml:space="preserve">The clarity on this item will impact on comments below as this definition links to additional provisions of the Amendment Bill, to wit proposed section 3A that creates </w:t>
            </w:r>
            <w:r w:rsidR="00E049EF" w:rsidRPr="00B00B8A">
              <w:lastRenderedPageBreak/>
              <w:t xml:space="preserve">offences in relation to 'electronic communications service provider’. </w:t>
            </w:r>
          </w:p>
        </w:tc>
        <w:tc>
          <w:tcPr>
            <w:tcW w:w="3457" w:type="dxa"/>
          </w:tcPr>
          <w:p w14:paraId="19DBFB90" w14:textId="7D9C072E" w:rsidR="00FF77A9" w:rsidRPr="00FF77A9" w:rsidRDefault="00FF77A9" w:rsidP="00FF77A9">
            <w:pPr>
              <w:jc w:val="both"/>
              <w:rPr>
                <w:rFonts w:ascii="Arial" w:hAnsi="Arial" w:cs="Arial"/>
                <w:sz w:val="24"/>
                <w:szCs w:val="24"/>
              </w:rPr>
            </w:pPr>
            <w:r w:rsidRPr="00FF77A9">
              <w:rPr>
                <w:rFonts w:ascii="Arial" w:hAnsi="Arial" w:cs="Arial"/>
                <w:sz w:val="24"/>
                <w:szCs w:val="24"/>
              </w:rPr>
              <w:lastRenderedPageBreak/>
              <w:t>1</w:t>
            </w:r>
            <w:r>
              <w:rPr>
                <w:rFonts w:ascii="Arial" w:hAnsi="Arial" w:cs="Arial"/>
                <w:sz w:val="24"/>
                <w:szCs w:val="24"/>
              </w:rPr>
              <w:t>.</w:t>
            </w:r>
            <w:r w:rsidRPr="00FF77A9">
              <w:rPr>
                <w:rFonts w:ascii="Arial" w:hAnsi="Arial" w:cs="Arial"/>
                <w:sz w:val="24"/>
                <w:szCs w:val="24"/>
              </w:rPr>
              <w:t xml:space="preserve"> The definition applies to a person who provides an electronic communications service in terms of –</w:t>
            </w:r>
          </w:p>
          <w:p w14:paraId="274E7704" w14:textId="77777777" w:rsidR="00FF77A9" w:rsidRPr="00FF77A9" w:rsidRDefault="00FF77A9" w:rsidP="00FF77A9">
            <w:pPr>
              <w:jc w:val="both"/>
              <w:rPr>
                <w:rFonts w:ascii="Arial" w:hAnsi="Arial" w:cs="Arial"/>
                <w:sz w:val="24"/>
                <w:szCs w:val="24"/>
              </w:rPr>
            </w:pPr>
            <w:r w:rsidRPr="00FF77A9">
              <w:rPr>
                <w:rFonts w:ascii="Arial" w:hAnsi="Arial" w:cs="Arial"/>
                <w:sz w:val="24"/>
                <w:szCs w:val="24"/>
              </w:rPr>
              <w:t xml:space="preserve">* an individual licence (section 5(2) of ECA); </w:t>
            </w:r>
          </w:p>
          <w:p w14:paraId="083894AC" w14:textId="77777777" w:rsidR="00FF77A9" w:rsidRPr="00FF77A9" w:rsidRDefault="00FF77A9" w:rsidP="00FF77A9">
            <w:pPr>
              <w:jc w:val="both"/>
              <w:rPr>
                <w:rFonts w:ascii="Arial" w:hAnsi="Arial" w:cs="Arial"/>
                <w:sz w:val="24"/>
                <w:szCs w:val="24"/>
              </w:rPr>
            </w:pPr>
            <w:r w:rsidRPr="00FF77A9">
              <w:rPr>
                <w:rFonts w:ascii="Arial" w:hAnsi="Arial" w:cs="Arial"/>
                <w:sz w:val="24"/>
                <w:szCs w:val="24"/>
              </w:rPr>
              <w:t xml:space="preserve">* a class licence (section 5(4) of ECA); </w:t>
            </w:r>
          </w:p>
          <w:p w14:paraId="7DAC3125" w14:textId="77777777" w:rsidR="00FF77A9" w:rsidRPr="00FF77A9" w:rsidRDefault="00FF77A9" w:rsidP="00FF77A9">
            <w:pPr>
              <w:jc w:val="both"/>
              <w:rPr>
                <w:rFonts w:ascii="Arial" w:hAnsi="Arial" w:cs="Arial"/>
                <w:sz w:val="24"/>
                <w:szCs w:val="24"/>
              </w:rPr>
            </w:pPr>
            <w:r w:rsidRPr="00FF77A9">
              <w:rPr>
                <w:rFonts w:ascii="Arial" w:hAnsi="Arial" w:cs="Arial"/>
                <w:sz w:val="24"/>
                <w:szCs w:val="24"/>
              </w:rPr>
              <w:t>* a licence exemption (section 6 of ECA); and</w:t>
            </w:r>
          </w:p>
          <w:p w14:paraId="722CAE13" w14:textId="77777777" w:rsidR="001F589A" w:rsidRDefault="00FF77A9" w:rsidP="00FF77A9">
            <w:pPr>
              <w:ind w:left="216" w:hanging="216"/>
              <w:jc w:val="both"/>
              <w:rPr>
                <w:rFonts w:ascii="Arial" w:hAnsi="Arial" w:cs="Arial"/>
                <w:sz w:val="24"/>
                <w:szCs w:val="24"/>
              </w:rPr>
            </w:pPr>
            <w:r w:rsidRPr="00FF77A9">
              <w:rPr>
                <w:rFonts w:ascii="Arial" w:hAnsi="Arial" w:cs="Arial"/>
                <w:sz w:val="24"/>
                <w:szCs w:val="24"/>
              </w:rPr>
              <w:t>* section 15(2) or (3) of the ECA</w:t>
            </w:r>
            <w:r w:rsidRPr="00FF77A9">
              <w:rPr>
                <w:sz w:val="24"/>
                <w:szCs w:val="24"/>
              </w:rPr>
              <w:t xml:space="preserve"> </w:t>
            </w:r>
            <w:r w:rsidRPr="00FF77A9">
              <w:rPr>
                <w:rFonts w:ascii="Arial" w:hAnsi="Arial" w:cs="Arial"/>
                <w:sz w:val="24"/>
                <w:szCs w:val="24"/>
              </w:rPr>
              <w:t>or in terms of any other law  that deems such a person to be licenced to provide an electronic communications service.</w:t>
            </w:r>
            <w:r>
              <w:rPr>
                <w:rFonts w:ascii="Arial" w:hAnsi="Arial" w:cs="Arial"/>
                <w:sz w:val="24"/>
                <w:szCs w:val="24"/>
              </w:rPr>
              <w:t xml:space="preserve"> </w:t>
            </w:r>
            <w:r w:rsidRPr="00FF77A9">
              <w:rPr>
                <w:rFonts w:ascii="Arial" w:hAnsi="Arial" w:cs="Arial"/>
                <w:sz w:val="24"/>
                <w:szCs w:val="24"/>
              </w:rPr>
              <w:t xml:space="preserve">Section 3A(4), only applies to" publication on the internet and social media platforms". The definition of electronic communications </w:t>
            </w:r>
            <w:r w:rsidRPr="00FF77A9">
              <w:rPr>
                <w:rFonts w:ascii="Arial" w:hAnsi="Arial" w:cs="Arial"/>
                <w:sz w:val="24"/>
                <w:szCs w:val="24"/>
              </w:rPr>
              <w:lastRenderedPageBreak/>
              <w:t>service provider in the Cybercrimes Act excludes broadcasting services – see the definitions of "broadcasting" and "broadcasting service" in section 1 of the ECA.</w:t>
            </w:r>
          </w:p>
          <w:p w14:paraId="3A1B1898" w14:textId="77777777" w:rsidR="00830253" w:rsidRPr="00830253" w:rsidRDefault="00830253" w:rsidP="00FF77A9">
            <w:pPr>
              <w:ind w:left="216" w:hanging="216"/>
              <w:jc w:val="both"/>
              <w:rPr>
                <w:rFonts w:ascii="Arial" w:hAnsi="Arial" w:cs="Arial"/>
                <w:sz w:val="24"/>
                <w:szCs w:val="24"/>
              </w:rPr>
            </w:pPr>
          </w:p>
          <w:p w14:paraId="14A077E5" w14:textId="77777777" w:rsidR="00830253" w:rsidRPr="00830253" w:rsidRDefault="00830253" w:rsidP="00830253">
            <w:pPr>
              <w:jc w:val="both"/>
              <w:rPr>
                <w:rFonts w:ascii="Arial" w:hAnsi="Arial" w:cs="Arial"/>
                <w:sz w:val="24"/>
                <w:szCs w:val="24"/>
              </w:rPr>
            </w:pPr>
            <w:r w:rsidRPr="00830253">
              <w:rPr>
                <w:rFonts w:ascii="Arial" w:hAnsi="Arial" w:cs="Arial"/>
                <w:sz w:val="24"/>
                <w:szCs w:val="24"/>
              </w:rPr>
              <w:t>The expression "deemed to be licensed” refers to an electronic communications service provider contemplated in section 15(2) or (3) of the ECA or a person who is deemed to be licenced in terms of any other law to provide an electronic communications service.</w:t>
            </w:r>
          </w:p>
          <w:p w14:paraId="6B2438FF" w14:textId="56555CCB" w:rsidR="00830253" w:rsidRDefault="00830253" w:rsidP="00830253">
            <w:pPr>
              <w:jc w:val="both"/>
              <w:rPr>
                <w:rFonts w:ascii="Arial" w:hAnsi="Arial" w:cs="Arial"/>
                <w:sz w:val="24"/>
                <w:szCs w:val="24"/>
              </w:rPr>
            </w:pPr>
            <w:r w:rsidRPr="00830253">
              <w:rPr>
                <w:rFonts w:ascii="Arial" w:hAnsi="Arial" w:cs="Arial"/>
                <w:sz w:val="24"/>
                <w:szCs w:val="24"/>
              </w:rPr>
              <w:t xml:space="preserve">Whether the definition of electronic communications service provider extends to a so called "mobile virtual network operator" will be determined whether such a person is licenced, exempted to be licensed or deemed to be licensed as referred to in paragraph 1.1 </w:t>
            </w:r>
            <w:r w:rsidRPr="00830253">
              <w:rPr>
                <w:rFonts w:ascii="Arial" w:hAnsi="Arial" w:cs="Arial"/>
                <w:i/>
                <w:sz w:val="24"/>
                <w:szCs w:val="24"/>
              </w:rPr>
              <w:t>supra</w:t>
            </w:r>
            <w:r w:rsidRPr="00830253">
              <w:rPr>
                <w:rFonts w:ascii="Arial" w:hAnsi="Arial" w:cs="Arial"/>
                <w:sz w:val="24"/>
                <w:szCs w:val="24"/>
              </w:rPr>
              <w:t>.</w:t>
            </w:r>
          </w:p>
          <w:p w14:paraId="23D5C644" w14:textId="5B23F578" w:rsidR="00B72BEC" w:rsidRDefault="00B72BEC" w:rsidP="00830253">
            <w:pPr>
              <w:jc w:val="both"/>
              <w:rPr>
                <w:rFonts w:ascii="Arial" w:hAnsi="Arial" w:cs="Arial"/>
                <w:sz w:val="24"/>
                <w:szCs w:val="24"/>
              </w:rPr>
            </w:pPr>
          </w:p>
          <w:p w14:paraId="70FF5B7E" w14:textId="77777777" w:rsidR="00B72BEC" w:rsidRPr="00B72BEC" w:rsidRDefault="00B72BEC" w:rsidP="00B72BEC">
            <w:pPr>
              <w:jc w:val="both"/>
              <w:rPr>
                <w:rFonts w:ascii="Arial" w:hAnsi="Arial" w:cs="Arial"/>
                <w:sz w:val="24"/>
                <w:szCs w:val="24"/>
              </w:rPr>
            </w:pPr>
            <w:r w:rsidRPr="00B72BEC">
              <w:rPr>
                <w:rFonts w:ascii="Arial" w:hAnsi="Arial" w:cs="Arial"/>
                <w:sz w:val="24"/>
                <w:szCs w:val="24"/>
              </w:rPr>
              <w:t xml:space="preserve">Section 3A(3) and (4), must be interpreted in the context of </w:t>
            </w:r>
            <w:r w:rsidRPr="00B72BEC">
              <w:rPr>
                <w:rFonts w:ascii="Arial" w:hAnsi="Arial" w:cs="Arial"/>
                <w:sz w:val="24"/>
                <w:szCs w:val="24"/>
              </w:rPr>
              <w:lastRenderedPageBreak/>
              <w:t>section 78 of the ECTA which provides as follows:</w:t>
            </w:r>
          </w:p>
          <w:p w14:paraId="0F65D601" w14:textId="77777777" w:rsidR="00B72BEC" w:rsidRPr="00B72BEC" w:rsidRDefault="00B72BEC" w:rsidP="00B72BEC">
            <w:pPr>
              <w:jc w:val="both"/>
              <w:rPr>
                <w:rFonts w:ascii="Arial" w:hAnsi="Arial" w:cs="Arial"/>
                <w:b/>
                <w:sz w:val="24"/>
                <w:szCs w:val="24"/>
              </w:rPr>
            </w:pPr>
            <w:r w:rsidRPr="00B72BEC">
              <w:rPr>
                <w:rFonts w:ascii="Arial" w:hAnsi="Arial" w:cs="Arial"/>
                <w:b/>
                <w:sz w:val="24"/>
                <w:szCs w:val="24"/>
              </w:rPr>
              <w:t xml:space="preserve">"No general obligation to monitor </w:t>
            </w:r>
          </w:p>
          <w:p w14:paraId="50CFA720" w14:textId="77777777" w:rsidR="00B72BEC" w:rsidRPr="00B72BEC" w:rsidRDefault="00B72BEC" w:rsidP="00B72BEC">
            <w:pPr>
              <w:ind w:firstLine="500"/>
              <w:jc w:val="both"/>
              <w:rPr>
                <w:rFonts w:ascii="Arial" w:hAnsi="Arial" w:cs="Arial"/>
                <w:sz w:val="24"/>
                <w:szCs w:val="24"/>
              </w:rPr>
            </w:pPr>
            <w:r w:rsidRPr="00B72BEC">
              <w:rPr>
                <w:rFonts w:ascii="Arial" w:hAnsi="Arial" w:cs="Arial"/>
                <w:b/>
                <w:sz w:val="24"/>
                <w:szCs w:val="24"/>
              </w:rPr>
              <w:t xml:space="preserve">78.  </w:t>
            </w:r>
            <w:r w:rsidRPr="00B72BEC">
              <w:rPr>
                <w:rFonts w:ascii="Arial" w:hAnsi="Arial" w:cs="Arial"/>
                <w:sz w:val="24"/>
                <w:szCs w:val="24"/>
              </w:rPr>
              <w:t>(1)  When providing the services contemplated in this Chapter there is no general obligation on a service provider to—</w:t>
            </w:r>
          </w:p>
          <w:p w14:paraId="494B4A65" w14:textId="77777777" w:rsidR="00B72BEC" w:rsidRPr="00B72BEC" w:rsidRDefault="00B72BEC" w:rsidP="00B72BEC">
            <w:pPr>
              <w:jc w:val="both"/>
              <w:rPr>
                <w:rFonts w:ascii="Arial" w:hAnsi="Arial" w:cs="Arial"/>
                <w:sz w:val="24"/>
                <w:szCs w:val="24"/>
              </w:rPr>
            </w:pPr>
            <w:r w:rsidRPr="00B72BEC">
              <w:rPr>
                <w:rFonts w:ascii="Arial" w:hAnsi="Arial" w:cs="Arial"/>
                <w:i/>
                <w:sz w:val="24"/>
                <w:szCs w:val="24"/>
              </w:rPr>
              <w:t xml:space="preserve">(a) </w:t>
            </w:r>
            <w:r w:rsidRPr="00B72BEC">
              <w:rPr>
                <w:rFonts w:ascii="Arial" w:hAnsi="Arial" w:cs="Arial"/>
                <w:sz w:val="24"/>
                <w:szCs w:val="24"/>
              </w:rPr>
              <w:t xml:space="preserve"> monitor the data which it transmits or stores; or</w:t>
            </w:r>
          </w:p>
          <w:p w14:paraId="6871E160" w14:textId="77777777" w:rsidR="00B72BEC" w:rsidRPr="00B72BEC" w:rsidRDefault="00B72BEC" w:rsidP="00B72BEC">
            <w:pPr>
              <w:ind w:left="358" w:hanging="358"/>
              <w:jc w:val="both"/>
              <w:rPr>
                <w:rFonts w:ascii="Arial" w:hAnsi="Arial" w:cs="Arial"/>
                <w:sz w:val="24"/>
                <w:szCs w:val="24"/>
              </w:rPr>
            </w:pPr>
            <w:r w:rsidRPr="00B72BEC">
              <w:rPr>
                <w:rFonts w:ascii="Arial" w:hAnsi="Arial" w:cs="Arial"/>
                <w:i/>
                <w:sz w:val="24"/>
                <w:szCs w:val="24"/>
              </w:rPr>
              <w:t>(b)</w:t>
            </w:r>
            <w:r w:rsidRPr="00B72BEC">
              <w:rPr>
                <w:rFonts w:ascii="Arial" w:hAnsi="Arial" w:cs="Arial"/>
                <w:sz w:val="24"/>
                <w:szCs w:val="24"/>
              </w:rPr>
              <w:t xml:space="preserve"> actively seek facts or circumstances indicating an unlawful activity.</w:t>
            </w:r>
          </w:p>
          <w:p w14:paraId="73E01429" w14:textId="77777777" w:rsidR="00B72BEC" w:rsidRPr="00B72BEC" w:rsidRDefault="00B72BEC" w:rsidP="00B72BEC">
            <w:pPr>
              <w:ind w:firstLine="925"/>
              <w:jc w:val="both"/>
              <w:rPr>
                <w:rFonts w:ascii="Arial" w:hAnsi="Arial" w:cs="Arial"/>
                <w:sz w:val="24"/>
                <w:szCs w:val="24"/>
              </w:rPr>
            </w:pPr>
            <w:r w:rsidRPr="00B72BEC">
              <w:rPr>
                <w:rFonts w:ascii="Arial" w:hAnsi="Arial" w:cs="Arial"/>
                <w:sz w:val="24"/>
                <w:szCs w:val="24"/>
              </w:rPr>
              <w:t>(2) The Minister may, subject to section 14 of the Constitution, prescribe procedures for service providers to—</w:t>
            </w:r>
          </w:p>
          <w:p w14:paraId="7672657F" w14:textId="77777777" w:rsidR="00B72BEC" w:rsidRPr="00B72BEC" w:rsidRDefault="00B72BEC" w:rsidP="00B72BEC">
            <w:pPr>
              <w:ind w:left="358" w:hanging="358"/>
              <w:jc w:val="both"/>
              <w:rPr>
                <w:rFonts w:ascii="Arial" w:hAnsi="Arial" w:cs="Arial"/>
                <w:sz w:val="24"/>
                <w:szCs w:val="24"/>
              </w:rPr>
            </w:pPr>
            <w:r w:rsidRPr="00B72BEC">
              <w:rPr>
                <w:rFonts w:ascii="Arial" w:hAnsi="Arial" w:cs="Arial"/>
                <w:i/>
                <w:sz w:val="24"/>
                <w:szCs w:val="24"/>
              </w:rPr>
              <w:t>(a)</w:t>
            </w:r>
            <w:r w:rsidRPr="00B72BEC">
              <w:rPr>
                <w:rFonts w:ascii="Arial" w:hAnsi="Arial" w:cs="Arial"/>
                <w:sz w:val="24"/>
                <w:szCs w:val="24"/>
              </w:rPr>
              <w:t xml:space="preserve"> inform the competent public authorities of alleged illegal activities undertaken or information provided by recipients of their service; and</w:t>
            </w:r>
          </w:p>
          <w:p w14:paraId="1DACBC0A" w14:textId="77777777" w:rsidR="00B72BEC" w:rsidRPr="00B72BEC" w:rsidRDefault="00B72BEC" w:rsidP="00B72BEC">
            <w:pPr>
              <w:ind w:left="358" w:hanging="358"/>
              <w:jc w:val="both"/>
              <w:rPr>
                <w:rFonts w:ascii="Arial" w:hAnsi="Arial" w:cs="Arial"/>
                <w:b/>
                <w:sz w:val="24"/>
                <w:szCs w:val="24"/>
              </w:rPr>
            </w:pPr>
            <w:r w:rsidRPr="00B72BEC">
              <w:rPr>
                <w:rFonts w:ascii="Arial" w:hAnsi="Arial" w:cs="Arial"/>
                <w:i/>
                <w:sz w:val="24"/>
                <w:szCs w:val="24"/>
              </w:rPr>
              <w:t>(b)</w:t>
            </w:r>
            <w:r w:rsidRPr="00B72BEC">
              <w:rPr>
                <w:rFonts w:ascii="Arial" w:hAnsi="Arial" w:cs="Arial"/>
                <w:sz w:val="24"/>
                <w:szCs w:val="24"/>
              </w:rPr>
              <w:t xml:space="preserve"> to communicate to the competent authorities, at their request, information enabling the identification of recipients of their service."</w:t>
            </w:r>
            <w:r w:rsidRPr="00B72BEC">
              <w:rPr>
                <w:rFonts w:ascii="Arial" w:hAnsi="Arial" w:cs="Arial"/>
                <w:b/>
                <w:sz w:val="24"/>
                <w:szCs w:val="24"/>
              </w:rPr>
              <w:t>.</w:t>
            </w:r>
          </w:p>
          <w:p w14:paraId="06B68BB3" w14:textId="77777777" w:rsidR="00B72BEC" w:rsidRPr="00B72BEC" w:rsidRDefault="00B72BEC" w:rsidP="00B72BEC">
            <w:pPr>
              <w:ind w:left="358" w:hanging="358"/>
              <w:jc w:val="both"/>
              <w:rPr>
                <w:rFonts w:ascii="Arial" w:hAnsi="Arial" w:cs="Arial"/>
                <w:b/>
                <w:sz w:val="24"/>
                <w:szCs w:val="24"/>
              </w:rPr>
            </w:pPr>
          </w:p>
          <w:p w14:paraId="241A111E" w14:textId="77777777" w:rsidR="00B72BEC" w:rsidRPr="00B72BEC" w:rsidRDefault="00B72BEC" w:rsidP="00B72BEC">
            <w:pPr>
              <w:jc w:val="both"/>
              <w:rPr>
                <w:rFonts w:ascii="Arial" w:hAnsi="Arial" w:cs="Arial"/>
                <w:sz w:val="24"/>
                <w:szCs w:val="24"/>
              </w:rPr>
            </w:pPr>
            <w:r w:rsidRPr="00B72BEC">
              <w:rPr>
                <w:rFonts w:ascii="Arial" w:hAnsi="Arial" w:cs="Arial"/>
                <w:sz w:val="24"/>
                <w:szCs w:val="24"/>
              </w:rPr>
              <w:lastRenderedPageBreak/>
              <w:t>In general, criminal liability recognises four separate and distinct elements or requirements, namely: (i) an act (actus reus); (ii) which is unlawful (unlawfulness); (iii) causing the crime (causation); and (iv) committed with the necessary intent or culpa (mens rea). The basic principle in criminal matters is that the onus is on the State to prove all the elements. The mere fact that an act corresponds to the definitional elements of a crime does not mean that a person who performs the act is criminally liable.</w:t>
            </w:r>
          </w:p>
          <w:p w14:paraId="170F837E" w14:textId="77777777" w:rsidR="00B72BEC" w:rsidRPr="00B72BEC" w:rsidRDefault="00B72BEC" w:rsidP="00B72BEC">
            <w:pPr>
              <w:ind w:left="358" w:hanging="358"/>
              <w:jc w:val="both"/>
              <w:rPr>
                <w:rFonts w:ascii="Arial" w:hAnsi="Arial" w:cs="Arial"/>
                <w:sz w:val="24"/>
                <w:szCs w:val="24"/>
              </w:rPr>
            </w:pPr>
            <w:r w:rsidRPr="00B72BEC">
              <w:rPr>
                <w:rFonts w:ascii="Arial" w:hAnsi="Arial" w:cs="Arial"/>
                <w:sz w:val="24"/>
                <w:szCs w:val="24"/>
              </w:rPr>
              <w:t xml:space="preserve"> Two other elements is further necessary, namely –</w:t>
            </w:r>
          </w:p>
          <w:p w14:paraId="49343936" w14:textId="77777777" w:rsidR="00B72BEC" w:rsidRPr="00B72BEC" w:rsidRDefault="00B72BEC" w:rsidP="00B72BEC">
            <w:pPr>
              <w:ind w:left="358" w:hanging="358"/>
              <w:jc w:val="both"/>
              <w:rPr>
                <w:rFonts w:ascii="Arial" w:hAnsi="Arial" w:cs="Arial"/>
                <w:sz w:val="24"/>
                <w:szCs w:val="24"/>
              </w:rPr>
            </w:pPr>
            <w:r w:rsidRPr="00B72BEC">
              <w:rPr>
                <w:rFonts w:ascii="Arial" w:hAnsi="Arial" w:cs="Arial"/>
                <w:sz w:val="24"/>
                <w:szCs w:val="24"/>
              </w:rPr>
              <w:t>* unlawfulness; and</w:t>
            </w:r>
          </w:p>
          <w:p w14:paraId="7383AE8C" w14:textId="77777777" w:rsidR="00B72BEC" w:rsidRPr="00B72BEC" w:rsidRDefault="00B72BEC" w:rsidP="00B72BEC">
            <w:pPr>
              <w:ind w:left="358" w:hanging="358"/>
              <w:jc w:val="both"/>
              <w:rPr>
                <w:rFonts w:ascii="Arial" w:hAnsi="Arial" w:cs="Arial"/>
                <w:sz w:val="24"/>
                <w:szCs w:val="24"/>
              </w:rPr>
            </w:pPr>
            <w:r w:rsidRPr="00B72BEC">
              <w:rPr>
                <w:rFonts w:ascii="Arial" w:hAnsi="Arial" w:cs="Arial"/>
                <w:sz w:val="24"/>
                <w:szCs w:val="24"/>
              </w:rPr>
              <w:t>* culpability (also known as fault or mens rea).</w:t>
            </w:r>
          </w:p>
          <w:p w14:paraId="1DCC1A36" w14:textId="77777777" w:rsidR="00B72BEC" w:rsidRPr="00B72BEC" w:rsidRDefault="00B72BEC" w:rsidP="00B72BEC">
            <w:pPr>
              <w:ind w:left="358" w:hanging="358"/>
              <w:jc w:val="both"/>
              <w:rPr>
                <w:rFonts w:ascii="Arial" w:hAnsi="Arial" w:cs="Arial"/>
                <w:sz w:val="24"/>
                <w:szCs w:val="24"/>
              </w:rPr>
            </w:pPr>
          </w:p>
          <w:p w14:paraId="3A164C14" w14:textId="77777777" w:rsidR="00B72BEC" w:rsidRPr="00B72BEC" w:rsidRDefault="00B72BEC" w:rsidP="00B72BEC">
            <w:pPr>
              <w:jc w:val="both"/>
              <w:rPr>
                <w:rFonts w:ascii="Arial" w:hAnsi="Arial" w:cs="Arial"/>
                <w:sz w:val="24"/>
                <w:szCs w:val="24"/>
              </w:rPr>
            </w:pPr>
            <w:r w:rsidRPr="00B72BEC">
              <w:rPr>
                <w:rFonts w:ascii="Arial" w:hAnsi="Arial" w:cs="Arial"/>
                <w:sz w:val="24"/>
                <w:szCs w:val="24"/>
              </w:rPr>
              <w:t xml:space="preserve">Unlawfulness, in short means the absence of any ground of justification or defence which would justify the act that complies with the proscription. There is no </w:t>
            </w:r>
            <w:r w:rsidRPr="00B72BEC">
              <w:rPr>
                <w:rFonts w:ascii="Arial" w:hAnsi="Arial" w:cs="Arial"/>
                <w:i/>
                <w:sz w:val="24"/>
                <w:szCs w:val="24"/>
              </w:rPr>
              <w:t>numerous clauses</w:t>
            </w:r>
            <w:r w:rsidRPr="00B72BEC">
              <w:rPr>
                <w:rFonts w:ascii="Arial" w:hAnsi="Arial" w:cs="Arial"/>
                <w:sz w:val="24"/>
                <w:szCs w:val="24"/>
              </w:rPr>
              <w:t xml:space="preserve"> of defences in the South African Criminal law. Although </w:t>
            </w:r>
            <w:r w:rsidRPr="00B72BEC">
              <w:rPr>
                <w:rFonts w:ascii="Arial" w:hAnsi="Arial" w:cs="Arial"/>
                <w:sz w:val="24"/>
                <w:szCs w:val="24"/>
              </w:rPr>
              <w:lastRenderedPageBreak/>
              <w:t>the Bill provides for certain defences in section 3A(5), other possible defences are not excluded.</w:t>
            </w:r>
          </w:p>
          <w:p w14:paraId="04717988" w14:textId="77777777" w:rsidR="00B72BEC" w:rsidRPr="00B72BEC" w:rsidRDefault="00B72BEC" w:rsidP="00B72BEC">
            <w:pPr>
              <w:jc w:val="both"/>
              <w:rPr>
                <w:rFonts w:ascii="Arial" w:hAnsi="Arial" w:cs="Arial"/>
                <w:sz w:val="24"/>
                <w:szCs w:val="24"/>
              </w:rPr>
            </w:pPr>
          </w:p>
          <w:p w14:paraId="104FF6DA" w14:textId="77777777" w:rsidR="00B72BEC" w:rsidRPr="00B72BEC" w:rsidRDefault="00B72BEC" w:rsidP="00B72BEC">
            <w:pPr>
              <w:jc w:val="both"/>
              <w:rPr>
                <w:rFonts w:ascii="Arial" w:hAnsi="Arial" w:cs="Arial"/>
                <w:sz w:val="24"/>
                <w:szCs w:val="24"/>
              </w:rPr>
            </w:pPr>
            <w:r w:rsidRPr="00B72BEC">
              <w:rPr>
                <w:rFonts w:ascii="Arial" w:hAnsi="Arial" w:cs="Arial"/>
                <w:sz w:val="24"/>
                <w:szCs w:val="24"/>
              </w:rPr>
              <w:t xml:space="preserve">Culpability is comprised of two elements, namely fault and criminal capacity. The fault requirement in terms of the Bill is intention in the form of </w:t>
            </w:r>
            <w:r w:rsidRPr="00B72BEC">
              <w:rPr>
                <w:rFonts w:ascii="Arial" w:hAnsi="Arial" w:cs="Arial"/>
                <w:i/>
                <w:sz w:val="24"/>
                <w:szCs w:val="24"/>
              </w:rPr>
              <w:t>dolus directus</w:t>
            </w:r>
            <w:r w:rsidRPr="00B72BEC">
              <w:rPr>
                <w:rFonts w:ascii="Arial" w:hAnsi="Arial" w:cs="Arial"/>
                <w:sz w:val="24"/>
                <w:szCs w:val="24"/>
              </w:rPr>
              <w:t xml:space="preserve">, </w:t>
            </w:r>
            <w:r w:rsidRPr="00B72BEC">
              <w:rPr>
                <w:rFonts w:ascii="Arial" w:hAnsi="Arial" w:cs="Arial"/>
                <w:i/>
                <w:sz w:val="24"/>
                <w:szCs w:val="24"/>
              </w:rPr>
              <w:t>dolus indirectus</w:t>
            </w:r>
            <w:r w:rsidRPr="00B72BEC">
              <w:rPr>
                <w:rFonts w:ascii="Arial" w:hAnsi="Arial" w:cs="Arial"/>
                <w:sz w:val="24"/>
                <w:szCs w:val="24"/>
              </w:rPr>
              <w:t xml:space="preserve"> or </w:t>
            </w:r>
            <w:r w:rsidRPr="00B72BEC">
              <w:rPr>
                <w:rFonts w:ascii="Arial" w:hAnsi="Arial" w:cs="Arial"/>
                <w:i/>
                <w:sz w:val="24"/>
                <w:szCs w:val="24"/>
              </w:rPr>
              <w:t>dolus eventualis</w:t>
            </w:r>
            <w:r w:rsidRPr="00B72BEC">
              <w:rPr>
                <w:rFonts w:ascii="Arial" w:hAnsi="Arial" w:cs="Arial"/>
                <w:sz w:val="24"/>
                <w:szCs w:val="24"/>
              </w:rPr>
              <w:t>. Criminal capacity requires that at the time of the act, the perpetrator had the ability to appreciate the wrongfulness (in other words that he or she acts unlawfully) and to conduct him or her in accordance with this appreciation of the wrongfulness.</w:t>
            </w:r>
          </w:p>
          <w:p w14:paraId="66BDD59F" w14:textId="77777777" w:rsidR="00B72BEC" w:rsidRPr="00B72BEC" w:rsidRDefault="00B72BEC" w:rsidP="00B72BEC">
            <w:pPr>
              <w:jc w:val="both"/>
              <w:rPr>
                <w:rFonts w:ascii="Arial" w:hAnsi="Arial" w:cs="Arial"/>
                <w:sz w:val="24"/>
                <w:szCs w:val="24"/>
              </w:rPr>
            </w:pPr>
          </w:p>
          <w:p w14:paraId="2591B3D5" w14:textId="01B61243" w:rsidR="00830253" w:rsidRPr="00FF77A9" w:rsidRDefault="00B72BEC" w:rsidP="00DA18EB">
            <w:pPr>
              <w:jc w:val="both"/>
              <w:rPr>
                <w:rFonts w:ascii="Arial" w:hAnsi="Arial" w:cs="Arial"/>
                <w:sz w:val="24"/>
                <w:szCs w:val="24"/>
                <w:highlight w:val="red"/>
              </w:rPr>
            </w:pPr>
            <w:r w:rsidRPr="00B72BEC">
              <w:rPr>
                <w:rFonts w:ascii="Arial" w:hAnsi="Arial" w:cs="Arial"/>
                <w:sz w:val="24"/>
                <w:szCs w:val="24"/>
              </w:rPr>
              <w:t xml:space="preserve"> These elements do in many instances not form part of a statutory criminalising provision. Even if the Bill does not include these elements, courts will read the requirements in the proscriptions (see among other S v SELEBI 2012 (1) </w:t>
            </w:r>
            <w:r w:rsidRPr="00B72BEC">
              <w:rPr>
                <w:rFonts w:ascii="Arial" w:hAnsi="Arial" w:cs="Arial"/>
                <w:sz w:val="24"/>
                <w:szCs w:val="24"/>
              </w:rPr>
              <w:lastRenderedPageBreak/>
              <w:t>SACR 209 (SCA), paragraphs [8] and [9]).</w:t>
            </w:r>
          </w:p>
        </w:tc>
      </w:tr>
      <w:tr w:rsidR="0033471F" w:rsidRPr="00884761" w14:paraId="2F96291B" w14:textId="77777777" w:rsidTr="00F14186">
        <w:tc>
          <w:tcPr>
            <w:tcW w:w="1288" w:type="dxa"/>
          </w:tcPr>
          <w:p w14:paraId="3957BDBA" w14:textId="77777777" w:rsidR="0033471F" w:rsidRDefault="0033471F" w:rsidP="00884761">
            <w:pPr>
              <w:jc w:val="both"/>
              <w:rPr>
                <w:rFonts w:ascii="Arial" w:hAnsi="Arial" w:cs="Arial"/>
                <w:b/>
                <w:sz w:val="24"/>
                <w:szCs w:val="24"/>
              </w:rPr>
            </w:pPr>
            <w:r>
              <w:rPr>
                <w:rFonts w:ascii="Arial" w:hAnsi="Arial" w:cs="Arial"/>
                <w:b/>
                <w:sz w:val="24"/>
                <w:szCs w:val="24"/>
              </w:rPr>
              <w:lastRenderedPageBreak/>
              <w:t>1</w:t>
            </w:r>
          </w:p>
        </w:tc>
        <w:tc>
          <w:tcPr>
            <w:tcW w:w="1446" w:type="dxa"/>
          </w:tcPr>
          <w:p w14:paraId="76166DCC" w14:textId="77777777" w:rsidR="0033471F" w:rsidRDefault="0033471F" w:rsidP="0033471F">
            <w:pPr>
              <w:jc w:val="both"/>
              <w:rPr>
                <w:rFonts w:ascii="Arial" w:hAnsi="Arial" w:cs="Arial"/>
                <w:b/>
                <w:sz w:val="24"/>
                <w:szCs w:val="24"/>
              </w:rPr>
            </w:pPr>
            <w:r>
              <w:rPr>
                <w:rFonts w:ascii="Arial" w:hAnsi="Arial" w:cs="Arial"/>
                <w:b/>
                <w:sz w:val="24"/>
                <w:szCs w:val="24"/>
              </w:rPr>
              <w:t>1(f)</w:t>
            </w:r>
          </w:p>
        </w:tc>
        <w:tc>
          <w:tcPr>
            <w:tcW w:w="6759" w:type="dxa"/>
          </w:tcPr>
          <w:p w14:paraId="557F1428" w14:textId="4692A934" w:rsidR="00E91433" w:rsidRPr="00B00B8A" w:rsidRDefault="00E91433" w:rsidP="00E85F17">
            <w:pPr>
              <w:pStyle w:val="Default"/>
              <w:numPr>
                <w:ilvl w:val="0"/>
                <w:numId w:val="2"/>
              </w:numPr>
              <w:ind w:left="300" w:hanging="270"/>
              <w:jc w:val="both"/>
            </w:pPr>
            <w:r w:rsidRPr="00B00B8A">
              <w:t xml:space="preserve">BASA suggests that it must be clear that an “entity” that has subsequently been removed from a Resolution of the United Nations Security Council and from a notice announced by the Minister of finance under section 26A(1) of the Financial Intelligence Centre Act 38 of 2001 (the FIC Act), or from a notice given under section 26A(3) by the Director referred to in section 1 of the Financial Intelligence Centre Act will not be considered an “entity”. </w:t>
            </w:r>
          </w:p>
          <w:p w14:paraId="0371F820" w14:textId="46489AFF" w:rsidR="00EE6328" w:rsidRPr="00B00B8A" w:rsidRDefault="00EE6328" w:rsidP="00EE6328">
            <w:pPr>
              <w:pStyle w:val="Default"/>
              <w:jc w:val="both"/>
            </w:pPr>
          </w:p>
          <w:p w14:paraId="6A6F0B64" w14:textId="4114E49A" w:rsidR="00EE6328" w:rsidRPr="00B00B8A" w:rsidRDefault="00EE6328" w:rsidP="00EE6328">
            <w:pPr>
              <w:pStyle w:val="Default"/>
              <w:jc w:val="both"/>
            </w:pPr>
          </w:p>
          <w:p w14:paraId="5992C9A7" w14:textId="6F4EE01C" w:rsidR="00EE6328" w:rsidRPr="00B00B8A" w:rsidRDefault="00EE6328" w:rsidP="00EE6328">
            <w:pPr>
              <w:pStyle w:val="Default"/>
              <w:jc w:val="both"/>
            </w:pPr>
          </w:p>
          <w:p w14:paraId="3FF88736" w14:textId="3C67F1F7" w:rsidR="00EE6328" w:rsidRPr="00B00B8A" w:rsidRDefault="00EE6328" w:rsidP="00EE6328">
            <w:pPr>
              <w:pStyle w:val="Default"/>
              <w:jc w:val="both"/>
            </w:pPr>
          </w:p>
          <w:p w14:paraId="7ABA7847" w14:textId="5EA53D0B" w:rsidR="00EE6328" w:rsidRPr="00B00B8A" w:rsidRDefault="00EE6328" w:rsidP="00EE6328">
            <w:pPr>
              <w:pStyle w:val="Default"/>
              <w:jc w:val="both"/>
            </w:pPr>
          </w:p>
          <w:p w14:paraId="0423B594" w14:textId="68F9956D" w:rsidR="00EE6328" w:rsidRPr="00B00B8A" w:rsidRDefault="00EE6328" w:rsidP="00EE6328">
            <w:pPr>
              <w:pStyle w:val="Default"/>
              <w:jc w:val="both"/>
            </w:pPr>
          </w:p>
          <w:p w14:paraId="49E66C4F" w14:textId="27D5FA40" w:rsidR="00EE6328" w:rsidRPr="00B00B8A" w:rsidRDefault="00EE6328" w:rsidP="00EE6328">
            <w:pPr>
              <w:pStyle w:val="Default"/>
              <w:jc w:val="both"/>
            </w:pPr>
          </w:p>
          <w:p w14:paraId="56EE4423" w14:textId="30D514F4" w:rsidR="00EE6328" w:rsidRPr="00B00B8A" w:rsidRDefault="00EE6328" w:rsidP="00EE6328">
            <w:pPr>
              <w:pStyle w:val="Default"/>
              <w:jc w:val="both"/>
            </w:pPr>
          </w:p>
          <w:p w14:paraId="7991A975" w14:textId="641EDF05" w:rsidR="00EE6328" w:rsidRPr="00B00B8A" w:rsidRDefault="00EE6328" w:rsidP="00EE6328">
            <w:pPr>
              <w:pStyle w:val="Default"/>
              <w:jc w:val="both"/>
            </w:pPr>
          </w:p>
          <w:p w14:paraId="0F5EA3DA" w14:textId="3CC09E4A" w:rsidR="00EE6328" w:rsidRPr="00B00B8A" w:rsidRDefault="00EE6328" w:rsidP="00EE6328">
            <w:pPr>
              <w:pStyle w:val="Default"/>
              <w:jc w:val="both"/>
            </w:pPr>
          </w:p>
          <w:p w14:paraId="44854A49" w14:textId="487F9E59" w:rsidR="00EE6328" w:rsidRPr="00B00B8A" w:rsidRDefault="00EE6328" w:rsidP="00EE6328">
            <w:pPr>
              <w:pStyle w:val="Default"/>
              <w:jc w:val="both"/>
            </w:pPr>
          </w:p>
          <w:p w14:paraId="62EA8F47" w14:textId="77777777" w:rsidR="00EE6328" w:rsidRPr="00B00B8A" w:rsidRDefault="00EE6328" w:rsidP="00EE6328">
            <w:pPr>
              <w:pStyle w:val="Default"/>
              <w:jc w:val="both"/>
            </w:pPr>
          </w:p>
          <w:p w14:paraId="0771FF68" w14:textId="3B5FE5E4" w:rsidR="00EE6328" w:rsidRPr="00B00B8A" w:rsidRDefault="00EE6328" w:rsidP="00EE6328">
            <w:pPr>
              <w:pStyle w:val="Default"/>
              <w:jc w:val="both"/>
            </w:pPr>
          </w:p>
          <w:p w14:paraId="69031CA4" w14:textId="77777777" w:rsidR="00EE6328" w:rsidRPr="00B00B8A" w:rsidRDefault="00EE6328" w:rsidP="00EE6328">
            <w:pPr>
              <w:pStyle w:val="Default"/>
              <w:jc w:val="both"/>
            </w:pPr>
          </w:p>
          <w:p w14:paraId="073535DA" w14:textId="68A506E7" w:rsidR="00E91433" w:rsidRPr="00B00B8A" w:rsidRDefault="00E91433" w:rsidP="00E85F17">
            <w:pPr>
              <w:pStyle w:val="Default"/>
              <w:numPr>
                <w:ilvl w:val="0"/>
                <w:numId w:val="2"/>
              </w:numPr>
              <w:ind w:left="300" w:hanging="270"/>
              <w:jc w:val="both"/>
            </w:pPr>
            <w:r w:rsidRPr="00B00B8A">
              <w:t xml:space="preserve">Per paragraph 2.4 of the Memorandum on the Objects of POCDATARA Amendment Bill, all UNSC Resolutions, which include financial sanctions, must be published by the Minister of Finance in accordance with section 26A(1) of the FIC Act. BASA is in agreement with the above interpretation and requirements of section 26A(1). Therefore, the Minister does not have a discretion to publish or not publish. </w:t>
            </w:r>
          </w:p>
          <w:p w14:paraId="1E06AC94" w14:textId="77777777" w:rsidR="00584324" w:rsidRPr="00B00B8A" w:rsidRDefault="00584324" w:rsidP="00584324">
            <w:pPr>
              <w:pStyle w:val="Default"/>
              <w:jc w:val="both"/>
            </w:pPr>
          </w:p>
          <w:p w14:paraId="1F5F8E37" w14:textId="00D48AD9" w:rsidR="00432CBC" w:rsidRPr="00B00B8A" w:rsidRDefault="00432CBC" w:rsidP="00E85F17">
            <w:pPr>
              <w:pStyle w:val="Default"/>
              <w:numPr>
                <w:ilvl w:val="0"/>
                <w:numId w:val="2"/>
              </w:numPr>
              <w:ind w:left="300" w:hanging="270"/>
              <w:jc w:val="both"/>
            </w:pPr>
            <w:r w:rsidRPr="00B00B8A">
              <w:lastRenderedPageBreak/>
              <w:t xml:space="preserve">Noting the above requirement, any UNSC Resolution, as amended (by the removal and/ or insertion of ‘entity’ (as defined) names, would also be required to be published in terms of section 26A(1). </w:t>
            </w:r>
          </w:p>
          <w:p w14:paraId="629F9CA8" w14:textId="77777777" w:rsidR="00584324" w:rsidRPr="00B00B8A" w:rsidRDefault="00584324" w:rsidP="00584324">
            <w:pPr>
              <w:pStyle w:val="Default"/>
              <w:jc w:val="both"/>
            </w:pPr>
          </w:p>
          <w:p w14:paraId="2FDF994A" w14:textId="14730C93" w:rsidR="00432CBC" w:rsidRPr="00B00B8A" w:rsidRDefault="00432CBC" w:rsidP="00E85F17">
            <w:pPr>
              <w:pStyle w:val="Default"/>
              <w:numPr>
                <w:ilvl w:val="0"/>
                <w:numId w:val="2"/>
              </w:numPr>
              <w:ind w:left="300" w:hanging="270"/>
              <w:jc w:val="both"/>
            </w:pPr>
            <w:r w:rsidRPr="00B00B8A">
              <w:t xml:space="preserve">In light of the above, it is unclear as to the purpose of section 26A(3)(a) – (b), as any such notice contemplated in these sections may only be done pursuant to a notice as gazetted under section 26A(1). The intention hereof would never be for the purposes of amending an initial UNSC Resolution only – as subsequent UNSC Resolutions would be issued amending (adding or removing) sanctions and / or ‘entities’ in or from the UNSC Resolution. </w:t>
            </w:r>
          </w:p>
          <w:p w14:paraId="1CB61C6D" w14:textId="77777777" w:rsidR="00584324" w:rsidRPr="00B00B8A" w:rsidRDefault="00584324" w:rsidP="00584324">
            <w:pPr>
              <w:pStyle w:val="Default"/>
              <w:jc w:val="both"/>
            </w:pPr>
          </w:p>
          <w:p w14:paraId="30088666" w14:textId="77777777" w:rsidR="0033471F" w:rsidRPr="00B00B8A" w:rsidRDefault="00432CBC" w:rsidP="00E85F17">
            <w:pPr>
              <w:pStyle w:val="Default"/>
              <w:numPr>
                <w:ilvl w:val="0"/>
                <w:numId w:val="2"/>
              </w:numPr>
              <w:ind w:left="300" w:hanging="270"/>
              <w:jc w:val="both"/>
            </w:pPr>
            <w:r w:rsidRPr="00B00B8A">
              <w:t>Furthermore, noting the concern expressed in the Memorandum, regarding the delay in publication of notifications of entities listed in the UNSC Resolution by the President in terms of POCDATARA, a similar concern is noted in relation to the publication by the Minister of Finance as contemplated in section 26A(1) of the</w:t>
            </w:r>
            <w:r w:rsidR="00E85F17" w:rsidRPr="00B00B8A">
              <w:t xml:space="preserve"> FIC Act. Noting that ‘entities’/ accountable institutions should not be prejudiced by the delay in publication in instances where sanctions and/ or entities have been amended. </w:t>
            </w:r>
          </w:p>
          <w:p w14:paraId="5218BAB7" w14:textId="77777777" w:rsidR="00B22074" w:rsidRPr="00B00B8A" w:rsidRDefault="00B22074" w:rsidP="00B22074">
            <w:pPr>
              <w:pStyle w:val="Default"/>
              <w:ind w:left="300"/>
              <w:jc w:val="both"/>
            </w:pPr>
          </w:p>
          <w:p w14:paraId="19BFD925" w14:textId="77777777" w:rsidR="00B22074" w:rsidRPr="00B00B8A" w:rsidRDefault="00B22074" w:rsidP="00B22074">
            <w:pPr>
              <w:pStyle w:val="Default"/>
              <w:jc w:val="both"/>
              <w:rPr>
                <w:b/>
              </w:rPr>
            </w:pPr>
            <w:r w:rsidRPr="00B00B8A">
              <w:rPr>
                <w:b/>
              </w:rPr>
              <w:t>BASA RECOMMENDATION:</w:t>
            </w:r>
          </w:p>
          <w:p w14:paraId="6FFA3209" w14:textId="77777777" w:rsidR="00B22074" w:rsidRPr="00B00B8A" w:rsidRDefault="00B22074" w:rsidP="00B22074">
            <w:pPr>
              <w:pStyle w:val="Default"/>
              <w:jc w:val="both"/>
              <w:rPr>
                <w:color w:val="auto"/>
              </w:rPr>
            </w:pPr>
          </w:p>
          <w:p w14:paraId="6C5E7C0D" w14:textId="77777777" w:rsidR="00B22074" w:rsidRPr="00B00B8A" w:rsidRDefault="00B22074" w:rsidP="00B22074">
            <w:pPr>
              <w:pStyle w:val="Default"/>
              <w:jc w:val="both"/>
            </w:pPr>
            <w:r w:rsidRPr="00B00B8A">
              <w:t>BASA suggests that the following wording be considered:</w:t>
            </w:r>
          </w:p>
          <w:p w14:paraId="7FC9F76E" w14:textId="77777777" w:rsidR="00B22074" w:rsidRPr="00B00B8A" w:rsidRDefault="00B22074" w:rsidP="00B22074">
            <w:pPr>
              <w:pStyle w:val="Default"/>
              <w:jc w:val="both"/>
            </w:pPr>
            <w:r w:rsidRPr="00B00B8A">
              <w:t xml:space="preserve"> </w:t>
            </w:r>
          </w:p>
          <w:p w14:paraId="1586A537" w14:textId="77777777" w:rsidR="006D1BB8" w:rsidRPr="00B00B8A" w:rsidRDefault="00B22074" w:rsidP="00B22074">
            <w:pPr>
              <w:pStyle w:val="Default"/>
              <w:jc w:val="both"/>
            </w:pPr>
            <w:r w:rsidRPr="00B00B8A">
              <w:t xml:space="preserve">2) “entity”, with reference to sections 3, 4, and 14 (in so far as it relates to the aforementioned sections), 22, and 23 and 25, means a natural person, or a group of two or more natural persons (whether acting in the furtherance of a common </w:t>
            </w:r>
            <w:r w:rsidRPr="00B00B8A">
              <w:lastRenderedPageBreak/>
              <w:t xml:space="preserve">purpose or conspiracy or not), or a syndicate, gang, agency, trust, partnership, fund or other unincorporated association or </w:t>
            </w:r>
          </w:p>
          <w:p w14:paraId="728620E9" w14:textId="1F7535C1" w:rsidR="00093A51" w:rsidRPr="00B00B8A" w:rsidRDefault="00B22074" w:rsidP="00B22074">
            <w:pPr>
              <w:pStyle w:val="Default"/>
              <w:jc w:val="both"/>
            </w:pPr>
            <w:r w:rsidRPr="00B00B8A">
              <w:t xml:space="preserve">organisation, or any incorporated association or organisation or other legal person, and includes, where appropriate, a cell, </w:t>
            </w:r>
          </w:p>
          <w:p w14:paraId="022628C8" w14:textId="0A36C73D" w:rsidR="00B22074" w:rsidRPr="00B00B8A" w:rsidRDefault="00B22074" w:rsidP="00B22074">
            <w:pPr>
              <w:pStyle w:val="Default"/>
              <w:jc w:val="both"/>
            </w:pPr>
            <w:r w:rsidRPr="00B00B8A">
              <w:t xml:space="preserve">unit, section, sub-group or branch thereof or any combination thereof, and also any entity referred to in a Resolution of the United Nations Security Council and announced in a notice by the Minister of Finance under section 26A(1) of the Financial Intelligence Centre Act, </w:t>
            </w:r>
            <w:r w:rsidRPr="00B00B8A">
              <w:rPr>
                <w:b/>
                <w:bCs/>
              </w:rPr>
              <w:t xml:space="preserve">[and] </w:t>
            </w:r>
            <w:r w:rsidRPr="00B00B8A">
              <w:t xml:space="preserve">or in a notice given under section 26A(3) by the Director referred to in section 1 of the Financial Intelligence Centre Act. </w:t>
            </w:r>
          </w:p>
          <w:p w14:paraId="0CF730D7" w14:textId="77777777" w:rsidR="00B22074" w:rsidRPr="00B00B8A" w:rsidRDefault="00B22074" w:rsidP="00B22074">
            <w:pPr>
              <w:pStyle w:val="Default"/>
              <w:jc w:val="both"/>
            </w:pPr>
          </w:p>
          <w:p w14:paraId="021953B8" w14:textId="77777777" w:rsidR="00B22074" w:rsidRPr="00B00B8A" w:rsidRDefault="00B22074" w:rsidP="00B22074">
            <w:pPr>
              <w:pStyle w:val="Default"/>
              <w:jc w:val="both"/>
            </w:pPr>
            <w:r w:rsidRPr="00B00B8A">
              <w:t xml:space="preserve">3) Alternatively, BSA suggests that the deletion of the words: </w:t>
            </w:r>
          </w:p>
          <w:p w14:paraId="20AD7960" w14:textId="77777777" w:rsidR="00B22074" w:rsidRPr="00B00B8A" w:rsidRDefault="00B22074" w:rsidP="00B22074">
            <w:pPr>
              <w:pStyle w:val="Default"/>
              <w:jc w:val="both"/>
            </w:pPr>
          </w:p>
          <w:p w14:paraId="3A1623A9" w14:textId="77777777" w:rsidR="00B22074" w:rsidRPr="00B00B8A" w:rsidRDefault="00B22074" w:rsidP="00CD5070">
            <w:pPr>
              <w:pStyle w:val="Default"/>
              <w:jc w:val="both"/>
            </w:pPr>
            <w:r w:rsidRPr="00B00B8A">
              <w:t xml:space="preserve">“in a notice given under section 26A(3) by the Director referred to in section 1 of the Financial Intelligence Centre Act.” </w:t>
            </w:r>
          </w:p>
        </w:tc>
        <w:tc>
          <w:tcPr>
            <w:tcW w:w="3457" w:type="dxa"/>
          </w:tcPr>
          <w:p w14:paraId="22F866CE" w14:textId="10369E06" w:rsidR="00584324" w:rsidRPr="00B00B8A" w:rsidRDefault="00EE6328" w:rsidP="00EC618D">
            <w:pPr>
              <w:jc w:val="both"/>
              <w:rPr>
                <w:rFonts w:ascii="Arial" w:hAnsi="Arial"/>
                <w:sz w:val="24"/>
              </w:rPr>
            </w:pPr>
            <w:r w:rsidRPr="00B00B8A">
              <w:rPr>
                <w:rFonts w:ascii="Arial" w:hAnsi="Arial" w:cs="Arial"/>
                <w:sz w:val="24"/>
                <w:szCs w:val="24"/>
              </w:rPr>
              <w:lastRenderedPageBreak/>
              <w:t>The question whether an entity falls within the definition or not, is a factual one</w:t>
            </w:r>
            <w:r w:rsidR="00040962" w:rsidRPr="00B00B8A">
              <w:rPr>
                <w:rFonts w:ascii="Arial" w:hAnsi="Arial" w:cs="Arial"/>
                <w:sz w:val="24"/>
                <w:szCs w:val="24"/>
              </w:rPr>
              <w:t xml:space="preserve">. </w:t>
            </w:r>
            <w:r w:rsidRPr="00B00B8A">
              <w:rPr>
                <w:rFonts w:ascii="Arial" w:hAnsi="Arial" w:cs="Arial"/>
                <w:sz w:val="24"/>
                <w:szCs w:val="24"/>
              </w:rPr>
              <w:t>However, the application of</w:t>
            </w:r>
            <w:r w:rsidR="00040962" w:rsidRPr="00B00B8A">
              <w:rPr>
                <w:rFonts w:ascii="Arial" w:hAnsi="Arial" w:cs="Arial"/>
                <w:sz w:val="24"/>
                <w:szCs w:val="24"/>
              </w:rPr>
              <w:t xml:space="preserve"> </w:t>
            </w:r>
            <w:r w:rsidRPr="00B00B8A">
              <w:rPr>
                <w:rFonts w:ascii="Arial" w:hAnsi="Arial" w:cs="Arial"/>
                <w:sz w:val="24"/>
                <w:szCs w:val="24"/>
              </w:rPr>
              <w:t>the provisions of the FIC Act relating to targeted financial sanctions to an entity, is determined by details of the notices that the Director issues from time to time under the relevant</w:t>
            </w:r>
            <w:r w:rsidR="00D72E2D" w:rsidRPr="00B00B8A">
              <w:rPr>
                <w:rFonts w:ascii="Arial" w:hAnsi="Arial" w:cs="Arial"/>
                <w:sz w:val="24"/>
                <w:szCs w:val="24"/>
              </w:rPr>
              <w:t xml:space="preserve"> </w:t>
            </w:r>
            <w:r w:rsidRPr="00B00B8A">
              <w:rPr>
                <w:rFonts w:ascii="Arial" w:hAnsi="Arial" w:cs="Arial"/>
                <w:sz w:val="24"/>
                <w:szCs w:val="24"/>
              </w:rPr>
              <w:t>provisions.</w:t>
            </w:r>
            <w:r w:rsidR="00D72E2D" w:rsidRPr="00B00B8A">
              <w:rPr>
                <w:rFonts w:ascii="Arial" w:hAnsi="Arial" w:cs="Arial"/>
                <w:sz w:val="24"/>
                <w:szCs w:val="24"/>
              </w:rPr>
              <w:t xml:space="preserve"> </w:t>
            </w:r>
            <w:r w:rsidRPr="00B00B8A">
              <w:rPr>
                <w:rFonts w:ascii="Arial" w:hAnsi="Arial" w:cs="Arial"/>
                <w:sz w:val="24"/>
                <w:szCs w:val="24"/>
              </w:rPr>
              <w:t>This includes</w:t>
            </w:r>
            <w:r w:rsidR="00D72E2D" w:rsidRPr="00B00B8A">
              <w:rPr>
                <w:rFonts w:ascii="Arial" w:hAnsi="Arial" w:cs="Arial"/>
                <w:sz w:val="24"/>
                <w:szCs w:val="24"/>
              </w:rPr>
              <w:t xml:space="preserve"> </w:t>
            </w:r>
            <w:r w:rsidRPr="00B00B8A">
              <w:rPr>
                <w:rFonts w:ascii="Arial" w:hAnsi="Arial" w:cs="Arial"/>
                <w:sz w:val="24"/>
                <w:szCs w:val="24"/>
              </w:rPr>
              <w:t xml:space="preserve">a notice by the Director that a </w:t>
            </w:r>
            <w:r w:rsidRPr="00B00B8A">
              <w:rPr>
                <w:rFonts w:ascii="Arial" w:hAnsi="Arial"/>
                <w:sz w:val="24"/>
              </w:rPr>
              <w:t>designation by the UN Security Council no longer applies to an entity, in other words a de-listing of an entity by the UN Security Council.</w:t>
            </w:r>
          </w:p>
          <w:p w14:paraId="1A59043B" w14:textId="77777777" w:rsidR="00EC618D" w:rsidRPr="00B00B8A" w:rsidRDefault="00EC618D" w:rsidP="00EC618D">
            <w:pPr>
              <w:jc w:val="both"/>
              <w:rPr>
                <w:rFonts w:ascii="Arial" w:hAnsi="Arial" w:cs="Arial"/>
                <w:b/>
                <w:sz w:val="24"/>
                <w:szCs w:val="24"/>
                <w:lang w:val="en-ZA"/>
              </w:rPr>
            </w:pPr>
          </w:p>
          <w:p w14:paraId="3000B650" w14:textId="2049D4BD" w:rsidR="00EE6328" w:rsidRPr="00B00B8A" w:rsidRDefault="00584324" w:rsidP="00584324">
            <w:pPr>
              <w:jc w:val="both"/>
              <w:rPr>
                <w:rFonts w:ascii="Arial" w:hAnsi="Arial" w:cs="Arial"/>
                <w:sz w:val="24"/>
                <w:szCs w:val="24"/>
                <w:lang w:val="en-ZA"/>
              </w:rPr>
            </w:pPr>
            <w:r w:rsidRPr="00B00B8A">
              <w:rPr>
                <w:rFonts w:ascii="Arial" w:hAnsi="Arial" w:cs="Arial"/>
                <w:sz w:val="24"/>
                <w:szCs w:val="24"/>
                <w:lang w:val="en-ZA"/>
              </w:rPr>
              <w:t xml:space="preserve">Insertions or removals of entities (i.e. designations or delistings) by the UN Security Council are not considered to be new Resolutions or amendments of existing Resolutions.  These are done by the UN Security Council pursuant to the provisions of a Resolutions during the lifetime of that Resolution.  Therefore, designations and delistings </w:t>
            </w:r>
            <w:r w:rsidRPr="00B00B8A">
              <w:rPr>
                <w:rFonts w:ascii="Arial" w:hAnsi="Arial" w:cs="Arial"/>
                <w:sz w:val="24"/>
                <w:szCs w:val="24"/>
                <w:lang w:val="en-ZA"/>
              </w:rPr>
              <w:lastRenderedPageBreak/>
              <w:t>under an existing Resolution do not require the issuing of a notice of the adoption of a new Resolution.</w:t>
            </w:r>
          </w:p>
          <w:p w14:paraId="4B732C3A" w14:textId="5A7E2B48" w:rsidR="00584324" w:rsidRPr="00B00B8A" w:rsidRDefault="00584324" w:rsidP="00584324">
            <w:pPr>
              <w:jc w:val="both"/>
              <w:rPr>
                <w:rFonts w:ascii="Arial" w:hAnsi="Arial" w:cs="Arial"/>
                <w:color w:val="C00000"/>
                <w:sz w:val="24"/>
                <w:szCs w:val="24"/>
                <w:lang w:val="en-ZA"/>
              </w:rPr>
            </w:pPr>
          </w:p>
          <w:p w14:paraId="5E652FC4" w14:textId="77777777" w:rsidR="00584324" w:rsidRPr="00B00B8A" w:rsidRDefault="00584324" w:rsidP="00584324">
            <w:pPr>
              <w:rPr>
                <w:rFonts w:ascii="Arial" w:hAnsi="Arial" w:cs="Arial"/>
                <w:sz w:val="24"/>
                <w:szCs w:val="24"/>
                <w:lang w:val="en-ZA"/>
              </w:rPr>
            </w:pPr>
            <w:r w:rsidRPr="00B00B8A">
              <w:rPr>
                <w:rFonts w:ascii="Arial" w:hAnsi="Arial" w:cs="Arial"/>
                <w:sz w:val="24"/>
                <w:szCs w:val="24"/>
                <w:lang w:val="en-ZA"/>
              </w:rPr>
              <w:t>Section 26A(3)(a) and (b) of the FIC Act provide a mechanism for the implementation of designations and delistings under a Resolution of the UN Security Council.</w:t>
            </w:r>
          </w:p>
          <w:p w14:paraId="6AE650AF" w14:textId="77777777" w:rsidR="00584324" w:rsidRPr="00B00B8A" w:rsidRDefault="00584324" w:rsidP="00584324">
            <w:pPr>
              <w:rPr>
                <w:rFonts w:ascii="Arial" w:hAnsi="Arial" w:cs="Arial"/>
                <w:sz w:val="24"/>
                <w:szCs w:val="24"/>
                <w:lang w:val="en-ZA"/>
              </w:rPr>
            </w:pPr>
          </w:p>
          <w:p w14:paraId="20B24BA7" w14:textId="77777777" w:rsidR="00584324" w:rsidRPr="00B00B8A" w:rsidRDefault="00584324" w:rsidP="00584324">
            <w:pPr>
              <w:rPr>
                <w:rFonts w:ascii="Arial" w:hAnsi="Arial" w:cs="Arial"/>
                <w:sz w:val="24"/>
                <w:szCs w:val="24"/>
                <w:lang w:val="en-ZA"/>
              </w:rPr>
            </w:pPr>
          </w:p>
          <w:p w14:paraId="354F5DD2" w14:textId="730D05BB" w:rsidR="00584324" w:rsidRPr="00B00B8A" w:rsidRDefault="00584324" w:rsidP="00584324">
            <w:pPr>
              <w:jc w:val="both"/>
              <w:rPr>
                <w:rFonts w:ascii="Arial" w:hAnsi="Arial" w:cs="Arial"/>
                <w:color w:val="C00000"/>
                <w:sz w:val="24"/>
                <w:szCs w:val="24"/>
              </w:rPr>
            </w:pPr>
            <w:r w:rsidRPr="00B00B8A">
              <w:rPr>
                <w:rFonts w:ascii="Arial" w:hAnsi="Arial" w:cs="Arial"/>
                <w:sz w:val="24"/>
                <w:szCs w:val="24"/>
                <w:lang w:val="en-ZA"/>
              </w:rPr>
              <w:t xml:space="preserve">This concern is addressed in proposed amendments to the FIC Act that are contained in clause 25 of the </w:t>
            </w:r>
            <w:r w:rsidRPr="00B00B8A">
              <w:rPr>
                <w:rFonts w:ascii="Arial" w:hAnsi="Arial" w:cs="Arial"/>
                <w:sz w:val="24"/>
                <w:szCs w:val="24"/>
              </w:rPr>
              <w:t>General Laws (Anti-Money Laundering and Combating Terrorism Financing) Amendment Bill, (B18-2022).</w:t>
            </w:r>
          </w:p>
          <w:p w14:paraId="272B63EA" w14:textId="77777777" w:rsidR="00F73903" w:rsidRPr="00B00B8A" w:rsidRDefault="00F73903" w:rsidP="00084043">
            <w:pPr>
              <w:jc w:val="both"/>
              <w:rPr>
                <w:rFonts w:ascii="Arial" w:hAnsi="Arial" w:cs="Arial"/>
                <w:b/>
                <w:color w:val="C00000"/>
                <w:sz w:val="24"/>
                <w:szCs w:val="24"/>
              </w:rPr>
            </w:pPr>
          </w:p>
          <w:p w14:paraId="707CA10F" w14:textId="3AB3798D" w:rsidR="003D3467" w:rsidRPr="00B00B8A" w:rsidRDefault="00F73903" w:rsidP="00084043">
            <w:pPr>
              <w:jc w:val="both"/>
              <w:rPr>
                <w:rFonts w:ascii="Arial" w:hAnsi="Arial" w:cs="Arial"/>
                <w:color w:val="000000" w:themeColor="text1"/>
                <w:sz w:val="24"/>
                <w:szCs w:val="24"/>
              </w:rPr>
            </w:pPr>
            <w:r w:rsidRPr="00B00B8A">
              <w:rPr>
                <w:rFonts w:ascii="Arial" w:hAnsi="Arial" w:cs="Arial"/>
                <w:color w:val="000000" w:themeColor="text1"/>
                <w:sz w:val="24"/>
                <w:szCs w:val="24"/>
              </w:rPr>
              <w:t>It has been noted that there is a conflict between the General Laws (Anti-Money-Laundering and Combating Financing Terrorism) Amendment Bill, 20</w:t>
            </w:r>
            <w:r w:rsidR="00834ED9" w:rsidRPr="00B00B8A">
              <w:rPr>
                <w:rFonts w:ascii="Arial" w:hAnsi="Arial" w:cs="Arial"/>
                <w:color w:val="000000" w:themeColor="text1"/>
                <w:sz w:val="24"/>
                <w:szCs w:val="24"/>
              </w:rPr>
              <w:t xml:space="preserve">22 and the proposals in the POCDATARA Amendment Bill, 2022, in that in the General Laws Amendment </w:t>
            </w:r>
            <w:r w:rsidR="00834ED9" w:rsidRPr="00B00B8A">
              <w:rPr>
                <w:rFonts w:ascii="Arial" w:hAnsi="Arial" w:cs="Arial"/>
                <w:color w:val="000000" w:themeColor="text1"/>
                <w:sz w:val="24"/>
                <w:szCs w:val="24"/>
              </w:rPr>
              <w:lastRenderedPageBreak/>
              <w:t>Bill, it is provided that all UN Security Council Resolutions must be published in a notice by the Director of the FIC. That will include the listing as well as the delisting of an entity. In the Schedule to the POCDATARA Amendment Bill section 26</w:t>
            </w:r>
            <w:r w:rsidR="003D3467" w:rsidRPr="00B00B8A">
              <w:rPr>
                <w:rFonts w:ascii="Arial" w:hAnsi="Arial" w:cs="Arial"/>
                <w:color w:val="000000" w:themeColor="text1"/>
                <w:sz w:val="24"/>
                <w:szCs w:val="24"/>
              </w:rPr>
              <w:t>(2) is proposed to be repealed. That subsection provides that: ”(2) This section does not apply to resolutions of the Security Council of the United Nations contemplated in section 25 of the Protection of Constitutional Democracy against Terrorist and Related Activities Act, 2004 (Act No. 33 of 2004).</w:t>
            </w:r>
            <w:r w:rsidR="00372ED1" w:rsidRPr="00B00B8A">
              <w:rPr>
                <w:rFonts w:ascii="Arial" w:hAnsi="Arial" w:cs="Arial"/>
                <w:color w:val="000000" w:themeColor="text1"/>
                <w:sz w:val="24"/>
                <w:szCs w:val="24"/>
              </w:rPr>
              <w:t>”.</w:t>
            </w:r>
          </w:p>
          <w:p w14:paraId="124AFA08" w14:textId="2CF25EFD" w:rsidR="00372ED1" w:rsidRPr="00B00B8A" w:rsidRDefault="00372ED1" w:rsidP="00084043">
            <w:pPr>
              <w:jc w:val="both"/>
              <w:rPr>
                <w:rFonts w:ascii="Arial" w:hAnsi="Arial" w:cs="Arial"/>
                <w:color w:val="000000" w:themeColor="text1"/>
                <w:sz w:val="24"/>
                <w:szCs w:val="24"/>
              </w:rPr>
            </w:pPr>
            <w:r w:rsidRPr="00B00B8A">
              <w:rPr>
                <w:rFonts w:ascii="Arial" w:hAnsi="Arial" w:cs="Arial"/>
                <w:color w:val="000000" w:themeColor="text1"/>
                <w:sz w:val="24"/>
                <w:szCs w:val="24"/>
              </w:rPr>
              <w:t xml:space="preserve">The proposed position between the two Bills is that all </w:t>
            </w:r>
            <w:r w:rsidR="00665D4E" w:rsidRPr="00B00B8A">
              <w:rPr>
                <w:rFonts w:ascii="Arial" w:hAnsi="Arial" w:cs="Arial"/>
                <w:sz w:val="24"/>
                <w:szCs w:val="24"/>
                <w:lang w:val="en-ZA"/>
              </w:rPr>
              <w:t xml:space="preserve">notices relating to the implementation of </w:t>
            </w:r>
            <w:r w:rsidRPr="00B00B8A">
              <w:rPr>
                <w:rFonts w:ascii="Arial" w:hAnsi="Arial" w:cs="Arial"/>
                <w:color w:val="000000" w:themeColor="text1"/>
                <w:sz w:val="24"/>
                <w:szCs w:val="24"/>
              </w:rPr>
              <w:t>UN Security Council Resolutions will be published by the Director of the FIC</w:t>
            </w:r>
            <w:r w:rsidR="00665D4E" w:rsidRPr="00B00B8A">
              <w:rPr>
                <w:rFonts w:ascii="Arial" w:hAnsi="Arial" w:cs="Arial"/>
                <w:sz w:val="24"/>
                <w:szCs w:val="24"/>
                <w:lang w:val="en-ZA"/>
              </w:rPr>
              <w:t>. This includes notices relating to the adoption or withdrawal of Resolutions by the UN Security Councill and notices</w:t>
            </w:r>
            <w:r w:rsidR="008C6167" w:rsidRPr="00B00B8A">
              <w:rPr>
                <w:rFonts w:ascii="Arial" w:hAnsi="Arial" w:cs="Arial"/>
                <w:color w:val="000000" w:themeColor="text1"/>
                <w:sz w:val="24"/>
                <w:szCs w:val="24"/>
              </w:rPr>
              <w:t xml:space="preserve"> relating to the listing</w:t>
            </w:r>
            <w:r w:rsidR="00665D4E" w:rsidRPr="00B00B8A">
              <w:rPr>
                <w:rFonts w:ascii="Arial" w:hAnsi="Arial" w:cs="Arial"/>
                <w:color w:val="000000" w:themeColor="text1"/>
                <w:sz w:val="24"/>
                <w:szCs w:val="24"/>
              </w:rPr>
              <w:t xml:space="preserve"> and</w:t>
            </w:r>
            <w:r w:rsidR="008C6167" w:rsidRPr="00B00B8A">
              <w:rPr>
                <w:rFonts w:ascii="Arial" w:hAnsi="Arial" w:cs="Arial"/>
                <w:color w:val="000000" w:themeColor="text1"/>
                <w:sz w:val="24"/>
                <w:szCs w:val="24"/>
              </w:rPr>
              <w:t xml:space="preserve"> delisting</w:t>
            </w:r>
            <w:r w:rsidR="00665D4E" w:rsidRPr="00B00B8A">
              <w:rPr>
                <w:rFonts w:ascii="Arial" w:hAnsi="Arial" w:cs="Arial"/>
                <w:color w:val="000000" w:themeColor="text1"/>
                <w:sz w:val="24"/>
                <w:szCs w:val="24"/>
              </w:rPr>
              <w:t xml:space="preserve"> </w:t>
            </w:r>
            <w:r w:rsidR="00665D4E" w:rsidRPr="00B00B8A">
              <w:rPr>
                <w:rFonts w:ascii="Arial" w:hAnsi="Arial" w:cs="Arial"/>
                <w:sz w:val="24"/>
                <w:szCs w:val="24"/>
                <w:lang w:val="en-ZA"/>
              </w:rPr>
              <w:t xml:space="preserve">of entities during </w:t>
            </w:r>
            <w:r w:rsidR="00665D4E" w:rsidRPr="00B00B8A">
              <w:rPr>
                <w:rFonts w:ascii="Arial" w:hAnsi="Arial" w:cs="Arial"/>
                <w:sz w:val="24"/>
                <w:szCs w:val="24"/>
                <w:lang w:val="en-ZA"/>
              </w:rPr>
              <w:lastRenderedPageBreak/>
              <w:t>the lifetime of UN Security Council Resolutions</w:t>
            </w:r>
            <w:r w:rsidR="008C6167" w:rsidRPr="00B00B8A">
              <w:rPr>
                <w:rFonts w:ascii="Arial" w:hAnsi="Arial" w:cs="Arial"/>
                <w:color w:val="000000" w:themeColor="text1"/>
                <w:sz w:val="24"/>
                <w:szCs w:val="24"/>
              </w:rPr>
              <w:t>.</w:t>
            </w:r>
          </w:p>
          <w:p w14:paraId="30E602D3" w14:textId="77777777" w:rsidR="00093A51" w:rsidRPr="00B00B8A" w:rsidRDefault="00093A51" w:rsidP="00084043">
            <w:pPr>
              <w:jc w:val="both"/>
              <w:rPr>
                <w:rFonts w:ascii="Arial" w:hAnsi="Arial" w:cs="Arial"/>
                <w:sz w:val="24"/>
                <w:szCs w:val="24"/>
              </w:rPr>
            </w:pPr>
          </w:p>
          <w:p w14:paraId="17AA1F9F" w14:textId="35BDB5A9" w:rsidR="00F73903" w:rsidRPr="00B00B8A" w:rsidRDefault="00093A51" w:rsidP="00084043">
            <w:pPr>
              <w:jc w:val="both"/>
              <w:rPr>
                <w:rFonts w:ascii="Arial" w:hAnsi="Arial" w:cs="Arial"/>
                <w:b/>
                <w:sz w:val="24"/>
                <w:szCs w:val="24"/>
              </w:rPr>
            </w:pPr>
            <w:r w:rsidRPr="00B00B8A">
              <w:rPr>
                <w:rFonts w:ascii="Arial" w:hAnsi="Arial" w:cs="Arial"/>
                <w:sz w:val="24"/>
                <w:szCs w:val="24"/>
              </w:rPr>
              <w:t xml:space="preserve">It is therefore proposed that the highlighted words </w:t>
            </w:r>
            <w:r w:rsidR="001A4ADB" w:rsidRPr="00B00B8A">
              <w:rPr>
                <w:rFonts w:ascii="Arial" w:hAnsi="Arial" w:cs="Arial"/>
                <w:sz w:val="24"/>
                <w:szCs w:val="24"/>
              </w:rPr>
              <w:t xml:space="preserve">in the COMMENTS Column </w:t>
            </w:r>
            <w:r w:rsidRPr="00B00B8A">
              <w:rPr>
                <w:rFonts w:ascii="Arial" w:hAnsi="Arial" w:cs="Arial"/>
                <w:sz w:val="24"/>
                <w:szCs w:val="24"/>
              </w:rPr>
              <w:t>should read as follows:</w:t>
            </w:r>
          </w:p>
          <w:p w14:paraId="538F94A6" w14:textId="6C5FA0B0" w:rsidR="00093A51" w:rsidRPr="00B00B8A" w:rsidRDefault="00093A51" w:rsidP="00084043">
            <w:pPr>
              <w:jc w:val="both"/>
              <w:rPr>
                <w:rFonts w:ascii="Arial" w:hAnsi="Arial" w:cs="Arial"/>
                <w:b/>
                <w:sz w:val="24"/>
                <w:szCs w:val="24"/>
              </w:rPr>
            </w:pPr>
            <w:r w:rsidRPr="00B00B8A">
              <w:rPr>
                <w:rFonts w:ascii="Arial" w:hAnsi="Arial" w:cs="Arial"/>
                <w:b/>
                <w:sz w:val="24"/>
                <w:szCs w:val="24"/>
              </w:rPr>
              <w:t xml:space="preserve">“and also any entity referred to in a Resolution of the United Nations Security Council and announced in a notice </w:t>
            </w:r>
            <w:r w:rsidRPr="00B00B8A">
              <w:rPr>
                <w:rFonts w:ascii="Arial" w:hAnsi="Arial" w:cs="Arial"/>
                <w:b/>
                <w:strike/>
                <w:sz w:val="24"/>
                <w:szCs w:val="24"/>
              </w:rPr>
              <w:t>by the Minister of Finance under section 26A(1) of the Financial Intelligence Centre Act, [and] or in a notice given under</w:t>
            </w:r>
            <w:r w:rsidRPr="00B00B8A">
              <w:rPr>
                <w:rFonts w:ascii="Arial" w:hAnsi="Arial" w:cs="Arial"/>
                <w:b/>
                <w:sz w:val="24"/>
                <w:szCs w:val="24"/>
              </w:rPr>
              <w:t xml:space="preserve"> </w:t>
            </w:r>
            <w:r w:rsidRPr="00B00B8A">
              <w:rPr>
                <w:rFonts w:ascii="Arial" w:hAnsi="Arial" w:cs="Arial"/>
                <w:b/>
                <w:sz w:val="24"/>
                <w:szCs w:val="24"/>
                <w:u w:val="single"/>
              </w:rPr>
              <w:t>referred to in</w:t>
            </w:r>
            <w:r w:rsidRPr="00B00B8A">
              <w:rPr>
                <w:rFonts w:ascii="Arial" w:hAnsi="Arial" w:cs="Arial"/>
                <w:b/>
                <w:sz w:val="24"/>
                <w:szCs w:val="24"/>
              </w:rPr>
              <w:t xml:space="preserve"> section 26A(3) </w:t>
            </w:r>
            <w:r w:rsidRPr="00B00B8A">
              <w:rPr>
                <w:rFonts w:ascii="Arial" w:hAnsi="Arial" w:cs="Arial"/>
                <w:b/>
                <w:strike/>
                <w:sz w:val="24"/>
                <w:szCs w:val="24"/>
              </w:rPr>
              <w:t>by the Director referred to in section 1</w:t>
            </w:r>
            <w:r w:rsidRPr="00B00B8A">
              <w:rPr>
                <w:rFonts w:ascii="Arial" w:hAnsi="Arial" w:cs="Arial"/>
                <w:b/>
                <w:sz w:val="24"/>
                <w:szCs w:val="24"/>
              </w:rPr>
              <w:t xml:space="preserve"> of the Financial Intelligence Centre Act.</w:t>
            </w:r>
          </w:p>
          <w:p w14:paraId="2BA46EE8" w14:textId="5E3F9491" w:rsidR="00347782" w:rsidRPr="00B00B8A" w:rsidRDefault="00347782" w:rsidP="00084043">
            <w:pPr>
              <w:jc w:val="both"/>
              <w:rPr>
                <w:rFonts w:ascii="Arial" w:hAnsi="Arial" w:cs="Arial"/>
                <w:b/>
                <w:sz w:val="24"/>
                <w:szCs w:val="24"/>
              </w:rPr>
            </w:pPr>
          </w:p>
          <w:p w14:paraId="79E2378E" w14:textId="6A88A1BC" w:rsidR="00347782" w:rsidRPr="00B00B8A" w:rsidRDefault="00347782" w:rsidP="00347782">
            <w:pPr>
              <w:pStyle w:val="CommentText"/>
              <w:rPr>
                <w:rFonts w:ascii="Arial" w:hAnsi="Arial" w:cs="Arial"/>
                <w:sz w:val="24"/>
                <w:szCs w:val="24"/>
              </w:rPr>
            </w:pPr>
            <w:r w:rsidRPr="00B00B8A">
              <w:rPr>
                <w:rFonts w:ascii="Arial" w:hAnsi="Arial" w:cs="Arial"/>
                <w:sz w:val="24"/>
                <w:szCs w:val="24"/>
              </w:rPr>
              <w:t>Clause 29 of the General Laws (Anti-Money Laundering and Combating Terrorism Financing) Amendment Bill contains an amendment to section 28A of the FIC Act to align the legislation.</w:t>
            </w:r>
          </w:p>
          <w:p w14:paraId="7E62CE6D" w14:textId="4D16E150" w:rsidR="0036785A" w:rsidRPr="00B00B8A" w:rsidRDefault="0036785A" w:rsidP="00084043">
            <w:pPr>
              <w:jc w:val="both"/>
              <w:rPr>
                <w:rFonts w:ascii="Arial" w:hAnsi="Arial" w:cs="Arial"/>
                <w:b/>
                <w:sz w:val="24"/>
                <w:szCs w:val="24"/>
              </w:rPr>
            </w:pPr>
          </w:p>
        </w:tc>
      </w:tr>
      <w:tr w:rsidR="00CD5070" w:rsidRPr="00884761" w14:paraId="1EC34EF3" w14:textId="77777777" w:rsidTr="00F14186">
        <w:tc>
          <w:tcPr>
            <w:tcW w:w="1288" w:type="dxa"/>
          </w:tcPr>
          <w:p w14:paraId="2EB3ADE0" w14:textId="77777777" w:rsidR="00CD5070" w:rsidRDefault="00CD5070" w:rsidP="00884761">
            <w:pPr>
              <w:jc w:val="both"/>
              <w:rPr>
                <w:rFonts w:ascii="Arial" w:hAnsi="Arial" w:cs="Arial"/>
                <w:b/>
                <w:sz w:val="24"/>
                <w:szCs w:val="24"/>
              </w:rPr>
            </w:pPr>
            <w:r>
              <w:rPr>
                <w:rFonts w:ascii="Arial" w:hAnsi="Arial" w:cs="Arial"/>
                <w:b/>
                <w:sz w:val="24"/>
                <w:szCs w:val="24"/>
              </w:rPr>
              <w:lastRenderedPageBreak/>
              <w:t>1</w:t>
            </w:r>
          </w:p>
        </w:tc>
        <w:tc>
          <w:tcPr>
            <w:tcW w:w="1446" w:type="dxa"/>
          </w:tcPr>
          <w:p w14:paraId="3E2245A3" w14:textId="77777777" w:rsidR="00CD5070" w:rsidRDefault="00CD5070" w:rsidP="00CD5070">
            <w:pPr>
              <w:jc w:val="both"/>
              <w:rPr>
                <w:rFonts w:ascii="Arial" w:hAnsi="Arial" w:cs="Arial"/>
                <w:b/>
                <w:sz w:val="24"/>
                <w:szCs w:val="24"/>
              </w:rPr>
            </w:pPr>
            <w:r>
              <w:rPr>
                <w:rFonts w:ascii="Arial" w:hAnsi="Arial" w:cs="Arial"/>
                <w:b/>
                <w:sz w:val="24"/>
                <w:szCs w:val="24"/>
              </w:rPr>
              <w:t>1(n)</w:t>
            </w:r>
          </w:p>
        </w:tc>
        <w:tc>
          <w:tcPr>
            <w:tcW w:w="6759" w:type="dxa"/>
          </w:tcPr>
          <w:p w14:paraId="43D66132" w14:textId="77777777" w:rsidR="00CD5070" w:rsidRPr="00B00B8A" w:rsidRDefault="00CD5070" w:rsidP="00CD5070">
            <w:pPr>
              <w:pStyle w:val="Default"/>
              <w:jc w:val="both"/>
            </w:pPr>
            <w:r w:rsidRPr="00B00B8A">
              <w:t xml:space="preserve">1. The definition of ‘property’ in the form prior to its proposed amendments, is already all-encompassing definition and </w:t>
            </w:r>
            <w:r w:rsidRPr="00B00B8A">
              <w:lastRenderedPageBreak/>
              <w:t xml:space="preserve">would include any digital representation of perceived value, which would include i.e. crypto assets, fiat currency and securities. </w:t>
            </w:r>
          </w:p>
          <w:p w14:paraId="125B92FC" w14:textId="77777777" w:rsidR="00F10783" w:rsidRPr="00B00B8A" w:rsidRDefault="00F10783" w:rsidP="00CD5070">
            <w:pPr>
              <w:pStyle w:val="Default"/>
              <w:jc w:val="both"/>
            </w:pPr>
          </w:p>
          <w:p w14:paraId="5E227C87" w14:textId="77777777" w:rsidR="00CD5070" w:rsidRPr="00B00B8A" w:rsidRDefault="00CD5070" w:rsidP="00CD5070">
            <w:pPr>
              <w:pStyle w:val="Default"/>
              <w:jc w:val="both"/>
              <w:rPr>
                <w:color w:val="auto"/>
              </w:rPr>
            </w:pPr>
            <w:r w:rsidRPr="00B00B8A">
              <w:t xml:space="preserve">2) The term ‘money’ in its broadest sense would include any tangible or intangible thing that functions as a means of exchange or debt settlement, a measure of value, a unit of account or as a store of value, and accordingly would include – </w:t>
            </w:r>
          </w:p>
          <w:p w14:paraId="6C101C9C" w14:textId="77777777" w:rsidR="00CD5070" w:rsidRPr="00B00B8A" w:rsidRDefault="00CD5070" w:rsidP="00CD5070">
            <w:pPr>
              <w:pStyle w:val="Default"/>
              <w:jc w:val="both"/>
            </w:pPr>
            <w:r w:rsidRPr="00B00B8A">
              <w:t xml:space="preserve">a) Cash or currency, being physical coins and notes, as contemplated in the SARB Act of 1989. </w:t>
            </w:r>
          </w:p>
          <w:p w14:paraId="41267725" w14:textId="77777777" w:rsidR="00CD5070" w:rsidRPr="00B00B8A" w:rsidRDefault="00CD5070" w:rsidP="00CD5070">
            <w:pPr>
              <w:pStyle w:val="Default"/>
              <w:jc w:val="both"/>
            </w:pPr>
            <w:r w:rsidRPr="00B00B8A">
              <w:t xml:space="preserve">b) A credit against an account held at a banks and which is convertible to cash or currency by the bank on demand. </w:t>
            </w:r>
          </w:p>
          <w:p w14:paraId="7BB5A49F" w14:textId="77777777" w:rsidR="00CD5070" w:rsidRPr="00B00B8A" w:rsidRDefault="00CD5070" w:rsidP="00CD5070">
            <w:pPr>
              <w:pStyle w:val="Default"/>
              <w:jc w:val="both"/>
            </w:pPr>
            <w:r w:rsidRPr="00B00B8A">
              <w:t xml:space="preserve">c) Electronic money or e-money, as contemplated in the SARB’s position paper on electronic money, which is defined as </w:t>
            </w:r>
            <w:r w:rsidRPr="00B00B8A">
              <w:rPr>
                <w:i/>
                <w:iCs/>
              </w:rPr>
              <w:t xml:space="preserve">"Monetary value represented by a claim on the issuer. This money is stored electronically and issued on receipt of funds, is generally accepted as a means of payment by persons other than the issuer and is redeemable for physical cash or a deposit into a bank account on demand." </w:t>
            </w:r>
          </w:p>
          <w:p w14:paraId="02797455" w14:textId="77777777" w:rsidR="00CD5070" w:rsidRPr="00B00B8A" w:rsidRDefault="00CD5070" w:rsidP="00CD5070">
            <w:pPr>
              <w:pStyle w:val="Default"/>
              <w:numPr>
                <w:ilvl w:val="0"/>
                <w:numId w:val="3"/>
              </w:numPr>
              <w:jc w:val="both"/>
            </w:pPr>
            <w:r w:rsidRPr="00B00B8A">
              <w:t xml:space="preserve">d) Virtual or digital currency (e.g., Ripple). In the SARB’s position paper on Virtual Currencies, it is defined as </w:t>
            </w:r>
            <w:r w:rsidRPr="00B00B8A">
              <w:rPr>
                <w:i/>
                <w:iCs/>
              </w:rPr>
              <w:t xml:space="preserve">"a digital representation of value that can be digitally traded and functions as a medium of exchange, a unit of account and/or a store of value, but does not have legal tender status." </w:t>
            </w:r>
          </w:p>
          <w:p w14:paraId="08708B11" w14:textId="77777777" w:rsidR="00CD5070" w:rsidRPr="00B00B8A" w:rsidRDefault="00CD5070" w:rsidP="00CD5070">
            <w:pPr>
              <w:pStyle w:val="Default"/>
              <w:jc w:val="both"/>
              <w:rPr>
                <w:color w:val="auto"/>
              </w:rPr>
            </w:pPr>
          </w:p>
          <w:p w14:paraId="6093C8C4" w14:textId="77777777" w:rsidR="00CD5070" w:rsidRPr="00B00B8A" w:rsidRDefault="00CD5070">
            <w:pPr>
              <w:pStyle w:val="Default"/>
              <w:numPr>
                <w:ilvl w:val="0"/>
                <w:numId w:val="4"/>
              </w:numPr>
              <w:jc w:val="both"/>
            </w:pPr>
            <w:r w:rsidRPr="00B00B8A">
              <w:t xml:space="preserve">3. If there is concern as to whether virtual or digital currency constitutes ‘money’, and hence the proposed inclusion of the following in the definition of property, which defines ‘digital representation of perceived value’, as being </w:t>
            </w:r>
            <w:r w:rsidRPr="00B00B8A">
              <w:rPr>
                <w:i/>
                <w:iCs/>
              </w:rPr>
              <w:t xml:space="preserve">‘that can be traded or transferred electronically within a community of users of the internet who consider it as a medium of exchange, unit </w:t>
            </w:r>
            <w:r w:rsidRPr="00B00B8A">
              <w:rPr>
                <w:i/>
                <w:iCs/>
              </w:rPr>
              <w:lastRenderedPageBreak/>
              <w:t xml:space="preserve">of account, or store of value and use it for payment or investment purposes, but does not include a digital representation of a fiat currency or a security as defined in the Financial Markets Act, 2012 (Act No. 19 of 2012);" </w:t>
            </w:r>
          </w:p>
          <w:p w14:paraId="208A03E0" w14:textId="77777777" w:rsidR="00F10783" w:rsidRPr="00B00B8A" w:rsidRDefault="00F10783" w:rsidP="00CD5070">
            <w:pPr>
              <w:pStyle w:val="Default"/>
              <w:jc w:val="both"/>
            </w:pPr>
          </w:p>
          <w:p w14:paraId="69C37C84" w14:textId="77777777" w:rsidR="00CD5070" w:rsidRPr="00B00B8A" w:rsidRDefault="00CD5070" w:rsidP="00CD5070">
            <w:pPr>
              <w:pStyle w:val="Default"/>
              <w:jc w:val="both"/>
            </w:pPr>
            <w:r w:rsidRPr="00B00B8A">
              <w:t xml:space="preserve">4) The above wording mirrors the proposed definition of ‘crypto assets’ contemplated in the prior and now more recent proposed amendments to schedule 1 to the FIC Act. In this regard, a definition of a crypto asset has been contemplated in a number of regulatory requirements / frameworks, namely – </w:t>
            </w:r>
          </w:p>
          <w:p w14:paraId="0B8CD37C" w14:textId="77777777" w:rsidR="00CD5070" w:rsidRPr="00B00B8A" w:rsidRDefault="00CD5070" w:rsidP="00CD5070">
            <w:pPr>
              <w:pStyle w:val="Default"/>
              <w:jc w:val="both"/>
            </w:pPr>
          </w:p>
          <w:p w14:paraId="3499F55E" w14:textId="77777777" w:rsidR="00CD5070" w:rsidRPr="00B00B8A" w:rsidRDefault="00CD5070" w:rsidP="00CD5070">
            <w:pPr>
              <w:pStyle w:val="Default"/>
              <w:jc w:val="both"/>
            </w:pPr>
            <w:r w:rsidRPr="00B00B8A">
              <w:t xml:space="preserve">i. IFWG Consultation Paper: </w:t>
            </w:r>
          </w:p>
          <w:p w14:paraId="1166EF44" w14:textId="77777777" w:rsidR="00CD5070" w:rsidRPr="00B00B8A" w:rsidRDefault="00CD5070" w:rsidP="00CD5070">
            <w:pPr>
              <w:pStyle w:val="Default"/>
              <w:jc w:val="both"/>
            </w:pPr>
          </w:p>
          <w:p w14:paraId="34F5CE8F" w14:textId="77777777" w:rsidR="00CD5070" w:rsidRPr="00B00B8A" w:rsidRDefault="00CD5070" w:rsidP="00CD5070">
            <w:pPr>
              <w:pStyle w:val="Default"/>
              <w:jc w:val="both"/>
            </w:pPr>
            <w:r w:rsidRPr="00B00B8A">
              <w:t xml:space="preserve">o “Crypto assets are digital representations or tokens that are accessed, verified, transacted, and traded electronically by a community of users. Crypto assets are issued electronically by decentralised entities and have no legal tender status, and consequently are not considered as electronic money either. It therefore does not have statutory compensation arrangements. Crypto assets have the ability to be used for payments (exchange of such value) and for investment purposes by crypto asset users. Crypto assets have the ability to function as a medium of exchange, and/or unit of account and/or store of value within a community of crypto asset users.” </w:t>
            </w:r>
          </w:p>
          <w:p w14:paraId="55020908" w14:textId="77777777" w:rsidR="00CD5070" w:rsidRPr="00B00B8A" w:rsidRDefault="00CD5070" w:rsidP="00CD5070">
            <w:pPr>
              <w:pStyle w:val="Default"/>
              <w:jc w:val="both"/>
            </w:pPr>
          </w:p>
          <w:p w14:paraId="4A2163E1" w14:textId="77777777" w:rsidR="00CD5070" w:rsidRPr="00B00B8A" w:rsidRDefault="00CD5070" w:rsidP="00CD5070">
            <w:pPr>
              <w:pStyle w:val="Default"/>
              <w:jc w:val="both"/>
            </w:pPr>
            <w:r w:rsidRPr="00B00B8A">
              <w:t xml:space="preserve">ii. IFWG Position Paper which was published for comment </w:t>
            </w:r>
          </w:p>
          <w:p w14:paraId="7E017EC2" w14:textId="77777777" w:rsidR="00CD5070" w:rsidRPr="00B00B8A" w:rsidRDefault="00CD5070" w:rsidP="00CD5070">
            <w:pPr>
              <w:pStyle w:val="Default"/>
              <w:jc w:val="both"/>
            </w:pPr>
          </w:p>
          <w:p w14:paraId="1A68D862" w14:textId="77777777" w:rsidR="00CD5070" w:rsidRPr="00B00B8A" w:rsidRDefault="00CD5070" w:rsidP="00CD5070">
            <w:pPr>
              <w:pStyle w:val="Default"/>
              <w:jc w:val="both"/>
            </w:pPr>
            <w:r w:rsidRPr="00B00B8A">
              <w:t xml:space="preserve">o ‘A crypto asset is a digital representation of value that is not issued by a central bank, but is traded, transferred and stored electronically by natural and legal persons for the purpose of </w:t>
            </w:r>
            <w:r w:rsidRPr="00B00B8A">
              <w:lastRenderedPageBreak/>
              <w:t xml:space="preserve">payment, investment and other forms of utility, and applies cryptography techniques in the underlying technology’. </w:t>
            </w:r>
          </w:p>
          <w:p w14:paraId="4341DD7A" w14:textId="77777777" w:rsidR="0026765A" w:rsidRPr="00B00B8A" w:rsidRDefault="0026765A" w:rsidP="00CD5070">
            <w:pPr>
              <w:pStyle w:val="Default"/>
              <w:jc w:val="both"/>
            </w:pPr>
          </w:p>
          <w:p w14:paraId="50DA5BCC" w14:textId="77777777" w:rsidR="0026765A" w:rsidRPr="00B00B8A" w:rsidRDefault="0026765A" w:rsidP="0026765A">
            <w:pPr>
              <w:pStyle w:val="Default"/>
              <w:jc w:val="both"/>
            </w:pPr>
            <w:r w:rsidRPr="00B00B8A">
              <w:t xml:space="preserve">iv. Declaration of crypto assets as a financial product, under the Financial Advisory and Intermediary Services Act. </w:t>
            </w:r>
          </w:p>
          <w:p w14:paraId="64009014" w14:textId="77777777" w:rsidR="0026765A" w:rsidRPr="00B00B8A" w:rsidRDefault="0026765A" w:rsidP="0026765A">
            <w:pPr>
              <w:pStyle w:val="Default"/>
              <w:jc w:val="both"/>
            </w:pPr>
          </w:p>
          <w:p w14:paraId="04A4297C" w14:textId="77777777" w:rsidR="0026765A" w:rsidRPr="00B00B8A" w:rsidRDefault="0026765A" w:rsidP="0026765A">
            <w:pPr>
              <w:pStyle w:val="Default"/>
              <w:jc w:val="both"/>
            </w:pPr>
            <w:r w:rsidRPr="00B00B8A">
              <w:t xml:space="preserve">o “crypto assets” means any digital representation of value that can be digitally traded, or transferred, and can be used for payment or investment purposes, but excluding digital representations of fiat currencies or securities that already fall within the definition of financial product. </w:t>
            </w:r>
          </w:p>
          <w:p w14:paraId="28D821D6" w14:textId="77777777" w:rsidR="0026765A" w:rsidRPr="00B00B8A" w:rsidRDefault="0026765A" w:rsidP="0026765A">
            <w:pPr>
              <w:pStyle w:val="Default"/>
              <w:jc w:val="both"/>
            </w:pPr>
          </w:p>
          <w:p w14:paraId="0696D388" w14:textId="77777777" w:rsidR="0026765A" w:rsidRPr="00B00B8A" w:rsidRDefault="00F10783" w:rsidP="0026765A">
            <w:pPr>
              <w:pStyle w:val="Default"/>
              <w:jc w:val="both"/>
            </w:pPr>
            <w:r w:rsidRPr="00B00B8A">
              <w:t>v</w:t>
            </w:r>
            <w:r w:rsidR="0026765A" w:rsidRPr="00B00B8A">
              <w:t xml:space="preserve">. Prior version of the proposed amendments to the POCDATARA Bill. </w:t>
            </w:r>
          </w:p>
          <w:p w14:paraId="633DB224" w14:textId="77777777" w:rsidR="0026765A" w:rsidRPr="00B00B8A" w:rsidRDefault="0026765A" w:rsidP="0026765A">
            <w:pPr>
              <w:pStyle w:val="Default"/>
              <w:jc w:val="both"/>
            </w:pPr>
          </w:p>
          <w:p w14:paraId="50E7EF96" w14:textId="77777777" w:rsidR="0026765A" w:rsidRPr="00B00B8A" w:rsidRDefault="0026765A" w:rsidP="0026765A">
            <w:pPr>
              <w:pStyle w:val="Default"/>
              <w:jc w:val="both"/>
            </w:pPr>
            <w:r w:rsidRPr="00B00B8A">
              <w:t xml:space="preserve">o ‘virtual asset' means the digital representation of value that can be digitally traded, transferred or used for payment. </w:t>
            </w:r>
          </w:p>
          <w:p w14:paraId="6CDF2588" w14:textId="77777777" w:rsidR="001A7DF9" w:rsidRPr="00B00B8A" w:rsidRDefault="001A7DF9" w:rsidP="0026765A">
            <w:pPr>
              <w:pStyle w:val="Default"/>
              <w:jc w:val="both"/>
            </w:pPr>
          </w:p>
          <w:p w14:paraId="47AFBCA8" w14:textId="77777777" w:rsidR="001A7DF9" w:rsidRPr="00B00B8A" w:rsidRDefault="001A7DF9" w:rsidP="001A7DF9">
            <w:pPr>
              <w:pStyle w:val="Default"/>
              <w:jc w:val="both"/>
            </w:pPr>
            <w:r w:rsidRPr="00B00B8A">
              <w:t xml:space="preserve">o Noting that the revised definition as contained in the current proposed amendments to POCDATARA, consideration has been given to the updated guidance issued by FATF in October / November 2021, with the term ‘virtual asset’ being defined as ‘a digital representation of value that can be digitally traded, or transferred, and can be used for payment or investment purposes. Virtual assets do not include digital representations of fiat currencies, securities and other financial assets that are already covered elsewhere in the FATF Recommendations.’ </w:t>
            </w:r>
          </w:p>
          <w:p w14:paraId="3BE54263" w14:textId="77777777" w:rsidR="001A7DF9" w:rsidRPr="00B00B8A" w:rsidRDefault="001A7DF9" w:rsidP="001A7DF9">
            <w:pPr>
              <w:pStyle w:val="Default"/>
              <w:jc w:val="both"/>
            </w:pPr>
          </w:p>
          <w:p w14:paraId="6530A322" w14:textId="77777777" w:rsidR="001A7DF9" w:rsidRPr="00B00B8A" w:rsidRDefault="001A7DF9" w:rsidP="001A7DF9">
            <w:pPr>
              <w:pStyle w:val="Default"/>
              <w:jc w:val="both"/>
            </w:pPr>
            <w:r w:rsidRPr="00B00B8A">
              <w:t xml:space="preserve">vi. Amendments to regulation 28 of the Pension Funds Act, which defines crypto asset “‘crypto-asset’ means a digital representation of value that is not issued by a central bank, but </w:t>
            </w:r>
            <w:r w:rsidRPr="00B00B8A">
              <w:lastRenderedPageBreak/>
              <w:t xml:space="preserve">is capable of being traded, transferred or stored electronically by natural and legal persons for the purpose of payment, investment and other forms of utility; applies cryptographic techniques and uses distributed ledger technology. </w:t>
            </w:r>
          </w:p>
          <w:p w14:paraId="15EF4105" w14:textId="77777777" w:rsidR="001A7DF9" w:rsidRPr="00B00B8A" w:rsidRDefault="001A7DF9" w:rsidP="001A7DF9">
            <w:pPr>
              <w:pStyle w:val="Default"/>
              <w:jc w:val="both"/>
            </w:pPr>
          </w:p>
          <w:p w14:paraId="169E255A" w14:textId="77777777" w:rsidR="001A7DF9" w:rsidRPr="00B00B8A" w:rsidRDefault="001A7DF9" w:rsidP="001A7DF9">
            <w:pPr>
              <w:pStyle w:val="Default"/>
              <w:jc w:val="both"/>
            </w:pPr>
            <w:r w:rsidRPr="00B00B8A">
              <w:t xml:space="preserve">o While the definition of section 28 of the Pension fund Act aligns with the definition as contained in the IFWG’s position paper 2020 that was issued for commentary and subsequently confirmed in the final IFWG position paper published in June 2021 it is important for South African Regulators to agree on a definition of ‘crypto asset’ </w:t>
            </w:r>
          </w:p>
          <w:p w14:paraId="4C0B9A94" w14:textId="77777777" w:rsidR="001A7DF9" w:rsidRPr="00B00B8A" w:rsidRDefault="001A7DF9" w:rsidP="001A7DF9">
            <w:pPr>
              <w:pStyle w:val="Default"/>
              <w:jc w:val="both"/>
            </w:pPr>
          </w:p>
          <w:p w14:paraId="7435F209" w14:textId="77777777" w:rsidR="001A7DF9" w:rsidRPr="00B00B8A" w:rsidRDefault="001A7DF9" w:rsidP="001A7DF9">
            <w:pPr>
              <w:pStyle w:val="Default"/>
              <w:jc w:val="both"/>
            </w:pPr>
            <w:r w:rsidRPr="00B00B8A">
              <w:t xml:space="preserve">5) We urge that Regulators should achieve consistency in the definitions across the board, since different definitions are being applied and there is a concern that differing definitions could bring about disparity in interpretation and treatment. </w:t>
            </w:r>
          </w:p>
          <w:p w14:paraId="54932E0B" w14:textId="77777777" w:rsidR="00B73803" w:rsidRPr="00B00B8A" w:rsidRDefault="00B73803" w:rsidP="001A7DF9">
            <w:pPr>
              <w:pStyle w:val="Default"/>
              <w:jc w:val="both"/>
            </w:pPr>
          </w:p>
          <w:p w14:paraId="2D5A2FB1" w14:textId="77777777" w:rsidR="001A7DF9" w:rsidRPr="00B00B8A" w:rsidRDefault="00B73803" w:rsidP="001A7DF9">
            <w:pPr>
              <w:pStyle w:val="Default"/>
              <w:jc w:val="both"/>
              <w:rPr>
                <w:b/>
              </w:rPr>
            </w:pPr>
            <w:r w:rsidRPr="00B00B8A">
              <w:rPr>
                <w:b/>
              </w:rPr>
              <w:t>BASA RECOMMENDATION:</w:t>
            </w:r>
          </w:p>
          <w:p w14:paraId="77E46F04" w14:textId="77777777" w:rsidR="00B73803" w:rsidRPr="00B00B8A" w:rsidRDefault="00B73803" w:rsidP="001A7DF9">
            <w:pPr>
              <w:pStyle w:val="Default"/>
              <w:jc w:val="both"/>
              <w:rPr>
                <w:b/>
              </w:rPr>
            </w:pPr>
          </w:p>
          <w:p w14:paraId="1183E4DE" w14:textId="77777777" w:rsidR="00B73803" w:rsidRPr="00B00B8A" w:rsidRDefault="00B73803" w:rsidP="00B73803">
            <w:pPr>
              <w:pStyle w:val="Default"/>
              <w:jc w:val="both"/>
            </w:pPr>
            <w:r w:rsidRPr="00B00B8A">
              <w:t xml:space="preserve">1. Noting the commentary, we propose the following: – </w:t>
            </w:r>
          </w:p>
          <w:p w14:paraId="0BEFC83B" w14:textId="77777777" w:rsidR="004E1F2E" w:rsidRPr="00B00B8A" w:rsidRDefault="004E1F2E" w:rsidP="00B73803">
            <w:pPr>
              <w:pStyle w:val="Default"/>
              <w:jc w:val="both"/>
            </w:pPr>
          </w:p>
          <w:p w14:paraId="08E14007" w14:textId="77777777" w:rsidR="00B73803" w:rsidRPr="00B00B8A" w:rsidRDefault="00B73803" w:rsidP="00B73803">
            <w:pPr>
              <w:pStyle w:val="Default"/>
              <w:jc w:val="both"/>
            </w:pPr>
            <w:r w:rsidRPr="00B00B8A">
              <w:t>a) The definition of property remains unamended and hence propose the deletion of the words set out below</w:t>
            </w:r>
            <w:r w:rsidR="004E1F2E" w:rsidRPr="00B00B8A">
              <w:t>:</w:t>
            </w:r>
            <w:r w:rsidRPr="00B00B8A">
              <w:t xml:space="preserve"> </w:t>
            </w:r>
          </w:p>
          <w:p w14:paraId="4461EFAF" w14:textId="77777777" w:rsidR="00B73803" w:rsidRPr="00B00B8A" w:rsidRDefault="00B73803" w:rsidP="00B73803">
            <w:pPr>
              <w:pStyle w:val="Default"/>
              <w:jc w:val="both"/>
            </w:pPr>
          </w:p>
          <w:p w14:paraId="7C34EDAE" w14:textId="77777777" w:rsidR="00B73803" w:rsidRPr="00B00B8A" w:rsidRDefault="00B73803" w:rsidP="00B73803">
            <w:pPr>
              <w:pStyle w:val="Default"/>
              <w:jc w:val="both"/>
              <w:rPr>
                <w:i/>
                <w:iCs/>
                <w:strike/>
              </w:rPr>
            </w:pPr>
            <w:r w:rsidRPr="00B00B8A">
              <w:rPr>
                <w:i/>
                <w:iCs/>
              </w:rPr>
              <w:t xml:space="preserve">'property' means money or any other movable, immovable, corporeal or incorporeal thing, and includes any rights, privileges, claims and securities and any interest therein and all proceeds thereof, </w:t>
            </w:r>
            <w:r w:rsidRPr="00B00B8A">
              <w:rPr>
                <w:i/>
                <w:iCs/>
                <w:strike/>
              </w:rPr>
              <w:t xml:space="preserve">or any digital representation of perceived value, such as a crypto-currency, that can be traded or transferred electronically within a community of users of the internet who consider it as a medium of exchange, unit of account, or store of value and use it for payment or investment </w:t>
            </w:r>
            <w:r w:rsidRPr="00B00B8A">
              <w:rPr>
                <w:i/>
                <w:iCs/>
                <w:strike/>
              </w:rPr>
              <w:lastRenderedPageBreak/>
              <w:t xml:space="preserve">purposes, but does not include a digital representation of a fiat currency or a security as defined in the Financial Markets Act, 2012 (Act No. 19 of 2012);"; </w:t>
            </w:r>
          </w:p>
          <w:p w14:paraId="158F15A3" w14:textId="77777777" w:rsidR="004E1F2E" w:rsidRPr="00B00B8A" w:rsidRDefault="004E1F2E" w:rsidP="004E1F2E">
            <w:pPr>
              <w:pStyle w:val="Default"/>
              <w:jc w:val="both"/>
              <w:rPr>
                <w:color w:val="auto"/>
              </w:rPr>
            </w:pPr>
          </w:p>
          <w:p w14:paraId="2D3DD792" w14:textId="77777777" w:rsidR="004E1F2E" w:rsidRPr="00B00B8A" w:rsidRDefault="004E1F2E" w:rsidP="004E1F2E">
            <w:pPr>
              <w:pStyle w:val="Default"/>
              <w:numPr>
                <w:ilvl w:val="0"/>
                <w:numId w:val="5"/>
              </w:numPr>
              <w:jc w:val="both"/>
            </w:pPr>
            <w:r w:rsidRPr="00B00B8A">
              <w:t xml:space="preserve">b) As an alternative if not in support of the above, cross reference the definition of crypto-asset as proposed in Schedule 1 to the FIC Act (which is currently under review). </w:t>
            </w:r>
          </w:p>
          <w:p w14:paraId="3883CF36" w14:textId="77777777" w:rsidR="004E1F2E" w:rsidRPr="00B00B8A" w:rsidRDefault="004E1F2E" w:rsidP="004E1F2E">
            <w:pPr>
              <w:pStyle w:val="Default"/>
              <w:numPr>
                <w:ilvl w:val="0"/>
                <w:numId w:val="5"/>
              </w:numPr>
              <w:jc w:val="both"/>
            </w:pPr>
          </w:p>
          <w:p w14:paraId="33B115EC" w14:textId="77777777" w:rsidR="00CD5070" w:rsidRPr="00B00B8A" w:rsidRDefault="004E1F2E" w:rsidP="00F10783">
            <w:pPr>
              <w:pStyle w:val="Default"/>
              <w:numPr>
                <w:ilvl w:val="0"/>
                <w:numId w:val="5"/>
              </w:numPr>
              <w:jc w:val="both"/>
            </w:pPr>
            <w:r w:rsidRPr="00B00B8A">
              <w:t xml:space="preserve">4) In relation to the definition of crypto asset (mentioned above), noting that within the next 12 – 18 months a crypto asset is contemplated as being declared a financial product, consideration to be given to deleting the following wording from the said definition ‘or a security as defined in the Financial Markets Act’ to refer to a financial product under FAIS? (Excluding crypto assets now, anticipating its declaration as a financial asset. </w:t>
            </w:r>
          </w:p>
        </w:tc>
        <w:tc>
          <w:tcPr>
            <w:tcW w:w="3457" w:type="dxa"/>
          </w:tcPr>
          <w:p w14:paraId="1769F41F" w14:textId="5E7F6963" w:rsidR="008630F1" w:rsidRPr="00B00B8A" w:rsidRDefault="008630F1" w:rsidP="005F5E36">
            <w:pPr>
              <w:rPr>
                <w:rFonts w:ascii="Arial" w:hAnsi="Arial" w:cs="Arial"/>
                <w:sz w:val="24"/>
                <w:szCs w:val="24"/>
                <w:lang w:val="en-ZA"/>
              </w:rPr>
            </w:pPr>
            <w:r w:rsidRPr="00B00B8A">
              <w:rPr>
                <w:rFonts w:ascii="Arial" w:hAnsi="Arial" w:cs="Arial"/>
                <w:sz w:val="24"/>
                <w:szCs w:val="24"/>
                <w:lang w:val="en-ZA"/>
              </w:rPr>
              <w:lastRenderedPageBreak/>
              <w:t xml:space="preserve">The response to Afriforum’s comment on this matter, as </w:t>
            </w:r>
            <w:r w:rsidRPr="00B00B8A">
              <w:rPr>
                <w:rFonts w:ascii="Arial" w:hAnsi="Arial" w:cs="Arial"/>
                <w:sz w:val="24"/>
                <w:szCs w:val="24"/>
                <w:lang w:val="en-ZA"/>
              </w:rPr>
              <w:lastRenderedPageBreak/>
              <w:t>indicated above, also applies in this instance.</w:t>
            </w:r>
          </w:p>
          <w:p w14:paraId="22D457C3" w14:textId="4B0BB2B8" w:rsidR="00CD5070" w:rsidRPr="00B00B8A" w:rsidRDefault="004F43BE" w:rsidP="005F5E36">
            <w:pPr>
              <w:jc w:val="both"/>
              <w:rPr>
                <w:rFonts w:ascii="Arial" w:hAnsi="Arial" w:cs="Arial"/>
                <w:color w:val="000000" w:themeColor="text1"/>
                <w:sz w:val="24"/>
                <w:szCs w:val="24"/>
                <w:lang w:val="en-ZA"/>
              </w:rPr>
            </w:pPr>
            <w:r w:rsidRPr="00B00B8A">
              <w:rPr>
                <w:rFonts w:ascii="Arial" w:hAnsi="Arial" w:cs="Arial"/>
                <w:color w:val="000000" w:themeColor="text1"/>
                <w:sz w:val="24"/>
                <w:szCs w:val="24"/>
                <w:lang w:val="en-ZA"/>
              </w:rPr>
              <w:t xml:space="preserve">The addition of the reference to “crypto-currency” is aimed at providing legal certainty that these assets are included in the concept of “property” for purposes of the principal Act. </w:t>
            </w:r>
            <w:r w:rsidR="000555C7" w:rsidRPr="00B00B8A">
              <w:rPr>
                <w:rFonts w:ascii="Arial" w:hAnsi="Arial" w:cs="Arial"/>
                <w:color w:val="000000" w:themeColor="text1"/>
                <w:sz w:val="24"/>
                <w:szCs w:val="24"/>
                <w:lang w:val="en-ZA"/>
              </w:rPr>
              <w:t>This is because a virtual asset is neither money, movable or immovable property or a corporeal thing. Furthermore it is debatable whether a virtual asset would fall within the ordinary dictionary description of an incorporeal thing or a right, privilege, claim or security relating to money or property.</w:t>
            </w:r>
          </w:p>
          <w:p w14:paraId="6ACEA06E" w14:textId="77777777" w:rsidR="005F5E36" w:rsidRPr="00B00B8A" w:rsidRDefault="005F5E36" w:rsidP="005F5E36">
            <w:pPr>
              <w:jc w:val="both"/>
              <w:rPr>
                <w:rFonts w:ascii="Arial" w:hAnsi="Arial" w:cs="Arial"/>
                <w:b/>
                <w:sz w:val="24"/>
                <w:szCs w:val="24"/>
              </w:rPr>
            </w:pPr>
          </w:p>
          <w:p w14:paraId="05FB8653" w14:textId="77777777" w:rsidR="005F5E36" w:rsidRPr="00B00B8A" w:rsidRDefault="005F5E36" w:rsidP="005F5E36">
            <w:pPr>
              <w:jc w:val="both"/>
              <w:rPr>
                <w:rFonts w:ascii="Arial" w:hAnsi="Arial" w:cs="Arial"/>
                <w:b/>
                <w:color w:val="000000" w:themeColor="text1"/>
                <w:sz w:val="24"/>
                <w:szCs w:val="24"/>
              </w:rPr>
            </w:pPr>
          </w:p>
          <w:p w14:paraId="31258E6C" w14:textId="77777777" w:rsidR="005F5E36" w:rsidRPr="00B00B8A" w:rsidRDefault="005F5E36" w:rsidP="005F5E36">
            <w:pPr>
              <w:jc w:val="both"/>
              <w:rPr>
                <w:rFonts w:ascii="Arial" w:hAnsi="Arial" w:cs="Arial"/>
                <w:b/>
                <w:sz w:val="24"/>
                <w:szCs w:val="24"/>
              </w:rPr>
            </w:pPr>
          </w:p>
          <w:p w14:paraId="32DC6812" w14:textId="77777777" w:rsidR="005F5E36" w:rsidRPr="00B00B8A" w:rsidRDefault="005F5E36" w:rsidP="005F5E36">
            <w:pPr>
              <w:jc w:val="both"/>
              <w:rPr>
                <w:rFonts w:ascii="Arial" w:hAnsi="Arial" w:cs="Arial"/>
                <w:b/>
                <w:sz w:val="24"/>
                <w:szCs w:val="24"/>
              </w:rPr>
            </w:pPr>
          </w:p>
          <w:p w14:paraId="7A796BC8" w14:textId="77777777" w:rsidR="005F5E36" w:rsidRPr="00B00B8A" w:rsidRDefault="005F5E36" w:rsidP="005F5E36">
            <w:pPr>
              <w:jc w:val="both"/>
              <w:rPr>
                <w:rFonts w:ascii="Arial" w:hAnsi="Arial" w:cs="Arial"/>
                <w:b/>
                <w:sz w:val="24"/>
                <w:szCs w:val="24"/>
              </w:rPr>
            </w:pPr>
          </w:p>
          <w:p w14:paraId="210E76D9" w14:textId="77777777" w:rsidR="005F5E36" w:rsidRPr="00B00B8A" w:rsidRDefault="005F5E36" w:rsidP="005F5E36">
            <w:pPr>
              <w:jc w:val="both"/>
              <w:rPr>
                <w:rFonts w:ascii="Arial" w:hAnsi="Arial" w:cs="Arial"/>
                <w:b/>
                <w:sz w:val="24"/>
                <w:szCs w:val="24"/>
              </w:rPr>
            </w:pPr>
          </w:p>
          <w:p w14:paraId="0216EF62" w14:textId="77777777" w:rsidR="005F5E36" w:rsidRPr="00B00B8A" w:rsidRDefault="005F5E36" w:rsidP="005F5E36">
            <w:pPr>
              <w:jc w:val="both"/>
              <w:rPr>
                <w:rFonts w:ascii="Arial" w:hAnsi="Arial" w:cs="Arial"/>
                <w:b/>
                <w:sz w:val="24"/>
                <w:szCs w:val="24"/>
              </w:rPr>
            </w:pPr>
          </w:p>
          <w:p w14:paraId="5F23291A" w14:textId="77777777" w:rsidR="005F5E36" w:rsidRPr="00B00B8A" w:rsidRDefault="005F5E36" w:rsidP="005F5E36">
            <w:pPr>
              <w:jc w:val="both"/>
              <w:rPr>
                <w:rFonts w:ascii="Arial" w:hAnsi="Arial" w:cs="Arial"/>
                <w:b/>
                <w:sz w:val="24"/>
                <w:szCs w:val="24"/>
              </w:rPr>
            </w:pPr>
          </w:p>
          <w:p w14:paraId="2B7E5529" w14:textId="77777777" w:rsidR="005F5E36" w:rsidRPr="00B00B8A" w:rsidRDefault="005F5E36" w:rsidP="005F5E36">
            <w:pPr>
              <w:jc w:val="both"/>
              <w:rPr>
                <w:rFonts w:ascii="Arial" w:hAnsi="Arial" w:cs="Arial"/>
                <w:b/>
                <w:sz w:val="24"/>
                <w:szCs w:val="24"/>
              </w:rPr>
            </w:pPr>
          </w:p>
          <w:p w14:paraId="7292050E" w14:textId="77777777" w:rsidR="005F5E36" w:rsidRPr="00B00B8A" w:rsidRDefault="005F5E36" w:rsidP="005F5E36">
            <w:pPr>
              <w:jc w:val="both"/>
              <w:rPr>
                <w:rFonts w:ascii="Arial" w:hAnsi="Arial" w:cs="Arial"/>
                <w:b/>
                <w:sz w:val="24"/>
                <w:szCs w:val="24"/>
              </w:rPr>
            </w:pPr>
          </w:p>
          <w:p w14:paraId="2BDE37D0" w14:textId="77777777" w:rsidR="005F5E36" w:rsidRPr="00B00B8A" w:rsidRDefault="005F5E36" w:rsidP="005F5E36">
            <w:pPr>
              <w:jc w:val="both"/>
              <w:rPr>
                <w:rFonts w:ascii="Arial" w:hAnsi="Arial" w:cs="Arial"/>
                <w:b/>
                <w:sz w:val="24"/>
                <w:szCs w:val="24"/>
              </w:rPr>
            </w:pPr>
          </w:p>
          <w:p w14:paraId="393FCFEC" w14:textId="77777777" w:rsidR="005F5E36" w:rsidRPr="00B00B8A" w:rsidRDefault="005F5E36" w:rsidP="005F5E36">
            <w:pPr>
              <w:jc w:val="both"/>
              <w:rPr>
                <w:rFonts w:ascii="Arial" w:hAnsi="Arial" w:cs="Arial"/>
                <w:b/>
                <w:sz w:val="24"/>
                <w:szCs w:val="24"/>
              </w:rPr>
            </w:pPr>
          </w:p>
          <w:p w14:paraId="2280F5A4" w14:textId="77777777" w:rsidR="005F5E36" w:rsidRPr="00B00B8A" w:rsidRDefault="005F5E36" w:rsidP="005F5E36">
            <w:pPr>
              <w:jc w:val="both"/>
              <w:rPr>
                <w:rFonts w:ascii="Arial" w:hAnsi="Arial" w:cs="Arial"/>
                <w:b/>
                <w:sz w:val="24"/>
                <w:szCs w:val="24"/>
              </w:rPr>
            </w:pPr>
          </w:p>
          <w:p w14:paraId="20DCCFA7" w14:textId="77777777" w:rsidR="005F5E36" w:rsidRPr="00B00B8A" w:rsidRDefault="005F5E36" w:rsidP="005F5E36">
            <w:pPr>
              <w:jc w:val="both"/>
              <w:rPr>
                <w:rFonts w:ascii="Arial" w:hAnsi="Arial" w:cs="Arial"/>
                <w:b/>
                <w:sz w:val="24"/>
                <w:szCs w:val="24"/>
              </w:rPr>
            </w:pPr>
          </w:p>
          <w:p w14:paraId="0B46C4BF" w14:textId="77777777" w:rsidR="005F5E36" w:rsidRPr="00B00B8A" w:rsidRDefault="005F5E36" w:rsidP="005F5E36">
            <w:pPr>
              <w:jc w:val="both"/>
              <w:rPr>
                <w:rFonts w:ascii="Arial" w:hAnsi="Arial" w:cs="Arial"/>
                <w:b/>
                <w:sz w:val="24"/>
                <w:szCs w:val="24"/>
              </w:rPr>
            </w:pPr>
          </w:p>
          <w:p w14:paraId="70A5905C" w14:textId="77777777" w:rsidR="005F5E36" w:rsidRPr="00B00B8A" w:rsidRDefault="005F5E36" w:rsidP="005F5E36">
            <w:pPr>
              <w:jc w:val="both"/>
              <w:rPr>
                <w:rFonts w:ascii="Arial" w:hAnsi="Arial" w:cs="Arial"/>
                <w:b/>
                <w:sz w:val="24"/>
                <w:szCs w:val="24"/>
              </w:rPr>
            </w:pPr>
          </w:p>
          <w:p w14:paraId="0599AD74" w14:textId="77777777" w:rsidR="005F5E36" w:rsidRPr="00B00B8A" w:rsidRDefault="005F5E36" w:rsidP="005F5E36">
            <w:pPr>
              <w:jc w:val="both"/>
              <w:rPr>
                <w:rFonts w:ascii="Arial" w:hAnsi="Arial" w:cs="Arial"/>
                <w:b/>
                <w:sz w:val="24"/>
                <w:szCs w:val="24"/>
              </w:rPr>
            </w:pPr>
          </w:p>
          <w:p w14:paraId="49F4BB11" w14:textId="77777777" w:rsidR="005F5E36" w:rsidRPr="00B00B8A" w:rsidRDefault="005F5E36" w:rsidP="005F5E36">
            <w:pPr>
              <w:jc w:val="both"/>
              <w:rPr>
                <w:rFonts w:ascii="Arial" w:hAnsi="Arial" w:cs="Arial"/>
                <w:b/>
                <w:sz w:val="24"/>
                <w:szCs w:val="24"/>
              </w:rPr>
            </w:pPr>
          </w:p>
          <w:p w14:paraId="4427FFEE" w14:textId="77777777" w:rsidR="005F5E36" w:rsidRPr="00B00B8A" w:rsidRDefault="005F5E36" w:rsidP="005F5E36">
            <w:pPr>
              <w:jc w:val="both"/>
              <w:rPr>
                <w:rFonts w:ascii="Arial" w:hAnsi="Arial" w:cs="Arial"/>
                <w:b/>
                <w:sz w:val="24"/>
                <w:szCs w:val="24"/>
              </w:rPr>
            </w:pPr>
          </w:p>
          <w:p w14:paraId="4C3CF234" w14:textId="77777777" w:rsidR="005F5E36" w:rsidRPr="00B00B8A" w:rsidRDefault="005F5E36" w:rsidP="005F5E36">
            <w:pPr>
              <w:jc w:val="both"/>
              <w:rPr>
                <w:rFonts w:ascii="Arial" w:hAnsi="Arial" w:cs="Arial"/>
                <w:b/>
                <w:sz w:val="24"/>
                <w:szCs w:val="24"/>
              </w:rPr>
            </w:pPr>
          </w:p>
          <w:p w14:paraId="318B72B3" w14:textId="77777777" w:rsidR="005F5E36" w:rsidRPr="00B00B8A" w:rsidRDefault="005F5E36" w:rsidP="005F5E36">
            <w:pPr>
              <w:jc w:val="both"/>
              <w:rPr>
                <w:rFonts w:ascii="Arial" w:hAnsi="Arial" w:cs="Arial"/>
                <w:b/>
                <w:sz w:val="24"/>
                <w:szCs w:val="24"/>
              </w:rPr>
            </w:pPr>
          </w:p>
          <w:p w14:paraId="727DE892" w14:textId="77777777" w:rsidR="005F5E36" w:rsidRPr="00B00B8A" w:rsidRDefault="005F5E36" w:rsidP="005F5E36">
            <w:pPr>
              <w:jc w:val="both"/>
              <w:rPr>
                <w:rFonts w:ascii="Arial" w:hAnsi="Arial" w:cs="Arial"/>
                <w:b/>
                <w:sz w:val="24"/>
                <w:szCs w:val="24"/>
              </w:rPr>
            </w:pPr>
          </w:p>
          <w:p w14:paraId="0D998DA8" w14:textId="77777777" w:rsidR="005F5E36" w:rsidRPr="00B00B8A" w:rsidRDefault="005F5E36" w:rsidP="005F5E36">
            <w:pPr>
              <w:jc w:val="both"/>
              <w:rPr>
                <w:rFonts w:ascii="Arial" w:hAnsi="Arial" w:cs="Arial"/>
                <w:b/>
                <w:sz w:val="24"/>
                <w:szCs w:val="24"/>
              </w:rPr>
            </w:pPr>
          </w:p>
          <w:p w14:paraId="4B40ABE8" w14:textId="77777777" w:rsidR="005F5E36" w:rsidRPr="00B00B8A" w:rsidRDefault="005F5E36" w:rsidP="005F5E36">
            <w:pPr>
              <w:jc w:val="both"/>
              <w:rPr>
                <w:rFonts w:ascii="Arial" w:hAnsi="Arial" w:cs="Arial"/>
                <w:b/>
                <w:sz w:val="24"/>
                <w:szCs w:val="24"/>
              </w:rPr>
            </w:pPr>
          </w:p>
          <w:p w14:paraId="0173DE89" w14:textId="77777777" w:rsidR="005F5E36" w:rsidRPr="00B00B8A" w:rsidRDefault="005F5E36" w:rsidP="005F5E36">
            <w:pPr>
              <w:jc w:val="both"/>
              <w:rPr>
                <w:rFonts w:ascii="Arial" w:hAnsi="Arial" w:cs="Arial"/>
                <w:b/>
                <w:sz w:val="24"/>
                <w:szCs w:val="24"/>
              </w:rPr>
            </w:pPr>
          </w:p>
          <w:p w14:paraId="1826A4CB" w14:textId="77777777" w:rsidR="005F5E36" w:rsidRPr="00B00B8A" w:rsidRDefault="005F5E36" w:rsidP="005F5E36">
            <w:pPr>
              <w:jc w:val="both"/>
              <w:rPr>
                <w:rFonts w:ascii="Arial" w:hAnsi="Arial" w:cs="Arial"/>
                <w:b/>
                <w:sz w:val="24"/>
                <w:szCs w:val="24"/>
              </w:rPr>
            </w:pPr>
          </w:p>
          <w:p w14:paraId="7B3A4036" w14:textId="77777777" w:rsidR="005F5E36" w:rsidRPr="00B00B8A" w:rsidRDefault="005F5E36" w:rsidP="005F5E36">
            <w:pPr>
              <w:jc w:val="both"/>
              <w:rPr>
                <w:rFonts w:ascii="Arial" w:hAnsi="Arial" w:cs="Arial"/>
                <w:b/>
                <w:sz w:val="24"/>
                <w:szCs w:val="24"/>
              </w:rPr>
            </w:pPr>
          </w:p>
          <w:p w14:paraId="126785A1" w14:textId="77777777" w:rsidR="005F5E36" w:rsidRPr="00B00B8A" w:rsidRDefault="005F5E36" w:rsidP="005F5E36">
            <w:pPr>
              <w:jc w:val="both"/>
              <w:rPr>
                <w:rFonts w:ascii="Arial" w:hAnsi="Arial" w:cs="Arial"/>
                <w:b/>
                <w:sz w:val="24"/>
                <w:szCs w:val="24"/>
              </w:rPr>
            </w:pPr>
          </w:p>
          <w:p w14:paraId="0BBE7980" w14:textId="77777777" w:rsidR="005F5E36" w:rsidRPr="00B00B8A" w:rsidRDefault="005F5E36" w:rsidP="005F5E36">
            <w:pPr>
              <w:jc w:val="both"/>
              <w:rPr>
                <w:rFonts w:ascii="Arial" w:hAnsi="Arial" w:cs="Arial"/>
                <w:b/>
                <w:sz w:val="24"/>
                <w:szCs w:val="24"/>
              </w:rPr>
            </w:pPr>
          </w:p>
          <w:p w14:paraId="7724D885" w14:textId="77777777" w:rsidR="005F5E36" w:rsidRPr="00B00B8A" w:rsidRDefault="005F5E36" w:rsidP="005F5E36">
            <w:pPr>
              <w:jc w:val="both"/>
              <w:rPr>
                <w:rFonts w:ascii="Arial" w:hAnsi="Arial" w:cs="Arial"/>
                <w:b/>
                <w:sz w:val="24"/>
                <w:szCs w:val="24"/>
              </w:rPr>
            </w:pPr>
          </w:p>
          <w:p w14:paraId="1D4F9A34" w14:textId="77777777" w:rsidR="005F5E36" w:rsidRPr="00B00B8A" w:rsidRDefault="005F5E36" w:rsidP="005F5E36">
            <w:pPr>
              <w:jc w:val="both"/>
              <w:rPr>
                <w:rFonts w:ascii="Arial" w:hAnsi="Arial" w:cs="Arial"/>
                <w:b/>
                <w:sz w:val="24"/>
                <w:szCs w:val="24"/>
              </w:rPr>
            </w:pPr>
          </w:p>
          <w:p w14:paraId="2A9AD603" w14:textId="77777777" w:rsidR="005F5E36" w:rsidRPr="00B00B8A" w:rsidRDefault="005F5E36" w:rsidP="005F5E36">
            <w:pPr>
              <w:jc w:val="both"/>
              <w:rPr>
                <w:rFonts w:ascii="Arial" w:hAnsi="Arial" w:cs="Arial"/>
                <w:b/>
                <w:sz w:val="24"/>
                <w:szCs w:val="24"/>
              </w:rPr>
            </w:pPr>
          </w:p>
          <w:p w14:paraId="1EEFECA0" w14:textId="77777777" w:rsidR="005F5E36" w:rsidRPr="00B00B8A" w:rsidRDefault="005F5E36" w:rsidP="005F5E36">
            <w:pPr>
              <w:jc w:val="both"/>
              <w:rPr>
                <w:rFonts w:ascii="Arial" w:hAnsi="Arial" w:cs="Arial"/>
                <w:b/>
                <w:sz w:val="24"/>
                <w:szCs w:val="24"/>
              </w:rPr>
            </w:pPr>
          </w:p>
          <w:p w14:paraId="5AB998F5" w14:textId="77777777" w:rsidR="005F5E36" w:rsidRPr="00B00B8A" w:rsidRDefault="005F5E36" w:rsidP="005F5E36">
            <w:pPr>
              <w:jc w:val="both"/>
              <w:rPr>
                <w:rFonts w:ascii="Arial" w:hAnsi="Arial" w:cs="Arial"/>
                <w:b/>
                <w:sz w:val="24"/>
                <w:szCs w:val="24"/>
              </w:rPr>
            </w:pPr>
          </w:p>
          <w:p w14:paraId="216952B8" w14:textId="77777777" w:rsidR="005F5E36" w:rsidRPr="00B00B8A" w:rsidRDefault="005F5E36" w:rsidP="005F5E36">
            <w:pPr>
              <w:jc w:val="both"/>
              <w:rPr>
                <w:rFonts w:ascii="Arial" w:hAnsi="Arial" w:cs="Arial"/>
                <w:b/>
                <w:sz w:val="24"/>
                <w:szCs w:val="24"/>
              </w:rPr>
            </w:pPr>
          </w:p>
          <w:p w14:paraId="201D3729" w14:textId="77777777" w:rsidR="005F5E36" w:rsidRPr="00B00B8A" w:rsidRDefault="005F5E36" w:rsidP="005F5E36">
            <w:pPr>
              <w:jc w:val="both"/>
              <w:rPr>
                <w:rFonts w:ascii="Arial" w:hAnsi="Arial" w:cs="Arial"/>
                <w:b/>
                <w:sz w:val="24"/>
                <w:szCs w:val="24"/>
              </w:rPr>
            </w:pPr>
          </w:p>
          <w:p w14:paraId="11D23762" w14:textId="77777777" w:rsidR="005F5E36" w:rsidRPr="00B00B8A" w:rsidRDefault="005F5E36" w:rsidP="005F5E36">
            <w:pPr>
              <w:jc w:val="both"/>
              <w:rPr>
                <w:rFonts w:ascii="Arial" w:hAnsi="Arial" w:cs="Arial"/>
                <w:b/>
                <w:sz w:val="24"/>
                <w:szCs w:val="24"/>
              </w:rPr>
            </w:pPr>
          </w:p>
          <w:p w14:paraId="3E03DAF2" w14:textId="77777777" w:rsidR="005F5E36" w:rsidRPr="00B00B8A" w:rsidRDefault="005F5E36" w:rsidP="005F5E36">
            <w:pPr>
              <w:jc w:val="both"/>
              <w:rPr>
                <w:rFonts w:ascii="Arial" w:hAnsi="Arial" w:cs="Arial"/>
                <w:b/>
                <w:sz w:val="24"/>
                <w:szCs w:val="24"/>
              </w:rPr>
            </w:pPr>
          </w:p>
          <w:p w14:paraId="771BFBB4" w14:textId="77777777" w:rsidR="005F5E36" w:rsidRPr="00B00B8A" w:rsidRDefault="005F5E36" w:rsidP="005F5E36">
            <w:pPr>
              <w:jc w:val="both"/>
              <w:rPr>
                <w:rFonts w:ascii="Arial" w:hAnsi="Arial" w:cs="Arial"/>
                <w:b/>
                <w:sz w:val="24"/>
                <w:szCs w:val="24"/>
              </w:rPr>
            </w:pPr>
          </w:p>
          <w:p w14:paraId="51A7956E" w14:textId="77777777" w:rsidR="005F5E36" w:rsidRPr="00B00B8A" w:rsidRDefault="005F5E36" w:rsidP="005F5E36">
            <w:pPr>
              <w:jc w:val="both"/>
              <w:rPr>
                <w:rFonts w:ascii="Arial" w:hAnsi="Arial" w:cs="Arial"/>
                <w:b/>
                <w:sz w:val="24"/>
                <w:szCs w:val="24"/>
              </w:rPr>
            </w:pPr>
          </w:p>
          <w:p w14:paraId="2A9AB07D" w14:textId="77777777" w:rsidR="005F5E36" w:rsidRPr="00B00B8A" w:rsidRDefault="005F5E36" w:rsidP="005F5E36">
            <w:pPr>
              <w:jc w:val="both"/>
              <w:rPr>
                <w:rFonts w:ascii="Arial" w:hAnsi="Arial" w:cs="Arial"/>
                <w:b/>
                <w:sz w:val="24"/>
                <w:szCs w:val="24"/>
              </w:rPr>
            </w:pPr>
          </w:p>
          <w:p w14:paraId="1AB33536" w14:textId="77777777" w:rsidR="005F5E36" w:rsidRPr="00B00B8A" w:rsidRDefault="005F5E36" w:rsidP="005F5E36">
            <w:pPr>
              <w:jc w:val="both"/>
              <w:rPr>
                <w:rFonts w:ascii="Arial" w:hAnsi="Arial" w:cs="Arial"/>
                <w:b/>
                <w:sz w:val="24"/>
                <w:szCs w:val="24"/>
              </w:rPr>
            </w:pPr>
          </w:p>
          <w:p w14:paraId="5B58BB11" w14:textId="77777777" w:rsidR="005F5E36" w:rsidRPr="00B00B8A" w:rsidRDefault="005F5E36" w:rsidP="005F5E36">
            <w:pPr>
              <w:jc w:val="both"/>
              <w:rPr>
                <w:rFonts w:ascii="Arial" w:hAnsi="Arial" w:cs="Arial"/>
                <w:b/>
                <w:sz w:val="24"/>
                <w:szCs w:val="24"/>
              </w:rPr>
            </w:pPr>
          </w:p>
          <w:p w14:paraId="78862BFE" w14:textId="77777777" w:rsidR="005F5E36" w:rsidRPr="00B00B8A" w:rsidRDefault="005F5E36" w:rsidP="005F5E36">
            <w:pPr>
              <w:jc w:val="both"/>
              <w:rPr>
                <w:rFonts w:ascii="Arial" w:hAnsi="Arial" w:cs="Arial"/>
                <w:b/>
                <w:sz w:val="24"/>
                <w:szCs w:val="24"/>
              </w:rPr>
            </w:pPr>
          </w:p>
          <w:p w14:paraId="547634D3" w14:textId="77777777" w:rsidR="005F5E36" w:rsidRPr="00B00B8A" w:rsidRDefault="005F5E36" w:rsidP="005F5E36">
            <w:pPr>
              <w:jc w:val="both"/>
              <w:rPr>
                <w:rFonts w:ascii="Arial" w:hAnsi="Arial" w:cs="Arial"/>
                <w:b/>
                <w:sz w:val="24"/>
                <w:szCs w:val="24"/>
              </w:rPr>
            </w:pPr>
          </w:p>
          <w:p w14:paraId="4958CDB4" w14:textId="77777777" w:rsidR="005F5E36" w:rsidRPr="00B00B8A" w:rsidRDefault="005F5E36" w:rsidP="005F5E36">
            <w:pPr>
              <w:jc w:val="both"/>
              <w:rPr>
                <w:rFonts w:ascii="Arial" w:hAnsi="Arial" w:cs="Arial"/>
                <w:b/>
                <w:sz w:val="24"/>
                <w:szCs w:val="24"/>
              </w:rPr>
            </w:pPr>
          </w:p>
          <w:p w14:paraId="644AFA83" w14:textId="77777777" w:rsidR="005F5E36" w:rsidRPr="00B00B8A" w:rsidRDefault="005F5E36" w:rsidP="005F5E36">
            <w:pPr>
              <w:jc w:val="both"/>
              <w:rPr>
                <w:rFonts w:ascii="Arial" w:hAnsi="Arial" w:cs="Arial"/>
                <w:b/>
                <w:sz w:val="24"/>
                <w:szCs w:val="24"/>
              </w:rPr>
            </w:pPr>
          </w:p>
          <w:p w14:paraId="43D3AB65" w14:textId="77777777" w:rsidR="005F5E36" w:rsidRPr="00B00B8A" w:rsidRDefault="005F5E36" w:rsidP="005F5E36">
            <w:pPr>
              <w:jc w:val="both"/>
              <w:rPr>
                <w:rFonts w:ascii="Arial" w:hAnsi="Arial" w:cs="Arial"/>
                <w:b/>
                <w:sz w:val="24"/>
                <w:szCs w:val="24"/>
              </w:rPr>
            </w:pPr>
          </w:p>
          <w:p w14:paraId="35525708" w14:textId="77777777" w:rsidR="005F5E36" w:rsidRPr="00B00B8A" w:rsidRDefault="005F5E36" w:rsidP="005F5E36">
            <w:pPr>
              <w:jc w:val="both"/>
              <w:rPr>
                <w:rFonts w:ascii="Arial" w:hAnsi="Arial" w:cs="Arial"/>
                <w:b/>
                <w:sz w:val="24"/>
                <w:szCs w:val="24"/>
              </w:rPr>
            </w:pPr>
          </w:p>
          <w:p w14:paraId="126C4469" w14:textId="77777777" w:rsidR="005F5E36" w:rsidRPr="00B00B8A" w:rsidRDefault="005F5E36" w:rsidP="005F5E36">
            <w:pPr>
              <w:jc w:val="both"/>
              <w:rPr>
                <w:rFonts w:ascii="Arial" w:hAnsi="Arial" w:cs="Arial"/>
                <w:b/>
                <w:sz w:val="24"/>
                <w:szCs w:val="24"/>
              </w:rPr>
            </w:pPr>
          </w:p>
          <w:p w14:paraId="510DFB11" w14:textId="77777777" w:rsidR="005F5E36" w:rsidRPr="00B00B8A" w:rsidRDefault="005F5E36" w:rsidP="005F5E36">
            <w:pPr>
              <w:jc w:val="both"/>
              <w:rPr>
                <w:rFonts w:ascii="Arial" w:hAnsi="Arial" w:cs="Arial"/>
                <w:b/>
                <w:sz w:val="24"/>
                <w:szCs w:val="24"/>
              </w:rPr>
            </w:pPr>
          </w:p>
          <w:p w14:paraId="75A4FA04" w14:textId="77777777" w:rsidR="005F5E36" w:rsidRPr="00B00B8A" w:rsidRDefault="005F5E36" w:rsidP="005F5E36">
            <w:pPr>
              <w:jc w:val="both"/>
              <w:rPr>
                <w:rFonts w:ascii="Arial" w:hAnsi="Arial" w:cs="Arial"/>
                <w:b/>
                <w:sz w:val="24"/>
                <w:szCs w:val="24"/>
              </w:rPr>
            </w:pPr>
          </w:p>
          <w:p w14:paraId="249C2124" w14:textId="77777777" w:rsidR="005F5E36" w:rsidRPr="00B00B8A" w:rsidRDefault="005F5E36" w:rsidP="005F5E36">
            <w:pPr>
              <w:jc w:val="both"/>
              <w:rPr>
                <w:rFonts w:ascii="Arial" w:hAnsi="Arial" w:cs="Arial"/>
                <w:b/>
                <w:sz w:val="24"/>
                <w:szCs w:val="24"/>
              </w:rPr>
            </w:pPr>
          </w:p>
          <w:p w14:paraId="345AA19D" w14:textId="77777777" w:rsidR="005F5E36" w:rsidRPr="00B00B8A" w:rsidRDefault="005F5E36" w:rsidP="005F5E36">
            <w:pPr>
              <w:jc w:val="both"/>
              <w:rPr>
                <w:rFonts w:ascii="Arial" w:hAnsi="Arial" w:cs="Arial"/>
                <w:b/>
                <w:sz w:val="24"/>
                <w:szCs w:val="24"/>
              </w:rPr>
            </w:pPr>
          </w:p>
          <w:p w14:paraId="7FB0974B" w14:textId="77777777" w:rsidR="005F5E36" w:rsidRPr="00B00B8A" w:rsidRDefault="005F5E36" w:rsidP="005F5E36">
            <w:pPr>
              <w:jc w:val="both"/>
              <w:rPr>
                <w:rFonts w:ascii="Arial" w:hAnsi="Arial" w:cs="Arial"/>
                <w:b/>
                <w:sz w:val="24"/>
                <w:szCs w:val="24"/>
              </w:rPr>
            </w:pPr>
          </w:p>
          <w:p w14:paraId="35C424FE" w14:textId="77777777" w:rsidR="005F5E36" w:rsidRPr="00B00B8A" w:rsidRDefault="005F5E36" w:rsidP="005F5E36">
            <w:pPr>
              <w:jc w:val="both"/>
              <w:rPr>
                <w:rFonts w:ascii="Arial" w:hAnsi="Arial" w:cs="Arial"/>
                <w:b/>
                <w:sz w:val="24"/>
                <w:szCs w:val="24"/>
              </w:rPr>
            </w:pPr>
          </w:p>
          <w:p w14:paraId="6DCF0578" w14:textId="77777777" w:rsidR="005F5E36" w:rsidRPr="00B00B8A" w:rsidRDefault="005F5E36" w:rsidP="005F5E36">
            <w:pPr>
              <w:jc w:val="both"/>
              <w:rPr>
                <w:rFonts w:ascii="Arial" w:hAnsi="Arial" w:cs="Arial"/>
                <w:b/>
                <w:sz w:val="24"/>
                <w:szCs w:val="24"/>
              </w:rPr>
            </w:pPr>
          </w:p>
          <w:p w14:paraId="7B36C8DE" w14:textId="77777777" w:rsidR="005F5E36" w:rsidRPr="00B00B8A" w:rsidRDefault="005F5E36" w:rsidP="005F5E36">
            <w:pPr>
              <w:jc w:val="both"/>
              <w:rPr>
                <w:rFonts w:ascii="Arial" w:hAnsi="Arial" w:cs="Arial"/>
                <w:b/>
                <w:sz w:val="24"/>
                <w:szCs w:val="24"/>
              </w:rPr>
            </w:pPr>
          </w:p>
          <w:p w14:paraId="416031B3" w14:textId="77777777" w:rsidR="005F5E36" w:rsidRPr="00B00B8A" w:rsidRDefault="005F5E36" w:rsidP="005F5E36">
            <w:pPr>
              <w:jc w:val="both"/>
              <w:rPr>
                <w:rFonts w:ascii="Arial" w:hAnsi="Arial" w:cs="Arial"/>
                <w:b/>
                <w:sz w:val="24"/>
                <w:szCs w:val="24"/>
              </w:rPr>
            </w:pPr>
          </w:p>
          <w:p w14:paraId="44B900F9" w14:textId="77777777" w:rsidR="005F5E36" w:rsidRPr="00B00B8A" w:rsidRDefault="005F5E36" w:rsidP="005F5E36">
            <w:pPr>
              <w:jc w:val="both"/>
              <w:rPr>
                <w:rFonts w:ascii="Arial" w:hAnsi="Arial" w:cs="Arial"/>
                <w:b/>
                <w:sz w:val="24"/>
                <w:szCs w:val="24"/>
              </w:rPr>
            </w:pPr>
          </w:p>
          <w:p w14:paraId="7B131D27" w14:textId="77777777" w:rsidR="005F5E36" w:rsidRPr="00B00B8A" w:rsidRDefault="005F5E36" w:rsidP="005F5E36">
            <w:pPr>
              <w:jc w:val="both"/>
              <w:rPr>
                <w:rFonts w:ascii="Arial" w:hAnsi="Arial" w:cs="Arial"/>
                <w:b/>
                <w:sz w:val="24"/>
                <w:szCs w:val="24"/>
              </w:rPr>
            </w:pPr>
          </w:p>
          <w:p w14:paraId="057348EE" w14:textId="77777777" w:rsidR="005F5E36" w:rsidRPr="00B00B8A" w:rsidRDefault="005F5E36" w:rsidP="005F5E36">
            <w:pPr>
              <w:jc w:val="both"/>
              <w:rPr>
                <w:rFonts w:ascii="Arial" w:hAnsi="Arial" w:cs="Arial"/>
                <w:b/>
                <w:sz w:val="24"/>
                <w:szCs w:val="24"/>
              </w:rPr>
            </w:pPr>
          </w:p>
          <w:p w14:paraId="4984A89A" w14:textId="77777777" w:rsidR="005F5E36" w:rsidRPr="00B00B8A" w:rsidRDefault="005F5E36" w:rsidP="005F5E36">
            <w:pPr>
              <w:jc w:val="both"/>
              <w:rPr>
                <w:rFonts w:ascii="Arial" w:hAnsi="Arial" w:cs="Arial"/>
                <w:b/>
                <w:sz w:val="24"/>
                <w:szCs w:val="24"/>
              </w:rPr>
            </w:pPr>
          </w:p>
          <w:p w14:paraId="697DE095" w14:textId="77777777" w:rsidR="005F5E36" w:rsidRPr="00B00B8A" w:rsidRDefault="005F5E36" w:rsidP="005F5E36">
            <w:pPr>
              <w:jc w:val="both"/>
              <w:rPr>
                <w:rFonts w:ascii="Arial" w:hAnsi="Arial" w:cs="Arial"/>
                <w:b/>
                <w:sz w:val="24"/>
                <w:szCs w:val="24"/>
              </w:rPr>
            </w:pPr>
          </w:p>
          <w:p w14:paraId="6B963414" w14:textId="77777777" w:rsidR="005F5E36" w:rsidRPr="00B00B8A" w:rsidRDefault="005F5E36" w:rsidP="005F5E36">
            <w:pPr>
              <w:jc w:val="both"/>
              <w:rPr>
                <w:rFonts w:ascii="Arial" w:hAnsi="Arial" w:cs="Arial"/>
                <w:b/>
                <w:sz w:val="24"/>
                <w:szCs w:val="24"/>
              </w:rPr>
            </w:pPr>
          </w:p>
          <w:p w14:paraId="7A5F9476" w14:textId="77777777" w:rsidR="005F5E36" w:rsidRPr="00B00B8A" w:rsidRDefault="005F5E36" w:rsidP="005F5E36">
            <w:pPr>
              <w:jc w:val="both"/>
              <w:rPr>
                <w:rFonts w:ascii="Arial" w:hAnsi="Arial" w:cs="Arial"/>
                <w:b/>
                <w:sz w:val="24"/>
                <w:szCs w:val="24"/>
              </w:rPr>
            </w:pPr>
          </w:p>
          <w:p w14:paraId="20D12A62" w14:textId="77777777" w:rsidR="005F5E36" w:rsidRPr="00B00B8A" w:rsidRDefault="005F5E36" w:rsidP="005F5E36">
            <w:pPr>
              <w:jc w:val="both"/>
              <w:rPr>
                <w:rFonts w:ascii="Arial" w:hAnsi="Arial" w:cs="Arial"/>
                <w:b/>
                <w:sz w:val="24"/>
                <w:szCs w:val="24"/>
              </w:rPr>
            </w:pPr>
          </w:p>
          <w:p w14:paraId="0E381C2D" w14:textId="77777777" w:rsidR="005F5E36" w:rsidRPr="00B00B8A" w:rsidRDefault="005F5E36" w:rsidP="005F5E36">
            <w:pPr>
              <w:jc w:val="both"/>
              <w:rPr>
                <w:rFonts w:ascii="Arial" w:hAnsi="Arial" w:cs="Arial"/>
                <w:b/>
                <w:sz w:val="24"/>
                <w:szCs w:val="24"/>
              </w:rPr>
            </w:pPr>
          </w:p>
          <w:p w14:paraId="524E9033" w14:textId="77777777" w:rsidR="005F5E36" w:rsidRPr="00B00B8A" w:rsidRDefault="005F5E36" w:rsidP="005F5E36">
            <w:pPr>
              <w:jc w:val="both"/>
              <w:rPr>
                <w:rFonts w:ascii="Arial" w:hAnsi="Arial" w:cs="Arial"/>
                <w:b/>
                <w:sz w:val="24"/>
                <w:szCs w:val="24"/>
              </w:rPr>
            </w:pPr>
          </w:p>
          <w:p w14:paraId="0B42C934" w14:textId="77777777" w:rsidR="005F5E36" w:rsidRPr="00B00B8A" w:rsidRDefault="005F5E36" w:rsidP="005F5E36">
            <w:pPr>
              <w:jc w:val="both"/>
              <w:rPr>
                <w:rFonts w:ascii="Arial" w:hAnsi="Arial" w:cs="Arial"/>
                <w:b/>
                <w:sz w:val="24"/>
                <w:szCs w:val="24"/>
              </w:rPr>
            </w:pPr>
          </w:p>
          <w:p w14:paraId="1B9F2198" w14:textId="77777777" w:rsidR="005F5E36" w:rsidRPr="00B00B8A" w:rsidRDefault="005F5E36" w:rsidP="005F5E36">
            <w:pPr>
              <w:jc w:val="both"/>
              <w:rPr>
                <w:rFonts w:ascii="Arial" w:hAnsi="Arial" w:cs="Arial"/>
                <w:b/>
                <w:sz w:val="24"/>
                <w:szCs w:val="24"/>
              </w:rPr>
            </w:pPr>
          </w:p>
          <w:p w14:paraId="098B0A44" w14:textId="77777777" w:rsidR="005F5E36" w:rsidRPr="00B00B8A" w:rsidRDefault="005F5E36" w:rsidP="005F5E36">
            <w:pPr>
              <w:jc w:val="both"/>
              <w:rPr>
                <w:rFonts w:ascii="Arial" w:hAnsi="Arial" w:cs="Arial"/>
                <w:b/>
                <w:sz w:val="24"/>
                <w:szCs w:val="24"/>
              </w:rPr>
            </w:pPr>
          </w:p>
          <w:p w14:paraId="7222ABE2" w14:textId="77777777" w:rsidR="005F5E36" w:rsidRPr="00B00B8A" w:rsidRDefault="005F5E36" w:rsidP="005F5E36">
            <w:pPr>
              <w:jc w:val="both"/>
              <w:rPr>
                <w:rFonts w:ascii="Arial" w:hAnsi="Arial" w:cs="Arial"/>
                <w:b/>
                <w:sz w:val="24"/>
                <w:szCs w:val="24"/>
              </w:rPr>
            </w:pPr>
          </w:p>
          <w:p w14:paraId="360C9ED0" w14:textId="77777777" w:rsidR="005F5E36" w:rsidRPr="00B00B8A" w:rsidRDefault="005F5E36" w:rsidP="005F5E36">
            <w:pPr>
              <w:jc w:val="both"/>
              <w:rPr>
                <w:rFonts w:ascii="Arial" w:hAnsi="Arial" w:cs="Arial"/>
                <w:b/>
                <w:sz w:val="24"/>
                <w:szCs w:val="24"/>
              </w:rPr>
            </w:pPr>
          </w:p>
          <w:p w14:paraId="263236E9" w14:textId="77777777" w:rsidR="005F5E36" w:rsidRPr="00B00B8A" w:rsidRDefault="005F5E36" w:rsidP="005F5E36">
            <w:pPr>
              <w:jc w:val="both"/>
              <w:rPr>
                <w:rFonts w:ascii="Arial" w:hAnsi="Arial" w:cs="Arial"/>
                <w:b/>
                <w:sz w:val="24"/>
                <w:szCs w:val="24"/>
              </w:rPr>
            </w:pPr>
          </w:p>
          <w:p w14:paraId="68300B02" w14:textId="77777777" w:rsidR="005F5E36" w:rsidRPr="00B00B8A" w:rsidRDefault="005F5E36" w:rsidP="005F5E36">
            <w:pPr>
              <w:jc w:val="both"/>
              <w:rPr>
                <w:rFonts w:ascii="Arial" w:hAnsi="Arial" w:cs="Arial"/>
                <w:b/>
                <w:sz w:val="24"/>
                <w:szCs w:val="24"/>
              </w:rPr>
            </w:pPr>
          </w:p>
          <w:p w14:paraId="06924255" w14:textId="77777777" w:rsidR="005F5E36" w:rsidRPr="00B00B8A" w:rsidRDefault="005F5E36" w:rsidP="005F5E36">
            <w:pPr>
              <w:jc w:val="both"/>
              <w:rPr>
                <w:rFonts w:ascii="Arial" w:hAnsi="Arial" w:cs="Arial"/>
                <w:b/>
                <w:sz w:val="24"/>
                <w:szCs w:val="24"/>
              </w:rPr>
            </w:pPr>
          </w:p>
          <w:p w14:paraId="1A996CF7" w14:textId="77777777" w:rsidR="005F5E36" w:rsidRPr="00B00B8A" w:rsidRDefault="005F5E36" w:rsidP="005F5E36">
            <w:pPr>
              <w:jc w:val="both"/>
              <w:rPr>
                <w:rFonts w:ascii="Arial" w:hAnsi="Arial" w:cs="Arial"/>
                <w:b/>
                <w:sz w:val="24"/>
                <w:szCs w:val="24"/>
              </w:rPr>
            </w:pPr>
          </w:p>
          <w:p w14:paraId="18FFF42C" w14:textId="77777777" w:rsidR="005F5E36" w:rsidRPr="00B00B8A" w:rsidRDefault="005F5E36" w:rsidP="005F5E36">
            <w:pPr>
              <w:jc w:val="both"/>
              <w:rPr>
                <w:rFonts w:ascii="Arial" w:hAnsi="Arial" w:cs="Arial"/>
                <w:b/>
                <w:sz w:val="24"/>
                <w:szCs w:val="24"/>
              </w:rPr>
            </w:pPr>
          </w:p>
          <w:p w14:paraId="0766675D" w14:textId="77777777" w:rsidR="005F5E36" w:rsidRPr="00B00B8A" w:rsidRDefault="005F5E36" w:rsidP="005F5E36">
            <w:pPr>
              <w:jc w:val="both"/>
              <w:rPr>
                <w:rFonts w:ascii="Arial" w:hAnsi="Arial" w:cs="Arial"/>
                <w:b/>
                <w:sz w:val="24"/>
                <w:szCs w:val="24"/>
              </w:rPr>
            </w:pPr>
          </w:p>
          <w:p w14:paraId="6AB9843D" w14:textId="77777777" w:rsidR="005F5E36" w:rsidRPr="00B00B8A" w:rsidRDefault="005F5E36" w:rsidP="005F5E36">
            <w:pPr>
              <w:jc w:val="both"/>
              <w:rPr>
                <w:rFonts w:ascii="Arial" w:hAnsi="Arial" w:cs="Arial"/>
                <w:b/>
                <w:sz w:val="24"/>
                <w:szCs w:val="24"/>
              </w:rPr>
            </w:pPr>
          </w:p>
          <w:p w14:paraId="35300768" w14:textId="77777777" w:rsidR="005F5E36" w:rsidRPr="00B00B8A" w:rsidRDefault="005F5E36" w:rsidP="005F5E36">
            <w:pPr>
              <w:jc w:val="both"/>
              <w:rPr>
                <w:rFonts w:ascii="Arial" w:hAnsi="Arial" w:cs="Arial"/>
                <w:b/>
                <w:sz w:val="24"/>
                <w:szCs w:val="24"/>
              </w:rPr>
            </w:pPr>
          </w:p>
          <w:p w14:paraId="60C3B73D" w14:textId="77777777" w:rsidR="005F5E36" w:rsidRPr="00B00B8A" w:rsidRDefault="005F5E36" w:rsidP="005F5E36">
            <w:pPr>
              <w:jc w:val="both"/>
              <w:rPr>
                <w:rFonts w:ascii="Arial" w:hAnsi="Arial" w:cs="Arial"/>
                <w:b/>
                <w:sz w:val="24"/>
                <w:szCs w:val="24"/>
              </w:rPr>
            </w:pPr>
          </w:p>
          <w:p w14:paraId="4D3090ED" w14:textId="77777777" w:rsidR="005F5E36" w:rsidRPr="00B00B8A" w:rsidRDefault="005F5E36" w:rsidP="005F5E36">
            <w:pPr>
              <w:jc w:val="both"/>
              <w:rPr>
                <w:rFonts w:ascii="Arial" w:hAnsi="Arial" w:cs="Arial"/>
                <w:b/>
                <w:sz w:val="24"/>
                <w:szCs w:val="24"/>
              </w:rPr>
            </w:pPr>
          </w:p>
          <w:p w14:paraId="1E9CC2A9" w14:textId="77777777" w:rsidR="005F5E36" w:rsidRPr="00B00B8A" w:rsidRDefault="005F5E36" w:rsidP="005F5E36">
            <w:pPr>
              <w:jc w:val="both"/>
              <w:rPr>
                <w:rFonts w:ascii="Arial" w:hAnsi="Arial" w:cs="Arial"/>
                <w:b/>
                <w:sz w:val="24"/>
                <w:szCs w:val="24"/>
              </w:rPr>
            </w:pPr>
          </w:p>
          <w:p w14:paraId="0ECFA6E1" w14:textId="77777777" w:rsidR="005F5E36" w:rsidRPr="00B00B8A" w:rsidRDefault="005F5E36" w:rsidP="005F5E36">
            <w:pPr>
              <w:jc w:val="both"/>
              <w:rPr>
                <w:rFonts w:ascii="Arial" w:hAnsi="Arial" w:cs="Arial"/>
                <w:b/>
                <w:sz w:val="24"/>
                <w:szCs w:val="24"/>
              </w:rPr>
            </w:pPr>
          </w:p>
          <w:p w14:paraId="0C5E085F" w14:textId="70A8DA5C" w:rsidR="005F5E36" w:rsidRPr="00B00B8A" w:rsidRDefault="005F5E36" w:rsidP="005F5E36">
            <w:pPr>
              <w:jc w:val="both"/>
              <w:rPr>
                <w:rFonts w:ascii="Arial" w:hAnsi="Arial" w:cs="Arial"/>
                <w:b/>
                <w:sz w:val="24"/>
                <w:szCs w:val="24"/>
              </w:rPr>
            </w:pPr>
          </w:p>
          <w:p w14:paraId="18CDFF4C" w14:textId="77777777" w:rsidR="00CD3668" w:rsidRPr="00B00B8A" w:rsidRDefault="00CD3668" w:rsidP="005F5E36">
            <w:pPr>
              <w:jc w:val="both"/>
              <w:rPr>
                <w:rFonts w:ascii="Arial" w:hAnsi="Arial" w:cs="Arial"/>
                <w:b/>
                <w:sz w:val="24"/>
                <w:szCs w:val="24"/>
              </w:rPr>
            </w:pPr>
          </w:p>
          <w:p w14:paraId="305C9F2A" w14:textId="062777D1" w:rsidR="005F5E36" w:rsidRPr="00B00B8A" w:rsidRDefault="00CD386E" w:rsidP="005F5E36">
            <w:pPr>
              <w:rPr>
                <w:rFonts w:ascii="Arial" w:hAnsi="Arial" w:cs="Arial"/>
                <w:color w:val="000000" w:themeColor="text1"/>
                <w:sz w:val="24"/>
                <w:szCs w:val="24"/>
                <w:lang w:val="en-ZA"/>
              </w:rPr>
            </w:pPr>
            <w:r w:rsidRPr="00B00B8A">
              <w:rPr>
                <w:rFonts w:ascii="Arial" w:hAnsi="Arial" w:cs="Arial"/>
                <w:color w:val="000000" w:themeColor="text1"/>
                <w:sz w:val="24"/>
                <w:szCs w:val="24"/>
                <w:lang w:val="en-ZA"/>
              </w:rPr>
              <w:t xml:space="preserve">Noted. </w:t>
            </w:r>
          </w:p>
          <w:p w14:paraId="6C52E818" w14:textId="77777777" w:rsidR="005F5E36" w:rsidRPr="00B00B8A" w:rsidRDefault="005F5E36" w:rsidP="005F5E36">
            <w:pPr>
              <w:rPr>
                <w:rFonts w:ascii="Arial" w:hAnsi="Arial" w:cs="Arial"/>
                <w:b/>
                <w:sz w:val="24"/>
                <w:szCs w:val="24"/>
                <w:lang w:val="en-ZA"/>
              </w:rPr>
            </w:pPr>
          </w:p>
          <w:p w14:paraId="439ED8C1" w14:textId="77777777" w:rsidR="005F5E36" w:rsidRPr="00B00B8A" w:rsidRDefault="005F5E36" w:rsidP="005F5E36">
            <w:pPr>
              <w:rPr>
                <w:rFonts w:ascii="Arial" w:hAnsi="Arial" w:cs="Arial"/>
                <w:b/>
                <w:sz w:val="24"/>
                <w:szCs w:val="24"/>
                <w:lang w:val="en-ZA"/>
              </w:rPr>
            </w:pPr>
          </w:p>
          <w:p w14:paraId="3FEE3DA7" w14:textId="77777777" w:rsidR="005F5E36" w:rsidRPr="00B00B8A" w:rsidRDefault="005F5E36" w:rsidP="005F5E36">
            <w:pPr>
              <w:rPr>
                <w:rFonts w:ascii="Arial" w:hAnsi="Arial" w:cs="Arial"/>
                <w:b/>
                <w:sz w:val="24"/>
                <w:szCs w:val="24"/>
                <w:lang w:val="en-ZA"/>
              </w:rPr>
            </w:pPr>
          </w:p>
          <w:p w14:paraId="31C00BD5" w14:textId="77777777" w:rsidR="005F5E36" w:rsidRPr="00B00B8A" w:rsidRDefault="005F5E36" w:rsidP="005F5E36">
            <w:pPr>
              <w:rPr>
                <w:rFonts w:ascii="Arial" w:hAnsi="Arial" w:cs="Arial"/>
                <w:b/>
                <w:sz w:val="24"/>
                <w:szCs w:val="24"/>
                <w:lang w:val="en-ZA"/>
              </w:rPr>
            </w:pPr>
          </w:p>
          <w:p w14:paraId="2F92ADE4" w14:textId="77777777" w:rsidR="005F5E36" w:rsidRPr="00B00B8A" w:rsidRDefault="005F5E36" w:rsidP="005F5E36">
            <w:pPr>
              <w:rPr>
                <w:rFonts w:ascii="Arial" w:hAnsi="Arial" w:cs="Arial"/>
                <w:b/>
                <w:sz w:val="24"/>
                <w:szCs w:val="24"/>
                <w:lang w:val="en-ZA"/>
              </w:rPr>
            </w:pPr>
          </w:p>
          <w:p w14:paraId="2925D08E" w14:textId="77777777" w:rsidR="005F5E36" w:rsidRPr="00B00B8A" w:rsidRDefault="005F5E36" w:rsidP="005F5E36">
            <w:pPr>
              <w:rPr>
                <w:rFonts w:ascii="Arial" w:hAnsi="Arial" w:cs="Arial"/>
                <w:b/>
                <w:sz w:val="24"/>
                <w:szCs w:val="24"/>
                <w:lang w:val="en-ZA"/>
              </w:rPr>
            </w:pPr>
          </w:p>
          <w:p w14:paraId="2ABEB16D" w14:textId="77777777" w:rsidR="005F5E36" w:rsidRPr="00B00B8A" w:rsidRDefault="005F5E36" w:rsidP="005F5E36">
            <w:pPr>
              <w:rPr>
                <w:rFonts w:ascii="Arial" w:hAnsi="Arial" w:cs="Arial"/>
                <w:b/>
                <w:sz w:val="24"/>
                <w:szCs w:val="24"/>
                <w:lang w:val="en-ZA"/>
              </w:rPr>
            </w:pPr>
          </w:p>
          <w:p w14:paraId="70A97444" w14:textId="77777777" w:rsidR="005F5E36" w:rsidRPr="00B00B8A" w:rsidRDefault="005F5E36" w:rsidP="005F5E36">
            <w:pPr>
              <w:rPr>
                <w:rFonts w:ascii="Arial" w:hAnsi="Arial" w:cs="Arial"/>
                <w:b/>
                <w:sz w:val="24"/>
                <w:szCs w:val="24"/>
                <w:lang w:val="en-ZA"/>
              </w:rPr>
            </w:pPr>
          </w:p>
          <w:p w14:paraId="1A348D67" w14:textId="77777777" w:rsidR="00F639A7" w:rsidRPr="00B00B8A" w:rsidRDefault="00F639A7" w:rsidP="00F639A7">
            <w:pPr>
              <w:rPr>
                <w:rFonts w:ascii="Arial" w:hAnsi="Arial" w:cs="Arial"/>
                <w:color w:val="000000" w:themeColor="text1"/>
                <w:sz w:val="24"/>
                <w:szCs w:val="24"/>
              </w:rPr>
            </w:pPr>
            <w:r w:rsidRPr="00B00B8A">
              <w:rPr>
                <w:rFonts w:ascii="Arial" w:hAnsi="Arial" w:cs="Arial"/>
                <w:color w:val="000000" w:themeColor="text1"/>
                <w:sz w:val="24"/>
                <w:szCs w:val="24"/>
                <w:lang w:val="en-ZA"/>
              </w:rPr>
              <w:t>It is proposed that the definition of “property” be replaced with the following definition:</w:t>
            </w:r>
          </w:p>
          <w:p w14:paraId="6D215D3D" w14:textId="77777777" w:rsidR="00F639A7" w:rsidRPr="00B00B8A" w:rsidRDefault="00F639A7" w:rsidP="00F639A7">
            <w:pPr>
              <w:rPr>
                <w:rFonts w:ascii="Arial" w:hAnsi="Arial" w:cs="Arial"/>
                <w:color w:val="000000" w:themeColor="text1"/>
                <w:sz w:val="24"/>
                <w:szCs w:val="24"/>
              </w:rPr>
            </w:pPr>
            <w:r w:rsidRPr="00B00B8A">
              <w:rPr>
                <w:rFonts w:ascii="Arial" w:hAnsi="Arial" w:cs="Arial"/>
                <w:color w:val="000000" w:themeColor="text1"/>
                <w:sz w:val="24"/>
                <w:szCs w:val="24"/>
                <w:lang w:val="en-ZA"/>
              </w:rPr>
              <w:t xml:space="preserve">“property” means </w:t>
            </w:r>
            <w:r w:rsidRPr="00B00B8A">
              <w:rPr>
                <w:rFonts w:ascii="Arial" w:hAnsi="Arial" w:cs="Arial"/>
                <w:color w:val="000000" w:themeColor="text1"/>
                <w:sz w:val="24"/>
                <w:szCs w:val="24"/>
                <w:u w:val="single"/>
                <w:lang w:val="en-ZA"/>
              </w:rPr>
              <w:t>any-</w:t>
            </w:r>
          </w:p>
          <w:p w14:paraId="3402EF89" w14:textId="77777777" w:rsidR="00D35FDB" w:rsidRPr="00B00B8A" w:rsidRDefault="00D06126" w:rsidP="00F639A7">
            <w:pPr>
              <w:numPr>
                <w:ilvl w:val="0"/>
                <w:numId w:val="9"/>
              </w:numPr>
              <w:rPr>
                <w:rFonts w:ascii="Arial" w:hAnsi="Arial" w:cs="Arial"/>
                <w:color w:val="000000" w:themeColor="text1"/>
                <w:sz w:val="24"/>
                <w:szCs w:val="24"/>
              </w:rPr>
            </w:pPr>
            <w:r w:rsidRPr="00B00B8A">
              <w:rPr>
                <w:rFonts w:ascii="Arial" w:hAnsi="Arial" w:cs="Arial"/>
                <w:color w:val="000000" w:themeColor="text1"/>
                <w:sz w:val="24"/>
                <w:szCs w:val="24"/>
              </w:rPr>
              <w:t xml:space="preserve">money </w:t>
            </w:r>
            <w:r w:rsidRPr="00B00B8A">
              <w:rPr>
                <w:rFonts w:ascii="Arial" w:hAnsi="Arial" w:cs="Arial"/>
                <w:b/>
                <w:bCs/>
                <w:color w:val="000000" w:themeColor="text1"/>
                <w:sz w:val="24"/>
                <w:szCs w:val="24"/>
              </w:rPr>
              <w:t>[or any other]</w:t>
            </w:r>
            <w:r w:rsidRPr="00B00B8A">
              <w:rPr>
                <w:rFonts w:ascii="Arial" w:hAnsi="Arial" w:cs="Arial"/>
                <w:color w:val="000000" w:themeColor="text1"/>
                <w:sz w:val="24"/>
                <w:szCs w:val="24"/>
                <w:u w:val="single"/>
              </w:rPr>
              <w:t>;</w:t>
            </w:r>
          </w:p>
          <w:p w14:paraId="6FAC36B4" w14:textId="77777777" w:rsidR="00D35FDB" w:rsidRPr="00B00B8A" w:rsidRDefault="00D06126" w:rsidP="00F639A7">
            <w:pPr>
              <w:numPr>
                <w:ilvl w:val="0"/>
                <w:numId w:val="9"/>
              </w:numPr>
              <w:rPr>
                <w:rFonts w:ascii="Arial" w:hAnsi="Arial" w:cs="Arial"/>
                <w:color w:val="000000" w:themeColor="text1"/>
                <w:sz w:val="24"/>
                <w:szCs w:val="24"/>
              </w:rPr>
            </w:pPr>
            <w:r w:rsidRPr="00B00B8A">
              <w:rPr>
                <w:rFonts w:ascii="Arial" w:hAnsi="Arial" w:cs="Arial"/>
                <w:color w:val="000000" w:themeColor="text1"/>
                <w:sz w:val="24"/>
                <w:szCs w:val="24"/>
              </w:rPr>
              <w:t xml:space="preserve">movable </w:t>
            </w:r>
            <w:r w:rsidRPr="00B00B8A">
              <w:rPr>
                <w:rFonts w:ascii="Arial" w:hAnsi="Arial" w:cs="Arial"/>
                <w:color w:val="000000" w:themeColor="text1"/>
                <w:sz w:val="24"/>
                <w:szCs w:val="24"/>
                <w:u w:val="single"/>
              </w:rPr>
              <w:t>property</w:t>
            </w:r>
            <w:r w:rsidRPr="00B00B8A">
              <w:rPr>
                <w:rFonts w:ascii="Arial" w:hAnsi="Arial" w:cs="Arial"/>
                <w:b/>
                <w:bCs/>
                <w:color w:val="000000" w:themeColor="text1"/>
                <w:sz w:val="24"/>
                <w:szCs w:val="24"/>
                <w:u w:val="single"/>
              </w:rPr>
              <w:t>[</w:t>
            </w:r>
            <w:r w:rsidRPr="00B00B8A">
              <w:rPr>
                <w:rFonts w:ascii="Arial" w:hAnsi="Arial" w:cs="Arial"/>
                <w:b/>
                <w:bCs/>
                <w:color w:val="000000" w:themeColor="text1"/>
                <w:sz w:val="24"/>
                <w:szCs w:val="24"/>
              </w:rPr>
              <w:t>,]</w:t>
            </w:r>
            <w:r w:rsidRPr="00B00B8A">
              <w:rPr>
                <w:rFonts w:ascii="Arial" w:hAnsi="Arial" w:cs="Arial"/>
                <w:color w:val="000000" w:themeColor="text1"/>
                <w:sz w:val="24"/>
                <w:szCs w:val="24"/>
                <w:u w:val="single"/>
              </w:rPr>
              <w:t>;</w:t>
            </w:r>
          </w:p>
          <w:p w14:paraId="3CBB92B9" w14:textId="77777777" w:rsidR="00D35FDB" w:rsidRPr="00B00B8A" w:rsidRDefault="00D06126" w:rsidP="00F639A7">
            <w:pPr>
              <w:numPr>
                <w:ilvl w:val="0"/>
                <w:numId w:val="9"/>
              </w:numPr>
              <w:rPr>
                <w:rFonts w:ascii="Arial" w:hAnsi="Arial" w:cs="Arial"/>
                <w:color w:val="000000" w:themeColor="text1"/>
                <w:sz w:val="24"/>
                <w:szCs w:val="24"/>
              </w:rPr>
            </w:pPr>
            <w:r w:rsidRPr="00B00B8A">
              <w:rPr>
                <w:rFonts w:ascii="Arial" w:hAnsi="Arial" w:cs="Arial"/>
                <w:color w:val="000000" w:themeColor="text1"/>
                <w:sz w:val="24"/>
                <w:szCs w:val="24"/>
              </w:rPr>
              <w:t xml:space="preserve">Immovable </w:t>
            </w:r>
            <w:r w:rsidRPr="00B00B8A">
              <w:rPr>
                <w:rFonts w:ascii="Arial" w:hAnsi="Arial" w:cs="Arial"/>
                <w:color w:val="000000" w:themeColor="text1"/>
                <w:sz w:val="24"/>
                <w:szCs w:val="24"/>
                <w:u w:val="single"/>
              </w:rPr>
              <w:t>property</w:t>
            </w:r>
            <w:r w:rsidRPr="00B00B8A">
              <w:rPr>
                <w:rFonts w:ascii="Arial" w:hAnsi="Arial" w:cs="Arial"/>
                <w:b/>
                <w:bCs/>
                <w:color w:val="000000" w:themeColor="text1"/>
                <w:sz w:val="24"/>
                <w:szCs w:val="24"/>
                <w:u w:val="single"/>
              </w:rPr>
              <w:t>[</w:t>
            </w:r>
            <w:r w:rsidRPr="00B00B8A">
              <w:rPr>
                <w:rFonts w:ascii="Arial" w:hAnsi="Arial" w:cs="Arial"/>
                <w:b/>
                <w:bCs/>
                <w:color w:val="000000" w:themeColor="text1"/>
                <w:sz w:val="24"/>
                <w:szCs w:val="24"/>
              </w:rPr>
              <w:t>,]</w:t>
            </w:r>
            <w:r w:rsidRPr="00B00B8A">
              <w:rPr>
                <w:rFonts w:ascii="Arial" w:hAnsi="Arial" w:cs="Arial"/>
                <w:color w:val="000000" w:themeColor="text1"/>
                <w:sz w:val="24"/>
                <w:szCs w:val="24"/>
                <w:u w:val="single"/>
              </w:rPr>
              <w:t>;</w:t>
            </w:r>
            <w:r w:rsidRPr="00B00B8A">
              <w:rPr>
                <w:rFonts w:ascii="Arial" w:hAnsi="Arial" w:cs="Arial"/>
                <w:color w:val="000000" w:themeColor="text1"/>
                <w:sz w:val="24"/>
                <w:szCs w:val="24"/>
              </w:rPr>
              <w:t xml:space="preserve"> </w:t>
            </w:r>
          </w:p>
          <w:p w14:paraId="02F89C73" w14:textId="77777777" w:rsidR="00D35FDB" w:rsidRPr="00B00B8A" w:rsidRDefault="00D06126" w:rsidP="00F639A7">
            <w:pPr>
              <w:numPr>
                <w:ilvl w:val="0"/>
                <w:numId w:val="9"/>
              </w:numPr>
              <w:rPr>
                <w:rFonts w:ascii="Arial" w:hAnsi="Arial" w:cs="Arial"/>
                <w:color w:val="000000" w:themeColor="text1"/>
                <w:sz w:val="24"/>
                <w:szCs w:val="24"/>
              </w:rPr>
            </w:pPr>
            <w:r w:rsidRPr="00B00B8A">
              <w:rPr>
                <w:rFonts w:ascii="Arial" w:hAnsi="Arial" w:cs="Arial"/>
                <w:color w:val="000000" w:themeColor="text1"/>
                <w:sz w:val="24"/>
                <w:szCs w:val="24"/>
              </w:rPr>
              <w:t xml:space="preserve">corporeal </w:t>
            </w:r>
            <w:r w:rsidRPr="00B00B8A">
              <w:rPr>
                <w:rFonts w:ascii="Arial" w:hAnsi="Arial" w:cs="Arial"/>
                <w:color w:val="000000" w:themeColor="text1"/>
                <w:sz w:val="24"/>
                <w:szCs w:val="24"/>
                <w:u w:val="single"/>
              </w:rPr>
              <w:t>thing</w:t>
            </w:r>
            <w:r w:rsidRPr="00B00B8A">
              <w:rPr>
                <w:rFonts w:ascii="Arial" w:hAnsi="Arial" w:cs="Arial"/>
                <w:color w:val="000000" w:themeColor="text1"/>
                <w:sz w:val="24"/>
                <w:szCs w:val="24"/>
              </w:rPr>
              <w:t xml:space="preserve"> </w:t>
            </w:r>
            <w:r w:rsidRPr="00B00B8A">
              <w:rPr>
                <w:rFonts w:ascii="Arial" w:hAnsi="Arial" w:cs="Arial"/>
                <w:b/>
                <w:bCs/>
                <w:color w:val="000000" w:themeColor="text1"/>
                <w:sz w:val="24"/>
                <w:szCs w:val="24"/>
              </w:rPr>
              <w:t>[or]</w:t>
            </w:r>
            <w:r w:rsidRPr="00B00B8A">
              <w:rPr>
                <w:rFonts w:ascii="Arial" w:hAnsi="Arial" w:cs="Arial"/>
                <w:color w:val="000000" w:themeColor="text1"/>
                <w:sz w:val="24"/>
                <w:szCs w:val="24"/>
                <w:u w:val="single"/>
              </w:rPr>
              <w:t>;</w:t>
            </w:r>
          </w:p>
          <w:p w14:paraId="1696A812" w14:textId="77777777" w:rsidR="00D35FDB" w:rsidRPr="00B00B8A" w:rsidRDefault="00D06126" w:rsidP="00F639A7">
            <w:pPr>
              <w:numPr>
                <w:ilvl w:val="0"/>
                <w:numId w:val="9"/>
              </w:numPr>
              <w:rPr>
                <w:rFonts w:ascii="Arial" w:hAnsi="Arial" w:cs="Arial"/>
                <w:color w:val="000000" w:themeColor="text1"/>
                <w:sz w:val="24"/>
                <w:szCs w:val="24"/>
              </w:rPr>
            </w:pPr>
            <w:r w:rsidRPr="00B00B8A">
              <w:rPr>
                <w:rFonts w:ascii="Arial" w:hAnsi="Arial" w:cs="Arial"/>
                <w:color w:val="000000" w:themeColor="text1"/>
                <w:sz w:val="24"/>
                <w:szCs w:val="24"/>
              </w:rPr>
              <w:t xml:space="preserve">incorporeal thing, </w:t>
            </w:r>
            <w:r w:rsidRPr="00B00B8A">
              <w:rPr>
                <w:rFonts w:ascii="Arial" w:hAnsi="Arial" w:cs="Arial"/>
                <w:b/>
                <w:bCs/>
                <w:color w:val="000000" w:themeColor="text1"/>
                <w:sz w:val="24"/>
                <w:szCs w:val="24"/>
              </w:rPr>
              <w:t>or</w:t>
            </w:r>
          </w:p>
          <w:p w14:paraId="2CBA682D" w14:textId="77777777" w:rsidR="00D35FDB" w:rsidRPr="00B00B8A" w:rsidRDefault="00D06126" w:rsidP="00F639A7">
            <w:pPr>
              <w:numPr>
                <w:ilvl w:val="0"/>
                <w:numId w:val="9"/>
              </w:numPr>
              <w:rPr>
                <w:rFonts w:ascii="Arial" w:hAnsi="Arial" w:cs="Arial"/>
                <w:color w:val="000000" w:themeColor="text1"/>
                <w:sz w:val="24"/>
                <w:szCs w:val="24"/>
              </w:rPr>
            </w:pPr>
            <w:r w:rsidRPr="00B00B8A">
              <w:rPr>
                <w:rFonts w:ascii="Arial" w:hAnsi="Arial" w:cs="Arial"/>
                <w:color w:val="000000" w:themeColor="text1"/>
                <w:sz w:val="24"/>
                <w:szCs w:val="24"/>
                <w:u w:val="single"/>
              </w:rPr>
              <w:t>crypto asset</w:t>
            </w:r>
          </w:p>
          <w:p w14:paraId="190269F2" w14:textId="77777777" w:rsidR="00255A5C" w:rsidRPr="00B00B8A" w:rsidRDefault="00F639A7" w:rsidP="00F639A7">
            <w:pPr>
              <w:rPr>
                <w:rFonts w:ascii="Arial" w:hAnsi="Arial" w:cs="Arial"/>
                <w:color w:val="000000" w:themeColor="text1"/>
                <w:sz w:val="24"/>
                <w:szCs w:val="24"/>
                <w:u w:val="single"/>
              </w:rPr>
            </w:pPr>
            <w:r w:rsidRPr="00B00B8A">
              <w:rPr>
                <w:rFonts w:ascii="Arial" w:hAnsi="Arial" w:cs="Arial"/>
                <w:color w:val="000000" w:themeColor="text1"/>
                <w:sz w:val="24"/>
                <w:szCs w:val="24"/>
              </w:rPr>
              <w:lastRenderedPageBreak/>
              <w:t>and includes any rights, privileges, claims and securities and any interest therein and all proceeds thereof</w:t>
            </w:r>
            <w:r w:rsidRPr="00B00B8A">
              <w:rPr>
                <w:rFonts w:ascii="Arial" w:hAnsi="Arial" w:cs="Arial"/>
                <w:color w:val="000000" w:themeColor="text1"/>
                <w:sz w:val="24"/>
                <w:szCs w:val="24"/>
                <w:u w:val="single"/>
              </w:rPr>
              <w:t>.</w:t>
            </w:r>
            <w:r w:rsidRPr="00B00B8A">
              <w:rPr>
                <w:rFonts w:ascii="Arial" w:hAnsi="Arial" w:cs="Arial"/>
                <w:b/>
                <w:bCs/>
                <w:color w:val="000000" w:themeColor="text1"/>
                <w:sz w:val="24"/>
                <w:szCs w:val="24"/>
                <w:u w:val="single"/>
              </w:rPr>
              <w:t>[</w:t>
            </w:r>
            <w:r w:rsidRPr="00B00B8A">
              <w:rPr>
                <w:rFonts w:ascii="Arial" w:hAnsi="Arial" w:cs="Arial"/>
                <w:b/>
                <w:bCs/>
                <w:color w:val="000000" w:themeColor="text1"/>
                <w:sz w:val="24"/>
                <w:szCs w:val="24"/>
              </w:rPr>
              <w:t>,</w:t>
            </w:r>
            <w:r w:rsidRPr="00B00B8A">
              <w:rPr>
                <w:rFonts w:ascii="Arial" w:hAnsi="Arial" w:cs="Arial"/>
                <w:b/>
                <w:bCs/>
                <w:color w:val="000000" w:themeColor="text1"/>
                <w:sz w:val="24"/>
                <w:szCs w:val="24"/>
                <w:u w:val="single"/>
              </w:rPr>
              <w:t>or any digital representation of perceived value, such as a crypto-currency, that can be traded or transferred electronically within a community of users of the internet who consider it as a medium of exchange, unit of account, or store of value and use it for payment or investment purposes, but does not include a digital representation of a fiat currency or a security as defined in the Financial Markets Act, 2012 (Act No. 19 of 2012)]</w:t>
            </w:r>
            <w:r w:rsidRPr="00B00B8A">
              <w:rPr>
                <w:rFonts w:ascii="Arial" w:hAnsi="Arial" w:cs="Arial"/>
                <w:color w:val="000000" w:themeColor="text1"/>
                <w:sz w:val="24"/>
                <w:szCs w:val="24"/>
                <w:u w:val="single"/>
              </w:rPr>
              <w:t>"</w:t>
            </w:r>
          </w:p>
          <w:p w14:paraId="063B4238" w14:textId="374CD133" w:rsidR="00F639A7" w:rsidRPr="00B00B8A" w:rsidRDefault="00F639A7" w:rsidP="00F639A7">
            <w:pPr>
              <w:rPr>
                <w:rFonts w:ascii="Arial" w:hAnsi="Arial" w:cs="Arial"/>
                <w:color w:val="000000" w:themeColor="text1"/>
                <w:sz w:val="24"/>
                <w:szCs w:val="24"/>
              </w:rPr>
            </w:pPr>
            <w:r w:rsidRPr="00B00B8A">
              <w:rPr>
                <w:rFonts w:ascii="Arial" w:hAnsi="Arial" w:cs="Arial"/>
                <w:color w:val="000000" w:themeColor="text1"/>
                <w:sz w:val="24"/>
                <w:szCs w:val="24"/>
                <w:u w:val="single"/>
              </w:rPr>
              <w:t xml:space="preserve"> </w:t>
            </w:r>
          </w:p>
          <w:p w14:paraId="2A6816D7" w14:textId="77777777" w:rsidR="00F639A7" w:rsidRPr="00B00B8A" w:rsidRDefault="00F639A7" w:rsidP="00F639A7">
            <w:pPr>
              <w:rPr>
                <w:rFonts w:ascii="Arial" w:hAnsi="Arial" w:cs="Arial"/>
                <w:color w:val="000000" w:themeColor="text1"/>
                <w:sz w:val="24"/>
                <w:szCs w:val="24"/>
              </w:rPr>
            </w:pPr>
            <w:r w:rsidRPr="00B00B8A">
              <w:rPr>
                <w:rFonts w:ascii="Arial" w:hAnsi="Arial" w:cs="Arial"/>
                <w:color w:val="000000" w:themeColor="text1"/>
                <w:sz w:val="24"/>
                <w:szCs w:val="24"/>
                <w:u w:val="single"/>
                <w:lang w:val="en-ZA"/>
              </w:rPr>
              <w:t>It is proposed that a definition of “crypto asset” be inserted in the Bill that is consistent with the definition used in the amended Schedule 1 of the FIC Act, which is currently under consideration by Parliament:</w:t>
            </w:r>
          </w:p>
          <w:p w14:paraId="6BF55DCA" w14:textId="0CA72948" w:rsidR="007C5AC8" w:rsidRPr="00B00B8A" w:rsidRDefault="00F639A7" w:rsidP="00F639A7">
            <w:pPr>
              <w:pStyle w:val="CommentText"/>
              <w:rPr>
                <w:rFonts w:ascii="Arial" w:hAnsi="Arial" w:cs="Arial"/>
                <w:sz w:val="24"/>
                <w:szCs w:val="24"/>
              </w:rPr>
            </w:pPr>
            <w:r w:rsidRPr="00B00B8A">
              <w:rPr>
                <w:rFonts w:ascii="Arial" w:hAnsi="Arial" w:cs="Arial"/>
                <w:color w:val="000000" w:themeColor="text1"/>
                <w:sz w:val="24"/>
                <w:szCs w:val="24"/>
                <w:u w:val="single"/>
                <w:lang w:val="en-ZA"/>
              </w:rPr>
              <w:t xml:space="preserve">“crypto asset” means a digital representation of perceived </w:t>
            </w:r>
            <w:r w:rsidRPr="00B00B8A">
              <w:rPr>
                <w:rFonts w:ascii="Arial" w:hAnsi="Arial" w:cs="Arial"/>
                <w:color w:val="000000" w:themeColor="text1"/>
                <w:sz w:val="24"/>
                <w:szCs w:val="24"/>
                <w:u w:val="single"/>
                <w:lang w:val="en-ZA"/>
              </w:rPr>
              <w:lastRenderedPageBreak/>
              <w:t>value that can be traded or transferred electronically within a community of users of the internet who consider it as a medium of exchange, unit of account or store of value and use it for payment or investment purposes, but does not include a digital representation of a fiat currency or a security as defined in the Financial Markets Act, 2012 (Act 19 of 2012)</w:t>
            </w:r>
            <w:r w:rsidR="00255A5C" w:rsidRPr="00B00B8A">
              <w:rPr>
                <w:rFonts w:ascii="Arial" w:hAnsi="Arial" w:cs="Arial"/>
                <w:color w:val="000000" w:themeColor="text1"/>
                <w:sz w:val="24"/>
                <w:szCs w:val="24"/>
                <w:u w:val="single"/>
                <w:lang w:val="en-ZA"/>
              </w:rPr>
              <w:t>.</w:t>
            </w:r>
          </w:p>
          <w:p w14:paraId="2BA2C744" w14:textId="74DA0B6D" w:rsidR="009E669C" w:rsidRPr="00B00B8A" w:rsidRDefault="009E669C" w:rsidP="007C5AC8">
            <w:pPr>
              <w:rPr>
                <w:rFonts w:ascii="Arial" w:hAnsi="Arial" w:cs="Arial"/>
                <w:b/>
                <w:sz w:val="24"/>
                <w:szCs w:val="24"/>
              </w:rPr>
            </w:pPr>
          </w:p>
        </w:tc>
      </w:tr>
      <w:tr w:rsidR="009665BB" w:rsidRPr="00884761" w14:paraId="1FBE5403" w14:textId="77777777" w:rsidTr="00F14186">
        <w:tc>
          <w:tcPr>
            <w:tcW w:w="1288" w:type="dxa"/>
          </w:tcPr>
          <w:p w14:paraId="45B8928C" w14:textId="77777777" w:rsidR="009665BB" w:rsidRDefault="009665BB" w:rsidP="00884761">
            <w:pPr>
              <w:jc w:val="both"/>
              <w:rPr>
                <w:rFonts w:ascii="Arial" w:hAnsi="Arial" w:cs="Arial"/>
                <w:b/>
                <w:sz w:val="24"/>
                <w:szCs w:val="24"/>
              </w:rPr>
            </w:pPr>
            <w:r>
              <w:rPr>
                <w:rFonts w:ascii="Arial" w:hAnsi="Arial" w:cs="Arial"/>
                <w:b/>
                <w:sz w:val="24"/>
                <w:szCs w:val="24"/>
              </w:rPr>
              <w:lastRenderedPageBreak/>
              <w:t>3</w:t>
            </w:r>
          </w:p>
        </w:tc>
        <w:tc>
          <w:tcPr>
            <w:tcW w:w="1446" w:type="dxa"/>
          </w:tcPr>
          <w:p w14:paraId="54DAEFA2" w14:textId="77777777" w:rsidR="009665BB" w:rsidRDefault="009665BB" w:rsidP="00CD5070">
            <w:pPr>
              <w:jc w:val="both"/>
              <w:rPr>
                <w:rFonts w:ascii="Arial" w:hAnsi="Arial" w:cs="Arial"/>
                <w:b/>
                <w:sz w:val="24"/>
                <w:szCs w:val="24"/>
              </w:rPr>
            </w:pPr>
            <w:r>
              <w:rPr>
                <w:rFonts w:ascii="Arial" w:hAnsi="Arial" w:cs="Arial"/>
                <w:b/>
                <w:sz w:val="24"/>
                <w:szCs w:val="24"/>
              </w:rPr>
              <w:t>3A(2)&amp;(4)</w:t>
            </w:r>
          </w:p>
        </w:tc>
        <w:tc>
          <w:tcPr>
            <w:tcW w:w="6759" w:type="dxa"/>
          </w:tcPr>
          <w:p w14:paraId="6E27ED78" w14:textId="77777777" w:rsidR="0021604E" w:rsidRPr="00B00B8A" w:rsidRDefault="0021604E" w:rsidP="0021604E">
            <w:pPr>
              <w:pStyle w:val="Default"/>
              <w:numPr>
                <w:ilvl w:val="0"/>
                <w:numId w:val="6"/>
              </w:numPr>
              <w:ind w:left="390"/>
              <w:jc w:val="both"/>
            </w:pPr>
            <w:r w:rsidRPr="00B00B8A">
              <w:t xml:space="preserve">Section 3A(2)(d) is very onerous, especially for electronic communications service providers – the offence lies in “enables them to obtain, read, listen to, or look at such a publication” whereas such a provider may only provide the access mechanism but has no control over what content is accessed through its service. If the provider for example, enables broad internet access, and the user then chose to search and access prohibited material, the provider will be on the wrong side of the law – this is too wide a provision, especially in view of sub-section (4). </w:t>
            </w:r>
          </w:p>
          <w:p w14:paraId="0CCE09B6" w14:textId="77777777" w:rsidR="0021604E" w:rsidRPr="00B00B8A" w:rsidRDefault="0021604E" w:rsidP="0021604E">
            <w:pPr>
              <w:pStyle w:val="Default"/>
              <w:ind w:left="390" w:hanging="360"/>
              <w:jc w:val="both"/>
              <w:rPr>
                <w:color w:val="auto"/>
              </w:rPr>
            </w:pPr>
          </w:p>
          <w:p w14:paraId="57573AFF" w14:textId="77777777" w:rsidR="009665BB" w:rsidRPr="00B00B8A" w:rsidRDefault="0021604E" w:rsidP="0021604E">
            <w:pPr>
              <w:pStyle w:val="Default"/>
              <w:numPr>
                <w:ilvl w:val="0"/>
                <w:numId w:val="6"/>
              </w:numPr>
              <w:ind w:left="390"/>
              <w:jc w:val="both"/>
            </w:pPr>
            <w:r w:rsidRPr="00B00B8A">
              <w:t xml:space="preserve">Given the nature of the services of accountable institution/s (see above), this could be directly applicable to them and impact business operations as it would potentially require content screening. This could have massive impact; may require additional due diligence/screening; changes to processes, etc. </w:t>
            </w:r>
          </w:p>
          <w:p w14:paraId="487F2519" w14:textId="4660085A" w:rsidR="0021604E" w:rsidRPr="00B00B8A" w:rsidRDefault="0021604E" w:rsidP="0021604E">
            <w:pPr>
              <w:pStyle w:val="ListParagraph"/>
            </w:pPr>
          </w:p>
          <w:p w14:paraId="50BF0F77" w14:textId="77777777" w:rsidR="0021604E" w:rsidRPr="00B00B8A" w:rsidRDefault="0021604E" w:rsidP="0021604E">
            <w:pPr>
              <w:pStyle w:val="Default"/>
              <w:jc w:val="both"/>
              <w:rPr>
                <w:b/>
              </w:rPr>
            </w:pPr>
            <w:r w:rsidRPr="00B00B8A">
              <w:rPr>
                <w:b/>
              </w:rPr>
              <w:t>BASA RECOMMENDATIONS:</w:t>
            </w:r>
          </w:p>
          <w:p w14:paraId="4CC12AD6" w14:textId="77777777" w:rsidR="0021604E" w:rsidRPr="00B00B8A" w:rsidRDefault="0021604E" w:rsidP="0021604E">
            <w:pPr>
              <w:pStyle w:val="Default"/>
              <w:jc w:val="both"/>
            </w:pPr>
          </w:p>
          <w:p w14:paraId="29952F15" w14:textId="77777777" w:rsidR="0021604E" w:rsidRPr="00B00B8A" w:rsidRDefault="0021604E" w:rsidP="0021604E">
            <w:pPr>
              <w:pStyle w:val="Default"/>
              <w:jc w:val="both"/>
              <w:rPr>
                <w:color w:val="auto"/>
              </w:rPr>
            </w:pPr>
          </w:p>
          <w:p w14:paraId="5B3BFC37" w14:textId="77777777" w:rsidR="0021604E" w:rsidRPr="00B00B8A" w:rsidRDefault="0021604E" w:rsidP="0021604E">
            <w:pPr>
              <w:pStyle w:val="Default"/>
              <w:jc w:val="both"/>
            </w:pPr>
            <w:r w:rsidRPr="00B00B8A">
              <w:t xml:space="preserve">1) It is proposed that the content of the proposed section 3A(2)(d) which states </w:t>
            </w:r>
            <w:r w:rsidRPr="00B00B8A">
              <w:rPr>
                <w:i/>
                <w:iCs/>
              </w:rPr>
              <w:t>‘provides a service to others that enables them to obtain, read, listen to, or look at such a publication, or to acquire it by means of a gift, sale or loan</w:t>
            </w:r>
            <w:r w:rsidRPr="00B00B8A">
              <w:t xml:space="preserve">, be deleted. </w:t>
            </w:r>
          </w:p>
          <w:p w14:paraId="27479DAD" w14:textId="77777777" w:rsidR="0021604E" w:rsidRPr="00B00B8A" w:rsidRDefault="0021604E" w:rsidP="0021604E">
            <w:pPr>
              <w:pStyle w:val="Default"/>
              <w:jc w:val="both"/>
            </w:pPr>
          </w:p>
          <w:p w14:paraId="0178CB92" w14:textId="77777777" w:rsidR="0021604E" w:rsidRPr="00B00B8A" w:rsidRDefault="0021604E" w:rsidP="0021604E">
            <w:pPr>
              <w:pStyle w:val="Default"/>
              <w:jc w:val="both"/>
            </w:pPr>
            <w:r w:rsidRPr="00B00B8A">
              <w:t xml:space="preserve">2) In the absence of its deletion, we propose the following amendment – </w:t>
            </w:r>
          </w:p>
          <w:p w14:paraId="12264BBA" w14:textId="77777777" w:rsidR="0021604E" w:rsidRPr="00B00B8A" w:rsidRDefault="0021604E" w:rsidP="0021604E">
            <w:pPr>
              <w:pStyle w:val="Default"/>
              <w:jc w:val="both"/>
            </w:pPr>
          </w:p>
          <w:p w14:paraId="6233CE13" w14:textId="77777777" w:rsidR="0021604E" w:rsidRPr="00B00B8A" w:rsidRDefault="0021604E" w:rsidP="0021604E">
            <w:pPr>
              <w:pStyle w:val="Default"/>
              <w:jc w:val="both"/>
              <w:rPr>
                <w:i/>
                <w:iCs/>
              </w:rPr>
            </w:pPr>
            <w:r w:rsidRPr="00B00B8A">
              <w:rPr>
                <w:i/>
                <w:iCs/>
              </w:rPr>
              <w:t xml:space="preserve">(d) provides a service to others that enables them to </w:t>
            </w:r>
            <w:r w:rsidRPr="00B00B8A">
              <w:rPr>
                <w:i/>
                <w:iCs/>
                <w:strike/>
              </w:rPr>
              <w:t>obtain, read, listen to, or look at such a publication, or to</w:t>
            </w:r>
            <w:r w:rsidRPr="00B00B8A">
              <w:rPr>
                <w:i/>
                <w:iCs/>
              </w:rPr>
              <w:t xml:space="preserve"> acquire it by means of a gift, sale or loan. </w:t>
            </w:r>
          </w:p>
          <w:p w14:paraId="78759A62" w14:textId="77777777" w:rsidR="0021604E" w:rsidRPr="00B00B8A" w:rsidRDefault="0021604E" w:rsidP="0021604E">
            <w:pPr>
              <w:pStyle w:val="Default"/>
              <w:jc w:val="both"/>
              <w:rPr>
                <w:color w:val="auto"/>
              </w:rPr>
            </w:pPr>
          </w:p>
          <w:p w14:paraId="52B0A447" w14:textId="77777777" w:rsidR="0021604E" w:rsidRPr="00B00B8A" w:rsidRDefault="0021604E" w:rsidP="00ED4B0D">
            <w:pPr>
              <w:pStyle w:val="Default"/>
              <w:jc w:val="both"/>
            </w:pPr>
            <w:r w:rsidRPr="00B00B8A">
              <w:t xml:space="preserve">3) In the event that section 3A(2)(d) is not deleted, it is recommended that a new provision be drafted or amendment be made to draft section 3A(5) to allow the defence contemplated in section 3A(5)(a) to apply in relation to section 3A(2)(d) as well. </w:t>
            </w:r>
          </w:p>
        </w:tc>
        <w:tc>
          <w:tcPr>
            <w:tcW w:w="3457" w:type="dxa"/>
          </w:tcPr>
          <w:p w14:paraId="5E299E9A" w14:textId="162A292F" w:rsidR="00E83E8A" w:rsidRPr="00B00B8A" w:rsidRDefault="00E83E8A" w:rsidP="00C72C71">
            <w:pPr>
              <w:jc w:val="both"/>
              <w:rPr>
                <w:rFonts w:ascii="Arial" w:hAnsi="Arial" w:cs="Arial"/>
                <w:b/>
                <w:color w:val="C00000"/>
                <w:sz w:val="24"/>
                <w:szCs w:val="24"/>
                <w:highlight w:val="red"/>
              </w:rPr>
            </w:pPr>
            <w:bookmarkStart w:id="0" w:name="_GoBack"/>
            <w:bookmarkEnd w:id="0"/>
          </w:p>
          <w:p w14:paraId="5AACEA2B" w14:textId="77777777" w:rsidR="00E83E8A" w:rsidRPr="00B00B8A" w:rsidRDefault="00E83E8A" w:rsidP="00C72C71">
            <w:pPr>
              <w:jc w:val="both"/>
              <w:rPr>
                <w:rFonts w:ascii="Arial" w:hAnsi="Arial" w:cs="Arial"/>
                <w:b/>
                <w:color w:val="C00000"/>
                <w:sz w:val="24"/>
                <w:szCs w:val="24"/>
                <w:highlight w:val="red"/>
              </w:rPr>
            </w:pPr>
          </w:p>
          <w:p w14:paraId="3FD0EDA4" w14:textId="77777777" w:rsidR="00E83E8A" w:rsidRPr="00B00B8A" w:rsidRDefault="00E83E8A" w:rsidP="00C72C71">
            <w:pPr>
              <w:jc w:val="both"/>
              <w:rPr>
                <w:rFonts w:ascii="Arial" w:hAnsi="Arial" w:cs="Arial"/>
                <w:b/>
                <w:color w:val="C00000"/>
                <w:sz w:val="24"/>
                <w:szCs w:val="24"/>
                <w:highlight w:val="red"/>
              </w:rPr>
            </w:pPr>
          </w:p>
          <w:p w14:paraId="3381C18F" w14:textId="77777777" w:rsidR="00E83E8A" w:rsidRPr="00B00B8A" w:rsidRDefault="00E83E8A" w:rsidP="00C72C71">
            <w:pPr>
              <w:jc w:val="both"/>
              <w:rPr>
                <w:rFonts w:ascii="Arial" w:hAnsi="Arial" w:cs="Arial"/>
                <w:b/>
                <w:color w:val="C00000"/>
                <w:sz w:val="24"/>
                <w:szCs w:val="24"/>
                <w:highlight w:val="red"/>
              </w:rPr>
            </w:pPr>
          </w:p>
          <w:p w14:paraId="499A5EA4" w14:textId="77777777" w:rsidR="00E83E8A" w:rsidRPr="00B00B8A" w:rsidRDefault="00E83E8A" w:rsidP="00C72C71">
            <w:pPr>
              <w:jc w:val="both"/>
              <w:rPr>
                <w:rFonts w:ascii="Arial" w:hAnsi="Arial" w:cs="Arial"/>
                <w:b/>
                <w:color w:val="C00000"/>
                <w:sz w:val="24"/>
                <w:szCs w:val="24"/>
                <w:highlight w:val="red"/>
              </w:rPr>
            </w:pPr>
          </w:p>
          <w:p w14:paraId="67A01702" w14:textId="77777777" w:rsidR="00E83E8A" w:rsidRPr="00B00B8A" w:rsidRDefault="00E83E8A" w:rsidP="00C72C71">
            <w:pPr>
              <w:jc w:val="both"/>
              <w:rPr>
                <w:rFonts w:ascii="Arial" w:hAnsi="Arial" w:cs="Arial"/>
                <w:b/>
                <w:color w:val="C00000"/>
                <w:sz w:val="24"/>
                <w:szCs w:val="24"/>
                <w:highlight w:val="red"/>
              </w:rPr>
            </w:pPr>
          </w:p>
          <w:p w14:paraId="1DF1B308" w14:textId="77777777" w:rsidR="00E83E8A" w:rsidRPr="00B00B8A" w:rsidRDefault="00E83E8A" w:rsidP="00C72C71">
            <w:pPr>
              <w:jc w:val="both"/>
              <w:rPr>
                <w:rFonts w:ascii="Arial" w:hAnsi="Arial" w:cs="Arial"/>
                <w:b/>
                <w:color w:val="C00000"/>
                <w:sz w:val="24"/>
                <w:szCs w:val="24"/>
                <w:highlight w:val="red"/>
              </w:rPr>
            </w:pPr>
          </w:p>
          <w:p w14:paraId="053AA099" w14:textId="77777777" w:rsidR="00E83E8A" w:rsidRPr="00B00B8A" w:rsidRDefault="00E83E8A" w:rsidP="00C72C71">
            <w:pPr>
              <w:jc w:val="both"/>
              <w:rPr>
                <w:rFonts w:ascii="Arial" w:hAnsi="Arial" w:cs="Arial"/>
                <w:b/>
                <w:color w:val="C00000"/>
                <w:sz w:val="24"/>
                <w:szCs w:val="24"/>
                <w:highlight w:val="red"/>
              </w:rPr>
            </w:pPr>
          </w:p>
          <w:p w14:paraId="048128F4" w14:textId="77777777" w:rsidR="00E83E8A" w:rsidRPr="00B00B8A" w:rsidRDefault="00E83E8A" w:rsidP="00C72C71">
            <w:pPr>
              <w:jc w:val="both"/>
              <w:rPr>
                <w:rFonts w:ascii="Arial" w:hAnsi="Arial" w:cs="Arial"/>
                <w:b/>
                <w:color w:val="C00000"/>
                <w:sz w:val="24"/>
                <w:szCs w:val="24"/>
                <w:highlight w:val="red"/>
              </w:rPr>
            </w:pPr>
          </w:p>
          <w:p w14:paraId="06394102" w14:textId="77777777" w:rsidR="00E83E8A" w:rsidRPr="00B00B8A" w:rsidRDefault="00E83E8A" w:rsidP="00C72C71">
            <w:pPr>
              <w:jc w:val="both"/>
              <w:rPr>
                <w:rFonts w:ascii="Arial" w:hAnsi="Arial" w:cs="Arial"/>
                <w:b/>
                <w:color w:val="C00000"/>
                <w:sz w:val="24"/>
                <w:szCs w:val="24"/>
                <w:highlight w:val="red"/>
              </w:rPr>
            </w:pPr>
          </w:p>
          <w:p w14:paraId="03852827" w14:textId="77777777" w:rsidR="00E83E8A" w:rsidRPr="00B00B8A" w:rsidRDefault="00E83E8A" w:rsidP="00C72C71">
            <w:pPr>
              <w:jc w:val="both"/>
              <w:rPr>
                <w:rFonts w:ascii="Arial" w:hAnsi="Arial" w:cs="Arial"/>
                <w:b/>
                <w:color w:val="C00000"/>
                <w:sz w:val="24"/>
                <w:szCs w:val="24"/>
                <w:highlight w:val="red"/>
              </w:rPr>
            </w:pPr>
          </w:p>
          <w:p w14:paraId="1C61A990" w14:textId="77777777" w:rsidR="00E83E8A" w:rsidRPr="00B00B8A" w:rsidRDefault="00E83E8A" w:rsidP="00C72C71">
            <w:pPr>
              <w:jc w:val="both"/>
              <w:rPr>
                <w:rFonts w:ascii="Arial" w:hAnsi="Arial" w:cs="Arial"/>
                <w:b/>
                <w:color w:val="C00000"/>
                <w:sz w:val="24"/>
                <w:szCs w:val="24"/>
                <w:highlight w:val="red"/>
              </w:rPr>
            </w:pPr>
          </w:p>
          <w:p w14:paraId="094D7405" w14:textId="77777777" w:rsidR="00E83E8A" w:rsidRPr="00B00B8A" w:rsidRDefault="00E83E8A" w:rsidP="00C72C71">
            <w:pPr>
              <w:jc w:val="both"/>
              <w:rPr>
                <w:rFonts w:ascii="Arial" w:hAnsi="Arial" w:cs="Arial"/>
                <w:b/>
                <w:color w:val="C00000"/>
                <w:sz w:val="24"/>
                <w:szCs w:val="24"/>
                <w:highlight w:val="red"/>
              </w:rPr>
            </w:pPr>
          </w:p>
          <w:p w14:paraId="09D4FDA3" w14:textId="77777777" w:rsidR="00E83E8A" w:rsidRPr="00B00B8A" w:rsidRDefault="00E83E8A" w:rsidP="00C72C71">
            <w:pPr>
              <w:jc w:val="both"/>
              <w:rPr>
                <w:rFonts w:ascii="Arial" w:hAnsi="Arial" w:cs="Arial"/>
                <w:b/>
                <w:sz w:val="24"/>
                <w:szCs w:val="24"/>
                <w:highlight w:val="red"/>
              </w:rPr>
            </w:pPr>
          </w:p>
          <w:p w14:paraId="31FE31AF" w14:textId="77777777" w:rsidR="00E83E8A" w:rsidRPr="00B00B8A" w:rsidRDefault="00E83E8A" w:rsidP="00C72C71">
            <w:pPr>
              <w:jc w:val="both"/>
              <w:rPr>
                <w:rFonts w:ascii="Arial" w:hAnsi="Arial" w:cs="Arial"/>
                <w:b/>
                <w:sz w:val="24"/>
                <w:szCs w:val="24"/>
                <w:highlight w:val="red"/>
              </w:rPr>
            </w:pPr>
          </w:p>
          <w:p w14:paraId="3E9197CD" w14:textId="77777777" w:rsidR="00E83E8A" w:rsidRPr="00B00B8A" w:rsidRDefault="00E83E8A" w:rsidP="00C72C71">
            <w:pPr>
              <w:jc w:val="both"/>
              <w:rPr>
                <w:rFonts w:ascii="Arial" w:hAnsi="Arial" w:cs="Arial"/>
                <w:b/>
                <w:sz w:val="24"/>
                <w:szCs w:val="24"/>
                <w:highlight w:val="red"/>
              </w:rPr>
            </w:pPr>
          </w:p>
          <w:p w14:paraId="376367BC" w14:textId="77777777" w:rsidR="00E83E8A" w:rsidRPr="00B00B8A" w:rsidRDefault="00E83E8A" w:rsidP="00C72C71">
            <w:pPr>
              <w:jc w:val="both"/>
              <w:rPr>
                <w:rFonts w:ascii="Arial" w:hAnsi="Arial" w:cs="Arial"/>
                <w:b/>
                <w:sz w:val="24"/>
                <w:szCs w:val="24"/>
                <w:highlight w:val="red"/>
              </w:rPr>
            </w:pPr>
          </w:p>
          <w:p w14:paraId="1BCB0568" w14:textId="77777777" w:rsidR="00E83E8A" w:rsidRDefault="00E83E8A" w:rsidP="00EC7387">
            <w:pPr>
              <w:jc w:val="both"/>
              <w:rPr>
                <w:rFonts w:ascii="Arial" w:hAnsi="Arial" w:cs="Arial"/>
                <w:sz w:val="24"/>
                <w:szCs w:val="24"/>
                <w:highlight w:val="red"/>
              </w:rPr>
            </w:pPr>
            <w:r w:rsidRPr="00EC7387">
              <w:rPr>
                <w:rFonts w:ascii="Arial" w:hAnsi="Arial" w:cs="Arial"/>
                <w:sz w:val="24"/>
                <w:szCs w:val="24"/>
              </w:rPr>
              <w:lastRenderedPageBreak/>
              <w:t xml:space="preserve">This proposal is </w:t>
            </w:r>
            <w:r w:rsidR="00EC7387">
              <w:rPr>
                <w:rFonts w:ascii="Arial" w:hAnsi="Arial" w:cs="Arial"/>
                <w:sz w:val="24"/>
                <w:szCs w:val="24"/>
              </w:rPr>
              <w:t>noted.</w:t>
            </w:r>
            <w:r w:rsidRPr="00B00B8A">
              <w:rPr>
                <w:rFonts w:ascii="Arial" w:hAnsi="Arial" w:cs="Arial"/>
                <w:sz w:val="24"/>
                <w:szCs w:val="24"/>
                <w:highlight w:val="red"/>
              </w:rPr>
              <w:t xml:space="preserve"> </w:t>
            </w:r>
          </w:p>
          <w:p w14:paraId="1A842289" w14:textId="77777777" w:rsidR="00611692" w:rsidRDefault="00611692" w:rsidP="00EC7387">
            <w:pPr>
              <w:jc w:val="both"/>
              <w:rPr>
                <w:rFonts w:ascii="Arial" w:hAnsi="Arial" w:cs="Arial"/>
                <w:sz w:val="24"/>
                <w:szCs w:val="24"/>
                <w:highlight w:val="red"/>
              </w:rPr>
            </w:pPr>
          </w:p>
          <w:p w14:paraId="22AC3916" w14:textId="77777777" w:rsidR="00611692" w:rsidRDefault="00611692" w:rsidP="00EC7387">
            <w:pPr>
              <w:jc w:val="both"/>
              <w:rPr>
                <w:rFonts w:ascii="Arial" w:hAnsi="Arial" w:cs="Arial"/>
                <w:sz w:val="24"/>
                <w:szCs w:val="24"/>
                <w:highlight w:val="red"/>
              </w:rPr>
            </w:pPr>
          </w:p>
          <w:p w14:paraId="37BCBE41" w14:textId="77777777" w:rsidR="00611692" w:rsidRDefault="00611692" w:rsidP="00EC7387">
            <w:pPr>
              <w:jc w:val="both"/>
              <w:rPr>
                <w:rFonts w:ascii="Arial" w:hAnsi="Arial" w:cs="Arial"/>
                <w:sz w:val="24"/>
                <w:szCs w:val="24"/>
                <w:highlight w:val="red"/>
              </w:rPr>
            </w:pPr>
          </w:p>
          <w:p w14:paraId="2B568FC1" w14:textId="77777777" w:rsidR="00611692" w:rsidRDefault="00611692" w:rsidP="00EC7387">
            <w:pPr>
              <w:jc w:val="both"/>
              <w:rPr>
                <w:rFonts w:ascii="Arial" w:hAnsi="Arial" w:cs="Arial"/>
                <w:sz w:val="24"/>
                <w:szCs w:val="24"/>
                <w:highlight w:val="red"/>
              </w:rPr>
            </w:pPr>
          </w:p>
          <w:p w14:paraId="47319358" w14:textId="77777777" w:rsidR="00611692" w:rsidRDefault="00611692" w:rsidP="00EC7387">
            <w:pPr>
              <w:jc w:val="both"/>
              <w:rPr>
                <w:rFonts w:ascii="Arial" w:hAnsi="Arial" w:cs="Arial"/>
                <w:sz w:val="24"/>
                <w:szCs w:val="24"/>
                <w:highlight w:val="red"/>
              </w:rPr>
            </w:pPr>
          </w:p>
          <w:p w14:paraId="7F7E4EF1" w14:textId="77777777" w:rsidR="00611692" w:rsidRDefault="00611692" w:rsidP="00EC7387">
            <w:pPr>
              <w:jc w:val="both"/>
              <w:rPr>
                <w:rFonts w:ascii="Arial" w:hAnsi="Arial" w:cs="Arial"/>
                <w:sz w:val="24"/>
                <w:szCs w:val="24"/>
                <w:highlight w:val="red"/>
              </w:rPr>
            </w:pPr>
          </w:p>
          <w:p w14:paraId="52BA1D4E" w14:textId="77777777" w:rsidR="00611692" w:rsidRDefault="00611692" w:rsidP="00EC7387">
            <w:pPr>
              <w:jc w:val="both"/>
              <w:rPr>
                <w:rFonts w:ascii="Arial" w:hAnsi="Arial" w:cs="Arial"/>
                <w:sz w:val="24"/>
                <w:szCs w:val="24"/>
                <w:highlight w:val="red"/>
              </w:rPr>
            </w:pPr>
          </w:p>
          <w:p w14:paraId="1617961E" w14:textId="77777777" w:rsidR="00611692" w:rsidRDefault="00611692" w:rsidP="00EC7387">
            <w:pPr>
              <w:jc w:val="both"/>
              <w:rPr>
                <w:rFonts w:ascii="Arial" w:hAnsi="Arial" w:cs="Arial"/>
                <w:sz w:val="24"/>
                <w:szCs w:val="24"/>
                <w:highlight w:val="red"/>
              </w:rPr>
            </w:pPr>
          </w:p>
          <w:p w14:paraId="2B64F4E6" w14:textId="77777777" w:rsidR="00611692" w:rsidRDefault="00611692" w:rsidP="00EC7387">
            <w:pPr>
              <w:jc w:val="both"/>
              <w:rPr>
                <w:rFonts w:ascii="Arial" w:hAnsi="Arial" w:cs="Arial"/>
                <w:sz w:val="24"/>
                <w:szCs w:val="24"/>
                <w:highlight w:val="red"/>
              </w:rPr>
            </w:pPr>
          </w:p>
          <w:p w14:paraId="27AB9603" w14:textId="77777777" w:rsidR="00611692" w:rsidRDefault="00611692" w:rsidP="00EC7387">
            <w:pPr>
              <w:jc w:val="both"/>
              <w:rPr>
                <w:rFonts w:ascii="Arial" w:hAnsi="Arial" w:cs="Arial"/>
                <w:sz w:val="24"/>
                <w:szCs w:val="24"/>
                <w:highlight w:val="red"/>
              </w:rPr>
            </w:pPr>
          </w:p>
          <w:p w14:paraId="23095D90" w14:textId="77777777" w:rsidR="00611692" w:rsidRDefault="00611692" w:rsidP="00EC7387">
            <w:pPr>
              <w:jc w:val="both"/>
              <w:rPr>
                <w:rFonts w:ascii="Arial" w:hAnsi="Arial" w:cs="Arial"/>
                <w:sz w:val="24"/>
                <w:szCs w:val="24"/>
                <w:highlight w:val="red"/>
              </w:rPr>
            </w:pPr>
          </w:p>
          <w:p w14:paraId="5CB5E0D8" w14:textId="77777777" w:rsidR="00611692" w:rsidRDefault="00611692" w:rsidP="00EC7387">
            <w:pPr>
              <w:jc w:val="both"/>
              <w:rPr>
                <w:rFonts w:ascii="Arial" w:hAnsi="Arial" w:cs="Arial"/>
                <w:sz w:val="24"/>
                <w:szCs w:val="24"/>
                <w:highlight w:val="red"/>
              </w:rPr>
            </w:pPr>
          </w:p>
          <w:p w14:paraId="5D9B093D" w14:textId="3E335049" w:rsidR="00611692" w:rsidRPr="00B00B8A" w:rsidRDefault="00611692" w:rsidP="00EC7387">
            <w:pPr>
              <w:jc w:val="both"/>
              <w:rPr>
                <w:rFonts w:ascii="Arial" w:hAnsi="Arial" w:cs="Arial"/>
                <w:sz w:val="24"/>
                <w:szCs w:val="24"/>
                <w:highlight w:val="red"/>
              </w:rPr>
            </w:pPr>
            <w:r w:rsidRPr="00611692">
              <w:rPr>
                <w:rFonts w:ascii="Arial" w:hAnsi="Arial" w:cs="Arial"/>
                <w:sz w:val="24"/>
                <w:szCs w:val="24"/>
              </w:rPr>
              <w:t>The comments are accepted, but there is no necessity to amend the defence clause 3A(5), as the defences applicable in the clause finds application to the entire section 3A, and therefore includes s3A(2)(d).</w:t>
            </w:r>
          </w:p>
        </w:tc>
      </w:tr>
      <w:tr w:rsidR="000A003C" w:rsidRPr="00884761" w14:paraId="36642FA3" w14:textId="77777777" w:rsidTr="00F14186">
        <w:tc>
          <w:tcPr>
            <w:tcW w:w="1288" w:type="dxa"/>
          </w:tcPr>
          <w:p w14:paraId="63A9AB50" w14:textId="77777777" w:rsidR="000A003C" w:rsidRDefault="000A003C" w:rsidP="00884761">
            <w:pPr>
              <w:jc w:val="both"/>
              <w:rPr>
                <w:rFonts w:ascii="Arial" w:hAnsi="Arial" w:cs="Arial"/>
                <w:b/>
                <w:sz w:val="24"/>
                <w:szCs w:val="24"/>
              </w:rPr>
            </w:pPr>
            <w:r>
              <w:rPr>
                <w:rFonts w:ascii="Arial" w:hAnsi="Arial" w:cs="Arial"/>
                <w:b/>
                <w:sz w:val="24"/>
                <w:szCs w:val="24"/>
              </w:rPr>
              <w:lastRenderedPageBreak/>
              <w:t>4</w:t>
            </w:r>
          </w:p>
        </w:tc>
        <w:tc>
          <w:tcPr>
            <w:tcW w:w="1446" w:type="dxa"/>
          </w:tcPr>
          <w:p w14:paraId="7F1E0D0D" w14:textId="77777777" w:rsidR="000A003C" w:rsidRDefault="000A003C" w:rsidP="00CD5070">
            <w:pPr>
              <w:jc w:val="both"/>
              <w:rPr>
                <w:rFonts w:ascii="Arial" w:hAnsi="Arial" w:cs="Arial"/>
                <w:b/>
                <w:sz w:val="24"/>
                <w:szCs w:val="24"/>
              </w:rPr>
            </w:pPr>
            <w:r>
              <w:rPr>
                <w:rFonts w:ascii="Arial" w:hAnsi="Arial" w:cs="Arial"/>
                <w:b/>
                <w:sz w:val="24"/>
                <w:szCs w:val="24"/>
              </w:rPr>
              <w:t>4(d)</w:t>
            </w:r>
          </w:p>
        </w:tc>
        <w:tc>
          <w:tcPr>
            <w:tcW w:w="6759" w:type="dxa"/>
          </w:tcPr>
          <w:p w14:paraId="3EE7A8A1" w14:textId="77777777" w:rsidR="000A003C" w:rsidRPr="00B00B8A" w:rsidRDefault="000A003C" w:rsidP="000A003C">
            <w:pPr>
              <w:pStyle w:val="Default"/>
              <w:jc w:val="both"/>
            </w:pPr>
            <w:r w:rsidRPr="00B00B8A">
              <w:t xml:space="preserve">BASA requests to refer to comments above under section </w:t>
            </w:r>
            <w:r w:rsidRPr="00B00B8A">
              <w:rPr>
                <w:b/>
              </w:rPr>
              <w:t>1(f)</w:t>
            </w:r>
            <w:r w:rsidRPr="00B00B8A">
              <w:t>.</w:t>
            </w:r>
          </w:p>
        </w:tc>
        <w:tc>
          <w:tcPr>
            <w:tcW w:w="3457" w:type="dxa"/>
          </w:tcPr>
          <w:p w14:paraId="583CFA89" w14:textId="5470780F" w:rsidR="000A003C" w:rsidRPr="00B00B8A" w:rsidRDefault="00863DDD" w:rsidP="00884761">
            <w:pPr>
              <w:jc w:val="both"/>
              <w:rPr>
                <w:rFonts w:ascii="Arial" w:hAnsi="Arial" w:cs="Arial"/>
                <w:sz w:val="24"/>
                <w:szCs w:val="24"/>
              </w:rPr>
            </w:pPr>
            <w:r w:rsidRPr="00B00B8A">
              <w:rPr>
                <w:rFonts w:ascii="Arial" w:hAnsi="Arial" w:cs="Arial"/>
                <w:sz w:val="24"/>
                <w:szCs w:val="24"/>
              </w:rPr>
              <w:t>See the Department’s views on paragraph 1(f).</w:t>
            </w:r>
          </w:p>
        </w:tc>
      </w:tr>
      <w:tr w:rsidR="000A003C" w:rsidRPr="00884761" w14:paraId="00E27264" w14:textId="77777777" w:rsidTr="00F14186">
        <w:tc>
          <w:tcPr>
            <w:tcW w:w="1288" w:type="dxa"/>
          </w:tcPr>
          <w:p w14:paraId="3C846033" w14:textId="77777777" w:rsidR="000A003C" w:rsidRDefault="000A003C" w:rsidP="000A003C">
            <w:pPr>
              <w:jc w:val="both"/>
              <w:rPr>
                <w:rFonts w:ascii="Arial" w:hAnsi="Arial" w:cs="Arial"/>
                <w:b/>
                <w:sz w:val="24"/>
                <w:szCs w:val="24"/>
              </w:rPr>
            </w:pPr>
            <w:r>
              <w:rPr>
                <w:rFonts w:ascii="Arial" w:hAnsi="Arial" w:cs="Arial"/>
                <w:b/>
                <w:sz w:val="24"/>
                <w:szCs w:val="24"/>
              </w:rPr>
              <w:t>4</w:t>
            </w:r>
          </w:p>
        </w:tc>
        <w:tc>
          <w:tcPr>
            <w:tcW w:w="1446" w:type="dxa"/>
          </w:tcPr>
          <w:p w14:paraId="3D6B5227" w14:textId="77777777" w:rsidR="000A003C" w:rsidRDefault="000A003C" w:rsidP="000A003C">
            <w:pPr>
              <w:jc w:val="both"/>
              <w:rPr>
                <w:rFonts w:ascii="Arial" w:hAnsi="Arial" w:cs="Arial"/>
                <w:b/>
                <w:sz w:val="24"/>
                <w:szCs w:val="24"/>
              </w:rPr>
            </w:pPr>
            <w:r>
              <w:rPr>
                <w:rFonts w:ascii="Arial" w:hAnsi="Arial" w:cs="Arial"/>
                <w:b/>
                <w:sz w:val="24"/>
                <w:szCs w:val="24"/>
              </w:rPr>
              <w:t>4(g)</w:t>
            </w:r>
          </w:p>
        </w:tc>
        <w:tc>
          <w:tcPr>
            <w:tcW w:w="6759" w:type="dxa"/>
          </w:tcPr>
          <w:p w14:paraId="593B82E6" w14:textId="77777777" w:rsidR="000A003C" w:rsidRPr="00B00B8A" w:rsidRDefault="000A003C" w:rsidP="000A003C">
            <w:pPr>
              <w:pStyle w:val="Default"/>
              <w:jc w:val="both"/>
            </w:pPr>
            <w:r w:rsidRPr="00B00B8A">
              <w:t xml:space="preserve">BASA requests to refer to comments above under section </w:t>
            </w:r>
            <w:r w:rsidRPr="00B00B8A">
              <w:rPr>
                <w:b/>
              </w:rPr>
              <w:t>1(f)</w:t>
            </w:r>
            <w:r w:rsidRPr="00B00B8A">
              <w:t>.</w:t>
            </w:r>
          </w:p>
        </w:tc>
        <w:tc>
          <w:tcPr>
            <w:tcW w:w="3457" w:type="dxa"/>
          </w:tcPr>
          <w:p w14:paraId="5B199E80" w14:textId="49AA0DB0" w:rsidR="000A003C" w:rsidRPr="00B00B8A" w:rsidRDefault="00863DDD" w:rsidP="000A003C">
            <w:pPr>
              <w:jc w:val="both"/>
              <w:rPr>
                <w:rFonts w:ascii="Arial" w:hAnsi="Arial" w:cs="Arial"/>
                <w:sz w:val="24"/>
                <w:szCs w:val="24"/>
              </w:rPr>
            </w:pPr>
            <w:r w:rsidRPr="00B00B8A">
              <w:rPr>
                <w:rFonts w:ascii="Arial" w:hAnsi="Arial" w:cs="Arial"/>
                <w:sz w:val="24"/>
                <w:szCs w:val="24"/>
              </w:rPr>
              <w:t>See the Department’s views on paragraph 1(f).</w:t>
            </w:r>
          </w:p>
        </w:tc>
      </w:tr>
      <w:tr w:rsidR="000A003C" w:rsidRPr="00884761" w14:paraId="671C7B7C" w14:textId="77777777" w:rsidTr="00F14186">
        <w:tc>
          <w:tcPr>
            <w:tcW w:w="1288" w:type="dxa"/>
          </w:tcPr>
          <w:p w14:paraId="0A4B0A4C" w14:textId="77777777" w:rsidR="000A003C" w:rsidRDefault="00603E25" w:rsidP="000A003C">
            <w:pPr>
              <w:jc w:val="both"/>
              <w:rPr>
                <w:rFonts w:ascii="Arial" w:hAnsi="Arial" w:cs="Arial"/>
                <w:b/>
                <w:sz w:val="24"/>
                <w:szCs w:val="24"/>
              </w:rPr>
            </w:pPr>
            <w:r>
              <w:rPr>
                <w:rFonts w:ascii="Arial" w:hAnsi="Arial" w:cs="Arial"/>
                <w:b/>
                <w:sz w:val="24"/>
                <w:szCs w:val="24"/>
              </w:rPr>
              <w:t>12</w:t>
            </w:r>
          </w:p>
        </w:tc>
        <w:tc>
          <w:tcPr>
            <w:tcW w:w="1446" w:type="dxa"/>
          </w:tcPr>
          <w:p w14:paraId="7BD6C047" w14:textId="77777777" w:rsidR="000A003C" w:rsidRDefault="00603E25" w:rsidP="000A003C">
            <w:pPr>
              <w:jc w:val="both"/>
              <w:rPr>
                <w:rFonts w:ascii="Arial" w:hAnsi="Arial" w:cs="Arial"/>
                <w:b/>
                <w:sz w:val="24"/>
                <w:szCs w:val="24"/>
              </w:rPr>
            </w:pPr>
            <w:r>
              <w:rPr>
                <w:rFonts w:ascii="Arial" w:hAnsi="Arial" w:cs="Arial"/>
                <w:b/>
                <w:sz w:val="24"/>
                <w:szCs w:val="24"/>
              </w:rPr>
              <w:t>12(9)</w:t>
            </w:r>
          </w:p>
        </w:tc>
        <w:tc>
          <w:tcPr>
            <w:tcW w:w="6759" w:type="dxa"/>
          </w:tcPr>
          <w:p w14:paraId="789B51BF" w14:textId="77777777" w:rsidR="00603E25" w:rsidRPr="00B00B8A" w:rsidRDefault="00603E25" w:rsidP="00603E25">
            <w:pPr>
              <w:pStyle w:val="Default"/>
              <w:jc w:val="both"/>
            </w:pPr>
            <w:r w:rsidRPr="00B00B8A">
              <w:t xml:space="preserve">1. Whilst there is no hierarchy in legislation, section 12(9) by creating the obligation to comply with this section, notwithstanding an obligation imposed by legislation creates a hierarchy without substantiation, therefore. </w:t>
            </w:r>
          </w:p>
          <w:p w14:paraId="799C0ED5" w14:textId="77777777" w:rsidR="00603E25" w:rsidRPr="00B00B8A" w:rsidRDefault="00603E25" w:rsidP="00603E25">
            <w:pPr>
              <w:pStyle w:val="Default"/>
              <w:jc w:val="both"/>
            </w:pPr>
          </w:p>
          <w:p w14:paraId="72F20AB8" w14:textId="77777777" w:rsidR="00603E25" w:rsidRPr="00B00B8A" w:rsidRDefault="00603E25" w:rsidP="00603E25">
            <w:pPr>
              <w:pStyle w:val="Default"/>
              <w:jc w:val="both"/>
            </w:pPr>
            <w:r w:rsidRPr="00B00B8A">
              <w:lastRenderedPageBreak/>
              <w:t xml:space="preserve">2) In relation to reference to “reporting institutions”, note that once the amendments to Schedule 1 to the FIC Act are effective, the reference to “reporting institution” may/ will be no longer applicable. </w:t>
            </w:r>
          </w:p>
          <w:p w14:paraId="0C5D1797" w14:textId="77777777" w:rsidR="008C6167" w:rsidRPr="00B00B8A" w:rsidRDefault="008C6167" w:rsidP="00603E25">
            <w:pPr>
              <w:pStyle w:val="Default"/>
              <w:jc w:val="both"/>
            </w:pPr>
          </w:p>
          <w:p w14:paraId="65BF2277" w14:textId="77777777" w:rsidR="000A003C" w:rsidRPr="00B00B8A" w:rsidRDefault="00603E25" w:rsidP="00603E25">
            <w:pPr>
              <w:pStyle w:val="Default"/>
              <w:jc w:val="both"/>
              <w:rPr>
                <w:b/>
              </w:rPr>
            </w:pPr>
            <w:r w:rsidRPr="00B00B8A">
              <w:rPr>
                <w:b/>
              </w:rPr>
              <w:t>BASA RECOMMENDATION:</w:t>
            </w:r>
          </w:p>
          <w:p w14:paraId="709A2E02" w14:textId="77777777" w:rsidR="00603E25" w:rsidRPr="00B00B8A" w:rsidRDefault="00603E25" w:rsidP="00603E25">
            <w:pPr>
              <w:pStyle w:val="Default"/>
              <w:jc w:val="both"/>
              <w:rPr>
                <w:b/>
              </w:rPr>
            </w:pPr>
          </w:p>
          <w:p w14:paraId="65E3E974" w14:textId="77777777" w:rsidR="00603E25" w:rsidRPr="00B00B8A" w:rsidRDefault="00603E25" w:rsidP="00603E25">
            <w:pPr>
              <w:pStyle w:val="Default"/>
              <w:jc w:val="both"/>
            </w:pPr>
            <w:r w:rsidRPr="00B00B8A">
              <w:t xml:space="preserve">It is proposed that section 12(9) be reworded as follows: </w:t>
            </w:r>
          </w:p>
          <w:p w14:paraId="737FE22D" w14:textId="77777777" w:rsidR="00603E25" w:rsidRPr="00B00B8A" w:rsidRDefault="00603E25" w:rsidP="00603E25">
            <w:pPr>
              <w:pStyle w:val="Default"/>
              <w:jc w:val="both"/>
            </w:pPr>
          </w:p>
          <w:p w14:paraId="0C14CCCA" w14:textId="77777777" w:rsidR="00603E25" w:rsidRPr="00B00B8A" w:rsidRDefault="00603E25" w:rsidP="00603E25">
            <w:pPr>
              <w:pStyle w:val="Default"/>
              <w:jc w:val="both"/>
            </w:pPr>
            <w:r w:rsidRPr="00B00B8A">
              <w:t>“For the purposes of this Act, no duty of secrecy or confidentiality or any other restriction on the disclosure of information, may affect the duty of compliance with this section by an accountable institution, supervisory body or reporting institution as defined in section 1 of the Financial Intelligence Centre Act, or any other person.”</w:t>
            </w:r>
            <w:r w:rsidRPr="00B00B8A">
              <w:rPr>
                <w:sz w:val="22"/>
                <w:szCs w:val="22"/>
              </w:rPr>
              <w:t xml:space="preserve"> </w:t>
            </w:r>
          </w:p>
        </w:tc>
        <w:tc>
          <w:tcPr>
            <w:tcW w:w="3457" w:type="dxa"/>
          </w:tcPr>
          <w:p w14:paraId="3514980D" w14:textId="77777777" w:rsidR="009E669C" w:rsidRPr="00B00B8A" w:rsidRDefault="009E669C" w:rsidP="009E669C">
            <w:pPr>
              <w:rPr>
                <w:rFonts w:ascii="Arial" w:hAnsi="Arial" w:cs="Arial"/>
                <w:sz w:val="24"/>
                <w:szCs w:val="24"/>
                <w:lang w:val="en-ZA"/>
              </w:rPr>
            </w:pPr>
            <w:r w:rsidRPr="00B00B8A">
              <w:rPr>
                <w:rFonts w:ascii="Arial" w:hAnsi="Arial" w:cs="Arial"/>
                <w:sz w:val="24"/>
                <w:szCs w:val="24"/>
                <w:lang w:val="en-ZA"/>
              </w:rPr>
              <w:lastRenderedPageBreak/>
              <w:t>The Department disagrees that the addition of section 12(9) creates a hierarchy of reporting obligations.</w:t>
            </w:r>
          </w:p>
          <w:p w14:paraId="7219E9E2" w14:textId="77777777" w:rsidR="009E669C" w:rsidRPr="00B00B8A" w:rsidRDefault="009E669C" w:rsidP="009E669C">
            <w:pPr>
              <w:rPr>
                <w:rFonts w:ascii="Arial" w:hAnsi="Arial" w:cs="Arial"/>
                <w:sz w:val="24"/>
                <w:szCs w:val="24"/>
                <w:lang w:val="en-ZA"/>
              </w:rPr>
            </w:pPr>
          </w:p>
          <w:p w14:paraId="23E53158" w14:textId="672E8806" w:rsidR="00C72C71" w:rsidRPr="00B00B8A" w:rsidRDefault="009E669C" w:rsidP="009E669C">
            <w:pPr>
              <w:jc w:val="both"/>
              <w:rPr>
                <w:rFonts w:ascii="Arial" w:hAnsi="Arial" w:cs="Arial"/>
                <w:sz w:val="24"/>
                <w:szCs w:val="24"/>
              </w:rPr>
            </w:pPr>
            <w:r w:rsidRPr="00B00B8A">
              <w:rPr>
                <w:rFonts w:ascii="Arial" w:hAnsi="Arial" w:cs="Arial"/>
                <w:sz w:val="24"/>
                <w:szCs w:val="24"/>
                <w:lang w:val="en-ZA"/>
              </w:rPr>
              <w:lastRenderedPageBreak/>
              <w:t>Schedule 3 to the FIC Act will continue to provide for “reporting institutions”.</w:t>
            </w:r>
          </w:p>
          <w:p w14:paraId="3F2F6D63" w14:textId="77777777" w:rsidR="00C72C71" w:rsidRPr="00B00B8A" w:rsidRDefault="00C72C71" w:rsidP="00C72C71">
            <w:pPr>
              <w:jc w:val="both"/>
              <w:rPr>
                <w:rFonts w:ascii="Arial" w:hAnsi="Arial" w:cs="Arial"/>
                <w:b/>
                <w:sz w:val="24"/>
                <w:szCs w:val="24"/>
              </w:rPr>
            </w:pPr>
          </w:p>
          <w:p w14:paraId="02853D0A" w14:textId="77777777" w:rsidR="00C72C71" w:rsidRPr="00B00B8A" w:rsidRDefault="00C72C71" w:rsidP="00C72C71">
            <w:pPr>
              <w:jc w:val="both"/>
              <w:rPr>
                <w:rFonts w:ascii="Arial" w:hAnsi="Arial" w:cs="Arial"/>
                <w:b/>
                <w:sz w:val="24"/>
                <w:szCs w:val="24"/>
              </w:rPr>
            </w:pPr>
          </w:p>
          <w:p w14:paraId="7BEBED9B" w14:textId="25074101" w:rsidR="00230D62" w:rsidRPr="00B00B8A" w:rsidRDefault="00D12165" w:rsidP="00230D62">
            <w:pPr>
              <w:pStyle w:val="CommentText"/>
              <w:jc w:val="both"/>
              <w:rPr>
                <w:rFonts w:ascii="Arial" w:hAnsi="Arial" w:cs="Arial"/>
                <w:sz w:val="24"/>
                <w:szCs w:val="24"/>
              </w:rPr>
            </w:pPr>
            <w:r w:rsidRPr="00B00B8A">
              <w:rPr>
                <w:rFonts w:ascii="Arial" w:hAnsi="Arial" w:cs="Arial"/>
                <w:sz w:val="24"/>
                <w:szCs w:val="24"/>
              </w:rPr>
              <w:t>The proposal of BASA means that the words “</w:t>
            </w:r>
            <w:r w:rsidRPr="00B00B8A">
              <w:rPr>
                <w:rFonts w:ascii="Arial" w:hAnsi="Arial" w:cs="Arial"/>
                <w:sz w:val="24"/>
                <w:szCs w:val="24"/>
                <w:u w:val="single"/>
              </w:rPr>
              <w:t>whether imposed by legislation or arising from the common law or agreement”</w:t>
            </w:r>
            <w:r w:rsidRPr="00B00B8A">
              <w:rPr>
                <w:rFonts w:ascii="Arial" w:hAnsi="Arial" w:cs="Arial"/>
                <w:sz w:val="24"/>
                <w:szCs w:val="24"/>
              </w:rPr>
              <w:t xml:space="preserve"> must be deleted from section 12(9).</w:t>
            </w:r>
            <w:r w:rsidR="00EF63A0" w:rsidRPr="00B00B8A">
              <w:rPr>
                <w:rFonts w:ascii="Arial" w:hAnsi="Arial" w:cs="Arial"/>
                <w:sz w:val="24"/>
                <w:szCs w:val="24"/>
              </w:rPr>
              <w:t xml:space="preserve"> The proposed section 12(9), is, however, derived from a similar provision in the Financial Intelligence Centre Act, 2001, namely section 37(1) which provides that: “no duty of secrecy or confidentiality or any other restriction on the disclosure of information, </w:t>
            </w:r>
            <w:r w:rsidR="00EF63A0" w:rsidRPr="00B00B8A">
              <w:rPr>
                <w:rFonts w:ascii="Arial" w:hAnsi="Arial" w:cs="Arial"/>
                <w:sz w:val="24"/>
                <w:szCs w:val="24"/>
                <w:u w:val="single"/>
              </w:rPr>
              <w:t>whether imposed by legislation or arising from the common law or agreement</w:t>
            </w:r>
            <w:r w:rsidR="00EF63A0" w:rsidRPr="00B00B8A">
              <w:rPr>
                <w:rFonts w:ascii="Arial" w:hAnsi="Arial" w:cs="Arial"/>
                <w:sz w:val="24"/>
                <w:szCs w:val="24"/>
              </w:rPr>
              <w:t>, affects compliance by an</w:t>
            </w:r>
            <w:r w:rsidR="00F73903" w:rsidRPr="00B00B8A">
              <w:rPr>
                <w:rFonts w:ascii="Arial" w:hAnsi="Arial" w:cs="Arial"/>
                <w:sz w:val="24"/>
                <w:szCs w:val="24"/>
              </w:rPr>
              <w:t xml:space="preserve"> </w:t>
            </w:r>
            <w:r w:rsidR="00EF63A0" w:rsidRPr="00B00B8A">
              <w:rPr>
                <w:rFonts w:ascii="Arial" w:hAnsi="Arial" w:cs="Arial"/>
                <w:sz w:val="24"/>
                <w:szCs w:val="24"/>
              </w:rPr>
              <w:t xml:space="preserve">accountable institution, supervisory body…”. There is no reason why the reporting duty and the exclusion of privilege in the Protection of Constitutional Democracy against Terrorist and Related Activities Act, 2004, should </w:t>
            </w:r>
            <w:r w:rsidR="00EF63A0" w:rsidRPr="00B00B8A">
              <w:rPr>
                <w:rFonts w:ascii="Arial" w:hAnsi="Arial" w:cs="Arial"/>
                <w:sz w:val="24"/>
                <w:szCs w:val="24"/>
              </w:rPr>
              <w:lastRenderedPageBreak/>
              <w:t xml:space="preserve">differ from that in the </w:t>
            </w:r>
            <w:r w:rsidR="00F73903" w:rsidRPr="00B00B8A">
              <w:rPr>
                <w:rFonts w:ascii="Arial" w:hAnsi="Arial" w:cs="Arial"/>
                <w:sz w:val="24"/>
                <w:szCs w:val="24"/>
              </w:rPr>
              <w:t>Financial Intelligence Centre Act, 2001</w:t>
            </w:r>
            <w:r w:rsidR="00230D62" w:rsidRPr="00B00B8A">
              <w:rPr>
                <w:rFonts w:ascii="Arial" w:hAnsi="Arial" w:cs="Arial"/>
                <w:sz w:val="24"/>
                <w:szCs w:val="24"/>
              </w:rPr>
              <w:t>.</w:t>
            </w:r>
            <w:r w:rsidR="00230D62" w:rsidRPr="00B00B8A">
              <w:t xml:space="preserve"> </w:t>
            </w:r>
            <w:r w:rsidR="00230D62" w:rsidRPr="00B00B8A">
              <w:rPr>
                <w:rFonts w:ascii="Arial" w:hAnsi="Arial" w:cs="Arial"/>
                <w:sz w:val="24"/>
                <w:szCs w:val="24"/>
              </w:rPr>
              <w:t>Clause 29 of the General Laws (Anti-Money Laundering and Combating Terrorism Financing) Amendment Bill contains a similar amendment to section 28A of the FIC Act.</w:t>
            </w:r>
          </w:p>
          <w:p w14:paraId="15011F5A" w14:textId="68CC2D1F" w:rsidR="00C72C71" w:rsidRPr="00B00B8A" w:rsidRDefault="00C72C71" w:rsidP="00230D62">
            <w:pPr>
              <w:rPr>
                <w:rFonts w:ascii="Arial" w:hAnsi="Arial" w:cs="Arial"/>
                <w:sz w:val="24"/>
                <w:szCs w:val="24"/>
              </w:rPr>
            </w:pPr>
          </w:p>
        </w:tc>
      </w:tr>
      <w:tr w:rsidR="002F3439" w:rsidRPr="00884761" w14:paraId="0F85E782" w14:textId="77777777" w:rsidTr="00F14186">
        <w:tc>
          <w:tcPr>
            <w:tcW w:w="1288" w:type="dxa"/>
          </w:tcPr>
          <w:p w14:paraId="4ABA424D" w14:textId="77777777" w:rsidR="002F3439" w:rsidRDefault="002F3439" w:rsidP="002F3439">
            <w:pPr>
              <w:jc w:val="both"/>
              <w:rPr>
                <w:rFonts w:ascii="Arial" w:hAnsi="Arial" w:cs="Arial"/>
                <w:b/>
                <w:sz w:val="24"/>
                <w:szCs w:val="24"/>
              </w:rPr>
            </w:pPr>
            <w:r>
              <w:rPr>
                <w:rFonts w:ascii="Arial" w:hAnsi="Arial" w:cs="Arial"/>
                <w:b/>
                <w:sz w:val="24"/>
                <w:szCs w:val="24"/>
              </w:rPr>
              <w:lastRenderedPageBreak/>
              <w:t>18</w:t>
            </w:r>
          </w:p>
        </w:tc>
        <w:tc>
          <w:tcPr>
            <w:tcW w:w="1446" w:type="dxa"/>
          </w:tcPr>
          <w:p w14:paraId="668E6048" w14:textId="77777777" w:rsidR="002F3439" w:rsidRDefault="002F3439" w:rsidP="002F3439">
            <w:pPr>
              <w:jc w:val="both"/>
              <w:rPr>
                <w:rFonts w:ascii="Arial" w:hAnsi="Arial" w:cs="Arial"/>
                <w:b/>
                <w:sz w:val="24"/>
                <w:szCs w:val="24"/>
              </w:rPr>
            </w:pPr>
            <w:r>
              <w:rPr>
                <w:rFonts w:ascii="Arial" w:hAnsi="Arial" w:cs="Arial"/>
                <w:b/>
                <w:sz w:val="24"/>
                <w:szCs w:val="24"/>
              </w:rPr>
              <w:t>23(2)(b)</w:t>
            </w:r>
          </w:p>
        </w:tc>
        <w:tc>
          <w:tcPr>
            <w:tcW w:w="6759" w:type="dxa"/>
          </w:tcPr>
          <w:p w14:paraId="7F10A1F7" w14:textId="77777777" w:rsidR="002F3439" w:rsidRPr="0021604E" w:rsidRDefault="002F3439" w:rsidP="002F3439">
            <w:pPr>
              <w:pStyle w:val="Default"/>
              <w:jc w:val="both"/>
            </w:pPr>
            <w:r>
              <w:t xml:space="preserve">BASA requests to refer to comments above under section </w:t>
            </w:r>
            <w:r w:rsidRPr="000A003C">
              <w:rPr>
                <w:b/>
              </w:rPr>
              <w:t>1(f)</w:t>
            </w:r>
            <w:r>
              <w:t>.</w:t>
            </w:r>
          </w:p>
        </w:tc>
        <w:tc>
          <w:tcPr>
            <w:tcW w:w="3457" w:type="dxa"/>
          </w:tcPr>
          <w:p w14:paraId="3C226B94" w14:textId="146F6C24" w:rsidR="002F3439" w:rsidRPr="00465DD5" w:rsidRDefault="009E669C" w:rsidP="002F3439">
            <w:pPr>
              <w:jc w:val="both"/>
              <w:rPr>
                <w:rFonts w:ascii="Arial" w:hAnsi="Arial" w:cs="Arial"/>
                <w:sz w:val="24"/>
                <w:szCs w:val="24"/>
              </w:rPr>
            </w:pPr>
            <w:r w:rsidRPr="00465DD5">
              <w:rPr>
                <w:rFonts w:ascii="Arial" w:hAnsi="Arial" w:cs="Arial"/>
                <w:sz w:val="24"/>
                <w:szCs w:val="24"/>
                <w:lang w:val="en-ZA"/>
              </w:rPr>
              <w:t>See the Department’s views on paragraph 1(f).</w:t>
            </w:r>
          </w:p>
        </w:tc>
      </w:tr>
      <w:tr w:rsidR="006803B7" w:rsidRPr="00884761" w14:paraId="5F582964" w14:textId="77777777" w:rsidTr="00F14186">
        <w:tc>
          <w:tcPr>
            <w:tcW w:w="1288" w:type="dxa"/>
          </w:tcPr>
          <w:p w14:paraId="4B95C12F" w14:textId="77777777" w:rsidR="006803B7" w:rsidRDefault="006803B7" w:rsidP="002F3439">
            <w:pPr>
              <w:jc w:val="both"/>
              <w:rPr>
                <w:rFonts w:ascii="Arial" w:hAnsi="Arial" w:cs="Arial"/>
                <w:b/>
                <w:sz w:val="24"/>
                <w:szCs w:val="24"/>
              </w:rPr>
            </w:pPr>
          </w:p>
        </w:tc>
        <w:tc>
          <w:tcPr>
            <w:tcW w:w="1446" w:type="dxa"/>
          </w:tcPr>
          <w:p w14:paraId="4B20F7A6" w14:textId="77777777" w:rsidR="006803B7" w:rsidRDefault="006803B7" w:rsidP="002F3439">
            <w:pPr>
              <w:jc w:val="both"/>
              <w:rPr>
                <w:rFonts w:ascii="Arial" w:hAnsi="Arial" w:cs="Arial"/>
                <w:b/>
                <w:sz w:val="24"/>
                <w:szCs w:val="24"/>
              </w:rPr>
            </w:pPr>
          </w:p>
        </w:tc>
        <w:tc>
          <w:tcPr>
            <w:tcW w:w="6759" w:type="dxa"/>
          </w:tcPr>
          <w:p w14:paraId="4AC97166" w14:textId="77777777" w:rsidR="006803B7" w:rsidRDefault="006803B7" w:rsidP="002F3439">
            <w:pPr>
              <w:pStyle w:val="Default"/>
              <w:jc w:val="both"/>
            </w:pPr>
          </w:p>
        </w:tc>
        <w:tc>
          <w:tcPr>
            <w:tcW w:w="3457" w:type="dxa"/>
          </w:tcPr>
          <w:p w14:paraId="2D102495" w14:textId="77777777" w:rsidR="006803B7" w:rsidRPr="00884761" w:rsidRDefault="006803B7" w:rsidP="002F3439">
            <w:pPr>
              <w:jc w:val="both"/>
              <w:rPr>
                <w:rFonts w:ascii="Arial" w:hAnsi="Arial" w:cs="Arial"/>
                <w:b/>
                <w:sz w:val="24"/>
                <w:szCs w:val="24"/>
              </w:rPr>
            </w:pPr>
          </w:p>
        </w:tc>
      </w:tr>
      <w:tr w:rsidR="006803B7" w:rsidRPr="00884761" w14:paraId="319F604C" w14:textId="77777777" w:rsidTr="00F14186">
        <w:tc>
          <w:tcPr>
            <w:tcW w:w="1288" w:type="dxa"/>
          </w:tcPr>
          <w:p w14:paraId="7E0D6E5B" w14:textId="77777777" w:rsidR="006803B7" w:rsidRDefault="006803B7" w:rsidP="002F3439">
            <w:pPr>
              <w:jc w:val="both"/>
              <w:rPr>
                <w:rFonts w:ascii="Arial" w:hAnsi="Arial" w:cs="Arial"/>
                <w:b/>
                <w:sz w:val="24"/>
                <w:szCs w:val="24"/>
              </w:rPr>
            </w:pPr>
          </w:p>
        </w:tc>
        <w:tc>
          <w:tcPr>
            <w:tcW w:w="1446" w:type="dxa"/>
          </w:tcPr>
          <w:p w14:paraId="644FA6BF" w14:textId="77777777" w:rsidR="006803B7" w:rsidRDefault="006803B7" w:rsidP="002F3439">
            <w:pPr>
              <w:jc w:val="both"/>
              <w:rPr>
                <w:rFonts w:ascii="Arial" w:hAnsi="Arial" w:cs="Arial"/>
                <w:b/>
                <w:sz w:val="24"/>
                <w:szCs w:val="24"/>
              </w:rPr>
            </w:pPr>
          </w:p>
        </w:tc>
        <w:tc>
          <w:tcPr>
            <w:tcW w:w="6759" w:type="dxa"/>
          </w:tcPr>
          <w:p w14:paraId="5EBCD9CE" w14:textId="05BD78D6" w:rsidR="006803B7" w:rsidRPr="006803B7" w:rsidRDefault="006803B7" w:rsidP="002F3439">
            <w:pPr>
              <w:pStyle w:val="Default"/>
              <w:jc w:val="both"/>
              <w:rPr>
                <w:b/>
              </w:rPr>
            </w:pPr>
            <w:r w:rsidRPr="006803B7">
              <w:rPr>
                <w:b/>
              </w:rPr>
              <w:t>SUSSEX TERRORISM AND EXTREMISM NETWORK</w:t>
            </w:r>
          </w:p>
        </w:tc>
        <w:tc>
          <w:tcPr>
            <w:tcW w:w="3457" w:type="dxa"/>
          </w:tcPr>
          <w:p w14:paraId="0DFCADAC" w14:textId="77777777" w:rsidR="006803B7" w:rsidRPr="00884761" w:rsidRDefault="006803B7" w:rsidP="002F3439">
            <w:pPr>
              <w:jc w:val="both"/>
              <w:rPr>
                <w:rFonts w:ascii="Arial" w:hAnsi="Arial" w:cs="Arial"/>
                <w:b/>
                <w:sz w:val="24"/>
                <w:szCs w:val="24"/>
              </w:rPr>
            </w:pPr>
          </w:p>
        </w:tc>
      </w:tr>
      <w:tr w:rsidR="006803B7" w:rsidRPr="0051279C" w14:paraId="1B3727B3" w14:textId="77777777" w:rsidTr="00F14186">
        <w:tc>
          <w:tcPr>
            <w:tcW w:w="1288" w:type="dxa"/>
          </w:tcPr>
          <w:p w14:paraId="76E5877A" w14:textId="2DFAC942" w:rsidR="006803B7" w:rsidRPr="0051279C" w:rsidRDefault="006803B7" w:rsidP="0051279C">
            <w:pPr>
              <w:jc w:val="both"/>
              <w:rPr>
                <w:rFonts w:ascii="Arial" w:hAnsi="Arial" w:cs="Arial"/>
                <w:b/>
                <w:sz w:val="24"/>
                <w:szCs w:val="24"/>
              </w:rPr>
            </w:pPr>
            <w:r w:rsidRPr="0051279C">
              <w:rPr>
                <w:rFonts w:ascii="Arial" w:hAnsi="Arial" w:cs="Arial"/>
                <w:b/>
                <w:sz w:val="24"/>
                <w:szCs w:val="24"/>
              </w:rPr>
              <w:t>1</w:t>
            </w:r>
          </w:p>
        </w:tc>
        <w:tc>
          <w:tcPr>
            <w:tcW w:w="1446" w:type="dxa"/>
          </w:tcPr>
          <w:p w14:paraId="5E8B4DD4" w14:textId="0907AA8B" w:rsidR="006803B7" w:rsidRPr="0051279C" w:rsidRDefault="006803B7" w:rsidP="0051279C">
            <w:pPr>
              <w:jc w:val="both"/>
              <w:rPr>
                <w:rFonts w:ascii="Arial" w:hAnsi="Arial" w:cs="Arial"/>
                <w:b/>
                <w:sz w:val="24"/>
                <w:szCs w:val="24"/>
              </w:rPr>
            </w:pPr>
            <w:r w:rsidRPr="0051279C">
              <w:rPr>
                <w:rFonts w:ascii="Arial" w:hAnsi="Arial" w:cs="Arial"/>
                <w:b/>
                <w:sz w:val="24"/>
                <w:szCs w:val="24"/>
              </w:rPr>
              <w:t>1</w:t>
            </w:r>
          </w:p>
        </w:tc>
        <w:tc>
          <w:tcPr>
            <w:tcW w:w="6759" w:type="dxa"/>
          </w:tcPr>
          <w:p w14:paraId="161BDEC6" w14:textId="77777777" w:rsidR="006803B7" w:rsidRPr="00B00B8A" w:rsidRDefault="006803B7" w:rsidP="0051279C">
            <w:pPr>
              <w:autoSpaceDE w:val="0"/>
              <w:autoSpaceDN w:val="0"/>
              <w:adjustRightInd w:val="0"/>
              <w:jc w:val="both"/>
              <w:rPr>
                <w:rFonts w:ascii="Arial" w:hAnsi="Arial" w:cs="Arial"/>
                <w:color w:val="000000"/>
                <w:sz w:val="24"/>
                <w:szCs w:val="24"/>
              </w:rPr>
            </w:pPr>
            <w:r w:rsidRPr="00B00B8A">
              <w:rPr>
                <w:rFonts w:ascii="Arial" w:hAnsi="Arial" w:cs="Arial"/>
                <w:color w:val="000000"/>
                <w:sz w:val="24"/>
                <w:szCs w:val="24"/>
              </w:rPr>
              <w:t xml:space="preserve">The reference to terrorist motive in the definition of terrorist activity can be removed. The amendment proposes to add the following to the definition: </w:t>
            </w:r>
          </w:p>
          <w:p w14:paraId="463E1ECE" w14:textId="77777777" w:rsidR="006803B7" w:rsidRPr="00B00B8A" w:rsidRDefault="006803B7" w:rsidP="0051279C">
            <w:pPr>
              <w:autoSpaceDE w:val="0"/>
              <w:autoSpaceDN w:val="0"/>
              <w:adjustRightInd w:val="0"/>
              <w:jc w:val="both"/>
              <w:rPr>
                <w:rFonts w:ascii="Arial" w:hAnsi="Arial" w:cs="Arial"/>
                <w:color w:val="000000"/>
                <w:sz w:val="24"/>
                <w:szCs w:val="24"/>
              </w:rPr>
            </w:pPr>
            <w:r w:rsidRPr="00B00B8A">
              <w:rPr>
                <w:rFonts w:ascii="Arial" w:hAnsi="Arial" w:cs="Arial"/>
                <w:color w:val="000000"/>
                <w:sz w:val="24"/>
                <w:szCs w:val="24"/>
              </w:rPr>
              <w:t xml:space="preserve">(c) which is committed, directly or indirectly, in whole or in part, for the purpose of the advancement of an individual or collective political, religious, ideological or philosophical motive, objective, cause or undertaking; </w:t>
            </w:r>
          </w:p>
          <w:p w14:paraId="4A7266CD" w14:textId="77777777" w:rsidR="006803B7" w:rsidRPr="00B00B8A" w:rsidRDefault="006803B7" w:rsidP="0051279C">
            <w:pPr>
              <w:pStyle w:val="Default"/>
              <w:jc w:val="both"/>
            </w:pPr>
            <w:r w:rsidRPr="00B00B8A">
              <w:t>International instruments and UN Security Council resolutions generally do not require a special terrorist motive, which may be difficult and burdensome to prove, and the criminal law does not normally require proof of motive. It is true that the special terrorist motive is what makes a terrorist act distinctive from other types of criminality</w:t>
            </w:r>
            <w:r w:rsidR="002064D9" w:rsidRPr="00B00B8A">
              <w:t xml:space="preserve"> and there is a legitimate concern that the absence of a motive requirement may make the definition of terrorist activity overly broad. However, such distinction is more theoretical than one that is borne out by empirical evidence. Carrying out a violent act to inspire terror should be sufficient grounds for prosecution. For instance, Colombian drug lord Pablo Escobar’s narcoterrorism presents </w:t>
            </w:r>
            <w:r w:rsidR="002064D9" w:rsidRPr="00B00B8A">
              <w:lastRenderedPageBreak/>
              <w:t>a case where his organisation engaged in terrorist attacks including the bombing of a passenger plane to intimidate the Colombian government for purely criminal financial motive.</w:t>
            </w:r>
          </w:p>
          <w:p w14:paraId="21359742" w14:textId="737CBCF5" w:rsidR="00AB4A13" w:rsidRPr="00B00B8A" w:rsidRDefault="00AB4A13" w:rsidP="0051279C">
            <w:pPr>
              <w:pStyle w:val="Default"/>
              <w:jc w:val="both"/>
            </w:pPr>
            <w:r w:rsidRPr="00B00B8A">
              <w:t>Indeed, many (if not all) of the most lethal and resilient terrorist groups in the African continent (and beyond) are ‘hybrid’ groups; that is to say, groups which are terrorist and heavily involved, directly or indirectly, in a range of organised criminal activities. Terrorists benefit from organised crime financially, logistically, and operationally. Some of these groups are far more active in organised crime than the advancement of a political, religious, ideological or philosophical cause. The UN Security Council has adopted a series of resolutions, since 2014, requiring states to counter organised crime and its linkages with terrorist groups, irrespective of whether such crime is domestic or transnational, because of the threat that it poses to international peace and security. Therefore, it is essential that any modern definition of terrorist activity is based on emerging and growing empirical data and reflects the reality that terrorist activity includes involvement in or benefit from organised crime.</w:t>
            </w:r>
          </w:p>
        </w:tc>
        <w:tc>
          <w:tcPr>
            <w:tcW w:w="3457" w:type="dxa"/>
          </w:tcPr>
          <w:p w14:paraId="4D0315AD" w14:textId="36757818" w:rsidR="006803B7" w:rsidRPr="00B00B8A" w:rsidRDefault="0078204D" w:rsidP="0051279C">
            <w:pPr>
              <w:jc w:val="both"/>
              <w:rPr>
                <w:rFonts w:ascii="Arial" w:hAnsi="Arial" w:cs="Arial"/>
                <w:sz w:val="24"/>
                <w:szCs w:val="24"/>
              </w:rPr>
            </w:pPr>
            <w:r w:rsidRPr="00B00B8A">
              <w:rPr>
                <w:rFonts w:ascii="Arial" w:hAnsi="Arial" w:cs="Arial"/>
                <w:sz w:val="24"/>
                <w:szCs w:val="24"/>
              </w:rPr>
              <w:lastRenderedPageBreak/>
              <w:t>As explained on page 1 of the Bill, words in square brackets and in bold are proposed to be deleted from the Act</w:t>
            </w:r>
            <w:r w:rsidR="006009C8" w:rsidRPr="00B00B8A">
              <w:rPr>
                <w:rFonts w:ascii="Arial" w:hAnsi="Arial" w:cs="Arial"/>
                <w:sz w:val="24"/>
                <w:szCs w:val="24"/>
              </w:rPr>
              <w:t xml:space="preserve">. </w:t>
            </w:r>
            <w:r w:rsidRPr="00B00B8A">
              <w:rPr>
                <w:rFonts w:ascii="Arial" w:hAnsi="Arial" w:cs="Arial"/>
                <w:sz w:val="24"/>
                <w:szCs w:val="24"/>
              </w:rPr>
              <w:t>The following is proposed amongst others in the Bill in respect of the definition of “terrorist activity”:</w:t>
            </w:r>
          </w:p>
          <w:p w14:paraId="21B60650" w14:textId="77777777" w:rsidR="0078204D" w:rsidRPr="00B00B8A" w:rsidRDefault="0078204D" w:rsidP="0051279C">
            <w:pPr>
              <w:jc w:val="both"/>
              <w:rPr>
                <w:rFonts w:ascii="Arial" w:hAnsi="Arial" w:cs="Arial"/>
                <w:sz w:val="24"/>
                <w:szCs w:val="24"/>
              </w:rPr>
            </w:pPr>
          </w:p>
          <w:p w14:paraId="71AAA906" w14:textId="2EFC3111" w:rsidR="0078204D" w:rsidRPr="00B00B8A" w:rsidRDefault="0078204D" w:rsidP="0078204D">
            <w:pPr>
              <w:jc w:val="both"/>
              <w:rPr>
                <w:rFonts w:ascii="Arial" w:hAnsi="Arial" w:cs="Arial"/>
                <w:b/>
                <w:sz w:val="24"/>
                <w:szCs w:val="24"/>
              </w:rPr>
            </w:pPr>
            <w:r w:rsidRPr="00B00B8A">
              <w:rPr>
                <w:rFonts w:ascii="Arial" w:hAnsi="Arial" w:cs="Arial"/>
                <w:b/>
                <w:sz w:val="24"/>
                <w:szCs w:val="24"/>
              </w:rPr>
              <w:t>“[and</w:t>
            </w:r>
          </w:p>
          <w:p w14:paraId="01D5937A" w14:textId="1DDF4DF2" w:rsidR="0078204D" w:rsidRPr="00B00B8A" w:rsidRDefault="0078204D" w:rsidP="0078204D">
            <w:pPr>
              <w:jc w:val="both"/>
              <w:rPr>
                <w:rFonts w:ascii="Arial" w:hAnsi="Arial" w:cs="Arial"/>
                <w:b/>
                <w:sz w:val="24"/>
                <w:szCs w:val="24"/>
              </w:rPr>
            </w:pPr>
            <w:r w:rsidRPr="00B00B8A">
              <w:rPr>
                <w:rFonts w:ascii="Arial" w:hAnsi="Arial" w:cs="Arial"/>
                <w:b/>
                <w:sz w:val="24"/>
                <w:szCs w:val="24"/>
              </w:rPr>
              <w:t>(c) which is committed, directly or indirectly, in whole or in part, for the purpose of the advancement of an individual or collective political, religious, ideological or philosophical motive,</w:t>
            </w:r>
            <w:r w:rsidR="008F60DE" w:rsidRPr="00B00B8A">
              <w:rPr>
                <w:rFonts w:ascii="Arial" w:hAnsi="Arial" w:cs="Arial"/>
                <w:b/>
                <w:sz w:val="24"/>
                <w:szCs w:val="24"/>
              </w:rPr>
              <w:t xml:space="preserve"> </w:t>
            </w:r>
            <w:r w:rsidRPr="00B00B8A">
              <w:rPr>
                <w:rFonts w:ascii="Arial" w:hAnsi="Arial" w:cs="Arial"/>
                <w:b/>
                <w:sz w:val="24"/>
                <w:szCs w:val="24"/>
              </w:rPr>
              <w:t>objective, cause or undertaking;]’’;</w:t>
            </w:r>
          </w:p>
          <w:p w14:paraId="1FF87F44" w14:textId="71045B72" w:rsidR="0078204D" w:rsidRPr="00B00B8A" w:rsidRDefault="0078204D" w:rsidP="0078204D">
            <w:pPr>
              <w:jc w:val="both"/>
              <w:rPr>
                <w:rFonts w:ascii="Arial" w:hAnsi="Arial" w:cs="Arial"/>
                <w:sz w:val="24"/>
                <w:szCs w:val="24"/>
              </w:rPr>
            </w:pPr>
            <w:r w:rsidRPr="00B00B8A">
              <w:rPr>
                <w:rFonts w:ascii="Arial" w:hAnsi="Arial" w:cs="Arial"/>
                <w:sz w:val="24"/>
                <w:szCs w:val="24"/>
              </w:rPr>
              <w:lastRenderedPageBreak/>
              <w:t xml:space="preserve">The whole paragraph (c) (the motive requirement is in bold and square brackets and therefore are proposed to </w:t>
            </w:r>
            <w:r w:rsidR="00DB4642" w:rsidRPr="00B00B8A">
              <w:rPr>
                <w:rFonts w:ascii="Arial" w:hAnsi="Arial" w:cs="Arial"/>
                <w:sz w:val="24"/>
                <w:szCs w:val="24"/>
              </w:rPr>
              <w:t xml:space="preserve">be </w:t>
            </w:r>
            <w:r w:rsidRPr="00B00B8A">
              <w:rPr>
                <w:rFonts w:ascii="Arial" w:hAnsi="Arial" w:cs="Arial"/>
                <w:sz w:val="24"/>
                <w:szCs w:val="24"/>
              </w:rPr>
              <w:t>delete</w:t>
            </w:r>
            <w:r w:rsidR="00DB4642" w:rsidRPr="00B00B8A">
              <w:rPr>
                <w:rFonts w:ascii="Arial" w:hAnsi="Arial" w:cs="Arial"/>
                <w:sz w:val="24"/>
                <w:szCs w:val="24"/>
              </w:rPr>
              <w:t>d</w:t>
            </w:r>
            <w:r w:rsidRPr="00B00B8A">
              <w:rPr>
                <w:rFonts w:ascii="Arial" w:hAnsi="Arial" w:cs="Arial"/>
                <w:sz w:val="24"/>
                <w:szCs w:val="24"/>
              </w:rPr>
              <w:t>. The proposal in the Bill is therefore exactly what is proposed by STERN and STERN in fact therefore is in support of the proposed deletion of the motive requirement in the definition of “terrorist activity”.</w:t>
            </w:r>
          </w:p>
        </w:tc>
      </w:tr>
      <w:tr w:rsidR="007B4EE6" w:rsidRPr="0051279C" w14:paraId="115DF75E" w14:textId="77777777" w:rsidTr="00F14186">
        <w:tc>
          <w:tcPr>
            <w:tcW w:w="1288" w:type="dxa"/>
          </w:tcPr>
          <w:p w14:paraId="3FE42CC9" w14:textId="37CF4BB2" w:rsidR="007B4EE6" w:rsidRPr="0051279C" w:rsidRDefault="007B4EE6" w:rsidP="0051279C">
            <w:pPr>
              <w:jc w:val="both"/>
              <w:rPr>
                <w:rFonts w:ascii="Arial" w:hAnsi="Arial" w:cs="Arial"/>
                <w:b/>
                <w:sz w:val="24"/>
                <w:szCs w:val="24"/>
              </w:rPr>
            </w:pPr>
            <w:r w:rsidRPr="0051279C">
              <w:rPr>
                <w:rFonts w:ascii="Arial" w:hAnsi="Arial" w:cs="Arial"/>
                <w:b/>
                <w:sz w:val="24"/>
                <w:szCs w:val="24"/>
              </w:rPr>
              <w:lastRenderedPageBreak/>
              <w:t>2</w:t>
            </w:r>
          </w:p>
        </w:tc>
        <w:tc>
          <w:tcPr>
            <w:tcW w:w="1446" w:type="dxa"/>
          </w:tcPr>
          <w:p w14:paraId="2F96FC0E" w14:textId="21E68F61" w:rsidR="007B4EE6" w:rsidRPr="0051279C" w:rsidRDefault="007B4EE6" w:rsidP="0051279C">
            <w:pPr>
              <w:jc w:val="both"/>
              <w:rPr>
                <w:rFonts w:ascii="Arial" w:hAnsi="Arial" w:cs="Arial"/>
                <w:b/>
                <w:sz w:val="24"/>
                <w:szCs w:val="24"/>
              </w:rPr>
            </w:pPr>
            <w:r w:rsidRPr="0051279C">
              <w:rPr>
                <w:rFonts w:ascii="Arial" w:hAnsi="Arial" w:cs="Arial"/>
                <w:b/>
                <w:sz w:val="24"/>
                <w:szCs w:val="24"/>
              </w:rPr>
              <w:t>3(4)</w:t>
            </w:r>
          </w:p>
        </w:tc>
        <w:tc>
          <w:tcPr>
            <w:tcW w:w="6759" w:type="dxa"/>
          </w:tcPr>
          <w:p w14:paraId="7952889A" w14:textId="77777777" w:rsidR="007B4EE6" w:rsidRPr="00B00B8A" w:rsidRDefault="007B4EE6" w:rsidP="0051279C">
            <w:pPr>
              <w:pStyle w:val="Default"/>
              <w:jc w:val="both"/>
            </w:pPr>
            <w:r w:rsidRPr="00B00B8A">
              <w:t xml:space="preserve">The issue of criminalising training related to terrorist activities is important to address as it provides an opportunity to interrupt terrorist activity before an attack can occur. In this way, preparation for committing terrorism-related offences should be criminalised as well as the preparation of a non-specific terrorism-related offence. Regarding training, the Australian Criminal Code Act 19955 in Division 101.2. on providing or receiving training connected with terrorist acts specifies that: </w:t>
            </w:r>
          </w:p>
          <w:p w14:paraId="6E4F7ADF" w14:textId="77777777" w:rsidR="007B4EE6" w:rsidRPr="00B00B8A" w:rsidRDefault="007B4EE6" w:rsidP="0051279C">
            <w:pPr>
              <w:autoSpaceDE w:val="0"/>
              <w:autoSpaceDN w:val="0"/>
              <w:adjustRightInd w:val="0"/>
              <w:jc w:val="both"/>
              <w:rPr>
                <w:rFonts w:ascii="Arial" w:hAnsi="Arial" w:cs="Arial"/>
                <w:color w:val="000000"/>
                <w:sz w:val="24"/>
                <w:szCs w:val="24"/>
              </w:rPr>
            </w:pPr>
            <w:r w:rsidRPr="00B00B8A">
              <w:rPr>
                <w:rFonts w:ascii="Arial" w:hAnsi="Arial" w:cs="Arial"/>
                <w:color w:val="000000"/>
                <w:sz w:val="24"/>
                <w:szCs w:val="24"/>
              </w:rPr>
              <w:t xml:space="preserve">(3) A person commits an offence under this section even if: </w:t>
            </w:r>
          </w:p>
          <w:p w14:paraId="7A29B1D2" w14:textId="77777777" w:rsidR="007B4EE6" w:rsidRPr="00B00B8A" w:rsidRDefault="007B4EE6" w:rsidP="0051279C">
            <w:pPr>
              <w:autoSpaceDE w:val="0"/>
              <w:autoSpaceDN w:val="0"/>
              <w:adjustRightInd w:val="0"/>
              <w:jc w:val="both"/>
              <w:rPr>
                <w:rFonts w:ascii="Arial" w:hAnsi="Arial" w:cs="Arial"/>
                <w:color w:val="000000"/>
                <w:sz w:val="24"/>
                <w:szCs w:val="24"/>
              </w:rPr>
            </w:pPr>
            <w:r w:rsidRPr="00B00B8A">
              <w:rPr>
                <w:rFonts w:ascii="Arial" w:hAnsi="Arial" w:cs="Arial"/>
                <w:color w:val="000000"/>
                <w:sz w:val="24"/>
                <w:szCs w:val="24"/>
              </w:rPr>
              <w:t xml:space="preserve">(a) a terrorist act does not occur; or </w:t>
            </w:r>
          </w:p>
          <w:p w14:paraId="2C97CC63" w14:textId="77777777" w:rsidR="007B4EE6" w:rsidRPr="00B00B8A" w:rsidRDefault="007B4EE6" w:rsidP="0051279C">
            <w:pPr>
              <w:autoSpaceDE w:val="0"/>
              <w:autoSpaceDN w:val="0"/>
              <w:adjustRightInd w:val="0"/>
              <w:jc w:val="both"/>
              <w:rPr>
                <w:rFonts w:ascii="Arial" w:hAnsi="Arial" w:cs="Arial"/>
                <w:color w:val="000000"/>
                <w:sz w:val="24"/>
                <w:szCs w:val="24"/>
              </w:rPr>
            </w:pPr>
            <w:r w:rsidRPr="00B00B8A">
              <w:rPr>
                <w:rFonts w:ascii="Arial" w:hAnsi="Arial" w:cs="Arial"/>
                <w:color w:val="000000"/>
                <w:sz w:val="24"/>
                <w:szCs w:val="24"/>
              </w:rPr>
              <w:lastRenderedPageBreak/>
              <w:t xml:space="preserve">(b) the training is not connected with preparation for, the engagement of a person in, or assistance in a specific terrorist act; or </w:t>
            </w:r>
          </w:p>
          <w:p w14:paraId="5688B89F" w14:textId="77777777" w:rsidR="007B4EE6" w:rsidRPr="00B00B8A" w:rsidRDefault="007B4EE6" w:rsidP="0051279C">
            <w:pPr>
              <w:autoSpaceDE w:val="0"/>
              <w:autoSpaceDN w:val="0"/>
              <w:adjustRightInd w:val="0"/>
              <w:jc w:val="both"/>
              <w:rPr>
                <w:rFonts w:ascii="Arial" w:hAnsi="Arial" w:cs="Arial"/>
                <w:color w:val="000000"/>
                <w:sz w:val="24"/>
                <w:szCs w:val="24"/>
              </w:rPr>
            </w:pPr>
            <w:r w:rsidRPr="00B00B8A">
              <w:rPr>
                <w:rFonts w:ascii="Arial" w:hAnsi="Arial" w:cs="Arial"/>
                <w:color w:val="000000"/>
                <w:sz w:val="24"/>
                <w:szCs w:val="24"/>
              </w:rPr>
              <w:t xml:space="preserve">(c) the training is connected with preparation for, the engagement of a person in, or assistance in more than one terrorist act. </w:t>
            </w:r>
          </w:p>
          <w:p w14:paraId="4E50612E" w14:textId="1C6C4F2F" w:rsidR="007B4EE6" w:rsidRPr="00B00B8A" w:rsidRDefault="007B4EE6" w:rsidP="0051279C">
            <w:pPr>
              <w:autoSpaceDE w:val="0"/>
              <w:autoSpaceDN w:val="0"/>
              <w:adjustRightInd w:val="0"/>
              <w:jc w:val="both"/>
              <w:rPr>
                <w:rFonts w:ascii="Arial" w:hAnsi="Arial" w:cs="Arial"/>
                <w:sz w:val="24"/>
                <w:szCs w:val="24"/>
              </w:rPr>
            </w:pPr>
            <w:r w:rsidRPr="00B00B8A">
              <w:rPr>
                <w:rFonts w:ascii="Arial" w:hAnsi="Arial" w:cs="Arial"/>
                <w:color w:val="000000"/>
                <w:sz w:val="24"/>
                <w:szCs w:val="24"/>
              </w:rPr>
              <w:t>In this way, the Australian law on terrorist training clarifies that the act of training is itself an offence even if there is no specific attack planned. Terrorist training can also occur online, including on social media platforms. Consequently, the Bill should further consider a clause addressing the provision or receiving of training online</w:t>
            </w:r>
            <w:r w:rsidR="0051279C" w:rsidRPr="00B00B8A">
              <w:rPr>
                <w:rFonts w:ascii="Arial" w:hAnsi="Arial" w:cs="Arial"/>
                <w:color w:val="000000"/>
                <w:sz w:val="24"/>
                <w:szCs w:val="24"/>
              </w:rPr>
              <w:t>.</w:t>
            </w:r>
          </w:p>
        </w:tc>
        <w:tc>
          <w:tcPr>
            <w:tcW w:w="3457" w:type="dxa"/>
          </w:tcPr>
          <w:p w14:paraId="214BEF40" w14:textId="77777777" w:rsidR="007B4EE6" w:rsidRPr="00B00B8A" w:rsidRDefault="00D25743" w:rsidP="0051279C">
            <w:pPr>
              <w:jc w:val="both"/>
              <w:rPr>
                <w:rFonts w:ascii="Arial" w:hAnsi="Arial" w:cs="Arial"/>
                <w:sz w:val="24"/>
                <w:szCs w:val="24"/>
              </w:rPr>
            </w:pPr>
            <w:r w:rsidRPr="00B00B8A">
              <w:rPr>
                <w:rFonts w:ascii="Arial" w:hAnsi="Arial" w:cs="Arial"/>
                <w:sz w:val="24"/>
                <w:szCs w:val="24"/>
              </w:rPr>
              <w:lastRenderedPageBreak/>
              <w:t>These comments are supported.</w:t>
            </w:r>
          </w:p>
          <w:p w14:paraId="6D7D7098" w14:textId="77777777" w:rsidR="00524532" w:rsidRPr="00B00B8A" w:rsidRDefault="00524532" w:rsidP="0051279C">
            <w:pPr>
              <w:jc w:val="both"/>
              <w:rPr>
                <w:rFonts w:ascii="Arial" w:hAnsi="Arial" w:cs="Arial"/>
                <w:sz w:val="24"/>
                <w:szCs w:val="24"/>
              </w:rPr>
            </w:pPr>
            <w:r w:rsidRPr="00B00B8A">
              <w:rPr>
                <w:rFonts w:ascii="Arial" w:hAnsi="Arial" w:cs="Arial"/>
                <w:sz w:val="24"/>
                <w:szCs w:val="24"/>
              </w:rPr>
              <w:t>It is proposed that text on page 8 of the POCDATARA Amendment Bill, in line 9, be substituted for the following:</w:t>
            </w:r>
          </w:p>
          <w:p w14:paraId="681E679B" w14:textId="77777777" w:rsidR="00524532" w:rsidRPr="00B00B8A" w:rsidRDefault="00524532" w:rsidP="00524532">
            <w:pPr>
              <w:jc w:val="both"/>
              <w:rPr>
                <w:rFonts w:ascii="Arial" w:hAnsi="Arial" w:cs="Arial"/>
                <w:b/>
                <w:sz w:val="24"/>
                <w:szCs w:val="24"/>
              </w:rPr>
            </w:pPr>
            <w:r w:rsidRPr="00B00B8A">
              <w:rPr>
                <w:rFonts w:ascii="Arial" w:hAnsi="Arial" w:cs="Arial"/>
                <w:sz w:val="24"/>
                <w:szCs w:val="24"/>
                <w:u w:val="single"/>
              </w:rPr>
              <w:t>‘‘(3) For the purposes of this section, training includes, but is not limited to, training in any of the following skills</w:t>
            </w:r>
            <w:r w:rsidRPr="00B00B8A">
              <w:rPr>
                <w:rFonts w:ascii="Arial" w:hAnsi="Arial" w:cs="Arial"/>
                <w:b/>
                <w:sz w:val="24"/>
                <w:szCs w:val="24"/>
                <w:u w:val="single"/>
              </w:rPr>
              <w:t>,</w:t>
            </w:r>
            <w:r w:rsidRPr="00B00B8A">
              <w:rPr>
                <w:rFonts w:ascii="Arial" w:hAnsi="Arial" w:cs="Arial"/>
                <w:b/>
                <w:sz w:val="24"/>
                <w:szCs w:val="24"/>
              </w:rPr>
              <w:t xml:space="preserve"> </w:t>
            </w:r>
            <w:r w:rsidRPr="00B00B8A">
              <w:rPr>
                <w:rFonts w:ascii="Arial" w:hAnsi="Arial" w:cs="Arial"/>
                <w:b/>
                <w:sz w:val="24"/>
                <w:szCs w:val="24"/>
                <w:u w:val="single"/>
              </w:rPr>
              <w:t>whether</w:t>
            </w:r>
            <w:r w:rsidRPr="00B00B8A">
              <w:rPr>
                <w:rFonts w:ascii="Arial" w:hAnsi="Arial" w:cs="Arial"/>
                <w:b/>
                <w:color w:val="FF0000"/>
                <w:sz w:val="24"/>
                <w:szCs w:val="24"/>
                <w:u w:val="single"/>
              </w:rPr>
              <w:t xml:space="preserve"> </w:t>
            </w:r>
            <w:r w:rsidRPr="00B00B8A">
              <w:rPr>
                <w:rFonts w:ascii="Arial" w:hAnsi="Arial" w:cs="Arial"/>
                <w:b/>
                <w:sz w:val="24"/>
                <w:szCs w:val="24"/>
                <w:u w:val="single"/>
              </w:rPr>
              <w:t>online or in any other manner</w:t>
            </w:r>
            <w:r w:rsidRPr="00B00B8A">
              <w:rPr>
                <w:rFonts w:ascii="Arial" w:hAnsi="Arial" w:cs="Arial"/>
                <w:b/>
                <w:sz w:val="24"/>
                <w:szCs w:val="24"/>
              </w:rPr>
              <w:t>:”.</w:t>
            </w:r>
          </w:p>
          <w:p w14:paraId="5FC7472E" w14:textId="77777777" w:rsidR="00524532" w:rsidRPr="00B00B8A" w:rsidRDefault="00524532" w:rsidP="00524532">
            <w:pPr>
              <w:jc w:val="both"/>
              <w:rPr>
                <w:rFonts w:ascii="Arial" w:hAnsi="Arial" w:cs="Arial"/>
                <w:b/>
                <w:sz w:val="24"/>
                <w:szCs w:val="24"/>
              </w:rPr>
            </w:pPr>
          </w:p>
          <w:p w14:paraId="04E7CC45" w14:textId="77777777" w:rsidR="00524532" w:rsidRPr="00B00B8A" w:rsidRDefault="00524532" w:rsidP="00524532">
            <w:pPr>
              <w:jc w:val="both"/>
              <w:rPr>
                <w:rFonts w:ascii="Arial" w:hAnsi="Arial" w:cs="Arial"/>
                <w:sz w:val="24"/>
                <w:szCs w:val="24"/>
              </w:rPr>
            </w:pPr>
            <w:r w:rsidRPr="00B00B8A">
              <w:rPr>
                <w:rFonts w:ascii="Arial" w:hAnsi="Arial" w:cs="Arial"/>
                <w:sz w:val="24"/>
                <w:szCs w:val="24"/>
              </w:rPr>
              <w:t>AND</w:t>
            </w:r>
          </w:p>
          <w:p w14:paraId="0E9188EC" w14:textId="77777777" w:rsidR="00524532" w:rsidRPr="00B00B8A" w:rsidRDefault="00524532" w:rsidP="00524532">
            <w:pPr>
              <w:jc w:val="both"/>
              <w:rPr>
                <w:rFonts w:ascii="Arial" w:hAnsi="Arial" w:cs="Arial"/>
                <w:sz w:val="24"/>
                <w:szCs w:val="24"/>
              </w:rPr>
            </w:pPr>
          </w:p>
          <w:p w14:paraId="751B041C" w14:textId="77777777" w:rsidR="00524532" w:rsidRPr="00B00B8A" w:rsidRDefault="00524532" w:rsidP="00524532">
            <w:pPr>
              <w:jc w:val="both"/>
              <w:rPr>
                <w:rFonts w:ascii="Arial" w:hAnsi="Arial" w:cs="Arial"/>
                <w:sz w:val="24"/>
                <w:szCs w:val="24"/>
              </w:rPr>
            </w:pPr>
            <w:r w:rsidRPr="00B00B8A">
              <w:rPr>
                <w:rFonts w:ascii="Arial" w:hAnsi="Arial" w:cs="Arial"/>
                <w:sz w:val="24"/>
                <w:szCs w:val="24"/>
              </w:rPr>
              <w:t>On page 8 of the POCDATARA Amendment Bill, in line 23, to substitute the relevant text for the following:</w:t>
            </w:r>
          </w:p>
          <w:p w14:paraId="7CACEF1C" w14:textId="40B94029" w:rsidR="00524532" w:rsidRPr="00B00B8A" w:rsidRDefault="00C96D52" w:rsidP="00524532">
            <w:pPr>
              <w:jc w:val="both"/>
              <w:rPr>
                <w:rFonts w:ascii="Arial" w:hAnsi="Arial" w:cs="Arial"/>
                <w:b/>
                <w:sz w:val="24"/>
                <w:szCs w:val="24"/>
              </w:rPr>
            </w:pPr>
            <w:r w:rsidRPr="00B00B8A">
              <w:rPr>
                <w:rFonts w:ascii="Arial" w:hAnsi="Arial" w:cs="Arial"/>
                <w:b/>
                <w:sz w:val="24"/>
                <w:szCs w:val="24"/>
              </w:rPr>
              <w:t>“</w:t>
            </w:r>
            <w:r w:rsidR="00524532" w:rsidRPr="00B00B8A">
              <w:rPr>
                <w:rFonts w:ascii="Arial" w:hAnsi="Arial" w:cs="Arial"/>
                <w:b/>
                <w:sz w:val="24"/>
                <w:szCs w:val="24"/>
                <w:u w:val="single"/>
              </w:rPr>
              <w:t xml:space="preserve">(4) A person commits an offence if he or she </w:t>
            </w:r>
            <w:r w:rsidRPr="00B00B8A">
              <w:rPr>
                <w:rFonts w:ascii="Arial" w:hAnsi="Arial" w:cs="Arial"/>
                <w:b/>
                <w:sz w:val="24"/>
                <w:szCs w:val="24"/>
                <w:u w:val="single"/>
              </w:rPr>
              <w:t xml:space="preserve">provides </w:t>
            </w:r>
            <w:r w:rsidRPr="00B00B8A">
              <w:rPr>
                <w:rFonts w:ascii="Arial" w:hAnsi="Arial" w:cs="Arial"/>
                <w:sz w:val="24"/>
                <w:szCs w:val="24"/>
                <w:u w:val="single"/>
              </w:rPr>
              <w:t xml:space="preserve">or </w:t>
            </w:r>
            <w:r w:rsidR="00524532" w:rsidRPr="00B00B8A">
              <w:rPr>
                <w:rFonts w:ascii="Arial" w:hAnsi="Arial" w:cs="Arial"/>
                <w:sz w:val="24"/>
                <w:szCs w:val="24"/>
                <w:u w:val="single"/>
              </w:rPr>
              <w:t>receives</w:t>
            </w:r>
            <w:r w:rsidR="00524532" w:rsidRPr="00B00B8A">
              <w:rPr>
                <w:rFonts w:ascii="Arial" w:hAnsi="Arial" w:cs="Arial"/>
                <w:b/>
                <w:sz w:val="24"/>
                <w:szCs w:val="24"/>
                <w:u w:val="single"/>
              </w:rPr>
              <w:t xml:space="preserve"> training and is</w:t>
            </w:r>
            <w:r w:rsidRPr="00B00B8A">
              <w:rPr>
                <w:rFonts w:ascii="Arial" w:hAnsi="Arial" w:cs="Arial"/>
                <w:b/>
                <w:sz w:val="24"/>
                <w:szCs w:val="24"/>
                <w:u w:val="single"/>
              </w:rPr>
              <w:t xml:space="preserve"> </w:t>
            </w:r>
            <w:r w:rsidR="00524532" w:rsidRPr="00B00B8A">
              <w:rPr>
                <w:rFonts w:ascii="Arial" w:hAnsi="Arial" w:cs="Arial"/>
                <w:b/>
                <w:sz w:val="24"/>
                <w:szCs w:val="24"/>
                <w:u w:val="single"/>
              </w:rPr>
              <w:t xml:space="preserve">aware that such training is, wholly or partly, provided for </w:t>
            </w:r>
            <w:r w:rsidR="00524532" w:rsidRPr="00B00B8A">
              <w:rPr>
                <w:rFonts w:ascii="Arial" w:hAnsi="Arial" w:cs="Arial"/>
                <w:b/>
                <w:sz w:val="24"/>
                <w:szCs w:val="24"/>
              </w:rPr>
              <w:t>purposes</w:t>
            </w:r>
            <w:r w:rsidRPr="00B00B8A">
              <w:rPr>
                <w:rFonts w:ascii="Arial" w:hAnsi="Arial" w:cs="Arial"/>
                <w:b/>
                <w:sz w:val="24"/>
                <w:szCs w:val="24"/>
              </w:rPr>
              <w:t xml:space="preserve"> </w:t>
            </w:r>
            <w:r w:rsidR="00524532" w:rsidRPr="00B00B8A">
              <w:rPr>
                <w:rFonts w:ascii="Arial" w:hAnsi="Arial" w:cs="Arial"/>
                <w:b/>
                <w:sz w:val="24"/>
                <w:szCs w:val="24"/>
              </w:rPr>
              <w:t>connected with the commission or preparation of terrorist activities or</w:t>
            </w:r>
            <w:r w:rsidR="008F60DE" w:rsidRPr="00B00B8A">
              <w:rPr>
                <w:rFonts w:ascii="Arial" w:hAnsi="Arial" w:cs="Arial"/>
                <w:b/>
                <w:sz w:val="24"/>
                <w:szCs w:val="24"/>
              </w:rPr>
              <w:t xml:space="preserve"> </w:t>
            </w:r>
            <w:r w:rsidR="00524532" w:rsidRPr="00B00B8A">
              <w:rPr>
                <w:rFonts w:ascii="Arial" w:hAnsi="Arial" w:cs="Arial"/>
                <w:b/>
                <w:sz w:val="24"/>
                <w:szCs w:val="24"/>
              </w:rPr>
              <w:t>Convention offences.</w:t>
            </w:r>
          </w:p>
        </w:tc>
      </w:tr>
      <w:tr w:rsidR="00EA5D6C" w:rsidRPr="0051279C" w14:paraId="73B1D9CA" w14:textId="77777777" w:rsidTr="00F14186">
        <w:tc>
          <w:tcPr>
            <w:tcW w:w="1288" w:type="dxa"/>
          </w:tcPr>
          <w:p w14:paraId="452D4AA1" w14:textId="08FD1EEF" w:rsidR="00EA5D6C" w:rsidRPr="0051279C" w:rsidRDefault="00EA5D6C" w:rsidP="0051279C">
            <w:pPr>
              <w:jc w:val="both"/>
              <w:rPr>
                <w:rFonts w:ascii="Arial" w:hAnsi="Arial" w:cs="Arial"/>
                <w:b/>
                <w:sz w:val="24"/>
                <w:szCs w:val="24"/>
              </w:rPr>
            </w:pPr>
            <w:r w:rsidRPr="0051279C">
              <w:rPr>
                <w:rFonts w:ascii="Arial" w:hAnsi="Arial" w:cs="Arial"/>
                <w:b/>
                <w:sz w:val="24"/>
                <w:szCs w:val="24"/>
              </w:rPr>
              <w:lastRenderedPageBreak/>
              <w:t>3</w:t>
            </w:r>
          </w:p>
        </w:tc>
        <w:tc>
          <w:tcPr>
            <w:tcW w:w="1446" w:type="dxa"/>
          </w:tcPr>
          <w:p w14:paraId="7594CACB" w14:textId="0110082E" w:rsidR="00EA5D6C" w:rsidRPr="0051279C" w:rsidRDefault="00EA5D6C" w:rsidP="0051279C">
            <w:pPr>
              <w:jc w:val="both"/>
              <w:rPr>
                <w:rFonts w:ascii="Arial" w:hAnsi="Arial" w:cs="Arial"/>
                <w:b/>
                <w:sz w:val="24"/>
                <w:szCs w:val="24"/>
              </w:rPr>
            </w:pPr>
            <w:r w:rsidRPr="0051279C">
              <w:rPr>
                <w:rFonts w:ascii="Arial" w:hAnsi="Arial" w:cs="Arial"/>
                <w:b/>
                <w:sz w:val="24"/>
                <w:szCs w:val="24"/>
              </w:rPr>
              <w:t>3A</w:t>
            </w:r>
          </w:p>
        </w:tc>
        <w:tc>
          <w:tcPr>
            <w:tcW w:w="6759" w:type="dxa"/>
          </w:tcPr>
          <w:p w14:paraId="24F3C548" w14:textId="4FA0CE2A" w:rsidR="00EA5D6C" w:rsidRPr="00B00B8A" w:rsidRDefault="0051279C" w:rsidP="0051279C">
            <w:pPr>
              <w:autoSpaceDE w:val="0"/>
              <w:autoSpaceDN w:val="0"/>
              <w:adjustRightInd w:val="0"/>
              <w:jc w:val="both"/>
              <w:rPr>
                <w:rFonts w:ascii="Arial" w:hAnsi="Arial" w:cs="Arial"/>
                <w:color w:val="000000"/>
                <w:sz w:val="24"/>
                <w:szCs w:val="24"/>
              </w:rPr>
            </w:pPr>
            <w:r w:rsidRPr="00B00B8A">
              <w:rPr>
                <w:rFonts w:ascii="Arial" w:hAnsi="Arial" w:cs="Arial"/>
                <w:color w:val="000000"/>
                <w:sz w:val="24"/>
                <w:szCs w:val="24"/>
                <w:u w:val="single"/>
              </w:rPr>
              <w:t xml:space="preserve">The </w:t>
            </w:r>
            <w:r w:rsidR="00EA5D6C" w:rsidRPr="00B00B8A">
              <w:rPr>
                <w:rFonts w:ascii="Arial" w:hAnsi="Arial" w:cs="Arial"/>
                <w:color w:val="000000"/>
                <w:sz w:val="24"/>
                <w:szCs w:val="24"/>
                <w:u w:val="single"/>
              </w:rPr>
              <w:t>insertion of a clause affirming the right of journalists and researchers to access terrorism related content for legitimate professional uses in the public interest in the updated Bill</w:t>
            </w:r>
            <w:r w:rsidRPr="00B00B8A">
              <w:rPr>
                <w:rFonts w:ascii="Arial" w:hAnsi="Arial" w:cs="Arial"/>
                <w:color w:val="000000"/>
                <w:sz w:val="24"/>
                <w:szCs w:val="24"/>
                <w:u w:val="single"/>
              </w:rPr>
              <w:t>, is welcomed</w:t>
            </w:r>
            <w:r w:rsidR="00EA5D6C" w:rsidRPr="00B00B8A">
              <w:rPr>
                <w:rFonts w:ascii="Arial" w:hAnsi="Arial" w:cs="Arial"/>
                <w:color w:val="000000"/>
                <w:sz w:val="24"/>
                <w:szCs w:val="24"/>
                <w:u w:val="single"/>
              </w:rPr>
              <w:t>.</w:t>
            </w:r>
            <w:r w:rsidR="00EA5D6C" w:rsidRPr="00B00B8A">
              <w:rPr>
                <w:rFonts w:ascii="Arial" w:hAnsi="Arial" w:cs="Arial"/>
                <w:color w:val="000000"/>
                <w:sz w:val="24"/>
                <w:szCs w:val="24"/>
              </w:rPr>
              <w:t xml:space="preserve"> A major concern around the expansion of terrorism-related laws often lies with its concerns that this will lead to restrictions on freedom of expression. See for instance Schoeman 20176. Laws aimed at addressing terrorism related content need to balance security priorities with democratic rights such as privacy and free speech that are foundational to a well-functioning democracy. </w:t>
            </w:r>
          </w:p>
          <w:p w14:paraId="6834B273" w14:textId="37319926" w:rsidR="00EA5D6C" w:rsidRPr="00B00B8A" w:rsidRDefault="00EA5D6C" w:rsidP="00C7623C">
            <w:pPr>
              <w:autoSpaceDE w:val="0"/>
              <w:autoSpaceDN w:val="0"/>
              <w:adjustRightInd w:val="0"/>
              <w:jc w:val="both"/>
              <w:rPr>
                <w:rFonts w:ascii="Arial" w:hAnsi="Arial" w:cs="Arial"/>
                <w:sz w:val="24"/>
                <w:szCs w:val="24"/>
              </w:rPr>
            </w:pPr>
            <w:r w:rsidRPr="00B00B8A">
              <w:rPr>
                <w:rFonts w:ascii="Arial" w:hAnsi="Arial" w:cs="Arial"/>
                <w:color w:val="000000"/>
                <w:sz w:val="24"/>
                <w:szCs w:val="24"/>
              </w:rPr>
              <w:t xml:space="preserve">3.4.2. Provisions such as this are important for protecting researchers and journalists. For instance, prior to the addition of the “reasonable excuse” clause to the UK’s Terrorism Act of 2000, Rizwaan Sabir, a Masters student from the University of Nottingham in the UK was arrested and detained for a week </w:t>
            </w:r>
            <w:r w:rsidRPr="00B00B8A">
              <w:rPr>
                <w:rFonts w:ascii="Arial" w:hAnsi="Arial" w:cs="Arial"/>
                <w:color w:val="000000"/>
                <w:sz w:val="24"/>
                <w:szCs w:val="24"/>
              </w:rPr>
              <w:lastRenderedPageBreak/>
              <w:t>after an Al Qaeda Training Manual which he downloaded for his research was found on a computer. Laws such as this can have a chilling effect on freedom of speech if journalists and academics fear that their research can lead to their arrest.</w:t>
            </w:r>
          </w:p>
        </w:tc>
        <w:tc>
          <w:tcPr>
            <w:tcW w:w="3457" w:type="dxa"/>
          </w:tcPr>
          <w:p w14:paraId="30E3A021" w14:textId="635939B0" w:rsidR="00EA5D6C" w:rsidRPr="00B00B8A" w:rsidRDefault="00C96D52" w:rsidP="0051279C">
            <w:pPr>
              <w:jc w:val="both"/>
              <w:rPr>
                <w:rFonts w:ascii="Arial" w:hAnsi="Arial" w:cs="Arial"/>
                <w:sz w:val="24"/>
                <w:szCs w:val="24"/>
              </w:rPr>
            </w:pPr>
            <w:r w:rsidRPr="00B00B8A">
              <w:rPr>
                <w:rFonts w:ascii="Arial" w:hAnsi="Arial" w:cs="Arial"/>
                <w:sz w:val="24"/>
                <w:szCs w:val="24"/>
              </w:rPr>
              <w:lastRenderedPageBreak/>
              <w:t>The concern raised by STERN during the public consultation process was addressed by the insertion of the following in the Bill, page 9, line 15:</w:t>
            </w:r>
          </w:p>
          <w:p w14:paraId="0AF152A1" w14:textId="511FD8E4" w:rsidR="00C96D52" w:rsidRPr="00B00B8A" w:rsidRDefault="00C96D52" w:rsidP="00C96D52">
            <w:pPr>
              <w:jc w:val="both"/>
              <w:rPr>
                <w:rFonts w:ascii="Arial" w:hAnsi="Arial" w:cs="Arial"/>
                <w:sz w:val="24"/>
                <w:szCs w:val="24"/>
                <w:u w:val="single"/>
              </w:rPr>
            </w:pPr>
            <w:r w:rsidRPr="00B00B8A">
              <w:rPr>
                <w:rFonts w:ascii="Arial" w:hAnsi="Arial" w:cs="Arial"/>
                <w:sz w:val="24"/>
                <w:szCs w:val="24"/>
              </w:rPr>
              <w:t>“</w:t>
            </w:r>
            <w:r w:rsidRPr="00B00B8A">
              <w:rPr>
                <w:rFonts w:ascii="Arial" w:hAnsi="Arial" w:cs="Arial"/>
                <w:sz w:val="24"/>
                <w:szCs w:val="24"/>
                <w:u w:val="single"/>
              </w:rPr>
              <w:t>(5) A person charged with committing an offence under this section and</w:t>
            </w:r>
          </w:p>
          <w:p w14:paraId="66FBAE72" w14:textId="77777777" w:rsidR="00C96D52" w:rsidRPr="00B00B8A" w:rsidRDefault="00C96D52" w:rsidP="00C96D52">
            <w:pPr>
              <w:jc w:val="both"/>
              <w:rPr>
                <w:rFonts w:ascii="Arial" w:hAnsi="Arial" w:cs="Arial"/>
                <w:sz w:val="24"/>
                <w:szCs w:val="24"/>
                <w:u w:val="single"/>
              </w:rPr>
            </w:pPr>
            <w:r w:rsidRPr="00B00B8A">
              <w:rPr>
                <w:rFonts w:ascii="Arial" w:hAnsi="Arial" w:cs="Arial"/>
                <w:sz w:val="24"/>
                <w:szCs w:val="24"/>
                <w:u w:val="single"/>
              </w:rPr>
              <w:t>section 3(2)(e) may raise as a defence—</w:t>
            </w:r>
          </w:p>
          <w:p w14:paraId="49121617" w14:textId="39B4801F" w:rsidR="00C96D52" w:rsidRPr="00B00B8A" w:rsidRDefault="00C96D52" w:rsidP="00C96D52">
            <w:pPr>
              <w:jc w:val="both"/>
              <w:rPr>
                <w:rFonts w:ascii="Arial" w:hAnsi="Arial" w:cs="Arial"/>
                <w:sz w:val="24"/>
                <w:szCs w:val="24"/>
                <w:u w:val="single"/>
              </w:rPr>
            </w:pPr>
            <w:r w:rsidRPr="00B00B8A">
              <w:rPr>
                <w:rFonts w:ascii="Arial" w:hAnsi="Arial" w:cs="Arial"/>
                <w:sz w:val="24"/>
                <w:szCs w:val="24"/>
                <w:u w:val="single"/>
              </w:rPr>
              <w:t xml:space="preserve">(a) the fact that at the time of the person’s action or possession, the person did not know, and had no reason to believe, that the document or </w:t>
            </w:r>
            <w:r w:rsidRPr="00B00B8A">
              <w:rPr>
                <w:rFonts w:ascii="Arial" w:hAnsi="Arial" w:cs="Arial"/>
                <w:sz w:val="24"/>
                <w:szCs w:val="24"/>
                <w:u w:val="single"/>
              </w:rPr>
              <w:lastRenderedPageBreak/>
              <w:t>record in question contained, or was likely to contain, information of a kind likely to be useful to a person preparing to engage in a terrorist activity; or</w:t>
            </w:r>
          </w:p>
          <w:p w14:paraId="55E64759" w14:textId="77777777" w:rsidR="00C96D52" w:rsidRPr="00B00B8A" w:rsidRDefault="00C96D52" w:rsidP="00C96D52">
            <w:pPr>
              <w:jc w:val="both"/>
              <w:rPr>
                <w:rFonts w:ascii="Arial" w:hAnsi="Arial" w:cs="Arial"/>
                <w:sz w:val="24"/>
                <w:szCs w:val="24"/>
                <w:u w:val="single"/>
              </w:rPr>
            </w:pPr>
            <w:r w:rsidRPr="00B00B8A">
              <w:rPr>
                <w:rFonts w:ascii="Arial" w:hAnsi="Arial" w:cs="Arial"/>
                <w:sz w:val="24"/>
                <w:szCs w:val="24"/>
                <w:u w:val="single"/>
              </w:rPr>
              <w:t>(b) the person’s action or possession was for the purposes of—</w:t>
            </w:r>
          </w:p>
          <w:p w14:paraId="7E4BF6BF" w14:textId="77777777" w:rsidR="00C96D52" w:rsidRPr="00B00B8A" w:rsidRDefault="00C96D52" w:rsidP="00C96D52">
            <w:pPr>
              <w:jc w:val="both"/>
              <w:rPr>
                <w:rFonts w:ascii="Arial" w:hAnsi="Arial" w:cs="Arial"/>
                <w:sz w:val="24"/>
                <w:szCs w:val="24"/>
                <w:u w:val="single"/>
              </w:rPr>
            </w:pPr>
            <w:r w:rsidRPr="00B00B8A">
              <w:rPr>
                <w:rFonts w:ascii="Arial" w:hAnsi="Arial" w:cs="Arial"/>
                <w:sz w:val="24"/>
                <w:szCs w:val="24"/>
                <w:u w:val="single"/>
              </w:rPr>
              <w:t>(i) carrying out work as a journalist; or</w:t>
            </w:r>
          </w:p>
          <w:p w14:paraId="7106F704" w14:textId="43460049" w:rsidR="00C96D52" w:rsidRPr="00B00B8A" w:rsidRDefault="00C96D52" w:rsidP="00C96D52">
            <w:pPr>
              <w:jc w:val="both"/>
              <w:rPr>
                <w:rFonts w:ascii="Arial" w:hAnsi="Arial" w:cs="Arial"/>
                <w:sz w:val="24"/>
                <w:szCs w:val="24"/>
              </w:rPr>
            </w:pPr>
            <w:r w:rsidRPr="00B00B8A">
              <w:rPr>
                <w:rFonts w:ascii="Arial" w:hAnsi="Arial" w:cs="Arial"/>
                <w:sz w:val="24"/>
                <w:szCs w:val="24"/>
                <w:u w:val="single"/>
              </w:rPr>
              <w:t>(ii) academic research.</w:t>
            </w:r>
            <w:r w:rsidRPr="00B00B8A">
              <w:rPr>
                <w:rFonts w:ascii="Arial" w:hAnsi="Arial" w:cs="Arial"/>
                <w:sz w:val="24"/>
                <w:szCs w:val="24"/>
              </w:rPr>
              <w:t>’’.</w:t>
            </w:r>
          </w:p>
          <w:p w14:paraId="48AEC469" w14:textId="0D9F3C94" w:rsidR="00C96D52" w:rsidRPr="00B00B8A" w:rsidRDefault="00C96D52" w:rsidP="0051279C">
            <w:pPr>
              <w:jc w:val="both"/>
              <w:rPr>
                <w:rFonts w:ascii="Arial" w:hAnsi="Arial" w:cs="Arial"/>
                <w:sz w:val="24"/>
                <w:szCs w:val="24"/>
              </w:rPr>
            </w:pPr>
          </w:p>
        </w:tc>
      </w:tr>
      <w:tr w:rsidR="007B4EE6" w:rsidRPr="0051279C" w14:paraId="4894C149" w14:textId="77777777" w:rsidTr="00F14186">
        <w:tc>
          <w:tcPr>
            <w:tcW w:w="1288" w:type="dxa"/>
          </w:tcPr>
          <w:p w14:paraId="659E69E5" w14:textId="4B4DEBB6" w:rsidR="007B4EE6" w:rsidRPr="0051279C" w:rsidRDefault="007B4EE6" w:rsidP="0051279C">
            <w:pPr>
              <w:jc w:val="both"/>
              <w:rPr>
                <w:rFonts w:ascii="Arial" w:hAnsi="Arial" w:cs="Arial"/>
                <w:b/>
                <w:sz w:val="24"/>
                <w:szCs w:val="24"/>
              </w:rPr>
            </w:pPr>
            <w:r w:rsidRPr="0051279C">
              <w:rPr>
                <w:rFonts w:ascii="Arial" w:hAnsi="Arial" w:cs="Arial"/>
                <w:b/>
                <w:sz w:val="24"/>
                <w:szCs w:val="24"/>
              </w:rPr>
              <w:lastRenderedPageBreak/>
              <w:t>14</w:t>
            </w:r>
          </w:p>
        </w:tc>
        <w:tc>
          <w:tcPr>
            <w:tcW w:w="1446" w:type="dxa"/>
          </w:tcPr>
          <w:p w14:paraId="095163D1" w14:textId="697889C2" w:rsidR="007B4EE6" w:rsidRPr="0051279C" w:rsidRDefault="007B4EE6" w:rsidP="0051279C">
            <w:pPr>
              <w:jc w:val="both"/>
              <w:rPr>
                <w:rFonts w:ascii="Arial" w:hAnsi="Arial" w:cs="Arial"/>
                <w:b/>
                <w:sz w:val="24"/>
                <w:szCs w:val="24"/>
              </w:rPr>
            </w:pPr>
            <w:r w:rsidRPr="0051279C">
              <w:rPr>
                <w:rFonts w:ascii="Arial" w:hAnsi="Arial" w:cs="Arial"/>
                <w:b/>
                <w:sz w:val="24"/>
                <w:szCs w:val="24"/>
              </w:rPr>
              <w:t>15</w:t>
            </w:r>
          </w:p>
        </w:tc>
        <w:tc>
          <w:tcPr>
            <w:tcW w:w="6759" w:type="dxa"/>
          </w:tcPr>
          <w:p w14:paraId="126EF270" w14:textId="0C1EC2E7" w:rsidR="007B4EE6" w:rsidRPr="00B00B8A" w:rsidRDefault="0051279C" w:rsidP="0051279C">
            <w:pPr>
              <w:autoSpaceDE w:val="0"/>
              <w:autoSpaceDN w:val="0"/>
              <w:adjustRightInd w:val="0"/>
              <w:jc w:val="both"/>
              <w:rPr>
                <w:rFonts w:ascii="Arial" w:hAnsi="Arial" w:cs="Arial"/>
                <w:color w:val="000000"/>
                <w:sz w:val="24"/>
                <w:szCs w:val="24"/>
              </w:rPr>
            </w:pPr>
            <w:r w:rsidRPr="00B00B8A">
              <w:rPr>
                <w:rFonts w:ascii="Arial" w:hAnsi="Arial" w:cs="Arial"/>
                <w:sz w:val="24"/>
                <w:szCs w:val="24"/>
              </w:rPr>
              <w:t>A</w:t>
            </w:r>
            <w:r w:rsidR="007B4EE6" w:rsidRPr="00B00B8A">
              <w:rPr>
                <w:rFonts w:ascii="Arial" w:hAnsi="Arial" w:cs="Arial"/>
                <w:sz w:val="24"/>
                <w:szCs w:val="24"/>
              </w:rPr>
              <w:t>mendments to clarify the law’s jurisdiction</w:t>
            </w:r>
            <w:r w:rsidRPr="00B00B8A">
              <w:rPr>
                <w:rFonts w:ascii="Arial" w:hAnsi="Arial" w:cs="Arial"/>
                <w:sz w:val="24"/>
                <w:szCs w:val="24"/>
              </w:rPr>
              <w:t xml:space="preserve">, are welcomed. </w:t>
            </w:r>
            <w:r w:rsidR="007B4EE6" w:rsidRPr="00B00B8A">
              <w:rPr>
                <w:rFonts w:ascii="Arial" w:hAnsi="Arial" w:cs="Arial"/>
                <w:sz w:val="24"/>
                <w:szCs w:val="24"/>
              </w:rPr>
              <w:t>As noted in the Constitutional Court’s judgement in S v Okah [2018] ZACC 33, some of the language around the law’s jurisdiction is unclear. The difficulty of both the Supreme Court of Appeal4 and the Constitutional Court’s interpretation of the language in POCDATARA in the Okah case shows the importance of specificity and clarity in drafting legislation.</w:t>
            </w:r>
          </w:p>
        </w:tc>
        <w:tc>
          <w:tcPr>
            <w:tcW w:w="3457" w:type="dxa"/>
          </w:tcPr>
          <w:p w14:paraId="45577E4A" w14:textId="48834527" w:rsidR="007B4EE6" w:rsidRPr="00B00B8A" w:rsidRDefault="00050B3B" w:rsidP="0051279C">
            <w:pPr>
              <w:jc w:val="both"/>
              <w:rPr>
                <w:rFonts w:ascii="Arial" w:hAnsi="Arial" w:cs="Arial"/>
                <w:sz w:val="24"/>
                <w:szCs w:val="24"/>
              </w:rPr>
            </w:pPr>
            <w:r w:rsidRPr="00B00B8A">
              <w:rPr>
                <w:rFonts w:ascii="Arial" w:hAnsi="Arial" w:cs="Arial"/>
                <w:sz w:val="24"/>
                <w:szCs w:val="24"/>
              </w:rPr>
              <w:t>These proposals regarding jurisdiction in the Bill, is supported by STERN.</w:t>
            </w:r>
          </w:p>
        </w:tc>
      </w:tr>
      <w:tr w:rsidR="007B4EE6" w:rsidRPr="0051279C" w14:paraId="7A563AE8" w14:textId="77777777" w:rsidTr="00F14186">
        <w:tc>
          <w:tcPr>
            <w:tcW w:w="1288" w:type="dxa"/>
          </w:tcPr>
          <w:p w14:paraId="23C870D3" w14:textId="77777777" w:rsidR="007B4EE6" w:rsidRPr="0051279C" w:rsidRDefault="007B4EE6" w:rsidP="0051279C">
            <w:pPr>
              <w:jc w:val="both"/>
              <w:rPr>
                <w:rFonts w:ascii="Arial" w:hAnsi="Arial" w:cs="Arial"/>
                <w:b/>
                <w:sz w:val="24"/>
                <w:szCs w:val="24"/>
              </w:rPr>
            </w:pPr>
          </w:p>
        </w:tc>
        <w:tc>
          <w:tcPr>
            <w:tcW w:w="1446" w:type="dxa"/>
          </w:tcPr>
          <w:p w14:paraId="5B9D245E" w14:textId="77777777" w:rsidR="007B4EE6" w:rsidRPr="0051279C" w:rsidRDefault="007B4EE6" w:rsidP="0051279C">
            <w:pPr>
              <w:jc w:val="both"/>
              <w:rPr>
                <w:rFonts w:ascii="Arial" w:hAnsi="Arial" w:cs="Arial"/>
                <w:b/>
                <w:sz w:val="24"/>
                <w:szCs w:val="24"/>
              </w:rPr>
            </w:pPr>
          </w:p>
        </w:tc>
        <w:tc>
          <w:tcPr>
            <w:tcW w:w="6759" w:type="dxa"/>
          </w:tcPr>
          <w:p w14:paraId="3689228F" w14:textId="77777777" w:rsidR="007B4EE6" w:rsidRPr="0051279C" w:rsidRDefault="007B4EE6" w:rsidP="0051279C">
            <w:pPr>
              <w:autoSpaceDE w:val="0"/>
              <w:autoSpaceDN w:val="0"/>
              <w:adjustRightInd w:val="0"/>
              <w:jc w:val="both"/>
              <w:rPr>
                <w:rFonts w:ascii="Arial" w:hAnsi="Arial" w:cs="Arial"/>
                <w:sz w:val="24"/>
                <w:szCs w:val="24"/>
              </w:rPr>
            </w:pPr>
          </w:p>
        </w:tc>
        <w:tc>
          <w:tcPr>
            <w:tcW w:w="3457" w:type="dxa"/>
          </w:tcPr>
          <w:p w14:paraId="45FF9DD1" w14:textId="77777777" w:rsidR="007B4EE6" w:rsidRPr="0051279C" w:rsidRDefault="007B4EE6" w:rsidP="0051279C">
            <w:pPr>
              <w:jc w:val="both"/>
              <w:rPr>
                <w:rFonts w:ascii="Arial" w:hAnsi="Arial" w:cs="Arial"/>
                <w:b/>
                <w:sz w:val="24"/>
                <w:szCs w:val="24"/>
              </w:rPr>
            </w:pPr>
          </w:p>
        </w:tc>
      </w:tr>
      <w:tr w:rsidR="00B24610" w:rsidRPr="0051279C" w14:paraId="3F448198" w14:textId="77777777" w:rsidTr="00F14186">
        <w:tc>
          <w:tcPr>
            <w:tcW w:w="1288" w:type="dxa"/>
          </w:tcPr>
          <w:p w14:paraId="143178C9" w14:textId="77777777" w:rsidR="00B24610" w:rsidRPr="0051279C" w:rsidRDefault="00B24610" w:rsidP="0051279C">
            <w:pPr>
              <w:jc w:val="both"/>
              <w:rPr>
                <w:rFonts w:ascii="Arial" w:hAnsi="Arial" w:cs="Arial"/>
                <w:b/>
                <w:sz w:val="24"/>
                <w:szCs w:val="24"/>
              </w:rPr>
            </w:pPr>
          </w:p>
        </w:tc>
        <w:tc>
          <w:tcPr>
            <w:tcW w:w="1446" w:type="dxa"/>
          </w:tcPr>
          <w:p w14:paraId="48F36819" w14:textId="77777777" w:rsidR="00B24610" w:rsidRPr="0051279C" w:rsidRDefault="00B24610" w:rsidP="0051279C">
            <w:pPr>
              <w:jc w:val="both"/>
              <w:rPr>
                <w:rFonts w:ascii="Arial" w:hAnsi="Arial" w:cs="Arial"/>
                <w:b/>
                <w:sz w:val="24"/>
                <w:szCs w:val="24"/>
              </w:rPr>
            </w:pPr>
          </w:p>
        </w:tc>
        <w:tc>
          <w:tcPr>
            <w:tcW w:w="6759" w:type="dxa"/>
          </w:tcPr>
          <w:p w14:paraId="3CED5FF3" w14:textId="24CA9480" w:rsidR="00B24610" w:rsidRPr="00B24610" w:rsidRDefault="00B24610" w:rsidP="00B24610">
            <w:pPr>
              <w:autoSpaceDE w:val="0"/>
              <w:autoSpaceDN w:val="0"/>
              <w:adjustRightInd w:val="0"/>
              <w:jc w:val="both"/>
              <w:rPr>
                <w:rFonts w:ascii="Arial" w:hAnsi="Arial" w:cs="Arial"/>
                <w:b/>
                <w:sz w:val="24"/>
                <w:szCs w:val="24"/>
              </w:rPr>
            </w:pPr>
            <w:r w:rsidRPr="00B24610">
              <w:rPr>
                <w:rFonts w:ascii="Arial" w:hAnsi="Arial" w:cs="Arial"/>
                <w:b/>
                <w:sz w:val="24"/>
                <w:szCs w:val="24"/>
              </w:rPr>
              <w:t>INTERNATIONAL COMMITTEE OF THE RED CROSS</w:t>
            </w:r>
            <w:r w:rsidR="00DB04C8">
              <w:rPr>
                <w:rFonts w:ascii="Arial" w:hAnsi="Arial" w:cs="Arial"/>
                <w:b/>
                <w:sz w:val="24"/>
                <w:szCs w:val="24"/>
              </w:rPr>
              <w:t xml:space="preserve"> (ICRC)</w:t>
            </w:r>
          </w:p>
        </w:tc>
        <w:tc>
          <w:tcPr>
            <w:tcW w:w="3457" w:type="dxa"/>
          </w:tcPr>
          <w:p w14:paraId="7986B116" w14:textId="77777777" w:rsidR="00B24610" w:rsidRPr="0051279C" w:rsidRDefault="00B24610" w:rsidP="0051279C">
            <w:pPr>
              <w:jc w:val="both"/>
              <w:rPr>
                <w:rFonts w:ascii="Arial" w:hAnsi="Arial" w:cs="Arial"/>
                <w:b/>
                <w:sz w:val="24"/>
                <w:szCs w:val="24"/>
              </w:rPr>
            </w:pPr>
          </w:p>
        </w:tc>
      </w:tr>
      <w:tr w:rsidR="00B24610" w:rsidRPr="0051279C" w14:paraId="2FD24751" w14:textId="77777777" w:rsidTr="00F14186">
        <w:tc>
          <w:tcPr>
            <w:tcW w:w="1288" w:type="dxa"/>
          </w:tcPr>
          <w:p w14:paraId="619DD939" w14:textId="3941184D" w:rsidR="00B24610" w:rsidRPr="0051279C" w:rsidRDefault="00B24610" w:rsidP="0051279C">
            <w:pPr>
              <w:jc w:val="both"/>
              <w:rPr>
                <w:rFonts w:ascii="Arial" w:hAnsi="Arial" w:cs="Arial"/>
                <w:b/>
                <w:sz w:val="24"/>
                <w:szCs w:val="24"/>
              </w:rPr>
            </w:pPr>
            <w:r>
              <w:rPr>
                <w:rFonts w:ascii="Arial" w:hAnsi="Arial" w:cs="Arial"/>
                <w:b/>
                <w:sz w:val="24"/>
                <w:szCs w:val="24"/>
              </w:rPr>
              <w:t>1</w:t>
            </w:r>
          </w:p>
        </w:tc>
        <w:tc>
          <w:tcPr>
            <w:tcW w:w="1446" w:type="dxa"/>
          </w:tcPr>
          <w:p w14:paraId="7FA355B7" w14:textId="698EA7EA" w:rsidR="00B24610" w:rsidRPr="0051279C" w:rsidRDefault="00B24610" w:rsidP="0051279C">
            <w:pPr>
              <w:jc w:val="both"/>
              <w:rPr>
                <w:rFonts w:ascii="Arial" w:hAnsi="Arial" w:cs="Arial"/>
                <w:b/>
                <w:sz w:val="24"/>
                <w:szCs w:val="24"/>
              </w:rPr>
            </w:pPr>
            <w:r>
              <w:rPr>
                <w:rFonts w:ascii="Arial" w:hAnsi="Arial" w:cs="Arial"/>
                <w:b/>
                <w:sz w:val="24"/>
                <w:szCs w:val="24"/>
              </w:rPr>
              <w:t>1(4)</w:t>
            </w:r>
          </w:p>
        </w:tc>
        <w:tc>
          <w:tcPr>
            <w:tcW w:w="6759" w:type="dxa"/>
          </w:tcPr>
          <w:p w14:paraId="381C50E8" w14:textId="52F84EE1" w:rsidR="00B24610" w:rsidRPr="00B00B8A" w:rsidRDefault="00B24610" w:rsidP="00DB04C8">
            <w:pPr>
              <w:pStyle w:val="ListParagraph"/>
              <w:numPr>
                <w:ilvl w:val="0"/>
                <w:numId w:val="7"/>
              </w:numPr>
              <w:ind w:left="300" w:hanging="300"/>
              <w:jc w:val="both"/>
              <w:rPr>
                <w:rFonts w:ascii="Arial" w:hAnsi="Arial" w:cs="Arial"/>
                <w:b/>
                <w:sz w:val="24"/>
                <w:szCs w:val="24"/>
              </w:rPr>
            </w:pPr>
            <w:r w:rsidRPr="00B00B8A">
              <w:rPr>
                <w:rFonts w:ascii="Arial" w:hAnsi="Arial" w:cs="Arial"/>
                <w:sz w:val="24"/>
                <w:szCs w:val="24"/>
              </w:rPr>
              <w:t xml:space="preserve">The deletion of section 1(4) of the principal Act, must be reconsidered. This section has a fundamental purpose of separating the regulation of conduct that occurs in peace time from the conduct that occurs in an armed conflict. This separation is legally and practically important as it buttresses the fact that conduct that takes place within the context of an armed conflict is regulated by international humanitarian law. It is important to note that section 1(4) requires the existence of an armed conflict for its application </w:t>
            </w:r>
            <w:r w:rsidRPr="00B00B8A">
              <w:rPr>
                <w:rFonts w:ascii="Arial" w:hAnsi="Arial" w:cs="Arial"/>
                <w:sz w:val="24"/>
                <w:szCs w:val="24"/>
              </w:rPr>
              <w:lastRenderedPageBreak/>
              <w:t xml:space="preserve">can be triggered.  Its deletion could potentially criminalize conducts that are otherwise lawful under international humanitarian law, contrary to South Africa’s international obligations. Many States across the world have clauses similar to section 1(4) in their counterterrorism legislation. A similar clause is also found in many counterterrorism conventions to which South Africa is a party.  </w:t>
            </w:r>
          </w:p>
        </w:tc>
        <w:tc>
          <w:tcPr>
            <w:tcW w:w="3457" w:type="dxa"/>
          </w:tcPr>
          <w:p w14:paraId="7A0BA6D2" w14:textId="77777777" w:rsidR="00050B3B" w:rsidRPr="00B00B8A" w:rsidRDefault="00050B3B" w:rsidP="00050B3B">
            <w:pPr>
              <w:jc w:val="both"/>
              <w:rPr>
                <w:rFonts w:ascii="Arial" w:hAnsi="Arial" w:cs="Arial"/>
                <w:sz w:val="24"/>
                <w:szCs w:val="24"/>
              </w:rPr>
            </w:pPr>
            <w:r w:rsidRPr="00B00B8A">
              <w:rPr>
                <w:rFonts w:ascii="Arial" w:hAnsi="Arial" w:cs="Arial"/>
                <w:sz w:val="24"/>
                <w:szCs w:val="24"/>
              </w:rPr>
              <w:lastRenderedPageBreak/>
              <w:t>The repeal of section 1(4) of the Act, must be understood within the context of International Law and the implementation thereof in South Africa. In respect of the two additional Protocols to the Geneva Conventions, South Africa’s position is as follows:</w:t>
            </w:r>
          </w:p>
          <w:p w14:paraId="2C0BC17A" w14:textId="77777777" w:rsidR="00050B3B" w:rsidRPr="00B00B8A" w:rsidRDefault="00050B3B" w:rsidP="00050B3B">
            <w:pPr>
              <w:jc w:val="both"/>
              <w:rPr>
                <w:rFonts w:ascii="Arial" w:hAnsi="Arial" w:cs="Arial"/>
                <w:sz w:val="24"/>
                <w:szCs w:val="24"/>
              </w:rPr>
            </w:pPr>
            <w:r w:rsidRPr="00B00B8A">
              <w:rPr>
                <w:rFonts w:ascii="Arial" w:hAnsi="Arial" w:cs="Arial"/>
                <w:sz w:val="24"/>
                <w:szCs w:val="24"/>
              </w:rPr>
              <w:lastRenderedPageBreak/>
              <w:t>"Protocol I": the Protocol Additional to the Geneva Conventions of 12</w:t>
            </w:r>
          </w:p>
          <w:p w14:paraId="5A0A2130" w14:textId="77777777" w:rsidR="00050B3B" w:rsidRPr="00B00B8A" w:rsidRDefault="00050B3B" w:rsidP="00050B3B">
            <w:pPr>
              <w:jc w:val="both"/>
              <w:rPr>
                <w:rFonts w:ascii="Arial" w:hAnsi="Arial" w:cs="Arial"/>
                <w:sz w:val="24"/>
                <w:szCs w:val="24"/>
              </w:rPr>
            </w:pPr>
            <w:r w:rsidRPr="00B00B8A">
              <w:rPr>
                <w:rFonts w:ascii="Arial" w:hAnsi="Arial" w:cs="Arial"/>
                <w:sz w:val="24"/>
                <w:szCs w:val="24"/>
              </w:rPr>
              <w:t>August 1949, and Relating to the Protection of Victims of International Armed Conflicts, adopted at Geneva on 10 June 1977, was signed by the Republic on 8 June 1977 and ratified by the Republic on 21 November 1995;</w:t>
            </w:r>
          </w:p>
          <w:p w14:paraId="51A80D4C" w14:textId="77777777" w:rsidR="00050B3B" w:rsidRPr="00B00B8A" w:rsidRDefault="00050B3B" w:rsidP="00050B3B">
            <w:pPr>
              <w:jc w:val="both"/>
              <w:rPr>
                <w:rFonts w:ascii="Arial" w:hAnsi="Arial" w:cs="Arial"/>
                <w:sz w:val="24"/>
                <w:szCs w:val="24"/>
              </w:rPr>
            </w:pPr>
            <w:r w:rsidRPr="00B00B8A">
              <w:rPr>
                <w:rFonts w:ascii="Arial" w:hAnsi="Arial" w:cs="Arial"/>
                <w:sz w:val="24"/>
                <w:szCs w:val="24"/>
              </w:rPr>
              <w:t>"Protocol II" means the Protocol Additional to the Geneva Conventions of 12</w:t>
            </w:r>
          </w:p>
          <w:p w14:paraId="3712F4CD" w14:textId="77777777" w:rsidR="00050B3B" w:rsidRPr="00B00B8A" w:rsidRDefault="00050B3B" w:rsidP="00050B3B">
            <w:pPr>
              <w:jc w:val="both"/>
              <w:rPr>
                <w:rFonts w:ascii="Arial" w:hAnsi="Arial" w:cs="Arial"/>
                <w:sz w:val="24"/>
                <w:szCs w:val="24"/>
              </w:rPr>
            </w:pPr>
            <w:r w:rsidRPr="00B00B8A">
              <w:rPr>
                <w:rFonts w:ascii="Arial" w:hAnsi="Arial" w:cs="Arial"/>
                <w:sz w:val="24"/>
                <w:szCs w:val="24"/>
              </w:rPr>
              <w:t>August 1949, and Relating to the Protection of Victims of Non-International Armed Conflicts, adopted at Geneva on 8 June 1977, was signed by the Republic on 8 June 1977 and ratified by the Republic on 21 November 1995.</w:t>
            </w:r>
          </w:p>
          <w:p w14:paraId="6D462E4B" w14:textId="77777777" w:rsidR="00050B3B" w:rsidRPr="00B00B8A" w:rsidRDefault="00050B3B" w:rsidP="00050B3B">
            <w:pPr>
              <w:jc w:val="both"/>
              <w:rPr>
                <w:rFonts w:ascii="Arial" w:hAnsi="Arial" w:cs="Arial"/>
                <w:sz w:val="24"/>
                <w:szCs w:val="24"/>
              </w:rPr>
            </w:pPr>
            <w:r w:rsidRPr="00B00B8A">
              <w:rPr>
                <w:rFonts w:ascii="Arial" w:hAnsi="Arial" w:cs="Arial"/>
                <w:sz w:val="24"/>
                <w:szCs w:val="24"/>
              </w:rPr>
              <w:t>The Geneva Conventions and these two additional Protocols were incorporated in South African law by means of the Implementation of the Geneva Conventions Act, 2012 (Act No. 8 of 2012).</w:t>
            </w:r>
          </w:p>
          <w:p w14:paraId="386ADA93" w14:textId="77777777" w:rsidR="00050B3B" w:rsidRPr="00B00B8A" w:rsidRDefault="00050B3B" w:rsidP="00050B3B">
            <w:pPr>
              <w:jc w:val="both"/>
              <w:rPr>
                <w:rFonts w:ascii="Arial" w:hAnsi="Arial" w:cs="Arial"/>
                <w:sz w:val="24"/>
                <w:szCs w:val="24"/>
              </w:rPr>
            </w:pPr>
            <w:r w:rsidRPr="00B00B8A">
              <w:rPr>
                <w:rFonts w:ascii="Arial" w:hAnsi="Arial" w:cs="Arial"/>
                <w:sz w:val="24"/>
                <w:szCs w:val="24"/>
              </w:rPr>
              <w:t xml:space="preserve">The two additional Protocols apply amongst others, to armed conflicts in which </w:t>
            </w:r>
            <w:r w:rsidRPr="00B00B8A">
              <w:rPr>
                <w:rFonts w:ascii="Arial" w:hAnsi="Arial" w:cs="Arial"/>
                <w:sz w:val="24"/>
                <w:szCs w:val="24"/>
              </w:rPr>
              <w:lastRenderedPageBreak/>
              <w:t>peoples are fighting against colonial domination and alien occupation and against racist regimes in the exercise of their right of self-determination, as enshrined in the Charter of the United Nations and the Declaration on Principles of International Law concerning Friendly Relations and Co-operation among States in accordance with the Charter of the United Nations.</w:t>
            </w:r>
          </w:p>
          <w:p w14:paraId="764FFF75" w14:textId="77777777" w:rsidR="00050B3B" w:rsidRPr="00B00B8A" w:rsidRDefault="00050B3B" w:rsidP="00050B3B">
            <w:pPr>
              <w:jc w:val="both"/>
              <w:rPr>
                <w:rFonts w:ascii="Arial" w:hAnsi="Arial" w:cs="Arial"/>
                <w:sz w:val="24"/>
                <w:szCs w:val="24"/>
              </w:rPr>
            </w:pPr>
          </w:p>
          <w:p w14:paraId="76082556" w14:textId="4B378D64" w:rsidR="00050B3B" w:rsidRPr="00B00B8A" w:rsidRDefault="00050B3B" w:rsidP="00050B3B">
            <w:pPr>
              <w:jc w:val="both"/>
              <w:rPr>
                <w:rFonts w:ascii="Arial" w:hAnsi="Arial" w:cs="Arial"/>
                <w:sz w:val="24"/>
                <w:szCs w:val="24"/>
              </w:rPr>
            </w:pPr>
            <w:r w:rsidRPr="00B00B8A">
              <w:rPr>
                <w:rFonts w:ascii="Arial" w:hAnsi="Arial" w:cs="Arial"/>
                <w:sz w:val="24"/>
                <w:szCs w:val="24"/>
              </w:rPr>
              <w:t xml:space="preserve">The Protocols make certain important principles in the Geneva Conventions applicable also to </w:t>
            </w:r>
            <w:r w:rsidR="004C0EEE" w:rsidRPr="00B00B8A">
              <w:rPr>
                <w:rFonts w:ascii="Arial" w:hAnsi="Arial" w:cs="Arial"/>
                <w:sz w:val="24"/>
                <w:szCs w:val="24"/>
              </w:rPr>
              <w:t xml:space="preserve">armed conflicts in which peoples are fighting against colonial domination and alien occupation and against racist regimes in the exercise of their right of self-determination, as enshrined in the Charter of the United Nations and the Declaration on Principles of International Law concerning Friendly Relations and Co-operation among States in accordance with the Charter of the United </w:t>
            </w:r>
            <w:r w:rsidRPr="00B00B8A">
              <w:rPr>
                <w:rFonts w:ascii="Arial" w:hAnsi="Arial" w:cs="Arial"/>
                <w:sz w:val="24"/>
                <w:szCs w:val="24"/>
              </w:rPr>
              <w:t xml:space="preserve">non-international </w:t>
            </w:r>
            <w:r w:rsidRPr="00B00B8A">
              <w:rPr>
                <w:rFonts w:ascii="Arial" w:hAnsi="Arial" w:cs="Arial"/>
                <w:sz w:val="24"/>
                <w:szCs w:val="24"/>
              </w:rPr>
              <w:lastRenderedPageBreak/>
              <w:t xml:space="preserve">armed conflicts. The Protocols lay down the obligations of both State Parties and other combatants which may include guerilla groups which want to benefit from the protection of the  Protocols. </w:t>
            </w:r>
          </w:p>
          <w:p w14:paraId="318D3B92" w14:textId="77777777" w:rsidR="00050B3B" w:rsidRPr="00B00B8A" w:rsidRDefault="00050B3B" w:rsidP="00050B3B">
            <w:pPr>
              <w:jc w:val="both"/>
              <w:rPr>
                <w:rFonts w:ascii="Arial" w:hAnsi="Arial" w:cs="Arial"/>
                <w:sz w:val="24"/>
                <w:szCs w:val="24"/>
              </w:rPr>
            </w:pPr>
          </w:p>
          <w:p w14:paraId="1233161A" w14:textId="77777777" w:rsidR="00050B3B" w:rsidRPr="00B00B8A" w:rsidRDefault="00050B3B" w:rsidP="00050B3B">
            <w:pPr>
              <w:jc w:val="both"/>
              <w:rPr>
                <w:rFonts w:ascii="Arial" w:hAnsi="Arial" w:cs="Arial"/>
                <w:sz w:val="24"/>
                <w:szCs w:val="24"/>
              </w:rPr>
            </w:pPr>
            <w:r w:rsidRPr="00B00B8A">
              <w:rPr>
                <w:rFonts w:ascii="Arial" w:hAnsi="Arial" w:cs="Arial"/>
                <w:sz w:val="24"/>
                <w:szCs w:val="24"/>
              </w:rPr>
              <w:t>The Implementation of the Geneva Conventions Act, 2012 (Act No. 8 of 2012) was adopted quite some time after the adoption of the Protection of Constitutional Democracy against Terrorist and Related Activities Act, 2004.</w:t>
            </w:r>
          </w:p>
          <w:p w14:paraId="4CE3908D" w14:textId="77777777" w:rsidR="00050B3B" w:rsidRPr="00B00B8A" w:rsidRDefault="00050B3B" w:rsidP="00050B3B">
            <w:pPr>
              <w:jc w:val="both"/>
              <w:rPr>
                <w:rFonts w:ascii="Arial" w:hAnsi="Arial" w:cs="Arial"/>
                <w:sz w:val="24"/>
                <w:szCs w:val="24"/>
              </w:rPr>
            </w:pPr>
          </w:p>
          <w:p w14:paraId="512D5866" w14:textId="77A9F5AF" w:rsidR="00050B3B" w:rsidRPr="00B00B8A" w:rsidRDefault="00050B3B" w:rsidP="00050B3B">
            <w:pPr>
              <w:jc w:val="both"/>
              <w:rPr>
                <w:rFonts w:ascii="Arial" w:hAnsi="Arial" w:cs="Arial"/>
                <w:sz w:val="24"/>
                <w:szCs w:val="24"/>
              </w:rPr>
            </w:pPr>
            <w:r w:rsidRPr="00B00B8A">
              <w:rPr>
                <w:rFonts w:ascii="Arial" w:hAnsi="Arial" w:cs="Arial"/>
                <w:sz w:val="24"/>
                <w:szCs w:val="24"/>
              </w:rPr>
              <w:t xml:space="preserve">South Africa is a member of the Financial Action Task Force (FATF) as well as the Eastern and Southern African Anti-Money Laundering group (ESAAMLG). The FATF and ESAAMLG </w:t>
            </w:r>
            <w:r w:rsidR="009E0932" w:rsidRPr="00B00B8A">
              <w:rPr>
                <w:rFonts w:ascii="Arial" w:hAnsi="Arial" w:cs="Arial"/>
                <w:sz w:val="24"/>
                <w:szCs w:val="24"/>
              </w:rPr>
              <w:t xml:space="preserve">conducted </w:t>
            </w:r>
            <w:r w:rsidRPr="00B00B8A">
              <w:rPr>
                <w:rFonts w:ascii="Arial" w:hAnsi="Arial" w:cs="Arial"/>
                <w:sz w:val="24"/>
                <w:szCs w:val="24"/>
              </w:rPr>
              <w:t xml:space="preserve">a  Mutual </w:t>
            </w:r>
            <w:r w:rsidR="009E0932" w:rsidRPr="00B00B8A">
              <w:rPr>
                <w:rFonts w:ascii="Arial" w:hAnsi="Arial" w:cs="Arial"/>
                <w:sz w:val="24"/>
                <w:szCs w:val="24"/>
              </w:rPr>
              <w:t xml:space="preserve">Evaluation </w:t>
            </w:r>
            <w:r w:rsidRPr="00B00B8A">
              <w:rPr>
                <w:rFonts w:ascii="Arial" w:hAnsi="Arial" w:cs="Arial"/>
                <w:sz w:val="24"/>
                <w:szCs w:val="24"/>
              </w:rPr>
              <w:t>of South Africa</w:t>
            </w:r>
            <w:r w:rsidR="009E0932" w:rsidRPr="00B00B8A">
              <w:rPr>
                <w:rFonts w:ascii="Arial" w:hAnsi="Arial" w:cs="Arial"/>
                <w:sz w:val="24"/>
                <w:szCs w:val="24"/>
              </w:rPr>
              <w:t>’s measures agains</w:t>
            </w:r>
            <w:r w:rsidR="00554E94" w:rsidRPr="00B00B8A">
              <w:rPr>
                <w:rFonts w:ascii="Arial" w:hAnsi="Arial" w:cs="Arial"/>
                <w:sz w:val="24"/>
                <w:szCs w:val="24"/>
              </w:rPr>
              <w:t>t</w:t>
            </w:r>
            <w:r w:rsidR="009E0932" w:rsidRPr="00B00B8A">
              <w:rPr>
                <w:rFonts w:ascii="Arial" w:hAnsi="Arial" w:cs="Arial"/>
                <w:sz w:val="24"/>
                <w:szCs w:val="24"/>
              </w:rPr>
              <w:t xml:space="preserve"> money laundering and terrorist financing,</w:t>
            </w:r>
            <w:r w:rsidRPr="00B00B8A">
              <w:rPr>
                <w:rFonts w:ascii="Arial" w:hAnsi="Arial" w:cs="Arial"/>
                <w:sz w:val="24"/>
                <w:szCs w:val="24"/>
              </w:rPr>
              <w:t xml:space="preserve"> and published </w:t>
            </w:r>
            <w:r w:rsidR="009E0932" w:rsidRPr="00B00B8A">
              <w:rPr>
                <w:rFonts w:ascii="Arial" w:hAnsi="Arial" w:cs="Arial"/>
                <w:sz w:val="24"/>
                <w:szCs w:val="24"/>
              </w:rPr>
              <w:t xml:space="preserve">the </w:t>
            </w:r>
            <w:r w:rsidRPr="00B00B8A">
              <w:rPr>
                <w:rFonts w:ascii="Arial" w:hAnsi="Arial" w:cs="Arial"/>
                <w:sz w:val="24"/>
                <w:szCs w:val="24"/>
              </w:rPr>
              <w:t>final report in this regard in October 2021.</w:t>
            </w:r>
          </w:p>
          <w:p w14:paraId="53A51F77" w14:textId="4A095462" w:rsidR="00050B3B" w:rsidRPr="00B00B8A" w:rsidRDefault="00050B3B" w:rsidP="00050B3B">
            <w:pPr>
              <w:jc w:val="both"/>
              <w:rPr>
                <w:rFonts w:ascii="Arial" w:hAnsi="Arial" w:cs="Arial"/>
                <w:sz w:val="24"/>
                <w:szCs w:val="24"/>
              </w:rPr>
            </w:pPr>
            <w:r w:rsidRPr="00B00B8A">
              <w:rPr>
                <w:rFonts w:ascii="Arial" w:hAnsi="Arial" w:cs="Arial"/>
                <w:sz w:val="24"/>
                <w:szCs w:val="24"/>
              </w:rPr>
              <w:t xml:space="preserve">On page 165 of the Mutual </w:t>
            </w:r>
            <w:r w:rsidR="009E0932" w:rsidRPr="00B00B8A">
              <w:rPr>
                <w:rFonts w:ascii="Arial" w:hAnsi="Arial" w:cs="Arial"/>
                <w:sz w:val="24"/>
                <w:szCs w:val="24"/>
              </w:rPr>
              <w:t xml:space="preserve">Evaluation </w:t>
            </w:r>
            <w:r w:rsidRPr="00B00B8A">
              <w:rPr>
                <w:rFonts w:ascii="Arial" w:hAnsi="Arial" w:cs="Arial"/>
                <w:sz w:val="24"/>
                <w:szCs w:val="24"/>
              </w:rPr>
              <w:t xml:space="preserve">Report under </w:t>
            </w:r>
            <w:r w:rsidRPr="00B00B8A">
              <w:rPr>
                <w:rFonts w:ascii="Arial" w:hAnsi="Arial" w:cs="Arial"/>
                <w:sz w:val="24"/>
                <w:szCs w:val="24"/>
              </w:rPr>
              <w:lastRenderedPageBreak/>
              <w:t>Recommendation 5, the following is stated:</w:t>
            </w:r>
          </w:p>
          <w:p w14:paraId="00B4ECFB" w14:textId="77777777" w:rsidR="00050B3B" w:rsidRPr="00B00B8A" w:rsidRDefault="00050B3B" w:rsidP="00050B3B">
            <w:pPr>
              <w:jc w:val="both"/>
              <w:rPr>
                <w:rFonts w:ascii="Arial" w:hAnsi="Arial" w:cs="Arial"/>
                <w:sz w:val="24"/>
                <w:szCs w:val="24"/>
              </w:rPr>
            </w:pPr>
            <w:r w:rsidRPr="00B00B8A">
              <w:rPr>
                <w:rFonts w:ascii="Arial" w:hAnsi="Arial" w:cs="Arial"/>
                <w:sz w:val="24"/>
                <w:szCs w:val="24"/>
              </w:rPr>
              <w:t>“Criterion 5.1 – The Protection of Constitutional Democracy Against Terrorist and Related Activities Act No. 33 of 2004 (POCDATARA) came into effect on 20 May 2005 and it contains several offenses related to TF (s.4).</w:t>
            </w:r>
          </w:p>
          <w:p w14:paraId="37F3F702" w14:textId="77777777" w:rsidR="00050B3B" w:rsidRPr="00B00B8A" w:rsidRDefault="00050B3B" w:rsidP="00050B3B">
            <w:pPr>
              <w:jc w:val="both"/>
              <w:rPr>
                <w:rFonts w:ascii="Arial" w:hAnsi="Arial" w:cs="Arial"/>
                <w:sz w:val="24"/>
                <w:szCs w:val="24"/>
              </w:rPr>
            </w:pPr>
          </w:p>
          <w:p w14:paraId="2557C672" w14:textId="77777777" w:rsidR="00050B3B" w:rsidRPr="00B00B8A" w:rsidRDefault="00050B3B" w:rsidP="00050B3B">
            <w:pPr>
              <w:jc w:val="both"/>
              <w:rPr>
                <w:rFonts w:ascii="Arial" w:hAnsi="Arial" w:cs="Arial"/>
                <w:sz w:val="24"/>
                <w:szCs w:val="24"/>
              </w:rPr>
            </w:pPr>
            <w:r w:rsidRPr="00B00B8A">
              <w:rPr>
                <w:rFonts w:ascii="Arial" w:hAnsi="Arial" w:cs="Arial"/>
                <w:sz w:val="24"/>
                <w:szCs w:val="24"/>
              </w:rPr>
              <w:t>Generally, the criminalization of TF in South Africa is broadly consistent with most of the TF Convention. The</w:t>
            </w:r>
          </w:p>
          <w:p w14:paraId="3364C3A1" w14:textId="77777777" w:rsidR="00050B3B" w:rsidRPr="00B00B8A" w:rsidRDefault="00050B3B" w:rsidP="00050B3B">
            <w:pPr>
              <w:jc w:val="both"/>
              <w:rPr>
                <w:rFonts w:ascii="Arial" w:hAnsi="Arial" w:cs="Arial"/>
                <w:sz w:val="24"/>
                <w:szCs w:val="24"/>
              </w:rPr>
            </w:pPr>
            <w:r w:rsidRPr="00B00B8A">
              <w:rPr>
                <w:rFonts w:ascii="Arial" w:hAnsi="Arial" w:cs="Arial"/>
                <w:sz w:val="24"/>
                <w:szCs w:val="24"/>
              </w:rPr>
              <w:t>POCDATARA, however, does exclude from the definition of terrorist activity certain acts committed during an armed struggle. This exemption therefore narrows the scope of the TF Convention. Article 6 of the TF Convention states that ‘Each State Party shall adopt such measures as may be necessary, including, where appropriate, domestic</w:t>
            </w:r>
          </w:p>
          <w:p w14:paraId="39CA493F" w14:textId="77777777" w:rsidR="00B24610" w:rsidRPr="00B00B8A" w:rsidRDefault="00050B3B" w:rsidP="00050B3B">
            <w:pPr>
              <w:jc w:val="both"/>
              <w:rPr>
                <w:rFonts w:ascii="Arial" w:hAnsi="Arial" w:cs="Arial"/>
                <w:sz w:val="24"/>
                <w:szCs w:val="24"/>
              </w:rPr>
            </w:pPr>
            <w:r w:rsidRPr="00B00B8A">
              <w:rPr>
                <w:rFonts w:ascii="Arial" w:hAnsi="Arial" w:cs="Arial"/>
                <w:sz w:val="24"/>
                <w:szCs w:val="24"/>
              </w:rPr>
              <w:t xml:space="preserve">legislation, to ensure that criminal acts within the scope of this Convention are under no circumstances justifiable by considerations of a political, </w:t>
            </w:r>
            <w:r w:rsidRPr="00B00B8A">
              <w:rPr>
                <w:rFonts w:ascii="Arial" w:hAnsi="Arial" w:cs="Arial"/>
                <w:sz w:val="24"/>
                <w:szCs w:val="24"/>
              </w:rPr>
              <w:lastRenderedPageBreak/>
              <w:t>philosophical, ideological, racial, ethnic, religious or other similar nature’.”</w:t>
            </w:r>
          </w:p>
          <w:p w14:paraId="1F904C02" w14:textId="77777777" w:rsidR="00740BF3" w:rsidRPr="00B00B8A" w:rsidRDefault="00740BF3" w:rsidP="00740BF3">
            <w:pPr>
              <w:jc w:val="both"/>
              <w:rPr>
                <w:rFonts w:ascii="Arial" w:hAnsi="Arial" w:cs="Arial"/>
                <w:sz w:val="24"/>
                <w:szCs w:val="24"/>
              </w:rPr>
            </w:pPr>
            <w:r w:rsidRPr="00B00B8A">
              <w:rPr>
                <w:rFonts w:ascii="Arial" w:hAnsi="Arial" w:cs="Arial"/>
                <w:sz w:val="24"/>
                <w:szCs w:val="24"/>
              </w:rPr>
              <w:t>Protocol I also prohibits ‘acts or threats of violence</w:t>
            </w:r>
          </w:p>
          <w:p w14:paraId="6282B98F" w14:textId="48318695" w:rsidR="00740BF3" w:rsidRPr="00B00B8A" w:rsidRDefault="00740BF3" w:rsidP="00740BF3">
            <w:pPr>
              <w:jc w:val="both"/>
              <w:rPr>
                <w:rFonts w:ascii="Arial" w:hAnsi="Arial" w:cs="Arial"/>
                <w:sz w:val="24"/>
                <w:szCs w:val="24"/>
              </w:rPr>
            </w:pPr>
            <w:r w:rsidRPr="00B00B8A">
              <w:rPr>
                <w:rFonts w:ascii="Arial" w:hAnsi="Arial" w:cs="Arial"/>
                <w:sz w:val="24"/>
                <w:szCs w:val="24"/>
              </w:rPr>
              <w:t>the primary purpose of which is to spread terror among the civilian population’ thus ‘prohibits acts of terror in both international and non-international armed conflict,</w:t>
            </w:r>
          </w:p>
          <w:p w14:paraId="31589ED6" w14:textId="248DD684" w:rsidR="00740BF3" w:rsidRPr="00B00B8A" w:rsidRDefault="00740BF3" w:rsidP="00740BF3">
            <w:pPr>
              <w:jc w:val="both"/>
              <w:rPr>
                <w:rFonts w:ascii="Arial" w:hAnsi="Arial" w:cs="Arial"/>
                <w:sz w:val="24"/>
                <w:szCs w:val="24"/>
              </w:rPr>
            </w:pPr>
            <w:r w:rsidRPr="00B00B8A">
              <w:rPr>
                <w:rFonts w:ascii="Arial" w:hAnsi="Arial" w:cs="Arial"/>
                <w:sz w:val="24"/>
                <w:szCs w:val="24"/>
              </w:rPr>
              <w:t>irrespective of whether they are committed by State or non-State parties’.</w:t>
            </w:r>
          </w:p>
        </w:tc>
      </w:tr>
      <w:tr w:rsidR="00DB04C8" w:rsidRPr="00282B00" w14:paraId="6E31F12B" w14:textId="77777777" w:rsidTr="00F14186">
        <w:tc>
          <w:tcPr>
            <w:tcW w:w="1288" w:type="dxa"/>
          </w:tcPr>
          <w:p w14:paraId="75AD1B8E" w14:textId="4D8DF60E" w:rsidR="00DB04C8" w:rsidRDefault="00DB04C8" w:rsidP="0051279C">
            <w:pPr>
              <w:jc w:val="both"/>
              <w:rPr>
                <w:rFonts w:ascii="Arial" w:hAnsi="Arial" w:cs="Arial"/>
                <w:b/>
                <w:sz w:val="24"/>
                <w:szCs w:val="24"/>
              </w:rPr>
            </w:pPr>
          </w:p>
        </w:tc>
        <w:tc>
          <w:tcPr>
            <w:tcW w:w="1446" w:type="dxa"/>
          </w:tcPr>
          <w:p w14:paraId="0D071A63" w14:textId="7057347F" w:rsidR="00DB04C8" w:rsidRDefault="00DB04C8" w:rsidP="0051279C">
            <w:pPr>
              <w:jc w:val="both"/>
              <w:rPr>
                <w:rFonts w:ascii="Arial" w:hAnsi="Arial" w:cs="Arial"/>
                <w:b/>
                <w:sz w:val="24"/>
                <w:szCs w:val="24"/>
              </w:rPr>
            </w:pPr>
            <w:r>
              <w:rPr>
                <w:rFonts w:ascii="Arial" w:hAnsi="Arial" w:cs="Arial"/>
                <w:b/>
                <w:sz w:val="24"/>
                <w:szCs w:val="24"/>
              </w:rPr>
              <w:t>3(2)</w:t>
            </w:r>
          </w:p>
        </w:tc>
        <w:tc>
          <w:tcPr>
            <w:tcW w:w="6759" w:type="dxa"/>
          </w:tcPr>
          <w:p w14:paraId="648C0EEC" w14:textId="16520EEF" w:rsidR="00DB04C8" w:rsidRPr="00B00B8A" w:rsidRDefault="00DB04C8" w:rsidP="00313619">
            <w:pPr>
              <w:jc w:val="both"/>
              <w:rPr>
                <w:rFonts w:ascii="Arial" w:hAnsi="Arial" w:cs="Arial"/>
                <w:sz w:val="24"/>
                <w:szCs w:val="24"/>
              </w:rPr>
            </w:pPr>
            <w:r w:rsidRPr="00B00B8A">
              <w:rPr>
                <w:rFonts w:ascii="Arial" w:hAnsi="Arial" w:cs="Arial"/>
                <w:sz w:val="24"/>
                <w:szCs w:val="24"/>
              </w:rPr>
              <w:t xml:space="preserve">The CRC appeals to Parliament to consider including a </w:t>
            </w:r>
            <w:r w:rsidR="00EB0AEF" w:rsidRPr="00B00B8A">
              <w:rPr>
                <w:rFonts w:ascii="Arial" w:hAnsi="Arial" w:cs="Arial"/>
                <w:b/>
                <w:sz w:val="24"/>
                <w:szCs w:val="24"/>
              </w:rPr>
              <w:t xml:space="preserve">new </w:t>
            </w:r>
            <w:r w:rsidRPr="00B00B8A">
              <w:rPr>
                <w:rFonts w:ascii="Arial" w:hAnsi="Arial" w:cs="Arial"/>
                <w:b/>
                <w:sz w:val="24"/>
                <w:szCs w:val="24"/>
              </w:rPr>
              <w:t>clause</w:t>
            </w:r>
            <w:r w:rsidRPr="00B00B8A">
              <w:rPr>
                <w:rFonts w:ascii="Arial" w:hAnsi="Arial" w:cs="Arial"/>
                <w:sz w:val="24"/>
                <w:szCs w:val="24"/>
              </w:rPr>
              <w:t xml:space="preserve"> in the law to provide for exemption of impartial humanitarian assistance from criminal sanctions. As currently worded, section 3 (2)(c) of </w:t>
            </w:r>
            <w:r w:rsidR="00313619" w:rsidRPr="00B00B8A">
              <w:rPr>
                <w:rFonts w:ascii="Arial" w:hAnsi="Arial" w:cs="Arial"/>
                <w:sz w:val="24"/>
                <w:szCs w:val="24"/>
              </w:rPr>
              <w:t>the principal Act c</w:t>
            </w:r>
            <w:r w:rsidRPr="00B00B8A">
              <w:rPr>
                <w:rFonts w:ascii="Arial" w:hAnsi="Arial" w:cs="Arial"/>
                <w:sz w:val="24"/>
                <w:szCs w:val="24"/>
              </w:rPr>
              <w:t>ould criminalize the work of exclusively humanitarian and impartial organizations such as the ICRC. Such a clause would entrench in law a targeted approach in dealing with the threat of terrorism in the Non-Profit Sector as recommended under the Financial Action Task Force regulations.</w:t>
            </w:r>
          </w:p>
        </w:tc>
        <w:tc>
          <w:tcPr>
            <w:tcW w:w="3457" w:type="dxa"/>
          </w:tcPr>
          <w:p w14:paraId="595855B4" w14:textId="11D69E2D" w:rsidR="00E901DD" w:rsidRPr="00B00B8A" w:rsidRDefault="00575863" w:rsidP="00E901DD">
            <w:pPr>
              <w:jc w:val="both"/>
              <w:rPr>
                <w:rFonts w:ascii="Arial" w:hAnsi="Arial" w:cs="Arial"/>
                <w:sz w:val="24"/>
                <w:szCs w:val="24"/>
              </w:rPr>
            </w:pPr>
            <w:r w:rsidRPr="00B00B8A">
              <w:rPr>
                <w:rFonts w:ascii="Arial" w:hAnsi="Arial" w:cs="Arial"/>
                <w:sz w:val="24"/>
                <w:szCs w:val="24"/>
              </w:rPr>
              <w:t xml:space="preserve">The ICRC is a reputable provider of humanitarian assistance and its role is recognized in international instruments, which have been incorporated in South African law, eg the Conventions and Protocols referred to and legislation incorporating them as indicated above in respect of section 1(4). </w:t>
            </w:r>
            <w:r w:rsidR="006F0E54" w:rsidRPr="00B00B8A">
              <w:rPr>
                <w:rFonts w:ascii="Arial" w:hAnsi="Arial" w:cs="Arial"/>
                <w:sz w:val="24"/>
                <w:szCs w:val="24"/>
              </w:rPr>
              <w:t xml:space="preserve">Protocol I applies to include armed conflicts in which peoples are fighting against colonial domination and alien occupation and against racist regimes in the exercise of their right of self-determination, as </w:t>
            </w:r>
            <w:r w:rsidR="006F0E54" w:rsidRPr="00B00B8A">
              <w:rPr>
                <w:rFonts w:ascii="Arial" w:hAnsi="Arial" w:cs="Arial"/>
                <w:sz w:val="24"/>
                <w:szCs w:val="24"/>
              </w:rPr>
              <w:lastRenderedPageBreak/>
              <w:t xml:space="preserve">enshrined in the Charter of the United Nations and the Declaration on Principles of International Law concerning Friendly Relations and Co-operation among States in accordance with the Charter of the United Nations. </w:t>
            </w:r>
            <w:r w:rsidR="00AE4EE2" w:rsidRPr="00B00B8A">
              <w:rPr>
                <w:rFonts w:ascii="Arial" w:hAnsi="Arial" w:cs="Arial"/>
                <w:sz w:val="24"/>
                <w:szCs w:val="24"/>
              </w:rPr>
              <w:t>T</w:t>
            </w:r>
            <w:r w:rsidRPr="00B00B8A">
              <w:rPr>
                <w:rFonts w:ascii="Arial" w:hAnsi="Arial" w:cs="Arial"/>
                <w:sz w:val="24"/>
                <w:szCs w:val="24"/>
              </w:rPr>
              <w:t xml:space="preserve">he ICRC may offer its services in an armed conflict, </w:t>
            </w:r>
            <w:r w:rsidR="003B5516" w:rsidRPr="00B00B8A">
              <w:rPr>
                <w:rFonts w:ascii="Arial" w:hAnsi="Arial" w:cs="Arial"/>
                <w:sz w:val="24"/>
                <w:szCs w:val="24"/>
              </w:rPr>
              <w:t>or during</w:t>
            </w:r>
            <w:r w:rsidR="007372B8" w:rsidRPr="00B00B8A">
              <w:rPr>
                <w:rFonts w:ascii="Arial" w:hAnsi="Arial" w:cs="Arial"/>
                <w:sz w:val="24"/>
                <w:szCs w:val="24"/>
              </w:rPr>
              <w:t xml:space="preserve"> </w:t>
            </w:r>
            <w:r w:rsidR="008955E7" w:rsidRPr="00B00B8A">
              <w:rPr>
                <w:rFonts w:ascii="Arial" w:hAnsi="Arial" w:cs="Arial"/>
                <w:sz w:val="24"/>
                <w:szCs w:val="24"/>
              </w:rPr>
              <w:t xml:space="preserve">a </w:t>
            </w:r>
            <w:r w:rsidR="003B5516" w:rsidRPr="00B00B8A">
              <w:rPr>
                <w:rFonts w:ascii="Arial" w:hAnsi="Arial" w:cs="Arial"/>
                <w:sz w:val="24"/>
                <w:szCs w:val="24"/>
              </w:rPr>
              <w:t xml:space="preserve"> </w:t>
            </w:r>
            <w:r w:rsidR="008955E7" w:rsidRPr="00B00B8A">
              <w:rPr>
                <w:rFonts w:ascii="Arial" w:hAnsi="Arial" w:cs="Arial"/>
                <w:sz w:val="24"/>
                <w:szCs w:val="24"/>
              </w:rPr>
              <w:t xml:space="preserve">legitimate liberation struggle, </w:t>
            </w:r>
            <w:r w:rsidR="002E58B0" w:rsidRPr="00B00B8A">
              <w:rPr>
                <w:rFonts w:ascii="Arial" w:hAnsi="Arial" w:cs="Arial"/>
                <w:sz w:val="24"/>
                <w:szCs w:val="24"/>
              </w:rPr>
              <w:t>or during</w:t>
            </w:r>
            <w:r w:rsidRPr="00B00B8A">
              <w:rPr>
                <w:rFonts w:ascii="Arial" w:hAnsi="Arial" w:cs="Arial"/>
                <w:sz w:val="24"/>
                <w:szCs w:val="24"/>
              </w:rPr>
              <w:t xml:space="preserve"> an international or non-international</w:t>
            </w:r>
            <w:r w:rsidR="007372B8" w:rsidRPr="00B00B8A">
              <w:rPr>
                <w:rFonts w:ascii="Arial" w:hAnsi="Arial" w:cs="Arial"/>
                <w:sz w:val="24"/>
                <w:szCs w:val="24"/>
              </w:rPr>
              <w:t xml:space="preserve"> </w:t>
            </w:r>
            <w:r w:rsidRPr="00B00B8A">
              <w:rPr>
                <w:rFonts w:ascii="Arial" w:hAnsi="Arial" w:cs="Arial"/>
                <w:sz w:val="24"/>
                <w:szCs w:val="24"/>
              </w:rPr>
              <w:t>armed conflict. Protocol II above is not applicable to</w:t>
            </w:r>
            <w:r w:rsidR="003D01F5" w:rsidRPr="00B00B8A">
              <w:rPr>
                <w:rFonts w:ascii="Arial" w:hAnsi="Arial" w:cs="Arial"/>
                <w:sz w:val="24"/>
                <w:szCs w:val="24"/>
              </w:rPr>
              <w:t xml:space="preserve"> situations of internal disturbances and tensions, such as riots, isolated and sporadic acts of violence and other acts of a similar nature, as not being armed conflicts.</w:t>
            </w:r>
            <w:r w:rsidR="00BB1953" w:rsidRPr="00B00B8A">
              <w:rPr>
                <w:rFonts w:ascii="Arial" w:hAnsi="Arial" w:cs="Arial"/>
                <w:sz w:val="24"/>
                <w:szCs w:val="24"/>
              </w:rPr>
              <w:t xml:space="preserve"> The struggles for liberation and </w:t>
            </w:r>
            <w:r w:rsidR="00E81C6D" w:rsidRPr="00B00B8A">
              <w:rPr>
                <w:rFonts w:ascii="Arial" w:hAnsi="Arial" w:cs="Arial"/>
                <w:sz w:val="24"/>
                <w:szCs w:val="24"/>
              </w:rPr>
              <w:t>again</w:t>
            </w:r>
            <w:r w:rsidR="00C96751" w:rsidRPr="00B00B8A">
              <w:rPr>
                <w:rFonts w:ascii="Arial" w:hAnsi="Arial" w:cs="Arial"/>
                <w:sz w:val="24"/>
                <w:szCs w:val="24"/>
              </w:rPr>
              <w:t>s</w:t>
            </w:r>
            <w:r w:rsidR="00E81C6D" w:rsidRPr="00B00B8A">
              <w:rPr>
                <w:rFonts w:ascii="Arial" w:hAnsi="Arial" w:cs="Arial"/>
                <w:sz w:val="24"/>
                <w:szCs w:val="24"/>
              </w:rPr>
              <w:t>t alien occupation is in particular the topic of Protocol I.</w:t>
            </w:r>
            <w:r w:rsidR="00C96751" w:rsidRPr="00B00B8A">
              <w:rPr>
                <w:rFonts w:ascii="Arial" w:hAnsi="Arial" w:cs="Arial"/>
                <w:sz w:val="24"/>
                <w:szCs w:val="24"/>
              </w:rPr>
              <w:t xml:space="preserve"> Protocol 1 in Article 16.1 </w:t>
            </w:r>
            <w:r w:rsidR="00DF2F13" w:rsidRPr="00B00B8A">
              <w:rPr>
                <w:rFonts w:ascii="Arial" w:hAnsi="Arial" w:cs="Arial"/>
                <w:sz w:val="24"/>
                <w:szCs w:val="24"/>
              </w:rPr>
              <w:t>provides: 1. Under no circumstances shall any person be punished for carrying out medical activities compatible with medical ethics, regardless of the person benefiting there from.</w:t>
            </w:r>
            <w:r w:rsidR="002E58B0" w:rsidRPr="00B00B8A">
              <w:rPr>
                <w:rFonts w:ascii="Arial" w:hAnsi="Arial" w:cs="Arial"/>
                <w:sz w:val="24"/>
                <w:szCs w:val="24"/>
              </w:rPr>
              <w:t xml:space="preserve"> Should the ICRC and “other </w:t>
            </w:r>
            <w:r w:rsidR="002E58B0" w:rsidRPr="00B00B8A">
              <w:rPr>
                <w:rFonts w:ascii="Arial" w:hAnsi="Arial" w:cs="Arial"/>
                <w:sz w:val="24"/>
                <w:szCs w:val="24"/>
              </w:rPr>
              <w:lastRenderedPageBreak/>
              <w:t>humanitarian organisations</w:t>
            </w:r>
            <w:r w:rsidR="00687479" w:rsidRPr="00B00B8A">
              <w:rPr>
                <w:rFonts w:ascii="Arial" w:hAnsi="Arial" w:cs="Arial"/>
                <w:sz w:val="24"/>
                <w:szCs w:val="24"/>
              </w:rPr>
              <w:t>”</w:t>
            </w:r>
            <w:r w:rsidR="002E58B0" w:rsidRPr="00B00B8A">
              <w:rPr>
                <w:rFonts w:ascii="Arial" w:hAnsi="Arial" w:cs="Arial"/>
                <w:sz w:val="24"/>
                <w:szCs w:val="24"/>
              </w:rPr>
              <w:t xml:space="preserve"> be </w:t>
            </w:r>
            <w:r w:rsidR="000D7423" w:rsidRPr="00B00B8A">
              <w:rPr>
                <w:rFonts w:ascii="Arial" w:hAnsi="Arial" w:cs="Arial"/>
                <w:sz w:val="24"/>
                <w:szCs w:val="24"/>
              </w:rPr>
              <w:t xml:space="preserve">excluded through the POCDATARA Act </w:t>
            </w:r>
            <w:r w:rsidR="00687479" w:rsidRPr="00B00B8A">
              <w:rPr>
                <w:rFonts w:ascii="Arial" w:hAnsi="Arial" w:cs="Arial"/>
                <w:sz w:val="24"/>
                <w:szCs w:val="24"/>
              </w:rPr>
              <w:t xml:space="preserve">regarding the provision of humanitarian assistance, </w:t>
            </w:r>
            <w:r w:rsidR="00B75474" w:rsidRPr="00B00B8A">
              <w:rPr>
                <w:rFonts w:ascii="Arial" w:hAnsi="Arial" w:cs="Arial"/>
                <w:sz w:val="24"/>
                <w:szCs w:val="24"/>
              </w:rPr>
              <w:t>it affects consideration of the particular circumstances when the ICRC offers its assistance</w:t>
            </w:r>
            <w:r w:rsidR="0049506A" w:rsidRPr="00B00B8A">
              <w:rPr>
                <w:rFonts w:ascii="Arial" w:hAnsi="Arial" w:cs="Arial"/>
                <w:sz w:val="24"/>
                <w:szCs w:val="24"/>
              </w:rPr>
              <w:t xml:space="preserve">. </w:t>
            </w:r>
            <w:r w:rsidR="00C61741" w:rsidRPr="00B00B8A">
              <w:rPr>
                <w:rFonts w:ascii="Arial" w:hAnsi="Arial" w:cs="Arial"/>
                <w:sz w:val="24"/>
                <w:szCs w:val="24"/>
              </w:rPr>
              <w:t>I</w:t>
            </w:r>
            <w:r w:rsidR="00005768" w:rsidRPr="00B00B8A">
              <w:rPr>
                <w:rFonts w:ascii="Arial" w:hAnsi="Arial" w:cs="Arial"/>
                <w:sz w:val="24"/>
                <w:szCs w:val="24"/>
              </w:rPr>
              <w:t>n</w:t>
            </w:r>
            <w:r w:rsidR="00C61741" w:rsidRPr="00B00B8A">
              <w:rPr>
                <w:rFonts w:ascii="Arial" w:hAnsi="Arial" w:cs="Arial"/>
                <w:sz w:val="24"/>
                <w:szCs w:val="24"/>
              </w:rPr>
              <w:t xml:space="preserve"> this regard Protocol I provides the mechanism for protection of </w:t>
            </w:r>
            <w:r w:rsidR="00AB6CAC" w:rsidRPr="00B00B8A">
              <w:rPr>
                <w:rFonts w:ascii="Arial" w:hAnsi="Arial" w:cs="Arial"/>
                <w:sz w:val="24"/>
                <w:szCs w:val="24"/>
              </w:rPr>
              <w:t>themselves in respect of humanitarian assistance in any of the c</w:t>
            </w:r>
            <w:r w:rsidR="00F73CA0" w:rsidRPr="00B00B8A">
              <w:rPr>
                <w:rFonts w:ascii="Arial" w:hAnsi="Arial" w:cs="Arial"/>
                <w:sz w:val="24"/>
                <w:szCs w:val="24"/>
              </w:rPr>
              <w:t>onflicts to which Protocol I applies.</w:t>
            </w:r>
            <w:r w:rsidR="00955E3B" w:rsidRPr="00B00B8A">
              <w:rPr>
                <w:rFonts w:ascii="Arial" w:hAnsi="Arial" w:cs="Arial"/>
                <w:sz w:val="24"/>
                <w:szCs w:val="24"/>
              </w:rPr>
              <w:t xml:space="preserve"> One such factor would be whether the </w:t>
            </w:r>
            <w:r w:rsidR="005B7C91" w:rsidRPr="00B00B8A">
              <w:rPr>
                <w:rFonts w:ascii="Arial" w:hAnsi="Arial" w:cs="Arial"/>
                <w:sz w:val="24"/>
                <w:szCs w:val="24"/>
              </w:rPr>
              <w:t>liberation movement would also comply to the principles in Protocol I.</w:t>
            </w:r>
            <w:r w:rsidR="009E0EC6" w:rsidRPr="00B00B8A">
              <w:rPr>
                <w:rFonts w:ascii="Arial" w:hAnsi="Arial" w:cs="Arial"/>
                <w:sz w:val="24"/>
                <w:szCs w:val="24"/>
              </w:rPr>
              <w:t xml:space="preserve"> Article 18(2) of Additional Protocol II requires that “relief actions for the civilian population which are on an exclusively humanitarian and impartial nature and which are</w:t>
            </w:r>
            <w:r w:rsidR="007372B8" w:rsidRPr="00B00B8A">
              <w:rPr>
                <w:rFonts w:ascii="Arial" w:hAnsi="Arial" w:cs="Arial"/>
                <w:sz w:val="24"/>
                <w:szCs w:val="24"/>
              </w:rPr>
              <w:t xml:space="preserve"> </w:t>
            </w:r>
            <w:r w:rsidR="009E0EC6" w:rsidRPr="00B00B8A">
              <w:rPr>
                <w:rFonts w:ascii="Arial" w:hAnsi="Arial" w:cs="Arial"/>
                <w:sz w:val="24"/>
                <w:szCs w:val="24"/>
              </w:rPr>
              <w:t>conducted without adverse distinction” be undertaken, subject to the consent of the High Contracting Party concerned, in case “the civilian population is suffering from undue</w:t>
            </w:r>
            <w:r w:rsidR="007372B8" w:rsidRPr="00B00B8A">
              <w:rPr>
                <w:rFonts w:ascii="Arial" w:hAnsi="Arial" w:cs="Arial"/>
                <w:sz w:val="24"/>
                <w:szCs w:val="24"/>
              </w:rPr>
              <w:t xml:space="preserve"> </w:t>
            </w:r>
            <w:r w:rsidR="009E0EC6" w:rsidRPr="00B00B8A">
              <w:rPr>
                <w:rFonts w:ascii="Arial" w:hAnsi="Arial" w:cs="Arial"/>
                <w:sz w:val="24"/>
                <w:szCs w:val="24"/>
              </w:rPr>
              <w:t xml:space="preserve">hardship owing to a lack of the supplies essential for its survival such as foodstuffs and </w:t>
            </w:r>
            <w:r w:rsidR="009E0EC6" w:rsidRPr="00B00B8A">
              <w:rPr>
                <w:rFonts w:ascii="Arial" w:hAnsi="Arial" w:cs="Arial"/>
                <w:sz w:val="24"/>
                <w:szCs w:val="24"/>
              </w:rPr>
              <w:lastRenderedPageBreak/>
              <w:t>medical supplies”. Additional Protocol II thus only explicitly requires the consent of the</w:t>
            </w:r>
            <w:r w:rsidR="00E901DD" w:rsidRPr="00B00B8A">
              <w:rPr>
                <w:rFonts w:ascii="Arial" w:hAnsi="Arial" w:cs="Arial"/>
                <w:sz w:val="24"/>
                <w:szCs w:val="24"/>
              </w:rPr>
              <w:t xml:space="preserve"> State when it comes to relief actions. However, in practice, humanitarian organizations</w:t>
            </w:r>
          </w:p>
          <w:p w14:paraId="5F354DD1" w14:textId="287B5EBA" w:rsidR="00E901DD" w:rsidRPr="00B00B8A" w:rsidRDefault="00E901DD" w:rsidP="00E901DD">
            <w:pPr>
              <w:jc w:val="both"/>
              <w:rPr>
                <w:rFonts w:ascii="Arial" w:hAnsi="Arial" w:cs="Arial"/>
                <w:sz w:val="24"/>
                <w:szCs w:val="24"/>
              </w:rPr>
            </w:pPr>
            <w:r w:rsidRPr="00B00B8A">
              <w:rPr>
                <w:rFonts w:ascii="Arial" w:hAnsi="Arial" w:cs="Arial"/>
                <w:sz w:val="24"/>
                <w:szCs w:val="24"/>
              </w:rPr>
              <w:t>will need the agreement or acquiescence of the non-State actors Party to the conflict as well, to ensure that activities can be carried out in a safe manner.</w:t>
            </w:r>
            <w:r w:rsidR="007372B8" w:rsidRPr="00B00B8A">
              <w:rPr>
                <w:rFonts w:ascii="Arial" w:hAnsi="Arial" w:cs="Arial"/>
                <w:sz w:val="24"/>
                <w:szCs w:val="24"/>
              </w:rPr>
              <w:t xml:space="preserve"> </w:t>
            </w:r>
          </w:p>
          <w:p w14:paraId="1AA592B3" w14:textId="0BB2BF85" w:rsidR="00E901DD" w:rsidRPr="00B00B8A" w:rsidRDefault="00E901DD" w:rsidP="00E901DD">
            <w:pPr>
              <w:jc w:val="both"/>
              <w:rPr>
                <w:rFonts w:ascii="Arial" w:hAnsi="Arial" w:cs="Arial"/>
                <w:sz w:val="24"/>
                <w:szCs w:val="24"/>
              </w:rPr>
            </w:pPr>
            <w:r w:rsidRPr="00B00B8A">
              <w:rPr>
                <w:rFonts w:ascii="Arial" w:hAnsi="Arial" w:cs="Arial"/>
                <w:sz w:val="24"/>
                <w:szCs w:val="24"/>
              </w:rPr>
              <w:t xml:space="preserve">By providing a standing exclusion for humanitarian organisations would negate this </w:t>
            </w:r>
            <w:r w:rsidR="00721CB7" w:rsidRPr="00B00B8A">
              <w:rPr>
                <w:rFonts w:ascii="Arial" w:hAnsi="Arial" w:cs="Arial"/>
                <w:sz w:val="24"/>
                <w:szCs w:val="24"/>
              </w:rPr>
              <w:t>“</w:t>
            </w:r>
            <w:r w:rsidRPr="00B00B8A">
              <w:rPr>
                <w:rFonts w:ascii="Arial" w:hAnsi="Arial" w:cs="Arial"/>
                <w:sz w:val="24"/>
                <w:szCs w:val="24"/>
              </w:rPr>
              <w:t>consent</w:t>
            </w:r>
            <w:r w:rsidR="00721CB7" w:rsidRPr="00B00B8A">
              <w:rPr>
                <w:rFonts w:ascii="Arial" w:hAnsi="Arial" w:cs="Arial"/>
                <w:sz w:val="24"/>
                <w:szCs w:val="24"/>
              </w:rPr>
              <w:t>”</w:t>
            </w:r>
            <w:r w:rsidRPr="00B00B8A">
              <w:rPr>
                <w:rFonts w:ascii="Arial" w:hAnsi="Arial" w:cs="Arial"/>
                <w:sz w:val="24"/>
                <w:szCs w:val="24"/>
              </w:rPr>
              <w:t xml:space="preserve"> requirement</w:t>
            </w:r>
            <w:r w:rsidR="00721CB7" w:rsidRPr="00B00B8A">
              <w:rPr>
                <w:rFonts w:ascii="Arial" w:hAnsi="Arial" w:cs="Arial"/>
                <w:sz w:val="24"/>
                <w:szCs w:val="24"/>
              </w:rPr>
              <w:t>.</w:t>
            </w:r>
          </w:p>
          <w:p w14:paraId="651C5D96" w14:textId="3AC65F75" w:rsidR="005B7C91" w:rsidRPr="00B00B8A" w:rsidRDefault="00F9693A" w:rsidP="00DF2F13">
            <w:pPr>
              <w:jc w:val="both"/>
              <w:rPr>
                <w:rFonts w:ascii="Arial" w:hAnsi="Arial" w:cs="Arial"/>
                <w:sz w:val="24"/>
                <w:szCs w:val="24"/>
              </w:rPr>
            </w:pPr>
            <w:r w:rsidRPr="00B00B8A">
              <w:rPr>
                <w:rFonts w:ascii="Arial" w:hAnsi="Arial" w:cs="Arial"/>
                <w:sz w:val="24"/>
                <w:szCs w:val="24"/>
              </w:rPr>
              <w:t>The ICRC is a re</w:t>
            </w:r>
            <w:r w:rsidR="00282B00" w:rsidRPr="00B00B8A">
              <w:rPr>
                <w:rFonts w:ascii="Arial" w:hAnsi="Arial" w:cs="Arial"/>
                <w:sz w:val="24"/>
                <w:szCs w:val="24"/>
              </w:rPr>
              <w:t>p</w:t>
            </w:r>
            <w:r w:rsidRPr="00B00B8A">
              <w:rPr>
                <w:rFonts w:ascii="Arial" w:hAnsi="Arial" w:cs="Arial"/>
                <w:sz w:val="24"/>
                <w:szCs w:val="24"/>
              </w:rPr>
              <w:t>utable humanitarian organization</w:t>
            </w:r>
            <w:r w:rsidR="00C81640" w:rsidRPr="00B00B8A">
              <w:rPr>
                <w:rFonts w:ascii="Arial" w:hAnsi="Arial" w:cs="Arial"/>
                <w:sz w:val="24"/>
                <w:szCs w:val="24"/>
              </w:rPr>
              <w:t xml:space="preserve"> and i</w:t>
            </w:r>
            <w:r w:rsidRPr="00B00B8A">
              <w:rPr>
                <w:rFonts w:ascii="Arial" w:hAnsi="Arial" w:cs="Arial"/>
                <w:sz w:val="24"/>
                <w:szCs w:val="24"/>
              </w:rPr>
              <w:t xml:space="preserve">nternationally recognized. There had, however, been instances where </w:t>
            </w:r>
            <w:r w:rsidR="00193C83" w:rsidRPr="00B00B8A">
              <w:rPr>
                <w:rFonts w:ascii="Arial" w:hAnsi="Arial" w:cs="Arial"/>
                <w:sz w:val="24"/>
                <w:szCs w:val="24"/>
              </w:rPr>
              <w:t>humanitarian aid associations inadvertently aided terrorism a</w:t>
            </w:r>
            <w:r w:rsidR="005C5D75" w:rsidRPr="00B00B8A">
              <w:rPr>
                <w:rFonts w:ascii="Arial" w:hAnsi="Arial" w:cs="Arial"/>
                <w:sz w:val="24"/>
                <w:szCs w:val="24"/>
              </w:rPr>
              <w:t xml:space="preserve">s well as cases where such aid was provided </w:t>
            </w:r>
            <w:r w:rsidR="00282B00" w:rsidRPr="00B00B8A">
              <w:rPr>
                <w:rFonts w:ascii="Arial" w:hAnsi="Arial" w:cs="Arial"/>
                <w:sz w:val="24"/>
                <w:szCs w:val="24"/>
              </w:rPr>
              <w:t>knowingly.</w:t>
            </w:r>
          </w:p>
          <w:p w14:paraId="7EF5349D" w14:textId="4C5D1D00" w:rsidR="00282B00" w:rsidRPr="00B00B8A" w:rsidRDefault="00282B00" w:rsidP="00282B00">
            <w:pPr>
              <w:jc w:val="both"/>
              <w:rPr>
                <w:rFonts w:ascii="Arial" w:hAnsi="Arial" w:cs="Arial"/>
                <w:sz w:val="24"/>
                <w:szCs w:val="24"/>
              </w:rPr>
            </w:pPr>
            <w:r w:rsidRPr="00B00B8A">
              <w:rPr>
                <w:rFonts w:ascii="Arial" w:hAnsi="Arial" w:cs="Arial"/>
                <w:sz w:val="24"/>
                <w:szCs w:val="24"/>
              </w:rPr>
              <w:t>Arguments against sectoral humanitarian exemptions from counter-terrorism laws have been articulated along the following lines:</w:t>
            </w:r>
          </w:p>
          <w:p w14:paraId="7E1F2AD5" w14:textId="77777777" w:rsidR="00931ED0" w:rsidRPr="00B00B8A" w:rsidRDefault="00BE7330" w:rsidP="00A055CC">
            <w:pPr>
              <w:rPr>
                <w:rFonts w:ascii="Arial" w:hAnsi="Arial" w:cs="Arial"/>
                <w:sz w:val="24"/>
                <w:szCs w:val="24"/>
              </w:rPr>
            </w:pPr>
            <w:r w:rsidRPr="00B00B8A">
              <w:rPr>
                <w:rFonts w:ascii="Arial" w:hAnsi="Arial" w:cs="Arial"/>
                <w:sz w:val="24"/>
                <w:szCs w:val="24"/>
              </w:rPr>
              <w:t xml:space="preserve">See </w:t>
            </w:r>
            <w:r w:rsidR="00931ED0" w:rsidRPr="00B00B8A">
              <w:rPr>
                <w:rFonts w:ascii="Arial" w:hAnsi="Arial" w:cs="Arial"/>
                <w:sz w:val="24"/>
                <w:szCs w:val="24"/>
              </w:rPr>
              <w:t xml:space="preserve">HUMANITARIAN EXEMPTIONS FROM </w:t>
            </w:r>
            <w:r w:rsidR="00931ED0" w:rsidRPr="00B00B8A">
              <w:rPr>
                <w:rFonts w:ascii="Arial" w:hAnsi="Arial" w:cs="Arial"/>
                <w:sz w:val="24"/>
                <w:szCs w:val="24"/>
              </w:rPr>
              <w:lastRenderedPageBreak/>
              <w:t>COUNTER-TERRORISM MEASURES:</w:t>
            </w:r>
          </w:p>
          <w:p w14:paraId="0CBB2365" w14:textId="117E320C" w:rsidR="00931ED0" w:rsidRPr="00B00B8A" w:rsidRDefault="00931ED0" w:rsidP="00A055CC">
            <w:pPr>
              <w:rPr>
                <w:rFonts w:ascii="Arial" w:hAnsi="Arial" w:cs="Arial"/>
                <w:sz w:val="24"/>
                <w:szCs w:val="24"/>
              </w:rPr>
            </w:pPr>
            <w:r w:rsidRPr="00B00B8A">
              <w:rPr>
                <w:rFonts w:ascii="Arial" w:hAnsi="Arial" w:cs="Arial"/>
                <w:sz w:val="24"/>
                <w:szCs w:val="24"/>
              </w:rPr>
              <w:t>A BRIEF INTRODUCTION</w:t>
            </w:r>
            <w:r w:rsidR="00A055CC" w:rsidRPr="00B00B8A">
              <w:rPr>
                <w:rFonts w:ascii="Arial" w:hAnsi="Arial" w:cs="Arial"/>
                <w:sz w:val="24"/>
                <w:szCs w:val="24"/>
              </w:rPr>
              <w:t xml:space="preserve"> Page 141</w:t>
            </w:r>
          </w:p>
          <w:p w14:paraId="02499078" w14:textId="77777777" w:rsidR="00931ED0" w:rsidRPr="00B00B8A" w:rsidRDefault="00931ED0" w:rsidP="00A055CC">
            <w:pPr>
              <w:rPr>
                <w:rFonts w:ascii="Arial" w:hAnsi="Arial" w:cs="Arial"/>
                <w:sz w:val="24"/>
                <w:szCs w:val="24"/>
              </w:rPr>
            </w:pPr>
            <w:r w:rsidRPr="00B00B8A">
              <w:rPr>
                <w:rFonts w:ascii="Arial" w:hAnsi="Arial" w:cs="Arial"/>
                <w:sz w:val="24"/>
                <w:szCs w:val="24"/>
              </w:rPr>
              <w:t>Dustin A. Lewis</w:t>
            </w:r>
          </w:p>
          <w:p w14:paraId="2B2E6F5B" w14:textId="4B07D629" w:rsidR="00BE7330" w:rsidRPr="00B00B8A" w:rsidRDefault="00931ED0" w:rsidP="00A055CC">
            <w:pPr>
              <w:rPr>
                <w:rFonts w:ascii="Arial" w:hAnsi="Arial" w:cs="Arial"/>
                <w:sz w:val="24"/>
                <w:szCs w:val="24"/>
              </w:rPr>
            </w:pPr>
            <w:r w:rsidRPr="00B00B8A">
              <w:rPr>
                <w:rFonts w:ascii="Arial" w:hAnsi="Arial" w:cs="Arial"/>
                <w:sz w:val="24"/>
                <w:szCs w:val="24"/>
              </w:rPr>
              <w:t>Harvard Law School</w:t>
            </w:r>
          </w:p>
          <w:p w14:paraId="06AFD2B1" w14:textId="22328414" w:rsidR="006E28F4" w:rsidRPr="00B00B8A" w:rsidRDefault="006E28F4" w:rsidP="00A055CC">
            <w:pPr>
              <w:rPr>
                <w:rFonts w:ascii="Arial" w:hAnsi="Arial" w:cs="Arial"/>
                <w:sz w:val="24"/>
                <w:szCs w:val="24"/>
              </w:rPr>
            </w:pPr>
          </w:p>
          <w:p w14:paraId="5AB55B18" w14:textId="08210B57" w:rsidR="006E28F4" w:rsidRPr="00B00B8A" w:rsidRDefault="006E28F4" w:rsidP="006E28F4">
            <w:pPr>
              <w:rPr>
                <w:rFonts w:ascii="Arial" w:hAnsi="Arial" w:cs="Arial"/>
                <w:sz w:val="24"/>
                <w:szCs w:val="24"/>
              </w:rPr>
            </w:pPr>
            <w:r w:rsidRPr="00B00B8A">
              <w:rPr>
                <w:rFonts w:ascii="Arial" w:hAnsi="Arial" w:cs="Arial"/>
                <w:sz w:val="24"/>
                <w:szCs w:val="24"/>
              </w:rPr>
              <w:t>In Terrorism, Counter-Terrorism and International</w:t>
            </w:r>
          </w:p>
          <w:p w14:paraId="7A74841A" w14:textId="77777777" w:rsidR="006E28F4" w:rsidRPr="00B00B8A" w:rsidRDefault="006E28F4" w:rsidP="006E28F4">
            <w:pPr>
              <w:rPr>
                <w:rFonts w:ascii="Arial" w:hAnsi="Arial" w:cs="Arial"/>
                <w:sz w:val="24"/>
                <w:szCs w:val="24"/>
              </w:rPr>
            </w:pPr>
            <w:r w:rsidRPr="00B00B8A">
              <w:rPr>
                <w:rFonts w:ascii="Arial" w:hAnsi="Arial" w:cs="Arial"/>
                <w:sz w:val="24"/>
                <w:szCs w:val="24"/>
              </w:rPr>
              <w:t>Humanitarian Law</w:t>
            </w:r>
          </w:p>
          <w:p w14:paraId="2CAB224A" w14:textId="77777777" w:rsidR="006E28F4" w:rsidRPr="00B00B8A" w:rsidRDefault="006E28F4" w:rsidP="006E28F4">
            <w:pPr>
              <w:rPr>
                <w:rFonts w:ascii="Arial" w:hAnsi="Arial" w:cs="Arial"/>
                <w:sz w:val="24"/>
                <w:szCs w:val="24"/>
              </w:rPr>
            </w:pPr>
            <w:r w:rsidRPr="00B00B8A">
              <w:rPr>
                <w:rFonts w:ascii="Arial" w:hAnsi="Arial" w:cs="Arial"/>
                <w:sz w:val="24"/>
                <w:szCs w:val="24"/>
              </w:rPr>
              <w:t>Proceedings of the Bruges Colloquium</w:t>
            </w:r>
          </w:p>
          <w:p w14:paraId="0701BA74" w14:textId="66846476" w:rsidR="006E28F4" w:rsidRPr="00B00B8A" w:rsidRDefault="006E28F4" w:rsidP="006E28F4">
            <w:pPr>
              <w:rPr>
                <w:rFonts w:ascii="Arial" w:hAnsi="Arial" w:cs="Arial"/>
                <w:sz w:val="24"/>
                <w:szCs w:val="24"/>
              </w:rPr>
            </w:pPr>
            <w:r w:rsidRPr="00B00B8A">
              <w:rPr>
                <w:rFonts w:ascii="Arial" w:hAnsi="Arial" w:cs="Arial"/>
                <w:sz w:val="24"/>
                <w:szCs w:val="24"/>
              </w:rPr>
              <w:t>20-21 October 2016</w:t>
            </w:r>
          </w:p>
          <w:p w14:paraId="6218B9E4" w14:textId="2E2C6D10" w:rsidR="00282B00" w:rsidRPr="00B00B8A" w:rsidRDefault="00282B00" w:rsidP="00282B00">
            <w:pPr>
              <w:jc w:val="both"/>
              <w:rPr>
                <w:rFonts w:ascii="Arial" w:hAnsi="Arial" w:cs="Arial"/>
                <w:sz w:val="24"/>
                <w:szCs w:val="24"/>
              </w:rPr>
            </w:pPr>
            <w:r w:rsidRPr="00B00B8A">
              <w:rPr>
                <w:rFonts w:ascii="Arial" w:hAnsi="Arial" w:cs="Arial"/>
                <w:sz w:val="24"/>
                <w:szCs w:val="24"/>
              </w:rPr>
              <w:t>• some governments and experts are concerned that sectoral humanitarian exemptions could be abused by unscrupulous players to support acts of terrorism;</w:t>
            </w:r>
          </w:p>
          <w:p w14:paraId="286F065A" w14:textId="77777777" w:rsidR="00282B00" w:rsidRPr="00B00B8A" w:rsidRDefault="00282B00" w:rsidP="00282B00">
            <w:pPr>
              <w:jc w:val="both"/>
              <w:rPr>
                <w:rFonts w:ascii="Arial" w:hAnsi="Arial" w:cs="Arial"/>
                <w:sz w:val="24"/>
                <w:szCs w:val="24"/>
              </w:rPr>
            </w:pPr>
            <w:r w:rsidRPr="00B00B8A">
              <w:rPr>
                <w:rFonts w:ascii="Arial" w:hAnsi="Arial" w:cs="Arial"/>
                <w:sz w:val="24"/>
                <w:szCs w:val="24"/>
              </w:rPr>
              <w:t>• calls for such exemptions might be inferred to imply that, where applicable, existing protections for principled humanitarian action in International Humanitarian Law, in domestic law or in UN privileges and immunities, are insufficient;</w:t>
            </w:r>
          </w:p>
          <w:p w14:paraId="40396A9E" w14:textId="77777777" w:rsidR="00773173" w:rsidRPr="00B00B8A" w:rsidRDefault="00D119FF" w:rsidP="009D1AFE">
            <w:pPr>
              <w:pStyle w:val="ListParagraph"/>
              <w:numPr>
                <w:ilvl w:val="0"/>
                <w:numId w:val="8"/>
              </w:numPr>
              <w:jc w:val="both"/>
              <w:rPr>
                <w:rFonts w:ascii="Arial" w:hAnsi="Arial" w:cs="Arial"/>
                <w:sz w:val="24"/>
                <w:szCs w:val="24"/>
              </w:rPr>
            </w:pPr>
            <w:r w:rsidRPr="00B00B8A">
              <w:rPr>
                <w:rFonts w:ascii="Arial" w:hAnsi="Arial" w:cs="Arial"/>
                <w:sz w:val="24"/>
                <w:szCs w:val="24"/>
              </w:rPr>
              <w:t>if limited to counter-</w:t>
            </w:r>
          </w:p>
          <w:p w14:paraId="3818E405" w14:textId="38A3A32C" w:rsidR="00D119FF" w:rsidRPr="00B00B8A" w:rsidRDefault="00D119FF" w:rsidP="00D119FF">
            <w:pPr>
              <w:jc w:val="both"/>
              <w:rPr>
                <w:rFonts w:ascii="Arial" w:hAnsi="Arial" w:cs="Arial"/>
                <w:sz w:val="24"/>
                <w:szCs w:val="24"/>
              </w:rPr>
            </w:pPr>
            <w:r w:rsidRPr="00B00B8A">
              <w:rPr>
                <w:rFonts w:ascii="Arial" w:hAnsi="Arial" w:cs="Arial"/>
                <w:sz w:val="24"/>
                <w:szCs w:val="24"/>
              </w:rPr>
              <w:t>terrorism measures, sectoral humanitarian exemptions may not be</w:t>
            </w:r>
            <w:r w:rsidR="00BE7330" w:rsidRPr="00B00B8A">
              <w:rPr>
                <w:rFonts w:ascii="Arial" w:hAnsi="Arial" w:cs="Arial"/>
                <w:sz w:val="24"/>
                <w:szCs w:val="24"/>
              </w:rPr>
              <w:t xml:space="preserve"> </w:t>
            </w:r>
            <w:r w:rsidRPr="00B00B8A">
              <w:rPr>
                <w:rFonts w:ascii="Arial" w:hAnsi="Arial" w:cs="Arial"/>
                <w:sz w:val="24"/>
                <w:szCs w:val="24"/>
              </w:rPr>
              <w:t xml:space="preserve">broadly effective, </w:t>
            </w:r>
            <w:r w:rsidRPr="00B00B8A">
              <w:rPr>
                <w:rFonts w:ascii="Arial" w:hAnsi="Arial" w:cs="Arial"/>
                <w:sz w:val="24"/>
                <w:szCs w:val="24"/>
              </w:rPr>
              <w:lastRenderedPageBreak/>
              <w:t>considering other restrictive measures, (such as those laid down as</w:t>
            </w:r>
            <w:r w:rsidR="00BE7330" w:rsidRPr="00B00B8A">
              <w:rPr>
                <w:rFonts w:ascii="Arial" w:hAnsi="Arial" w:cs="Arial"/>
                <w:sz w:val="24"/>
                <w:szCs w:val="24"/>
              </w:rPr>
              <w:t xml:space="preserve"> </w:t>
            </w:r>
            <w:r w:rsidRPr="00B00B8A">
              <w:rPr>
                <w:rFonts w:ascii="Arial" w:hAnsi="Arial" w:cs="Arial"/>
                <w:sz w:val="24"/>
                <w:szCs w:val="24"/>
              </w:rPr>
              <w:t>part of anti-bribery, anti-corruption, or anti-money laundering framework); and</w:t>
            </w:r>
          </w:p>
          <w:p w14:paraId="2DF05C93" w14:textId="77777777" w:rsidR="00D119FF" w:rsidRPr="00B00B8A" w:rsidRDefault="00D119FF" w:rsidP="00D119FF">
            <w:pPr>
              <w:jc w:val="both"/>
              <w:rPr>
                <w:rFonts w:ascii="Arial" w:hAnsi="Arial" w:cs="Arial"/>
                <w:sz w:val="24"/>
                <w:szCs w:val="24"/>
              </w:rPr>
            </w:pPr>
            <w:r w:rsidRPr="00B00B8A">
              <w:rPr>
                <w:rFonts w:ascii="Arial" w:hAnsi="Arial" w:cs="Arial"/>
                <w:sz w:val="24"/>
                <w:szCs w:val="24"/>
              </w:rPr>
              <w:t>• calls for exemptions raise the possibility of creating a perception that humanitarian</w:t>
            </w:r>
          </w:p>
          <w:p w14:paraId="76FB5A2A" w14:textId="77777777" w:rsidR="00D119FF" w:rsidRPr="00B00B8A" w:rsidRDefault="00D119FF" w:rsidP="00D119FF">
            <w:pPr>
              <w:jc w:val="both"/>
              <w:rPr>
                <w:rFonts w:ascii="Arial" w:hAnsi="Arial" w:cs="Arial"/>
                <w:sz w:val="24"/>
                <w:szCs w:val="24"/>
              </w:rPr>
            </w:pPr>
            <w:r w:rsidRPr="00B00B8A">
              <w:rPr>
                <w:rFonts w:ascii="Arial" w:hAnsi="Arial" w:cs="Arial"/>
                <w:sz w:val="24"/>
                <w:szCs w:val="24"/>
              </w:rPr>
              <w:t>organisations endorse counter-terrorism</w:t>
            </w:r>
            <w:r w:rsidR="00BE7330" w:rsidRPr="00B00B8A">
              <w:rPr>
                <w:rFonts w:ascii="Arial" w:hAnsi="Arial" w:cs="Arial"/>
                <w:sz w:val="24"/>
                <w:szCs w:val="24"/>
              </w:rPr>
              <w:t xml:space="preserve"> </w:t>
            </w:r>
            <w:r w:rsidRPr="00B00B8A">
              <w:rPr>
                <w:rFonts w:ascii="Arial" w:hAnsi="Arial" w:cs="Arial"/>
                <w:sz w:val="24"/>
                <w:szCs w:val="24"/>
              </w:rPr>
              <w:t>approaches, which, in turn, might implicate those players’ (perceived) neutrality and independence.</w:t>
            </w:r>
          </w:p>
          <w:p w14:paraId="4500ED91" w14:textId="2AD86A09" w:rsidR="00BD4CB6" w:rsidRPr="00B00B8A" w:rsidRDefault="00BD4CB6" w:rsidP="00D119FF">
            <w:pPr>
              <w:jc w:val="both"/>
              <w:rPr>
                <w:rFonts w:ascii="Arial" w:hAnsi="Arial" w:cs="Arial"/>
                <w:sz w:val="24"/>
                <w:szCs w:val="24"/>
              </w:rPr>
            </w:pPr>
            <w:r w:rsidRPr="00B00B8A">
              <w:rPr>
                <w:rFonts w:ascii="Arial" w:hAnsi="Arial" w:cs="Arial"/>
                <w:sz w:val="24"/>
                <w:szCs w:val="24"/>
              </w:rPr>
              <w:t>Lewis concludes</w:t>
            </w:r>
            <w:r w:rsidR="006331B7" w:rsidRPr="00B00B8A">
              <w:rPr>
                <w:rFonts w:ascii="Arial" w:hAnsi="Arial" w:cs="Arial"/>
                <w:sz w:val="24"/>
                <w:szCs w:val="24"/>
              </w:rPr>
              <w:t xml:space="preserve"> on page 150:</w:t>
            </w:r>
          </w:p>
          <w:p w14:paraId="0179E0D0" w14:textId="0148550A" w:rsidR="006331B7" w:rsidRPr="00B00B8A" w:rsidRDefault="006331B7" w:rsidP="006331B7">
            <w:pPr>
              <w:jc w:val="both"/>
              <w:rPr>
                <w:rFonts w:ascii="Arial" w:hAnsi="Arial" w:cs="Arial"/>
                <w:sz w:val="24"/>
                <w:szCs w:val="24"/>
              </w:rPr>
            </w:pPr>
            <w:r w:rsidRPr="00B00B8A">
              <w:rPr>
                <w:rFonts w:ascii="Arial" w:hAnsi="Arial" w:cs="Arial"/>
                <w:sz w:val="24"/>
                <w:szCs w:val="24"/>
              </w:rPr>
              <w:t>If the analysis above is correct, then much seems to be at stake in the debate concerning sectoral humanitarian exemptions from counter-terrorism measures. Against that broader backdrop, several trends and trajectories – and the intersections between them – might merit close monitoring.</w:t>
            </w:r>
          </w:p>
          <w:p w14:paraId="3BB22B68" w14:textId="77777777" w:rsidR="006331B7" w:rsidRPr="00B00B8A" w:rsidRDefault="006331B7" w:rsidP="006331B7">
            <w:pPr>
              <w:jc w:val="both"/>
              <w:rPr>
                <w:rFonts w:ascii="Arial" w:hAnsi="Arial" w:cs="Arial"/>
                <w:sz w:val="24"/>
                <w:szCs w:val="24"/>
              </w:rPr>
            </w:pPr>
            <w:r w:rsidRPr="00B00B8A">
              <w:rPr>
                <w:rFonts w:ascii="Arial" w:hAnsi="Arial" w:cs="Arial"/>
                <w:sz w:val="24"/>
                <w:szCs w:val="24"/>
              </w:rPr>
              <w:t>For instance, more domestic counter-terrorism legal cases might adjudicate, if indirectly, what</w:t>
            </w:r>
          </w:p>
          <w:p w14:paraId="3D381631" w14:textId="77777777" w:rsidR="006331B7" w:rsidRPr="00B00B8A" w:rsidRDefault="006331B7" w:rsidP="006331B7">
            <w:pPr>
              <w:jc w:val="both"/>
              <w:rPr>
                <w:rFonts w:ascii="Arial" w:hAnsi="Arial" w:cs="Arial"/>
                <w:sz w:val="24"/>
                <w:szCs w:val="24"/>
              </w:rPr>
            </w:pPr>
            <w:r w:rsidRPr="00B00B8A">
              <w:rPr>
                <w:rFonts w:ascii="Arial" w:hAnsi="Arial" w:cs="Arial"/>
                <w:sz w:val="24"/>
                <w:szCs w:val="24"/>
              </w:rPr>
              <w:t xml:space="preserve">constitutes ‘legitimate’ humanitarian action, including </w:t>
            </w:r>
            <w:r w:rsidRPr="00B00B8A">
              <w:rPr>
                <w:rFonts w:ascii="Arial" w:hAnsi="Arial" w:cs="Arial"/>
                <w:sz w:val="24"/>
                <w:szCs w:val="24"/>
              </w:rPr>
              <w:lastRenderedPageBreak/>
              <w:t>in relation to armed conflicts involving</w:t>
            </w:r>
          </w:p>
          <w:p w14:paraId="2BB819D6" w14:textId="6EC78373" w:rsidR="006331B7" w:rsidRPr="00B00B8A" w:rsidRDefault="006331B7" w:rsidP="006331B7">
            <w:pPr>
              <w:jc w:val="both"/>
              <w:rPr>
                <w:rFonts w:ascii="Arial" w:hAnsi="Arial" w:cs="Arial"/>
                <w:sz w:val="24"/>
                <w:szCs w:val="24"/>
              </w:rPr>
            </w:pPr>
            <w:r w:rsidRPr="00B00B8A">
              <w:rPr>
                <w:rFonts w:ascii="Arial" w:hAnsi="Arial" w:cs="Arial"/>
                <w:sz w:val="24"/>
                <w:szCs w:val="24"/>
              </w:rPr>
              <w:t>designated</w:t>
            </w:r>
            <w:r w:rsidR="007372B8" w:rsidRPr="00B00B8A">
              <w:rPr>
                <w:rFonts w:ascii="Arial" w:hAnsi="Arial" w:cs="Arial"/>
                <w:sz w:val="24"/>
                <w:szCs w:val="24"/>
              </w:rPr>
              <w:t xml:space="preserve"> </w:t>
            </w:r>
            <w:r w:rsidRPr="00B00B8A">
              <w:rPr>
                <w:rFonts w:ascii="Arial" w:hAnsi="Arial" w:cs="Arial"/>
                <w:sz w:val="24"/>
                <w:szCs w:val="24"/>
              </w:rPr>
              <w:t>terrorists conducted</w:t>
            </w:r>
            <w:r w:rsidR="007372B8" w:rsidRPr="00B00B8A">
              <w:rPr>
                <w:rFonts w:ascii="Arial" w:hAnsi="Arial" w:cs="Arial"/>
                <w:sz w:val="24"/>
                <w:szCs w:val="24"/>
              </w:rPr>
              <w:t xml:space="preserve"> </w:t>
            </w:r>
            <w:r w:rsidRPr="00B00B8A">
              <w:rPr>
                <w:rFonts w:ascii="Arial" w:hAnsi="Arial" w:cs="Arial"/>
                <w:sz w:val="24"/>
                <w:szCs w:val="24"/>
              </w:rPr>
              <w:t>outside – sometimes, far outside – the State where the legal</w:t>
            </w:r>
          </w:p>
          <w:p w14:paraId="4A6B1ECC" w14:textId="75891623" w:rsidR="006331B7" w:rsidRPr="00B00B8A" w:rsidRDefault="006331B7" w:rsidP="006331B7">
            <w:pPr>
              <w:jc w:val="both"/>
              <w:rPr>
                <w:rFonts w:ascii="Arial" w:hAnsi="Arial" w:cs="Arial"/>
                <w:sz w:val="24"/>
                <w:szCs w:val="24"/>
              </w:rPr>
            </w:pPr>
            <w:r w:rsidRPr="00B00B8A">
              <w:rPr>
                <w:rFonts w:ascii="Arial" w:hAnsi="Arial" w:cs="Arial"/>
                <w:sz w:val="24"/>
                <w:szCs w:val="24"/>
              </w:rPr>
              <w:t>proceedings are instituted. There may be more demand for, and scrutiny of, principled humanitarian action, perhaps especially in areas where designated terrorists control access to civilian populations in need. Cash programming in humanitarian response seems likely to increase,</w:t>
            </w:r>
            <w:r w:rsidR="007372B8" w:rsidRPr="00B00B8A">
              <w:rPr>
                <w:rFonts w:ascii="Arial" w:hAnsi="Arial" w:cs="Arial"/>
                <w:sz w:val="24"/>
                <w:szCs w:val="24"/>
              </w:rPr>
              <w:t xml:space="preserve"> </w:t>
            </w:r>
            <w:r w:rsidRPr="00B00B8A">
              <w:rPr>
                <w:rFonts w:ascii="Arial" w:hAnsi="Arial" w:cs="Arial"/>
                <w:sz w:val="24"/>
                <w:szCs w:val="24"/>
              </w:rPr>
              <w:t>despite ‘fungibility’ concerns from a counter-terrorism perspective. New and expanded due</w:t>
            </w:r>
          </w:p>
          <w:p w14:paraId="0A895F37" w14:textId="77777777" w:rsidR="006331B7" w:rsidRPr="00B00B8A" w:rsidRDefault="006331B7" w:rsidP="006331B7">
            <w:pPr>
              <w:jc w:val="both"/>
              <w:rPr>
                <w:rFonts w:ascii="Arial" w:hAnsi="Arial" w:cs="Arial"/>
                <w:sz w:val="24"/>
                <w:szCs w:val="24"/>
              </w:rPr>
            </w:pPr>
            <w:r w:rsidRPr="00B00B8A">
              <w:rPr>
                <w:rFonts w:ascii="Arial" w:hAnsi="Arial" w:cs="Arial"/>
                <w:sz w:val="24"/>
                <w:szCs w:val="24"/>
              </w:rPr>
              <w:t>diligence and other anti-diversion (or pro-beneficiary) measures seem likely to be imposed</w:t>
            </w:r>
          </w:p>
          <w:p w14:paraId="4B6893EA" w14:textId="0C5DE6B6" w:rsidR="006331B7" w:rsidRPr="00B00B8A" w:rsidRDefault="006331B7" w:rsidP="006331B7">
            <w:pPr>
              <w:jc w:val="both"/>
              <w:rPr>
                <w:rFonts w:ascii="Arial" w:hAnsi="Arial" w:cs="Arial"/>
                <w:sz w:val="24"/>
                <w:szCs w:val="24"/>
              </w:rPr>
            </w:pPr>
            <w:r w:rsidRPr="00B00B8A">
              <w:rPr>
                <w:rFonts w:ascii="Arial" w:hAnsi="Arial" w:cs="Arial"/>
                <w:sz w:val="24"/>
                <w:szCs w:val="24"/>
              </w:rPr>
              <w:t xml:space="preserve">– whether internally, externally, or both – on humanitarian organisations. More broadly, the web of overlapping, converging, and diverging legal obligations, other requirements and policies incumbent on principled humanitarian </w:t>
            </w:r>
            <w:r w:rsidRPr="00B00B8A">
              <w:rPr>
                <w:rFonts w:ascii="Arial" w:hAnsi="Arial" w:cs="Arial"/>
                <w:sz w:val="24"/>
                <w:szCs w:val="24"/>
              </w:rPr>
              <w:lastRenderedPageBreak/>
              <w:t>stakeholders seems likely to become even more intricate. Finally, if sectoral humanitarian exemptions are pursued further, there might be new, or renewed, attempts to certify humanitarian players in order to establish what does and does</w:t>
            </w:r>
            <w:r w:rsidR="007372B8" w:rsidRPr="00B00B8A">
              <w:rPr>
                <w:rFonts w:ascii="Arial" w:hAnsi="Arial" w:cs="Arial"/>
                <w:sz w:val="24"/>
                <w:szCs w:val="24"/>
              </w:rPr>
              <w:t xml:space="preserve"> </w:t>
            </w:r>
            <w:r w:rsidRPr="00B00B8A">
              <w:rPr>
                <w:rFonts w:ascii="Arial" w:hAnsi="Arial" w:cs="Arial"/>
                <w:sz w:val="24"/>
                <w:szCs w:val="24"/>
              </w:rPr>
              <w:t>not constitute ‘legitimate’ humanitarian action.</w:t>
            </w:r>
          </w:p>
          <w:p w14:paraId="5D491400" w14:textId="08E1D282" w:rsidR="006331B7" w:rsidRPr="00B00B8A" w:rsidRDefault="006331B7" w:rsidP="006331B7">
            <w:pPr>
              <w:jc w:val="both"/>
              <w:rPr>
                <w:rFonts w:ascii="Arial" w:hAnsi="Arial" w:cs="Arial"/>
                <w:sz w:val="24"/>
                <w:szCs w:val="24"/>
              </w:rPr>
            </w:pPr>
            <w:r w:rsidRPr="00B00B8A">
              <w:rPr>
                <w:rFonts w:ascii="Arial" w:hAnsi="Arial" w:cs="Arial"/>
                <w:sz w:val="24"/>
                <w:szCs w:val="24"/>
              </w:rPr>
              <w:t>Surely</w:t>
            </w:r>
            <w:r w:rsidR="00130564" w:rsidRPr="00B00B8A">
              <w:rPr>
                <w:rFonts w:ascii="Arial" w:hAnsi="Arial" w:cs="Arial"/>
                <w:sz w:val="24"/>
                <w:szCs w:val="24"/>
              </w:rPr>
              <w:t>,</w:t>
            </w:r>
            <w:r w:rsidRPr="00B00B8A">
              <w:rPr>
                <w:rFonts w:ascii="Arial" w:hAnsi="Arial" w:cs="Arial"/>
                <w:sz w:val="24"/>
                <w:szCs w:val="24"/>
              </w:rPr>
              <w:t xml:space="preserve"> the National Prosecuting Authority, which </w:t>
            </w:r>
            <w:r w:rsidR="00130564" w:rsidRPr="00B00B8A">
              <w:rPr>
                <w:rFonts w:ascii="Arial" w:hAnsi="Arial" w:cs="Arial"/>
                <w:sz w:val="24"/>
                <w:szCs w:val="24"/>
              </w:rPr>
              <w:t xml:space="preserve">must give written approval before any person may be prosecuted </w:t>
            </w:r>
            <w:r w:rsidR="00F124F7" w:rsidRPr="00B00B8A">
              <w:rPr>
                <w:rFonts w:ascii="Arial" w:hAnsi="Arial" w:cs="Arial"/>
                <w:sz w:val="24"/>
                <w:szCs w:val="24"/>
              </w:rPr>
              <w:t xml:space="preserve">in South Africa in respect of a terrorist offence </w:t>
            </w:r>
            <w:r w:rsidR="00101F78" w:rsidRPr="00B00B8A">
              <w:rPr>
                <w:rFonts w:ascii="Arial" w:hAnsi="Arial" w:cs="Arial"/>
                <w:sz w:val="24"/>
                <w:szCs w:val="24"/>
              </w:rPr>
              <w:t>in South Africa would be cognizant of the role and position of the ICRC in providing</w:t>
            </w:r>
            <w:r w:rsidR="007372B8" w:rsidRPr="00B00B8A">
              <w:rPr>
                <w:rFonts w:ascii="Arial" w:hAnsi="Arial" w:cs="Arial"/>
                <w:sz w:val="24"/>
                <w:szCs w:val="24"/>
              </w:rPr>
              <w:t xml:space="preserve"> </w:t>
            </w:r>
            <w:r w:rsidR="00101F78" w:rsidRPr="00B00B8A">
              <w:rPr>
                <w:rFonts w:ascii="Arial" w:hAnsi="Arial" w:cs="Arial"/>
                <w:sz w:val="24"/>
                <w:szCs w:val="24"/>
              </w:rPr>
              <w:t>legitimate humanitarian assistance.</w:t>
            </w:r>
          </w:p>
          <w:p w14:paraId="6C254E18" w14:textId="710E5BE5" w:rsidR="00BD4CB6" w:rsidRPr="00B00B8A" w:rsidRDefault="00BD4CB6" w:rsidP="00BD4CB6">
            <w:pPr>
              <w:jc w:val="both"/>
              <w:rPr>
                <w:rFonts w:ascii="Arial" w:hAnsi="Arial" w:cs="Arial"/>
                <w:sz w:val="24"/>
                <w:szCs w:val="24"/>
              </w:rPr>
            </w:pPr>
          </w:p>
        </w:tc>
      </w:tr>
    </w:tbl>
    <w:p w14:paraId="1F0F186E" w14:textId="77777777" w:rsidR="00C82146" w:rsidRPr="00884761" w:rsidRDefault="00C82146" w:rsidP="00884761">
      <w:pPr>
        <w:spacing w:after="0" w:line="240" w:lineRule="auto"/>
        <w:jc w:val="both"/>
        <w:rPr>
          <w:rFonts w:ascii="Arial" w:hAnsi="Arial" w:cs="Arial"/>
          <w:b/>
          <w:sz w:val="24"/>
          <w:szCs w:val="24"/>
        </w:rPr>
      </w:pPr>
    </w:p>
    <w:sectPr w:rsidR="00C82146" w:rsidRPr="00884761" w:rsidSect="00ED3BB2">
      <w:pgSz w:w="15840" w:h="12240" w:orient="landscape"/>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09ADE" w16cex:dateUtc="2022-09-05T13:57:00Z"/>
  <w16cex:commentExtensible w16cex:durableId="26C0A468" w16cex:dateUtc="2022-09-05T14:38:00Z"/>
  <w16cex:commentExtensible w16cex:durableId="26C07BBD" w16cex:dateUtc="2022-09-05T11:44:00Z"/>
  <w16cex:commentExtensible w16cex:durableId="26C0A9C8" w16cex:dateUtc="2022-09-05T15: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A0D3AB" w16cid:durableId="26C09ADE"/>
  <w16cid:commentId w16cid:paraId="476CB8A1" w16cid:durableId="26C0A468"/>
  <w16cid:commentId w16cid:paraId="1DEB3D10" w16cid:durableId="26C07BBD"/>
  <w16cid:commentId w16cid:paraId="76573D41" w16cid:durableId="26C0A9C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A56FE" w14:textId="77777777" w:rsidR="00000556" w:rsidRDefault="00000556" w:rsidP="00B24610">
      <w:pPr>
        <w:spacing w:after="0" w:line="240" w:lineRule="auto"/>
      </w:pPr>
      <w:r>
        <w:separator/>
      </w:r>
    </w:p>
  </w:endnote>
  <w:endnote w:type="continuationSeparator" w:id="0">
    <w:p w14:paraId="5C48C1AB" w14:textId="77777777" w:rsidR="00000556" w:rsidRDefault="00000556" w:rsidP="00B24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55ABB" w14:textId="77777777" w:rsidR="00000556" w:rsidRDefault="00000556" w:rsidP="00B24610">
      <w:pPr>
        <w:spacing w:after="0" w:line="240" w:lineRule="auto"/>
      </w:pPr>
      <w:r>
        <w:separator/>
      </w:r>
    </w:p>
  </w:footnote>
  <w:footnote w:type="continuationSeparator" w:id="0">
    <w:p w14:paraId="17582780" w14:textId="77777777" w:rsidR="00000556" w:rsidRDefault="00000556" w:rsidP="00B246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6E2BBB"/>
    <w:multiLevelType w:val="hybridMultilevel"/>
    <w:tmpl w:val="D1CA27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EB8E614"/>
    <w:multiLevelType w:val="hybridMultilevel"/>
    <w:tmpl w:val="AC9AD1E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BBF44C6"/>
    <w:multiLevelType w:val="hybridMultilevel"/>
    <w:tmpl w:val="DC1E8EC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C2E4C3D"/>
    <w:multiLevelType w:val="hybridMultilevel"/>
    <w:tmpl w:val="F3D6E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904654"/>
    <w:multiLevelType w:val="hybridMultilevel"/>
    <w:tmpl w:val="88883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E07956"/>
    <w:multiLevelType w:val="hybridMultilevel"/>
    <w:tmpl w:val="511860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75906427"/>
    <w:multiLevelType w:val="hybridMultilevel"/>
    <w:tmpl w:val="03669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FB25B3"/>
    <w:multiLevelType w:val="hybridMultilevel"/>
    <w:tmpl w:val="424E3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D2228D"/>
    <w:multiLevelType w:val="hybridMultilevel"/>
    <w:tmpl w:val="6824B684"/>
    <w:lvl w:ilvl="0" w:tplc="5CF212FA">
      <w:start w:val="1"/>
      <w:numFmt w:val="lowerLetter"/>
      <w:lvlText w:val="(%1)"/>
      <w:lvlJc w:val="left"/>
      <w:pPr>
        <w:tabs>
          <w:tab w:val="num" w:pos="720"/>
        </w:tabs>
        <w:ind w:left="720" w:hanging="360"/>
      </w:pPr>
    </w:lvl>
    <w:lvl w:ilvl="1" w:tplc="48E6FA80" w:tentative="1">
      <w:start w:val="1"/>
      <w:numFmt w:val="lowerLetter"/>
      <w:lvlText w:val="(%2)"/>
      <w:lvlJc w:val="left"/>
      <w:pPr>
        <w:tabs>
          <w:tab w:val="num" w:pos="1440"/>
        </w:tabs>
        <w:ind w:left="1440" w:hanging="360"/>
      </w:pPr>
    </w:lvl>
    <w:lvl w:ilvl="2" w:tplc="BE4A9760" w:tentative="1">
      <w:start w:val="1"/>
      <w:numFmt w:val="lowerLetter"/>
      <w:lvlText w:val="(%3)"/>
      <w:lvlJc w:val="left"/>
      <w:pPr>
        <w:tabs>
          <w:tab w:val="num" w:pos="2160"/>
        </w:tabs>
        <w:ind w:left="2160" w:hanging="360"/>
      </w:pPr>
    </w:lvl>
    <w:lvl w:ilvl="3" w:tplc="D2F20642" w:tentative="1">
      <w:start w:val="1"/>
      <w:numFmt w:val="lowerLetter"/>
      <w:lvlText w:val="(%4)"/>
      <w:lvlJc w:val="left"/>
      <w:pPr>
        <w:tabs>
          <w:tab w:val="num" w:pos="2880"/>
        </w:tabs>
        <w:ind w:left="2880" w:hanging="360"/>
      </w:pPr>
    </w:lvl>
    <w:lvl w:ilvl="4" w:tplc="5EFC6368" w:tentative="1">
      <w:start w:val="1"/>
      <w:numFmt w:val="lowerLetter"/>
      <w:lvlText w:val="(%5)"/>
      <w:lvlJc w:val="left"/>
      <w:pPr>
        <w:tabs>
          <w:tab w:val="num" w:pos="3600"/>
        </w:tabs>
        <w:ind w:left="3600" w:hanging="360"/>
      </w:pPr>
    </w:lvl>
    <w:lvl w:ilvl="5" w:tplc="F08CC9E8" w:tentative="1">
      <w:start w:val="1"/>
      <w:numFmt w:val="lowerLetter"/>
      <w:lvlText w:val="(%6)"/>
      <w:lvlJc w:val="left"/>
      <w:pPr>
        <w:tabs>
          <w:tab w:val="num" w:pos="4320"/>
        </w:tabs>
        <w:ind w:left="4320" w:hanging="360"/>
      </w:pPr>
    </w:lvl>
    <w:lvl w:ilvl="6" w:tplc="63D44CEE" w:tentative="1">
      <w:start w:val="1"/>
      <w:numFmt w:val="lowerLetter"/>
      <w:lvlText w:val="(%7)"/>
      <w:lvlJc w:val="left"/>
      <w:pPr>
        <w:tabs>
          <w:tab w:val="num" w:pos="5040"/>
        </w:tabs>
        <w:ind w:left="5040" w:hanging="360"/>
      </w:pPr>
    </w:lvl>
    <w:lvl w:ilvl="7" w:tplc="9EF005FA" w:tentative="1">
      <w:start w:val="1"/>
      <w:numFmt w:val="lowerLetter"/>
      <w:lvlText w:val="(%8)"/>
      <w:lvlJc w:val="left"/>
      <w:pPr>
        <w:tabs>
          <w:tab w:val="num" w:pos="5760"/>
        </w:tabs>
        <w:ind w:left="5760" w:hanging="360"/>
      </w:pPr>
    </w:lvl>
    <w:lvl w:ilvl="8" w:tplc="9CE0A7A8" w:tentative="1">
      <w:start w:val="1"/>
      <w:numFmt w:val="lowerLetter"/>
      <w:lvlText w:val="(%9)"/>
      <w:lvlJc w:val="left"/>
      <w:pPr>
        <w:tabs>
          <w:tab w:val="num" w:pos="6480"/>
        </w:tabs>
        <w:ind w:left="6480" w:hanging="360"/>
      </w:pPr>
    </w:lvl>
  </w:abstractNum>
  <w:num w:numId="1">
    <w:abstractNumId w:val="6"/>
  </w:num>
  <w:num w:numId="2">
    <w:abstractNumId w:val="7"/>
  </w:num>
  <w:num w:numId="3">
    <w:abstractNumId w:val="2"/>
  </w:num>
  <w:num w:numId="4">
    <w:abstractNumId w:val="1"/>
  </w:num>
  <w:num w:numId="5">
    <w:abstractNumId w:val="0"/>
  </w:num>
  <w:num w:numId="6">
    <w:abstractNumId w:val="3"/>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US" w:vendorID="64" w:dllVersion="6" w:nlCheck="1" w:checkStyle="0"/>
  <w:activeWritingStyle w:appName="MSWord" w:lang="en-ZA" w:vendorID="64" w:dllVersion="6" w:nlCheck="1" w:checkStyle="0"/>
  <w:activeWritingStyle w:appName="MSWord" w:lang="en-US" w:vendorID="64" w:dllVersion="131078" w:nlCheck="1" w:checkStyle="0"/>
  <w:activeWritingStyle w:appName="MSWord" w:lang="en-ZA" w:vendorID="64" w:dllVersion="131078" w:nlCheck="1" w:checkStyle="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146"/>
    <w:rsid w:val="00000556"/>
    <w:rsid w:val="000038FA"/>
    <w:rsid w:val="00005768"/>
    <w:rsid w:val="00010FC2"/>
    <w:rsid w:val="000149EB"/>
    <w:rsid w:val="00023078"/>
    <w:rsid w:val="000255D0"/>
    <w:rsid w:val="00040962"/>
    <w:rsid w:val="00050B3B"/>
    <w:rsid w:val="000541CC"/>
    <w:rsid w:val="000555C7"/>
    <w:rsid w:val="00074E80"/>
    <w:rsid w:val="0008101E"/>
    <w:rsid w:val="00084043"/>
    <w:rsid w:val="0009292E"/>
    <w:rsid w:val="00093A51"/>
    <w:rsid w:val="000A003C"/>
    <w:rsid w:val="000C1CC9"/>
    <w:rsid w:val="000C67EA"/>
    <w:rsid w:val="000D505F"/>
    <w:rsid w:val="000D7423"/>
    <w:rsid w:val="000E4218"/>
    <w:rsid w:val="000E457E"/>
    <w:rsid w:val="000E5954"/>
    <w:rsid w:val="00101F78"/>
    <w:rsid w:val="00120CB4"/>
    <w:rsid w:val="00130564"/>
    <w:rsid w:val="00141C90"/>
    <w:rsid w:val="0014350C"/>
    <w:rsid w:val="00143E12"/>
    <w:rsid w:val="00151DE5"/>
    <w:rsid w:val="0016439B"/>
    <w:rsid w:val="00192280"/>
    <w:rsid w:val="00193C83"/>
    <w:rsid w:val="001953CA"/>
    <w:rsid w:val="001A4ADB"/>
    <w:rsid w:val="001A7281"/>
    <w:rsid w:val="001A7DF9"/>
    <w:rsid w:val="001B0AC8"/>
    <w:rsid w:val="001C7ACB"/>
    <w:rsid w:val="001F589A"/>
    <w:rsid w:val="00205D7C"/>
    <w:rsid w:val="002064D9"/>
    <w:rsid w:val="0021604E"/>
    <w:rsid w:val="00220804"/>
    <w:rsid w:val="00225398"/>
    <w:rsid w:val="00230D62"/>
    <w:rsid w:val="00237811"/>
    <w:rsid w:val="00241782"/>
    <w:rsid w:val="00252723"/>
    <w:rsid w:val="00255A5C"/>
    <w:rsid w:val="002622FA"/>
    <w:rsid w:val="0026765A"/>
    <w:rsid w:val="0027644F"/>
    <w:rsid w:val="00282B00"/>
    <w:rsid w:val="00287CE9"/>
    <w:rsid w:val="002B16B2"/>
    <w:rsid w:val="002B184A"/>
    <w:rsid w:val="002C1DAF"/>
    <w:rsid w:val="002D6726"/>
    <w:rsid w:val="002E3CEC"/>
    <w:rsid w:val="002E58B0"/>
    <w:rsid w:val="002E728E"/>
    <w:rsid w:val="002F3439"/>
    <w:rsid w:val="002F45E7"/>
    <w:rsid w:val="00300BF7"/>
    <w:rsid w:val="00304FB4"/>
    <w:rsid w:val="00307423"/>
    <w:rsid w:val="00313619"/>
    <w:rsid w:val="003240DC"/>
    <w:rsid w:val="0033471F"/>
    <w:rsid w:val="003365A7"/>
    <w:rsid w:val="00337E1C"/>
    <w:rsid w:val="00347782"/>
    <w:rsid w:val="0036785A"/>
    <w:rsid w:val="00372ED1"/>
    <w:rsid w:val="00393755"/>
    <w:rsid w:val="003953CB"/>
    <w:rsid w:val="003B5516"/>
    <w:rsid w:val="003B591B"/>
    <w:rsid w:val="003D01F5"/>
    <w:rsid w:val="003D3467"/>
    <w:rsid w:val="003F360C"/>
    <w:rsid w:val="00423B0A"/>
    <w:rsid w:val="00431216"/>
    <w:rsid w:val="00431593"/>
    <w:rsid w:val="00432CBC"/>
    <w:rsid w:val="0044232C"/>
    <w:rsid w:val="004529F7"/>
    <w:rsid w:val="0045472E"/>
    <w:rsid w:val="00464823"/>
    <w:rsid w:val="00465DD5"/>
    <w:rsid w:val="00477D8D"/>
    <w:rsid w:val="004923D8"/>
    <w:rsid w:val="0049506A"/>
    <w:rsid w:val="004C0EEE"/>
    <w:rsid w:val="004C649A"/>
    <w:rsid w:val="004D018F"/>
    <w:rsid w:val="004D7FBA"/>
    <w:rsid w:val="004E1F2E"/>
    <w:rsid w:val="004E78CF"/>
    <w:rsid w:val="004F3774"/>
    <w:rsid w:val="004F43BE"/>
    <w:rsid w:val="0051279C"/>
    <w:rsid w:val="00524532"/>
    <w:rsid w:val="0054086C"/>
    <w:rsid w:val="00554E94"/>
    <w:rsid w:val="00561994"/>
    <w:rsid w:val="00571DF7"/>
    <w:rsid w:val="00575863"/>
    <w:rsid w:val="00584324"/>
    <w:rsid w:val="005A7CD4"/>
    <w:rsid w:val="005B2860"/>
    <w:rsid w:val="005B7C91"/>
    <w:rsid w:val="005C5D75"/>
    <w:rsid w:val="005D09FB"/>
    <w:rsid w:val="005D388C"/>
    <w:rsid w:val="005F35E8"/>
    <w:rsid w:val="005F5E36"/>
    <w:rsid w:val="006009C8"/>
    <w:rsid w:val="00603E25"/>
    <w:rsid w:val="00611692"/>
    <w:rsid w:val="00614156"/>
    <w:rsid w:val="006221AD"/>
    <w:rsid w:val="006259D2"/>
    <w:rsid w:val="006279B0"/>
    <w:rsid w:val="006331B7"/>
    <w:rsid w:val="006408D7"/>
    <w:rsid w:val="0066237C"/>
    <w:rsid w:val="00662411"/>
    <w:rsid w:val="00665D4E"/>
    <w:rsid w:val="006803B7"/>
    <w:rsid w:val="00687479"/>
    <w:rsid w:val="006A0ACF"/>
    <w:rsid w:val="006B6A62"/>
    <w:rsid w:val="006C7B23"/>
    <w:rsid w:val="006D1BB8"/>
    <w:rsid w:val="006E28F4"/>
    <w:rsid w:val="006E58CC"/>
    <w:rsid w:val="006F0E54"/>
    <w:rsid w:val="00705C0A"/>
    <w:rsid w:val="00720FB7"/>
    <w:rsid w:val="00721CB7"/>
    <w:rsid w:val="007372B8"/>
    <w:rsid w:val="00740BF3"/>
    <w:rsid w:val="00751B7D"/>
    <w:rsid w:val="00762563"/>
    <w:rsid w:val="00773173"/>
    <w:rsid w:val="0078204D"/>
    <w:rsid w:val="007968C7"/>
    <w:rsid w:val="007B4D08"/>
    <w:rsid w:val="007B4EE6"/>
    <w:rsid w:val="007C5AC8"/>
    <w:rsid w:val="008067AE"/>
    <w:rsid w:val="00811ED6"/>
    <w:rsid w:val="00811F1B"/>
    <w:rsid w:val="00820C6B"/>
    <w:rsid w:val="00823880"/>
    <w:rsid w:val="00826850"/>
    <w:rsid w:val="00830253"/>
    <w:rsid w:val="00832B94"/>
    <w:rsid w:val="00832FD6"/>
    <w:rsid w:val="00833093"/>
    <w:rsid w:val="00834ED9"/>
    <w:rsid w:val="00844D47"/>
    <w:rsid w:val="008630F1"/>
    <w:rsid w:val="00863DDD"/>
    <w:rsid w:val="008730D5"/>
    <w:rsid w:val="00884761"/>
    <w:rsid w:val="008955E7"/>
    <w:rsid w:val="008A66B5"/>
    <w:rsid w:val="008B598C"/>
    <w:rsid w:val="008B7720"/>
    <w:rsid w:val="008C6167"/>
    <w:rsid w:val="008F60DE"/>
    <w:rsid w:val="00915959"/>
    <w:rsid w:val="00931ED0"/>
    <w:rsid w:val="00955E3B"/>
    <w:rsid w:val="009665BB"/>
    <w:rsid w:val="00970DE2"/>
    <w:rsid w:val="00977961"/>
    <w:rsid w:val="009A01C5"/>
    <w:rsid w:val="009D1AFE"/>
    <w:rsid w:val="009E0932"/>
    <w:rsid w:val="009E0EC6"/>
    <w:rsid w:val="009E669C"/>
    <w:rsid w:val="009E7787"/>
    <w:rsid w:val="00A055CC"/>
    <w:rsid w:val="00A057B1"/>
    <w:rsid w:val="00A319F9"/>
    <w:rsid w:val="00A85935"/>
    <w:rsid w:val="00A93D7B"/>
    <w:rsid w:val="00A95D44"/>
    <w:rsid w:val="00AB4A13"/>
    <w:rsid w:val="00AB6CAC"/>
    <w:rsid w:val="00AD3C6D"/>
    <w:rsid w:val="00AE14A4"/>
    <w:rsid w:val="00AE4EE2"/>
    <w:rsid w:val="00B00B8A"/>
    <w:rsid w:val="00B1140D"/>
    <w:rsid w:val="00B22074"/>
    <w:rsid w:val="00B24610"/>
    <w:rsid w:val="00B72BEC"/>
    <w:rsid w:val="00B73803"/>
    <w:rsid w:val="00B74532"/>
    <w:rsid w:val="00B75474"/>
    <w:rsid w:val="00B81E75"/>
    <w:rsid w:val="00B9645C"/>
    <w:rsid w:val="00BB1953"/>
    <w:rsid w:val="00BD4CB6"/>
    <w:rsid w:val="00BE7330"/>
    <w:rsid w:val="00BE78A6"/>
    <w:rsid w:val="00C10030"/>
    <w:rsid w:val="00C522CF"/>
    <w:rsid w:val="00C537F4"/>
    <w:rsid w:val="00C61741"/>
    <w:rsid w:val="00C72C71"/>
    <w:rsid w:val="00C7623C"/>
    <w:rsid w:val="00C81640"/>
    <w:rsid w:val="00C82146"/>
    <w:rsid w:val="00C83F6A"/>
    <w:rsid w:val="00C96751"/>
    <w:rsid w:val="00C96D52"/>
    <w:rsid w:val="00CC5E3C"/>
    <w:rsid w:val="00CD3668"/>
    <w:rsid w:val="00CD386E"/>
    <w:rsid w:val="00CD5070"/>
    <w:rsid w:val="00CD7926"/>
    <w:rsid w:val="00D02EEE"/>
    <w:rsid w:val="00D06126"/>
    <w:rsid w:val="00D119FF"/>
    <w:rsid w:val="00D12165"/>
    <w:rsid w:val="00D209D5"/>
    <w:rsid w:val="00D25743"/>
    <w:rsid w:val="00D25E59"/>
    <w:rsid w:val="00D35FDB"/>
    <w:rsid w:val="00D42A9D"/>
    <w:rsid w:val="00D55CF1"/>
    <w:rsid w:val="00D72E2D"/>
    <w:rsid w:val="00D76F0A"/>
    <w:rsid w:val="00D87986"/>
    <w:rsid w:val="00DA18EB"/>
    <w:rsid w:val="00DB04C8"/>
    <w:rsid w:val="00DB4642"/>
    <w:rsid w:val="00DC2CD6"/>
    <w:rsid w:val="00DD6A44"/>
    <w:rsid w:val="00DF2F13"/>
    <w:rsid w:val="00E049EF"/>
    <w:rsid w:val="00E073E1"/>
    <w:rsid w:val="00E12DC0"/>
    <w:rsid w:val="00E25589"/>
    <w:rsid w:val="00E65BBF"/>
    <w:rsid w:val="00E75125"/>
    <w:rsid w:val="00E81C6D"/>
    <w:rsid w:val="00E83E8A"/>
    <w:rsid w:val="00E85F17"/>
    <w:rsid w:val="00E901DD"/>
    <w:rsid w:val="00E91433"/>
    <w:rsid w:val="00EA5D6C"/>
    <w:rsid w:val="00EB0AEF"/>
    <w:rsid w:val="00EC618D"/>
    <w:rsid w:val="00EC7387"/>
    <w:rsid w:val="00ED3BB2"/>
    <w:rsid w:val="00ED4B0D"/>
    <w:rsid w:val="00EE6328"/>
    <w:rsid w:val="00EF63A0"/>
    <w:rsid w:val="00F10783"/>
    <w:rsid w:val="00F124F7"/>
    <w:rsid w:val="00F13F07"/>
    <w:rsid w:val="00F14186"/>
    <w:rsid w:val="00F16D94"/>
    <w:rsid w:val="00F37064"/>
    <w:rsid w:val="00F639A7"/>
    <w:rsid w:val="00F73903"/>
    <w:rsid w:val="00F73CA0"/>
    <w:rsid w:val="00F75CF8"/>
    <w:rsid w:val="00F77817"/>
    <w:rsid w:val="00F9612A"/>
    <w:rsid w:val="00F9693A"/>
    <w:rsid w:val="00FB56FA"/>
    <w:rsid w:val="00FC5F5A"/>
    <w:rsid w:val="00FF7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89710"/>
  <w15:docId w15:val="{DE09C387-C297-4F03-905C-48B5431D1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2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4FB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1604E"/>
    <w:pPr>
      <w:ind w:left="720"/>
      <w:contextualSpacing/>
    </w:pPr>
  </w:style>
  <w:style w:type="character" w:styleId="Hyperlink">
    <w:name w:val="Hyperlink"/>
    <w:basedOn w:val="DefaultParagraphFont"/>
    <w:uiPriority w:val="99"/>
    <w:unhideWhenUsed/>
    <w:rsid w:val="00B24610"/>
    <w:rPr>
      <w:color w:val="0563C1" w:themeColor="hyperlink"/>
      <w:u w:val="single"/>
    </w:rPr>
  </w:style>
  <w:style w:type="paragraph" w:styleId="FootnoteText">
    <w:name w:val="footnote text"/>
    <w:basedOn w:val="Normal"/>
    <w:link w:val="FootnoteTextChar"/>
    <w:uiPriority w:val="99"/>
    <w:semiHidden/>
    <w:unhideWhenUsed/>
    <w:rsid w:val="00B24610"/>
    <w:pPr>
      <w:spacing w:after="0" w:line="240" w:lineRule="auto"/>
    </w:pPr>
    <w:rPr>
      <w:kern w:val="2"/>
      <w:sz w:val="20"/>
      <w:szCs w:val="20"/>
      <w:lang w:val="en-ZA"/>
      <w14:ligatures w14:val="standardContextual"/>
    </w:rPr>
  </w:style>
  <w:style w:type="character" w:customStyle="1" w:styleId="FootnoteTextChar">
    <w:name w:val="Footnote Text Char"/>
    <w:basedOn w:val="DefaultParagraphFont"/>
    <w:link w:val="FootnoteText"/>
    <w:uiPriority w:val="99"/>
    <w:semiHidden/>
    <w:rsid w:val="00B24610"/>
    <w:rPr>
      <w:kern w:val="2"/>
      <w:sz w:val="20"/>
      <w:szCs w:val="20"/>
      <w:lang w:val="en-ZA"/>
      <w14:ligatures w14:val="standardContextual"/>
    </w:rPr>
  </w:style>
  <w:style w:type="character" w:styleId="FootnoteReference">
    <w:name w:val="footnote reference"/>
    <w:basedOn w:val="DefaultParagraphFont"/>
    <w:uiPriority w:val="99"/>
    <w:semiHidden/>
    <w:unhideWhenUsed/>
    <w:rsid w:val="00B24610"/>
    <w:rPr>
      <w:vertAlign w:val="superscript"/>
    </w:rPr>
  </w:style>
  <w:style w:type="paragraph" w:styleId="Revision">
    <w:name w:val="Revision"/>
    <w:hidden/>
    <w:uiPriority w:val="99"/>
    <w:semiHidden/>
    <w:rsid w:val="00431593"/>
    <w:pPr>
      <w:spacing w:after="0" w:line="240" w:lineRule="auto"/>
    </w:pPr>
  </w:style>
  <w:style w:type="character" w:styleId="CommentReference">
    <w:name w:val="annotation reference"/>
    <w:basedOn w:val="DefaultParagraphFont"/>
    <w:uiPriority w:val="99"/>
    <w:semiHidden/>
    <w:unhideWhenUsed/>
    <w:rsid w:val="00143E12"/>
    <w:rPr>
      <w:sz w:val="16"/>
      <w:szCs w:val="16"/>
    </w:rPr>
  </w:style>
  <w:style w:type="paragraph" w:styleId="CommentText">
    <w:name w:val="annotation text"/>
    <w:basedOn w:val="Normal"/>
    <w:link w:val="CommentTextChar"/>
    <w:uiPriority w:val="99"/>
    <w:unhideWhenUsed/>
    <w:rsid w:val="00143E12"/>
    <w:pPr>
      <w:spacing w:line="240" w:lineRule="auto"/>
    </w:pPr>
    <w:rPr>
      <w:sz w:val="20"/>
      <w:szCs w:val="20"/>
    </w:rPr>
  </w:style>
  <w:style w:type="character" w:customStyle="1" w:styleId="CommentTextChar">
    <w:name w:val="Comment Text Char"/>
    <w:basedOn w:val="DefaultParagraphFont"/>
    <w:link w:val="CommentText"/>
    <w:uiPriority w:val="99"/>
    <w:rsid w:val="00143E12"/>
    <w:rPr>
      <w:sz w:val="20"/>
      <w:szCs w:val="20"/>
    </w:rPr>
  </w:style>
  <w:style w:type="paragraph" w:styleId="CommentSubject">
    <w:name w:val="annotation subject"/>
    <w:basedOn w:val="CommentText"/>
    <w:next w:val="CommentText"/>
    <w:link w:val="CommentSubjectChar"/>
    <w:uiPriority w:val="99"/>
    <w:semiHidden/>
    <w:unhideWhenUsed/>
    <w:rsid w:val="00143E12"/>
    <w:rPr>
      <w:b/>
      <w:bCs/>
    </w:rPr>
  </w:style>
  <w:style w:type="character" w:customStyle="1" w:styleId="CommentSubjectChar">
    <w:name w:val="Comment Subject Char"/>
    <w:basedOn w:val="CommentTextChar"/>
    <w:link w:val="CommentSubject"/>
    <w:uiPriority w:val="99"/>
    <w:semiHidden/>
    <w:rsid w:val="00143E12"/>
    <w:rPr>
      <w:b/>
      <w:bCs/>
      <w:sz w:val="20"/>
      <w:szCs w:val="20"/>
    </w:rPr>
  </w:style>
  <w:style w:type="paragraph" w:styleId="BalloonText">
    <w:name w:val="Balloon Text"/>
    <w:basedOn w:val="Normal"/>
    <w:link w:val="BalloonTextChar"/>
    <w:uiPriority w:val="99"/>
    <w:semiHidden/>
    <w:unhideWhenUsed/>
    <w:rsid w:val="008238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8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189881">
      <w:bodyDiv w:val="1"/>
      <w:marLeft w:val="0"/>
      <w:marRight w:val="0"/>
      <w:marTop w:val="0"/>
      <w:marBottom w:val="0"/>
      <w:divBdr>
        <w:top w:val="none" w:sz="0" w:space="0" w:color="auto"/>
        <w:left w:val="none" w:sz="0" w:space="0" w:color="auto"/>
        <w:bottom w:val="none" w:sz="0" w:space="0" w:color="auto"/>
        <w:right w:val="none" w:sz="0" w:space="0" w:color="auto"/>
      </w:divBdr>
      <w:divsChild>
        <w:div w:id="1533346428">
          <w:marLeft w:val="360"/>
          <w:marRight w:val="0"/>
          <w:marTop w:val="86"/>
          <w:marBottom w:val="0"/>
          <w:divBdr>
            <w:top w:val="none" w:sz="0" w:space="0" w:color="auto"/>
            <w:left w:val="none" w:sz="0" w:space="0" w:color="auto"/>
            <w:bottom w:val="none" w:sz="0" w:space="0" w:color="auto"/>
            <w:right w:val="none" w:sz="0" w:space="0" w:color="auto"/>
          </w:divBdr>
        </w:div>
        <w:div w:id="270363265">
          <w:marLeft w:val="360"/>
          <w:marRight w:val="0"/>
          <w:marTop w:val="86"/>
          <w:marBottom w:val="0"/>
          <w:divBdr>
            <w:top w:val="none" w:sz="0" w:space="0" w:color="auto"/>
            <w:left w:val="none" w:sz="0" w:space="0" w:color="auto"/>
            <w:bottom w:val="none" w:sz="0" w:space="0" w:color="auto"/>
            <w:right w:val="none" w:sz="0" w:space="0" w:color="auto"/>
          </w:divBdr>
        </w:div>
        <w:div w:id="1156258593">
          <w:marLeft w:val="360"/>
          <w:marRight w:val="0"/>
          <w:marTop w:val="86"/>
          <w:marBottom w:val="0"/>
          <w:divBdr>
            <w:top w:val="none" w:sz="0" w:space="0" w:color="auto"/>
            <w:left w:val="none" w:sz="0" w:space="0" w:color="auto"/>
            <w:bottom w:val="none" w:sz="0" w:space="0" w:color="auto"/>
            <w:right w:val="none" w:sz="0" w:space="0" w:color="auto"/>
          </w:divBdr>
        </w:div>
        <w:div w:id="29917021">
          <w:marLeft w:val="360"/>
          <w:marRight w:val="0"/>
          <w:marTop w:val="86"/>
          <w:marBottom w:val="0"/>
          <w:divBdr>
            <w:top w:val="none" w:sz="0" w:space="0" w:color="auto"/>
            <w:left w:val="none" w:sz="0" w:space="0" w:color="auto"/>
            <w:bottom w:val="none" w:sz="0" w:space="0" w:color="auto"/>
            <w:right w:val="none" w:sz="0" w:space="0" w:color="auto"/>
          </w:divBdr>
        </w:div>
        <w:div w:id="63261742">
          <w:marLeft w:val="360"/>
          <w:marRight w:val="0"/>
          <w:marTop w:val="86"/>
          <w:marBottom w:val="0"/>
          <w:divBdr>
            <w:top w:val="none" w:sz="0" w:space="0" w:color="auto"/>
            <w:left w:val="none" w:sz="0" w:space="0" w:color="auto"/>
            <w:bottom w:val="none" w:sz="0" w:space="0" w:color="auto"/>
            <w:right w:val="none" w:sz="0" w:space="0" w:color="auto"/>
          </w:divBdr>
        </w:div>
        <w:div w:id="1704208638">
          <w:marLeft w:val="360"/>
          <w:marRight w:val="0"/>
          <w:marTop w:val="86"/>
          <w:marBottom w:val="0"/>
          <w:divBdr>
            <w:top w:val="none" w:sz="0" w:space="0" w:color="auto"/>
            <w:left w:val="none" w:sz="0" w:space="0" w:color="auto"/>
            <w:bottom w:val="none" w:sz="0" w:space="0" w:color="auto"/>
            <w:right w:val="none" w:sz="0" w:space="0" w:color="auto"/>
          </w:divBdr>
        </w:div>
      </w:divsChild>
    </w:div>
    <w:div w:id="1698307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36CD1-A06B-4828-8FFC-1E3164B38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10310</Words>
  <Characters>58768</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Jacobs</dc:creator>
  <cp:keywords/>
  <dc:description/>
  <cp:lastModifiedBy>Ulinda Kritzinger</cp:lastModifiedBy>
  <cp:revision>2</cp:revision>
  <dcterms:created xsi:type="dcterms:W3CDTF">2022-09-12T14:02:00Z</dcterms:created>
  <dcterms:modified xsi:type="dcterms:W3CDTF">2022-09-12T14:02:00Z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75612e-792a-4e01-a282-15cf1e626282_Enabled">
    <vt:lpwstr>true</vt:lpwstr>
  </property>
  <property fmtid="{D5CDD505-2E9C-101B-9397-08002B2CF9AE}" pid="3" name="MSIP_Label_af75612e-792a-4e01-a282-15cf1e626282_SetDate">
    <vt:lpwstr>2022-09-05T15:04:52Z</vt:lpwstr>
  </property>
  <property fmtid="{D5CDD505-2E9C-101B-9397-08002B2CF9AE}" pid="4" name="MSIP_Label_af75612e-792a-4e01-a282-15cf1e626282_Method">
    <vt:lpwstr>Standard</vt:lpwstr>
  </property>
  <property fmtid="{D5CDD505-2E9C-101B-9397-08002B2CF9AE}" pid="5" name="MSIP_Label_af75612e-792a-4e01-a282-15cf1e626282_Name">
    <vt:lpwstr>Public</vt:lpwstr>
  </property>
  <property fmtid="{D5CDD505-2E9C-101B-9397-08002B2CF9AE}" pid="6" name="MSIP_Label_af75612e-792a-4e01-a282-15cf1e626282_SiteId">
    <vt:lpwstr>1c5235b3-a463-4a01-96a7-dc2634b2aa74</vt:lpwstr>
  </property>
  <property fmtid="{D5CDD505-2E9C-101B-9397-08002B2CF9AE}" pid="7" name="MSIP_Label_af75612e-792a-4e01-a282-15cf1e626282_ActionId">
    <vt:lpwstr>2966cef5-862a-42d4-b1bb-03901cd59e89</vt:lpwstr>
  </property>
  <property fmtid="{D5CDD505-2E9C-101B-9397-08002B2CF9AE}" pid="8" name="MSIP_Label_af75612e-792a-4e01-a282-15cf1e626282_ContentBits">
    <vt:lpwstr>0</vt:lpwstr>
  </property>
</Properties>
</file>