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5C" w:rsidRPr="006C03F2" w:rsidRDefault="00292186" w:rsidP="006C03F2">
      <w:pPr>
        <w:spacing w:after="0" w:line="240" w:lineRule="auto"/>
        <w:rPr>
          <w:rFonts w:ascii="Arial" w:hAnsi="Arial" w:cs="Arial"/>
          <w:b/>
          <w:sz w:val="20"/>
          <w:szCs w:val="20"/>
          <w:lang w:val="en-ZA"/>
        </w:rPr>
      </w:pPr>
      <w:r w:rsidRPr="006C03F2">
        <w:rPr>
          <w:rFonts w:ascii="Arial" w:hAnsi="Arial" w:cs="Arial"/>
          <w:b/>
          <w:sz w:val="20"/>
          <w:szCs w:val="20"/>
          <w:lang w:val="en-ZA"/>
        </w:rPr>
        <w:t>Report of the Joint Standing Committee on the Financial Management o</w:t>
      </w:r>
      <w:r w:rsidR="002563F2" w:rsidRPr="006C03F2">
        <w:rPr>
          <w:rFonts w:ascii="Arial" w:hAnsi="Arial" w:cs="Arial"/>
          <w:b/>
          <w:sz w:val="20"/>
          <w:szCs w:val="20"/>
          <w:lang w:val="en-ZA"/>
        </w:rPr>
        <w:t>f</w:t>
      </w:r>
      <w:r w:rsidR="00702B77" w:rsidRPr="006C03F2">
        <w:rPr>
          <w:rFonts w:ascii="Arial" w:hAnsi="Arial" w:cs="Arial"/>
          <w:b/>
          <w:sz w:val="20"/>
          <w:szCs w:val="20"/>
          <w:lang w:val="en-ZA"/>
        </w:rPr>
        <w:t xml:space="preserve"> Parliament on the Parl</w:t>
      </w:r>
      <w:r w:rsidRPr="006C03F2">
        <w:rPr>
          <w:rFonts w:ascii="Arial" w:hAnsi="Arial" w:cs="Arial"/>
          <w:b/>
          <w:sz w:val="20"/>
          <w:szCs w:val="20"/>
          <w:lang w:val="en-ZA"/>
        </w:rPr>
        <w:t>iament of the Republic of South Africa’s</w:t>
      </w:r>
      <w:r w:rsidR="001515DA" w:rsidRPr="006C03F2">
        <w:rPr>
          <w:rFonts w:ascii="Arial" w:hAnsi="Arial" w:cs="Arial"/>
          <w:b/>
          <w:sz w:val="20"/>
          <w:szCs w:val="20"/>
          <w:lang w:val="en-ZA"/>
        </w:rPr>
        <w:t xml:space="preserve"> </w:t>
      </w:r>
      <w:r w:rsidR="00B467AD" w:rsidRPr="006C03F2">
        <w:rPr>
          <w:rFonts w:ascii="Arial" w:hAnsi="Arial" w:cs="Arial"/>
          <w:b/>
          <w:sz w:val="20"/>
          <w:szCs w:val="20"/>
          <w:lang w:val="en-ZA"/>
        </w:rPr>
        <w:t>2021/22 Fourth</w:t>
      </w:r>
      <w:r w:rsidR="009940D8" w:rsidRPr="006C03F2">
        <w:rPr>
          <w:rFonts w:ascii="Arial" w:hAnsi="Arial" w:cs="Arial"/>
          <w:b/>
          <w:sz w:val="20"/>
          <w:szCs w:val="20"/>
          <w:lang w:val="en-ZA"/>
        </w:rPr>
        <w:t xml:space="preserve"> Quarter Report</w:t>
      </w:r>
      <w:r w:rsidRPr="006C03F2">
        <w:rPr>
          <w:rFonts w:ascii="Arial" w:hAnsi="Arial" w:cs="Arial"/>
          <w:b/>
          <w:sz w:val="20"/>
          <w:szCs w:val="20"/>
          <w:lang w:val="en-ZA"/>
        </w:rPr>
        <w:t xml:space="preserve">, dated </w:t>
      </w:r>
      <w:r w:rsidR="00FE6D82" w:rsidRPr="006C03F2">
        <w:rPr>
          <w:rFonts w:ascii="Arial" w:hAnsi="Arial" w:cs="Arial"/>
          <w:b/>
          <w:sz w:val="20"/>
          <w:szCs w:val="20"/>
          <w:lang w:val="en-ZA"/>
        </w:rPr>
        <w:t>2 September 2022</w:t>
      </w:r>
    </w:p>
    <w:p w:rsidR="00B467AD" w:rsidRPr="006C03F2" w:rsidRDefault="00B467AD" w:rsidP="006C03F2">
      <w:pPr>
        <w:spacing w:after="0" w:line="240" w:lineRule="auto"/>
        <w:rPr>
          <w:rFonts w:ascii="Arial" w:hAnsi="Arial" w:cs="Arial"/>
          <w:sz w:val="20"/>
          <w:szCs w:val="20"/>
          <w:lang w:val="en-ZA"/>
        </w:rPr>
      </w:pPr>
    </w:p>
    <w:p w:rsidR="004826C1" w:rsidRPr="006C03F2" w:rsidRDefault="00CC7C5C" w:rsidP="006C03F2">
      <w:pPr>
        <w:spacing w:after="0" w:line="240" w:lineRule="auto"/>
        <w:rPr>
          <w:rFonts w:ascii="Arial" w:hAnsi="Arial" w:cs="Arial"/>
          <w:sz w:val="20"/>
          <w:szCs w:val="20"/>
          <w:lang w:val="en-ZA"/>
        </w:rPr>
      </w:pPr>
      <w:r w:rsidRPr="006C03F2">
        <w:rPr>
          <w:rFonts w:ascii="Arial" w:hAnsi="Arial" w:cs="Arial"/>
          <w:sz w:val="20"/>
          <w:szCs w:val="20"/>
          <w:lang w:val="en-ZA"/>
        </w:rPr>
        <w:t xml:space="preserve">The Joint Standing Committee on the Financial </w:t>
      </w:r>
      <w:r w:rsidR="00702B77" w:rsidRPr="006C03F2">
        <w:rPr>
          <w:rFonts w:ascii="Arial" w:hAnsi="Arial" w:cs="Arial"/>
          <w:sz w:val="20"/>
          <w:szCs w:val="20"/>
          <w:lang w:val="en-ZA"/>
        </w:rPr>
        <w:t xml:space="preserve">Management of Parliament </w:t>
      </w:r>
      <w:r w:rsidRPr="006C03F2">
        <w:rPr>
          <w:rFonts w:ascii="Arial" w:hAnsi="Arial" w:cs="Arial"/>
          <w:sz w:val="20"/>
          <w:szCs w:val="20"/>
          <w:lang w:val="en-ZA"/>
        </w:rPr>
        <w:t>having considered the Parliament of the</w:t>
      </w:r>
      <w:r w:rsidR="001515DA" w:rsidRPr="006C03F2">
        <w:rPr>
          <w:rFonts w:ascii="Arial" w:hAnsi="Arial" w:cs="Arial"/>
          <w:sz w:val="20"/>
          <w:szCs w:val="20"/>
          <w:lang w:val="en-ZA"/>
        </w:rPr>
        <w:t xml:space="preserve"> Republic of South Africa’s </w:t>
      </w:r>
      <w:r w:rsidR="00B467AD" w:rsidRPr="006C03F2">
        <w:rPr>
          <w:rFonts w:ascii="Arial" w:hAnsi="Arial" w:cs="Arial"/>
          <w:sz w:val="20"/>
          <w:szCs w:val="20"/>
          <w:lang w:val="en-ZA"/>
        </w:rPr>
        <w:t>performance in the fourth</w:t>
      </w:r>
      <w:r w:rsidR="009940D8" w:rsidRPr="006C03F2">
        <w:rPr>
          <w:rFonts w:ascii="Arial" w:hAnsi="Arial" w:cs="Arial"/>
          <w:sz w:val="20"/>
          <w:szCs w:val="20"/>
          <w:lang w:val="en-ZA"/>
        </w:rPr>
        <w:t xml:space="preserve"> quarter of 2021/22, </w:t>
      </w:r>
      <w:r w:rsidRPr="006C03F2">
        <w:rPr>
          <w:rFonts w:ascii="Arial" w:hAnsi="Arial" w:cs="Arial"/>
          <w:sz w:val="20"/>
          <w:szCs w:val="20"/>
          <w:lang w:val="en-ZA"/>
        </w:rPr>
        <w:t>reports as follows:</w:t>
      </w:r>
    </w:p>
    <w:p w:rsidR="00CC7C5C" w:rsidRPr="006C03F2" w:rsidRDefault="00CC7C5C" w:rsidP="006C03F2">
      <w:pPr>
        <w:spacing w:after="0" w:line="240" w:lineRule="auto"/>
        <w:rPr>
          <w:rFonts w:ascii="Arial" w:hAnsi="Arial" w:cs="Arial"/>
          <w:b/>
          <w:sz w:val="20"/>
          <w:szCs w:val="20"/>
          <w:lang w:val="en-ZA"/>
        </w:rPr>
      </w:pPr>
      <w:r w:rsidRPr="006C03F2">
        <w:rPr>
          <w:rFonts w:ascii="Arial" w:hAnsi="Arial" w:cs="Arial"/>
          <w:b/>
          <w:sz w:val="20"/>
          <w:szCs w:val="20"/>
          <w:lang w:val="en-ZA"/>
        </w:rPr>
        <w:t>1.</w:t>
      </w:r>
      <w:r w:rsidRPr="006C03F2">
        <w:rPr>
          <w:rFonts w:ascii="Arial" w:hAnsi="Arial" w:cs="Arial"/>
          <w:b/>
          <w:sz w:val="20"/>
          <w:szCs w:val="20"/>
          <w:lang w:val="en-ZA"/>
        </w:rPr>
        <w:tab/>
      </w:r>
      <w:r w:rsidR="001C4E9F" w:rsidRPr="006C03F2">
        <w:rPr>
          <w:rFonts w:ascii="Arial" w:hAnsi="Arial" w:cs="Arial"/>
          <w:b/>
          <w:sz w:val="20"/>
          <w:szCs w:val="20"/>
          <w:lang w:val="en-ZA"/>
        </w:rPr>
        <w:t>Introduction</w:t>
      </w:r>
    </w:p>
    <w:p w:rsidR="00CC7C5C" w:rsidRPr="006C03F2" w:rsidRDefault="00CC7C5C"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1.1</w:t>
      </w:r>
      <w:r w:rsidRPr="006C03F2">
        <w:rPr>
          <w:rFonts w:ascii="Arial" w:hAnsi="Arial" w:cs="Arial"/>
          <w:sz w:val="20"/>
          <w:szCs w:val="20"/>
          <w:lang w:val="en-ZA"/>
        </w:rPr>
        <w:tab/>
        <w:t>Section 4 of the Financial Management of Parliament a</w:t>
      </w:r>
      <w:r w:rsidR="00DF53BA" w:rsidRPr="006C03F2">
        <w:rPr>
          <w:rFonts w:ascii="Arial" w:hAnsi="Arial" w:cs="Arial"/>
          <w:sz w:val="20"/>
          <w:szCs w:val="20"/>
          <w:lang w:val="en-ZA"/>
        </w:rPr>
        <w:t>nd Provincial Legislatures Act, No</w:t>
      </w:r>
      <w:r w:rsidR="00891ED2" w:rsidRPr="006C03F2">
        <w:rPr>
          <w:rFonts w:ascii="Arial" w:hAnsi="Arial" w:cs="Arial"/>
          <w:sz w:val="20"/>
          <w:szCs w:val="20"/>
          <w:lang w:val="en-ZA"/>
        </w:rPr>
        <w:t>.</w:t>
      </w:r>
      <w:r w:rsidR="00DF53BA" w:rsidRPr="006C03F2">
        <w:rPr>
          <w:rFonts w:ascii="Arial" w:hAnsi="Arial" w:cs="Arial"/>
          <w:sz w:val="20"/>
          <w:szCs w:val="20"/>
          <w:lang w:val="en-ZA"/>
        </w:rPr>
        <w:t xml:space="preserve"> 10 of 2009 (the FMPPLA)</w:t>
      </w:r>
      <w:r w:rsidRPr="006C03F2">
        <w:rPr>
          <w:rFonts w:ascii="Arial" w:hAnsi="Arial" w:cs="Arial"/>
          <w:sz w:val="20"/>
          <w:szCs w:val="20"/>
          <w:lang w:val="en-ZA"/>
        </w:rPr>
        <w:t xml:space="preserve"> provides for the establishment of an oversight mechanism to maintain oversight of the financial management of Parliament. The Joint Standing Committee on the Financial Management of Parliament (the Committee) was established in terms of the Joint Rules of Parliament. The Committee has the powers afforded to parliamentary committees under sections 56 and 69 of the Constitution</w:t>
      </w:r>
      <w:r w:rsidR="00EB2402" w:rsidRPr="006C03F2">
        <w:rPr>
          <w:rFonts w:ascii="Arial" w:hAnsi="Arial" w:cs="Arial"/>
          <w:sz w:val="20"/>
          <w:szCs w:val="20"/>
          <w:lang w:val="en-ZA"/>
        </w:rPr>
        <w:t xml:space="preserve"> of the Republic of South Africa, 1996 (the Constitution)</w:t>
      </w:r>
      <w:r w:rsidRPr="006C03F2">
        <w:rPr>
          <w:rFonts w:ascii="Arial" w:hAnsi="Arial" w:cs="Arial"/>
          <w:sz w:val="20"/>
          <w:szCs w:val="20"/>
          <w:lang w:val="en-ZA"/>
        </w:rPr>
        <w:t xml:space="preserve">. </w:t>
      </w:r>
    </w:p>
    <w:p w:rsidR="00702B77" w:rsidRPr="006C03F2" w:rsidRDefault="00702B77"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1.2</w:t>
      </w:r>
      <w:r w:rsidRPr="006C03F2">
        <w:rPr>
          <w:rFonts w:ascii="Arial" w:hAnsi="Arial" w:cs="Arial"/>
          <w:sz w:val="20"/>
          <w:szCs w:val="20"/>
          <w:lang w:val="en-ZA"/>
        </w:rPr>
        <w:tab/>
        <w:t>Section 52 of the FMPPLA requires that the accounting officer must, within 30 days of the end of each quarter, report to the Executive Authority on Parliament’s quarterly performance in respect of the implementation of the Annual Performance Plan (APP). The Executive Authority in turn, and in terms of section 54 of the FMPPLA, must table each quarterly report</w:t>
      </w:r>
      <w:r w:rsidR="005E2260" w:rsidRPr="006C03F2">
        <w:rPr>
          <w:rFonts w:ascii="Arial" w:hAnsi="Arial" w:cs="Arial"/>
          <w:sz w:val="20"/>
          <w:szCs w:val="20"/>
          <w:lang w:val="en-ZA"/>
        </w:rPr>
        <w:t xml:space="preserve"> within</w:t>
      </w:r>
      <w:r w:rsidRPr="006C03F2">
        <w:rPr>
          <w:rFonts w:ascii="Arial" w:hAnsi="Arial" w:cs="Arial"/>
          <w:sz w:val="20"/>
          <w:szCs w:val="20"/>
          <w:lang w:val="en-ZA"/>
        </w:rPr>
        <w:t xml:space="preserve"> five working days of receiving it</w:t>
      </w:r>
      <w:r w:rsidR="005E2260" w:rsidRPr="006C03F2">
        <w:rPr>
          <w:rFonts w:ascii="Arial" w:hAnsi="Arial" w:cs="Arial"/>
          <w:sz w:val="20"/>
          <w:szCs w:val="20"/>
          <w:lang w:val="en-ZA"/>
        </w:rPr>
        <w:t>,</w:t>
      </w:r>
      <w:r w:rsidRPr="006C03F2">
        <w:rPr>
          <w:rFonts w:ascii="Arial" w:hAnsi="Arial" w:cs="Arial"/>
          <w:sz w:val="20"/>
          <w:szCs w:val="20"/>
          <w:lang w:val="en-ZA"/>
        </w:rPr>
        <w:t xml:space="preserve"> for the consideration of the oversight mechanism i.e. the J</w:t>
      </w:r>
      <w:r w:rsidR="009940D8" w:rsidRPr="006C03F2">
        <w:rPr>
          <w:rFonts w:ascii="Arial" w:hAnsi="Arial" w:cs="Arial"/>
          <w:sz w:val="20"/>
          <w:szCs w:val="20"/>
          <w:lang w:val="en-ZA"/>
        </w:rPr>
        <w:t xml:space="preserve">oint </w:t>
      </w:r>
      <w:r w:rsidRPr="006C03F2">
        <w:rPr>
          <w:rFonts w:ascii="Arial" w:hAnsi="Arial" w:cs="Arial"/>
          <w:sz w:val="20"/>
          <w:szCs w:val="20"/>
          <w:lang w:val="en-ZA"/>
        </w:rPr>
        <w:t>S</w:t>
      </w:r>
      <w:r w:rsidR="009940D8" w:rsidRPr="006C03F2">
        <w:rPr>
          <w:rFonts w:ascii="Arial" w:hAnsi="Arial" w:cs="Arial"/>
          <w:sz w:val="20"/>
          <w:szCs w:val="20"/>
          <w:lang w:val="en-ZA"/>
        </w:rPr>
        <w:t xml:space="preserve">tanding </w:t>
      </w:r>
      <w:r w:rsidRPr="006C03F2">
        <w:rPr>
          <w:rFonts w:ascii="Arial" w:hAnsi="Arial" w:cs="Arial"/>
          <w:sz w:val="20"/>
          <w:szCs w:val="20"/>
          <w:lang w:val="en-ZA"/>
        </w:rPr>
        <w:t>C</w:t>
      </w:r>
      <w:r w:rsidR="009940D8" w:rsidRPr="006C03F2">
        <w:rPr>
          <w:rFonts w:ascii="Arial" w:hAnsi="Arial" w:cs="Arial"/>
          <w:sz w:val="20"/>
          <w:szCs w:val="20"/>
          <w:lang w:val="en-ZA"/>
        </w:rPr>
        <w:t>ommittee on the</w:t>
      </w:r>
      <w:r w:rsidRPr="006C03F2">
        <w:rPr>
          <w:rFonts w:ascii="Arial" w:hAnsi="Arial" w:cs="Arial"/>
          <w:sz w:val="20"/>
          <w:szCs w:val="20"/>
          <w:lang w:val="en-ZA"/>
        </w:rPr>
        <w:t xml:space="preserve"> Financial Management </w:t>
      </w:r>
      <w:r w:rsidR="00C83974" w:rsidRPr="006C03F2">
        <w:rPr>
          <w:rFonts w:ascii="Arial" w:hAnsi="Arial" w:cs="Arial"/>
          <w:sz w:val="20"/>
          <w:szCs w:val="20"/>
          <w:lang w:val="en-ZA"/>
        </w:rPr>
        <w:t>of Parliament. The 2021/22</w:t>
      </w:r>
      <w:r w:rsidR="00B467AD" w:rsidRPr="006C03F2">
        <w:rPr>
          <w:rFonts w:ascii="Arial" w:hAnsi="Arial" w:cs="Arial"/>
          <w:sz w:val="20"/>
          <w:szCs w:val="20"/>
          <w:lang w:val="en-ZA"/>
        </w:rPr>
        <w:t xml:space="preserve"> Fourth</w:t>
      </w:r>
      <w:r w:rsidR="009940D8" w:rsidRPr="006C03F2">
        <w:rPr>
          <w:rFonts w:ascii="Arial" w:hAnsi="Arial" w:cs="Arial"/>
          <w:sz w:val="20"/>
          <w:szCs w:val="20"/>
          <w:lang w:val="en-ZA"/>
        </w:rPr>
        <w:t xml:space="preserve"> Quarter report was accordingly</w:t>
      </w:r>
      <w:r w:rsidR="005E2260" w:rsidRPr="006C03F2">
        <w:rPr>
          <w:rFonts w:ascii="Arial" w:hAnsi="Arial" w:cs="Arial"/>
          <w:sz w:val="20"/>
          <w:szCs w:val="20"/>
          <w:lang w:val="en-ZA"/>
        </w:rPr>
        <w:t xml:space="preserve"> tabled</w:t>
      </w:r>
      <w:r w:rsidRPr="006C03F2">
        <w:rPr>
          <w:rFonts w:ascii="Arial" w:hAnsi="Arial" w:cs="Arial"/>
          <w:sz w:val="20"/>
          <w:szCs w:val="20"/>
          <w:lang w:val="en-ZA"/>
        </w:rPr>
        <w:t xml:space="preserve"> on </w:t>
      </w:r>
      <w:r w:rsidR="008051A7" w:rsidRPr="006C03F2">
        <w:rPr>
          <w:rFonts w:ascii="Arial" w:hAnsi="Arial" w:cs="Arial"/>
          <w:sz w:val="20"/>
          <w:szCs w:val="20"/>
          <w:lang w:val="en-ZA"/>
        </w:rPr>
        <w:t xml:space="preserve">4 May </w:t>
      </w:r>
      <w:r w:rsidR="00C83974" w:rsidRPr="006C03F2">
        <w:rPr>
          <w:rFonts w:ascii="Arial" w:hAnsi="Arial" w:cs="Arial"/>
          <w:sz w:val="20"/>
          <w:szCs w:val="20"/>
          <w:lang w:val="en-ZA"/>
        </w:rPr>
        <w:t>2022.</w:t>
      </w:r>
    </w:p>
    <w:p w:rsidR="00CC7C5C" w:rsidRPr="006C03F2" w:rsidRDefault="00702B77"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1.3</w:t>
      </w:r>
      <w:r w:rsidRPr="006C03F2">
        <w:rPr>
          <w:rFonts w:ascii="Arial" w:hAnsi="Arial" w:cs="Arial"/>
          <w:sz w:val="20"/>
          <w:szCs w:val="20"/>
          <w:lang w:val="en-ZA"/>
        </w:rPr>
        <w:tab/>
      </w:r>
      <w:r w:rsidR="001515DA" w:rsidRPr="006C03F2">
        <w:rPr>
          <w:rFonts w:ascii="Arial" w:hAnsi="Arial" w:cs="Arial"/>
          <w:sz w:val="20"/>
          <w:szCs w:val="20"/>
          <w:lang w:val="en-ZA"/>
        </w:rPr>
        <w:t>The senior management team</w:t>
      </w:r>
      <w:r w:rsidR="009940D8" w:rsidRPr="006C03F2">
        <w:rPr>
          <w:rFonts w:ascii="Arial" w:hAnsi="Arial" w:cs="Arial"/>
          <w:sz w:val="20"/>
          <w:szCs w:val="20"/>
          <w:lang w:val="en-ZA"/>
        </w:rPr>
        <w:t>, led by the</w:t>
      </w:r>
      <w:r w:rsidR="00B467AD" w:rsidRPr="006C03F2">
        <w:rPr>
          <w:rFonts w:ascii="Arial" w:hAnsi="Arial" w:cs="Arial"/>
          <w:sz w:val="20"/>
          <w:szCs w:val="20"/>
          <w:lang w:val="en-ZA"/>
        </w:rPr>
        <w:t xml:space="preserve"> acting Secretary to Parliament,</w:t>
      </w:r>
      <w:r w:rsidR="001515DA" w:rsidRPr="006C03F2">
        <w:rPr>
          <w:rFonts w:ascii="Arial" w:hAnsi="Arial" w:cs="Arial"/>
          <w:sz w:val="20"/>
          <w:szCs w:val="20"/>
          <w:lang w:val="en-ZA"/>
        </w:rPr>
        <w:t xml:space="preserve"> </w:t>
      </w:r>
      <w:r w:rsidR="00CC7C5C" w:rsidRPr="006C03F2">
        <w:rPr>
          <w:rFonts w:ascii="Arial" w:hAnsi="Arial" w:cs="Arial"/>
          <w:sz w:val="20"/>
          <w:szCs w:val="20"/>
          <w:lang w:val="en-ZA"/>
        </w:rPr>
        <w:t xml:space="preserve">appeared before the Committee in a meeting held on </w:t>
      </w:r>
      <w:r w:rsidR="00B467AD" w:rsidRPr="006C03F2">
        <w:rPr>
          <w:rFonts w:ascii="Arial" w:hAnsi="Arial" w:cs="Arial"/>
          <w:sz w:val="20"/>
          <w:szCs w:val="20"/>
          <w:lang w:val="en-ZA"/>
        </w:rPr>
        <w:t xml:space="preserve">3 June 2022 during which </w:t>
      </w:r>
      <w:r w:rsidR="00825CB7" w:rsidRPr="006C03F2">
        <w:rPr>
          <w:rFonts w:ascii="Arial" w:hAnsi="Arial" w:cs="Arial"/>
          <w:sz w:val="20"/>
          <w:szCs w:val="20"/>
          <w:lang w:val="en-ZA"/>
        </w:rPr>
        <w:t>the institution’s performance in the perio</w:t>
      </w:r>
      <w:r w:rsidR="009940D8" w:rsidRPr="006C03F2">
        <w:rPr>
          <w:rFonts w:ascii="Arial" w:hAnsi="Arial" w:cs="Arial"/>
          <w:sz w:val="20"/>
          <w:szCs w:val="20"/>
          <w:lang w:val="en-ZA"/>
        </w:rPr>
        <w:t>d under review was interrogated.</w:t>
      </w:r>
    </w:p>
    <w:p w:rsidR="00B467AD" w:rsidRPr="006C03F2" w:rsidRDefault="00702B77"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1.4</w:t>
      </w:r>
      <w:r w:rsidR="00CC7C5C" w:rsidRPr="006C03F2">
        <w:rPr>
          <w:rFonts w:ascii="Arial" w:hAnsi="Arial" w:cs="Arial"/>
          <w:sz w:val="20"/>
          <w:szCs w:val="20"/>
          <w:lang w:val="en-ZA"/>
        </w:rPr>
        <w:tab/>
      </w:r>
      <w:r w:rsidR="00FE6D82" w:rsidRPr="006C03F2">
        <w:rPr>
          <w:rFonts w:ascii="Arial" w:hAnsi="Arial" w:cs="Arial"/>
          <w:sz w:val="20"/>
          <w:szCs w:val="20"/>
          <w:lang w:val="en-ZA"/>
        </w:rPr>
        <w:t>This report comprises four</w:t>
      </w:r>
      <w:r w:rsidR="00B467AD" w:rsidRPr="006C03F2">
        <w:rPr>
          <w:rFonts w:ascii="Arial" w:hAnsi="Arial" w:cs="Arial"/>
          <w:sz w:val="20"/>
          <w:szCs w:val="20"/>
          <w:lang w:val="en-ZA"/>
        </w:rPr>
        <w:t xml:space="preserve"> parts: Part A, containing the background to the third quarter performance report; Part B, a summary of the institution’s financial and performance information for the period under review; Part C, the Committee’s observations; and Part D, the Committee’s recommendations.</w:t>
      </w:r>
    </w:p>
    <w:p w:rsidR="00CC7C5C" w:rsidRPr="006C03F2" w:rsidRDefault="00B467AD"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1.5</w:t>
      </w:r>
      <w:r w:rsidRPr="006C03F2">
        <w:rPr>
          <w:rFonts w:ascii="Arial" w:hAnsi="Arial" w:cs="Arial"/>
          <w:sz w:val="20"/>
          <w:szCs w:val="20"/>
          <w:lang w:val="en-ZA"/>
        </w:rPr>
        <w:tab/>
      </w:r>
      <w:r w:rsidR="00CC7C5C" w:rsidRPr="006C03F2">
        <w:rPr>
          <w:rFonts w:ascii="Arial" w:hAnsi="Arial" w:cs="Arial"/>
          <w:sz w:val="20"/>
          <w:szCs w:val="20"/>
          <w:lang w:val="en-ZA"/>
        </w:rPr>
        <w:t xml:space="preserve">This report should be read along with Parliament’s </w:t>
      </w:r>
      <w:r w:rsidR="00D17DD4" w:rsidRPr="006C03F2">
        <w:rPr>
          <w:rFonts w:ascii="Arial" w:hAnsi="Arial" w:cs="Arial"/>
          <w:sz w:val="20"/>
          <w:szCs w:val="20"/>
          <w:lang w:val="en-ZA"/>
        </w:rPr>
        <w:t>Strategic Plan</w:t>
      </w:r>
      <w:r w:rsidR="009940D8" w:rsidRPr="006C03F2">
        <w:rPr>
          <w:rFonts w:ascii="Arial" w:hAnsi="Arial" w:cs="Arial"/>
          <w:sz w:val="20"/>
          <w:szCs w:val="20"/>
          <w:lang w:val="en-ZA"/>
        </w:rPr>
        <w:t xml:space="preserve"> for 2019-2024</w:t>
      </w:r>
      <w:r w:rsidR="00D17DD4" w:rsidRPr="006C03F2">
        <w:rPr>
          <w:rFonts w:ascii="Arial" w:hAnsi="Arial" w:cs="Arial"/>
          <w:sz w:val="20"/>
          <w:szCs w:val="20"/>
          <w:lang w:val="en-ZA"/>
        </w:rPr>
        <w:t>, the 2021/22</w:t>
      </w:r>
      <w:r w:rsidR="00CC7C5C" w:rsidRPr="006C03F2">
        <w:rPr>
          <w:rFonts w:ascii="Arial" w:hAnsi="Arial" w:cs="Arial"/>
          <w:sz w:val="20"/>
          <w:szCs w:val="20"/>
          <w:lang w:val="en-ZA"/>
        </w:rPr>
        <w:t xml:space="preserve"> </w:t>
      </w:r>
      <w:r w:rsidR="00825CB7" w:rsidRPr="006C03F2">
        <w:rPr>
          <w:rFonts w:ascii="Arial" w:hAnsi="Arial" w:cs="Arial"/>
          <w:sz w:val="20"/>
          <w:szCs w:val="20"/>
          <w:lang w:val="en-ZA"/>
        </w:rPr>
        <w:t>APP</w:t>
      </w:r>
      <w:r w:rsidR="00702B77" w:rsidRPr="006C03F2">
        <w:rPr>
          <w:rFonts w:ascii="Arial" w:hAnsi="Arial" w:cs="Arial"/>
          <w:sz w:val="20"/>
          <w:szCs w:val="20"/>
          <w:lang w:val="en-ZA"/>
        </w:rPr>
        <w:t xml:space="preserve"> and budget, and the Committee’s report</w:t>
      </w:r>
      <w:r w:rsidR="00D17DD4" w:rsidRPr="006C03F2">
        <w:rPr>
          <w:rFonts w:ascii="Arial" w:hAnsi="Arial" w:cs="Arial"/>
          <w:sz w:val="20"/>
          <w:szCs w:val="20"/>
          <w:lang w:val="en-ZA"/>
        </w:rPr>
        <w:t>s</w:t>
      </w:r>
      <w:r w:rsidR="00702B77" w:rsidRPr="006C03F2">
        <w:rPr>
          <w:rFonts w:ascii="Arial" w:hAnsi="Arial" w:cs="Arial"/>
          <w:sz w:val="20"/>
          <w:szCs w:val="20"/>
          <w:lang w:val="en-ZA"/>
        </w:rPr>
        <w:t xml:space="preserve"> in respect thereof.</w:t>
      </w:r>
    </w:p>
    <w:p w:rsidR="002213A3" w:rsidRPr="006C03F2" w:rsidRDefault="002213A3" w:rsidP="006C03F2">
      <w:pPr>
        <w:spacing w:after="0" w:line="240" w:lineRule="auto"/>
        <w:rPr>
          <w:rFonts w:ascii="Arial" w:hAnsi="Arial" w:cs="Arial"/>
          <w:bCs/>
          <w:sz w:val="20"/>
          <w:szCs w:val="20"/>
          <w:lang w:val="en-ZA"/>
        </w:rPr>
      </w:pPr>
    </w:p>
    <w:p w:rsidR="00D375ED" w:rsidRPr="006C03F2" w:rsidRDefault="00D375ED" w:rsidP="006C03F2">
      <w:pPr>
        <w:spacing w:after="0" w:line="240" w:lineRule="auto"/>
        <w:rPr>
          <w:rFonts w:ascii="Arial" w:hAnsi="Arial" w:cs="Arial"/>
          <w:b/>
          <w:bCs/>
          <w:sz w:val="20"/>
          <w:szCs w:val="20"/>
          <w:lang w:val="en-ZA"/>
        </w:rPr>
      </w:pPr>
      <w:r w:rsidRPr="006C03F2">
        <w:rPr>
          <w:rFonts w:ascii="Arial" w:hAnsi="Arial" w:cs="Arial"/>
          <w:b/>
          <w:bCs/>
          <w:sz w:val="20"/>
          <w:szCs w:val="20"/>
          <w:lang w:val="en-ZA"/>
        </w:rPr>
        <w:t>Part A</w:t>
      </w:r>
    </w:p>
    <w:p w:rsidR="003F283C" w:rsidRPr="006C03F2" w:rsidRDefault="003F283C" w:rsidP="006C03F2">
      <w:pPr>
        <w:spacing w:after="0" w:line="240" w:lineRule="auto"/>
        <w:rPr>
          <w:rFonts w:ascii="Arial" w:hAnsi="Arial" w:cs="Arial"/>
          <w:bCs/>
          <w:sz w:val="20"/>
          <w:szCs w:val="20"/>
          <w:lang w:val="en-ZA"/>
        </w:rPr>
      </w:pPr>
    </w:p>
    <w:p w:rsidR="00FD461F" w:rsidRPr="006C03F2" w:rsidRDefault="00057CD9" w:rsidP="006C03F2">
      <w:pPr>
        <w:spacing w:after="0" w:line="240" w:lineRule="auto"/>
        <w:rPr>
          <w:rFonts w:ascii="Arial" w:hAnsi="Arial" w:cs="Arial"/>
          <w:b/>
          <w:bCs/>
          <w:sz w:val="20"/>
          <w:szCs w:val="20"/>
          <w:lang w:val="en-ZA"/>
        </w:rPr>
      </w:pPr>
      <w:r w:rsidRPr="006C03F2">
        <w:rPr>
          <w:rFonts w:ascii="Arial" w:hAnsi="Arial" w:cs="Arial"/>
          <w:b/>
          <w:bCs/>
          <w:sz w:val="20"/>
          <w:szCs w:val="20"/>
          <w:lang w:val="en-ZA"/>
        </w:rPr>
        <w:t>2.</w:t>
      </w:r>
      <w:r w:rsidRPr="006C03F2">
        <w:rPr>
          <w:rFonts w:ascii="Arial" w:hAnsi="Arial" w:cs="Arial"/>
          <w:b/>
          <w:bCs/>
          <w:sz w:val="20"/>
          <w:szCs w:val="20"/>
          <w:lang w:val="en-ZA"/>
        </w:rPr>
        <w:tab/>
      </w:r>
      <w:r w:rsidR="00FD461F" w:rsidRPr="006C03F2">
        <w:rPr>
          <w:rFonts w:ascii="Arial" w:hAnsi="Arial" w:cs="Arial"/>
          <w:b/>
          <w:bCs/>
          <w:sz w:val="20"/>
          <w:szCs w:val="20"/>
          <w:lang w:val="en-ZA"/>
        </w:rPr>
        <w:t>Background</w:t>
      </w:r>
    </w:p>
    <w:p w:rsidR="00FA3B99" w:rsidRPr="006C03F2" w:rsidRDefault="00FA3B99" w:rsidP="006C03F2">
      <w:pPr>
        <w:spacing w:after="0" w:line="240" w:lineRule="auto"/>
        <w:rPr>
          <w:rFonts w:ascii="Arial" w:hAnsi="Arial" w:cs="Arial"/>
          <w:b/>
          <w:sz w:val="20"/>
          <w:szCs w:val="20"/>
          <w:lang w:val="en-ZA"/>
        </w:rPr>
      </w:pPr>
    </w:p>
    <w:p w:rsidR="00057CD9" w:rsidRPr="006C03F2" w:rsidRDefault="00057CD9" w:rsidP="006C03F2">
      <w:pPr>
        <w:spacing w:after="0" w:line="240" w:lineRule="auto"/>
        <w:rPr>
          <w:rFonts w:ascii="Arial" w:hAnsi="Arial" w:cs="Arial"/>
          <w:b/>
          <w:sz w:val="20"/>
          <w:szCs w:val="20"/>
          <w:lang w:val="en-ZA"/>
        </w:rPr>
      </w:pPr>
      <w:r w:rsidRPr="006C03F2">
        <w:rPr>
          <w:rFonts w:ascii="Arial" w:hAnsi="Arial" w:cs="Arial"/>
          <w:b/>
          <w:sz w:val="20"/>
          <w:szCs w:val="20"/>
          <w:lang w:val="en-ZA"/>
        </w:rPr>
        <w:t>2.1</w:t>
      </w:r>
      <w:r w:rsidRPr="006C03F2">
        <w:rPr>
          <w:rFonts w:ascii="Arial" w:hAnsi="Arial" w:cs="Arial"/>
          <w:b/>
          <w:sz w:val="20"/>
          <w:szCs w:val="20"/>
          <w:lang w:val="en-ZA"/>
        </w:rPr>
        <w:tab/>
        <w:t>Mandate</w:t>
      </w:r>
    </w:p>
    <w:p w:rsidR="00057CD9" w:rsidRPr="006C03F2" w:rsidRDefault="00057CD9" w:rsidP="006C03F2">
      <w:pPr>
        <w:spacing w:after="0" w:line="240" w:lineRule="auto"/>
        <w:rPr>
          <w:rFonts w:ascii="Arial" w:hAnsi="Arial" w:cs="Arial"/>
          <w:sz w:val="20"/>
          <w:szCs w:val="20"/>
          <w:lang w:val="en-ZA"/>
        </w:rPr>
      </w:pPr>
      <w:r w:rsidRPr="006C03F2">
        <w:rPr>
          <w:rFonts w:ascii="Arial" w:hAnsi="Arial" w:cs="Arial"/>
          <w:sz w:val="20"/>
          <w:szCs w:val="20"/>
          <w:lang w:val="en-ZA"/>
        </w:rPr>
        <w:t>2.1.1</w:t>
      </w:r>
      <w:r w:rsidRPr="006C03F2">
        <w:rPr>
          <w:rFonts w:ascii="Arial" w:hAnsi="Arial" w:cs="Arial"/>
          <w:sz w:val="20"/>
          <w:szCs w:val="20"/>
          <w:lang w:val="en-ZA"/>
        </w:rPr>
        <w:tab/>
        <w:t>Parliament derives its mandate from:</w:t>
      </w:r>
    </w:p>
    <w:p w:rsidR="00057CD9" w:rsidRPr="006C03F2" w:rsidRDefault="009E67F5" w:rsidP="006C03F2">
      <w:pPr>
        <w:spacing w:after="0" w:line="240" w:lineRule="auto"/>
        <w:ind w:firstLine="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C</w:t>
      </w:r>
      <w:r w:rsidR="00EB2402" w:rsidRPr="006C03F2">
        <w:rPr>
          <w:rFonts w:ascii="Arial" w:hAnsi="Arial" w:cs="Arial"/>
          <w:sz w:val="20"/>
          <w:szCs w:val="20"/>
          <w:lang w:val="en-ZA"/>
        </w:rPr>
        <w:t>hapter 4 of the Constitution;</w:t>
      </w:r>
    </w:p>
    <w:p w:rsidR="00057CD9" w:rsidRPr="006C03F2" w:rsidRDefault="00057CD9" w:rsidP="006C03F2">
      <w:pPr>
        <w:spacing w:after="0" w:line="240" w:lineRule="auto"/>
        <w:ind w:firstLine="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the FMPPLA which regulates the institution’s financial management;</w:t>
      </w:r>
    </w:p>
    <w:p w:rsidR="00057CD9" w:rsidRPr="006C03F2" w:rsidRDefault="00057CD9" w:rsidP="006C03F2">
      <w:pPr>
        <w:spacing w:after="0" w:line="240" w:lineRule="auto"/>
        <w:ind w:left="1440" w:hanging="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 xml:space="preserve">the Money Bills Amendment Procedure and Related Matters Act, 2009 No 9 of 2009 which provides procedures to amend money bills; and </w:t>
      </w:r>
    </w:p>
    <w:p w:rsidR="00057CD9" w:rsidRPr="006C03F2" w:rsidRDefault="00057CD9" w:rsidP="006C03F2">
      <w:pPr>
        <w:spacing w:after="0" w:line="240" w:lineRule="auto"/>
        <w:ind w:left="1440" w:hanging="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the Powers, Privileges and Immunities of Parliament and Provincial Legislatures Act No 4 of 2004 which defines and declares the national and provincial legislatures’ powers, privileges and immunities.</w:t>
      </w:r>
    </w:p>
    <w:p w:rsidR="00057CD9" w:rsidRPr="006C03F2" w:rsidRDefault="00057CD9" w:rsidP="006C03F2">
      <w:pPr>
        <w:spacing w:after="0" w:line="240" w:lineRule="auto"/>
        <w:rPr>
          <w:rFonts w:ascii="Arial" w:hAnsi="Arial" w:cs="Arial"/>
          <w:sz w:val="20"/>
          <w:szCs w:val="20"/>
          <w:lang w:val="en-ZA"/>
        </w:rPr>
      </w:pPr>
    </w:p>
    <w:p w:rsidR="00057CD9" w:rsidRPr="006C03F2" w:rsidRDefault="00057CD9" w:rsidP="006C03F2">
      <w:pPr>
        <w:spacing w:after="0" w:line="240" w:lineRule="auto"/>
        <w:rPr>
          <w:rFonts w:ascii="Arial" w:hAnsi="Arial" w:cs="Arial"/>
          <w:b/>
          <w:sz w:val="20"/>
          <w:szCs w:val="20"/>
          <w:lang w:val="en-ZA"/>
        </w:rPr>
      </w:pPr>
      <w:r w:rsidRPr="006C03F2">
        <w:rPr>
          <w:rFonts w:ascii="Arial" w:hAnsi="Arial" w:cs="Arial"/>
          <w:b/>
          <w:sz w:val="20"/>
          <w:szCs w:val="20"/>
          <w:lang w:val="en-ZA"/>
        </w:rPr>
        <w:t>2.2</w:t>
      </w:r>
      <w:r w:rsidRPr="006C03F2">
        <w:rPr>
          <w:rFonts w:ascii="Arial" w:hAnsi="Arial" w:cs="Arial"/>
          <w:b/>
          <w:sz w:val="20"/>
          <w:szCs w:val="20"/>
          <w:lang w:val="en-ZA"/>
        </w:rPr>
        <w:tab/>
        <w:t>Mission and vision</w:t>
      </w:r>
    </w:p>
    <w:p w:rsidR="00057CD9" w:rsidRPr="006C03F2" w:rsidRDefault="00E37FA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2.2.1</w:t>
      </w:r>
      <w:r w:rsidRPr="006C03F2">
        <w:rPr>
          <w:rFonts w:ascii="Arial" w:hAnsi="Arial" w:cs="Arial"/>
          <w:sz w:val="20"/>
          <w:szCs w:val="20"/>
          <w:lang w:val="en-ZA"/>
        </w:rPr>
        <w:tab/>
        <w:t xml:space="preserve">Parliament has as its vision to be an activist and responsive people’s Parliament that improves the quality of life of South Africans and </w:t>
      </w:r>
      <w:r w:rsidR="002B2ADA" w:rsidRPr="006C03F2">
        <w:rPr>
          <w:rFonts w:ascii="Arial" w:hAnsi="Arial" w:cs="Arial"/>
          <w:sz w:val="20"/>
          <w:szCs w:val="20"/>
          <w:lang w:val="en-ZA"/>
        </w:rPr>
        <w:t>ensures enduring equality in</w:t>
      </w:r>
      <w:r w:rsidRPr="006C03F2">
        <w:rPr>
          <w:rFonts w:ascii="Arial" w:hAnsi="Arial" w:cs="Arial"/>
          <w:sz w:val="20"/>
          <w:szCs w:val="20"/>
          <w:lang w:val="en-ZA"/>
        </w:rPr>
        <w:t xml:space="preserve"> society. Its mission is to represent the people</w:t>
      </w:r>
      <w:r w:rsidR="00B467AD" w:rsidRPr="006C03F2">
        <w:rPr>
          <w:rFonts w:ascii="Arial" w:hAnsi="Arial" w:cs="Arial"/>
          <w:sz w:val="20"/>
          <w:szCs w:val="20"/>
          <w:lang w:val="en-ZA"/>
        </w:rPr>
        <w:t xml:space="preserve"> </w:t>
      </w:r>
      <w:r w:rsidRPr="006C03F2">
        <w:rPr>
          <w:rFonts w:ascii="Arial" w:hAnsi="Arial" w:cs="Arial"/>
          <w:sz w:val="20"/>
          <w:szCs w:val="20"/>
          <w:lang w:val="en-ZA"/>
        </w:rPr>
        <w:t>and to en</w:t>
      </w:r>
      <w:r w:rsidR="002B2ADA" w:rsidRPr="006C03F2">
        <w:rPr>
          <w:rFonts w:ascii="Arial" w:hAnsi="Arial" w:cs="Arial"/>
          <w:sz w:val="20"/>
          <w:szCs w:val="20"/>
          <w:lang w:val="en-ZA"/>
        </w:rPr>
        <w:t xml:space="preserve">sure government by the people through </w:t>
      </w:r>
      <w:r w:rsidRPr="006C03F2">
        <w:rPr>
          <w:rFonts w:ascii="Arial" w:hAnsi="Arial" w:cs="Arial"/>
          <w:sz w:val="20"/>
          <w:szCs w:val="20"/>
          <w:lang w:val="en-ZA"/>
        </w:rPr>
        <w:t xml:space="preserve">fulfilling its constitutional functions </w:t>
      </w:r>
      <w:r w:rsidR="002B2ADA" w:rsidRPr="006C03F2">
        <w:rPr>
          <w:rFonts w:ascii="Arial" w:hAnsi="Arial" w:cs="Arial"/>
          <w:sz w:val="20"/>
          <w:szCs w:val="20"/>
          <w:lang w:val="en-ZA"/>
        </w:rPr>
        <w:t>to pass laws and oversee</w:t>
      </w:r>
      <w:r w:rsidRPr="006C03F2">
        <w:rPr>
          <w:rFonts w:ascii="Arial" w:hAnsi="Arial" w:cs="Arial"/>
          <w:sz w:val="20"/>
          <w:szCs w:val="20"/>
          <w:lang w:val="en-ZA"/>
        </w:rPr>
        <w:t xml:space="preserve"> executive action. To this end, the institution conducts its business in line with the following values: openness, responsiveness, accountability, teamwork, professionalism, and integrity.</w:t>
      </w:r>
    </w:p>
    <w:p w:rsidR="00825CB7" w:rsidRPr="006C03F2" w:rsidRDefault="00825CB7" w:rsidP="006C03F2">
      <w:pPr>
        <w:spacing w:after="0" w:line="240" w:lineRule="auto"/>
        <w:rPr>
          <w:rFonts w:ascii="Arial" w:hAnsi="Arial" w:cs="Arial"/>
          <w:sz w:val="20"/>
          <w:szCs w:val="20"/>
          <w:lang w:val="en-ZA"/>
        </w:rPr>
      </w:pPr>
    </w:p>
    <w:p w:rsidR="002B2833" w:rsidRPr="006C03F2" w:rsidRDefault="00A52347" w:rsidP="006C03F2">
      <w:pPr>
        <w:spacing w:after="0" w:line="240" w:lineRule="auto"/>
        <w:rPr>
          <w:rFonts w:ascii="Arial" w:hAnsi="Arial" w:cs="Arial"/>
          <w:b/>
          <w:sz w:val="20"/>
          <w:szCs w:val="20"/>
          <w:lang w:val="en-ZA"/>
        </w:rPr>
      </w:pPr>
      <w:r w:rsidRPr="006C03F2">
        <w:rPr>
          <w:rFonts w:ascii="Arial" w:hAnsi="Arial" w:cs="Arial"/>
          <w:b/>
          <w:sz w:val="20"/>
          <w:szCs w:val="20"/>
          <w:lang w:val="en-ZA"/>
        </w:rPr>
        <w:t>2.3</w:t>
      </w:r>
      <w:r w:rsidR="002B2833" w:rsidRPr="006C03F2">
        <w:rPr>
          <w:rFonts w:ascii="Arial" w:hAnsi="Arial" w:cs="Arial"/>
          <w:b/>
          <w:sz w:val="20"/>
          <w:szCs w:val="20"/>
          <w:lang w:val="en-ZA"/>
        </w:rPr>
        <w:tab/>
        <w:t>Strategic Priorities</w:t>
      </w:r>
    </w:p>
    <w:p w:rsidR="002B2833" w:rsidRPr="006C03F2" w:rsidRDefault="00A52347"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2.3</w:t>
      </w:r>
      <w:r w:rsidR="002B2833" w:rsidRPr="006C03F2">
        <w:rPr>
          <w:rFonts w:ascii="Arial" w:hAnsi="Arial" w:cs="Arial"/>
          <w:sz w:val="20"/>
          <w:szCs w:val="20"/>
          <w:lang w:val="en-ZA"/>
        </w:rPr>
        <w:t>.1</w:t>
      </w:r>
      <w:r w:rsidR="002B2833" w:rsidRPr="006C03F2">
        <w:rPr>
          <w:rFonts w:ascii="Arial" w:hAnsi="Arial" w:cs="Arial"/>
          <w:sz w:val="20"/>
          <w:szCs w:val="20"/>
          <w:lang w:val="en-ZA"/>
        </w:rPr>
        <w:tab/>
        <w:t>Parliament has identified only two strategic priorities for the Sixth Parliament i.e. to strengthen oversight, and to enhance public involvement in Parliament’s activities.</w:t>
      </w:r>
    </w:p>
    <w:p w:rsidR="002B2833" w:rsidRPr="006C03F2" w:rsidRDefault="00A52347" w:rsidP="006C03F2">
      <w:pPr>
        <w:spacing w:after="0" w:line="240" w:lineRule="auto"/>
        <w:rPr>
          <w:rFonts w:ascii="Arial" w:hAnsi="Arial" w:cs="Arial"/>
          <w:sz w:val="20"/>
          <w:szCs w:val="20"/>
          <w:lang w:val="en-ZA"/>
        </w:rPr>
      </w:pPr>
      <w:r w:rsidRPr="006C03F2">
        <w:rPr>
          <w:rFonts w:ascii="Arial" w:hAnsi="Arial" w:cs="Arial"/>
          <w:sz w:val="20"/>
          <w:szCs w:val="20"/>
          <w:lang w:val="en-ZA"/>
        </w:rPr>
        <w:t>2.3</w:t>
      </w:r>
      <w:r w:rsidR="002B2833" w:rsidRPr="006C03F2">
        <w:rPr>
          <w:rFonts w:ascii="Arial" w:hAnsi="Arial" w:cs="Arial"/>
          <w:sz w:val="20"/>
          <w:szCs w:val="20"/>
          <w:lang w:val="en-ZA"/>
        </w:rPr>
        <w:t>.2</w:t>
      </w:r>
      <w:r w:rsidR="002B2833" w:rsidRPr="006C03F2">
        <w:rPr>
          <w:rFonts w:ascii="Arial" w:hAnsi="Arial" w:cs="Arial"/>
          <w:sz w:val="20"/>
          <w:szCs w:val="20"/>
          <w:lang w:val="en-ZA"/>
        </w:rPr>
        <w:tab/>
        <w:t>In order to achieve the above outcome, the Sixth Parliament will:</w:t>
      </w:r>
    </w:p>
    <w:p w:rsidR="002B2833" w:rsidRPr="006C03F2" w:rsidRDefault="002B2833" w:rsidP="006C03F2">
      <w:pPr>
        <w:spacing w:after="0" w:line="240" w:lineRule="auto"/>
        <w:ind w:left="1440" w:hanging="720"/>
        <w:rPr>
          <w:rFonts w:ascii="Arial" w:hAnsi="Arial" w:cs="Arial"/>
          <w:sz w:val="20"/>
          <w:szCs w:val="20"/>
          <w:lang w:val="en-ZA"/>
        </w:rPr>
      </w:pPr>
      <w:r w:rsidRPr="006C03F2">
        <w:rPr>
          <w:rFonts w:ascii="Arial" w:hAnsi="Arial" w:cs="Arial"/>
          <w:sz w:val="20"/>
          <w:szCs w:val="20"/>
          <w:lang w:val="en-ZA"/>
        </w:rPr>
        <w:lastRenderedPageBreak/>
        <w:t>-</w:t>
      </w:r>
      <w:r w:rsidRPr="006C03F2">
        <w:rPr>
          <w:rFonts w:ascii="Arial" w:hAnsi="Arial" w:cs="Arial"/>
          <w:sz w:val="20"/>
          <w:szCs w:val="20"/>
          <w:lang w:val="en-ZA"/>
        </w:rPr>
        <w:tab/>
      </w:r>
      <w:r w:rsidRPr="006C03F2">
        <w:rPr>
          <w:rFonts w:ascii="Arial" w:hAnsi="Arial" w:cs="Arial"/>
          <w:i/>
          <w:sz w:val="20"/>
          <w:szCs w:val="20"/>
          <w:lang w:val="en-ZA"/>
        </w:rPr>
        <w:t>improve committee oversight work</w:t>
      </w:r>
      <w:r w:rsidRPr="006C03F2">
        <w:rPr>
          <w:rFonts w:ascii="Arial" w:hAnsi="Arial" w:cs="Arial"/>
          <w:sz w:val="20"/>
          <w:szCs w:val="20"/>
          <w:lang w:val="en-ZA"/>
        </w:rPr>
        <w:t xml:space="preserve"> in relation to the budget cycle in particular, through allowing more time in the parliamentary programme for oversight activities and</w:t>
      </w:r>
      <w:r w:rsidR="00EB2402" w:rsidRPr="006C03F2">
        <w:rPr>
          <w:rFonts w:ascii="Arial" w:hAnsi="Arial" w:cs="Arial"/>
          <w:sz w:val="20"/>
          <w:szCs w:val="20"/>
          <w:lang w:val="en-ZA"/>
        </w:rPr>
        <w:t xml:space="preserve"> by</w:t>
      </w:r>
      <w:r w:rsidRPr="006C03F2">
        <w:rPr>
          <w:rFonts w:ascii="Arial" w:hAnsi="Arial" w:cs="Arial"/>
          <w:sz w:val="20"/>
          <w:szCs w:val="20"/>
          <w:lang w:val="en-ZA"/>
        </w:rPr>
        <w:t xml:space="preserve"> encouraging committees to undertake</w:t>
      </w:r>
      <w:r w:rsidR="00EB2402" w:rsidRPr="006C03F2">
        <w:rPr>
          <w:rFonts w:ascii="Arial" w:hAnsi="Arial" w:cs="Arial"/>
          <w:sz w:val="20"/>
          <w:szCs w:val="20"/>
          <w:lang w:val="en-ZA"/>
        </w:rPr>
        <w:t xml:space="preserve"> such activities</w:t>
      </w:r>
      <w:r w:rsidRPr="006C03F2">
        <w:rPr>
          <w:rFonts w:ascii="Arial" w:hAnsi="Arial" w:cs="Arial"/>
          <w:sz w:val="20"/>
          <w:szCs w:val="20"/>
          <w:lang w:val="en-ZA"/>
        </w:rPr>
        <w:t xml:space="preserve"> joint</w:t>
      </w:r>
      <w:r w:rsidR="00EB2402" w:rsidRPr="006C03F2">
        <w:rPr>
          <w:rFonts w:ascii="Arial" w:hAnsi="Arial" w:cs="Arial"/>
          <w:sz w:val="20"/>
          <w:szCs w:val="20"/>
          <w:lang w:val="en-ZA"/>
        </w:rPr>
        <w:t>ly.</w:t>
      </w:r>
      <w:r w:rsidRPr="006C03F2">
        <w:rPr>
          <w:rFonts w:ascii="Arial" w:hAnsi="Arial" w:cs="Arial"/>
          <w:sz w:val="20"/>
          <w:szCs w:val="20"/>
          <w:lang w:val="en-ZA"/>
        </w:rPr>
        <w:t xml:space="preserve"> </w:t>
      </w:r>
    </w:p>
    <w:p w:rsidR="002B2833" w:rsidRPr="006C03F2" w:rsidRDefault="002B2833" w:rsidP="006C03F2">
      <w:pPr>
        <w:spacing w:after="0" w:line="240" w:lineRule="auto"/>
        <w:ind w:left="1440" w:hanging="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r>
      <w:r w:rsidRPr="006C03F2">
        <w:rPr>
          <w:rFonts w:ascii="Arial" w:hAnsi="Arial" w:cs="Arial"/>
          <w:i/>
          <w:sz w:val="20"/>
          <w:szCs w:val="20"/>
          <w:lang w:val="en-ZA"/>
        </w:rPr>
        <w:t>improve the effectiveness of public hearings</w:t>
      </w:r>
      <w:r w:rsidRPr="006C03F2">
        <w:rPr>
          <w:rFonts w:ascii="Arial" w:hAnsi="Arial" w:cs="Arial"/>
          <w:sz w:val="20"/>
          <w:szCs w:val="20"/>
          <w:lang w:val="en-ZA"/>
        </w:rPr>
        <w:t xml:space="preserve"> through</w:t>
      </w:r>
      <w:r w:rsidR="00EB2402" w:rsidRPr="006C03F2">
        <w:rPr>
          <w:rFonts w:ascii="Arial" w:hAnsi="Arial" w:cs="Arial"/>
          <w:sz w:val="20"/>
          <w:szCs w:val="20"/>
          <w:lang w:val="en-ZA"/>
        </w:rPr>
        <w:t xml:space="preserve"> </w:t>
      </w:r>
      <w:r w:rsidR="00DB4092" w:rsidRPr="006C03F2">
        <w:rPr>
          <w:rFonts w:ascii="Arial" w:hAnsi="Arial" w:cs="Arial"/>
          <w:sz w:val="20"/>
          <w:szCs w:val="20"/>
          <w:lang w:val="en-ZA"/>
        </w:rPr>
        <w:t>greater public participation,</w:t>
      </w:r>
      <w:r w:rsidR="00EB2402" w:rsidRPr="006C03F2">
        <w:rPr>
          <w:rFonts w:ascii="Arial" w:hAnsi="Arial" w:cs="Arial"/>
          <w:sz w:val="20"/>
          <w:szCs w:val="20"/>
          <w:lang w:val="en-ZA"/>
        </w:rPr>
        <w:t xml:space="preserve"> expanding </w:t>
      </w:r>
      <w:r w:rsidRPr="006C03F2">
        <w:rPr>
          <w:rFonts w:ascii="Arial" w:hAnsi="Arial" w:cs="Arial"/>
          <w:sz w:val="20"/>
          <w:szCs w:val="20"/>
          <w:lang w:val="en-ZA"/>
        </w:rPr>
        <w:t>public education, better dissemination of information, effective use of broadcasting, technology and social media, the use of more official languages, and encouraging committees to undertake joint public hearings.</w:t>
      </w:r>
    </w:p>
    <w:p w:rsidR="002B2833" w:rsidRPr="006C03F2" w:rsidRDefault="00A52347" w:rsidP="006C03F2">
      <w:pPr>
        <w:spacing w:after="0" w:line="240" w:lineRule="auto"/>
        <w:rPr>
          <w:rFonts w:ascii="Arial" w:hAnsi="Arial" w:cs="Arial"/>
          <w:sz w:val="20"/>
          <w:szCs w:val="20"/>
          <w:lang w:val="en-ZA"/>
        </w:rPr>
      </w:pPr>
      <w:r w:rsidRPr="006C03F2">
        <w:rPr>
          <w:rFonts w:ascii="Arial" w:hAnsi="Arial" w:cs="Arial"/>
          <w:sz w:val="20"/>
          <w:szCs w:val="20"/>
          <w:lang w:val="en-ZA"/>
        </w:rPr>
        <w:t>2.3</w:t>
      </w:r>
      <w:r w:rsidR="002B2833" w:rsidRPr="006C03F2">
        <w:rPr>
          <w:rFonts w:ascii="Arial" w:hAnsi="Arial" w:cs="Arial"/>
          <w:sz w:val="20"/>
          <w:szCs w:val="20"/>
          <w:lang w:val="en-ZA"/>
        </w:rPr>
        <w:t>.3</w:t>
      </w:r>
      <w:r w:rsidR="002B2833" w:rsidRPr="006C03F2">
        <w:rPr>
          <w:rFonts w:ascii="Arial" w:hAnsi="Arial" w:cs="Arial"/>
          <w:sz w:val="20"/>
          <w:szCs w:val="20"/>
          <w:lang w:val="en-ZA"/>
        </w:rPr>
        <w:tab/>
        <w:t>To aid the above activities, the institution will:</w:t>
      </w:r>
    </w:p>
    <w:p w:rsidR="002B2833" w:rsidRPr="006C03F2" w:rsidRDefault="002B2833" w:rsidP="006C03F2">
      <w:pPr>
        <w:spacing w:after="0" w:line="240" w:lineRule="auto"/>
        <w:ind w:firstLine="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enhance research and legal support in respect of oversight activities;</w:t>
      </w:r>
    </w:p>
    <w:p w:rsidR="002B2833" w:rsidRPr="006C03F2" w:rsidRDefault="002B2833" w:rsidP="006C03F2">
      <w:pPr>
        <w:spacing w:after="0" w:line="240" w:lineRule="auto"/>
        <w:ind w:left="1440" w:hanging="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 xml:space="preserve">improve members’ capacity through capacity-building programmes that will empower </w:t>
      </w:r>
      <w:r w:rsidR="002B2ADA" w:rsidRPr="006C03F2">
        <w:rPr>
          <w:rFonts w:ascii="Arial" w:hAnsi="Arial" w:cs="Arial"/>
          <w:sz w:val="20"/>
          <w:szCs w:val="20"/>
          <w:lang w:val="en-ZA"/>
        </w:rPr>
        <w:t>them</w:t>
      </w:r>
      <w:r w:rsidRPr="006C03F2">
        <w:rPr>
          <w:rFonts w:ascii="Arial" w:hAnsi="Arial" w:cs="Arial"/>
          <w:sz w:val="20"/>
          <w:szCs w:val="20"/>
          <w:lang w:val="en-ZA"/>
        </w:rPr>
        <w:t xml:space="preserve"> to be effective and efficient in executing their oversight responsibilities;</w:t>
      </w:r>
    </w:p>
    <w:p w:rsidR="002B2833" w:rsidRPr="006C03F2" w:rsidRDefault="002B2833" w:rsidP="006C03F2">
      <w:pPr>
        <w:spacing w:after="0" w:line="240" w:lineRule="auto"/>
        <w:ind w:left="1440" w:hanging="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improve oversight and accountability through better monitoring, tracking and evaluation in respect of Parliament’s own work, as well as the work of the Executive;</w:t>
      </w:r>
    </w:p>
    <w:p w:rsidR="002B2833" w:rsidRPr="006C03F2" w:rsidRDefault="002B2833" w:rsidP="006C03F2">
      <w:pPr>
        <w:spacing w:after="0" w:line="240" w:lineRule="auto"/>
        <w:ind w:left="1440" w:hanging="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ensure openness and accessibility through the use of modern technology in respect of social media, tools-of-trade, workflows and automation; and</w:t>
      </w:r>
    </w:p>
    <w:p w:rsidR="002B2833" w:rsidRPr="006C03F2" w:rsidRDefault="002B2833" w:rsidP="006C03F2">
      <w:pPr>
        <w:spacing w:after="0" w:line="240" w:lineRule="auto"/>
        <w:ind w:firstLine="720"/>
        <w:rPr>
          <w:rFonts w:ascii="Arial" w:hAnsi="Arial" w:cs="Arial"/>
          <w:sz w:val="20"/>
          <w:szCs w:val="20"/>
          <w:lang w:val="en-ZA"/>
        </w:rPr>
      </w:pPr>
      <w:r w:rsidRPr="006C03F2">
        <w:rPr>
          <w:rFonts w:ascii="Arial" w:hAnsi="Arial" w:cs="Arial"/>
          <w:sz w:val="20"/>
          <w:szCs w:val="20"/>
          <w:lang w:val="en-ZA"/>
        </w:rPr>
        <w:t>-</w:t>
      </w:r>
      <w:r w:rsidRPr="006C03F2">
        <w:rPr>
          <w:rFonts w:ascii="Arial" w:hAnsi="Arial" w:cs="Arial"/>
          <w:sz w:val="20"/>
          <w:szCs w:val="20"/>
          <w:lang w:val="en-ZA"/>
        </w:rPr>
        <w:tab/>
        <w:t>cut costs to allow for operational sustainability.</w:t>
      </w:r>
    </w:p>
    <w:p w:rsidR="001348F8" w:rsidRPr="006C03F2" w:rsidRDefault="001348F8" w:rsidP="006C03F2">
      <w:pPr>
        <w:spacing w:after="0" w:line="240" w:lineRule="auto"/>
        <w:rPr>
          <w:rFonts w:ascii="Arial" w:hAnsi="Arial" w:cs="Arial"/>
          <w:bCs/>
          <w:sz w:val="20"/>
          <w:szCs w:val="20"/>
          <w:lang w:val="en-ZA"/>
        </w:rPr>
      </w:pPr>
    </w:p>
    <w:p w:rsidR="00092216" w:rsidRPr="006C03F2" w:rsidRDefault="00D17DD4" w:rsidP="006C03F2">
      <w:pPr>
        <w:spacing w:after="0" w:line="240" w:lineRule="auto"/>
        <w:rPr>
          <w:rFonts w:ascii="Arial" w:hAnsi="Arial" w:cs="Arial"/>
          <w:b/>
          <w:bCs/>
          <w:sz w:val="20"/>
          <w:szCs w:val="20"/>
          <w:lang w:val="en-ZA"/>
        </w:rPr>
      </w:pPr>
      <w:r w:rsidRPr="006C03F2">
        <w:rPr>
          <w:rFonts w:ascii="Arial" w:hAnsi="Arial" w:cs="Arial"/>
          <w:b/>
          <w:bCs/>
          <w:sz w:val="20"/>
          <w:szCs w:val="20"/>
          <w:lang w:val="en-ZA"/>
        </w:rPr>
        <w:t>Part B</w:t>
      </w:r>
    </w:p>
    <w:p w:rsidR="00FA3B99" w:rsidRPr="006C03F2" w:rsidRDefault="00FA3B99" w:rsidP="006C03F2">
      <w:pPr>
        <w:spacing w:after="0" w:line="240" w:lineRule="auto"/>
        <w:rPr>
          <w:rFonts w:ascii="Arial" w:eastAsia="Times New Roman" w:hAnsi="Arial" w:cs="Arial"/>
          <w:b/>
          <w:spacing w:val="6"/>
          <w:sz w:val="20"/>
          <w:szCs w:val="20"/>
          <w:lang w:val="en-GB" w:eastAsia="en-GB"/>
        </w:rPr>
      </w:pPr>
    </w:p>
    <w:p w:rsidR="003F283C" w:rsidRPr="006C03F2" w:rsidRDefault="00B467AD" w:rsidP="006C03F2">
      <w:pPr>
        <w:spacing w:after="0" w:line="240" w:lineRule="auto"/>
        <w:rPr>
          <w:rFonts w:ascii="Arial" w:eastAsia="Times New Roman" w:hAnsi="Arial" w:cs="Arial"/>
          <w:b/>
          <w:spacing w:val="6"/>
          <w:sz w:val="20"/>
          <w:szCs w:val="20"/>
          <w:lang w:val="en-GB" w:eastAsia="en-GB"/>
        </w:rPr>
      </w:pPr>
      <w:r w:rsidRPr="006C03F2">
        <w:rPr>
          <w:rFonts w:ascii="Arial" w:eastAsia="Times New Roman" w:hAnsi="Arial" w:cs="Arial"/>
          <w:b/>
          <w:spacing w:val="6"/>
          <w:sz w:val="20"/>
          <w:szCs w:val="20"/>
          <w:lang w:val="en-GB" w:eastAsia="en-GB"/>
        </w:rPr>
        <w:t>3.</w:t>
      </w:r>
      <w:r w:rsidRPr="006C03F2">
        <w:rPr>
          <w:rFonts w:ascii="Arial" w:eastAsia="Times New Roman" w:hAnsi="Arial" w:cs="Arial"/>
          <w:b/>
          <w:spacing w:val="6"/>
          <w:sz w:val="20"/>
          <w:szCs w:val="20"/>
          <w:lang w:val="en-GB" w:eastAsia="en-GB"/>
        </w:rPr>
        <w:tab/>
        <w:t>Fourth</w:t>
      </w:r>
      <w:r w:rsidR="00DB4092" w:rsidRPr="006C03F2">
        <w:rPr>
          <w:rFonts w:ascii="Arial" w:eastAsia="Times New Roman" w:hAnsi="Arial" w:cs="Arial"/>
          <w:b/>
          <w:spacing w:val="6"/>
          <w:sz w:val="20"/>
          <w:szCs w:val="20"/>
          <w:lang w:val="en-GB" w:eastAsia="en-GB"/>
        </w:rPr>
        <w:t xml:space="preserve"> Quarter Performance</w:t>
      </w:r>
    </w:p>
    <w:p w:rsidR="005B59F5" w:rsidRPr="006C03F2" w:rsidRDefault="005B59F5" w:rsidP="006C03F2">
      <w:pPr>
        <w:spacing w:after="0" w:line="240" w:lineRule="auto"/>
        <w:rPr>
          <w:rFonts w:ascii="Arial" w:eastAsia="Times New Roman" w:hAnsi="Arial" w:cs="Arial"/>
          <w:spacing w:val="6"/>
          <w:sz w:val="20"/>
          <w:szCs w:val="20"/>
          <w:lang w:val="en-GB" w:eastAsia="en-GB"/>
        </w:rPr>
      </w:pPr>
    </w:p>
    <w:p w:rsidR="00EF641A" w:rsidRPr="006C03F2" w:rsidRDefault="009E67F5" w:rsidP="006C03F2">
      <w:pPr>
        <w:spacing w:after="0" w:line="240" w:lineRule="auto"/>
        <w:rPr>
          <w:rFonts w:ascii="Arial" w:eastAsia="Times New Roman" w:hAnsi="Arial" w:cs="Arial"/>
          <w:b/>
          <w:spacing w:val="6"/>
          <w:sz w:val="20"/>
          <w:szCs w:val="20"/>
          <w:lang w:val="en-GB" w:eastAsia="en-GB"/>
        </w:rPr>
      </w:pPr>
      <w:r w:rsidRPr="006C03F2">
        <w:rPr>
          <w:rFonts w:ascii="Arial" w:eastAsia="Times New Roman" w:hAnsi="Arial" w:cs="Arial"/>
          <w:b/>
          <w:spacing w:val="6"/>
          <w:sz w:val="20"/>
          <w:szCs w:val="20"/>
          <w:lang w:val="en-GB" w:eastAsia="en-GB"/>
        </w:rPr>
        <w:t>3</w:t>
      </w:r>
      <w:r w:rsidR="00EF641A" w:rsidRPr="006C03F2">
        <w:rPr>
          <w:rFonts w:ascii="Arial" w:eastAsia="Times New Roman" w:hAnsi="Arial" w:cs="Arial"/>
          <w:b/>
          <w:spacing w:val="6"/>
          <w:sz w:val="20"/>
          <w:szCs w:val="20"/>
          <w:lang w:val="en-GB" w:eastAsia="en-GB"/>
        </w:rPr>
        <w:t>.1</w:t>
      </w:r>
      <w:r w:rsidR="00EF641A" w:rsidRPr="006C03F2">
        <w:rPr>
          <w:rFonts w:ascii="Arial" w:eastAsia="Times New Roman" w:hAnsi="Arial" w:cs="Arial"/>
          <w:b/>
          <w:spacing w:val="6"/>
          <w:sz w:val="20"/>
          <w:szCs w:val="20"/>
          <w:lang w:val="en-GB" w:eastAsia="en-GB"/>
        </w:rPr>
        <w:tab/>
        <w:t>Overview</w:t>
      </w:r>
    </w:p>
    <w:p w:rsidR="002213A3" w:rsidRPr="006C03F2" w:rsidRDefault="000F297F" w:rsidP="006C03F2">
      <w:pPr>
        <w:spacing w:after="0" w:line="240" w:lineRule="auto"/>
        <w:ind w:left="720" w:hanging="720"/>
        <w:rPr>
          <w:rFonts w:ascii="Arial" w:eastAsia="Times New Roman" w:hAnsi="Arial" w:cs="Arial"/>
          <w:spacing w:val="6"/>
          <w:sz w:val="20"/>
          <w:szCs w:val="20"/>
          <w:lang w:val="en-GB" w:eastAsia="en-GB"/>
        </w:rPr>
      </w:pPr>
      <w:r w:rsidRPr="006C03F2">
        <w:rPr>
          <w:rFonts w:ascii="Arial" w:eastAsia="Times New Roman" w:hAnsi="Arial" w:cs="Arial"/>
          <w:spacing w:val="6"/>
          <w:sz w:val="20"/>
          <w:szCs w:val="20"/>
          <w:lang w:val="en-GB" w:eastAsia="en-GB"/>
        </w:rPr>
        <w:t>3.1</w:t>
      </w:r>
      <w:r w:rsidRPr="006C03F2">
        <w:rPr>
          <w:rFonts w:ascii="Arial" w:eastAsia="Times New Roman" w:hAnsi="Arial" w:cs="Arial"/>
          <w:spacing w:val="6"/>
          <w:sz w:val="20"/>
          <w:szCs w:val="20"/>
          <w:lang w:val="en-GB" w:eastAsia="en-GB"/>
        </w:rPr>
        <w:tab/>
      </w:r>
      <w:r w:rsidR="003554B7" w:rsidRPr="006C03F2">
        <w:rPr>
          <w:rFonts w:ascii="Arial" w:eastAsia="Times New Roman" w:hAnsi="Arial" w:cs="Arial"/>
          <w:spacing w:val="6"/>
          <w:sz w:val="20"/>
          <w:szCs w:val="20"/>
          <w:lang w:val="en-GB" w:eastAsia="en-GB"/>
        </w:rPr>
        <w:t>In the period under review, Parliament’s operation was still impacted by the Covid-19 national lockdown</w:t>
      </w:r>
      <w:r w:rsidR="002B2ADA" w:rsidRPr="006C03F2">
        <w:rPr>
          <w:rFonts w:ascii="Arial" w:eastAsia="Times New Roman" w:hAnsi="Arial" w:cs="Arial"/>
          <w:spacing w:val="6"/>
          <w:sz w:val="20"/>
          <w:szCs w:val="20"/>
          <w:lang w:val="en-GB" w:eastAsia="en-GB"/>
        </w:rPr>
        <w:t>.</w:t>
      </w:r>
      <w:r w:rsidR="003554B7" w:rsidRPr="006C03F2">
        <w:rPr>
          <w:rFonts w:ascii="Arial" w:eastAsia="Times New Roman" w:hAnsi="Arial" w:cs="Arial"/>
          <w:spacing w:val="6"/>
          <w:sz w:val="20"/>
          <w:szCs w:val="20"/>
          <w:lang w:val="en-GB" w:eastAsia="en-GB"/>
        </w:rPr>
        <w:t xml:space="preserve"> Operations were further impacted by </w:t>
      </w:r>
      <w:r w:rsidR="002B2ADA" w:rsidRPr="006C03F2">
        <w:rPr>
          <w:rFonts w:ascii="Arial" w:eastAsia="Times New Roman" w:hAnsi="Arial" w:cs="Arial"/>
          <w:spacing w:val="6"/>
          <w:sz w:val="20"/>
          <w:szCs w:val="20"/>
          <w:lang w:val="en-GB" w:eastAsia="en-GB"/>
        </w:rPr>
        <w:t>a fire that</w:t>
      </w:r>
      <w:r w:rsidR="003554B7" w:rsidRPr="006C03F2">
        <w:rPr>
          <w:rFonts w:ascii="Arial" w:eastAsia="Times New Roman" w:hAnsi="Arial" w:cs="Arial"/>
          <w:spacing w:val="6"/>
          <w:sz w:val="20"/>
          <w:szCs w:val="20"/>
          <w:lang w:val="en-GB" w:eastAsia="en-GB"/>
        </w:rPr>
        <w:t xml:space="preserve"> destroyed the National Assembly building and affected parts of the Old Assembly building. For the most part, employees continued to work remotely, and plenary and committee activities remained online</w:t>
      </w:r>
      <w:r w:rsidR="00516E47" w:rsidRPr="006C03F2">
        <w:rPr>
          <w:rFonts w:ascii="Arial" w:eastAsia="Times New Roman" w:hAnsi="Arial" w:cs="Arial"/>
          <w:spacing w:val="6"/>
          <w:sz w:val="20"/>
          <w:szCs w:val="20"/>
          <w:lang w:val="en-GB" w:eastAsia="en-GB"/>
        </w:rPr>
        <w:t>. The a</w:t>
      </w:r>
      <w:r w:rsidR="003554B7" w:rsidRPr="006C03F2">
        <w:rPr>
          <w:rFonts w:ascii="Arial" w:eastAsia="Times New Roman" w:hAnsi="Arial" w:cs="Arial"/>
          <w:spacing w:val="6"/>
          <w:sz w:val="20"/>
          <w:szCs w:val="20"/>
          <w:lang w:val="en-GB" w:eastAsia="en-GB"/>
        </w:rPr>
        <w:t xml:space="preserve">dministration </w:t>
      </w:r>
      <w:r w:rsidR="00516E47" w:rsidRPr="006C03F2">
        <w:rPr>
          <w:rFonts w:ascii="Arial" w:eastAsia="Times New Roman" w:hAnsi="Arial" w:cs="Arial"/>
          <w:spacing w:val="6"/>
          <w:sz w:val="20"/>
          <w:szCs w:val="20"/>
          <w:lang w:val="en-GB" w:eastAsia="en-GB"/>
        </w:rPr>
        <w:t>nevertheless</w:t>
      </w:r>
      <w:r w:rsidR="003554B7" w:rsidRPr="006C03F2">
        <w:rPr>
          <w:rFonts w:ascii="Arial" w:eastAsia="Times New Roman" w:hAnsi="Arial" w:cs="Arial"/>
          <w:spacing w:val="6"/>
          <w:sz w:val="20"/>
          <w:szCs w:val="20"/>
          <w:lang w:val="en-GB" w:eastAsia="en-GB"/>
        </w:rPr>
        <w:t xml:space="preserve"> </w:t>
      </w:r>
      <w:r w:rsidR="00516E47" w:rsidRPr="006C03F2">
        <w:rPr>
          <w:rFonts w:ascii="Arial" w:eastAsia="Times New Roman" w:hAnsi="Arial" w:cs="Arial"/>
          <w:spacing w:val="6"/>
          <w:sz w:val="20"/>
          <w:szCs w:val="20"/>
          <w:lang w:val="en-GB" w:eastAsia="en-GB"/>
        </w:rPr>
        <w:t>continued</w:t>
      </w:r>
      <w:r w:rsidR="003554B7" w:rsidRPr="006C03F2">
        <w:rPr>
          <w:rFonts w:ascii="Arial" w:eastAsia="Times New Roman" w:hAnsi="Arial" w:cs="Arial"/>
          <w:spacing w:val="6"/>
          <w:sz w:val="20"/>
          <w:szCs w:val="20"/>
          <w:lang w:val="en-GB" w:eastAsia="en-GB"/>
        </w:rPr>
        <w:t xml:space="preserve"> to provide the required services to </w:t>
      </w:r>
      <w:r w:rsidR="00516E47" w:rsidRPr="006C03F2">
        <w:rPr>
          <w:rFonts w:ascii="Arial" w:eastAsia="Times New Roman" w:hAnsi="Arial" w:cs="Arial"/>
          <w:spacing w:val="6"/>
          <w:sz w:val="20"/>
          <w:szCs w:val="20"/>
          <w:lang w:val="en-GB" w:eastAsia="en-GB"/>
        </w:rPr>
        <w:t xml:space="preserve">parliamentarians thereby ensuring that Parliament continued to perform its </w:t>
      </w:r>
      <w:r w:rsidR="003554B7" w:rsidRPr="006C03F2">
        <w:rPr>
          <w:rFonts w:ascii="Arial" w:eastAsia="Times New Roman" w:hAnsi="Arial" w:cs="Arial"/>
          <w:spacing w:val="6"/>
          <w:sz w:val="20"/>
          <w:szCs w:val="20"/>
          <w:lang w:val="en-GB" w:eastAsia="en-GB"/>
        </w:rPr>
        <w:t>constitutional obligations.</w:t>
      </w:r>
    </w:p>
    <w:p w:rsidR="000F297F" w:rsidRPr="006C03F2" w:rsidRDefault="000F297F" w:rsidP="006C03F2">
      <w:pPr>
        <w:spacing w:after="0" w:line="240" w:lineRule="auto"/>
        <w:ind w:left="720" w:hanging="720"/>
        <w:rPr>
          <w:rFonts w:ascii="Arial" w:eastAsia="Times New Roman" w:hAnsi="Arial" w:cs="Arial"/>
          <w:spacing w:val="6"/>
          <w:sz w:val="20"/>
          <w:szCs w:val="20"/>
          <w:lang w:val="en-GB" w:eastAsia="en-GB"/>
        </w:rPr>
      </w:pPr>
      <w:r w:rsidRPr="006C03F2">
        <w:rPr>
          <w:rFonts w:ascii="Arial" w:eastAsia="Times New Roman" w:hAnsi="Arial" w:cs="Arial"/>
          <w:spacing w:val="6"/>
          <w:sz w:val="20"/>
          <w:szCs w:val="20"/>
          <w:lang w:val="en-GB" w:eastAsia="en-GB"/>
        </w:rPr>
        <w:t>3.2</w:t>
      </w:r>
      <w:r w:rsidRPr="006C03F2">
        <w:rPr>
          <w:rFonts w:ascii="Arial" w:eastAsia="Times New Roman" w:hAnsi="Arial" w:cs="Arial"/>
          <w:spacing w:val="6"/>
          <w:sz w:val="20"/>
          <w:szCs w:val="20"/>
          <w:lang w:val="en-GB" w:eastAsia="en-GB"/>
        </w:rPr>
        <w:tab/>
        <w:t>The quarterly</w:t>
      </w:r>
      <w:r w:rsidR="005C7826" w:rsidRPr="006C03F2">
        <w:rPr>
          <w:rFonts w:ascii="Arial" w:eastAsia="Times New Roman" w:hAnsi="Arial" w:cs="Arial"/>
          <w:spacing w:val="6"/>
          <w:sz w:val="20"/>
          <w:szCs w:val="20"/>
          <w:lang w:val="en-GB" w:eastAsia="en-GB"/>
        </w:rPr>
        <w:t xml:space="preserve"> client</w:t>
      </w:r>
      <w:r w:rsidR="00516E47" w:rsidRPr="006C03F2">
        <w:rPr>
          <w:rFonts w:ascii="Arial" w:eastAsia="Times New Roman" w:hAnsi="Arial" w:cs="Arial"/>
          <w:spacing w:val="6"/>
          <w:sz w:val="20"/>
          <w:szCs w:val="20"/>
          <w:lang w:val="en-GB" w:eastAsia="en-GB"/>
        </w:rPr>
        <w:t xml:space="preserve"> satisfaction surveys, employed for the first time in 2021/22, </w:t>
      </w:r>
      <w:r w:rsidRPr="006C03F2">
        <w:rPr>
          <w:rFonts w:ascii="Arial" w:eastAsia="Times New Roman" w:hAnsi="Arial" w:cs="Arial"/>
          <w:spacing w:val="6"/>
          <w:sz w:val="20"/>
          <w:szCs w:val="20"/>
          <w:lang w:val="en-GB" w:eastAsia="en-GB"/>
        </w:rPr>
        <w:t>will provide a realistic benchmark for 2022/</w:t>
      </w:r>
      <w:r w:rsidR="00516E47" w:rsidRPr="006C03F2">
        <w:rPr>
          <w:rFonts w:ascii="Arial" w:eastAsia="Times New Roman" w:hAnsi="Arial" w:cs="Arial"/>
          <w:spacing w:val="6"/>
          <w:sz w:val="20"/>
          <w:szCs w:val="20"/>
          <w:lang w:val="en-GB" w:eastAsia="en-GB"/>
        </w:rPr>
        <w:t>2</w:t>
      </w:r>
      <w:r w:rsidRPr="006C03F2">
        <w:rPr>
          <w:rFonts w:ascii="Arial" w:eastAsia="Times New Roman" w:hAnsi="Arial" w:cs="Arial"/>
          <w:spacing w:val="6"/>
          <w:sz w:val="20"/>
          <w:szCs w:val="20"/>
          <w:lang w:val="en-GB" w:eastAsia="en-GB"/>
        </w:rPr>
        <w:t xml:space="preserve">3 and beyond. </w:t>
      </w:r>
      <w:r w:rsidR="00516E47" w:rsidRPr="006C03F2">
        <w:rPr>
          <w:rFonts w:ascii="Arial" w:eastAsia="Times New Roman" w:hAnsi="Arial" w:cs="Arial"/>
          <w:spacing w:val="6"/>
          <w:sz w:val="20"/>
          <w:szCs w:val="20"/>
          <w:lang w:val="en-GB" w:eastAsia="en-GB"/>
        </w:rPr>
        <w:t>Table 1 below illustrates the outcome of the survey of services</w:t>
      </w:r>
      <w:r w:rsidR="002B2ADA" w:rsidRPr="006C03F2">
        <w:rPr>
          <w:rFonts w:ascii="Arial" w:eastAsia="Times New Roman" w:hAnsi="Arial" w:cs="Arial"/>
          <w:spacing w:val="6"/>
          <w:sz w:val="20"/>
          <w:szCs w:val="20"/>
          <w:lang w:val="en-GB" w:eastAsia="en-GB"/>
        </w:rPr>
        <w:t xml:space="preserve"> delivered</w:t>
      </w:r>
      <w:r w:rsidR="00516E47" w:rsidRPr="006C03F2">
        <w:rPr>
          <w:rFonts w:ascii="Arial" w:eastAsia="Times New Roman" w:hAnsi="Arial" w:cs="Arial"/>
          <w:spacing w:val="6"/>
          <w:sz w:val="20"/>
          <w:szCs w:val="20"/>
          <w:lang w:val="en-GB" w:eastAsia="en-GB"/>
        </w:rPr>
        <w:t xml:space="preserve"> in the period under review.</w:t>
      </w:r>
      <w:r w:rsidR="005C7826" w:rsidRPr="006C03F2">
        <w:rPr>
          <w:rFonts w:ascii="Arial" w:eastAsia="Times New Roman" w:hAnsi="Arial" w:cs="Arial"/>
          <w:spacing w:val="6"/>
          <w:sz w:val="20"/>
          <w:szCs w:val="20"/>
          <w:lang w:val="en-GB" w:eastAsia="en-GB"/>
        </w:rPr>
        <w:t xml:space="preserve"> The institution succeeded in meeting all 11 quarterly targets. </w:t>
      </w:r>
    </w:p>
    <w:tbl>
      <w:tblPr>
        <w:tblW w:w="9072" w:type="dxa"/>
        <w:tblInd w:w="274" w:type="dxa"/>
        <w:tblCellMar>
          <w:left w:w="0" w:type="dxa"/>
          <w:right w:w="0" w:type="dxa"/>
        </w:tblCellMar>
        <w:tblLook w:val="0600"/>
      </w:tblPr>
      <w:tblGrid>
        <w:gridCol w:w="1841"/>
        <w:gridCol w:w="1559"/>
        <w:gridCol w:w="1134"/>
        <w:gridCol w:w="1134"/>
        <w:gridCol w:w="992"/>
        <w:gridCol w:w="853"/>
        <w:gridCol w:w="1559"/>
      </w:tblGrid>
      <w:tr w:rsidR="002B5F6F" w:rsidRPr="006C03F2" w:rsidTr="002B5F6F">
        <w:trPr>
          <w:trHeight w:val="249"/>
        </w:trPr>
        <w:tc>
          <w:tcPr>
            <w:tcW w:w="1843" w:type="dxa"/>
            <w:tcBorders>
              <w:top w:val="single" w:sz="8"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Indicator</w:t>
            </w:r>
          </w:p>
        </w:tc>
        <w:tc>
          <w:tcPr>
            <w:tcW w:w="1559"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Overall Member Satisfaction (%)</w:t>
            </w:r>
          </w:p>
        </w:tc>
        <w:tc>
          <w:tcPr>
            <w:tcW w:w="1134"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Ease of Access</w:t>
            </w:r>
          </w:p>
        </w:tc>
        <w:tc>
          <w:tcPr>
            <w:tcW w:w="1134"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Timeliness</w:t>
            </w:r>
          </w:p>
        </w:tc>
        <w:tc>
          <w:tcPr>
            <w:tcW w:w="992"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Reliability</w:t>
            </w:r>
          </w:p>
        </w:tc>
        <w:tc>
          <w:tcPr>
            <w:tcW w:w="851"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Fairness</w:t>
            </w:r>
          </w:p>
        </w:tc>
        <w:tc>
          <w:tcPr>
            <w:tcW w:w="1559" w:type="dxa"/>
            <w:tcBorders>
              <w:top w:val="single" w:sz="8" w:space="0" w:color="000000"/>
              <w:left w:val="single" w:sz="4" w:space="0" w:color="000000"/>
              <w:bottom w:val="single" w:sz="4" w:space="0" w:color="000000"/>
              <w:right w:val="single" w:sz="8"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Usefulness</w:t>
            </w:r>
          </w:p>
        </w:tc>
      </w:tr>
      <w:tr w:rsidR="002B5F6F" w:rsidRPr="006C03F2" w:rsidTr="002B5F6F">
        <w:trPr>
          <w:trHeight w:val="450"/>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ICT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78.85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77.25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78.49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NA</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79.62</w:t>
            </w:r>
          </w:p>
        </w:tc>
      </w:tr>
      <w:tr w:rsidR="002B5F6F" w:rsidRPr="006C03F2" w:rsidTr="002B5F6F">
        <w:trPr>
          <w:trHeight w:val="743"/>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Facilities Management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68.89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N/A</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72.00</w:t>
            </w:r>
          </w:p>
        </w:tc>
      </w:tr>
      <w:tr w:rsidR="002B5F6F" w:rsidRPr="006C03F2" w:rsidTr="002B5F6F">
        <w:trPr>
          <w:trHeight w:val="743"/>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Capacity Building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67.58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67.80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66.83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67.69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N/A</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67.69</w:t>
            </w:r>
          </w:p>
        </w:tc>
      </w:tr>
      <w:tr w:rsidR="002B5F6F" w:rsidRPr="006C03F2" w:rsidTr="002B5F6F">
        <w:trPr>
          <w:trHeight w:val="496"/>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Research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75.69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75.60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78.00</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75.29</w:t>
            </w:r>
          </w:p>
        </w:tc>
      </w:tr>
      <w:tr w:rsidR="002B5F6F" w:rsidRPr="006C03F2" w:rsidTr="002B5F6F">
        <w:trPr>
          <w:trHeight w:val="222"/>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Content Advice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77.17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77.69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78.46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77.31</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76.54</w:t>
            </w:r>
          </w:p>
        </w:tc>
      </w:tr>
      <w:tr w:rsidR="002B5F6F" w:rsidRPr="006C03F2" w:rsidTr="002B5F6F">
        <w:trPr>
          <w:trHeight w:val="388"/>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Procedural Advice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71.79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72.09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72.44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71.11</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71.56</w:t>
            </w:r>
          </w:p>
        </w:tc>
      </w:tr>
      <w:tr w:rsidR="002B5F6F" w:rsidRPr="006C03F2" w:rsidTr="002B5F6F">
        <w:trPr>
          <w:trHeight w:val="270"/>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Legal Advice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74.57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74.35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73.78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74.78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73.48</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75.22</w:t>
            </w:r>
          </w:p>
        </w:tc>
      </w:tr>
      <w:tr w:rsidR="002B5F6F" w:rsidRPr="006C03F2" w:rsidTr="002B5F6F">
        <w:trPr>
          <w:trHeight w:val="743"/>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Committee Support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74.69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76.23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75.47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74.51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73.96</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73.96</w:t>
            </w:r>
          </w:p>
        </w:tc>
      </w:tr>
      <w:tr w:rsidR="002B5F6F" w:rsidRPr="006C03F2" w:rsidTr="002B5F6F">
        <w:trPr>
          <w:trHeight w:val="234"/>
        </w:trPr>
        <w:tc>
          <w:tcPr>
            <w:tcW w:w="1843" w:type="dxa"/>
            <w:tcBorders>
              <w:top w:val="single" w:sz="4" w:space="0" w:color="000000"/>
              <w:left w:val="single" w:sz="8" w:space="0" w:color="000000"/>
              <w:bottom w:val="single" w:sz="8" w:space="0" w:color="000000"/>
              <w:right w:val="single" w:sz="4" w:space="0" w:color="000000"/>
            </w:tcBorders>
            <w:shd w:val="clear" w:color="auto" w:fill="E7E6E6" w:themeFill="background2"/>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b/>
                <w:sz w:val="20"/>
                <w:szCs w:val="20"/>
                <w:lang w:eastAsia="en-ZA"/>
              </w:rPr>
            </w:pPr>
            <w:r w:rsidRPr="006C03F2">
              <w:rPr>
                <w:rFonts w:ascii="Arial" w:eastAsia="Times New Roman" w:hAnsi="Arial" w:cs="Arial"/>
                <w:b/>
                <w:bCs/>
                <w:kern w:val="24"/>
                <w:sz w:val="20"/>
                <w:szCs w:val="20"/>
                <w:lang w:eastAsia="en-ZA"/>
              </w:rPr>
              <w:t>Public Participation Support</w:t>
            </w:r>
          </w:p>
        </w:tc>
        <w:tc>
          <w:tcPr>
            <w:tcW w:w="155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71.13</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71.30</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70.43</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71.30</w:t>
            </w:r>
          </w:p>
        </w:tc>
        <w:tc>
          <w:tcPr>
            <w:tcW w:w="85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72.17</w:t>
            </w:r>
          </w:p>
        </w:tc>
        <w:tc>
          <w:tcPr>
            <w:tcW w:w="155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5C7826" w:rsidRPr="006C03F2" w:rsidRDefault="005C7826" w:rsidP="006C03F2">
            <w:pPr>
              <w:spacing w:after="0" w:line="240" w:lineRule="auto"/>
              <w:rPr>
                <w:rFonts w:ascii="Arial" w:eastAsia="Times New Roman" w:hAnsi="Arial" w:cs="Arial"/>
                <w:sz w:val="20"/>
                <w:szCs w:val="20"/>
                <w:lang w:eastAsia="en-ZA"/>
              </w:rPr>
            </w:pPr>
            <w:r w:rsidRPr="006C03F2">
              <w:rPr>
                <w:rFonts w:ascii="Arial" w:eastAsia="Times New Roman" w:hAnsi="Arial" w:cs="Arial"/>
                <w:kern w:val="24"/>
                <w:sz w:val="20"/>
                <w:szCs w:val="20"/>
                <w:lang w:eastAsia="en-ZA"/>
              </w:rPr>
              <w:t>70.87</w:t>
            </w:r>
          </w:p>
        </w:tc>
      </w:tr>
    </w:tbl>
    <w:p w:rsidR="002858D5" w:rsidRPr="006C03F2" w:rsidRDefault="00493914" w:rsidP="006C03F2">
      <w:pPr>
        <w:spacing w:after="0" w:line="240" w:lineRule="auto"/>
        <w:ind w:left="720"/>
        <w:rPr>
          <w:rFonts w:ascii="Arial" w:hAnsi="Arial" w:cs="Arial"/>
          <w:b/>
          <w:sz w:val="20"/>
          <w:szCs w:val="20"/>
          <w:lang w:val="en-GB" w:eastAsia="en-GB"/>
        </w:rPr>
      </w:pPr>
      <w:r w:rsidRPr="006C03F2">
        <w:rPr>
          <w:rFonts w:ascii="Arial" w:hAnsi="Arial" w:cs="Arial"/>
          <w:b/>
          <w:sz w:val="20"/>
          <w:szCs w:val="20"/>
          <w:lang w:val="en-GB" w:eastAsia="en-GB"/>
        </w:rPr>
        <w:t xml:space="preserve">Table 1: </w:t>
      </w:r>
      <w:r w:rsidR="00695227" w:rsidRPr="006C03F2">
        <w:rPr>
          <w:rFonts w:ascii="Arial" w:hAnsi="Arial" w:cs="Arial"/>
          <w:b/>
          <w:sz w:val="20"/>
          <w:szCs w:val="20"/>
          <w:lang w:val="en-GB" w:eastAsia="en-GB"/>
        </w:rPr>
        <w:t xml:space="preserve">Outcome of Member Satisfaction Survey, </w:t>
      </w:r>
      <w:r w:rsidR="00516E47" w:rsidRPr="006C03F2">
        <w:rPr>
          <w:rFonts w:ascii="Arial" w:hAnsi="Arial" w:cs="Arial"/>
          <w:b/>
          <w:sz w:val="20"/>
          <w:szCs w:val="20"/>
          <w:lang w:val="en-GB" w:eastAsia="en-GB"/>
        </w:rPr>
        <w:t xml:space="preserve">Fourth </w:t>
      </w:r>
      <w:r w:rsidR="000F5EDD" w:rsidRPr="006C03F2">
        <w:rPr>
          <w:rFonts w:ascii="Arial" w:hAnsi="Arial" w:cs="Arial"/>
          <w:b/>
          <w:sz w:val="20"/>
          <w:szCs w:val="20"/>
          <w:lang w:val="en-GB" w:eastAsia="en-GB"/>
        </w:rPr>
        <w:t>Quarter 2021/22</w:t>
      </w:r>
      <w:r w:rsidR="00695227" w:rsidRPr="006C03F2">
        <w:rPr>
          <w:rFonts w:ascii="Arial" w:hAnsi="Arial" w:cs="Arial"/>
          <w:b/>
          <w:sz w:val="20"/>
          <w:szCs w:val="20"/>
          <w:lang w:val="en-GB" w:eastAsia="en-GB"/>
        </w:rPr>
        <w:t xml:space="preserve"> (Source: Parliament of the RSA)</w:t>
      </w:r>
    </w:p>
    <w:p w:rsidR="00CA4712" w:rsidRPr="006C03F2" w:rsidRDefault="00CA4712" w:rsidP="006C03F2">
      <w:pPr>
        <w:spacing w:after="0" w:line="240" w:lineRule="auto"/>
        <w:rPr>
          <w:rFonts w:ascii="Arial" w:hAnsi="Arial" w:cs="Arial"/>
          <w:sz w:val="20"/>
          <w:szCs w:val="20"/>
          <w:lang w:val="en-GB" w:eastAsia="en-GB"/>
        </w:rPr>
      </w:pPr>
    </w:p>
    <w:p w:rsidR="00AE42C0" w:rsidRPr="006C03F2" w:rsidRDefault="009E67F5" w:rsidP="006C03F2">
      <w:pPr>
        <w:spacing w:after="0" w:line="240" w:lineRule="auto"/>
        <w:rPr>
          <w:rFonts w:ascii="Arial" w:hAnsi="Arial" w:cs="Arial"/>
          <w:b/>
          <w:sz w:val="20"/>
          <w:szCs w:val="20"/>
          <w:lang w:val="en-GB" w:eastAsia="en-GB"/>
        </w:rPr>
      </w:pPr>
      <w:r w:rsidRPr="006C03F2">
        <w:rPr>
          <w:rFonts w:ascii="Arial" w:hAnsi="Arial" w:cs="Arial"/>
          <w:b/>
          <w:sz w:val="20"/>
          <w:szCs w:val="20"/>
          <w:lang w:val="en-GB" w:eastAsia="en-GB"/>
        </w:rPr>
        <w:t>3</w:t>
      </w:r>
      <w:r w:rsidR="00AE42C0" w:rsidRPr="006C03F2">
        <w:rPr>
          <w:rFonts w:ascii="Arial" w:hAnsi="Arial" w:cs="Arial"/>
          <w:b/>
          <w:sz w:val="20"/>
          <w:szCs w:val="20"/>
          <w:lang w:val="en-GB" w:eastAsia="en-GB"/>
        </w:rPr>
        <w:t>.2</w:t>
      </w:r>
      <w:r w:rsidR="00AE42C0" w:rsidRPr="006C03F2">
        <w:rPr>
          <w:rFonts w:ascii="Arial" w:hAnsi="Arial" w:cs="Arial"/>
          <w:b/>
          <w:sz w:val="20"/>
          <w:szCs w:val="20"/>
          <w:lang w:val="en-GB" w:eastAsia="en-GB"/>
        </w:rPr>
        <w:tab/>
      </w:r>
      <w:r w:rsidR="008F303D" w:rsidRPr="006C03F2">
        <w:rPr>
          <w:rFonts w:ascii="Arial" w:hAnsi="Arial" w:cs="Arial"/>
          <w:b/>
          <w:sz w:val="20"/>
          <w:szCs w:val="20"/>
          <w:lang w:val="en-GB" w:eastAsia="en-GB"/>
        </w:rPr>
        <w:t>S</w:t>
      </w:r>
      <w:r w:rsidR="00A8392D" w:rsidRPr="006C03F2">
        <w:rPr>
          <w:rFonts w:ascii="Arial" w:hAnsi="Arial" w:cs="Arial"/>
          <w:b/>
          <w:sz w:val="20"/>
          <w:szCs w:val="20"/>
          <w:lang w:val="en-GB" w:eastAsia="en-GB"/>
        </w:rPr>
        <w:t>ummary of performance information</w:t>
      </w:r>
    </w:p>
    <w:p w:rsidR="00B65A27" w:rsidRPr="006C03F2" w:rsidRDefault="00B65A27" w:rsidP="006C03F2">
      <w:pPr>
        <w:spacing w:after="0" w:line="240" w:lineRule="auto"/>
        <w:rPr>
          <w:rFonts w:ascii="Arial" w:hAnsi="Arial" w:cs="Arial"/>
          <w:i/>
          <w:sz w:val="20"/>
          <w:szCs w:val="20"/>
          <w:lang w:val="en-ZA"/>
        </w:rPr>
      </w:pPr>
    </w:p>
    <w:p w:rsidR="00DC3693" w:rsidRPr="006C03F2" w:rsidRDefault="00DC3693" w:rsidP="006C03F2">
      <w:pPr>
        <w:spacing w:after="0" w:line="240" w:lineRule="auto"/>
        <w:ind w:firstLine="720"/>
        <w:rPr>
          <w:rFonts w:ascii="Arial" w:hAnsi="Arial" w:cs="Arial"/>
          <w:i/>
          <w:sz w:val="20"/>
          <w:szCs w:val="20"/>
          <w:lang w:val="en-ZA"/>
        </w:rPr>
      </w:pPr>
      <w:r w:rsidRPr="006C03F2">
        <w:rPr>
          <w:rFonts w:ascii="Arial" w:hAnsi="Arial" w:cs="Arial"/>
          <w:i/>
          <w:sz w:val="20"/>
          <w:szCs w:val="20"/>
          <w:lang w:val="en-ZA"/>
        </w:rPr>
        <w:t>Programme 1:</w:t>
      </w:r>
      <w:r w:rsidRPr="006C03F2">
        <w:rPr>
          <w:rFonts w:ascii="Arial" w:hAnsi="Arial" w:cs="Arial"/>
          <w:i/>
          <w:sz w:val="20"/>
          <w:szCs w:val="20"/>
          <w:lang w:val="en-ZA"/>
        </w:rPr>
        <w:tab/>
      </w:r>
      <w:r w:rsidR="002213A3" w:rsidRPr="006C03F2">
        <w:rPr>
          <w:rFonts w:ascii="Arial" w:hAnsi="Arial" w:cs="Arial"/>
          <w:i/>
          <w:sz w:val="20"/>
          <w:szCs w:val="20"/>
          <w:lang w:val="en-ZA"/>
        </w:rPr>
        <w:t>Administration</w:t>
      </w:r>
    </w:p>
    <w:p w:rsidR="002213A3" w:rsidRPr="006C03F2" w:rsidRDefault="00DC3693" w:rsidP="006C03F2">
      <w:pPr>
        <w:spacing w:after="0" w:line="240" w:lineRule="auto"/>
        <w:ind w:left="720" w:hanging="720"/>
        <w:rPr>
          <w:rFonts w:ascii="Arial" w:hAnsi="Arial" w:cs="Arial"/>
          <w:sz w:val="20"/>
          <w:szCs w:val="20"/>
        </w:rPr>
      </w:pPr>
      <w:r w:rsidRPr="006C03F2">
        <w:rPr>
          <w:rFonts w:ascii="Arial" w:hAnsi="Arial" w:cs="Arial"/>
          <w:sz w:val="20"/>
          <w:szCs w:val="20"/>
        </w:rPr>
        <w:t>3.2.1</w:t>
      </w:r>
      <w:r w:rsidRPr="006C03F2">
        <w:rPr>
          <w:rFonts w:ascii="Arial" w:hAnsi="Arial" w:cs="Arial"/>
          <w:sz w:val="20"/>
          <w:szCs w:val="20"/>
        </w:rPr>
        <w:tab/>
        <w:t>Programme 1 provides strategic leadership, management and corporate services to Parliament, and comprises the following sub-programmes: Executive Authority, Office of the Secretary, and Corporate and Support Services.</w:t>
      </w:r>
    </w:p>
    <w:p w:rsidR="00D407F7" w:rsidRPr="006C03F2" w:rsidRDefault="00D407F7" w:rsidP="006C03F2">
      <w:pPr>
        <w:spacing w:after="0" w:line="240" w:lineRule="auto"/>
        <w:ind w:left="720" w:hanging="720"/>
        <w:rPr>
          <w:rFonts w:ascii="Arial" w:hAnsi="Arial" w:cs="Arial"/>
          <w:sz w:val="20"/>
          <w:szCs w:val="20"/>
        </w:rPr>
      </w:pPr>
      <w:r w:rsidRPr="006C03F2">
        <w:rPr>
          <w:rFonts w:ascii="Arial" w:hAnsi="Arial" w:cs="Arial"/>
          <w:sz w:val="20"/>
          <w:szCs w:val="20"/>
        </w:rPr>
        <w:t>3.2.2</w:t>
      </w:r>
      <w:r w:rsidRPr="006C03F2">
        <w:rPr>
          <w:rFonts w:ascii="Arial" w:hAnsi="Arial" w:cs="Arial"/>
          <w:sz w:val="20"/>
          <w:szCs w:val="20"/>
        </w:rPr>
        <w:tab/>
        <w:t>All targets under this pro</w:t>
      </w:r>
      <w:r w:rsidR="002213A3" w:rsidRPr="006C03F2">
        <w:rPr>
          <w:rFonts w:ascii="Arial" w:hAnsi="Arial" w:cs="Arial"/>
          <w:sz w:val="20"/>
          <w:szCs w:val="20"/>
        </w:rPr>
        <w:t xml:space="preserve">gramme were met. </w:t>
      </w:r>
      <w:r w:rsidR="008F303D" w:rsidRPr="006C03F2">
        <w:rPr>
          <w:rFonts w:ascii="Arial" w:hAnsi="Arial" w:cs="Arial"/>
          <w:sz w:val="20"/>
          <w:szCs w:val="20"/>
        </w:rPr>
        <w:t>Table 2</w:t>
      </w:r>
      <w:r w:rsidR="00FE6F01" w:rsidRPr="006C03F2">
        <w:rPr>
          <w:rFonts w:ascii="Arial" w:hAnsi="Arial" w:cs="Arial"/>
          <w:sz w:val="20"/>
          <w:szCs w:val="20"/>
        </w:rPr>
        <w:t xml:space="preserve"> below illustrates that sub-programmes Digital Service and Facilities Management</w:t>
      </w:r>
      <w:r w:rsidR="008F303D" w:rsidRPr="006C03F2">
        <w:rPr>
          <w:rFonts w:ascii="Arial" w:hAnsi="Arial" w:cs="Arial"/>
          <w:sz w:val="20"/>
          <w:szCs w:val="20"/>
        </w:rPr>
        <w:t xml:space="preserve"> Service exceeded their targeted</w:t>
      </w:r>
      <w:r w:rsidR="00FE6F01" w:rsidRPr="006C03F2">
        <w:rPr>
          <w:rFonts w:ascii="Arial" w:hAnsi="Arial" w:cs="Arial"/>
          <w:sz w:val="20"/>
          <w:szCs w:val="20"/>
        </w:rPr>
        <w:t xml:space="preserve"> performance by 4,75 per cent, and 10,38 per cent respectively. The over-performance is ascribed to the newness of the satisfaction surveys for which there is no benchmark as yet.</w:t>
      </w:r>
      <w:r w:rsidR="00130DB8" w:rsidRPr="006C03F2">
        <w:rPr>
          <w:rFonts w:ascii="Arial" w:hAnsi="Arial" w:cs="Arial"/>
          <w:sz w:val="20"/>
          <w:szCs w:val="20"/>
        </w:rPr>
        <w:t xml:space="preserve"> Key performance trends under this programme are captured in paragraphs 3.2.3 </w:t>
      </w:r>
      <w:r w:rsidR="002B5F6F" w:rsidRPr="006C03F2">
        <w:rPr>
          <w:rFonts w:ascii="Arial" w:hAnsi="Arial" w:cs="Arial"/>
          <w:sz w:val="20"/>
          <w:szCs w:val="20"/>
        </w:rPr>
        <w:t>to 3.2.27</w:t>
      </w:r>
      <w:r w:rsidR="00130DB8" w:rsidRPr="006C03F2">
        <w:rPr>
          <w:rFonts w:ascii="Arial" w:hAnsi="Arial" w:cs="Arial"/>
          <w:sz w:val="20"/>
          <w:szCs w:val="20"/>
        </w:rPr>
        <w:t xml:space="preserve"> below.</w:t>
      </w:r>
    </w:p>
    <w:p w:rsidR="008F303D" w:rsidRPr="006C03F2" w:rsidRDefault="008F303D" w:rsidP="006C03F2">
      <w:pPr>
        <w:spacing w:after="0" w:line="240" w:lineRule="auto"/>
        <w:ind w:left="720" w:hanging="720"/>
        <w:rPr>
          <w:rFonts w:ascii="Arial" w:hAnsi="Arial" w:cs="Arial"/>
          <w:sz w:val="20"/>
          <w:szCs w:val="20"/>
        </w:rPr>
      </w:pPr>
    </w:p>
    <w:p w:rsidR="002B5F6F" w:rsidRPr="006C03F2" w:rsidRDefault="002B5F6F" w:rsidP="006C03F2">
      <w:pPr>
        <w:spacing w:after="0" w:line="240" w:lineRule="auto"/>
        <w:ind w:left="720" w:hanging="720"/>
        <w:rPr>
          <w:rFonts w:ascii="Arial" w:hAnsi="Arial" w:cs="Arial"/>
          <w:sz w:val="20"/>
          <w:szCs w:val="20"/>
        </w:rPr>
      </w:pPr>
    </w:p>
    <w:tbl>
      <w:tblPr>
        <w:tblW w:w="8505" w:type="dxa"/>
        <w:tblInd w:w="557" w:type="dxa"/>
        <w:tblLayout w:type="fixed"/>
        <w:tblCellMar>
          <w:left w:w="0" w:type="dxa"/>
          <w:right w:w="0" w:type="dxa"/>
        </w:tblCellMar>
        <w:tblLook w:val="04A0"/>
      </w:tblPr>
      <w:tblGrid>
        <w:gridCol w:w="1654"/>
        <w:gridCol w:w="1252"/>
        <w:gridCol w:w="959"/>
        <w:gridCol w:w="1380"/>
        <w:gridCol w:w="1134"/>
        <w:gridCol w:w="851"/>
        <w:gridCol w:w="1275"/>
      </w:tblGrid>
      <w:tr w:rsidR="002B5F6F" w:rsidRPr="006C03F2" w:rsidTr="002B5F6F">
        <w:trPr>
          <w:trHeight w:val="630"/>
        </w:trPr>
        <w:tc>
          <w:tcPr>
            <w:tcW w:w="165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Parliamentary Service</w:t>
            </w:r>
          </w:p>
        </w:tc>
        <w:tc>
          <w:tcPr>
            <w:tcW w:w="125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Indicator</w:t>
            </w:r>
          </w:p>
        </w:tc>
        <w:tc>
          <w:tcPr>
            <w:tcW w:w="959"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Q4 target</w:t>
            </w:r>
          </w:p>
        </w:tc>
        <w:tc>
          <w:tcPr>
            <w:tcW w:w="138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Q4 Performance</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Variance</w:t>
            </w:r>
          </w:p>
        </w:tc>
        <w:tc>
          <w:tcPr>
            <w:tcW w:w="85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Status</w:t>
            </w:r>
          </w:p>
        </w:tc>
        <w:tc>
          <w:tcPr>
            <w:tcW w:w="1275"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Reasons for Variance/ Mitigation</w:t>
            </w:r>
          </w:p>
        </w:tc>
      </w:tr>
      <w:tr w:rsidR="002B5F6F" w:rsidRPr="006C03F2" w:rsidTr="002B5F6F">
        <w:trPr>
          <w:trHeight w:val="605"/>
        </w:trPr>
        <w:tc>
          <w:tcPr>
            <w:tcW w:w="165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Digital service</w:t>
            </w:r>
          </w:p>
        </w:tc>
        <w:tc>
          <w:tcPr>
            <w:tcW w:w="125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sz w:val="20"/>
                <w:szCs w:val="20"/>
              </w:rPr>
            </w:pPr>
            <w:r w:rsidRPr="006C03F2">
              <w:rPr>
                <w:rFonts w:ascii="Arial" w:hAnsi="Arial" w:cs="Arial"/>
                <w:sz w:val="20"/>
                <w:szCs w:val="20"/>
              </w:rPr>
              <w:t>% Member satisfaction</w:t>
            </w:r>
          </w:p>
        </w:tc>
        <w:tc>
          <w:tcPr>
            <w:tcW w:w="9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sz w:val="20"/>
                <w:szCs w:val="20"/>
              </w:rPr>
            </w:pPr>
            <w:r w:rsidRPr="006C03F2">
              <w:rPr>
                <w:rFonts w:ascii="Arial" w:hAnsi="Arial" w:cs="Arial"/>
                <w:sz w:val="20"/>
                <w:szCs w:val="20"/>
              </w:rPr>
              <w:t>74%</w:t>
            </w:r>
          </w:p>
        </w:tc>
        <w:tc>
          <w:tcPr>
            <w:tcW w:w="138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sz w:val="20"/>
                <w:szCs w:val="20"/>
              </w:rPr>
            </w:pPr>
            <w:r w:rsidRPr="006C03F2">
              <w:rPr>
                <w:rFonts w:ascii="Arial" w:hAnsi="Arial" w:cs="Arial"/>
                <w:sz w:val="20"/>
                <w:szCs w:val="20"/>
              </w:rPr>
              <w:t> 78,75%</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sz w:val="20"/>
                <w:szCs w:val="20"/>
              </w:rPr>
            </w:pPr>
            <w:r w:rsidRPr="006C03F2">
              <w:rPr>
                <w:rFonts w:ascii="Arial" w:hAnsi="Arial" w:cs="Arial"/>
                <w:sz w:val="20"/>
                <w:szCs w:val="20"/>
              </w:rPr>
              <w:t> +4,75</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FE6F01" w:rsidP="006C03F2">
            <w:pPr>
              <w:spacing w:after="0" w:line="240" w:lineRule="auto"/>
              <w:rPr>
                <w:rFonts w:ascii="Arial" w:hAnsi="Arial" w:cs="Arial"/>
                <w:sz w:val="20"/>
                <w:szCs w:val="20"/>
              </w:rPr>
            </w:pPr>
            <w:r w:rsidRPr="006C03F2">
              <w:rPr>
                <w:rFonts w:ascii="Arial" w:hAnsi="Arial" w:cs="Arial"/>
                <w:sz w:val="20"/>
                <w:szCs w:val="20"/>
              </w:rPr>
              <w:t>Met</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C174E8" w:rsidP="006C03F2">
            <w:pPr>
              <w:spacing w:after="0" w:line="240" w:lineRule="auto"/>
              <w:rPr>
                <w:rFonts w:ascii="Arial" w:hAnsi="Arial" w:cs="Arial"/>
                <w:sz w:val="20"/>
                <w:szCs w:val="20"/>
              </w:rPr>
            </w:pPr>
            <w:r w:rsidRPr="006C03F2">
              <w:rPr>
                <w:rFonts w:ascii="Arial" w:hAnsi="Arial" w:cs="Arial"/>
                <w:sz w:val="20"/>
                <w:szCs w:val="20"/>
              </w:rPr>
              <w:t>n/a</w:t>
            </w:r>
          </w:p>
        </w:tc>
      </w:tr>
      <w:tr w:rsidR="002B5F6F" w:rsidRPr="006C03F2" w:rsidTr="002B5F6F">
        <w:trPr>
          <w:trHeight w:val="825"/>
        </w:trPr>
        <w:tc>
          <w:tcPr>
            <w:tcW w:w="165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b/>
                <w:sz w:val="20"/>
                <w:szCs w:val="20"/>
              </w:rPr>
            </w:pPr>
            <w:r w:rsidRPr="006C03F2">
              <w:rPr>
                <w:rFonts w:ascii="Arial" w:hAnsi="Arial" w:cs="Arial"/>
                <w:b/>
                <w:bCs/>
                <w:sz w:val="20"/>
                <w:szCs w:val="20"/>
              </w:rPr>
              <w:t>Facilities management service</w:t>
            </w:r>
          </w:p>
        </w:tc>
        <w:tc>
          <w:tcPr>
            <w:tcW w:w="125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hideMark/>
          </w:tcPr>
          <w:p w:rsidR="005C7826" w:rsidRPr="006C03F2" w:rsidRDefault="005C7826" w:rsidP="006C03F2">
            <w:pPr>
              <w:spacing w:after="0" w:line="240" w:lineRule="auto"/>
              <w:rPr>
                <w:rFonts w:ascii="Arial" w:hAnsi="Arial" w:cs="Arial"/>
                <w:sz w:val="20"/>
                <w:szCs w:val="20"/>
              </w:rPr>
            </w:pPr>
            <w:r w:rsidRPr="006C03F2">
              <w:rPr>
                <w:rFonts w:ascii="Arial" w:hAnsi="Arial" w:cs="Arial"/>
                <w:sz w:val="20"/>
                <w:szCs w:val="20"/>
              </w:rPr>
              <w:t>% Member satisfaction</w:t>
            </w:r>
          </w:p>
        </w:tc>
        <w:tc>
          <w:tcPr>
            <w:tcW w:w="9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sz w:val="20"/>
                <w:szCs w:val="20"/>
              </w:rPr>
            </w:pPr>
            <w:r w:rsidRPr="006C03F2">
              <w:rPr>
                <w:rFonts w:ascii="Arial" w:hAnsi="Arial" w:cs="Arial"/>
                <w:sz w:val="20"/>
                <w:szCs w:val="20"/>
              </w:rPr>
              <w:t>60%</w:t>
            </w:r>
          </w:p>
        </w:tc>
        <w:tc>
          <w:tcPr>
            <w:tcW w:w="138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sz w:val="20"/>
                <w:szCs w:val="20"/>
              </w:rPr>
            </w:pPr>
            <w:r w:rsidRPr="006C03F2">
              <w:rPr>
                <w:rFonts w:ascii="Arial" w:hAnsi="Arial" w:cs="Arial"/>
                <w:sz w:val="20"/>
                <w:szCs w:val="20"/>
              </w:rPr>
              <w:t> 70,38%</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5C7826" w:rsidP="006C03F2">
            <w:pPr>
              <w:spacing w:after="0" w:line="240" w:lineRule="auto"/>
              <w:rPr>
                <w:rFonts w:ascii="Arial" w:hAnsi="Arial" w:cs="Arial"/>
                <w:sz w:val="20"/>
                <w:szCs w:val="20"/>
              </w:rPr>
            </w:pPr>
            <w:r w:rsidRPr="006C03F2">
              <w:rPr>
                <w:rFonts w:ascii="Arial" w:hAnsi="Arial" w:cs="Arial"/>
                <w:sz w:val="20"/>
                <w:szCs w:val="20"/>
              </w:rPr>
              <w:t> +10,38</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FE6F01" w:rsidP="006C03F2">
            <w:pPr>
              <w:spacing w:after="0" w:line="240" w:lineRule="auto"/>
              <w:rPr>
                <w:rFonts w:ascii="Arial" w:hAnsi="Arial" w:cs="Arial"/>
                <w:sz w:val="20"/>
                <w:szCs w:val="20"/>
              </w:rPr>
            </w:pPr>
            <w:r w:rsidRPr="006C03F2">
              <w:rPr>
                <w:rFonts w:ascii="Arial" w:hAnsi="Arial" w:cs="Arial"/>
                <w:sz w:val="20"/>
                <w:szCs w:val="20"/>
              </w:rPr>
              <w:t>Met</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5C7826" w:rsidRPr="006C03F2" w:rsidRDefault="00C174E8" w:rsidP="006C03F2">
            <w:pPr>
              <w:spacing w:after="0" w:line="240" w:lineRule="auto"/>
              <w:rPr>
                <w:rFonts w:ascii="Arial" w:hAnsi="Arial" w:cs="Arial"/>
                <w:sz w:val="20"/>
                <w:szCs w:val="20"/>
              </w:rPr>
            </w:pPr>
            <w:r w:rsidRPr="006C03F2">
              <w:rPr>
                <w:rFonts w:ascii="Arial" w:hAnsi="Arial" w:cs="Arial"/>
                <w:sz w:val="20"/>
                <w:szCs w:val="20"/>
              </w:rPr>
              <w:t>n/a</w:t>
            </w:r>
          </w:p>
        </w:tc>
      </w:tr>
    </w:tbl>
    <w:p w:rsidR="005C7826" w:rsidRPr="006C03F2" w:rsidRDefault="00FE6F01" w:rsidP="006C03F2">
      <w:pPr>
        <w:spacing w:after="0" w:line="240" w:lineRule="auto"/>
        <w:ind w:firstLine="720"/>
        <w:rPr>
          <w:rFonts w:ascii="Arial" w:hAnsi="Arial" w:cs="Arial"/>
          <w:b/>
          <w:sz w:val="20"/>
          <w:szCs w:val="20"/>
          <w:lang w:val="en-GB" w:eastAsia="en-GB"/>
        </w:rPr>
      </w:pPr>
      <w:r w:rsidRPr="006C03F2">
        <w:rPr>
          <w:rFonts w:ascii="Arial" w:hAnsi="Arial" w:cs="Arial"/>
          <w:b/>
          <w:sz w:val="20"/>
          <w:szCs w:val="20"/>
          <w:lang w:val="en-GB" w:eastAsia="en-GB"/>
        </w:rPr>
        <w:t>Table 2: Programme 1: Administration</w:t>
      </w:r>
      <w:r w:rsidR="003232AB" w:rsidRPr="006C03F2">
        <w:rPr>
          <w:rFonts w:ascii="Arial" w:hAnsi="Arial" w:cs="Arial"/>
          <w:b/>
          <w:sz w:val="20"/>
          <w:szCs w:val="20"/>
          <w:lang w:val="en-GB" w:eastAsia="en-GB"/>
        </w:rPr>
        <w:t xml:space="preserve"> (Source: Parliament of the RSA)</w:t>
      </w:r>
    </w:p>
    <w:p w:rsidR="00FA3B99" w:rsidRPr="006C03F2" w:rsidRDefault="00FA3B99" w:rsidP="006C03F2">
      <w:pPr>
        <w:spacing w:after="0" w:line="240" w:lineRule="auto"/>
        <w:rPr>
          <w:rFonts w:ascii="Arial" w:hAnsi="Arial" w:cs="Arial"/>
          <w:sz w:val="20"/>
          <w:szCs w:val="20"/>
          <w:lang w:val="en-GB" w:eastAsia="en-GB"/>
        </w:rPr>
      </w:pPr>
    </w:p>
    <w:p w:rsidR="001F3DFD" w:rsidRPr="006C03F2" w:rsidRDefault="006D4C20" w:rsidP="006C03F2">
      <w:pPr>
        <w:spacing w:after="0" w:line="240" w:lineRule="auto"/>
        <w:rPr>
          <w:rFonts w:ascii="Arial" w:hAnsi="Arial" w:cs="Arial"/>
          <w:sz w:val="20"/>
          <w:szCs w:val="20"/>
          <w:lang w:val="en-ZA"/>
        </w:rPr>
      </w:pPr>
      <w:r w:rsidRPr="006C03F2">
        <w:rPr>
          <w:rFonts w:ascii="Arial" w:hAnsi="Arial" w:cs="Arial"/>
          <w:i/>
          <w:sz w:val="20"/>
          <w:szCs w:val="20"/>
        </w:rPr>
        <w:t>Information Communication Technology (ICT)</w:t>
      </w:r>
      <w:r w:rsidRPr="006C03F2">
        <w:rPr>
          <w:rFonts w:ascii="Arial" w:hAnsi="Arial" w:cs="Arial"/>
          <w:i/>
          <w:sz w:val="20"/>
          <w:szCs w:val="20"/>
        </w:rPr>
        <w:tab/>
      </w:r>
    </w:p>
    <w:p w:rsidR="00130DB8" w:rsidRPr="006C03F2" w:rsidRDefault="00130DB8" w:rsidP="006C03F2">
      <w:pPr>
        <w:spacing w:after="0" w:line="240" w:lineRule="auto"/>
        <w:ind w:left="720" w:hanging="720"/>
        <w:rPr>
          <w:rFonts w:ascii="Arial" w:hAnsi="Arial" w:cs="Arial"/>
          <w:iCs/>
          <w:sz w:val="20"/>
          <w:szCs w:val="20"/>
        </w:rPr>
      </w:pPr>
      <w:r w:rsidRPr="006C03F2">
        <w:rPr>
          <w:rFonts w:ascii="Arial" w:hAnsi="Arial" w:cs="Arial"/>
          <w:iCs/>
          <w:sz w:val="20"/>
          <w:szCs w:val="20"/>
        </w:rPr>
        <w:t>3.2.3</w:t>
      </w:r>
      <w:r w:rsidRPr="006C03F2">
        <w:rPr>
          <w:rFonts w:ascii="Arial" w:hAnsi="Arial" w:cs="Arial"/>
          <w:iCs/>
          <w:sz w:val="20"/>
          <w:szCs w:val="20"/>
        </w:rPr>
        <w:tab/>
        <w:t>The institution provided</w:t>
      </w:r>
      <w:r w:rsidRPr="006C03F2">
        <w:rPr>
          <w:rFonts w:ascii="Arial" w:hAnsi="Arial" w:cs="Arial"/>
          <w:i/>
          <w:iCs/>
          <w:sz w:val="20"/>
          <w:szCs w:val="20"/>
        </w:rPr>
        <w:t xml:space="preserve"> </w:t>
      </w:r>
      <w:r w:rsidRPr="006C03F2">
        <w:rPr>
          <w:rFonts w:ascii="Arial" w:hAnsi="Arial" w:cs="Arial"/>
          <w:iCs/>
          <w:sz w:val="20"/>
          <w:szCs w:val="20"/>
        </w:rPr>
        <w:t>ICT</w:t>
      </w:r>
      <w:r w:rsidR="00611327" w:rsidRPr="006C03F2">
        <w:rPr>
          <w:rFonts w:ascii="Arial" w:hAnsi="Arial" w:cs="Arial"/>
          <w:iCs/>
          <w:sz w:val="20"/>
          <w:szCs w:val="20"/>
        </w:rPr>
        <w:t>,</w:t>
      </w:r>
      <w:r w:rsidRPr="006C03F2">
        <w:rPr>
          <w:rFonts w:ascii="Arial" w:hAnsi="Arial" w:cs="Arial"/>
          <w:iCs/>
          <w:sz w:val="20"/>
          <w:szCs w:val="20"/>
        </w:rPr>
        <w:t xml:space="preserve"> and broadca</w:t>
      </w:r>
      <w:r w:rsidR="00611327" w:rsidRPr="006C03F2">
        <w:rPr>
          <w:rFonts w:ascii="Arial" w:hAnsi="Arial" w:cs="Arial"/>
          <w:iCs/>
          <w:sz w:val="20"/>
          <w:szCs w:val="20"/>
        </w:rPr>
        <w:t>st and audio-visual services to ensure that plenary sittings</w:t>
      </w:r>
      <w:r w:rsidRPr="006C03F2">
        <w:rPr>
          <w:rFonts w:ascii="Arial" w:hAnsi="Arial" w:cs="Arial"/>
          <w:iCs/>
          <w:sz w:val="20"/>
          <w:szCs w:val="20"/>
        </w:rPr>
        <w:t xml:space="preserve"> plenary sittings</w:t>
      </w:r>
      <w:r w:rsidR="00611327" w:rsidRPr="006C03F2">
        <w:rPr>
          <w:rFonts w:ascii="Arial" w:hAnsi="Arial" w:cs="Arial"/>
          <w:iCs/>
          <w:sz w:val="20"/>
          <w:szCs w:val="20"/>
        </w:rPr>
        <w:t xml:space="preserve"> and committee meetings, both virtual and hybrid,</w:t>
      </w:r>
      <w:r w:rsidRPr="006C03F2">
        <w:rPr>
          <w:rFonts w:ascii="Arial" w:hAnsi="Arial" w:cs="Arial"/>
          <w:iCs/>
          <w:sz w:val="20"/>
          <w:szCs w:val="20"/>
        </w:rPr>
        <w:t xml:space="preserve"> </w:t>
      </w:r>
      <w:r w:rsidR="00611327" w:rsidRPr="006C03F2">
        <w:rPr>
          <w:rFonts w:ascii="Arial" w:hAnsi="Arial" w:cs="Arial"/>
          <w:iCs/>
          <w:sz w:val="20"/>
          <w:szCs w:val="20"/>
        </w:rPr>
        <w:t>are broadcasted</w:t>
      </w:r>
      <w:r w:rsidRPr="006C03F2">
        <w:rPr>
          <w:rFonts w:ascii="Arial" w:hAnsi="Arial" w:cs="Arial"/>
          <w:iCs/>
          <w:sz w:val="20"/>
          <w:szCs w:val="20"/>
        </w:rPr>
        <w:t xml:space="preserve"> via television, radio, and streaming</w:t>
      </w:r>
      <w:r w:rsidR="00611327" w:rsidRPr="006C03F2">
        <w:rPr>
          <w:rFonts w:ascii="Arial" w:hAnsi="Arial" w:cs="Arial"/>
          <w:iCs/>
          <w:sz w:val="20"/>
          <w:szCs w:val="20"/>
        </w:rPr>
        <w:t xml:space="preserve"> services.</w:t>
      </w:r>
      <w:r w:rsidRPr="006C03F2">
        <w:rPr>
          <w:rFonts w:ascii="Arial" w:hAnsi="Arial" w:cs="Arial"/>
          <w:iCs/>
          <w:sz w:val="20"/>
          <w:szCs w:val="20"/>
        </w:rPr>
        <w:t xml:space="preserve"> </w:t>
      </w:r>
      <w:r w:rsidR="00611327" w:rsidRPr="006C03F2">
        <w:rPr>
          <w:rFonts w:ascii="Arial" w:hAnsi="Arial" w:cs="Arial"/>
          <w:iCs/>
          <w:sz w:val="20"/>
          <w:szCs w:val="20"/>
        </w:rPr>
        <w:t xml:space="preserve">These services were also used to </w:t>
      </w:r>
      <w:r w:rsidR="0098595F" w:rsidRPr="006C03F2">
        <w:rPr>
          <w:rFonts w:ascii="Arial" w:hAnsi="Arial" w:cs="Arial"/>
          <w:iCs/>
          <w:sz w:val="20"/>
          <w:szCs w:val="20"/>
        </w:rPr>
        <w:t xml:space="preserve">further public participation </w:t>
      </w:r>
      <w:r w:rsidR="00611327" w:rsidRPr="006C03F2">
        <w:rPr>
          <w:rFonts w:ascii="Arial" w:hAnsi="Arial" w:cs="Arial"/>
          <w:iCs/>
          <w:sz w:val="20"/>
          <w:szCs w:val="20"/>
        </w:rPr>
        <w:t xml:space="preserve">in </w:t>
      </w:r>
      <w:r w:rsidRPr="006C03F2">
        <w:rPr>
          <w:rFonts w:ascii="Arial" w:hAnsi="Arial" w:cs="Arial"/>
          <w:iCs/>
          <w:sz w:val="20"/>
          <w:szCs w:val="20"/>
        </w:rPr>
        <w:t>public hearings</w:t>
      </w:r>
      <w:r w:rsidR="0098595F" w:rsidRPr="006C03F2">
        <w:rPr>
          <w:rFonts w:ascii="Arial" w:hAnsi="Arial" w:cs="Arial"/>
          <w:iCs/>
          <w:sz w:val="20"/>
          <w:szCs w:val="20"/>
        </w:rPr>
        <w:t xml:space="preserve"> </w:t>
      </w:r>
      <w:r w:rsidRPr="006C03F2">
        <w:rPr>
          <w:rFonts w:ascii="Arial" w:hAnsi="Arial" w:cs="Arial"/>
          <w:iCs/>
          <w:sz w:val="20"/>
          <w:szCs w:val="20"/>
        </w:rPr>
        <w:t>held by committees in respect of the Gas Amendment Bill and the Electoral Bill.</w:t>
      </w:r>
    </w:p>
    <w:p w:rsidR="00130DB8" w:rsidRPr="006C03F2" w:rsidRDefault="00130DB8" w:rsidP="006C03F2">
      <w:pPr>
        <w:spacing w:after="0" w:line="240" w:lineRule="auto"/>
        <w:ind w:left="720" w:hanging="720"/>
        <w:rPr>
          <w:rFonts w:ascii="Arial" w:hAnsi="Arial" w:cs="Arial"/>
          <w:iCs/>
          <w:sz w:val="20"/>
          <w:szCs w:val="20"/>
        </w:rPr>
      </w:pPr>
      <w:r w:rsidRPr="006C03F2">
        <w:rPr>
          <w:rFonts w:ascii="Arial" w:hAnsi="Arial" w:cs="Arial"/>
          <w:iCs/>
          <w:sz w:val="20"/>
          <w:szCs w:val="20"/>
        </w:rPr>
        <w:t>3.</w:t>
      </w:r>
      <w:r w:rsidR="00611327" w:rsidRPr="006C03F2">
        <w:rPr>
          <w:rFonts w:ascii="Arial" w:hAnsi="Arial" w:cs="Arial"/>
          <w:iCs/>
          <w:sz w:val="20"/>
          <w:szCs w:val="20"/>
        </w:rPr>
        <w:t>2.4</w:t>
      </w:r>
      <w:r w:rsidRPr="006C03F2">
        <w:rPr>
          <w:rFonts w:ascii="Arial" w:hAnsi="Arial" w:cs="Arial"/>
          <w:iCs/>
          <w:sz w:val="20"/>
          <w:szCs w:val="20"/>
        </w:rPr>
        <w:tab/>
      </w:r>
      <w:r w:rsidR="007F2DC5" w:rsidRPr="006C03F2">
        <w:rPr>
          <w:rFonts w:ascii="Arial" w:hAnsi="Arial" w:cs="Arial"/>
          <w:iCs/>
          <w:sz w:val="20"/>
          <w:szCs w:val="20"/>
        </w:rPr>
        <w:t>In the</w:t>
      </w:r>
      <w:r w:rsidRPr="006C03F2">
        <w:rPr>
          <w:rFonts w:ascii="Arial" w:hAnsi="Arial" w:cs="Arial"/>
          <w:iCs/>
          <w:sz w:val="20"/>
          <w:szCs w:val="20"/>
        </w:rPr>
        <w:t xml:space="preserve"> period</w:t>
      </w:r>
      <w:r w:rsidR="00590D60" w:rsidRPr="006C03F2">
        <w:rPr>
          <w:rFonts w:ascii="Arial" w:hAnsi="Arial" w:cs="Arial"/>
          <w:iCs/>
          <w:sz w:val="20"/>
          <w:szCs w:val="20"/>
        </w:rPr>
        <w:t xml:space="preserve"> under review the </w:t>
      </w:r>
      <w:r w:rsidRPr="006C03F2">
        <w:rPr>
          <w:rFonts w:ascii="Arial" w:hAnsi="Arial" w:cs="Arial"/>
          <w:iCs/>
          <w:sz w:val="20"/>
          <w:szCs w:val="20"/>
        </w:rPr>
        <w:t xml:space="preserve">public, citizen interest groups, </w:t>
      </w:r>
      <w:r w:rsidR="00590D60" w:rsidRPr="006C03F2">
        <w:rPr>
          <w:rFonts w:ascii="Arial" w:hAnsi="Arial" w:cs="Arial"/>
          <w:iCs/>
          <w:sz w:val="20"/>
          <w:szCs w:val="20"/>
        </w:rPr>
        <w:t>parliamentarians, and the a</w:t>
      </w:r>
      <w:r w:rsidRPr="006C03F2">
        <w:rPr>
          <w:rFonts w:ascii="Arial" w:hAnsi="Arial" w:cs="Arial"/>
          <w:iCs/>
          <w:sz w:val="20"/>
          <w:szCs w:val="20"/>
        </w:rPr>
        <w:t>dministration were able to ac</w:t>
      </w:r>
      <w:r w:rsidR="00590D60" w:rsidRPr="006C03F2">
        <w:rPr>
          <w:rFonts w:ascii="Arial" w:hAnsi="Arial" w:cs="Arial"/>
          <w:iCs/>
          <w:sz w:val="20"/>
          <w:szCs w:val="20"/>
        </w:rPr>
        <w:t xml:space="preserve">cess the parliamentary website, </w:t>
      </w:r>
      <w:r w:rsidRPr="006C03F2">
        <w:rPr>
          <w:rFonts w:ascii="Arial" w:hAnsi="Arial" w:cs="Arial"/>
          <w:iCs/>
          <w:sz w:val="20"/>
          <w:szCs w:val="20"/>
        </w:rPr>
        <w:t>which is one of the institution’s primary digital commu</w:t>
      </w:r>
      <w:r w:rsidR="00590D60" w:rsidRPr="006C03F2">
        <w:rPr>
          <w:rFonts w:ascii="Arial" w:hAnsi="Arial" w:cs="Arial"/>
          <w:iCs/>
          <w:sz w:val="20"/>
          <w:szCs w:val="20"/>
        </w:rPr>
        <w:t>nication platforms</w:t>
      </w:r>
      <w:r w:rsidR="00611327" w:rsidRPr="006C03F2">
        <w:rPr>
          <w:rFonts w:ascii="Arial" w:hAnsi="Arial" w:cs="Arial"/>
          <w:iCs/>
          <w:sz w:val="20"/>
          <w:szCs w:val="20"/>
        </w:rPr>
        <w:t>.</w:t>
      </w:r>
      <w:r w:rsidR="00590D60" w:rsidRPr="006C03F2">
        <w:rPr>
          <w:rFonts w:ascii="Arial" w:hAnsi="Arial" w:cs="Arial"/>
          <w:iCs/>
          <w:sz w:val="20"/>
          <w:szCs w:val="20"/>
        </w:rPr>
        <w:t xml:space="preserve"> The website is one of the ways in which the institution </w:t>
      </w:r>
      <w:r w:rsidRPr="006C03F2">
        <w:rPr>
          <w:rFonts w:ascii="Arial" w:hAnsi="Arial" w:cs="Arial"/>
          <w:iCs/>
          <w:sz w:val="20"/>
          <w:szCs w:val="20"/>
        </w:rPr>
        <w:t>promote</w:t>
      </w:r>
      <w:r w:rsidR="00590D60" w:rsidRPr="006C03F2">
        <w:rPr>
          <w:rFonts w:ascii="Arial" w:hAnsi="Arial" w:cs="Arial"/>
          <w:iCs/>
          <w:sz w:val="20"/>
          <w:szCs w:val="20"/>
        </w:rPr>
        <w:t>s transparency of p</w:t>
      </w:r>
      <w:r w:rsidRPr="006C03F2">
        <w:rPr>
          <w:rFonts w:ascii="Arial" w:hAnsi="Arial" w:cs="Arial"/>
          <w:iCs/>
          <w:sz w:val="20"/>
          <w:szCs w:val="20"/>
        </w:rPr>
        <w:t>arliamentary activities and processes</w:t>
      </w:r>
      <w:r w:rsidR="00611327" w:rsidRPr="006C03F2">
        <w:rPr>
          <w:rFonts w:ascii="Arial" w:hAnsi="Arial" w:cs="Arial"/>
          <w:iCs/>
          <w:sz w:val="20"/>
          <w:szCs w:val="20"/>
        </w:rPr>
        <w:t>. The public is able to use this information</w:t>
      </w:r>
      <w:r w:rsidRPr="006C03F2">
        <w:rPr>
          <w:rFonts w:ascii="Arial" w:hAnsi="Arial" w:cs="Arial"/>
          <w:iCs/>
          <w:sz w:val="20"/>
          <w:szCs w:val="20"/>
        </w:rPr>
        <w:t xml:space="preserve"> for p</w:t>
      </w:r>
      <w:r w:rsidR="00590D60" w:rsidRPr="006C03F2">
        <w:rPr>
          <w:rFonts w:ascii="Arial" w:hAnsi="Arial" w:cs="Arial"/>
          <w:iCs/>
          <w:sz w:val="20"/>
          <w:szCs w:val="20"/>
        </w:rPr>
        <w:t>ublic participation engagement.</w:t>
      </w:r>
    </w:p>
    <w:p w:rsidR="00130DB8" w:rsidRPr="006C03F2" w:rsidRDefault="00611327" w:rsidP="006C03F2">
      <w:pPr>
        <w:spacing w:after="0" w:line="240" w:lineRule="auto"/>
        <w:ind w:left="720" w:hanging="720"/>
        <w:rPr>
          <w:rFonts w:ascii="Arial" w:hAnsi="Arial" w:cs="Arial"/>
          <w:iCs/>
          <w:sz w:val="20"/>
          <w:szCs w:val="20"/>
        </w:rPr>
      </w:pPr>
      <w:r w:rsidRPr="006C03F2">
        <w:rPr>
          <w:rFonts w:ascii="Arial" w:hAnsi="Arial" w:cs="Arial"/>
          <w:iCs/>
          <w:sz w:val="20"/>
          <w:szCs w:val="20"/>
        </w:rPr>
        <w:t>3.2.5</w:t>
      </w:r>
      <w:r w:rsidR="005668A6" w:rsidRPr="006C03F2">
        <w:rPr>
          <w:rFonts w:ascii="Arial" w:hAnsi="Arial" w:cs="Arial"/>
          <w:iCs/>
          <w:sz w:val="20"/>
          <w:szCs w:val="20"/>
        </w:rPr>
        <w:tab/>
      </w:r>
      <w:r w:rsidRPr="006C03F2">
        <w:rPr>
          <w:rFonts w:ascii="Arial" w:hAnsi="Arial" w:cs="Arial"/>
          <w:iCs/>
          <w:sz w:val="20"/>
          <w:szCs w:val="20"/>
        </w:rPr>
        <w:t>T</w:t>
      </w:r>
      <w:r w:rsidR="00590D60" w:rsidRPr="006C03F2">
        <w:rPr>
          <w:rFonts w:ascii="Arial" w:hAnsi="Arial" w:cs="Arial"/>
          <w:iCs/>
          <w:sz w:val="20"/>
          <w:szCs w:val="20"/>
        </w:rPr>
        <w:t>he broadcasting and the audio-visual infrastructure in the NA chamber and committee rooms in the New Wing, and the broadcasting infrastructure in the NCOP</w:t>
      </w:r>
      <w:r w:rsidRPr="006C03F2">
        <w:rPr>
          <w:rFonts w:ascii="Arial" w:hAnsi="Arial" w:cs="Arial"/>
          <w:iCs/>
          <w:sz w:val="20"/>
          <w:szCs w:val="20"/>
        </w:rPr>
        <w:t>, were damaged in the fire. The broadcast infrastructure in both the Good Hope Chamber and the NCOP Chamber were restored by 23 February 2022. T</w:t>
      </w:r>
      <w:r w:rsidR="00590D60" w:rsidRPr="006C03F2">
        <w:rPr>
          <w:rFonts w:ascii="Arial" w:hAnsi="Arial" w:cs="Arial"/>
          <w:iCs/>
          <w:sz w:val="20"/>
          <w:szCs w:val="20"/>
        </w:rPr>
        <w:t xml:space="preserve">he Good Hope Chamber </w:t>
      </w:r>
      <w:r w:rsidRPr="006C03F2">
        <w:rPr>
          <w:rFonts w:ascii="Arial" w:hAnsi="Arial" w:cs="Arial"/>
          <w:iCs/>
          <w:sz w:val="20"/>
          <w:szCs w:val="20"/>
        </w:rPr>
        <w:t>has since been equipped with facilities to allow for hybrid sittings of the NA.</w:t>
      </w:r>
    </w:p>
    <w:p w:rsidR="00B65A27" w:rsidRPr="006C03F2" w:rsidRDefault="00B65A27" w:rsidP="006C03F2">
      <w:pPr>
        <w:spacing w:after="0" w:line="240" w:lineRule="auto"/>
        <w:rPr>
          <w:rFonts w:ascii="Arial" w:hAnsi="Arial" w:cs="Arial"/>
          <w:i/>
          <w:sz w:val="20"/>
          <w:szCs w:val="20"/>
          <w:lang w:val="en-ZA"/>
        </w:rPr>
      </w:pPr>
    </w:p>
    <w:p w:rsidR="00684F89" w:rsidRPr="006C03F2" w:rsidRDefault="00493914" w:rsidP="006C03F2">
      <w:pPr>
        <w:spacing w:after="0" w:line="240" w:lineRule="auto"/>
        <w:ind w:firstLine="720"/>
        <w:rPr>
          <w:rFonts w:ascii="Arial" w:hAnsi="Arial" w:cs="Arial"/>
          <w:i/>
          <w:sz w:val="20"/>
          <w:szCs w:val="20"/>
          <w:lang w:val="en-ZA"/>
        </w:rPr>
      </w:pPr>
      <w:r w:rsidRPr="006C03F2">
        <w:rPr>
          <w:rFonts w:ascii="Arial" w:hAnsi="Arial" w:cs="Arial"/>
          <w:i/>
          <w:sz w:val="20"/>
          <w:szCs w:val="20"/>
          <w:lang w:val="en-ZA"/>
        </w:rPr>
        <w:t>Facilities Management</w:t>
      </w:r>
    </w:p>
    <w:p w:rsidR="005668A6" w:rsidRPr="006C03F2" w:rsidRDefault="00611327" w:rsidP="006C03F2">
      <w:pPr>
        <w:spacing w:after="0" w:line="240" w:lineRule="auto"/>
        <w:ind w:left="720" w:hanging="720"/>
        <w:rPr>
          <w:rFonts w:ascii="Arial" w:hAnsi="Arial" w:cs="Arial"/>
          <w:sz w:val="20"/>
          <w:szCs w:val="20"/>
        </w:rPr>
      </w:pPr>
      <w:r w:rsidRPr="006C03F2">
        <w:rPr>
          <w:rFonts w:ascii="Arial" w:hAnsi="Arial" w:cs="Arial"/>
          <w:sz w:val="20"/>
          <w:szCs w:val="20"/>
        </w:rPr>
        <w:t>3.2.6</w:t>
      </w:r>
      <w:r w:rsidR="005668A6" w:rsidRPr="006C03F2">
        <w:rPr>
          <w:rFonts w:ascii="Arial" w:hAnsi="Arial" w:cs="Arial"/>
          <w:sz w:val="20"/>
          <w:szCs w:val="20"/>
        </w:rPr>
        <w:tab/>
        <w:t>The Department of Public Works and Infrastructure (DPWI) has gone on tend</w:t>
      </w:r>
      <w:r w:rsidRPr="006C03F2">
        <w:rPr>
          <w:rFonts w:ascii="Arial" w:hAnsi="Arial" w:cs="Arial"/>
          <w:sz w:val="20"/>
          <w:szCs w:val="20"/>
        </w:rPr>
        <w:t>er to implement the space utilis</w:t>
      </w:r>
      <w:r w:rsidR="005668A6" w:rsidRPr="006C03F2">
        <w:rPr>
          <w:rFonts w:ascii="Arial" w:hAnsi="Arial" w:cs="Arial"/>
          <w:sz w:val="20"/>
          <w:szCs w:val="20"/>
        </w:rPr>
        <w:t xml:space="preserve">ation plan. </w:t>
      </w:r>
      <w:r w:rsidRPr="006C03F2">
        <w:rPr>
          <w:rFonts w:ascii="Arial" w:hAnsi="Arial" w:cs="Arial"/>
          <w:sz w:val="20"/>
          <w:szCs w:val="20"/>
        </w:rPr>
        <w:t xml:space="preserve">The </w:t>
      </w:r>
      <w:r w:rsidR="005668A6" w:rsidRPr="006C03F2">
        <w:rPr>
          <w:rFonts w:ascii="Arial" w:hAnsi="Arial" w:cs="Arial"/>
          <w:sz w:val="20"/>
          <w:szCs w:val="20"/>
        </w:rPr>
        <w:t>DPWI is in the process of engaging the Department of Rural Development with regard to evacuating</w:t>
      </w:r>
      <w:r w:rsidRPr="006C03F2">
        <w:rPr>
          <w:rFonts w:ascii="Arial" w:hAnsi="Arial" w:cs="Arial"/>
          <w:sz w:val="20"/>
          <w:szCs w:val="20"/>
        </w:rPr>
        <w:t xml:space="preserve"> the offices it occupies in the</w:t>
      </w:r>
      <w:r w:rsidR="005668A6" w:rsidRPr="006C03F2">
        <w:rPr>
          <w:rFonts w:ascii="Arial" w:hAnsi="Arial" w:cs="Arial"/>
          <w:sz w:val="20"/>
          <w:szCs w:val="20"/>
        </w:rPr>
        <w:t xml:space="preserve"> 90 Plein Street</w:t>
      </w:r>
      <w:r w:rsidRPr="006C03F2">
        <w:rPr>
          <w:rFonts w:ascii="Arial" w:hAnsi="Arial" w:cs="Arial"/>
          <w:sz w:val="20"/>
          <w:szCs w:val="20"/>
        </w:rPr>
        <w:t xml:space="preserve"> building</w:t>
      </w:r>
      <w:r w:rsidR="005668A6" w:rsidRPr="006C03F2">
        <w:rPr>
          <w:rFonts w:ascii="Arial" w:hAnsi="Arial" w:cs="Arial"/>
          <w:sz w:val="20"/>
          <w:szCs w:val="20"/>
        </w:rPr>
        <w:t xml:space="preserve"> for use by Parliament. This work is ongoing and progress reports will be provided as the process unfolds.</w:t>
      </w:r>
    </w:p>
    <w:p w:rsidR="005668A6" w:rsidRPr="006C03F2" w:rsidRDefault="00611327" w:rsidP="006C03F2">
      <w:pPr>
        <w:spacing w:after="0" w:line="240" w:lineRule="auto"/>
        <w:ind w:left="720" w:hanging="720"/>
        <w:rPr>
          <w:rFonts w:ascii="Arial" w:hAnsi="Arial" w:cs="Arial"/>
          <w:sz w:val="20"/>
          <w:szCs w:val="20"/>
        </w:rPr>
      </w:pPr>
      <w:r w:rsidRPr="006C03F2">
        <w:rPr>
          <w:rFonts w:ascii="Arial" w:hAnsi="Arial" w:cs="Arial"/>
          <w:sz w:val="20"/>
          <w:szCs w:val="20"/>
        </w:rPr>
        <w:t>3.2.7</w:t>
      </w:r>
      <w:r w:rsidR="005668A6" w:rsidRPr="006C03F2">
        <w:rPr>
          <w:rFonts w:ascii="Arial" w:hAnsi="Arial" w:cs="Arial"/>
          <w:sz w:val="20"/>
          <w:szCs w:val="20"/>
        </w:rPr>
        <w:tab/>
        <w:t>Members affected by the fire were relocated to the sixth floor in the 90 Plein Street building. The NCOP building has been declared safe for occupation and the process of retu</w:t>
      </w:r>
      <w:r w:rsidRPr="006C03F2">
        <w:rPr>
          <w:rFonts w:ascii="Arial" w:hAnsi="Arial" w:cs="Arial"/>
          <w:sz w:val="20"/>
          <w:szCs w:val="20"/>
        </w:rPr>
        <w:t>rning stakeholders to the NCOP was in process at the time of reporting.</w:t>
      </w:r>
    </w:p>
    <w:p w:rsidR="005668A6" w:rsidRPr="006C03F2" w:rsidRDefault="00611327" w:rsidP="006C03F2">
      <w:pPr>
        <w:spacing w:after="0" w:line="240" w:lineRule="auto"/>
        <w:ind w:left="720" w:hanging="720"/>
        <w:rPr>
          <w:rFonts w:ascii="Arial" w:hAnsi="Arial" w:cs="Arial"/>
          <w:sz w:val="20"/>
          <w:szCs w:val="20"/>
        </w:rPr>
      </w:pPr>
      <w:r w:rsidRPr="006C03F2">
        <w:rPr>
          <w:rFonts w:ascii="Arial" w:hAnsi="Arial" w:cs="Arial"/>
          <w:sz w:val="20"/>
          <w:szCs w:val="20"/>
        </w:rPr>
        <w:t>3.2.8</w:t>
      </w:r>
      <w:r w:rsidR="005668A6" w:rsidRPr="006C03F2">
        <w:rPr>
          <w:rFonts w:ascii="Arial" w:hAnsi="Arial" w:cs="Arial"/>
          <w:sz w:val="20"/>
          <w:szCs w:val="20"/>
        </w:rPr>
        <w:tab/>
      </w:r>
      <w:r w:rsidRPr="006C03F2">
        <w:rPr>
          <w:rFonts w:ascii="Arial" w:hAnsi="Arial" w:cs="Arial"/>
          <w:sz w:val="20"/>
          <w:szCs w:val="20"/>
        </w:rPr>
        <w:t>T</w:t>
      </w:r>
      <w:r w:rsidR="005668A6" w:rsidRPr="006C03F2">
        <w:rPr>
          <w:rFonts w:ascii="Arial" w:hAnsi="Arial" w:cs="Arial"/>
          <w:sz w:val="20"/>
          <w:szCs w:val="20"/>
        </w:rPr>
        <w:t>he Joint Planning Committee met in the period under review, to consider the revised Security Enhancement Plan of 2016.</w:t>
      </w:r>
    </w:p>
    <w:p w:rsidR="005668A6" w:rsidRPr="006C03F2" w:rsidRDefault="00611327" w:rsidP="006C03F2">
      <w:pPr>
        <w:spacing w:after="0" w:line="240" w:lineRule="auto"/>
        <w:ind w:left="720" w:hanging="720"/>
        <w:rPr>
          <w:rFonts w:ascii="Arial" w:hAnsi="Arial" w:cs="Arial"/>
          <w:sz w:val="20"/>
          <w:szCs w:val="20"/>
        </w:rPr>
      </w:pPr>
      <w:r w:rsidRPr="006C03F2">
        <w:rPr>
          <w:rFonts w:ascii="Arial" w:hAnsi="Arial" w:cs="Arial"/>
          <w:sz w:val="20"/>
          <w:szCs w:val="20"/>
        </w:rPr>
        <w:t>3.2.9</w:t>
      </w:r>
      <w:r w:rsidR="005668A6" w:rsidRPr="006C03F2">
        <w:rPr>
          <w:rFonts w:ascii="Arial" w:hAnsi="Arial" w:cs="Arial"/>
          <w:sz w:val="20"/>
          <w:szCs w:val="20"/>
        </w:rPr>
        <w:tab/>
      </w:r>
      <w:r w:rsidR="00767949" w:rsidRPr="006C03F2">
        <w:rPr>
          <w:rFonts w:ascii="Arial" w:hAnsi="Arial" w:cs="Arial"/>
          <w:sz w:val="20"/>
          <w:szCs w:val="20"/>
        </w:rPr>
        <w:t>Parliament’s COVID-19 compliance o</w:t>
      </w:r>
      <w:r w:rsidR="005668A6" w:rsidRPr="006C03F2">
        <w:rPr>
          <w:rFonts w:ascii="Arial" w:hAnsi="Arial" w:cs="Arial"/>
          <w:sz w:val="20"/>
          <w:szCs w:val="20"/>
        </w:rPr>
        <w:t>fficers</w:t>
      </w:r>
      <w:r w:rsidR="00767949" w:rsidRPr="006C03F2">
        <w:rPr>
          <w:rFonts w:ascii="Arial" w:hAnsi="Arial" w:cs="Arial"/>
          <w:sz w:val="20"/>
          <w:szCs w:val="20"/>
        </w:rPr>
        <w:t xml:space="preserve"> continued to ensure that the institution complied </w:t>
      </w:r>
      <w:r w:rsidR="005668A6" w:rsidRPr="006C03F2">
        <w:rPr>
          <w:rFonts w:ascii="Arial" w:hAnsi="Arial" w:cs="Arial"/>
          <w:sz w:val="20"/>
          <w:szCs w:val="20"/>
        </w:rPr>
        <w:t>with the COVID-19 regulations.</w:t>
      </w:r>
      <w:r w:rsidR="00767949" w:rsidRPr="006C03F2">
        <w:rPr>
          <w:rFonts w:ascii="Arial" w:hAnsi="Arial" w:cs="Arial"/>
          <w:sz w:val="20"/>
          <w:szCs w:val="20"/>
        </w:rPr>
        <w:t xml:space="preserve"> The</w:t>
      </w:r>
      <w:r w:rsidRPr="006C03F2">
        <w:rPr>
          <w:rFonts w:ascii="Arial" w:hAnsi="Arial" w:cs="Arial"/>
          <w:sz w:val="20"/>
          <w:szCs w:val="20"/>
        </w:rPr>
        <w:t xml:space="preserve"> Occupational Health, Safety and Environment team</w:t>
      </w:r>
      <w:r w:rsidR="00767949" w:rsidRPr="006C03F2">
        <w:rPr>
          <w:rFonts w:ascii="Arial" w:hAnsi="Arial" w:cs="Arial"/>
          <w:sz w:val="20"/>
          <w:szCs w:val="20"/>
        </w:rPr>
        <w:t xml:space="preserve"> (</w:t>
      </w:r>
      <w:r w:rsidR="005668A6" w:rsidRPr="006C03F2">
        <w:rPr>
          <w:rFonts w:ascii="Arial" w:hAnsi="Arial" w:cs="Arial"/>
          <w:sz w:val="20"/>
          <w:szCs w:val="20"/>
        </w:rPr>
        <w:t>OSHE</w:t>
      </w:r>
      <w:r w:rsidR="00767949" w:rsidRPr="006C03F2">
        <w:rPr>
          <w:rFonts w:ascii="Arial" w:hAnsi="Arial" w:cs="Arial"/>
          <w:sz w:val="20"/>
          <w:szCs w:val="20"/>
        </w:rPr>
        <w:t>) provided support to c</w:t>
      </w:r>
      <w:r w:rsidR="005668A6" w:rsidRPr="006C03F2">
        <w:rPr>
          <w:rFonts w:ascii="Arial" w:hAnsi="Arial" w:cs="Arial"/>
          <w:sz w:val="20"/>
          <w:szCs w:val="20"/>
        </w:rPr>
        <w:t>ommittees</w:t>
      </w:r>
      <w:r w:rsidR="00767949" w:rsidRPr="006C03F2">
        <w:rPr>
          <w:rFonts w:ascii="Arial" w:hAnsi="Arial" w:cs="Arial"/>
          <w:sz w:val="20"/>
          <w:szCs w:val="20"/>
        </w:rPr>
        <w:t xml:space="preserve"> who undertook public hearings</w:t>
      </w:r>
      <w:r w:rsidRPr="006C03F2">
        <w:rPr>
          <w:rFonts w:ascii="Arial" w:hAnsi="Arial" w:cs="Arial"/>
          <w:sz w:val="20"/>
          <w:szCs w:val="20"/>
        </w:rPr>
        <w:t xml:space="preserve"> and </w:t>
      </w:r>
      <w:r w:rsidR="00767949" w:rsidRPr="006C03F2">
        <w:rPr>
          <w:rFonts w:ascii="Arial" w:hAnsi="Arial" w:cs="Arial"/>
          <w:sz w:val="20"/>
          <w:szCs w:val="20"/>
        </w:rPr>
        <w:t>ensure</w:t>
      </w:r>
      <w:r w:rsidRPr="006C03F2">
        <w:rPr>
          <w:rFonts w:ascii="Arial" w:hAnsi="Arial" w:cs="Arial"/>
          <w:sz w:val="20"/>
          <w:szCs w:val="20"/>
        </w:rPr>
        <w:t>d</w:t>
      </w:r>
      <w:r w:rsidR="00767949" w:rsidRPr="006C03F2">
        <w:rPr>
          <w:rFonts w:ascii="Arial" w:hAnsi="Arial" w:cs="Arial"/>
          <w:sz w:val="20"/>
          <w:szCs w:val="20"/>
        </w:rPr>
        <w:t xml:space="preserve"> that venues complied</w:t>
      </w:r>
      <w:r w:rsidR="005668A6" w:rsidRPr="006C03F2">
        <w:rPr>
          <w:rFonts w:ascii="Arial" w:hAnsi="Arial" w:cs="Arial"/>
          <w:sz w:val="20"/>
          <w:szCs w:val="20"/>
        </w:rPr>
        <w:t xml:space="preserve"> with COVID-19 protocols.</w:t>
      </w:r>
    </w:p>
    <w:p w:rsidR="00767949" w:rsidRPr="006C03F2" w:rsidRDefault="00767949" w:rsidP="006C03F2">
      <w:pPr>
        <w:spacing w:after="0" w:line="240" w:lineRule="auto"/>
        <w:rPr>
          <w:rFonts w:ascii="Arial" w:hAnsi="Arial" w:cs="Arial"/>
          <w:i/>
          <w:sz w:val="20"/>
          <w:szCs w:val="20"/>
        </w:rPr>
      </w:pPr>
    </w:p>
    <w:p w:rsidR="00425AB6" w:rsidRPr="006C03F2" w:rsidRDefault="00493914" w:rsidP="006C03F2">
      <w:pPr>
        <w:spacing w:after="0" w:line="240" w:lineRule="auto"/>
        <w:ind w:firstLine="720"/>
        <w:rPr>
          <w:rFonts w:ascii="Arial" w:hAnsi="Arial" w:cs="Arial"/>
          <w:i/>
          <w:sz w:val="20"/>
          <w:szCs w:val="20"/>
        </w:rPr>
      </w:pPr>
      <w:r w:rsidRPr="006C03F2">
        <w:rPr>
          <w:rFonts w:ascii="Arial" w:hAnsi="Arial" w:cs="Arial"/>
          <w:i/>
          <w:sz w:val="20"/>
          <w:szCs w:val="20"/>
        </w:rPr>
        <w:t>Parlia</w:t>
      </w:r>
      <w:r w:rsidR="00425AB6" w:rsidRPr="006C03F2">
        <w:rPr>
          <w:rFonts w:ascii="Arial" w:hAnsi="Arial" w:cs="Arial"/>
          <w:i/>
          <w:sz w:val="20"/>
          <w:szCs w:val="20"/>
        </w:rPr>
        <w:t>mentary Communications Services</w:t>
      </w:r>
    </w:p>
    <w:p w:rsidR="00767949" w:rsidRPr="006C03F2" w:rsidRDefault="00611327" w:rsidP="006C03F2">
      <w:pPr>
        <w:spacing w:after="0" w:line="240" w:lineRule="auto"/>
        <w:ind w:left="720" w:hanging="720"/>
        <w:rPr>
          <w:rFonts w:ascii="Arial" w:hAnsi="Arial" w:cs="Arial"/>
          <w:sz w:val="20"/>
          <w:szCs w:val="20"/>
        </w:rPr>
      </w:pPr>
      <w:r w:rsidRPr="006C03F2">
        <w:rPr>
          <w:rFonts w:ascii="Arial" w:hAnsi="Arial" w:cs="Arial"/>
          <w:sz w:val="20"/>
          <w:szCs w:val="20"/>
        </w:rPr>
        <w:t>3.2.10</w:t>
      </w:r>
      <w:r w:rsidR="00767949" w:rsidRPr="006C03F2">
        <w:rPr>
          <w:rFonts w:ascii="Arial" w:hAnsi="Arial" w:cs="Arial"/>
          <w:sz w:val="20"/>
          <w:szCs w:val="20"/>
        </w:rPr>
        <w:tab/>
        <w:t xml:space="preserve">Communication support was provided to 19 oversight visits </w:t>
      </w:r>
      <w:r w:rsidR="00322128" w:rsidRPr="006C03F2">
        <w:rPr>
          <w:rFonts w:ascii="Arial" w:hAnsi="Arial" w:cs="Arial"/>
          <w:sz w:val="20"/>
          <w:szCs w:val="20"/>
        </w:rPr>
        <w:t>thereby ensuring</w:t>
      </w:r>
      <w:r w:rsidR="00767949" w:rsidRPr="006C03F2">
        <w:rPr>
          <w:rFonts w:ascii="Arial" w:hAnsi="Arial" w:cs="Arial"/>
          <w:sz w:val="20"/>
          <w:szCs w:val="20"/>
        </w:rPr>
        <w:t xml:space="preserve"> that </w:t>
      </w:r>
      <w:r w:rsidR="00322128" w:rsidRPr="006C03F2">
        <w:rPr>
          <w:rFonts w:ascii="Arial" w:hAnsi="Arial" w:cs="Arial"/>
          <w:sz w:val="20"/>
          <w:szCs w:val="20"/>
        </w:rPr>
        <w:t xml:space="preserve">the </w:t>
      </w:r>
      <w:r w:rsidR="00767949" w:rsidRPr="006C03F2">
        <w:rPr>
          <w:rFonts w:ascii="Arial" w:hAnsi="Arial" w:cs="Arial"/>
          <w:sz w:val="20"/>
          <w:szCs w:val="20"/>
        </w:rPr>
        <w:t xml:space="preserve">work of committees was communicated to internal and external audiences. Media liaison, stakeholder engagement and branding support was provided to the 42 public hearings that took place </w:t>
      </w:r>
      <w:r w:rsidR="00322128" w:rsidRPr="006C03F2">
        <w:rPr>
          <w:rFonts w:ascii="Arial" w:hAnsi="Arial" w:cs="Arial"/>
          <w:sz w:val="20"/>
          <w:szCs w:val="20"/>
        </w:rPr>
        <w:t xml:space="preserve">across </w:t>
      </w:r>
      <w:r w:rsidR="00767949" w:rsidRPr="006C03F2">
        <w:rPr>
          <w:rFonts w:ascii="Arial" w:hAnsi="Arial" w:cs="Arial"/>
          <w:sz w:val="20"/>
          <w:szCs w:val="20"/>
        </w:rPr>
        <w:t>the country.</w:t>
      </w:r>
    </w:p>
    <w:p w:rsidR="00767949" w:rsidRPr="006C03F2" w:rsidRDefault="00611327" w:rsidP="006C03F2">
      <w:pPr>
        <w:spacing w:after="0" w:line="240" w:lineRule="auto"/>
        <w:ind w:left="720" w:hanging="720"/>
        <w:rPr>
          <w:rFonts w:ascii="Arial" w:hAnsi="Arial" w:cs="Arial"/>
          <w:sz w:val="20"/>
          <w:szCs w:val="20"/>
        </w:rPr>
      </w:pPr>
      <w:r w:rsidRPr="006C03F2">
        <w:rPr>
          <w:rFonts w:ascii="Arial" w:hAnsi="Arial" w:cs="Arial"/>
          <w:sz w:val="20"/>
          <w:szCs w:val="20"/>
        </w:rPr>
        <w:t>3.2.11</w:t>
      </w:r>
      <w:r w:rsidR="00767949" w:rsidRPr="006C03F2">
        <w:rPr>
          <w:rFonts w:ascii="Arial" w:hAnsi="Arial" w:cs="Arial"/>
          <w:sz w:val="20"/>
          <w:szCs w:val="20"/>
        </w:rPr>
        <w:tab/>
        <w:t xml:space="preserve">Communication plans were developed to support the activities of Parliament </w:t>
      </w:r>
      <w:r w:rsidR="000721A1" w:rsidRPr="006C03F2">
        <w:rPr>
          <w:rFonts w:ascii="Arial" w:hAnsi="Arial" w:cs="Arial"/>
          <w:sz w:val="20"/>
          <w:szCs w:val="20"/>
        </w:rPr>
        <w:t>including</w:t>
      </w:r>
      <w:r w:rsidR="00767949" w:rsidRPr="006C03F2">
        <w:rPr>
          <w:rFonts w:ascii="Arial" w:hAnsi="Arial" w:cs="Arial"/>
          <w:sz w:val="20"/>
          <w:szCs w:val="20"/>
        </w:rPr>
        <w:t xml:space="preserve"> </w:t>
      </w:r>
      <w:r w:rsidR="000F34DD" w:rsidRPr="006C03F2">
        <w:rPr>
          <w:rFonts w:ascii="Arial" w:hAnsi="Arial" w:cs="Arial"/>
          <w:sz w:val="20"/>
          <w:szCs w:val="20"/>
        </w:rPr>
        <w:t>hybrid and virtual sittings of the two h</w:t>
      </w:r>
      <w:r w:rsidR="000721A1" w:rsidRPr="006C03F2">
        <w:rPr>
          <w:rFonts w:ascii="Arial" w:hAnsi="Arial" w:cs="Arial"/>
          <w:sz w:val="20"/>
          <w:szCs w:val="20"/>
        </w:rPr>
        <w:t>ouses, public hearings by committees, the</w:t>
      </w:r>
      <w:r w:rsidR="00767949" w:rsidRPr="006C03F2">
        <w:rPr>
          <w:rFonts w:ascii="Arial" w:hAnsi="Arial" w:cs="Arial"/>
          <w:sz w:val="20"/>
          <w:szCs w:val="20"/>
        </w:rPr>
        <w:t xml:space="preserve"> State of the Nation Address</w:t>
      </w:r>
      <w:r w:rsidR="000721A1" w:rsidRPr="006C03F2">
        <w:rPr>
          <w:rFonts w:ascii="Arial" w:hAnsi="Arial" w:cs="Arial"/>
          <w:sz w:val="20"/>
          <w:szCs w:val="20"/>
        </w:rPr>
        <w:t xml:space="preserve"> (SONA)</w:t>
      </w:r>
      <w:r w:rsidR="00767949" w:rsidRPr="006C03F2">
        <w:rPr>
          <w:rFonts w:ascii="Arial" w:hAnsi="Arial" w:cs="Arial"/>
          <w:sz w:val="20"/>
          <w:szCs w:val="20"/>
        </w:rPr>
        <w:t>,</w:t>
      </w:r>
      <w:r w:rsidR="000721A1" w:rsidRPr="006C03F2">
        <w:rPr>
          <w:rFonts w:ascii="Arial" w:hAnsi="Arial" w:cs="Arial"/>
          <w:sz w:val="20"/>
          <w:szCs w:val="20"/>
        </w:rPr>
        <w:t xml:space="preserve"> the budget s</w:t>
      </w:r>
      <w:r w:rsidR="00767949" w:rsidRPr="006C03F2">
        <w:rPr>
          <w:rFonts w:ascii="Arial" w:hAnsi="Arial" w:cs="Arial"/>
          <w:sz w:val="20"/>
          <w:szCs w:val="20"/>
        </w:rPr>
        <w:t xml:space="preserve">peech, </w:t>
      </w:r>
      <w:r w:rsidR="000721A1" w:rsidRPr="006C03F2">
        <w:rPr>
          <w:rFonts w:ascii="Arial" w:hAnsi="Arial" w:cs="Arial"/>
          <w:sz w:val="20"/>
          <w:szCs w:val="20"/>
        </w:rPr>
        <w:t xml:space="preserve">the </w:t>
      </w:r>
      <w:r w:rsidR="00767949" w:rsidRPr="006C03F2">
        <w:rPr>
          <w:rFonts w:ascii="Arial" w:hAnsi="Arial" w:cs="Arial"/>
          <w:sz w:val="20"/>
          <w:szCs w:val="20"/>
        </w:rPr>
        <w:t>Inter-Parlia</w:t>
      </w:r>
      <w:r w:rsidR="000721A1" w:rsidRPr="006C03F2">
        <w:rPr>
          <w:rFonts w:ascii="Arial" w:hAnsi="Arial" w:cs="Arial"/>
          <w:sz w:val="20"/>
          <w:szCs w:val="20"/>
        </w:rPr>
        <w:t>mentary Union</w:t>
      </w:r>
      <w:r w:rsidR="00322128" w:rsidRPr="006C03F2">
        <w:rPr>
          <w:rFonts w:ascii="Arial" w:hAnsi="Arial" w:cs="Arial"/>
          <w:sz w:val="20"/>
          <w:szCs w:val="20"/>
        </w:rPr>
        <w:t xml:space="preserve"> (IPU)</w:t>
      </w:r>
      <w:r w:rsidR="000721A1" w:rsidRPr="006C03F2">
        <w:rPr>
          <w:rFonts w:ascii="Arial" w:hAnsi="Arial" w:cs="Arial"/>
          <w:sz w:val="20"/>
          <w:szCs w:val="20"/>
        </w:rPr>
        <w:t xml:space="preserve"> and the </w:t>
      </w:r>
      <w:r w:rsidR="00767949" w:rsidRPr="006C03F2">
        <w:rPr>
          <w:rFonts w:ascii="Arial" w:hAnsi="Arial" w:cs="Arial"/>
          <w:sz w:val="20"/>
          <w:szCs w:val="20"/>
        </w:rPr>
        <w:t>NCOP Provincial Week Programme</w:t>
      </w:r>
      <w:r w:rsidR="000721A1" w:rsidRPr="006C03F2">
        <w:rPr>
          <w:rFonts w:ascii="Arial" w:hAnsi="Arial" w:cs="Arial"/>
          <w:sz w:val="20"/>
          <w:szCs w:val="20"/>
        </w:rPr>
        <w:t>.</w:t>
      </w:r>
    </w:p>
    <w:p w:rsidR="00685076" w:rsidRPr="006C03F2" w:rsidRDefault="00322128" w:rsidP="006C03F2">
      <w:pPr>
        <w:spacing w:after="0" w:line="240" w:lineRule="auto"/>
        <w:ind w:left="720" w:hanging="720"/>
        <w:rPr>
          <w:rFonts w:ascii="Arial" w:hAnsi="Arial" w:cs="Arial"/>
          <w:sz w:val="20"/>
          <w:szCs w:val="20"/>
        </w:rPr>
      </w:pPr>
      <w:r w:rsidRPr="006C03F2">
        <w:rPr>
          <w:rFonts w:ascii="Arial" w:hAnsi="Arial" w:cs="Arial"/>
          <w:sz w:val="20"/>
          <w:szCs w:val="20"/>
        </w:rPr>
        <w:t>3.2.12</w:t>
      </w:r>
      <w:r w:rsidR="000721A1" w:rsidRPr="006C03F2">
        <w:rPr>
          <w:rFonts w:ascii="Arial" w:hAnsi="Arial" w:cs="Arial"/>
          <w:sz w:val="20"/>
          <w:szCs w:val="20"/>
        </w:rPr>
        <w:tab/>
        <w:t>A total of 3</w:t>
      </w:r>
      <w:r w:rsidR="00767949" w:rsidRPr="006C03F2">
        <w:rPr>
          <w:rFonts w:ascii="Arial" w:hAnsi="Arial" w:cs="Arial"/>
          <w:sz w:val="20"/>
          <w:szCs w:val="20"/>
        </w:rPr>
        <w:t xml:space="preserve">40 media advisories and releases were developed and distributed </w:t>
      </w:r>
      <w:r w:rsidR="000721A1" w:rsidRPr="006C03F2">
        <w:rPr>
          <w:rFonts w:ascii="Arial" w:hAnsi="Arial" w:cs="Arial"/>
          <w:sz w:val="20"/>
          <w:szCs w:val="20"/>
        </w:rPr>
        <w:t xml:space="preserve">in respect of, amongst others, the presiding </w:t>
      </w:r>
      <w:r w:rsidR="00685076" w:rsidRPr="006C03F2">
        <w:rPr>
          <w:rFonts w:ascii="Arial" w:hAnsi="Arial" w:cs="Arial"/>
          <w:sz w:val="20"/>
          <w:szCs w:val="20"/>
        </w:rPr>
        <w:t>officers’</w:t>
      </w:r>
      <w:r w:rsidR="00767949" w:rsidRPr="006C03F2">
        <w:rPr>
          <w:rFonts w:ascii="Arial" w:hAnsi="Arial" w:cs="Arial"/>
          <w:sz w:val="20"/>
          <w:szCs w:val="20"/>
        </w:rPr>
        <w:t xml:space="preserve"> </w:t>
      </w:r>
      <w:r w:rsidR="00685076" w:rsidRPr="006C03F2">
        <w:rPr>
          <w:rFonts w:ascii="Arial" w:hAnsi="Arial" w:cs="Arial"/>
          <w:sz w:val="20"/>
          <w:szCs w:val="20"/>
        </w:rPr>
        <w:t xml:space="preserve">remarks </w:t>
      </w:r>
      <w:r w:rsidR="00767949" w:rsidRPr="006C03F2">
        <w:rPr>
          <w:rFonts w:ascii="Arial" w:hAnsi="Arial" w:cs="Arial"/>
          <w:sz w:val="20"/>
          <w:szCs w:val="20"/>
        </w:rPr>
        <w:t xml:space="preserve">at the </w:t>
      </w:r>
      <w:r w:rsidR="000721A1" w:rsidRPr="006C03F2">
        <w:rPr>
          <w:rFonts w:ascii="Arial" w:hAnsi="Arial" w:cs="Arial"/>
          <w:sz w:val="20"/>
          <w:szCs w:val="20"/>
        </w:rPr>
        <w:t>official h</w:t>
      </w:r>
      <w:r w:rsidR="00767949" w:rsidRPr="006C03F2">
        <w:rPr>
          <w:rFonts w:ascii="Arial" w:hAnsi="Arial" w:cs="Arial"/>
          <w:sz w:val="20"/>
          <w:szCs w:val="20"/>
        </w:rPr>
        <w:t>andover o</w:t>
      </w:r>
      <w:r w:rsidR="000721A1" w:rsidRPr="006C03F2">
        <w:rPr>
          <w:rFonts w:ascii="Arial" w:hAnsi="Arial" w:cs="Arial"/>
          <w:sz w:val="20"/>
          <w:szCs w:val="20"/>
        </w:rPr>
        <w:t>f the Cape Town City Hall to</w:t>
      </w:r>
      <w:r w:rsidR="00767949" w:rsidRPr="006C03F2">
        <w:rPr>
          <w:rFonts w:ascii="Arial" w:hAnsi="Arial" w:cs="Arial"/>
          <w:sz w:val="20"/>
          <w:szCs w:val="20"/>
        </w:rPr>
        <w:t xml:space="preserve"> Parliament </w:t>
      </w:r>
      <w:r w:rsidR="000721A1" w:rsidRPr="006C03F2">
        <w:rPr>
          <w:rFonts w:ascii="Arial" w:hAnsi="Arial" w:cs="Arial"/>
          <w:sz w:val="20"/>
          <w:szCs w:val="20"/>
        </w:rPr>
        <w:t>for the hosting of the 2022 SONA</w:t>
      </w:r>
      <w:r w:rsidR="00B65A27" w:rsidRPr="006C03F2">
        <w:rPr>
          <w:rFonts w:ascii="Arial" w:hAnsi="Arial" w:cs="Arial"/>
          <w:sz w:val="20"/>
          <w:szCs w:val="20"/>
        </w:rPr>
        <w:t>.</w:t>
      </w:r>
    </w:p>
    <w:p w:rsidR="00685076" w:rsidRPr="006C03F2" w:rsidRDefault="00322128" w:rsidP="006C03F2">
      <w:pPr>
        <w:spacing w:after="0" w:line="240" w:lineRule="auto"/>
        <w:ind w:left="720" w:hanging="720"/>
        <w:rPr>
          <w:rFonts w:ascii="Arial" w:hAnsi="Arial" w:cs="Arial"/>
          <w:sz w:val="20"/>
          <w:szCs w:val="20"/>
        </w:rPr>
      </w:pPr>
      <w:r w:rsidRPr="006C03F2">
        <w:rPr>
          <w:rFonts w:ascii="Arial" w:hAnsi="Arial" w:cs="Arial"/>
          <w:sz w:val="20"/>
          <w:szCs w:val="20"/>
        </w:rPr>
        <w:t>3.2.13</w:t>
      </w:r>
      <w:r w:rsidR="00685076" w:rsidRPr="006C03F2">
        <w:rPr>
          <w:rFonts w:ascii="Arial" w:hAnsi="Arial" w:cs="Arial"/>
          <w:sz w:val="20"/>
          <w:szCs w:val="20"/>
        </w:rPr>
        <w:tab/>
        <w:t>A total of 230 media statements and a</w:t>
      </w:r>
      <w:r w:rsidR="00767949" w:rsidRPr="006C03F2">
        <w:rPr>
          <w:rFonts w:ascii="Arial" w:hAnsi="Arial" w:cs="Arial"/>
          <w:sz w:val="20"/>
          <w:szCs w:val="20"/>
        </w:rPr>
        <w:t>lerts</w:t>
      </w:r>
      <w:r w:rsidR="00685076" w:rsidRPr="006C03F2">
        <w:rPr>
          <w:rFonts w:ascii="Arial" w:hAnsi="Arial" w:cs="Arial"/>
          <w:sz w:val="20"/>
          <w:szCs w:val="20"/>
        </w:rPr>
        <w:t xml:space="preserve"> were issued in support of c</w:t>
      </w:r>
      <w:r w:rsidR="00767949" w:rsidRPr="006C03F2">
        <w:rPr>
          <w:rFonts w:ascii="Arial" w:hAnsi="Arial" w:cs="Arial"/>
          <w:sz w:val="20"/>
          <w:szCs w:val="20"/>
        </w:rPr>
        <w:t>ommittee</w:t>
      </w:r>
      <w:r w:rsidR="00685076" w:rsidRPr="006C03F2">
        <w:rPr>
          <w:rFonts w:ascii="Arial" w:hAnsi="Arial" w:cs="Arial"/>
          <w:sz w:val="20"/>
          <w:szCs w:val="20"/>
        </w:rPr>
        <w:t>, and 49 articles on c</w:t>
      </w:r>
      <w:r w:rsidRPr="006C03F2">
        <w:rPr>
          <w:rFonts w:ascii="Arial" w:hAnsi="Arial" w:cs="Arial"/>
          <w:sz w:val="20"/>
          <w:szCs w:val="20"/>
        </w:rPr>
        <w:t>ommittee activities</w:t>
      </w:r>
      <w:r w:rsidR="00767949" w:rsidRPr="006C03F2">
        <w:rPr>
          <w:rFonts w:ascii="Arial" w:hAnsi="Arial" w:cs="Arial"/>
          <w:sz w:val="20"/>
          <w:szCs w:val="20"/>
        </w:rPr>
        <w:t xml:space="preserve"> were written for the website.</w:t>
      </w:r>
    </w:p>
    <w:p w:rsidR="00767949" w:rsidRPr="006C03F2" w:rsidRDefault="00322128" w:rsidP="006C03F2">
      <w:pPr>
        <w:spacing w:after="0" w:line="240" w:lineRule="auto"/>
        <w:ind w:left="720" w:hanging="720"/>
        <w:rPr>
          <w:rFonts w:ascii="Arial" w:hAnsi="Arial" w:cs="Arial"/>
          <w:sz w:val="20"/>
          <w:szCs w:val="20"/>
        </w:rPr>
      </w:pPr>
      <w:r w:rsidRPr="006C03F2">
        <w:rPr>
          <w:rFonts w:ascii="Arial" w:hAnsi="Arial" w:cs="Arial"/>
          <w:sz w:val="20"/>
          <w:szCs w:val="20"/>
        </w:rPr>
        <w:t>3.2.14</w:t>
      </w:r>
      <w:r w:rsidR="00685076" w:rsidRPr="006C03F2">
        <w:rPr>
          <w:rFonts w:ascii="Arial" w:hAnsi="Arial" w:cs="Arial"/>
          <w:sz w:val="20"/>
          <w:szCs w:val="20"/>
        </w:rPr>
        <w:tab/>
        <w:t>The institutional research surveys on public awareness and stakeholder satisfaction were concluded for the 2021/2022 financial year, and the reports have been submitted to Parliament.</w:t>
      </w:r>
    </w:p>
    <w:p w:rsidR="00685076" w:rsidRPr="006C03F2" w:rsidRDefault="00322128" w:rsidP="006C03F2">
      <w:pPr>
        <w:spacing w:after="0" w:line="240" w:lineRule="auto"/>
        <w:ind w:left="720" w:hanging="720"/>
        <w:rPr>
          <w:rFonts w:ascii="Arial" w:hAnsi="Arial" w:cs="Arial"/>
          <w:sz w:val="20"/>
          <w:szCs w:val="20"/>
        </w:rPr>
      </w:pPr>
      <w:r w:rsidRPr="006C03F2">
        <w:rPr>
          <w:rFonts w:ascii="Arial" w:hAnsi="Arial" w:cs="Arial"/>
          <w:sz w:val="20"/>
          <w:szCs w:val="20"/>
        </w:rPr>
        <w:t>3.2.15</w:t>
      </w:r>
      <w:r w:rsidR="00685076" w:rsidRPr="006C03F2">
        <w:rPr>
          <w:rFonts w:ascii="Arial" w:hAnsi="Arial" w:cs="Arial"/>
          <w:sz w:val="20"/>
          <w:szCs w:val="20"/>
        </w:rPr>
        <w:tab/>
        <w:t>In the period under review the parliamentary website had 307 005 users, 67 717 more than in the previous quarter. The number of webpages created increased by 168 to 43</w:t>
      </w:r>
      <w:r w:rsidR="00600B92" w:rsidRPr="006C03F2">
        <w:rPr>
          <w:rFonts w:ascii="Arial" w:hAnsi="Arial" w:cs="Arial"/>
          <w:sz w:val="20"/>
          <w:szCs w:val="20"/>
        </w:rPr>
        <w:t xml:space="preserve">9, and uploads increased by 1 734 to 6 676. </w:t>
      </w:r>
    </w:p>
    <w:p w:rsidR="00685076" w:rsidRPr="006C03F2" w:rsidRDefault="00322128" w:rsidP="006C03F2">
      <w:pPr>
        <w:spacing w:after="0" w:line="240" w:lineRule="auto"/>
        <w:ind w:left="720" w:hanging="720"/>
        <w:rPr>
          <w:rFonts w:ascii="Arial" w:hAnsi="Arial" w:cs="Arial"/>
          <w:sz w:val="20"/>
          <w:szCs w:val="20"/>
        </w:rPr>
      </w:pPr>
      <w:r w:rsidRPr="006C03F2">
        <w:rPr>
          <w:rFonts w:ascii="Arial" w:hAnsi="Arial" w:cs="Arial"/>
          <w:sz w:val="20"/>
          <w:szCs w:val="20"/>
        </w:rPr>
        <w:t>3.2.16</w:t>
      </w:r>
      <w:r w:rsidRPr="006C03F2">
        <w:rPr>
          <w:rFonts w:ascii="Arial" w:hAnsi="Arial" w:cs="Arial"/>
          <w:sz w:val="20"/>
          <w:szCs w:val="20"/>
        </w:rPr>
        <w:tab/>
        <w:t xml:space="preserve">The January 2022 fire </w:t>
      </w:r>
      <w:r w:rsidR="00600B92" w:rsidRPr="006C03F2">
        <w:rPr>
          <w:rFonts w:ascii="Arial" w:hAnsi="Arial" w:cs="Arial"/>
          <w:sz w:val="20"/>
          <w:szCs w:val="20"/>
        </w:rPr>
        <w:t xml:space="preserve">necessitated the immediate implementation of a crisis communication strategy comprising, amongst others, </w:t>
      </w:r>
      <w:r w:rsidR="00685076" w:rsidRPr="006C03F2">
        <w:rPr>
          <w:rFonts w:ascii="Arial" w:hAnsi="Arial" w:cs="Arial"/>
          <w:sz w:val="20"/>
          <w:szCs w:val="20"/>
        </w:rPr>
        <w:t xml:space="preserve">frequent </w:t>
      </w:r>
      <w:r w:rsidR="00600B92" w:rsidRPr="006C03F2">
        <w:rPr>
          <w:rFonts w:ascii="Arial" w:hAnsi="Arial" w:cs="Arial"/>
          <w:sz w:val="20"/>
          <w:szCs w:val="20"/>
        </w:rPr>
        <w:t xml:space="preserve">media </w:t>
      </w:r>
      <w:r w:rsidR="00685076" w:rsidRPr="006C03F2">
        <w:rPr>
          <w:rFonts w:ascii="Arial" w:hAnsi="Arial" w:cs="Arial"/>
          <w:sz w:val="20"/>
          <w:szCs w:val="20"/>
        </w:rPr>
        <w:t xml:space="preserve">briefings </w:t>
      </w:r>
      <w:r w:rsidR="00600B92" w:rsidRPr="006C03F2">
        <w:rPr>
          <w:rFonts w:ascii="Arial" w:hAnsi="Arial" w:cs="Arial"/>
          <w:sz w:val="20"/>
          <w:szCs w:val="20"/>
        </w:rPr>
        <w:t>by the p</w:t>
      </w:r>
      <w:r w:rsidR="00685076" w:rsidRPr="006C03F2">
        <w:rPr>
          <w:rFonts w:ascii="Arial" w:hAnsi="Arial" w:cs="Arial"/>
          <w:sz w:val="20"/>
          <w:szCs w:val="20"/>
        </w:rPr>
        <w:t>residing</w:t>
      </w:r>
      <w:r w:rsidR="00685076" w:rsidRPr="006C03F2">
        <w:rPr>
          <w:rFonts w:ascii="Arial" w:hAnsi="Arial" w:cs="Arial"/>
          <w:sz w:val="20"/>
          <w:szCs w:val="20"/>
          <w:lang w:val="en-ZA"/>
        </w:rPr>
        <w:t xml:space="preserve"> </w:t>
      </w:r>
      <w:r w:rsidR="00600B92" w:rsidRPr="006C03F2">
        <w:rPr>
          <w:rFonts w:ascii="Arial" w:hAnsi="Arial" w:cs="Arial"/>
          <w:sz w:val="20"/>
          <w:szCs w:val="20"/>
        </w:rPr>
        <w:t>officers and the parliamentary s</w:t>
      </w:r>
      <w:r w:rsidR="00685076" w:rsidRPr="006C03F2">
        <w:rPr>
          <w:rFonts w:ascii="Arial" w:hAnsi="Arial" w:cs="Arial"/>
          <w:sz w:val="20"/>
          <w:szCs w:val="20"/>
        </w:rPr>
        <w:t xml:space="preserve">pokesperson. </w:t>
      </w:r>
    </w:p>
    <w:p w:rsidR="00685076" w:rsidRPr="006C03F2" w:rsidRDefault="00685076" w:rsidP="006C03F2">
      <w:pPr>
        <w:spacing w:after="0" w:line="240" w:lineRule="auto"/>
        <w:rPr>
          <w:rFonts w:ascii="Arial" w:hAnsi="Arial" w:cs="Arial"/>
          <w:sz w:val="20"/>
          <w:szCs w:val="20"/>
        </w:rPr>
      </w:pPr>
    </w:p>
    <w:p w:rsidR="00E6562B" w:rsidRPr="006C03F2" w:rsidRDefault="00493914" w:rsidP="006C03F2">
      <w:pPr>
        <w:spacing w:after="0" w:line="240" w:lineRule="auto"/>
        <w:ind w:firstLine="720"/>
        <w:rPr>
          <w:rFonts w:ascii="Arial" w:hAnsi="Arial" w:cs="Arial"/>
          <w:i/>
          <w:sz w:val="20"/>
          <w:szCs w:val="20"/>
        </w:rPr>
      </w:pPr>
      <w:r w:rsidRPr="006C03F2">
        <w:rPr>
          <w:rFonts w:ascii="Arial" w:hAnsi="Arial" w:cs="Arial"/>
          <w:i/>
          <w:sz w:val="20"/>
          <w:szCs w:val="20"/>
        </w:rPr>
        <w:t>Human Resource Management</w:t>
      </w:r>
    </w:p>
    <w:p w:rsidR="00600B92" w:rsidRPr="006C03F2" w:rsidRDefault="0032212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3.2.17</w:t>
      </w:r>
      <w:r w:rsidR="00600B92" w:rsidRPr="006C03F2">
        <w:rPr>
          <w:rFonts w:ascii="Arial" w:hAnsi="Arial" w:cs="Arial"/>
          <w:sz w:val="20"/>
          <w:szCs w:val="20"/>
          <w:lang w:val="en-ZA"/>
        </w:rPr>
        <w:tab/>
        <w:t>The potential successors for the posts of the Chief Editor: Bills Office and Procedural Adviser: Questions in the NA progressed in their development plan</w:t>
      </w:r>
      <w:r w:rsidRPr="006C03F2">
        <w:rPr>
          <w:rFonts w:ascii="Arial" w:hAnsi="Arial" w:cs="Arial"/>
          <w:sz w:val="20"/>
          <w:szCs w:val="20"/>
          <w:lang w:val="en-ZA"/>
        </w:rPr>
        <w:t>s and underwent</w:t>
      </w:r>
      <w:r w:rsidR="00600B92" w:rsidRPr="006C03F2">
        <w:rPr>
          <w:rFonts w:ascii="Arial" w:hAnsi="Arial" w:cs="Arial"/>
          <w:sz w:val="20"/>
          <w:szCs w:val="20"/>
          <w:lang w:val="en-ZA"/>
        </w:rPr>
        <w:t xml:space="preserve"> emotional intelligence training on the </w:t>
      </w:r>
      <w:r w:rsidR="00600B92" w:rsidRPr="006C03F2">
        <w:rPr>
          <w:rFonts w:ascii="Arial" w:hAnsi="Arial" w:cs="Arial"/>
          <w:i/>
          <w:sz w:val="20"/>
          <w:szCs w:val="20"/>
          <w:lang w:val="en-ZA"/>
        </w:rPr>
        <w:t xml:space="preserve">Mygrow </w:t>
      </w:r>
      <w:r w:rsidR="00600B92" w:rsidRPr="006C03F2">
        <w:rPr>
          <w:rFonts w:ascii="Arial" w:hAnsi="Arial" w:cs="Arial"/>
          <w:sz w:val="20"/>
          <w:szCs w:val="20"/>
          <w:lang w:val="en-ZA"/>
        </w:rPr>
        <w:t>programme. The profiling of the posts of Control Editor: Questions (NCOP); Editor (NCOP); Editing Assistant (NCOP) has been completed and the nomination process to nominate successors commenced.</w:t>
      </w:r>
    </w:p>
    <w:p w:rsidR="00600B92" w:rsidRPr="006C03F2" w:rsidRDefault="0032212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3.2.18</w:t>
      </w:r>
      <w:r w:rsidR="00EE0EE5" w:rsidRPr="006C03F2">
        <w:rPr>
          <w:rFonts w:ascii="Arial" w:hAnsi="Arial" w:cs="Arial"/>
          <w:sz w:val="20"/>
          <w:szCs w:val="20"/>
          <w:lang w:val="en-ZA"/>
        </w:rPr>
        <w:tab/>
      </w:r>
      <w:r w:rsidR="00600B92" w:rsidRPr="006C03F2">
        <w:rPr>
          <w:rFonts w:ascii="Arial" w:hAnsi="Arial" w:cs="Arial"/>
          <w:sz w:val="20"/>
          <w:szCs w:val="20"/>
          <w:lang w:val="en-ZA"/>
        </w:rPr>
        <w:t>At t</w:t>
      </w:r>
      <w:r w:rsidR="00EE0EE5" w:rsidRPr="006C03F2">
        <w:rPr>
          <w:rFonts w:ascii="Arial" w:hAnsi="Arial" w:cs="Arial"/>
          <w:sz w:val="20"/>
          <w:szCs w:val="20"/>
          <w:lang w:val="en-ZA"/>
        </w:rPr>
        <w:t>he end of January</w:t>
      </w:r>
      <w:r w:rsidR="00600B92" w:rsidRPr="006C03F2">
        <w:rPr>
          <w:rFonts w:ascii="Arial" w:hAnsi="Arial" w:cs="Arial"/>
          <w:sz w:val="20"/>
          <w:szCs w:val="20"/>
          <w:lang w:val="en-ZA"/>
        </w:rPr>
        <w:t xml:space="preserve"> there were 11 vacant graduate posts</w:t>
      </w:r>
      <w:r w:rsidRPr="006C03F2">
        <w:rPr>
          <w:rFonts w:ascii="Arial" w:hAnsi="Arial" w:cs="Arial"/>
          <w:sz w:val="20"/>
          <w:szCs w:val="20"/>
        </w:rPr>
        <w:t xml:space="preserve"> </w:t>
      </w:r>
      <w:r w:rsidR="00EE0EE5" w:rsidRPr="006C03F2">
        <w:rPr>
          <w:rFonts w:ascii="Arial" w:hAnsi="Arial" w:cs="Arial"/>
          <w:sz w:val="20"/>
          <w:szCs w:val="20"/>
          <w:lang w:val="en-ZA"/>
        </w:rPr>
        <w:t>in the Treasury Advice Offi</w:t>
      </w:r>
      <w:r w:rsidRPr="006C03F2">
        <w:rPr>
          <w:rFonts w:ascii="Arial" w:hAnsi="Arial" w:cs="Arial"/>
          <w:sz w:val="20"/>
          <w:szCs w:val="20"/>
          <w:lang w:val="en-ZA"/>
        </w:rPr>
        <w:t xml:space="preserve">ce, NCOP and Catering Services which </w:t>
      </w:r>
      <w:r w:rsidR="00EE0EE5" w:rsidRPr="006C03F2">
        <w:rPr>
          <w:rFonts w:ascii="Arial" w:hAnsi="Arial" w:cs="Arial"/>
          <w:sz w:val="20"/>
          <w:szCs w:val="20"/>
          <w:lang w:val="en-ZA"/>
        </w:rPr>
        <w:t>still</w:t>
      </w:r>
      <w:r w:rsidRPr="006C03F2">
        <w:rPr>
          <w:rFonts w:ascii="Arial" w:hAnsi="Arial" w:cs="Arial"/>
          <w:sz w:val="20"/>
          <w:szCs w:val="20"/>
          <w:lang w:val="en-ZA"/>
        </w:rPr>
        <w:t xml:space="preserve"> had to be</w:t>
      </w:r>
      <w:r w:rsidR="00600B92" w:rsidRPr="006C03F2">
        <w:rPr>
          <w:rFonts w:ascii="Arial" w:hAnsi="Arial" w:cs="Arial"/>
          <w:sz w:val="20"/>
          <w:szCs w:val="20"/>
          <w:lang w:val="en-ZA"/>
        </w:rPr>
        <w:t xml:space="preserve"> advertised and filled for the 2021/2022 financial year</w:t>
      </w:r>
      <w:r w:rsidR="00EE0EE5" w:rsidRPr="006C03F2">
        <w:rPr>
          <w:rFonts w:ascii="Arial" w:hAnsi="Arial" w:cs="Arial"/>
          <w:sz w:val="20"/>
          <w:szCs w:val="20"/>
          <w:lang w:val="en-ZA"/>
        </w:rPr>
        <w:t>.</w:t>
      </w:r>
      <w:r w:rsidR="00EE0EE5" w:rsidRPr="006C03F2">
        <w:rPr>
          <w:rFonts w:ascii="Arial" w:hAnsi="Arial" w:cs="Arial"/>
          <w:sz w:val="20"/>
          <w:szCs w:val="20"/>
        </w:rPr>
        <w:t xml:space="preserve"> </w:t>
      </w:r>
      <w:r w:rsidR="00EE0EE5" w:rsidRPr="006C03F2">
        <w:rPr>
          <w:rFonts w:ascii="Arial" w:hAnsi="Arial" w:cs="Arial"/>
          <w:sz w:val="20"/>
          <w:szCs w:val="20"/>
          <w:lang w:val="en-ZA"/>
        </w:rPr>
        <w:t>Meetings were held with the heads of the disability units at the University of the Western Cape, University of Stellenbosch, University of Cape Town, and Cape Peninsula University of Technology to explore options for attracting graduates with disabilities. A targeted recruitment strategy will focus on directly approaching qualified graduates through the tertiary institutions’ communication channels.</w:t>
      </w:r>
    </w:p>
    <w:p w:rsidR="00EE0EE5" w:rsidRPr="006C03F2" w:rsidRDefault="0032212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3.2.19</w:t>
      </w:r>
      <w:r w:rsidR="00EE0EE5" w:rsidRPr="006C03F2">
        <w:rPr>
          <w:rFonts w:ascii="Arial" w:hAnsi="Arial" w:cs="Arial"/>
          <w:sz w:val="20"/>
          <w:szCs w:val="20"/>
          <w:lang w:val="en-ZA"/>
        </w:rPr>
        <w:tab/>
        <w:t>In respect of the Graduate Development Plan, the assessment and grading of su</w:t>
      </w:r>
      <w:r w:rsidRPr="006C03F2">
        <w:rPr>
          <w:rFonts w:ascii="Arial" w:hAnsi="Arial" w:cs="Arial"/>
          <w:sz w:val="20"/>
          <w:szCs w:val="20"/>
          <w:lang w:val="en-ZA"/>
        </w:rPr>
        <w:t>bmitted graduate assignments was</w:t>
      </w:r>
      <w:r w:rsidR="00EE0EE5" w:rsidRPr="006C03F2">
        <w:rPr>
          <w:rFonts w:ascii="Arial" w:hAnsi="Arial" w:cs="Arial"/>
          <w:sz w:val="20"/>
          <w:szCs w:val="20"/>
          <w:lang w:val="en-ZA"/>
        </w:rPr>
        <w:t xml:space="preserve"> complet</w:t>
      </w:r>
      <w:r w:rsidRPr="006C03F2">
        <w:rPr>
          <w:rFonts w:ascii="Arial" w:hAnsi="Arial" w:cs="Arial"/>
          <w:sz w:val="20"/>
          <w:szCs w:val="20"/>
          <w:lang w:val="en-ZA"/>
        </w:rPr>
        <w:t xml:space="preserve">ed. Feedback will be provided to the graduates regarding their </w:t>
      </w:r>
      <w:r w:rsidR="00EE0EE5" w:rsidRPr="006C03F2">
        <w:rPr>
          <w:rFonts w:ascii="Arial" w:hAnsi="Arial" w:cs="Arial"/>
          <w:sz w:val="20"/>
          <w:szCs w:val="20"/>
          <w:lang w:val="en-ZA"/>
        </w:rPr>
        <w:t>areas of strength and improvement. Two coaching sessions were conducted.</w:t>
      </w:r>
    </w:p>
    <w:p w:rsidR="00B65A27" w:rsidRPr="006C03F2" w:rsidRDefault="00EE0EE5" w:rsidP="006C03F2">
      <w:pPr>
        <w:spacing w:after="0" w:line="240" w:lineRule="auto"/>
        <w:ind w:left="720" w:hanging="720"/>
        <w:rPr>
          <w:rFonts w:ascii="Arial" w:hAnsi="Arial" w:cs="Arial"/>
          <w:sz w:val="20"/>
          <w:szCs w:val="20"/>
        </w:rPr>
      </w:pPr>
      <w:r w:rsidRPr="006C03F2">
        <w:rPr>
          <w:rFonts w:ascii="Arial" w:hAnsi="Arial" w:cs="Arial"/>
          <w:sz w:val="20"/>
          <w:szCs w:val="20"/>
        </w:rPr>
        <w:t>3</w:t>
      </w:r>
      <w:r w:rsidR="00322128" w:rsidRPr="006C03F2">
        <w:rPr>
          <w:rFonts w:ascii="Arial" w:hAnsi="Arial" w:cs="Arial"/>
          <w:sz w:val="20"/>
          <w:szCs w:val="20"/>
        </w:rPr>
        <w:t>.2.20</w:t>
      </w:r>
      <w:r w:rsidRPr="006C03F2">
        <w:rPr>
          <w:rFonts w:ascii="Arial" w:hAnsi="Arial" w:cs="Arial"/>
          <w:sz w:val="20"/>
          <w:szCs w:val="20"/>
        </w:rPr>
        <w:tab/>
      </w:r>
      <w:r w:rsidR="00322128" w:rsidRPr="006C03F2">
        <w:rPr>
          <w:rFonts w:ascii="Arial" w:hAnsi="Arial" w:cs="Arial"/>
          <w:sz w:val="20"/>
          <w:szCs w:val="20"/>
        </w:rPr>
        <w:t>Good progress was made i</w:t>
      </w:r>
      <w:r w:rsidR="00485142" w:rsidRPr="006C03F2">
        <w:rPr>
          <w:rFonts w:ascii="Arial" w:hAnsi="Arial" w:cs="Arial"/>
          <w:sz w:val="20"/>
          <w:szCs w:val="20"/>
        </w:rPr>
        <w:t xml:space="preserve">n the design and implementation of the online learning management solution which will greatly enhance the learning experience of the graduates in the programme. The prototype of the online learning management system was </w:t>
      </w:r>
      <w:r w:rsidR="00322128" w:rsidRPr="006C03F2">
        <w:rPr>
          <w:rFonts w:ascii="Arial" w:hAnsi="Arial" w:cs="Arial"/>
          <w:sz w:val="20"/>
          <w:szCs w:val="20"/>
        </w:rPr>
        <w:t>developed.</w:t>
      </w:r>
    </w:p>
    <w:p w:rsidR="00485142" w:rsidRPr="006C03F2" w:rsidRDefault="00322128" w:rsidP="006C03F2">
      <w:pPr>
        <w:spacing w:after="0" w:line="240" w:lineRule="auto"/>
        <w:ind w:left="720" w:hanging="720"/>
        <w:rPr>
          <w:rFonts w:ascii="Arial" w:hAnsi="Arial" w:cs="Arial"/>
          <w:sz w:val="20"/>
          <w:szCs w:val="20"/>
        </w:rPr>
      </w:pPr>
      <w:r w:rsidRPr="006C03F2">
        <w:rPr>
          <w:rFonts w:ascii="Arial" w:hAnsi="Arial" w:cs="Arial"/>
          <w:sz w:val="20"/>
          <w:szCs w:val="20"/>
        </w:rPr>
        <w:t>3.2.21</w:t>
      </w:r>
      <w:r w:rsidR="00485142" w:rsidRPr="006C03F2">
        <w:rPr>
          <w:rFonts w:ascii="Arial" w:hAnsi="Arial" w:cs="Arial"/>
          <w:sz w:val="20"/>
          <w:szCs w:val="20"/>
        </w:rPr>
        <w:tab/>
        <w:t>The Organ</w:t>
      </w:r>
      <w:r w:rsidRPr="006C03F2">
        <w:rPr>
          <w:rFonts w:ascii="Arial" w:hAnsi="Arial" w:cs="Arial"/>
          <w:sz w:val="20"/>
          <w:szCs w:val="20"/>
        </w:rPr>
        <w:t>isational Realignment Project was</w:t>
      </w:r>
      <w:r w:rsidR="00485142" w:rsidRPr="006C03F2">
        <w:rPr>
          <w:rFonts w:ascii="Arial" w:hAnsi="Arial" w:cs="Arial"/>
          <w:sz w:val="20"/>
          <w:szCs w:val="20"/>
        </w:rPr>
        <w:t xml:space="preserve"> well int</w:t>
      </w:r>
      <w:r w:rsidRPr="006C03F2">
        <w:rPr>
          <w:rFonts w:ascii="Arial" w:hAnsi="Arial" w:cs="Arial"/>
          <w:sz w:val="20"/>
          <w:szCs w:val="20"/>
        </w:rPr>
        <w:t>o its second phase which entails</w:t>
      </w:r>
      <w:r w:rsidR="00485142" w:rsidRPr="006C03F2">
        <w:rPr>
          <w:rFonts w:ascii="Arial" w:hAnsi="Arial" w:cs="Arial"/>
          <w:sz w:val="20"/>
          <w:szCs w:val="20"/>
        </w:rPr>
        <w:t xml:space="preserve"> the microanalysis and design of </w:t>
      </w:r>
      <w:r w:rsidRPr="006C03F2">
        <w:rPr>
          <w:rFonts w:ascii="Arial" w:hAnsi="Arial" w:cs="Arial"/>
          <w:sz w:val="20"/>
          <w:szCs w:val="20"/>
        </w:rPr>
        <w:t xml:space="preserve">the </w:t>
      </w:r>
      <w:r w:rsidR="00485142" w:rsidRPr="006C03F2">
        <w:rPr>
          <w:rFonts w:ascii="Arial" w:hAnsi="Arial" w:cs="Arial"/>
          <w:sz w:val="20"/>
          <w:szCs w:val="20"/>
        </w:rPr>
        <w:t>business operating models, processes and positional structures to enable the macro functional design.</w:t>
      </w:r>
    </w:p>
    <w:p w:rsidR="00485142" w:rsidRPr="006C03F2" w:rsidRDefault="00322128" w:rsidP="006C03F2">
      <w:pPr>
        <w:spacing w:after="0" w:line="240" w:lineRule="auto"/>
        <w:ind w:left="720" w:hanging="720"/>
        <w:rPr>
          <w:rFonts w:ascii="Arial" w:hAnsi="Arial" w:cs="Arial"/>
          <w:sz w:val="20"/>
          <w:szCs w:val="20"/>
        </w:rPr>
      </w:pPr>
      <w:r w:rsidRPr="006C03F2">
        <w:rPr>
          <w:rFonts w:ascii="Arial" w:hAnsi="Arial" w:cs="Arial"/>
          <w:sz w:val="20"/>
          <w:szCs w:val="20"/>
        </w:rPr>
        <w:t>3.2.22</w:t>
      </w:r>
      <w:r w:rsidR="00485142" w:rsidRPr="006C03F2">
        <w:rPr>
          <w:rFonts w:ascii="Arial" w:hAnsi="Arial" w:cs="Arial"/>
          <w:sz w:val="20"/>
          <w:szCs w:val="20"/>
        </w:rPr>
        <w:tab/>
        <w:t>An employee engage</w:t>
      </w:r>
      <w:r w:rsidRPr="006C03F2">
        <w:rPr>
          <w:rFonts w:ascii="Arial" w:hAnsi="Arial" w:cs="Arial"/>
          <w:sz w:val="20"/>
          <w:szCs w:val="20"/>
        </w:rPr>
        <w:t xml:space="preserve">ment survey was conducted from 4 </w:t>
      </w:r>
      <w:r w:rsidR="00485142" w:rsidRPr="006C03F2">
        <w:rPr>
          <w:rFonts w:ascii="Arial" w:hAnsi="Arial" w:cs="Arial"/>
          <w:sz w:val="20"/>
          <w:szCs w:val="20"/>
        </w:rPr>
        <w:t>to 18 November 2021. The responses</w:t>
      </w:r>
      <w:r w:rsidR="00184900" w:rsidRPr="006C03F2">
        <w:rPr>
          <w:rFonts w:ascii="Arial" w:hAnsi="Arial" w:cs="Arial"/>
          <w:sz w:val="20"/>
          <w:szCs w:val="20"/>
        </w:rPr>
        <w:t xml:space="preserve"> were</w:t>
      </w:r>
      <w:r w:rsidR="00485142" w:rsidRPr="006C03F2">
        <w:rPr>
          <w:rFonts w:ascii="Arial" w:hAnsi="Arial" w:cs="Arial"/>
          <w:sz w:val="20"/>
          <w:szCs w:val="20"/>
        </w:rPr>
        <w:t xml:space="preserve"> analysed</w:t>
      </w:r>
      <w:r w:rsidRPr="006C03F2">
        <w:rPr>
          <w:rFonts w:ascii="Arial" w:hAnsi="Arial" w:cs="Arial"/>
          <w:sz w:val="20"/>
          <w:szCs w:val="20"/>
        </w:rPr>
        <w:t xml:space="preserve"> in the period under review</w:t>
      </w:r>
      <w:r w:rsidR="00485142" w:rsidRPr="006C03F2">
        <w:rPr>
          <w:rFonts w:ascii="Arial" w:hAnsi="Arial" w:cs="Arial"/>
          <w:sz w:val="20"/>
          <w:szCs w:val="20"/>
        </w:rPr>
        <w:t xml:space="preserve"> to determine the key factors affecting engagement levels. A dr</w:t>
      </w:r>
      <w:r w:rsidR="00184900" w:rsidRPr="006C03F2">
        <w:rPr>
          <w:rFonts w:ascii="Arial" w:hAnsi="Arial" w:cs="Arial"/>
          <w:sz w:val="20"/>
          <w:szCs w:val="20"/>
        </w:rPr>
        <w:t>aft implementation plan was</w:t>
      </w:r>
      <w:r w:rsidRPr="006C03F2">
        <w:rPr>
          <w:rFonts w:ascii="Arial" w:hAnsi="Arial" w:cs="Arial"/>
          <w:sz w:val="20"/>
          <w:szCs w:val="20"/>
        </w:rPr>
        <w:t xml:space="preserve"> developed to address challenges</w:t>
      </w:r>
      <w:r w:rsidR="00485142" w:rsidRPr="006C03F2">
        <w:rPr>
          <w:rFonts w:ascii="Arial" w:hAnsi="Arial" w:cs="Arial"/>
          <w:sz w:val="20"/>
          <w:szCs w:val="20"/>
        </w:rPr>
        <w:t xml:space="preserve"> identified in order to sustain and promote a highly-</w:t>
      </w:r>
      <w:r w:rsidR="00184900" w:rsidRPr="006C03F2">
        <w:rPr>
          <w:rFonts w:ascii="Arial" w:hAnsi="Arial" w:cs="Arial"/>
          <w:sz w:val="20"/>
          <w:szCs w:val="20"/>
        </w:rPr>
        <w:t>engaged workforce.</w:t>
      </w:r>
    </w:p>
    <w:p w:rsidR="00485142" w:rsidRPr="006C03F2" w:rsidRDefault="00322128" w:rsidP="006C03F2">
      <w:pPr>
        <w:spacing w:after="0" w:line="240" w:lineRule="auto"/>
        <w:ind w:left="720" w:hanging="720"/>
        <w:rPr>
          <w:rFonts w:ascii="Arial" w:hAnsi="Arial" w:cs="Arial"/>
          <w:sz w:val="20"/>
          <w:szCs w:val="20"/>
        </w:rPr>
      </w:pPr>
      <w:r w:rsidRPr="006C03F2">
        <w:rPr>
          <w:rFonts w:ascii="Arial" w:hAnsi="Arial" w:cs="Arial"/>
          <w:sz w:val="20"/>
          <w:szCs w:val="20"/>
        </w:rPr>
        <w:t>3.2.23</w:t>
      </w:r>
      <w:r w:rsidR="00485142" w:rsidRPr="006C03F2">
        <w:rPr>
          <w:rFonts w:ascii="Arial" w:hAnsi="Arial" w:cs="Arial"/>
          <w:sz w:val="20"/>
          <w:szCs w:val="20"/>
        </w:rPr>
        <w:tab/>
      </w:r>
      <w:r w:rsidR="00184900" w:rsidRPr="006C03F2">
        <w:rPr>
          <w:rFonts w:ascii="Arial" w:hAnsi="Arial" w:cs="Arial"/>
          <w:sz w:val="20"/>
          <w:szCs w:val="20"/>
        </w:rPr>
        <w:t>S</w:t>
      </w:r>
      <w:r w:rsidR="00485142" w:rsidRPr="006C03F2">
        <w:rPr>
          <w:rFonts w:ascii="Arial" w:hAnsi="Arial" w:cs="Arial"/>
          <w:sz w:val="20"/>
          <w:szCs w:val="20"/>
        </w:rPr>
        <w:t>even</w:t>
      </w:r>
      <w:r w:rsidR="00184900" w:rsidRPr="006C03F2">
        <w:rPr>
          <w:rFonts w:ascii="Arial" w:hAnsi="Arial" w:cs="Arial"/>
          <w:sz w:val="20"/>
          <w:szCs w:val="20"/>
        </w:rPr>
        <w:t xml:space="preserve"> employees resigned </w:t>
      </w:r>
      <w:r w:rsidR="00485142" w:rsidRPr="006C03F2">
        <w:rPr>
          <w:rFonts w:ascii="Arial" w:hAnsi="Arial" w:cs="Arial"/>
          <w:sz w:val="20"/>
          <w:szCs w:val="20"/>
        </w:rPr>
        <w:t>in the</w:t>
      </w:r>
      <w:r w:rsidR="00184900" w:rsidRPr="006C03F2">
        <w:rPr>
          <w:rFonts w:ascii="Arial" w:hAnsi="Arial" w:cs="Arial"/>
          <w:sz w:val="20"/>
          <w:szCs w:val="20"/>
        </w:rPr>
        <w:t xml:space="preserve"> period under review:</w:t>
      </w:r>
      <w:r w:rsidR="00485142" w:rsidRPr="006C03F2">
        <w:rPr>
          <w:rFonts w:ascii="Arial" w:hAnsi="Arial" w:cs="Arial"/>
          <w:sz w:val="20"/>
          <w:szCs w:val="20"/>
        </w:rPr>
        <w:t xml:space="preserve"> three were from the Knowledge</w:t>
      </w:r>
      <w:r w:rsidR="00184900" w:rsidRPr="006C03F2">
        <w:rPr>
          <w:rFonts w:ascii="Arial" w:hAnsi="Arial" w:cs="Arial"/>
          <w:sz w:val="20"/>
          <w:szCs w:val="20"/>
        </w:rPr>
        <w:t xml:space="preserve"> and Information Service (KIS) d</w:t>
      </w:r>
      <w:r w:rsidR="00485142" w:rsidRPr="006C03F2">
        <w:rPr>
          <w:rFonts w:ascii="Arial" w:hAnsi="Arial" w:cs="Arial"/>
          <w:sz w:val="20"/>
          <w:szCs w:val="20"/>
        </w:rPr>
        <w:t>ivision, one from</w:t>
      </w:r>
      <w:r w:rsidR="00530F58" w:rsidRPr="006C03F2">
        <w:rPr>
          <w:rFonts w:ascii="Arial" w:hAnsi="Arial" w:cs="Arial"/>
          <w:sz w:val="20"/>
          <w:szCs w:val="20"/>
        </w:rPr>
        <w:t xml:space="preserve"> the</w:t>
      </w:r>
      <w:r w:rsidR="00485142" w:rsidRPr="006C03F2">
        <w:rPr>
          <w:rFonts w:ascii="Arial" w:hAnsi="Arial" w:cs="Arial"/>
          <w:sz w:val="20"/>
          <w:szCs w:val="20"/>
        </w:rPr>
        <w:t xml:space="preserve"> Core Business Support (CBS)</w:t>
      </w:r>
      <w:r w:rsidR="00184900" w:rsidRPr="006C03F2">
        <w:rPr>
          <w:rFonts w:ascii="Arial" w:hAnsi="Arial" w:cs="Arial"/>
          <w:sz w:val="20"/>
          <w:szCs w:val="20"/>
        </w:rPr>
        <w:t xml:space="preserve"> division</w:t>
      </w:r>
      <w:r w:rsidR="00485142" w:rsidRPr="006C03F2">
        <w:rPr>
          <w:rFonts w:ascii="Arial" w:hAnsi="Arial" w:cs="Arial"/>
          <w:sz w:val="20"/>
          <w:szCs w:val="20"/>
        </w:rPr>
        <w:t xml:space="preserve">, two from </w:t>
      </w:r>
      <w:r w:rsidR="00184900" w:rsidRPr="006C03F2">
        <w:rPr>
          <w:rFonts w:ascii="Arial" w:hAnsi="Arial" w:cs="Arial"/>
          <w:sz w:val="20"/>
          <w:szCs w:val="20"/>
        </w:rPr>
        <w:t>the Human Resources d</w:t>
      </w:r>
      <w:r w:rsidR="00485142" w:rsidRPr="006C03F2">
        <w:rPr>
          <w:rFonts w:ascii="Arial" w:hAnsi="Arial" w:cs="Arial"/>
          <w:sz w:val="20"/>
          <w:szCs w:val="20"/>
        </w:rPr>
        <w:t>ivision, and one from Finance Management Office (FMO). This rep</w:t>
      </w:r>
      <w:r w:rsidR="00184900" w:rsidRPr="006C03F2">
        <w:rPr>
          <w:rFonts w:ascii="Arial" w:hAnsi="Arial" w:cs="Arial"/>
          <w:sz w:val="20"/>
          <w:szCs w:val="20"/>
        </w:rPr>
        <w:t>resents a turnover rate of 0.53 per cent.</w:t>
      </w:r>
    </w:p>
    <w:p w:rsidR="00485142" w:rsidRPr="006C03F2" w:rsidRDefault="00530F58" w:rsidP="006C03F2">
      <w:pPr>
        <w:spacing w:after="0" w:line="240" w:lineRule="auto"/>
        <w:ind w:left="720" w:hanging="720"/>
        <w:rPr>
          <w:rFonts w:ascii="Arial" w:hAnsi="Arial" w:cs="Arial"/>
          <w:sz w:val="20"/>
          <w:szCs w:val="20"/>
          <w:lang w:val="en-ZA"/>
        </w:rPr>
      </w:pPr>
      <w:r w:rsidRPr="006C03F2">
        <w:rPr>
          <w:rFonts w:ascii="Arial" w:hAnsi="Arial" w:cs="Arial"/>
          <w:sz w:val="20"/>
          <w:szCs w:val="20"/>
        </w:rPr>
        <w:t>3.2.24</w:t>
      </w:r>
      <w:r w:rsidR="00184900" w:rsidRPr="006C03F2">
        <w:rPr>
          <w:rFonts w:ascii="Arial" w:hAnsi="Arial" w:cs="Arial"/>
          <w:sz w:val="20"/>
          <w:szCs w:val="20"/>
        </w:rPr>
        <w:tab/>
      </w:r>
      <w:r w:rsidR="00485142" w:rsidRPr="006C03F2">
        <w:rPr>
          <w:rFonts w:ascii="Arial" w:hAnsi="Arial" w:cs="Arial"/>
          <w:sz w:val="20"/>
          <w:szCs w:val="20"/>
        </w:rPr>
        <w:t>Employees actively participated in training and development interventions based on th</w:t>
      </w:r>
      <w:r w:rsidRPr="006C03F2">
        <w:rPr>
          <w:rFonts w:ascii="Arial" w:hAnsi="Arial" w:cs="Arial"/>
          <w:sz w:val="20"/>
          <w:szCs w:val="20"/>
        </w:rPr>
        <w:t>eir personal development p</w:t>
      </w:r>
      <w:r w:rsidR="00184900" w:rsidRPr="006C03F2">
        <w:rPr>
          <w:rFonts w:ascii="Arial" w:hAnsi="Arial" w:cs="Arial"/>
          <w:sz w:val="20"/>
          <w:szCs w:val="20"/>
        </w:rPr>
        <w:t xml:space="preserve">lans. A total of </w:t>
      </w:r>
      <w:r w:rsidR="00485142" w:rsidRPr="006C03F2">
        <w:rPr>
          <w:rFonts w:ascii="Arial" w:hAnsi="Arial" w:cs="Arial"/>
          <w:sz w:val="20"/>
          <w:szCs w:val="20"/>
        </w:rPr>
        <w:t>148 employees participated in training interventions in the following categories:</w:t>
      </w:r>
      <w:r w:rsidR="00B65A27" w:rsidRPr="006C03F2">
        <w:rPr>
          <w:rFonts w:ascii="Arial" w:hAnsi="Arial" w:cs="Arial"/>
          <w:sz w:val="20"/>
          <w:szCs w:val="20"/>
        </w:rPr>
        <w:t xml:space="preserve"> behavioral skills training</w:t>
      </w:r>
      <w:r w:rsidR="00184900" w:rsidRPr="006C03F2">
        <w:rPr>
          <w:rFonts w:ascii="Arial" w:hAnsi="Arial" w:cs="Arial"/>
          <w:sz w:val="20"/>
          <w:szCs w:val="20"/>
        </w:rPr>
        <w:t>; communic</w:t>
      </w:r>
      <w:r w:rsidR="00B65A27" w:rsidRPr="006C03F2">
        <w:rPr>
          <w:rFonts w:ascii="Arial" w:hAnsi="Arial" w:cs="Arial"/>
          <w:sz w:val="20"/>
          <w:szCs w:val="20"/>
        </w:rPr>
        <w:t>ation and language training</w:t>
      </w:r>
      <w:r w:rsidR="00184900" w:rsidRPr="006C03F2">
        <w:rPr>
          <w:rFonts w:ascii="Arial" w:hAnsi="Arial" w:cs="Arial"/>
          <w:sz w:val="20"/>
          <w:szCs w:val="20"/>
        </w:rPr>
        <w:t xml:space="preserve">; computer and information </w:t>
      </w:r>
      <w:r w:rsidR="00B65A27" w:rsidRPr="006C03F2">
        <w:rPr>
          <w:rFonts w:ascii="Arial" w:hAnsi="Arial" w:cs="Arial"/>
          <w:sz w:val="20"/>
          <w:szCs w:val="20"/>
        </w:rPr>
        <w:t>technology training</w:t>
      </w:r>
      <w:r w:rsidR="00184900" w:rsidRPr="006C03F2">
        <w:rPr>
          <w:rFonts w:ascii="Arial" w:hAnsi="Arial" w:cs="Arial"/>
          <w:sz w:val="20"/>
          <w:szCs w:val="20"/>
        </w:rPr>
        <w:t>; financi</w:t>
      </w:r>
      <w:r w:rsidR="00B65A27" w:rsidRPr="006C03F2">
        <w:rPr>
          <w:rFonts w:ascii="Arial" w:hAnsi="Arial" w:cs="Arial"/>
          <w:sz w:val="20"/>
          <w:szCs w:val="20"/>
        </w:rPr>
        <w:t xml:space="preserve">al and remuneration training; human </w:t>
      </w:r>
      <w:r w:rsidR="00B65A27" w:rsidRPr="006C03F2">
        <w:rPr>
          <w:rFonts w:ascii="Arial" w:hAnsi="Arial" w:cs="Arial"/>
          <w:sz w:val="20"/>
          <w:szCs w:val="20"/>
        </w:rPr>
        <w:lastRenderedPageBreak/>
        <w:t>resource training; induction programme</w:t>
      </w:r>
      <w:r w:rsidR="00184900" w:rsidRPr="006C03F2">
        <w:rPr>
          <w:rFonts w:ascii="Arial" w:hAnsi="Arial" w:cs="Arial"/>
          <w:sz w:val="20"/>
          <w:szCs w:val="20"/>
        </w:rPr>
        <w:t>; knowledge</w:t>
      </w:r>
      <w:r w:rsidR="00B65A27" w:rsidRPr="006C03F2">
        <w:rPr>
          <w:rFonts w:ascii="Arial" w:hAnsi="Arial" w:cs="Arial"/>
          <w:sz w:val="20"/>
          <w:szCs w:val="20"/>
        </w:rPr>
        <w:t xml:space="preserve"> and information management</w:t>
      </w:r>
      <w:r w:rsidR="006B7622" w:rsidRPr="006C03F2">
        <w:rPr>
          <w:rFonts w:ascii="Arial" w:hAnsi="Arial" w:cs="Arial"/>
          <w:sz w:val="20"/>
          <w:szCs w:val="20"/>
        </w:rPr>
        <w:t>; purchasing</w:t>
      </w:r>
      <w:r w:rsidR="00B65A27" w:rsidRPr="006C03F2">
        <w:rPr>
          <w:rFonts w:ascii="Arial" w:hAnsi="Arial" w:cs="Arial"/>
          <w:sz w:val="20"/>
          <w:szCs w:val="20"/>
        </w:rPr>
        <w:t xml:space="preserve"> and supply chain management</w:t>
      </w:r>
      <w:r w:rsidR="006B7622" w:rsidRPr="006C03F2">
        <w:rPr>
          <w:rFonts w:ascii="Arial" w:hAnsi="Arial" w:cs="Arial"/>
          <w:sz w:val="20"/>
          <w:szCs w:val="20"/>
        </w:rPr>
        <w:t>; and safety, heal</w:t>
      </w:r>
      <w:r w:rsidR="00B65A27" w:rsidRPr="006C03F2">
        <w:rPr>
          <w:rFonts w:ascii="Arial" w:hAnsi="Arial" w:cs="Arial"/>
          <w:sz w:val="20"/>
          <w:szCs w:val="20"/>
        </w:rPr>
        <w:t>th and environmental training</w:t>
      </w:r>
      <w:r w:rsidR="006B7622" w:rsidRPr="006C03F2">
        <w:rPr>
          <w:rFonts w:ascii="Arial" w:hAnsi="Arial" w:cs="Arial"/>
          <w:sz w:val="20"/>
          <w:szCs w:val="20"/>
        </w:rPr>
        <w:t>.</w:t>
      </w:r>
    </w:p>
    <w:p w:rsidR="00EE0EE5" w:rsidRPr="006C03F2" w:rsidRDefault="00530F5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3.2.25</w:t>
      </w:r>
      <w:r w:rsidR="006B7622" w:rsidRPr="006C03F2">
        <w:rPr>
          <w:rFonts w:ascii="Arial" w:hAnsi="Arial" w:cs="Arial"/>
          <w:sz w:val="20"/>
          <w:szCs w:val="20"/>
          <w:lang w:val="en-ZA"/>
        </w:rPr>
        <w:tab/>
        <w:t>The bursary commit</w:t>
      </w:r>
      <w:r w:rsidR="00B65A27" w:rsidRPr="006C03F2">
        <w:rPr>
          <w:rFonts w:ascii="Arial" w:hAnsi="Arial" w:cs="Arial"/>
          <w:sz w:val="20"/>
          <w:szCs w:val="20"/>
          <w:lang w:val="en-ZA"/>
        </w:rPr>
        <w:t>tee considered 49 applications;</w:t>
      </w:r>
      <w:r w:rsidR="006B7622" w:rsidRPr="006C03F2">
        <w:rPr>
          <w:rFonts w:ascii="Arial" w:hAnsi="Arial" w:cs="Arial"/>
          <w:sz w:val="20"/>
          <w:szCs w:val="20"/>
          <w:lang w:val="en-ZA"/>
        </w:rPr>
        <w:t xml:space="preserve"> 22 applicants met </w:t>
      </w:r>
      <w:r w:rsidR="00B65A27" w:rsidRPr="006C03F2">
        <w:rPr>
          <w:rFonts w:ascii="Arial" w:hAnsi="Arial" w:cs="Arial"/>
          <w:sz w:val="20"/>
          <w:szCs w:val="20"/>
          <w:lang w:val="en-ZA"/>
        </w:rPr>
        <w:t xml:space="preserve">the </w:t>
      </w:r>
      <w:r w:rsidR="006B7622" w:rsidRPr="006C03F2">
        <w:rPr>
          <w:rFonts w:ascii="Arial" w:hAnsi="Arial" w:cs="Arial"/>
          <w:sz w:val="20"/>
          <w:szCs w:val="20"/>
          <w:lang w:val="en-ZA"/>
        </w:rPr>
        <w:t>criteria and were recommended for bursaries.</w:t>
      </w:r>
    </w:p>
    <w:p w:rsidR="00B65A27" w:rsidRPr="006C03F2" w:rsidRDefault="00530F5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3.2.26</w:t>
      </w:r>
      <w:r w:rsidRPr="006C03F2">
        <w:rPr>
          <w:rFonts w:ascii="Arial" w:hAnsi="Arial" w:cs="Arial"/>
          <w:sz w:val="20"/>
          <w:szCs w:val="20"/>
          <w:lang w:val="en-ZA"/>
        </w:rPr>
        <w:tab/>
        <w:t>The Human Resource Wellness s</w:t>
      </w:r>
      <w:r w:rsidR="006B7622" w:rsidRPr="006C03F2">
        <w:rPr>
          <w:rFonts w:ascii="Arial" w:hAnsi="Arial" w:cs="Arial"/>
          <w:sz w:val="20"/>
          <w:szCs w:val="20"/>
          <w:lang w:val="en-ZA"/>
        </w:rPr>
        <w:t xml:space="preserve">ection continued to play a key role in managing and mitigating the spread of the COVID-19 </w:t>
      </w:r>
      <w:r w:rsidR="001B1504" w:rsidRPr="006C03F2">
        <w:rPr>
          <w:rFonts w:ascii="Arial" w:hAnsi="Arial" w:cs="Arial"/>
          <w:sz w:val="20"/>
          <w:szCs w:val="20"/>
          <w:lang w:val="en-ZA"/>
        </w:rPr>
        <w:t>virus</w:t>
      </w:r>
      <w:r w:rsidR="006B7622" w:rsidRPr="006C03F2">
        <w:rPr>
          <w:rFonts w:ascii="Arial" w:hAnsi="Arial" w:cs="Arial"/>
          <w:sz w:val="20"/>
          <w:szCs w:val="20"/>
          <w:lang w:val="en-ZA"/>
        </w:rPr>
        <w:t xml:space="preserve"> through occupational health </w:t>
      </w:r>
      <w:r w:rsidRPr="006C03F2">
        <w:rPr>
          <w:rFonts w:ascii="Arial" w:hAnsi="Arial" w:cs="Arial"/>
          <w:sz w:val="20"/>
          <w:szCs w:val="20"/>
          <w:lang w:val="en-ZA"/>
        </w:rPr>
        <w:t>interventions</w:t>
      </w:r>
      <w:r w:rsidR="006B7622" w:rsidRPr="006C03F2">
        <w:rPr>
          <w:rFonts w:ascii="Arial" w:hAnsi="Arial" w:cs="Arial"/>
          <w:sz w:val="20"/>
          <w:szCs w:val="20"/>
          <w:lang w:val="en-ZA"/>
        </w:rPr>
        <w:t>. Parliament continued to ens</w:t>
      </w:r>
      <w:r w:rsidR="001B1504" w:rsidRPr="006C03F2">
        <w:rPr>
          <w:rFonts w:ascii="Arial" w:hAnsi="Arial" w:cs="Arial"/>
          <w:sz w:val="20"/>
          <w:szCs w:val="20"/>
          <w:lang w:val="en-ZA"/>
        </w:rPr>
        <w:t>ure that all safety measures were in p</w:t>
      </w:r>
      <w:r w:rsidRPr="006C03F2">
        <w:rPr>
          <w:rFonts w:ascii="Arial" w:hAnsi="Arial" w:cs="Arial"/>
          <w:sz w:val="20"/>
          <w:szCs w:val="20"/>
          <w:lang w:val="en-ZA"/>
        </w:rPr>
        <w:t>lace to protect employees, and ensure compliance with regulations.</w:t>
      </w:r>
    </w:p>
    <w:p w:rsidR="006B7622" w:rsidRPr="006C03F2" w:rsidRDefault="00530F5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3.2.27</w:t>
      </w:r>
      <w:r w:rsidR="00B65A27" w:rsidRPr="006C03F2">
        <w:rPr>
          <w:rFonts w:ascii="Arial" w:hAnsi="Arial" w:cs="Arial"/>
          <w:sz w:val="20"/>
          <w:szCs w:val="20"/>
          <w:lang w:val="en-ZA"/>
        </w:rPr>
        <w:tab/>
        <w:t>Employees</w:t>
      </w:r>
      <w:r w:rsidR="001B1504" w:rsidRPr="006C03F2">
        <w:rPr>
          <w:rFonts w:ascii="Arial" w:hAnsi="Arial" w:cs="Arial"/>
          <w:sz w:val="20"/>
          <w:szCs w:val="20"/>
          <w:lang w:val="en-ZA"/>
        </w:rPr>
        <w:t xml:space="preserve"> who wished to access the precinct were </w:t>
      </w:r>
      <w:r w:rsidR="006B7622" w:rsidRPr="006C03F2">
        <w:rPr>
          <w:rFonts w:ascii="Arial" w:hAnsi="Arial" w:cs="Arial"/>
          <w:sz w:val="20"/>
          <w:szCs w:val="20"/>
          <w:lang w:val="en-ZA"/>
        </w:rPr>
        <w:t xml:space="preserve">required to </w:t>
      </w:r>
      <w:r w:rsidR="001B1504" w:rsidRPr="006C03F2">
        <w:rPr>
          <w:rFonts w:ascii="Arial" w:hAnsi="Arial" w:cs="Arial"/>
          <w:sz w:val="20"/>
          <w:szCs w:val="20"/>
          <w:lang w:val="en-ZA"/>
        </w:rPr>
        <w:t>complete</w:t>
      </w:r>
      <w:r w:rsidR="006B7622" w:rsidRPr="006C03F2">
        <w:rPr>
          <w:rFonts w:ascii="Arial" w:hAnsi="Arial" w:cs="Arial"/>
          <w:sz w:val="20"/>
          <w:szCs w:val="20"/>
          <w:lang w:val="en-ZA"/>
        </w:rPr>
        <w:t xml:space="preserve"> digital pre-screening prior to accessing the precinct</w:t>
      </w:r>
      <w:r w:rsidRPr="006C03F2">
        <w:rPr>
          <w:rFonts w:ascii="Arial" w:hAnsi="Arial" w:cs="Arial"/>
          <w:sz w:val="20"/>
          <w:szCs w:val="20"/>
          <w:lang w:val="en-ZA"/>
        </w:rPr>
        <w:t xml:space="preserve"> in order to obtain a Wellness passport</w:t>
      </w:r>
      <w:r w:rsidR="006B7622" w:rsidRPr="006C03F2">
        <w:rPr>
          <w:rFonts w:ascii="Arial" w:hAnsi="Arial" w:cs="Arial"/>
          <w:sz w:val="20"/>
          <w:szCs w:val="20"/>
          <w:lang w:val="en-ZA"/>
        </w:rPr>
        <w:t>.</w:t>
      </w:r>
      <w:r w:rsidRPr="006C03F2">
        <w:rPr>
          <w:rFonts w:ascii="Arial" w:hAnsi="Arial" w:cs="Arial"/>
          <w:sz w:val="20"/>
          <w:szCs w:val="20"/>
          <w:lang w:val="en-ZA"/>
        </w:rPr>
        <w:t xml:space="preserve"> Data</w:t>
      </w:r>
      <w:r w:rsidR="006B7622" w:rsidRPr="006C03F2">
        <w:rPr>
          <w:rFonts w:ascii="Arial" w:hAnsi="Arial" w:cs="Arial"/>
          <w:sz w:val="20"/>
          <w:szCs w:val="20"/>
          <w:lang w:val="en-ZA"/>
        </w:rPr>
        <w:t xml:space="preserve"> on al</w:t>
      </w:r>
      <w:r w:rsidRPr="006C03F2">
        <w:rPr>
          <w:rFonts w:ascii="Arial" w:hAnsi="Arial" w:cs="Arial"/>
          <w:sz w:val="20"/>
          <w:szCs w:val="20"/>
          <w:lang w:val="en-ZA"/>
        </w:rPr>
        <w:t>l staff entering the precinct was</w:t>
      </w:r>
      <w:r w:rsidR="006B7622" w:rsidRPr="006C03F2">
        <w:rPr>
          <w:rFonts w:ascii="Arial" w:hAnsi="Arial" w:cs="Arial"/>
          <w:sz w:val="20"/>
          <w:szCs w:val="20"/>
          <w:lang w:val="en-ZA"/>
        </w:rPr>
        <w:t xml:space="preserve"> stored </w:t>
      </w:r>
      <w:r w:rsidRPr="006C03F2">
        <w:rPr>
          <w:rFonts w:ascii="Arial" w:hAnsi="Arial" w:cs="Arial"/>
          <w:sz w:val="20"/>
          <w:szCs w:val="20"/>
          <w:lang w:val="en-ZA"/>
        </w:rPr>
        <w:t>centrally</w:t>
      </w:r>
      <w:r w:rsidR="006B7622" w:rsidRPr="006C03F2">
        <w:rPr>
          <w:rFonts w:ascii="Arial" w:hAnsi="Arial" w:cs="Arial"/>
          <w:sz w:val="20"/>
          <w:szCs w:val="20"/>
          <w:lang w:val="en-ZA"/>
        </w:rPr>
        <w:t xml:space="preserve"> </w:t>
      </w:r>
      <w:r w:rsidRPr="006C03F2">
        <w:rPr>
          <w:rFonts w:ascii="Arial" w:hAnsi="Arial" w:cs="Arial"/>
          <w:sz w:val="20"/>
          <w:szCs w:val="20"/>
          <w:lang w:val="en-ZA"/>
        </w:rPr>
        <w:t xml:space="preserve">allowing for the tracking of </w:t>
      </w:r>
      <w:r w:rsidR="00B65A27" w:rsidRPr="006C03F2">
        <w:rPr>
          <w:rFonts w:ascii="Arial" w:hAnsi="Arial" w:cs="Arial"/>
          <w:sz w:val="20"/>
          <w:szCs w:val="20"/>
          <w:lang w:val="en-ZA"/>
        </w:rPr>
        <w:t>those</w:t>
      </w:r>
      <w:r w:rsidR="006B7622" w:rsidRPr="006C03F2">
        <w:rPr>
          <w:rFonts w:ascii="Arial" w:hAnsi="Arial" w:cs="Arial"/>
          <w:sz w:val="20"/>
          <w:szCs w:val="20"/>
          <w:lang w:val="en-ZA"/>
        </w:rPr>
        <w:t xml:space="preserve"> who</w:t>
      </w:r>
      <w:r w:rsidR="00B65A27" w:rsidRPr="006C03F2">
        <w:rPr>
          <w:rFonts w:ascii="Arial" w:hAnsi="Arial" w:cs="Arial"/>
          <w:sz w:val="20"/>
          <w:szCs w:val="20"/>
          <w:lang w:val="en-ZA"/>
        </w:rPr>
        <w:t xml:space="preserve"> may have been in contact </w:t>
      </w:r>
      <w:r w:rsidRPr="006C03F2">
        <w:rPr>
          <w:rFonts w:ascii="Arial" w:hAnsi="Arial" w:cs="Arial"/>
          <w:sz w:val="20"/>
          <w:szCs w:val="20"/>
          <w:lang w:val="en-ZA"/>
        </w:rPr>
        <w:t xml:space="preserve">with </w:t>
      </w:r>
      <w:r w:rsidR="00B65A27" w:rsidRPr="006C03F2">
        <w:rPr>
          <w:rFonts w:ascii="Arial" w:hAnsi="Arial" w:cs="Arial"/>
          <w:sz w:val="20"/>
          <w:szCs w:val="20"/>
          <w:lang w:val="en-ZA"/>
        </w:rPr>
        <w:t>persons who have tested positive.</w:t>
      </w:r>
    </w:p>
    <w:p w:rsidR="00FA3B99" w:rsidRPr="006C03F2" w:rsidRDefault="00FA3B99" w:rsidP="006C03F2">
      <w:pPr>
        <w:spacing w:after="0" w:line="240" w:lineRule="auto"/>
        <w:rPr>
          <w:rFonts w:ascii="Arial" w:hAnsi="Arial" w:cs="Arial"/>
          <w:i/>
          <w:sz w:val="20"/>
          <w:szCs w:val="20"/>
          <w:lang w:val="en-ZA"/>
        </w:rPr>
      </w:pPr>
    </w:p>
    <w:p w:rsidR="00CC7C5C" w:rsidRPr="006C03F2" w:rsidRDefault="00CA4712" w:rsidP="006C03F2">
      <w:pPr>
        <w:spacing w:after="0" w:line="240" w:lineRule="auto"/>
        <w:ind w:firstLine="720"/>
        <w:rPr>
          <w:rFonts w:ascii="Arial" w:hAnsi="Arial" w:cs="Arial"/>
          <w:i/>
          <w:sz w:val="20"/>
          <w:szCs w:val="20"/>
          <w:lang w:val="en-ZA"/>
        </w:rPr>
      </w:pPr>
      <w:r w:rsidRPr="006C03F2">
        <w:rPr>
          <w:rFonts w:ascii="Arial" w:hAnsi="Arial" w:cs="Arial"/>
          <w:i/>
          <w:sz w:val="20"/>
          <w:szCs w:val="20"/>
          <w:lang w:val="en-ZA"/>
        </w:rPr>
        <w:t>Programme 2: Legislation and Oversight</w:t>
      </w:r>
    </w:p>
    <w:p w:rsidR="006F68E6" w:rsidRPr="006C03F2" w:rsidRDefault="00D803A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w:t>
      </w:r>
      <w:r w:rsidR="00530F58" w:rsidRPr="006C03F2">
        <w:rPr>
          <w:rFonts w:ascii="Arial" w:hAnsi="Arial" w:cs="Arial"/>
          <w:sz w:val="20"/>
          <w:szCs w:val="20"/>
          <w:lang w:val="en-ZA"/>
        </w:rPr>
        <w:t>.2.28</w:t>
      </w:r>
      <w:r w:rsidR="006F68E6" w:rsidRPr="006C03F2">
        <w:rPr>
          <w:rFonts w:ascii="Arial" w:hAnsi="Arial" w:cs="Arial"/>
          <w:sz w:val="20"/>
          <w:szCs w:val="20"/>
          <w:lang w:val="en-ZA"/>
        </w:rPr>
        <w:tab/>
        <w:t>Progra</w:t>
      </w:r>
      <w:r w:rsidR="001B1504" w:rsidRPr="006C03F2">
        <w:rPr>
          <w:rFonts w:ascii="Arial" w:hAnsi="Arial" w:cs="Arial"/>
          <w:sz w:val="20"/>
          <w:szCs w:val="20"/>
          <w:lang w:val="en-ZA"/>
        </w:rPr>
        <w:t>m</w:t>
      </w:r>
      <w:r w:rsidR="006F68E6" w:rsidRPr="006C03F2">
        <w:rPr>
          <w:rFonts w:ascii="Arial" w:hAnsi="Arial" w:cs="Arial"/>
          <w:sz w:val="20"/>
          <w:szCs w:val="20"/>
          <w:lang w:val="en-ZA"/>
        </w:rPr>
        <w:t xml:space="preserve">me 2 provides support services for the effective functioning of the </w:t>
      </w:r>
      <w:r w:rsidR="00530F58" w:rsidRPr="006C03F2">
        <w:rPr>
          <w:rFonts w:ascii="Arial" w:hAnsi="Arial" w:cs="Arial"/>
          <w:sz w:val="20"/>
          <w:szCs w:val="20"/>
          <w:lang w:val="en-ZA"/>
        </w:rPr>
        <w:t>NA and the NCOP</w:t>
      </w:r>
      <w:r w:rsidR="006F68E6" w:rsidRPr="006C03F2">
        <w:rPr>
          <w:rFonts w:ascii="Arial" w:hAnsi="Arial" w:cs="Arial"/>
          <w:sz w:val="20"/>
          <w:szCs w:val="20"/>
          <w:lang w:val="en-ZA"/>
        </w:rPr>
        <w:t xml:space="preserve"> including procedural, legal and content advice; information services and record keeping; and secretarial and support services for the houses and their committees. The programme covers the core business of Parliament and focusses on the outputs, activities and inputs related to legislation and oversight functions. </w:t>
      </w:r>
    </w:p>
    <w:p w:rsidR="006F68E6" w:rsidRPr="006C03F2" w:rsidRDefault="00530F5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3.2.29</w:t>
      </w:r>
      <w:r w:rsidR="006F68E6" w:rsidRPr="006C03F2">
        <w:rPr>
          <w:rFonts w:ascii="Arial" w:hAnsi="Arial" w:cs="Arial"/>
          <w:sz w:val="20"/>
          <w:szCs w:val="20"/>
          <w:lang w:val="en-ZA"/>
        </w:rPr>
        <w:tab/>
        <w:t xml:space="preserve">The programme comprises the following sub-programmes: </w:t>
      </w:r>
      <w:r w:rsidRPr="006C03F2">
        <w:rPr>
          <w:rFonts w:ascii="Arial" w:hAnsi="Arial" w:cs="Arial"/>
          <w:sz w:val="20"/>
          <w:szCs w:val="20"/>
          <w:lang w:val="en-ZA"/>
        </w:rPr>
        <w:t>NA</w:t>
      </w:r>
      <w:r w:rsidR="006F68E6" w:rsidRPr="006C03F2">
        <w:rPr>
          <w:rFonts w:ascii="Arial" w:hAnsi="Arial" w:cs="Arial"/>
          <w:sz w:val="20"/>
          <w:szCs w:val="20"/>
          <w:lang w:val="en-ZA"/>
        </w:rPr>
        <w:t xml:space="preserve"> (House; Committees); </w:t>
      </w:r>
      <w:r w:rsidRPr="006C03F2">
        <w:rPr>
          <w:rFonts w:ascii="Arial" w:hAnsi="Arial" w:cs="Arial"/>
          <w:sz w:val="20"/>
          <w:szCs w:val="20"/>
          <w:lang w:val="en-ZA"/>
        </w:rPr>
        <w:t xml:space="preserve">NCOP </w:t>
      </w:r>
      <w:r w:rsidR="006F68E6" w:rsidRPr="006C03F2">
        <w:rPr>
          <w:rFonts w:ascii="Arial" w:hAnsi="Arial" w:cs="Arial"/>
          <w:sz w:val="20"/>
          <w:szCs w:val="20"/>
          <w:lang w:val="en-ZA"/>
        </w:rPr>
        <w:t>(House; Committees); Public Participation and External Relations; Shared Services; Sectoral Parliaments and Joint Business.</w:t>
      </w:r>
    </w:p>
    <w:p w:rsidR="000522E8" w:rsidRPr="006C03F2" w:rsidRDefault="00530F58"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3.2.30</w:t>
      </w:r>
      <w:r w:rsidRPr="006C03F2">
        <w:rPr>
          <w:rFonts w:ascii="Arial" w:hAnsi="Arial" w:cs="Arial"/>
          <w:sz w:val="20"/>
          <w:szCs w:val="20"/>
          <w:lang w:val="en-ZA"/>
        </w:rPr>
        <w:tab/>
        <w:t>According to Table 3</w:t>
      </w:r>
      <w:r w:rsidR="00BE6349" w:rsidRPr="006C03F2">
        <w:rPr>
          <w:rFonts w:ascii="Arial" w:hAnsi="Arial" w:cs="Arial"/>
          <w:sz w:val="20"/>
          <w:szCs w:val="20"/>
          <w:lang w:val="en-ZA"/>
        </w:rPr>
        <w:t xml:space="preserve"> below, all targets under this programme were exceeded. Key performance trends a</w:t>
      </w:r>
      <w:r w:rsidR="00D803A8" w:rsidRPr="006C03F2">
        <w:rPr>
          <w:rFonts w:ascii="Arial" w:hAnsi="Arial" w:cs="Arial"/>
          <w:sz w:val="20"/>
          <w:szCs w:val="20"/>
          <w:lang w:val="en-ZA"/>
        </w:rPr>
        <w:t xml:space="preserve">re captured in paragraphs </w:t>
      </w:r>
      <w:r w:rsidR="00CC1E2F" w:rsidRPr="006C03F2">
        <w:rPr>
          <w:rFonts w:ascii="Arial" w:hAnsi="Arial" w:cs="Arial"/>
          <w:sz w:val="20"/>
          <w:szCs w:val="20"/>
          <w:lang w:val="en-ZA"/>
        </w:rPr>
        <w:t>3.2.</w:t>
      </w:r>
      <w:r w:rsidRPr="006C03F2">
        <w:rPr>
          <w:rFonts w:ascii="Arial" w:hAnsi="Arial" w:cs="Arial"/>
          <w:sz w:val="20"/>
          <w:szCs w:val="20"/>
          <w:lang w:val="en-ZA"/>
        </w:rPr>
        <w:t>31</w:t>
      </w:r>
      <w:r w:rsidR="00BE6349" w:rsidRPr="006C03F2">
        <w:rPr>
          <w:rFonts w:ascii="Arial" w:hAnsi="Arial" w:cs="Arial"/>
          <w:sz w:val="20"/>
          <w:szCs w:val="20"/>
          <w:lang w:val="en-ZA"/>
        </w:rPr>
        <w:t xml:space="preserve"> to </w:t>
      </w:r>
      <w:r w:rsidR="002B5F6F" w:rsidRPr="006C03F2">
        <w:rPr>
          <w:rFonts w:ascii="Arial" w:hAnsi="Arial" w:cs="Arial"/>
          <w:sz w:val="20"/>
          <w:szCs w:val="20"/>
          <w:lang w:val="en-ZA"/>
        </w:rPr>
        <w:t>3.2.36</w:t>
      </w:r>
      <w:r w:rsidR="00E349FD" w:rsidRPr="006C03F2">
        <w:rPr>
          <w:rFonts w:ascii="Arial" w:hAnsi="Arial" w:cs="Arial"/>
          <w:sz w:val="20"/>
          <w:szCs w:val="20"/>
          <w:lang w:val="en-ZA"/>
        </w:rPr>
        <w:t xml:space="preserve"> </w:t>
      </w:r>
      <w:r w:rsidR="00BE6349" w:rsidRPr="006C03F2">
        <w:rPr>
          <w:rFonts w:ascii="Arial" w:hAnsi="Arial" w:cs="Arial"/>
          <w:sz w:val="20"/>
          <w:szCs w:val="20"/>
          <w:lang w:val="en-ZA"/>
        </w:rPr>
        <w:t>below.</w:t>
      </w:r>
    </w:p>
    <w:p w:rsidR="00530F58" w:rsidRPr="006C03F2" w:rsidRDefault="00530F58" w:rsidP="006C03F2">
      <w:pPr>
        <w:spacing w:after="0" w:line="240" w:lineRule="auto"/>
        <w:ind w:left="720" w:hanging="720"/>
        <w:rPr>
          <w:rFonts w:ascii="Arial" w:hAnsi="Arial" w:cs="Arial"/>
          <w:sz w:val="20"/>
          <w:szCs w:val="20"/>
          <w:lang w:val="en-ZA"/>
        </w:rPr>
      </w:pPr>
    </w:p>
    <w:tbl>
      <w:tblPr>
        <w:tblW w:w="9498" w:type="dxa"/>
        <w:tblInd w:w="-10" w:type="dxa"/>
        <w:tblLayout w:type="fixed"/>
        <w:tblCellMar>
          <w:left w:w="0" w:type="dxa"/>
          <w:right w:w="0" w:type="dxa"/>
        </w:tblCellMar>
        <w:tblLook w:val="04A0"/>
      </w:tblPr>
      <w:tblGrid>
        <w:gridCol w:w="2212"/>
        <w:gridCol w:w="1757"/>
        <w:gridCol w:w="993"/>
        <w:gridCol w:w="1417"/>
        <w:gridCol w:w="1134"/>
        <w:gridCol w:w="851"/>
        <w:gridCol w:w="1134"/>
      </w:tblGrid>
      <w:tr w:rsidR="002B5F6F" w:rsidRPr="006C03F2" w:rsidTr="00530F58">
        <w:trPr>
          <w:trHeight w:val="249"/>
        </w:trPr>
        <w:tc>
          <w:tcPr>
            <w:tcW w:w="221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bCs/>
                <w:sz w:val="20"/>
                <w:szCs w:val="20"/>
                <w:lang w:val="en-ZA"/>
              </w:rPr>
              <w:t>Parliamentary Service</w:t>
            </w:r>
          </w:p>
        </w:tc>
        <w:tc>
          <w:tcPr>
            <w:tcW w:w="175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bCs/>
                <w:sz w:val="20"/>
                <w:szCs w:val="20"/>
                <w:lang w:val="en-ZA"/>
              </w:rPr>
              <w:t>Indicator</w:t>
            </w:r>
          </w:p>
        </w:tc>
        <w:tc>
          <w:tcPr>
            <w:tcW w:w="993"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bCs/>
                <w:sz w:val="20"/>
                <w:szCs w:val="20"/>
                <w:lang w:val="en-ZA"/>
              </w:rPr>
              <w:t>Q4 target</w:t>
            </w:r>
          </w:p>
        </w:tc>
        <w:tc>
          <w:tcPr>
            <w:tcW w:w="141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bCs/>
                <w:sz w:val="20"/>
                <w:szCs w:val="20"/>
                <w:lang w:val="en-ZA"/>
              </w:rPr>
              <w:t>Q4 Performance</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bCs/>
                <w:sz w:val="20"/>
                <w:szCs w:val="20"/>
                <w:lang w:val="en-ZA"/>
              </w:rPr>
              <w:t>Variance</w:t>
            </w:r>
          </w:p>
        </w:tc>
        <w:tc>
          <w:tcPr>
            <w:tcW w:w="85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bCs/>
                <w:sz w:val="20"/>
                <w:szCs w:val="20"/>
                <w:lang w:val="en-ZA"/>
              </w:rPr>
              <w:t>Status</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Reasons for Variance/ Mitigation</w:t>
            </w:r>
          </w:p>
        </w:tc>
      </w:tr>
      <w:tr w:rsidR="002B5F6F" w:rsidRPr="006C03F2" w:rsidTr="00530F58">
        <w:trPr>
          <w:trHeight w:val="600"/>
        </w:trPr>
        <w:tc>
          <w:tcPr>
            <w:tcW w:w="2212" w:type="dxa"/>
            <w:vMerge w:val="restart"/>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bCs/>
                <w:sz w:val="20"/>
                <w:szCs w:val="20"/>
                <w:lang w:val="en-ZA"/>
              </w:rPr>
              <w:t>Programming Service</w:t>
            </w: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Number of annual parliamentary frameworks adopted</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0</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0</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0</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n/a</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 </w:t>
            </w:r>
          </w:p>
        </w:tc>
      </w:tr>
      <w:tr w:rsidR="002B5F6F" w:rsidRPr="006C03F2" w:rsidTr="00530F58">
        <w:trPr>
          <w:trHeight w:val="387"/>
        </w:trPr>
        <w:tc>
          <w:tcPr>
            <w:tcW w:w="2212" w:type="dxa"/>
            <w:vMerge/>
            <w:tcBorders>
              <w:top w:val="single" w:sz="8" w:space="0" w:color="BF9000"/>
              <w:left w:val="single" w:sz="8" w:space="0" w:color="BF9000"/>
              <w:bottom w:val="single" w:sz="8" w:space="0" w:color="BF9000"/>
              <w:right w:val="single" w:sz="8" w:space="0" w:color="BF9000"/>
            </w:tcBorders>
            <w:shd w:val="clear" w:color="auto" w:fill="E7E6E6" w:themeFill="background2"/>
            <w:vAlign w:val="center"/>
            <w:hideMark/>
          </w:tcPr>
          <w:p w:rsidR="003D51F6" w:rsidRPr="006C03F2" w:rsidRDefault="003D51F6" w:rsidP="006C03F2">
            <w:pPr>
              <w:spacing w:after="0" w:line="240" w:lineRule="auto"/>
              <w:rPr>
                <w:rFonts w:ascii="Arial" w:hAnsi="Arial" w:cs="Arial"/>
                <w:b/>
                <w:sz w:val="20"/>
                <w:szCs w:val="20"/>
                <w:lang w:val="en-ZA"/>
              </w:rPr>
            </w:pP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Number of NA programmes adopted</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1</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1</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0</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 </w:t>
            </w:r>
          </w:p>
        </w:tc>
      </w:tr>
      <w:tr w:rsidR="002B5F6F" w:rsidRPr="006C03F2" w:rsidTr="00530F58">
        <w:trPr>
          <w:trHeight w:val="187"/>
        </w:trPr>
        <w:tc>
          <w:tcPr>
            <w:tcW w:w="2212" w:type="dxa"/>
            <w:vMerge/>
            <w:tcBorders>
              <w:top w:val="single" w:sz="8" w:space="0" w:color="BF9000"/>
              <w:left w:val="single" w:sz="8" w:space="0" w:color="BF9000"/>
              <w:bottom w:val="single" w:sz="8" w:space="0" w:color="BF9000"/>
              <w:right w:val="single" w:sz="8" w:space="0" w:color="BF9000"/>
            </w:tcBorders>
            <w:shd w:val="clear" w:color="auto" w:fill="E7E6E6" w:themeFill="background2"/>
            <w:vAlign w:val="center"/>
            <w:hideMark/>
          </w:tcPr>
          <w:p w:rsidR="003D51F6" w:rsidRPr="006C03F2" w:rsidRDefault="003D51F6" w:rsidP="006C03F2">
            <w:pPr>
              <w:spacing w:after="0" w:line="240" w:lineRule="auto"/>
              <w:rPr>
                <w:rFonts w:ascii="Arial" w:hAnsi="Arial" w:cs="Arial"/>
                <w:b/>
                <w:sz w:val="20"/>
                <w:szCs w:val="20"/>
                <w:lang w:val="en-ZA"/>
              </w:rPr>
            </w:pP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Number of NCOP programmes adopted</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1</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1</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0</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3D51F6" w:rsidRPr="006C03F2" w:rsidRDefault="003D51F6" w:rsidP="006C03F2">
            <w:pPr>
              <w:spacing w:after="0" w:line="240" w:lineRule="auto"/>
              <w:rPr>
                <w:rFonts w:ascii="Arial" w:hAnsi="Arial" w:cs="Arial"/>
                <w:sz w:val="20"/>
                <w:szCs w:val="20"/>
                <w:lang w:val="en-ZA"/>
              </w:rPr>
            </w:pPr>
          </w:p>
        </w:tc>
      </w:tr>
      <w:tr w:rsidR="002B5F6F" w:rsidRPr="006C03F2" w:rsidTr="00530F58">
        <w:trPr>
          <w:trHeight w:val="187"/>
        </w:trPr>
        <w:tc>
          <w:tcPr>
            <w:tcW w:w="2212"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3D51F6" w:rsidRPr="006C03F2" w:rsidRDefault="003D51F6" w:rsidP="006C03F2">
            <w:pPr>
              <w:spacing w:after="0" w:line="240" w:lineRule="auto"/>
              <w:rPr>
                <w:rFonts w:ascii="Arial" w:hAnsi="Arial" w:cs="Arial"/>
                <w:b/>
                <w:sz w:val="20"/>
                <w:szCs w:val="20"/>
                <w:lang w:val="en-ZA"/>
              </w:rPr>
            </w:pPr>
            <w:r w:rsidRPr="006C03F2">
              <w:rPr>
                <w:rFonts w:ascii="Arial" w:hAnsi="Arial" w:cs="Arial"/>
                <w:b/>
                <w:sz w:val="20"/>
                <w:szCs w:val="20"/>
                <w:lang w:val="en-ZA"/>
              </w:rPr>
              <w:t>Capacity Building Programme</w:t>
            </w: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bCs/>
                <w:sz w:val="20"/>
                <w:szCs w:val="20"/>
                <w:lang w:val="en-ZA"/>
              </w:rPr>
              <w:t>% Member satisfaction</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65%</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67,58%</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+2,58</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p>
        </w:tc>
      </w:tr>
      <w:tr w:rsidR="002B5F6F" w:rsidRPr="006C03F2" w:rsidTr="00530F58">
        <w:trPr>
          <w:trHeight w:val="187"/>
        </w:trPr>
        <w:tc>
          <w:tcPr>
            <w:tcW w:w="2212"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3D51F6" w:rsidRPr="006C03F2" w:rsidRDefault="003D51F6" w:rsidP="006C03F2">
            <w:pPr>
              <w:spacing w:after="0" w:line="240" w:lineRule="auto"/>
              <w:rPr>
                <w:rFonts w:ascii="Arial" w:eastAsia="Times New Roman" w:hAnsi="Arial" w:cs="Arial"/>
                <w:b/>
                <w:sz w:val="20"/>
                <w:szCs w:val="20"/>
                <w:lang w:val="en-ZA" w:eastAsia="en-ZA"/>
              </w:rPr>
            </w:pPr>
            <w:r w:rsidRPr="006C03F2">
              <w:rPr>
                <w:rFonts w:ascii="Arial" w:hAnsi="Arial" w:cs="Arial"/>
                <w:b/>
                <w:bCs/>
                <w:kern w:val="24"/>
                <w:sz w:val="20"/>
                <w:szCs w:val="20"/>
                <w:lang w:val="en-ZA" w:eastAsia="en-ZA"/>
              </w:rPr>
              <w:t>Research service</w:t>
            </w: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bCs/>
                <w:sz w:val="20"/>
                <w:szCs w:val="20"/>
                <w:lang w:val="en-ZA"/>
              </w:rPr>
              <w:t>% Member satisfaction</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70%</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eastAsia="Times New Roman" w:hAnsi="Arial" w:cs="Arial"/>
                <w:sz w:val="20"/>
                <w:szCs w:val="20"/>
                <w:lang w:val="en-ZA" w:eastAsia="en-ZA"/>
              </w:rPr>
            </w:pPr>
            <w:r w:rsidRPr="006C03F2">
              <w:rPr>
                <w:rFonts w:ascii="Arial" w:eastAsia="Times New Roman" w:hAnsi="Arial" w:cs="Arial"/>
                <w:kern w:val="24"/>
                <w:sz w:val="20"/>
                <w:szCs w:val="20"/>
                <w:lang w:val="en-ZA" w:eastAsia="en-ZA"/>
              </w:rPr>
              <w:t>75,69%</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+5,69%</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p>
        </w:tc>
      </w:tr>
      <w:tr w:rsidR="002B5F6F" w:rsidRPr="006C03F2" w:rsidTr="00530F58">
        <w:trPr>
          <w:trHeight w:val="187"/>
        </w:trPr>
        <w:tc>
          <w:tcPr>
            <w:tcW w:w="2212"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3D51F6" w:rsidRPr="006C03F2" w:rsidRDefault="003D51F6" w:rsidP="006C03F2">
            <w:pPr>
              <w:spacing w:after="0" w:line="240" w:lineRule="auto"/>
              <w:rPr>
                <w:rFonts w:ascii="Arial" w:eastAsia="Times New Roman" w:hAnsi="Arial" w:cs="Arial"/>
                <w:b/>
                <w:sz w:val="20"/>
                <w:szCs w:val="20"/>
                <w:lang w:val="en-ZA" w:eastAsia="en-ZA"/>
              </w:rPr>
            </w:pPr>
            <w:r w:rsidRPr="006C03F2">
              <w:rPr>
                <w:rFonts w:ascii="Arial" w:hAnsi="Arial" w:cs="Arial"/>
                <w:b/>
                <w:bCs/>
                <w:kern w:val="24"/>
                <w:sz w:val="20"/>
                <w:szCs w:val="20"/>
                <w:lang w:val="en-ZA" w:eastAsia="en-ZA"/>
              </w:rPr>
              <w:t>Content advice service</w:t>
            </w: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bCs/>
                <w:sz w:val="20"/>
                <w:szCs w:val="20"/>
                <w:lang w:val="en-ZA"/>
              </w:rPr>
              <w:t>% Member satisfaction</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70%</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eastAsia="Times New Roman" w:hAnsi="Arial" w:cs="Arial"/>
                <w:sz w:val="20"/>
                <w:szCs w:val="20"/>
                <w:lang w:val="en-ZA" w:eastAsia="en-ZA"/>
              </w:rPr>
            </w:pPr>
            <w:r w:rsidRPr="006C03F2">
              <w:rPr>
                <w:rFonts w:ascii="Arial" w:eastAsia="Times New Roman" w:hAnsi="Arial" w:cs="Arial"/>
                <w:kern w:val="24"/>
                <w:sz w:val="20"/>
                <w:szCs w:val="20"/>
                <w:lang w:val="en-ZA" w:eastAsia="en-ZA"/>
              </w:rPr>
              <w:t>77,17%</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+7,17%</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p>
        </w:tc>
      </w:tr>
      <w:tr w:rsidR="002B5F6F" w:rsidRPr="006C03F2" w:rsidTr="00530F58">
        <w:trPr>
          <w:trHeight w:val="187"/>
        </w:trPr>
        <w:tc>
          <w:tcPr>
            <w:tcW w:w="2212"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3D51F6" w:rsidRPr="006C03F2" w:rsidRDefault="003D51F6" w:rsidP="006C03F2">
            <w:pPr>
              <w:spacing w:after="0" w:line="240" w:lineRule="auto"/>
              <w:rPr>
                <w:rFonts w:ascii="Arial" w:eastAsia="Times New Roman" w:hAnsi="Arial" w:cs="Arial"/>
                <w:b/>
                <w:sz w:val="20"/>
                <w:szCs w:val="20"/>
                <w:lang w:val="en-ZA" w:eastAsia="en-ZA"/>
              </w:rPr>
            </w:pPr>
            <w:r w:rsidRPr="006C03F2">
              <w:rPr>
                <w:rFonts w:ascii="Arial" w:hAnsi="Arial" w:cs="Arial"/>
                <w:b/>
                <w:bCs/>
                <w:kern w:val="24"/>
                <w:sz w:val="20"/>
                <w:szCs w:val="20"/>
                <w:lang w:val="en-ZA" w:eastAsia="en-ZA"/>
              </w:rPr>
              <w:t>Procedural advice service</w:t>
            </w: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bCs/>
                <w:sz w:val="20"/>
                <w:szCs w:val="20"/>
                <w:lang w:val="en-ZA"/>
              </w:rPr>
              <w:t>% Member satisfaction</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70%</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eastAsia="Times New Roman" w:hAnsi="Arial" w:cs="Arial"/>
                <w:sz w:val="20"/>
                <w:szCs w:val="20"/>
                <w:lang w:val="en-ZA" w:eastAsia="en-ZA"/>
              </w:rPr>
            </w:pPr>
            <w:r w:rsidRPr="006C03F2">
              <w:rPr>
                <w:rFonts w:ascii="Arial" w:eastAsia="Times New Roman" w:hAnsi="Arial" w:cs="Arial"/>
                <w:kern w:val="24"/>
                <w:sz w:val="20"/>
                <w:szCs w:val="20"/>
                <w:lang w:val="en-ZA" w:eastAsia="en-ZA"/>
              </w:rPr>
              <w:t>71,79%</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+1,79%</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p>
        </w:tc>
      </w:tr>
      <w:tr w:rsidR="002B5F6F" w:rsidRPr="006C03F2" w:rsidTr="00530F58">
        <w:trPr>
          <w:trHeight w:val="187"/>
        </w:trPr>
        <w:tc>
          <w:tcPr>
            <w:tcW w:w="2212"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3D51F6" w:rsidRPr="006C03F2" w:rsidRDefault="003D51F6" w:rsidP="006C03F2">
            <w:pPr>
              <w:spacing w:after="0" w:line="240" w:lineRule="auto"/>
              <w:rPr>
                <w:rFonts w:ascii="Arial" w:eastAsia="Times New Roman" w:hAnsi="Arial" w:cs="Arial"/>
                <w:b/>
                <w:sz w:val="20"/>
                <w:szCs w:val="20"/>
                <w:lang w:val="en-ZA" w:eastAsia="en-ZA"/>
              </w:rPr>
            </w:pPr>
            <w:r w:rsidRPr="006C03F2">
              <w:rPr>
                <w:rFonts w:ascii="Arial" w:hAnsi="Arial" w:cs="Arial"/>
                <w:b/>
                <w:bCs/>
                <w:kern w:val="24"/>
                <w:sz w:val="20"/>
                <w:szCs w:val="20"/>
                <w:lang w:val="en-ZA" w:eastAsia="en-ZA"/>
              </w:rPr>
              <w:t>Legal advice service</w:t>
            </w: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bCs/>
                <w:sz w:val="20"/>
                <w:szCs w:val="20"/>
                <w:lang w:val="en-ZA"/>
              </w:rPr>
              <w:t>% Member satisfaction</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65%</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eastAsia="Times New Roman" w:hAnsi="Arial" w:cs="Arial"/>
                <w:sz w:val="20"/>
                <w:szCs w:val="20"/>
                <w:lang w:val="en-ZA" w:eastAsia="en-ZA"/>
              </w:rPr>
            </w:pPr>
            <w:r w:rsidRPr="006C03F2">
              <w:rPr>
                <w:rFonts w:ascii="Arial" w:eastAsia="Times New Roman" w:hAnsi="Arial" w:cs="Arial"/>
                <w:kern w:val="24"/>
                <w:sz w:val="20"/>
                <w:szCs w:val="20"/>
                <w:lang w:val="en-ZA" w:eastAsia="en-ZA"/>
              </w:rPr>
              <w:t>74,57%</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+9,57%</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p>
        </w:tc>
      </w:tr>
      <w:tr w:rsidR="002B5F6F" w:rsidRPr="006C03F2" w:rsidTr="00530F58">
        <w:trPr>
          <w:trHeight w:val="187"/>
        </w:trPr>
        <w:tc>
          <w:tcPr>
            <w:tcW w:w="2212"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3D51F6" w:rsidRPr="006C03F2" w:rsidRDefault="003D51F6" w:rsidP="006C03F2">
            <w:pPr>
              <w:spacing w:after="0" w:line="240" w:lineRule="auto"/>
              <w:rPr>
                <w:rFonts w:ascii="Arial" w:eastAsia="Times New Roman" w:hAnsi="Arial" w:cs="Arial"/>
                <w:b/>
                <w:sz w:val="20"/>
                <w:szCs w:val="20"/>
                <w:lang w:val="en-ZA" w:eastAsia="en-ZA"/>
              </w:rPr>
            </w:pPr>
            <w:r w:rsidRPr="006C03F2">
              <w:rPr>
                <w:rFonts w:ascii="Arial" w:hAnsi="Arial" w:cs="Arial"/>
                <w:b/>
                <w:bCs/>
                <w:kern w:val="24"/>
                <w:sz w:val="20"/>
                <w:szCs w:val="20"/>
                <w:lang w:val="en-ZA" w:eastAsia="en-ZA"/>
              </w:rPr>
              <w:t>Committee support service</w:t>
            </w: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bCs/>
                <w:sz w:val="20"/>
                <w:szCs w:val="20"/>
                <w:lang w:val="en-ZA"/>
              </w:rPr>
              <w:t>% Member satisfaction</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70%</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eastAsia="Times New Roman" w:hAnsi="Arial" w:cs="Arial"/>
                <w:sz w:val="20"/>
                <w:szCs w:val="20"/>
                <w:lang w:val="en-ZA" w:eastAsia="en-ZA"/>
              </w:rPr>
            </w:pPr>
            <w:r w:rsidRPr="006C03F2">
              <w:rPr>
                <w:rFonts w:ascii="Arial" w:eastAsia="Times New Roman" w:hAnsi="Arial" w:cs="Arial"/>
                <w:kern w:val="24"/>
                <w:sz w:val="20"/>
                <w:szCs w:val="20"/>
                <w:lang w:val="en-ZA" w:eastAsia="en-ZA"/>
              </w:rPr>
              <w:t>74,69%</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+4,69%</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r w:rsidRPr="006C03F2">
              <w:rPr>
                <w:rFonts w:ascii="Arial" w:hAnsi="Arial" w:cs="Arial"/>
                <w:sz w:val="20"/>
                <w:szCs w:val="20"/>
                <w:lang w:val="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sz w:val="20"/>
                <w:szCs w:val="20"/>
                <w:lang w:val="en-ZA"/>
              </w:rPr>
            </w:pPr>
          </w:p>
        </w:tc>
      </w:tr>
      <w:tr w:rsidR="002B5F6F" w:rsidRPr="006C03F2" w:rsidTr="00530F58">
        <w:trPr>
          <w:trHeight w:val="187"/>
        </w:trPr>
        <w:tc>
          <w:tcPr>
            <w:tcW w:w="2212" w:type="dxa"/>
            <w:tcBorders>
              <w:top w:val="single" w:sz="8" w:space="0" w:color="BF9000"/>
              <w:left w:val="single" w:sz="8" w:space="0" w:color="BF9000"/>
              <w:bottom w:val="single" w:sz="8" w:space="0" w:color="BF9000"/>
              <w:right w:val="single" w:sz="8" w:space="0" w:color="BF9000"/>
            </w:tcBorders>
            <w:shd w:val="clear" w:color="auto" w:fill="E7E6E6" w:themeFill="background2"/>
            <w:vAlign w:val="center"/>
          </w:tcPr>
          <w:p w:rsidR="003D51F6" w:rsidRPr="006C03F2" w:rsidRDefault="003D51F6" w:rsidP="006C03F2">
            <w:pPr>
              <w:spacing w:after="0" w:line="240" w:lineRule="auto"/>
              <w:rPr>
                <w:rFonts w:ascii="Arial" w:hAnsi="Arial" w:cs="Arial"/>
                <w:b/>
                <w:bCs/>
                <w:kern w:val="24"/>
                <w:sz w:val="20"/>
                <w:szCs w:val="20"/>
                <w:lang w:val="en-ZA" w:eastAsia="en-ZA"/>
              </w:rPr>
            </w:pPr>
            <w:r w:rsidRPr="006C03F2">
              <w:rPr>
                <w:rFonts w:ascii="Arial" w:hAnsi="Arial" w:cs="Arial"/>
                <w:b/>
                <w:bCs/>
                <w:kern w:val="24"/>
                <w:sz w:val="20"/>
                <w:szCs w:val="20"/>
                <w:lang w:val="en-ZA" w:eastAsia="en-ZA"/>
              </w:rPr>
              <w:t>Public participation service</w:t>
            </w:r>
          </w:p>
        </w:tc>
        <w:tc>
          <w:tcPr>
            <w:tcW w:w="175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tcPr>
          <w:p w:rsidR="003D51F6" w:rsidRPr="006C03F2" w:rsidRDefault="003D51F6" w:rsidP="006C03F2">
            <w:pPr>
              <w:spacing w:after="0" w:line="240" w:lineRule="auto"/>
              <w:rPr>
                <w:rFonts w:ascii="Arial" w:hAnsi="Arial" w:cs="Arial"/>
                <w:bCs/>
                <w:kern w:val="24"/>
                <w:sz w:val="20"/>
                <w:szCs w:val="20"/>
                <w:lang w:val="en-ZA" w:eastAsia="en-ZA"/>
              </w:rPr>
            </w:pPr>
            <w:r w:rsidRPr="006C03F2">
              <w:rPr>
                <w:rFonts w:ascii="Arial" w:hAnsi="Arial" w:cs="Arial"/>
                <w:bCs/>
                <w:kern w:val="24"/>
                <w:sz w:val="20"/>
                <w:szCs w:val="20"/>
                <w:lang w:val="en-ZA" w:eastAsia="en-ZA"/>
              </w:rPr>
              <w:t>% Member satisfaction</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bCs/>
                <w:kern w:val="24"/>
                <w:sz w:val="20"/>
                <w:szCs w:val="20"/>
                <w:lang w:val="en-ZA" w:eastAsia="en-ZA"/>
              </w:rPr>
            </w:pPr>
            <w:r w:rsidRPr="006C03F2">
              <w:rPr>
                <w:rFonts w:ascii="Arial" w:hAnsi="Arial" w:cs="Arial"/>
                <w:bCs/>
                <w:kern w:val="24"/>
                <w:sz w:val="20"/>
                <w:szCs w:val="20"/>
                <w:lang w:val="en-ZA" w:eastAsia="en-ZA"/>
              </w:rPr>
              <w:t>60%</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bCs/>
                <w:kern w:val="24"/>
                <w:sz w:val="20"/>
                <w:szCs w:val="20"/>
                <w:lang w:val="en-ZA" w:eastAsia="en-ZA"/>
              </w:rPr>
            </w:pPr>
            <w:r w:rsidRPr="006C03F2">
              <w:rPr>
                <w:rFonts w:ascii="Arial" w:hAnsi="Arial" w:cs="Arial"/>
                <w:bCs/>
                <w:kern w:val="24"/>
                <w:sz w:val="20"/>
                <w:szCs w:val="20"/>
                <w:lang w:val="en-ZA" w:eastAsia="en-ZA"/>
              </w:rPr>
              <w:t>71,13%</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bCs/>
                <w:kern w:val="24"/>
                <w:sz w:val="20"/>
                <w:szCs w:val="20"/>
                <w:lang w:val="en-ZA" w:eastAsia="en-ZA"/>
              </w:rPr>
            </w:pPr>
            <w:r w:rsidRPr="006C03F2">
              <w:rPr>
                <w:rFonts w:ascii="Arial" w:hAnsi="Arial" w:cs="Arial"/>
                <w:bCs/>
                <w:kern w:val="24"/>
                <w:sz w:val="20"/>
                <w:szCs w:val="20"/>
                <w:lang w:val="en-ZA" w:eastAsia="en-ZA"/>
              </w:rPr>
              <w:t>+11,13%</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bCs/>
                <w:kern w:val="24"/>
                <w:sz w:val="20"/>
                <w:szCs w:val="20"/>
                <w:lang w:val="en-ZA" w:eastAsia="en-ZA"/>
              </w:rPr>
            </w:pPr>
            <w:r w:rsidRPr="006C03F2">
              <w:rPr>
                <w:rFonts w:ascii="Arial" w:hAnsi="Arial" w:cs="Arial"/>
                <w:bCs/>
                <w:kern w:val="24"/>
                <w:sz w:val="20"/>
                <w:szCs w:val="20"/>
                <w:lang w:val="en-ZA" w:eastAsia="en-ZA"/>
              </w:rPr>
              <w:t>met</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3D51F6" w:rsidRPr="006C03F2" w:rsidRDefault="003D51F6" w:rsidP="006C03F2">
            <w:pPr>
              <w:spacing w:after="0" w:line="240" w:lineRule="auto"/>
              <w:rPr>
                <w:rFonts w:ascii="Arial" w:hAnsi="Arial" w:cs="Arial"/>
                <w:bCs/>
                <w:kern w:val="24"/>
                <w:sz w:val="20"/>
                <w:szCs w:val="20"/>
                <w:lang w:val="en-ZA" w:eastAsia="en-ZA"/>
              </w:rPr>
            </w:pPr>
            <w:r w:rsidRPr="006C03F2">
              <w:rPr>
                <w:rFonts w:ascii="Arial" w:hAnsi="Arial" w:cs="Arial"/>
                <w:bCs/>
                <w:kern w:val="24"/>
                <w:sz w:val="20"/>
                <w:szCs w:val="20"/>
                <w:lang w:val="en-ZA" w:eastAsia="en-ZA"/>
              </w:rPr>
              <w:t> </w:t>
            </w:r>
          </w:p>
        </w:tc>
      </w:tr>
    </w:tbl>
    <w:p w:rsidR="00155259" w:rsidRPr="006C03F2" w:rsidRDefault="00E349FD" w:rsidP="006C03F2">
      <w:pPr>
        <w:spacing w:after="0" w:line="240" w:lineRule="auto"/>
        <w:rPr>
          <w:rFonts w:ascii="Arial" w:hAnsi="Arial" w:cs="Arial"/>
          <w:b/>
          <w:sz w:val="20"/>
          <w:szCs w:val="20"/>
          <w:lang w:val="en-ZA"/>
        </w:rPr>
      </w:pPr>
      <w:r w:rsidRPr="006C03F2">
        <w:rPr>
          <w:rFonts w:ascii="Arial" w:hAnsi="Arial" w:cs="Arial"/>
          <w:b/>
          <w:sz w:val="20"/>
          <w:szCs w:val="20"/>
          <w:lang w:val="en-ZA"/>
        </w:rPr>
        <w:t xml:space="preserve">Table 3: Programme 2 </w:t>
      </w:r>
      <w:r w:rsidR="00CC1E2F" w:rsidRPr="006C03F2">
        <w:rPr>
          <w:rFonts w:ascii="Arial" w:hAnsi="Arial" w:cs="Arial"/>
          <w:b/>
          <w:sz w:val="20"/>
          <w:szCs w:val="20"/>
          <w:lang w:val="en-ZA"/>
        </w:rPr>
        <w:t>– Legislation and Oversight</w:t>
      </w:r>
      <w:r w:rsidRPr="006C03F2">
        <w:rPr>
          <w:rFonts w:ascii="Arial" w:hAnsi="Arial" w:cs="Arial"/>
          <w:b/>
          <w:sz w:val="20"/>
          <w:szCs w:val="20"/>
          <w:lang w:val="en-ZA"/>
        </w:rPr>
        <w:t xml:space="preserve"> (Source: Parliament of the RSA)</w:t>
      </w:r>
    </w:p>
    <w:p w:rsidR="00F22932" w:rsidRPr="006C03F2" w:rsidRDefault="00F22932" w:rsidP="006C03F2">
      <w:pPr>
        <w:spacing w:after="0" w:line="240" w:lineRule="auto"/>
        <w:ind w:left="720" w:hanging="720"/>
        <w:rPr>
          <w:rFonts w:ascii="Arial" w:hAnsi="Arial" w:cs="Arial"/>
          <w:sz w:val="20"/>
          <w:szCs w:val="20"/>
        </w:rPr>
      </w:pPr>
    </w:p>
    <w:p w:rsidR="003D51F6" w:rsidRPr="006C03F2" w:rsidRDefault="00530F58" w:rsidP="006C03F2">
      <w:pPr>
        <w:spacing w:after="0" w:line="240" w:lineRule="auto"/>
        <w:ind w:left="720" w:hanging="720"/>
        <w:rPr>
          <w:rFonts w:ascii="Arial" w:hAnsi="Arial" w:cs="Arial"/>
          <w:sz w:val="20"/>
          <w:szCs w:val="20"/>
        </w:rPr>
      </w:pPr>
      <w:r w:rsidRPr="006C03F2">
        <w:rPr>
          <w:rFonts w:ascii="Arial" w:hAnsi="Arial" w:cs="Arial"/>
          <w:sz w:val="20"/>
          <w:szCs w:val="20"/>
        </w:rPr>
        <w:t>3.2.31</w:t>
      </w:r>
      <w:r w:rsidR="00072B5B" w:rsidRPr="006C03F2">
        <w:rPr>
          <w:rFonts w:ascii="Arial" w:hAnsi="Arial" w:cs="Arial"/>
          <w:sz w:val="20"/>
          <w:szCs w:val="20"/>
        </w:rPr>
        <w:tab/>
      </w:r>
      <w:r w:rsidR="003D51F6" w:rsidRPr="006C03F2">
        <w:rPr>
          <w:rFonts w:ascii="Arial" w:hAnsi="Arial" w:cs="Arial"/>
          <w:sz w:val="20"/>
          <w:szCs w:val="20"/>
        </w:rPr>
        <w:t xml:space="preserve">Committee support is focused on supporting the core mandates of Parliament i.e. law making, oversight, public participation, co-operative government and inter-governmental relations, </w:t>
      </w:r>
      <w:r w:rsidR="00614354" w:rsidRPr="006C03F2">
        <w:rPr>
          <w:rFonts w:ascii="Arial" w:hAnsi="Arial" w:cs="Arial"/>
          <w:sz w:val="20"/>
          <w:szCs w:val="20"/>
        </w:rPr>
        <w:t xml:space="preserve">and </w:t>
      </w:r>
      <w:r w:rsidR="003D51F6" w:rsidRPr="006C03F2">
        <w:rPr>
          <w:rFonts w:ascii="Arial" w:hAnsi="Arial" w:cs="Arial"/>
          <w:sz w:val="20"/>
          <w:szCs w:val="20"/>
        </w:rPr>
        <w:t xml:space="preserve">international engagement. </w:t>
      </w:r>
      <w:r w:rsidR="00614354" w:rsidRPr="006C03F2">
        <w:rPr>
          <w:rFonts w:ascii="Arial" w:hAnsi="Arial" w:cs="Arial"/>
          <w:sz w:val="20"/>
          <w:szCs w:val="20"/>
        </w:rPr>
        <w:t>The</w:t>
      </w:r>
      <w:r w:rsidR="003D51F6" w:rsidRPr="006C03F2">
        <w:rPr>
          <w:rFonts w:ascii="Arial" w:hAnsi="Arial" w:cs="Arial"/>
          <w:sz w:val="20"/>
          <w:szCs w:val="20"/>
        </w:rPr>
        <w:t xml:space="preserve"> support services provided to </w:t>
      </w:r>
      <w:r w:rsidRPr="006C03F2">
        <w:rPr>
          <w:rFonts w:ascii="Arial" w:hAnsi="Arial" w:cs="Arial"/>
          <w:sz w:val="20"/>
          <w:szCs w:val="20"/>
        </w:rPr>
        <w:t>parliamentarians</w:t>
      </w:r>
      <w:r w:rsidR="003D51F6" w:rsidRPr="006C03F2">
        <w:rPr>
          <w:rFonts w:ascii="Arial" w:hAnsi="Arial" w:cs="Arial"/>
          <w:sz w:val="20"/>
          <w:szCs w:val="20"/>
        </w:rPr>
        <w:t xml:space="preserve"> to carry out their constitutional mandate include</w:t>
      </w:r>
      <w:r w:rsidR="00614354" w:rsidRPr="006C03F2">
        <w:rPr>
          <w:rFonts w:ascii="Arial" w:hAnsi="Arial" w:cs="Arial"/>
          <w:sz w:val="20"/>
          <w:szCs w:val="20"/>
        </w:rPr>
        <w:t>d</w:t>
      </w:r>
      <w:r w:rsidR="003D51F6" w:rsidRPr="006C03F2">
        <w:rPr>
          <w:rFonts w:ascii="Arial" w:hAnsi="Arial" w:cs="Arial"/>
          <w:sz w:val="20"/>
          <w:szCs w:val="20"/>
        </w:rPr>
        <w:t xml:space="preserve">: </w:t>
      </w:r>
      <w:r w:rsidR="00614354" w:rsidRPr="006C03F2">
        <w:rPr>
          <w:rFonts w:ascii="Arial" w:hAnsi="Arial" w:cs="Arial"/>
          <w:bCs/>
          <w:sz w:val="20"/>
          <w:szCs w:val="20"/>
        </w:rPr>
        <w:t>p</w:t>
      </w:r>
      <w:r w:rsidR="003D51F6" w:rsidRPr="006C03F2">
        <w:rPr>
          <w:rFonts w:ascii="Arial" w:hAnsi="Arial" w:cs="Arial"/>
          <w:bCs/>
          <w:sz w:val="20"/>
          <w:szCs w:val="20"/>
        </w:rPr>
        <w:t>rodu</w:t>
      </w:r>
      <w:r w:rsidR="00614354" w:rsidRPr="006C03F2">
        <w:rPr>
          <w:rFonts w:ascii="Arial" w:hAnsi="Arial" w:cs="Arial"/>
          <w:bCs/>
          <w:sz w:val="20"/>
          <w:szCs w:val="20"/>
        </w:rPr>
        <w:t>ction of house p</w:t>
      </w:r>
      <w:r w:rsidR="003D51F6" w:rsidRPr="006C03F2">
        <w:rPr>
          <w:rFonts w:ascii="Arial" w:hAnsi="Arial" w:cs="Arial"/>
          <w:bCs/>
          <w:sz w:val="20"/>
          <w:szCs w:val="20"/>
        </w:rPr>
        <w:t>apers</w:t>
      </w:r>
      <w:r w:rsidR="00614354" w:rsidRPr="006C03F2">
        <w:rPr>
          <w:rFonts w:ascii="Arial" w:hAnsi="Arial" w:cs="Arial"/>
          <w:bCs/>
          <w:sz w:val="20"/>
          <w:szCs w:val="20"/>
        </w:rPr>
        <w:t xml:space="preserve"> (47 produced);</w:t>
      </w:r>
      <w:r w:rsidR="003D51F6" w:rsidRPr="006C03F2">
        <w:rPr>
          <w:rFonts w:ascii="Arial" w:hAnsi="Arial" w:cs="Arial"/>
          <w:sz w:val="20"/>
          <w:szCs w:val="20"/>
        </w:rPr>
        <w:t xml:space="preserve"> </w:t>
      </w:r>
      <w:r w:rsidR="00614354" w:rsidRPr="006C03F2">
        <w:rPr>
          <w:rFonts w:ascii="Arial" w:hAnsi="Arial" w:cs="Arial"/>
          <w:bCs/>
          <w:sz w:val="20"/>
          <w:szCs w:val="20"/>
        </w:rPr>
        <w:t>support to oversight function o</w:t>
      </w:r>
      <w:r w:rsidR="003D51F6" w:rsidRPr="006C03F2">
        <w:rPr>
          <w:rFonts w:ascii="Arial" w:hAnsi="Arial" w:cs="Arial"/>
          <w:bCs/>
          <w:sz w:val="20"/>
          <w:szCs w:val="20"/>
        </w:rPr>
        <w:t>f committees through provision of content and logistical support to committees</w:t>
      </w:r>
      <w:r w:rsidR="00614354" w:rsidRPr="006C03F2">
        <w:rPr>
          <w:rFonts w:ascii="Arial" w:hAnsi="Arial" w:cs="Arial"/>
          <w:bCs/>
          <w:sz w:val="20"/>
          <w:szCs w:val="20"/>
        </w:rPr>
        <w:t xml:space="preserve">; production of </w:t>
      </w:r>
      <w:r w:rsidR="003D51F6" w:rsidRPr="006C03F2">
        <w:rPr>
          <w:rFonts w:ascii="Arial" w:hAnsi="Arial" w:cs="Arial"/>
          <w:bCs/>
          <w:sz w:val="20"/>
          <w:szCs w:val="20"/>
        </w:rPr>
        <w:t>legislative reports for reporting in the programming structures</w:t>
      </w:r>
      <w:r w:rsidR="00614354" w:rsidRPr="006C03F2">
        <w:rPr>
          <w:rFonts w:ascii="Arial" w:hAnsi="Arial" w:cs="Arial"/>
          <w:bCs/>
          <w:sz w:val="20"/>
          <w:szCs w:val="20"/>
        </w:rPr>
        <w:t xml:space="preserve"> (16 committee reports); production of minutes and reports (221 of 232 sets of minutes, and 62 of 63 reports were produced within prescribe timeframes; legal advice to committees (8 </w:t>
      </w:r>
      <w:r w:rsidR="002427B1" w:rsidRPr="006C03F2">
        <w:rPr>
          <w:rFonts w:ascii="Arial" w:hAnsi="Arial" w:cs="Arial"/>
          <w:bCs/>
          <w:sz w:val="20"/>
          <w:szCs w:val="20"/>
        </w:rPr>
        <w:t xml:space="preserve">legal </w:t>
      </w:r>
      <w:r w:rsidR="00614354" w:rsidRPr="006C03F2">
        <w:rPr>
          <w:rFonts w:ascii="Arial" w:hAnsi="Arial" w:cs="Arial"/>
          <w:bCs/>
          <w:sz w:val="20"/>
          <w:szCs w:val="20"/>
        </w:rPr>
        <w:t>opinions); legal advice to the administration (10</w:t>
      </w:r>
      <w:r w:rsidR="002427B1" w:rsidRPr="006C03F2">
        <w:rPr>
          <w:rFonts w:ascii="Arial" w:hAnsi="Arial" w:cs="Arial"/>
          <w:bCs/>
          <w:sz w:val="20"/>
          <w:szCs w:val="20"/>
        </w:rPr>
        <w:t xml:space="preserve"> legal</w:t>
      </w:r>
      <w:r w:rsidR="00614354" w:rsidRPr="006C03F2">
        <w:rPr>
          <w:rFonts w:ascii="Arial" w:hAnsi="Arial" w:cs="Arial"/>
          <w:bCs/>
          <w:sz w:val="20"/>
          <w:szCs w:val="20"/>
        </w:rPr>
        <w:t xml:space="preserve"> opinions); </w:t>
      </w:r>
      <w:r w:rsidRPr="006C03F2">
        <w:rPr>
          <w:rFonts w:ascii="Arial" w:hAnsi="Arial" w:cs="Arial"/>
          <w:bCs/>
          <w:sz w:val="20"/>
          <w:szCs w:val="20"/>
        </w:rPr>
        <w:t>le</w:t>
      </w:r>
      <w:r w:rsidR="003D51F6" w:rsidRPr="006C03F2">
        <w:rPr>
          <w:rFonts w:ascii="Arial" w:hAnsi="Arial" w:cs="Arial"/>
          <w:bCs/>
          <w:sz w:val="20"/>
          <w:szCs w:val="20"/>
        </w:rPr>
        <w:t>gal drafting service</w:t>
      </w:r>
      <w:r w:rsidRPr="006C03F2">
        <w:rPr>
          <w:rFonts w:ascii="Arial" w:hAnsi="Arial" w:cs="Arial"/>
          <w:bCs/>
          <w:sz w:val="20"/>
          <w:szCs w:val="20"/>
        </w:rPr>
        <w:t>s (11 contracts</w:t>
      </w:r>
      <w:r w:rsidR="00614354" w:rsidRPr="006C03F2">
        <w:rPr>
          <w:rFonts w:ascii="Arial" w:hAnsi="Arial" w:cs="Arial"/>
          <w:bCs/>
          <w:sz w:val="20"/>
          <w:szCs w:val="20"/>
        </w:rPr>
        <w:t>);</w:t>
      </w:r>
      <w:r w:rsidR="003D51F6" w:rsidRPr="006C03F2">
        <w:rPr>
          <w:rFonts w:ascii="Arial" w:hAnsi="Arial" w:cs="Arial"/>
          <w:sz w:val="20"/>
          <w:szCs w:val="20"/>
        </w:rPr>
        <w:t xml:space="preserve"> </w:t>
      </w:r>
      <w:r w:rsidR="00614354" w:rsidRPr="006C03F2">
        <w:rPr>
          <w:rFonts w:ascii="Arial" w:hAnsi="Arial" w:cs="Arial"/>
          <w:bCs/>
          <w:sz w:val="20"/>
          <w:szCs w:val="20"/>
        </w:rPr>
        <w:t>l</w:t>
      </w:r>
      <w:r w:rsidR="003D51F6" w:rsidRPr="006C03F2">
        <w:rPr>
          <w:rFonts w:ascii="Arial" w:hAnsi="Arial" w:cs="Arial"/>
          <w:bCs/>
          <w:sz w:val="20"/>
          <w:szCs w:val="20"/>
        </w:rPr>
        <w:t>itigation</w:t>
      </w:r>
      <w:r w:rsidR="00614354" w:rsidRPr="006C03F2">
        <w:rPr>
          <w:rFonts w:ascii="Arial" w:hAnsi="Arial" w:cs="Arial"/>
          <w:bCs/>
          <w:sz w:val="20"/>
          <w:szCs w:val="20"/>
        </w:rPr>
        <w:t xml:space="preserve"> support and management service</w:t>
      </w:r>
      <w:r w:rsidR="003704B6" w:rsidRPr="006C03F2">
        <w:rPr>
          <w:rFonts w:ascii="Arial" w:hAnsi="Arial" w:cs="Arial"/>
          <w:bCs/>
          <w:sz w:val="20"/>
          <w:szCs w:val="20"/>
        </w:rPr>
        <w:t>s</w:t>
      </w:r>
      <w:r w:rsidR="00614354" w:rsidRPr="006C03F2">
        <w:rPr>
          <w:rFonts w:ascii="Arial" w:hAnsi="Arial" w:cs="Arial"/>
          <w:bCs/>
          <w:sz w:val="20"/>
          <w:szCs w:val="20"/>
        </w:rPr>
        <w:t xml:space="preserve"> (</w:t>
      </w:r>
      <w:r w:rsidR="00614354" w:rsidRPr="006C03F2">
        <w:rPr>
          <w:rFonts w:ascii="Arial" w:hAnsi="Arial" w:cs="Arial"/>
          <w:sz w:val="20"/>
          <w:szCs w:val="20"/>
        </w:rPr>
        <w:t xml:space="preserve">98 </w:t>
      </w:r>
      <w:r w:rsidR="003D51F6" w:rsidRPr="006C03F2">
        <w:rPr>
          <w:rFonts w:ascii="Arial" w:hAnsi="Arial" w:cs="Arial"/>
          <w:sz w:val="20"/>
          <w:szCs w:val="20"/>
        </w:rPr>
        <w:t>pending litigation matters attended to</w:t>
      </w:r>
      <w:r w:rsidR="00614354" w:rsidRPr="006C03F2">
        <w:rPr>
          <w:rFonts w:ascii="Arial" w:hAnsi="Arial" w:cs="Arial"/>
          <w:sz w:val="20"/>
          <w:szCs w:val="20"/>
        </w:rPr>
        <w:t xml:space="preserve">); </w:t>
      </w:r>
      <w:r w:rsidR="00614354" w:rsidRPr="006C03F2">
        <w:rPr>
          <w:rFonts w:ascii="Arial" w:hAnsi="Arial" w:cs="Arial"/>
          <w:bCs/>
          <w:sz w:val="20"/>
          <w:szCs w:val="20"/>
        </w:rPr>
        <w:t>l</w:t>
      </w:r>
      <w:r w:rsidR="003D51F6" w:rsidRPr="006C03F2">
        <w:rPr>
          <w:rFonts w:ascii="Arial" w:hAnsi="Arial" w:cs="Arial"/>
          <w:bCs/>
          <w:sz w:val="20"/>
          <w:szCs w:val="20"/>
        </w:rPr>
        <w:t>egislative process and programming support</w:t>
      </w:r>
      <w:r w:rsidR="00614354" w:rsidRPr="006C03F2">
        <w:rPr>
          <w:rFonts w:ascii="Arial" w:hAnsi="Arial" w:cs="Arial"/>
          <w:bCs/>
          <w:sz w:val="20"/>
          <w:szCs w:val="20"/>
        </w:rPr>
        <w:t xml:space="preserve"> (10 bills introduced)</w:t>
      </w:r>
      <w:r w:rsidR="00614354" w:rsidRPr="006C03F2">
        <w:rPr>
          <w:rFonts w:ascii="Arial" w:hAnsi="Arial" w:cs="Arial"/>
          <w:sz w:val="20"/>
          <w:szCs w:val="20"/>
        </w:rPr>
        <w:t>.</w:t>
      </w:r>
    </w:p>
    <w:p w:rsidR="00614354" w:rsidRPr="006C03F2" w:rsidRDefault="00D0087C" w:rsidP="006C03F2">
      <w:pPr>
        <w:spacing w:after="0" w:line="240" w:lineRule="auto"/>
        <w:ind w:firstLine="720"/>
        <w:rPr>
          <w:rFonts w:ascii="Arial" w:hAnsi="Arial" w:cs="Arial"/>
          <w:i/>
          <w:sz w:val="20"/>
          <w:szCs w:val="20"/>
          <w:lang w:val="en-ZA"/>
        </w:rPr>
      </w:pPr>
      <w:r w:rsidRPr="006C03F2">
        <w:rPr>
          <w:rFonts w:ascii="Arial" w:hAnsi="Arial" w:cs="Arial"/>
          <w:bCs/>
          <w:i/>
          <w:sz w:val="20"/>
          <w:szCs w:val="20"/>
          <w:lang w:val="en-ZA"/>
        </w:rPr>
        <w:t>Knowledge and Information Services</w:t>
      </w:r>
    </w:p>
    <w:p w:rsidR="00C031CA" w:rsidRPr="006C03F2" w:rsidRDefault="002427B1"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3.2.32</w:t>
      </w:r>
      <w:r w:rsidR="00C031CA" w:rsidRPr="006C03F2">
        <w:rPr>
          <w:rFonts w:ascii="Arial" w:hAnsi="Arial" w:cs="Arial"/>
          <w:sz w:val="20"/>
          <w:szCs w:val="20"/>
          <w:lang w:val="en-ZA"/>
        </w:rPr>
        <w:tab/>
      </w:r>
      <w:r w:rsidR="00614354" w:rsidRPr="006C03F2">
        <w:rPr>
          <w:rFonts w:ascii="Arial" w:hAnsi="Arial" w:cs="Arial"/>
          <w:sz w:val="20"/>
          <w:szCs w:val="20"/>
          <w:lang w:val="en-ZA"/>
        </w:rPr>
        <w:t>The Know</w:t>
      </w:r>
      <w:r w:rsidR="00D0087C" w:rsidRPr="006C03F2">
        <w:rPr>
          <w:rFonts w:ascii="Arial" w:hAnsi="Arial" w:cs="Arial"/>
          <w:sz w:val="20"/>
          <w:szCs w:val="20"/>
          <w:lang w:val="en-ZA"/>
        </w:rPr>
        <w:t>ledge and Information Services d</w:t>
      </w:r>
      <w:r w:rsidR="00614354" w:rsidRPr="006C03F2">
        <w:rPr>
          <w:rFonts w:ascii="Arial" w:hAnsi="Arial" w:cs="Arial"/>
          <w:sz w:val="20"/>
          <w:szCs w:val="20"/>
          <w:lang w:val="en-ZA"/>
        </w:rPr>
        <w:t>ivision supports oversight and accountability primarily through th</w:t>
      </w:r>
      <w:r w:rsidRPr="006C03F2">
        <w:rPr>
          <w:rFonts w:ascii="Arial" w:hAnsi="Arial" w:cs="Arial"/>
          <w:sz w:val="20"/>
          <w:szCs w:val="20"/>
          <w:lang w:val="en-ZA"/>
        </w:rPr>
        <w:t>e provision of research</w:t>
      </w:r>
      <w:r w:rsidR="00614354" w:rsidRPr="006C03F2">
        <w:rPr>
          <w:rFonts w:ascii="Arial" w:hAnsi="Arial" w:cs="Arial"/>
          <w:sz w:val="20"/>
          <w:szCs w:val="20"/>
          <w:lang w:val="en-ZA"/>
        </w:rPr>
        <w:t xml:space="preserve"> and information services</w:t>
      </w:r>
      <w:r w:rsidR="00D0087C" w:rsidRPr="006C03F2">
        <w:rPr>
          <w:rFonts w:ascii="Arial" w:hAnsi="Arial" w:cs="Arial"/>
          <w:sz w:val="20"/>
          <w:szCs w:val="20"/>
          <w:lang w:val="en-ZA"/>
        </w:rPr>
        <w:t>,</w:t>
      </w:r>
      <w:r w:rsidR="00614354" w:rsidRPr="006C03F2">
        <w:rPr>
          <w:rFonts w:ascii="Arial" w:hAnsi="Arial" w:cs="Arial"/>
          <w:sz w:val="20"/>
          <w:szCs w:val="20"/>
          <w:lang w:val="en-ZA"/>
        </w:rPr>
        <w:t xml:space="preserve"> and multilingual languag</w:t>
      </w:r>
      <w:r w:rsidR="00C031CA" w:rsidRPr="006C03F2">
        <w:rPr>
          <w:rFonts w:ascii="Arial" w:hAnsi="Arial" w:cs="Arial"/>
          <w:sz w:val="20"/>
          <w:szCs w:val="20"/>
          <w:lang w:val="en-ZA"/>
        </w:rPr>
        <w:t>e services.</w:t>
      </w:r>
    </w:p>
    <w:p w:rsidR="00D0087C" w:rsidRPr="006C03F2" w:rsidRDefault="002427B1"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3.2.33</w:t>
      </w:r>
      <w:r w:rsidR="00C031CA" w:rsidRPr="006C03F2">
        <w:rPr>
          <w:rFonts w:ascii="Arial" w:hAnsi="Arial" w:cs="Arial"/>
          <w:sz w:val="20"/>
          <w:szCs w:val="20"/>
          <w:lang w:val="en-ZA"/>
        </w:rPr>
        <w:tab/>
      </w:r>
      <w:r w:rsidR="00D0087C" w:rsidRPr="006C03F2">
        <w:rPr>
          <w:rFonts w:ascii="Arial" w:hAnsi="Arial" w:cs="Arial"/>
          <w:sz w:val="20"/>
          <w:szCs w:val="20"/>
          <w:lang w:val="en-ZA"/>
        </w:rPr>
        <w:t>In the period under review the Parliamentary</w:t>
      </w:r>
      <w:r w:rsidR="00614354" w:rsidRPr="006C03F2">
        <w:rPr>
          <w:rFonts w:ascii="Arial" w:hAnsi="Arial" w:cs="Arial"/>
          <w:sz w:val="20"/>
          <w:szCs w:val="20"/>
          <w:lang w:val="en-ZA"/>
        </w:rPr>
        <w:t xml:space="preserve"> Research Unit provid</w:t>
      </w:r>
      <w:r w:rsidR="00D0087C" w:rsidRPr="006C03F2">
        <w:rPr>
          <w:rFonts w:ascii="Arial" w:hAnsi="Arial" w:cs="Arial"/>
          <w:sz w:val="20"/>
          <w:szCs w:val="20"/>
          <w:lang w:val="en-ZA"/>
        </w:rPr>
        <w:t>ed 342 research papers in support of c</w:t>
      </w:r>
      <w:r w:rsidR="00614354" w:rsidRPr="006C03F2">
        <w:rPr>
          <w:rFonts w:ascii="Arial" w:hAnsi="Arial" w:cs="Arial"/>
          <w:sz w:val="20"/>
          <w:szCs w:val="20"/>
          <w:lang w:val="en-ZA"/>
        </w:rPr>
        <w:t xml:space="preserve">ommittee </w:t>
      </w:r>
      <w:r w:rsidR="00D0087C" w:rsidRPr="006C03F2">
        <w:rPr>
          <w:rFonts w:ascii="Arial" w:hAnsi="Arial" w:cs="Arial"/>
          <w:sz w:val="20"/>
          <w:szCs w:val="20"/>
          <w:lang w:val="en-ZA"/>
        </w:rPr>
        <w:t>oversight. Research services were</w:t>
      </w:r>
      <w:r w:rsidR="00614354" w:rsidRPr="006C03F2">
        <w:rPr>
          <w:rFonts w:ascii="Arial" w:hAnsi="Arial" w:cs="Arial"/>
          <w:sz w:val="20"/>
          <w:szCs w:val="20"/>
          <w:lang w:val="en-ZA"/>
        </w:rPr>
        <w:t xml:space="preserve"> aligned to the oversight a</w:t>
      </w:r>
      <w:r w:rsidR="00D0087C" w:rsidRPr="006C03F2">
        <w:rPr>
          <w:rFonts w:ascii="Arial" w:hAnsi="Arial" w:cs="Arial"/>
          <w:sz w:val="20"/>
          <w:szCs w:val="20"/>
          <w:lang w:val="en-ZA"/>
        </w:rPr>
        <w:t xml:space="preserve">nd accountability programme. </w:t>
      </w:r>
      <w:r w:rsidR="00614354" w:rsidRPr="006C03F2">
        <w:rPr>
          <w:rFonts w:ascii="Arial" w:hAnsi="Arial" w:cs="Arial"/>
          <w:sz w:val="20"/>
          <w:szCs w:val="20"/>
          <w:lang w:val="en-ZA"/>
        </w:rPr>
        <w:t>Researchers supported the oversight work of committees by</w:t>
      </w:r>
      <w:r w:rsidRPr="006C03F2">
        <w:rPr>
          <w:rFonts w:ascii="Arial" w:hAnsi="Arial" w:cs="Arial"/>
          <w:sz w:val="20"/>
          <w:szCs w:val="20"/>
          <w:lang w:val="en-ZA"/>
        </w:rPr>
        <w:t xml:space="preserve"> providing background documents and</w:t>
      </w:r>
      <w:r w:rsidR="00614354" w:rsidRPr="006C03F2">
        <w:rPr>
          <w:rFonts w:ascii="Arial" w:hAnsi="Arial" w:cs="Arial"/>
          <w:sz w:val="20"/>
          <w:szCs w:val="20"/>
          <w:lang w:val="en-ZA"/>
        </w:rPr>
        <w:t xml:space="preserve"> on-site support</w:t>
      </w:r>
      <w:r w:rsidRPr="006C03F2">
        <w:rPr>
          <w:rFonts w:ascii="Arial" w:hAnsi="Arial" w:cs="Arial"/>
          <w:sz w:val="20"/>
          <w:szCs w:val="20"/>
          <w:lang w:val="en-ZA"/>
        </w:rPr>
        <w:t>,</w:t>
      </w:r>
      <w:r w:rsidR="00614354" w:rsidRPr="006C03F2">
        <w:rPr>
          <w:rFonts w:ascii="Arial" w:hAnsi="Arial" w:cs="Arial"/>
          <w:sz w:val="20"/>
          <w:szCs w:val="20"/>
          <w:lang w:val="en-ZA"/>
        </w:rPr>
        <w:t xml:space="preserve"> and contrib</w:t>
      </w:r>
      <w:r w:rsidR="00D0087C" w:rsidRPr="006C03F2">
        <w:rPr>
          <w:rFonts w:ascii="Arial" w:hAnsi="Arial" w:cs="Arial"/>
          <w:sz w:val="20"/>
          <w:szCs w:val="20"/>
          <w:lang w:val="en-ZA"/>
        </w:rPr>
        <w:t>uting to the oversight reports.</w:t>
      </w:r>
    </w:p>
    <w:p w:rsidR="00D0087C" w:rsidRPr="006C03F2" w:rsidRDefault="002427B1" w:rsidP="006C03F2">
      <w:pPr>
        <w:spacing w:after="0" w:line="240" w:lineRule="auto"/>
        <w:ind w:left="720" w:hanging="720"/>
        <w:rPr>
          <w:rFonts w:ascii="Arial" w:hAnsi="Arial" w:cs="Arial"/>
          <w:sz w:val="20"/>
          <w:szCs w:val="20"/>
        </w:rPr>
      </w:pPr>
      <w:r w:rsidRPr="006C03F2">
        <w:rPr>
          <w:rFonts w:ascii="Arial" w:hAnsi="Arial" w:cs="Arial"/>
          <w:sz w:val="20"/>
          <w:szCs w:val="20"/>
        </w:rPr>
        <w:t>3.2.34</w:t>
      </w:r>
      <w:r w:rsidR="00C031CA" w:rsidRPr="006C03F2">
        <w:rPr>
          <w:rFonts w:ascii="Arial" w:hAnsi="Arial" w:cs="Arial"/>
          <w:sz w:val="20"/>
          <w:szCs w:val="20"/>
        </w:rPr>
        <w:tab/>
      </w:r>
      <w:r w:rsidR="00D0087C" w:rsidRPr="006C03F2">
        <w:rPr>
          <w:rFonts w:ascii="Arial" w:hAnsi="Arial" w:cs="Arial"/>
          <w:sz w:val="20"/>
          <w:szCs w:val="20"/>
        </w:rPr>
        <w:t xml:space="preserve">The </w:t>
      </w:r>
      <w:r w:rsidRPr="006C03F2">
        <w:rPr>
          <w:rFonts w:ascii="Arial" w:hAnsi="Arial" w:cs="Arial"/>
          <w:sz w:val="20"/>
          <w:szCs w:val="20"/>
        </w:rPr>
        <w:t xml:space="preserve">division supports </w:t>
      </w:r>
      <w:r w:rsidR="00D0087C" w:rsidRPr="006C03F2">
        <w:rPr>
          <w:rFonts w:ascii="Arial" w:hAnsi="Arial" w:cs="Arial"/>
          <w:sz w:val="20"/>
          <w:szCs w:val="20"/>
        </w:rPr>
        <w:t>law-making processes through the provision of language ser</w:t>
      </w:r>
      <w:r w:rsidRPr="006C03F2">
        <w:rPr>
          <w:rFonts w:ascii="Arial" w:hAnsi="Arial" w:cs="Arial"/>
          <w:sz w:val="20"/>
          <w:szCs w:val="20"/>
        </w:rPr>
        <w:t xml:space="preserve">vices, research and information, </w:t>
      </w:r>
      <w:r w:rsidR="00D0087C" w:rsidRPr="006C03F2">
        <w:rPr>
          <w:rFonts w:ascii="Arial" w:hAnsi="Arial" w:cs="Arial"/>
          <w:sz w:val="20"/>
          <w:szCs w:val="20"/>
        </w:rPr>
        <w:t xml:space="preserve">and documentation. In the period under review 18 research papers were completed in support </w:t>
      </w:r>
      <w:r w:rsidRPr="006C03F2">
        <w:rPr>
          <w:rFonts w:ascii="Arial" w:hAnsi="Arial" w:cs="Arial"/>
          <w:sz w:val="20"/>
          <w:szCs w:val="20"/>
        </w:rPr>
        <w:t xml:space="preserve">of Parliament’s law-making </w:t>
      </w:r>
      <w:r w:rsidR="00D0087C" w:rsidRPr="006C03F2">
        <w:rPr>
          <w:rFonts w:ascii="Arial" w:hAnsi="Arial" w:cs="Arial"/>
          <w:sz w:val="20"/>
          <w:szCs w:val="20"/>
        </w:rPr>
        <w:t>mandate.</w:t>
      </w:r>
    </w:p>
    <w:p w:rsidR="00D0087C" w:rsidRPr="006C03F2" w:rsidRDefault="002427B1" w:rsidP="006C03F2">
      <w:pPr>
        <w:spacing w:after="0" w:line="240" w:lineRule="auto"/>
        <w:ind w:left="720" w:hanging="720"/>
        <w:rPr>
          <w:rFonts w:ascii="Arial" w:hAnsi="Arial" w:cs="Arial"/>
          <w:sz w:val="20"/>
          <w:szCs w:val="20"/>
        </w:rPr>
      </w:pPr>
      <w:r w:rsidRPr="006C03F2">
        <w:rPr>
          <w:rFonts w:ascii="Arial" w:hAnsi="Arial" w:cs="Arial"/>
          <w:sz w:val="20"/>
          <w:szCs w:val="20"/>
        </w:rPr>
        <w:t>3.2.35</w:t>
      </w:r>
      <w:r w:rsidR="00C031CA" w:rsidRPr="006C03F2">
        <w:rPr>
          <w:rFonts w:ascii="Arial" w:hAnsi="Arial" w:cs="Arial"/>
          <w:sz w:val="20"/>
          <w:szCs w:val="20"/>
        </w:rPr>
        <w:tab/>
      </w:r>
      <w:r w:rsidR="00D0087C" w:rsidRPr="006C03F2">
        <w:rPr>
          <w:rFonts w:ascii="Arial" w:hAnsi="Arial" w:cs="Arial"/>
          <w:sz w:val="20"/>
          <w:szCs w:val="20"/>
        </w:rPr>
        <w:t xml:space="preserve">The translation of documents into official languages for public consumption supports public participation </w:t>
      </w:r>
      <w:r w:rsidRPr="006C03F2">
        <w:rPr>
          <w:rFonts w:ascii="Arial" w:hAnsi="Arial" w:cs="Arial"/>
          <w:sz w:val="20"/>
          <w:szCs w:val="20"/>
        </w:rPr>
        <w:t>parliamentary committee processes</w:t>
      </w:r>
      <w:r w:rsidR="00D0087C" w:rsidRPr="006C03F2">
        <w:rPr>
          <w:rFonts w:ascii="Arial" w:hAnsi="Arial" w:cs="Arial"/>
          <w:sz w:val="20"/>
          <w:szCs w:val="20"/>
        </w:rPr>
        <w:t>. The translation of radio scripts and adverts assisted in Parliament reaching the publ</w:t>
      </w:r>
      <w:r w:rsidRPr="006C03F2">
        <w:rPr>
          <w:rFonts w:ascii="Arial" w:hAnsi="Arial" w:cs="Arial"/>
          <w:sz w:val="20"/>
          <w:szCs w:val="20"/>
        </w:rPr>
        <w:t>ic thereby enhancing</w:t>
      </w:r>
      <w:r w:rsidR="00D0087C" w:rsidRPr="006C03F2">
        <w:rPr>
          <w:rFonts w:ascii="Arial" w:hAnsi="Arial" w:cs="Arial"/>
          <w:sz w:val="20"/>
          <w:szCs w:val="20"/>
        </w:rPr>
        <w:t xml:space="preserve"> public participation.</w:t>
      </w:r>
    </w:p>
    <w:p w:rsidR="00D0087C" w:rsidRPr="006C03F2" w:rsidRDefault="002427B1" w:rsidP="006C03F2">
      <w:pPr>
        <w:spacing w:after="0" w:line="240" w:lineRule="auto"/>
        <w:ind w:left="720" w:hanging="720"/>
        <w:rPr>
          <w:rFonts w:ascii="Arial" w:hAnsi="Arial" w:cs="Arial"/>
          <w:sz w:val="20"/>
          <w:szCs w:val="20"/>
        </w:rPr>
      </w:pPr>
      <w:r w:rsidRPr="006C03F2">
        <w:rPr>
          <w:rFonts w:ascii="Arial" w:hAnsi="Arial" w:cs="Arial"/>
          <w:sz w:val="20"/>
          <w:szCs w:val="20"/>
        </w:rPr>
        <w:t>3.2.36</w:t>
      </w:r>
      <w:r w:rsidR="00C031CA" w:rsidRPr="006C03F2">
        <w:rPr>
          <w:rFonts w:ascii="Arial" w:hAnsi="Arial" w:cs="Arial"/>
          <w:sz w:val="20"/>
          <w:szCs w:val="20"/>
        </w:rPr>
        <w:tab/>
      </w:r>
      <w:r w:rsidR="00D0087C" w:rsidRPr="006C03F2">
        <w:rPr>
          <w:rFonts w:ascii="Arial" w:hAnsi="Arial" w:cs="Arial"/>
          <w:sz w:val="20"/>
          <w:szCs w:val="20"/>
        </w:rPr>
        <w:t>Research and information support is provi</w:t>
      </w:r>
      <w:r w:rsidR="00C031CA" w:rsidRPr="006C03F2">
        <w:rPr>
          <w:rFonts w:ascii="Arial" w:hAnsi="Arial" w:cs="Arial"/>
          <w:sz w:val="20"/>
          <w:szCs w:val="20"/>
        </w:rPr>
        <w:t>ded on an ongoing basis to the c</w:t>
      </w:r>
      <w:r w:rsidR="00D0087C" w:rsidRPr="006C03F2">
        <w:rPr>
          <w:rFonts w:ascii="Arial" w:hAnsi="Arial" w:cs="Arial"/>
          <w:sz w:val="20"/>
          <w:szCs w:val="20"/>
        </w:rPr>
        <w:t>ommittees dealing with cooperative government. Eleven research papers were prepared in s</w:t>
      </w:r>
      <w:r w:rsidR="00C031CA" w:rsidRPr="006C03F2">
        <w:rPr>
          <w:rFonts w:ascii="Arial" w:hAnsi="Arial" w:cs="Arial"/>
          <w:sz w:val="20"/>
          <w:szCs w:val="20"/>
        </w:rPr>
        <w:t>upport of this</w:t>
      </w:r>
      <w:r w:rsidR="00D0087C" w:rsidRPr="006C03F2">
        <w:rPr>
          <w:rFonts w:ascii="Arial" w:hAnsi="Arial" w:cs="Arial"/>
          <w:sz w:val="20"/>
          <w:szCs w:val="20"/>
        </w:rPr>
        <w:t xml:space="preserve"> man</w:t>
      </w:r>
      <w:r w:rsidRPr="006C03F2">
        <w:rPr>
          <w:rFonts w:ascii="Arial" w:hAnsi="Arial" w:cs="Arial"/>
          <w:sz w:val="20"/>
          <w:szCs w:val="20"/>
        </w:rPr>
        <w:t>date. R</w:t>
      </w:r>
      <w:r w:rsidR="00C031CA" w:rsidRPr="006C03F2">
        <w:rPr>
          <w:rFonts w:ascii="Arial" w:hAnsi="Arial" w:cs="Arial"/>
          <w:sz w:val="20"/>
          <w:szCs w:val="20"/>
        </w:rPr>
        <w:t xml:space="preserve">esearch support </w:t>
      </w:r>
      <w:r w:rsidRPr="006C03F2">
        <w:rPr>
          <w:rFonts w:ascii="Arial" w:hAnsi="Arial" w:cs="Arial"/>
          <w:sz w:val="20"/>
          <w:szCs w:val="20"/>
        </w:rPr>
        <w:t xml:space="preserve">was provided </w:t>
      </w:r>
      <w:r w:rsidR="00C031CA" w:rsidRPr="006C03F2">
        <w:rPr>
          <w:rFonts w:ascii="Arial" w:hAnsi="Arial" w:cs="Arial"/>
          <w:sz w:val="20"/>
          <w:szCs w:val="20"/>
        </w:rPr>
        <w:t>for visits by permanent d</w:t>
      </w:r>
      <w:r w:rsidR="00D0087C" w:rsidRPr="006C03F2">
        <w:rPr>
          <w:rFonts w:ascii="Arial" w:hAnsi="Arial" w:cs="Arial"/>
          <w:sz w:val="20"/>
          <w:szCs w:val="20"/>
        </w:rPr>
        <w:t>elegates to six provinces</w:t>
      </w:r>
      <w:r w:rsidRPr="006C03F2">
        <w:rPr>
          <w:rFonts w:ascii="Arial" w:hAnsi="Arial" w:cs="Arial"/>
          <w:sz w:val="20"/>
          <w:szCs w:val="20"/>
        </w:rPr>
        <w:t>, during the NCOP’s provincial week.</w:t>
      </w:r>
      <w:r w:rsidR="00D0087C" w:rsidRPr="006C03F2">
        <w:rPr>
          <w:rFonts w:ascii="Arial" w:hAnsi="Arial" w:cs="Arial"/>
          <w:sz w:val="20"/>
          <w:szCs w:val="20"/>
        </w:rPr>
        <w:t xml:space="preserve"> Researchers provided</w:t>
      </w:r>
      <w:r w:rsidRPr="006C03F2">
        <w:rPr>
          <w:rFonts w:ascii="Arial" w:hAnsi="Arial" w:cs="Arial"/>
          <w:sz w:val="20"/>
          <w:szCs w:val="20"/>
        </w:rPr>
        <w:t xml:space="preserve"> background papers,</w:t>
      </w:r>
      <w:r w:rsidR="00D0087C" w:rsidRPr="006C03F2">
        <w:rPr>
          <w:rFonts w:ascii="Arial" w:hAnsi="Arial" w:cs="Arial"/>
          <w:sz w:val="20"/>
          <w:szCs w:val="20"/>
        </w:rPr>
        <w:t xml:space="preserve"> on</w:t>
      </w:r>
      <w:r w:rsidR="00C031CA" w:rsidRPr="006C03F2">
        <w:rPr>
          <w:rFonts w:ascii="Arial" w:hAnsi="Arial" w:cs="Arial"/>
          <w:sz w:val="20"/>
          <w:szCs w:val="20"/>
        </w:rPr>
        <w:t>-</w:t>
      </w:r>
      <w:r w:rsidR="00D0087C" w:rsidRPr="006C03F2">
        <w:rPr>
          <w:rFonts w:ascii="Arial" w:hAnsi="Arial" w:cs="Arial"/>
          <w:sz w:val="20"/>
          <w:szCs w:val="20"/>
        </w:rPr>
        <w:t xml:space="preserve">site support and assisted with </w:t>
      </w:r>
      <w:r w:rsidRPr="006C03F2">
        <w:rPr>
          <w:rFonts w:ascii="Arial" w:hAnsi="Arial" w:cs="Arial"/>
          <w:sz w:val="20"/>
          <w:szCs w:val="20"/>
        </w:rPr>
        <w:t>the daily reporting obligations.</w:t>
      </w:r>
    </w:p>
    <w:p w:rsidR="00FA3B99" w:rsidRPr="006C03F2" w:rsidRDefault="00FA3B99" w:rsidP="006C03F2">
      <w:pPr>
        <w:spacing w:after="0" w:line="240" w:lineRule="auto"/>
        <w:rPr>
          <w:rFonts w:ascii="Arial" w:hAnsi="Arial" w:cs="Arial"/>
          <w:i/>
          <w:sz w:val="20"/>
          <w:szCs w:val="20"/>
          <w:lang w:val="en-ZA"/>
        </w:rPr>
      </w:pPr>
    </w:p>
    <w:p w:rsidR="00783EDD" w:rsidRPr="006C03F2" w:rsidRDefault="00783EDD" w:rsidP="006C03F2">
      <w:pPr>
        <w:spacing w:after="0" w:line="240" w:lineRule="auto"/>
        <w:ind w:firstLine="720"/>
        <w:rPr>
          <w:rFonts w:ascii="Arial" w:hAnsi="Arial" w:cs="Arial"/>
          <w:i/>
          <w:sz w:val="20"/>
          <w:szCs w:val="20"/>
          <w:lang w:val="en-ZA"/>
        </w:rPr>
      </w:pPr>
      <w:r w:rsidRPr="006C03F2">
        <w:rPr>
          <w:rFonts w:ascii="Arial" w:hAnsi="Arial" w:cs="Arial"/>
          <w:i/>
          <w:sz w:val="20"/>
          <w:szCs w:val="20"/>
          <w:lang w:val="en-ZA"/>
        </w:rPr>
        <w:t>Programme 3:</w:t>
      </w:r>
      <w:r w:rsidRPr="006C03F2">
        <w:rPr>
          <w:rFonts w:ascii="Arial" w:hAnsi="Arial" w:cs="Arial"/>
          <w:i/>
          <w:sz w:val="20"/>
          <w:szCs w:val="20"/>
          <w:lang w:val="en-ZA"/>
        </w:rPr>
        <w:tab/>
        <w:t>Associated Services and Transfers</w:t>
      </w:r>
    </w:p>
    <w:p w:rsidR="00BE6349" w:rsidRPr="006C03F2" w:rsidRDefault="002427B1"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3.2.37</w:t>
      </w:r>
      <w:r w:rsidR="00F12669" w:rsidRPr="006C03F2">
        <w:rPr>
          <w:rFonts w:ascii="Arial" w:hAnsi="Arial" w:cs="Arial"/>
          <w:sz w:val="20"/>
          <w:szCs w:val="20"/>
          <w:lang w:val="en-ZA"/>
        </w:rPr>
        <w:tab/>
        <w:t>Programme 3 provides for</w:t>
      </w:r>
      <w:r w:rsidR="00783EDD" w:rsidRPr="006C03F2">
        <w:rPr>
          <w:rFonts w:ascii="Arial" w:hAnsi="Arial" w:cs="Arial"/>
          <w:sz w:val="20"/>
          <w:szCs w:val="20"/>
          <w:lang w:val="en-ZA"/>
        </w:rPr>
        <w:t xml:space="preserve"> facilities and financial support to political parties including leadership, administrative and constituency support. It also provides for transfer payments to entities in Parliament. It comprises the following sub-programmes: Members’ Facilities, Leadership, Administrative and Constituency</w:t>
      </w:r>
      <w:r w:rsidRPr="006C03F2">
        <w:rPr>
          <w:rFonts w:ascii="Arial" w:hAnsi="Arial" w:cs="Arial"/>
          <w:sz w:val="20"/>
          <w:szCs w:val="20"/>
          <w:lang w:val="en-ZA"/>
        </w:rPr>
        <w:t xml:space="preserve"> support to political parties; t</w:t>
      </w:r>
      <w:r w:rsidR="00783EDD" w:rsidRPr="006C03F2">
        <w:rPr>
          <w:rFonts w:ascii="Arial" w:hAnsi="Arial" w:cs="Arial"/>
          <w:sz w:val="20"/>
          <w:szCs w:val="20"/>
          <w:lang w:val="en-ZA"/>
        </w:rPr>
        <w:t xml:space="preserve">ransfer to the PBO, Legislative Sector Support, and </w:t>
      </w:r>
      <w:r w:rsidR="00BC10DE" w:rsidRPr="006C03F2">
        <w:rPr>
          <w:rFonts w:ascii="Arial" w:hAnsi="Arial" w:cs="Arial"/>
          <w:sz w:val="20"/>
          <w:szCs w:val="20"/>
          <w:lang w:val="en-ZA"/>
        </w:rPr>
        <w:t>the Office on Institutions Supporting Democracy (OISD)</w:t>
      </w:r>
      <w:r w:rsidR="00783EDD" w:rsidRPr="006C03F2">
        <w:rPr>
          <w:rFonts w:ascii="Arial" w:hAnsi="Arial" w:cs="Arial"/>
          <w:sz w:val="20"/>
          <w:szCs w:val="20"/>
          <w:lang w:val="en-ZA"/>
        </w:rPr>
        <w:t>. Performance in respect of this programme was not measured.</w:t>
      </w:r>
    </w:p>
    <w:p w:rsidR="00F22932" w:rsidRPr="006C03F2" w:rsidRDefault="00F22932" w:rsidP="006C03F2">
      <w:pPr>
        <w:spacing w:after="0" w:line="240" w:lineRule="auto"/>
        <w:rPr>
          <w:rFonts w:ascii="Arial" w:hAnsi="Arial" w:cs="Arial"/>
          <w:sz w:val="20"/>
          <w:szCs w:val="20"/>
          <w:lang w:val="en-ZA"/>
        </w:rPr>
      </w:pPr>
    </w:p>
    <w:p w:rsidR="00C031CA" w:rsidRPr="006C03F2" w:rsidRDefault="00C031CA" w:rsidP="006C03F2">
      <w:pPr>
        <w:spacing w:after="0" w:line="240" w:lineRule="auto"/>
        <w:ind w:firstLine="720"/>
        <w:rPr>
          <w:rFonts w:ascii="Arial" w:hAnsi="Arial" w:cs="Arial"/>
          <w:i/>
          <w:sz w:val="20"/>
          <w:szCs w:val="20"/>
          <w:lang w:val="en-ZA"/>
        </w:rPr>
      </w:pPr>
      <w:r w:rsidRPr="006C03F2">
        <w:rPr>
          <w:rFonts w:ascii="Arial" w:hAnsi="Arial" w:cs="Arial"/>
          <w:i/>
          <w:sz w:val="20"/>
          <w:szCs w:val="20"/>
          <w:lang w:val="en-ZA"/>
        </w:rPr>
        <w:t>Members Interests</w:t>
      </w:r>
    </w:p>
    <w:p w:rsidR="00C031CA" w:rsidRPr="006C03F2" w:rsidRDefault="00BC10DE"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3.2.38</w:t>
      </w:r>
      <w:r w:rsidR="00C031CA" w:rsidRPr="006C03F2">
        <w:rPr>
          <w:rFonts w:ascii="Arial" w:hAnsi="Arial" w:cs="Arial"/>
          <w:sz w:val="20"/>
          <w:szCs w:val="20"/>
          <w:lang w:val="en-ZA"/>
        </w:rPr>
        <w:tab/>
        <w:t xml:space="preserve">The Members’ Support Services (MSS) Service Charter was approved in March 2017. Divisions provided service level agreements for specific areas of responsibility. The MSS Service Charter together with the strategic plan and divisional service charters informed the business requirements specification prepared in December 2020. </w:t>
      </w:r>
    </w:p>
    <w:p w:rsidR="00C031CA" w:rsidRPr="006C03F2" w:rsidRDefault="00BC10DE"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3.2.39</w:t>
      </w:r>
      <w:r w:rsidR="00C031CA" w:rsidRPr="006C03F2">
        <w:rPr>
          <w:rFonts w:ascii="Arial" w:hAnsi="Arial" w:cs="Arial"/>
          <w:sz w:val="20"/>
          <w:szCs w:val="20"/>
          <w:lang w:val="en-ZA"/>
        </w:rPr>
        <w:tab/>
        <w:t xml:space="preserve">Members must be supported in a manner that is accessible, effortless, accurate and friendly. </w:t>
      </w:r>
      <w:r w:rsidRPr="006C03F2">
        <w:rPr>
          <w:rFonts w:ascii="Arial" w:hAnsi="Arial" w:cs="Arial"/>
          <w:sz w:val="20"/>
          <w:szCs w:val="20"/>
          <w:lang w:val="en-ZA"/>
        </w:rPr>
        <w:t>The institution should adopt a</w:t>
      </w:r>
      <w:r w:rsidR="00C031CA" w:rsidRPr="006C03F2">
        <w:rPr>
          <w:rFonts w:ascii="Arial" w:hAnsi="Arial" w:cs="Arial"/>
          <w:sz w:val="20"/>
          <w:szCs w:val="20"/>
          <w:lang w:val="en-ZA"/>
        </w:rPr>
        <w:t xml:space="preserve"> technology solution to enable workflow automation, real time process optimisation, process performance measurement, monitoring and tracking</w:t>
      </w:r>
      <w:r w:rsidRPr="006C03F2">
        <w:rPr>
          <w:rFonts w:ascii="Arial" w:hAnsi="Arial" w:cs="Arial"/>
          <w:sz w:val="20"/>
          <w:szCs w:val="20"/>
          <w:lang w:val="en-ZA"/>
        </w:rPr>
        <w:t>. It should also provide parliamentarians</w:t>
      </w:r>
      <w:r w:rsidR="00C031CA" w:rsidRPr="006C03F2">
        <w:rPr>
          <w:rFonts w:ascii="Arial" w:hAnsi="Arial" w:cs="Arial"/>
          <w:sz w:val="20"/>
          <w:szCs w:val="20"/>
          <w:lang w:val="en-ZA"/>
        </w:rPr>
        <w:t xml:space="preserve"> </w:t>
      </w:r>
      <w:r w:rsidRPr="006C03F2">
        <w:rPr>
          <w:rFonts w:ascii="Arial" w:hAnsi="Arial" w:cs="Arial"/>
          <w:sz w:val="20"/>
          <w:szCs w:val="20"/>
          <w:lang w:val="en-ZA"/>
        </w:rPr>
        <w:t>with</w:t>
      </w:r>
      <w:r w:rsidR="00C031CA" w:rsidRPr="006C03F2">
        <w:rPr>
          <w:rFonts w:ascii="Arial" w:hAnsi="Arial" w:cs="Arial"/>
          <w:sz w:val="20"/>
          <w:szCs w:val="20"/>
          <w:lang w:val="en-ZA"/>
        </w:rPr>
        <w:t xml:space="preserve"> multiple simple ways to engage with staff and each other. </w:t>
      </w:r>
      <w:r w:rsidRPr="006C03F2">
        <w:rPr>
          <w:rFonts w:ascii="Arial" w:hAnsi="Arial" w:cs="Arial"/>
          <w:sz w:val="20"/>
          <w:szCs w:val="20"/>
          <w:lang w:val="en-ZA"/>
        </w:rPr>
        <w:t xml:space="preserve">The disruption caused by the above-mentioned </w:t>
      </w:r>
      <w:r w:rsidR="00C031CA" w:rsidRPr="006C03F2">
        <w:rPr>
          <w:rFonts w:ascii="Arial" w:hAnsi="Arial" w:cs="Arial"/>
          <w:sz w:val="20"/>
          <w:szCs w:val="20"/>
          <w:lang w:val="en-ZA"/>
        </w:rPr>
        <w:t xml:space="preserve">fire </w:t>
      </w:r>
      <w:r w:rsidRPr="006C03F2">
        <w:rPr>
          <w:rFonts w:ascii="Arial" w:hAnsi="Arial" w:cs="Arial"/>
          <w:sz w:val="20"/>
          <w:szCs w:val="20"/>
          <w:lang w:val="en-ZA"/>
        </w:rPr>
        <w:t xml:space="preserve">illustrates the urgency for an </w:t>
      </w:r>
      <w:r w:rsidR="00C031CA" w:rsidRPr="006C03F2">
        <w:rPr>
          <w:rFonts w:ascii="Arial" w:hAnsi="Arial" w:cs="Arial"/>
          <w:sz w:val="20"/>
          <w:szCs w:val="20"/>
          <w:lang w:val="en-ZA"/>
        </w:rPr>
        <w:t xml:space="preserve">online mobile support solution </w:t>
      </w:r>
      <w:r w:rsidR="001947C9" w:rsidRPr="006C03F2">
        <w:rPr>
          <w:rFonts w:ascii="Arial" w:hAnsi="Arial" w:cs="Arial"/>
          <w:sz w:val="20"/>
          <w:szCs w:val="20"/>
          <w:lang w:val="en-ZA"/>
        </w:rPr>
        <w:t>to ensure that parliamentarians could</w:t>
      </w:r>
      <w:r w:rsidR="00C031CA" w:rsidRPr="006C03F2">
        <w:rPr>
          <w:rFonts w:ascii="Arial" w:hAnsi="Arial" w:cs="Arial"/>
          <w:sz w:val="20"/>
          <w:szCs w:val="20"/>
          <w:lang w:val="en-ZA"/>
        </w:rPr>
        <w:t xml:space="preserve"> access support and information wherever they are located.</w:t>
      </w:r>
    </w:p>
    <w:p w:rsidR="00C031CA" w:rsidRPr="006C03F2" w:rsidRDefault="001947C9"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3.2.40</w:t>
      </w:r>
      <w:r w:rsidR="00C031CA" w:rsidRPr="006C03F2">
        <w:rPr>
          <w:rFonts w:ascii="Arial" w:hAnsi="Arial" w:cs="Arial"/>
          <w:sz w:val="20"/>
          <w:szCs w:val="20"/>
          <w:lang w:val="en-ZA"/>
        </w:rPr>
        <w:tab/>
        <w:t xml:space="preserve">Turnaround </w:t>
      </w:r>
      <w:r w:rsidRPr="006C03F2">
        <w:rPr>
          <w:rFonts w:ascii="Arial" w:hAnsi="Arial" w:cs="Arial"/>
          <w:sz w:val="20"/>
          <w:szCs w:val="20"/>
          <w:lang w:val="en-ZA"/>
        </w:rPr>
        <w:t xml:space="preserve">time </w:t>
      </w:r>
      <w:r w:rsidR="00C031CA" w:rsidRPr="006C03F2">
        <w:rPr>
          <w:rFonts w:ascii="Arial" w:hAnsi="Arial" w:cs="Arial"/>
          <w:sz w:val="20"/>
          <w:szCs w:val="20"/>
          <w:lang w:val="en-ZA"/>
        </w:rPr>
        <w:t xml:space="preserve">for </w:t>
      </w:r>
      <w:r w:rsidRPr="006C03F2">
        <w:rPr>
          <w:rFonts w:ascii="Arial" w:hAnsi="Arial" w:cs="Arial"/>
          <w:sz w:val="20"/>
          <w:szCs w:val="20"/>
          <w:lang w:val="en-ZA"/>
        </w:rPr>
        <w:t>processing claims</w:t>
      </w:r>
      <w:r w:rsidR="00C031CA" w:rsidRPr="006C03F2">
        <w:rPr>
          <w:rFonts w:ascii="Arial" w:hAnsi="Arial" w:cs="Arial"/>
          <w:sz w:val="20"/>
          <w:szCs w:val="20"/>
          <w:lang w:val="en-ZA"/>
        </w:rPr>
        <w:t xml:space="preserve"> and reimbursement</w:t>
      </w:r>
      <w:r w:rsidRPr="006C03F2">
        <w:rPr>
          <w:rFonts w:ascii="Arial" w:hAnsi="Arial" w:cs="Arial"/>
          <w:sz w:val="20"/>
          <w:szCs w:val="20"/>
          <w:lang w:val="en-ZA"/>
        </w:rPr>
        <w:t>s</w:t>
      </w:r>
      <w:r w:rsidR="00C031CA" w:rsidRPr="006C03F2">
        <w:rPr>
          <w:rFonts w:ascii="Arial" w:hAnsi="Arial" w:cs="Arial"/>
          <w:sz w:val="20"/>
          <w:szCs w:val="20"/>
          <w:lang w:val="en-ZA"/>
        </w:rPr>
        <w:t xml:space="preserve"> averaged 3.02 days</w:t>
      </w:r>
      <w:r w:rsidRPr="006C03F2">
        <w:rPr>
          <w:rFonts w:ascii="Arial" w:hAnsi="Arial" w:cs="Arial"/>
          <w:sz w:val="20"/>
          <w:szCs w:val="20"/>
          <w:lang w:val="en-ZA"/>
        </w:rPr>
        <w:t xml:space="preserve">. </w:t>
      </w:r>
      <w:r w:rsidR="00C031CA" w:rsidRPr="006C03F2">
        <w:rPr>
          <w:rFonts w:ascii="Arial" w:hAnsi="Arial" w:cs="Arial"/>
          <w:sz w:val="20"/>
          <w:szCs w:val="20"/>
          <w:lang w:val="en-ZA"/>
        </w:rPr>
        <w:t xml:space="preserve">R 3.788 million </w:t>
      </w:r>
      <w:r w:rsidRPr="006C03F2">
        <w:rPr>
          <w:rFonts w:ascii="Arial" w:hAnsi="Arial" w:cs="Arial"/>
          <w:sz w:val="20"/>
          <w:szCs w:val="20"/>
          <w:lang w:val="en-ZA"/>
        </w:rPr>
        <w:t xml:space="preserve">was paid out for </w:t>
      </w:r>
      <w:r w:rsidR="00C031CA" w:rsidRPr="006C03F2">
        <w:rPr>
          <w:rFonts w:ascii="Arial" w:hAnsi="Arial" w:cs="Arial"/>
          <w:sz w:val="20"/>
          <w:szCs w:val="20"/>
          <w:lang w:val="en-ZA"/>
        </w:rPr>
        <w:t xml:space="preserve">5 573 claims </w:t>
      </w:r>
      <w:r w:rsidRPr="006C03F2">
        <w:rPr>
          <w:rFonts w:ascii="Arial" w:hAnsi="Arial" w:cs="Arial"/>
          <w:sz w:val="20"/>
          <w:szCs w:val="20"/>
          <w:lang w:val="en-ZA"/>
        </w:rPr>
        <w:t xml:space="preserve">processed </w:t>
      </w:r>
      <w:r w:rsidR="00C031CA" w:rsidRPr="006C03F2">
        <w:rPr>
          <w:rFonts w:ascii="Arial" w:hAnsi="Arial" w:cs="Arial"/>
          <w:sz w:val="20"/>
          <w:szCs w:val="20"/>
          <w:lang w:val="en-ZA"/>
        </w:rPr>
        <w:t>in the period under review.</w:t>
      </w:r>
    </w:p>
    <w:p w:rsidR="00B65A27" w:rsidRPr="006C03F2" w:rsidRDefault="00B65A27" w:rsidP="006C03F2">
      <w:pPr>
        <w:spacing w:after="0" w:line="240" w:lineRule="auto"/>
        <w:rPr>
          <w:rFonts w:ascii="Arial" w:hAnsi="Arial" w:cs="Arial"/>
          <w:i/>
          <w:sz w:val="20"/>
          <w:szCs w:val="20"/>
          <w:lang w:val="en-ZA"/>
        </w:rPr>
      </w:pPr>
    </w:p>
    <w:p w:rsidR="00BE6349" w:rsidRPr="006C03F2" w:rsidRDefault="00C031CA" w:rsidP="006C03F2">
      <w:pPr>
        <w:spacing w:after="0" w:line="240" w:lineRule="auto"/>
        <w:ind w:firstLine="720"/>
        <w:rPr>
          <w:rFonts w:ascii="Arial" w:hAnsi="Arial" w:cs="Arial"/>
          <w:i/>
          <w:sz w:val="20"/>
          <w:szCs w:val="20"/>
          <w:lang w:val="en-ZA"/>
        </w:rPr>
      </w:pPr>
      <w:r w:rsidRPr="006C03F2">
        <w:rPr>
          <w:rFonts w:ascii="Arial" w:hAnsi="Arial" w:cs="Arial"/>
          <w:i/>
          <w:sz w:val="20"/>
          <w:szCs w:val="20"/>
          <w:lang w:val="en-ZA"/>
        </w:rPr>
        <w:t>Parliamentary Budget Office</w:t>
      </w:r>
    </w:p>
    <w:p w:rsidR="00C031CA" w:rsidRPr="006C03F2" w:rsidRDefault="001947C9"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3.2.41</w:t>
      </w:r>
      <w:r w:rsidR="004E5CDE" w:rsidRPr="006C03F2">
        <w:rPr>
          <w:rFonts w:ascii="Arial" w:hAnsi="Arial" w:cs="Arial"/>
          <w:sz w:val="20"/>
          <w:szCs w:val="20"/>
          <w:lang w:val="en-ZA"/>
        </w:rPr>
        <w:tab/>
      </w:r>
      <w:r w:rsidR="00C031CA" w:rsidRPr="006C03F2">
        <w:rPr>
          <w:rFonts w:ascii="Arial" w:hAnsi="Arial" w:cs="Arial"/>
          <w:sz w:val="20"/>
          <w:szCs w:val="20"/>
          <w:lang w:val="en-ZA"/>
        </w:rPr>
        <w:t>The PBO</w:t>
      </w:r>
      <w:r w:rsidRPr="006C03F2">
        <w:rPr>
          <w:rFonts w:ascii="Arial" w:hAnsi="Arial" w:cs="Arial"/>
          <w:sz w:val="20"/>
          <w:szCs w:val="20"/>
          <w:lang w:val="en-ZA"/>
        </w:rPr>
        <w:t xml:space="preserve"> reported</w:t>
      </w:r>
      <w:r w:rsidR="004E5CDE" w:rsidRPr="006C03F2">
        <w:rPr>
          <w:rFonts w:ascii="Arial" w:hAnsi="Arial" w:cs="Arial"/>
          <w:sz w:val="20"/>
          <w:szCs w:val="20"/>
          <w:lang w:val="en-ZA"/>
        </w:rPr>
        <w:t xml:space="preserve"> to the PBO Advisory Council. The office</w:t>
      </w:r>
      <w:r w:rsidR="00C031CA" w:rsidRPr="006C03F2">
        <w:rPr>
          <w:rFonts w:ascii="Arial" w:hAnsi="Arial" w:cs="Arial"/>
          <w:sz w:val="20"/>
          <w:szCs w:val="20"/>
          <w:lang w:val="en-ZA"/>
        </w:rPr>
        <w:t xml:space="preserve"> produced 8 analysis reports </w:t>
      </w:r>
      <w:r w:rsidR="004E5CDE" w:rsidRPr="006C03F2">
        <w:rPr>
          <w:rFonts w:ascii="Arial" w:hAnsi="Arial" w:cs="Arial"/>
          <w:sz w:val="20"/>
          <w:szCs w:val="20"/>
          <w:lang w:val="en-ZA"/>
        </w:rPr>
        <w:t>in the period under review.</w:t>
      </w:r>
    </w:p>
    <w:p w:rsidR="004E5CDE" w:rsidRPr="006C03F2" w:rsidRDefault="004E5CDE" w:rsidP="006C03F2">
      <w:pPr>
        <w:spacing w:after="0" w:line="240" w:lineRule="auto"/>
        <w:rPr>
          <w:rFonts w:ascii="Arial" w:hAnsi="Arial" w:cs="Arial"/>
          <w:i/>
          <w:sz w:val="20"/>
          <w:szCs w:val="20"/>
          <w:lang w:val="en-ZA"/>
        </w:rPr>
      </w:pPr>
    </w:p>
    <w:p w:rsidR="004E5CDE" w:rsidRPr="006C03F2" w:rsidRDefault="004E5CDE" w:rsidP="006C03F2">
      <w:pPr>
        <w:spacing w:after="0" w:line="240" w:lineRule="auto"/>
        <w:ind w:firstLine="720"/>
        <w:rPr>
          <w:rFonts w:ascii="Arial" w:hAnsi="Arial" w:cs="Arial"/>
          <w:i/>
          <w:sz w:val="20"/>
          <w:szCs w:val="20"/>
          <w:lang w:val="en-ZA"/>
        </w:rPr>
      </w:pPr>
      <w:r w:rsidRPr="006C03F2">
        <w:rPr>
          <w:rFonts w:ascii="Arial" w:hAnsi="Arial" w:cs="Arial"/>
          <w:i/>
          <w:sz w:val="20"/>
          <w:szCs w:val="20"/>
          <w:lang w:val="en-ZA"/>
        </w:rPr>
        <w:t>Legislative Sector Support Programme</w:t>
      </w:r>
    </w:p>
    <w:p w:rsidR="004E5CDE" w:rsidRPr="006C03F2" w:rsidRDefault="001947C9"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3.2.42</w:t>
      </w:r>
      <w:r w:rsidR="004E5CDE" w:rsidRPr="006C03F2">
        <w:rPr>
          <w:rFonts w:ascii="Arial" w:hAnsi="Arial" w:cs="Arial"/>
          <w:sz w:val="20"/>
          <w:szCs w:val="20"/>
          <w:lang w:val="en-ZA"/>
        </w:rPr>
        <w:tab/>
        <w:t>Following the launch of the Parliamentary Institute, the board members held their firs</w:t>
      </w:r>
      <w:r w:rsidRPr="006C03F2">
        <w:rPr>
          <w:rFonts w:ascii="Arial" w:hAnsi="Arial" w:cs="Arial"/>
          <w:sz w:val="20"/>
          <w:szCs w:val="20"/>
          <w:lang w:val="en-ZA"/>
        </w:rPr>
        <w:t>t meeting on 28 February 2022. Board m</w:t>
      </w:r>
      <w:r w:rsidR="004E5CDE" w:rsidRPr="006C03F2">
        <w:rPr>
          <w:rFonts w:ascii="Arial" w:hAnsi="Arial" w:cs="Arial"/>
          <w:sz w:val="20"/>
          <w:szCs w:val="20"/>
          <w:lang w:val="en-ZA"/>
        </w:rPr>
        <w:t xml:space="preserve">embers were inducted on their roles and responsibilities, and </w:t>
      </w:r>
      <w:r w:rsidRPr="006C03F2">
        <w:rPr>
          <w:rFonts w:ascii="Arial" w:hAnsi="Arial" w:cs="Arial"/>
          <w:sz w:val="20"/>
          <w:szCs w:val="20"/>
          <w:lang w:val="en-ZA"/>
        </w:rPr>
        <w:t xml:space="preserve">identified </w:t>
      </w:r>
      <w:r w:rsidR="004E5CDE" w:rsidRPr="006C03F2">
        <w:rPr>
          <w:rFonts w:ascii="Arial" w:hAnsi="Arial" w:cs="Arial"/>
          <w:sz w:val="20"/>
          <w:szCs w:val="20"/>
          <w:lang w:val="en-ZA"/>
        </w:rPr>
        <w:t>high level priorities for</w:t>
      </w:r>
      <w:r w:rsidRPr="006C03F2">
        <w:rPr>
          <w:rFonts w:ascii="Arial" w:hAnsi="Arial" w:cs="Arial"/>
          <w:sz w:val="20"/>
          <w:szCs w:val="20"/>
          <w:lang w:val="en-ZA"/>
        </w:rPr>
        <w:t xml:space="preserve"> the establishment and</w:t>
      </w:r>
      <w:r w:rsidR="004E5CDE" w:rsidRPr="006C03F2">
        <w:rPr>
          <w:rFonts w:ascii="Arial" w:hAnsi="Arial" w:cs="Arial"/>
          <w:sz w:val="20"/>
          <w:szCs w:val="20"/>
          <w:lang w:val="en-ZA"/>
        </w:rPr>
        <w:t xml:space="preserve"> implementation of the institute</w:t>
      </w:r>
      <w:r w:rsidRPr="006C03F2">
        <w:rPr>
          <w:rFonts w:ascii="Arial" w:hAnsi="Arial" w:cs="Arial"/>
          <w:sz w:val="20"/>
          <w:szCs w:val="20"/>
          <w:lang w:val="en-ZA"/>
        </w:rPr>
        <w:t>.</w:t>
      </w:r>
      <w:r w:rsidR="004E5CDE" w:rsidRPr="006C03F2">
        <w:rPr>
          <w:rFonts w:ascii="Arial" w:hAnsi="Arial" w:cs="Arial"/>
          <w:sz w:val="20"/>
          <w:szCs w:val="20"/>
          <w:lang w:val="en-ZA"/>
        </w:rPr>
        <w:t xml:space="preserve"> The compilation of the training management database for the Parliamentary Institute is ongoing </w:t>
      </w:r>
    </w:p>
    <w:p w:rsidR="004E5CDE" w:rsidRPr="006C03F2" w:rsidRDefault="001947C9"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3.2.43</w:t>
      </w:r>
      <w:r w:rsidR="004E5CDE" w:rsidRPr="006C03F2">
        <w:rPr>
          <w:rFonts w:ascii="Arial" w:hAnsi="Arial" w:cs="Arial"/>
          <w:sz w:val="20"/>
          <w:szCs w:val="20"/>
          <w:lang w:val="en-ZA"/>
        </w:rPr>
        <w:tab/>
        <w:t xml:space="preserve">Preparation for capacity-building programmes for officials of the legislative sector is underway. The Sector Training Policy was circulated and </w:t>
      </w:r>
      <w:r w:rsidR="00FA3B99" w:rsidRPr="006C03F2">
        <w:rPr>
          <w:rFonts w:ascii="Arial" w:hAnsi="Arial" w:cs="Arial"/>
          <w:sz w:val="20"/>
          <w:szCs w:val="20"/>
          <w:lang w:val="en-ZA"/>
        </w:rPr>
        <w:t>its</w:t>
      </w:r>
      <w:r w:rsidRPr="006C03F2">
        <w:rPr>
          <w:rFonts w:ascii="Arial" w:hAnsi="Arial" w:cs="Arial"/>
          <w:sz w:val="20"/>
          <w:szCs w:val="20"/>
          <w:lang w:val="en-ZA"/>
        </w:rPr>
        <w:t xml:space="preserve"> implementation was being monitored.</w:t>
      </w:r>
    </w:p>
    <w:p w:rsidR="00FA3B99" w:rsidRPr="006C03F2" w:rsidRDefault="00FA3B99" w:rsidP="006C03F2">
      <w:pPr>
        <w:spacing w:after="0" w:line="240" w:lineRule="auto"/>
        <w:ind w:left="720" w:hanging="720"/>
        <w:rPr>
          <w:rFonts w:ascii="Arial" w:hAnsi="Arial" w:cs="Arial"/>
          <w:sz w:val="20"/>
          <w:szCs w:val="20"/>
          <w:lang w:val="en-ZA"/>
        </w:rPr>
      </w:pPr>
    </w:p>
    <w:p w:rsidR="004E5CDE" w:rsidRPr="006C03F2" w:rsidRDefault="004E5CDE" w:rsidP="006C03F2">
      <w:pPr>
        <w:spacing w:after="0" w:line="240" w:lineRule="auto"/>
        <w:ind w:firstLine="720"/>
        <w:rPr>
          <w:rFonts w:ascii="Arial" w:hAnsi="Arial" w:cs="Arial"/>
          <w:i/>
          <w:sz w:val="20"/>
          <w:szCs w:val="20"/>
          <w:lang w:val="en-ZA"/>
        </w:rPr>
      </w:pPr>
      <w:r w:rsidRPr="006C03F2">
        <w:rPr>
          <w:rFonts w:ascii="Arial" w:hAnsi="Arial" w:cs="Arial"/>
          <w:i/>
          <w:sz w:val="20"/>
          <w:szCs w:val="20"/>
          <w:lang w:val="en-ZA"/>
        </w:rPr>
        <w:t>Office on Institutions Supporting Democracy</w:t>
      </w:r>
    </w:p>
    <w:p w:rsidR="001947C9" w:rsidRPr="006C03F2" w:rsidRDefault="001947C9" w:rsidP="006C03F2">
      <w:pPr>
        <w:spacing w:after="0" w:line="240" w:lineRule="auto"/>
        <w:ind w:left="720" w:hanging="720"/>
        <w:rPr>
          <w:rFonts w:ascii="Arial" w:hAnsi="Arial" w:cs="Arial"/>
          <w:sz w:val="20"/>
          <w:szCs w:val="20"/>
        </w:rPr>
      </w:pPr>
      <w:r w:rsidRPr="006C03F2">
        <w:rPr>
          <w:rFonts w:ascii="Arial" w:hAnsi="Arial" w:cs="Arial"/>
          <w:sz w:val="20"/>
          <w:szCs w:val="20"/>
          <w:lang w:val="en-ZA"/>
        </w:rPr>
        <w:t>3.2.44</w:t>
      </w:r>
      <w:r w:rsidR="0034624F" w:rsidRPr="006C03F2">
        <w:rPr>
          <w:rFonts w:ascii="Arial" w:hAnsi="Arial" w:cs="Arial"/>
          <w:sz w:val="20"/>
          <w:szCs w:val="20"/>
          <w:lang w:val="en-ZA"/>
        </w:rPr>
        <w:tab/>
      </w:r>
      <w:r w:rsidR="004E5CDE" w:rsidRPr="006C03F2">
        <w:rPr>
          <w:rFonts w:ascii="Arial" w:hAnsi="Arial" w:cs="Arial"/>
          <w:sz w:val="20"/>
          <w:szCs w:val="20"/>
          <w:lang w:val="en-ZA"/>
        </w:rPr>
        <w:t xml:space="preserve">In the period under review a total of </w:t>
      </w:r>
      <w:r w:rsidR="0034624F" w:rsidRPr="006C03F2">
        <w:rPr>
          <w:rFonts w:ascii="Arial" w:hAnsi="Arial" w:cs="Arial"/>
          <w:sz w:val="20"/>
          <w:szCs w:val="20"/>
          <w:lang w:val="en-ZA"/>
        </w:rPr>
        <w:t xml:space="preserve">18 </w:t>
      </w:r>
      <w:r w:rsidR="004E5CDE" w:rsidRPr="006C03F2">
        <w:rPr>
          <w:rFonts w:ascii="Arial" w:hAnsi="Arial" w:cs="Arial"/>
          <w:sz w:val="20"/>
          <w:szCs w:val="20"/>
          <w:lang w:val="en-ZA"/>
        </w:rPr>
        <w:t>vacancies were reported across the Pan South African Language Board (PanSALB), Independent Electoral Commission (IEC), Independent Communications Authority of South Africa (ICASA), the Commission for Gender Equality (CGE), and the Public Service Commission (PCS)</w:t>
      </w:r>
      <w:r w:rsidR="0034624F" w:rsidRPr="006C03F2">
        <w:rPr>
          <w:rFonts w:ascii="Arial" w:hAnsi="Arial" w:cs="Arial"/>
          <w:sz w:val="20"/>
          <w:szCs w:val="20"/>
          <w:lang w:val="en-ZA"/>
        </w:rPr>
        <w:t>.</w:t>
      </w:r>
    </w:p>
    <w:p w:rsidR="00F22932" w:rsidRPr="006C03F2" w:rsidRDefault="001947C9" w:rsidP="006C03F2">
      <w:pPr>
        <w:spacing w:after="0" w:line="240" w:lineRule="auto"/>
        <w:ind w:left="720" w:hanging="720"/>
        <w:rPr>
          <w:rFonts w:ascii="Arial" w:hAnsi="Arial" w:cs="Arial"/>
          <w:sz w:val="20"/>
          <w:szCs w:val="20"/>
        </w:rPr>
      </w:pPr>
      <w:r w:rsidRPr="006C03F2">
        <w:rPr>
          <w:rFonts w:ascii="Arial" w:hAnsi="Arial" w:cs="Arial"/>
          <w:sz w:val="20"/>
          <w:szCs w:val="20"/>
        </w:rPr>
        <w:t>3.2.45</w:t>
      </w:r>
      <w:r w:rsidR="0034624F" w:rsidRPr="006C03F2">
        <w:rPr>
          <w:rFonts w:ascii="Arial" w:hAnsi="Arial" w:cs="Arial"/>
          <w:sz w:val="20"/>
          <w:szCs w:val="20"/>
        </w:rPr>
        <w:tab/>
        <w:t xml:space="preserve">The following </w:t>
      </w:r>
      <w:r w:rsidRPr="006C03F2">
        <w:rPr>
          <w:rFonts w:ascii="Arial" w:hAnsi="Arial" w:cs="Arial"/>
          <w:sz w:val="20"/>
          <w:szCs w:val="20"/>
        </w:rPr>
        <w:t xml:space="preserve">clusters submitted </w:t>
      </w:r>
      <w:r w:rsidR="0034624F" w:rsidRPr="006C03F2">
        <w:rPr>
          <w:rFonts w:ascii="Arial" w:hAnsi="Arial" w:cs="Arial"/>
          <w:sz w:val="20"/>
          <w:szCs w:val="20"/>
        </w:rPr>
        <w:t>substantive reports to Parliament</w:t>
      </w:r>
      <w:r w:rsidRPr="006C03F2">
        <w:rPr>
          <w:rFonts w:ascii="Arial" w:hAnsi="Arial" w:cs="Arial"/>
          <w:sz w:val="20"/>
          <w:szCs w:val="20"/>
        </w:rPr>
        <w:t xml:space="preserve"> for processing:</w:t>
      </w:r>
      <w:r w:rsidR="0034624F" w:rsidRPr="006C03F2">
        <w:rPr>
          <w:rFonts w:ascii="Arial" w:hAnsi="Arial" w:cs="Arial"/>
          <w:sz w:val="20"/>
          <w:szCs w:val="20"/>
        </w:rPr>
        <w:t xml:space="preserve"> economic cluster (37</w:t>
      </w:r>
      <w:r w:rsidRPr="006C03F2">
        <w:rPr>
          <w:rFonts w:ascii="Arial" w:hAnsi="Arial" w:cs="Arial"/>
          <w:sz w:val="20"/>
          <w:szCs w:val="20"/>
        </w:rPr>
        <w:t xml:space="preserve"> reports</w:t>
      </w:r>
      <w:r w:rsidR="0034624F" w:rsidRPr="006C03F2">
        <w:rPr>
          <w:rFonts w:ascii="Arial" w:hAnsi="Arial" w:cs="Arial"/>
          <w:sz w:val="20"/>
          <w:szCs w:val="20"/>
        </w:rPr>
        <w:t>), governance cluster (35</w:t>
      </w:r>
      <w:r w:rsidRPr="006C03F2">
        <w:rPr>
          <w:rFonts w:ascii="Arial" w:hAnsi="Arial" w:cs="Arial"/>
          <w:sz w:val="20"/>
          <w:szCs w:val="20"/>
        </w:rPr>
        <w:t xml:space="preserve"> reports</w:t>
      </w:r>
      <w:r w:rsidR="0034624F" w:rsidRPr="006C03F2">
        <w:rPr>
          <w:rFonts w:ascii="Arial" w:hAnsi="Arial" w:cs="Arial"/>
          <w:sz w:val="20"/>
          <w:szCs w:val="20"/>
        </w:rPr>
        <w:t>), social cluster (17</w:t>
      </w:r>
      <w:r w:rsidRPr="006C03F2">
        <w:rPr>
          <w:rFonts w:ascii="Arial" w:hAnsi="Arial" w:cs="Arial"/>
          <w:sz w:val="20"/>
          <w:szCs w:val="20"/>
        </w:rPr>
        <w:t xml:space="preserve"> reports</w:t>
      </w:r>
      <w:r w:rsidR="0034624F" w:rsidRPr="006C03F2">
        <w:rPr>
          <w:rFonts w:ascii="Arial" w:hAnsi="Arial" w:cs="Arial"/>
          <w:sz w:val="20"/>
          <w:szCs w:val="20"/>
        </w:rPr>
        <w:t>), and peace and security cluster (20</w:t>
      </w:r>
      <w:r w:rsidRPr="006C03F2">
        <w:rPr>
          <w:rFonts w:ascii="Arial" w:hAnsi="Arial" w:cs="Arial"/>
          <w:sz w:val="20"/>
          <w:szCs w:val="20"/>
        </w:rPr>
        <w:t xml:space="preserve"> reports</w:t>
      </w:r>
      <w:r w:rsidR="0034624F" w:rsidRPr="006C03F2">
        <w:rPr>
          <w:rFonts w:ascii="Arial" w:hAnsi="Arial" w:cs="Arial"/>
          <w:sz w:val="20"/>
          <w:szCs w:val="20"/>
        </w:rPr>
        <w:t>).</w:t>
      </w:r>
    </w:p>
    <w:p w:rsidR="00F22932" w:rsidRPr="006C03F2" w:rsidRDefault="00F22932" w:rsidP="006C03F2">
      <w:pPr>
        <w:spacing w:after="0" w:line="240" w:lineRule="auto"/>
        <w:ind w:left="720" w:hanging="720"/>
        <w:rPr>
          <w:rFonts w:ascii="Arial" w:hAnsi="Arial" w:cs="Arial"/>
          <w:sz w:val="20"/>
          <w:szCs w:val="20"/>
        </w:rPr>
      </w:pPr>
    </w:p>
    <w:p w:rsidR="002A6E03" w:rsidRPr="006C03F2" w:rsidRDefault="009E67F5" w:rsidP="006C03F2">
      <w:pPr>
        <w:spacing w:after="0" w:line="240" w:lineRule="auto"/>
        <w:ind w:left="720" w:hanging="720"/>
        <w:rPr>
          <w:rFonts w:ascii="Arial" w:hAnsi="Arial" w:cs="Arial"/>
          <w:b/>
          <w:sz w:val="20"/>
          <w:szCs w:val="20"/>
        </w:rPr>
      </w:pPr>
      <w:r w:rsidRPr="006C03F2">
        <w:rPr>
          <w:rFonts w:ascii="Arial" w:hAnsi="Arial" w:cs="Arial"/>
          <w:b/>
          <w:sz w:val="20"/>
          <w:szCs w:val="20"/>
          <w:lang w:val="en-ZA"/>
        </w:rPr>
        <w:t>4</w:t>
      </w:r>
      <w:r w:rsidR="00057CD9" w:rsidRPr="006C03F2">
        <w:rPr>
          <w:rFonts w:ascii="Arial" w:hAnsi="Arial" w:cs="Arial"/>
          <w:b/>
          <w:sz w:val="20"/>
          <w:szCs w:val="20"/>
          <w:lang w:val="en-ZA"/>
        </w:rPr>
        <w:t>.</w:t>
      </w:r>
      <w:r w:rsidR="00057CD9" w:rsidRPr="006C03F2">
        <w:rPr>
          <w:rFonts w:ascii="Arial" w:hAnsi="Arial" w:cs="Arial"/>
          <w:b/>
          <w:sz w:val="20"/>
          <w:szCs w:val="20"/>
          <w:lang w:val="en-ZA"/>
        </w:rPr>
        <w:tab/>
        <w:t>Financial Performance in the period under review</w:t>
      </w:r>
    </w:p>
    <w:p w:rsidR="00FA3B99" w:rsidRPr="006C03F2" w:rsidRDefault="00FA3B99" w:rsidP="006C03F2">
      <w:pPr>
        <w:spacing w:after="0" w:line="240" w:lineRule="auto"/>
        <w:rPr>
          <w:rFonts w:ascii="Arial" w:hAnsi="Arial" w:cs="Arial"/>
          <w:b/>
          <w:sz w:val="20"/>
          <w:szCs w:val="20"/>
          <w:lang w:val="en-ZA"/>
        </w:rPr>
      </w:pPr>
    </w:p>
    <w:p w:rsidR="00057CD9" w:rsidRPr="006C03F2" w:rsidRDefault="009E67F5" w:rsidP="006C03F2">
      <w:pPr>
        <w:spacing w:after="0" w:line="240" w:lineRule="auto"/>
        <w:rPr>
          <w:rFonts w:ascii="Arial" w:hAnsi="Arial" w:cs="Arial"/>
          <w:b/>
          <w:sz w:val="20"/>
          <w:szCs w:val="20"/>
          <w:lang w:val="en-ZA"/>
        </w:rPr>
      </w:pPr>
      <w:r w:rsidRPr="006C03F2">
        <w:rPr>
          <w:rFonts w:ascii="Arial" w:hAnsi="Arial" w:cs="Arial"/>
          <w:b/>
          <w:sz w:val="20"/>
          <w:szCs w:val="20"/>
          <w:lang w:val="en-ZA"/>
        </w:rPr>
        <w:t>4</w:t>
      </w:r>
      <w:r w:rsidR="00057CD9" w:rsidRPr="006C03F2">
        <w:rPr>
          <w:rFonts w:ascii="Arial" w:hAnsi="Arial" w:cs="Arial"/>
          <w:b/>
          <w:sz w:val="20"/>
          <w:szCs w:val="20"/>
          <w:lang w:val="en-ZA"/>
        </w:rPr>
        <w:t>.1</w:t>
      </w:r>
      <w:r w:rsidR="00057CD9" w:rsidRPr="006C03F2">
        <w:rPr>
          <w:rFonts w:ascii="Arial" w:hAnsi="Arial" w:cs="Arial"/>
          <w:b/>
          <w:sz w:val="20"/>
          <w:szCs w:val="20"/>
          <w:lang w:val="en-ZA"/>
        </w:rPr>
        <w:tab/>
        <w:t>Overview</w:t>
      </w:r>
    </w:p>
    <w:p w:rsidR="008234A4" w:rsidRPr="006C03F2" w:rsidRDefault="000335AF" w:rsidP="006C03F2">
      <w:pPr>
        <w:spacing w:after="0" w:line="240" w:lineRule="auto"/>
        <w:ind w:left="720" w:hanging="720"/>
        <w:rPr>
          <w:rFonts w:ascii="Arial" w:hAnsi="Arial" w:cs="Arial"/>
          <w:kern w:val="24"/>
          <w:sz w:val="20"/>
          <w:szCs w:val="20"/>
        </w:rPr>
      </w:pPr>
      <w:r w:rsidRPr="006C03F2">
        <w:rPr>
          <w:rFonts w:ascii="Arial" w:hAnsi="Arial" w:cs="Arial"/>
          <w:sz w:val="20"/>
          <w:szCs w:val="20"/>
        </w:rPr>
        <w:t>4.1.1</w:t>
      </w:r>
      <w:r w:rsidRPr="006C03F2">
        <w:rPr>
          <w:rFonts w:ascii="Arial" w:hAnsi="Arial" w:cs="Arial"/>
          <w:sz w:val="20"/>
          <w:szCs w:val="20"/>
        </w:rPr>
        <w:tab/>
      </w:r>
      <w:r w:rsidR="00E349FD" w:rsidRPr="006C03F2">
        <w:rPr>
          <w:rFonts w:ascii="Arial" w:hAnsi="Arial" w:cs="Arial"/>
          <w:sz w:val="20"/>
          <w:szCs w:val="20"/>
        </w:rPr>
        <w:t>Table 4</w:t>
      </w:r>
      <w:r w:rsidRPr="006C03F2">
        <w:rPr>
          <w:rFonts w:ascii="Arial" w:hAnsi="Arial" w:cs="Arial"/>
          <w:sz w:val="20"/>
          <w:szCs w:val="20"/>
        </w:rPr>
        <w:t xml:space="preserve"> below, illustrates that by the end of the period under review, </w:t>
      </w:r>
      <w:r w:rsidR="008234A4" w:rsidRPr="006C03F2">
        <w:rPr>
          <w:rFonts w:ascii="Arial" w:hAnsi="Arial" w:cs="Arial"/>
          <w:sz w:val="20"/>
          <w:szCs w:val="20"/>
        </w:rPr>
        <w:t>Parliament</w:t>
      </w:r>
      <w:r w:rsidR="008D2F46" w:rsidRPr="006C03F2">
        <w:rPr>
          <w:rFonts w:ascii="Arial" w:hAnsi="Arial" w:cs="Arial"/>
          <w:sz w:val="20"/>
          <w:szCs w:val="20"/>
        </w:rPr>
        <w:t xml:space="preserve"> had spent 76 per cent or R660,</w:t>
      </w:r>
      <w:r w:rsidR="008234A4" w:rsidRPr="006C03F2">
        <w:rPr>
          <w:rFonts w:ascii="Arial" w:hAnsi="Arial" w:cs="Arial"/>
          <w:sz w:val="20"/>
          <w:szCs w:val="20"/>
        </w:rPr>
        <w:t>075 million of its R873,395 million fourth quarter budget. The bu</w:t>
      </w:r>
      <w:r w:rsidR="008D2F46" w:rsidRPr="006C03F2">
        <w:rPr>
          <w:rFonts w:ascii="Arial" w:hAnsi="Arial" w:cs="Arial"/>
          <w:sz w:val="20"/>
          <w:szCs w:val="20"/>
        </w:rPr>
        <w:t>dget had been augmented by R40,</w:t>
      </w:r>
      <w:r w:rsidR="008234A4" w:rsidRPr="006C03F2">
        <w:rPr>
          <w:rFonts w:ascii="Arial" w:hAnsi="Arial" w:cs="Arial"/>
          <w:sz w:val="20"/>
          <w:szCs w:val="20"/>
        </w:rPr>
        <w:t xml:space="preserve">439 million </w:t>
      </w:r>
      <w:r w:rsidR="008D2F46" w:rsidRPr="006C03F2">
        <w:rPr>
          <w:rFonts w:ascii="Arial" w:hAnsi="Arial" w:cs="Arial"/>
          <w:sz w:val="20"/>
          <w:szCs w:val="20"/>
        </w:rPr>
        <w:t>towards interventions addressing the</w:t>
      </w:r>
      <w:r w:rsidR="008234A4" w:rsidRPr="006C03F2">
        <w:rPr>
          <w:rFonts w:ascii="Arial" w:hAnsi="Arial" w:cs="Arial"/>
          <w:sz w:val="20"/>
          <w:szCs w:val="20"/>
        </w:rPr>
        <w:t xml:space="preserve"> impact of the fire. The R213,320 million underspent will be available for allocation in the next financial year as Parliament does not return unspent funds to the National Revenue Fund. </w:t>
      </w:r>
    </w:p>
    <w:p w:rsidR="008234A4" w:rsidRPr="006C03F2" w:rsidRDefault="008234A4" w:rsidP="006C03F2">
      <w:pPr>
        <w:spacing w:after="0" w:line="240" w:lineRule="auto"/>
        <w:ind w:left="720" w:hanging="720"/>
        <w:rPr>
          <w:rFonts w:ascii="Arial" w:hAnsi="Arial" w:cs="Arial"/>
          <w:sz w:val="20"/>
          <w:szCs w:val="20"/>
        </w:rPr>
      </w:pPr>
      <w:r w:rsidRPr="006C03F2">
        <w:rPr>
          <w:rFonts w:ascii="Arial" w:eastAsiaTheme="minorEastAsia" w:hAnsi="Arial" w:cs="Arial"/>
          <w:kern w:val="24"/>
          <w:sz w:val="20"/>
          <w:szCs w:val="20"/>
          <w:lang w:val="en-GB"/>
        </w:rPr>
        <w:t>4.1.2</w:t>
      </w:r>
      <w:r w:rsidRPr="006C03F2">
        <w:rPr>
          <w:rFonts w:ascii="Arial" w:eastAsiaTheme="minorEastAsia" w:hAnsi="Arial" w:cs="Arial"/>
          <w:kern w:val="24"/>
          <w:sz w:val="20"/>
          <w:szCs w:val="20"/>
          <w:lang w:val="en-GB"/>
        </w:rPr>
        <w:tab/>
      </w:r>
      <w:r w:rsidR="008D2F46" w:rsidRPr="006C03F2">
        <w:rPr>
          <w:rFonts w:ascii="Arial" w:hAnsi="Arial" w:cs="Arial"/>
          <w:kern w:val="24"/>
          <w:sz w:val="20"/>
          <w:szCs w:val="20"/>
        </w:rPr>
        <w:t>S</w:t>
      </w:r>
      <w:r w:rsidRPr="006C03F2">
        <w:rPr>
          <w:rFonts w:ascii="Arial" w:hAnsi="Arial" w:cs="Arial"/>
          <w:kern w:val="24"/>
          <w:sz w:val="20"/>
          <w:szCs w:val="20"/>
        </w:rPr>
        <w:t>pending o</w:t>
      </w:r>
      <w:r w:rsidR="008D2F46" w:rsidRPr="006C03F2">
        <w:rPr>
          <w:rFonts w:ascii="Arial" w:hAnsi="Arial" w:cs="Arial"/>
          <w:kern w:val="24"/>
          <w:sz w:val="20"/>
          <w:szCs w:val="20"/>
        </w:rPr>
        <w:t>n direct charges stood at R120,</w:t>
      </w:r>
      <w:r w:rsidRPr="006C03F2">
        <w:rPr>
          <w:rFonts w:ascii="Arial" w:hAnsi="Arial" w:cs="Arial"/>
          <w:kern w:val="24"/>
          <w:sz w:val="20"/>
          <w:szCs w:val="20"/>
        </w:rPr>
        <w:t xml:space="preserve">305 million or 111 percent of the fourth quarter budget of R108,554 million. </w:t>
      </w:r>
      <w:r w:rsidRPr="006C03F2">
        <w:rPr>
          <w:rFonts w:ascii="Arial" w:hAnsi="Arial" w:cs="Arial"/>
          <w:kern w:val="24"/>
          <w:sz w:val="20"/>
          <w:szCs w:val="20"/>
          <w:lang w:val="en-GB"/>
        </w:rPr>
        <w:t>The overspending will be refunded by the National Revenue Fund in line with section 23(4) of the FMPPLA.</w:t>
      </w:r>
    </w:p>
    <w:tbl>
      <w:tblPr>
        <w:tblW w:w="9122" w:type="dxa"/>
        <w:tblInd w:w="649" w:type="dxa"/>
        <w:tblLayout w:type="fixed"/>
        <w:tblCellMar>
          <w:left w:w="0" w:type="dxa"/>
          <w:right w:w="0" w:type="dxa"/>
        </w:tblCellMar>
        <w:tblLook w:val="04A0"/>
      </w:tblPr>
      <w:tblGrid>
        <w:gridCol w:w="1468"/>
        <w:gridCol w:w="901"/>
        <w:gridCol w:w="941"/>
        <w:gridCol w:w="993"/>
        <w:gridCol w:w="708"/>
        <w:gridCol w:w="993"/>
        <w:gridCol w:w="992"/>
        <w:gridCol w:w="992"/>
        <w:gridCol w:w="1134"/>
      </w:tblGrid>
      <w:tr w:rsidR="00B65A27" w:rsidRPr="006C03F2" w:rsidTr="00FA3B99">
        <w:trPr>
          <w:trHeight w:val="408"/>
        </w:trPr>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lang w:val="en-ZA"/>
              </w:rPr>
              <w:t> </w:t>
            </w:r>
          </w:p>
        </w:tc>
        <w:tc>
          <w:tcPr>
            <w:tcW w:w="3543" w:type="dxa"/>
            <w:gridSpan w:val="4"/>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January – March 2022</w:t>
            </w:r>
          </w:p>
        </w:tc>
        <w:tc>
          <w:tcPr>
            <w:tcW w:w="4111" w:type="dxa"/>
            <w:gridSpan w:val="4"/>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Annual</w:t>
            </w:r>
          </w:p>
        </w:tc>
      </w:tr>
      <w:tr w:rsidR="00B65A27" w:rsidRPr="006C03F2" w:rsidTr="00FA3B99">
        <w:trPr>
          <w:trHeight w:val="1050"/>
        </w:trPr>
        <w:tc>
          <w:tcPr>
            <w:tcW w:w="14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Main Division</w:t>
            </w:r>
          </w:p>
        </w:tc>
        <w:tc>
          <w:tcPr>
            <w:tcW w:w="90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Budget</w:t>
            </w:r>
          </w:p>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9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Actuals</w:t>
            </w:r>
          </w:p>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99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Variance</w:t>
            </w:r>
          </w:p>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w:t>
            </w:r>
          </w:p>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Spent</w:t>
            </w:r>
          </w:p>
        </w:tc>
        <w:tc>
          <w:tcPr>
            <w:tcW w:w="99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Annual Budget</w:t>
            </w:r>
          </w:p>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Actuals</w:t>
            </w:r>
          </w:p>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Variance</w:t>
            </w:r>
          </w:p>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113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 Spent</w:t>
            </w:r>
          </w:p>
        </w:tc>
      </w:tr>
      <w:tr w:rsidR="00B65A27" w:rsidRPr="006C03F2" w:rsidTr="00FA3B99">
        <w:trPr>
          <w:trHeight w:val="408"/>
        </w:trPr>
        <w:tc>
          <w:tcPr>
            <w:tcW w:w="14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sz w:val="20"/>
                <w:szCs w:val="20"/>
                <w:lang w:val="en-ZA"/>
              </w:rPr>
              <w:t>Administration</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315 921</w:t>
            </w:r>
          </w:p>
        </w:tc>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185 095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130 826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59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748 041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617 215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130 826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83</w:t>
            </w:r>
          </w:p>
        </w:tc>
      </w:tr>
      <w:tr w:rsidR="00B65A27" w:rsidRPr="006C03F2" w:rsidTr="00FA3B99">
        <w:trPr>
          <w:trHeight w:val="408"/>
        </w:trPr>
        <w:tc>
          <w:tcPr>
            <w:tcW w:w="14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sz w:val="20"/>
                <w:szCs w:val="20"/>
              </w:rPr>
              <w:t>Legislation and Oversight</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251 995</w:t>
            </w:r>
          </w:p>
        </w:tc>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176 003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75 992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70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713 413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637 421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75 992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89</w:t>
            </w:r>
          </w:p>
        </w:tc>
      </w:tr>
      <w:tr w:rsidR="00B65A27" w:rsidRPr="006C03F2" w:rsidTr="00FA3B99">
        <w:trPr>
          <w:trHeight w:val="649"/>
        </w:trPr>
        <w:tc>
          <w:tcPr>
            <w:tcW w:w="14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sz w:val="20"/>
                <w:szCs w:val="20"/>
                <w:lang w:val="en-ZA"/>
              </w:rPr>
              <w:t>Associated Services</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196 924</w:t>
            </w:r>
          </w:p>
        </w:tc>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178 672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18 252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91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723 544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705 292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18 252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97</w:t>
            </w:r>
          </w:p>
        </w:tc>
      </w:tr>
      <w:tr w:rsidR="00B65A27" w:rsidRPr="006C03F2" w:rsidTr="00FA3B99">
        <w:trPr>
          <w:trHeight w:val="394"/>
        </w:trPr>
        <w:tc>
          <w:tcPr>
            <w:tcW w:w="14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Sub-Total</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764 841</w:t>
            </w:r>
          </w:p>
        </w:tc>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539 770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225 071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71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2 184 999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1 959 928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225 071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90</w:t>
            </w:r>
          </w:p>
        </w:tc>
      </w:tr>
      <w:tr w:rsidR="00B65A27" w:rsidRPr="006C03F2" w:rsidTr="00FA3B99">
        <w:trPr>
          <w:trHeight w:val="589"/>
        </w:trPr>
        <w:tc>
          <w:tcPr>
            <w:tcW w:w="14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sz w:val="20"/>
                <w:szCs w:val="20"/>
                <w:lang w:val="en-ZA"/>
              </w:rPr>
              <w:t>Direct Charges</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108 554</w:t>
            </w:r>
          </w:p>
        </w:tc>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120 305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(11 751)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111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471 710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483 461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(11 751)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sz w:val="20"/>
                <w:szCs w:val="20"/>
              </w:rPr>
              <w:t>102</w:t>
            </w:r>
          </w:p>
        </w:tc>
      </w:tr>
      <w:tr w:rsidR="00B65A27" w:rsidRPr="006C03F2" w:rsidTr="00FA3B99">
        <w:trPr>
          <w:trHeight w:val="408"/>
        </w:trPr>
        <w:tc>
          <w:tcPr>
            <w:tcW w:w="146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8234A4" w:rsidRPr="006C03F2" w:rsidRDefault="008234A4" w:rsidP="006C03F2">
            <w:pPr>
              <w:spacing w:after="0" w:line="240" w:lineRule="auto"/>
              <w:rPr>
                <w:rFonts w:ascii="Arial" w:hAnsi="Arial" w:cs="Arial"/>
                <w:b/>
                <w:sz w:val="20"/>
                <w:szCs w:val="20"/>
                <w:lang w:val="en-ZA"/>
              </w:rPr>
            </w:pPr>
            <w:r w:rsidRPr="006C03F2">
              <w:rPr>
                <w:rFonts w:ascii="Arial" w:hAnsi="Arial" w:cs="Arial"/>
                <w:b/>
                <w:bCs/>
                <w:sz w:val="20"/>
                <w:szCs w:val="20"/>
                <w:lang w:val="en-ZA"/>
              </w:rPr>
              <w:t>TOTALS</w:t>
            </w: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873 395</w:t>
            </w:r>
          </w:p>
        </w:tc>
        <w:tc>
          <w:tcPr>
            <w:tcW w:w="9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660 075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213 320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76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2 656 709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2 443 389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213 320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234A4" w:rsidRPr="006C03F2" w:rsidRDefault="008234A4" w:rsidP="006C03F2">
            <w:pPr>
              <w:spacing w:after="0" w:line="240" w:lineRule="auto"/>
              <w:rPr>
                <w:rFonts w:ascii="Arial" w:hAnsi="Arial" w:cs="Arial"/>
                <w:sz w:val="20"/>
                <w:szCs w:val="20"/>
                <w:lang w:val="en-ZA"/>
              </w:rPr>
            </w:pPr>
            <w:r w:rsidRPr="006C03F2">
              <w:rPr>
                <w:rFonts w:ascii="Arial" w:hAnsi="Arial" w:cs="Arial"/>
                <w:bCs/>
                <w:sz w:val="20"/>
                <w:szCs w:val="20"/>
              </w:rPr>
              <w:t>92</w:t>
            </w:r>
          </w:p>
        </w:tc>
      </w:tr>
    </w:tbl>
    <w:p w:rsidR="00EA3BF8" w:rsidRPr="006C03F2" w:rsidRDefault="00E349FD" w:rsidP="006C03F2">
      <w:pPr>
        <w:spacing w:after="0" w:line="240" w:lineRule="auto"/>
        <w:ind w:firstLine="720"/>
        <w:rPr>
          <w:rFonts w:ascii="Arial" w:hAnsi="Arial" w:cs="Arial"/>
          <w:b/>
          <w:sz w:val="20"/>
          <w:szCs w:val="20"/>
          <w:lang w:val="en-ZA"/>
        </w:rPr>
      </w:pPr>
      <w:r w:rsidRPr="006C03F2">
        <w:rPr>
          <w:rFonts w:ascii="Arial" w:hAnsi="Arial" w:cs="Arial"/>
          <w:b/>
          <w:sz w:val="20"/>
          <w:szCs w:val="20"/>
          <w:lang w:val="en-ZA"/>
        </w:rPr>
        <w:t>Table 4: Expenditure across programmes (Source: Parliament of the RSA)</w:t>
      </w:r>
    </w:p>
    <w:p w:rsidR="00F22932" w:rsidRPr="006C03F2" w:rsidRDefault="00F22932" w:rsidP="006C03F2">
      <w:pPr>
        <w:spacing w:after="0" w:line="240" w:lineRule="auto"/>
        <w:rPr>
          <w:rFonts w:ascii="Arial" w:hAnsi="Arial" w:cs="Arial"/>
          <w:sz w:val="20"/>
          <w:szCs w:val="20"/>
          <w:lang w:val="en-ZA"/>
        </w:rPr>
      </w:pPr>
    </w:p>
    <w:p w:rsidR="008D2F46" w:rsidRPr="006C03F2" w:rsidRDefault="008D2F46" w:rsidP="006C03F2">
      <w:pPr>
        <w:spacing w:after="0" w:line="240" w:lineRule="auto"/>
        <w:rPr>
          <w:rFonts w:ascii="Arial" w:hAnsi="Arial" w:cs="Arial"/>
          <w:sz w:val="20"/>
          <w:szCs w:val="20"/>
          <w:lang w:val="en-ZA"/>
        </w:rPr>
      </w:pPr>
    </w:p>
    <w:p w:rsidR="008D2F46" w:rsidRPr="006C03F2" w:rsidRDefault="008D2F46" w:rsidP="006C03F2">
      <w:pPr>
        <w:spacing w:after="0" w:line="240" w:lineRule="auto"/>
        <w:rPr>
          <w:rFonts w:ascii="Arial" w:hAnsi="Arial" w:cs="Arial"/>
          <w:sz w:val="20"/>
          <w:szCs w:val="20"/>
          <w:lang w:val="en-ZA"/>
        </w:rPr>
      </w:pPr>
    </w:p>
    <w:p w:rsidR="00EB68F1" w:rsidRPr="006C03F2" w:rsidRDefault="008D2F46" w:rsidP="006C03F2">
      <w:pPr>
        <w:spacing w:after="0" w:line="240" w:lineRule="auto"/>
        <w:rPr>
          <w:rFonts w:ascii="Arial" w:hAnsi="Arial" w:cs="Arial"/>
          <w:sz w:val="20"/>
          <w:szCs w:val="20"/>
          <w:lang w:val="en-ZA"/>
        </w:rPr>
      </w:pPr>
      <w:r w:rsidRPr="006C03F2">
        <w:rPr>
          <w:rFonts w:ascii="Arial" w:hAnsi="Arial" w:cs="Arial"/>
          <w:sz w:val="20"/>
          <w:szCs w:val="20"/>
          <w:lang w:val="en-ZA"/>
        </w:rPr>
        <w:t>4.1.3</w:t>
      </w:r>
      <w:r w:rsidR="00EA3BF8" w:rsidRPr="006C03F2">
        <w:rPr>
          <w:rFonts w:ascii="Arial" w:hAnsi="Arial" w:cs="Arial"/>
          <w:sz w:val="20"/>
          <w:szCs w:val="20"/>
          <w:lang w:val="en-ZA"/>
        </w:rPr>
        <w:tab/>
        <w:t>Table 5</w:t>
      </w:r>
      <w:r w:rsidR="002A6E03" w:rsidRPr="006C03F2">
        <w:rPr>
          <w:rFonts w:ascii="Arial" w:hAnsi="Arial" w:cs="Arial"/>
          <w:sz w:val="20"/>
          <w:szCs w:val="20"/>
          <w:lang w:val="en-ZA"/>
        </w:rPr>
        <w:t xml:space="preserve"> below details spending across economic classification.</w:t>
      </w:r>
    </w:p>
    <w:tbl>
      <w:tblPr>
        <w:tblW w:w="9072" w:type="dxa"/>
        <w:tblInd w:w="699" w:type="dxa"/>
        <w:tblCellMar>
          <w:left w:w="0" w:type="dxa"/>
          <w:right w:w="0" w:type="dxa"/>
        </w:tblCellMar>
        <w:tblLook w:val="04A0"/>
      </w:tblPr>
      <w:tblGrid>
        <w:gridCol w:w="1606"/>
        <w:gridCol w:w="897"/>
        <w:gridCol w:w="931"/>
        <w:gridCol w:w="1046"/>
        <w:gridCol w:w="764"/>
        <w:gridCol w:w="899"/>
        <w:gridCol w:w="931"/>
        <w:gridCol w:w="1046"/>
        <w:gridCol w:w="952"/>
      </w:tblGrid>
      <w:tr w:rsidR="00B65A27" w:rsidRPr="006C03F2" w:rsidTr="00FA3B99">
        <w:trPr>
          <w:trHeight w:val="588"/>
        </w:trPr>
        <w:tc>
          <w:tcPr>
            <w:tcW w:w="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lang w:val="en-ZA"/>
              </w:rPr>
              <w:lastRenderedPageBreak/>
              <w:t> </w:t>
            </w:r>
          </w:p>
        </w:tc>
        <w:tc>
          <w:tcPr>
            <w:tcW w:w="3608" w:type="dxa"/>
            <w:gridSpan w:val="4"/>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January – March 2022</w:t>
            </w:r>
          </w:p>
        </w:tc>
        <w:tc>
          <w:tcPr>
            <w:tcW w:w="4590" w:type="dxa"/>
            <w:gridSpan w:val="4"/>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Annual</w:t>
            </w:r>
          </w:p>
        </w:tc>
      </w:tr>
      <w:tr w:rsidR="00F22932" w:rsidRPr="006C03F2" w:rsidTr="00FA3B99">
        <w:trPr>
          <w:trHeight w:val="612"/>
        </w:trPr>
        <w:tc>
          <w:tcPr>
            <w:tcW w:w="8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Economic classification</w:t>
            </w:r>
          </w:p>
        </w:tc>
        <w:tc>
          <w:tcPr>
            <w:tcW w:w="8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Budget</w:t>
            </w:r>
          </w:p>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9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Actuals</w:t>
            </w:r>
          </w:p>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10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Variance</w:t>
            </w:r>
          </w:p>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74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w:t>
            </w:r>
          </w:p>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Spent</w:t>
            </w:r>
          </w:p>
        </w:tc>
        <w:tc>
          <w:tcPr>
            <w:tcW w:w="90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Annual Budget</w:t>
            </w:r>
          </w:p>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9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Actuals R’000</w:t>
            </w:r>
          </w:p>
        </w:tc>
        <w:tc>
          <w:tcPr>
            <w:tcW w:w="10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Variance</w:t>
            </w:r>
          </w:p>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R’000</w:t>
            </w:r>
          </w:p>
        </w:tc>
        <w:tc>
          <w:tcPr>
            <w:tcW w:w="17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4" w:type="dxa"/>
              <w:bottom w:w="0" w:type="dxa"/>
              <w:right w:w="104" w:type="dxa"/>
            </w:tcMa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 Spent</w:t>
            </w:r>
          </w:p>
        </w:tc>
      </w:tr>
      <w:tr w:rsidR="00B65A27" w:rsidRPr="006C03F2" w:rsidTr="00FA3B99">
        <w:trPr>
          <w:trHeight w:val="876"/>
        </w:trPr>
        <w:tc>
          <w:tcPr>
            <w:tcW w:w="8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sz w:val="20"/>
                <w:szCs w:val="20"/>
                <w:lang w:val="en-ZA"/>
              </w:rPr>
              <w:t>Compensation of Members</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108 554</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120 305</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(11 751)</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111</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471 710</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483 461</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(11 751)</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102</w:t>
            </w:r>
          </w:p>
        </w:tc>
      </w:tr>
      <w:tr w:rsidR="00B65A27" w:rsidRPr="006C03F2" w:rsidTr="00FA3B99">
        <w:trPr>
          <w:trHeight w:val="588"/>
        </w:trPr>
        <w:tc>
          <w:tcPr>
            <w:tcW w:w="8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sz w:val="20"/>
                <w:szCs w:val="20"/>
                <w:lang w:val="en-ZA"/>
              </w:rPr>
              <w:t>Compensation of Employees</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409 568</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317 137</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92 431</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77</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1 235 239</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1 142 808</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92 431</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93</w:t>
            </w:r>
          </w:p>
        </w:tc>
      </w:tr>
      <w:tr w:rsidR="00B65A27" w:rsidRPr="006C03F2" w:rsidTr="00FA3B99">
        <w:trPr>
          <w:trHeight w:val="588"/>
        </w:trPr>
        <w:tc>
          <w:tcPr>
            <w:tcW w:w="8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sz w:val="20"/>
                <w:szCs w:val="20"/>
                <w:lang w:val="en-ZA"/>
              </w:rPr>
              <w:t>Goods and Services (APP)</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153 998</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54 721</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99 277</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36</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286 665</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187 388</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99 277</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65</w:t>
            </w:r>
          </w:p>
        </w:tc>
      </w:tr>
      <w:tr w:rsidR="00B65A27" w:rsidRPr="006C03F2" w:rsidTr="00FA3B99">
        <w:trPr>
          <w:trHeight w:val="1305"/>
        </w:trPr>
        <w:tc>
          <w:tcPr>
            <w:tcW w:w="8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sz w:val="20"/>
                <w:szCs w:val="20"/>
                <w:lang w:val="en-ZA"/>
              </w:rPr>
              <w:t>Goods and Services (Members’ entitlements)</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24 063</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27 946</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(4 683)</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119</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94 772</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99 455</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(4 683)</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105</w:t>
            </w:r>
          </w:p>
        </w:tc>
      </w:tr>
      <w:tr w:rsidR="00B65A27" w:rsidRPr="006C03F2" w:rsidTr="00FA3B99">
        <w:trPr>
          <w:trHeight w:val="588"/>
        </w:trPr>
        <w:tc>
          <w:tcPr>
            <w:tcW w:w="8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sz w:val="20"/>
                <w:szCs w:val="20"/>
                <w:lang w:val="en-ZA"/>
              </w:rPr>
              <w:t>Transfers</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130 091</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128 233</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1 858</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99</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513 030</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511 972</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1 858</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100</w:t>
            </w:r>
          </w:p>
        </w:tc>
      </w:tr>
      <w:tr w:rsidR="00B65A27" w:rsidRPr="006C03F2" w:rsidTr="00FA3B99">
        <w:trPr>
          <w:trHeight w:val="810"/>
        </w:trPr>
        <w:tc>
          <w:tcPr>
            <w:tcW w:w="8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sz w:val="20"/>
                <w:szCs w:val="20"/>
                <w:lang w:val="en-ZA"/>
              </w:rPr>
              <w:t>Capital Expenditure</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47 121</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10 933</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36 218</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23</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55 293</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19 105</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36 188</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sz w:val="20"/>
                <w:szCs w:val="20"/>
              </w:rPr>
              <w:t>35</w:t>
            </w:r>
          </w:p>
        </w:tc>
      </w:tr>
      <w:tr w:rsidR="00B65A27" w:rsidRPr="006C03F2" w:rsidTr="00FA3B99">
        <w:trPr>
          <w:trHeight w:val="588"/>
        </w:trPr>
        <w:tc>
          <w:tcPr>
            <w:tcW w:w="8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EB68F1" w:rsidRPr="006C03F2" w:rsidRDefault="00EB68F1" w:rsidP="006C03F2">
            <w:pPr>
              <w:spacing w:after="0" w:line="240" w:lineRule="auto"/>
              <w:rPr>
                <w:rFonts w:ascii="Arial" w:hAnsi="Arial" w:cs="Arial"/>
                <w:b/>
                <w:sz w:val="20"/>
                <w:szCs w:val="20"/>
                <w:lang w:val="en-ZA"/>
              </w:rPr>
            </w:pPr>
            <w:r w:rsidRPr="006C03F2">
              <w:rPr>
                <w:rFonts w:ascii="Arial" w:hAnsi="Arial" w:cs="Arial"/>
                <w:b/>
                <w:bCs/>
                <w:sz w:val="20"/>
                <w:szCs w:val="20"/>
                <w:lang w:val="en-ZA"/>
              </w:rPr>
              <w:t>TOTALS</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rPr>
              <w:t>873 395</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rPr>
              <w:t>660 075</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rPr>
              <w:t>213 320</w:t>
            </w:r>
          </w:p>
        </w:tc>
        <w:tc>
          <w:tcPr>
            <w:tcW w:w="74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rPr>
              <w:t>76</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rPr>
              <w:t>2 656 709</w:t>
            </w:r>
          </w:p>
        </w:tc>
        <w:tc>
          <w:tcPr>
            <w:tcW w:w="9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rPr>
              <w:t>2 443 389</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rPr>
              <w:t>213 320</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EB68F1" w:rsidRPr="006C03F2" w:rsidRDefault="00EB68F1" w:rsidP="006C03F2">
            <w:pPr>
              <w:spacing w:after="0" w:line="240" w:lineRule="auto"/>
              <w:rPr>
                <w:rFonts w:ascii="Arial" w:hAnsi="Arial" w:cs="Arial"/>
                <w:sz w:val="20"/>
                <w:szCs w:val="20"/>
                <w:lang w:val="en-ZA"/>
              </w:rPr>
            </w:pPr>
            <w:r w:rsidRPr="006C03F2">
              <w:rPr>
                <w:rFonts w:ascii="Arial" w:hAnsi="Arial" w:cs="Arial"/>
                <w:bCs/>
                <w:sz w:val="20"/>
                <w:szCs w:val="20"/>
              </w:rPr>
              <w:t>92</w:t>
            </w:r>
          </w:p>
        </w:tc>
      </w:tr>
    </w:tbl>
    <w:p w:rsidR="00EA3BF8" w:rsidRPr="006C03F2" w:rsidRDefault="00EA3BF8" w:rsidP="006C03F2">
      <w:pPr>
        <w:spacing w:after="0" w:line="240" w:lineRule="auto"/>
        <w:ind w:firstLine="720"/>
        <w:rPr>
          <w:rFonts w:ascii="Arial" w:hAnsi="Arial" w:cs="Arial"/>
          <w:b/>
          <w:sz w:val="20"/>
          <w:szCs w:val="20"/>
          <w:lang w:val="en-ZA"/>
        </w:rPr>
      </w:pPr>
      <w:r w:rsidRPr="006C03F2">
        <w:rPr>
          <w:rFonts w:ascii="Arial" w:hAnsi="Arial" w:cs="Arial"/>
          <w:b/>
          <w:sz w:val="20"/>
          <w:szCs w:val="20"/>
          <w:lang w:val="en-ZA"/>
        </w:rPr>
        <w:t>Table 5: Spending across economic classification (Source: Parliament of the RSA)</w:t>
      </w:r>
    </w:p>
    <w:p w:rsidR="00C174E8" w:rsidRPr="006C03F2" w:rsidRDefault="00C174E8" w:rsidP="006C03F2">
      <w:pPr>
        <w:spacing w:after="0" w:line="240" w:lineRule="auto"/>
        <w:rPr>
          <w:rFonts w:ascii="Arial" w:hAnsi="Arial" w:cs="Arial"/>
          <w:i/>
          <w:sz w:val="20"/>
          <w:szCs w:val="20"/>
          <w:lang w:val="en-ZA"/>
        </w:rPr>
      </w:pPr>
    </w:p>
    <w:p w:rsidR="00F22932" w:rsidRPr="006C03F2" w:rsidRDefault="00F22932" w:rsidP="006C03F2">
      <w:pPr>
        <w:spacing w:after="0" w:line="240" w:lineRule="auto"/>
        <w:rPr>
          <w:rFonts w:ascii="Arial" w:hAnsi="Arial" w:cs="Arial"/>
          <w:i/>
          <w:sz w:val="20"/>
          <w:szCs w:val="20"/>
          <w:lang w:val="en-ZA"/>
        </w:rPr>
      </w:pPr>
      <w:r w:rsidRPr="006C03F2">
        <w:rPr>
          <w:rFonts w:ascii="Arial" w:hAnsi="Arial" w:cs="Arial"/>
          <w:i/>
          <w:sz w:val="20"/>
          <w:szCs w:val="20"/>
          <w:lang w:val="en-ZA"/>
        </w:rPr>
        <w:t>Compensation of Members</w:t>
      </w:r>
    </w:p>
    <w:p w:rsidR="00BB731A" w:rsidRPr="006C03F2" w:rsidRDefault="008D2F46" w:rsidP="006C03F2">
      <w:pPr>
        <w:spacing w:after="0" w:line="240" w:lineRule="auto"/>
        <w:ind w:left="720" w:hanging="720"/>
        <w:rPr>
          <w:rFonts w:ascii="Arial" w:hAnsi="Arial" w:cs="Arial"/>
          <w:i/>
          <w:sz w:val="20"/>
          <w:szCs w:val="20"/>
          <w:lang w:val="en-ZA"/>
        </w:rPr>
      </w:pPr>
      <w:r w:rsidRPr="006C03F2">
        <w:rPr>
          <w:rFonts w:ascii="Arial" w:hAnsi="Arial" w:cs="Arial"/>
          <w:sz w:val="20"/>
          <w:szCs w:val="20"/>
          <w:lang w:val="en-ZA"/>
        </w:rPr>
        <w:t>4.1.4</w:t>
      </w:r>
      <w:r w:rsidR="00BB731A" w:rsidRPr="006C03F2">
        <w:rPr>
          <w:rFonts w:ascii="Arial" w:hAnsi="Arial" w:cs="Arial"/>
          <w:sz w:val="20"/>
          <w:szCs w:val="20"/>
          <w:lang w:val="en-ZA"/>
        </w:rPr>
        <w:tab/>
        <w:t>As indicated above, the spending on compens</w:t>
      </w:r>
      <w:r w:rsidRPr="006C03F2">
        <w:rPr>
          <w:rFonts w:ascii="Arial" w:hAnsi="Arial" w:cs="Arial"/>
          <w:sz w:val="20"/>
          <w:szCs w:val="20"/>
          <w:lang w:val="en-ZA"/>
        </w:rPr>
        <w:t>ation of members stood at R120,</w:t>
      </w:r>
      <w:r w:rsidR="00BB731A" w:rsidRPr="006C03F2">
        <w:rPr>
          <w:rFonts w:ascii="Arial" w:hAnsi="Arial" w:cs="Arial"/>
          <w:sz w:val="20"/>
          <w:szCs w:val="20"/>
          <w:lang w:val="en-ZA"/>
        </w:rPr>
        <w:t>305 million or 111 percent of the fourth quarter budget of R108, 554 million resulting in an overspend of R11,751 million. The overspent funds will be refunded by the National Revenue Fund in line with section 23(4) of the FMPPLA.</w:t>
      </w:r>
    </w:p>
    <w:p w:rsidR="00BB731A" w:rsidRPr="006C03F2" w:rsidRDefault="00BB731A" w:rsidP="006C03F2">
      <w:pPr>
        <w:spacing w:after="0" w:line="240" w:lineRule="auto"/>
        <w:rPr>
          <w:rFonts w:ascii="Arial" w:hAnsi="Arial" w:cs="Arial"/>
          <w:sz w:val="20"/>
          <w:szCs w:val="20"/>
          <w:lang w:val="en-ZA"/>
        </w:rPr>
      </w:pPr>
    </w:p>
    <w:p w:rsidR="00BB731A" w:rsidRPr="006C03F2" w:rsidRDefault="00BB731A" w:rsidP="006C03F2">
      <w:pPr>
        <w:spacing w:after="0" w:line="240" w:lineRule="auto"/>
        <w:rPr>
          <w:rFonts w:ascii="Arial" w:hAnsi="Arial" w:cs="Arial"/>
          <w:i/>
          <w:sz w:val="20"/>
          <w:szCs w:val="20"/>
          <w:lang w:val="en-ZA"/>
        </w:rPr>
      </w:pPr>
      <w:r w:rsidRPr="006C03F2">
        <w:rPr>
          <w:rFonts w:ascii="Arial" w:hAnsi="Arial" w:cs="Arial"/>
          <w:i/>
          <w:sz w:val="20"/>
          <w:szCs w:val="20"/>
          <w:lang w:val="en-ZA"/>
        </w:rPr>
        <w:t>Compensation of employees</w:t>
      </w:r>
    </w:p>
    <w:p w:rsidR="00BB731A" w:rsidRPr="006C03F2" w:rsidRDefault="008D2F4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4.1.5</w:t>
      </w:r>
      <w:r w:rsidR="00BB731A" w:rsidRPr="006C03F2">
        <w:rPr>
          <w:rFonts w:ascii="Arial" w:hAnsi="Arial" w:cs="Arial"/>
          <w:sz w:val="20"/>
          <w:szCs w:val="20"/>
          <w:lang w:val="en-ZA"/>
        </w:rPr>
        <w:tab/>
        <w:t>Spending on compensation of employees stood at 77 percent or R317,137 million of the</w:t>
      </w:r>
      <w:r w:rsidRPr="006C03F2">
        <w:rPr>
          <w:rFonts w:ascii="Arial" w:hAnsi="Arial" w:cs="Arial"/>
          <w:sz w:val="20"/>
          <w:szCs w:val="20"/>
          <w:lang w:val="en-ZA"/>
        </w:rPr>
        <w:t xml:space="preserve"> fourth quarter budget of R409,</w:t>
      </w:r>
      <w:r w:rsidR="00BB731A" w:rsidRPr="006C03F2">
        <w:rPr>
          <w:rFonts w:ascii="Arial" w:hAnsi="Arial" w:cs="Arial"/>
          <w:sz w:val="20"/>
          <w:szCs w:val="20"/>
          <w:lang w:val="en-ZA"/>
        </w:rPr>
        <w:t>568 million resulting in an underspending of R92, 431 m</w:t>
      </w:r>
      <w:r w:rsidRPr="006C03F2">
        <w:rPr>
          <w:rFonts w:ascii="Arial" w:hAnsi="Arial" w:cs="Arial"/>
          <w:sz w:val="20"/>
          <w:szCs w:val="20"/>
          <w:lang w:val="en-ZA"/>
        </w:rPr>
        <w:t>illion. The under-expenditure was</w:t>
      </w:r>
      <w:r w:rsidR="00BB731A" w:rsidRPr="006C03F2">
        <w:rPr>
          <w:rFonts w:ascii="Arial" w:hAnsi="Arial" w:cs="Arial"/>
          <w:sz w:val="20"/>
          <w:szCs w:val="20"/>
          <w:lang w:val="en-ZA"/>
        </w:rPr>
        <w:t xml:space="preserve"> due to provisions made for key vacancies that could not be filled in the period under review, and the discontinuation of membership to the PARMED Medical Aid Scheme by some Members. </w:t>
      </w:r>
    </w:p>
    <w:p w:rsidR="00BB731A" w:rsidRPr="006C03F2" w:rsidRDefault="00BB731A" w:rsidP="006C03F2">
      <w:pPr>
        <w:spacing w:after="0" w:line="240" w:lineRule="auto"/>
        <w:rPr>
          <w:rFonts w:ascii="Arial" w:hAnsi="Arial" w:cs="Arial"/>
          <w:sz w:val="20"/>
          <w:szCs w:val="20"/>
          <w:lang w:val="en-ZA"/>
        </w:rPr>
      </w:pPr>
    </w:p>
    <w:p w:rsidR="00BB731A" w:rsidRPr="006C03F2" w:rsidRDefault="00BB731A" w:rsidP="006C03F2">
      <w:pPr>
        <w:spacing w:after="0" w:line="240" w:lineRule="auto"/>
        <w:rPr>
          <w:rFonts w:ascii="Arial" w:hAnsi="Arial" w:cs="Arial"/>
          <w:i/>
          <w:sz w:val="20"/>
          <w:szCs w:val="20"/>
          <w:lang w:val="en-ZA"/>
        </w:rPr>
      </w:pPr>
      <w:r w:rsidRPr="006C03F2">
        <w:rPr>
          <w:rFonts w:ascii="Arial" w:hAnsi="Arial" w:cs="Arial"/>
          <w:i/>
          <w:sz w:val="20"/>
          <w:szCs w:val="20"/>
          <w:lang w:val="en-ZA"/>
        </w:rPr>
        <w:t>Goods and services (APP)</w:t>
      </w:r>
    </w:p>
    <w:p w:rsidR="00BB731A" w:rsidRPr="006C03F2" w:rsidRDefault="008D2F4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4.1.6</w:t>
      </w:r>
      <w:r w:rsidR="00BB731A" w:rsidRPr="006C03F2">
        <w:rPr>
          <w:rFonts w:ascii="Arial" w:hAnsi="Arial" w:cs="Arial"/>
          <w:sz w:val="20"/>
          <w:szCs w:val="20"/>
          <w:lang w:val="en-ZA"/>
        </w:rPr>
        <w:tab/>
        <w:t>The spending on goods and services relating to the APP stood at 36 per cent or R54, 721 million of the</w:t>
      </w:r>
      <w:r w:rsidRPr="006C03F2">
        <w:rPr>
          <w:rFonts w:ascii="Arial" w:hAnsi="Arial" w:cs="Arial"/>
          <w:sz w:val="20"/>
          <w:szCs w:val="20"/>
          <w:lang w:val="en-ZA"/>
        </w:rPr>
        <w:t xml:space="preserve"> fourth quarter budget of R153,</w:t>
      </w:r>
      <w:r w:rsidR="00BB731A" w:rsidRPr="006C03F2">
        <w:rPr>
          <w:rFonts w:ascii="Arial" w:hAnsi="Arial" w:cs="Arial"/>
          <w:sz w:val="20"/>
          <w:szCs w:val="20"/>
          <w:lang w:val="en-ZA"/>
        </w:rPr>
        <w:t>998 million. The bulk of the underspending was the result of Covid-19 regulations and restrictions across the diff</w:t>
      </w:r>
      <w:r w:rsidRPr="006C03F2">
        <w:rPr>
          <w:rFonts w:ascii="Arial" w:hAnsi="Arial" w:cs="Arial"/>
          <w:sz w:val="20"/>
          <w:szCs w:val="20"/>
          <w:lang w:val="en-ZA"/>
        </w:rPr>
        <w:t>erent lockdown levels, and the local government elections which necessitated</w:t>
      </w:r>
      <w:r w:rsidR="00BB731A" w:rsidRPr="006C03F2">
        <w:rPr>
          <w:rFonts w:ascii="Arial" w:hAnsi="Arial" w:cs="Arial"/>
          <w:sz w:val="20"/>
          <w:szCs w:val="20"/>
          <w:lang w:val="en-ZA"/>
        </w:rPr>
        <w:t xml:space="preserve"> changes to the parliamentary programme.</w:t>
      </w:r>
    </w:p>
    <w:p w:rsidR="00436EE0" w:rsidRPr="006C03F2" w:rsidRDefault="008D2F4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4.1.7</w:t>
      </w:r>
      <w:r w:rsidR="00BB731A" w:rsidRPr="006C03F2">
        <w:rPr>
          <w:rFonts w:ascii="Arial" w:hAnsi="Arial" w:cs="Arial"/>
          <w:sz w:val="20"/>
          <w:szCs w:val="20"/>
          <w:lang w:val="en-ZA"/>
        </w:rPr>
        <w:tab/>
        <w:t xml:space="preserve">The increase in </w:t>
      </w:r>
      <w:r w:rsidR="00436EE0" w:rsidRPr="006C03F2">
        <w:rPr>
          <w:rFonts w:ascii="Arial" w:hAnsi="Arial" w:cs="Arial"/>
          <w:sz w:val="20"/>
          <w:szCs w:val="20"/>
          <w:lang w:val="en-ZA"/>
        </w:rPr>
        <w:t>spending</w:t>
      </w:r>
      <w:r w:rsidR="00BB731A" w:rsidRPr="006C03F2">
        <w:rPr>
          <w:rFonts w:ascii="Arial" w:hAnsi="Arial" w:cs="Arial"/>
          <w:sz w:val="20"/>
          <w:szCs w:val="20"/>
          <w:lang w:val="en-ZA"/>
        </w:rPr>
        <w:t xml:space="preserve"> from the third to the fourth quarter was due to expenditure for the refurbishment of offices damaged </w:t>
      </w:r>
      <w:r w:rsidR="00436EE0" w:rsidRPr="006C03F2">
        <w:rPr>
          <w:rFonts w:ascii="Arial" w:hAnsi="Arial" w:cs="Arial"/>
          <w:sz w:val="20"/>
          <w:szCs w:val="20"/>
          <w:lang w:val="en-ZA"/>
        </w:rPr>
        <w:t xml:space="preserve">in the fire, and </w:t>
      </w:r>
      <w:r w:rsidRPr="006C03F2">
        <w:rPr>
          <w:rFonts w:ascii="Arial" w:hAnsi="Arial" w:cs="Arial"/>
          <w:sz w:val="20"/>
          <w:szCs w:val="20"/>
          <w:lang w:val="en-ZA"/>
        </w:rPr>
        <w:t>costs associated with the NCOP Provincial W</w:t>
      </w:r>
      <w:r w:rsidR="00436EE0" w:rsidRPr="006C03F2">
        <w:rPr>
          <w:rFonts w:ascii="Arial" w:hAnsi="Arial" w:cs="Arial"/>
          <w:sz w:val="20"/>
          <w:szCs w:val="20"/>
          <w:lang w:val="en-ZA"/>
        </w:rPr>
        <w:t>eek. Actual spending in response to</w:t>
      </w:r>
      <w:r w:rsidR="00BB731A" w:rsidRPr="006C03F2">
        <w:rPr>
          <w:rFonts w:ascii="Arial" w:hAnsi="Arial" w:cs="Arial"/>
          <w:sz w:val="20"/>
          <w:szCs w:val="20"/>
          <w:lang w:val="en-ZA"/>
        </w:rPr>
        <w:t xml:space="preserve"> the fire </w:t>
      </w:r>
      <w:r w:rsidR="00436EE0" w:rsidRPr="006C03F2">
        <w:rPr>
          <w:rFonts w:ascii="Arial" w:hAnsi="Arial" w:cs="Arial"/>
          <w:sz w:val="20"/>
          <w:szCs w:val="20"/>
          <w:lang w:val="en-ZA"/>
        </w:rPr>
        <w:t>amounted</w:t>
      </w:r>
      <w:r w:rsidR="00BB731A" w:rsidRPr="006C03F2">
        <w:rPr>
          <w:rFonts w:ascii="Arial" w:hAnsi="Arial" w:cs="Arial"/>
          <w:sz w:val="20"/>
          <w:szCs w:val="20"/>
          <w:lang w:val="en-ZA"/>
        </w:rPr>
        <w:t xml:space="preserve"> to R14,1</w:t>
      </w:r>
      <w:r w:rsidR="00436EE0" w:rsidRPr="006C03F2">
        <w:rPr>
          <w:rFonts w:ascii="Arial" w:hAnsi="Arial" w:cs="Arial"/>
          <w:sz w:val="20"/>
          <w:szCs w:val="20"/>
          <w:lang w:val="en-ZA"/>
        </w:rPr>
        <w:t xml:space="preserve"> </w:t>
      </w:r>
      <w:r w:rsidR="00BB731A" w:rsidRPr="006C03F2">
        <w:rPr>
          <w:rFonts w:ascii="Arial" w:hAnsi="Arial" w:cs="Arial"/>
          <w:sz w:val="20"/>
          <w:szCs w:val="20"/>
          <w:lang w:val="en-ZA"/>
        </w:rPr>
        <w:t>m</w:t>
      </w:r>
      <w:r w:rsidR="00436EE0" w:rsidRPr="006C03F2">
        <w:rPr>
          <w:rFonts w:ascii="Arial" w:hAnsi="Arial" w:cs="Arial"/>
          <w:sz w:val="20"/>
          <w:szCs w:val="20"/>
          <w:lang w:val="en-ZA"/>
        </w:rPr>
        <w:t>illion</w:t>
      </w:r>
      <w:r w:rsidR="00BB731A" w:rsidRPr="006C03F2">
        <w:rPr>
          <w:rFonts w:ascii="Arial" w:hAnsi="Arial" w:cs="Arial"/>
          <w:sz w:val="20"/>
          <w:szCs w:val="20"/>
          <w:lang w:val="en-ZA"/>
        </w:rPr>
        <w:t xml:space="preserve">. </w:t>
      </w:r>
    </w:p>
    <w:p w:rsidR="00285AC0" w:rsidRPr="006C03F2" w:rsidRDefault="008D2F4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4.1.8</w:t>
      </w:r>
      <w:r w:rsidR="00436EE0" w:rsidRPr="006C03F2">
        <w:rPr>
          <w:rFonts w:ascii="Arial" w:hAnsi="Arial" w:cs="Arial"/>
          <w:sz w:val="20"/>
          <w:szCs w:val="20"/>
          <w:lang w:val="en-ZA"/>
        </w:rPr>
        <w:tab/>
      </w:r>
      <w:r w:rsidR="00BB731A" w:rsidRPr="006C03F2">
        <w:rPr>
          <w:rFonts w:ascii="Arial" w:hAnsi="Arial" w:cs="Arial"/>
          <w:sz w:val="20"/>
          <w:szCs w:val="20"/>
          <w:lang w:val="en-ZA"/>
        </w:rPr>
        <w:t xml:space="preserve">The </w:t>
      </w:r>
      <w:r w:rsidR="00436EE0" w:rsidRPr="006C03F2">
        <w:rPr>
          <w:rFonts w:ascii="Arial" w:hAnsi="Arial" w:cs="Arial"/>
          <w:sz w:val="20"/>
          <w:szCs w:val="20"/>
          <w:lang w:val="en-ZA"/>
        </w:rPr>
        <w:t xml:space="preserve">R36 million </w:t>
      </w:r>
      <w:r w:rsidR="00BB731A" w:rsidRPr="006C03F2">
        <w:rPr>
          <w:rFonts w:ascii="Arial" w:hAnsi="Arial" w:cs="Arial"/>
          <w:sz w:val="20"/>
          <w:szCs w:val="20"/>
          <w:lang w:val="en-ZA"/>
        </w:rPr>
        <w:t>underspending und</w:t>
      </w:r>
      <w:r w:rsidR="00436EE0" w:rsidRPr="006C03F2">
        <w:rPr>
          <w:rFonts w:ascii="Arial" w:hAnsi="Arial" w:cs="Arial"/>
          <w:sz w:val="20"/>
          <w:szCs w:val="20"/>
          <w:lang w:val="en-ZA"/>
        </w:rPr>
        <w:t>er Legislative Sector Support was</w:t>
      </w:r>
      <w:r w:rsidR="00BB731A" w:rsidRPr="006C03F2">
        <w:rPr>
          <w:rFonts w:ascii="Arial" w:hAnsi="Arial" w:cs="Arial"/>
          <w:sz w:val="20"/>
          <w:szCs w:val="20"/>
          <w:lang w:val="en-ZA"/>
        </w:rPr>
        <w:t xml:space="preserve"> due to the im</w:t>
      </w:r>
      <w:r w:rsidR="00436EE0" w:rsidRPr="006C03F2">
        <w:rPr>
          <w:rFonts w:ascii="Arial" w:hAnsi="Arial" w:cs="Arial"/>
          <w:sz w:val="20"/>
          <w:szCs w:val="20"/>
          <w:lang w:val="en-ZA"/>
        </w:rPr>
        <w:t>plications of the force majeure. In line with section 16(2) of the FMPPLA, t</w:t>
      </w:r>
      <w:r w:rsidR="00BB731A" w:rsidRPr="006C03F2">
        <w:rPr>
          <w:rFonts w:ascii="Arial" w:hAnsi="Arial" w:cs="Arial"/>
          <w:sz w:val="20"/>
          <w:szCs w:val="20"/>
          <w:lang w:val="en-ZA"/>
        </w:rPr>
        <w:t xml:space="preserve">he </w:t>
      </w:r>
      <w:r w:rsidR="00436EE0" w:rsidRPr="006C03F2">
        <w:rPr>
          <w:rFonts w:ascii="Arial" w:hAnsi="Arial" w:cs="Arial"/>
          <w:sz w:val="20"/>
          <w:szCs w:val="20"/>
          <w:lang w:val="en-ZA"/>
        </w:rPr>
        <w:t xml:space="preserve">unspent funds </w:t>
      </w:r>
      <w:r w:rsidR="00BB731A" w:rsidRPr="006C03F2">
        <w:rPr>
          <w:rFonts w:ascii="Arial" w:hAnsi="Arial" w:cs="Arial"/>
          <w:sz w:val="20"/>
          <w:szCs w:val="20"/>
          <w:lang w:val="en-ZA"/>
        </w:rPr>
        <w:t>will be available for alloca</w:t>
      </w:r>
      <w:r w:rsidR="00436EE0" w:rsidRPr="006C03F2">
        <w:rPr>
          <w:rFonts w:ascii="Arial" w:hAnsi="Arial" w:cs="Arial"/>
          <w:sz w:val="20"/>
          <w:szCs w:val="20"/>
          <w:lang w:val="en-ZA"/>
        </w:rPr>
        <w:t>tion in the next financial year.</w:t>
      </w:r>
    </w:p>
    <w:p w:rsidR="00436EE0" w:rsidRPr="006C03F2" w:rsidRDefault="008D2F4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4.1.9</w:t>
      </w:r>
      <w:r w:rsidR="00436EE0" w:rsidRPr="006C03F2">
        <w:rPr>
          <w:rFonts w:ascii="Arial" w:hAnsi="Arial" w:cs="Arial"/>
          <w:sz w:val="20"/>
          <w:szCs w:val="20"/>
          <w:lang w:val="en-ZA"/>
        </w:rPr>
        <w:tab/>
        <w:t xml:space="preserve">The spending on goods and services relating to Members’ entitlements, stood at 119 per cent or R27,946 million of the fourth quarter budget of R24,063 million. Members’ entitlements are </w:t>
      </w:r>
      <w:r w:rsidR="00436EE0" w:rsidRPr="006C03F2">
        <w:rPr>
          <w:rFonts w:ascii="Arial" w:hAnsi="Arial" w:cs="Arial"/>
          <w:sz w:val="20"/>
          <w:szCs w:val="20"/>
          <w:lang w:val="en-ZA"/>
        </w:rPr>
        <w:lastRenderedPageBreak/>
        <w:t>dependent on travel requirements of the previous and current members of the executive. The overspending will be offset by any underspending within the institution.</w:t>
      </w:r>
    </w:p>
    <w:p w:rsidR="00436EE0" w:rsidRPr="006C03F2" w:rsidRDefault="008D2F4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4.1.10</w:t>
      </w:r>
      <w:r w:rsidR="00436EE0" w:rsidRPr="006C03F2">
        <w:rPr>
          <w:rFonts w:ascii="Arial" w:hAnsi="Arial" w:cs="Arial"/>
          <w:sz w:val="20"/>
          <w:szCs w:val="20"/>
          <w:lang w:val="en-ZA"/>
        </w:rPr>
        <w:tab/>
        <w:t>Spending on transfer payments relating to transfers to political parties represented in Parliament stood at 99 per cent or R128,233 million of the fourth quarter budget of R130,091 million.</w:t>
      </w:r>
    </w:p>
    <w:p w:rsidR="002213A3" w:rsidRPr="006C03F2" w:rsidRDefault="009506D3"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4.1.1</w:t>
      </w:r>
      <w:r w:rsidR="008D2F46" w:rsidRPr="006C03F2">
        <w:rPr>
          <w:rFonts w:ascii="Arial" w:hAnsi="Arial" w:cs="Arial"/>
          <w:sz w:val="20"/>
          <w:szCs w:val="20"/>
          <w:lang w:val="en-ZA"/>
        </w:rPr>
        <w:t>1</w:t>
      </w:r>
      <w:r w:rsidR="00436EE0" w:rsidRPr="006C03F2">
        <w:rPr>
          <w:rFonts w:ascii="Arial" w:hAnsi="Arial" w:cs="Arial"/>
          <w:sz w:val="20"/>
          <w:szCs w:val="20"/>
          <w:lang w:val="en-ZA"/>
        </w:rPr>
        <w:tab/>
        <w:t>The spending on capital expenditure stood at 23 per cent or R10, 933 million of the fourth quarter budget of R47, 121 million. In line with section 16(2) of the FMPPLA, all unspent funds will be available for allocat</w:t>
      </w:r>
      <w:r w:rsidR="00BA4211" w:rsidRPr="006C03F2">
        <w:rPr>
          <w:rFonts w:ascii="Arial" w:hAnsi="Arial" w:cs="Arial"/>
          <w:sz w:val="20"/>
          <w:szCs w:val="20"/>
          <w:lang w:val="en-ZA"/>
        </w:rPr>
        <w:t>ion in the next financial year.</w:t>
      </w:r>
    </w:p>
    <w:p w:rsidR="00436EE0" w:rsidRPr="006C03F2" w:rsidRDefault="00436EE0" w:rsidP="006C03F2">
      <w:pPr>
        <w:spacing w:after="0" w:line="240" w:lineRule="auto"/>
        <w:rPr>
          <w:rFonts w:ascii="Arial" w:hAnsi="Arial" w:cs="Arial"/>
          <w:b/>
          <w:sz w:val="20"/>
          <w:szCs w:val="20"/>
          <w:lang w:val="en-ZA"/>
        </w:rPr>
      </w:pPr>
    </w:p>
    <w:p w:rsidR="00436EE0" w:rsidRPr="006C03F2" w:rsidRDefault="00436EE0" w:rsidP="006C03F2">
      <w:pPr>
        <w:spacing w:after="0" w:line="240" w:lineRule="auto"/>
        <w:rPr>
          <w:rFonts w:ascii="Arial" w:hAnsi="Arial" w:cs="Arial"/>
          <w:b/>
          <w:sz w:val="20"/>
          <w:szCs w:val="20"/>
          <w:lang w:val="en-ZA"/>
        </w:rPr>
      </w:pPr>
      <w:r w:rsidRPr="006C03F2">
        <w:rPr>
          <w:rFonts w:ascii="Arial" w:hAnsi="Arial" w:cs="Arial"/>
          <w:b/>
          <w:sz w:val="20"/>
          <w:szCs w:val="20"/>
          <w:lang w:val="en-ZA"/>
        </w:rPr>
        <w:t>4.2</w:t>
      </w:r>
      <w:r w:rsidRPr="006C03F2">
        <w:rPr>
          <w:rFonts w:ascii="Arial" w:hAnsi="Arial" w:cs="Arial"/>
          <w:b/>
          <w:sz w:val="20"/>
          <w:szCs w:val="20"/>
          <w:lang w:val="en-ZA"/>
        </w:rPr>
        <w:tab/>
        <w:t>Expenditure across programmes</w:t>
      </w:r>
    </w:p>
    <w:p w:rsidR="00BA4211" w:rsidRPr="006C03F2" w:rsidRDefault="00BA4211" w:rsidP="006C03F2">
      <w:pPr>
        <w:spacing w:after="0" w:line="240" w:lineRule="auto"/>
        <w:rPr>
          <w:rFonts w:ascii="Arial" w:hAnsi="Arial" w:cs="Arial"/>
          <w:i/>
          <w:sz w:val="20"/>
          <w:szCs w:val="20"/>
          <w:lang w:val="en-ZA"/>
        </w:rPr>
      </w:pPr>
    </w:p>
    <w:p w:rsidR="00436EE0" w:rsidRPr="006C03F2" w:rsidRDefault="00436EE0" w:rsidP="006C03F2">
      <w:pPr>
        <w:spacing w:after="0" w:line="240" w:lineRule="auto"/>
        <w:rPr>
          <w:rFonts w:ascii="Arial" w:hAnsi="Arial" w:cs="Arial"/>
          <w:i/>
          <w:sz w:val="20"/>
          <w:szCs w:val="20"/>
          <w:lang w:val="en-ZA"/>
        </w:rPr>
      </w:pPr>
      <w:r w:rsidRPr="006C03F2">
        <w:rPr>
          <w:rFonts w:ascii="Arial" w:hAnsi="Arial" w:cs="Arial"/>
          <w:i/>
          <w:sz w:val="20"/>
          <w:szCs w:val="20"/>
          <w:lang w:val="en-ZA"/>
        </w:rPr>
        <w:t>Programme 1: Administration</w:t>
      </w:r>
    </w:p>
    <w:p w:rsidR="00436EE0" w:rsidRPr="006C03F2" w:rsidRDefault="00D4733A" w:rsidP="006C03F2">
      <w:pPr>
        <w:spacing w:after="0" w:line="240" w:lineRule="auto"/>
        <w:ind w:left="720" w:hanging="720"/>
        <w:rPr>
          <w:rFonts w:ascii="Arial" w:hAnsi="Arial" w:cs="Arial"/>
          <w:kern w:val="24"/>
          <w:sz w:val="20"/>
          <w:szCs w:val="20"/>
        </w:rPr>
      </w:pPr>
      <w:r w:rsidRPr="006C03F2">
        <w:rPr>
          <w:rFonts w:ascii="Arial" w:hAnsi="Arial" w:cs="Arial"/>
          <w:bCs/>
          <w:kern w:val="24"/>
          <w:sz w:val="20"/>
          <w:szCs w:val="20"/>
        </w:rPr>
        <w:t>4.2.1</w:t>
      </w:r>
      <w:r w:rsidRPr="006C03F2">
        <w:rPr>
          <w:rFonts w:ascii="Arial" w:hAnsi="Arial" w:cs="Arial"/>
          <w:bCs/>
          <w:kern w:val="24"/>
          <w:sz w:val="20"/>
          <w:szCs w:val="20"/>
        </w:rPr>
        <w:tab/>
      </w:r>
      <w:r w:rsidRPr="006C03F2">
        <w:rPr>
          <w:rFonts w:ascii="Arial" w:hAnsi="Arial" w:cs="Arial"/>
          <w:kern w:val="24"/>
          <w:sz w:val="20"/>
          <w:szCs w:val="20"/>
        </w:rPr>
        <w:t>Expenditure under this programme stood at</w:t>
      </w:r>
      <w:r w:rsidR="00436EE0" w:rsidRPr="006C03F2">
        <w:rPr>
          <w:rFonts w:ascii="Arial" w:hAnsi="Arial" w:cs="Arial"/>
          <w:kern w:val="24"/>
          <w:sz w:val="20"/>
          <w:szCs w:val="20"/>
        </w:rPr>
        <w:t xml:space="preserve"> 59 percent or R185,095</w:t>
      </w:r>
      <w:r w:rsidRPr="006C03F2">
        <w:rPr>
          <w:rFonts w:ascii="Arial" w:hAnsi="Arial" w:cs="Arial"/>
          <w:kern w:val="24"/>
          <w:sz w:val="20"/>
          <w:szCs w:val="20"/>
        </w:rPr>
        <w:t xml:space="preserve"> </w:t>
      </w:r>
      <w:r w:rsidR="00436EE0" w:rsidRPr="006C03F2">
        <w:rPr>
          <w:rFonts w:ascii="Arial" w:hAnsi="Arial" w:cs="Arial"/>
          <w:kern w:val="24"/>
          <w:sz w:val="20"/>
          <w:szCs w:val="20"/>
        </w:rPr>
        <w:t>m</w:t>
      </w:r>
      <w:r w:rsidRPr="006C03F2">
        <w:rPr>
          <w:rFonts w:ascii="Arial" w:hAnsi="Arial" w:cs="Arial"/>
          <w:kern w:val="24"/>
          <w:sz w:val="20"/>
          <w:szCs w:val="20"/>
        </w:rPr>
        <w:t>illion</w:t>
      </w:r>
      <w:r w:rsidR="00436EE0" w:rsidRPr="006C03F2">
        <w:rPr>
          <w:rFonts w:ascii="Arial" w:hAnsi="Arial" w:cs="Arial"/>
          <w:kern w:val="24"/>
          <w:sz w:val="20"/>
          <w:szCs w:val="20"/>
        </w:rPr>
        <w:t xml:space="preserve"> </w:t>
      </w:r>
      <w:r w:rsidRPr="006C03F2">
        <w:rPr>
          <w:rFonts w:ascii="Arial" w:hAnsi="Arial" w:cs="Arial"/>
          <w:kern w:val="24"/>
          <w:sz w:val="20"/>
          <w:szCs w:val="20"/>
        </w:rPr>
        <w:t>of the</w:t>
      </w:r>
      <w:r w:rsidR="00436EE0" w:rsidRPr="006C03F2">
        <w:rPr>
          <w:rFonts w:ascii="Arial" w:hAnsi="Arial" w:cs="Arial"/>
          <w:kern w:val="24"/>
          <w:sz w:val="20"/>
          <w:szCs w:val="20"/>
        </w:rPr>
        <w:t xml:space="preserve"> fourth quarter</w:t>
      </w:r>
      <w:r w:rsidRPr="006C03F2">
        <w:rPr>
          <w:rFonts w:ascii="Arial" w:hAnsi="Arial" w:cs="Arial"/>
          <w:kern w:val="24"/>
          <w:sz w:val="20"/>
          <w:szCs w:val="20"/>
        </w:rPr>
        <w:t xml:space="preserve"> budget</w:t>
      </w:r>
      <w:r w:rsidR="00436EE0" w:rsidRPr="006C03F2">
        <w:rPr>
          <w:rFonts w:ascii="Arial" w:hAnsi="Arial" w:cs="Arial"/>
          <w:kern w:val="24"/>
          <w:sz w:val="20"/>
          <w:szCs w:val="20"/>
        </w:rPr>
        <w:t xml:space="preserve">. In January the budget was augmented </w:t>
      </w:r>
      <w:r w:rsidRPr="006C03F2">
        <w:rPr>
          <w:rFonts w:ascii="Arial" w:hAnsi="Arial" w:cs="Arial"/>
          <w:kern w:val="24"/>
          <w:sz w:val="20"/>
          <w:szCs w:val="20"/>
        </w:rPr>
        <w:t>by</w:t>
      </w:r>
      <w:r w:rsidR="00436EE0" w:rsidRPr="006C03F2">
        <w:rPr>
          <w:rFonts w:ascii="Arial" w:hAnsi="Arial" w:cs="Arial"/>
          <w:kern w:val="24"/>
          <w:sz w:val="20"/>
          <w:szCs w:val="20"/>
        </w:rPr>
        <w:t xml:space="preserve"> R40,439</w:t>
      </w:r>
      <w:r w:rsidRPr="006C03F2">
        <w:rPr>
          <w:rFonts w:ascii="Arial" w:hAnsi="Arial" w:cs="Arial"/>
          <w:kern w:val="24"/>
          <w:sz w:val="20"/>
          <w:szCs w:val="20"/>
        </w:rPr>
        <w:t xml:space="preserve"> </w:t>
      </w:r>
      <w:r w:rsidR="00436EE0" w:rsidRPr="006C03F2">
        <w:rPr>
          <w:rFonts w:ascii="Arial" w:hAnsi="Arial" w:cs="Arial"/>
          <w:kern w:val="24"/>
          <w:sz w:val="20"/>
          <w:szCs w:val="20"/>
        </w:rPr>
        <w:t>m</w:t>
      </w:r>
      <w:r w:rsidRPr="006C03F2">
        <w:rPr>
          <w:rFonts w:ascii="Arial" w:hAnsi="Arial" w:cs="Arial"/>
          <w:kern w:val="24"/>
          <w:sz w:val="20"/>
          <w:szCs w:val="20"/>
        </w:rPr>
        <w:t>illion</w:t>
      </w:r>
      <w:r w:rsidR="00436EE0" w:rsidRPr="006C03F2">
        <w:rPr>
          <w:rFonts w:ascii="Arial" w:hAnsi="Arial" w:cs="Arial"/>
          <w:kern w:val="24"/>
          <w:sz w:val="20"/>
          <w:szCs w:val="20"/>
        </w:rPr>
        <w:t xml:space="preserve"> to fund repairs and refurbishments </w:t>
      </w:r>
      <w:r w:rsidRPr="006C03F2">
        <w:rPr>
          <w:rFonts w:ascii="Arial" w:hAnsi="Arial" w:cs="Arial"/>
          <w:kern w:val="24"/>
          <w:sz w:val="20"/>
          <w:szCs w:val="20"/>
        </w:rPr>
        <w:t xml:space="preserve">resulting from the fire. By the end of the period under review, </w:t>
      </w:r>
      <w:r w:rsidR="00436EE0" w:rsidRPr="006C03F2">
        <w:rPr>
          <w:rFonts w:ascii="Arial" w:hAnsi="Arial" w:cs="Arial"/>
          <w:kern w:val="24"/>
          <w:sz w:val="20"/>
          <w:szCs w:val="20"/>
        </w:rPr>
        <w:t>R14,105</w:t>
      </w:r>
      <w:r w:rsidRPr="006C03F2">
        <w:rPr>
          <w:rFonts w:ascii="Arial" w:hAnsi="Arial" w:cs="Arial"/>
          <w:kern w:val="24"/>
          <w:sz w:val="20"/>
          <w:szCs w:val="20"/>
        </w:rPr>
        <w:t xml:space="preserve"> </w:t>
      </w:r>
      <w:r w:rsidR="00436EE0" w:rsidRPr="006C03F2">
        <w:rPr>
          <w:rFonts w:ascii="Arial" w:hAnsi="Arial" w:cs="Arial"/>
          <w:kern w:val="24"/>
          <w:sz w:val="20"/>
          <w:szCs w:val="20"/>
        </w:rPr>
        <w:t>m</w:t>
      </w:r>
      <w:r w:rsidRPr="006C03F2">
        <w:rPr>
          <w:rFonts w:ascii="Arial" w:hAnsi="Arial" w:cs="Arial"/>
          <w:kern w:val="24"/>
          <w:sz w:val="20"/>
          <w:szCs w:val="20"/>
        </w:rPr>
        <w:t>illion had</w:t>
      </w:r>
      <w:r w:rsidR="00436EE0" w:rsidRPr="006C03F2">
        <w:rPr>
          <w:rFonts w:ascii="Arial" w:hAnsi="Arial" w:cs="Arial"/>
          <w:kern w:val="24"/>
          <w:sz w:val="20"/>
          <w:szCs w:val="20"/>
        </w:rPr>
        <w:t xml:space="preserve"> been spent</w:t>
      </w:r>
      <w:r w:rsidRPr="006C03F2">
        <w:rPr>
          <w:rFonts w:ascii="Arial" w:hAnsi="Arial" w:cs="Arial"/>
          <w:kern w:val="24"/>
          <w:sz w:val="20"/>
          <w:szCs w:val="20"/>
        </w:rPr>
        <w:t>:</w:t>
      </w:r>
      <w:r w:rsidR="00436EE0" w:rsidRPr="006C03F2">
        <w:rPr>
          <w:rFonts w:ascii="Arial" w:hAnsi="Arial" w:cs="Arial"/>
          <w:kern w:val="24"/>
          <w:sz w:val="20"/>
          <w:szCs w:val="20"/>
        </w:rPr>
        <w:t xml:space="preserve"> R7,164</w:t>
      </w:r>
      <w:r w:rsidRPr="006C03F2">
        <w:rPr>
          <w:rFonts w:ascii="Arial" w:hAnsi="Arial" w:cs="Arial"/>
          <w:kern w:val="24"/>
          <w:sz w:val="20"/>
          <w:szCs w:val="20"/>
        </w:rPr>
        <w:t xml:space="preserve"> </w:t>
      </w:r>
      <w:r w:rsidR="00436EE0" w:rsidRPr="006C03F2">
        <w:rPr>
          <w:rFonts w:ascii="Arial" w:hAnsi="Arial" w:cs="Arial"/>
          <w:kern w:val="24"/>
          <w:sz w:val="20"/>
          <w:szCs w:val="20"/>
        </w:rPr>
        <w:t>m</w:t>
      </w:r>
      <w:r w:rsidRPr="006C03F2">
        <w:rPr>
          <w:rFonts w:ascii="Arial" w:hAnsi="Arial" w:cs="Arial"/>
          <w:kern w:val="24"/>
          <w:sz w:val="20"/>
          <w:szCs w:val="20"/>
        </w:rPr>
        <w:t>illion</w:t>
      </w:r>
      <w:r w:rsidR="00436EE0" w:rsidRPr="006C03F2">
        <w:rPr>
          <w:rFonts w:ascii="Arial" w:hAnsi="Arial" w:cs="Arial"/>
          <w:kern w:val="24"/>
          <w:sz w:val="20"/>
          <w:szCs w:val="20"/>
        </w:rPr>
        <w:t xml:space="preserve"> under goods and services</w:t>
      </w:r>
      <w:r w:rsidRPr="006C03F2">
        <w:rPr>
          <w:rFonts w:ascii="Arial" w:hAnsi="Arial" w:cs="Arial"/>
          <w:kern w:val="24"/>
          <w:sz w:val="20"/>
          <w:szCs w:val="20"/>
        </w:rPr>
        <w:t>,</w:t>
      </w:r>
      <w:r w:rsidR="00436EE0" w:rsidRPr="006C03F2">
        <w:rPr>
          <w:rFonts w:ascii="Arial" w:hAnsi="Arial" w:cs="Arial"/>
          <w:kern w:val="24"/>
          <w:sz w:val="20"/>
          <w:szCs w:val="20"/>
        </w:rPr>
        <w:t xml:space="preserve"> and R6,941</w:t>
      </w:r>
      <w:r w:rsidRPr="006C03F2">
        <w:rPr>
          <w:rFonts w:ascii="Arial" w:hAnsi="Arial" w:cs="Arial"/>
          <w:kern w:val="24"/>
          <w:sz w:val="20"/>
          <w:szCs w:val="20"/>
        </w:rPr>
        <w:t xml:space="preserve"> </w:t>
      </w:r>
      <w:r w:rsidR="00436EE0" w:rsidRPr="006C03F2">
        <w:rPr>
          <w:rFonts w:ascii="Arial" w:hAnsi="Arial" w:cs="Arial"/>
          <w:kern w:val="24"/>
          <w:sz w:val="20"/>
          <w:szCs w:val="20"/>
        </w:rPr>
        <w:t>m</w:t>
      </w:r>
      <w:r w:rsidRPr="006C03F2">
        <w:rPr>
          <w:rFonts w:ascii="Arial" w:hAnsi="Arial" w:cs="Arial"/>
          <w:kern w:val="24"/>
          <w:sz w:val="20"/>
          <w:szCs w:val="20"/>
        </w:rPr>
        <w:t>illion</w:t>
      </w:r>
      <w:r w:rsidR="00436EE0" w:rsidRPr="006C03F2">
        <w:rPr>
          <w:rFonts w:ascii="Arial" w:hAnsi="Arial" w:cs="Arial"/>
          <w:kern w:val="24"/>
          <w:sz w:val="20"/>
          <w:szCs w:val="20"/>
        </w:rPr>
        <w:t xml:space="preserve"> under capital expenditure.</w:t>
      </w:r>
    </w:p>
    <w:p w:rsidR="00436EE0" w:rsidRPr="006C03F2" w:rsidRDefault="002230AB" w:rsidP="006C03F2">
      <w:pPr>
        <w:spacing w:after="0" w:line="240" w:lineRule="auto"/>
        <w:ind w:left="720" w:hanging="720"/>
        <w:rPr>
          <w:rFonts w:ascii="Arial" w:eastAsiaTheme="minorEastAsia" w:hAnsi="Arial" w:cs="Arial"/>
          <w:kern w:val="24"/>
          <w:sz w:val="20"/>
          <w:szCs w:val="20"/>
        </w:rPr>
      </w:pPr>
      <w:r w:rsidRPr="006C03F2">
        <w:rPr>
          <w:rFonts w:ascii="Arial" w:eastAsiaTheme="minorEastAsia" w:hAnsi="Arial" w:cs="Arial"/>
          <w:kern w:val="24"/>
          <w:sz w:val="20"/>
          <w:szCs w:val="20"/>
        </w:rPr>
        <w:t>4.2.2</w:t>
      </w:r>
      <w:r w:rsidRPr="006C03F2">
        <w:rPr>
          <w:rFonts w:ascii="Arial" w:eastAsiaTheme="minorEastAsia" w:hAnsi="Arial" w:cs="Arial"/>
          <w:kern w:val="24"/>
          <w:sz w:val="20"/>
          <w:szCs w:val="20"/>
        </w:rPr>
        <w:tab/>
      </w:r>
      <w:r w:rsidR="00436EE0" w:rsidRPr="006C03F2">
        <w:rPr>
          <w:rFonts w:ascii="Arial" w:eastAsiaTheme="minorEastAsia" w:hAnsi="Arial" w:cs="Arial"/>
          <w:kern w:val="24"/>
          <w:sz w:val="20"/>
          <w:szCs w:val="20"/>
        </w:rPr>
        <w:t>The spending</w:t>
      </w:r>
      <w:r w:rsidR="00D4733A" w:rsidRPr="006C03F2">
        <w:rPr>
          <w:rFonts w:ascii="Arial" w:eastAsiaTheme="minorEastAsia" w:hAnsi="Arial" w:cs="Arial"/>
          <w:kern w:val="24"/>
          <w:sz w:val="20"/>
          <w:szCs w:val="20"/>
        </w:rPr>
        <w:t xml:space="preserve"> on compensation of employees stood at</w:t>
      </w:r>
      <w:r w:rsidR="00436EE0" w:rsidRPr="006C03F2">
        <w:rPr>
          <w:rFonts w:ascii="Arial" w:eastAsiaTheme="minorEastAsia" w:hAnsi="Arial" w:cs="Arial"/>
          <w:kern w:val="24"/>
          <w:sz w:val="20"/>
          <w:szCs w:val="20"/>
        </w:rPr>
        <w:t xml:space="preserve"> 74 per</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cent or R142,605</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m</w:t>
      </w:r>
      <w:r w:rsidR="00D4733A" w:rsidRPr="006C03F2">
        <w:rPr>
          <w:rFonts w:ascii="Arial" w:eastAsiaTheme="minorEastAsia" w:hAnsi="Arial" w:cs="Arial"/>
          <w:kern w:val="24"/>
          <w:sz w:val="20"/>
          <w:szCs w:val="20"/>
        </w:rPr>
        <w:t>illion of the</w:t>
      </w:r>
      <w:r w:rsidR="00436EE0" w:rsidRPr="006C03F2">
        <w:rPr>
          <w:rFonts w:ascii="Arial" w:eastAsiaTheme="minorEastAsia" w:hAnsi="Arial" w:cs="Arial"/>
          <w:kern w:val="24"/>
          <w:sz w:val="20"/>
          <w:szCs w:val="20"/>
        </w:rPr>
        <w:t xml:space="preserve"> fourth quarter budget of R193,955</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m</w:t>
      </w:r>
      <w:r w:rsidR="00D4733A" w:rsidRPr="006C03F2">
        <w:rPr>
          <w:rFonts w:ascii="Arial" w:eastAsiaTheme="minorEastAsia" w:hAnsi="Arial" w:cs="Arial"/>
          <w:kern w:val="24"/>
          <w:sz w:val="20"/>
          <w:szCs w:val="20"/>
        </w:rPr>
        <w:t>il</w:t>
      </w:r>
      <w:r w:rsidR="00BA4211" w:rsidRPr="006C03F2">
        <w:rPr>
          <w:rFonts w:ascii="Arial" w:eastAsiaTheme="minorEastAsia" w:hAnsi="Arial" w:cs="Arial"/>
          <w:kern w:val="24"/>
          <w:sz w:val="20"/>
          <w:szCs w:val="20"/>
        </w:rPr>
        <w:t>lion. The underspending was due to</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delays in filling key vacant positions.</w:t>
      </w:r>
    </w:p>
    <w:p w:rsidR="00D4733A" w:rsidRPr="006C03F2" w:rsidRDefault="002230AB" w:rsidP="006C03F2">
      <w:pPr>
        <w:spacing w:after="0" w:line="240" w:lineRule="auto"/>
        <w:ind w:left="720" w:hanging="720"/>
        <w:rPr>
          <w:rFonts w:ascii="Arial" w:eastAsiaTheme="minorEastAsia" w:hAnsi="Arial" w:cs="Arial"/>
          <w:kern w:val="24"/>
          <w:sz w:val="20"/>
          <w:szCs w:val="20"/>
        </w:rPr>
      </w:pPr>
      <w:r w:rsidRPr="006C03F2">
        <w:rPr>
          <w:rFonts w:ascii="Arial" w:eastAsiaTheme="minorEastAsia" w:hAnsi="Arial" w:cs="Arial"/>
          <w:kern w:val="24"/>
          <w:sz w:val="20"/>
          <w:szCs w:val="20"/>
        </w:rPr>
        <w:t>4.2.3</w:t>
      </w:r>
      <w:r w:rsidRPr="006C03F2">
        <w:rPr>
          <w:rFonts w:ascii="Arial" w:eastAsiaTheme="minorEastAsia" w:hAnsi="Arial" w:cs="Arial"/>
          <w:kern w:val="24"/>
          <w:sz w:val="20"/>
          <w:szCs w:val="20"/>
        </w:rPr>
        <w:tab/>
      </w:r>
      <w:r w:rsidR="00436EE0" w:rsidRPr="006C03F2">
        <w:rPr>
          <w:rFonts w:ascii="Arial" w:eastAsiaTheme="minorEastAsia" w:hAnsi="Arial" w:cs="Arial"/>
          <w:kern w:val="24"/>
          <w:sz w:val="20"/>
          <w:szCs w:val="20"/>
        </w:rPr>
        <w:t>The s</w:t>
      </w:r>
      <w:r w:rsidR="00D4733A" w:rsidRPr="006C03F2">
        <w:rPr>
          <w:rFonts w:ascii="Arial" w:eastAsiaTheme="minorEastAsia" w:hAnsi="Arial" w:cs="Arial"/>
          <w:kern w:val="24"/>
          <w:sz w:val="20"/>
          <w:szCs w:val="20"/>
        </w:rPr>
        <w:t>pending on goods and services stood at</w:t>
      </w:r>
      <w:r w:rsidR="00436EE0" w:rsidRPr="006C03F2">
        <w:rPr>
          <w:rFonts w:ascii="Arial" w:eastAsiaTheme="minorEastAsia" w:hAnsi="Arial" w:cs="Arial"/>
          <w:kern w:val="24"/>
          <w:sz w:val="20"/>
          <w:szCs w:val="20"/>
        </w:rPr>
        <w:t xml:space="preserve"> 40 per</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cent or R31,</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77</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m</w:t>
      </w:r>
      <w:r w:rsidR="00D4733A" w:rsidRPr="006C03F2">
        <w:rPr>
          <w:rFonts w:ascii="Arial" w:eastAsiaTheme="minorEastAsia" w:hAnsi="Arial" w:cs="Arial"/>
          <w:kern w:val="24"/>
          <w:sz w:val="20"/>
          <w:szCs w:val="20"/>
        </w:rPr>
        <w:t>illion</w:t>
      </w:r>
      <w:r w:rsidR="00436EE0" w:rsidRPr="006C03F2">
        <w:rPr>
          <w:rFonts w:ascii="Arial" w:eastAsiaTheme="minorEastAsia" w:hAnsi="Arial" w:cs="Arial"/>
          <w:kern w:val="24"/>
          <w:sz w:val="20"/>
          <w:szCs w:val="20"/>
        </w:rPr>
        <w:t xml:space="preserve"> of the fourth quarter budget of R78,662</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m</w:t>
      </w:r>
      <w:r w:rsidR="00D4733A" w:rsidRPr="006C03F2">
        <w:rPr>
          <w:rFonts w:ascii="Arial" w:eastAsiaTheme="minorEastAsia" w:hAnsi="Arial" w:cs="Arial"/>
          <w:kern w:val="24"/>
          <w:sz w:val="20"/>
          <w:szCs w:val="20"/>
        </w:rPr>
        <w:t xml:space="preserve">illion. The under-expenditure is due to </w:t>
      </w:r>
      <w:r w:rsidR="00436EE0" w:rsidRPr="006C03F2">
        <w:rPr>
          <w:rFonts w:ascii="Arial" w:eastAsiaTheme="minorEastAsia" w:hAnsi="Arial" w:cs="Arial"/>
          <w:kern w:val="24"/>
          <w:sz w:val="20"/>
          <w:szCs w:val="20"/>
        </w:rPr>
        <w:t>low</w:t>
      </w:r>
      <w:r w:rsidR="00D4733A" w:rsidRPr="006C03F2">
        <w:rPr>
          <w:rFonts w:ascii="Arial" w:eastAsiaTheme="minorEastAsia" w:hAnsi="Arial" w:cs="Arial"/>
          <w:kern w:val="24"/>
          <w:sz w:val="20"/>
          <w:szCs w:val="20"/>
        </w:rPr>
        <w:t>er than anticipated spending on</w:t>
      </w:r>
      <w:r w:rsidR="00436EE0" w:rsidRPr="006C03F2">
        <w:rPr>
          <w:rFonts w:ascii="Arial" w:eastAsiaTheme="minorEastAsia" w:hAnsi="Arial" w:cs="Arial"/>
          <w:kern w:val="24"/>
          <w:sz w:val="20"/>
          <w:szCs w:val="20"/>
        </w:rPr>
        <w:t xml:space="preserve"> the fire disaster as well as </w:t>
      </w:r>
      <w:r w:rsidR="00BA4211" w:rsidRPr="006C03F2">
        <w:rPr>
          <w:rFonts w:ascii="Arial" w:eastAsiaTheme="minorEastAsia" w:hAnsi="Arial" w:cs="Arial"/>
          <w:kern w:val="24"/>
          <w:sz w:val="20"/>
          <w:szCs w:val="20"/>
        </w:rPr>
        <w:t xml:space="preserve">slow/no spending of the operational budget as a result of the </w:t>
      </w:r>
      <w:r w:rsidR="00D4733A" w:rsidRPr="006C03F2">
        <w:rPr>
          <w:rFonts w:ascii="Arial" w:eastAsiaTheme="minorEastAsia" w:hAnsi="Arial" w:cs="Arial"/>
          <w:kern w:val="24"/>
          <w:sz w:val="20"/>
          <w:szCs w:val="20"/>
        </w:rPr>
        <w:t>Covid-19 pandemic</w:t>
      </w:r>
      <w:r w:rsidR="00BA4211" w:rsidRPr="006C03F2">
        <w:rPr>
          <w:rFonts w:ascii="Arial" w:eastAsiaTheme="minorEastAsia" w:hAnsi="Arial" w:cs="Arial"/>
          <w:kern w:val="24"/>
          <w:sz w:val="20"/>
          <w:szCs w:val="20"/>
        </w:rPr>
        <w:t>.</w:t>
      </w:r>
    </w:p>
    <w:p w:rsidR="00436EE0" w:rsidRPr="006C03F2" w:rsidRDefault="002230AB" w:rsidP="006C03F2">
      <w:pPr>
        <w:spacing w:after="0" w:line="240" w:lineRule="auto"/>
        <w:ind w:left="720" w:hanging="720"/>
        <w:rPr>
          <w:rFonts w:ascii="Arial" w:hAnsi="Arial" w:cs="Arial"/>
          <w:sz w:val="20"/>
          <w:szCs w:val="20"/>
        </w:rPr>
      </w:pPr>
      <w:r w:rsidRPr="006C03F2">
        <w:rPr>
          <w:rFonts w:ascii="Arial" w:hAnsi="Arial" w:cs="Arial"/>
          <w:bCs/>
          <w:kern w:val="24"/>
          <w:sz w:val="20"/>
          <w:szCs w:val="20"/>
        </w:rPr>
        <w:t>4.2.4</w:t>
      </w:r>
      <w:r w:rsidRPr="006C03F2">
        <w:rPr>
          <w:rFonts w:ascii="Arial" w:hAnsi="Arial" w:cs="Arial"/>
          <w:bCs/>
          <w:i/>
          <w:kern w:val="24"/>
          <w:sz w:val="20"/>
          <w:szCs w:val="20"/>
        </w:rPr>
        <w:tab/>
      </w:r>
      <w:r w:rsidR="00D4733A" w:rsidRPr="006C03F2">
        <w:rPr>
          <w:rFonts w:ascii="Arial" w:eastAsiaTheme="minorEastAsia" w:hAnsi="Arial" w:cs="Arial"/>
          <w:kern w:val="24"/>
          <w:sz w:val="20"/>
          <w:szCs w:val="20"/>
        </w:rPr>
        <w:t>Capital expenditure stood at</w:t>
      </w:r>
      <w:r w:rsidR="00436EE0" w:rsidRPr="006C03F2">
        <w:rPr>
          <w:rFonts w:ascii="Arial" w:eastAsiaTheme="minorEastAsia" w:hAnsi="Arial" w:cs="Arial"/>
          <w:kern w:val="24"/>
          <w:sz w:val="20"/>
          <w:szCs w:val="20"/>
        </w:rPr>
        <w:t xml:space="preserve"> 26 per</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cent or R11,113</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m</w:t>
      </w:r>
      <w:r w:rsidR="00D4733A" w:rsidRPr="006C03F2">
        <w:rPr>
          <w:rFonts w:ascii="Arial" w:eastAsiaTheme="minorEastAsia" w:hAnsi="Arial" w:cs="Arial"/>
          <w:kern w:val="24"/>
          <w:sz w:val="20"/>
          <w:szCs w:val="20"/>
        </w:rPr>
        <w:t>illion</w:t>
      </w:r>
      <w:r w:rsidR="00436EE0" w:rsidRPr="006C03F2">
        <w:rPr>
          <w:rFonts w:ascii="Arial" w:eastAsiaTheme="minorEastAsia" w:hAnsi="Arial" w:cs="Arial"/>
          <w:kern w:val="24"/>
          <w:sz w:val="20"/>
          <w:szCs w:val="20"/>
        </w:rPr>
        <w:t xml:space="preserve"> of the fourth quarter budget of R43,</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305</w:t>
      </w:r>
      <w:r w:rsidR="00D4733A" w:rsidRPr="006C03F2">
        <w:rPr>
          <w:rFonts w:ascii="Arial" w:eastAsiaTheme="minorEastAsia" w:hAnsi="Arial" w:cs="Arial"/>
          <w:kern w:val="24"/>
          <w:sz w:val="20"/>
          <w:szCs w:val="20"/>
        </w:rPr>
        <w:t xml:space="preserve"> </w:t>
      </w:r>
      <w:r w:rsidR="00436EE0" w:rsidRPr="006C03F2">
        <w:rPr>
          <w:rFonts w:ascii="Arial" w:eastAsiaTheme="minorEastAsia" w:hAnsi="Arial" w:cs="Arial"/>
          <w:kern w:val="24"/>
          <w:sz w:val="20"/>
          <w:szCs w:val="20"/>
        </w:rPr>
        <w:t>m</w:t>
      </w:r>
      <w:r w:rsidR="00D4733A" w:rsidRPr="006C03F2">
        <w:rPr>
          <w:rFonts w:ascii="Arial" w:eastAsiaTheme="minorEastAsia" w:hAnsi="Arial" w:cs="Arial"/>
          <w:kern w:val="24"/>
          <w:sz w:val="20"/>
          <w:szCs w:val="20"/>
        </w:rPr>
        <w:t>illion. The underspending was</w:t>
      </w:r>
      <w:r w:rsidR="00436EE0" w:rsidRPr="006C03F2">
        <w:rPr>
          <w:rFonts w:ascii="Arial" w:eastAsiaTheme="minorEastAsia" w:hAnsi="Arial" w:cs="Arial"/>
          <w:kern w:val="24"/>
          <w:sz w:val="20"/>
          <w:szCs w:val="20"/>
        </w:rPr>
        <w:t xml:space="preserve"> mainly due to an </w:t>
      </w:r>
      <w:r w:rsidR="00D4733A" w:rsidRPr="006C03F2">
        <w:rPr>
          <w:rFonts w:ascii="Arial" w:eastAsiaTheme="minorEastAsia" w:hAnsi="Arial" w:cs="Arial"/>
          <w:kern w:val="24"/>
          <w:sz w:val="20"/>
          <w:szCs w:val="20"/>
        </w:rPr>
        <w:t>R29,145 million underspend</w:t>
      </w:r>
      <w:r w:rsidR="00436EE0" w:rsidRPr="006C03F2">
        <w:rPr>
          <w:rFonts w:ascii="Arial" w:eastAsiaTheme="minorEastAsia" w:hAnsi="Arial" w:cs="Arial"/>
          <w:kern w:val="24"/>
          <w:sz w:val="20"/>
          <w:szCs w:val="20"/>
        </w:rPr>
        <w:t xml:space="preserve"> under the fire disaster unit</w:t>
      </w:r>
      <w:r w:rsidR="00D4733A" w:rsidRPr="006C03F2">
        <w:rPr>
          <w:rFonts w:ascii="Arial" w:eastAsiaTheme="minorEastAsia" w:hAnsi="Arial" w:cs="Arial"/>
          <w:kern w:val="24"/>
          <w:sz w:val="20"/>
          <w:szCs w:val="20"/>
        </w:rPr>
        <w:t>.</w:t>
      </w:r>
      <w:r w:rsidR="00436EE0" w:rsidRPr="006C03F2">
        <w:rPr>
          <w:rFonts w:ascii="Arial" w:eastAsiaTheme="minorEastAsia" w:hAnsi="Arial" w:cs="Arial"/>
          <w:kern w:val="24"/>
          <w:sz w:val="20"/>
          <w:szCs w:val="20"/>
        </w:rPr>
        <w:t xml:space="preserve"> </w:t>
      </w:r>
      <w:r w:rsidR="00D4733A" w:rsidRPr="006C03F2">
        <w:rPr>
          <w:rFonts w:ascii="Arial" w:hAnsi="Arial" w:cs="Arial"/>
          <w:kern w:val="24"/>
          <w:sz w:val="20"/>
          <w:szCs w:val="20"/>
        </w:rPr>
        <w:t>In line with section 16(2) of the FMPPLA a</w:t>
      </w:r>
      <w:r w:rsidR="00436EE0" w:rsidRPr="006C03F2">
        <w:rPr>
          <w:rFonts w:ascii="Arial" w:hAnsi="Arial" w:cs="Arial"/>
          <w:kern w:val="24"/>
          <w:sz w:val="20"/>
          <w:szCs w:val="20"/>
        </w:rPr>
        <w:t>ll unspent funds will be available for alloca</w:t>
      </w:r>
      <w:r w:rsidR="00D4733A" w:rsidRPr="006C03F2">
        <w:rPr>
          <w:rFonts w:ascii="Arial" w:hAnsi="Arial" w:cs="Arial"/>
          <w:kern w:val="24"/>
          <w:sz w:val="20"/>
          <w:szCs w:val="20"/>
        </w:rPr>
        <w:t>tion in the next financial year.</w:t>
      </w:r>
    </w:p>
    <w:p w:rsidR="00BA4211" w:rsidRPr="006C03F2" w:rsidRDefault="00BA4211" w:rsidP="006C03F2">
      <w:pPr>
        <w:spacing w:after="0" w:line="240" w:lineRule="auto"/>
        <w:rPr>
          <w:rFonts w:ascii="Arial" w:hAnsi="Arial" w:cs="Arial"/>
          <w:i/>
          <w:sz w:val="20"/>
          <w:szCs w:val="20"/>
          <w:lang w:val="en-ZA"/>
        </w:rPr>
      </w:pPr>
    </w:p>
    <w:p w:rsidR="00D4733A" w:rsidRPr="006C03F2" w:rsidRDefault="00D4733A" w:rsidP="006C03F2">
      <w:pPr>
        <w:spacing w:after="0" w:line="240" w:lineRule="auto"/>
        <w:rPr>
          <w:rFonts w:ascii="Arial" w:hAnsi="Arial" w:cs="Arial"/>
          <w:i/>
          <w:sz w:val="20"/>
          <w:szCs w:val="20"/>
          <w:lang w:val="en-ZA"/>
        </w:rPr>
      </w:pPr>
      <w:r w:rsidRPr="006C03F2">
        <w:rPr>
          <w:rFonts w:ascii="Arial" w:hAnsi="Arial" w:cs="Arial"/>
          <w:i/>
          <w:sz w:val="20"/>
          <w:szCs w:val="20"/>
          <w:lang w:val="en-ZA"/>
        </w:rPr>
        <w:t>Programme 2: Legislation and Oversight</w:t>
      </w:r>
    </w:p>
    <w:p w:rsidR="00D4733A" w:rsidRPr="006C03F2" w:rsidRDefault="002230AB" w:rsidP="006C03F2">
      <w:pPr>
        <w:spacing w:after="0" w:line="240" w:lineRule="auto"/>
        <w:ind w:left="720" w:hanging="720"/>
        <w:rPr>
          <w:rFonts w:ascii="Arial" w:hAnsi="Arial" w:cs="Arial"/>
          <w:sz w:val="20"/>
          <w:szCs w:val="20"/>
        </w:rPr>
      </w:pPr>
      <w:r w:rsidRPr="006C03F2">
        <w:rPr>
          <w:rFonts w:ascii="Arial" w:hAnsi="Arial" w:cs="Arial"/>
          <w:kern w:val="24"/>
          <w:sz w:val="20"/>
          <w:szCs w:val="20"/>
        </w:rPr>
        <w:t>4.2.5</w:t>
      </w:r>
      <w:r w:rsidRPr="006C03F2">
        <w:rPr>
          <w:rFonts w:ascii="Arial" w:hAnsi="Arial" w:cs="Arial"/>
          <w:kern w:val="24"/>
          <w:sz w:val="20"/>
          <w:szCs w:val="20"/>
        </w:rPr>
        <w:tab/>
        <w:t>By the end of the period under review, 70 per cent or R176,003 million of the R251,996 million allocated to this programme had been spent. There had been an increase in spending under the Pub</w:t>
      </w:r>
      <w:r w:rsidR="00BA4211" w:rsidRPr="006C03F2">
        <w:rPr>
          <w:rFonts w:ascii="Arial" w:hAnsi="Arial" w:cs="Arial"/>
          <w:kern w:val="24"/>
          <w:sz w:val="20"/>
          <w:szCs w:val="20"/>
        </w:rPr>
        <w:t>lic Participation sub-programme as a result of</w:t>
      </w:r>
      <w:r w:rsidR="00D4733A" w:rsidRPr="006C03F2">
        <w:rPr>
          <w:rFonts w:ascii="Arial" w:hAnsi="Arial" w:cs="Arial"/>
          <w:kern w:val="24"/>
          <w:sz w:val="20"/>
          <w:szCs w:val="20"/>
        </w:rPr>
        <w:t xml:space="preserve"> public hearings and th</w:t>
      </w:r>
      <w:r w:rsidRPr="006C03F2">
        <w:rPr>
          <w:rFonts w:ascii="Arial" w:hAnsi="Arial" w:cs="Arial"/>
          <w:kern w:val="24"/>
          <w:sz w:val="20"/>
          <w:szCs w:val="20"/>
        </w:rPr>
        <w:t xml:space="preserve">e </w:t>
      </w:r>
      <w:r w:rsidR="00BA4211" w:rsidRPr="006C03F2">
        <w:rPr>
          <w:rFonts w:ascii="Arial" w:hAnsi="Arial" w:cs="Arial"/>
          <w:kern w:val="24"/>
          <w:sz w:val="20"/>
          <w:szCs w:val="20"/>
        </w:rPr>
        <w:t xml:space="preserve">NCOP </w:t>
      </w:r>
      <w:r w:rsidRPr="006C03F2">
        <w:rPr>
          <w:rFonts w:ascii="Arial" w:hAnsi="Arial" w:cs="Arial"/>
          <w:kern w:val="24"/>
          <w:sz w:val="20"/>
          <w:szCs w:val="20"/>
        </w:rPr>
        <w:t>Provincial Week</w:t>
      </w:r>
      <w:r w:rsidR="00D4733A" w:rsidRPr="006C03F2">
        <w:rPr>
          <w:rFonts w:ascii="Arial" w:hAnsi="Arial" w:cs="Arial"/>
          <w:kern w:val="24"/>
          <w:sz w:val="20"/>
          <w:szCs w:val="20"/>
        </w:rPr>
        <w:t xml:space="preserve">. </w:t>
      </w:r>
    </w:p>
    <w:p w:rsidR="00D4733A" w:rsidRPr="006C03F2" w:rsidRDefault="002230AB" w:rsidP="006C03F2">
      <w:pPr>
        <w:spacing w:after="0" w:line="240" w:lineRule="auto"/>
        <w:ind w:left="720" w:hanging="720"/>
        <w:rPr>
          <w:rFonts w:ascii="Arial" w:hAnsi="Arial" w:cs="Arial"/>
          <w:sz w:val="20"/>
          <w:szCs w:val="20"/>
        </w:rPr>
      </w:pPr>
      <w:r w:rsidRPr="006C03F2">
        <w:rPr>
          <w:rFonts w:ascii="Arial" w:hAnsi="Arial" w:cs="Arial"/>
          <w:bCs/>
          <w:kern w:val="24"/>
          <w:sz w:val="20"/>
          <w:szCs w:val="20"/>
        </w:rPr>
        <w:t>4.2.6</w:t>
      </w:r>
      <w:r w:rsidRPr="006C03F2">
        <w:rPr>
          <w:rFonts w:ascii="Arial" w:hAnsi="Arial" w:cs="Arial"/>
          <w:bCs/>
          <w:kern w:val="24"/>
          <w:sz w:val="20"/>
          <w:szCs w:val="20"/>
        </w:rPr>
        <w:tab/>
      </w:r>
      <w:r w:rsidR="00D4733A" w:rsidRPr="006C03F2">
        <w:rPr>
          <w:rFonts w:ascii="Arial" w:hAnsi="Arial" w:cs="Arial"/>
          <w:kern w:val="24"/>
          <w:sz w:val="20"/>
          <w:szCs w:val="20"/>
        </w:rPr>
        <w:t xml:space="preserve">The spending </w:t>
      </w:r>
      <w:r w:rsidRPr="006C03F2">
        <w:rPr>
          <w:rFonts w:ascii="Arial" w:hAnsi="Arial" w:cs="Arial"/>
          <w:kern w:val="24"/>
          <w:sz w:val="20"/>
          <w:szCs w:val="20"/>
        </w:rPr>
        <w:t xml:space="preserve">on compensation of employees stood at </w:t>
      </w:r>
      <w:r w:rsidR="00D4733A" w:rsidRPr="006C03F2">
        <w:rPr>
          <w:rFonts w:ascii="Arial" w:hAnsi="Arial" w:cs="Arial"/>
          <w:kern w:val="24"/>
          <w:sz w:val="20"/>
          <w:szCs w:val="20"/>
        </w:rPr>
        <w:t>88 per</w:t>
      </w:r>
      <w:r w:rsidRPr="006C03F2">
        <w:rPr>
          <w:rFonts w:ascii="Arial" w:hAnsi="Arial" w:cs="Arial"/>
          <w:kern w:val="24"/>
          <w:sz w:val="20"/>
          <w:szCs w:val="20"/>
        </w:rPr>
        <w:t xml:space="preserve"> </w:t>
      </w:r>
      <w:r w:rsidR="00D4733A" w:rsidRPr="006C03F2">
        <w:rPr>
          <w:rFonts w:ascii="Arial" w:hAnsi="Arial" w:cs="Arial"/>
          <w:kern w:val="24"/>
          <w:sz w:val="20"/>
          <w:szCs w:val="20"/>
        </w:rPr>
        <w:t>cent or R152,869</w:t>
      </w:r>
      <w:r w:rsidRPr="006C03F2">
        <w:rPr>
          <w:rFonts w:ascii="Arial" w:hAnsi="Arial" w:cs="Arial"/>
          <w:kern w:val="24"/>
          <w:sz w:val="20"/>
          <w:szCs w:val="20"/>
        </w:rPr>
        <w:t xml:space="preserve"> </w:t>
      </w:r>
      <w:r w:rsidR="00D4733A" w:rsidRPr="006C03F2">
        <w:rPr>
          <w:rFonts w:ascii="Arial" w:hAnsi="Arial" w:cs="Arial"/>
          <w:kern w:val="24"/>
          <w:sz w:val="20"/>
          <w:szCs w:val="20"/>
        </w:rPr>
        <w:t>m</w:t>
      </w:r>
      <w:r w:rsidRPr="006C03F2">
        <w:rPr>
          <w:rFonts w:ascii="Arial" w:hAnsi="Arial" w:cs="Arial"/>
          <w:kern w:val="24"/>
          <w:sz w:val="20"/>
          <w:szCs w:val="20"/>
        </w:rPr>
        <w:t>illion</w:t>
      </w:r>
      <w:r w:rsidR="00D4733A" w:rsidRPr="006C03F2">
        <w:rPr>
          <w:rFonts w:ascii="Arial" w:hAnsi="Arial" w:cs="Arial"/>
          <w:kern w:val="24"/>
          <w:sz w:val="20"/>
          <w:szCs w:val="20"/>
        </w:rPr>
        <w:t xml:space="preserve"> of the R173,638</w:t>
      </w:r>
      <w:r w:rsidRPr="006C03F2">
        <w:rPr>
          <w:rFonts w:ascii="Arial" w:hAnsi="Arial" w:cs="Arial"/>
          <w:kern w:val="24"/>
          <w:sz w:val="20"/>
          <w:szCs w:val="20"/>
        </w:rPr>
        <w:t xml:space="preserve"> </w:t>
      </w:r>
      <w:r w:rsidR="00D4733A" w:rsidRPr="006C03F2">
        <w:rPr>
          <w:rFonts w:ascii="Arial" w:hAnsi="Arial" w:cs="Arial"/>
          <w:kern w:val="24"/>
          <w:sz w:val="20"/>
          <w:szCs w:val="20"/>
        </w:rPr>
        <w:t>m</w:t>
      </w:r>
      <w:r w:rsidRPr="006C03F2">
        <w:rPr>
          <w:rFonts w:ascii="Arial" w:hAnsi="Arial" w:cs="Arial"/>
          <w:kern w:val="24"/>
          <w:sz w:val="20"/>
          <w:szCs w:val="20"/>
        </w:rPr>
        <w:t>illion</w:t>
      </w:r>
      <w:r w:rsidR="00D4733A" w:rsidRPr="006C03F2">
        <w:rPr>
          <w:rFonts w:ascii="Arial" w:hAnsi="Arial" w:cs="Arial"/>
          <w:kern w:val="24"/>
          <w:sz w:val="20"/>
          <w:szCs w:val="20"/>
        </w:rPr>
        <w:t xml:space="preserve"> fourth quarter budget. </w:t>
      </w:r>
    </w:p>
    <w:p w:rsidR="00D4733A" w:rsidRPr="006C03F2" w:rsidRDefault="002230AB" w:rsidP="006C03F2">
      <w:pPr>
        <w:spacing w:after="0" w:line="240" w:lineRule="auto"/>
        <w:ind w:left="720" w:hanging="720"/>
        <w:rPr>
          <w:rFonts w:ascii="Arial" w:hAnsi="Arial" w:cs="Arial"/>
          <w:sz w:val="20"/>
          <w:szCs w:val="20"/>
        </w:rPr>
      </w:pPr>
      <w:r w:rsidRPr="006C03F2">
        <w:rPr>
          <w:rFonts w:ascii="Arial" w:hAnsi="Arial" w:cs="Arial"/>
          <w:bCs/>
          <w:kern w:val="24"/>
          <w:sz w:val="20"/>
          <w:szCs w:val="20"/>
        </w:rPr>
        <w:t>4.2.7</w:t>
      </w:r>
      <w:r w:rsidRPr="006C03F2">
        <w:rPr>
          <w:rFonts w:ascii="Arial" w:hAnsi="Arial" w:cs="Arial"/>
          <w:bCs/>
          <w:kern w:val="24"/>
          <w:sz w:val="20"/>
          <w:szCs w:val="20"/>
        </w:rPr>
        <w:tab/>
      </w:r>
      <w:r w:rsidR="00D4733A" w:rsidRPr="006C03F2">
        <w:rPr>
          <w:rFonts w:ascii="Arial" w:hAnsi="Arial" w:cs="Arial"/>
          <w:kern w:val="24"/>
          <w:sz w:val="20"/>
          <w:szCs w:val="20"/>
        </w:rPr>
        <w:t>The s</w:t>
      </w:r>
      <w:r w:rsidRPr="006C03F2">
        <w:rPr>
          <w:rFonts w:ascii="Arial" w:hAnsi="Arial" w:cs="Arial"/>
          <w:kern w:val="24"/>
          <w:sz w:val="20"/>
          <w:szCs w:val="20"/>
        </w:rPr>
        <w:t>pending on goods and services stood at</w:t>
      </w:r>
      <w:r w:rsidR="00D4733A" w:rsidRPr="006C03F2">
        <w:rPr>
          <w:rFonts w:ascii="Arial" w:hAnsi="Arial" w:cs="Arial"/>
          <w:kern w:val="24"/>
          <w:sz w:val="20"/>
          <w:szCs w:val="20"/>
        </w:rPr>
        <w:t xml:space="preserve"> 31 per</w:t>
      </w:r>
      <w:r w:rsidRPr="006C03F2">
        <w:rPr>
          <w:rFonts w:ascii="Arial" w:hAnsi="Arial" w:cs="Arial"/>
          <w:kern w:val="24"/>
          <w:sz w:val="20"/>
          <w:szCs w:val="20"/>
        </w:rPr>
        <w:t xml:space="preserve"> </w:t>
      </w:r>
      <w:r w:rsidR="00D4733A" w:rsidRPr="006C03F2">
        <w:rPr>
          <w:rFonts w:ascii="Arial" w:hAnsi="Arial" w:cs="Arial"/>
          <w:kern w:val="24"/>
          <w:sz w:val="20"/>
          <w:szCs w:val="20"/>
        </w:rPr>
        <w:t>cent or R23,344</w:t>
      </w:r>
      <w:r w:rsidRPr="006C03F2">
        <w:rPr>
          <w:rFonts w:ascii="Arial" w:hAnsi="Arial" w:cs="Arial"/>
          <w:kern w:val="24"/>
          <w:sz w:val="20"/>
          <w:szCs w:val="20"/>
        </w:rPr>
        <w:t xml:space="preserve"> million</w:t>
      </w:r>
      <w:r w:rsidR="00D4733A" w:rsidRPr="006C03F2">
        <w:rPr>
          <w:rFonts w:ascii="Arial" w:hAnsi="Arial" w:cs="Arial"/>
          <w:kern w:val="24"/>
          <w:sz w:val="20"/>
          <w:szCs w:val="20"/>
        </w:rPr>
        <w:t xml:space="preserve"> of the fourth quarter budget, </w:t>
      </w:r>
      <w:r w:rsidRPr="006C03F2">
        <w:rPr>
          <w:rFonts w:ascii="Arial" w:hAnsi="Arial" w:cs="Arial"/>
          <w:kern w:val="24"/>
          <w:sz w:val="20"/>
          <w:szCs w:val="20"/>
        </w:rPr>
        <w:t xml:space="preserve">and </w:t>
      </w:r>
      <w:r w:rsidR="00D4733A" w:rsidRPr="006C03F2">
        <w:rPr>
          <w:rFonts w:ascii="Arial" w:hAnsi="Arial" w:cs="Arial"/>
          <w:kern w:val="24"/>
          <w:sz w:val="20"/>
          <w:szCs w:val="20"/>
        </w:rPr>
        <w:t>the committed funds amount</w:t>
      </w:r>
      <w:r w:rsidRPr="006C03F2">
        <w:rPr>
          <w:rFonts w:ascii="Arial" w:hAnsi="Arial" w:cs="Arial"/>
          <w:kern w:val="24"/>
          <w:sz w:val="20"/>
          <w:szCs w:val="20"/>
        </w:rPr>
        <w:t>ed</w:t>
      </w:r>
      <w:r w:rsidR="00D4733A" w:rsidRPr="006C03F2">
        <w:rPr>
          <w:rFonts w:ascii="Arial" w:hAnsi="Arial" w:cs="Arial"/>
          <w:kern w:val="24"/>
          <w:sz w:val="20"/>
          <w:szCs w:val="20"/>
        </w:rPr>
        <w:t xml:space="preserve"> to R11,429</w:t>
      </w:r>
      <w:r w:rsidRPr="006C03F2">
        <w:rPr>
          <w:rFonts w:ascii="Arial" w:hAnsi="Arial" w:cs="Arial"/>
          <w:kern w:val="24"/>
          <w:sz w:val="20"/>
          <w:szCs w:val="20"/>
        </w:rPr>
        <w:t xml:space="preserve"> </w:t>
      </w:r>
      <w:r w:rsidR="00D4733A" w:rsidRPr="006C03F2">
        <w:rPr>
          <w:rFonts w:ascii="Arial" w:hAnsi="Arial" w:cs="Arial"/>
          <w:kern w:val="24"/>
          <w:sz w:val="20"/>
          <w:szCs w:val="20"/>
        </w:rPr>
        <w:t>m</w:t>
      </w:r>
      <w:r w:rsidRPr="006C03F2">
        <w:rPr>
          <w:rFonts w:ascii="Arial" w:hAnsi="Arial" w:cs="Arial"/>
          <w:kern w:val="24"/>
          <w:sz w:val="20"/>
          <w:szCs w:val="20"/>
        </w:rPr>
        <w:t>illion</w:t>
      </w:r>
      <w:r w:rsidR="00D4733A" w:rsidRPr="006C03F2">
        <w:rPr>
          <w:rFonts w:ascii="Arial" w:hAnsi="Arial" w:cs="Arial"/>
          <w:kern w:val="24"/>
          <w:sz w:val="20"/>
          <w:szCs w:val="20"/>
        </w:rPr>
        <w:t xml:space="preserve"> of which R9,268</w:t>
      </w:r>
      <w:r w:rsidRPr="006C03F2">
        <w:rPr>
          <w:rFonts w:ascii="Arial" w:hAnsi="Arial" w:cs="Arial"/>
          <w:kern w:val="24"/>
          <w:sz w:val="20"/>
          <w:szCs w:val="20"/>
        </w:rPr>
        <w:t xml:space="preserve"> </w:t>
      </w:r>
      <w:r w:rsidR="00D4733A" w:rsidRPr="006C03F2">
        <w:rPr>
          <w:rFonts w:ascii="Arial" w:hAnsi="Arial" w:cs="Arial"/>
          <w:kern w:val="24"/>
          <w:sz w:val="20"/>
          <w:szCs w:val="20"/>
        </w:rPr>
        <w:t>m</w:t>
      </w:r>
      <w:r w:rsidRPr="006C03F2">
        <w:rPr>
          <w:rFonts w:ascii="Arial" w:hAnsi="Arial" w:cs="Arial"/>
          <w:kern w:val="24"/>
          <w:sz w:val="20"/>
          <w:szCs w:val="20"/>
        </w:rPr>
        <w:t>illion</w:t>
      </w:r>
      <w:r w:rsidR="00D4733A" w:rsidRPr="006C03F2">
        <w:rPr>
          <w:rFonts w:ascii="Arial" w:hAnsi="Arial" w:cs="Arial"/>
          <w:kern w:val="24"/>
          <w:sz w:val="20"/>
          <w:szCs w:val="20"/>
        </w:rPr>
        <w:t xml:space="preserve"> related to travel. The underspending emanate</w:t>
      </w:r>
      <w:r w:rsidRPr="006C03F2">
        <w:rPr>
          <w:rFonts w:ascii="Arial" w:hAnsi="Arial" w:cs="Arial"/>
          <w:kern w:val="24"/>
          <w:sz w:val="20"/>
          <w:szCs w:val="20"/>
        </w:rPr>
        <w:t xml:space="preserve">d from </w:t>
      </w:r>
      <w:r w:rsidR="00D4733A" w:rsidRPr="006C03F2">
        <w:rPr>
          <w:rFonts w:ascii="Arial" w:hAnsi="Arial" w:cs="Arial"/>
          <w:kern w:val="24"/>
          <w:sz w:val="20"/>
          <w:szCs w:val="20"/>
        </w:rPr>
        <w:t>Covid-</w:t>
      </w:r>
      <w:r w:rsidRPr="006C03F2">
        <w:rPr>
          <w:rFonts w:ascii="Arial" w:hAnsi="Arial" w:cs="Arial"/>
          <w:kern w:val="24"/>
          <w:sz w:val="20"/>
          <w:szCs w:val="20"/>
        </w:rPr>
        <w:t xml:space="preserve">19 regulations and restrictions, and </w:t>
      </w:r>
      <w:r w:rsidR="00D4733A" w:rsidRPr="006C03F2">
        <w:rPr>
          <w:rFonts w:ascii="Arial" w:hAnsi="Arial" w:cs="Arial"/>
          <w:kern w:val="24"/>
          <w:sz w:val="20"/>
          <w:szCs w:val="20"/>
        </w:rPr>
        <w:t>the</w:t>
      </w:r>
      <w:r w:rsidRPr="006C03F2">
        <w:rPr>
          <w:rFonts w:ascii="Arial" w:hAnsi="Arial" w:cs="Arial"/>
          <w:kern w:val="24"/>
          <w:sz w:val="20"/>
          <w:szCs w:val="20"/>
        </w:rPr>
        <w:t xml:space="preserve"> </w:t>
      </w:r>
      <w:r w:rsidR="00BA4211" w:rsidRPr="006C03F2">
        <w:rPr>
          <w:rFonts w:ascii="Arial" w:hAnsi="Arial" w:cs="Arial"/>
          <w:kern w:val="24"/>
          <w:sz w:val="20"/>
          <w:szCs w:val="20"/>
        </w:rPr>
        <w:t>local government e</w:t>
      </w:r>
      <w:r w:rsidR="00D4733A" w:rsidRPr="006C03F2">
        <w:rPr>
          <w:rFonts w:ascii="Arial" w:hAnsi="Arial" w:cs="Arial"/>
          <w:kern w:val="24"/>
          <w:sz w:val="20"/>
          <w:szCs w:val="20"/>
        </w:rPr>
        <w:t xml:space="preserve">lections </w:t>
      </w:r>
      <w:r w:rsidRPr="006C03F2">
        <w:rPr>
          <w:rFonts w:ascii="Arial" w:hAnsi="Arial" w:cs="Arial"/>
          <w:kern w:val="24"/>
          <w:sz w:val="20"/>
          <w:szCs w:val="20"/>
        </w:rPr>
        <w:t>which necessitated</w:t>
      </w:r>
      <w:r w:rsidR="00BA4211" w:rsidRPr="006C03F2">
        <w:rPr>
          <w:rFonts w:ascii="Arial" w:hAnsi="Arial" w:cs="Arial"/>
          <w:kern w:val="24"/>
          <w:sz w:val="20"/>
          <w:szCs w:val="20"/>
        </w:rPr>
        <w:t xml:space="preserve"> changes to</w:t>
      </w:r>
      <w:r w:rsidR="00D4733A" w:rsidRPr="006C03F2">
        <w:rPr>
          <w:rFonts w:ascii="Arial" w:hAnsi="Arial" w:cs="Arial"/>
          <w:kern w:val="24"/>
          <w:sz w:val="20"/>
          <w:szCs w:val="20"/>
        </w:rPr>
        <w:t xml:space="preserve"> the </w:t>
      </w:r>
      <w:r w:rsidRPr="006C03F2">
        <w:rPr>
          <w:rFonts w:ascii="Arial" w:hAnsi="Arial" w:cs="Arial"/>
          <w:kern w:val="24"/>
          <w:sz w:val="20"/>
          <w:szCs w:val="20"/>
        </w:rPr>
        <w:t>parliamentary</w:t>
      </w:r>
      <w:r w:rsidR="00D4733A" w:rsidRPr="006C03F2">
        <w:rPr>
          <w:rFonts w:ascii="Arial" w:hAnsi="Arial" w:cs="Arial"/>
          <w:kern w:val="24"/>
          <w:sz w:val="20"/>
          <w:szCs w:val="20"/>
        </w:rPr>
        <w:t xml:space="preserve"> programme. </w:t>
      </w:r>
    </w:p>
    <w:p w:rsidR="00D4733A" w:rsidRPr="006C03F2" w:rsidRDefault="002230AB" w:rsidP="006C03F2">
      <w:pPr>
        <w:spacing w:after="0" w:line="240" w:lineRule="auto"/>
        <w:ind w:left="720" w:hanging="720"/>
        <w:rPr>
          <w:rFonts w:ascii="Arial" w:hAnsi="Arial" w:cs="Arial"/>
          <w:sz w:val="20"/>
          <w:szCs w:val="20"/>
        </w:rPr>
      </w:pPr>
      <w:r w:rsidRPr="006C03F2">
        <w:rPr>
          <w:rFonts w:ascii="Arial" w:hAnsi="Arial" w:cs="Arial"/>
          <w:kern w:val="24"/>
          <w:sz w:val="20"/>
          <w:szCs w:val="20"/>
        </w:rPr>
        <w:t>4.2.8</w:t>
      </w:r>
      <w:r w:rsidRPr="006C03F2">
        <w:rPr>
          <w:rFonts w:ascii="Arial" w:hAnsi="Arial" w:cs="Arial"/>
          <w:kern w:val="24"/>
          <w:sz w:val="20"/>
          <w:szCs w:val="20"/>
        </w:rPr>
        <w:tab/>
        <w:t>Capital expenditure stood at R0 in the fourth quarter i.e.</w:t>
      </w:r>
      <w:r w:rsidR="00D4733A" w:rsidRPr="006C03F2">
        <w:rPr>
          <w:rFonts w:ascii="Arial" w:hAnsi="Arial" w:cs="Arial"/>
          <w:kern w:val="24"/>
          <w:sz w:val="20"/>
          <w:szCs w:val="20"/>
        </w:rPr>
        <w:t xml:space="preserve"> R3,231</w:t>
      </w:r>
      <w:r w:rsidRPr="006C03F2">
        <w:rPr>
          <w:rFonts w:ascii="Arial" w:hAnsi="Arial" w:cs="Arial"/>
          <w:kern w:val="24"/>
          <w:sz w:val="20"/>
          <w:szCs w:val="20"/>
        </w:rPr>
        <w:t xml:space="preserve"> </w:t>
      </w:r>
      <w:r w:rsidR="00D4733A" w:rsidRPr="006C03F2">
        <w:rPr>
          <w:rFonts w:ascii="Arial" w:hAnsi="Arial" w:cs="Arial"/>
          <w:kern w:val="24"/>
          <w:sz w:val="20"/>
          <w:szCs w:val="20"/>
        </w:rPr>
        <w:t>m</w:t>
      </w:r>
      <w:r w:rsidRPr="006C03F2">
        <w:rPr>
          <w:rFonts w:ascii="Arial" w:hAnsi="Arial" w:cs="Arial"/>
          <w:kern w:val="24"/>
          <w:sz w:val="20"/>
          <w:szCs w:val="20"/>
        </w:rPr>
        <w:t>illion under-expenditure</w:t>
      </w:r>
      <w:r w:rsidR="00D4733A" w:rsidRPr="006C03F2">
        <w:rPr>
          <w:rFonts w:ascii="Arial" w:hAnsi="Arial" w:cs="Arial"/>
          <w:kern w:val="24"/>
          <w:sz w:val="20"/>
          <w:szCs w:val="20"/>
        </w:rPr>
        <w:t xml:space="preserve"> of the total </w:t>
      </w:r>
      <w:r w:rsidRPr="006C03F2">
        <w:rPr>
          <w:rFonts w:ascii="Arial" w:hAnsi="Arial" w:cs="Arial"/>
          <w:kern w:val="24"/>
          <w:sz w:val="20"/>
          <w:szCs w:val="20"/>
        </w:rPr>
        <w:t xml:space="preserve">annual </w:t>
      </w:r>
      <w:r w:rsidR="00D4733A" w:rsidRPr="006C03F2">
        <w:rPr>
          <w:rFonts w:ascii="Arial" w:hAnsi="Arial" w:cs="Arial"/>
          <w:kern w:val="24"/>
          <w:sz w:val="20"/>
          <w:szCs w:val="20"/>
        </w:rPr>
        <w:t>budget of R4,020</w:t>
      </w:r>
      <w:r w:rsidRPr="006C03F2">
        <w:rPr>
          <w:rFonts w:ascii="Arial" w:hAnsi="Arial" w:cs="Arial"/>
          <w:kern w:val="24"/>
          <w:sz w:val="20"/>
          <w:szCs w:val="20"/>
        </w:rPr>
        <w:t xml:space="preserve"> million.</w:t>
      </w:r>
    </w:p>
    <w:p w:rsidR="00BA4211" w:rsidRPr="006C03F2" w:rsidRDefault="00BA4211" w:rsidP="006C03F2">
      <w:pPr>
        <w:spacing w:after="0" w:line="240" w:lineRule="auto"/>
        <w:rPr>
          <w:rFonts w:ascii="Arial" w:hAnsi="Arial" w:cs="Arial"/>
          <w:sz w:val="20"/>
          <w:szCs w:val="20"/>
          <w:lang w:val="en-ZA"/>
        </w:rPr>
      </w:pPr>
    </w:p>
    <w:p w:rsidR="002B5F6F" w:rsidRPr="006C03F2" w:rsidRDefault="002B5F6F" w:rsidP="006C03F2">
      <w:pPr>
        <w:spacing w:after="0" w:line="240" w:lineRule="auto"/>
        <w:rPr>
          <w:rFonts w:ascii="Arial" w:hAnsi="Arial" w:cs="Arial"/>
          <w:sz w:val="20"/>
          <w:szCs w:val="20"/>
          <w:lang w:val="en-ZA"/>
        </w:rPr>
      </w:pPr>
    </w:p>
    <w:p w:rsidR="002B5F6F" w:rsidRPr="006C03F2" w:rsidRDefault="002B5F6F" w:rsidP="006C03F2">
      <w:pPr>
        <w:spacing w:after="0" w:line="240" w:lineRule="auto"/>
        <w:rPr>
          <w:rFonts w:ascii="Arial" w:hAnsi="Arial" w:cs="Arial"/>
          <w:sz w:val="20"/>
          <w:szCs w:val="20"/>
          <w:lang w:val="en-ZA"/>
        </w:rPr>
      </w:pPr>
    </w:p>
    <w:p w:rsidR="002230AB" w:rsidRPr="006C03F2" w:rsidRDefault="002230AB" w:rsidP="006C03F2">
      <w:pPr>
        <w:spacing w:after="0" w:line="240" w:lineRule="auto"/>
        <w:rPr>
          <w:rFonts w:ascii="Arial" w:hAnsi="Arial" w:cs="Arial"/>
          <w:i/>
          <w:sz w:val="20"/>
          <w:szCs w:val="20"/>
          <w:lang w:val="en-ZA"/>
        </w:rPr>
      </w:pPr>
      <w:r w:rsidRPr="006C03F2">
        <w:rPr>
          <w:rFonts w:ascii="Arial" w:hAnsi="Arial" w:cs="Arial"/>
          <w:i/>
          <w:sz w:val="20"/>
          <w:szCs w:val="20"/>
          <w:lang w:val="en-ZA"/>
        </w:rPr>
        <w:t>Programme 3: Associated Services</w:t>
      </w:r>
    </w:p>
    <w:p w:rsidR="002230AB" w:rsidRPr="006C03F2" w:rsidRDefault="002230AB" w:rsidP="006C03F2">
      <w:pPr>
        <w:spacing w:after="0" w:line="240" w:lineRule="auto"/>
        <w:ind w:left="720" w:hanging="720"/>
        <w:rPr>
          <w:rFonts w:ascii="Arial" w:eastAsiaTheme="minorEastAsia" w:hAnsi="Arial" w:cs="Arial"/>
          <w:kern w:val="24"/>
          <w:sz w:val="20"/>
          <w:szCs w:val="20"/>
        </w:rPr>
      </w:pPr>
      <w:r w:rsidRPr="006C03F2">
        <w:rPr>
          <w:rFonts w:ascii="Arial" w:eastAsiaTheme="minorEastAsia" w:hAnsi="Arial" w:cs="Arial"/>
          <w:kern w:val="24"/>
          <w:sz w:val="20"/>
          <w:szCs w:val="20"/>
        </w:rPr>
        <w:t>4.2.9</w:t>
      </w:r>
      <w:r w:rsidRPr="006C03F2">
        <w:rPr>
          <w:rFonts w:ascii="Arial" w:eastAsiaTheme="minorEastAsia" w:hAnsi="Arial" w:cs="Arial"/>
          <w:kern w:val="24"/>
          <w:sz w:val="20"/>
          <w:szCs w:val="20"/>
        </w:rPr>
        <w:tab/>
        <w:t>91 per</w:t>
      </w:r>
      <w:r w:rsidR="00B009C0" w:rsidRPr="006C03F2">
        <w:rPr>
          <w:rFonts w:ascii="Arial" w:eastAsiaTheme="minorEastAsia" w:hAnsi="Arial" w:cs="Arial"/>
          <w:kern w:val="24"/>
          <w:sz w:val="20"/>
          <w:szCs w:val="20"/>
        </w:rPr>
        <w:t xml:space="preserve"> </w:t>
      </w:r>
      <w:r w:rsidRPr="006C03F2">
        <w:rPr>
          <w:rFonts w:ascii="Arial" w:eastAsiaTheme="minorEastAsia" w:hAnsi="Arial" w:cs="Arial"/>
          <w:kern w:val="24"/>
          <w:sz w:val="20"/>
          <w:szCs w:val="20"/>
        </w:rPr>
        <w:t>cent or R178,672</w:t>
      </w:r>
      <w:r w:rsidR="00B009C0" w:rsidRPr="006C03F2">
        <w:rPr>
          <w:rFonts w:ascii="Arial" w:eastAsiaTheme="minorEastAsia" w:hAnsi="Arial" w:cs="Arial"/>
          <w:kern w:val="24"/>
          <w:sz w:val="20"/>
          <w:szCs w:val="20"/>
        </w:rPr>
        <w:t xml:space="preserve"> </w:t>
      </w:r>
      <w:r w:rsidRPr="006C03F2">
        <w:rPr>
          <w:rFonts w:ascii="Arial" w:eastAsiaTheme="minorEastAsia" w:hAnsi="Arial" w:cs="Arial"/>
          <w:kern w:val="24"/>
          <w:sz w:val="20"/>
          <w:szCs w:val="20"/>
        </w:rPr>
        <w:t>m</w:t>
      </w:r>
      <w:r w:rsidR="00B009C0" w:rsidRPr="006C03F2">
        <w:rPr>
          <w:rFonts w:ascii="Arial" w:eastAsiaTheme="minorEastAsia" w:hAnsi="Arial" w:cs="Arial"/>
          <w:kern w:val="24"/>
          <w:sz w:val="20"/>
          <w:szCs w:val="20"/>
        </w:rPr>
        <w:t>illion</w:t>
      </w:r>
      <w:r w:rsidRPr="006C03F2">
        <w:rPr>
          <w:rFonts w:ascii="Arial" w:eastAsiaTheme="minorEastAsia" w:hAnsi="Arial" w:cs="Arial"/>
          <w:kern w:val="24"/>
          <w:sz w:val="20"/>
          <w:szCs w:val="20"/>
        </w:rPr>
        <w:t xml:space="preserve"> of the</w:t>
      </w:r>
      <w:r w:rsidR="00B009C0" w:rsidRPr="006C03F2">
        <w:rPr>
          <w:rFonts w:ascii="Arial" w:eastAsiaTheme="minorEastAsia" w:hAnsi="Arial" w:cs="Arial"/>
          <w:kern w:val="24"/>
          <w:sz w:val="20"/>
          <w:szCs w:val="20"/>
        </w:rPr>
        <w:t xml:space="preserve"> fourth quarter</w:t>
      </w:r>
      <w:r w:rsidRPr="006C03F2">
        <w:rPr>
          <w:rFonts w:ascii="Arial" w:eastAsiaTheme="minorEastAsia" w:hAnsi="Arial" w:cs="Arial"/>
          <w:kern w:val="24"/>
          <w:sz w:val="20"/>
          <w:szCs w:val="20"/>
        </w:rPr>
        <w:t xml:space="preserve"> budget of R196,924</w:t>
      </w:r>
      <w:r w:rsidR="00B009C0" w:rsidRPr="006C03F2">
        <w:rPr>
          <w:rFonts w:ascii="Arial" w:eastAsiaTheme="minorEastAsia" w:hAnsi="Arial" w:cs="Arial"/>
          <w:kern w:val="24"/>
          <w:sz w:val="20"/>
          <w:szCs w:val="20"/>
        </w:rPr>
        <w:t xml:space="preserve"> </w:t>
      </w:r>
      <w:r w:rsidRPr="006C03F2">
        <w:rPr>
          <w:rFonts w:ascii="Arial" w:eastAsiaTheme="minorEastAsia" w:hAnsi="Arial" w:cs="Arial"/>
          <w:kern w:val="24"/>
          <w:sz w:val="20"/>
          <w:szCs w:val="20"/>
        </w:rPr>
        <w:t>m</w:t>
      </w:r>
      <w:r w:rsidR="00B009C0" w:rsidRPr="006C03F2">
        <w:rPr>
          <w:rFonts w:ascii="Arial" w:eastAsiaTheme="minorEastAsia" w:hAnsi="Arial" w:cs="Arial"/>
          <w:kern w:val="24"/>
          <w:sz w:val="20"/>
          <w:szCs w:val="20"/>
        </w:rPr>
        <w:t>illion</w:t>
      </w:r>
      <w:r w:rsidRPr="006C03F2">
        <w:rPr>
          <w:rFonts w:ascii="Arial" w:eastAsiaTheme="minorEastAsia" w:hAnsi="Arial" w:cs="Arial"/>
          <w:kern w:val="24"/>
          <w:sz w:val="20"/>
          <w:szCs w:val="20"/>
        </w:rPr>
        <w:t xml:space="preserve"> </w:t>
      </w:r>
      <w:r w:rsidR="00B009C0" w:rsidRPr="006C03F2">
        <w:rPr>
          <w:rFonts w:ascii="Arial" w:eastAsiaTheme="minorEastAsia" w:hAnsi="Arial" w:cs="Arial"/>
          <w:kern w:val="24"/>
          <w:sz w:val="20"/>
          <w:szCs w:val="20"/>
        </w:rPr>
        <w:t xml:space="preserve">was spent. The </w:t>
      </w:r>
      <w:r w:rsidRPr="006C03F2">
        <w:rPr>
          <w:rFonts w:ascii="Arial" w:eastAsiaTheme="minorEastAsia" w:hAnsi="Arial" w:cs="Arial"/>
          <w:kern w:val="24"/>
          <w:sz w:val="20"/>
          <w:szCs w:val="20"/>
        </w:rPr>
        <w:t>R18,252</w:t>
      </w:r>
      <w:r w:rsidR="00B009C0" w:rsidRPr="006C03F2">
        <w:rPr>
          <w:rFonts w:ascii="Arial" w:eastAsiaTheme="minorEastAsia" w:hAnsi="Arial" w:cs="Arial"/>
          <w:kern w:val="24"/>
          <w:sz w:val="20"/>
          <w:szCs w:val="20"/>
        </w:rPr>
        <w:t xml:space="preserve"> </w:t>
      </w:r>
      <w:r w:rsidRPr="006C03F2">
        <w:rPr>
          <w:rFonts w:ascii="Arial" w:eastAsiaTheme="minorEastAsia" w:hAnsi="Arial" w:cs="Arial"/>
          <w:kern w:val="24"/>
          <w:sz w:val="20"/>
          <w:szCs w:val="20"/>
        </w:rPr>
        <w:t>m</w:t>
      </w:r>
      <w:r w:rsidR="00B009C0" w:rsidRPr="006C03F2">
        <w:rPr>
          <w:rFonts w:ascii="Arial" w:eastAsiaTheme="minorEastAsia" w:hAnsi="Arial" w:cs="Arial"/>
          <w:kern w:val="24"/>
          <w:sz w:val="20"/>
          <w:szCs w:val="20"/>
        </w:rPr>
        <w:t xml:space="preserve">illion under-expenditure was due to fewer </w:t>
      </w:r>
      <w:r w:rsidR="00BA4211" w:rsidRPr="006C03F2">
        <w:rPr>
          <w:rFonts w:ascii="Arial" w:eastAsiaTheme="minorEastAsia" w:hAnsi="Arial" w:cs="Arial"/>
          <w:kern w:val="24"/>
          <w:sz w:val="20"/>
          <w:szCs w:val="20"/>
        </w:rPr>
        <w:t>parliamentarians</w:t>
      </w:r>
      <w:r w:rsidR="00B009C0" w:rsidRPr="006C03F2">
        <w:rPr>
          <w:rFonts w:ascii="Arial" w:eastAsiaTheme="minorEastAsia" w:hAnsi="Arial" w:cs="Arial"/>
          <w:kern w:val="24"/>
          <w:sz w:val="20"/>
          <w:szCs w:val="20"/>
        </w:rPr>
        <w:t xml:space="preserve"> joining the Parmed Medical Aid Scheme. </w:t>
      </w:r>
    </w:p>
    <w:p w:rsidR="002230AB" w:rsidRPr="006C03F2" w:rsidRDefault="00B009C0" w:rsidP="006C03F2">
      <w:pPr>
        <w:spacing w:after="0" w:line="240" w:lineRule="auto"/>
        <w:ind w:left="720" w:hanging="720"/>
        <w:rPr>
          <w:rFonts w:ascii="Arial" w:hAnsi="Arial" w:cs="Arial"/>
          <w:sz w:val="20"/>
          <w:szCs w:val="20"/>
        </w:rPr>
      </w:pPr>
      <w:r w:rsidRPr="006C03F2">
        <w:rPr>
          <w:rFonts w:ascii="Arial" w:eastAsiaTheme="minorEastAsia" w:hAnsi="Arial" w:cs="Arial"/>
          <w:kern w:val="24"/>
          <w:sz w:val="20"/>
          <w:szCs w:val="20"/>
        </w:rPr>
        <w:t>4.2.10</w:t>
      </w:r>
      <w:r w:rsidRPr="006C03F2">
        <w:rPr>
          <w:rFonts w:ascii="Arial" w:eastAsiaTheme="minorEastAsia" w:hAnsi="Arial" w:cs="Arial"/>
          <w:kern w:val="24"/>
          <w:sz w:val="20"/>
          <w:szCs w:val="20"/>
        </w:rPr>
        <w:tab/>
      </w:r>
      <w:r w:rsidR="002230AB" w:rsidRPr="006C03F2">
        <w:rPr>
          <w:rFonts w:ascii="Arial" w:eastAsiaTheme="minorEastAsia" w:hAnsi="Arial" w:cs="Arial"/>
          <w:kern w:val="24"/>
          <w:sz w:val="20"/>
          <w:szCs w:val="20"/>
        </w:rPr>
        <w:t xml:space="preserve">Spending on compensation of employees, which includes medical aid </w:t>
      </w:r>
      <w:r w:rsidRPr="006C03F2">
        <w:rPr>
          <w:rFonts w:ascii="Arial" w:eastAsiaTheme="minorEastAsia" w:hAnsi="Arial" w:cs="Arial"/>
          <w:kern w:val="24"/>
          <w:sz w:val="20"/>
          <w:szCs w:val="20"/>
        </w:rPr>
        <w:t>contributions for former members of Parliament and provincial legislatures stood at</w:t>
      </w:r>
      <w:r w:rsidR="002230AB" w:rsidRPr="006C03F2">
        <w:rPr>
          <w:rFonts w:ascii="Arial" w:eastAsiaTheme="minorEastAsia" w:hAnsi="Arial" w:cs="Arial"/>
          <w:kern w:val="24"/>
          <w:sz w:val="20"/>
          <w:szCs w:val="20"/>
        </w:rPr>
        <w:t xml:space="preserve"> 52 per</w:t>
      </w:r>
      <w:r w:rsidRPr="006C03F2">
        <w:rPr>
          <w:rFonts w:ascii="Arial" w:eastAsiaTheme="minorEastAsia" w:hAnsi="Arial" w:cs="Arial"/>
          <w:kern w:val="24"/>
          <w:sz w:val="20"/>
          <w:szCs w:val="20"/>
        </w:rPr>
        <w:t xml:space="preserve"> </w:t>
      </w:r>
      <w:r w:rsidR="002230AB" w:rsidRPr="006C03F2">
        <w:rPr>
          <w:rFonts w:ascii="Arial" w:eastAsiaTheme="minorEastAsia" w:hAnsi="Arial" w:cs="Arial"/>
          <w:kern w:val="24"/>
          <w:sz w:val="20"/>
          <w:szCs w:val="20"/>
        </w:rPr>
        <w:t>cent or R21,663</w:t>
      </w:r>
      <w:r w:rsidRPr="006C03F2">
        <w:rPr>
          <w:rFonts w:ascii="Arial" w:eastAsiaTheme="minorEastAsia" w:hAnsi="Arial" w:cs="Arial"/>
          <w:kern w:val="24"/>
          <w:sz w:val="20"/>
          <w:szCs w:val="20"/>
        </w:rPr>
        <w:t xml:space="preserve"> </w:t>
      </w:r>
      <w:r w:rsidR="002230AB" w:rsidRPr="006C03F2">
        <w:rPr>
          <w:rFonts w:ascii="Arial" w:eastAsiaTheme="minorEastAsia" w:hAnsi="Arial" w:cs="Arial"/>
          <w:kern w:val="24"/>
          <w:sz w:val="20"/>
          <w:szCs w:val="20"/>
        </w:rPr>
        <w:t>m</w:t>
      </w:r>
      <w:r w:rsidRPr="006C03F2">
        <w:rPr>
          <w:rFonts w:ascii="Arial" w:eastAsiaTheme="minorEastAsia" w:hAnsi="Arial" w:cs="Arial"/>
          <w:kern w:val="24"/>
          <w:sz w:val="20"/>
          <w:szCs w:val="20"/>
        </w:rPr>
        <w:t>illion</w:t>
      </w:r>
      <w:r w:rsidR="002230AB" w:rsidRPr="006C03F2">
        <w:rPr>
          <w:rFonts w:ascii="Arial" w:eastAsiaTheme="minorEastAsia" w:hAnsi="Arial" w:cs="Arial"/>
          <w:kern w:val="24"/>
          <w:sz w:val="20"/>
          <w:szCs w:val="20"/>
        </w:rPr>
        <w:t xml:space="preserve"> of the R41,975</w:t>
      </w:r>
      <w:r w:rsidRPr="006C03F2">
        <w:rPr>
          <w:rFonts w:ascii="Arial" w:eastAsiaTheme="minorEastAsia" w:hAnsi="Arial" w:cs="Arial"/>
          <w:kern w:val="24"/>
          <w:sz w:val="20"/>
          <w:szCs w:val="20"/>
        </w:rPr>
        <w:t xml:space="preserve"> </w:t>
      </w:r>
      <w:r w:rsidR="002230AB" w:rsidRPr="006C03F2">
        <w:rPr>
          <w:rFonts w:ascii="Arial" w:eastAsiaTheme="minorEastAsia" w:hAnsi="Arial" w:cs="Arial"/>
          <w:kern w:val="24"/>
          <w:sz w:val="20"/>
          <w:szCs w:val="20"/>
        </w:rPr>
        <w:t>m</w:t>
      </w:r>
      <w:r w:rsidRPr="006C03F2">
        <w:rPr>
          <w:rFonts w:ascii="Arial" w:eastAsiaTheme="minorEastAsia" w:hAnsi="Arial" w:cs="Arial"/>
          <w:kern w:val="24"/>
          <w:sz w:val="20"/>
          <w:szCs w:val="20"/>
        </w:rPr>
        <w:t>illion</w:t>
      </w:r>
      <w:r w:rsidR="002230AB" w:rsidRPr="006C03F2">
        <w:rPr>
          <w:rFonts w:ascii="Arial" w:eastAsiaTheme="minorEastAsia" w:hAnsi="Arial" w:cs="Arial"/>
          <w:kern w:val="24"/>
          <w:sz w:val="20"/>
          <w:szCs w:val="20"/>
        </w:rPr>
        <w:t xml:space="preserve"> fourth</w:t>
      </w:r>
      <w:r w:rsidRPr="006C03F2">
        <w:rPr>
          <w:rFonts w:ascii="Arial" w:eastAsiaTheme="minorEastAsia" w:hAnsi="Arial" w:cs="Arial"/>
          <w:kern w:val="24"/>
          <w:sz w:val="20"/>
          <w:szCs w:val="20"/>
        </w:rPr>
        <w:t xml:space="preserve"> quarter budget. The variance was</w:t>
      </w:r>
      <w:r w:rsidR="002230AB" w:rsidRPr="006C03F2">
        <w:rPr>
          <w:rFonts w:ascii="Arial" w:eastAsiaTheme="minorEastAsia" w:hAnsi="Arial" w:cs="Arial"/>
          <w:kern w:val="24"/>
          <w:sz w:val="20"/>
          <w:szCs w:val="20"/>
        </w:rPr>
        <w:t xml:space="preserve"> </w:t>
      </w:r>
      <w:r w:rsidRPr="006C03F2">
        <w:rPr>
          <w:rFonts w:ascii="Arial" w:eastAsiaTheme="minorEastAsia" w:hAnsi="Arial" w:cs="Arial"/>
          <w:kern w:val="24"/>
          <w:sz w:val="20"/>
          <w:szCs w:val="20"/>
        </w:rPr>
        <w:t>due to</w:t>
      </w:r>
      <w:r w:rsidR="002230AB" w:rsidRPr="006C03F2">
        <w:rPr>
          <w:rFonts w:ascii="Arial" w:eastAsiaTheme="minorEastAsia" w:hAnsi="Arial" w:cs="Arial"/>
          <w:kern w:val="24"/>
          <w:sz w:val="20"/>
          <w:szCs w:val="20"/>
        </w:rPr>
        <w:t xml:space="preserve"> re</w:t>
      </w:r>
      <w:r w:rsidRPr="006C03F2">
        <w:rPr>
          <w:rFonts w:ascii="Arial" w:eastAsiaTheme="minorEastAsia" w:hAnsi="Arial" w:cs="Arial"/>
          <w:kern w:val="24"/>
          <w:sz w:val="20"/>
          <w:szCs w:val="20"/>
        </w:rPr>
        <w:t xml:space="preserve">signations/retirements and fewer than anticipated </w:t>
      </w:r>
      <w:r w:rsidR="002230AB" w:rsidRPr="006C03F2">
        <w:rPr>
          <w:rFonts w:ascii="Arial" w:eastAsiaTheme="minorEastAsia" w:hAnsi="Arial" w:cs="Arial"/>
          <w:kern w:val="24"/>
          <w:sz w:val="20"/>
          <w:szCs w:val="20"/>
        </w:rPr>
        <w:t>Members joining</w:t>
      </w:r>
      <w:r w:rsidR="00BA4211" w:rsidRPr="006C03F2">
        <w:rPr>
          <w:rFonts w:ascii="Arial" w:eastAsiaTheme="minorEastAsia" w:hAnsi="Arial" w:cs="Arial"/>
          <w:kern w:val="24"/>
          <w:sz w:val="20"/>
          <w:szCs w:val="20"/>
        </w:rPr>
        <w:t xml:space="preserve"> the</w:t>
      </w:r>
      <w:r w:rsidR="002230AB" w:rsidRPr="006C03F2">
        <w:rPr>
          <w:rFonts w:ascii="Arial" w:eastAsiaTheme="minorEastAsia" w:hAnsi="Arial" w:cs="Arial"/>
          <w:kern w:val="24"/>
          <w:sz w:val="20"/>
          <w:szCs w:val="20"/>
        </w:rPr>
        <w:t xml:space="preserve"> Parmed</w:t>
      </w:r>
      <w:r w:rsidRPr="006C03F2">
        <w:rPr>
          <w:rFonts w:ascii="Arial" w:eastAsiaTheme="minorEastAsia" w:hAnsi="Arial" w:cs="Arial"/>
          <w:kern w:val="24"/>
          <w:sz w:val="20"/>
          <w:szCs w:val="20"/>
        </w:rPr>
        <w:t xml:space="preserve"> Medical Aid Scheme. </w:t>
      </w:r>
    </w:p>
    <w:p w:rsidR="002230AB" w:rsidRPr="006C03F2" w:rsidRDefault="00B009C0" w:rsidP="006C03F2">
      <w:pPr>
        <w:spacing w:after="0" w:line="240" w:lineRule="auto"/>
        <w:ind w:left="720" w:hanging="720"/>
        <w:rPr>
          <w:rFonts w:ascii="Arial" w:hAnsi="Arial" w:cs="Arial"/>
          <w:sz w:val="20"/>
          <w:szCs w:val="20"/>
        </w:rPr>
      </w:pPr>
      <w:r w:rsidRPr="006C03F2">
        <w:rPr>
          <w:rFonts w:ascii="Arial" w:eastAsiaTheme="minorEastAsia" w:hAnsi="Arial" w:cs="Arial"/>
          <w:bCs/>
          <w:kern w:val="24"/>
          <w:sz w:val="20"/>
          <w:szCs w:val="20"/>
        </w:rPr>
        <w:t>4.2.11</w:t>
      </w:r>
      <w:r w:rsidRPr="006C03F2">
        <w:rPr>
          <w:rFonts w:ascii="Arial" w:eastAsiaTheme="minorEastAsia" w:hAnsi="Arial" w:cs="Arial"/>
          <w:bCs/>
          <w:kern w:val="24"/>
          <w:sz w:val="20"/>
          <w:szCs w:val="20"/>
        </w:rPr>
        <w:tab/>
      </w:r>
      <w:r w:rsidR="002230AB" w:rsidRPr="006C03F2">
        <w:rPr>
          <w:rFonts w:ascii="Arial" w:eastAsiaTheme="minorEastAsia" w:hAnsi="Arial" w:cs="Arial"/>
          <w:kern w:val="24"/>
          <w:sz w:val="20"/>
          <w:szCs w:val="20"/>
        </w:rPr>
        <w:t>The spend</w:t>
      </w:r>
      <w:r w:rsidRPr="006C03F2">
        <w:rPr>
          <w:rFonts w:ascii="Arial" w:eastAsiaTheme="minorEastAsia" w:hAnsi="Arial" w:cs="Arial"/>
          <w:kern w:val="24"/>
          <w:sz w:val="20"/>
          <w:szCs w:val="20"/>
        </w:rPr>
        <w:t>ing on goods and services including</w:t>
      </w:r>
      <w:r w:rsidR="002230AB" w:rsidRPr="006C03F2">
        <w:rPr>
          <w:rFonts w:ascii="Arial" w:eastAsiaTheme="minorEastAsia" w:hAnsi="Arial" w:cs="Arial"/>
          <w:kern w:val="24"/>
          <w:sz w:val="20"/>
          <w:szCs w:val="20"/>
        </w:rPr>
        <w:t xml:space="preserve"> Members’ </w:t>
      </w:r>
      <w:r w:rsidRPr="006C03F2">
        <w:rPr>
          <w:rFonts w:ascii="Arial" w:eastAsiaTheme="minorEastAsia" w:hAnsi="Arial" w:cs="Arial"/>
          <w:kern w:val="24"/>
          <w:sz w:val="20"/>
          <w:szCs w:val="20"/>
        </w:rPr>
        <w:t>entitlements stood at</w:t>
      </w:r>
      <w:r w:rsidR="002230AB" w:rsidRPr="006C03F2">
        <w:rPr>
          <w:rFonts w:ascii="Arial" w:eastAsiaTheme="minorEastAsia" w:hAnsi="Arial" w:cs="Arial"/>
          <w:kern w:val="24"/>
          <w:sz w:val="20"/>
          <w:szCs w:val="20"/>
        </w:rPr>
        <w:t xml:space="preserve"> 119 per</w:t>
      </w:r>
      <w:r w:rsidRPr="006C03F2">
        <w:rPr>
          <w:rFonts w:ascii="Arial" w:eastAsiaTheme="minorEastAsia" w:hAnsi="Arial" w:cs="Arial"/>
          <w:kern w:val="24"/>
          <w:sz w:val="20"/>
          <w:szCs w:val="20"/>
        </w:rPr>
        <w:t xml:space="preserve"> </w:t>
      </w:r>
      <w:r w:rsidR="002230AB" w:rsidRPr="006C03F2">
        <w:rPr>
          <w:rFonts w:ascii="Arial" w:eastAsiaTheme="minorEastAsia" w:hAnsi="Arial" w:cs="Arial"/>
          <w:kern w:val="24"/>
          <w:sz w:val="20"/>
          <w:szCs w:val="20"/>
        </w:rPr>
        <w:t>cent or R28,746</w:t>
      </w:r>
      <w:r w:rsidRPr="006C03F2">
        <w:rPr>
          <w:rFonts w:ascii="Arial" w:eastAsiaTheme="minorEastAsia" w:hAnsi="Arial" w:cs="Arial"/>
          <w:kern w:val="24"/>
          <w:sz w:val="20"/>
          <w:szCs w:val="20"/>
        </w:rPr>
        <w:t xml:space="preserve"> </w:t>
      </w:r>
      <w:r w:rsidR="002230AB" w:rsidRPr="006C03F2">
        <w:rPr>
          <w:rFonts w:ascii="Arial" w:eastAsiaTheme="minorEastAsia" w:hAnsi="Arial" w:cs="Arial"/>
          <w:kern w:val="24"/>
          <w:sz w:val="20"/>
          <w:szCs w:val="20"/>
        </w:rPr>
        <w:t>m</w:t>
      </w:r>
      <w:r w:rsidRPr="006C03F2">
        <w:rPr>
          <w:rFonts w:ascii="Arial" w:eastAsiaTheme="minorEastAsia" w:hAnsi="Arial" w:cs="Arial"/>
          <w:kern w:val="24"/>
          <w:sz w:val="20"/>
          <w:szCs w:val="20"/>
        </w:rPr>
        <w:t>illion of the fourth</w:t>
      </w:r>
      <w:r w:rsidR="002230AB" w:rsidRPr="006C03F2">
        <w:rPr>
          <w:rFonts w:ascii="Arial" w:eastAsiaTheme="minorEastAsia" w:hAnsi="Arial" w:cs="Arial"/>
          <w:kern w:val="24"/>
          <w:sz w:val="20"/>
          <w:szCs w:val="20"/>
        </w:rPr>
        <w:t xml:space="preserve"> quarter </w:t>
      </w:r>
      <w:r w:rsidRPr="006C03F2">
        <w:rPr>
          <w:rFonts w:ascii="Arial" w:eastAsiaTheme="minorEastAsia" w:hAnsi="Arial" w:cs="Arial"/>
          <w:kern w:val="24"/>
          <w:sz w:val="20"/>
          <w:szCs w:val="20"/>
        </w:rPr>
        <w:t>budget.</w:t>
      </w:r>
      <w:r w:rsidR="002230AB" w:rsidRPr="006C03F2">
        <w:rPr>
          <w:rFonts w:ascii="Arial" w:eastAsiaTheme="minorEastAsia" w:hAnsi="Arial" w:cs="Arial"/>
          <w:kern w:val="24"/>
          <w:sz w:val="20"/>
          <w:szCs w:val="20"/>
        </w:rPr>
        <w:t xml:space="preserve"> </w:t>
      </w:r>
    </w:p>
    <w:p w:rsidR="002230AB" w:rsidRPr="006C03F2" w:rsidRDefault="00B009C0" w:rsidP="006C03F2">
      <w:pPr>
        <w:spacing w:after="0" w:line="240" w:lineRule="auto"/>
        <w:ind w:left="720" w:hanging="720"/>
        <w:rPr>
          <w:rFonts w:ascii="Arial" w:eastAsiaTheme="minorEastAsia" w:hAnsi="Arial" w:cs="Arial"/>
          <w:kern w:val="24"/>
          <w:sz w:val="20"/>
          <w:szCs w:val="20"/>
        </w:rPr>
      </w:pPr>
      <w:r w:rsidRPr="006C03F2">
        <w:rPr>
          <w:rFonts w:ascii="Arial" w:eastAsiaTheme="minorEastAsia" w:hAnsi="Arial" w:cs="Arial"/>
          <w:bCs/>
          <w:kern w:val="24"/>
          <w:sz w:val="20"/>
          <w:szCs w:val="20"/>
        </w:rPr>
        <w:t>4.2.12</w:t>
      </w:r>
      <w:r w:rsidRPr="006C03F2">
        <w:rPr>
          <w:rFonts w:ascii="Arial" w:eastAsiaTheme="minorEastAsia" w:hAnsi="Arial" w:cs="Arial"/>
          <w:bCs/>
          <w:kern w:val="24"/>
          <w:sz w:val="20"/>
          <w:szCs w:val="20"/>
        </w:rPr>
        <w:tab/>
      </w:r>
      <w:r w:rsidR="002230AB" w:rsidRPr="006C03F2">
        <w:rPr>
          <w:rFonts w:ascii="Arial" w:eastAsiaTheme="minorEastAsia" w:hAnsi="Arial" w:cs="Arial"/>
          <w:kern w:val="24"/>
          <w:sz w:val="20"/>
          <w:szCs w:val="20"/>
        </w:rPr>
        <w:t>Spend</w:t>
      </w:r>
      <w:r w:rsidRPr="006C03F2">
        <w:rPr>
          <w:rFonts w:ascii="Arial" w:eastAsiaTheme="minorEastAsia" w:hAnsi="Arial" w:cs="Arial"/>
          <w:kern w:val="24"/>
          <w:sz w:val="20"/>
          <w:szCs w:val="20"/>
        </w:rPr>
        <w:t>ing on transfer payments relating</w:t>
      </w:r>
      <w:r w:rsidR="002230AB" w:rsidRPr="006C03F2">
        <w:rPr>
          <w:rFonts w:ascii="Arial" w:eastAsiaTheme="minorEastAsia" w:hAnsi="Arial" w:cs="Arial"/>
          <w:kern w:val="24"/>
          <w:sz w:val="20"/>
          <w:szCs w:val="20"/>
        </w:rPr>
        <w:t xml:space="preserve"> to transfers to political parties represented in Parliament </w:t>
      </w:r>
      <w:r w:rsidRPr="006C03F2">
        <w:rPr>
          <w:rFonts w:ascii="Arial" w:eastAsiaTheme="minorEastAsia" w:hAnsi="Arial" w:cs="Arial"/>
          <w:kern w:val="24"/>
          <w:sz w:val="20"/>
          <w:szCs w:val="20"/>
        </w:rPr>
        <w:t>stood at</w:t>
      </w:r>
      <w:r w:rsidR="002230AB" w:rsidRPr="006C03F2">
        <w:rPr>
          <w:rFonts w:ascii="Arial" w:eastAsiaTheme="minorEastAsia" w:hAnsi="Arial" w:cs="Arial"/>
          <w:kern w:val="24"/>
          <w:sz w:val="20"/>
          <w:szCs w:val="20"/>
        </w:rPr>
        <w:t xml:space="preserve"> R128,</w:t>
      </w:r>
      <w:r w:rsidRPr="006C03F2">
        <w:rPr>
          <w:rFonts w:ascii="Arial" w:eastAsiaTheme="minorEastAsia" w:hAnsi="Arial" w:cs="Arial"/>
          <w:kern w:val="24"/>
          <w:sz w:val="20"/>
          <w:szCs w:val="20"/>
        </w:rPr>
        <w:t xml:space="preserve"> </w:t>
      </w:r>
      <w:r w:rsidR="002230AB" w:rsidRPr="006C03F2">
        <w:rPr>
          <w:rFonts w:ascii="Arial" w:eastAsiaTheme="minorEastAsia" w:hAnsi="Arial" w:cs="Arial"/>
          <w:kern w:val="24"/>
          <w:sz w:val="20"/>
          <w:szCs w:val="20"/>
        </w:rPr>
        <w:t>233</w:t>
      </w:r>
      <w:r w:rsidRPr="006C03F2">
        <w:rPr>
          <w:rFonts w:ascii="Arial" w:eastAsiaTheme="minorEastAsia" w:hAnsi="Arial" w:cs="Arial"/>
          <w:kern w:val="24"/>
          <w:sz w:val="20"/>
          <w:szCs w:val="20"/>
        </w:rPr>
        <w:t xml:space="preserve"> </w:t>
      </w:r>
      <w:r w:rsidR="002230AB" w:rsidRPr="006C03F2">
        <w:rPr>
          <w:rFonts w:ascii="Arial" w:eastAsiaTheme="minorEastAsia" w:hAnsi="Arial" w:cs="Arial"/>
          <w:kern w:val="24"/>
          <w:sz w:val="20"/>
          <w:szCs w:val="20"/>
        </w:rPr>
        <w:t>m</w:t>
      </w:r>
      <w:r w:rsidRPr="006C03F2">
        <w:rPr>
          <w:rFonts w:ascii="Arial" w:eastAsiaTheme="minorEastAsia" w:hAnsi="Arial" w:cs="Arial"/>
          <w:kern w:val="24"/>
          <w:sz w:val="20"/>
          <w:szCs w:val="20"/>
        </w:rPr>
        <w:t>illion of the</w:t>
      </w:r>
      <w:r w:rsidR="002230AB" w:rsidRPr="006C03F2">
        <w:rPr>
          <w:rFonts w:ascii="Arial" w:eastAsiaTheme="minorEastAsia" w:hAnsi="Arial" w:cs="Arial"/>
          <w:kern w:val="24"/>
          <w:sz w:val="20"/>
          <w:szCs w:val="20"/>
        </w:rPr>
        <w:t xml:space="preserve"> R130,091</w:t>
      </w:r>
      <w:r w:rsidRPr="006C03F2">
        <w:rPr>
          <w:rFonts w:ascii="Arial" w:eastAsiaTheme="minorEastAsia" w:hAnsi="Arial" w:cs="Arial"/>
          <w:kern w:val="24"/>
          <w:sz w:val="20"/>
          <w:szCs w:val="20"/>
        </w:rPr>
        <w:t xml:space="preserve"> million</w:t>
      </w:r>
      <w:r w:rsidR="002230AB" w:rsidRPr="006C03F2">
        <w:rPr>
          <w:rFonts w:ascii="Arial" w:eastAsiaTheme="minorEastAsia" w:hAnsi="Arial" w:cs="Arial"/>
          <w:kern w:val="24"/>
          <w:sz w:val="20"/>
          <w:szCs w:val="20"/>
        </w:rPr>
        <w:t xml:space="preserve"> </w:t>
      </w:r>
      <w:r w:rsidRPr="006C03F2">
        <w:rPr>
          <w:rFonts w:ascii="Arial" w:eastAsiaTheme="minorEastAsia" w:hAnsi="Arial" w:cs="Arial"/>
          <w:kern w:val="24"/>
          <w:sz w:val="20"/>
          <w:szCs w:val="20"/>
        </w:rPr>
        <w:t>allocated for the fourth quarter.</w:t>
      </w:r>
    </w:p>
    <w:p w:rsidR="002230AB" w:rsidRPr="006C03F2" w:rsidRDefault="00B009C0" w:rsidP="006C03F2">
      <w:pPr>
        <w:spacing w:after="0" w:line="240" w:lineRule="auto"/>
        <w:rPr>
          <w:rFonts w:ascii="Arial" w:hAnsi="Arial" w:cs="Arial"/>
          <w:sz w:val="20"/>
          <w:szCs w:val="20"/>
        </w:rPr>
      </w:pPr>
      <w:r w:rsidRPr="006C03F2">
        <w:rPr>
          <w:rFonts w:ascii="Arial" w:hAnsi="Arial" w:cs="Arial"/>
          <w:bCs/>
          <w:kern w:val="24"/>
          <w:sz w:val="20"/>
          <w:szCs w:val="20"/>
        </w:rPr>
        <w:t>4.2.13</w:t>
      </w:r>
      <w:r w:rsidRPr="006C03F2">
        <w:rPr>
          <w:rFonts w:ascii="Arial" w:hAnsi="Arial" w:cs="Arial"/>
          <w:bCs/>
          <w:kern w:val="24"/>
          <w:sz w:val="20"/>
          <w:szCs w:val="20"/>
        </w:rPr>
        <w:tab/>
      </w:r>
      <w:r w:rsidR="002230AB" w:rsidRPr="006C03F2">
        <w:rPr>
          <w:rFonts w:ascii="Arial" w:hAnsi="Arial" w:cs="Arial"/>
          <w:kern w:val="24"/>
          <w:sz w:val="20"/>
          <w:szCs w:val="20"/>
        </w:rPr>
        <w:t xml:space="preserve">Member’s </w:t>
      </w:r>
      <w:r w:rsidRPr="006C03F2">
        <w:rPr>
          <w:rFonts w:ascii="Arial" w:hAnsi="Arial" w:cs="Arial"/>
          <w:kern w:val="24"/>
          <w:sz w:val="20"/>
          <w:szCs w:val="20"/>
        </w:rPr>
        <w:t xml:space="preserve">Facilities has spent R30 000 </w:t>
      </w:r>
      <w:r w:rsidR="002230AB" w:rsidRPr="006C03F2">
        <w:rPr>
          <w:rFonts w:ascii="Arial" w:hAnsi="Arial" w:cs="Arial"/>
          <w:kern w:val="24"/>
          <w:sz w:val="20"/>
          <w:szCs w:val="20"/>
        </w:rPr>
        <w:t xml:space="preserve">against a fourth quarter budget of </w:t>
      </w:r>
      <w:r w:rsidRPr="006C03F2">
        <w:rPr>
          <w:rFonts w:ascii="Arial" w:hAnsi="Arial" w:cs="Arial"/>
          <w:kern w:val="24"/>
          <w:sz w:val="20"/>
          <w:szCs w:val="20"/>
        </w:rPr>
        <w:t>R795 000.</w:t>
      </w:r>
    </w:p>
    <w:p w:rsidR="00FE6D82" w:rsidRPr="006C03F2" w:rsidRDefault="00FE6D82" w:rsidP="006C03F2">
      <w:pPr>
        <w:spacing w:after="0" w:line="240" w:lineRule="auto"/>
        <w:rPr>
          <w:rFonts w:ascii="Arial" w:hAnsi="Arial" w:cs="Arial"/>
          <w:sz w:val="20"/>
          <w:szCs w:val="20"/>
          <w:lang w:val="en-ZA"/>
        </w:rPr>
      </w:pPr>
    </w:p>
    <w:p w:rsidR="00BA4211" w:rsidRPr="006C03F2" w:rsidRDefault="00BA4211" w:rsidP="006C03F2">
      <w:pPr>
        <w:spacing w:after="0" w:line="240" w:lineRule="auto"/>
        <w:rPr>
          <w:rFonts w:ascii="Arial" w:hAnsi="Arial" w:cs="Arial"/>
          <w:sz w:val="20"/>
          <w:szCs w:val="20"/>
          <w:lang w:val="en-ZA"/>
        </w:rPr>
      </w:pPr>
    </w:p>
    <w:p w:rsidR="00E96DE7" w:rsidRPr="006C03F2" w:rsidRDefault="002F24C3" w:rsidP="006C03F2">
      <w:pPr>
        <w:spacing w:after="0" w:line="240" w:lineRule="auto"/>
        <w:rPr>
          <w:rFonts w:ascii="Arial" w:hAnsi="Arial" w:cs="Arial"/>
          <w:b/>
          <w:sz w:val="20"/>
          <w:szCs w:val="20"/>
          <w:lang w:val="en-ZA"/>
        </w:rPr>
      </w:pPr>
      <w:r w:rsidRPr="006C03F2">
        <w:rPr>
          <w:rFonts w:ascii="Arial" w:hAnsi="Arial" w:cs="Arial"/>
          <w:b/>
          <w:sz w:val="20"/>
          <w:szCs w:val="20"/>
          <w:lang w:val="en-ZA"/>
        </w:rPr>
        <w:t>Part C</w:t>
      </w:r>
    </w:p>
    <w:p w:rsidR="00FE6D82" w:rsidRPr="006C03F2" w:rsidRDefault="00FE6D82" w:rsidP="006C03F2">
      <w:pPr>
        <w:spacing w:after="0" w:line="240" w:lineRule="auto"/>
        <w:rPr>
          <w:rFonts w:ascii="Arial" w:hAnsi="Arial" w:cs="Arial"/>
          <w:b/>
          <w:sz w:val="20"/>
          <w:szCs w:val="20"/>
          <w:lang w:val="en-ZA"/>
        </w:rPr>
      </w:pPr>
    </w:p>
    <w:p w:rsidR="00692686" w:rsidRPr="006C03F2" w:rsidRDefault="009E67F5" w:rsidP="006C03F2">
      <w:pPr>
        <w:spacing w:after="0" w:line="240" w:lineRule="auto"/>
        <w:rPr>
          <w:rFonts w:ascii="Arial" w:hAnsi="Arial" w:cs="Arial"/>
          <w:b/>
          <w:sz w:val="20"/>
          <w:szCs w:val="20"/>
          <w:lang w:val="en-ZA"/>
        </w:rPr>
      </w:pPr>
      <w:r w:rsidRPr="006C03F2">
        <w:rPr>
          <w:rFonts w:ascii="Arial" w:hAnsi="Arial" w:cs="Arial"/>
          <w:b/>
          <w:sz w:val="20"/>
          <w:szCs w:val="20"/>
          <w:lang w:val="en-ZA"/>
        </w:rPr>
        <w:t>5</w:t>
      </w:r>
      <w:r w:rsidR="00F34604" w:rsidRPr="006C03F2">
        <w:rPr>
          <w:rFonts w:ascii="Arial" w:hAnsi="Arial" w:cs="Arial"/>
          <w:b/>
          <w:sz w:val="20"/>
          <w:szCs w:val="20"/>
          <w:lang w:val="en-ZA"/>
        </w:rPr>
        <w:t>.</w:t>
      </w:r>
      <w:r w:rsidR="00F34604" w:rsidRPr="006C03F2">
        <w:rPr>
          <w:rFonts w:ascii="Arial" w:hAnsi="Arial" w:cs="Arial"/>
          <w:b/>
          <w:sz w:val="20"/>
          <w:szCs w:val="20"/>
          <w:lang w:val="en-ZA"/>
        </w:rPr>
        <w:tab/>
      </w:r>
      <w:r w:rsidR="009A1AC9" w:rsidRPr="006C03F2">
        <w:rPr>
          <w:rFonts w:ascii="Arial" w:hAnsi="Arial" w:cs="Arial"/>
          <w:b/>
          <w:sz w:val="20"/>
          <w:szCs w:val="20"/>
          <w:lang w:val="en-ZA"/>
        </w:rPr>
        <w:t>Observations</w:t>
      </w:r>
    </w:p>
    <w:p w:rsidR="007E7718" w:rsidRPr="006C03F2" w:rsidRDefault="009A1AC9" w:rsidP="006C03F2">
      <w:pPr>
        <w:spacing w:after="0" w:line="240" w:lineRule="auto"/>
        <w:rPr>
          <w:rFonts w:ascii="Arial" w:hAnsi="Arial" w:cs="Arial"/>
          <w:i/>
          <w:sz w:val="20"/>
          <w:szCs w:val="20"/>
          <w:lang w:val="en-ZA"/>
        </w:rPr>
      </w:pPr>
      <w:r w:rsidRPr="006C03F2">
        <w:rPr>
          <w:rFonts w:ascii="Arial" w:hAnsi="Arial" w:cs="Arial"/>
          <w:sz w:val="20"/>
          <w:szCs w:val="20"/>
          <w:lang w:val="en-ZA"/>
        </w:rPr>
        <w:t>5.1</w:t>
      </w:r>
      <w:r w:rsidRPr="006C03F2">
        <w:rPr>
          <w:rFonts w:ascii="Arial" w:hAnsi="Arial" w:cs="Arial"/>
          <w:sz w:val="20"/>
          <w:szCs w:val="20"/>
          <w:lang w:val="en-ZA"/>
        </w:rPr>
        <w:tab/>
      </w:r>
      <w:r w:rsidR="00F26D3C" w:rsidRPr="006C03F2">
        <w:rPr>
          <w:rFonts w:ascii="Arial" w:hAnsi="Arial" w:cs="Arial"/>
          <w:i/>
          <w:sz w:val="20"/>
          <w:szCs w:val="20"/>
          <w:lang w:val="en-ZA"/>
        </w:rPr>
        <w:t>Filling of critical vacancies</w:t>
      </w:r>
    </w:p>
    <w:p w:rsidR="00F26D3C" w:rsidRPr="006C03F2" w:rsidRDefault="0053534A"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5.1.1</w:t>
      </w:r>
      <w:r w:rsidRPr="006C03F2">
        <w:rPr>
          <w:rFonts w:ascii="Arial" w:hAnsi="Arial" w:cs="Arial"/>
          <w:sz w:val="20"/>
          <w:szCs w:val="20"/>
          <w:lang w:val="en-ZA"/>
        </w:rPr>
        <w:tab/>
        <w:t xml:space="preserve">The Committee </w:t>
      </w:r>
      <w:r w:rsidR="00B009C0" w:rsidRPr="006C03F2">
        <w:rPr>
          <w:rFonts w:ascii="Arial" w:hAnsi="Arial" w:cs="Arial"/>
          <w:sz w:val="20"/>
          <w:szCs w:val="20"/>
          <w:lang w:val="en-ZA"/>
        </w:rPr>
        <w:t xml:space="preserve">welcomes the appointment of Mr Xolile George as the Secretary to Parliament, effective 15 June 2022 but </w:t>
      </w:r>
      <w:r w:rsidRPr="006C03F2">
        <w:rPr>
          <w:rFonts w:ascii="Arial" w:hAnsi="Arial" w:cs="Arial"/>
          <w:sz w:val="20"/>
          <w:szCs w:val="20"/>
          <w:lang w:val="en-ZA"/>
        </w:rPr>
        <w:t>remains concerned about the long delays in filling critical senior management posts</w:t>
      </w:r>
      <w:r w:rsidR="00B009C0" w:rsidRPr="006C03F2">
        <w:rPr>
          <w:rFonts w:ascii="Arial" w:hAnsi="Arial" w:cs="Arial"/>
          <w:sz w:val="20"/>
          <w:szCs w:val="20"/>
          <w:lang w:val="en-ZA"/>
        </w:rPr>
        <w:t xml:space="preserve"> such as that of the Chief Financial Officer and the Head: Parliamentary Protection Services. </w:t>
      </w:r>
    </w:p>
    <w:p w:rsidR="0053534A" w:rsidRPr="006C03F2" w:rsidRDefault="0053534A" w:rsidP="006C03F2">
      <w:pPr>
        <w:spacing w:after="0" w:line="240" w:lineRule="auto"/>
        <w:rPr>
          <w:rFonts w:ascii="Arial" w:hAnsi="Arial" w:cs="Arial"/>
          <w:i/>
          <w:sz w:val="20"/>
          <w:szCs w:val="20"/>
          <w:lang w:val="en-ZA"/>
        </w:rPr>
      </w:pPr>
    </w:p>
    <w:p w:rsidR="00692686" w:rsidRPr="006C03F2" w:rsidRDefault="002F24C3" w:rsidP="006C03F2">
      <w:pPr>
        <w:spacing w:after="0" w:line="240" w:lineRule="auto"/>
        <w:rPr>
          <w:rFonts w:ascii="Arial" w:hAnsi="Arial" w:cs="Arial"/>
          <w:i/>
          <w:sz w:val="20"/>
          <w:szCs w:val="20"/>
          <w:lang w:val="en-ZA"/>
        </w:rPr>
      </w:pPr>
      <w:r w:rsidRPr="006C03F2">
        <w:rPr>
          <w:rFonts w:ascii="Arial" w:hAnsi="Arial" w:cs="Arial"/>
          <w:i/>
          <w:sz w:val="20"/>
          <w:szCs w:val="20"/>
          <w:lang w:val="en-ZA"/>
        </w:rPr>
        <w:t>5</w:t>
      </w:r>
      <w:r w:rsidR="00C61696" w:rsidRPr="006C03F2">
        <w:rPr>
          <w:rFonts w:ascii="Arial" w:hAnsi="Arial" w:cs="Arial"/>
          <w:i/>
          <w:sz w:val="20"/>
          <w:szCs w:val="20"/>
          <w:lang w:val="en-ZA"/>
        </w:rPr>
        <w:t>.</w:t>
      </w:r>
      <w:r w:rsidR="005B59F5" w:rsidRPr="006C03F2">
        <w:rPr>
          <w:rFonts w:ascii="Arial" w:hAnsi="Arial" w:cs="Arial"/>
          <w:i/>
          <w:sz w:val="20"/>
          <w:szCs w:val="20"/>
          <w:lang w:val="en-ZA"/>
        </w:rPr>
        <w:t>2</w:t>
      </w:r>
      <w:r w:rsidR="009E67F5" w:rsidRPr="006C03F2">
        <w:rPr>
          <w:rFonts w:ascii="Arial" w:hAnsi="Arial" w:cs="Arial"/>
          <w:i/>
          <w:sz w:val="20"/>
          <w:szCs w:val="20"/>
          <w:lang w:val="en-ZA"/>
        </w:rPr>
        <w:tab/>
      </w:r>
      <w:r w:rsidR="00692686" w:rsidRPr="006C03F2">
        <w:rPr>
          <w:rFonts w:ascii="Arial" w:hAnsi="Arial" w:cs="Arial"/>
          <w:i/>
          <w:sz w:val="20"/>
          <w:szCs w:val="20"/>
          <w:lang w:val="en-ZA"/>
        </w:rPr>
        <w:t>Organisational re-alignment</w:t>
      </w:r>
    </w:p>
    <w:p w:rsidR="00692686" w:rsidRPr="006C03F2" w:rsidRDefault="002F24C3"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5</w:t>
      </w:r>
      <w:r w:rsidR="00C61696" w:rsidRPr="006C03F2">
        <w:rPr>
          <w:rFonts w:ascii="Arial" w:hAnsi="Arial" w:cs="Arial"/>
          <w:sz w:val="20"/>
          <w:szCs w:val="20"/>
          <w:lang w:val="en-ZA"/>
        </w:rPr>
        <w:t>.</w:t>
      </w:r>
      <w:r w:rsidR="005B59F5" w:rsidRPr="006C03F2">
        <w:rPr>
          <w:rFonts w:ascii="Arial" w:hAnsi="Arial" w:cs="Arial"/>
          <w:sz w:val="20"/>
          <w:szCs w:val="20"/>
          <w:lang w:val="en-ZA"/>
        </w:rPr>
        <w:t>2</w:t>
      </w:r>
      <w:r w:rsidR="009E67F5" w:rsidRPr="006C03F2">
        <w:rPr>
          <w:rFonts w:ascii="Arial" w:hAnsi="Arial" w:cs="Arial"/>
          <w:sz w:val="20"/>
          <w:szCs w:val="20"/>
          <w:lang w:val="en-ZA"/>
        </w:rPr>
        <w:t>.1</w:t>
      </w:r>
      <w:r w:rsidR="009E67F5" w:rsidRPr="006C03F2">
        <w:rPr>
          <w:rFonts w:ascii="Arial" w:hAnsi="Arial" w:cs="Arial"/>
          <w:sz w:val="20"/>
          <w:szCs w:val="20"/>
          <w:lang w:val="en-ZA"/>
        </w:rPr>
        <w:tab/>
      </w:r>
      <w:r w:rsidR="00692686" w:rsidRPr="006C03F2">
        <w:rPr>
          <w:rFonts w:ascii="Arial" w:hAnsi="Arial" w:cs="Arial"/>
          <w:sz w:val="20"/>
          <w:szCs w:val="20"/>
          <w:lang w:val="en-ZA"/>
        </w:rPr>
        <w:t>Parliame</w:t>
      </w:r>
      <w:r w:rsidR="00A52347" w:rsidRPr="006C03F2">
        <w:rPr>
          <w:rFonts w:ascii="Arial" w:hAnsi="Arial" w:cs="Arial"/>
          <w:sz w:val="20"/>
          <w:szCs w:val="20"/>
          <w:lang w:val="en-ZA"/>
        </w:rPr>
        <w:t>nt has reported that the organis</w:t>
      </w:r>
      <w:r w:rsidR="00692686" w:rsidRPr="006C03F2">
        <w:rPr>
          <w:rFonts w:ascii="Arial" w:hAnsi="Arial" w:cs="Arial"/>
          <w:sz w:val="20"/>
          <w:szCs w:val="20"/>
          <w:lang w:val="en-ZA"/>
        </w:rPr>
        <w:t>ational re-alignment project was progressing as planned</w:t>
      </w:r>
      <w:r w:rsidR="00BE143E" w:rsidRPr="006C03F2">
        <w:rPr>
          <w:rFonts w:ascii="Arial" w:hAnsi="Arial" w:cs="Arial"/>
          <w:sz w:val="20"/>
          <w:szCs w:val="20"/>
          <w:lang w:val="en-ZA"/>
        </w:rPr>
        <w:t>, and that phase two was underway</w:t>
      </w:r>
      <w:r w:rsidR="00692686" w:rsidRPr="006C03F2">
        <w:rPr>
          <w:rFonts w:ascii="Arial" w:hAnsi="Arial" w:cs="Arial"/>
          <w:sz w:val="20"/>
          <w:szCs w:val="20"/>
          <w:lang w:val="en-ZA"/>
        </w:rPr>
        <w:t xml:space="preserve">. The Committee </w:t>
      </w:r>
      <w:r w:rsidR="00BE143E" w:rsidRPr="006C03F2">
        <w:rPr>
          <w:rFonts w:ascii="Arial" w:hAnsi="Arial" w:cs="Arial"/>
          <w:sz w:val="20"/>
          <w:szCs w:val="20"/>
          <w:lang w:val="en-ZA"/>
        </w:rPr>
        <w:t>has to date not been briefed in detail on what the project entails or its implementation plan.</w:t>
      </w:r>
    </w:p>
    <w:p w:rsidR="0053534A" w:rsidRPr="006C03F2" w:rsidRDefault="0053534A" w:rsidP="006C03F2">
      <w:pPr>
        <w:spacing w:after="0" w:line="240" w:lineRule="auto"/>
        <w:rPr>
          <w:rFonts w:ascii="Arial" w:hAnsi="Arial" w:cs="Arial"/>
          <w:sz w:val="20"/>
          <w:szCs w:val="20"/>
          <w:lang w:val="en-ZA"/>
        </w:rPr>
      </w:pPr>
    </w:p>
    <w:p w:rsidR="0053534A" w:rsidRPr="006C03F2" w:rsidRDefault="0053534A" w:rsidP="006C03F2">
      <w:pPr>
        <w:spacing w:after="0" w:line="240" w:lineRule="auto"/>
        <w:rPr>
          <w:rFonts w:ascii="Arial" w:hAnsi="Arial" w:cs="Arial"/>
          <w:i/>
          <w:sz w:val="20"/>
          <w:szCs w:val="20"/>
          <w:lang w:val="en-ZA"/>
        </w:rPr>
      </w:pPr>
      <w:r w:rsidRPr="006C03F2">
        <w:rPr>
          <w:rFonts w:ascii="Arial" w:hAnsi="Arial" w:cs="Arial"/>
          <w:i/>
          <w:sz w:val="20"/>
          <w:szCs w:val="20"/>
          <w:lang w:val="en-ZA"/>
        </w:rPr>
        <w:t>5.3</w:t>
      </w:r>
      <w:r w:rsidRPr="006C03F2">
        <w:rPr>
          <w:rFonts w:ascii="Arial" w:hAnsi="Arial" w:cs="Arial"/>
          <w:i/>
          <w:sz w:val="20"/>
          <w:szCs w:val="20"/>
          <w:lang w:val="en-ZA"/>
        </w:rPr>
        <w:tab/>
        <w:t>Impact of fire on renovation projects</w:t>
      </w:r>
    </w:p>
    <w:p w:rsidR="0053534A" w:rsidRPr="006C03F2" w:rsidRDefault="0002795F"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5.3.1</w:t>
      </w:r>
      <w:r w:rsidRPr="006C03F2">
        <w:rPr>
          <w:rFonts w:ascii="Arial" w:hAnsi="Arial" w:cs="Arial"/>
          <w:sz w:val="20"/>
          <w:szCs w:val="20"/>
          <w:lang w:val="en-ZA"/>
        </w:rPr>
        <w:tab/>
        <w:t>The Committees has noted various successes under Facilities Management</w:t>
      </w:r>
      <w:r w:rsidR="0053534A" w:rsidRPr="006C03F2">
        <w:rPr>
          <w:rFonts w:ascii="Arial" w:hAnsi="Arial" w:cs="Arial"/>
          <w:sz w:val="20"/>
          <w:szCs w:val="20"/>
          <w:lang w:val="en-ZA"/>
        </w:rPr>
        <w:t xml:space="preserve"> reported in the period under review</w:t>
      </w:r>
      <w:r w:rsidRPr="006C03F2">
        <w:rPr>
          <w:rFonts w:ascii="Arial" w:hAnsi="Arial" w:cs="Arial"/>
          <w:sz w:val="20"/>
          <w:szCs w:val="20"/>
          <w:lang w:val="en-ZA"/>
        </w:rPr>
        <w:t>. It is also</w:t>
      </w:r>
      <w:r w:rsidR="0053534A" w:rsidRPr="006C03F2">
        <w:rPr>
          <w:rFonts w:ascii="Arial" w:hAnsi="Arial" w:cs="Arial"/>
          <w:sz w:val="20"/>
          <w:szCs w:val="20"/>
          <w:lang w:val="en-ZA"/>
        </w:rPr>
        <w:t xml:space="preserve"> noted that projects such as the upgrading of various chambers, the space utilisation project and the refurbishment of the members’ lounge and consultation rooms which were in progress at the end of the third term, will have been adversely affected by the January 2022 fire on the precinct.</w:t>
      </w:r>
    </w:p>
    <w:p w:rsidR="0053534A" w:rsidRPr="006C03F2" w:rsidRDefault="003F5A53"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5.3.2</w:t>
      </w:r>
      <w:r w:rsidRPr="006C03F2">
        <w:rPr>
          <w:rFonts w:ascii="Arial" w:hAnsi="Arial" w:cs="Arial"/>
          <w:sz w:val="20"/>
          <w:szCs w:val="20"/>
          <w:lang w:val="en-ZA"/>
        </w:rPr>
        <w:tab/>
      </w:r>
      <w:r w:rsidR="0002795F" w:rsidRPr="006C03F2">
        <w:rPr>
          <w:rFonts w:ascii="Arial" w:hAnsi="Arial" w:cs="Arial"/>
          <w:sz w:val="20"/>
          <w:szCs w:val="20"/>
          <w:lang w:val="en-ZA"/>
        </w:rPr>
        <w:t xml:space="preserve">The Committee has </w:t>
      </w:r>
      <w:r w:rsidR="0053534A" w:rsidRPr="006C03F2">
        <w:rPr>
          <w:rFonts w:ascii="Arial" w:hAnsi="Arial" w:cs="Arial"/>
          <w:sz w:val="20"/>
          <w:szCs w:val="20"/>
          <w:lang w:val="en-ZA"/>
        </w:rPr>
        <w:t>noted that the space utilisation project was advertised in the period under review, but that the plan’s implementation was dependent on the finalisation of the</w:t>
      </w:r>
      <w:r w:rsidRPr="006C03F2">
        <w:rPr>
          <w:rFonts w:ascii="Arial" w:hAnsi="Arial" w:cs="Arial"/>
          <w:sz w:val="20"/>
          <w:szCs w:val="20"/>
          <w:lang w:val="en-ZA"/>
        </w:rPr>
        <w:t xml:space="preserve"> remote</w:t>
      </w:r>
      <w:r w:rsidR="0053534A" w:rsidRPr="006C03F2">
        <w:rPr>
          <w:rFonts w:ascii="Arial" w:hAnsi="Arial" w:cs="Arial"/>
          <w:sz w:val="20"/>
          <w:szCs w:val="20"/>
          <w:lang w:val="en-ZA"/>
        </w:rPr>
        <w:t xml:space="preserve"> working policy. </w:t>
      </w:r>
    </w:p>
    <w:p w:rsidR="00EE7F36" w:rsidRPr="006C03F2" w:rsidRDefault="00EE7F36" w:rsidP="006C03F2">
      <w:pPr>
        <w:spacing w:after="0" w:line="240" w:lineRule="auto"/>
        <w:rPr>
          <w:rFonts w:ascii="Arial" w:hAnsi="Arial" w:cs="Arial"/>
          <w:i/>
          <w:sz w:val="20"/>
          <w:szCs w:val="20"/>
          <w:lang w:val="en-ZA"/>
        </w:rPr>
      </w:pPr>
    </w:p>
    <w:p w:rsidR="0053534A" w:rsidRPr="006C03F2" w:rsidRDefault="0053534A" w:rsidP="006C03F2">
      <w:pPr>
        <w:spacing w:after="0" w:line="240" w:lineRule="auto"/>
        <w:rPr>
          <w:rFonts w:ascii="Arial" w:hAnsi="Arial" w:cs="Arial"/>
          <w:i/>
          <w:sz w:val="20"/>
          <w:szCs w:val="20"/>
          <w:lang w:val="en-ZA"/>
        </w:rPr>
      </w:pPr>
      <w:r w:rsidRPr="006C03F2">
        <w:rPr>
          <w:rFonts w:ascii="Arial" w:hAnsi="Arial" w:cs="Arial"/>
          <w:i/>
          <w:sz w:val="20"/>
          <w:szCs w:val="20"/>
          <w:lang w:val="en-ZA"/>
        </w:rPr>
        <w:t>5.4</w:t>
      </w:r>
      <w:r w:rsidRPr="006C03F2">
        <w:rPr>
          <w:rFonts w:ascii="Arial" w:hAnsi="Arial" w:cs="Arial"/>
          <w:i/>
          <w:sz w:val="20"/>
          <w:szCs w:val="20"/>
          <w:lang w:val="en-ZA"/>
        </w:rPr>
        <w:tab/>
        <w:t xml:space="preserve">Security Enhancement </w:t>
      </w:r>
    </w:p>
    <w:p w:rsidR="0053534A" w:rsidRPr="006C03F2" w:rsidRDefault="0053534A"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5.4.1</w:t>
      </w:r>
      <w:r w:rsidRPr="006C03F2">
        <w:rPr>
          <w:rFonts w:ascii="Arial" w:hAnsi="Arial" w:cs="Arial"/>
          <w:sz w:val="20"/>
          <w:szCs w:val="20"/>
          <w:lang w:val="en-ZA"/>
        </w:rPr>
        <w:tab/>
        <w:t>The Committee notes the projects underway to enhance securi</w:t>
      </w:r>
      <w:r w:rsidR="0002795F" w:rsidRPr="006C03F2">
        <w:rPr>
          <w:rFonts w:ascii="Arial" w:hAnsi="Arial" w:cs="Arial"/>
          <w:sz w:val="20"/>
          <w:szCs w:val="20"/>
          <w:lang w:val="en-ZA"/>
        </w:rPr>
        <w:t>ty. The Committee has also notes</w:t>
      </w:r>
      <w:r w:rsidRPr="006C03F2">
        <w:rPr>
          <w:rFonts w:ascii="Arial" w:hAnsi="Arial" w:cs="Arial"/>
          <w:sz w:val="20"/>
          <w:szCs w:val="20"/>
          <w:lang w:val="en-ZA"/>
        </w:rPr>
        <w:t xml:space="preserve"> that the relationship between the </w:t>
      </w:r>
      <w:r w:rsidR="0002795F" w:rsidRPr="006C03F2">
        <w:rPr>
          <w:rFonts w:ascii="Arial" w:hAnsi="Arial" w:cs="Arial"/>
          <w:sz w:val="20"/>
          <w:szCs w:val="20"/>
          <w:lang w:val="en-ZA"/>
        </w:rPr>
        <w:t>South African Police Service (</w:t>
      </w:r>
      <w:r w:rsidRPr="006C03F2">
        <w:rPr>
          <w:rFonts w:ascii="Arial" w:hAnsi="Arial" w:cs="Arial"/>
          <w:sz w:val="20"/>
          <w:szCs w:val="20"/>
          <w:lang w:val="en-ZA"/>
        </w:rPr>
        <w:t>SAPS</w:t>
      </w:r>
      <w:r w:rsidR="0002795F" w:rsidRPr="006C03F2">
        <w:rPr>
          <w:rFonts w:ascii="Arial" w:hAnsi="Arial" w:cs="Arial"/>
          <w:sz w:val="20"/>
          <w:szCs w:val="20"/>
          <w:lang w:val="en-ZA"/>
        </w:rPr>
        <w:t>)</w:t>
      </w:r>
      <w:r w:rsidRPr="006C03F2">
        <w:rPr>
          <w:rFonts w:ascii="Arial" w:hAnsi="Arial" w:cs="Arial"/>
          <w:sz w:val="20"/>
          <w:szCs w:val="20"/>
          <w:lang w:val="en-ZA"/>
        </w:rPr>
        <w:t xml:space="preserve"> and the PPS needs formalisi</w:t>
      </w:r>
      <w:r w:rsidR="00CD0E9B" w:rsidRPr="006C03F2">
        <w:rPr>
          <w:rFonts w:ascii="Arial" w:hAnsi="Arial" w:cs="Arial"/>
          <w:sz w:val="20"/>
          <w:szCs w:val="20"/>
          <w:lang w:val="en-ZA"/>
        </w:rPr>
        <w:t>ng in order to prevent breaches such as the one that has allegedly resulted in the January 2022 fire.</w:t>
      </w:r>
    </w:p>
    <w:p w:rsidR="002213A3" w:rsidRPr="006C03F2" w:rsidRDefault="002213A3" w:rsidP="006C03F2">
      <w:pPr>
        <w:spacing w:after="0" w:line="240" w:lineRule="auto"/>
        <w:rPr>
          <w:rFonts w:ascii="Arial" w:hAnsi="Arial" w:cs="Arial"/>
          <w:sz w:val="20"/>
          <w:szCs w:val="20"/>
          <w:lang w:val="en-ZA"/>
        </w:rPr>
      </w:pPr>
    </w:p>
    <w:p w:rsidR="003F5A53" w:rsidRPr="006C03F2" w:rsidRDefault="003F5A53" w:rsidP="006C03F2">
      <w:pPr>
        <w:spacing w:after="0" w:line="240" w:lineRule="auto"/>
        <w:rPr>
          <w:rFonts w:ascii="Arial" w:hAnsi="Arial" w:cs="Arial"/>
          <w:sz w:val="20"/>
          <w:szCs w:val="20"/>
          <w:lang w:val="en-ZA"/>
        </w:rPr>
      </w:pPr>
      <w:r w:rsidRPr="006C03F2">
        <w:rPr>
          <w:rFonts w:ascii="Arial" w:hAnsi="Arial" w:cs="Arial"/>
          <w:i/>
          <w:sz w:val="20"/>
          <w:szCs w:val="20"/>
          <w:lang w:val="en-ZA"/>
        </w:rPr>
        <w:t>5.5</w:t>
      </w:r>
      <w:r w:rsidRPr="006C03F2">
        <w:rPr>
          <w:rFonts w:ascii="Arial" w:hAnsi="Arial" w:cs="Arial"/>
          <w:i/>
          <w:sz w:val="20"/>
          <w:szCs w:val="20"/>
          <w:lang w:val="en-ZA"/>
        </w:rPr>
        <w:tab/>
        <w:t>Performance Management</w:t>
      </w:r>
    </w:p>
    <w:p w:rsidR="003F5A53" w:rsidRPr="006C03F2" w:rsidRDefault="003F5A53"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5.5.1</w:t>
      </w:r>
      <w:r w:rsidRPr="006C03F2">
        <w:rPr>
          <w:rFonts w:ascii="Arial" w:hAnsi="Arial" w:cs="Arial"/>
          <w:sz w:val="20"/>
          <w:szCs w:val="20"/>
          <w:lang w:val="en-ZA"/>
        </w:rPr>
        <w:tab/>
        <w:t>The Committee notes that although the level of participation in the client satisfaction survey was considered statistically significant</w:t>
      </w:r>
      <w:r w:rsidR="0002795F" w:rsidRPr="006C03F2">
        <w:rPr>
          <w:rFonts w:ascii="Arial" w:hAnsi="Arial" w:cs="Arial"/>
          <w:sz w:val="20"/>
          <w:szCs w:val="20"/>
          <w:lang w:val="en-ZA"/>
        </w:rPr>
        <w:t>,</w:t>
      </w:r>
      <w:r w:rsidRPr="006C03F2">
        <w:rPr>
          <w:rFonts w:ascii="Arial" w:hAnsi="Arial" w:cs="Arial"/>
          <w:sz w:val="20"/>
          <w:szCs w:val="20"/>
          <w:lang w:val="en-ZA"/>
        </w:rPr>
        <w:t xml:space="preserve"> it remains lo</w:t>
      </w:r>
      <w:r w:rsidR="00976FE6" w:rsidRPr="006C03F2">
        <w:rPr>
          <w:rFonts w:ascii="Arial" w:hAnsi="Arial" w:cs="Arial"/>
          <w:sz w:val="20"/>
          <w:szCs w:val="20"/>
          <w:lang w:val="en-ZA"/>
        </w:rPr>
        <w:t xml:space="preserve">w. It is also noted that relying on the surveys may result in limited performance management across the institution and at all levels. </w:t>
      </w:r>
    </w:p>
    <w:p w:rsidR="00976FE6" w:rsidRPr="006C03F2" w:rsidRDefault="00976FE6" w:rsidP="006C03F2">
      <w:pPr>
        <w:spacing w:after="0" w:line="240" w:lineRule="auto"/>
        <w:rPr>
          <w:rFonts w:ascii="Arial" w:hAnsi="Arial" w:cs="Arial"/>
          <w:sz w:val="20"/>
          <w:szCs w:val="20"/>
          <w:lang w:val="en-ZA"/>
        </w:rPr>
      </w:pPr>
    </w:p>
    <w:p w:rsidR="00976FE6" w:rsidRPr="006C03F2" w:rsidRDefault="00976FE6" w:rsidP="006C03F2">
      <w:pPr>
        <w:spacing w:after="0" w:line="240" w:lineRule="auto"/>
        <w:rPr>
          <w:rFonts w:ascii="Arial" w:hAnsi="Arial" w:cs="Arial"/>
          <w:i/>
          <w:sz w:val="20"/>
          <w:szCs w:val="20"/>
          <w:lang w:val="en-ZA"/>
        </w:rPr>
      </w:pPr>
      <w:r w:rsidRPr="006C03F2">
        <w:rPr>
          <w:rFonts w:ascii="Arial" w:hAnsi="Arial" w:cs="Arial"/>
          <w:i/>
          <w:sz w:val="20"/>
          <w:szCs w:val="20"/>
          <w:lang w:val="en-ZA"/>
        </w:rPr>
        <w:t>5.6</w:t>
      </w:r>
      <w:r w:rsidRPr="006C03F2">
        <w:rPr>
          <w:rFonts w:ascii="Arial" w:hAnsi="Arial" w:cs="Arial"/>
          <w:i/>
          <w:sz w:val="20"/>
          <w:szCs w:val="20"/>
          <w:lang w:val="en-ZA"/>
        </w:rPr>
        <w:tab/>
      </w:r>
      <w:r w:rsidR="00CD0E9B" w:rsidRPr="006C03F2">
        <w:rPr>
          <w:rFonts w:ascii="Arial" w:hAnsi="Arial" w:cs="Arial"/>
          <w:i/>
          <w:sz w:val="20"/>
          <w:szCs w:val="20"/>
          <w:lang w:val="en-ZA"/>
        </w:rPr>
        <w:t>Budget allocation</w:t>
      </w:r>
    </w:p>
    <w:p w:rsidR="00CD0E9B" w:rsidRPr="006C03F2" w:rsidRDefault="00CD0E9B"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5.6.1</w:t>
      </w:r>
      <w:r w:rsidRPr="006C03F2">
        <w:rPr>
          <w:rFonts w:ascii="Arial" w:hAnsi="Arial" w:cs="Arial"/>
          <w:sz w:val="20"/>
          <w:szCs w:val="20"/>
          <w:lang w:val="en-ZA"/>
        </w:rPr>
        <w:tab/>
        <w:t>The Committee has on several occasions emphasised that the executive authorities of Parliament and National Treasury should meet to discuss the manner in which Parliament’s budget is allocated, specifically so as to ensure that the process of allocating its budget re-affirms its status as one of the three arms of state. Without an adequately resourced Parliament oversight will continue to be severely hampered</w:t>
      </w:r>
      <w:r w:rsidRPr="006C03F2">
        <w:rPr>
          <w:rFonts w:ascii="Arial" w:hAnsi="Arial" w:cs="Arial"/>
          <w:i/>
          <w:sz w:val="20"/>
          <w:szCs w:val="20"/>
          <w:lang w:val="en-ZA"/>
        </w:rPr>
        <w:t>.</w:t>
      </w:r>
    </w:p>
    <w:p w:rsidR="00EE7F36" w:rsidRPr="006C03F2" w:rsidRDefault="00EE7F36" w:rsidP="006C03F2">
      <w:pPr>
        <w:spacing w:after="0" w:line="240" w:lineRule="auto"/>
        <w:rPr>
          <w:rFonts w:ascii="Arial" w:hAnsi="Arial" w:cs="Arial"/>
          <w:sz w:val="20"/>
          <w:szCs w:val="20"/>
          <w:lang w:val="en-ZA"/>
        </w:rPr>
      </w:pPr>
    </w:p>
    <w:p w:rsidR="0002795F" w:rsidRPr="006C03F2" w:rsidRDefault="0002795F" w:rsidP="006C03F2">
      <w:pPr>
        <w:spacing w:after="0" w:line="240" w:lineRule="auto"/>
        <w:rPr>
          <w:rFonts w:ascii="Arial" w:hAnsi="Arial" w:cs="Arial"/>
          <w:sz w:val="20"/>
          <w:szCs w:val="20"/>
          <w:lang w:val="en-ZA"/>
        </w:rPr>
      </w:pPr>
    </w:p>
    <w:p w:rsidR="0002795F" w:rsidRPr="006C03F2" w:rsidRDefault="0002795F" w:rsidP="006C03F2">
      <w:pPr>
        <w:spacing w:after="0" w:line="240" w:lineRule="auto"/>
        <w:rPr>
          <w:rFonts w:ascii="Arial" w:hAnsi="Arial" w:cs="Arial"/>
          <w:sz w:val="20"/>
          <w:szCs w:val="20"/>
          <w:lang w:val="en-ZA"/>
        </w:rPr>
      </w:pPr>
    </w:p>
    <w:p w:rsidR="001F0362" w:rsidRPr="006C03F2" w:rsidRDefault="002F24C3" w:rsidP="006C03F2">
      <w:pPr>
        <w:spacing w:after="0" w:line="240" w:lineRule="auto"/>
        <w:rPr>
          <w:rFonts w:ascii="Arial" w:hAnsi="Arial" w:cs="Arial"/>
          <w:b/>
          <w:sz w:val="20"/>
          <w:szCs w:val="20"/>
          <w:lang w:val="en-ZA"/>
        </w:rPr>
      </w:pPr>
      <w:r w:rsidRPr="006C03F2">
        <w:rPr>
          <w:rFonts w:ascii="Arial" w:hAnsi="Arial" w:cs="Arial"/>
          <w:b/>
          <w:sz w:val="20"/>
          <w:szCs w:val="20"/>
          <w:lang w:val="en-ZA"/>
        </w:rPr>
        <w:t>Part D</w:t>
      </w:r>
    </w:p>
    <w:p w:rsidR="00FE6D82" w:rsidRPr="006C03F2" w:rsidRDefault="00FE6D82" w:rsidP="006C03F2">
      <w:pPr>
        <w:spacing w:after="0" w:line="240" w:lineRule="auto"/>
        <w:rPr>
          <w:rFonts w:ascii="Arial" w:hAnsi="Arial" w:cs="Arial"/>
          <w:b/>
          <w:sz w:val="20"/>
          <w:szCs w:val="20"/>
          <w:lang w:val="en-ZA"/>
        </w:rPr>
      </w:pPr>
    </w:p>
    <w:p w:rsidR="00CC7C5C" w:rsidRPr="006C03F2" w:rsidRDefault="002F24C3" w:rsidP="006C03F2">
      <w:pPr>
        <w:spacing w:after="0" w:line="240" w:lineRule="auto"/>
        <w:rPr>
          <w:rFonts w:ascii="Arial" w:hAnsi="Arial" w:cs="Arial"/>
          <w:b/>
          <w:sz w:val="20"/>
          <w:szCs w:val="20"/>
          <w:lang w:val="en-ZA"/>
        </w:rPr>
      </w:pPr>
      <w:r w:rsidRPr="006C03F2">
        <w:rPr>
          <w:rFonts w:ascii="Arial" w:hAnsi="Arial" w:cs="Arial"/>
          <w:b/>
          <w:sz w:val="20"/>
          <w:szCs w:val="20"/>
          <w:lang w:val="en-ZA"/>
        </w:rPr>
        <w:t>6</w:t>
      </w:r>
      <w:r w:rsidR="00CC7C5C" w:rsidRPr="006C03F2">
        <w:rPr>
          <w:rFonts w:ascii="Arial" w:hAnsi="Arial" w:cs="Arial"/>
          <w:b/>
          <w:sz w:val="20"/>
          <w:szCs w:val="20"/>
          <w:lang w:val="en-ZA"/>
        </w:rPr>
        <w:t>.</w:t>
      </w:r>
      <w:r w:rsidR="00CC7C5C" w:rsidRPr="006C03F2">
        <w:rPr>
          <w:rFonts w:ascii="Arial" w:hAnsi="Arial" w:cs="Arial"/>
          <w:b/>
          <w:sz w:val="20"/>
          <w:szCs w:val="20"/>
          <w:lang w:val="en-ZA"/>
        </w:rPr>
        <w:tab/>
        <w:t>Recommendations</w:t>
      </w:r>
    </w:p>
    <w:p w:rsidR="00C61696" w:rsidRPr="006C03F2" w:rsidRDefault="001F0362" w:rsidP="006C03F2">
      <w:pPr>
        <w:spacing w:after="0" w:line="240" w:lineRule="auto"/>
        <w:rPr>
          <w:rFonts w:ascii="Arial" w:hAnsi="Arial" w:cs="Arial"/>
          <w:sz w:val="20"/>
          <w:szCs w:val="20"/>
          <w:lang w:val="en-ZA"/>
        </w:rPr>
      </w:pPr>
      <w:r w:rsidRPr="006C03F2">
        <w:rPr>
          <w:rFonts w:ascii="Arial" w:hAnsi="Arial" w:cs="Arial"/>
          <w:sz w:val="20"/>
          <w:szCs w:val="20"/>
          <w:lang w:val="en-ZA"/>
        </w:rPr>
        <w:t>The Executive Authority should provide the Committee with a response to the recommendations bel</w:t>
      </w:r>
      <w:r w:rsidR="00E96DE7" w:rsidRPr="006C03F2">
        <w:rPr>
          <w:rFonts w:ascii="Arial" w:hAnsi="Arial" w:cs="Arial"/>
          <w:sz w:val="20"/>
          <w:szCs w:val="20"/>
          <w:lang w:val="en-ZA"/>
        </w:rPr>
        <w:t>ow within 30 days of the adoption</w:t>
      </w:r>
      <w:r w:rsidRPr="006C03F2">
        <w:rPr>
          <w:rFonts w:ascii="Arial" w:hAnsi="Arial" w:cs="Arial"/>
          <w:sz w:val="20"/>
          <w:szCs w:val="20"/>
          <w:lang w:val="en-ZA"/>
        </w:rPr>
        <w:t xml:space="preserve"> of</w:t>
      </w:r>
      <w:r w:rsidR="00A8392D" w:rsidRPr="006C03F2">
        <w:rPr>
          <w:rFonts w:ascii="Arial" w:hAnsi="Arial" w:cs="Arial"/>
          <w:sz w:val="20"/>
          <w:szCs w:val="20"/>
          <w:lang w:val="en-ZA"/>
        </w:rPr>
        <w:t xml:space="preserve"> this report</w:t>
      </w:r>
      <w:r w:rsidR="00C61696" w:rsidRPr="006C03F2">
        <w:rPr>
          <w:rFonts w:ascii="Arial" w:hAnsi="Arial" w:cs="Arial"/>
          <w:sz w:val="20"/>
          <w:szCs w:val="20"/>
          <w:lang w:val="en-ZA"/>
        </w:rPr>
        <w:t xml:space="preserve"> by the NA and the NCOP</w:t>
      </w:r>
      <w:r w:rsidR="00A8392D" w:rsidRPr="006C03F2">
        <w:rPr>
          <w:rFonts w:ascii="Arial" w:hAnsi="Arial" w:cs="Arial"/>
          <w:sz w:val="20"/>
          <w:szCs w:val="20"/>
          <w:lang w:val="en-ZA"/>
        </w:rPr>
        <w:t>.</w:t>
      </w:r>
    </w:p>
    <w:p w:rsidR="009D0348" w:rsidRPr="006C03F2" w:rsidRDefault="009D0348" w:rsidP="006C03F2">
      <w:pPr>
        <w:spacing w:after="0" w:line="240" w:lineRule="auto"/>
        <w:rPr>
          <w:rFonts w:ascii="Arial" w:hAnsi="Arial" w:cs="Arial"/>
          <w:i/>
          <w:sz w:val="20"/>
          <w:szCs w:val="20"/>
          <w:lang w:val="en-ZA"/>
        </w:rPr>
      </w:pPr>
    </w:p>
    <w:p w:rsidR="00C61696" w:rsidRPr="006C03F2" w:rsidRDefault="00C61696" w:rsidP="006C03F2">
      <w:pPr>
        <w:spacing w:after="0" w:line="240" w:lineRule="auto"/>
        <w:rPr>
          <w:rFonts w:ascii="Arial" w:hAnsi="Arial" w:cs="Arial"/>
          <w:i/>
          <w:sz w:val="20"/>
          <w:szCs w:val="20"/>
          <w:lang w:val="en-ZA"/>
        </w:rPr>
      </w:pPr>
      <w:r w:rsidRPr="006C03F2">
        <w:rPr>
          <w:rFonts w:ascii="Arial" w:hAnsi="Arial" w:cs="Arial"/>
          <w:i/>
          <w:sz w:val="20"/>
          <w:szCs w:val="20"/>
          <w:lang w:val="en-ZA"/>
        </w:rPr>
        <w:t>6.1</w:t>
      </w:r>
      <w:r w:rsidRPr="006C03F2">
        <w:rPr>
          <w:rFonts w:ascii="Arial" w:hAnsi="Arial" w:cs="Arial"/>
          <w:i/>
          <w:sz w:val="20"/>
          <w:szCs w:val="20"/>
          <w:lang w:val="en-ZA"/>
        </w:rPr>
        <w:tab/>
      </w:r>
      <w:r w:rsidR="00EE7F36" w:rsidRPr="006C03F2">
        <w:rPr>
          <w:rFonts w:ascii="Arial" w:hAnsi="Arial" w:cs="Arial"/>
          <w:i/>
          <w:sz w:val="20"/>
          <w:szCs w:val="20"/>
          <w:lang w:val="en-ZA"/>
        </w:rPr>
        <w:t>Filling of Critical Vacancies</w:t>
      </w:r>
    </w:p>
    <w:p w:rsidR="009A1AC9" w:rsidRPr="006C03F2" w:rsidRDefault="00EE7F3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6.1.1</w:t>
      </w:r>
      <w:r w:rsidRPr="006C03F2">
        <w:rPr>
          <w:rFonts w:ascii="Arial" w:hAnsi="Arial" w:cs="Arial"/>
          <w:sz w:val="20"/>
          <w:szCs w:val="20"/>
          <w:lang w:val="en-ZA"/>
        </w:rPr>
        <w:tab/>
        <w:t>The Committee should receive quarterly updates on the filling of all vacancies, and in particular those at senior management level.</w:t>
      </w:r>
    </w:p>
    <w:p w:rsidR="00FE6D82" w:rsidRPr="006C03F2" w:rsidRDefault="00FE6D82" w:rsidP="006C03F2">
      <w:pPr>
        <w:spacing w:after="0" w:line="240" w:lineRule="auto"/>
        <w:rPr>
          <w:rFonts w:ascii="Arial" w:hAnsi="Arial" w:cs="Arial"/>
          <w:i/>
          <w:sz w:val="20"/>
          <w:szCs w:val="20"/>
          <w:lang w:val="en-ZA"/>
        </w:rPr>
      </w:pPr>
    </w:p>
    <w:p w:rsidR="009A1AC9" w:rsidRPr="006C03F2" w:rsidRDefault="00C61696" w:rsidP="006C03F2">
      <w:pPr>
        <w:spacing w:after="0" w:line="240" w:lineRule="auto"/>
        <w:rPr>
          <w:rFonts w:ascii="Arial" w:hAnsi="Arial" w:cs="Arial"/>
          <w:i/>
          <w:sz w:val="20"/>
          <w:szCs w:val="20"/>
          <w:lang w:val="en-ZA"/>
        </w:rPr>
      </w:pPr>
      <w:r w:rsidRPr="006C03F2">
        <w:rPr>
          <w:rFonts w:ascii="Arial" w:hAnsi="Arial" w:cs="Arial"/>
          <w:i/>
          <w:sz w:val="20"/>
          <w:szCs w:val="20"/>
          <w:lang w:val="en-ZA"/>
        </w:rPr>
        <w:t>6.</w:t>
      </w:r>
      <w:r w:rsidR="005B59F5" w:rsidRPr="006C03F2">
        <w:rPr>
          <w:rFonts w:ascii="Arial" w:hAnsi="Arial" w:cs="Arial"/>
          <w:i/>
          <w:sz w:val="20"/>
          <w:szCs w:val="20"/>
          <w:lang w:val="en-ZA"/>
        </w:rPr>
        <w:t>2</w:t>
      </w:r>
      <w:r w:rsidR="009A1AC9" w:rsidRPr="006C03F2">
        <w:rPr>
          <w:rFonts w:ascii="Arial" w:hAnsi="Arial" w:cs="Arial"/>
          <w:i/>
          <w:sz w:val="20"/>
          <w:szCs w:val="20"/>
          <w:lang w:val="en-ZA"/>
        </w:rPr>
        <w:tab/>
        <w:t>Organisational re-alignment</w:t>
      </w:r>
    </w:p>
    <w:p w:rsidR="009A1AC9" w:rsidRPr="006C03F2" w:rsidRDefault="00C6169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6.</w:t>
      </w:r>
      <w:r w:rsidR="005B59F5" w:rsidRPr="006C03F2">
        <w:rPr>
          <w:rFonts w:ascii="Arial" w:hAnsi="Arial" w:cs="Arial"/>
          <w:sz w:val="20"/>
          <w:szCs w:val="20"/>
          <w:lang w:val="en-ZA"/>
        </w:rPr>
        <w:t>2</w:t>
      </w:r>
      <w:r w:rsidR="009A1AC9" w:rsidRPr="006C03F2">
        <w:rPr>
          <w:rFonts w:ascii="Arial" w:hAnsi="Arial" w:cs="Arial"/>
          <w:sz w:val="20"/>
          <w:szCs w:val="20"/>
          <w:lang w:val="en-ZA"/>
        </w:rPr>
        <w:t>.1</w:t>
      </w:r>
      <w:r w:rsidR="009A1AC9" w:rsidRPr="006C03F2">
        <w:rPr>
          <w:rFonts w:ascii="Arial" w:hAnsi="Arial" w:cs="Arial"/>
          <w:sz w:val="20"/>
          <w:szCs w:val="20"/>
          <w:lang w:val="en-ZA"/>
        </w:rPr>
        <w:tab/>
        <w:t xml:space="preserve">The Committee is concerned about the apparent slow implementation of the organisational re-alignment project, and should receive a detailed briefing/report on </w:t>
      </w:r>
      <w:r w:rsidR="006D02D1" w:rsidRPr="006C03F2">
        <w:rPr>
          <w:rFonts w:ascii="Arial" w:hAnsi="Arial" w:cs="Arial"/>
          <w:sz w:val="20"/>
          <w:szCs w:val="20"/>
          <w:lang w:val="en-ZA"/>
        </w:rPr>
        <w:t>it</w:t>
      </w:r>
      <w:r w:rsidR="009A1AC9" w:rsidRPr="006C03F2">
        <w:rPr>
          <w:rFonts w:ascii="Arial" w:hAnsi="Arial" w:cs="Arial"/>
          <w:sz w:val="20"/>
          <w:szCs w:val="20"/>
          <w:lang w:val="en-ZA"/>
        </w:rPr>
        <w:t xml:space="preserve">, as well as reasons for </w:t>
      </w:r>
      <w:r w:rsidR="009A1AC9" w:rsidRPr="006C03F2">
        <w:rPr>
          <w:rFonts w:ascii="Arial" w:hAnsi="Arial" w:cs="Arial"/>
          <w:sz w:val="20"/>
          <w:szCs w:val="20"/>
          <w:lang w:val="en-ZA"/>
        </w:rPr>
        <w:lastRenderedPageBreak/>
        <w:t>the apparent delay in finalising it. We have also noted that some vacant posts cannot be filled until this process has been finalised. This places further urgency on ensuring that the process is finalised.</w:t>
      </w:r>
    </w:p>
    <w:p w:rsidR="009A1AC9" w:rsidRPr="006C03F2" w:rsidRDefault="009A1AC9" w:rsidP="006C03F2">
      <w:pPr>
        <w:spacing w:after="0" w:line="240" w:lineRule="auto"/>
        <w:rPr>
          <w:rFonts w:ascii="Arial" w:hAnsi="Arial" w:cs="Arial"/>
          <w:sz w:val="20"/>
          <w:szCs w:val="20"/>
          <w:lang w:val="en-ZA"/>
        </w:rPr>
      </w:pPr>
    </w:p>
    <w:p w:rsidR="00EE7F36" w:rsidRPr="006C03F2" w:rsidRDefault="00C61696" w:rsidP="006C03F2">
      <w:pPr>
        <w:spacing w:after="0" w:line="240" w:lineRule="auto"/>
        <w:rPr>
          <w:rFonts w:ascii="Arial" w:hAnsi="Arial" w:cs="Arial"/>
          <w:i/>
          <w:sz w:val="20"/>
          <w:szCs w:val="20"/>
          <w:lang w:val="en-ZA"/>
        </w:rPr>
      </w:pPr>
      <w:r w:rsidRPr="006C03F2">
        <w:rPr>
          <w:rFonts w:ascii="Arial" w:hAnsi="Arial" w:cs="Arial"/>
          <w:i/>
          <w:sz w:val="20"/>
          <w:szCs w:val="20"/>
          <w:lang w:val="en-ZA"/>
        </w:rPr>
        <w:t>6.</w:t>
      </w:r>
      <w:r w:rsidR="005B59F5" w:rsidRPr="006C03F2">
        <w:rPr>
          <w:rFonts w:ascii="Arial" w:hAnsi="Arial" w:cs="Arial"/>
          <w:i/>
          <w:sz w:val="20"/>
          <w:szCs w:val="20"/>
          <w:lang w:val="en-ZA"/>
        </w:rPr>
        <w:t>3</w:t>
      </w:r>
      <w:r w:rsidRPr="006C03F2">
        <w:rPr>
          <w:rFonts w:ascii="Arial" w:hAnsi="Arial" w:cs="Arial"/>
          <w:i/>
          <w:sz w:val="20"/>
          <w:szCs w:val="20"/>
          <w:lang w:val="en-ZA"/>
        </w:rPr>
        <w:tab/>
      </w:r>
      <w:r w:rsidR="00EE7F36" w:rsidRPr="006C03F2">
        <w:rPr>
          <w:rFonts w:ascii="Arial" w:hAnsi="Arial" w:cs="Arial"/>
          <w:i/>
          <w:sz w:val="20"/>
          <w:szCs w:val="20"/>
          <w:lang w:val="en-ZA"/>
        </w:rPr>
        <w:t>Impact of fire on renovation projects</w:t>
      </w:r>
    </w:p>
    <w:p w:rsidR="009A1AC9" w:rsidRPr="006C03F2" w:rsidRDefault="00C6169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6.</w:t>
      </w:r>
      <w:r w:rsidR="005B59F5" w:rsidRPr="006C03F2">
        <w:rPr>
          <w:rFonts w:ascii="Arial" w:hAnsi="Arial" w:cs="Arial"/>
          <w:sz w:val="20"/>
          <w:szCs w:val="20"/>
          <w:lang w:val="en-ZA"/>
        </w:rPr>
        <w:t>3</w:t>
      </w:r>
      <w:r w:rsidRPr="006C03F2">
        <w:rPr>
          <w:rFonts w:ascii="Arial" w:hAnsi="Arial" w:cs="Arial"/>
          <w:sz w:val="20"/>
          <w:szCs w:val="20"/>
          <w:lang w:val="en-ZA"/>
        </w:rPr>
        <w:t>.1</w:t>
      </w:r>
      <w:r w:rsidRPr="006C03F2">
        <w:rPr>
          <w:rFonts w:ascii="Arial" w:hAnsi="Arial" w:cs="Arial"/>
          <w:sz w:val="20"/>
          <w:szCs w:val="20"/>
          <w:lang w:val="en-ZA"/>
        </w:rPr>
        <w:tab/>
      </w:r>
      <w:r w:rsidR="00EE7F36" w:rsidRPr="006C03F2">
        <w:rPr>
          <w:rFonts w:ascii="Arial" w:hAnsi="Arial" w:cs="Arial"/>
          <w:sz w:val="20"/>
          <w:szCs w:val="20"/>
          <w:lang w:val="en-ZA"/>
        </w:rPr>
        <w:t>The Committee should be provided with a report on the impact of the fire, particularly how infrastructure projects that were underwa</w:t>
      </w:r>
      <w:r w:rsidR="0002795F" w:rsidRPr="006C03F2">
        <w:rPr>
          <w:rFonts w:ascii="Arial" w:hAnsi="Arial" w:cs="Arial"/>
          <w:sz w:val="20"/>
          <w:szCs w:val="20"/>
          <w:lang w:val="en-ZA"/>
        </w:rPr>
        <w:t>y at the time have been affected</w:t>
      </w:r>
      <w:r w:rsidR="00EE7F36" w:rsidRPr="006C03F2">
        <w:rPr>
          <w:rFonts w:ascii="Arial" w:hAnsi="Arial" w:cs="Arial"/>
          <w:sz w:val="20"/>
          <w:szCs w:val="20"/>
          <w:lang w:val="en-ZA"/>
        </w:rPr>
        <w:t>.</w:t>
      </w:r>
    </w:p>
    <w:p w:rsidR="009A1AC9" w:rsidRPr="006C03F2" w:rsidRDefault="00EE7F3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6.3.2</w:t>
      </w:r>
      <w:r w:rsidRPr="006C03F2">
        <w:rPr>
          <w:rFonts w:ascii="Arial" w:hAnsi="Arial" w:cs="Arial"/>
          <w:sz w:val="20"/>
          <w:szCs w:val="20"/>
          <w:lang w:val="en-ZA"/>
        </w:rPr>
        <w:tab/>
        <w:t xml:space="preserve">The Committee should be provided with a report on the </w:t>
      </w:r>
      <w:r w:rsidR="0002795F" w:rsidRPr="006C03F2">
        <w:rPr>
          <w:rFonts w:ascii="Arial" w:hAnsi="Arial" w:cs="Arial"/>
          <w:sz w:val="20"/>
          <w:szCs w:val="20"/>
          <w:lang w:val="en-ZA"/>
        </w:rPr>
        <w:t>remote work</w:t>
      </w:r>
      <w:r w:rsidRPr="006C03F2">
        <w:rPr>
          <w:rFonts w:ascii="Arial" w:hAnsi="Arial" w:cs="Arial"/>
          <w:sz w:val="20"/>
          <w:szCs w:val="20"/>
          <w:lang w:val="en-ZA"/>
        </w:rPr>
        <w:t xml:space="preserve"> policy, specifically the impact of </w:t>
      </w:r>
      <w:r w:rsidR="0002795F" w:rsidRPr="006C03F2">
        <w:rPr>
          <w:rFonts w:ascii="Arial" w:hAnsi="Arial" w:cs="Arial"/>
          <w:sz w:val="20"/>
          <w:szCs w:val="20"/>
          <w:lang w:val="en-ZA"/>
        </w:rPr>
        <w:t>remote work</w:t>
      </w:r>
      <w:r w:rsidRPr="006C03F2">
        <w:rPr>
          <w:rFonts w:ascii="Arial" w:hAnsi="Arial" w:cs="Arial"/>
          <w:sz w:val="20"/>
          <w:szCs w:val="20"/>
          <w:lang w:val="en-ZA"/>
        </w:rPr>
        <w:t xml:space="preserve"> arrangements on the institution’s budget.</w:t>
      </w:r>
    </w:p>
    <w:p w:rsidR="00EE7F36" w:rsidRPr="006C03F2" w:rsidRDefault="00EE7F36" w:rsidP="006C03F2">
      <w:pPr>
        <w:spacing w:after="0" w:line="240" w:lineRule="auto"/>
        <w:rPr>
          <w:rFonts w:ascii="Arial" w:hAnsi="Arial" w:cs="Arial"/>
          <w:i/>
          <w:sz w:val="20"/>
          <w:szCs w:val="20"/>
          <w:lang w:val="en-ZA"/>
        </w:rPr>
      </w:pPr>
    </w:p>
    <w:p w:rsidR="009A1AC9" w:rsidRPr="006C03F2" w:rsidRDefault="00C61696" w:rsidP="006C03F2">
      <w:pPr>
        <w:spacing w:after="0" w:line="240" w:lineRule="auto"/>
        <w:rPr>
          <w:rFonts w:ascii="Arial" w:hAnsi="Arial" w:cs="Arial"/>
          <w:i/>
          <w:sz w:val="20"/>
          <w:szCs w:val="20"/>
          <w:lang w:val="en-ZA"/>
        </w:rPr>
      </w:pPr>
      <w:r w:rsidRPr="006C03F2">
        <w:rPr>
          <w:rFonts w:ascii="Arial" w:hAnsi="Arial" w:cs="Arial"/>
          <w:i/>
          <w:sz w:val="20"/>
          <w:szCs w:val="20"/>
          <w:lang w:val="en-ZA"/>
        </w:rPr>
        <w:t>6.</w:t>
      </w:r>
      <w:r w:rsidR="005B59F5" w:rsidRPr="006C03F2">
        <w:rPr>
          <w:rFonts w:ascii="Arial" w:hAnsi="Arial" w:cs="Arial"/>
          <w:i/>
          <w:sz w:val="20"/>
          <w:szCs w:val="20"/>
          <w:lang w:val="en-ZA"/>
        </w:rPr>
        <w:t>4</w:t>
      </w:r>
      <w:r w:rsidRPr="006C03F2">
        <w:rPr>
          <w:rFonts w:ascii="Arial" w:hAnsi="Arial" w:cs="Arial"/>
          <w:i/>
          <w:sz w:val="20"/>
          <w:szCs w:val="20"/>
          <w:lang w:val="en-ZA"/>
        </w:rPr>
        <w:tab/>
      </w:r>
      <w:r w:rsidR="00EE7F36" w:rsidRPr="006C03F2">
        <w:rPr>
          <w:rFonts w:ascii="Arial" w:hAnsi="Arial" w:cs="Arial"/>
          <w:i/>
          <w:sz w:val="20"/>
          <w:szCs w:val="20"/>
          <w:lang w:val="en-ZA"/>
        </w:rPr>
        <w:t>Security Enhancement</w:t>
      </w:r>
    </w:p>
    <w:p w:rsidR="009A1AC9" w:rsidRPr="006C03F2" w:rsidRDefault="00C61696"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6.</w:t>
      </w:r>
      <w:r w:rsidR="005B59F5" w:rsidRPr="006C03F2">
        <w:rPr>
          <w:rFonts w:ascii="Arial" w:hAnsi="Arial" w:cs="Arial"/>
          <w:sz w:val="20"/>
          <w:szCs w:val="20"/>
          <w:lang w:val="en-ZA"/>
        </w:rPr>
        <w:t>4</w:t>
      </w:r>
      <w:r w:rsidRPr="006C03F2">
        <w:rPr>
          <w:rFonts w:ascii="Arial" w:hAnsi="Arial" w:cs="Arial"/>
          <w:sz w:val="20"/>
          <w:szCs w:val="20"/>
          <w:lang w:val="en-ZA"/>
        </w:rPr>
        <w:t>.1</w:t>
      </w:r>
      <w:r w:rsidRPr="006C03F2">
        <w:rPr>
          <w:rFonts w:ascii="Arial" w:hAnsi="Arial" w:cs="Arial"/>
          <w:sz w:val="20"/>
          <w:szCs w:val="20"/>
          <w:lang w:val="en-ZA"/>
        </w:rPr>
        <w:tab/>
      </w:r>
      <w:r w:rsidR="00EE7F36" w:rsidRPr="006C03F2">
        <w:rPr>
          <w:rFonts w:ascii="Arial" w:hAnsi="Arial" w:cs="Arial"/>
          <w:sz w:val="20"/>
          <w:szCs w:val="20"/>
          <w:lang w:val="en-ZA"/>
        </w:rPr>
        <w:t>The institution should consider halting the project to enhance secur</w:t>
      </w:r>
      <w:r w:rsidR="0002795F" w:rsidRPr="006C03F2">
        <w:rPr>
          <w:rFonts w:ascii="Arial" w:hAnsi="Arial" w:cs="Arial"/>
          <w:sz w:val="20"/>
          <w:szCs w:val="20"/>
          <w:lang w:val="en-ZA"/>
        </w:rPr>
        <w:t>ity until the appointment of a head of s</w:t>
      </w:r>
      <w:r w:rsidR="00EE7F36" w:rsidRPr="006C03F2">
        <w:rPr>
          <w:rFonts w:ascii="Arial" w:hAnsi="Arial" w:cs="Arial"/>
          <w:sz w:val="20"/>
          <w:szCs w:val="20"/>
          <w:lang w:val="en-ZA"/>
        </w:rPr>
        <w:t>ecurity who will be able to spearhead the project on Parliament’s behalf and ensure that the institution’s security needs are addressed in full.</w:t>
      </w:r>
    </w:p>
    <w:p w:rsidR="003F5A53" w:rsidRPr="006C03F2" w:rsidRDefault="003F5A53" w:rsidP="006C03F2">
      <w:pPr>
        <w:spacing w:after="0" w:line="240" w:lineRule="auto"/>
        <w:rPr>
          <w:rFonts w:ascii="Arial" w:hAnsi="Arial" w:cs="Arial"/>
          <w:sz w:val="20"/>
          <w:szCs w:val="20"/>
          <w:lang w:val="en-ZA"/>
        </w:rPr>
      </w:pPr>
    </w:p>
    <w:p w:rsidR="003F5A53" w:rsidRPr="006C03F2" w:rsidRDefault="003F5A53" w:rsidP="006C03F2">
      <w:pPr>
        <w:spacing w:after="0" w:line="240" w:lineRule="auto"/>
        <w:rPr>
          <w:rFonts w:ascii="Arial" w:hAnsi="Arial" w:cs="Arial"/>
          <w:i/>
          <w:sz w:val="20"/>
          <w:szCs w:val="20"/>
          <w:lang w:val="en-ZA"/>
        </w:rPr>
      </w:pPr>
      <w:r w:rsidRPr="006C03F2">
        <w:rPr>
          <w:rFonts w:ascii="Arial" w:hAnsi="Arial" w:cs="Arial"/>
          <w:i/>
          <w:sz w:val="20"/>
          <w:szCs w:val="20"/>
          <w:lang w:val="en-ZA"/>
        </w:rPr>
        <w:t>6.5</w:t>
      </w:r>
      <w:r w:rsidRPr="006C03F2">
        <w:rPr>
          <w:rFonts w:ascii="Arial" w:hAnsi="Arial" w:cs="Arial"/>
          <w:i/>
          <w:sz w:val="20"/>
          <w:szCs w:val="20"/>
          <w:lang w:val="en-ZA"/>
        </w:rPr>
        <w:tab/>
        <w:t>Performance Management</w:t>
      </w:r>
    </w:p>
    <w:p w:rsidR="003F5A53" w:rsidRPr="006C03F2" w:rsidRDefault="003F5A53"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6.5.1</w:t>
      </w:r>
      <w:r w:rsidRPr="006C03F2">
        <w:rPr>
          <w:rFonts w:ascii="Arial" w:hAnsi="Arial" w:cs="Arial"/>
          <w:sz w:val="20"/>
          <w:szCs w:val="20"/>
          <w:lang w:val="en-ZA"/>
        </w:rPr>
        <w:tab/>
        <w:t>The Committee should receive a detailed</w:t>
      </w:r>
      <w:r w:rsidR="0002795F" w:rsidRPr="006C03F2">
        <w:rPr>
          <w:rFonts w:ascii="Arial" w:hAnsi="Arial" w:cs="Arial"/>
          <w:sz w:val="20"/>
          <w:szCs w:val="20"/>
          <w:lang w:val="en-ZA"/>
        </w:rPr>
        <w:t xml:space="preserve"> briefing on how performance is</w:t>
      </w:r>
      <w:r w:rsidRPr="006C03F2">
        <w:rPr>
          <w:rFonts w:ascii="Arial" w:hAnsi="Arial" w:cs="Arial"/>
          <w:sz w:val="20"/>
          <w:szCs w:val="20"/>
          <w:lang w:val="en-ZA"/>
        </w:rPr>
        <w:t xml:space="preserve"> manage</w:t>
      </w:r>
      <w:r w:rsidR="00CD0E9B" w:rsidRPr="006C03F2">
        <w:rPr>
          <w:rFonts w:ascii="Arial" w:hAnsi="Arial" w:cs="Arial"/>
          <w:sz w:val="20"/>
          <w:szCs w:val="20"/>
          <w:lang w:val="en-ZA"/>
        </w:rPr>
        <w:t>d</w:t>
      </w:r>
      <w:r w:rsidRPr="006C03F2">
        <w:rPr>
          <w:rFonts w:ascii="Arial" w:hAnsi="Arial" w:cs="Arial"/>
          <w:sz w:val="20"/>
          <w:szCs w:val="20"/>
          <w:lang w:val="en-ZA"/>
        </w:rPr>
        <w:t xml:space="preserve"> across the institution and at every level. </w:t>
      </w:r>
    </w:p>
    <w:p w:rsidR="003F5A53" w:rsidRPr="006C03F2" w:rsidRDefault="003F5A53"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6.5.2</w:t>
      </w:r>
      <w:r w:rsidRPr="006C03F2">
        <w:rPr>
          <w:rFonts w:ascii="Arial" w:hAnsi="Arial" w:cs="Arial"/>
          <w:sz w:val="20"/>
          <w:szCs w:val="20"/>
          <w:lang w:val="en-ZA"/>
        </w:rPr>
        <w:tab/>
        <w:t>The institution should find ways of encouraging far greater participation in the client satisfaction surveys that now form the basis of performance management. In particular, mini satisfaction surveys should be completed for each committee activity in order to ensure that commi</w:t>
      </w:r>
      <w:r w:rsidR="00976FE6" w:rsidRPr="006C03F2">
        <w:rPr>
          <w:rFonts w:ascii="Arial" w:hAnsi="Arial" w:cs="Arial"/>
          <w:sz w:val="20"/>
          <w:szCs w:val="20"/>
          <w:lang w:val="en-ZA"/>
        </w:rPr>
        <w:t>ttees receive adequate support.</w:t>
      </w:r>
    </w:p>
    <w:p w:rsidR="00EB4856" w:rsidRPr="006C03F2" w:rsidRDefault="00EB4856" w:rsidP="006C03F2">
      <w:pPr>
        <w:spacing w:after="0" w:line="240" w:lineRule="auto"/>
        <w:rPr>
          <w:rFonts w:ascii="Arial" w:hAnsi="Arial" w:cs="Arial"/>
          <w:sz w:val="20"/>
          <w:szCs w:val="20"/>
          <w:lang w:val="en-ZA"/>
        </w:rPr>
      </w:pPr>
    </w:p>
    <w:p w:rsidR="00976FE6" w:rsidRPr="006C03F2" w:rsidRDefault="00976FE6" w:rsidP="006C03F2">
      <w:pPr>
        <w:spacing w:after="0" w:line="240" w:lineRule="auto"/>
        <w:rPr>
          <w:rFonts w:ascii="Arial" w:hAnsi="Arial" w:cs="Arial"/>
          <w:i/>
          <w:sz w:val="20"/>
          <w:szCs w:val="20"/>
          <w:lang w:val="en-ZA"/>
        </w:rPr>
      </w:pPr>
      <w:r w:rsidRPr="006C03F2">
        <w:rPr>
          <w:rFonts w:ascii="Arial" w:hAnsi="Arial" w:cs="Arial"/>
          <w:i/>
          <w:sz w:val="20"/>
          <w:szCs w:val="20"/>
          <w:lang w:val="en-ZA"/>
        </w:rPr>
        <w:t>6.6</w:t>
      </w:r>
      <w:r w:rsidRPr="006C03F2">
        <w:rPr>
          <w:rFonts w:ascii="Arial" w:hAnsi="Arial" w:cs="Arial"/>
          <w:i/>
          <w:sz w:val="20"/>
          <w:szCs w:val="20"/>
          <w:lang w:val="en-ZA"/>
        </w:rPr>
        <w:tab/>
      </w:r>
      <w:r w:rsidR="00CD0E9B" w:rsidRPr="006C03F2">
        <w:rPr>
          <w:rFonts w:ascii="Arial" w:hAnsi="Arial" w:cs="Arial"/>
          <w:i/>
          <w:sz w:val="20"/>
          <w:szCs w:val="20"/>
          <w:lang w:val="en-ZA"/>
        </w:rPr>
        <w:t>Budget allocation</w:t>
      </w:r>
    </w:p>
    <w:p w:rsidR="00CD0E9B" w:rsidRPr="006C03F2" w:rsidRDefault="00CD0E9B" w:rsidP="006C03F2">
      <w:pPr>
        <w:spacing w:after="0" w:line="240" w:lineRule="auto"/>
        <w:ind w:left="720" w:hanging="720"/>
        <w:rPr>
          <w:rFonts w:ascii="Arial" w:hAnsi="Arial" w:cs="Arial"/>
          <w:sz w:val="20"/>
          <w:szCs w:val="20"/>
          <w:lang w:val="en-ZA"/>
        </w:rPr>
      </w:pPr>
      <w:r w:rsidRPr="006C03F2">
        <w:rPr>
          <w:rFonts w:ascii="Arial" w:hAnsi="Arial" w:cs="Arial"/>
          <w:sz w:val="20"/>
          <w:szCs w:val="20"/>
          <w:lang w:val="en-ZA"/>
        </w:rPr>
        <w:t>6.6.1</w:t>
      </w:r>
      <w:r w:rsidRPr="006C03F2">
        <w:rPr>
          <w:rFonts w:ascii="Arial" w:hAnsi="Arial" w:cs="Arial"/>
          <w:sz w:val="20"/>
          <w:szCs w:val="20"/>
          <w:lang w:val="en-ZA"/>
        </w:rPr>
        <w:tab/>
        <w:t>The executive authorities of Parliament and the National Treasury should meet before the</w:t>
      </w:r>
      <w:r w:rsidR="0002795F" w:rsidRPr="006C03F2">
        <w:rPr>
          <w:rFonts w:ascii="Arial" w:hAnsi="Arial" w:cs="Arial"/>
          <w:sz w:val="20"/>
          <w:szCs w:val="20"/>
          <w:lang w:val="en-ZA"/>
        </w:rPr>
        <w:t xml:space="preserve"> medium term budget policy statement (MTBPS) so as</w:t>
      </w:r>
      <w:r w:rsidRPr="006C03F2">
        <w:rPr>
          <w:rFonts w:ascii="Arial" w:hAnsi="Arial" w:cs="Arial"/>
          <w:sz w:val="20"/>
          <w:szCs w:val="20"/>
          <w:lang w:val="en-ZA"/>
        </w:rPr>
        <w:t xml:space="preserve"> to resolve how Parliament’s budget </w:t>
      </w:r>
      <w:r w:rsidR="0002795F" w:rsidRPr="006C03F2">
        <w:rPr>
          <w:rFonts w:ascii="Arial" w:hAnsi="Arial" w:cs="Arial"/>
          <w:sz w:val="20"/>
          <w:szCs w:val="20"/>
          <w:lang w:val="en-ZA"/>
        </w:rPr>
        <w:t xml:space="preserve">will be decided bearing in mind </w:t>
      </w:r>
      <w:r w:rsidR="00892B9E" w:rsidRPr="006C03F2">
        <w:rPr>
          <w:rFonts w:ascii="Arial" w:hAnsi="Arial" w:cs="Arial"/>
          <w:sz w:val="20"/>
          <w:szCs w:val="20"/>
          <w:lang w:val="en-ZA"/>
        </w:rPr>
        <w:t xml:space="preserve">its obligation to perform oversight. The Committee should be kept abreast of developments in this regard. </w:t>
      </w:r>
    </w:p>
    <w:p w:rsidR="00F22932" w:rsidRPr="006C03F2" w:rsidRDefault="00F22932" w:rsidP="006C03F2">
      <w:pPr>
        <w:spacing w:after="0" w:line="240" w:lineRule="auto"/>
        <w:rPr>
          <w:rFonts w:ascii="Arial" w:hAnsi="Arial" w:cs="Arial"/>
          <w:b/>
          <w:sz w:val="20"/>
          <w:szCs w:val="20"/>
          <w:lang w:val="en-ZA"/>
        </w:rPr>
      </w:pPr>
    </w:p>
    <w:p w:rsidR="00B26565" w:rsidRPr="006C03F2" w:rsidRDefault="00CC7C5C" w:rsidP="006C03F2">
      <w:pPr>
        <w:spacing w:after="0" w:line="240" w:lineRule="auto"/>
        <w:rPr>
          <w:rFonts w:ascii="Arial" w:hAnsi="Arial" w:cs="Arial"/>
          <w:b/>
          <w:sz w:val="20"/>
          <w:szCs w:val="20"/>
          <w:lang w:val="en-ZA"/>
        </w:rPr>
      </w:pPr>
      <w:r w:rsidRPr="006C03F2">
        <w:rPr>
          <w:rFonts w:ascii="Arial" w:hAnsi="Arial" w:cs="Arial"/>
          <w:b/>
          <w:sz w:val="20"/>
          <w:szCs w:val="20"/>
          <w:lang w:val="en-ZA"/>
        </w:rPr>
        <w:t>Report to be considered.</w:t>
      </w:r>
    </w:p>
    <w:sectPr w:rsidR="00B26565" w:rsidRPr="006C03F2" w:rsidSect="0014532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B0" w:rsidRDefault="003264B0">
      <w:pPr>
        <w:spacing w:after="0" w:line="240" w:lineRule="auto"/>
      </w:pPr>
      <w:r>
        <w:separator/>
      </w:r>
    </w:p>
  </w:endnote>
  <w:endnote w:type="continuationSeparator" w:id="0">
    <w:p w:rsidR="003264B0" w:rsidRDefault="00326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18992"/>
      <w:docPartObj>
        <w:docPartGallery w:val="Page Numbers (Bottom of Page)"/>
        <w:docPartUnique/>
      </w:docPartObj>
    </w:sdtPr>
    <w:sdtEndPr>
      <w:rPr>
        <w:noProof/>
      </w:rPr>
    </w:sdtEndPr>
    <w:sdtContent>
      <w:p w:rsidR="00FA3B99" w:rsidRDefault="00BA3D4D">
        <w:pPr>
          <w:pStyle w:val="Footer"/>
          <w:jc w:val="right"/>
        </w:pPr>
        <w:r>
          <w:fldChar w:fldCharType="begin"/>
        </w:r>
        <w:r w:rsidR="00FA3B99">
          <w:instrText xml:space="preserve"> PAGE   \* MERGEFORMAT </w:instrText>
        </w:r>
        <w:r>
          <w:fldChar w:fldCharType="separate"/>
        </w:r>
        <w:r w:rsidR="006C03F2">
          <w:rPr>
            <w:noProof/>
          </w:rPr>
          <w:t>1</w:t>
        </w:r>
        <w:r>
          <w:rPr>
            <w:noProof/>
          </w:rPr>
          <w:fldChar w:fldCharType="end"/>
        </w:r>
      </w:p>
    </w:sdtContent>
  </w:sdt>
  <w:p w:rsidR="00FA3B99" w:rsidRDefault="00FA3B99">
    <w:pPr>
      <w:pStyle w:val="Footer"/>
    </w:pPr>
  </w:p>
  <w:p w:rsidR="00FA3B99" w:rsidRDefault="00FA3B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B0" w:rsidRDefault="003264B0">
      <w:pPr>
        <w:spacing w:after="0" w:line="240" w:lineRule="auto"/>
      </w:pPr>
      <w:r>
        <w:separator/>
      </w:r>
    </w:p>
  </w:footnote>
  <w:footnote w:type="continuationSeparator" w:id="0">
    <w:p w:rsidR="003264B0" w:rsidRDefault="00326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6A0"/>
    <w:multiLevelType w:val="hybridMultilevel"/>
    <w:tmpl w:val="500898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2A6DC0"/>
    <w:multiLevelType w:val="hybridMultilevel"/>
    <w:tmpl w:val="2C1A47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B4A2968"/>
    <w:multiLevelType w:val="multilevel"/>
    <w:tmpl w:val="54CA27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407F81"/>
    <w:multiLevelType w:val="multilevel"/>
    <w:tmpl w:val="953453A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D4301"/>
    <w:multiLevelType w:val="hybridMultilevel"/>
    <w:tmpl w:val="901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B6956"/>
    <w:multiLevelType w:val="hybridMultilevel"/>
    <w:tmpl w:val="CD62D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A4F3387"/>
    <w:multiLevelType w:val="multilevel"/>
    <w:tmpl w:val="FF286A5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B707ED5"/>
    <w:multiLevelType w:val="hybridMultilevel"/>
    <w:tmpl w:val="FA2C30F8"/>
    <w:lvl w:ilvl="0" w:tplc="7B6C4AA8">
      <w:start w:val="4"/>
      <w:numFmt w:val="bullet"/>
      <w:lvlText w:val="-"/>
      <w:lvlJc w:val="left"/>
      <w:pPr>
        <w:ind w:left="1800" w:hanging="360"/>
      </w:pPr>
      <w:rPr>
        <w:rFonts w:ascii="Times New Roman" w:eastAsia="Calibri" w:hAnsi="Times New Roman" w:cs="Times New Roman"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4B541A2F"/>
    <w:multiLevelType w:val="hybridMultilevel"/>
    <w:tmpl w:val="5A6EA9DC"/>
    <w:lvl w:ilvl="0" w:tplc="1C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tabs>
          <w:tab w:val="num" w:pos="1080"/>
        </w:tabs>
        <w:ind w:left="1080" w:hanging="360"/>
      </w:pPr>
      <w:rPr>
        <w:rFonts w:ascii="Symbol" w:hAnsi="Symbol" w:hint="default"/>
      </w:rPr>
    </w:lvl>
    <w:lvl w:ilvl="2" w:tplc="4AFE49BE" w:tentative="1">
      <w:start w:val="1"/>
      <w:numFmt w:val="bullet"/>
      <w:lvlText w:val="•"/>
      <w:lvlJc w:val="left"/>
      <w:pPr>
        <w:tabs>
          <w:tab w:val="num" w:pos="1800"/>
        </w:tabs>
        <w:ind w:left="1800" w:hanging="360"/>
      </w:pPr>
      <w:rPr>
        <w:rFonts w:ascii="Arial" w:hAnsi="Arial" w:hint="default"/>
      </w:rPr>
    </w:lvl>
    <w:lvl w:ilvl="3" w:tplc="89168858" w:tentative="1">
      <w:start w:val="1"/>
      <w:numFmt w:val="bullet"/>
      <w:lvlText w:val="•"/>
      <w:lvlJc w:val="left"/>
      <w:pPr>
        <w:tabs>
          <w:tab w:val="num" w:pos="2520"/>
        </w:tabs>
        <w:ind w:left="2520" w:hanging="360"/>
      </w:pPr>
      <w:rPr>
        <w:rFonts w:ascii="Arial" w:hAnsi="Arial" w:hint="default"/>
      </w:rPr>
    </w:lvl>
    <w:lvl w:ilvl="4" w:tplc="16A4CEC4" w:tentative="1">
      <w:start w:val="1"/>
      <w:numFmt w:val="bullet"/>
      <w:lvlText w:val="•"/>
      <w:lvlJc w:val="left"/>
      <w:pPr>
        <w:tabs>
          <w:tab w:val="num" w:pos="3240"/>
        </w:tabs>
        <w:ind w:left="3240" w:hanging="360"/>
      </w:pPr>
      <w:rPr>
        <w:rFonts w:ascii="Arial" w:hAnsi="Arial" w:hint="default"/>
      </w:rPr>
    </w:lvl>
    <w:lvl w:ilvl="5" w:tplc="D93A0BC0" w:tentative="1">
      <w:start w:val="1"/>
      <w:numFmt w:val="bullet"/>
      <w:lvlText w:val="•"/>
      <w:lvlJc w:val="left"/>
      <w:pPr>
        <w:tabs>
          <w:tab w:val="num" w:pos="3960"/>
        </w:tabs>
        <w:ind w:left="3960" w:hanging="360"/>
      </w:pPr>
      <w:rPr>
        <w:rFonts w:ascii="Arial" w:hAnsi="Arial" w:hint="default"/>
      </w:rPr>
    </w:lvl>
    <w:lvl w:ilvl="6" w:tplc="26783AAE" w:tentative="1">
      <w:start w:val="1"/>
      <w:numFmt w:val="bullet"/>
      <w:lvlText w:val="•"/>
      <w:lvlJc w:val="left"/>
      <w:pPr>
        <w:tabs>
          <w:tab w:val="num" w:pos="4680"/>
        </w:tabs>
        <w:ind w:left="4680" w:hanging="360"/>
      </w:pPr>
      <w:rPr>
        <w:rFonts w:ascii="Arial" w:hAnsi="Arial" w:hint="default"/>
      </w:rPr>
    </w:lvl>
    <w:lvl w:ilvl="7" w:tplc="AC2CA2A0" w:tentative="1">
      <w:start w:val="1"/>
      <w:numFmt w:val="bullet"/>
      <w:lvlText w:val="•"/>
      <w:lvlJc w:val="left"/>
      <w:pPr>
        <w:tabs>
          <w:tab w:val="num" w:pos="5400"/>
        </w:tabs>
        <w:ind w:left="5400" w:hanging="360"/>
      </w:pPr>
      <w:rPr>
        <w:rFonts w:ascii="Arial" w:hAnsi="Arial" w:hint="default"/>
      </w:rPr>
    </w:lvl>
    <w:lvl w:ilvl="8" w:tplc="6F743866" w:tentative="1">
      <w:start w:val="1"/>
      <w:numFmt w:val="bullet"/>
      <w:lvlText w:val="•"/>
      <w:lvlJc w:val="left"/>
      <w:pPr>
        <w:tabs>
          <w:tab w:val="num" w:pos="6120"/>
        </w:tabs>
        <w:ind w:left="6120" w:hanging="360"/>
      </w:pPr>
      <w:rPr>
        <w:rFonts w:ascii="Arial" w:hAnsi="Arial" w:hint="default"/>
      </w:rPr>
    </w:lvl>
  </w:abstractNum>
  <w:abstractNum w:abstractNumId="9">
    <w:nsid w:val="56287F31"/>
    <w:multiLevelType w:val="multilevel"/>
    <w:tmpl w:val="916EA0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C377E1F"/>
    <w:multiLevelType w:val="hybridMultilevel"/>
    <w:tmpl w:val="C73862FE"/>
    <w:lvl w:ilvl="0" w:tplc="E1FC1A20">
      <w:start w:val="3"/>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62411780"/>
    <w:multiLevelType w:val="hybridMultilevel"/>
    <w:tmpl w:val="9D44AB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A064C"/>
    <w:multiLevelType w:val="hybridMultilevel"/>
    <w:tmpl w:val="A1E6A2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76A108D"/>
    <w:multiLevelType w:val="hybridMultilevel"/>
    <w:tmpl w:val="536E164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6F172688"/>
    <w:multiLevelType w:val="multilevel"/>
    <w:tmpl w:val="0B96FE4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1E7353"/>
    <w:multiLevelType w:val="hybridMultilevel"/>
    <w:tmpl w:val="66680B6E"/>
    <w:lvl w:ilvl="0" w:tplc="2F8EE3A2">
      <w:start w:val="3"/>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7AC76A9D"/>
    <w:multiLevelType w:val="hybridMultilevel"/>
    <w:tmpl w:val="91B41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F40046F"/>
    <w:multiLevelType w:val="hybridMultilevel"/>
    <w:tmpl w:val="C5640DCA"/>
    <w:lvl w:ilvl="0" w:tplc="99A2578A">
      <w:start w:val="4"/>
      <w:numFmt w:val="bullet"/>
      <w:lvlText w:val="-"/>
      <w:lvlJc w:val="left"/>
      <w:pPr>
        <w:ind w:left="1440" w:hanging="360"/>
      </w:pPr>
      <w:rPr>
        <w:rFonts w:ascii="Times New Roman" w:eastAsia="Calibri" w:hAnsi="Times New Roman" w:cs="Times New Roman"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7FD034F9"/>
    <w:multiLevelType w:val="multilevel"/>
    <w:tmpl w:val="DF403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14"/>
  </w:num>
  <w:num w:numId="4">
    <w:abstractNumId w:val="2"/>
  </w:num>
  <w:num w:numId="5">
    <w:abstractNumId w:val="13"/>
  </w:num>
  <w:num w:numId="6">
    <w:abstractNumId w:val="17"/>
  </w:num>
  <w:num w:numId="7">
    <w:abstractNumId w:val="18"/>
  </w:num>
  <w:num w:numId="8">
    <w:abstractNumId w:val="16"/>
  </w:num>
  <w:num w:numId="9">
    <w:abstractNumId w:val="7"/>
  </w:num>
  <w:num w:numId="10">
    <w:abstractNumId w:val="8"/>
  </w:num>
  <w:num w:numId="11">
    <w:abstractNumId w:val="3"/>
  </w:num>
  <w:num w:numId="12">
    <w:abstractNumId w:val="0"/>
  </w:num>
  <w:num w:numId="13">
    <w:abstractNumId w:val="5"/>
  </w:num>
  <w:num w:numId="14">
    <w:abstractNumId w:val="1"/>
  </w:num>
  <w:num w:numId="15">
    <w:abstractNumId w:val="10"/>
  </w:num>
  <w:num w:numId="16">
    <w:abstractNumId w:val="15"/>
  </w:num>
  <w:num w:numId="17">
    <w:abstractNumId w:val="4"/>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3NTM3sjAyNbMwsbRQ0lEKTi0uzszPAykwqgUAJkAweiwAAAA="/>
  </w:docVars>
  <w:rsids>
    <w:rsidRoot w:val="00CC7C5C"/>
    <w:rsid w:val="00006561"/>
    <w:rsid w:val="000118AE"/>
    <w:rsid w:val="00012873"/>
    <w:rsid w:val="000128F7"/>
    <w:rsid w:val="000130CD"/>
    <w:rsid w:val="00020043"/>
    <w:rsid w:val="00022533"/>
    <w:rsid w:val="0002795F"/>
    <w:rsid w:val="00027A75"/>
    <w:rsid w:val="00030461"/>
    <w:rsid w:val="000335AF"/>
    <w:rsid w:val="0003438B"/>
    <w:rsid w:val="00034430"/>
    <w:rsid w:val="00034454"/>
    <w:rsid w:val="000467F2"/>
    <w:rsid w:val="00050274"/>
    <w:rsid w:val="000522E8"/>
    <w:rsid w:val="00054879"/>
    <w:rsid w:val="00055BDC"/>
    <w:rsid w:val="00057594"/>
    <w:rsid w:val="00057CD9"/>
    <w:rsid w:val="000636A5"/>
    <w:rsid w:val="00066A67"/>
    <w:rsid w:val="000721A1"/>
    <w:rsid w:val="00072B5B"/>
    <w:rsid w:val="000854E9"/>
    <w:rsid w:val="00092216"/>
    <w:rsid w:val="00093C5D"/>
    <w:rsid w:val="000B2FDB"/>
    <w:rsid w:val="000B6CD1"/>
    <w:rsid w:val="000C443B"/>
    <w:rsid w:val="000D0FC8"/>
    <w:rsid w:val="000D7FA7"/>
    <w:rsid w:val="000F0282"/>
    <w:rsid w:val="000F297F"/>
    <w:rsid w:val="000F34DD"/>
    <w:rsid w:val="000F5EDD"/>
    <w:rsid w:val="00104751"/>
    <w:rsid w:val="00115844"/>
    <w:rsid w:val="00130158"/>
    <w:rsid w:val="00130DB8"/>
    <w:rsid w:val="001348F8"/>
    <w:rsid w:val="001368A2"/>
    <w:rsid w:val="0014532A"/>
    <w:rsid w:val="001515DA"/>
    <w:rsid w:val="00155259"/>
    <w:rsid w:val="00173145"/>
    <w:rsid w:val="00174FE3"/>
    <w:rsid w:val="00184900"/>
    <w:rsid w:val="00187184"/>
    <w:rsid w:val="001947C9"/>
    <w:rsid w:val="001A49CC"/>
    <w:rsid w:val="001A5EAB"/>
    <w:rsid w:val="001B1504"/>
    <w:rsid w:val="001B6E18"/>
    <w:rsid w:val="001C4E9F"/>
    <w:rsid w:val="001D3780"/>
    <w:rsid w:val="001E44D8"/>
    <w:rsid w:val="001E5398"/>
    <w:rsid w:val="001F0362"/>
    <w:rsid w:val="001F06F6"/>
    <w:rsid w:val="001F0985"/>
    <w:rsid w:val="001F0D4D"/>
    <w:rsid w:val="001F31F2"/>
    <w:rsid w:val="001F3DFD"/>
    <w:rsid w:val="001F48F9"/>
    <w:rsid w:val="001F6E7B"/>
    <w:rsid w:val="00207944"/>
    <w:rsid w:val="002213A3"/>
    <w:rsid w:val="002230AB"/>
    <w:rsid w:val="00223833"/>
    <w:rsid w:val="00225DD9"/>
    <w:rsid w:val="00232024"/>
    <w:rsid w:val="0023635B"/>
    <w:rsid w:val="00240A37"/>
    <w:rsid w:val="002427B1"/>
    <w:rsid w:val="002563F2"/>
    <w:rsid w:val="00284BAF"/>
    <w:rsid w:val="002858D5"/>
    <w:rsid w:val="00285AC0"/>
    <w:rsid w:val="00287563"/>
    <w:rsid w:val="00292186"/>
    <w:rsid w:val="002A6E03"/>
    <w:rsid w:val="002B2833"/>
    <w:rsid w:val="002B2ADA"/>
    <w:rsid w:val="002B5F6F"/>
    <w:rsid w:val="002C5CA9"/>
    <w:rsid w:val="002E6A93"/>
    <w:rsid w:val="002F0F58"/>
    <w:rsid w:val="002F24C3"/>
    <w:rsid w:val="002F513A"/>
    <w:rsid w:val="0030088C"/>
    <w:rsid w:val="00322128"/>
    <w:rsid w:val="003232AB"/>
    <w:rsid w:val="003264B0"/>
    <w:rsid w:val="00332B67"/>
    <w:rsid w:val="00341703"/>
    <w:rsid w:val="00343FF8"/>
    <w:rsid w:val="00344B62"/>
    <w:rsid w:val="0034624F"/>
    <w:rsid w:val="00355004"/>
    <w:rsid w:val="003554B7"/>
    <w:rsid w:val="00365DCC"/>
    <w:rsid w:val="003704B6"/>
    <w:rsid w:val="00372FC2"/>
    <w:rsid w:val="00377C20"/>
    <w:rsid w:val="003841E7"/>
    <w:rsid w:val="003A69D3"/>
    <w:rsid w:val="003A6FBC"/>
    <w:rsid w:val="003B015D"/>
    <w:rsid w:val="003B1157"/>
    <w:rsid w:val="003D51F6"/>
    <w:rsid w:val="003F283C"/>
    <w:rsid w:val="003F5A53"/>
    <w:rsid w:val="00406D37"/>
    <w:rsid w:val="00425AB6"/>
    <w:rsid w:val="00431C8F"/>
    <w:rsid w:val="00436EE0"/>
    <w:rsid w:val="004370BC"/>
    <w:rsid w:val="004426FB"/>
    <w:rsid w:val="004826C1"/>
    <w:rsid w:val="00485142"/>
    <w:rsid w:val="00493914"/>
    <w:rsid w:val="00494245"/>
    <w:rsid w:val="004A5F98"/>
    <w:rsid w:val="004A71C5"/>
    <w:rsid w:val="004D2C30"/>
    <w:rsid w:val="004D31F3"/>
    <w:rsid w:val="004D3547"/>
    <w:rsid w:val="004E5B1E"/>
    <w:rsid w:val="004E5CDE"/>
    <w:rsid w:val="004F1A36"/>
    <w:rsid w:val="00501801"/>
    <w:rsid w:val="00516E47"/>
    <w:rsid w:val="00524F56"/>
    <w:rsid w:val="00530F58"/>
    <w:rsid w:val="0053534A"/>
    <w:rsid w:val="00540F8D"/>
    <w:rsid w:val="0054393B"/>
    <w:rsid w:val="00543B6E"/>
    <w:rsid w:val="00544EAE"/>
    <w:rsid w:val="0054649E"/>
    <w:rsid w:val="0055078F"/>
    <w:rsid w:val="005668A6"/>
    <w:rsid w:val="00567B5F"/>
    <w:rsid w:val="00575E74"/>
    <w:rsid w:val="00590D60"/>
    <w:rsid w:val="00591971"/>
    <w:rsid w:val="005B2F63"/>
    <w:rsid w:val="005B59F5"/>
    <w:rsid w:val="005C7826"/>
    <w:rsid w:val="005D1B3A"/>
    <w:rsid w:val="005D4DF7"/>
    <w:rsid w:val="005E2260"/>
    <w:rsid w:val="00600B92"/>
    <w:rsid w:val="00605C3E"/>
    <w:rsid w:val="00605F5C"/>
    <w:rsid w:val="00606C4B"/>
    <w:rsid w:val="00611327"/>
    <w:rsid w:val="00614354"/>
    <w:rsid w:val="00614D92"/>
    <w:rsid w:val="006231AE"/>
    <w:rsid w:val="00643BA3"/>
    <w:rsid w:val="00647E56"/>
    <w:rsid w:val="006528FF"/>
    <w:rsid w:val="00656F22"/>
    <w:rsid w:val="00666AFC"/>
    <w:rsid w:val="00673A47"/>
    <w:rsid w:val="006761C0"/>
    <w:rsid w:val="006831C8"/>
    <w:rsid w:val="00684F89"/>
    <w:rsid w:val="00685076"/>
    <w:rsid w:val="00692686"/>
    <w:rsid w:val="00693298"/>
    <w:rsid w:val="00695227"/>
    <w:rsid w:val="006A3416"/>
    <w:rsid w:val="006B1351"/>
    <w:rsid w:val="006B34B3"/>
    <w:rsid w:val="006B7622"/>
    <w:rsid w:val="006C03F2"/>
    <w:rsid w:val="006C4596"/>
    <w:rsid w:val="006C5274"/>
    <w:rsid w:val="006D02D1"/>
    <w:rsid w:val="006D0F98"/>
    <w:rsid w:val="006D4819"/>
    <w:rsid w:val="006D4C20"/>
    <w:rsid w:val="006E29E9"/>
    <w:rsid w:val="006E408A"/>
    <w:rsid w:val="006E61C5"/>
    <w:rsid w:val="006F195C"/>
    <w:rsid w:val="006F68E6"/>
    <w:rsid w:val="00702B77"/>
    <w:rsid w:val="0072589A"/>
    <w:rsid w:val="007259E9"/>
    <w:rsid w:val="00737CEE"/>
    <w:rsid w:val="00754C22"/>
    <w:rsid w:val="00767949"/>
    <w:rsid w:val="007709AA"/>
    <w:rsid w:val="00783EDD"/>
    <w:rsid w:val="007863BA"/>
    <w:rsid w:val="0078725A"/>
    <w:rsid w:val="00790EA7"/>
    <w:rsid w:val="00792C70"/>
    <w:rsid w:val="00797042"/>
    <w:rsid w:val="00797E3B"/>
    <w:rsid w:val="007A627D"/>
    <w:rsid w:val="007A79A1"/>
    <w:rsid w:val="007B072D"/>
    <w:rsid w:val="007B168C"/>
    <w:rsid w:val="007B1854"/>
    <w:rsid w:val="007C2325"/>
    <w:rsid w:val="007E7718"/>
    <w:rsid w:val="007F2DC5"/>
    <w:rsid w:val="007F5216"/>
    <w:rsid w:val="0080012B"/>
    <w:rsid w:val="008051A7"/>
    <w:rsid w:val="008234A4"/>
    <w:rsid w:val="00825CB7"/>
    <w:rsid w:val="008356B6"/>
    <w:rsid w:val="00841A39"/>
    <w:rsid w:val="0084315A"/>
    <w:rsid w:val="0084457B"/>
    <w:rsid w:val="00855B70"/>
    <w:rsid w:val="008675AB"/>
    <w:rsid w:val="00873BE7"/>
    <w:rsid w:val="00891ED2"/>
    <w:rsid w:val="00892B9E"/>
    <w:rsid w:val="00897A04"/>
    <w:rsid w:val="008A1478"/>
    <w:rsid w:val="008B7D98"/>
    <w:rsid w:val="008D2F46"/>
    <w:rsid w:val="008E1EB2"/>
    <w:rsid w:val="008F06F2"/>
    <w:rsid w:val="008F1BF1"/>
    <w:rsid w:val="008F303D"/>
    <w:rsid w:val="008F3748"/>
    <w:rsid w:val="008F6EDB"/>
    <w:rsid w:val="00914077"/>
    <w:rsid w:val="00921E42"/>
    <w:rsid w:val="00924009"/>
    <w:rsid w:val="0092781F"/>
    <w:rsid w:val="00932B57"/>
    <w:rsid w:val="009331B2"/>
    <w:rsid w:val="009440AD"/>
    <w:rsid w:val="009506D3"/>
    <w:rsid w:val="009567B9"/>
    <w:rsid w:val="00957936"/>
    <w:rsid w:val="009673DC"/>
    <w:rsid w:val="009721C8"/>
    <w:rsid w:val="00976FE6"/>
    <w:rsid w:val="00981196"/>
    <w:rsid w:val="0098595F"/>
    <w:rsid w:val="009940D8"/>
    <w:rsid w:val="009978E5"/>
    <w:rsid w:val="009A1AC9"/>
    <w:rsid w:val="009B4DAE"/>
    <w:rsid w:val="009B5FC2"/>
    <w:rsid w:val="009D0348"/>
    <w:rsid w:val="009D14D2"/>
    <w:rsid w:val="009E40FC"/>
    <w:rsid w:val="009E67F5"/>
    <w:rsid w:val="009F0862"/>
    <w:rsid w:val="00A26552"/>
    <w:rsid w:val="00A308A4"/>
    <w:rsid w:val="00A45D51"/>
    <w:rsid w:val="00A50F44"/>
    <w:rsid w:val="00A50FA1"/>
    <w:rsid w:val="00A51F13"/>
    <w:rsid w:val="00A52347"/>
    <w:rsid w:val="00A54536"/>
    <w:rsid w:val="00A637EA"/>
    <w:rsid w:val="00A667FB"/>
    <w:rsid w:val="00A74365"/>
    <w:rsid w:val="00A834C1"/>
    <w:rsid w:val="00A8392D"/>
    <w:rsid w:val="00A86864"/>
    <w:rsid w:val="00A957A9"/>
    <w:rsid w:val="00AB640C"/>
    <w:rsid w:val="00AB7E85"/>
    <w:rsid w:val="00AC0BBA"/>
    <w:rsid w:val="00AD33A2"/>
    <w:rsid w:val="00AE42C0"/>
    <w:rsid w:val="00AE695F"/>
    <w:rsid w:val="00AF7B52"/>
    <w:rsid w:val="00B009C0"/>
    <w:rsid w:val="00B14834"/>
    <w:rsid w:val="00B215D7"/>
    <w:rsid w:val="00B26565"/>
    <w:rsid w:val="00B2687C"/>
    <w:rsid w:val="00B467AD"/>
    <w:rsid w:val="00B51968"/>
    <w:rsid w:val="00B65A27"/>
    <w:rsid w:val="00B82203"/>
    <w:rsid w:val="00B82E0E"/>
    <w:rsid w:val="00B85EBF"/>
    <w:rsid w:val="00B911A2"/>
    <w:rsid w:val="00B94843"/>
    <w:rsid w:val="00BA3D4D"/>
    <w:rsid w:val="00BA4211"/>
    <w:rsid w:val="00BB2668"/>
    <w:rsid w:val="00BB30B9"/>
    <w:rsid w:val="00BB731A"/>
    <w:rsid w:val="00BC10DE"/>
    <w:rsid w:val="00BC631C"/>
    <w:rsid w:val="00BD7E17"/>
    <w:rsid w:val="00BE1436"/>
    <w:rsid w:val="00BE143E"/>
    <w:rsid w:val="00BE40DE"/>
    <w:rsid w:val="00BE6349"/>
    <w:rsid w:val="00C031CA"/>
    <w:rsid w:val="00C13769"/>
    <w:rsid w:val="00C174E8"/>
    <w:rsid w:val="00C53A0E"/>
    <w:rsid w:val="00C61696"/>
    <w:rsid w:val="00C62B38"/>
    <w:rsid w:val="00C66C7C"/>
    <w:rsid w:val="00C67A6D"/>
    <w:rsid w:val="00C7278D"/>
    <w:rsid w:val="00C82837"/>
    <w:rsid w:val="00C83974"/>
    <w:rsid w:val="00C9764F"/>
    <w:rsid w:val="00CA0076"/>
    <w:rsid w:val="00CA4712"/>
    <w:rsid w:val="00CB00BA"/>
    <w:rsid w:val="00CB378F"/>
    <w:rsid w:val="00CB38E2"/>
    <w:rsid w:val="00CB4C55"/>
    <w:rsid w:val="00CC010D"/>
    <w:rsid w:val="00CC033D"/>
    <w:rsid w:val="00CC1E2F"/>
    <w:rsid w:val="00CC2134"/>
    <w:rsid w:val="00CC79AC"/>
    <w:rsid w:val="00CC7C5C"/>
    <w:rsid w:val="00CD0E9B"/>
    <w:rsid w:val="00CE2692"/>
    <w:rsid w:val="00CF00FA"/>
    <w:rsid w:val="00CF2EC3"/>
    <w:rsid w:val="00D0087C"/>
    <w:rsid w:val="00D02BB0"/>
    <w:rsid w:val="00D17A93"/>
    <w:rsid w:val="00D17DD4"/>
    <w:rsid w:val="00D239CB"/>
    <w:rsid w:val="00D266FC"/>
    <w:rsid w:val="00D375ED"/>
    <w:rsid w:val="00D407F7"/>
    <w:rsid w:val="00D4733A"/>
    <w:rsid w:val="00D72CB9"/>
    <w:rsid w:val="00D803A8"/>
    <w:rsid w:val="00D82498"/>
    <w:rsid w:val="00D8448B"/>
    <w:rsid w:val="00DA07EC"/>
    <w:rsid w:val="00DB1D22"/>
    <w:rsid w:val="00DB4092"/>
    <w:rsid w:val="00DC3693"/>
    <w:rsid w:val="00DD11A5"/>
    <w:rsid w:val="00DE235C"/>
    <w:rsid w:val="00DF0D31"/>
    <w:rsid w:val="00DF53BA"/>
    <w:rsid w:val="00E349FD"/>
    <w:rsid w:val="00E37FA8"/>
    <w:rsid w:val="00E40371"/>
    <w:rsid w:val="00E446D8"/>
    <w:rsid w:val="00E4503D"/>
    <w:rsid w:val="00E55521"/>
    <w:rsid w:val="00E64217"/>
    <w:rsid w:val="00E6562B"/>
    <w:rsid w:val="00E82D5A"/>
    <w:rsid w:val="00E85638"/>
    <w:rsid w:val="00E907AD"/>
    <w:rsid w:val="00E96DE7"/>
    <w:rsid w:val="00EA2FCA"/>
    <w:rsid w:val="00EA3BF8"/>
    <w:rsid w:val="00EB2402"/>
    <w:rsid w:val="00EB4856"/>
    <w:rsid w:val="00EB6026"/>
    <w:rsid w:val="00EB68F1"/>
    <w:rsid w:val="00EB7DD3"/>
    <w:rsid w:val="00EC2A54"/>
    <w:rsid w:val="00EC42F0"/>
    <w:rsid w:val="00EC7519"/>
    <w:rsid w:val="00ED44FF"/>
    <w:rsid w:val="00EE0EE5"/>
    <w:rsid w:val="00EE38A0"/>
    <w:rsid w:val="00EE43BF"/>
    <w:rsid w:val="00EE4AEA"/>
    <w:rsid w:val="00EE7F36"/>
    <w:rsid w:val="00EF641A"/>
    <w:rsid w:val="00F00C6A"/>
    <w:rsid w:val="00F12669"/>
    <w:rsid w:val="00F2270A"/>
    <w:rsid w:val="00F22932"/>
    <w:rsid w:val="00F25AA5"/>
    <w:rsid w:val="00F26D3C"/>
    <w:rsid w:val="00F34604"/>
    <w:rsid w:val="00F46226"/>
    <w:rsid w:val="00F71054"/>
    <w:rsid w:val="00F739A2"/>
    <w:rsid w:val="00F755FF"/>
    <w:rsid w:val="00F97464"/>
    <w:rsid w:val="00FA1576"/>
    <w:rsid w:val="00FA3B99"/>
    <w:rsid w:val="00FB7234"/>
    <w:rsid w:val="00FC038E"/>
    <w:rsid w:val="00FC2E11"/>
    <w:rsid w:val="00FC33D2"/>
    <w:rsid w:val="00FC43CF"/>
    <w:rsid w:val="00FC7FDF"/>
    <w:rsid w:val="00FD461F"/>
    <w:rsid w:val="00FE201C"/>
    <w:rsid w:val="00FE6D82"/>
    <w:rsid w:val="00FE6F01"/>
    <w:rsid w:val="00FF47DB"/>
    <w:rsid w:val="00FF6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5C"/>
  </w:style>
  <w:style w:type="table" w:styleId="TableGrid">
    <w:name w:val="Table Grid"/>
    <w:basedOn w:val="TableNormal"/>
    <w:uiPriority w:val="59"/>
    <w:rsid w:val="00CC7C5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Dot pt,F5 List Paragraph,List Paragraph1,List Paragraph Char Char Char,Indicator Text,Numbered Para 1,Bullet 1,Bullet Points,List Paragraph2,MAIN CONTENT,Normal numbered,Issue Action POC,3,Bullets"/>
    <w:basedOn w:val="Normal"/>
    <w:link w:val="ListParagraphChar"/>
    <w:uiPriority w:val="34"/>
    <w:qFormat/>
    <w:rsid w:val="00E40371"/>
    <w:pPr>
      <w:ind w:left="720"/>
      <w:contextualSpacing/>
    </w:pPr>
  </w:style>
  <w:style w:type="character" w:styleId="CommentReference">
    <w:name w:val="annotation reference"/>
    <w:basedOn w:val="DefaultParagraphFont"/>
    <w:uiPriority w:val="99"/>
    <w:semiHidden/>
    <w:unhideWhenUsed/>
    <w:rsid w:val="00873BE7"/>
    <w:rPr>
      <w:sz w:val="16"/>
      <w:szCs w:val="16"/>
    </w:rPr>
  </w:style>
  <w:style w:type="paragraph" w:styleId="CommentText">
    <w:name w:val="annotation text"/>
    <w:basedOn w:val="Normal"/>
    <w:link w:val="CommentTextChar"/>
    <w:uiPriority w:val="99"/>
    <w:semiHidden/>
    <w:unhideWhenUsed/>
    <w:rsid w:val="00873BE7"/>
    <w:pPr>
      <w:spacing w:line="240" w:lineRule="auto"/>
    </w:pPr>
    <w:rPr>
      <w:sz w:val="20"/>
      <w:szCs w:val="20"/>
    </w:rPr>
  </w:style>
  <w:style w:type="character" w:customStyle="1" w:styleId="CommentTextChar">
    <w:name w:val="Comment Text Char"/>
    <w:basedOn w:val="DefaultParagraphFont"/>
    <w:link w:val="CommentText"/>
    <w:uiPriority w:val="99"/>
    <w:semiHidden/>
    <w:rsid w:val="00873BE7"/>
    <w:rPr>
      <w:sz w:val="20"/>
      <w:szCs w:val="20"/>
    </w:rPr>
  </w:style>
  <w:style w:type="paragraph" w:styleId="CommentSubject">
    <w:name w:val="annotation subject"/>
    <w:basedOn w:val="CommentText"/>
    <w:next w:val="CommentText"/>
    <w:link w:val="CommentSubjectChar"/>
    <w:uiPriority w:val="99"/>
    <w:semiHidden/>
    <w:unhideWhenUsed/>
    <w:rsid w:val="00873BE7"/>
    <w:rPr>
      <w:b/>
      <w:bCs/>
    </w:rPr>
  </w:style>
  <w:style w:type="character" w:customStyle="1" w:styleId="CommentSubjectChar">
    <w:name w:val="Comment Subject Char"/>
    <w:basedOn w:val="CommentTextChar"/>
    <w:link w:val="CommentSubject"/>
    <w:uiPriority w:val="99"/>
    <w:semiHidden/>
    <w:rsid w:val="00873BE7"/>
    <w:rPr>
      <w:b/>
      <w:bCs/>
      <w:sz w:val="20"/>
      <w:szCs w:val="20"/>
    </w:rPr>
  </w:style>
  <w:style w:type="paragraph" w:styleId="BalloonText">
    <w:name w:val="Balloon Text"/>
    <w:basedOn w:val="Normal"/>
    <w:link w:val="BalloonTextChar"/>
    <w:uiPriority w:val="99"/>
    <w:semiHidden/>
    <w:unhideWhenUsed/>
    <w:rsid w:val="0087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E7"/>
    <w:rPr>
      <w:rFonts w:ascii="Segoe UI" w:hAnsi="Segoe UI" w:cs="Segoe UI"/>
      <w:sz w:val="18"/>
      <w:szCs w:val="18"/>
    </w:rPr>
  </w:style>
  <w:style w:type="paragraph" w:styleId="NormalWeb">
    <w:name w:val="Normal (Web)"/>
    <w:basedOn w:val="Normal"/>
    <w:uiPriority w:val="99"/>
    <w:unhideWhenUsed/>
    <w:rsid w:val="001C4E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istParagraphChar">
    <w:name w:val="List Paragraph Char"/>
    <w:aliases w:val="List Paragraph 1 Char,Dot pt Char,F5 List Paragraph Char,List Paragraph1 Char,List Paragraph Char Char Char Char,Indicator Text Char,Numbered Para 1 Char,Bullet 1 Char,Bullet Points Char,List Paragraph2 Char,MAIN CONTENT Char,3 Char"/>
    <w:link w:val="ListParagraph"/>
    <w:uiPriority w:val="34"/>
    <w:locked/>
    <w:rsid w:val="001F3DFD"/>
  </w:style>
  <w:style w:type="paragraph" w:customStyle="1" w:styleId="Default">
    <w:name w:val="Default"/>
    <w:rsid w:val="001B6E18"/>
    <w:pPr>
      <w:autoSpaceDE w:val="0"/>
      <w:autoSpaceDN w:val="0"/>
      <w:adjustRightInd w:val="0"/>
      <w:spacing w:after="0" w:line="240" w:lineRule="auto"/>
    </w:pPr>
    <w:rPr>
      <w:rFonts w:ascii="Arial" w:hAnsi="Arial" w:cs="Arial"/>
      <w:color w:val="000000"/>
      <w:sz w:val="24"/>
      <w:szCs w:val="24"/>
      <w:lang w:val="en-ZA"/>
    </w:rPr>
  </w:style>
  <w:style w:type="paragraph" w:styleId="Header">
    <w:name w:val="header"/>
    <w:basedOn w:val="Normal"/>
    <w:link w:val="HeaderChar"/>
    <w:uiPriority w:val="99"/>
    <w:unhideWhenUsed/>
    <w:rsid w:val="00174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E3"/>
  </w:style>
</w:styles>
</file>

<file path=word/webSettings.xml><?xml version="1.0" encoding="utf-8"?>
<w:webSettings xmlns:r="http://schemas.openxmlformats.org/officeDocument/2006/relationships" xmlns:w="http://schemas.openxmlformats.org/wordprocessingml/2006/main">
  <w:divs>
    <w:div w:id="1982330">
      <w:bodyDiv w:val="1"/>
      <w:marLeft w:val="0"/>
      <w:marRight w:val="0"/>
      <w:marTop w:val="0"/>
      <w:marBottom w:val="0"/>
      <w:divBdr>
        <w:top w:val="none" w:sz="0" w:space="0" w:color="auto"/>
        <w:left w:val="none" w:sz="0" w:space="0" w:color="auto"/>
        <w:bottom w:val="none" w:sz="0" w:space="0" w:color="auto"/>
        <w:right w:val="none" w:sz="0" w:space="0" w:color="auto"/>
      </w:divBdr>
    </w:div>
    <w:div w:id="161747376">
      <w:bodyDiv w:val="1"/>
      <w:marLeft w:val="0"/>
      <w:marRight w:val="0"/>
      <w:marTop w:val="0"/>
      <w:marBottom w:val="0"/>
      <w:divBdr>
        <w:top w:val="none" w:sz="0" w:space="0" w:color="auto"/>
        <w:left w:val="none" w:sz="0" w:space="0" w:color="auto"/>
        <w:bottom w:val="none" w:sz="0" w:space="0" w:color="auto"/>
        <w:right w:val="none" w:sz="0" w:space="0" w:color="auto"/>
      </w:divBdr>
    </w:div>
    <w:div w:id="197860679">
      <w:bodyDiv w:val="1"/>
      <w:marLeft w:val="0"/>
      <w:marRight w:val="0"/>
      <w:marTop w:val="0"/>
      <w:marBottom w:val="0"/>
      <w:divBdr>
        <w:top w:val="none" w:sz="0" w:space="0" w:color="auto"/>
        <w:left w:val="none" w:sz="0" w:space="0" w:color="auto"/>
        <w:bottom w:val="none" w:sz="0" w:space="0" w:color="auto"/>
        <w:right w:val="none" w:sz="0" w:space="0" w:color="auto"/>
      </w:divBdr>
    </w:div>
    <w:div w:id="329528855">
      <w:bodyDiv w:val="1"/>
      <w:marLeft w:val="0"/>
      <w:marRight w:val="0"/>
      <w:marTop w:val="0"/>
      <w:marBottom w:val="0"/>
      <w:divBdr>
        <w:top w:val="none" w:sz="0" w:space="0" w:color="auto"/>
        <w:left w:val="none" w:sz="0" w:space="0" w:color="auto"/>
        <w:bottom w:val="none" w:sz="0" w:space="0" w:color="auto"/>
        <w:right w:val="none" w:sz="0" w:space="0" w:color="auto"/>
      </w:divBdr>
    </w:div>
    <w:div w:id="446510245">
      <w:bodyDiv w:val="1"/>
      <w:marLeft w:val="0"/>
      <w:marRight w:val="0"/>
      <w:marTop w:val="0"/>
      <w:marBottom w:val="0"/>
      <w:divBdr>
        <w:top w:val="none" w:sz="0" w:space="0" w:color="auto"/>
        <w:left w:val="none" w:sz="0" w:space="0" w:color="auto"/>
        <w:bottom w:val="none" w:sz="0" w:space="0" w:color="auto"/>
        <w:right w:val="none" w:sz="0" w:space="0" w:color="auto"/>
      </w:divBdr>
    </w:div>
    <w:div w:id="498816673">
      <w:bodyDiv w:val="1"/>
      <w:marLeft w:val="0"/>
      <w:marRight w:val="0"/>
      <w:marTop w:val="0"/>
      <w:marBottom w:val="0"/>
      <w:divBdr>
        <w:top w:val="none" w:sz="0" w:space="0" w:color="auto"/>
        <w:left w:val="none" w:sz="0" w:space="0" w:color="auto"/>
        <w:bottom w:val="none" w:sz="0" w:space="0" w:color="auto"/>
        <w:right w:val="none" w:sz="0" w:space="0" w:color="auto"/>
      </w:divBdr>
    </w:div>
    <w:div w:id="507521693">
      <w:bodyDiv w:val="1"/>
      <w:marLeft w:val="0"/>
      <w:marRight w:val="0"/>
      <w:marTop w:val="0"/>
      <w:marBottom w:val="0"/>
      <w:divBdr>
        <w:top w:val="none" w:sz="0" w:space="0" w:color="auto"/>
        <w:left w:val="none" w:sz="0" w:space="0" w:color="auto"/>
        <w:bottom w:val="none" w:sz="0" w:space="0" w:color="auto"/>
        <w:right w:val="none" w:sz="0" w:space="0" w:color="auto"/>
      </w:divBdr>
    </w:div>
    <w:div w:id="767699244">
      <w:bodyDiv w:val="1"/>
      <w:marLeft w:val="0"/>
      <w:marRight w:val="0"/>
      <w:marTop w:val="0"/>
      <w:marBottom w:val="0"/>
      <w:divBdr>
        <w:top w:val="none" w:sz="0" w:space="0" w:color="auto"/>
        <w:left w:val="none" w:sz="0" w:space="0" w:color="auto"/>
        <w:bottom w:val="none" w:sz="0" w:space="0" w:color="auto"/>
        <w:right w:val="none" w:sz="0" w:space="0" w:color="auto"/>
      </w:divBdr>
    </w:div>
    <w:div w:id="852182784">
      <w:bodyDiv w:val="1"/>
      <w:marLeft w:val="0"/>
      <w:marRight w:val="0"/>
      <w:marTop w:val="0"/>
      <w:marBottom w:val="0"/>
      <w:divBdr>
        <w:top w:val="none" w:sz="0" w:space="0" w:color="auto"/>
        <w:left w:val="none" w:sz="0" w:space="0" w:color="auto"/>
        <w:bottom w:val="none" w:sz="0" w:space="0" w:color="auto"/>
        <w:right w:val="none" w:sz="0" w:space="0" w:color="auto"/>
      </w:divBdr>
    </w:div>
    <w:div w:id="978725610">
      <w:bodyDiv w:val="1"/>
      <w:marLeft w:val="0"/>
      <w:marRight w:val="0"/>
      <w:marTop w:val="0"/>
      <w:marBottom w:val="0"/>
      <w:divBdr>
        <w:top w:val="none" w:sz="0" w:space="0" w:color="auto"/>
        <w:left w:val="none" w:sz="0" w:space="0" w:color="auto"/>
        <w:bottom w:val="none" w:sz="0" w:space="0" w:color="auto"/>
        <w:right w:val="none" w:sz="0" w:space="0" w:color="auto"/>
      </w:divBdr>
    </w:div>
    <w:div w:id="992486384">
      <w:bodyDiv w:val="1"/>
      <w:marLeft w:val="0"/>
      <w:marRight w:val="0"/>
      <w:marTop w:val="0"/>
      <w:marBottom w:val="0"/>
      <w:divBdr>
        <w:top w:val="none" w:sz="0" w:space="0" w:color="auto"/>
        <w:left w:val="none" w:sz="0" w:space="0" w:color="auto"/>
        <w:bottom w:val="none" w:sz="0" w:space="0" w:color="auto"/>
        <w:right w:val="none" w:sz="0" w:space="0" w:color="auto"/>
      </w:divBdr>
    </w:div>
    <w:div w:id="1150755485">
      <w:bodyDiv w:val="1"/>
      <w:marLeft w:val="0"/>
      <w:marRight w:val="0"/>
      <w:marTop w:val="0"/>
      <w:marBottom w:val="0"/>
      <w:divBdr>
        <w:top w:val="none" w:sz="0" w:space="0" w:color="auto"/>
        <w:left w:val="none" w:sz="0" w:space="0" w:color="auto"/>
        <w:bottom w:val="none" w:sz="0" w:space="0" w:color="auto"/>
        <w:right w:val="none" w:sz="0" w:space="0" w:color="auto"/>
      </w:divBdr>
    </w:div>
    <w:div w:id="1197893711">
      <w:bodyDiv w:val="1"/>
      <w:marLeft w:val="0"/>
      <w:marRight w:val="0"/>
      <w:marTop w:val="0"/>
      <w:marBottom w:val="0"/>
      <w:divBdr>
        <w:top w:val="none" w:sz="0" w:space="0" w:color="auto"/>
        <w:left w:val="none" w:sz="0" w:space="0" w:color="auto"/>
        <w:bottom w:val="none" w:sz="0" w:space="0" w:color="auto"/>
        <w:right w:val="none" w:sz="0" w:space="0" w:color="auto"/>
      </w:divBdr>
    </w:div>
    <w:div w:id="1240288534">
      <w:bodyDiv w:val="1"/>
      <w:marLeft w:val="0"/>
      <w:marRight w:val="0"/>
      <w:marTop w:val="0"/>
      <w:marBottom w:val="0"/>
      <w:divBdr>
        <w:top w:val="none" w:sz="0" w:space="0" w:color="auto"/>
        <w:left w:val="none" w:sz="0" w:space="0" w:color="auto"/>
        <w:bottom w:val="none" w:sz="0" w:space="0" w:color="auto"/>
        <w:right w:val="none" w:sz="0" w:space="0" w:color="auto"/>
      </w:divBdr>
    </w:div>
    <w:div w:id="1279020015">
      <w:bodyDiv w:val="1"/>
      <w:marLeft w:val="0"/>
      <w:marRight w:val="0"/>
      <w:marTop w:val="0"/>
      <w:marBottom w:val="0"/>
      <w:divBdr>
        <w:top w:val="none" w:sz="0" w:space="0" w:color="auto"/>
        <w:left w:val="none" w:sz="0" w:space="0" w:color="auto"/>
        <w:bottom w:val="none" w:sz="0" w:space="0" w:color="auto"/>
        <w:right w:val="none" w:sz="0" w:space="0" w:color="auto"/>
      </w:divBdr>
    </w:div>
    <w:div w:id="1824740401">
      <w:bodyDiv w:val="1"/>
      <w:marLeft w:val="0"/>
      <w:marRight w:val="0"/>
      <w:marTop w:val="0"/>
      <w:marBottom w:val="0"/>
      <w:divBdr>
        <w:top w:val="none" w:sz="0" w:space="0" w:color="auto"/>
        <w:left w:val="none" w:sz="0" w:space="0" w:color="auto"/>
        <w:bottom w:val="none" w:sz="0" w:space="0" w:color="auto"/>
        <w:right w:val="none" w:sz="0" w:space="0" w:color="auto"/>
      </w:divBdr>
    </w:div>
    <w:div w:id="1851989999">
      <w:bodyDiv w:val="1"/>
      <w:marLeft w:val="0"/>
      <w:marRight w:val="0"/>
      <w:marTop w:val="0"/>
      <w:marBottom w:val="0"/>
      <w:divBdr>
        <w:top w:val="none" w:sz="0" w:space="0" w:color="auto"/>
        <w:left w:val="none" w:sz="0" w:space="0" w:color="auto"/>
        <w:bottom w:val="none" w:sz="0" w:space="0" w:color="auto"/>
        <w:right w:val="none" w:sz="0" w:space="0" w:color="auto"/>
      </w:divBdr>
    </w:div>
    <w:div w:id="1912688634">
      <w:bodyDiv w:val="1"/>
      <w:marLeft w:val="0"/>
      <w:marRight w:val="0"/>
      <w:marTop w:val="0"/>
      <w:marBottom w:val="0"/>
      <w:divBdr>
        <w:top w:val="none" w:sz="0" w:space="0" w:color="auto"/>
        <w:left w:val="none" w:sz="0" w:space="0" w:color="auto"/>
        <w:bottom w:val="none" w:sz="0" w:space="0" w:color="auto"/>
        <w:right w:val="none" w:sz="0" w:space="0" w:color="auto"/>
      </w:divBdr>
    </w:div>
    <w:div w:id="1943953571">
      <w:bodyDiv w:val="1"/>
      <w:marLeft w:val="0"/>
      <w:marRight w:val="0"/>
      <w:marTop w:val="0"/>
      <w:marBottom w:val="0"/>
      <w:divBdr>
        <w:top w:val="none" w:sz="0" w:space="0" w:color="auto"/>
        <w:left w:val="none" w:sz="0" w:space="0" w:color="auto"/>
        <w:bottom w:val="none" w:sz="0" w:space="0" w:color="auto"/>
        <w:right w:val="none" w:sz="0" w:space="0" w:color="auto"/>
      </w:divBdr>
    </w:div>
    <w:div w:id="1950232304">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
    <w:div w:id="2105418151">
      <w:bodyDiv w:val="1"/>
      <w:marLeft w:val="0"/>
      <w:marRight w:val="0"/>
      <w:marTop w:val="0"/>
      <w:marBottom w:val="0"/>
      <w:divBdr>
        <w:top w:val="none" w:sz="0" w:space="0" w:color="auto"/>
        <w:left w:val="none" w:sz="0" w:space="0" w:color="auto"/>
        <w:bottom w:val="none" w:sz="0" w:space="0" w:color="auto"/>
        <w:right w:val="none" w:sz="0" w:space="0" w:color="auto"/>
      </w:divBdr>
    </w:div>
    <w:div w:id="21113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5212-B60E-4407-85B1-81517376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2022-09-02T17:09:00Z</dcterms:created>
  <dcterms:modified xsi:type="dcterms:W3CDTF">2022-09-02T17:09:00Z</dcterms:modified>
</cp:coreProperties>
</file>