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22C3D" w:rsidRDefault="006637C9">
      <w:pPr>
        <w:spacing w:after="203" w:line="259" w:lineRule="auto"/>
        <w:ind w:left="-140" w:firstLine="0"/>
        <w:jc w:val="left"/>
      </w:pPr>
      <w:r w:rsidRPr="006637C9">
        <w:rPr>
          <w:rFonts w:ascii="Calibri" w:eastAsia="Calibri" w:hAnsi="Calibri" w:cs="Calibri"/>
          <w:noProof/>
        </w:rPr>
      </w:r>
      <w:r w:rsidR="00E15311" w:rsidRPr="006637C9">
        <w:rPr>
          <w:rFonts w:ascii="Calibri" w:eastAsia="Calibri" w:hAnsi="Calibri" w:cs="Calibri"/>
          <w:noProof/>
        </w:rPr>
        <w:pict>
          <v:group id="Group 9074" o:spid="_x0000_s1131" style="width:503.7pt;height:64.9pt;mso-position-horizontal-relative:char;mso-position-vertical-relative:line" coordsize="63969,8242">
            <v:rect id="Rectangle 8" o:spid="_x0000_s1141" style="position:absolute;left:1465;top:994;width:421;height:1899" filled="f" stroked="f">
              <v:textbox inset="0,0,0,0">
                <w:txbxContent>
                  <w:p w:rsidR="006637C9" w:rsidRDefault="006A17F0">
                    <w:pPr>
                      <w:spacing w:after="160" w:line="259" w:lineRule="auto"/>
                      <w:ind w:left="0" w:firstLine="0"/>
                      <w:jc w:val="left"/>
                    </w:pPr>
                    <w:r>
                      <w:rPr>
                        <w:rFonts w:ascii="Calibri" w:eastAsia="Calibri" w:hAnsi="Calibri" w:cs="Calibri"/>
                      </w:rPr>
                      <w:t xml:space="preserve"> </w:t>
                    </w:r>
                  </w:p>
                </w:txbxContent>
              </v:textbox>
            </v:rect>
            <v:rect id="Rectangle 9" o:spid="_x0000_s1140" style="position:absolute;left:1465;top:3862;width:421;height:1899" filled="f" stroked="f">
              <v:textbox inset="0,0,0,0">
                <w:txbxContent>
                  <w:p w:rsidR="006637C9" w:rsidRDefault="006A17F0">
                    <w:pPr>
                      <w:spacing w:after="160" w:line="259" w:lineRule="auto"/>
                      <w:ind w:left="0" w:firstLine="0"/>
                      <w:jc w:val="left"/>
                    </w:pPr>
                    <w:r>
                      <w:rPr>
                        <w:rFonts w:ascii="Calibri" w:eastAsia="Calibri" w:hAnsi="Calibri" w:cs="Calibri"/>
                      </w:rPr>
                      <w:t xml:space="preserve"> </w:t>
                    </w:r>
                  </w:p>
                </w:txbxContent>
              </v:textbox>
            </v:rect>
            <v:rect id="Rectangle 10" o:spid="_x0000_s1139" style="position:absolute;left:41266;top:3862;width:421;height:1899" filled="f" stroked="f">
              <v:textbox inset="0,0,0,0">
                <w:txbxContent>
                  <w:p w:rsidR="006637C9" w:rsidRDefault="006A17F0">
                    <w:pPr>
                      <w:spacing w:after="160" w:line="259" w:lineRule="auto"/>
                      <w:ind w:left="0" w:firstLine="0"/>
                      <w:jc w:val="left"/>
                    </w:pPr>
                    <w:r>
                      <w:rPr>
                        <w:rFonts w:ascii="Calibri" w:eastAsia="Calibri" w:hAnsi="Calibri" w:cs="Calibri"/>
                      </w:rPr>
                      <w:t xml:space="preserve"> </w:t>
                    </w:r>
                  </w:p>
                </w:txbxContent>
              </v:textbox>
            </v:rect>
            <v:rect id="Rectangle 11" o:spid="_x0000_s1138" style="position:absolute;left:322;top:5980;width:2947;height:2064" filled="f" stroked="f">
              <v:textbox inset="0,0,0,0">
                <w:txbxContent>
                  <w:p w:rsidR="006637C9" w:rsidRDefault="006A17F0">
                    <w:pPr>
                      <w:spacing w:after="160" w:line="259" w:lineRule="auto"/>
                      <w:ind w:left="0" w:firstLine="0"/>
                      <w:jc w:val="left"/>
                    </w:pPr>
                    <w:r>
                      <w:rPr>
                        <w:rFonts w:ascii="Calibri" w:eastAsia="Calibri" w:hAnsi="Calibri" w:cs="Calibri"/>
                        <w:b/>
                        <w:sz w:val="24"/>
                      </w:rPr>
                      <w:t>TO:</w:t>
                    </w:r>
                  </w:p>
                </w:txbxContent>
              </v:textbox>
            </v:rect>
            <v:rect id="Rectangle 12" o:spid="_x0000_s1137" style="position:absolute;left:2535;top:5980;width:458;height:2064" filled="f" stroked="f">
              <v:textbox inset="0,0,0,0">
                <w:txbxContent>
                  <w:p w:rsidR="006637C9" w:rsidRDefault="006A17F0">
                    <w:pPr>
                      <w:spacing w:after="160" w:line="259" w:lineRule="auto"/>
                      <w:ind w:left="0" w:firstLine="0"/>
                      <w:jc w:val="left"/>
                    </w:pPr>
                    <w:r>
                      <w:rPr>
                        <w:rFonts w:ascii="Calibri" w:eastAsia="Calibri" w:hAnsi="Calibri" w:cs="Calibri"/>
                        <w:b/>
                        <w:sz w:val="24"/>
                      </w:rPr>
                      <w:t xml:space="preserve"> </w:t>
                    </w:r>
                  </w:p>
                </w:txbxContent>
              </v:textbox>
            </v:rect>
            <v:rect id="Rectangle 13" o:spid="_x0000_s1136" style="position:absolute;left:9469;top:5980;width:9798;height:2064" filled="f" stroked="f">
              <v:textbox inset="0,0,0,0">
                <w:txbxContent>
                  <w:p w:rsidR="006637C9" w:rsidRDefault="006A17F0">
                    <w:pPr>
                      <w:spacing w:after="160" w:line="259" w:lineRule="auto"/>
                      <w:ind w:left="0" w:firstLine="0"/>
                      <w:jc w:val="left"/>
                    </w:pPr>
                    <w:r>
                      <w:rPr>
                        <w:rFonts w:ascii="Calibri" w:eastAsia="Calibri" w:hAnsi="Calibri" w:cs="Calibri"/>
                        <w:b/>
                        <w:sz w:val="24"/>
                      </w:rPr>
                      <w:t xml:space="preserve">Mr S </w:t>
                    </w:r>
                    <w:proofErr w:type="spellStart"/>
                    <w:r>
                      <w:rPr>
                        <w:rFonts w:ascii="Calibri" w:eastAsia="Calibri" w:hAnsi="Calibri" w:cs="Calibri"/>
                        <w:b/>
                        <w:sz w:val="24"/>
                      </w:rPr>
                      <w:t>Luzipo</w:t>
                    </w:r>
                    <w:proofErr w:type="spellEnd"/>
                  </w:p>
                </w:txbxContent>
              </v:textbox>
            </v:rect>
            <v:rect id="Rectangle 14" o:spid="_x0000_s1135" style="position:absolute;left:16845;top:5980;width:3832;height:2064" filled="f" stroked="f">
              <v:textbox inset="0,0,0,0">
                <w:txbxContent>
                  <w:p w:rsidR="006637C9" w:rsidRDefault="006A17F0">
                    <w:pPr>
                      <w:spacing w:after="160" w:line="259" w:lineRule="auto"/>
                      <w:ind w:left="0" w:firstLine="0"/>
                      <w:jc w:val="left"/>
                    </w:pPr>
                    <w:r>
                      <w:rPr>
                        <w:rFonts w:ascii="Calibri" w:eastAsia="Calibri" w:hAnsi="Calibri" w:cs="Calibri"/>
                        <w:b/>
                        <w:sz w:val="24"/>
                      </w:rPr>
                      <w:t>, MP</w:t>
                    </w:r>
                  </w:p>
                </w:txbxContent>
              </v:textbox>
            </v:rect>
            <v:rect id="Rectangle 15" o:spid="_x0000_s1134" style="position:absolute;left:19714;top:5980;width:458;height:2064" filled="f" stroked="f">
              <v:textbox inset="0,0,0,0">
                <w:txbxContent>
                  <w:p w:rsidR="006637C9" w:rsidRDefault="006A17F0">
                    <w:pPr>
                      <w:spacing w:after="160" w:line="259" w:lineRule="auto"/>
                      <w:ind w:left="0" w:firstLine="0"/>
                      <w:jc w:val="left"/>
                    </w:pPr>
                    <w:r>
                      <w:rPr>
                        <w:rFonts w:ascii="Calibri" w:eastAsia="Calibri" w:hAnsi="Calibri" w:cs="Calibri"/>
                        <w:b/>
                        <w:sz w:val="24"/>
                      </w:rPr>
                      <w:t xml:space="preserve"> </w:t>
                    </w:r>
                  </w:p>
                </w:txbxContent>
              </v:textbox>
            </v:rect>
            <v:shape id="Picture 144" o:spid="_x0000_s1133" style="position:absolute;width:25438;height:8242" coordsize="21600,21600" o:spt="100" adj="0,,0" path="" filled="f">
              <v:stroke joinstyle="round"/>
              <v:imagedata r:id="rId7" o:title="image10"/>
              <v:formulas/>
              <v:path o:connecttype="segments"/>
            </v:shape>
            <v:shape id="Picture 146" o:spid="_x0000_s1132" style="position:absolute;left:41173;top:1828;width:22796;height:5924" coordsize="21600,21600" o:spt="100" adj="0,,0" path="" filled="f">
              <v:stroke joinstyle="round"/>
              <v:imagedata r:id="rId8" o:title="image20"/>
              <v:formulas/>
              <v:path o:connecttype="segments"/>
            </v:shape>
            <w10:wrap type="none"/>
            <w10:anchorlock/>
          </v:group>
        </w:pict>
      </w:r>
    </w:p>
    <w:tbl>
      <w:tblPr>
        <w:tblStyle w:val="TableGrid"/>
        <w:tblW w:w="3953" w:type="dxa"/>
        <w:tblInd w:w="91" w:type="dxa"/>
        <w:tblLook w:val="04A0"/>
      </w:tblPr>
      <w:tblGrid>
        <w:gridCol w:w="1133"/>
        <w:gridCol w:w="2820"/>
      </w:tblGrid>
      <w:tr w:rsidR="00F22C3D">
        <w:trPr>
          <w:trHeight w:val="240"/>
        </w:trPr>
        <w:tc>
          <w:tcPr>
            <w:tcW w:w="1133" w:type="dxa"/>
            <w:tcBorders>
              <w:top w:val="nil"/>
              <w:left w:val="nil"/>
              <w:bottom w:val="nil"/>
              <w:right w:val="nil"/>
            </w:tcBorders>
          </w:tcPr>
          <w:p w:rsidR="00F22C3D" w:rsidRDefault="00CE3562">
            <w:pPr>
              <w:tabs>
                <w:tab w:val="center" w:pos="720"/>
              </w:tabs>
              <w:spacing w:after="0" w:line="259" w:lineRule="auto"/>
              <w:ind w:left="0" w:firstLine="0"/>
              <w:jc w:val="left"/>
            </w:pPr>
            <w:r>
              <w:rPr>
                <w:sz w:val="18"/>
              </w:rPr>
              <w:t xml:space="preserve">Tel: </w:t>
            </w:r>
            <w:r>
              <w:rPr>
                <w:sz w:val="18"/>
              </w:rPr>
              <w:tab/>
              <w:t xml:space="preserve"> </w:t>
            </w:r>
          </w:p>
        </w:tc>
        <w:tc>
          <w:tcPr>
            <w:tcW w:w="2820" w:type="dxa"/>
            <w:tcBorders>
              <w:top w:val="nil"/>
              <w:left w:val="nil"/>
              <w:bottom w:val="nil"/>
              <w:right w:val="nil"/>
            </w:tcBorders>
          </w:tcPr>
          <w:p w:rsidR="00F22C3D" w:rsidRDefault="00CE3562">
            <w:pPr>
              <w:spacing w:after="0" w:line="259" w:lineRule="auto"/>
              <w:ind w:left="307" w:firstLine="0"/>
              <w:jc w:val="left"/>
            </w:pPr>
            <w:r>
              <w:rPr>
                <w:sz w:val="18"/>
              </w:rPr>
              <w:t xml:space="preserve">(021) 403-2627 </w:t>
            </w:r>
          </w:p>
        </w:tc>
      </w:tr>
      <w:tr w:rsidR="00F22C3D">
        <w:trPr>
          <w:trHeight w:val="278"/>
        </w:trPr>
        <w:tc>
          <w:tcPr>
            <w:tcW w:w="1133" w:type="dxa"/>
            <w:tcBorders>
              <w:top w:val="nil"/>
              <w:left w:val="nil"/>
              <w:bottom w:val="nil"/>
              <w:right w:val="nil"/>
            </w:tcBorders>
          </w:tcPr>
          <w:p w:rsidR="00F22C3D" w:rsidRDefault="00CE3562">
            <w:pPr>
              <w:spacing w:after="0" w:line="259" w:lineRule="auto"/>
              <w:ind w:left="0" w:firstLine="0"/>
              <w:jc w:val="left"/>
            </w:pPr>
            <w:r>
              <w:rPr>
                <w:sz w:val="18"/>
              </w:rPr>
              <w:t xml:space="preserve">Direct:  </w:t>
            </w:r>
          </w:p>
        </w:tc>
        <w:tc>
          <w:tcPr>
            <w:tcW w:w="2820" w:type="dxa"/>
            <w:tcBorders>
              <w:top w:val="nil"/>
              <w:left w:val="nil"/>
              <w:bottom w:val="nil"/>
              <w:right w:val="nil"/>
            </w:tcBorders>
          </w:tcPr>
          <w:p w:rsidR="00F22C3D" w:rsidRDefault="00CE3562">
            <w:pPr>
              <w:spacing w:after="0" w:line="259" w:lineRule="auto"/>
              <w:ind w:left="307" w:firstLine="0"/>
              <w:jc w:val="left"/>
            </w:pPr>
            <w:r>
              <w:rPr>
                <w:sz w:val="18"/>
              </w:rPr>
              <w:t xml:space="preserve">(021) 403-8287 </w:t>
            </w:r>
          </w:p>
        </w:tc>
      </w:tr>
      <w:tr w:rsidR="00F22C3D">
        <w:trPr>
          <w:trHeight w:val="261"/>
        </w:trPr>
        <w:tc>
          <w:tcPr>
            <w:tcW w:w="1133" w:type="dxa"/>
            <w:tcBorders>
              <w:top w:val="nil"/>
              <w:left w:val="nil"/>
              <w:bottom w:val="nil"/>
              <w:right w:val="nil"/>
            </w:tcBorders>
          </w:tcPr>
          <w:p w:rsidR="00F22C3D" w:rsidRDefault="00CE3562">
            <w:pPr>
              <w:tabs>
                <w:tab w:val="center" w:pos="720"/>
              </w:tabs>
              <w:spacing w:after="0" w:line="259" w:lineRule="auto"/>
              <w:ind w:left="0" w:firstLine="0"/>
              <w:jc w:val="left"/>
            </w:pPr>
            <w:r>
              <w:rPr>
                <w:sz w:val="18"/>
              </w:rPr>
              <w:t xml:space="preserve">Fax: </w:t>
            </w:r>
            <w:r>
              <w:rPr>
                <w:sz w:val="18"/>
              </w:rPr>
              <w:tab/>
              <w:t xml:space="preserve"> </w:t>
            </w:r>
          </w:p>
        </w:tc>
        <w:tc>
          <w:tcPr>
            <w:tcW w:w="2820" w:type="dxa"/>
            <w:tcBorders>
              <w:top w:val="nil"/>
              <w:left w:val="nil"/>
              <w:bottom w:val="nil"/>
              <w:right w:val="nil"/>
            </w:tcBorders>
          </w:tcPr>
          <w:p w:rsidR="00F22C3D" w:rsidRDefault="00CE3562">
            <w:pPr>
              <w:spacing w:after="0" w:line="259" w:lineRule="auto"/>
              <w:ind w:left="307" w:firstLine="0"/>
              <w:jc w:val="left"/>
            </w:pPr>
            <w:r>
              <w:rPr>
                <w:sz w:val="18"/>
              </w:rPr>
              <w:t xml:space="preserve">(021) 403-3888 </w:t>
            </w:r>
          </w:p>
        </w:tc>
      </w:tr>
      <w:tr w:rsidR="00F22C3D">
        <w:trPr>
          <w:trHeight w:val="549"/>
        </w:trPr>
        <w:tc>
          <w:tcPr>
            <w:tcW w:w="1133" w:type="dxa"/>
            <w:tcBorders>
              <w:top w:val="nil"/>
              <w:left w:val="nil"/>
              <w:bottom w:val="nil"/>
              <w:right w:val="nil"/>
            </w:tcBorders>
          </w:tcPr>
          <w:p w:rsidR="00F22C3D" w:rsidRDefault="00CE3562">
            <w:pPr>
              <w:spacing w:after="0" w:line="259" w:lineRule="auto"/>
              <w:ind w:left="0" w:right="363" w:firstLine="0"/>
              <w:jc w:val="left"/>
            </w:pPr>
            <w:r>
              <w:rPr>
                <w:sz w:val="18"/>
              </w:rPr>
              <w:t xml:space="preserve">E-mail:  </w:t>
            </w:r>
            <w:r>
              <w:t xml:space="preserve"> </w:t>
            </w:r>
          </w:p>
        </w:tc>
        <w:tc>
          <w:tcPr>
            <w:tcW w:w="2820" w:type="dxa"/>
            <w:tcBorders>
              <w:top w:val="nil"/>
              <w:left w:val="nil"/>
              <w:bottom w:val="nil"/>
              <w:right w:val="nil"/>
            </w:tcBorders>
          </w:tcPr>
          <w:p w:rsidR="00F22C3D" w:rsidRDefault="00CE3562">
            <w:pPr>
              <w:spacing w:after="0" w:line="259" w:lineRule="auto"/>
              <w:ind w:left="0" w:right="70" w:firstLine="0"/>
              <w:jc w:val="right"/>
            </w:pPr>
            <w:r>
              <w:rPr>
                <w:sz w:val="18"/>
              </w:rPr>
              <w:t>atetyana@parliament.gov.za</w:t>
            </w:r>
            <w:r>
              <w:t xml:space="preserve"> </w:t>
            </w:r>
          </w:p>
        </w:tc>
      </w:tr>
    </w:tbl>
    <w:p w:rsidR="00F22C3D" w:rsidRDefault="00CE3562">
      <w:pPr>
        <w:spacing w:after="105" w:line="259" w:lineRule="auto"/>
        <w:ind w:left="10" w:right="251" w:hanging="10"/>
        <w:jc w:val="center"/>
      </w:pPr>
      <w:r>
        <w:rPr>
          <w:b/>
        </w:rPr>
        <w:t xml:space="preserve">MEMORANDUM </w:t>
      </w:r>
    </w:p>
    <w:p w:rsidR="00F22C3D" w:rsidRDefault="00CE3562">
      <w:pPr>
        <w:spacing w:after="132" w:line="259" w:lineRule="auto"/>
        <w:ind w:left="10" w:right="253" w:hanging="10"/>
        <w:jc w:val="center"/>
      </w:pPr>
      <w:r>
        <w:rPr>
          <w:b/>
        </w:rPr>
        <w:t xml:space="preserve">[Confidential] </w:t>
      </w:r>
    </w:p>
    <w:p w:rsidR="00F22C3D" w:rsidRDefault="00CE3562">
      <w:pPr>
        <w:spacing w:after="0" w:line="259" w:lineRule="auto"/>
        <w:ind w:left="91" w:firstLine="0"/>
        <w:jc w:val="left"/>
      </w:pPr>
      <w:r>
        <w:rPr>
          <w:rFonts w:ascii="Calibri" w:eastAsia="Calibri" w:hAnsi="Calibri" w:cs="Calibri"/>
          <w:b/>
          <w:sz w:val="24"/>
        </w:rPr>
        <w:t xml:space="preserve"> </w:t>
      </w:r>
    </w:p>
    <w:p w:rsidR="00F22C3D" w:rsidRDefault="006637C9">
      <w:pPr>
        <w:spacing w:after="133" w:line="259" w:lineRule="auto"/>
        <w:ind w:left="62" w:right="-60" w:firstLine="0"/>
        <w:jc w:val="left"/>
      </w:pPr>
      <w:r w:rsidRPr="006637C9">
        <w:rPr>
          <w:rFonts w:ascii="Calibri" w:eastAsia="Calibri" w:hAnsi="Calibri" w:cs="Calibri"/>
          <w:noProof/>
        </w:rPr>
      </w:r>
      <w:r w:rsidR="00E15311" w:rsidRPr="006637C9">
        <w:rPr>
          <w:rFonts w:ascii="Calibri" w:eastAsia="Calibri" w:hAnsi="Calibri" w:cs="Calibri"/>
          <w:noProof/>
        </w:rPr>
        <w:pict>
          <v:group id="Group 7664" o:spid="_x0000_s1063" style="width:503.2pt;height:318.5pt;mso-position-horizontal-relative:char;mso-position-vertical-relative:line" coordsize="63907,40446">
            <v:shape id="Picture 7" o:spid="_x0000_s1130" style="position:absolute;left:10629;top:726;width:39985;height:39154" coordsize="63907,40446" o:spt="100" adj="0,,0" path="" filled="f">
              <v:stroke joinstyle="round"/>
              <v:imagedata r:id="rId9" o:title="image0"/>
              <v:formulas/>
              <v:path o:connecttype="segments"/>
            </v:shape>
            <v:rect id="Rectangle 51" o:spid="_x0000_s1129" style="position:absolute;left:182;width:3194;height:2079" filled="f" stroked="f">
              <v:textbox inset="0,0,0,0">
                <w:txbxContent>
                  <w:p w:rsidR="006637C9" w:rsidRDefault="006A17F0">
                    <w:pPr>
                      <w:spacing w:after="160" w:line="259" w:lineRule="auto"/>
                      <w:ind w:left="0" w:firstLine="0"/>
                      <w:jc w:val="left"/>
                    </w:pPr>
                    <w:r>
                      <w:rPr>
                        <w:b/>
                      </w:rPr>
                      <w:t>TO:</w:t>
                    </w:r>
                  </w:p>
                </w:txbxContent>
              </v:textbox>
            </v:rect>
            <v:rect id="Rectangle 52" o:spid="_x0000_s1128" style="position:absolute;left:2593;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53" o:spid="_x0000_s1127" style="position:absolute;left:7378;width:2802;height:2079" filled="f" stroked="f">
              <v:textbox inset="0,0,0,0">
                <w:txbxContent>
                  <w:p w:rsidR="006637C9" w:rsidRDefault="006A17F0">
                    <w:pPr>
                      <w:spacing w:after="160" w:line="259" w:lineRule="auto"/>
                      <w:ind w:left="0" w:firstLine="0"/>
                      <w:jc w:val="left"/>
                    </w:pPr>
                    <w:r>
                      <w:rPr>
                        <w:b/>
                      </w:rPr>
                      <w:t xml:space="preserve">Mr </w:t>
                    </w:r>
                  </w:p>
                </w:txbxContent>
              </v:textbox>
            </v:rect>
            <v:rect id="Rectangle 54" o:spid="_x0000_s1126" style="position:absolute;left:9497;width:13521;height:2079" filled="f" stroked="f">
              <v:textbox inset="0,0,0,0">
                <w:txbxContent>
                  <w:p w:rsidR="006637C9" w:rsidRDefault="006A17F0">
                    <w:pPr>
                      <w:spacing w:after="160" w:line="259" w:lineRule="auto"/>
                      <w:ind w:left="0" w:firstLine="0"/>
                      <w:jc w:val="left"/>
                    </w:pPr>
                    <w:r>
                      <w:rPr>
                        <w:b/>
                      </w:rPr>
                      <w:t xml:space="preserve">B M </w:t>
                    </w:r>
                    <w:proofErr w:type="spellStart"/>
                    <w:r>
                      <w:rPr>
                        <w:b/>
                      </w:rPr>
                      <w:t>Maneli</w:t>
                    </w:r>
                    <w:proofErr w:type="spellEnd"/>
                    <w:r>
                      <w:rPr>
                        <w:b/>
                      </w:rPr>
                      <w:t>, MP</w:t>
                    </w:r>
                  </w:p>
                </w:txbxContent>
              </v:textbox>
            </v:rect>
            <v:rect id="Rectangle 55" o:spid="_x0000_s1125" style="position:absolute;left:19650;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56" o:spid="_x0000_s1124" style="position:absolute;left:20031;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57" o:spid="_x0000_s1123" style="position:absolute;left:182;top:2407;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58" o:spid="_x0000_s1122" style="position:absolute;left:7378;top:2407;width:48204;height:2079" filled="f" stroked="f">
              <v:textbox inset="0,0,0,0">
                <w:txbxContent>
                  <w:p w:rsidR="006637C9" w:rsidRDefault="006A17F0">
                    <w:pPr>
                      <w:spacing w:after="160" w:line="259" w:lineRule="auto"/>
                      <w:ind w:left="0" w:firstLine="0"/>
                      <w:jc w:val="left"/>
                    </w:pPr>
                    <w:r>
                      <w:rPr>
                        <w:b/>
                      </w:rPr>
                      <w:t>Chairperson: Portfolio Committee on Communications</w:t>
                    </w:r>
                  </w:p>
                </w:txbxContent>
              </v:textbox>
            </v:rect>
            <v:rect id="Rectangle 59" o:spid="_x0000_s1121" style="position:absolute;left:43625;top:2407;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60" o:spid="_x0000_s1120" style="position:absolute;left:182;top:4831;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61" o:spid="_x0000_s1119" style="position:absolute;left:7378;top:4831;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62" o:spid="_x0000_s1118" style="position:absolute;left:8186;top:4831;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63" o:spid="_x0000_s1117" style="position:absolute;left:182;top:7239;width:5888;height:2079" filled="f" stroked="f">
              <v:textbox inset="0,0,0,0">
                <w:txbxContent>
                  <w:p w:rsidR="006637C9" w:rsidRDefault="006A17F0">
                    <w:pPr>
                      <w:spacing w:after="160" w:line="259" w:lineRule="auto"/>
                      <w:ind w:left="0" w:firstLine="0"/>
                      <w:jc w:val="left"/>
                    </w:pPr>
                    <w:r>
                      <w:rPr>
                        <w:b/>
                      </w:rPr>
                      <w:t>COPY:</w:t>
                    </w:r>
                  </w:p>
                </w:txbxContent>
              </v:textbox>
            </v:rect>
            <v:rect id="Rectangle 64" o:spid="_x0000_s1116" style="position:absolute;left:4605;top:7239;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65" o:spid="_x0000_s1115" style="position:absolute;left:7378;top:7239;width:4357;height:2079" filled="f" stroked="f">
              <v:textbox inset="0,0,0,0">
                <w:txbxContent>
                  <w:p w:rsidR="006637C9" w:rsidRDefault="006A17F0">
                    <w:pPr>
                      <w:spacing w:after="160" w:line="259" w:lineRule="auto"/>
                      <w:ind w:left="0" w:firstLine="0"/>
                      <w:jc w:val="left"/>
                    </w:pPr>
                    <w:r>
                      <w:rPr>
                        <w:b/>
                      </w:rPr>
                      <w:t>Ms P</w:t>
                    </w:r>
                  </w:p>
                </w:txbxContent>
              </v:textbox>
            </v:rect>
            <v:rect id="Rectangle 66" o:spid="_x0000_s1114" style="position:absolute;left:10640;top:7239;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67" o:spid="_x0000_s1113" style="position:absolute;left:11036;top:7239;width:7537;height:2079" filled="f" stroked="f">
              <v:textbox inset="0,0,0,0">
                <w:txbxContent>
                  <w:p w:rsidR="006637C9" w:rsidRDefault="006A17F0">
                    <w:pPr>
                      <w:spacing w:after="160" w:line="259" w:lineRule="auto"/>
                      <w:ind w:left="0" w:firstLine="0"/>
                      <w:jc w:val="left"/>
                    </w:pPr>
                    <w:r>
                      <w:rPr>
                        <w:b/>
                      </w:rPr>
                      <w:t xml:space="preserve">N </w:t>
                    </w:r>
                    <w:proofErr w:type="spellStart"/>
                    <w:r>
                      <w:rPr>
                        <w:b/>
                      </w:rPr>
                      <w:t>Tyawa</w:t>
                    </w:r>
                    <w:proofErr w:type="spellEnd"/>
                  </w:p>
                </w:txbxContent>
              </v:textbox>
            </v:rect>
            <v:rect id="Rectangle 68" o:spid="_x0000_s1112" style="position:absolute;left:16690;top:7239;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69" o:spid="_x0000_s1111" style="position:absolute;left:182;top:9646;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70" o:spid="_x0000_s1110" style="position:absolute;left:7378;top:9646;width:3494;height:2079" filled="f" stroked="f">
              <v:textbox inset="0,0,0,0">
                <w:txbxContent>
                  <w:p w:rsidR="006637C9" w:rsidRDefault="006A17F0">
                    <w:pPr>
                      <w:spacing w:after="160" w:line="259" w:lineRule="auto"/>
                      <w:ind w:left="0" w:firstLine="0"/>
                      <w:jc w:val="left"/>
                    </w:pPr>
                    <w:proofErr w:type="spellStart"/>
                    <w:r>
                      <w:rPr>
                        <w:b/>
                      </w:rPr>
                      <w:t>Acti</w:t>
                    </w:r>
                    <w:proofErr w:type="spellEnd"/>
                  </w:p>
                </w:txbxContent>
              </v:textbox>
            </v:rect>
            <v:rect id="Rectangle 71" o:spid="_x0000_s1109" style="position:absolute;left:10015;top:9646;width:24060;height:2079" filled="f" stroked="f">
              <v:textbox inset="0,0,0,0">
                <w:txbxContent>
                  <w:p w:rsidR="006637C9" w:rsidRDefault="006A17F0">
                    <w:pPr>
                      <w:spacing w:after="160" w:line="259" w:lineRule="auto"/>
                      <w:ind w:left="0" w:firstLine="0"/>
                      <w:jc w:val="left"/>
                    </w:pPr>
                    <w:proofErr w:type="spellStart"/>
                    <w:proofErr w:type="gramStart"/>
                    <w:r>
                      <w:rPr>
                        <w:b/>
                      </w:rPr>
                      <w:t>ng</w:t>
                    </w:r>
                    <w:proofErr w:type="spellEnd"/>
                    <w:proofErr w:type="gramEnd"/>
                    <w:r>
                      <w:rPr>
                        <w:b/>
                      </w:rPr>
                      <w:t xml:space="preserve"> Secretary to Parliament </w:t>
                    </w:r>
                  </w:p>
                </w:txbxContent>
              </v:textbox>
            </v:rect>
            <v:rect id="Rectangle 72" o:spid="_x0000_s1108" style="position:absolute;left:28108;top:9646;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73" o:spid="_x0000_s1107" style="position:absolute;left:182;top:12054;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74" o:spid="_x0000_s1106" style="position:absolute;left:182;top:14462;width:6615;height:2079" filled="f" stroked="f">
              <v:textbox inset="0,0,0,0">
                <w:txbxContent>
                  <w:p w:rsidR="006637C9" w:rsidRDefault="006A17F0">
                    <w:pPr>
                      <w:spacing w:after="160" w:line="259" w:lineRule="auto"/>
                      <w:ind w:left="0" w:firstLine="0"/>
                      <w:jc w:val="left"/>
                    </w:pPr>
                    <w:r>
                      <w:rPr>
                        <w:b/>
                      </w:rPr>
                      <w:t xml:space="preserve">FROM: </w:t>
                    </w:r>
                  </w:p>
                </w:txbxContent>
              </v:textbox>
            </v:rect>
            <v:rect id="Rectangle 75" o:spid="_x0000_s1105" style="position:absolute;left:5154;top:14462;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76" o:spid="_x0000_s1104" style="position:absolute;left:7378;top:14462;width:14146;height:2079" filled="f" stroked="f">
              <v:textbox inset="0,0,0,0">
                <w:txbxContent>
                  <w:p w:rsidR="006637C9" w:rsidRDefault="006A17F0">
                    <w:pPr>
                      <w:spacing w:after="160" w:line="259" w:lineRule="auto"/>
                      <w:ind w:left="0" w:firstLine="0"/>
                      <w:jc w:val="left"/>
                    </w:pPr>
                    <w:r>
                      <w:rPr>
                        <w:b/>
                      </w:rPr>
                      <w:t xml:space="preserve">Adv Z </w:t>
                    </w:r>
                    <w:proofErr w:type="spellStart"/>
                    <w:r>
                      <w:rPr>
                        <w:b/>
                      </w:rPr>
                      <w:t>Adhikarie</w:t>
                    </w:r>
                    <w:proofErr w:type="spellEnd"/>
                  </w:p>
                </w:txbxContent>
              </v:textbox>
            </v:rect>
            <v:rect id="Rectangle 77" o:spid="_x0000_s1103" style="position:absolute;left:18020;top:14462;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78" o:spid="_x0000_s1102" style="position:absolute;left:182;top:16873;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79" o:spid="_x0000_s1101" style="position:absolute;left:7378;top:16873;width:54099;height:2079" filled="f" stroked="f">
              <v:textbox inset="0,0,0,0">
                <w:txbxContent>
                  <w:p w:rsidR="006637C9" w:rsidRDefault="006A17F0">
                    <w:pPr>
                      <w:spacing w:after="160" w:line="259" w:lineRule="auto"/>
                      <w:ind w:left="0" w:firstLine="0"/>
                      <w:jc w:val="left"/>
                    </w:pPr>
                    <w:r>
                      <w:rPr>
                        <w:b/>
                      </w:rPr>
                      <w:t>Chief Legal Adviser: Constitutional and Legal Services Office</w:t>
                    </w:r>
                  </w:p>
                </w:txbxContent>
              </v:textbox>
            </v:rect>
            <v:rect id="Rectangle 80" o:spid="_x0000_s1100" style="position:absolute;left:48060;top:16873;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81" o:spid="_x0000_s1099" style="position:absolute;left:182;top:19281;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82" o:spid="_x0000_s1098" style="position:absolute;left:182;top:21689;width:5646;height:2079" filled="f" stroked="f">
              <v:textbox inset="0,0,0,0">
                <w:txbxContent>
                  <w:p w:rsidR="006637C9" w:rsidRDefault="006A17F0">
                    <w:pPr>
                      <w:spacing w:after="160" w:line="259" w:lineRule="auto"/>
                      <w:ind w:left="0" w:firstLine="0"/>
                      <w:jc w:val="left"/>
                    </w:pPr>
                    <w:r>
                      <w:rPr>
                        <w:b/>
                      </w:rPr>
                      <w:t>DATE:</w:t>
                    </w:r>
                  </w:p>
                </w:txbxContent>
              </v:textbox>
            </v:rect>
            <v:rect id="Rectangle 83" o:spid="_x0000_s1097" style="position:absolute;left:4453;top:21689;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84" o:spid="_x0000_s1096" style="position:absolute;left:7378;top:21689;width:2070;height:2079" filled="f" stroked="f">
              <v:textbox inset="0,0,0,0">
                <w:txbxContent>
                  <w:p w:rsidR="006637C9" w:rsidRDefault="006A17F0">
                    <w:pPr>
                      <w:spacing w:after="160" w:line="259" w:lineRule="auto"/>
                      <w:ind w:left="0" w:firstLine="0"/>
                      <w:jc w:val="left"/>
                    </w:pPr>
                    <w:r>
                      <w:rPr>
                        <w:b/>
                      </w:rPr>
                      <w:t>08</w:t>
                    </w:r>
                  </w:p>
                </w:txbxContent>
              </v:textbox>
            </v:rect>
            <v:rect id="Rectangle 85" o:spid="_x0000_s1095" style="position:absolute;left:8933;top:21689;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86" o:spid="_x0000_s1094" style="position:absolute;left:9329;top:21689;width:4343;height:2079" filled="f" stroked="f">
              <v:textbox inset="0,0,0,0">
                <w:txbxContent>
                  <w:p w:rsidR="006637C9" w:rsidRDefault="006A17F0">
                    <w:pPr>
                      <w:spacing w:after="160" w:line="259" w:lineRule="auto"/>
                      <w:ind w:left="0" w:firstLine="0"/>
                      <w:jc w:val="left"/>
                    </w:pPr>
                    <w:r>
                      <w:rPr>
                        <w:b/>
                      </w:rPr>
                      <w:t>June</w:t>
                    </w:r>
                  </w:p>
                </w:txbxContent>
              </v:textbox>
            </v:rect>
            <v:rect id="Rectangle 87" o:spid="_x0000_s1093" style="position:absolute;left:12590;top:21689;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88" o:spid="_x0000_s1092" style="position:absolute;left:12987;top:21689;width:4138;height:2079" filled="f" stroked="f">
              <v:textbox inset="0,0,0,0">
                <w:txbxContent>
                  <w:p w:rsidR="006637C9" w:rsidRDefault="006A17F0">
                    <w:pPr>
                      <w:spacing w:after="160" w:line="259" w:lineRule="auto"/>
                      <w:ind w:left="0" w:firstLine="0"/>
                      <w:jc w:val="left"/>
                    </w:pPr>
                    <w:r>
                      <w:rPr>
                        <w:b/>
                      </w:rPr>
                      <w:t>2022</w:t>
                    </w:r>
                  </w:p>
                </w:txbxContent>
              </v:textbox>
            </v:rect>
            <v:rect id="Rectangle 89" o:spid="_x0000_s1091" style="position:absolute;left:16080;top:21689;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90" o:spid="_x0000_s1090" style="position:absolute;left:182;top:24096;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91" o:spid="_x0000_s1089" style="position:absolute;left:182;top:26520;width:4333;height:2079" filled="f" stroked="f">
              <v:textbox inset="0,0,0,0">
                <w:txbxContent>
                  <w:p w:rsidR="006637C9" w:rsidRDefault="006A17F0">
                    <w:pPr>
                      <w:spacing w:after="160" w:line="259" w:lineRule="auto"/>
                      <w:ind w:left="0" w:firstLine="0"/>
                      <w:jc w:val="left"/>
                    </w:pPr>
                    <w:r>
                      <w:rPr>
                        <w:b/>
                      </w:rPr>
                      <w:t>REF:</w:t>
                    </w:r>
                  </w:p>
                </w:txbxContent>
              </v:textbox>
            </v:rect>
            <v:rect id="Rectangle 92" o:spid="_x0000_s1088" style="position:absolute;left:3447;top:26520;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7233" o:spid="_x0000_s1087" style="position:absolute;left:7378;top:26520;width:2070;height:2079" filled="f" stroked="f">
              <v:textbox inset="0,0,0,0">
                <w:txbxContent>
                  <w:p w:rsidR="006637C9" w:rsidRDefault="006A17F0">
                    <w:pPr>
                      <w:spacing w:after="160" w:line="259" w:lineRule="auto"/>
                      <w:ind w:left="0" w:firstLine="0"/>
                      <w:jc w:val="left"/>
                    </w:pPr>
                    <w:r>
                      <w:rPr>
                        <w:b/>
                      </w:rPr>
                      <w:t>63</w:t>
                    </w:r>
                  </w:p>
                </w:txbxContent>
              </v:textbox>
            </v:rect>
            <v:rect id="Rectangle 7234" o:spid="_x0000_s1086" style="position:absolute;left:8933;top:26520;width:1037;height:2079" filled="f" stroked="f">
              <v:textbox inset="0,0,0,0">
                <w:txbxContent>
                  <w:p w:rsidR="006637C9" w:rsidRDefault="006A17F0">
                    <w:pPr>
                      <w:spacing w:after="160" w:line="259" w:lineRule="auto"/>
                      <w:ind w:left="0" w:firstLine="0"/>
                      <w:jc w:val="left"/>
                    </w:pPr>
                    <w:proofErr w:type="gramStart"/>
                    <w:r>
                      <w:rPr>
                        <w:b/>
                      </w:rPr>
                      <w:t>a</w:t>
                    </w:r>
                    <w:proofErr w:type="gramEnd"/>
                  </w:p>
                </w:txbxContent>
              </v:textbox>
            </v:rect>
            <v:rect id="Rectangle 94" o:spid="_x0000_s1085" style="position:absolute;left:9710;top:26520;width:4667;height:2079" filled="f" stroked="f">
              <v:textbox inset="0,0,0,0">
                <w:txbxContent>
                  <w:p w:rsidR="006637C9" w:rsidRDefault="006A17F0">
                    <w:pPr>
                      <w:spacing w:after="160" w:line="259" w:lineRule="auto"/>
                      <w:ind w:left="0" w:firstLine="0"/>
                      <w:jc w:val="left"/>
                    </w:pPr>
                    <w:r>
                      <w:rPr>
                        <w:b/>
                      </w:rPr>
                      <w:t>/2022</w:t>
                    </w:r>
                  </w:p>
                </w:txbxContent>
              </v:textbox>
            </v:rect>
            <v:rect id="Rectangle 95" o:spid="_x0000_s1084" style="position:absolute;left:13200;top:26520;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96" o:spid="_x0000_s1083" style="position:absolute;left:13901;top:26520;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97" o:spid="_x0000_s1082" style="position:absolute;left:182;top:28928;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98" o:spid="_x0000_s1081" style="position:absolute;left:182;top:31335;width:9795;height:2079" filled="f" stroked="f">
              <v:textbox inset="0,0,0,0">
                <w:txbxContent>
                  <w:p w:rsidR="006637C9" w:rsidRDefault="006A17F0">
                    <w:pPr>
                      <w:spacing w:after="160" w:line="259" w:lineRule="auto"/>
                      <w:ind w:left="0" w:firstLine="0"/>
                      <w:jc w:val="left"/>
                    </w:pPr>
                    <w:r>
                      <w:rPr>
                        <w:b/>
                      </w:rPr>
                      <w:t xml:space="preserve">SUBJECT: </w:t>
                    </w:r>
                  </w:p>
                </w:txbxContent>
              </v:textbox>
            </v:rect>
            <v:rect id="Rectangle 99" o:spid="_x0000_s1080" style="position:absolute;left:7729;top:31335;width:10056;height:2079" filled="f" stroked="f">
              <v:textbox inset="0,0,0,0">
                <w:txbxContent>
                  <w:p w:rsidR="006637C9" w:rsidRDefault="006A17F0">
                    <w:pPr>
                      <w:spacing w:after="160" w:line="259" w:lineRule="auto"/>
                      <w:ind w:left="0" w:firstLine="0"/>
                      <w:jc w:val="left"/>
                    </w:pPr>
                    <w:r>
                      <w:rPr>
                        <w:b/>
                      </w:rPr>
                      <w:t>Opinion on</w:t>
                    </w:r>
                  </w:p>
                </w:txbxContent>
              </v:textbox>
            </v:rect>
            <v:rect id="Rectangle 100" o:spid="_x0000_s1079" style="position:absolute;left:15273;top:31335;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101" o:spid="_x0000_s1078" style="position:absolute;left:15836;top:31335;width:6607;height:2079" filled="f" stroked="f">
              <v:textbox inset="0,0,0,0">
                <w:txbxContent>
                  <w:p w:rsidR="006637C9" w:rsidRDefault="006A17F0">
                    <w:pPr>
                      <w:spacing w:after="160" w:line="259" w:lineRule="auto"/>
                      <w:ind w:left="0" w:firstLine="0"/>
                      <w:jc w:val="left"/>
                    </w:pPr>
                    <w:proofErr w:type="gramStart"/>
                    <w:r>
                      <w:rPr>
                        <w:b/>
                      </w:rPr>
                      <w:t>various</w:t>
                    </w:r>
                    <w:proofErr w:type="gramEnd"/>
                  </w:p>
                </w:txbxContent>
              </v:textbox>
            </v:rect>
            <v:rect id="Rectangle 102" o:spid="_x0000_s1077" style="position:absolute;left:20808;top:31335;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103" o:spid="_x0000_s1076" style="position:absolute;left:21372;top:31335;width:10970;height:2079" filled="f" stroked="f">
              <v:textbox inset="0,0,0,0">
                <w:txbxContent>
                  <w:p w:rsidR="006637C9" w:rsidRDefault="006A17F0">
                    <w:pPr>
                      <w:spacing w:after="160" w:line="259" w:lineRule="auto"/>
                      <w:ind w:left="0" w:firstLine="0"/>
                      <w:jc w:val="left"/>
                    </w:pPr>
                    <w:proofErr w:type="gramStart"/>
                    <w:r>
                      <w:rPr>
                        <w:b/>
                      </w:rPr>
                      <w:t>issues</w:t>
                    </w:r>
                    <w:proofErr w:type="gramEnd"/>
                    <w:r>
                      <w:rPr>
                        <w:b/>
                      </w:rPr>
                      <w:t xml:space="preserve"> </w:t>
                    </w:r>
                    <w:proofErr w:type="spellStart"/>
                    <w:r>
                      <w:rPr>
                        <w:b/>
                      </w:rPr>
                      <w:t>relati</w:t>
                    </w:r>
                    <w:proofErr w:type="spellEnd"/>
                  </w:p>
                </w:txbxContent>
              </v:textbox>
            </v:rect>
            <v:rect id="Rectangle 104" o:spid="_x0000_s1075" style="position:absolute;left:29632;top:31335;width:1139;height:2079" filled="f" stroked="f">
              <v:textbox inset="0,0,0,0">
                <w:txbxContent>
                  <w:p w:rsidR="006637C9" w:rsidRDefault="006A17F0">
                    <w:pPr>
                      <w:spacing w:after="160" w:line="259" w:lineRule="auto"/>
                      <w:ind w:left="0" w:firstLine="0"/>
                      <w:jc w:val="left"/>
                    </w:pPr>
                    <w:proofErr w:type="gramStart"/>
                    <w:r>
                      <w:rPr>
                        <w:b/>
                      </w:rPr>
                      <w:t>n</w:t>
                    </w:r>
                    <w:proofErr w:type="gramEnd"/>
                  </w:p>
                </w:txbxContent>
              </v:textbox>
            </v:rect>
            <v:rect id="Rectangle 105" o:spid="_x0000_s1074" style="position:absolute;left:30471;top:31335;width:1139;height:2079" filled="f" stroked="f">
              <v:textbox inset="0,0,0,0">
                <w:txbxContent>
                  <w:p w:rsidR="006637C9" w:rsidRDefault="006A17F0">
                    <w:pPr>
                      <w:spacing w:after="160" w:line="259" w:lineRule="auto"/>
                      <w:ind w:left="0" w:firstLine="0"/>
                      <w:jc w:val="left"/>
                    </w:pPr>
                    <w:proofErr w:type="gramStart"/>
                    <w:r>
                      <w:rPr>
                        <w:b/>
                      </w:rPr>
                      <w:t>g</w:t>
                    </w:r>
                    <w:proofErr w:type="gramEnd"/>
                  </w:p>
                </w:txbxContent>
              </v:textbox>
            </v:rect>
            <v:rect id="Rectangle 106" o:spid="_x0000_s1073" style="position:absolute;left:31324;top:31335;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107" o:spid="_x0000_s1072" style="position:absolute;left:31888;top:31335;width:10770;height:2079" filled="f" stroked="f">
              <v:textbox inset="0,0,0,0">
                <w:txbxContent>
                  <w:p w:rsidR="006637C9" w:rsidRDefault="006A17F0">
                    <w:pPr>
                      <w:spacing w:after="160" w:line="259" w:lineRule="auto"/>
                      <w:ind w:left="0" w:firstLine="0"/>
                      <w:jc w:val="left"/>
                    </w:pPr>
                    <w:proofErr w:type="gramStart"/>
                    <w:r>
                      <w:rPr>
                        <w:b/>
                      </w:rPr>
                      <w:t>to</w:t>
                    </w:r>
                    <w:proofErr w:type="gramEnd"/>
                    <w:r>
                      <w:rPr>
                        <w:b/>
                      </w:rPr>
                      <w:t xml:space="preserve"> the </w:t>
                    </w:r>
                    <w:proofErr w:type="spellStart"/>
                    <w:r>
                      <w:rPr>
                        <w:b/>
                      </w:rPr>
                      <w:t>repor</w:t>
                    </w:r>
                    <w:proofErr w:type="spellEnd"/>
                  </w:p>
                </w:txbxContent>
              </v:textbox>
            </v:rect>
            <v:rect id="Rectangle 108" o:spid="_x0000_s1071" style="position:absolute;left:39998;top:31335;width:28782;height:2079" filled="f" stroked="f">
              <v:textbox inset="0,0,0,0">
                <w:txbxContent>
                  <w:p w:rsidR="006637C9" w:rsidRDefault="006A17F0">
                    <w:pPr>
                      <w:spacing w:after="160" w:line="259" w:lineRule="auto"/>
                      <w:ind w:left="0" w:firstLine="0"/>
                      <w:jc w:val="left"/>
                    </w:pPr>
                    <w:proofErr w:type="gramStart"/>
                    <w:r>
                      <w:rPr>
                        <w:b/>
                      </w:rPr>
                      <w:t>t</w:t>
                    </w:r>
                    <w:proofErr w:type="gramEnd"/>
                    <w:r>
                      <w:rPr>
                        <w:b/>
                      </w:rPr>
                      <w:t xml:space="preserve"> of the Public Protector No.113</w:t>
                    </w:r>
                  </w:p>
                </w:txbxContent>
              </v:textbox>
            </v:rect>
            <v:rect id="Rectangle 109" o:spid="_x0000_s1070" style="position:absolute;left:61658;top:31335;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110" o:spid="_x0000_s1069" style="position:absolute;left:62222;top:31335;width:2241;height:2079" filled="f" stroked="f">
              <v:textbox inset="0,0,0,0">
                <w:txbxContent>
                  <w:p w:rsidR="006637C9" w:rsidRDefault="006A17F0">
                    <w:pPr>
                      <w:spacing w:after="160" w:line="259" w:lineRule="auto"/>
                      <w:ind w:left="0" w:firstLine="0"/>
                      <w:jc w:val="left"/>
                    </w:pPr>
                    <w:proofErr w:type="gramStart"/>
                    <w:r>
                      <w:rPr>
                        <w:b/>
                      </w:rPr>
                      <w:t>of</w:t>
                    </w:r>
                    <w:proofErr w:type="gramEnd"/>
                    <w:r>
                      <w:rPr>
                        <w:b/>
                      </w:rPr>
                      <w:t xml:space="preserve"> </w:t>
                    </w:r>
                  </w:p>
                </w:txbxContent>
              </v:textbox>
            </v:rect>
            <v:rect id="Rectangle 111" o:spid="_x0000_s1068" style="position:absolute;left:7378;top:33743;width:6735;height:2079" filled="f" stroked="f">
              <v:textbox inset="0,0,0,0">
                <w:txbxContent>
                  <w:p w:rsidR="006637C9" w:rsidRDefault="006A17F0">
                    <w:pPr>
                      <w:spacing w:after="160" w:line="259" w:lineRule="auto"/>
                      <w:ind w:left="0" w:firstLine="0"/>
                      <w:jc w:val="left"/>
                    </w:pPr>
                    <w:r>
                      <w:rPr>
                        <w:b/>
                      </w:rPr>
                      <w:t>2021/22</w:t>
                    </w:r>
                  </w:p>
                </w:txbxContent>
              </v:textbox>
            </v:rect>
            <v:rect id="Rectangle 112" o:spid="_x0000_s1067" style="position:absolute;left:12423;top:33743;width:518;height:2079" filled="f" stroked="f">
              <v:textbox inset="0,0,0,0">
                <w:txbxContent>
                  <w:p w:rsidR="006637C9" w:rsidRDefault="006A17F0">
                    <w:pPr>
                      <w:spacing w:after="160" w:line="259" w:lineRule="auto"/>
                      <w:ind w:left="0" w:firstLine="0"/>
                      <w:jc w:val="left"/>
                    </w:pPr>
                    <w:r>
                      <w:rPr>
                        <w:b/>
                      </w:rPr>
                      <w:t xml:space="preserve"> </w:t>
                    </w:r>
                  </w:p>
                </w:txbxContent>
              </v:textbox>
            </v:rect>
            <v:rect id="Rectangle 113" o:spid="_x0000_s1066" style="position:absolute;left:182;top:36151;width:518;height:2079" filled="f" stroked="f">
              <v:textbox inset="0,0,0,0">
                <w:txbxContent>
                  <w:p w:rsidR="006637C9" w:rsidRDefault="006A17F0">
                    <w:pPr>
                      <w:spacing w:after="160" w:line="259" w:lineRule="auto"/>
                      <w:ind w:left="0" w:firstLine="0"/>
                      <w:jc w:val="left"/>
                    </w:pPr>
                    <w:r>
                      <w:rPr>
                        <w:b/>
                      </w:rPr>
                      <w:t xml:space="preserve"> </w:t>
                    </w:r>
                  </w:p>
                </w:txbxContent>
              </v:textbox>
            </v:rect>
            <v:shape id="Shape 9416" o:spid="_x0000_s1065" style="position:absolute;top:38689;width:63700;height:182" coordsize="6370066,18288" path="m,l6370066,r,18288l,18288,,e" fillcolor="black" stroked="f" strokeweight="0">
              <v:stroke opacity="0" miterlimit="10" joinstyle="miter"/>
            </v:shape>
            <v:rect id="Rectangle 115" o:spid="_x0000_s1064" style="position:absolute;left:182;top:38883;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w10:wrap type="none"/>
            <w10:anchorlock/>
          </v:group>
        </w:pict>
      </w:r>
    </w:p>
    <w:p w:rsidR="00F22C3D" w:rsidRDefault="00CE3562">
      <w:pPr>
        <w:tabs>
          <w:tab w:val="center" w:pos="4868"/>
        </w:tabs>
        <w:spacing w:after="112" w:line="259" w:lineRule="auto"/>
        <w:ind w:left="0" w:firstLine="0"/>
        <w:jc w:val="left"/>
      </w:pPr>
      <w:r>
        <w:rPr>
          <w:b/>
          <w:color w:val="001F00"/>
        </w:rPr>
        <w:t xml:space="preserve">MESSAGE: </w:t>
      </w:r>
      <w:r>
        <w:rPr>
          <w:b/>
          <w:color w:val="001F00"/>
        </w:rPr>
        <w:tab/>
        <w:t xml:space="preserve">Please find attached the above memorandum for your attention.  </w:t>
      </w:r>
    </w:p>
    <w:p w:rsidR="00F22C3D" w:rsidRDefault="00CE3562">
      <w:pPr>
        <w:spacing w:after="0" w:line="259" w:lineRule="auto"/>
        <w:ind w:left="91" w:firstLine="0"/>
        <w:jc w:val="left"/>
      </w:pPr>
      <w:r>
        <w:rPr>
          <w:b/>
          <w:color w:val="001F00"/>
        </w:rPr>
        <w:t xml:space="preserve"> </w:t>
      </w:r>
    </w:p>
    <w:p w:rsidR="00F22C3D" w:rsidRDefault="006637C9">
      <w:pPr>
        <w:spacing w:after="133" w:line="259" w:lineRule="auto"/>
        <w:ind w:left="-98" w:right="-27" w:firstLine="0"/>
        <w:jc w:val="left"/>
      </w:pPr>
      <w:r w:rsidRPr="006637C9">
        <w:rPr>
          <w:rFonts w:ascii="Calibri" w:eastAsia="Calibri" w:hAnsi="Calibri" w:cs="Calibri"/>
          <w:noProof/>
        </w:rPr>
      </w:r>
      <w:r w:rsidR="00E15311" w:rsidRPr="006637C9">
        <w:rPr>
          <w:rFonts w:ascii="Calibri" w:eastAsia="Calibri" w:hAnsi="Calibri" w:cs="Calibri"/>
          <w:noProof/>
        </w:rPr>
        <w:pict>
          <v:group id="Group 7665" o:spid="_x0000_s1039" style="width:509.6pt;height:124.75pt;mso-position-horizontal-relative:char;mso-position-vertical-relative:line" coordsize="64717,15841">
            <v:shape id="Shape 9418" o:spid="_x0000_s1062" style="position:absolute;left:1017;width:63700;height:91" coordsize="6370066,9144" path="m,l6370066,r,9144l,9144,,e" fillcolor="black" stroked="f" strokeweight="0">
              <v:stroke opacity="0" miterlimit="10" joinstyle="miter"/>
            </v:shape>
            <v:rect id="Rectangle 123" o:spid="_x0000_s1061" style="position:absolute;left:1200;top:1596;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rect id="Rectangle 124" o:spid="_x0000_s1060" style="position:absolute;left:1200;top:5528;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rect id="Rectangle 125" o:spid="_x0000_s1059" style="position:absolute;left:1200;top:9460;width:14475;height:2079" filled="f" stroked="f">
              <v:textbox inset="0,0,0,0">
                <w:txbxContent>
                  <w:p w:rsidR="006637C9" w:rsidRDefault="006A17F0">
                    <w:pPr>
                      <w:spacing w:after="160" w:line="259" w:lineRule="auto"/>
                      <w:ind w:left="0" w:firstLine="0"/>
                      <w:jc w:val="left"/>
                    </w:pPr>
                    <w:r>
                      <w:rPr>
                        <w:b/>
                        <w:color w:val="001F00"/>
                      </w:rPr>
                      <w:t>______________</w:t>
                    </w:r>
                  </w:p>
                </w:txbxContent>
              </v:textbox>
            </v:rect>
            <v:rect id="Rectangle 126" o:spid="_x0000_s1058" style="position:absolute;left:12084;top:9460;width:2070;height:2079" filled="f" stroked="f">
              <v:textbox inset="0,0,0,0">
                <w:txbxContent>
                  <w:p w:rsidR="006637C9" w:rsidRDefault="006A17F0">
                    <w:pPr>
                      <w:spacing w:after="160" w:line="259" w:lineRule="auto"/>
                      <w:ind w:left="0" w:firstLine="0"/>
                      <w:jc w:val="left"/>
                    </w:pPr>
                    <w:r>
                      <w:rPr>
                        <w:b/>
                        <w:color w:val="001F00"/>
                      </w:rPr>
                      <w:t>__</w:t>
                    </w:r>
                  </w:p>
                </w:txbxContent>
              </v:textbox>
            </v:rect>
            <v:rect id="Rectangle 127" o:spid="_x0000_s1057" style="position:absolute;left:13638;top:9460;width:1037;height:2079" filled="f" stroked="f">
              <v:textbox inset="0,0,0,0">
                <w:txbxContent>
                  <w:p w:rsidR="006637C9" w:rsidRDefault="006A17F0">
                    <w:pPr>
                      <w:spacing w:after="160" w:line="259" w:lineRule="auto"/>
                      <w:ind w:left="0" w:firstLine="0"/>
                      <w:jc w:val="left"/>
                    </w:pPr>
                    <w:r>
                      <w:rPr>
                        <w:b/>
                        <w:color w:val="001F00"/>
                      </w:rPr>
                      <w:t>_</w:t>
                    </w:r>
                  </w:p>
                </w:txbxContent>
              </v:textbox>
            </v:rect>
            <v:rect id="Rectangle 128" o:spid="_x0000_s1056" style="position:absolute;left:14415;top:9460;width:4138;height:2079" filled="f" stroked="f">
              <v:textbox inset="0,0,0,0">
                <w:txbxContent>
                  <w:p w:rsidR="006637C9" w:rsidRDefault="006A17F0">
                    <w:pPr>
                      <w:spacing w:after="160" w:line="259" w:lineRule="auto"/>
                      <w:ind w:left="0" w:firstLine="0"/>
                      <w:jc w:val="left"/>
                    </w:pPr>
                    <w:r>
                      <w:rPr>
                        <w:b/>
                        <w:color w:val="001F00"/>
                      </w:rPr>
                      <w:t>____</w:t>
                    </w:r>
                  </w:p>
                </w:txbxContent>
              </v:textbox>
            </v:rect>
            <v:rect id="Rectangle 129" o:spid="_x0000_s1055" style="position:absolute;left:17524;top:9460;width:1037;height:2079" filled="f" stroked="f">
              <v:textbox inset="0,0,0,0">
                <w:txbxContent>
                  <w:p w:rsidR="006637C9" w:rsidRDefault="006A17F0">
                    <w:pPr>
                      <w:spacing w:after="160" w:line="259" w:lineRule="auto"/>
                      <w:ind w:left="0" w:firstLine="0"/>
                      <w:jc w:val="left"/>
                    </w:pPr>
                    <w:r>
                      <w:rPr>
                        <w:b/>
                        <w:color w:val="001F00"/>
                      </w:rPr>
                      <w:t>_</w:t>
                    </w:r>
                  </w:p>
                </w:txbxContent>
              </v:textbox>
            </v:rect>
            <v:rect id="Rectangle 130" o:spid="_x0000_s1054" style="position:absolute;left:18305;top:9460;width:8256;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rect id="Rectangle 131" o:spid="_x0000_s1053" style="position:absolute;left:24508;top:9460;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rect id="Rectangle 132" o:spid="_x0000_s1052" style="position:absolute;left:1200;top:11870;width:14146;height:2079" filled="f" stroked="f">
              <v:textbox inset="0,0,0,0">
                <w:txbxContent>
                  <w:p w:rsidR="006637C9" w:rsidRDefault="006A17F0">
                    <w:pPr>
                      <w:spacing w:after="160" w:line="259" w:lineRule="auto"/>
                      <w:ind w:left="0" w:firstLine="0"/>
                      <w:jc w:val="left"/>
                    </w:pPr>
                    <w:r>
                      <w:rPr>
                        <w:b/>
                        <w:color w:val="001F00"/>
                      </w:rPr>
                      <w:t xml:space="preserve">Adv Z </w:t>
                    </w:r>
                    <w:proofErr w:type="spellStart"/>
                    <w:r>
                      <w:rPr>
                        <w:b/>
                        <w:color w:val="001F00"/>
                      </w:rPr>
                      <w:t>Adhikarie</w:t>
                    </w:r>
                    <w:proofErr w:type="spellEnd"/>
                  </w:p>
                </w:txbxContent>
              </v:textbox>
            </v:rect>
            <v:rect id="Rectangle 133" o:spid="_x0000_s1051" style="position:absolute;left:11840;top:11870;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rect id="Rectangle 134" o:spid="_x0000_s1050" style="position:absolute;left:1200;top:14278;width:17337;height:2079" filled="f" stroked="f">
              <v:textbox inset="0,0,0,0">
                <w:txbxContent>
                  <w:p w:rsidR="006637C9" w:rsidRDefault="006A17F0">
                    <w:pPr>
                      <w:spacing w:after="160" w:line="259" w:lineRule="auto"/>
                      <w:ind w:left="0" w:firstLine="0"/>
                      <w:jc w:val="left"/>
                    </w:pPr>
                    <w:r>
                      <w:rPr>
                        <w:b/>
                        <w:color w:val="001F00"/>
                      </w:rPr>
                      <w:t>Chief Legal Adviser</w:t>
                    </w:r>
                  </w:p>
                </w:txbxContent>
              </v:textbox>
            </v:rect>
            <v:rect id="Rectangle 135" o:spid="_x0000_s1049" style="position:absolute;left:14248;top:14278;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rect id="Rectangle 136" o:spid="_x0000_s1048" style="position:absolute;left:14918;top:14278;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rect id="Rectangle 137" o:spid="_x0000_s1047" style="position:absolute;left:19494;top:14278;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rect id="Rectangle 138" o:spid="_x0000_s1046" style="position:absolute;left:24066;top:14278;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rect id="Rectangle 139" o:spid="_x0000_s1045" style="position:absolute;left:28638;top:14278;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rect id="Rectangle 140" o:spid="_x0000_s1044" style="position:absolute;left:33210;top:14278;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rect id="Rectangle 141" o:spid="_x0000_s1043" style="position:absolute;left:37785;top:14278;width:518;height:2079" filled="f" stroked="f">
              <v:textbox inset="0,0,0,0">
                <w:txbxContent>
                  <w:p w:rsidR="006637C9" w:rsidRDefault="006A17F0">
                    <w:pPr>
                      <w:spacing w:after="160" w:line="259" w:lineRule="auto"/>
                      <w:ind w:left="0" w:firstLine="0"/>
                      <w:jc w:val="left"/>
                    </w:pPr>
                    <w:r>
                      <w:rPr>
                        <w:b/>
                        <w:color w:val="001F00"/>
                      </w:rPr>
                      <w:t xml:space="preserve"> </w:t>
                    </w:r>
                  </w:p>
                </w:txbxContent>
              </v:textbox>
            </v:rect>
            <v:shape id="Shape 147" o:spid="_x0000_s1042" style="position:absolute;left:2956;top:9279;width:300;height:300" coordsize="30098,30099" path="m14859,v8382,,15239,6858,15239,15239c30098,23240,23241,30099,14859,30099,6858,30099,,23240,,15239,,6858,6858,,14859,xe" fillcolor="black" stroked="f" strokeweight="0">
              <v:stroke opacity="0" miterlimit="10" joinstyle="miter"/>
            </v:shape>
            <v:shape id="Shape 148" o:spid="_x0000_s1041" style="position:absolute;top:3187;width:7212;height:11898" coordsize="721256,1189867" path="m492268,152019v-38482,25528,-80400,44958,-119264,70105c366147,226314,360435,232029,353578,236601,400444,188214,448455,124587,509799,92964v6093,-1142,7989,-1524,11805,762c523131,126874,518551,157735,517788,190881v-1133,38100,8002,47625,35442,72771c589422,297180,621430,328803,648094,370713v24387,37338,40009,75057,53723,117348c716294,533781,721256,582549,719347,630175v-9146,220217,-166117,405002,-357767,505971c299474,1168911,242329,1189867,175642,1164341,91824,1132335,46483,991362,30862,916687,,766191,32005,587884,94110,448818,149360,326136,244987,223648,347485,137923,410354,84963,481977,32386,558942,1905,564272,1143,569615,381,574945,v30100,33528,38865,48387,29718,104394c574564,288799,482358,462535,393206,624840,346721,708661,296420,808101,216796,867156v-11436,6858,-23242,13717,-35060,20574e" filled="f" fillcolor="black" strokeweight="2.37pt">
              <v:fill opacity="0"/>
              <v:stroke endcap="round"/>
            </v:shape>
            <v:shape id="Shape 149" o:spid="_x0000_s1040" style="position:absolute;left:2346;top:2600;width:11582;height:7985" coordsize="1158209,798587" path="m25145,577606c15621,590179,8382,601990,,614945v12573,6477,25145,16383,44577,21717c83056,647330,123061,649997,153158,678954v19806,18665,18674,54481,38862,70863c214880,767725,275075,759724,300987,757438v53339,-4573,94860,-27813,129919,-70483c486903,618755,525002,531504,559297,450731v35428,-84203,52957,-173739,87622,-257941c673976,126495,706745,59437,741791,,729223,69724,705600,132590,679688,200791v-35428,92965,-68960,186312,-99058,281183c564627,533028,550533,583321,522343,628661v-9146,14859,-19819,28956,-29334,43054c522343,675905,526910,661808,551296,692666v20951,26289,28953,62104,44955,91442c597778,786776,597778,787538,599686,787918v22096,-9905,33138,-21717,58669,-21337c674739,766581,689216,777631,706745,774203v60195,-10668,96386,-41530,161530,-31243c925811,752103,1006194,798587,1064112,767343v44574,-24383,68578,-73153,94097,-115060e" filled="f" fillcolor="black" strokeweight=".83611mm">
              <v:fill opacity="0"/>
              <v:stroke endcap="round"/>
            </v:shape>
            <w10:wrap type="none"/>
            <w10:anchorlock/>
          </v:group>
        </w:pict>
      </w:r>
    </w:p>
    <w:p w:rsidR="00F22C3D" w:rsidRDefault="00CE3562">
      <w:pPr>
        <w:spacing w:after="0" w:line="259" w:lineRule="auto"/>
        <w:ind w:left="3140" w:firstLine="0"/>
        <w:jc w:val="center"/>
      </w:pPr>
      <w:r>
        <w:rPr>
          <w:color w:val="001F00"/>
        </w:rPr>
        <w:t xml:space="preserve"> </w:t>
      </w:r>
    </w:p>
    <w:p w:rsidR="00F22C3D" w:rsidRDefault="00CE3562">
      <w:pPr>
        <w:spacing w:after="268" w:line="259" w:lineRule="auto"/>
        <w:ind w:left="3140" w:firstLine="0"/>
        <w:jc w:val="center"/>
      </w:pPr>
      <w:r>
        <w:rPr>
          <w:color w:val="001F00"/>
        </w:rPr>
        <w:t xml:space="preserve"> </w:t>
      </w:r>
    </w:p>
    <w:p w:rsidR="00F22C3D" w:rsidRDefault="00CE3562">
      <w:pPr>
        <w:tabs>
          <w:tab w:val="center" w:pos="6573"/>
        </w:tabs>
        <w:spacing w:after="63" w:line="259" w:lineRule="auto"/>
        <w:ind w:left="-259" w:firstLine="0"/>
        <w:jc w:val="left"/>
      </w:pPr>
      <w:r>
        <w:rPr>
          <w:noProof/>
        </w:rPr>
        <w:drawing>
          <wp:inline distT="0" distB="0" distL="0" distR="0">
            <wp:extent cx="1223645" cy="135255"/>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0" cstate="print"/>
                    <a:stretch>
                      <a:fillRect/>
                    </a:stretch>
                  </pic:blipFill>
                  <pic:spPr>
                    <a:xfrm>
                      <a:off x="0" y="0"/>
                      <a:ext cx="1223645" cy="135255"/>
                    </a:xfrm>
                    <a:prstGeom prst="rect">
                      <a:avLst/>
                    </a:prstGeom>
                  </pic:spPr>
                </pic:pic>
              </a:graphicData>
            </a:graphic>
          </wp:inline>
        </w:drawing>
      </w:r>
      <w:r>
        <w:rPr>
          <w:color w:val="001F00"/>
        </w:rPr>
        <w:tab/>
        <w:t xml:space="preserve"> </w:t>
      </w:r>
    </w:p>
    <w:p w:rsidR="00F22C3D" w:rsidRDefault="00CE3562">
      <w:pPr>
        <w:spacing w:after="0" w:line="259" w:lineRule="auto"/>
        <w:ind w:left="0" w:right="365" w:firstLine="0"/>
        <w:jc w:val="center"/>
      </w:pPr>
      <w:r>
        <w:rPr>
          <w:b/>
        </w:rPr>
        <w:t xml:space="preserve"> </w:t>
      </w:r>
    </w:p>
    <w:tbl>
      <w:tblPr>
        <w:tblStyle w:val="TableGrid"/>
        <w:tblW w:w="7728" w:type="dxa"/>
        <w:tblInd w:w="91" w:type="dxa"/>
        <w:tblLook w:val="04A0"/>
      </w:tblPr>
      <w:tblGrid>
        <w:gridCol w:w="1260"/>
        <w:gridCol w:w="6468"/>
      </w:tblGrid>
      <w:tr w:rsidR="00F22C3D">
        <w:trPr>
          <w:trHeight w:val="313"/>
        </w:trPr>
        <w:tc>
          <w:tcPr>
            <w:tcW w:w="1260" w:type="dxa"/>
            <w:tcBorders>
              <w:top w:val="nil"/>
              <w:left w:val="nil"/>
              <w:bottom w:val="nil"/>
              <w:right w:val="nil"/>
            </w:tcBorders>
          </w:tcPr>
          <w:p w:rsidR="00F22C3D" w:rsidRDefault="00CE3562">
            <w:pPr>
              <w:spacing w:after="0" w:line="259" w:lineRule="auto"/>
              <w:ind w:left="0" w:firstLine="0"/>
              <w:jc w:val="left"/>
            </w:pPr>
            <w:r>
              <w:rPr>
                <w:b/>
              </w:rPr>
              <w:t xml:space="preserve">TO: </w:t>
            </w:r>
          </w:p>
        </w:tc>
        <w:tc>
          <w:tcPr>
            <w:tcW w:w="6468" w:type="dxa"/>
            <w:tcBorders>
              <w:top w:val="nil"/>
              <w:left w:val="nil"/>
              <w:bottom w:val="nil"/>
              <w:right w:val="nil"/>
            </w:tcBorders>
          </w:tcPr>
          <w:p w:rsidR="00F22C3D" w:rsidRDefault="00CE3562">
            <w:pPr>
              <w:spacing w:after="0" w:line="259" w:lineRule="auto"/>
              <w:ind w:left="0" w:firstLine="0"/>
              <w:jc w:val="left"/>
            </w:pPr>
            <w:r>
              <w:rPr>
                <w:b/>
              </w:rPr>
              <w:t xml:space="preserve">Mr B M </w:t>
            </w:r>
            <w:proofErr w:type="spellStart"/>
            <w:r>
              <w:rPr>
                <w:b/>
              </w:rPr>
              <w:t>Maneli</w:t>
            </w:r>
            <w:proofErr w:type="spellEnd"/>
            <w:r>
              <w:rPr>
                <w:b/>
              </w:rPr>
              <w:t xml:space="preserve">, MP  </w:t>
            </w:r>
          </w:p>
        </w:tc>
      </w:tr>
      <w:tr w:rsidR="00F22C3D">
        <w:trPr>
          <w:trHeight w:val="379"/>
        </w:trPr>
        <w:tc>
          <w:tcPr>
            <w:tcW w:w="1260" w:type="dxa"/>
            <w:tcBorders>
              <w:top w:val="nil"/>
              <w:left w:val="nil"/>
              <w:bottom w:val="nil"/>
              <w:right w:val="nil"/>
            </w:tcBorders>
          </w:tcPr>
          <w:p w:rsidR="00F22C3D" w:rsidRDefault="00CE3562">
            <w:pPr>
              <w:spacing w:after="0" w:line="259" w:lineRule="auto"/>
              <w:ind w:left="0" w:firstLine="0"/>
              <w:jc w:val="left"/>
            </w:pPr>
            <w:r>
              <w:rPr>
                <w:b/>
              </w:rPr>
              <w:t xml:space="preserve"> </w:t>
            </w:r>
          </w:p>
        </w:tc>
        <w:tc>
          <w:tcPr>
            <w:tcW w:w="6468" w:type="dxa"/>
            <w:tcBorders>
              <w:top w:val="nil"/>
              <w:left w:val="nil"/>
              <w:bottom w:val="nil"/>
              <w:right w:val="nil"/>
            </w:tcBorders>
          </w:tcPr>
          <w:p w:rsidR="00F22C3D" w:rsidRDefault="00CE3562">
            <w:pPr>
              <w:spacing w:after="0" w:line="259" w:lineRule="auto"/>
              <w:ind w:left="0" w:firstLine="0"/>
              <w:jc w:val="left"/>
            </w:pPr>
            <w:r>
              <w:rPr>
                <w:b/>
              </w:rPr>
              <w:t xml:space="preserve"> Chairperson: Portfolio Committee on Communications </w:t>
            </w:r>
          </w:p>
        </w:tc>
      </w:tr>
      <w:tr w:rsidR="00F22C3D">
        <w:trPr>
          <w:trHeight w:val="379"/>
        </w:trPr>
        <w:tc>
          <w:tcPr>
            <w:tcW w:w="1260" w:type="dxa"/>
            <w:tcBorders>
              <w:top w:val="nil"/>
              <w:left w:val="nil"/>
              <w:bottom w:val="nil"/>
              <w:right w:val="nil"/>
            </w:tcBorders>
          </w:tcPr>
          <w:p w:rsidR="00F22C3D" w:rsidRDefault="00CE3562">
            <w:pPr>
              <w:spacing w:after="0" w:line="259" w:lineRule="auto"/>
              <w:ind w:left="0" w:firstLine="0"/>
              <w:jc w:val="left"/>
            </w:pPr>
            <w:r>
              <w:rPr>
                <w:b/>
              </w:rPr>
              <w:t xml:space="preserve"> </w:t>
            </w:r>
          </w:p>
        </w:tc>
        <w:tc>
          <w:tcPr>
            <w:tcW w:w="6468" w:type="dxa"/>
            <w:tcBorders>
              <w:top w:val="nil"/>
              <w:left w:val="nil"/>
              <w:bottom w:val="nil"/>
              <w:right w:val="nil"/>
            </w:tcBorders>
          </w:tcPr>
          <w:p w:rsidR="00F22C3D" w:rsidRDefault="00CE3562">
            <w:pPr>
              <w:spacing w:after="0" w:line="259" w:lineRule="auto"/>
              <w:ind w:left="17" w:firstLine="0"/>
              <w:jc w:val="left"/>
            </w:pPr>
            <w:r>
              <w:rPr>
                <w:b/>
              </w:rPr>
              <w:t xml:space="preserve"> </w:t>
            </w:r>
          </w:p>
        </w:tc>
      </w:tr>
      <w:tr w:rsidR="00F22C3D">
        <w:trPr>
          <w:trHeight w:val="379"/>
        </w:trPr>
        <w:tc>
          <w:tcPr>
            <w:tcW w:w="1260" w:type="dxa"/>
            <w:tcBorders>
              <w:top w:val="nil"/>
              <w:left w:val="nil"/>
              <w:bottom w:val="nil"/>
              <w:right w:val="nil"/>
            </w:tcBorders>
          </w:tcPr>
          <w:p w:rsidR="00F22C3D" w:rsidRDefault="00CE3562">
            <w:pPr>
              <w:spacing w:after="0" w:line="259" w:lineRule="auto"/>
              <w:ind w:left="0" w:firstLine="0"/>
              <w:jc w:val="left"/>
            </w:pPr>
            <w:r>
              <w:rPr>
                <w:b/>
              </w:rPr>
              <w:t xml:space="preserve">COPY: </w:t>
            </w:r>
          </w:p>
        </w:tc>
        <w:tc>
          <w:tcPr>
            <w:tcW w:w="6468" w:type="dxa"/>
            <w:tcBorders>
              <w:top w:val="nil"/>
              <w:left w:val="nil"/>
              <w:bottom w:val="nil"/>
              <w:right w:val="nil"/>
            </w:tcBorders>
          </w:tcPr>
          <w:p w:rsidR="00F22C3D" w:rsidRDefault="00CE3562">
            <w:pPr>
              <w:spacing w:after="0" w:line="259" w:lineRule="auto"/>
              <w:ind w:left="0" w:firstLine="0"/>
              <w:jc w:val="left"/>
            </w:pPr>
            <w:r>
              <w:rPr>
                <w:b/>
              </w:rPr>
              <w:t xml:space="preserve">Ms P N </w:t>
            </w:r>
            <w:proofErr w:type="spellStart"/>
            <w:r>
              <w:rPr>
                <w:b/>
              </w:rPr>
              <w:t>Tyawa</w:t>
            </w:r>
            <w:proofErr w:type="spellEnd"/>
            <w:r>
              <w:rPr>
                <w:b/>
              </w:rPr>
              <w:t xml:space="preserve"> </w:t>
            </w:r>
          </w:p>
        </w:tc>
      </w:tr>
      <w:tr w:rsidR="00F22C3D">
        <w:trPr>
          <w:trHeight w:val="381"/>
        </w:trPr>
        <w:tc>
          <w:tcPr>
            <w:tcW w:w="1260" w:type="dxa"/>
            <w:tcBorders>
              <w:top w:val="nil"/>
              <w:left w:val="nil"/>
              <w:bottom w:val="nil"/>
              <w:right w:val="nil"/>
            </w:tcBorders>
          </w:tcPr>
          <w:p w:rsidR="00F22C3D" w:rsidRDefault="00CE3562">
            <w:pPr>
              <w:spacing w:after="0" w:line="259" w:lineRule="auto"/>
              <w:ind w:left="0" w:firstLine="0"/>
              <w:jc w:val="left"/>
            </w:pPr>
            <w:r>
              <w:rPr>
                <w:b/>
              </w:rPr>
              <w:t xml:space="preserve"> </w:t>
            </w:r>
          </w:p>
        </w:tc>
        <w:tc>
          <w:tcPr>
            <w:tcW w:w="6468" w:type="dxa"/>
            <w:tcBorders>
              <w:top w:val="nil"/>
              <w:left w:val="nil"/>
              <w:bottom w:val="nil"/>
              <w:right w:val="nil"/>
            </w:tcBorders>
          </w:tcPr>
          <w:p w:rsidR="00F22C3D" w:rsidRDefault="00CE3562">
            <w:pPr>
              <w:spacing w:after="0" w:line="259" w:lineRule="auto"/>
              <w:ind w:left="0" w:firstLine="0"/>
              <w:jc w:val="left"/>
            </w:pPr>
            <w:r>
              <w:rPr>
                <w:b/>
              </w:rPr>
              <w:t xml:space="preserve">Acting Secretary to Parliament </w:t>
            </w:r>
          </w:p>
        </w:tc>
      </w:tr>
      <w:tr w:rsidR="00F22C3D">
        <w:trPr>
          <w:trHeight w:val="381"/>
        </w:trPr>
        <w:tc>
          <w:tcPr>
            <w:tcW w:w="1260" w:type="dxa"/>
            <w:tcBorders>
              <w:top w:val="nil"/>
              <w:left w:val="nil"/>
              <w:bottom w:val="nil"/>
              <w:right w:val="nil"/>
            </w:tcBorders>
          </w:tcPr>
          <w:p w:rsidR="00F22C3D" w:rsidRDefault="00CE3562">
            <w:pPr>
              <w:spacing w:after="0" w:line="259" w:lineRule="auto"/>
              <w:ind w:left="0" w:firstLine="0"/>
              <w:jc w:val="left"/>
            </w:pPr>
            <w:r>
              <w:rPr>
                <w:b/>
              </w:rPr>
              <w:t xml:space="preserve"> </w:t>
            </w:r>
          </w:p>
        </w:tc>
        <w:tc>
          <w:tcPr>
            <w:tcW w:w="6468" w:type="dxa"/>
            <w:tcBorders>
              <w:top w:val="nil"/>
              <w:left w:val="nil"/>
              <w:bottom w:val="nil"/>
              <w:right w:val="nil"/>
            </w:tcBorders>
          </w:tcPr>
          <w:p w:rsidR="00F22C3D" w:rsidRDefault="00CE3562">
            <w:pPr>
              <w:spacing w:after="0" w:line="259" w:lineRule="auto"/>
              <w:ind w:left="0" w:firstLine="0"/>
              <w:jc w:val="left"/>
            </w:pPr>
            <w:r>
              <w:rPr>
                <w:b/>
              </w:rPr>
              <w:t xml:space="preserve"> </w:t>
            </w:r>
          </w:p>
        </w:tc>
      </w:tr>
      <w:tr w:rsidR="00F22C3D">
        <w:trPr>
          <w:trHeight w:val="379"/>
        </w:trPr>
        <w:tc>
          <w:tcPr>
            <w:tcW w:w="1260" w:type="dxa"/>
            <w:tcBorders>
              <w:top w:val="nil"/>
              <w:left w:val="nil"/>
              <w:bottom w:val="nil"/>
              <w:right w:val="nil"/>
            </w:tcBorders>
          </w:tcPr>
          <w:p w:rsidR="00F22C3D" w:rsidRDefault="00CE3562">
            <w:pPr>
              <w:spacing w:after="0" w:line="259" w:lineRule="auto"/>
              <w:ind w:left="0" w:firstLine="0"/>
              <w:jc w:val="left"/>
            </w:pPr>
            <w:r>
              <w:rPr>
                <w:b/>
              </w:rPr>
              <w:lastRenderedPageBreak/>
              <w:t xml:space="preserve">FROM:  </w:t>
            </w:r>
          </w:p>
        </w:tc>
        <w:tc>
          <w:tcPr>
            <w:tcW w:w="6468" w:type="dxa"/>
            <w:tcBorders>
              <w:top w:val="nil"/>
              <w:left w:val="nil"/>
              <w:bottom w:val="nil"/>
              <w:right w:val="nil"/>
            </w:tcBorders>
          </w:tcPr>
          <w:p w:rsidR="00F22C3D" w:rsidRDefault="00CE3562">
            <w:pPr>
              <w:spacing w:after="0" w:line="259" w:lineRule="auto"/>
              <w:ind w:left="0" w:firstLine="0"/>
              <w:jc w:val="left"/>
            </w:pPr>
            <w:r>
              <w:rPr>
                <w:b/>
              </w:rPr>
              <w:t xml:space="preserve">Adv Z </w:t>
            </w:r>
            <w:proofErr w:type="spellStart"/>
            <w:r>
              <w:rPr>
                <w:b/>
              </w:rPr>
              <w:t>Adhikarie</w:t>
            </w:r>
            <w:proofErr w:type="spellEnd"/>
            <w:r>
              <w:rPr>
                <w:b/>
              </w:rPr>
              <w:t xml:space="preserve"> </w:t>
            </w:r>
          </w:p>
        </w:tc>
      </w:tr>
      <w:tr w:rsidR="00F22C3D">
        <w:trPr>
          <w:trHeight w:val="758"/>
        </w:trPr>
        <w:tc>
          <w:tcPr>
            <w:tcW w:w="1260" w:type="dxa"/>
            <w:tcBorders>
              <w:top w:val="nil"/>
              <w:left w:val="nil"/>
              <w:bottom w:val="nil"/>
              <w:right w:val="nil"/>
            </w:tcBorders>
          </w:tcPr>
          <w:p w:rsidR="00F22C3D" w:rsidRDefault="00CE3562">
            <w:pPr>
              <w:spacing w:after="105" w:line="259" w:lineRule="auto"/>
              <w:ind w:left="0" w:firstLine="0"/>
              <w:jc w:val="left"/>
            </w:pPr>
            <w:r>
              <w:rPr>
                <w:b/>
              </w:rPr>
              <w:t xml:space="preserve"> </w:t>
            </w:r>
          </w:p>
          <w:p w:rsidR="00F22C3D" w:rsidRDefault="00CE3562">
            <w:pPr>
              <w:spacing w:after="0" w:line="259" w:lineRule="auto"/>
              <w:ind w:left="0" w:firstLine="0"/>
              <w:jc w:val="left"/>
            </w:pPr>
            <w:r>
              <w:rPr>
                <w:b/>
              </w:rPr>
              <w:t xml:space="preserve"> </w:t>
            </w:r>
          </w:p>
        </w:tc>
        <w:tc>
          <w:tcPr>
            <w:tcW w:w="6468" w:type="dxa"/>
            <w:tcBorders>
              <w:top w:val="nil"/>
              <w:left w:val="nil"/>
              <w:bottom w:val="nil"/>
              <w:right w:val="nil"/>
            </w:tcBorders>
          </w:tcPr>
          <w:p w:rsidR="00F22C3D" w:rsidRDefault="00CE3562">
            <w:pPr>
              <w:spacing w:after="0" w:line="259" w:lineRule="auto"/>
              <w:ind w:left="0" w:firstLine="0"/>
            </w:pPr>
            <w:r>
              <w:rPr>
                <w:b/>
              </w:rPr>
              <w:t xml:space="preserve">Chief Legal Adviser: Constitutional and Legal Services Office </w:t>
            </w:r>
          </w:p>
        </w:tc>
      </w:tr>
      <w:tr w:rsidR="00F22C3D">
        <w:trPr>
          <w:trHeight w:val="758"/>
        </w:trPr>
        <w:tc>
          <w:tcPr>
            <w:tcW w:w="1260" w:type="dxa"/>
            <w:tcBorders>
              <w:top w:val="nil"/>
              <w:left w:val="nil"/>
              <w:bottom w:val="nil"/>
              <w:right w:val="nil"/>
            </w:tcBorders>
          </w:tcPr>
          <w:p w:rsidR="00F22C3D" w:rsidRDefault="00CE3562">
            <w:pPr>
              <w:spacing w:after="105" w:line="259" w:lineRule="auto"/>
              <w:ind w:left="0" w:firstLine="0"/>
              <w:jc w:val="left"/>
            </w:pPr>
            <w:r>
              <w:rPr>
                <w:b/>
              </w:rPr>
              <w:t xml:space="preserve">DATE:  </w:t>
            </w:r>
          </w:p>
          <w:p w:rsidR="00F22C3D" w:rsidRDefault="00CE3562">
            <w:pPr>
              <w:spacing w:after="0" w:line="259" w:lineRule="auto"/>
              <w:ind w:left="0" w:firstLine="0"/>
              <w:jc w:val="left"/>
            </w:pPr>
            <w:r>
              <w:rPr>
                <w:b/>
              </w:rPr>
              <w:t xml:space="preserve"> </w:t>
            </w:r>
          </w:p>
        </w:tc>
        <w:tc>
          <w:tcPr>
            <w:tcW w:w="6468" w:type="dxa"/>
            <w:tcBorders>
              <w:top w:val="nil"/>
              <w:left w:val="nil"/>
              <w:bottom w:val="nil"/>
              <w:right w:val="nil"/>
            </w:tcBorders>
          </w:tcPr>
          <w:p w:rsidR="00F22C3D" w:rsidRDefault="00CE3562">
            <w:pPr>
              <w:spacing w:after="0" w:line="259" w:lineRule="auto"/>
              <w:ind w:left="0" w:firstLine="0"/>
              <w:jc w:val="left"/>
            </w:pPr>
            <w:r>
              <w:rPr>
                <w:b/>
              </w:rPr>
              <w:t xml:space="preserve">08 June 2022 </w:t>
            </w:r>
          </w:p>
        </w:tc>
      </w:tr>
      <w:tr w:rsidR="00F22C3D">
        <w:trPr>
          <w:trHeight w:val="313"/>
        </w:trPr>
        <w:tc>
          <w:tcPr>
            <w:tcW w:w="1260" w:type="dxa"/>
            <w:tcBorders>
              <w:top w:val="nil"/>
              <w:left w:val="nil"/>
              <w:bottom w:val="nil"/>
              <w:right w:val="nil"/>
            </w:tcBorders>
          </w:tcPr>
          <w:p w:rsidR="00F22C3D" w:rsidRDefault="00CE3562">
            <w:pPr>
              <w:spacing w:after="0" w:line="259" w:lineRule="auto"/>
              <w:ind w:left="0" w:firstLine="0"/>
              <w:jc w:val="left"/>
            </w:pPr>
            <w:r>
              <w:rPr>
                <w:b/>
              </w:rPr>
              <w:t xml:space="preserve">REF: </w:t>
            </w:r>
          </w:p>
        </w:tc>
        <w:tc>
          <w:tcPr>
            <w:tcW w:w="6468" w:type="dxa"/>
            <w:tcBorders>
              <w:top w:val="nil"/>
              <w:left w:val="nil"/>
              <w:bottom w:val="nil"/>
              <w:right w:val="nil"/>
            </w:tcBorders>
          </w:tcPr>
          <w:p w:rsidR="00F22C3D" w:rsidRDefault="00CE3562">
            <w:pPr>
              <w:spacing w:after="0" w:line="259" w:lineRule="auto"/>
              <w:ind w:left="0" w:firstLine="0"/>
              <w:jc w:val="left"/>
            </w:pPr>
            <w:r>
              <w:rPr>
                <w:b/>
              </w:rPr>
              <w:t xml:space="preserve">63a/2022 </w:t>
            </w:r>
          </w:p>
        </w:tc>
      </w:tr>
    </w:tbl>
    <w:p w:rsidR="00F22C3D" w:rsidRDefault="00CE3562">
      <w:pPr>
        <w:spacing w:after="0" w:line="259" w:lineRule="auto"/>
        <w:ind w:left="91" w:firstLine="0"/>
        <w:jc w:val="left"/>
      </w:pPr>
      <w:r>
        <w:rPr>
          <w:b/>
        </w:rPr>
        <w:t xml:space="preserve"> </w:t>
      </w:r>
    </w:p>
    <w:p w:rsidR="00F22C3D" w:rsidRDefault="006637C9">
      <w:pPr>
        <w:spacing w:after="21" w:line="259" w:lineRule="auto"/>
        <w:ind w:left="62" w:right="-27" w:firstLine="0"/>
        <w:jc w:val="left"/>
      </w:pPr>
      <w:r w:rsidRPr="006637C9">
        <w:rPr>
          <w:rFonts w:ascii="Calibri" w:eastAsia="Calibri" w:hAnsi="Calibri" w:cs="Calibri"/>
          <w:noProof/>
        </w:rPr>
      </w:r>
      <w:r w:rsidR="00E15311" w:rsidRPr="006637C9">
        <w:rPr>
          <w:rFonts w:ascii="Calibri" w:eastAsia="Calibri" w:hAnsi="Calibri" w:cs="Calibri"/>
          <w:noProof/>
        </w:rPr>
        <w:pict>
          <v:group id="Group 7361" o:spid="_x0000_s1037" style="width:501.6pt;height:.5pt;mso-position-horizontal-relative:char;mso-position-vertical-relative:line" coordsize="63700,60">
            <v:shape id="Shape 9420" o:spid="_x0000_s1038" style="position:absolute;width:63700;height:91" coordsize="6370066,9144" path="m,l6370066,r,9144l,9144,,e" fillcolor="black" stroked="f" strokeweight="0">
              <v:stroke opacity="0" miterlimit="10" joinstyle="miter"/>
            </v:shape>
            <w10:wrap type="none"/>
            <w10:anchorlock/>
          </v:group>
        </w:pict>
      </w:r>
    </w:p>
    <w:p w:rsidR="00F22C3D" w:rsidRDefault="00CE3562">
      <w:pPr>
        <w:pStyle w:val="Heading1"/>
        <w:spacing w:after="0" w:line="361" w:lineRule="auto"/>
        <w:ind w:left="1353" w:right="0" w:hanging="1277"/>
      </w:pPr>
      <w:r>
        <w:rPr>
          <w:noProof/>
        </w:rPr>
        <w:drawing>
          <wp:anchor distT="0" distB="0" distL="114300" distR="114300" simplePos="0" relativeHeight="251653632" behindDoc="0" locked="0" layoutInCell="1" allowOverlap="0">
            <wp:simplePos x="0" y="0"/>
            <wp:positionH relativeFrom="page">
              <wp:posOffset>4949190</wp:posOffset>
            </wp:positionH>
            <wp:positionV relativeFrom="page">
              <wp:posOffset>174625</wp:posOffset>
            </wp:positionV>
            <wp:extent cx="2279650" cy="592455"/>
            <wp:effectExtent l="0" t="0" r="0" b="0"/>
            <wp:wrapTopAndBottom/>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1" cstate="print"/>
                    <a:stretch>
                      <a:fillRect/>
                    </a:stretch>
                  </pic:blipFill>
                  <pic:spPr>
                    <a:xfrm>
                      <a:off x="0" y="0"/>
                      <a:ext cx="2279650" cy="592455"/>
                    </a:xfrm>
                    <a:prstGeom prst="rect">
                      <a:avLst/>
                    </a:prstGeom>
                  </pic:spPr>
                </pic:pic>
              </a:graphicData>
            </a:graphic>
          </wp:anchor>
        </w:drawing>
      </w:r>
      <w:r w:rsidR="006637C9" w:rsidRPr="006637C9">
        <w:rPr>
          <w:rFonts w:ascii="Calibri" w:eastAsia="Calibri" w:hAnsi="Calibri" w:cs="Calibri"/>
          <w:noProof/>
        </w:rPr>
        <w:pict>
          <v:group id="Group 7363" o:spid="_x0000_s1034" style="position:absolute;left:0;text-align:left;margin-left:43.9pt;margin-top:.35pt;width:200.3pt;height:64.9pt;z-index:251655680;mso-position-horizontal-relative:page;mso-position-vertical-relative:page" coordsize="25438,8242">
            <v:rect id="Rectangle 300" o:spid="_x0000_s1036" style="position:absolute;left:1617;top:5651;width:518;height:2079" filled="f" stroked="f">
              <v:textbox inset="0,0,0,0">
                <w:txbxContent>
                  <w:p w:rsidR="006637C9" w:rsidRDefault="006A17F0">
                    <w:pPr>
                      <w:spacing w:after="160" w:line="259" w:lineRule="auto"/>
                      <w:ind w:left="0" w:firstLine="0"/>
                      <w:jc w:val="left"/>
                    </w:pPr>
                    <w:r>
                      <w:t xml:space="preserve"> </w:t>
                    </w:r>
                  </w:p>
                </w:txbxContent>
              </v:textbox>
            </v:rect>
            <v:shape id="Picture 302" o:spid="_x0000_s1035" style="position:absolute;width:25438;height:8242" coordsize="21600,21600" o:spt="100" adj="0,,0" path="" filled="f">
              <v:stroke joinstyle="round"/>
              <v:imagedata r:id="rId12"/>
              <v:formulas/>
              <v:path o:connecttype="segments"/>
            </v:shape>
            <w10:wrap type="topAndBottom" anchorx="page" anchory="page"/>
          </v:group>
        </w:pict>
      </w:r>
      <w:r>
        <w:t xml:space="preserve">SUBJECT: Opinion on various issues relating to the report of the Public Protector No.113 of 2021/2022 </w:t>
      </w:r>
    </w:p>
    <w:p w:rsidR="00F22C3D" w:rsidRDefault="006637C9">
      <w:pPr>
        <w:spacing w:after="239" w:line="259" w:lineRule="auto"/>
        <w:ind w:left="62" w:right="-27" w:firstLine="0"/>
        <w:jc w:val="left"/>
      </w:pPr>
      <w:r w:rsidRPr="006637C9">
        <w:rPr>
          <w:rFonts w:ascii="Calibri" w:eastAsia="Calibri" w:hAnsi="Calibri" w:cs="Calibri"/>
          <w:noProof/>
        </w:rPr>
      </w:r>
      <w:r w:rsidR="00E15311" w:rsidRPr="006637C9">
        <w:rPr>
          <w:rFonts w:ascii="Calibri" w:eastAsia="Calibri" w:hAnsi="Calibri" w:cs="Calibri"/>
          <w:noProof/>
        </w:rPr>
        <w:pict>
          <v:group id="Group 7362" o:spid="_x0000_s1032" style="width:501.6pt;height:.5pt;mso-position-horizontal-relative:char;mso-position-vertical-relative:line" coordsize="63700,60">
            <v:shape id="Shape 9422" o:spid="_x0000_s1033" style="position:absolute;width:63700;height:91" coordsize="6370066,9144" path="m,l6370066,r,9144l,9144,,e" fillcolor="black" stroked="f" strokeweight="0">
              <v:stroke opacity="0" miterlimit="10" joinstyle="miter"/>
            </v:shape>
            <w10:wrap type="none"/>
            <w10:anchorlock/>
          </v:group>
        </w:pict>
      </w:r>
    </w:p>
    <w:p w:rsidR="00F22C3D" w:rsidRDefault="00CE3562">
      <w:pPr>
        <w:pStyle w:val="Heading1"/>
        <w:ind w:left="86" w:right="0"/>
      </w:pPr>
      <w:r>
        <w:t xml:space="preserve">INTRODUCTION </w:t>
      </w:r>
    </w:p>
    <w:p w:rsidR="00F22C3D" w:rsidRDefault="00CE3562">
      <w:pPr>
        <w:numPr>
          <w:ilvl w:val="0"/>
          <w:numId w:val="1"/>
        </w:numPr>
        <w:spacing w:after="105" w:line="259" w:lineRule="auto"/>
        <w:ind w:right="242" w:hanging="567"/>
      </w:pPr>
      <w:r>
        <w:t xml:space="preserve">Our Office was requested by the Chairperson of the Portfolio Committee on </w:t>
      </w:r>
    </w:p>
    <w:p w:rsidR="00F22C3D" w:rsidRDefault="00CE3562">
      <w:pPr>
        <w:ind w:left="658" w:right="330" w:firstLine="0"/>
      </w:pPr>
      <w:proofErr w:type="gramStart"/>
      <w:r>
        <w:t xml:space="preserve">Communications, Mr. B M </w:t>
      </w:r>
      <w:proofErr w:type="spellStart"/>
      <w:r>
        <w:t>Maneli</w:t>
      </w:r>
      <w:proofErr w:type="spellEnd"/>
      <w:r>
        <w:t xml:space="preserve"> (“the Chairperson”), to provide a legal opinion on various issues relating to the abovementioned Public Protector’s report on the investigation into allegations of maladministration in the appointment of service providers and employees by the State Information Technology Agency (SITA).</w:t>
      </w:r>
      <w:proofErr w:type="gramEnd"/>
      <w:r>
        <w:rPr>
          <w:b/>
        </w:rPr>
        <w:t xml:space="preserve"> </w:t>
      </w:r>
    </w:p>
    <w:p w:rsidR="00F22C3D" w:rsidRDefault="00CE3562">
      <w:pPr>
        <w:numPr>
          <w:ilvl w:val="0"/>
          <w:numId w:val="1"/>
        </w:numPr>
        <w:spacing w:after="232"/>
        <w:ind w:right="242" w:hanging="567"/>
      </w:pPr>
      <w:r>
        <w:t>The opinion sought by the Chairperson arises from the circumstances set out in the background outlined below.</w:t>
      </w:r>
      <w:r>
        <w:rPr>
          <w:b/>
        </w:rPr>
        <w:t xml:space="preserve"> </w:t>
      </w:r>
    </w:p>
    <w:p w:rsidR="00F22C3D" w:rsidRDefault="00CE3562">
      <w:pPr>
        <w:pStyle w:val="Heading1"/>
        <w:spacing w:after="415"/>
        <w:ind w:left="86" w:right="0"/>
      </w:pPr>
      <w:r>
        <w:t xml:space="preserve">BACKGROUND </w:t>
      </w:r>
    </w:p>
    <w:p w:rsidR="00F22C3D" w:rsidRDefault="00CE3562">
      <w:pPr>
        <w:numPr>
          <w:ilvl w:val="0"/>
          <w:numId w:val="2"/>
        </w:numPr>
        <w:ind w:right="242" w:hanging="567"/>
      </w:pPr>
      <w:r>
        <w:t xml:space="preserve">The Chairperson of the Portfolio Committee on Communications (“the Committee”) briefed us that: </w:t>
      </w:r>
    </w:p>
    <w:p w:rsidR="00F22C3D" w:rsidRDefault="00CE3562">
      <w:pPr>
        <w:numPr>
          <w:ilvl w:val="1"/>
          <w:numId w:val="2"/>
        </w:numPr>
        <w:ind w:right="242" w:hanging="566"/>
      </w:pPr>
      <w:r>
        <w:t xml:space="preserve">The Public Protector’s report under consideration was referred to the Committee for consideration in the ATC dated 18 May 2022. </w:t>
      </w:r>
    </w:p>
    <w:p w:rsidR="00F22C3D" w:rsidRDefault="00CE3562">
      <w:pPr>
        <w:numPr>
          <w:ilvl w:val="1"/>
          <w:numId w:val="2"/>
        </w:numPr>
        <w:spacing w:after="24"/>
        <w:ind w:right="242" w:hanging="566"/>
      </w:pPr>
      <w:r>
        <w:t xml:space="preserve">The Committee deliberated on the issue on 24 May 2022 and resolved that a legal opinion should be sought from the Constitutional and Legal Services Office (“CLSO”) regarding the processing of specific remedial action directed to the Speaker of the </w:t>
      </w:r>
    </w:p>
    <w:p w:rsidR="00F22C3D" w:rsidRDefault="00CE3562">
      <w:pPr>
        <w:spacing w:after="235"/>
        <w:ind w:left="1224" w:right="242" w:firstLine="0"/>
      </w:pPr>
      <w:proofErr w:type="gramStart"/>
      <w:r>
        <w:t>National Assembly (“the Speaker”), and subsequently to the Committee for consideration.</w:t>
      </w:r>
      <w:proofErr w:type="gramEnd"/>
      <w:r>
        <w:t xml:space="preserve"> </w:t>
      </w:r>
    </w:p>
    <w:p w:rsidR="00F22C3D" w:rsidRDefault="00CE3562">
      <w:pPr>
        <w:numPr>
          <w:ilvl w:val="1"/>
          <w:numId w:val="2"/>
        </w:numPr>
        <w:spacing w:after="234"/>
        <w:ind w:right="242" w:hanging="566"/>
      </w:pPr>
      <w:r>
        <w:t xml:space="preserve">The scope of the legal opinion must include an evaluation of the extent to which the Committee can take action as per the remedial action in paragraph 9.4 of the Public Protector’s report. </w:t>
      </w:r>
    </w:p>
    <w:p w:rsidR="00F22C3D" w:rsidRDefault="00CE3562">
      <w:pPr>
        <w:numPr>
          <w:ilvl w:val="1"/>
          <w:numId w:val="2"/>
        </w:numPr>
        <w:ind w:right="242" w:hanging="566"/>
      </w:pPr>
      <w:r>
        <w:t xml:space="preserve">Furthermore, the Committee requires clarity on the implications of paragraph 10 of the Public Protector’s report on the Committee’s programme. </w:t>
      </w:r>
    </w:p>
    <w:p w:rsidR="00F22C3D" w:rsidRDefault="00CE3562">
      <w:pPr>
        <w:numPr>
          <w:ilvl w:val="0"/>
          <w:numId w:val="2"/>
        </w:numPr>
        <w:ind w:right="242" w:hanging="567"/>
      </w:pPr>
      <w:r>
        <w:t xml:space="preserve">It is this development – the Public Protector’s report and, particularly the remedial action directed to the Speaker – that has prompted the Chairperson to seek this legal opinion.  </w:t>
      </w:r>
    </w:p>
    <w:p w:rsidR="00F22C3D" w:rsidRDefault="00CE3562">
      <w:pPr>
        <w:numPr>
          <w:ilvl w:val="0"/>
          <w:numId w:val="2"/>
        </w:numPr>
        <w:spacing w:after="336" w:line="259" w:lineRule="auto"/>
        <w:ind w:right="242" w:hanging="567"/>
      </w:pPr>
      <w:r>
        <w:t xml:space="preserve">The remedial action directed to the Speaker is framed as follows: </w:t>
      </w:r>
    </w:p>
    <w:p w:rsidR="00F22C3D" w:rsidRDefault="00CE3562">
      <w:pPr>
        <w:spacing w:after="244" w:line="356" w:lineRule="auto"/>
        <w:ind w:left="653" w:right="118" w:hanging="10"/>
        <w:jc w:val="left"/>
      </w:pPr>
      <w:r>
        <w:t>“</w:t>
      </w:r>
      <w:r>
        <w:rPr>
          <w:i/>
        </w:rPr>
        <w:t>To ensure that the report is tabled before the Communications Portfolio Committee for deliberation regarding</w:t>
      </w:r>
      <w:r>
        <w:t xml:space="preserve">: </w:t>
      </w:r>
    </w:p>
    <w:p w:rsidR="00F22C3D" w:rsidRDefault="00CE3562">
      <w:pPr>
        <w:numPr>
          <w:ilvl w:val="1"/>
          <w:numId w:val="2"/>
        </w:numPr>
        <w:spacing w:after="244" w:line="356" w:lineRule="auto"/>
        <w:ind w:right="242" w:hanging="566"/>
      </w:pPr>
      <w:r>
        <w:t>“</w:t>
      </w:r>
      <w:r>
        <w:rPr>
          <w:i/>
        </w:rPr>
        <w:t>Investigations conducted into allegations of financial misconduct committed by members of the Accounting Authority in terms of Treasury Regulations 33.1.3;</w:t>
      </w:r>
      <w:r>
        <w:t xml:space="preserve"> </w:t>
      </w:r>
    </w:p>
    <w:p w:rsidR="00F22C3D" w:rsidRDefault="00CE3562">
      <w:pPr>
        <w:numPr>
          <w:ilvl w:val="1"/>
          <w:numId w:val="2"/>
        </w:numPr>
        <w:spacing w:after="244" w:line="356" w:lineRule="auto"/>
        <w:ind w:right="242" w:hanging="566"/>
      </w:pPr>
      <w:r>
        <w:rPr>
          <w:i/>
        </w:rPr>
        <w:t>The investigation of instances of irregular, fruitless and wasteful expenditure to determine if disciplinary action needs to be taken against implicated officials; and</w:t>
      </w:r>
      <w:r>
        <w:t xml:space="preserve"> </w:t>
      </w:r>
    </w:p>
    <w:p w:rsidR="00F22C3D" w:rsidRDefault="00CE3562">
      <w:pPr>
        <w:numPr>
          <w:ilvl w:val="1"/>
          <w:numId w:val="2"/>
        </w:numPr>
        <w:spacing w:after="271" w:line="366" w:lineRule="auto"/>
        <w:ind w:right="242" w:hanging="566"/>
      </w:pPr>
      <w:r>
        <w:rPr>
          <w:i/>
        </w:rPr>
        <w:t>Disciplinary steps have been taken against any officials who made or permitted irregular expenditure based on the outcome of investigation in terms of section 51(1)(e)(iii) of the Public Finance Management Act No.1 of 1999, as amended, (“the PFMA”).</w:t>
      </w:r>
      <w:r>
        <w:t xml:space="preserve"> </w:t>
      </w:r>
    </w:p>
    <w:p w:rsidR="00F22C3D" w:rsidRDefault="00CE3562">
      <w:pPr>
        <w:numPr>
          <w:ilvl w:val="0"/>
          <w:numId w:val="2"/>
        </w:numPr>
        <w:spacing w:after="101" w:line="259" w:lineRule="auto"/>
        <w:ind w:right="242" w:hanging="567"/>
      </w:pPr>
      <w:r>
        <w:t xml:space="preserve">As can be gleaned from the remedial action itself, its scope concerns the ambit of the Public </w:t>
      </w:r>
    </w:p>
    <w:p w:rsidR="00F22C3D" w:rsidRDefault="00CE3562">
      <w:pPr>
        <w:ind w:left="658" w:right="242" w:firstLine="0"/>
      </w:pPr>
      <w:proofErr w:type="gramStart"/>
      <w:r>
        <w:t>Protector’s authority in circumstances where her office directs Parliament to undertake its oversight role on other organs of state for the implementation of her remedial action.</w:t>
      </w:r>
      <w:proofErr w:type="gramEnd"/>
      <w:r>
        <w:t xml:space="preserve"> The crux of the question being whether or not, in those circumstances, the Public Protector is empowered to do so. </w:t>
      </w:r>
    </w:p>
    <w:p w:rsidR="00F22C3D" w:rsidRDefault="00CE3562">
      <w:pPr>
        <w:numPr>
          <w:ilvl w:val="0"/>
          <w:numId w:val="2"/>
        </w:numPr>
        <w:spacing w:after="333" w:line="259" w:lineRule="auto"/>
        <w:ind w:right="242" w:hanging="567"/>
      </w:pPr>
      <w:r>
        <w:t xml:space="preserve">These issues shall be addressed below. </w:t>
      </w:r>
    </w:p>
    <w:p w:rsidR="00F22C3D" w:rsidRDefault="00CE3562">
      <w:pPr>
        <w:spacing w:after="0" w:line="259" w:lineRule="auto"/>
        <w:ind w:left="91" w:firstLine="0"/>
        <w:jc w:val="left"/>
      </w:pPr>
      <w:r>
        <w:rPr>
          <w:b/>
        </w:rPr>
        <w:t xml:space="preserve"> </w:t>
      </w:r>
    </w:p>
    <w:p w:rsidR="00F22C3D" w:rsidRDefault="00CE3562">
      <w:pPr>
        <w:pStyle w:val="Heading1"/>
        <w:ind w:left="86" w:right="0"/>
      </w:pPr>
      <w:r>
        <w:t xml:space="preserve">LEGAL FRAMEWORK  </w:t>
      </w:r>
    </w:p>
    <w:p w:rsidR="00F22C3D" w:rsidRDefault="00CE3562">
      <w:pPr>
        <w:numPr>
          <w:ilvl w:val="0"/>
          <w:numId w:val="3"/>
        </w:numPr>
        <w:spacing w:after="118" w:line="259" w:lineRule="auto"/>
        <w:ind w:right="242" w:hanging="567"/>
      </w:pPr>
      <w:r>
        <w:t xml:space="preserve">Accountability is one of the founding values of the Constitution of the Republic of South Africa, </w:t>
      </w:r>
    </w:p>
    <w:p w:rsidR="00F22C3D" w:rsidRDefault="00CE3562">
      <w:pPr>
        <w:ind w:left="658" w:right="242" w:firstLine="0"/>
      </w:pPr>
      <w:proofErr w:type="gramStart"/>
      <w:r>
        <w:t>1996 (“the Constitution”).</w:t>
      </w:r>
      <w:proofErr w:type="gramEnd"/>
      <w:r>
        <w:t xml:space="preserve"> Section 1(d) of the Constitution enshrines a multi-party system of democratic government “</w:t>
      </w:r>
      <w:r>
        <w:rPr>
          <w:i/>
        </w:rPr>
        <w:t>to ensure accountability, responsiveness and openness</w:t>
      </w:r>
      <w:r>
        <w:t>”. Section 41(1</w:t>
      </w:r>
      <w:proofErr w:type="gramStart"/>
      <w:r>
        <w:t>)(</w:t>
      </w:r>
      <w:proofErr w:type="gramEnd"/>
      <w:r>
        <w:t xml:space="preserve">c) of the Constitution provides that all spheres of government and all organs of state within each sphere must provide </w:t>
      </w:r>
      <w:r>
        <w:rPr>
          <w:i/>
        </w:rPr>
        <w:t>“effective, transparent, accountable and coherent government</w:t>
      </w:r>
      <w:r>
        <w:t xml:space="preserve">”. </w:t>
      </w:r>
    </w:p>
    <w:p w:rsidR="00F22C3D" w:rsidRDefault="00CE3562">
      <w:pPr>
        <w:numPr>
          <w:ilvl w:val="0"/>
          <w:numId w:val="3"/>
        </w:numPr>
        <w:ind w:right="242" w:hanging="567"/>
      </w:pPr>
      <w:r>
        <w:t>Section 42(3) of the Constitution provides that the National Assembly is elected to represent the people and to ensure government by the people under the Constitution. It does this in various ways. One of them is “</w:t>
      </w:r>
      <w:r>
        <w:rPr>
          <w:i/>
        </w:rPr>
        <w:t>by scrutinising and overseeing executive action</w:t>
      </w:r>
      <w:r>
        <w:t xml:space="preserve">.” </w:t>
      </w:r>
    </w:p>
    <w:p w:rsidR="00F22C3D" w:rsidRDefault="00CE3562">
      <w:pPr>
        <w:numPr>
          <w:ilvl w:val="0"/>
          <w:numId w:val="3"/>
        </w:numPr>
        <w:spacing w:after="233"/>
        <w:ind w:right="242" w:hanging="567"/>
      </w:pPr>
      <w:r>
        <w:t xml:space="preserve">Section 55(2) of the Constitution imposes a duty on the National Assembly to provide for mechanisms to hold the national executive to account: </w:t>
      </w:r>
    </w:p>
    <w:p w:rsidR="00F22C3D" w:rsidRDefault="00CE3562">
      <w:pPr>
        <w:spacing w:after="349" w:line="259" w:lineRule="auto"/>
        <w:ind w:left="653" w:right="118" w:hanging="10"/>
        <w:jc w:val="left"/>
      </w:pPr>
      <w:r>
        <w:t>“</w:t>
      </w:r>
      <w:r>
        <w:rPr>
          <w:i/>
        </w:rPr>
        <w:t xml:space="preserve">The National Assembly must provide for mechanisms – </w:t>
      </w:r>
    </w:p>
    <w:p w:rsidR="00F22C3D" w:rsidRDefault="00CE3562">
      <w:pPr>
        <w:numPr>
          <w:ilvl w:val="1"/>
          <w:numId w:val="5"/>
        </w:numPr>
        <w:spacing w:after="244" w:line="356" w:lineRule="auto"/>
        <w:ind w:left="2251" w:right="118" w:hanging="883"/>
        <w:jc w:val="left"/>
      </w:pPr>
      <w:r>
        <w:rPr>
          <w:i/>
        </w:rPr>
        <w:t xml:space="preserve">to ensure that all executive organs of state in the national sphere of government are accountable to it; and </w:t>
      </w:r>
    </w:p>
    <w:p w:rsidR="00F22C3D" w:rsidRDefault="00CE3562">
      <w:pPr>
        <w:numPr>
          <w:ilvl w:val="1"/>
          <w:numId w:val="5"/>
        </w:numPr>
        <w:spacing w:after="353" w:line="259" w:lineRule="auto"/>
        <w:ind w:left="2251" w:right="118" w:hanging="883"/>
        <w:jc w:val="left"/>
      </w:pPr>
      <w:r>
        <w:rPr>
          <w:i/>
        </w:rPr>
        <w:t xml:space="preserve">to maintain oversight of, </w:t>
      </w:r>
    </w:p>
    <w:p w:rsidR="00F22C3D" w:rsidRDefault="00CE3562">
      <w:pPr>
        <w:numPr>
          <w:ilvl w:val="2"/>
          <w:numId w:val="4"/>
        </w:numPr>
        <w:spacing w:after="244" w:line="356" w:lineRule="auto"/>
        <w:ind w:left="2973" w:right="118" w:hanging="721"/>
        <w:jc w:val="left"/>
      </w:pPr>
      <w:r>
        <w:rPr>
          <w:i/>
        </w:rPr>
        <w:t xml:space="preserve">the exercise of national authority, including the implementation of legislation, and </w:t>
      </w:r>
    </w:p>
    <w:p w:rsidR="00F22C3D" w:rsidRDefault="00CE3562">
      <w:pPr>
        <w:numPr>
          <w:ilvl w:val="2"/>
          <w:numId w:val="4"/>
        </w:numPr>
        <w:spacing w:after="389" w:line="259" w:lineRule="auto"/>
        <w:ind w:left="2973" w:right="118" w:hanging="721"/>
        <w:jc w:val="left"/>
      </w:pPr>
      <w:proofErr w:type="gramStart"/>
      <w:r>
        <w:rPr>
          <w:i/>
        </w:rPr>
        <w:t>any</w:t>
      </w:r>
      <w:proofErr w:type="gramEnd"/>
      <w:r>
        <w:rPr>
          <w:i/>
        </w:rPr>
        <w:t xml:space="preserve"> organ of state.</w:t>
      </w:r>
      <w:r>
        <w:t xml:space="preserve">” </w:t>
      </w:r>
    </w:p>
    <w:p w:rsidR="00F22C3D" w:rsidRDefault="00CE3562">
      <w:pPr>
        <w:numPr>
          <w:ilvl w:val="0"/>
          <w:numId w:val="3"/>
        </w:numPr>
        <w:spacing w:after="298"/>
        <w:ind w:right="242" w:hanging="567"/>
      </w:pPr>
      <w:r>
        <w:t xml:space="preserve">Section 92(2) of the Constitution provides that members of the Cabinet are accountable collectively and individually to Parliament for the exercise of their powers and the performance of their functions. </w:t>
      </w:r>
    </w:p>
    <w:p w:rsidR="00F22C3D" w:rsidRDefault="00CE3562">
      <w:pPr>
        <w:numPr>
          <w:ilvl w:val="0"/>
          <w:numId w:val="3"/>
        </w:numPr>
        <w:ind w:right="242" w:hanging="567"/>
      </w:pPr>
      <w:r>
        <w:t xml:space="preserve">The national executive’s accountability to Parliament is not limited to the Cabinet. It extends throughout the national executive and other organs of state, for instance, to deputy ministers in terms of section 93(2); </w:t>
      </w:r>
      <w:r>
        <w:rPr>
          <w:b/>
          <w:i/>
        </w:rPr>
        <w:t>state institutions supporting democracy in terms of section 181(5)</w:t>
      </w:r>
      <w:r>
        <w:t xml:space="preserve">; the public administration in terms of section 195(1)(f) and 196(5); and the security services in terms of section 199(8) of the Constitution. </w:t>
      </w:r>
      <w:r>
        <w:rPr>
          <w:b/>
          <w:i/>
        </w:rPr>
        <w:t>[Our emphasis]</w:t>
      </w:r>
      <w:r>
        <w:t xml:space="preserve"> </w:t>
      </w:r>
    </w:p>
    <w:p w:rsidR="00F22C3D" w:rsidRDefault="00CE3562">
      <w:pPr>
        <w:numPr>
          <w:ilvl w:val="0"/>
          <w:numId w:val="3"/>
        </w:numPr>
        <w:ind w:right="242" w:hanging="567"/>
      </w:pPr>
      <w:r>
        <w:t xml:space="preserve">In terms of the PFMA, accounting authority means a body or person mentioned in section 49. Section 49(1) of the PFMA provides that every public entity must have an authority which must be accountable for the purposes of this Act. In addition, section 49(2) provides that if the public entity has a board or other controlling body, that board or controlling body is the accounting authority for that entity. </w:t>
      </w:r>
    </w:p>
    <w:p w:rsidR="00F22C3D" w:rsidRDefault="00CE3562">
      <w:pPr>
        <w:numPr>
          <w:ilvl w:val="0"/>
          <w:numId w:val="3"/>
        </w:numPr>
        <w:spacing w:after="288"/>
        <w:ind w:right="242" w:hanging="567"/>
      </w:pPr>
      <w:r>
        <w:t xml:space="preserve">Section 51(1)(e)(iii) of the PFMA deals with general responsibilities of accounting authorities and provides that an accounting authority for a public entity must take effective and appropriate disciplinary steps against any employee of the public entity who makes or permits an irregular expenditure or a fruitless and wasteful expenditure. </w:t>
      </w:r>
    </w:p>
    <w:p w:rsidR="00F22C3D" w:rsidRDefault="00CE3562">
      <w:pPr>
        <w:numPr>
          <w:ilvl w:val="0"/>
          <w:numId w:val="3"/>
        </w:numPr>
        <w:spacing w:after="308"/>
        <w:ind w:right="242" w:hanging="567"/>
      </w:pPr>
      <w:r>
        <w:t xml:space="preserve">In terms of section 1 paragraph (c) of the PFMA, in respect of the definition of “executive authority”, the executive authority in relation to a national public entity, means the Cabinet member who is accountable to Parliament for that public entity or in whose portfolio it falls. Treasury Regulation 33.1.3 provides that if an accounting authority or any of its members is alleged to have committed financial misconduct, the relevant executive authority must ensure that appropriate disciplinary proceedings are initiated immediately. </w:t>
      </w:r>
    </w:p>
    <w:p w:rsidR="00F22C3D" w:rsidRDefault="00CE3562">
      <w:pPr>
        <w:numPr>
          <w:ilvl w:val="0"/>
          <w:numId w:val="3"/>
        </w:numPr>
        <w:ind w:right="242" w:hanging="567"/>
      </w:pPr>
      <w:r>
        <w:t>The office of the Public Protector is a constitutional creation. The Public Protector’s office and other Chapter 9 institutions exist for the purpose of “</w:t>
      </w:r>
      <w:r>
        <w:rPr>
          <w:i/>
        </w:rPr>
        <w:t>supporting constitutional democracy</w:t>
      </w:r>
      <w:r>
        <w:t xml:space="preserve">”. These institutions potentially find themselves in a precarious situation. On the one hand, they have to act as watchdogs to prevent the abuse of power, often by state entities, and are required to act in a scrupulously fair and impartial manner. On the other hand, these institutions are often required to work with the legislature and the executive and may have to rely on their cooperation to fulfil their respective mandates.  </w:t>
      </w:r>
    </w:p>
    <w:p w:rsidR="00F22C3D" w:rsidRDefault="00CE3562">
      <w:pPr>
        <w:numPr>
          <w:ilvl w:val="0"/>
          <w:numId w:val="3"/>
        </w:numPr>
        <w:spacing w:after="235"/>
        <w:ind w:right="242" w:hanging="567"/>
      </w:pPr>
      <w:r>
        <w:t xml:space="preserve">The Constitution clearly guarantees the independence of these institutions in general terms by proclaiming in section 181(2) that: </w:t>
      </w:r>
    </w:p>
    <w:p w:rsidR="00F22C3D" w:rsidRDefault="00CE3562">
      <w:pPr>
        <w:spacing w:after="327" w:line="356" w:lineRule="auto"/>
        <w:ind w:left="822" w:right="118" w:hanging="10"/>
        <w:jc w:val="left"/>
      </w:pPr>
      <w:r>
        <w:t>“</w:t>
      </w:r>
      <w:r>
        <w:rPr>
          <w:i/>
        </w:rPr>
        <w:t>These institutions are independent, and subject only to the Constitution and the law, and they must be impartial and must exercise their powers and perform their functions without fear, favour or prejudice</w:t>
      </w:r>
      <w:r>
        <w:t>.”</w:t>
      </w:r>
      <w:r>
        <w:rPr>
          <w:vertAlign w:val="superscript"/>
        </w:rPr>
        <w:footnoteReference w:id="1"/>
      </w:r>
      <w:r>
        <w:t xml:space="preserve"> </w:t>
      </w:r>
    </w:p>
    <w:p w:rsidR="00F22C3D" w:rsidRDefault="00CE3562">
      <w:pPr>
        <w:numPr>
          <w:ilvl w:val="0"/>
          <w:numId w:val="3"/>
        </w:numPr>
        <w:ind w:right="242" w:hanging="567"/>
      </w:pPr>
      <w:r>
        <w:t xml:space="preserve">Section 181(3) of the Constitution further requires other organs of state to ‘assist and protect these institutions’ to ensure their ‘independence, impartiality, dignity and effectiveness’. This provision places a duty on any department of state or administration in the national, provincial or local sphere of government, every other functionary or institution exercising a power or performing a function in terms of the Constitution or a provincial constitution, and anyone exercising a public power or performing a public function in terms of any legislation, to assist Chapter 9 institutions with their work. </w:t>
      </w:r>
    </w:p>
    <w:p w:rsidR="00F22C3D" w:rsidRDefault="00CE3562">
      <w:pPr>
        <w:numPr>
          <w:ilvl w:val="0"/>
          <w:numId w:val="3"/>
        </w:numPr>
        <w:ind w:right="242" w:hanging="567"/>
      </w:pPr>
      <w:r>
        <w:t xml:space="preserve">In the </w:t>
      </w:r>
      <w:r>
        <w:rPr>
          <w:i/>
        </w:rPr>
        <w:t>New National Party v Government of the Republic of South Africa and Others</w:t>
      </w:r>
      <w:r>
        <w:rPr>
          <w:vertAlign w:val="superscript"/>
        </w:rPr>
        <w:footnoteReference w:id="2"/>
      </w:r>
      <w:r>
        <w:t>, in considering the independence of the Independent Electoral Commission as Chapter 9 institution, the Constitutional Court made it clear that section 181(3) of the Constitution requires the executive to engage with these institutions in a manner that would ensure that their efficient functioning. The Constitutional Court further indicated that a failure on the part of the executive to comply with such obligations ‘may seriously impair the functioning and effectiveness of those State institutions supporting constitutional democracy and cannot be condoned’.</w:t>
      </w:r>
      <w:r>
        <w:rPr>
          <w:vertAlign w:val="superscript"/>
        </w:rPr>
        <w:footnoteReference w:id="3"/>
      </w:r>
      <w:r>
        <w:t xml:space="preserve"> </w:t>
      </w:r>
    </w:p>
    <w:p w:rsidR="00F22C3D" w:rsidRDefault="00CE3562">
      <w:pPr>
        <w:pStyle w:val="Heading1"/>
        <w:ind w:left="86" w:right="0"/>
      </w:pPr>
      <w:r>
        <w:t xml:space="preserve">LEGAL ANALYSIS </w:t>
      </w:r>
    </w:p>
    <w:p w:rsidR="00F22C3D" w:rsidRDefault="00CE3562">
      <w:pPr>
        <w:numPr>
          <w:ilvl w:val="0"/>
          <w:numId w:val="6"/>
        </w:numPr>
        <w:spacing w:after="0"/>
        <w:ind w:right="242" w:hanging="567"/>
      </w:pPr>
      <w:r>
        <w:t xml:space="preserve">It bears pointing out upfront that the remedial action in relation to SITA is against the accounting authority of the entity i.e. its Board. SITA is a listed public entity in terms of </w:t>
      </w:r>
    </w:p>
    <w:p w:rsidR="00F22C3D" w:rsidRDefault="00CE3562">
      <w:pPr>
        <w:spacing w:after="294"/>
        <w:ind w:left="658" w:right="242" w:firstLine="0"/>
      </w:pPr>
      <w:proofErr w:type="gramStart"/>
      <w:r>
        <w:t>Schedule 3A of the PFMA, reporting to the Minister of Communications and Digital Technologies (“the Minister”).</w:t>
      </w:r>
      <w:proofErr w:type="gramEnd"/>
      <w:r>
        <w:rPr>
          <w:i/>
        </w:rPr>
        <w:t xml:space="preserve"> </w:t>
      </w:r>
    </w:p>
    <w:p w:rsidR="00F22C3D" w:rsidRDefault="00CE3562">
      <w:pPr>
        <w:numPr>
          <w:ilvl w:val="0"/>
          <w:numId w:val="6"/>
        </w:numPr>
        <w:ind w:right="242" w:hanging="567"/>
      </w:pPr>
      <w:r>
        <w:t xml:space="preserve">The Public Protector’s report makes a finding against the Board of SITA as a result of maladministration in the appointment of service providers and employees by SITA. </w:t>
      </w:r>
    </w:p>
    <w:p w:rsidR="00F22C3D" w:rsidRDefault="00CE3562">
      <w:pPr>
        <w:numPr>
          <w:ilvl w:val="0"/>
          <w:numId w:val="6"/>
        </w:numPr>
        <w:ind w:right="242" w:hanging="567"/>
      </w:pPr>
      <w:r>
        <w:t xml:space="preserve">Specifically, the Public Protector makes a finding that the allegation that SITA did not follow applicable supply chain management prescripts in the appointment of various service providers; namely, Forensic Data Analysts (Pty) Ltd; Core Focus (Pty) Ltd; Accenture (Pty) Ltd; Fidelity Security Services (Pty) Ltd; </w:t>
      </w:r>
      <w:proofErr w:type="spellStart"/>
      <w:r>
        <w:t>Parahelic</w:t>
      </w:r>
      <w:proofErr w:type="spellEnd"/>
      <w:r>
        <w:t xml:space="preserve"> CC; </w:t>
      </w:r>
      <w:proofErr w:type="spellStart"/>
      <w:r>
        <w:t>Bowmans</w:t>
      </w:r>
      <w:proofErr w:type="spellEnd"/>
      <w:r>
        <w:t xml:space="preserve"> Attorneys and </w:t>
      </w:r>
      <w:proofErr w:type="spellStart"/>
      <w:r>
        <w:t>Cyanre</w:t>
      </w:r>
      <w:proofErr w:type="spellEnd"/>
      <w:r>
        <w:t xml:space="preserve"> Digital Forensic Lab, is substantiated. </w:t>
      </w:r>
    </w:p>
    <w:p w:rsidR="00F22C3D" w:rsidRDefault="00CE3562">
      <w:pPr>
        <w:numPr>
          <w:ilvl w:val="0"/>
          <w:numId w:val="6"/>
        </w:numPr>
        <w:ind w:right="242" w:hanging="567"/>
      </w:pPr>
      <w:r>
        <w:t xml:space="preserve">In addition, the Public Protector makes a finding that the allegations in relation to the recruitment of Mr </w:t>
      </w:r>
      <w:proofErr w:type="spellStart"/>
      <w:r>
        <w:t>Sithembele</w:t>
      </w:r>
      <w:proofErr w:type="spellEnd"/>
      <w:r>
        <w:t xml:space="preserve"> </w:t>
      </w:r>
      <w:proofErr w:type="spellStart"/>
      <w:r>
        <w:t>Senti</w:t>
      </w:r>
      <w:proofErr w:type="spellEnd"/>
      <w:r>
        <w:t xml:space="preserve"> as an Executive in the office of the Chief Executive Officer; and, Mr Kenneth </w:t>
      </w:r>
      <w:proofErr w:type="spellStart"/>
      <w:r>
        <w:t>Wienand</w:t>
      </w:r>
      <w:proofErr w:type="spellEnd"/>
      <w:r>
        <w:t xml:space="preserve"> in the office of the Chief Financial Officer by SITA, are substantiated as these were not in accordance with applicable prescripts regulating the recruitment and selection of employees of SITA. </w:t>
      </w:r>
    </w:p>
    <w:p w:rsidR="00F22C3D" w:rsidRDefault="00CE3562">
      <w:pPr>
        <w:numPr>
          <w:ilvl w:val="0"/>
          <w:numId w:val="6"/>
        </w:numPr>
        <w:ind w:right="242" w:hanging="567"/>
      </w:pPr>
      <w:r>
        <w:t xml:space="preserve">It must be underscored that SITA falls under the auspices of the executive branch of government and the Public Protector’s report regarding the aforesaid remedial action should, first and foremost, be dealt with by the Minister responsible for overseeing the entity, namely the Minister of Communications and Digital Technologies. It would be premature for the Speaker to intercede in the domain of the executive without the Public Protector’s report having been given due consideration by the executive authority in whose portfolio SITA falls. We are not suggesting that the Public Protector’s report requires such intervention. </w:t>
      </w:r>
    </w:p>
    <w:p w:rsidR="00F22C3D" w:rsidRDefault="00CE3562">
      <w:pPr>
        <w:numPr>
          <w:ilvl w:val="0"/>
          <w:numId w:val="6"/>
        </w:numPr>
        <w:ind w:right="242" w:hanging="567"/>
      </w:pPr>
      <w:r>
        <w:t xml:space="preserve">In the result, the Committee should, as part of its oversight function over the Minister, schedule a meeting with the Minister calling on her to account and report on all the issues in which the Committee has been directed to deliberate on as spelled out in paragraph 5 above.  </w:t>
      </w:r>
    </w:p>
    <w:p w:rsidR="00F22C3D" w:rsidRDefault="00CE3562">
      <w:pPr>
        <w:numPr>
          <w:ilvl w:val="0"/>
          <w:numId w:val="6"/>
        </w:numPr>
        <w:spacing w:after="288"/>
        <w:ind w:right="242" w:hanging="567"/>
      </w:pPr>
      <w:r>
        <w:t xml:space="preserve">It is worth noting that the remedial action directed to the Speaker is what the Constitution requires from the National Assembly. However, the remedial action has a specific focus on what must be overseen by the Committee and reported to the House. Furthermore, the remedial action is peremptory and cannot be ignored. In </w:t>
      </w:r>
      <w:r>
        <w:rPr>
          <w:i/>
        </w:rPr>
        <w:t>Economic Freedom Fighters v Speaker of the National Assembly and Others: Democratic Alliance v Speaker of the National Assembly and others the Constitutional Court</w:t>
      </w:r>
      <w:r>
        <w:t xml:space="preserve"> the Constitutional Court (per </w:t>
      </w:r>
      <w:proofErr w:type="spellStart"/>
      <w:r>
        <w:t>Mogoeng</w:t>
      </w:r>
      <w:proofErr w:type="spellEnd"/>
      <w:r>
        <w:t xml:space="preserve"> CJ) held that the remedial action taken by the Public Protector has a binding effect.</w:t>
      </w:r>
      <w:r>
        <w:rPr>
          <w:vertAlign w:val="superscript"/>
        </w:rPr>
        <w:footnoteReference w:id="4"/>
      </w:r>
      <w:r>
        <w:t xml:space="preserve">  </w:t>
      </w:r>
    </w:p>
    <w:p w:rsidR="00F22C3D" w:rsidRDefault="00CE3562">
      <w:pPr>
        <w:numPr>
          <w:ilvl w:val="0"/>
          <w:numId w:val="6"/>
        </w:numPr>
        <w:ind w:right="242" w:hanging="567"/>
      </w:pPr>
      <w:r>
        <w:t xml:space="preserve">In amplification of the above, section 181(3) of the Constitution requires other organs of state to ‘assist and protect these institutions’ to ensure their ‘independence, impartiality, dignity and </w:t>
      </w:r>
      <w:r>
        <w:rPr>
          <w:b/>
          <w:i/>
        </w:rPr>
        <w:t>effectiveness</w:t>
      </w:r>
      <w:r>
        <w:t xml:space="preserve">’. </w:t>
      </w:r>
      <w:r>
        <w:rPr>
          <w:b/>
          <w:i/>
        </w:rPr>
        <w:t>[Our emphasis]</w:t>
      </w:r>
      <w:r>
        <w:t xml:space="preserve"> </w:t>
      </w:r>
    </w:p>
    <w:p w:rsidR="00F22C3D" w:rsidRDefault="00CE3562">
      <w:pPr>
        <w:numPr>
          <w:ilvl w:val="0"/>
          <w:numId w:val="6"/>
        </w:numPr>
        <w:ind w:right="242" w:hanging="567"/>
      </w:pPr>
      <w:r>
        <w:t xml:space="preserve">The Public Protector has the power to investigate any conduct in state affairs, or in the public administration in any sphere of government, that is alleged or suspected to be improper or to result in any impropriety or prejudice; </w:t>
      </w:r>
      <w:r>
        <w:rPr>
          <w:b/>
          <w:i/>
        </w:rPr>
        <w:t>to report on that conduct</w:t>
      </w:r>
      <w:r>
        <w:t xml:space="preserve"> and to take appropriate remedial action. This best describes the character of the Public Protector’s remedial action directed to the Speaker. The Public Protector is discharging her constitutional obligations by reporting on that conduct and by directing the Speaker to ensure the report is tabled and for the National Assembly, through its committees, to deliberate on it. </w:t>
      </w:r>
    </w:p>
    <w:p w:rsidR="00F22C3D" w:rsidRDefault="00CE3562">
      <w:pPr>
        <w:numPr>
          <w:ilvl w:val="0"/>
          <w:numId w:val="6"/>
        </w:numPr>
        <w:spacing w:after="232"/>
        <w:ind w:right="242" w:hanging="567"/>
      </w:pPr>
      <w:r>
        <w:t xml:space="preserve">It is worth mentioning that paragraph 10 of the Public Protector’s report deals with the monitoring of time frames insofar as they relate to the submission by the SITA Board of the action plan and implementation plan to the Public Protector. This does not have any direct bearing on the implementation of remedial action as directed to the Speaker or on the programme of the Committee in processing the Public Protector’s report. However, the Committee should schedule a meeting with the Minister within a reasonable space of time.  </w:t>
      </w:r>
    </w:p>
    <w:p w:rsidR="00F22C3D" w:rsidRDefault="00CE3562">
      <w:pPr>
        <w:spacing w:after="0" w:line="259" w:lineRule="auto"/>
        <w:ind w:left="91" w:firstLine="0"/>
        <w:jc w:val="left"/>
      </w:pPr>
      <w:r>
        <w:rPr>
          <w:b/>
        </w:rPr>
        <w:t xml:space="preserve"> </w:t>
      </w:r>
    </w:p>
    <w:p w:rsidR="00F22C3D" w:rsidRDefault="00CE3562">
      <w:pPr>
        <w:pStyle w:val="Heading1"/>
        <w:ind w:left="86" w:right="0"/>
      </w:pPr>
      <w:r>
        <w:t xml:space="preserve">ADVICE </w:t>
      </w:r>
    </w:p>
    <w:p w:rsidR="00F22C3D" w:rsidRDefault="00CE3562">
      <w:pPr>
        <w:numPr>
          <w:ilvl w:val="0"/>
          <w:numId w:val="7"/>
        </w:numPr>
        <w:spacing w:after="295"/>
        <w:ind w:right="242" w:hanging="567"/>
      </w:pPr>
      <w:r>
        <w:t xml:space="preserve">The Committee should schedule a meeting with the Minister as part of its oversight over the executive. The Minister should account and report to the Committee at that meeting on the Public Protector’s report, particularly on the remedial action directed at the Speaker as set out in paragraph 5 above. Simply put, the Minister should account on what she has done in processing the Public Protector’s report, including addressing its findings and remedial action. </w:t>
      </w:r>
    </w:p>
    <w:p w:rsidR="00F22C3D" w:rsidRDefault="006637C9">
      <w:pPr>
        <w:numPr>
          <w:ilvl w:val="0"/>
          <w:numId w:val="7"/>
        </w:numPr>
        <w:ind w:right="242" w:hanging="567"/>
      </w:pPr>
      <w:r w:rsidRPr="006637C9">
        <w:rPr>
          <w:rFonts w:ascii="Calibri" w:eastAsia="Calibri" w:hAnsi="Calibri" w:cs="Calibri"/>
          <w:noProof/>
        </w:rPr>
        <w:pict>
          <v:group id="Group 7279" o:spid="_x0000_s1030" style="position:absolute;left:0;text-align:left;margin-left:0;margin-top:0;width:.5pt;height:.5pt;z-index:251656704;mso-position-horizontal-relative:page;mso-position-vertical-relative:page" coordsize="63,63">
            <v:shape id="Shape 1072" o:spid="_x0000_s1031" style="position:absolute;width:63;height:63" coordsize="6324,6323" path="m,l6324,,,6323r,l,xe" fillcolor="black" stroked="f" strokeweight="0">
              <v:stroke opacity="0" miterlimit="10" joinstyle="miter"/>
            </v:shape>
            <w10:wrap type="topAndBottom" anchorx="page" anchory="page"/>
          </v:group>
        </w:pict>
      </w:r>
      <w:r w:rsidR="00CE3562">
        <w:t xml:space="preserve">We reiterate that paragraph 10 of the Public Protector’s report does not have any direct bearing on the implementation of remedial action as directed to the Speaker or on the programme of the Committee in processing the Public Protector’s report. However, the Committee should schedule a meeting with the executive authority as soon as it is reasonably possible to do so as the Public Protector’s remedial action cannot be ignored without legal consequences. </w:t>
      </w:r>
    </w:p>
    <w:p w:rsidR="00F22C3D" w:rsidRDefault="006637C9">
      <w:pPr>
        <w:numPr>
          <w:ilvl w:val="0"/>
          <w:numId w:val="7"/>
        </w:numPr>
        <w:spacing w:after="327" w:line="259" w:lineRule="auto"/>
        <w:ind w:right="242" w:hanging="567"/>
      </w:pPr>
      <w:r w:rsidRPr="006637C9">
        <w:rPr>
          <w:rFonts w:ascii="Calibri" w:eastAsia="Calibri" w:hAnsi="Calibri" w:cs="Calibri"/>
          <w:noProof/>
        </w:rPr>
        <w:pict>
          <v:group id="Group 7280" o:spid="_x0000_s1026" style="position:absolute;left:0;text-align:left;margin-left:-.5pt;margin-top:-3.3pt;width:103.25pt;height:111.9pt;z-index:-251661824" coordsize="13113,14212">
            <v:shape id="Shape 1073" o:spid="_x0000_s1029" style="position:absolute;left:4400;top:4160;width:299;height:300" coordsize="29907,30098" path="m14858,v8382,,15049,6668,15049,15049c29907,23240,23240,30098,14858,30098,6667,30098,,23240,,15049,,6667,6667,,14858,xe" fillcolor="black" stroked="f" strokeweight="0">
              <v:stroke opacity="0" miterlimit="10" joinstyle="miter"/>
            </v:shape>
            <v:shape id="Shape 1074" o:spid="_x0000_s1028" style="position:absolute;width:6897;height:14212" coordsize="689779,1421276" path="m219445,315429c163246,300380,122679,281139,77150,247421v8572,-51245,13906,-73723,54294,-120421c176208,75183,226683,27940,299649,35814v5330,3556,10660,7239,16003,10668c341360,112014,343650,159384,325739,232752v-13522,55246,-25517,100584,-27998,154877c331642,397154,353369,403440,393935,404011v125158,2096,232788,40958,260404,170307c689779,739672,612438,944459,524233,1084477v-68005,107632,-167252,212788,-266498,295271c207831,1421276,187440,1418990,131444,1420133,67435,1358792,46480,1294217,35241,1206587,,935887,73911,672045,195442,430110,259070,303428,345749,188366,444041,84963,475283,51943,516231,1270,568042,v5534,3556,11055,6985,16385,10668c577952,166243,540998,276949,474138,430682,392217,619467,311072,806919,231454,996275v-23623,52388,-30861,68961,-48199,102870e" filled="f" fillcolor="black" strokeweight=".83078mm">
              <v:fill opacity="0"/>
              <v:stroke endcap="round"/>
            </v:shape>
            <v:shape id="Shape 1075" o:spid="_x0000_s1027" style="position:absolute;left:3036;top:1727;width:10077;height:5968" coordsize="1007731,596832" path="m2286,442905c5334,450144,,454906,4190,461193v6096,9334,9717,13335,19622,20954c63816,513013,130115,524443,177729,509775v40198,-12381,81541,-35247,115061,-60774c332034,419283,368797,377565,394137,335084v25531,-42672,39817,-86295,44956,-135634c443469,157160,438902,114869,441001,72579,442337,44195,450911,24383,458340,v-573,96010,-23051,185163,-46673,278506c388426,369945,360987,459478,325940,546731v-4007,9906,-9528,19622,-13713,29147c345938,519110,377944,458526,423472,411092v3244,-1333,6475,-2476,9718,-3810c444041,425570,455478,433761,462525,460050v7047,26670,10100,55058,17339,81729c480627,542541,481199,543302,481759,544064v5724,-1523,11818,-4381,17911,-6096c524628,530730,547488,530348,573388,531873v48199,3047,96399,9715,142499,23240c758172,567495,793421,575497,837041,577782v32770,1716,69151,19050,101348,14860c972863,577401,987339,569781,1007731,550923e" filled="f" fillcolor="black" strokeweight=".83078mm">
              <v:fill opacity="0"/>
              <v:stroke endcap="round"/>
            </v:shape>
          </v:group>
        </w:pict>
      </w:r>
      <w:r w:rsidR="00CE3562">
        <w:t xml:space="preserve">We advise accordingly. </w:t>
      </w:r>
    </w:p>
    <w:p w:rsidR="00F22C3D" w:rsidRDefault="00CE3562">
      <w:pPr>
        <w:spacing w:after="343" w:line="259" w:lineRule="auto"/>
        <w:ind w:left="91" w:firstLine="0"/>
        <w:jc w:val="left"/>
      </w:pPr>
      <w:r>
        <w:t xml:space="preserve"> </w:t>
      </w:r>
    </w:p>
    <w:p w:rsidR="00F22C3D" w:rsidRDefault="00CE3562">
      <w:pPr>
        <w:spacing w:after="339" w:line="265" w:lineRule="auto"/>
        <w:ind w:left="10" w:hanging="10"/>
        <w:jc w:val="left"/>
      </w:pPr>
      <w:r>
        <w:rPr>
          <w:b/>
        </w:rPr>
        <w:t>_________________________</w:t>
      </w:r>
      <w:r>
        <w:t xml:space="preserve"> </w:t>
      </w:r>
    </w:p>
    <w:p w:rsidR="00F22C3D" w:rsidRDefault="00CE3562">
      <w:pPr>
        <w:pStyle w:val="Heading1"/>
        <w:ind w:right="0"/>
      </w:pPr>
      <w:r>
        <w:t xml:space="preserve">Adv Z </w:t>
      </w:r>
      <w:proofErr w:type="spellStart"/>
      <w:r>
        <w:t>Adhikarie</w:t>
      </w:r>
      <w:proofErr w:type="spellEnd"/>
      <w:r>
        <w:t xml:space="preserve"> </w:t>
      </w:r>
      <w:r>
        <w:tab/>
        <w:t xml:space="preserve"> </w:t>
      </w:r>
      <w:r>
        <w:tab/>
        <w:t xml:space="preserve"> </w:t>
      </w:r>
      <w:r>
        <w:tab/>
        <w:t xml:space="preserve"> </w:t>
      </w:r>
      <w:r>
        <w:tab/>
      </w:r>
      <w:r>
        <w:rPr>
          <w:b w:val="0"/>
        </w:rPr>
        <w:t xml:space="preserve"> </w:t>
      </w:r>
      <w:r>
        <w:t xml:space="preserve">Chief Legal Adviser  </w:t>
      </w:r>
    </w:p>
    <w:sectPr w:rsidR="00F22C3D" w:rsidSect="006637C9">
      <w:footerReference w:type="even" r:id="rId13"/>
      <w:footerReference w:type="default" r:id="rId14"/>
      <w:footerReference w:type="first" r:id="rId15"/>
      <w:pgSz w:w="11906" w:h="16838"/>
      <w:pgMar w:top="1017" w:right="798" w:bottom="1269" w:left="1042"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F0" w:rsidRDefault="006A17F0">
      <w:pPr>
        <w:spacing w:after="0" w:line="240" w:lineRule="auto"/>
      </w:pPr>
      <w:r>
        <w:separator/>
      </w:r>
    </w:p>
  </w:endnote>
  <w:endnote w:type="continuationSeparator" w:id="0">
    <w:p w:rsidR="006A17F0" w:rsidRDefault="006A1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3D" w:rsidRDefault="006637C9">
    <w:pPr>
      <w:spacing w:after="162" w:line="259" w:lineRule="auto"/>
      <w:ind w:left="0" w:right="337" w:firstLine="0"/>
      <w:jc w:val="right"/>
    </w:pPr>
    <w:r w:rsidRPr="006637C9">
      <w:fldChar w:fldCharType="begin"/>
    </w:r>
    <w:r w:rsidR="00CE3562">
      <w:instrText xml:space="preserve"> PAGE   \* MERGEFORMAT </w:instrText>
    </w:r>
    <w:r w:rsidRPr="006637C9">
      <w:fldChar w:fldCharType="separate"/>
    </w:r>
    <w:r w:rsidR="00CE3562">
      <w:rPr>
        <w:rFonts w:ascii="Calibri" w:eastAsia="Calibri" w:hAnsi="Calibri" w:cs="Calibri"/>
        <w:sz w:val="14"/>
      </w:rPr>
      <w:t>2</w:t>
    </w:r>
    <w:r>
      <w:rPr>
        <w:rFonts w:ascii="Calibri" w:eastAsia="Calibri" w:hAnsi="Calibri" w:cs="Calibri"/>
        <w:sz w:val="14"/>
      </w:rPr>
      <w:fldChar w:fldCharType="end"/>
    </w:r>
    <w:r w:rsidR="00CE3562">
      <w:rPr>
        <w:rFonts w:ascii="Calibri" w:eastAsia="Calibri" w:hAnsi="Calibri" w:cs="Calibri"/>
        <w:sz w:val="14"/>
      </w:rPr>
      <w:t xml:space="preserve"> </w:t>
    </w:r>
  </w:p>
  <w:p w:rsidR="00F22C3D" w:rsidRDefault="00CE3562">
    <w:pPr>
      <w:spacing w:after="0" w:line="259" w:lineRule="auto"/>
      <w:ind w:left="91" w:firstLine="0"/>
      <w:jc w:val="left"/>
    </w:pPr>
    <w:r>
      <w:rPr>
        <w:rFonts w:ascii="Calibri" w:eastAsia="Calibri" w:hAnsi="Calibri" w:cs="Calibri"/>
        <w:sz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3D" w:rsidRDefault="006637C9">
    <w:pPr>
      <w:spacing w:after="162" w:line="259" w:lineRule="auto"/>
      <w:ind w:left="0" w:right="337" w:firstLine="0"/>
      <w:jc w:val="right"/>
    </w:pPr>
    <w:r w:rsidRPr="006637C9">
      <w:fldChar w:fldCharType="begin"/>
    </w:r>
    <w:r w:rsidR="00CE3562">
      <w:instrText xml:space="preserve"> PAGE   \* MERGEFORMAT </w:instrText>
    </w:r>
    <w:r w:rsidRPr="006637C9">
      <w:fldChar w:fldCharType="separate"/>
    </w:r>
    <w:r w:rsidR="00E15311" w:rsidRPr="00E15311">
      <w:rPr>
        <w:rFonts w:ascii="Calibri" w:eastAsia="Calibri" w:hAnsi="Calibri" w:cs="Calibri"/>
        <w:noProof/>
        <w:sz w:val="14"/>
      </w:rPr>
      <w:t>7</w:t>
    </w:r>
    <w:r>
      <w:rPr>
        <w:rFonts w:ascii="Calibri" w:eastAsia="Calibri" w:hAnsi="Calibri" w:cs="Calibri"/>
        <w:sz w:val="14"/>
      </w:rPr>
      <w:fldChar w:fldCharType="end"/>
    </w:r>
    <w:r w:rsidR="00CE3562">
      <w:rPr>
        <w:rFonts w:ascii="Calibri" w:eastAsia="Calibri" w:hAnsi="Calibri" w:cs="Calibri"/>
        <w:sz w:val="14"/>
      </w:rPr>
      <w:t xml:space="preserve"> </w:t>
    </w:r>
  </w:p>
  <w:p w:rsidR="00F22C3D" w:rsidRDefault="00CE3562">
    <w:pPr>
      <w:spacing w:after="0" w:line="259" w:lineRule="auto"/>
      <w:ind w:left="91" w:firstLine="0"/>
      <w:jc w:val="left"/>
    </w:pPr>
    <w:r>
      <w:rPr>
        <w:rFonts w:ascii="Calibri" w:eastAsia="Calibri" w:hAnsi="Calibri" w:cs="Calibri"/>
        <w:sz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3D" w:rsidRDefault="00F22C3D">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F0" w:rsidRDefault="006A17F0">
      <w:pPr>
        <w:spacing w:after="0" w:line="259" w:lineRule="auto"/>
        <w:ind w:left="91" w:firstLine="0"/>
        <w:jc w:val="left"/>
      </w:pPr>
      <w:r>
        <w:separator/>
      </w:r>
    </w:p>
  </w:footnote>
  <w:footnote w:type="continuationSeparator" w:id="0">
    <w:p w:rsidR="006A17F0" w:rsidRDefault="006A17F0">
      <w:pPr>
        <w:spacing w:after="0" w:line="259" w:lineRule="auto"/>
        <w:ind w:left="91" w:firstLine="0"/>
        <w:jc w:val="left"/>
      </w:pPr>
      <w:r>
        <w:continuationSeparator/>
      </w:r>
    </w:p>
  </w:footnote>
  <w:footnote w:id="1">
    <w:p w:rsidR="00F22C3D" w:rsidRDefault="00CE3562">
      <w:pPr>
        <w:pStyle w:val="footnotedescription"/>
      </w:pPr>
      <w:r>
        <w:rPr>
          <w:rStyle w:val="footnotemark"/>
        </w:rPr>
        <w:footnoteRef/>
      </w:r>
      <w:r>
        <w:t xml:space="preserve"> </w:t>
      </w:r>
      <w:proofErr w:type="gramStart"/>
      <w:r>
        <w:t>Section 181(2) of the Constitution.</w:t>
      </w:r>
      <w:proofErr w:type="gramEnd"/>
      <w:r>
        <w:t xml:space="preserve"> </w:t>
      </w:r>
    </w:p>
  </w:footnote>
  <w:footnote w:id="2">
    <w:p w:rsidR="00F22C3D" w:rsidRDefault="00CE3562">
      <w:pPr>
        <w:pStyle w:val="footnotedescription"/>
        <w:spacing w:after="137" w:line="284" w:lineRule="auto"/>
        <w:ind w:right="254"/>
      </w:pPr>
      <w:r>
        <w:rPr>
          <w:rStyle w:val="footnotemark"/>
        </w:rPr>
        <w:footnoteRef/>
      </w:r>
      <w:r>
        <w:t xml:space="preserve"> </w:t>
      </w:r>
      <w:proofErr w:type="gramStart"/>
      <w:r>
        <w:t xml:space="preserve">New National Party v Government of the RSA and Others (CCT9/99) [1999] ZACC 5; 1999 (3) SA 191; 1999 (5) BCLR 489 (13 April 1999) </w:t>
      </w:r>
      <w:proofErr w:type="spellStart"/>
      <w:r>
        <w:t>para</w:t>
      </w:r>
      <w:proofErr w:type="spellEnd"/>
      <w:r>
        <w:t xml:space="preserve"> 53.</w:t>
      </w:r>
      <w:proofErr w:type="gramEnd"/>
      <w:r>
        <w:t xml:space="preserve"> </w:t>
      </w:r>
    </w:p>
  </w:footnote>
  <w:footnote w:id="3">
    <w:p w:rsidR="00F22C3D" w:rsidRDefault="00CE3562">
      <w:pPr>
        <w:pStyle w:val="footnotedescription"/>
      </w:pPr>
      <w:r>
        <w:rPr>
          <w:rStyle w:val="footnotemark"/>
        </w:rPr>
        <w:footnoteRef/>
      </w:r>
      <w:r>
        <w:t xml:space="preserve"> </w:t>
      </w:r>
      <w:proofErr w:type="gramStart"/>
      <w:r>
        <w:t xml:space="preserve">New National Party </w:t>
      </w:r>
      <w:proofErr w:type="spellStart"/>
      <w:r>
        <w:t>para</w:t>
      </w:r>
      <w:proofErr w:type="spellEnd"/>
      <w:r>
        <w:t xml:space="preserve"> 95.</w:t>
      </w:r>
      <w:proofErr w:type="gramEnd"/>
      <w:r>
        <w:t xml:space="preserve"> </w:t>
      </w:r>
    </w:p>
  </w:footnote>
  <w:footnote w:id="4">
    <w:p w:rsidR="00F22C3D" w:rsidRDefault="00CE3562">
      <w:pPr>
        <w:pStyle w:val="footnotedescription"/>
      </w:pPr>
      <w:r>
        <w:rPr>
          <w:rStyle w:val="footnotemark"/>
        </w:rPr>
        <w:footnoteRef/>
      </w:r>
      <w:r>
        <w:t xml:space="preserve"> </w:t>
      </w:r>
      <w:proofErr w:type="gramStart"/>
      <w:r>
        <w:t xml:space="preserve">[2016] ZACC 11; 2016(3) SA 580 (CC) and 2016 (5) BCLR 618 (CC) at </w:t>
      </w:r>
      <w:proofErr w:type="spellStart"/>
      <w:r>
        <w:t>para</w:t>
      </w:r>
      <w:proofErr w:type="spellEnd"/>
      <w:r>
        <w:t xml:space="preserve"> [76].</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9FB"/>
    <w:multiLevelType w:val="hybridMultilevel"/>
    <w:tmpl w:val="3F143892"/>
    <w:lvl w:ilvl="0" w:tplc="CA76C412">
      <w:start w:val="30"/>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380398">
      <w:start w:val="1"/>
      <w:numFmt w:val="lowerLetter"/>
      <w:lvlText w:val="%2"/>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7C4586">
      <w:start w:val="1"/>
      <w:numFmt w:val="lowerRoman"/>
      <w:lvlText w:val="%3"/>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7EF360">
      <w:start w:val="1"/>
      <w:numFmt w:val="decimal"/>
      <w:lvlText w:val="%4"/>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2CCA0">
      <w:start w:val="1"/>
      <w:numFmt w:val="lowerLetter"/>
      <w:lvlText w:val="%5"/>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56D7A6">
      <w:start w:val="1"/>
      <w:numFmt w:val="lowerRoman"/>
      <w:lvlText w:val="%6"/>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98FAE8">
      <w:start w:val="1"/>
      <w:numFmt w:val="decimal"/>
      <w:lvlText w:val="%7"/>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861DAE">
      <w:start w:val="1"/>
      <w:numFmt w:val="lowerLetter"/>
      <w:lvlText w:val="%8"/>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5C8644">
      <w:start w:val="1"/>
      <w:numFmt w:val="lowerRoman"/>
      <w:lvlText w:val="%9"/>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F8B0777"/>
    <w:multiLevelType w:val="hybridMultilevel"/>
    <w:tmpl w:val="43603CEE"/>
    <w:lvl w:ilvl="0" w:tplc="FADE9D1A">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380766A">
      <w:start w:val="1"/>
      <w:numFmt w:val="lowerLetter"/>
      <w:lvlRestart w:val="0"/>
      <w:lvlText w:val="(%2)"/>
      <w:lvlJc w:val="left"/>
      <w:pPr>
        <w:ind w:left="22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1E981992">
      <w:start w:val="1"/>
      <w:numFmt w:val="lowerRoman"/>
      <w:lvlText w:val="%3"/>
      <w:lvlJc w:val="left"/>
      <w:pPr>
        <w:ind w:left="23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8BA1D2E">
      <w:start w:val="1"/>
      <w:numFmt w:val="decimal"/>
      <w:lvlText w:val="%4"/>
      <w:lvlJc w:val="left"/>
      <w:pPr>
        <w:ind w:left="30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108F416">
      <w:start w:val="1"/>
      <w:numFmt w:val="lowerLetter"/>
      <w:lvlText w:val="%5"/>
      <w:lvlJc w:val="left"/>
      <w:pPr>
        <w:ind w:left="379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9F7867AA">
      <w:start w:val="1"/>
      <w:numFmt w:val="lowerRoman"/>
      <w:lvlText w:val="%6"/>
      <w:lvlJc w:val="left"/>
      <w:pPr>
        <w:ind w:left="45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E6C3D18">
      <w:start w:val="1"/>
      <w:numFmt w:val="decimal"/>
      <w:lvlText w:val="%7"/>
      <w:lvlJc w:val="left"/>
      <w:pPr>
        <w:ind w:left="52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B106E3E">
      <w:start w:val="1"/>
      <w:numFmt w:val="lowerLetter"/>
      <w:lvlText w:val="%8"/>
      <w:lvlJc w:val="left"/>
      <w:pPr>
        <w:ind w:left="59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5A037DC">
      <w:start w:val="1"/>
      <w:numFmt w:val="lowerRoman"/>
      <w:lvlText w:val="%9"/>
      <w:lvlJc w:val="left"/>
      <w:pPr>
        <w:ind w:left="66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nsid w:val="1136000E"/>
    <w:multiLevelType w:val="multilevel"/>
    <w:tmpl w:val="7476716A"/>
    <w:lvl w:ilvl="0">
      <w:start w:val="3"/>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2944505D"/>
    <w:multiLevelType w:val="hybridMultilevel"/>
    <w:tmpl w:val="AFD87CC0"/>
    <w:lvl w:ilvl="0" w:tplc="64708C90">
      <w:start w:val="8"/>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CE5A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F272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2A4D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F682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E8A7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467F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ECDC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166F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335E6798"/>
    <w:multiLevelType w:val="hybridMultilevel"/>
    <w:tmpl w:val="1E608A2C"/>
    <w:lvl w:ilvl="0" w:tplc="2E9C7B30">
      <w:start w:val="20"/>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8E5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E8F0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E0D5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4CF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E850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C245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EC5E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38AA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57BE5DE5"/>
    <w:multiLevelType w:val="hybridMultilevel"/>
    <w:tmpl w:val="BC48BEC8"/>
    <w:lvl w:ilvl="0" w:tplc="80C0B84C">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DAEE7028">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22489AE">
      <w:start w:val="1"/>
      <w:numFmt w:val="lowerRoman"/>
      <w:lvlRestart w:val="0"/>
      <w:lvlText w:val="(%3)"/>
      <w:lvlJc w:val="left"/>
      <w:pPr>
        <w:ind w:left="29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9080650">
      <w:start w:val="1"/>
      <w:numFmt w:val="decimal"/>
      <w:lvlText w:val="%4"/>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6642006">
      <w:start w:val="1"/>
      <w:numFmt w:val="lowerLetter"/>
      <w:lvlText w:val="%5"/>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7960ECA">
      <w:start w:val="1"/>
      <w:numFmt w:val="lowerRoman"/>
      <w:lvlText w:val="%6"/>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AB28156">
      <w:start w:val="1"/>
      <w:numFmt w:val="decimal"/>
      <w:lvlText w:val="%7"/>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5C8DA58">
      <w:start w:val="1"/>
      <w:numFmt w:val="lowerLetter"/>
      <w:lvlText w:val="%8"/>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F14E768">
      <w:start w:val="1"/>
      <w:numFmt w:val="lowerRoman"/>
      <w:lvlText w:val="%9"/>
      <w:lvlJc w:val="left"/>
      <w:pPr>
        <w:ind w:left="68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
    <w:nsid w:val="6B3B09C7"/>
    <w:multiLevelType w:val="hybridMultilevel"/>
    <w:tmpl w:val="8DB6FB8C"/>
    <w:lvl w:ilvl="0" w:tplc="D91ECB66">
      <w:start w:val="1"/>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4FF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969F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2834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4024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C87D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2EE6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E99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DE26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F22C3D"/>
    <w:rsid w:val="006637C9"/>
    <w:rsid w:val="006A17F0"/>
    <w:rsid w:val="0074282D"/>
    <w:rsid w:val="00CE3562"/>
    <w:rsid w:val="00E15311"/>
    <w:rsid w:val="00F22C3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C9"/>
    <w:pPr>
      <w:spacing w:after="267" w:line="367" w:lineRule="auto"/>
      <w:ind w:left="667" w:hanging="576"/>
      <w:jc w:val="both"/>
    </w:pPr>
    <w:rPr>
      <w:rFonts w:ascii="Arial" w:eastAsia="Arial" w:hAnsi="Arial" w:cs="Arial"/>
      <w:color w:val="000000"/>
    </w:rPr>
  </w:style>
  <w:style w:type="paragraph" w:styleId="Heading1">
    <w:name w:val="heading 1"/>
    <w:next w:val="Normal"/>
    <w:link w:val="Heading1Char"/>
    <w:uiPriority w:val="9"/>
    <w:unhideWhenUsed/>
    <w:qFormat/>
    <w:rsid w:val="006637C9"/>
    <w:pPr>
      <w:keepNext/>
      <w:keepLines/>
      <w:spacing w:after="379" w:line="265" w:lineRule="auto"/>
      <w:ind w:left="10" w:right="25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6637C9"/>
    <w:pPr>
      <w:spacing w:after="0"/>
      <w:ind w:left="91"/>
    </w:pPr>
    <w:rPr>
      <w:rFonts w:ascii="Calibri" w:eastAsia="Calibri" w:hAnsi="Calibri" w:cs="Calibri"/>
      <w:color w:val="000000"/>
      <w:sz w:val="20"/>
    </w:rPr>
  </w:style>
  <w:style w:type="character" w:customStyle="1" w:styleId="footnotedescriptionChar">
    <w:name w:val="footnote description Char"/>
    <w:link w:val="footnotedescription"/>
    <w:rsid w:val="006637C9"/>
    <w:rPr>
      <w:rFonts w:ascii="Calibri" w:eastAsia="Calibri" w:hAnsi="Calibri" w:cs="Calibri"/>
      <w:color w:val="000000"/>
      <w:sz w:val="20"/>
    </w:rPr>
  </w:style>
  <w:style w:type="character" w:customStyle="1" w:styleId="Heading1Char">
    <w:name w:val="Heading 1 Char"/>
    <w:link w:val="Heading1"/>
    <w:rsid w:val="006637C9"/>
    <w:rPr>
      <w:rFonts w:ascii="Arial" w:eastAsia="Arial" w:hAnsi="Arial" w:cs="Arial"/>
      <w:b/>
      <w:color w:val="000000"/>
      <w:sz w:val="22"/>
    </w:rPr>
  </w:style>
  <w:style w:type="character" w:customStyle="1" w:styleId="footnotemark">
    <w:name w:val="footnote mark"/>
    <w:hidden/>
    <w:rsid w:val="006637C9"/>
    <w:rPr>
      <w:rFonts w:ascii="Calibri" w:eastAsia="Calibri" w:hAnsi="Calibri" w:cs="Calibri"/>
      <w:color w:val="000000"/>
      <w:sz w:val="20"/>
      <w:vertAlign w:val="superscript"/>
    </w:rPr>
  </w:style>
  <w:style w:type="table" w:customStyle="1" w:styleId="TableGrid">
    <w:name w:val="TableGrid"/>
    <w:rsid w:val="006637C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15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11"/>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ooxWord://word/media/image40.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Parliament of the Republic  of South Africa</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Phumelele Ngema</dc:creator>
  <cp:lastModifiedBy>USER</cp:lastModifiedBy>
  <cp:revision>2</cp:revision>
  <dcterms:created xsi:type="dcterms:W3CDTF">2022-08-30T13:17:00Z</dcterms:created>
  <dcterms:modified xsi:type="dcterms:W3CDTF">2022-08-30T13:17:00Z</dcterms:modified>
</cp:coreProperties>
</file>